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263" w:rsidRDefault="00FC7D9A" w:rsidP="00C85947">
      <w:pPr>
        <w:pStyle w:val="Baseparagraphcentred"/>
      </w:pPr>
      <w:bookmarkStart w:id="0" w:name="_GoBack"/>
      <w:bookmarkEnd w:id="0"/>
      <w:r>
        <w:t>2013</w:t>
      </w:r>
      <w:r w:rsidR="003D1341">
        <w:t>-2014</w:t>
      </w:r>
    </w:p>
    <w:p w:rsidR="00264263" w:rsidRDefault="00264263" w:rsidP="00C85947">
      <w:pPr>
        <w:pStyle w:val="Baseparagraphcentred"/>
      </w:pPr>
    </w:p>
    <w:p w:rsidR="00264263" w:rsidRDefault="00264263" w:rsidP="00C85947">
      <w:pPr>
        <w:pStyle w:val="Baseparagraphcentred"/>
      </w:pPr>
      <w:r>
        <w:t>THE PARLIAMENT OF THE COMMONWEALTH OF AUSTRALIA</w:t>
      </w:r>
    </w:p>
    <w:p w:rsidR="00264263" w:rsidRDefault="00264263" w:rsidP="00C85947">
      <w:pPr>
        <w:pStyle w:val="Baseparagraphcentred"/>
      </w:pPr>
    </w:p>
    <w:p w:rsidR="00264263" w:rsidRDefault="00264263" w:rsidP="00C85947">
      <w:pPr>
        <w:pStyle w:val="Baseparagraphcentred"/>
      </w:pPr>
    </w:p>
    <w:p w:rsidR="00264263" w:rsidRDefault="00264263" w:rsidP="00C85947">
      <w:pPr>
        <w:pStyle w:val="Baseparagraphcentred"/>
      </w:pPr>
    </w:p>
    <w:p w:rsidR="00264263" w:rsidRDefault="008C01BD" w:rsidP="00C85947">
      <w:pPr>
        <w:pStyle w:val="Baseparagraphcentred"/>
      </w:pPr>
      <w:r>
        <w:t>SENATE</w:t>
      </w:r>
    </w:p>
    <w:p w:rsidR="00264263" w:rsidRDefault="00264263" w:rsidP="00C85947">
      <w:pPr>
        <w:pStyle w:val="Baseparagraphcentred"/>
      </w:pPr>
    </w:p>
    <w:p w:rsidR="00264263" w:rsidRDefault="00264263" w:rsidP="00C85947">
      <w:pPr>
        <w:pStyle w:val="Baseparagraphcentred"/>
      </w:pPr>
    </w:p>
    <w:p w:rsidR="00FC7D9A" w:rsidRPr="00961F2F" w:rsidRDefault="00FC7D9A" w:rsidP="00FC7D9A">
      <w:pPr>
        <w:pStyle w:val="BillName"/>
        <w:spacing w:before="0" w:after="0"/>
      </w:pPr>
      <w:r w:rsidRPr="00961F2F">
        <w:t>Clean Energy Legislation (</w:t>
      </w:r>
      <w:r w:rsidR="00622B79">
        <w:t>Carbon Tax Repeal</w:t>
      </w:r>
      <w:r w:rsidRPr="00961F2F">
        <w:t xml:space="preserve">) Bill </w:t>
      </w:r>
      <w:r w:rsidR="00961F2F">
        <w:t>2014</w:t>
      </w:r>
    </w:p>
    <w:p w:rsidR="00FC7D9A" w:rsidRPr="00961F2F" w:rsidRDefault="00FC7D9A" w:rsidP="00FC7D9A">
      <w:pPr>
        <w:pStyle w:val="BillName"/>
        <w:spacing w:before="0" w:after="0"/>
      </w:pPr>
      <w:r w:rsidRPr="00961F2F">
        <w:t xml:space="preserve">True-up Shortfall Levy </w:t>
      </w:r>
      <w:r w:rsidR="00B807FC" w:rsidRPr="00961F2F">
        <w:t xml:space="preserve">(General) </w:t>
      </w:r>
      <w:r w:rsidRPr="00961F2F">
        <w:t>(</w:t>
      </w:r>
      <w:r w:rsidR="00622B79">
        <w:t>Carbon Tax Repeal</w:t>
      </w:r>
      <w:r w:rsidRPr="00961F2F">
        <w:t xml:space="preserve">) Bill </w:t>
      </w:r>
      <w:r w:rsidR="00961F2F">
        <w:t>2014</w:t>
      </w:r>
    </w:p>
    <w:p w:rsidR="00B807FC" w:rsidRPr="00961F2F" w:rsidRDefault="00B807FC" w:rsidP="00FC7D9A">
      <w:pPr>
        <w:pStyle w:val="BillName"/>
        <w:spacing w:before="0" w:after="0"/>
      </w:pPr>
      <w:r w:rsidRPr="00961F2F">
        <w:t>True-up Shortfall Levy (Excise) (</w:t>
      </w:r>
      <w:r w:rsidR="00622B79">
        <w:t>Carbon Tax Repeal</w:t>
      </w:r>
      <w:r w:rsidRPr="00961F2F">
        <w:t xml:space="preserve">) Bill </w:t>
      </w:r>
      <w:r w:rsidR="00961F2F">
        <w:t>2014</w:t>
      </w:r>
    </w:p>
    <w:p w:rsidR="00FC7D9A" w:rsidRPr="00961F2F" w:rsidRDefault="00FC7D9A" w:rsidP="00FC7D9A">
      <w:pPr>
        <w:pStyle w:val="BillName"/>
        <w:spacing w:before="0" w:after="0"/>
      </w:pPr>
      <w:r w:rsidRPr="00961F2F">
        <w:t>Customs Tariff Amendment (</w:t>
      </w:r>
      <w:r w:rsidR="00622B79">
        <w:t>Carbon Tax Repeal</w:t>
      </w:r>
      <w:r w:rsidRPr="00961F2F">
        <w:t xml:space="preserve">) Bill </w:t>
      </w:r>
      <w:r w:rsidR="00961F2F">
        <w:t>2014</w:t>
      </w:r>
    </w:p>
    <w:p w:rsidR="00FC7D9A" w:rsidRPr="00961F2F" w:rsidRDefault="00FC7D9A" w:rsidP="00FC7D9A">
      <w:pPr>
        <w:pStyle w:val="BillName"/>
        <w:spacing w:before="0" w:after="0"/>
      </w:pPr>
      <w:r w:rsidRPr="00961F2F">
        <w:t>Excise Tariff Amendment (</w:t>
      </w:r>
      <w:r w:rsidR="00622B79">
        <w:t>Carbon Tax Repeal</w:t>
      </w:r>
      <w:r w:rsidRPr="00961F2F">
        <w:t xml:space="preserve">) Bill </w:t>
      </w:r>
      <w:r w:rsidR="00961F2F">
        <w:t>2014</w:t>
      </w:r>
    </w:p>
    <w:p w:rsidR="00FC7D9A" w:rsidRPr="00961F2F" w:rsidRDefault="00FC7D9A" w:rsidP="00FC7D9A">
      <w:pPr>
        <w:pStyle w:val="BillName"/>
        <w:spacing w:before="0" w:after="0"/>
      </w:pPr>
      <w:r w:rsidRPr="00961F2F">
        <w:t>Ozone Protection and Synthetic Greenhouse Gas (Import Levy) Amendment (</w:t>
      </w:r>
      <w:r w:rsidR="00622B79">
        <w:t>Carbon Tax Repeal</w:t>
      </w:r>
      <w:r w:rsidRPr="00961F2F">
        <w:t xml:space="preserve">) Bill </w:t>
      </w:r>
      <w:r w:rsidR="00961F2F">
        <w:t>2014</w:t>
      </w:r>
    </w:p>
    <w:p w:rsidR="00FC7D9A" w:rsidRDefault="00FC7D9A" w:rsidP="00FC7D9A">
      <w:pPr>
        <w:pStyle w:val="BillName"/>
        <w:spacing w:before="0" w:after="0"/>
      </w:pPr>
      <w:r w:rsidRPr="00961F2F">
        <w:t>Ozone Protection and Synthetic Greenhouse Gas (Manufacture Levy) Amendment (</w:t>
      </w:r>
      <w:r w:rsidR="00622B79">
        <w:t>Carbon Tax Repeal</w:t>
      </w:r>
      <w:r w:rsidRPr="00961F2F">
        <w:t xml:space="preserve">) Bill </w:t>
      </w:r>
      <w:r w:rsidR="00961F2F">
        <w:t>2014</w:t>
      </w:r>
    </w:p>
    <w:p w:rsidR="00264263" w:rsidRDefault="00264263" w:rsidP="00C85947">
      <w:pPr>
        <w:pStyle w:val="Baseparagraphcentred"/>
      </w:pPr>
    </w:p>
    <w:p w:rsidR="00264263" w:rsidRDefault="00264263" w:rsidP="00C85947">
      <w:pPr>
        <w:pStyle w:val="Baseparagraphcentred"/>
      </w:pPr>
    </w:p>
    <w:p w:rsidR="00264263" w:rsidRDefault="00264263" w:rsidP="00C85947">
      <w:pPr>
        <w:pStyle w:val="Baseparagraphcentred"/>
      </w:pPr>
    </w:p>
    <w:p w:rsidR="00264263" w:rsidRDefault="00264263" w:rsidP="00C85947">
      <w:pPr>
        <w:pStyle w:val="Baseparagraphcentred"/>
      </w:pPr>
    </w:p>
    <w:p w:rsidR="00264263" w:rsidRDefault="008C01BD" w:rsidP="00C85947">
      <w:pPr>
        <w:pStyle w:val="Baseparagraphcentred"/>
      </w:pPr>
      <w:r>
        <w:t xml:space="preserve">REVISED </w:t>
      </w:r>
      <w:r w:rsidR="00264263">
        <w:t>EXPLANATORY MEMORANDUM</w:t>
      </w:r>
    </w:p>
    <w:p w:rsidR="00264263" w:rsidRDefault="00264263" w:rsidP="00C85947">
      <w:pPr>
        <w:pStyle w:val="Baseparagraphcentred"/>
      </w:pPr>
    </w:p>
    <w:p w:rsidR="00264263" w:rsidRDefault="00264263" w:rsidP="00C85947">
      <w:pPr>
        <w:pStyle w:val="Baseparagraphcentred"/>
      </w:pPr>
    </w:p>
    <w:p w:rsidR="00264263" w:rsidRDefault="00264263" w:rsidP="00FC7D9A">
      <w:pPr>
        <w:pStyle w:val="Baseparagraphcentred"/>
      </w:pPr>
      <w:r>
        <w:t xml:space="preserve">(Circulated by the </w:t>
      </w:r>
      <w:r w:rsidRPr="00FF6DD8">
        <w:t>authority of the</w:t>
      </w:r>
      <w:r w:rsidR="00FC7D9A" w:rsidRPr="00FF6DD8">
        <w:t xml:space="preserve"> </w:t>
      </w:r>
      <w:r w:rsidR="00C85947" w:rsidRPr="00FF6DD8">
        <w:t xml:space="preserve">Minister for </w:t>
      </w:r>
      <w:r w:rsidR="00FC7D9A" w:rsidRPr="00FF6DD8">
        <w:t>the Environment</w:t>
      </w:r>
      <w:r w:rsidR="00C85947" w:rsidRPr="00FF6DD8">
        <w:t xml:space="preserve">, </w:t>
      </w:r>
      <w:r w:rsidR="00FC7D9A" w:rsidRPr="00FF6DD8">
        <w:br/>
      </w:r>
      <w:r w:rsidR="00C85947" w:rsidRPr="00FF6DD8">
        <w:t xml:space="preserve">the Hon Greg </w:t>
      </w:r>
      <w:r w:rsidR="00FC7D9A" w:rsidRPr="00FF6DD8">
        <w:t>Hunt</w:t>
      </w:r>
      <w:r w:rsidR="004A6C31" w:rsidRPr="00FF6DD8">
        <w:t xml:space="preserve"> </w:t>
      </w:r>
      <w:r w:rsidR="00FC7D9A" w:rsidRPr="00FF6DD8">
        <w:t xml:space="preserve">MP </w:t>
      </w:r>
      <w:r w:rsidR="004A6C31" w:rsidRPr="00FF6DD8">
        <w:t xml:space="preserve">and the </w:t>
      </w:r>
      <w:r w:rsidR="005D1F6D" w:rsidRPr="00FF6DD8">
        <w:t xml:space="preserve">Treasurer, the Hon </w:t>
      </w:r>
      <w:r w:rsidR="00FC7D9A" w:rsidRPr="00FF6DD8">
        <w:t>J</w:t>
      </w:r>
      <w:r w:rsidR="00E266DF" w:rsidRPr="00FF6DD8">
        <w:t>.</w:t>
      </w:r>
      <w:r w:rsidR="004E391F" w:rsidRPr="00FF6DD8">
        <w:t>B</w:t>
      </w:r>
      <w:r w:rsidR="004C7572" w:rsidRPr="00FF6DD8">
        <w:t xml:space="preserve">. </w:t>
      </w:r>
      <w:r w:rsidR="00FC7D9A" w:rsidRPr="00FF6DD8">
        <w:t>Hockey</w:t>
      </w:r>
      <w:r w:rsidR="005D1F6D" w:rsidRPr="00FF6DD8">
        <w:t xml:space="preserve"> MP</w:t>
      </w:r>
      <w:r w:rsidRPr="00FF6DD8">
        <w:t>)</w:t>
      </w:r>
    </w:p>
    <w:p w:rsidR="00264263" w:rsidRDefault="00264263" w:rsidP="00C85947"/>
    <w:p w:rsidR="008C01BD" w:rsidRDefault="008C01BD" w:rsidP="00C85947"/>
    <w:p w:rsidR="00DA6673" w:rsidRDefault="00DA6673" w:rsidP="00C85947"/>
    <w:p w:rsidR="008C01BD" w:rsidRDefault="008C01BD" w:rsidP="008C01BD">
      <w:pPr>
        <w:jc w:val="center"/>
        <w:sectPr w:rsidR="008C01BD" w:rsidSect="00C85947">
          <w:headerReference w:type="even" r:id="rId12"/>
          <w:headerReference w:type="default" r:id="rId13"/>
          <w:footerReference w:type="even" r:id="rId14"/>
          <w:footerReference w:type="default" r:id="rId15"/>
          <w:type w:val="oddPage"/>
          <w:pgSz w:w="11906" w:h="16838" w:code="9"/>
          <w:pgMar w:top="2466" w:right="2098" w:bottom="2466" w:left="2098" w:header="1559" w:footer="1899" w:gutter="0"/>
          <w:cols w:space="708"/>
          <w:titlePg/>
          <w:docGrid w:linePitch="360"/>
        </w:sectPr>
      </w:pPr>
      <w:r>
        <w:t>THIS MEMORANDUM TAKES ACCOUNT OF AMENDMENTS MADE BY THE HOUSE OF REPRESENTATIVES TO THE BILLS AS INTRODUCED</w:t>
      </w:r>
    </w:p>
    <w:p w:rsidR="00264263" w:rsidRPr="0045493F" w:rsidRDefault="00264263" w:rsidP="00C85947">
      <w:pPr>
        <w:pStyle w:val="TOCHeading"/>
      </w:pPr>
      <w:r w:rsidRPr="0045493F">
        <w:rPr>
          <w:rStyle w:val="Font30point"/>
        </w:rPr>
        <w:lastRenderedPageBreak/>
        <w:t>T</w:t>
      </w:r>
      <w:r w:rsidRPr="0045493F">
        <w:t>able of contents</w:t>
      </w:r>
    </w:p>
    <w:p w:rsidR="00FB19AD" w:rsidRDefault="007C3C51">
      <w:pPr>
        <w:pStyle w:val="TOC2"/>
        <w:rPr>
          <w:rFonts w:asciiTheme="minorHAnsi" w:eastAsiaTheme="minorEastAsia" w:hAnsiTheme="minorHAnsi" w:cstheme="minorBidi"/>
          <w:sz w:val="22"/>
          <w:szCs w:val="22"/>
        </w:rPr>
      </w:pPr>
      <w:r>
        <w:fldChar w:fldCharType="begin"/>
      </w:r>
      <w:r w:rsidR="003913CC">
        <w:instrText xml:space="preserve"> TOC \t "Chapter Heading,1,Chapter heading subdocument,2" </w:instrText>
      </w:r>
      <w:r>
        <w:fldChar w:fldCharType="separate"/>
      </w:r>
      <w:r w:rsidR="00FB19AD">
        <w:t>Glossary</w:t>
      </w:r>
      <w:r w:rsidR="00FB19AD">
        <w:tab/>
      </w:r>
      <w:r>
        <w:fldChar w:fldCharType="begin"/>
      </w:r>
      <w:r w:rsidR="00FB19AD">
        <w:instrText xml:space="preserve"> PAGEREF _Toc393138972 \h </w:instrText>
      </w:r>
      <w:r>
        <w:fldChar w:fldCharType="separate"/>
      </w:r>
      <w:r w:rsidR="00FB19AD">
        <w:t>1</w:t>
      </w:r>
      <w:r>
        <w:fldChar w:fldCharType="end"/>
      </w:r>
    </w:p>
    <w:p w:rsidR="00FB19AD" w:rsidRDefault="00FB19AD">
      <w:pPr>
        <w:pStyle w:val="TOC2"/>
        <w:rPr>
          <w:rFonts w:asciiTheme="minorHAnsi" w:eastAsiaTheme="minorEastAsia" w:hAnsiTheme="minorHAnsi" w:cstheme="minorBidi"/>
          <w:sz w:val="22"/>
          <w:szCs w:val="22"/>
        </w:rPr>
      </w:pPr>
      <w:r>
        <w:t>General outline and statements</w:t>
      </w:r>
      <w:r>
        <w:tab/>
      </w:r>
      <w:r w:rsidR="007C3C51">
        <w:fldChar w:fldCharType="begin"/>
      </w:r>
      <w:r>
        <w:instrText xml:space="preserve"> PAGEREF _Toc393138973 \h </w:instrText>
      </w:r>
      <w:r w:rsidR="007C3C51">
        <w:fldChar w:fldCharType="separate"/>
      </w:r>
      <w:r>
        <w:t>5</w:t>
      </w:r>
      <w:r w:rsidR="007C3C51">
        <w:fldChar w:fldCharType="end"/>
      </w:r>
    </w:p>
    <w:p w:rsidR="00FB19AD" w:rsidRDefault="00FB19AD">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 xml:space="preserve"> Repeal of the carbon tax</w:t>
      </w:r>
      <w:r>
        <w:rPr>
          <w:noProof/>
        </w:rPr>
        <w:tab/>
      </w:r>
      <w:r w:rsidR="007C3C51">
        <w:rPr>
          <w:noProof/>
        </w:rPr>
        <w:fldChar w:fldCharType="begin"/>
      </w:r>
      <w:r>
        <w:rPr>
          <w:noProof/>
        </w:rPr>
        <w:instrText xml:space="preserve"> PAGEREF _Toc393138974 \h </w:instrText>
      </w:r>
      <w:r w:rsidR="007C3C51">
        <w:rPr>
          <w:noProof/>
        </w:rPr>
      </w:r>
      <w:r w:rsidR="007C3C51">
        <w:rPr>
          <w:noProof/>
        </w:rPr>
        <w:fldChar w:fldCharType="separate"/>
      </w:r>
      <w:r>
        <w:rPr>
          <w:noProof/>
        </w:rPr>
        <w:t>19</w:t>
      </w:r>
      <w:r w:rsidR="007C3C51">
        <w:rPr>
          <w:noProof/>
        </w:rPr>
        <w:fldChar w:fldCharType="end"/>
      </w:r>
    </w:p>
    <w:p w:rsidR="00FB19AD" w:rsidRDefault="00FB19AD">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 xml:space="preserve"> Consequential amendments concerning emissions and energy reporting, carbon units and the Clean Energy Regulator</w:t>
      </w:r>
      <w:r>
        <w:rPr>
          <w:noProof/>
        </w:rPr>
        <w:tab/>
      </w:r>
      <w:r w:rsidR="007C3C51">
        <w:rPr>
          <w:noProof/>
        </w:rPr>
        <w:fldChar w:fldCharType="begin"/>
      </w:r>
      <w:r>
        <w:rPr>
          <w:noProof/>
        </w:rPr>
        <w:instrText xml:space="preserve"> PAGEREF _Toc393138975 \h </w:instrText>
      </w:r>
      <w:r w:rsidR="007C3C51">
        <w:rPr>
          <w:noProof/>
        </w:rPr>
      </w:r>
      <w:r w:rsidR="007C3C51">
        <w:rPr>
          <w:noProof/>
        </w:rPr>
        <w:fldChar w:fldCharType="separate"/>
      </w:r>
      <w:r>
        <w:rPr>
          <w:noProof/>
        </w:rPr>
        <w:t>33</w:t>
      </w:r>
      <w:r w:rsidR="007C3C51">
        <w:rPr>
          <w:noProof/>
        </w:rPr>
        <w:fldChar w:fldCharType="end"/>
      </w:r>
    </w:p>
    <w:p w:rsidR="00FB19AD" w:rsidRDefault="00FB19AD">
      <w:pPr>
        <w:pStyle w:val="TOC1"/>
        <w:rPr>
          <w:rFonts w:asciiTheme="minorHAnsi" w:eastAsiaTheme="minorEastAsia" w:hAnsiTheme="minorHAnsi" w:cstheme="minorBidi"/>
          <w:noProof/>
          <w:sz w:val="22"/>
          <w:szCs w:val="22"/>
        </w:rPr>
      </w:pPr>
      <w:r>
        <w:rPr>
          <w:noProof/>
        </w:rPr>
        <w:t>Chapter 3</w:t>
      </w:r>
      <w:r>
        <w:rPr>
          <w:rFonts w:asciiTheme="minorHAnsi" w:eastAsiaTheme="minorEastAsia" w:hAnsiTheme="minorHAnsi" w:cstheme="minorBidi"/>
          <w:noProof/>
          <w:sz w:val="22"/>
          <w:szCs w:val="22"/>
        </w:rPr>
        <w:tab/>
      </w:r>
      <w:r>
        <w:rPr>
          <w:noProof/>
        </w:rPr>
        <w:t xml:space="preserve"> Consequential taxation amendments</w:t>
      </w:r>
      <w:r>
        <w:rPr>
          <w:noProof/>
        </w:rPr>
        <w:tab/>
      </w:r>
      <w:r w:rsidR="007C3C51">
        <w:rPr>
          <w:noProof/>
        </w:rPr>
        <w:fldChar w:fldCharType="begin"/>
      </w:r>
      <w:r>
        <w:rPr>
          <w:noProof/>
        </w:rPr>
        <w:instrText xml:space="preserve"> PAGEREF _Toc393138976 \h </w:instrText>
      </w:r>
      <w:r w:rsidR="007C3C51">
        <w:rPr>
          <w:noProof/>
        </w:rPr>
      </w:r>
      <w:r w:rsidR="007C3C51">
        <w:rPr>
          <w:noProof/>
        </w:rPr>
        <w:fldChar w:fldCharType="separate"/>
      </w:r>
      <w:r>
        <w:rPr>
          <w:noProof/>
        </w:rPr>
        <w:t>45</w:t>
      </w:r>
      <w:r w:rsidR="007C3C51">
        <w:rPr>
          <w:noProof/>
        </w:rPr>
        <w:fldChar w:fldCharType="end"/>
      </w:r>
    </w:p>
    <w:p w:rsidR="00FB19AD" w:rsidRDefault="00FB19AD">
      <w:pPr>
        <w:pStyle w:val="TOC1"/>
        <w:rPr>
          <w:rFonts w:asciiTheme="minorHAnsi" w:eastAsiaTheme="minorEastAsia" w:hAnsiTheme="minorHAnsi" w:cstheme="minorBidi"/>
          <w:noProof/>
          <w:sz w:val="22"/>
          <w:szCs w:val="22"/>
        </w:rPr>
      </w:pPr>
      <w:r>
        <w:rPr>
          <w:noProof/>
        </w:rPr>
        <w:t>Chapter 4</w:t>
      </w:r>
      <w:r>
        <w:rPr>
          <w:rFonts w:asciiTheme="minorHAnsi" w:eastAsiaTheme="minorEastAsia" w:hAnsiTheme="minorHAnsi" w:cstheme="minorBidi"/>
          <w:noProof/>
          <w:sz w:val="22"/>
          <w:szCs w:val="22"/>
        </w:rPr>
        <w:tab/>
      </w:r>
      <w:r>
        <w:rPr>
          <w:noProof/>
        </w:rPr>
        <w:t xml:space="preserve"> Amendments to the Competition and Consumer Act 2010 – ensuring cost savings are passed on to customers</w:t>
      </w:r>
      <w:r>
        <w:rPr>
          <w:noProof/>
        </w:rPr>
        <w:tab/>
      </w:r>
      <w:r w:rsidR="007C3C51">
        <w:rPr>
          <w:noProof/>
        </w:rPr>
        <w:fldChar w:fldCharType="begin"/>
      </w:r>
      <w:r>
        <w:rPr>
          <w:noProof/>
        </w:rPr>
        <w:instrText xml:space="preserve"> PAGEREF _Toc393138977 \h </w:instrText>
      </w:r>
      <w:r w:rsidR="007C3C51">
        <w:rPr>
          <w:noProof/>
        </w:rPr>
      </w:r>
      <w:r w:rsidR="007C3C51">
        <w:rPr>
          <w:noProof/>
        </w:rPr>
        <w:fldChar w:fldCharType="separate"/>
      </w:r>
      <w:r>
        <w:rPr>
          <w:noProof/>
        </w:rPr>
        <w:t>51</w:t>
      </w:r>
      <w:r w:rsidR="007C3C51">
        <w:rPr>
          <w:noProof/>
        </w:rPr>
        <w:fldChar w:fldCharType="end"/>
      </w:r>
    </w:p>
    <w:p w:rsidR="00FB19AD" w:rsidRDefault="00FB19AD">
      <w:pPr>
        <w:pStyle w:val="TOC1"/>
        <w:rPr>
          <w:rFonts w:asciiTheme="minorHAnsi" w:eastAsiaTheme="minorEastAsia" w:hAnsiTheme="minorHAnsi" w:cstheme="minorBidi"/>
          <w:noProof/>
          <w:sz w:val="22"/>
          <w:szCs w:val="22"/>
        </w:rPr>
      </w:pPr>
      <w:r>
        <w:rPr>
          <w:noProof/>
        </w:rPr>
        <w:t>Chapter 5</w:t>
      </w:r>
      <w:r>
        <w:rPr>
          <w:rFonts w:asciiTheme="minorHAnsi" w:eastAsiaTheme="minorEastAsia" w:hAnsiTheme="minorHAnsi" w:cstheme="minorBidi"/>
          <w:noProof/>
          <w:sz w:val="22"/>
          <w:szCs w:val="22"/>
        </w:rPr>
        <w:tab/>
      </w:r>
      <w:r>
        <w:rPr>
          <w:noProof/>
        </w:rPr>
        <w:t xml:space="preserve"> Removal of equivalent carbon price from taxable fuels</w:t>
      </w:r>
      <w:r>
        <w:rPr>
          <w:noProof/>
        </w:rPr>
        <w:tab/>
      </w:r>
      <w:r w:rsidR="007C3C51">
        <w:rPr>
          <w:noProof/>
        </w:rPr>
        <w:fldChar w:fldCharType="begin"/>
      </w:r>
      <w:r>
        <w:rPr>
          <w:noProof/>
        </w:rPr>
        <w:instrText xml:space="preserve"> PAGEREF _Toc393138978 \h </w:instrText>
      </w:r>
      <w:r w:rsidR="007C3C51">
        <w:rPr>
          <w:noProof/>
        </w:rPr>
      </w:r>
      <w:r w:rsidR="007C3C51">
        <w:rPr>
          <w:noProof/>
        </w:rPr>
        <w:fldChar w:fldCharType="separate"/>
      </w:r>
      <w:r>
        <w:rPr>
          <w:noProof/>
        </w:rPr>
        <w:t>75</w:t>
      </w:r>
      <w:r w:rsidR="007C3C51">
        <w:rPr>
          <w:noProof/>
        </w:rPr>
        <w:fldChar w:fldCharType="end"/>
      </w:r>
    </w:p>
    <w:p w:rsidR="00FB19AD" w:rsidRDefault="00FB19AD">
      <w:pPr>
        <w:pStyle w:val="TOC1"/>
        <w:rPr>
          <w:rFonts w:asciiTheme="minorHAnsi" w:eastAsiaTheme="minorEastAsia" w:hAnsiTheme="minorHAnsi" w:cstheme="minorBidi"/>
          <w:noProof/>
          <w:sz w:val="22"/>
          <w:szCs w:val="22"/>
        </w:rPr>
      </w:pPr>
      <w:r>
        <w:rPr>
          <w:noProof/>
        </w:rPr>
        <w:t>Chapter 6</w:t>
      </w:r>
      <w:r>
        <w:rPr>
          <w:rFonts w:asciiTheme="minorHAnsi" w:eastAsiaTheme="minorEastAsia" w:hAnsiTheme="minorHAnsi" w:cstheme="minorBidi"/>
          <w:noProof/>
          <w:sz w:val="22"/>
          <w:szCs w:val="22"/>
        </w:rPr>
        <w:tab/>
      </w:r>
      <w:r>
        <w:rPr>
          <w:noProof/>
        </w:rPr>
        <w:t xml:space="preserve"> Removal of equivalent carbon price from synthetic greenhouse gases</w:t>
      </w:r>
      <w:r>
        <w:rPr>
          <w:noProof/>
        </w:rPr>
        <w:tab/>
      </w:r>
      <w:r w:rsidR="007C3C51">
        <w:rPr>
          <w:noProof/>
        </w:rPr>
        <w:fldChar w:fldCharType="begin"/>
      </w:r>
      <w:r>
        <w:rPr>
          <w:noProof/>
        </w:rPr>
        <w:instrText xml:space="preserve"> PAGEREF _Toc393138979 \h </w:instrText>
      </w:r>
      <w:r w:rsidR="007C3C51">
        <w:rPr>
          <w:noProof/>
        </w:rPr>
      </w:r>
      <w:r w:rsidR="007C3C51">
        <w:rPr>
          <w:noProof/>
        </w:rPr>
        <w:fldChar w:fldCharType="separate"/>
      </w:r>
      <w:r>
        <w:rPr>
          <w:noProof/>
        </w:rPr>
        <w:t>81</w:t>
      </w:r>
      <w:r w:rsidR="007C3C51">
        <w:rPr>
          <w:noProof/>
        </w:rPr>
        <w:fldChar w:fldCharType="end"/>
      </w:r>
    </w:p>
    <w:p w:rsidR="00FB19AD" w:rsidRDefault="00FB19AD">
      <w:pPr>
        <w:pStyle w:val="TOC1"/>
        <w:rPr>
          <w:rFonts w:asciiTheme="minorHAnsi" w:eastAsiaTheme="minorEastAsia" w:hAnsiTheme="minorHAnsi" w:cstheme="minorBidi"/>
          <w:noProof/>
          <w:sz w:val="22"/>
          <w:szCs w:val="22"/>
        </w:rPr>
      </w:pPr>
      <w:r>
        <w:rPr>
          <w:noProof/>
        </w:rPr>
        <w:t>Chapter 7</w:t>
      </w:r>
      <w:r>
        <w:rPr>
          <w:rFonts w:asciiTheme="minorHAnsi" w:eastAsiaTheme="minorEastAsia" w:hAnsiTheme="minorHAnsi" w:cstheme="minorBidi"/>
          <w:noProof/>
          <w:sz w:val="22"/>
          <w:szCs w:val="22"/>
        </w:rPr>
        <w:tab/>
      </w:r>
      <w:r>
        <w:rPr>
          <w:noProof/>
        </w:rPr>
        <w:t xml:space="preserve"> Specific repeal issues</w:t>
      </w:r>
      <w:r>
        <w:rPr>
          <w:noProof/>
        </w:rPr>
        <w:tab/>
      </w:r>
      <w:r w:rsidR="007C3C51">
        <w:rPr>
          <w:noProof/>
        </w:rPr>
        <w:fldChar w:fldCharType="begin"/>
      </w:r>
      <w:r>
        <w:rPr>
          <w:noProof/>
        </w:rPr>
        <w:instrText xml:space="preserve"> PAGEREF _Toc393138980 \h </w:instrText>
      </w:r>
      <w:r w:rsidR="007C3C51">
        <w:rPr>
          <w:noProof/>
        </w:rPr>
      </w:r>
      <w:r w:rsidR="007C3C51">
        <w:rPr>
          <w:noProof/>
        </w:rPr>
        <w:fldChar w:fldCharType="separate"/>
      </w:r>
      <w:r>
        <w:rPr>
          <w:noProof/>
        </w:rPr>
        <w:t>85</w:t>
      </w:r>
      <w:r w:rsidR="007C3C51">
        <w:rPr>
          <w:noProof/>
        </w:rPr>
        <w:fldChar w:fldCharType="end"/>
      </w:r>
    </w:p>
    <w:p w:rsidR="00FB19AD" w:rsidRDefault="00FB19AD">
      <w:pPr>
        <w:pStyle w:val="TOC1"/>
        <w:rPr>
          <w:rFonts w:asciiTheme="minorHAnsi" w:eastAsiaTheme="minorEastAsia" w:hAnsiTheme="minorHAnsi" w:cstheme="minorBidi"/>
          <w:noProof/>
          <w:sz w:val="22"/>
          <w:szCs w:val="22"/>
        </w:rPr>
      </w:pPr>
      <w:r>
        <w:rPr>
          <w:noProof/>
        </w:rPr>
        <w:t>Chapter 8</w:t>
      </w:r>
      <w:r>
        <w:rPr>
          <w:rFonts w:asciiTheme="minorHAnsi" w:eastAsiaTheme="minorEastAsia" w:hAnsiTheme="minorHAnsi" w:cstheme="minorBidi"/>
          <w:noProof/>
          <w:sz w:val="22"/>
          <w:szCs w:val="22"/>
        </w:rPr>
        <w:tab/>
      </w:r>
      <w:r>
        <w:rPr>
          <w:noProof/>
        </w:rPr>
        <w:t xml:space="preserve"> Regulation impact statement</w:t>
      </w:r>
      <w:r>
        <w:rPr>
          <w:noProof/>
        </w:rPr>
        <w:tab/>
      </w:r>
      <w:r w:rsidR="007C3C51">
        <w:rPr>
          <w:noProof/>
        </w:rPr>
        <w:fldChar w:fldCharType="begin"/>
      </w:r>
      <w:r>
        <w:rPr>
          <w:noProof/>
        </w:rPr>
        <w:instrText xml:space="preserve"> PAGEREF _Toc393138981 \h </w:instrText>
      </w:r>
      <w:r w:rsidR="007C3C51">
        <w:rPr>
          <w:noProof/>
        </w:rPr>
      </w:r>
      <w:r w:rsidR="007C3C51">
        <w:rPr>
          <w:noProof/>
        </w:rPr>
        <w:fldChar w:fldCharType="separate"/>
      </w:r>
      <w:r>
        <w:rPr>
          <w:noProof/>
        </w:rPr>
        <w:t>91</w:t>
      </w:r>
      <w:r w:rsidR="007C3C51">
        <w:rPr>
          <w:noProof/>
        </w:rPr>
        <w:fldChar w:fldCharType="end"/>
      </w:r>
    </w:p>
    <w:p w:rsidR="00FB19AD" w:rsidRDefault="00FB19AD">
      <w:pPr>
        <w:pStyle w:val="TOC2"/>
        <w:rPr>
          <w:rFonts w:asciiTheme="minorHAnsi" w:eastAsiaTheme="minorEastAsia" w:hAnsiTheme="minorHAnsi" w:cstheme="minorBidi"/>
          <w:sz w:val="22"/>
          <w:szCs w:val="22"/>
        </w:rPr>
      </w:pPr>
      <w:r>
        <w:t>Index</w:t>
      </w:r>
      <w:r>
        <w:tab/>
      </w:r>
      <w:r w:rsidR="007C3C51">
        <w:fldChar w:fldCharType="begin"/>
      </w:r>
      <w:r>
        <w:instrText xml:space="preserve"> PAGEREF _Toc393138982 \h </w:instrText>
      </w:r>
      <w:r w:rsidR="007C3C51">
        <w:fldChar w:fldCharType="separate"/>
      </w:r>
      <w:r>
        <w:t>115</w:t>
      </w:r>
      <w:r w:rsidR="007C3C51">
        <w:fldChar w:fldCharType="end"/>
      </w:r>
    </w:p>
    <w:p w:rsidR="00264263" w:rsidRDefault="007C3C51" w:rsidP="00C85947">
      <w:pPr>
        <w:pStyle w:val="base-text-paragraphnonumbers"/>
      </w:pPr>
      <w:r>
        <w:fldChar w:fldCharType="end"/>
      </w:r>
    </w:p>
    <w:p w:rsidR="00264263" w:rsidRDefault="00264263" w:rsidP="00C85947">
      <w:pPr>
        <w:pStyle w:val="Hiddentext"/>
      </w:pPr>
    </w:p>
    <w:p w:rsidR="00264263" w:rsidRDefault="00264263" w:rsidP="00C85947">
      <w:pPr>
        <w:pStyle w:val="base-text-paragraphnonumbers"/>
        <w:sectPr w:rsidR="00264263" w:rsidSect="00C85947">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2466" w:right="2098" w:bottom="2466" w:left="2098" w:header="1559" w:footer="1899" w:gutter="0"/>
          <w:cols w:space="708"/>
          <w:titlePg/>
          <w:docGrid w:linePitch="360"/>
        </w:sectPr>
      </w:pPr>
    </w:p>
    <w:p w:rsidR="00264263" w:rsidRPr="00050A0E" w:rsidRDefault="00264263" w:rsidP="00C85947">
      <w:pPr>
        <w:pStyle w:val="Chapterheadingsubdocument"/>
      </w:pPr>
      <w:bookmarkStart w:id="1" w:name="_Toc393138972"/>
      <w:r w:rsidRPr="00050A0E">
        <w:rPr>
          <w:rStyle w:val="Font30point"/>
        </w:rPr>
        <w:lastRenderedPageBreak/>
        <w:t>G</w:t>
      </w:r>
      <w:r w:rsidRPr="00050A0E">
        <w:t>lossary</w:t>
      </w:r>
      <w:bookmarkEnd w:id="1"/>
    </w:p>
    <w:p w:rsidR="00264263" w:rsidRDefault="00264263" w:rsidP="00C85947">
      <w:pPr>
        <w:pStyle w:val="BTPwithextraspacing"/>
      </w:pPr>
      <w:r>
        <w:t>The following abbreviations and acronyms are used throughout this explanatory memorandum.</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536"/>
      </w:tblGrid>
      <w:tr w:rsidR="00264263" w:rsidRPr="004D2B9C" w:rsidTr="00845B91">
        <w:trPr>
          <w:tblHeader/>
        </w:trPr>
        <w:tc>
          <w:tcPr>
            <w:tcW w:w="2552" w:type="dxa"/>
          </w:tcPr>
          <w:p w:rsidR="00264263" w:rsidRPr="00D43269" w:rsidRDefault="00D43269" w:rsidP="00D43269">
            <w:pPr>
              <w:pStyle w:val="tableheaderwithintable"/>
              <w:tabs>
                <w:tab w:val="center" w:pos="1168"/>
                <w:tab w:val="right" w:pos="2336"/>
              </w:tabs>
              <w:jc w:val="left"/>
            </w:pPr>
            <w:r w:rsidRPr="00D43269">
              <w:tab/>
            </w:r>
            <w:r w:rsidR="00264263" w:rsidRPr="00D43269">
              <w:t>Abbreviation</w:t>
            </w:r>
            <w:r w:rsidRPr="00D43269">
              <w:tab/>
            </w:r>
          </w:p>
        </w:tc>
        <w:tc>
          <w:tcPr>
            <w:tcW w:w="4536" w:type="dxa"/>
          </w:tcPr>
          <w:p w:rsidR="00264263" w:rsidRPr="00453679" w:rsidRDefault="00264263" w:rsidP="00C85947">
            <w:pPr>
              <w:pStyle w:val="tableheaderwithintable"/>
            </w:pPr>
            <w:r w:rsidRPr="00453679">
              <w:t>Definition</w:t>
            </w:r>
          </w:p>
        </w:tc>
      </w:tr>
      <w:tr w:rsidR="00B014F9" w:rsidRPr="002C43E8" w:rsidTr="00845B91">
        <w:tc>
          <w:tcPr>
            <w:tcW w:w="2552" w:type="dxa"/>
          </w:tcPr>
          <w:p w:rsidR="00B014F9" w:rsidRPr="00845B91" w:rsidRDefault="00B014F9" w:rsidP="00845B91">
            <w:pPr>
              <w:pStyle w:val="Glossarytabletext"/>
              <w:rPr>
                <w:lang w:val="en-US" w:eastAsia="en-US"/>
              </w:rPr>
            </w:pPr>
            <w:r>
              <w:t>2013 Carbon Tax Repeal Bills</w:t>
            </w:r>
          </w:p>
        </w:tc>
        <w:tc>
          <w:tcPr>
            <w:tcW w:w="4536" w:type="dxa"/>
          </w:tcPr>
          <w:p w:rsidR="00B014F9" w:rsidRPr="00453679" w:rsidRDefault="00B014F9" w:rsidP="00B014F9">
            <w:pPr>
              <w:autoSpaceDE w:val="0"/>
              <w:autoSpaceDN w:val="0"/>
              <w:adjustRightInd w:val="0"/>
              <w:spacing w:before="60" w:after="60"/>
              <w:rPr>
                <w:rFonts w:eastAsiaTheme="minorHAnsi"/>
                <w:color w:val="000000"/>
                <w:sz w:val="20"/>
              </w:rPr>
            </w:pPr>
            <w:r w:rsidRPr="00453679">
              <w:rPr>
                <w:rFonts w:eastAsiaTheme="minorHAnsi"/>
                <w:color w:val="000000"/>
                <w:sz w:val="20"/>
              </w:rPr>
              <w:t xml:space="preserve">Clean Energy Legislation (Carbon Tax Repeal) Bill 2013 </w:t>
            </w:r>
          </w:p>
          <w:p w:rsidR="00B014F9" w:rsidRPr="00453679" w:rsidRDefault="00B014F9" w:rsidP="00B014F9">
            <w:pPr>
              <w:autoSpaceDE w:val="0"/>
              <w:autoSpaceDN w:val="0"/>
              <w:adjustRightInd w:val="0"/>
              <w:spacing w:before="60" w:after="60"/>
              <w:rPr>
                <w:rFonts w:eastAsiaTheme="minorHAnsi"/>
                <w:color w:val="000000"/>
                <w:sz w:val="20"/>
              </w:rPr>
            </w:pPr>
            <w:r w:rsidRPr="00453679">
              <w:rPr>
                <w:rFonts w:eastAsiaTheme="minorHAnsi"/>
                <w:color w:val="000000"/>
                <w:sz w:val="20"/>
              </w:rPr>
              <w:t>True-up Shortfall Levy (General) (Carbon Tax Repeal) Bill 2013</w:t>
            </w:r>
          </w:p>
          <w:p w:rsidR="00B014F9" w:rsidRPr="00453679" w:rsidRDefault="00B014F9" w:rsidP="00B014F9">
            <w:pPr>
              <w:autoSpaceDE w:val="0"/>
              <w:autoSpaceDN w:val="0"/>
              <w:adjustRightInd w:val="0"/>
              <w:spacing w:before="60" w:after="60"/>
              <w:rPr>
                <w:rFonts w:eastAsiaTheme="minorHAnsi"/>
                <w:color w:val="000000"/>
                <w:sz w:val="20"/>
              </w:rPr>
            </w:pPr>
            <w:r w:rsidRPr="00453679">
              <w:rPr>
                <w:rFonts w:eastAsiaTheme="minorHAnsi"/>
                <w:color w:val="000000"/>
                <w:sz w:val="20"/>
              </w:rPr>
              <w:t>True-up Shortfall Levy (Excise) (Carbon Tax Repeal) Bill 2013</w:t>
            </w:r>
          </w:p>
          <w:p w:rsidR="00B014F9" w:rsidRPr="00453679" w:rsidRDefault="00B014F9" w:rsidP="00B014F9">
            <w:pPr>
              <w:autoSpaceDE w:val="0"/>
              <w:autoSpaceDN w:val="0"/>
              <w:adjustRightInd w:val="0"/>
              <w:spacing w:before="60" w:after="60"/>
              <w:rPr>
                <w:rFonts w:eastAsiaTheme="minorHAnsi"/>
                <w:color w:val="000000"/>
                <w:sz w:val="20"/>
              </w:rPr>
            </w:pPr>
            <w:r w:rsidRPr="00453679">
              <w:rPr>
                <w:rFonts w:eastAsiaTheme="minorHAnsi"/>
                <w:color w:val="000000"/>
                <w:sz w:val="20"/>
              </w:rPr>
              <w:t xml:space="preserve">Customs Tariff Amendment (Carbon Tax Repeal) Bill 2013 </w:t>
            </w:r>
          </w:p>
          <w:p w:rsidR="00B014F9" w:rsidRPr="00453679" w:rsidRDefault="00B014F9" w:rsidP="00B014F9">
            <w:pPr>
              <w:autoSpaceDE w:val="0"/>
              <w:autoSpaceDN w:val="0"/>
              <w:adjustRightInd w:val="0"/>
              <w:spacing w:before="60" w:after="60"/>
              <w:rPr>
                <w:rFonts w:eastAsiaTheme="minorHAnsi"/>
                <w:color w:val="000000"/>
                <w:sz w:val="20"/>
              </w:rPr>
            </w:pPr>
            <w:r w:rsidRPr="00453679">
              <w:rPr>
                <w:rFonts w:eastAsiaTheme="minorHAnsi"/>
                <w:color w:val="000000"/>
                <w:sz w:val="20"/>
              </w:rPr>
              <w:t>Excise Tariff Amendment (Carbon Tax Repeal) Bill 2013</w:t>
            </w:r>
          </w:p>
          <w:p w:rsidR="00B014F9" w:rsidRPr="00453679" w:rsidRDefault="00B014F9" w:rsidP="00B014F9">
            <w:pPr>
              <w:autoSpaceDE w:val="0"/>
              <w:autoSpaceDN w:val="0"/>
              <w:adjustRightInd w:val="0"/>
              <w:spacing w:before="60" w:after="60"/>
              <w:rPr>
                <w:rFonts w:eastAsiaTheme="minorHAnsi"/>
                <w:color w:val="000000"/>
                <w:sz w:val="20"/>
              </w:rPr>
            </w:pPr>
            <w:r w:rsidRPr="00453679">
              <w:rPr>
                <w:rFonts w:eastAsiaTheme="minorHAnsi"/>
                <w:color w:val="000000"/>
                <w:sz w:val="20"/>
              </w:rPr>
              <w:t>Ozone Protection and Synthetic Greenhouse Gas (Import Levy) Amendment (Carbon Tax Repeal) Bill 2013</w:t>
            </w:r>
          </w:p>
          <w:p w:rsidR="00B014F9" w:rsidRPr="00453679" w:rsidRDefault="00B014F9"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Ozone Protection and Synthetic Greenhouse Gas (Manufacture Levy) Amendment (Carbon Tax Repeal) Bill 2013</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ACCC</w:t>
            </w:r>
          </w:p>
        </w:tc>
        <w:tc>
          <w:tcPr>
            <w:tcW w:w="4536" w:type="dxa"/>
          </w:tcPr>
          <w:p w:rsidR="00845B91" w:rsidRPr="00453679" w:rsidRDefault="00845B91"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Australian Competition &amp; Consumer Commission</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ACCU</w:t>
            </w:r>
          </w:p>
        </w:tc>
        <w:tc>
          <w:tcPr>
            <w:tcW w:w="4536" w:type="dxa"/>
          </w:tcPr>
          <w:p w:rsidR="00845B91" w:rsidRPr="00453679" w:rsidRDefault="00845B91"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 xml:space="preserve">Australian </w:t>
            </w:r>
            <w:r w:rsidR="00107EB1" w:rsidRPr="00453679">
              <w:rPr>
                <w:rFonts w:eastAsiaTheme="minorHAnsi"/>
                <w:color w:val="000000"/>
                <w:sz w:val="20"/>
              </w:rPr>
              <w:t>c</w:t>
            </w:r>
            <w:r w:rsidRPr="00453679">
              <w:rPr>
                <w:rFonts w:eastAsiaTheme="minorHAnsi"/>
                <w:color w:val="000000"/>
                <w:sz w:val="20"/>
              </w:rPr>
              <w:t xml:space="preserve">arbon </w:t>
            </w:r>
            <w:r w:rsidR="00107EB1" w:rsidRPr="00453679">
              <w:rPr>
                <w:rFonts w:eastAsiaTheme="minorHAnsi"/>
                <w:color w:val="000000"/>
                <w:sz w:val="20"/>
              </w:rPr>
              <w:t>c</w:t>
            </w:r>
            <w:r w:rsidRPr="00453679">
              <w:rPr>
                <w:rFonts w:eastAsiaTheme="minorHAnsi"/>
                <w:color w:val="000000"/>
                <w:sz w:val="20"/>
              </w:rPr>
              <w:t xml:space="preserve">redit </w:t>
            </w:r>
            <w:r w:rsidR="00107EB1" w:rsidRPr="00453679">
              <w:rPr>
                <w:rFonts w:eastAsiaTheme="minorHAnsi"/>
                <w:color w:val="000000"/>
                <w:sz w:val="20"/>
              </w:rPr>
              <w:t>u</w:t>
            </w:r>
            <w:r w:rsidRPr="00453679">
              <w:rPr>
                <w:rFonts w:eastAsiaTheme="minorHAnsi"/>
                <w:color w:val="000000"/>
                <w:sz w:val="20"/>
              </w:rPr>
              <w:t>nit</w:t>
            </w:r>
          </w:p>
        </w:tc>
      </w:tr>
      <w:tr w:rsidR="007343E0" w:rsidRPr="002C43E8" w:rsidTr="00845B91">
        <w:tc>
          <w:tcPr>
            <w:tcW w:w="2552" w:type="dxa"/>
          </w:tcPr>
          <w:p w:rsidR="007343E0" w:rsidRPr="00845B91" w:rsidRDefault="007343E0" w:rsidP="00845B91">
            <w:pPr>
              <w:pStyle w:val="Glossarytabletext"/>
              <w:rPr>
                <w:lang w:val="en-US" w:eastAsia="en-US"/>
              </w:rPr>
            </w:pPr>
            <w:r>
              <w:rPr>
                <w:lang w:val="en-US" w:eastAsia="en-US"/>
              </w:rPr>
              <w:t>ACL</w:t>
            </w:r>
          </w:p>
        </w:tc>
        <w:tc>
          <w:tcPr>
            <w:tcW w:w="4536" w:type="dxa"/>
          </w:tcPr>
          <w:p w:rsidR="007343E0" w:rsidRPr="00453679" w:rsidRDefault="007343E0"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Australian Consumer Law</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ANREU Act</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Australian National Registry of Emissions Units Act 2011</w:t>
            </w:r>
          </w:p>
        </w:tc>
      </w:tr>
      <w:tr w:rsidR="00142FB8" w:rsidRPr="002C43E8" w:rsidTr="00845B91">
        <w:tc>
          <w:tcPr>
            <w:tcW w:w="2552" w:type="dxa"/>
          </w:tcPr>
          <w:p w:rsidR="00142FB8" w:rsidRDefault="00142FB8" w:rsidP="00D56657">
            <w:pPr>
              <w:pStyle w:val="Glossarytabletext"/>
              <w:rPr>
                <w:lang w:val="en-US" w:eastAsia="en-US"/>
              </w:rPr>
            </w:pPr>
            <w:r>
              <w:rPr>
                <w:lang w:val="en-US" w:eastAsia="en-US"/>
              </w:rPr>
              <w:t>Anti-Money Laundering Act</w:t>
            </w:r>
          </w:p>
        </w:tc>
        <w:tc>
          <w:tcPr>
            <w:tcW w:w="4536" w:type="dxa"/>
          </w:tcPr>
          <w:p w:rsidR="00142FB8" w:rsidRPr="00142FB8" w:rsidRDefault="00142FB8" w:rsidP="00D56657">
            <w:pPr>
              <w:autoSpaceDE w:val="0"/>
              <w:autoSpaceDN w:val="0"/>
              <w:adjustRightInd w:val="0"/>
              <w:spacing w:before="60" w:after="60"/>
              <w:rPr>
                <w:i/>
                <w:sz w:val="20"/>
              </w:rPr>
            </w:pPr>
            <w:r w:rsidRPr="00142FB8">
              <w:rPr>
                <w:i/>
                <w:sz w:val="20"/>
              </w:rPr>
              <w:t>Anti-Money Laundering and Counter Terrorism Financing Act 2006</w:t>
            </w:r>
          </w:p>
        </w:tc>
      </w:tr>
      <w:tr w:rsidR="00D56657" w:rsidRPr="002C43E8" w:rsidTr="00845B91">
        <w:tc>
          <w:tcPr>
            <w:tcW w:w="2552" w:type="dxa"/>
          </w:tcPr>
          <w:p w:rsidR="00D56657" w:rsidRPr="00845B91" w:rsidRDefault="00D56657" w:rsidP="00D56657">
            <w:pPr>
              <w:pStyle w:val="Glossarytabletext"/>
              <w:rPr>
                <w:lang w:val="en-US" w:eastAsia="en-US"/>
              </w:rPr>
            </w:pPr>
            <w:r>
              <w:rPr>
                <w:lang w:val="en-US" w:eastAsia="en-US"/>
              </w:rPr>
              <w:t>ARENA</w:t>
            </w:r>
          </w:p>
        </w:tc>
        <w:tc>
          <w:tcPr>
            <w:tcW w:w="4536" w:type="dxa"/>
          </w:tcPr>
          <w:p w:rsidR="00D56657" w:rsidRPr="00453679" w:rsidRDefault="00D56657" w:rsidP="00D56657">
            <w:pPr>
              <w:autoSpaceDE w:val="0"/>
              <w:autoSpaceDN w:val="0"/>
              <w:adjustRightInd w:val="0"/>
              <w:spacing w:before="60" w:after="60"/>
              <w:rPr>
                <w:rFonts w:eastAsiaTheme="minorHAnsi"/>
                <w:i/>
                <w:color w:val="000000"/>
                <w:sz w:val="20"/>
              </w:rPr>
            </w:pPr>
            <w:r w:rsidRPr="00453679">
              <w:rPr>
                <w:sz w:val="20"/>
              </w:rPr>
              <w:t>Australian Renewable Energy Agency</w:t>
            </w:r>
          </w:p>
        </w:tc>
      </w:tr>
      <w:tr w:rsidR="00D56657" w:rsidRPr="002C43E8" w:rsidTr="00845B91">
        <w:tc>
          <w:tcPr>
            <w:tcW w:w="2552" w:type="dxa"/>
          </w:tcPr>
          <w:p w:rsidR="00D56657" w:rsidRPr="00845B91" w:rsidRDefault="00D56657" w:rsidP="00D56657">
            <w:pPr>
              <w:pStyle w:val="Glossarytabletext"/>
              <w:rPr>
                <w:lang w:val="en-US" w:eastAsia="en-US"/>
              </w:rPr>
            </w:pPr>
            <w:r>
              <w:rPr>
                <w:lang w:val="en-US" w:eastAsia="en-US"/>
              </w:rPr>
              <w:t>ARENA Act</w:t>
            </w:r>
          </w:p>
        </w:tc>
        <w:tc>
          <w:tcPr>
            <w:tcW w:w="4536" w:type="dxa"/>
          </w:tcPr>
          <w:p w:rsidR="00D56657" w:rsidRPr="00453679" w:rsidRDefault="00D56657" w:rsidP="00D56657">
            <w:pPr>
              <w:autoSpaceDE w:val="0"/>
              <w:autoSpaceDN w:val="0"/>
              <w:adjustRightInd w:val="0"/>
              <w:spacing w:before="60" w:after="60"/>
              <w:rPr>
                <w:rFonts w:eastAsiaTheme="minorHAnsi"/>
                <w:i/>
                <w:color w:val="000000"/>
                <w:sz w:val="20"/>
              </w:rPr>
            </w:pPr>
            <w:r w:rsidRPr="00453679">
              <w:rPr>
                <w:rFonts w:eastAsiaTheme="minorHAnsi"/>
                <w:i/>
                <w:color w:val="000000"/>
                <w:sz w:val="20"/>
              </w:rPr>
              <w:t>Australian Renewable Energy Agency Act 2011</w:t>
            </w:r>
          </w:p>
        </w:tc>
      </w:tr>
      <w:tr w:rsidR="00CA3444" w:rsidRPr="002C43E8" w:rsidTr="00CA3444">
        <w:tc>
          <w:tcPr>
            <w:tcW w:w="2552" w:type="dxa"/>
          </w:tcPr>
          <w:p w:rsidR="00CA3444" w:rsidRPr="00845B91" w:rsidRDefault="00CA3444" w:rsidP="00CA3444">
            <w:pPr>
              <w:pStyle w:val="Glossarytabletext"/>
              <w:rPr>
                <w:lang w:val="en-US" w:eastAsia="en-US"/>
              </w:rPr>
            </w:pPr>
            <w:r w:rsidRPr="00845B91">
              <w:rPr>
                <w:lang w:val="en-US" w:eastAsia="en-US"/>
              </w:rPr>
              <w:t xml:space="preserve">ASIC </w:t>
            </w:r>
          </w:p>
        </w:tc>
        <w:tc>
          <w:tcPr>
            <w:tcW w:w="4536" w:type="dxa"/>
          </w:tcPr>
          <w:p w:rsidR="00CA3444" w:rsidRPr="00453679" w:rsidRDefault="00CA3444" w:rsidP="00CA3444">
            <w:pPr>
              <w:autoSpaceDE w:val="0"/>
              <w:autoSpaceDN w:val="0"/>
              <w:adjustRightInd w:val="0"/>
              <w:spacing w:before="60" w:after="60"/>
              <w:rPr>
                <w:rFonts w:eastAsiaTheme="minorHAnsi"/>
                <w:color w:val="000000"/>
                <w:sz w:val="20"/>
              </w:rPr>
            </w:pPr>
            <w:r w:rsidRPr="00453679">
              <w:rPr>
                <w:rFonts w:eastAsiaTheme="minorHAnsi"/>
                <w:color w:val="000000"/>
                <w:sz w:val="20"/>
              </w:rPr>
              <w:t xml:space="preserve">Australian Securities &amp; Investments Commission </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ASIC Act</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Australian Securities and Investments Commission Act 2001</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ATO</w:t>
            </w:r>
          </w:p>
        </w:tc>
        <w:tc>
          <w:tcPr>
            <w:tcW w:w="4536" w:type="dxa"/>
          </w:tcPr>
          <w:p w:rsidR="00845B91" w:rsidRPr="00453679" w:rsidRDefault="00845B91"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Australian Taxation Office</w:t>
            </w:r>
          </w:p>
        </w:tc>
      </w:tr>
      <w:tr w:rsidR="00AC0812" w:rsidRPr="002C43E8" w:rsidTr="00845B91">
        <w:tc>
          <w:tcPr>
            <w:tcW w:w="2552" w:type="dxa"/>
          </w:tcPr>
          <w:p w:rsidR="00AC0812" w:rsidRPr="00845B91" w:rsidRDefault="00AC0812" w:rsidP="00845B91">
            <w:pPr>
              <w:pStyle w:val="Glossarytabletext"/>
              <w:rPr>
                <w:lang w:val="en-US" w:eastAsia="en-US"/>
              </w:rPr>
            </w:pPr>
            <w:r>
              <w:t xml:space="preserve">Carbon Tax Repeal </w:t>
            </w:r>
            <w:r w:rsidRPr="00057B34">
              <w:t xml:space="preserve">Bills </w:t>
            </w:r>
          </w:p>
        </w:tc>
        <w:tc>
          <w:tcPr>
            <w:tcW w:w="4536" w:type="dxa"/>
          </w:tcPr>
          <w:p w:rsidR="00AC0812" w:rsidRPr="00453679" w:rsidRDefault="00AC0812" w:rsidP="00AC0812">
            <w:pPr>
              <w:autoSpaceDE w:val="0"/>
              <w:autoSpaceDN w:val="0"/>
              <w:adjustRightInd w:val="0"/>
              <w:spacing w:before="60" w:after="60"/>
              <w:rPr>
                <w:rFonts w:eastAsiaTheme="minorHAnsi"/>
                <w:color w:val="000000"/>
                <w:sz w:val="20"/>
              </w:rPr>
            </w:pPr>
            <w:r w:rsidRPr="00453679">
              <w:rPr>
                <w:rFonts w:eastAsiaTheme="minorHAnsi"/>
                <w:color w:val="000000"/>
                <w:sz w:val="20"/>
              </w:rPr>
              <w:t>Clean Energy Legislation (</w:t>
            </w:r>
            <w:r w:rsidR="00622B79">
              <w:t>Carbon Tax Repeal</w:t>
            </w:r>
            <w:r w:rsidRPr="00453679">
              <w:rPr>
                <w:rFonts w:eastAsiaTheme="minorHAnsi"/>
                <w:color w:val="000000"/>
                <w:sz w:val="20"/>
              </w:rPr>
              <w:t>) Bill 201</w:t>
            </w:r>
            <w:r w:rsidR="00B01351">
              <w:rPr>
                <w:rFonts w:eastAsiaTheme="minorHAnsi"/>
                <w:color w:val="000000"/>
                <w:sz w:val="20"/>
              </w:rPr>
              <w:t>4</w:t>
            </w:r>
          </w:p>
          <w:p w:rsidR="00AC0812" w:rsidRPr="00453679" w:rsidRDefault="00AC0812" w:rsidP="00AC0812">
            <w:pPr>
              <w:autoSpaceDE w:val="0"/>
              <w:autoSpaceDN w:val="0"/>
              <w:adjustRightInd w:val="0"/>
              <w:spacing w:before="60" w:after="60"/>
              <w:rPr>
                <w:rFonts w:eastAsiaTheme="minorHAnsi"/>
                <w:color w:val="000000"/>
                <w:sz w:val="20"/>
              </w:rPr>
            </w:pPr>
            <w:r w:rsidRPr="00453679">
              <w:rPr>
                <w:rFonts w:eastAsiaTheme="minorHAnsi"/>
                <w:color w:val="000000"/>
                <w:sz w:val="20"/>
              </w:rPr>
              <w:t>True-up Shortfall Levy (General) (</w:t>
            </w:r>
            <w:r w:rsidR="003D232A">
              <w:t>Carbon Tax Repeal</w:t>
            </w:r>
            <w:r w:rsidRPr="00453679">
              <w:rPr>
                <w:rFonts w:eastAsiaTheme="minorHAnsi"/>
                <w:color w:val="000000"/>
                <w:sz w:val="20"/>
              </w:rPr>
              <w:t>) Bill 201</w:t>
            </w:r>
            <w:r w:rsidR="00B01351">
              <w:rPr>
                <w:rFonts w:eastAsiaTheme="minorHAnsi"/>
                <w:color w:val="000000"/>
                <w:sz w:val="20"/>
              </w:rPr>
              <w:t>4</w:t>
            </w:r>
          </w:p>
          <w:p w:rsidR="00AC0812" w:rsidRPr="00453679" w:rsidRDefault="00AC0812" w:rsidP="00AC0812">
            <w:pPr>
              <w:autoSpaceDE w:val="0"/>
              <w:autoSpaceDN w:val="0"/>
              <w:adjustRightInd w:val="0"/>
              <w:spacing w:before="60" w:after="60"/>
              <w:rPr>
                <w:rFonts w:eastAsiaTheme="minorHAnsi"/>
                <w:color w:val="000000"/>
                <w:sz w:val="20"/>
              </w:rPr>
            </w:pPr>
            <w:r w:rsidRPr="00453679">
              <w:rPr>
                <w:rFonts w:eastAsiaTheme="minorHAnsi"/>
                <w:color w:val="000000"/>
                <w:sz w:val="20"/>
              </w:rPr>
              <w:t>True-up Shortfall Levy (Excise) (</w:t>
            </w:r>
            <w:r w:rsidR="003D232A">
              <w:t>Carbon Tax Repeal</w:t>
            </w:r>
            <w:r w:rsidRPr="00453679">
              <w:rPr>
                <w:rFonts w:eastAsiaTheme="minorHAnsi"/>
                <w:color w:val="000000"/>
                <w:sz w:val="20"/>
              </w:rPr>
              <w:t>) Bill 201</w:t>
            </w:r>
            <w:r w:rsidR="00B01351">
              <w:rPr>
                <w:rFonts w:eastAsiaTheme="minorHAnsi"/>
                <w:color w:val="000000"/>
                <w:sz w:val="20"/>
              </w:rPr>
              <w:t>4</w:t>
            </w:r>
          </w:p>
          <w:p w:rsidR="00AC0812" w:rsidRPr="00453679" w:rsidRDefault="00AC0812" w:rsidP="00AC0812">
            <w:pPr>
              <w:autoSpaceDE w:val="0"/>
              <w:autoSpaceDN w:val="0"/>
              <w:adjustRightInd w:val="0"/>
              <w:spacing w:before="60" w:after="60"/>
              <w:rPr>
                <w:rFonts w:eastAsiaTheme="minorHAnsi"/>
                <w:color w:val="000000"/>
                <w:sz w:val="20"/>
              </w:rPr>
            </w:pPr>
            <w:r w:rsidRPr="00453679">
              <w:rPr>
                <w:rFonts w:eastAsiaTheme="minorHAnsi"/>
                <w:color w:val="000000"/>
                <w:sz w:val="20"/>
              </w:rPr>
              <w:t>Customs Tariff Amendment (</w:t>
            </w:r>
            <w:r w:rsidR="003D232A">
              <w:t>Carbon Tax Repeal</w:t>
            </w:r>
            <w:r w:rsidRPr="00453679">
              <w:rPr>
                <w:rFonts w:eastAsiaTheme="minorHAnsi"/>
                <w:color w:val="000000"/>
                <w:sz w:val="20"/>
              </w:rPr>
              <w:t>) Bill 201</w:t>
            </w:r>
            <w:r w:rsidR="00B01351">
              <w:rPr>
                <w:rFonts w:eastAsiaTheme="minorHAnsi"/>
                <w:color w:val="000000"/>
                <w:sz w:val="20"/>
              </w:rPr>
              <w:t>4</w:t>
            </w:r>
            <w:r w:rsidRPr="00453679">
              <w:rPr>
                <w:rFonts w:eastAsiaTheme="minorHAnsi"/>
                <w:color w:val="000000"/>
                <w:sz w:val="20"/>
              </w:rPr>
              <w:t xml:space="preserve"> </w:t>
            </w:r>
          </w:p>
          <w:p w:rsidR="00AC0812" w:rsidRPr="00453679" w:rsidRDefault="00AC0812" w:rsidP="00AC0812">
            <w:pPr>
              <w:autoSpaceDE w:val="0"/>
              <w:autoSpaceDN w:val="0"/>
              <w:adjustRightInd w:val="0"/>
              <w:spacing w:before="60" w:after="60"/>
              <w:rPr>
                <w:rFonts w:eastAsiaTheme="minorHAnsi"/>
                <w:color w:val="000000"/>
                <w:sz w:val="20"/>
              </w:rPr>
            </w:pPr>
            <w:r w:rsidRPr="00453679">
              <w:rPr>
                <w:rFonts w:eastAsiaTheme="minorHAnsi"/>
                <w:color w:val="000000"/>
                <w:sz w:val="20"/>
              </w:rPr>
              <w:t>Excise Tariff Amendment (</w:t>
            </w:r>
            <w:r w:rsidR="003D232A">
              <w:t>Carbon Tax Repeal</w:t>
            </w:r>
            <w:r w:rsidRPr="00453679">
              <w:rPr>
                <w:rFonts w:eastAsiaTheme="minorHAnsi"/>
                <w:color w:val="000000"/>
                <w:sz w:val="20"/>
              </w:rPr>
              <w:t>) Bill 201</w:t>
            </w:r>
            <w:r w:rsidR="00B01351">
              <w:rPr>
                <w:rFonts w:eastAsiaTheme="minorHAnsi"/>
                <w:color w:val="000000"/>
                <w:sz w:val="20"/>
              </w:rPr>
              <w:t>4</w:t>
            </w:r>
          </w:p>
          <w:p w:rsidR="00AC0812" w:rsidRPr="00453679" w:rsidRDefault="00AC0812" w:rsidP="00AC0812">
            <w:pPr>
              <w:autoSpaceDE w:val="0"/>
              <w:autoSpaceDN w:val="0"/>
              <w:adjustRightInd w:val="0"/>
              <w:spacing w:before="60" w:after="60"/>
              <w:rPr>
                <w:rFonts w:eastAsiaTheme="minorHAnsi"/>
                <w:color w:val="000000"/>
                <w:sz w:val="20"/>
              </w:rPr>
            </w:pPr>
            <w:r w:rsidRPr="00453679">
              <w:rPr>
                <w:rFonts w:eastAsiaTheme="minorHAnsi"/>
                <w:color w:val="000000"/>
                <w:sz w:val="20"/>
              </w:rPr>
              <w:t>Ozone Protection and Synthetic Greenhouse Gas (Import Levy) Amendment (</w:t>
            </w:r>
            <w:r w:rsidR="003D232A">
              <w:t>Carbon Tax Repeal</w:t>
            </w:r>
            <w:r w:rsidRPr="00453679">
              <w:rPr>
                <w:rFonts w:eastAsiaTheme="minorHAnsi"/>
                <w:color w:val="000000"/>
                <w:sz w:val="20"/>
              </w:rPr>
              <w:t>) Bill 201</w:t>
            </w:r>
            <w:r w:rsidR="00B01351">
              <w:rPr>
                <w:rFonts w:eastAsiaTheme="minorHAnsi"/>
                <w:color w:val="000000"/>
                <w:sz w:val="20"/>
              </w:rPr>
              <w:t>4</w:t>
            </w:r>
          </w:p>
          <w:p w:rsidR="00AC0812" w:rsidRPr="00453679" w:rsidRDefault="00AC0812" w:rsidP="00AC0812">
            <w:pPr>
              <w:autoSpaceDE w:val="0"/>
              <w:autoSpaceDN w:val="0"/>
              <w:adjustRightInd w:val="0"/>
              <w:spacing w:before="60" w:after="60"/>
              <w:rPr>
                <w:rFonts w:eastAsiaTheme="minorHAnsi"/>
                <w:i/>
                <w:color w:val="000000"/>
                <w:sz w:val="20"/>
              </w:rPr>
            </w:pPr>
            <w:r w:rsidRPr="00453679">
              <w:rPr>
                <w:rFonts w:eastAsiaTheme="minorHAnsi"/>
                <w:color w:val="000000"/>
                <w:sz w:val="20"/>
              </w:rPr>
              <w:t>Ozone Protection and Synthetic Greenhouse Gas (Manufacture Levy) Amendment (</w:t>
            </w:r>
            <w:r w:rsidR="003D232A">
              <w:t>Carbon Tax Repeal</w:t>
            </w:r>
            <w:r w:rsidRPr="00453679">
              <w:rPr>
                <w:rFonts w:eastAsiaTheme="minorHAnsi"/>
                <w:color w:val="000000"/>
                <w:sz w:val="20"/>
              </w:rPr>
              <w:t>) Bill 201</w:t>
            </w:r>
            <w:r w:rsidR="00B01351">
              <w:rPr>
                <w:rFonts w:eastAsiaTheme="minorHAnsi"/>
                <w:color w:val="000000"/>
                <w:sz w:val="20"/>
              </w:rPr>
              <w:t>4</w:t>
            </w:r>
          </w:p>
        </w:tc>
      </w:tr>
      <w:tr w:rsidR="00845B91" w:rsidRPr="002C43E8" w:rsidTr="00845B91">
        <w:tc>
          <w:tcPr>
            <w:tcW w:w="2552" w:type="dxa"/>
          </w:tcPr>
          <w:p w:rsidR="00845B91" w:rsidRPr="00845B91" w:rsidRDefault="008E0018" w:rsidP="00845B91">
            <w:pPr>
              <w:pStyle w:val="Glossarytabletext"/>
              <w:rPr>
                <w:lang w:val="en-US" w:eastAsia="en-US"/>
              </w:rPr>
            </w:pPr>
            <w:r>
              <w:rPr>
                <w:lang w:val="en-US" w:eastAsia="en-US"/>
              </w:rPr>
              <w:t>CC Act</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Competition and Consumer Act 2010</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CCA</w:t>
            </w:r>
          </w:p>
        </w:tc>
        <w:tc>
          <w:tcPr>
            <w:tcW w:w="4536" w:type="dxa"/>
          </w:tcPr>
          <w:p w:rsidR="00845B91" w:rsidRPr="00453679" w:rsidRDefault="00845B91"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Climate Change Authority</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CCA Act</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Climate Change Authority Act 2011</w:t>
            </w:r>
          </w:p>
        </w:tc>
      </w:tr>
      <w:tr w:rsidR="00845B91" w:rsidRPr="002C43E8" w:rsidTr="00845B91">
        <w:tc>
          <w:tcPr>
            <w:tcW w:w="2552" w:type="dxa"/>
          </w:tcPr>
          <w:p w:rsidR="00845B91" w:rsidRPr="00845B91" w:rsidRDefault="003151F1" w:rsidP="00845B91">
            <w:pPr>
              <w:pStyle w:val="Glossarytabletext"/>
              <w:rPr>
                <w:lang w:val="en-US" w:eastAsia="en-US"/>
              </w:rPr>
            </w:pPr>
            <w:r>
              <w:rPr>
                <w:lang w:val="en-US" w:eastAsia="en-US"/>
              </w:rPr>
              <w:t>CE Act</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Clean Energy Act 2011</w:t>
            </w:r>
          </w:p>
        </w:tc>
      </w:tr>
      <w:tr w:rsidR="00E032CB" w:rsidRPr="002C43E8" w:rsidTr="00845B91">
        <w:tc>
          <w:tcPr>
            <w:tcW w:w="2552" w:type="dxa"/>
          </w:tcPr>
          <w:p w:rsidR="00E032CB" w:rsidRPr="00845B91" w:rsidDel="00B50602" w:rsidRDefault="00E032CB" w:rsidP="00E032CB">
            <w:pPr>
              <w:pStyle w:val="Glossarytabletext"/>
              <w:rPr>
                <w:lang w:val="en-US" w:eastAsia="en-US"/>
              </w:rPr>
            </w:pPr>
            <w:r>
              <w:rPr>
                <w:lang w:val="en-US" w:eastAsia="en-US"/>
              </w:rPr>
              <w:t>CE Regulations</w:t>
            </w:r>
          </w:p>
        </w:tc>
        <w:tc>
          <w:tcPr>
            <w:tcW w:w="4536" w:type="dxa"/>
          </w:tcPr>
          <w:p w:rsidR="00E032CB" w:rsidRPr="00453679" w:rsidRDefault="00E032CB" w:rsidP="00E032CB">
            <w:pPr>
              <w:autoSpaceDE w:val="0"/>
              <w:autoSpaceDN w:val="0"/>
              <w:adjustRightInd w:val="0"/>
              <w:spacing w:before="60" w:after="60"/>
              <w:rPr>
                <w:rFonts w:eastAsiaTheme="minorHAnsi"/>
                <w:i/>
                <w:color w:val="000000"/>
                <w:sz w:val="20"/>
              </w:rPr>
            </w:pPr>
            <w:r w:rsidRPr="00453679">
              <w:rPr>
                <w:rFonts w:eastAsiaTheme="minorHAnsi"/>
                <w:i/>
                <w:color w:val="000000"/>
                <w:sz w:val="20"/>
              </w:rPr>
              <w:t>Clean Energy Regulations 2011</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CE Charges Acts</w:t>
            </w:r>
          </w:p>
        </w:tc>
        <w:tc>
          <w:tcPr>
            <w:tcW w:w="4536" w:type="dxa"/>
          </w:tcPr>
          <w:p w:rsidR="005E0A59" w:rsidRDefault="00845B91" w:rsidP="004E391F">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(Unit Shortfall Charge </w:t>
            </w:r>
            <w:r w:rsidR="004E391F" w:rsidRPr="00453679">
              <w:rPr>
                <w:rFonts w:eastAsiaTheme="minorHAnsi"/>
                <w:i/>
                <w:color w:val="000000"/>
                <w:sz w:val="20"/>
              </w:rPr>
              <w:t>—</w:t>
            </w:r>
            <w:r w:rsidRPr="00453679">
              <w:rPr>
                <w:rFonts w:eastAsiaTheme="minorHAnsi"/>
                <w:i/>
                <w:color w:val="000000"/>
                <w:sz w:val="20"/>
              </w:rPr>
              <w:t xml:space="preserve">General) </w:t>
            </w:r>
            <w:r w:rsidR="004E391F" w:rsidRPr="00453679">
              <w:rPr>
                <w:rFonts w:eastAsiaTheme="minorHAnsi"/>
                <w:i/>
                <w:color w:val="000000"/>
                <w:sz w:val="20"/>
              </w:rPr>
              <w:t>Act</w:t>
            </w:r>
            <w:r w:rsidRPr="00453679">
              <w:rPr>
                <w:rFonts w:eastAsiaTheme="minorHAnsi"/>
                <w:i/>
                <w:color w:val="000000"/>
                <w:sz w:val="20"/>
              </w:rPr>
              <w:t xml:space="preserve"> 2011; </w:t>
            </w:r>
          </w:p>
          <w:p w:rsidR="005E0A59" w:rsidRDefault="00845B91" w:rsidP="004E391F">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(Unit Issue Charges </w:t>
            </w:r>
            <w:r w:rsidR="004E391F" w:rsidRPr="00453679">
              <w:rPr>
                <w:rFonts w:eastAsiaTheme="minorHAnsi"/>
                <w:i/>
                <w:color w:val="000000"/>
                <w:sz w:val="20"/>
              </w:rPr>
              <w:t>—</w:t>
            </w:r>
            <w:r w:rsidRPr="00453679">
              <w:rPr>
                <w:rFonts w:eastAsiaTheme="minorHAnsi"/>
                <w:i/>
                <w:color w:val="000000"/>
                <w:sz w:val="20"/>
              </w:rPr>
              <w:t xml:space="preserve">Fixed Charge) </w:t>
            </w:r>
            <w:r w:rsidR="004E391F" w:rsidRPr="00453679">
              <w:rPr>
                <w:rFonts w:eastAsiaTheme="minorHAnsi"/>
                <w:i/>
                <w:color w:val="000000"/>
                <w:sz w:val="20"/>
              </w:rPr>
              <w:t>Act</w:t>
            </w:r>
            <w:r w:rsidR="005E0A59">
              <w:rPr>
                <w:rFonts w:eastAsiaTheme="minorHAnsi"/>
                <w:i/>
                <w:color w:val="000000"/>
                <w:sz w:val="20"/>
              </w:rPr>
              <w:t xml:space="preserve"> 2011;</w:t>
            </w:r>
          </w:p>
          <w:p w:rsidR="005E0A59" w:rsidRDefault="00845B91" w:rsidP="004E391F">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(Unit Issue Charges </w:t>
            </w:r>
            <w:r w:rsidR="004E391F" w:rsidRPr="00453679">
              <w:rPr>
                <w:rFonts w:eastAsiaTheme="minorHAnsi"/>
                <w:i/>
                <w:color w:val="000000"/>
                <w:sz w:val="20"/>
              </w:rPr>
              <w:t>—</w:t>
            </w:r>
            <w:r w:rsidRPr="00453679">
              <w:rPr>
                <w:rFonts w:eastAsiaTheme="minorHAnsi"/>
                <w:i/>
                <w:color w:val="000000"/>
                <w:sz w:val="20"/>
              </w:rPr>
              <w:t xml:space="preserve">Auctions) </w:t>
            </w:r>
            <w:r w:rsidR="004E391F" w:rsidRPr="00453679">
              <w:rPr>
                <w:rFonts w:eastAsiaTheme="minorHAnsi"/>
                <w:i/>
                <w:color w:val="000000"/>
                <w:sz w:val="20"/>
              </w:rPr>
              <w:t>Act</w:t>
            </w:r>
            <w:r w:rsidR="005E0A59">
              <w:rPr>
                <w:rFonts w:eastAsiaTheme="minorHAnsi"/>
                <w:i/>
                <w:color w:val="000000"/>
                <w:sz w:val="20"/>
              </w:rPr>
              <w:t xml:space="preserve"> 2011;</w:t>
            </w:r>
          </w:p>
          <w:p w:rsidR="005E0A59" w:rsidRDefault="00845B91" w:rsidP="004E391F">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(Charges—Excise) </w:t>
            </w:r>
            <w:r w:rsidR="004E391F" w:rsidRPr="00453679">
              <w:rPr>
                <w:rFonts w:eastAsiaTheme="minorHAnsi"/>
                <w:i/>
                <w:color w:val="000000"/>
                <w:sz w:val="20"/>
              </w:rPr>
              <w:t>Act</w:t>
            </w:r>
            <w:r w:rsidR="004C7572">
              <w:rPr>
                <w:rFonts w:eastAsiaTheme="minorHAnsi"/>
                <w:i/>
                <w:color w:val="000000"/>
                <w:sz w:val="20"/>
              </w:rPr>
              <w:t xml:space="preserve"> 2011; and</w:t>
            </w:r>
          </w:p>
          <w:p w:rsidR="00845B91" w:rsidRPr="00453679" w:rsidRDefault="00845B91" w:rsidP="004E391F">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(Charges </w:t>
            </w:r>
            <w:r w:rsidR="004E391F" w:rsidRPr="00453679">
              <w:rPr>
                <w:rFonts w:eastAsiaTheme="minorHAnsi"/>
                <w:i/>
                <w:color w:val="000000"/>
                <w:sz w:val="20"/>
              </w:rPr>
              <w:t>—</w:t>
            </w:r>
            <w:r w:rsidRPr="00453679">
              <w:rPr>
                <w:rFonts w:eastAsiaTheme="minorHAnsi"/>
                <w:i/>
                <w:color w:val="000000"/>
                <w:sz w:val="20"/>
              </w:rPr>
              <w:t xml:space="preserve">Customs) </w:t>
            </w:r>
            <w:r w:rsidR="004E391F" w:rsidRPr="00453679">
              <w:rPr>
                <w:rFonts w:eastAsiaTheme="minorHAnsi"/>
                <w:i/>
                <w:color w:val="000000"/>
                <w:sz w:val="20"/>
              </w:rPr>
              <w:t>Act</w:t>
            </w:r>
            <w:r w:rsidRPr="00453679">
              <w:rPr>
                <w:rFonts w:eastAsiaTheme="minorHAnsi"/>
                <w:i/>
                <w:color w:val="000000"/>
                <w:sz w:val="20"/>
              </w:rPr>
              <w:t xml:space="preserve"> 2011</w:t>
            </w:r>
            <w:r w:rsidR="004C7572">
              <w:rPr>
                <w:rFonts w:eastAsiaTheme="minorHAnsi"/>
                <w:i/>
                <w:color w:val="000000"/>
                <w:sz w:val="20"/>
              </w:rPr>
              <w:t>.</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Clean Energy Legislation</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Act 2011;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Regulator Act 2011;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Climate Change Authority </w:t>
            </w:r>
            <w:r w:rsidR="004E391F" w:rsidRPr="00453679">
              <w:rPr>
                <w:rFonts w:eastAsiaTheme="minorHAnsi"/>
                <w:i/>
                <w:color w:val="000000"/>
                <w:sz w:val="20"/>
              </w:rPr>
              <w:t>Act</w:t>
            </w:r>
            <w:r w:rsidRPr="00453679">
              <w:rPr>
                <w:rFonts w:eastAsiaTheme="minorHAnsi"/>
                <w:i/>
                <w:color w:val="000000"/>
                <w:sz w:val="20"/>
              </w:rPr>
              <w:t xml:space="preserve"> 2011;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(Consequential Amendments) </w:t>
            </w:r>
            <w:r w:rsidR="004E391F" w:rsidRPr="00453679">
              <w:rPr>
                <w:rFonts w:eastAsiaTheme="minorHAnsi"/>
                <w:i/>
                <w:color w:val="000000"/>
                <w:sz w:val="20"/>
              </w:rPr>
              <w:t xml:space="preserve">Act </w:t>
            </w:r>
            <w:r w:rsidRPr="00453679">
              <w:rPr>
                <w:rFonts w:eastAsiaTheme="minorHAnsi"/>
                <w:i/>
                <w:color w:val="000000"/>
                <w:sz w:val="20"/>
              </w:rPr>
              <w:t xml:space="preserve">2011;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(Unit Shortfall Charge – General) </w:t>
            </w:r>
            <w:r w:rsidR="004E391F" w:rsidRPr="00453679">
              <w:rPr>
                <w:rFonts w:eastAsiaTheme="minorHAnsi"/>
                <w:i/>
                <w:color w:val="000000"/>
                <w:sz w:val="20"/>
              </w:rPr>
              <w:t xml:space="preserve">Act </w:t>
            </w:r>
            <w:r w:rsidRPr="00453679">
              <w:rPr>
                <w:rFonts w:eastAsiaTheme="minorHAnsi"/>
                <w:i/>
                <w:color w:val="000000"/>
                <w:sz w:val="20"/>
              </w:rPr>
              <w:t xml:space="preserve">2011;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(Unit Issue Charges – Fixed Charge) </w:t>
            </w:r>
            <w:r w:rsidR="004E391F" w:rsidRPr="00453679">
              <w:rPr>
                <w:rFonts w:eastAsiaTheme="minorHAnsi"/>
                <w:i/>
                <w:color w:val="000000"/>
                <w:sz w:val="20"/>
              </w:rPr>
              <w:t xml:space="preserve">Act </w:t>
            </w:r>
            <w:r w:rsidRPr="00453679">
              <w:rPr>
                <w:rFonts w:eastAsiaTheme="minorHAnsi"/>
                <w:i/>
                <w:color w:val="000000"/>
                <w:sz w:val="20"/>
              </w:rPr>
              <w:t>2011;</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(Unit Issue Charges – Auctions) </w:t>
            </w:r>
            <w:r w:rsidR="004E391F" w:rsidRPr="00453679">
              <w:rPr>
                <w:rFonts w:eastAsiaTheme="minorHAnsi"/>
                <w:i/>
                <w:color w:val="000000"/>
                <w:sz w:val="20"/>
              </w:rPr>
              <w:t xml:space="preserve">Act </w:t>
            </w:r>
            <w:r w:rsidRPr="00453679">
              <w:rPr>
                <w:rFonts w:eastAsiaTheme="minorHAnsi"/>
                <w:i/>
                <w:color w:val="000000"/>
                <w:sz w:val="20"/>
              </w:rPr>
              <w:t>2011;</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(Charges—Excise) </w:t>
            </w:r>
            <w:r w:rsidR="004E391F" w:rsidRPr="00453679">
              <w:rPr>
                <w:rFonts w:eastAsiaTheme="minorHAnsi"/>
                <w:i/>
                <w:color w:val="000000"/>
                <w:sz w:val="20"/>
              </w:rPr>
              <w:t xml:space="preserve">Act </w:t>
            </w:r>
            <w:r w:rsidRPr="00453679">
              <w:rPr>
                <w:rFonts w:eastAsiaTheme="minorHAnsi"/>
                <w:i/>
                <w:color w:val="000000"/>
                <w:sz w:val="20"/>
              </w:rPr>
              <w:t xml:space="preserve">2011;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(Charges—Customs) </w:t>
            </w:r>
            <w:r w:rsidR="004E391F" w:rsidRPr="00453679">
              <w:rPr>
                <w:rFonts w:eastAsiaTheme="minorHAnsi"/>
                <w:i/>
                <w:color w:val="000000"/>
                <w:sz w:val="20"/>
              </w:rPr>
              <w:t xml:space="preserve">Act </w:t>
            </w:r>
            <w:r w:rsidRPr="00453679">
              <w:rPr>
                <w:rFonts w:eastAsiaTheme="minorHAnsi"/>
                <w:i/>
                <w:color w:val="000000"/>
                <w:sz w:val="20"/>
              </w:rPr>
              <w:t xml:space="preserve">2011; </w:t>
            </w:r>
            <w:r w:rsidR="008D4CEE">
              <w:rPr>
                <w:rFonts w:eastAsiaTheme="minorHAnsi"/>
                <w:i/>
                <w:color w:val="000000"/>
                <w:sz w:val="20"/>
              </w:rPr>
              <w:t>t</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Ozone Protection and Synthetic Greenhouse Gas (Manufacture Levy) Amendment Act 2011;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Ozone Protection and Synthetic Greenhouse Gas (Import Levy) Amendment Act 2011; </w:t>
            </w:r>
          </w:p>
          <w:p w:rsidR="004E391F" w:rsidRPr="00453679" w:rsidRDefault="004E391F" w:rsidP="004E391F">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(Customs Tariff Amendment) Act 2011;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(Excise Tariff Legislation Amendment) Act 2011;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Clean Energy (Fuel Tax Legislation Amendment)</w:t>
            </w:r>
            <w:r w:rsidR="004E391F" w:rsidRPr="00453679">
              <w:rPr>
                <w:rFonts w:eastAsiaTheme="minorHAnsi"/>
                <w:i/>
                <w:color w:val="000000"/>
                <w:sz w:val="20"/>
              </w:rPr>
              <w:t xml:space="preserve"> Act 2011</w:t>
            </w:r>
            <w:r w:rsidRPr="00453679">
              <w:rPr>
                <w:rFonts w:eastAsiaTheme="minorHAnsi"/>
                <w:i/>
                <w:color w:val="000000"/>
                <w:sz w:val="20"/>
              </w:rPr>
              <w:t xml:space="preserve">;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(Household Assistance Amendments) Act 2011; </w:t>
            </w:r>
          </w:p>
          <w:p w:rsidR="004E391F" w:rsidRPr="00453679" w:rsidRDefault="004E391F" w:rsidP="004E391F">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(Income Tax Rates Amendments) Act 2011; </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Clean Energy (Tax Laws Amendments) Act 2011; </w:t>
            </w:r>
          </w:p>
          <w:p w:rsidR="00845B91" w:rsidRPr="00453679" w:rsidRDefault="00845B91" w:rsidP="00026B00">
            <w:pPr>
              <w:autoSpaceDE w:val="0"/>
              <w:autoSpaceDN w:val="0"/>
              <w:adjustRightInd w:val="0"/>
              <w:spacing w:before="60" w:after="60"/>
              <w:rPr>
                <w:rFonts w:eastAsiaTheme="minorHAnsi"/>
                <w:color w:val="000000"/>
                <w:sz w:val="20"/>
              </w:rPr>
            </w:pPr>
            <w:r w:rsidRPr="00453679">
              <w:rPr>
                <w:rFonts w:eastAsiaTheme="minorHAnsi"/>
                <w:i/>
                <w:color w:val="000000"/>
                <w:sz w:val="20"/>
              </w:rPr>
              <w:t xml:space="preserve">Clean Energy Legislation Amendment Act 2012; </w:t>
            </w:r>
            <w:r w:rsidR="004E391F" w:rsidRPr="00453679">
              <w:rPr>
                <w:rFonts w:eastAsiaTheme="minorHAnsi"/>
                <w:color w:val="000000"/>
                <w:sz w:val="20"/>
              </w:rPr>
              <w:t>and</w:t>
            </w:r>
          </w:p>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Clean Energy Amendment (International Emissions Trading and Other Measures) Act 2012</w:t>
            </w:r>
            <w:r w:rsidRPr="00453679">
              <w:rPr>
                <w:rFonts w:eastAsiaTheme="minorHAnsi"/>
                <w:color w:val="000000"/>
                <w:sz w:val="20"/>
              </w:rPr>
              <w:t>.</w:t>
            </w:r>
          </w:p>
        </w:tc>
      </w:tr>
      <w:tr w:rsidR="00845B91" w:rsidRPr="002C43E8" w:rsidTr="00845B91">
        <w:tc>
          <w:tcPr>
            <w:tcW w:w="2552" w:type="dxa"/>
          </w:tcPr>
          <w:p w:rsidR="00845B91" w:rsidRPr="00845B91" w:rsidRDefault="00A6062A" w:rsidP="00A6062A">
            <w:pPr>
              <w:pStyle w:val="Glossarytabletext"/>
              <w:rPr>
                <w:lang w:val="en-US" w:eastAsia="en-US"/>
              </w:rPr>
            </w:pPr>
            <w:r>
              <w:rPr>
                <w:lang w:val="en-US" w:eastAsia="en-US"/>
              </w:rPr>
              <w:t>Corp</w:t>
            </w:r>
            <w:r w:rsidR="00384CE5">
              <w:rPr>
                <w:lang w:val="en-US" w:eastAsia="en-US"/>
              </w:rPr>
              <w:t>oration</w:t>
            </w:r>
            <w:r>
              <w:rPr>
                <w:lang w:val="en-US" w:eastAsia="en-US"/>
              </w:rPr>
              <w:t>s</w:t>
            </w:r>
            <w:r w:rsidR="00845B91" w:rsidRPr="00845B91">
              <w:rPr>
                <w:lang w:val="en-US" w:eastAsia="en-US"/>
              </w:rPr>
              <w:t xml:space="preserve"> Act</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 xml:space="preserve">Corporations Act 2001 </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Customs</w:t>
            </w:r>
          </w:p>
        </w:tc>
        <w:tc>
          <w:tcPr>
            <w:tcW w:w="4536" w:type="dxa"/>
          </w:tcPr>
          <w:p w:rsidR="00845B91" w:rsidRPr="00453679" w:rsidRDefault="00845B91"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Australian Customs &amp; Border Protection Service</w:t>
            </w:r>
          </w:p>
        </w:tc>
      </w:tr>
      <w:tr w:rsidR="00D56657" w:rsidRPr="002C43E8" w:rsidTr="00845B91">
        <w:tc>
          <w:tcPr>
            <w:tcW w:w="2552" w:type="dxa"/>
          </w:tcPr>
          <w:p w:rsidR="00D56657" w:rsidRPr="00845B91" w:rsidRDefault="00D56657" w:rsidP="00D56657">
            <w:pPr>
              <w:pStyle w:val="Glossarytabletext"/>
              <w:rPr>
                <w:lang w:val="en-US" w:eastAsia="en-US"/>
              </w:rPr>
            </w:pPr>
            <w:r>
              <w:rPr>
                <w:lang w:val="en-US" w:eastAsia="en-US"/>
              </w:rPr>
              <w:t>Customs Amendment Bill</w:t>
            </w:r>
          </w:p>
        </w:tc>
        <w:tc>
          <w:tcPr>
            <w:tcW w:w="4536" w:type="dxa"/>
          </w:tcPr>
          <w:p w:rsidR="00D56657" w:rsidRPr="00453679" w:rsidRDefault="00D56657" w:rsidP="009E7382">
            <w:pPr>
              <w:autoSpaceDE w:val="0"/>
              <w:autoSpaceDN w:val="0"/>
              <w:adjustRightInd w:val="0"/>
              <w:spacing w:before="60" w:after="60"/>
              <w:rPr>
                <w:rFonts w:eastAsiaTheme="minorHAnsi"/>
                <w:color w:val="000000"/>
                <w:sz w:val="20"/>
              </w:rPr>
            </w:pPr>
            <w:r w:rsidRPr="00453679">
              <w:rPr>
                <w:rFonts w:eastAsiaTheme="minorHAnsi"/>
                <w:color w:val="000000"/>
                <w:sz w:val="20"/>
              </w:rPr>
              <w:t>Customs Tariff Amendment (</w:t>
            </w:r>
            <w:r w:rsidR="009E7382">
              <w:t>Carbon Tax Repeal</w:t>
            </w:r>
            <w:r w:rsidR="009E7382">
              <w:rPr>
                <w:rFonts w:eastAsiaTheme="minorHAnsi"/>
                <w:color w:val="000000"/>
                <w:sz w:val="20"/>
              </w:rPr>
              <w:t>) Bill 2014</w:t>
            </w:r>
          </w:p>
        </w:tc>
      </w:tr>
      <w:tr w:rsidR="00D56657" w:rsidRPr="002C43E8" w:rsidTr="00845B91">
        <w:tc>
          <w:tcPr>
            <w:tcW w:w="2552" w:type="dxa"/>
          </w:tcPr>
          <w:p w:rsidR="00D56657" w:rsidRPr="00845B91" w:rsidRDefault="00D56657" w:rsidP="00D56657">
            <w:pPr>
              <w:pStyle w:val="Glossarytabletext"/>
              <w:rPr>
                <w:lang w:val="en-US" w:eastAsia="en-US"/>
              </w:rPr>
            </w:pPr>
            <w:r>
              <w:rPr>
                <w:lang w:val="en-US" w:eastAsia="en-US"/>
              </w:rPr>
              <w:t>Excise Amendment Bill</w:t>
            </w:r>
          </w:p>
        </w:tc>
        <w:tc>
          <w:tcPr>
            <w:tcW w:w="4536" w:type="dxa"/>
          </w:tcPr>
          <w:p w:rsidR="00D56657" w:rsidRPr="00453679" w:rsidRDefault="00D56657" w:rsidP="00D56657">
            <w:pPr>
              <w:autoSpaceDE w:val="0"/>
              <w:autoSpaceDN w:val="0"/>
              <w:adjustRightInd w:val="0"/>
              <w:spacing w:before="60" w:after="60"/>
              <w:rPr>
                <w:rFonts w:eastAsiaTheme="minorHAnsi"/>
                <w:color w:val="000000"/>
                <w:sz w:val="20"/>
              </w:rPr>
            </w:pPr>
            <w:r w:rsidRPr="00453679">
              <w:rPr>
                <w:rFonts w:eastAsiaTheme="minorHAnsi"/>
                <w:color w:val="000000"/>
                <w:sz w:val="20"/>
              </w:rPr>
              <w:t>Excise Tariff Amendment (</w:t>
            </w:r>
            <w:r w:rsidR="003D232A">
              <w:t>Carbon Tax Repeal</w:t>
            </w:r>
            <w:r w:rsidRPr="00453679">
              <w:rPr>
                <w:rFonts w:eastAsiaTheme="minorHAnsi"/>
                <w:color w:val="000000"/>
                <w:sz w:val="20"/>
              </w:rPr>
              <w:t>) Bill 201</w:t>
            </w:r>
            <w:r w:rsidR="00B01351">
              <w:rPr>
                <w:rFonts w:eastAsiaTheme="minorHAnsi"/>
                <w:color w:val="000000"/>
                <w:sz w:val="20"/>
              </w:rPr>
              <w:t>4</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Fuel Tax Act</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Fuel Tax Act 2006</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FTCs</w:t>
            </w:r>
          </w:p>
        </w:tc>
        <w:tc>
          <w:tcPr>
            <w:tcW w:w="4536" w:type="dxa"/>
          </w:tcPr>
          <w:p w:rsidR="00845B91" w:rsidRPr="00453679" w:rsidRDefault="004C7572"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 xml:space="preserve">Fuel </w:t>
            </w:r>
            <w:r w:rsidR="00453679" w:rsidRPr="00453679">
              <w:rPr>
                <w:rFonts w:eastAsiaTheme="minorHAnsi"/>
                <w:color w:val="000000"/>
                <w:sz w:val="20"/>
              </w:rPr>
              <w:t>tax credits</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GST</w:t>
            </w:r>
          </w:p>
        </w:tc>
        <w:tc>
          <w:tcPr>
            <w:tcW w:w="4536" w:type="dxa"/>
          </w:tcPr>
          <w:p w:rsidR="00845B91" w:rsidRPr="00453679" w:rsidRDefault="004C7572" w:rsidP="005E0A59">
            <w:pPr>
              <w:autoSpaceDE w:val="0"/>
              <w:autoSpaceDN w:val="0"/>
              <w:adjustRightInd w:val="0"/>
              <w:spacing w:before="60" w:after="60"/>
              <w:rPr>
                <w:rFonts w:eastAsiaTheme="minorHAnsi"/>
                <w:color w:val="000000"/>
                <w:sz w:val="20"/>
              </w:rPr>
            </w:pPr>
            <w:r w:rsidRPr="00453679">
              <w:rPr>
                <w:rFonts w:eastAsiaTheme="minorHAnsi"/>
                <w:color w:val="000000"/>
                <w:sz w:val="20"/>
              </w:rPr>
              <w:t xml:space="preserve">Goods </w:t>
            </w:r>
            <w:r w:rsidR="006C5D8C">
              <w:rPr>
                <w:rFonts w:eastAsiaTheme="minorHAnsi"/>
                <w:color w:val="000000"/>
                <w:sz w:val="20"/>
              </w:rPr>
              <w:t>&amp;</w:t>
            </w:r>
            <w:r w:rsidR="006C5D8C" w:rsidRPr="00453679">
              <w:rPr>
                <w:rFonts w:eastAsiaTheme="minorHAnsi"/>
                <w:color w:val="000000"/>
                <w:sz w:val="20"/>
              </w:rPr>
              <w:t xml:space="preserve"> services tax</w:t>
            </w:r>
          </w:p>
        </w:tc>
      </w:tr>
      <w:tr w:rsidR="004E391F" w:rsidRPr="002C43E8" w:rsidTr="00845B91">
        <w:tc>
          <w:tcPr>
            <w:tcW w:w="2552" w:type="dxa"/>
          </w:tcPr>
          <w:p w:rsidR="004E391F" w:rsidRPr="00845B91" w:rsidRDefault="004E391F" w:rsidP="00845B91">
            <w:pPr>
              <w:pStyle w:val="Glossarytabletext"/>
              <w:rPr>
                <w:lang w:val="en-US" w:eastAsia="en-US"/>
              </w:rPr>
            </w:pPr>
            <w:r>
              <w:rPr>
                <w:lang w:val="en-US" w:eastAsia="en-US"/>
              </w:rPr>
              <w:t>GST Act</w:t>
            </w:r>
          </w:p>
        </w:tc>
        <w:tc>
          <w:tcPr>
            <w:tcW w:w="4536" w:type="dxa"/>
          </w:tcPr>
          <w:p w:rsidR="004E391F" w:rsidRPr="00453679" w:rsidRDefault="004E391F" w:rsidP="00026B00">
            <w:pPr>
              <w:autoSpaceDE w:val="0"/>
              <w:autoSpaceDN w:val="0"/>
              <w:adjustRightInd w:val="0"/>
              <w:spacing w:before="60" w:after="60"/>
              <w:rPr>
                <w:rFonts w:eastAsiaTheme="minorHAnsi"/>
                <w:color w:val="000000"/>
                <w:sz w:val="20"/>
              </w:rPr>
            </w:pPr>
            <w:r w:rsidRPr="00453679">
              <w:rPr>
                <w:rFonts w:eastAsiaTheme="minorHAnsi"/>
                <w:i/>
                <w:color w:val="000000"/>
                <w:sz w:val="20"/>
              </w:rPr>
              <w:t>A New Tax System (Goods and Services Tax) Act 1999</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ITAA 1997</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Income Tax Assessment Act 1997</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JCP</w:t>
            </w:r>
          </w:p>
        </w:tc>
        <w:tc>
          <w:tcPr>
            <w:tcW w:w="4536" w:type="dxa"/>
          </w:tcPr>
          <w:p w:rsidR="00845B91" w:rsidRPr="00453679" w:rsidRDefault="00845B91" w:rsidP="00026B00">
            <w:pPr>
              <w:autoSpaceDE w:val="0"/>
              <w:autoSpaceDN w:val="0"/>
              <w:adjustRightInd w:val="0"/>
              <w:spacing w:before="60" w:after="60"/>
              <w:rPr>
                <w:sz w:val="20"/>
              </w:rPr>
            </w:pPr>
            <w:r w:rsidRPr="00453679">
              <w:rPr>
                <w:sz w:val="20"/>
              </w:rPr>
              <w:t>Jobs &amp; Competitiveness Program</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Main Repeal Bill</w:t>
            </w:r>
          </w:p>
        </w:tc>
        <w:tc>
          <w:tcPr>
            <w:tcW w:w="4536" w:type="dxa"/>
          </w:tcPr>
          <w:p w:rsidR="00845B91" w:rsidRPr="00453679" w:rsidRDefault="00845B91" w:rsidP="00B01351">
            <w:pPr>
              <w:autoSpaceDE w:val="0"/>
              <w:autoSpaceDN w:val="0"/>
              <w:adjustRightInd w:val="0"/>
              <w:spacing w:before="60" w:after="60"/>
              <w:rPr>
                <w:rFonts w:eastAsiaTheme="minorHAnsi"/>
                <w:color w:val="000000"/>
                <w:sz w:val="20"/>
              </w:rPr>
            </w:pPr>
            <w:r w:rsidRPr="00453679">
              <w:rPr>
                <w:sz w:val="20"/>
              </w:rPr>
              <w:t>Clean Energy Legislation (</w:t>
            </w:r>
            <w:r w:rsidR="00622B79">
              <w:rPr>
                <w:sz w:val="20"/>
              </w:rPr>
              <w:t>Carbon Tax Repeal</w:t>
            </w:r>
            <w:r w:rsidRPr="00453679">
              <w:rPr>
                <w:sz w:val="20"/>
              </w:rPr>
              <w:t>) Bill 201</w:t>
            </w:r>
            <w:r w:rsidR="00B01351">
              <w:rPr>
                <w:sz w:val="20"/>
              </w:rPr>
              <w:t>4</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NGERS</w:t>
            </w:r>
          </w:p>
        </w:tc>
        <w:tc>
          <w:tcPr>
            <w:tcW w:w="4536" w:type="dxa"/>
          </w:tcPr>
          <w:p w:rsidR="00845B91" w:rsidRPr="00453679" w:rsidRDefault="00845B91"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 xml:space="preserve">National Greenhouse &amp; Energy Reporting Scheme </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NGER Act</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National Greenhouse and Energy Reporting Act 2007</w:t>
            </w:r>
          </w:p>
        </w:tc>
      </w:tr>
      <w:tr w:rsidR="00845B91" w:rsidRPr="002C43E8" w:rsidTr="00845B91">
        <w:tc>
          <w:tcPr>
            <w:tcW w:w="2552" w:type="dxa"/>
          </w:tcPr>
          <w:p w:rsidR="00845B91" w:rsidRPr="00845B91" w:rsidRDefault="00951DB6" w:rsidP="00845B91">
            <w:pPr>
              <w:pStyle w:val="Glossarytabletext"/>
              <w:rPr>
                <w:lang w:val="en-US" w:eastAsia="en-US"/>
              </w:rPr>
            </w:pPr>
            <w:r>
              <w:rPr>
                <w:lang w:val="en-US" w:eastAsia="en-US"/>
              </w:rPr>
              <w:t>Opt-in s</w:t>
            </w:r>
            <w:r w:rsidR="00845B91" w:rsidRPr="00845B91">
              <w:rPr>
                <w:lang w:val="en-US" w:eastAsia="en-US"/>
              </w:rPr>
              <w:t>cheme</w:t>
            </w:r>
          </w:p>
        </w:tc>
        <w:tc>
          <w:tcPr>
            <w:tcW w:w="4536" w:type="dxa"/>
          </w:tcPr>
          <w:p w:rsidR="00845B91" w:rsidRPr="00453679" w:rsidRDefault="00845B91" w:rsidP="007B091B">
            <w:pPr>
              <w:autoSpaceDE w:val="0"/>
              <w:autoSpaceDN w:val="0"/>
              <w:adjustRightInd w:val="0"/>
              <w:spacing w:before="60" w:after="60"/>
              <w:rPr>
                <w:rFonts w:eastAsiaTheme="minorHAnsi"/>
                <w:i/>
                <w:color w:val="000000"/>
                <w:sz w:val="20"/>
              </w:rPr>
            </w:pPr>
            <w:r w:rsidRPr="00453679">
              <w:rPr>
                <w:rFonts w:eastAsiaTheme="minorHAnsi"/>
                <w:color w:val="000000"/>
                <w:sz w:val="20"/>
              </w:rPr>
              <w:t xml:space="preserve">The Opt-in </w:t>
            </w:r>
            <w:r w:rsidR="007B091B">
              <w:rPr>
                <w:rFonts w:eastAsiaTheme="minorHAnsi"/>
                <w:color w:val="000000"/>
                <w:sz w:val="20"/>
              </w:rPr>
              <w:t>s</w:t>
            </w:r>
            <w:r w:rsidRPr="00453679">
              <w:rPr>
                <w:rFonts w:eastAsiaTheme="minorHAnsi"/>
                <w:color w:val="000000"/>
                <w:sz w:val="20"/>
              </w:rPr>
              <w:t xml:space="preserve">cheme allows a person to apply to have the potential emissions embodied in the liquid fuel that they use directly covered by the carbon tax, rather than paying an </w:t>
            </w:r>
            <w:r w:rsidR="00B479C3" w:rsidRPr="00453679">
              <w:rPr>
                <w:rFonts w:eastAsiaTheme="minorHAnsi"/>
                <w:color w:val="000000"/>
                <w:sz w:val="20"/>
              </w:rPr>
              <w:t>equivalent carbon price</w:t>
            </w:r>
            <w:r w:rsidRPr="00453679">
              <w:rPr>
                <w:rFonts w:eastAsiaTheme="minorHAnsi"/>
                <w:color w:val="000000"/>
                <w:sz w:val="20"/>
              </w:rPr>
              <w:t xml:space="preserve"> through the fuel tax </w:t>
            </w:r>
            <w:r w:rsidR="00B6793C" w:rsidRPr="00453679">
              <w:rPr>
                <w:rFonts w:eastAsiaTheme="minorHAnsi"/>
                <w:color w:val="000000"/>
                <w:sz w:val="20"/>
              </w:rPr>
              <w:t>credits system, or through excise or excise equivalent customs duty</w:t>
            </w:r>
            <w:r w:rsidRPr="00453679">
              <w:rPr>
                <w:rFonts w:eastAsiaTheme="minorHAnsi"/>
                <w:color w:val="000000"/>
                <w:sz w:val="20"/>
              </w:rPr>
              <w:t>.</w:t>
            </w:r>
          </w:p>
        </w:tc>
      </w:tr>
      <w:tr w:rsidR="00D56657" w:rsidRPr="002C43E8" w:rsidTr="00845B91">
        <w:tc>
          <w:tcPr>
            <w:tcW w:w="2552" w:type="dxa"/>
          </w:tcPr>
          <w:p w:rsidR="00D56657" w:rsidRPr="00845B91" w:rsidRDefault="00D56657" w:rsidP="00D56657">
            <w:pPr>
              <w:pStyle w:val="Glossarytabletext"/>
              <w:rPr>
                <w:lang w:val="en-US" w:eastAsia="en-US"/>
              </w:rPr>
            </w:pPr>
            <w:r>
              <w:t xml:space="preserve">Ozone Manufacture Amendment Bill </w:t>
            </w:r>
          </w:p>
        </w:tc>
        <w:tc>
          <w:tcPr>
            <w:tcW w:w="4536" w:type="dxa"/>
          </w:tcPr>
          <w:p w:rsidR="00D56657" w:rsidRPr="00453679" w:rsidRDefault="00D56657" w:rsidP="00D56657">
            <w:pPr>
              <w:autoSpaceDE w:val="0"/>
              <w:autoSpaceDN w:val="0"/>
              <w:adjustRightInd w:val="0"/>
              <w:spacing w:before="60" w:after="60"/>
              <w:rPr>
                <w:rFonts w:eastAsiaTheme="minorHAnsi"/>
                <w:color w:val="000000"/>
                <w:sz w:val="20"/>
              </w:rPr>
            </w:pPr>
            <w:r w:rsidRPr="00453679">
              <w:rPr>
                <w:rFonts w:eastAsiaTheme="minorHAnsi"/>
                <w:color w:val="000000"/>
                <w:sz w:val="20"/>
              </w:rPr>
              <w:t>Ozone Protection and Synthetic Greenhouse Gas (Import Levy) Amendment (</w:t>
            </w:r>
            <w:r w:rsidR="00622B79">
              <w:rPr>
                <w:rFonts w:eastAsiaTheme="minorHAnsi"/>
                <w:color w:val="000000"/>
                <w:sz w:val="20"/>
              </w:rPr>
              <w:t>Carbon Tax Repeal</w:t>
            </w:r>
            <w:r w:rsidRPr="00453679">
              <w:rPr>
                <w:rFonts w:eastAsiaTheme="minorHAnsi"/>
                <w:color w:val="000000"/>
                <w:sz w:val="20"/>
              </w:rPr>
              <w:t>) Bill 201</w:t>
            </w:r>
            <w:r w:rsidR="00B01351">
              <w:rPr>
                <w:rFonts w:eastAsiaTheme="minorHAnsi"/>
                <w:color w:val="000000"/>
                <w:sz w:val="20"/>
              </w:rPr>
              <w:t>4</w:t>
            </w:r>
          </w:p>
        </w:tc>
      </w:tr>
      <w:tr w:rsidR="00D56657" w:rsidRPr="002C43E8" w:rsidTr="00845B91">
        <w:tc>
          <w:tcPr>
            <w:tcW w:w="2552" w:type="dxa"/>
          </w:tcPr>
          <w:p w:rsidR="00D56657" w:rsidRPr="00845B91" w:rsidRDefault="00D56657" w:rsidP="00D56657">
            <w:pPr>
              <w:pStyle w:val="Glossarytabletext"/>
              <w:rPr>
                <w:lang w:val="en-US" w:eastAsia="en-US"/>
              </w:rPr>
            </w:pPr>
            <w:r>
              <w:t xml:space="preserve">Ozone Import Amendment Bill </w:t>
            </w:r>
          </w:p>
        </w:tc>
        <w:tc>
          <w:tcPr>
            <w:tcW w:w="4536" w:type="dxa"/>
          </w:tcPr>
          <w:p w:rsidR="00D56657" w:rsidRPr="00453679" w:rsidRDefault="00D56657" w:rsidP="009E7382">
            <w:pPr>
              <w:autoSpaceDE w:val="0"/>
              <w:autoSpaceDN w:val="0"/>
              <w:adjustRightInd w:val="0"/>
              <w:spacing w:before="60" w:after="60"/>
              <w:rPr>
                <w:rFonts w:eastAsiaTheme="minorHAnsi"/>
                <w:color w:val="000000"/>
                <w:sz w:val="20"/>
              </w:rPr>
            </w:pPr>
            <w:r w:rsidRPr="00453679">
              <w:rPr>
                <w:rFonts w:eastAsiaTheme="minorHAnsi"/>
                <w:color w:val="000000"/>
                <w:sz w:val="20"/>
              </w:rPr>
              <w:t>Ozone Protection and Synthetic Greenhouse Gas (Manufacture Levy) Amendment (</w:t>
            </w:r>
            <w:r w:rsidR="003D232A">
              <w:t>Carbon Tax Repeal</w:t>
            </w:r>
            <w:r w:rsidRPr="00453679">
              <w:rPr>
                <w:rFonts w:eastAsiaTheme="minorHAnsi"/>
                <w:color w:val="000000"/>
                <w:sz w:val="20"/>
              </w:rPr>
              <w:t>) Bill 201</w:t>
            </w:r>
            <w:r w:rsidR="00B01351">
              <w:rPr>
                <w:rFonts w:eastAsiaTheme="minorHAnsi"/>
                <w:color w:val="000000"/>
                <w:sz w:val="20"/>
              </w:rPr>
              <w:t>4</w:t>
            </w:r>
          </w:p>
        </w:tc>
      </w:tr>
      <w:tr w:rsidR="00D56657" w:rsidRPr="002C43E8" w:rsidTr="00845B91">
        <w:tc>
          <w:tcPr>
            <w:tcW w:w="2552" w:type="dxa"/>
          </w:tcPr>
          <w:p w:rsidR="00D56657" w:rsidRPr="00845B91" w:rsidRDefault="00D56657" w:rsidP="00D56657">
            <w:pPr>
              <w:pStyle w:val="Glossarytabletext"/>
              <w:rPr>
                <w:lang w:val="en-US" w:eastAsia="en-US"/>
              </w:rPr>
            </w:pPr>
            <w:r w:rsidRPr="0012420B">
              <w:t>Ozone</w:t>
            </w:r>
            <w:r>
              <w:t xml:space="preserve"> </w:t>
            </w:r>
            <w:r w:rsidRPr="0012420B">
              <w:t>Management Act</w:t>
            </w:r>
          </w:p>
        </w:tc>
        <w:tc>
          <w:tcPr>
            <w:tcW w:w="4536" w:type="dxa"/>
          </w:tcPr>
          <w:p w:rsidR="00D56657" w:rsidRPr="00453679" w:rsidRDefault="00D56657" w:rsidP="00D56657">
            <w:pPr>
              <w:autoSpaceDE w:val="0"/>
              <w:autoSpaceDN w:val="0"/>
              <w:adjustRightInd w:val="0"/>
              <w:spacing w:before="60" w:after="60"/>
              <w:rPr>
                <w:rFonts w:eastAsiaTheme="minorHAnsi"/>
                <w:i/>
                <w:color w:val="000000"/>
                <w:sz w:val="20"/>
              </w:rPr>
            </w:pPr>
            <w:r w:rsidRPr="00453679">
              <w:rPr>
                <w:rFonts w:eastAsiaTheme="minorHAnsi"/>
                <w:i/>
                <w:color w:val="000000"/>
                <w:sz w:val="20"/>
              </w:rPr>
              <w:t>Ozone Protection and Synthetic Greenhouse Gas Management Act 1989</w:t>
            </w:r>
          </w:p>
        </w:tc>
      </w:tr>
      <w:tr w:rsidR="00D56657" w:rsidRPr="002C43E8" w:rsidTr="00845B91">
        <w:tc>
          <w:tcPr>
            <w:tcW w:w="2552" w:type="dxa"/>
          </w:tcPr>
          <w:p w:rsidR="00D56657" w:rsidRPr="00845B91" w:rsidRDefault="00D56657" w:rsidP="00D56657">
            <w:pPr>
              <w:pStyle w:val="Glossarytabletext"/>
              <w:rPr>
                <w:lang w:val="en-US" w:eastAsia="en-US"/>
              </w:rPr>
            </w:pPr>
            <w:r>
              <w:t>Ozone (Import Levy) Act</w:t>
            </w:r>
          </w:p>
        </w:tc>
        <w:tc>
          <w:tcPr>
            <w:tcW w:w="4536" w:type="dxa"/>
          </w:tcPr>
          <w:p w:rsidR="00D56657" w:rsidRPr="00453679" w:rsidRDefault="00D56657" w:rsidP="00D56657">
            <w:pPr>
              <w:autoSpaceDE w:val="0"/>
              <w:autoSpaceDN w:val="0"/>
              <w:adjustRightInd w:val="0"/>
              <w:spacing w:before="60" w:after="60"/>
              <w:rPr>
                <w:rFonts w:eastAsiaTheme="minorHAnsi"/>
                <w:i/>
                <w:color w:val="000000"/>
                <w:sz w:val="20"/>
              </w:rPr>
            </w:pPr>
            <w:r w:rsidRPr="00453679">
              <w:rPr>
                <w:rFonts w:eastAsiaTheme="minorHAnsi"/>
                <w:i/>
                <w:color w:val="000000"/>
                <w:sz w:val="20"/>
              </w:rPr>
              <w:t>Ozone Protection and Synthetic Greenhouse Gas (Import Levy) Act 1995</w:t>
            </w:r>
          </w:p>
        </w:tc>
      </w:tr>
      <w:tr w:rsidR="00D56657" w:rsidRPr="002C43E8" w:rsidTr="00845B91">
        <w:tc>
          <w:tcPr>
            <w:tcW w:w="2552" w:type="dxa"/>
          </w:tcPr>
          <w:p w:rsidR="00D56657" w:rsidRPr="00845B91" w:rsidRDefault="00D56657" w:rsidP="00D56657">
            <w:pPr>
              <w:pStyle w:val="Glossarytabletext"/>
              <w:rPr>
                <w:lang w:val="en-US" w:eastAsia="en-US"/>
              </w:rPr>
            </w:pPr>
            <w:r>
              <w:t>Ozone (Manufacture Levy) Act</w:t>
            </w:r>
          </w:p>
        </w:tc>
        <w:tc>
          <w:tcPr>
            <w:tcW w:w="4536" w:type="dxa"/>
          </w:tcPr>
          <w:p w:rsidR="00D56657" w:rsidRPr="00453679" w:rsidRDefault="00D56657" w:rsidP="00D56657">
            <w:pPr>
              <w:autoSpaceDE w:val="0"/>
              <w:autoSpaceDN w:val="0"/>
              <w:adjustRightInd w:val="0"/>
              <w:spacing w:before="60" w:after="60"/>
              <w:rPr>
                <w:rFonts w:eastAsiaTheme="minorHAnsi"/>
                <w:i/>
                <w:color w:val="000000"/>
                <w:sz w:val="20"/>
              </w:rPr>
            </w:pPr>
            <w:r w:rsidRPr="00453679">
              <w:rPr>
                <w:rFonts w:eastAsiaTheme="minorHAnsi"/>
                <w:i/>
                <w:color w:val="000000"/>
                <w:sz w:val="20"/>
              </w:rPr>
              <w:t>Ozone Protection and Synthetic Greenhouse Gas (Manufacture Levy) Act 1995</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PRRTA Act</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Petroleum Resource Rent Tax Assessment Act 1987</w:t>
            </w:r>
          </w:p>
        </w:tc>
      </w:tr>
      <w:tr w:rsidR="00094C9F" w:rsidRPr="002C43E8" w:rsidTr="00382FC2">
        <w:tc>
          <w:tcPr>
            <w:tcW w:w="2552" w:type="dxa"/>
          </w:tcPr>
          <w:p w:rsidR="00094C9F" w:rsidRPr="00845B91" w:rsidRDefault="00094C9F" w:rsidP="00382FC2">
            <w:pPr>
              <w:pStyle w:val="Glossarytabletext"/>
              <w:rPr>
                <w:lang w:val="en-US" w:eastAsia="en-US"/>
              </w:rPr>
            </w:pPr>
            <w:r w:rsidRPr="00845B91">
              <w:rPr>
                <w:lang w:val="en-US" w:eastAsia="en-US"/>
              </w:rPr>
              <w:t>Registry</w:t>
            </w:r>
          </w:p>
        </w:tc>
        <w:tc>
          <w:tcPr>
            <w:tcW w:w="4536" w:type="dxa"/>
          </w:tcPr>
          <w:p w:rsidR="00094C9F" w:rsidRPr="00453679" w:rsidRDefault="00094C9F" w:rsidP="00382FC2">
            <w:pPr>
              <w:pStyle w:val="Glossarytabletext"/>
              <w:rPr>
                <w:lang w:val="en-US" w:eastAsia="en-US"/>
              </w:rPr>
            </w:pPr>
            <w:r w:rsidRPr="00453679">
              <w:rPr>
                <w:lang w:val="en-US" w:eastAsia="en-US"/>
              </w:rPr>
              <w:t>Australian National Registry of Emissions Units</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Regulator</w:t>
            </w:r>
          </w:p>
        </w:tc>
        <w:tc>
          <w:tcPr>
            <w:tcW w:w="4536" w:type="dxa"/>
          </w:tcPr>
          <w:p w:rsidR="00845B91" w:rsidRPr="00453679" w:rsidRDefault="00845B91"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Clean Energy Regulator</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Regulator Act</w:t>
            </w:r>
          </w:p>
        </w:tc>
        <w:tc>
          <w:tcPr>
            <w:tcW w:w="4536" w:type="dxa"/>
          </w:tcPr>
          <w:p w:rsidR="00845B91" w:rsidRPr="00453679" w:rsidRDefault="00845B91"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Clean Energy Regulator Act 2011</w:t>
            </w:r>
          </w:p>
        </w:tc>
      </w:tr>
      <w:tr w:rsidR="00845B91" w:rsidRPr="002C43E8" w:rsidTr="00845B91">
        <w:tc>
          <w:tcPr>
            <w:tcW w:w="2552" w:type="dxa"/>
          </w:tcPr>
          <w:p w:rsidR="00845B91" w:rsidRPr="00845B91" w:rsidRDefault="00845B91" w:rsidP="00845B91">
            <w:pPr>
              <w:pStyle w:val="Glossarytabletext"/>
              <w:rPr>
                <w:lang w:val="en-US" w:eastAsia="en-US"/>
              </w:rPr>
            </w:pPr>
            <w:r w:rsidRPr="00845B91">
              <w:rPr>
                <w:lang w:val="en-US" w:eastAsia="en-US"/>
              </w:rPr>
              <w:t xml:space="preserve">SGG </w:t>
            </w:r>
          </w:p>
        </w:tc>
        <w:tc>
          <w:tcPr>
            <w:tcW w:w="4536" w:type="dxa"/>
          </w:tcPr>
          <w:p w:rsidR="00845B91" w:rsidRPr="00453679" w:rsidRDefault="00845B91"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 xml:space="preserve">Synthetic </w:t>
            </w:r>
            <w:r w:rsidR="00453679" w:rsidRPr="00453679">
              <w:rPr>
                <w:rFonts w:eastAsiaTheme="minorHAnsi"/>
                <w:color w:val="000000"/>
                <w:sz w:val="20"/>
              </w:rPr>
              <w:t>greenhouse gas</w:t>
            </w:r>
          </w:p>
        </w:tc>
      </w:tr>
      <w:tr w:rsidR="00691C66" w:rsidRPr="002C43E8" w:rsidTr="00845B91">
        <w:tc>
          <w:tcPr>
            <w:tcW w:w="2552" w:type="dxa"/>
          </w:tcPr>
          <w:p w:rsidR="00691C66" w:rsidRPr="00845B91" w:rsidRDefault="00691C66" w:rsidP="00845B91">
            <w:pPr>
              <w:pStyle w:val="Glossarytabletext"/>
              <w:rPr>
                <w:lang w:val="en-US" w:eastAsia="en-US"/>
              </w:rPr>
            </w:pPr>
            <w:r>
              <w:rPr>
                <w:lang w:val="en-US" w:eastAsia="en-US"/>
              </w:rPr>
              <w:t>STP</w:t>
            </w:r>
          </w:p>
        </w:tc>
        <w:tc>
          <w:tcPr>
            <w:tcW w:w="4536" w:type="dxa"/>
          </w:tcPr>
          <w:p w:rsidR="00691C66" w:rsidRPr="00453679" w:rsidRDefault="00691C66" w:rsidP="00026B00">
            <w:pPr>
              <w:autoSpaceDE w:val="0"/>
              <w:autoSpaceDN w:val="0"/>
              <w:adjustRightInd w:val="0"/>
              <w:spacing w:before="60" w:after="60"/>
              <w:rPr>
                <w:rFonts w:eastAsiaTheme="minorHAnsi"/>
                <w:color w:val="000000"/>
                <w:sz w:val="20"/>
              </w:rPr>
            </w:pPr>
            <w:r w:rsidRPr="00453679">
              <w:rPr>
                <w:sz w:val="20"/>
                <w:lang w:val="en-US" w:eastAsia="en-US"/>
              </w:rPr>
              <w:t>Steel Transformation Plan</w:t>
            </w:r>
          </w:p>
        </w:tc>
      </w:tr>
      <w:tr w:rsidR="00691C66" w:rsidRPr="002C43E8" w:rsidTr="00845B91">
        <w:tc>
          <w:tcPr>
            <w:tcW w:w="2552" w:type="dxa"/>
          </w:tcPr>
          <w:p w:rsidR="00691C66" w:rsidRDefault="00691C66" w:rsidP="00845B91">
            <w:pPr>
              <w:pStyle w:val="Glossarytabletext"/>
              <w:rPr>
                <w:lang w:val="en-US" w:eastAsia="en-US"/>
              </w:rPr>
            </w:pPr>
            <w:r>
              <w:rPr>
                <w:lang w:val="en-US" w:eastAsia="en-US"/>
              </w:rPr>
              <w:t>STP Act</w:t>
            </w:r>
          </w:p>
        </w:tc>
        <w:tc>
          <w:tcPr>
            <w:tcW w:w="4536" w:type="dxa"/>
          </w:tcPr>
          <w:p w:rsidR="00691C66" w:rsidRPr="00453679" w:rsidRDefault="00691C66" w:rsidP="00026B00">
            <w:pPr>
              <w:autoSpaceDE w:val="0"/>
              <w:autoSpaceDN w:val="0"/>
              <w:adjustRightInd w:val="0"/>
              <w:spacing w:before="60" w:after="60"/>
              <w:rPr>
                <w:rFonts w:eastAsiaTheme="minorHAnsi"/>
                <w:i/>
                <w:color w:val="000000"/>
                <w:sz w:val="20"/>
              </w:rPr>
            </w:pPr>
            <w:r w:rsidRPr="00453679">
              <w:rPr>
                <w:rFonts w:eastAsiaTheme="minorHAnsi"/>
                <w:i/>
                <w:color w:val="000000"/>
                <w:sz w:val="20"/>
              </w:rPr>
              <w:t>Steel Transformation Plan Act 2011</w:t>
            </w:r>
          </w:p>
        </w:tc>
      </w:tr>
      <w:tr w:rsidR="00B6793C" w:rsidRPr="002C43E8" w:rsidTr="00845B91">
        <w:tc>
          <w:tcPr>
            <w:tcW w:w="2552" w:type="dxa"/>
          </w:tcPr>
          <w:p w:rsidR="00B6793C" w:rsidRPr="00845B91" w:rsidRDefault="00B6793C" w:rsidP="00E21517">
            <w:pPr>
              <w:pStyle w:val="Glossarytabletext"/>
              <w:rPr>
                <w:lang w:val="en-US" w:eastAsia="en-US"/>
              </w:rPr>
            </w:pPr>
            <w:r>
              <w:t>TAA 1953</w:t>
            </w:r>
          </w:p>
        </w:tc>
        <w:tc>
          <w:tcPr>
            <w:tcW w:w="4536" w:type="dxa"/>
          </w:tcPr>
          <w:p w:rsidR="00B6793C" w:rsidRPr="00453679" w:rsidRDefault="00B6793C" w:rsidP="00E21517">
            <w:pPr>
              <w:autoSpaceDE w:val="0"/>
              <w:autoSpaceDN w:val="0"/>
              <w:adjustRightInd w:val="0"/>
              <w:spacing w:before="60" w:after="60"/>
              <w:rPr>
                <w:rFonts w:eastAsiaTheme="minorHAnsi"/>
                <w:i/>
                <w:color w:val="000000"/>
                <w:sz w:val="20"/>
              </w:rPr>
            </w:pPr>
            <w:r w:rsidRPr="00453679">
              <w:rPr>
                <w:rFonts w:eastAsiaTheme="minorHAnsi"/>
                <w:i/>
                <w:color w:val="000000"/>
                <w:sz w:val="20"/>
              </w:rPr>
              <w:t>Taxation Administration Act 1953</w:t>
            </w:r>
          </w:p>
        </w:tc>
      </w:tr>
      <w:tr w:rsidR="00B6793C" w:rsidRPr="002C43E8" w:rsidTr="00845B91">
        <w:tc>
          <w:tcPr>
            <w:tcW w:w="2552" w:type="dxa"/>
          </w:tcPr>
          <w:p w:rsidR="00B6793C" w:rsidRPr="00845B91" w:rsidRDefault="00B6793C" w:rsidP="00E21517">
            <w:pPr>
              <w:pStyle w:val="Glossarytabletext"/>
              <w:rPr>
                <w:lang w:val="en-US" w:eastAsia="en-US"/>
              </w:rPr>
            </w:pPr>
            <w:r>
              <w:rPr>
                <w:lang w:val="en-US" w:eastAsia="en-US"/>
              </w:rPr>
              <w:t>Tax Commissioner</w:t>
            </w:r>
          </w:p>
        </w:tc>
        <w:tc>
          <w:tcPr>
            <w:tcW w:w="4536" w:type="dxa"/>
          </w:tcPr>
          <w:p w:rsidR="00B6793C" w:rsidRPr="00453679" w:rsidRDefault="00B6793C" w:rsidP="00E21517">
            <w:pPr>
              <w:autoSpaceDE w:val="0"/>
              <w:autoSpaceDN w:val="0"/>
              <w:adjustRightInd w:val="0"/>
              <w:spacing w:before="60" w:after="60"/>
              <w:rPr>
                <w:rFonts w:eastAsiaTheme="minorHAnsi"/>
                <w:color w:val="000000"/>
                <w:sz w:val="20"/>
              </w:rPr>
            </w:pPr>
            <w:r w:rsidRPr="00453679">
              <w:rPr>
                <w:rFonts w:eastAsiaTheme="minorHAnsi"/>
                <w:color w:val="000000"/>
                <w:sz w:val="20"/>
              </w:rPr>
              <w:t>Commissioner of Taxation</w:t>
            </w:r>
          </w:p>
        </w:tc>
      </w:tr>
      <w:tr w:rsidR="00B6793C" w:rsidRPr="002C43E8" w:rsidTr="00845B91">
        <w:tc>
          <w:tcPr>
            <w:tcW w:w="2552" w:type="dxa"/>
          </w:tcPr>
          <w:p w:rsidR="00B6793C" w:rsidRPr="00845B91" w:rsidRDefault="00B6793C" w:rsidP="00845B91">
            <w:pPr>
              <w:pStyle w:val="Glossarytabletext"/>
              <w:rPr>
                <w:lang w:val="en-US" w:eastAsia="en-US"/>
              </w:rPr>
            </w:pPr>
            <w:r w:rsidRPr="00802B7E">
              <w:t>True-up Shortfall Levy Bills</w:t>
            </w:r>
          </w:p>
        </w:tc>
        <w:tc>
          <w:tcPr>
            <w:tcW w:w="4536" w:type="dxa"/>
          </w:tcPr>
          <w:p w:rsidR="00B6793C" w:rsidRPr="00453679" w:rsidRDefault="00B6793C" w:rsidP="00802B7E">
            <w:pPr>
              <w:autoSpaceDE w:val="0"/>
              <w:autoSpaceDN w:val="0"/>
              <w:adjustRightInd w:val="0"/>
              <w:spacing w:before="60" w:after="60"/>
              <w:rPr>
                <w:rFonts w:eastAsiaTheme="minorHAnsi"/>
                <w:color w:val="000000"/>
                <w:sz w:val="20"/>
              </w:rPr>
            </w:pPr>
            <w:r w:rsidRPr="00453679">
              <w:rPr>
                <w:rFonts w:eastAsiaTheme="minorHAnsi"/>
                <w:color w:val="000000"/>
                <w:sz w:val="20"/>
              </w:rPr>
              <w:t>True-up Shortfall Levy (General) (</w:t>
            </w:r>
            <w:r w:rsidR="00622B79">
              <w:rPr>
                <w:rFonts w:eastAsiaTheme="minorHAnsi"/>
                <w:color w:val="000000"/>
                <w:sz w:val="20"/>
              </w:rPr>
              <w:t>Carbon Tax Repeal</w:t>
            </w:r>
            <w:r w:rsidRPr="00453679">
              <w:rPr>
                <w:rFonts w:eastAsiaTheme="minorHAnsi"/>
                <w:color w:val="000000"/>
                <w:sz w:val="20"/>
              </w:rPr>
              <w:t>) Bill 201</w:t>
            </w:r>
            <w:r w:rsidR="00B01351">
              <w:rPr>
                <w:rFonts w:eastAsiaTheme="minorHAnsi"/>
                <w:color w:val="000000"/>
                <w:sz w:val="20"/>
              </w:rPr>
              <w:t>4</w:t>
            </w:r>
            <w:r w:rsidR="004C7572">
              <w:rPr>
                <w:rFonts w:eastAsiaTheme="minorHAnsi"/>
                <w:color w:val="000000"/>
                <w:sz w:val="20"/>
              </w:rPr>
              <w:t>; and</w:t>
            </w:r>
          </w:p>
          <w:p w:rsidR="00B6793C" w:rsidRPr="00453679" w:rsidRDefault="00B6793C" w:rsidP="00026B00">
            <w:pPr>
              <w:autoSpaceDE w:val="0"/>
              <w:autoSpaceDN w:val="0"/>
              <w:adjustRightInd w:val="0"/>
              <w:spacing w:before="60" w:after="60"/>
              <w:rPr>
                <w:rFonts w:eastAsiaTheme="minorHAnsi"/>
                <w:color w:val="000000"/>
                <w:sz w:val="20"/>
              </w:rPr>
            </w:pPr>
            <w:r w:rsidRPr="00453679">
              <w:rPr>
                <w:rFonts w:eastAsiaTheme="minorHAnsi"/>
                <w:color w:val="000000"/>
                <w:sz w:val="20"/>
              </w:rPr>
              <w:t>True-up Shortfall Levy (Excise) (</w:t>
            </w:r>
            <w:r w:rsidR="003D232A">
              <w:t>Carbon Tax Repeal</w:t>
            </w:r>
            <w:r w:rsidRPr="00453679">
              <w:rPr>
                <w:rFonts w:eastAsiaTheme="minorHAnsi"/>
                <w:color w:val="000000"/>
                <w:sz w:val="20"/>
              </w:rPr>
              <w:t>) Bill 201</w:t>
            </w:r>
            <w:r w:rsidR="00C90ACA">
              <w:rPr>
                <w:rFonts w:eastAsiaTheme="minorHAnsi"/>
                <w:color w:val="000000"/>
                <w:sz w:val="20"/>
              </w:rPr>
              <w:t>4</w:t>
            </w:r>
            <w:r w:rsidR="004C7572">
              <w:rPr>
                <w:rFonts w:eastAsiaTheme="minorHAnsi"/>
                <w:color w:val="000000"/>
                <w:sz w:val="20"/>
              </w:rPr>
              <w:t>.</w:t>
            </w:r>
          </w:p>
        </w:tc>
      </w:tr>
    </w:tbl>
    <w:p w:rsidR="00264263" w:rsidRDefault="00264263" w:rsidP="00C85947">
      <w:pPr>
        <w:sectPr w:rsidR="00264263" w:rsidSect="00C85947">
          <w:headerReference w:type="even" r:id="rId22"/>
          <w:headerReference w:type="default" r:id="rId23"/>
          <w:footerReference w:type="even" r:id="rId24"/>
          <w:footerReference w:type="default" r:id="rId25"/>
          <w:footerReference w:type="first" r:id="rId26"/>
          <w:type w:val="oddPage"/>
          <w:pgSz w:w="11906" w:h="16838" w:code="9"/>
          <w:pgMar w:top="2466" w:right="2098" w:bottom="2466" w:left="2098" w:header="1559" w:footer="1899" w:gutter="0"/>
          <w:pgNumType w:start="1"/>
          <w:cols w:space="708"/>
          <w:titlePg/>
          <w:docGrid w:linePitch="360"/>
        </w:sectPr>
      </w:pPr>
    </w:p>
    <w:p w:rsidR="00264263" w:rsidRDefault="00264263" w:rsidP="00C85947">
      <w:pPr>
        <w:pStyle w:val="Chapterheadingsubdocument"/>
      </w:pPr>
      <w:bookmarkStart w:id="2" w:name="_Toc393138973"/>
      <w:r w:rsidRPr="00D14B4B">
        <w:rPr>
          <w:rStyle w:val="Font30point"/>
        </w:rPr>
        <w:t>G</w:t>
      </w:r>
      <w:r>
        <w:t xml:space="preserve">eneral outline and </w:t>
      </w:r>
      <w:r w:rsidR="00AA1734">
        <w:t>statements</w:t>
      </w:r>
      <w:bookmarkEnd w:id="2"/>
    </w:p>
    <w:p w:rsidR="00264263" w:rsidRDefault="00B670F7" w:rsidP="00C85947">
      <w:pPr>
        <w:pStyle w:val="Heading2"/>
      </w:pPr>
      <w:r>
        <w:t xml:space="preserve">Background </w:t>
      </w:r>
    </w:p>
    <w:p w:rsidR="007871D1" w:rsidRDefault="005F3911" w:rsidP="007871D1">
      <w:pPr>
        <w:pStyle w:val="Heading4"/>
      </w:pPr>
      <w:r>
        <w:t>Repealing the carbon tax</w:t>
      </w:r>
    </w:p>
    <w:p w:rsidR="00D377B9" w:rsidRDefault="00DD3DAF" w:rsidP="001C3A3C">
      <w:pPr>
        <w:pStyle w:val="base-text-paragraphnonumbers"/>
      </w:pPr>
      <w:r>
        <w:t>The Australian Government has a clear commitment to repeal the carbon tax to</w:t>
      </w:r>
      <w:r w:rsidR="00D377B9">
        <w:t>:</w:t>
      </w:r>
      <w:r w:rsidR="00D56E64">
        <w:t xml:space="preserve"> </w:t>
      </w:r>
    </w:p>
    <w:p w:rsidR="00DD3DAF" w:rsidRDefault="00DD3DAF" w:rsidP="00DD3DAF">
      <w:pPr>
        <w:pStyle w:val="dotpoint"/>
      </w:pPr>
      <w:r>
        <w:t>boost Australia’s economic growth, increase jobs and enhance Australia’s international competitiveness;</w:t>
      </w:r>
    </w:p>
    <w:p w:rsidR="00DD3DAF" w:rsidRDefault="00DD3DAF" w:rsidP="00DD3DAF">
      <w:pPr>
        <w:pStyle w:val="dotpoint"/>
      </w:pPr>
      <w:r>
        <w:t xml:space="preserve">remove </w:t>
      </w:r>
      <w:r w:rsidRPr="00D377B9">
        <w:t>the cost of living pressures on households resulting from the carbon tax</w:t>
      </w:r>
      <w:r>
        <w:t xml:space="preserve">; </w:t>
      </w:r>
    </w:p>
    <w:p w:rsidR="00DD3DAF" w:rsidRDefault="00DD3DAF" w:rsidP="00DD3DAF">
      <w:pPr>
        <w:pStyle w:val="dotpoint"/>
      </w:pPr>
      <w:r>
        <w:t xml:space="preserve">remove </w:t>
      </w:r>
      <w:r w:rsidRPr="00D377B9">
        <w:t>the cost pressures faced by business as a result of the carbon tax</w:t>
      </w:r>
      <w:r>
        <w:t>; and</w:t>
      </w:r>
    </w:p>
    <w:p w:rsidR="00D377B9" w:rsidRDefault="00DD3DAF" w:rsidP="00DD3DAF">
      <w:pPr>
        <w:pStyle w:val="dotpoint"/>
      </w:pPr>
      <w:r>
        <w:t>remove unnecessary, burdensome and costly regulation</w:t>
      </w:r>
      <w:r w:rsidR="00D377B9">
        <w:t>.</w:t>
      </w:r>
    </w:p>
    <w:p w:rsidR="00C67A46" w:rsidRDefault="00DD3DAF" w:rsidP="001C3A3C">
      <w:pPr>
        <w:pStyle w:val="base-text-paragraphnonumbers"/>
      </w:pPr>
      <w:r>
        <w:t xml:space="preserve">The Government </w:t>
      </w:r>
      <w:r w:rsidR="00B6793C">
        <w:t>is</w:t>
      </w:r>
      <w:r>
        <w:t xml:space="preserve"> implement</w:t>
      </w:r>
      <w:r w:rsidR="00B6793C">
        <w:t>ing</w:t>
      </w:r>
      <w:r>
        <w:t xml:space="preserve"> its commitment to </w:t>
      </w:r>
      <w:r w:rsidR="00146D5A">
        <w:t xml:space="preserve">remove </w:t>
      </w:r>
      <w:r>
        <w:t xml:space="preserve">the carbon tax through seven </w:t>
      </w:r>
      <w:r w:rsidR="00216ED9">
        <w:t>Bill</w:t>
      </w:r>
      <w:r>
        <w:t xml:space="preserve">s (together the </w:t>
      </w:r>
      <w:r w:rsidR="00EC0599">
        <w:t>‘</w:t>
      </w:r>
      <w:r>
        <w:t>Carbon Tax Repeal Bills</w:t>
      </w:r>
      <w:r w:rsidR="00EC0599">
        <w:t>’</w:t>
      </w:r>
      <w:r>
        <w:t>) that will repeal the legislation imposing the carbon tax</w:t>
      </w:r>
      <w:r w:rsidR="00D5237C">
        <w:t xml:space="preserve">.  </w:t>
      </w:r>
      <w:r>
        <w:t>The repeal legislation does this by:</w:t>
      </w:r>
    </w:p>
    <w:p w:rsidR="00DD3DAF" w:rsidRPr="001B4D8E" w:rsidRDefault="00DD3DAF" w:rsidP="00DD3DAF">
      <w:pPr>
        <w:pStyle w:val="dotpoint"/>
      </w:pPr>
      <w:r>
        <w:t xml:space="preserve">abolishing the carbon </w:t>
      </w:r>
      <w:r w:rsidRPr="001B4D8E">
        <w:t>pricing mechanism;</w:t>
      </w:r>
      <w:r>
        <w:t xml:space="preserve"> </w:t>
      </w:r>
    </w:p>
    <w:p w:rsidR="00DD3DAF" w:rsidRDefault="00B6793C" w:rsidP="00DD3DAF">
      <w:pPr>
        <w:pStyle w:val="dotpoint"/>
      </w:pPr>
      <w:r w:rsidRPr="001B4D8E">
        <w:t>removing the equivalent carbon price</w:t>
      </w:r>
      <w:r>
        <w:t xml:space="preserve"> imposed through the fuel tax credit system, through excise and excise equivalent customs duties, and through synthetic greenhouse gas (SGG) levies</w:t>
      </w:r>
      <w:r w:rsidR="00DD3DAF">
        <w:t xml:space="preserve">; </w:t>
      </w:r>
    </w:p>
    <w:p w:rsidR="00DD3DAF" w:rsidRDefault="00DD3DAF" w:rsidP="00DD3DAF">
      <w:pPr>
        <w:pStyle w:val="dotpoint"/>
      </w:pPr>
      <w:r>
        <w:t xml:space="preserve">making arrangements for the management of the last financial year </w:t>
      </w:r>
      <w:r w:rsidR="00146D5A">
        <w:t xml:space="preserve">in which </w:t>
      </w:r>
      <w:r>
        <w:t xml:space="preserve">the carbon tax </w:t>
      </w:r>
      <w:r w:rsidR="00146D5A">
        <w:t xml:space="preserve">will apply </w:t>
      </w:r>
      <w:r>
        <w:t>(2013-14) and the collection of any outs</w:t>
      </w:r>
      <w:r w:rsidR="00E65F8C">
        <w:t>tanding carbon tax liabilities; </w:t>
      </w:r>
      <w:r>
        <w:t>and</w:t>
      </w:r>
    </w:p>
    <w:p w:rsidR="00DD3DAF" w:rsidRDefault="00DD3DAF" w:rsidP="00DD3DAF">
      <w:pPr>
        <w:pStyle w:val="dotpoint"/>
      </w:pPr>
      <w:r>
        <w:t xml:space="preserve">providing new powers to the Australian Competition &amp; Consumer Commission </w:t>
      </w:r>
      <w:r w:rsidR="00146D5A">
        <w:t xml:space="preserve">(ACCC) </w:t>
      </w:r>
      <w:r>
        <w:t xml:space="preserve">to </w:t>
      </w:r>
      <w:r w:rsidR="00D91F7B">
        <w:t xml:space="preserve">ensure </w:t>
      </w:r>
      <w:r w:rsidR="00346366">
        <w:t>that all cost savings arising from</w:t>
      </w:r>
      <w:r w:rsidR="00B6793C">
        <w:t xml:space="preserve"> </w:t>
      </w:r>
      <w:r>
        <w:t>carbon tax repeal</w:t>
      </w:r>
      <w:r w:rsidR="00346366">
        <w:t xml:space="preserve"> are passed on to consumers</w:t>
      </w:r>
      <w:r>
        <w:t>.</w:t>
      </w:r>
    </w:p>
    <w:p w:rsidR="00346366" w:rsidRDefault="00346366" w:rsidP="008D2D55">
      <w:pPr>
        <w:pStyle w:val="Heading4"/>
      </w:pPr>
      <w:r>
        <w:t>Carbon tax reduction obligations</w:t>
      </w:r>
    </w:p>
    <w:p w:rsidR="00DD3DAF" w:rsidRDefault="00DD3DAF" w:rsidP="00DD3DAF">
      <w:pPr>
        <w:pStyle w:val="base-text-paragraphnonumbers"/>
      </w:pPr>
      <w:r>
        <w:t>Repealing the carbon tax will</w:t>
      </w:r>
      <w:r w:rsidRPr="00B807FC">
        <w:t xml:space="preserve"> reduce wholesale electricity and gas prices, reduce the cost of </w:t>
      </w:r>
      <w:r w:rsidR="00B6793C">
        <w:t>taxable</w:t>
      </w:r>
      <w:r w:rsidRPr="00B807FC">
        <w:t xml:space="preserve"> fuels for off-road use, and reduce the cost of </w:t>
      </w:r>
      <w:r w:rsidR="003958BB">
        <w:t>SGGs</w:t>
      </w:r>
      <w:r w:rsidRPr="00B807FC">
        <w:t>, such as those used for refrigeration and air conditioning</w:t>
      </w:r>
      <w:r w:rsidR="00D5237C">
        <w:t xml:space="preserve">.  </w:t>
      </w:r>
      <w:r>
        <w:t>T</w:t>
      </w:r>
      <w:r w:rsidRPr="00B807FC">
        <w:t xml:space="preserve">hese cost reductions </w:t>
      </w:r>
      <w:r>
        <w:t xml:space="preserve">will </w:t>
      </w:r>
      <w:r w:rsidRPr="00B807FC">
        <w:t xml:space="preserve">flow through to businesses in the form of lower input costs and to households through lower </w:t>
      </w:r>
      <w:r w:rsidR="00E65F8C">
        <w:t>energy bills and cheaper retail </w:t>
      </w:r>
      <w:r w:rsidRPr="00B807FC">
        <w:t>prices.</w:t>
      </w:r>
      <w:r w:rsidR="00C37E30">
        <w:t xml:space="preserve"> Provisions in the Carbon Tax Repeal Bill amend the CC Act to insert provisions that are directed at ensuring that all cost savings for suppliers are passed on to consumers through lower prices.  To ensure compliance with these provisions, the CC Act is amended to provide stiff penalties for entities that fail to comply. </w:t>
      </w:r>
    </w:p>
    <w:p w:rsidR="00B01351" w:rsidRDefault="00B01351" w:rsidP="00DD3DAF">
      <w:pPr>
        <w:pStyle w:val="base-text-paragraphnonumbers"/>
      </w:pPr>
      <w:r>
        <w:t>The Carbon Tax Repeal Bills replace</w:t>
      </w:r>
      <w:r w:rsidR="00622B79">
        <w:t xml:space="preserve"> the 2013 Carbon Tax Repeal Bills have been</w:t>
      </w:r>
      <w:r>
        <w:t xml:space="preserve"> rejected twice </w:t>
      </w:r>
      <w:r w:rsidR="00867854">
        <w:t>by the Senate.</w:t>
      </w:r>
    </w:p>
    <w:p w:rsidR="007871D1" w:rsidRDefault="005F3911" w:rsidP="004D2B9C">
      <w:pPr>
        <w:pStyle w:val="Heading4"/>
      </w:pPr>
      <w:r>
        <w:t>Clean Energy Legislation (</w:t>
      </w:r>
      <w:r w:rsidR="003D232A">
        <w:t>Carbon Tax Repeal</w:t>
      </w:r>
      <w:r>
        <w:t>) Bill 201</w:t>
      </w:r>
      <w:r w:rsidR="00B01351">
        <w:t>4</w:t>
      </w:r>
      <w:r>
        <w:t xml:space="preserve"> and related </w:t>
      </w:r>
      <w:r w:rsidR="00B6793C">
        <w:t xml:space="preserve">Bills </w:t>
      </w:r>
    </w:p>
    <w:p w:rsidR="00031FCE" w:rsidRDefault="00DD3DAF" w:rsidP="007871D1">
      <w:pPr>
        <w:pStyle w:val="base-text-paragraphnonumbers"/>
      </w:pPr>
      <w:r w:rsidRPr="00DD3DAF">
        <w:t>The Clean Energy Legislation (</w:t>
      </w:r>
      <w:r w:rsidR="003D232A">
        <w:t>Carbon Tax Repeal</w:t>
      </w:r>
      <w:r w:rsidRPr="00DD3DAF">
        <w:t>) Bill 201</w:t>
      </w:r>
      <w:r w:rsidR="00B01351">
        <w:t>4</w:t>
      </w:r>
      <w:r w:rsidRPr="00DD3DAF">
        <w:t xml:space="preserve"> (the Main Repeal Bill) repeals the legislation that establishes the </w:t>
      </w:r>
      <w:r w:rsidR="00A6062A">
        <w:t>carbon pricing mechanism</w:t>
      </w:r>
      <w:r w:rsidRPr="00DD3DAF">
        <w:t>, namely</w:t>
      </w:r>
      <w:r w:rsidR="00031FCE">
        <w:t>:</w:t>
      </w:r>
    </w:p>
    <w:p w:rsidR="00031FCE" w:rsidRPr="00031FCE" w:rsidRDefault="00F45153" w:rsidP="00031FCE">
      <w:pPr>
        <w:pStyle w:val="dotpoint"/>
      </w:pPr>
      <w:r w:rsidRPr="00031FCE">
        <w:rPr>
          <w:i/>
        </w:rPr>
        <w:t>Clean Energy</w:t>
      </w:r>
      <w:r w:rsidR="00031FCE" w:rsidRPr="00031FCE">
        <w:rPr>
          <w:i/>
        </w:rPr>
        <w:t xml:space="preserve"> Act 2011</w:t>
      </w:r>
      <w:r w:rsidR="00031FCE">
        <w:t>;</w:t>
      </w:r>
    </w:p>
    <w:p w:rsidR="00031FCE" w:rsidRPr="00031FCE" w:rsidRDefault="00031FCE" w:rsidP="00031FCE">
      <w:pPr>
        <w:pStyle w:val="dotpoint"/>
      </w:pPr>
      <w:bookmarkStart w:id="3" w:name="_Toc369516673"/>
      <w:r w:rsidRPr="00031FCE">
        <w:rPr>
          <w:i/>
        </w:rPr>
        <w:t>Clean Energy (Charges—Customs) Act 2011</w:t>
      </w:r>
      <w:bookmarkEnd w:id="3"/>
      <w:r>
        <w:t>;</w:t>
      </w:r>
    </w:p>
    <w:p w:rsidR="00031FCE" w:rsidRPr="00031FCE" w:rsidRDefault="00031FCE" w:rsidP="00031FCE">
      <w:pPr>
        <w:pStyle w:val="dotpoint"/>
      </w:pPr>
      <w:r w:rsidRPr="00031FCE">
        <w:rPr>
          <w:i/>
        </w:rPr>
        <w:t>Clean Energy (Charges—Excise) Act 2011</w:t>
      </w:r>
      <w:r>
        <w:t>;</w:t>
      </w:r>
    </w:p>
    <w:p w:rsidR="00031FCE" w:rsidRPr="00031FCE" w:rsidRDefault="00031FCE" w:rsidP="00031FCE">
      <w:pPr>
        <w:pStyle w:val="dotpoint"/>
      </w:pPr>
      <w:r w:rsidRPr="00031FCE">
        <w:rPr>
          <w:i/>
        </w:rPr>
        <w:t>Clean Energy (Unit Issue Charge—Auctions) Act 2011</w:t>
      </w:r>
      <w:r>
        <w:t>;</w:t>
      </w:r>
    </w:p>
    <w:p w:rsidR="00031FCE" w:rsidRPr="00031FCE" w:rsidRDefault="00031FCE" w:rsidP="00031FCE">
      <w:pPr>
        <w:pStyle w:val="dotpoint"/>
      </w:pPr>
      <w:r w:rsidRPr="00031FCE">
        <w:rPr>
          <w:i/>
        </w:rPr>
        <w:t>Clean Energy (Unit Issue Charge—Fixed Charge) Act 2011</w:t>
      </w:r>
      <w:r w:rsidRPr="00031FCE">
        <w:t>; and</w:t>
      </w:r>
    </w:p>
    <w:p w:rsidR="00031FCE" w:rsidRPr="00031FCE" w:rsidRDefault="00031FCE" w:rsidP="00031FCE">
      <w:pPr>
        <w:pStyle w:val="dotpoint"/>
      </w:pPr>
      <w:r w:rsidRPr="00031FCE">
        <w:rPr>
          <w:i/>
        </w:rPr>
        <w:t>Clean Energy (Unit Shortfall Charge—General) Act 2011</w:t>
      </w:r>
      <w:r w:rsidR="00D5237C">
        <w:t xml:space="preserve">.  </w:t>
      </w:r>
    </w:p>
    <w:p w:rsidR="00DD3DAF" w:rsidRDefault="00B6793C" w:rsidP="00DD3DAF">
      <w:pPr>
        <w:pStyle w:val="base-text-paragraphnonumbers"/>
      </w:pPr>
      <w:r>
        <w:t xml:space="preserve">In addition, </w:t>
      </w:r>
      <w:r w:rsidR="00C47F55">
        <w:t>four</w:t>
      </w:r>
      <w:r>
        <w:t xml:space="preserve"> technical </w:t>
      </w:r>
      <w:r w:rsidR="005E0A59">
        <w:t>b</w:t>
      </w:r>
      <w:r w:rsidR="00216ED9">
        <w:t>ill</w:t>
      </w:r>
      <w:r>
        <w:t>s provide for removal of the equivalent carbon price through excise and excise equivalent custom duties and the SGG levies</w:t>
      </w:r>
      <w:r w:rsidR="00D5237C">
        <w:t xml:space="preserve">.  </w:t>
      </w:r>
    </w:p>
    <w:p w:rsidR="00D56E64" w:rsidRDefault="00DD3DAF" w:rsidP="00DD3DAF">
      <w:pPr>
        <w:pStyle w:val="base-text-paragraphnonumbers"/>
      </w:pPr>
      <w:r>
        <w:t xml:space="preserve">The abolition of </w:t>
      </w:r>
      <w:r w:rsidR="00A6062A">
        <w:t xml:space="preserve">other </w:t>
      </w:r>
      <w:r>
        <w:t>carbon tax</w:t>
      </w:r>
      <w:r w:rsidR="00146D5A">
        <w:t>-</w:t>
      </w:r>
      <w:r w:rsidR="00A6062A">
        <w:t xml:space="preserve">related </w:t>
      </w:r>
      <w:r>
        <w:t xml:space="preserve">initiatives are to be done by other </w:t>
      </w:r>
      <w:r w:rsidR="00B6793C">
        <w:t xml:space="preserve">Bills </w:t>
      </w:r>
      <w:r>
        <w:t>that are not part of the Carbon Tax Repeal Bills, namely</w:t>
      </w:r>
      <w:r w:rsidR="00D727EB">
        <w:t>:</w:t>
      </w:r>
    </w:p>
    <w:p w:rsidR="00DD3DAF" w:rsidRDefault="00DD3DAF" w:rsidP="00DD3DAF">
      <w:pPr>
        <w:pStyle w:val="dotpoint"/>
      </w:pPr>
      <w:r>
        <w:t>the abolition of the Climate Change Authority</w:t>
      </w:r>
      <w:r w:rsidR="005E0A59">
        <w:t xml:space="preserve"> (CCA)</w:t>
      </w:r>
      <w:r>
        <w:t xml:space="preserve"> through the Climate Ch</w:t>
      </w:r>
      <w:r w:rsidR="000C3F86">
        <w:t>ange Authority (Abolition) Bill </w:t>
      </w:r>
      <w:r>
        <w:t>2013</w:t>
      </w:r>
      <w:r w:rsidR="000C3F86">
        <w:t> [No.2]</w:t>
      </w:r>
      <w:r>
        <w:t>;</w:t>
      </w:r>
    </w:p>
    <w:p w:rsidR="00DD3DAF" w:rsidRDefault="00DD3DAF" w:rsidP="00DD3DAF">
      <w:pPr>
        <w:pStyle w:val="dotpoint"/>
      </w:pPr>
      <w:r>
        <w:t>the abolition of the Clean Energy Finance Corporation through the Clean Energy Finance Corporation (Abolition) Bill 201</w:t>
      </w:r>
      <w:r w:rsidR="00A9527C">
        <w:t>4</w:t>
      </w:r>
      <w:r>
        <w:t xml:space="preserve">; and </w:t>
      </w:r>
    </w:p>
    <w:p w:rsidR="00DD3DAF" w:rsidRDefault="00B6793C" w:rsidP="00DD3DAF">
      <w:pPr>
        <w:pStyle w:val="dotpoint"/>
      </w:pPr>
      <w:r>
        <w:t xml:space="preserve">the cancellation of carbon tax related income tax cuts that were legislated to commence on 1 July 2015 through the </w:t>
      </w:r>
      <w:r w:rsidR="003D232A">
        <w:t>Labor 2013-14 Budget Savings (Measures No</w:t>
      </w:r>
      <w:r w:rsidR="000C3F86">
        <w:t>.</w:t>
      </w:r>
      <w:r w:rsidR="003D232A">
        <w:t>1) Bill 2014</w:t>
      </w:r>
      <w:r w:rsidR="00DD3DAF">
        <w:t>.</w:t>
      </w:r>
    </w:p>
    <w:p w:rsidR="00DD3DAF" w:rsidRDefault="00DD3DAF" w:rsidP="00DD3DAF">
      <w:pPr>
        <w:pStyle w:val="base-text-paragraphnonumbers"/>
      </w:pPr>
      <w:r>
        <w:t>The Carbon Tax Repeal Bills</w:t>
      </w:r>
      <w:r w:rsidR="00A6062A">
        <w:t>, included in this Explanatory Memorandum,</w:t>
      </w:r>
      <w:r>
        <w:t xml:space="preserve"> provide, in summary, that:</w:t>
      </w:r>
    </w:p>
    <w:p w:rsidR="00DD3DAF" w:rsidRDefault="00DD3DAF" w:rsidP="00DD3DAF">
      <w:pPr>
        <w:pStyle w:val="dotpoint"/>
      </w:pPr>
      <w:r>
        <w:t xml:space="preserve">2013-14 </w:t>
      </w:r>
      <w:r w:rsidR="00C37E30">
        <w:t xml:space="preserve">was </w:t>
      </w:r>
      <w:r>
        <w:t xml:space="preserve">the last financial year </w:t>
      </w:r>
      <w:r w:rsidR="00C37E30">
        <w:t>to which</w:t>
      </w:r>
      <w:r>
        <w:t xml:space="preserve"> carbon tax </w:t>
      </w:r>
      <w:r w:rsidR="00C37E30">
        <w:t>applied; although the</w:t>
      </w:r>
      <w:r w:rsidR="00B6793C" w:rsidRPr="008872D1">
        <w:t xml:space="preserve"> Parliament </w:t>
      </w:r>
      <w:r w:rsidR="00C37E30">
        <w:t>will</w:t>
      </w:r>
      <w:r w:rsidR="00B6793C" w:rsidRPr="008872D1">
        <w:t xml:space="preserve"> not pass the </w:t>
      </w:r>
      <w:r w:rsidR="005E0A59" w:rsidRPr="008872D1">
        <w:t xml:space="preserve">Carbon Tax Repeal </w:t>
      </w:r>
      <w:r w:rsidR="005E0A59">
        <w:t>Bill</w:t>
      </w:r>
      <w:r w:rsidR="005E0A59" w:rsidRPr="008872D1">
        <w:t>s</w:t>
      </w:r>
      <w:r w:rsidR="00B6793C" w:rsidRPr="008872D1">
        <w:t xml:space="preserve"> until after 1 July 2014</w:t>
      </w:r>
      <w:r w:rsidR="00C37E30">
        <w:t>, they will operate to repeal the tax retrospectively from that date</w:t>
      </w:r>
      <w:r w:rsidR="00453679">
        <w:t>;</w:t>
      </w:r>
    </w:p>
    <w:p w:rsidR="00DD3DAF" w:rsidRDefault="00DD3DAF" w:rsidP="00DD3DAF">
      <w:pPr>
        <w:pStyle w:val="dotpoint"/>
      </w:pPr>
      <w:r>
        <w:t xml:space="preserve">liable businesses and other entities must </w:t>
      </w:r>
      <w:r w:rsidR="00B6793C">
        <w:t>meet</w:t>
      </w:r>
      <w:r>
        <w:t xml:space="preserve"> all carbon tax liabilities incurred up to 30 June 2014 under the carbon pricing mechanism, the f</w:t>
      </w:r>
      <w:r w:rsidR="005E0A59">
        <w:t>uel tax credit</w:t>
      </w:r>
      <w:r>
        <w:t xml:space="preserve"> system, excise or excise</w:t>
      </w:r>
      <w:r w:rsidR="00B6793C">
        <w:t xml:space="preserve"> </w:t>
      </w:r>
      <w:r>
        <w:t xml:space="preserve">equivalent customs duties, or </w:t>
      </w:r>
      <w:r w:rsidR="0051267F">
        <w:t>SGG</w:t>
      </w:r>
      <w:r>
        <w:t xml:space="preserve"> levies;</w:t>
      </w:r>
    </w:p>
    <w:p w:rsidR="00DD3DAF" w:rsidRDefault="00DD3DAF" w:rsidP="00DD3DAF">
      <w:pPr>
        <w:pStyle w:val="dotpoint"/>
      </w:pPr>
      <w:r>
        <w:t>liable businesses and other entities must pay their final carbon tax compliance obligations at the next payment time under the current legislated arrangements;</w:t>
      </w:r>
    </w:p>
    <w:p w:rsidR="00DD3DAF" w:rsidRDefault="00DD3DAF" w:rsidP="00DD3DAF">
      <w:pPr>
        <w:pStyle w:val="dotpoint"/>
      </w:pPr>
      <w:r>
        <w:t xml:space="preserve">industry assistance provided under the Jobs &amp; Competitiveness Program (JCP) and the Energy Security Fund </w:t>
      </w:r>
      <w:r w:rsidR="00C37E30">
        <w:t>has</w:t>
      </w:r>
      <w:r>
        <w:t xml:space="preserve"> continue</w:t>
      </w:r>
      <w:r w:rsidR="00C37E30">
        <w:t>d</w:t>
      </w:r>
      <w:r>
        <w:t xml:space="preserve"> in 2013-14 for the purpose of meeting carbon tax liabilities, </w:t>
      </w:r>
      <w:r w:rsidR="00C37E30">
        <w:t>but has now ceased</w:t>
      </w:r>
      <w:r>
        <w:t>;</w:t>
      </w:r>
    </w:p>
    <w:p w:rsidR="00DD3DAF" w:rsidRDefault="00DD3DAF" w:rsidP="00DD3DAF">
      <w:pPr>
        <w:pStyle w:val="dotpoint"/>
      </w:pPr>
      <w:r>
        <w:t xml:space="preserve">the ACCC will have new powers to monitor prices and take action against businesses that attempt to exploit other businesses and consumers by </w:t>
      </w:r>
      <w:r w:rsidR="00917D72">
        <w:t>not passing all of their cost savings that are directly or indirectly attributable to the carbon tax repeal or by</w:t>
      </w:r>
      <w:r>
        <w:t xml:space="preserve"> making false or misleading claims about the effect of the carbon tax repeal on prices;</w:t>
      </w:r>
    </w:p>
    <w:p w:rsidR="00DD3DAF" w:rsidRDefault="00DD3DAF" w:rsidP="00DD3DAF">
      <w:pPr>
        <w:pStyle w:val="dotpoint"/>
      </w:pPr>
      <w:r>
        <w:t xml:space="preserve">the </w:t>
      </w:r>
      <w:r w:rsidRPr="00146D5A">
        <w:rPr>
          <w:i/>
        </w:rPr>
        <w:t>Steel Transformation Plan Act 2011</w:t>
      </w:r>
      <w:r>
        <w:t>, which provided car</w:t>
      </w:r>
      <w:r w:rsidR="005E0A59">
        <w:t xml:space="preserve">bon </w:t>
      </w:r>
      <w:r>
        <w:t>tax related assistance to steel industry businesses, will be repealed and the assistance will cease;</w:t>
      </w:r>
    </w:p>
    <w:p w:rsidR="00E032CB" w:rsidRDefault="00E032CB" w:rsidP="00E032CB">
      <w:pPr>
        <w:pStyle w:val="dotpoint"/>
      </w:pPr>
      <w:r>
        <w:t>the funding for the Australian Renewable Energy Agency (ARENA)</w:t>
      </w:r>
      <w:r w:rsidR="00FB473F">
        <w:t xml:space="preserve"> will be adjusted</w:t>
      </w:r>
      <w:r>
        <w:t>;</w:t>
      </w:r>
    </w:p>
    <w:p w:rsidR="00DD3DAF" w:rsidRPr="00374CE3" w:rsidRDefault="00DD3DAF" w:rsidP="00DD3DAF">
      <w:pPr>
        <w:pStyle w:val="dotpoint"/>
      </w:pPr>
      <w:r>
        <w:t>the conservation tillage tax offset</w:t>
      </w:r>
      <w:r w:rsidR="00146D5A">
        <w:t>, which</w:t>
      </w:r>
      <w:r w:rsidRPr="00691D93">
        <w:t xml:space="preserve"> was introduced at the same time as the carbon tax</w:t>
      </w:r>
      <w:r>
        <w:t>, will be removed; and</w:t>
      </w:r>
    </w:p>
    <w:p w:rsidR="00DD3DAF" w:rsidRDefault="00DD3DAF" w:rsidP="00DD3DAF">
      <w:pPr>
        <w:pStyle w:val="dotpoint"/>
      </w:pPr>
      <w:r>
        <w:t>businesses and other entities with a carbon tax liability are obliged to comply with current carbon tax compliance and reporting arrangements</w:t>
      </w:r>
      <w:r w:rsidR="00146D5A">
        <w:t xml:space="preserve"> for as long as those arrangements remain law</w:t>
      </w:r>
      <w:r w:rsidR="00D5237C">
        <w:t xml:space="preserve">.  </w:t>
      </w:r>
    </w:p>
    <w:p w:rsidR="00DD3DAF" w:rsidRDefault="00DD3DAF" w:rsidP="00DD3DAF">
      <w:pPr>
        <w:pStyle w:val="base-text-paragraphnonumbers"/>
      </w:pPr>
      <w:r>
        <w:t>The Clean Energy Regulator</w:t>
      </w:r>
      <w:r w:rsidR="00146D5A">
        <w:t xml:space="preserve"> (the Regulator)</w:t>
      </w:r>
      <w:r>
        <w:t>, the Australian Taxation Office</w:t>
      </w:r>
      <w:r w:rsidR="00146D5A">
        <w:t xml:space="preserve"> (ATO)</w:t>
      </w:r>
      <w:r>
        <w:t xml:space="preserve">, the Australian Customs </w:t>
      </w:r>
      <w:r w:rsidR="00146D5A">
        <w:t xml:space="preserve">&amp; </w:t>
      </w:r>
      <w:r>
        <w:t xml:space="preserve">Border Protection Service (Customs) and the Department of the Environment </w:t>
      </w:r>
      <w:r w:rsidR="00146D5A">
        <w:t xml:space="preserve">(the Department) </w:t>
      </w:r>
      <w:r>
        <w:t>will have the necessary powers to collect any outstanding carb</w:t>
      </w:r>
      <w:r w:rsidRPr="00DD3DAF">
        <w:t>on tax liabilities for 2012-13 and 2013-14 for as long as is necessary</w:t>
      </w:r>
      <w:r w:rsidR="00D5237C">
        <w:t xml:space="preserve">.  </w:t>
      </w:r>
    </w:p>
    <w:p w:rsidR="00DD3DAF" w:rsidRDefault="00DD3DAF" w:rsidP="00DD3DAF">
      <w:pPr>
        <w:pStyle w:val="base-text-paragraphnonumbers"/>
      </w:pPr>
      <w:r>
        <w:t>Businesses and other entities are obliged to comply with legislated obligations for as long as those obligations remain law.</w:t>
      </w:r>
    </w:p>
    <w:p w:rsidR="002A6304" w:rsidRDefault="002A6304" w:rsidP="00DD3DAF">
      <w:pPr>
        <w:pStyle w:val="base-text-paragraphnonumbers"/>
      </w:pPr>
      <w:r w:rsidRPr="002A6304">
        <w:t xml:space="preserve">The structure of the broader carbon tax repeal </w:t>
      </w:r>
      <w:r w:rsidR="00A26E36">
        <w:t>package</w:t>
      </w:r>
      <w:r w:rsidR="00B6793C">
        <w:t xml:space="preserve"> </w:t>
      </w:r>
      <w:r>
        <w:t xml:space="preserve">is explained in </w:t>
      </w:r>
      <w:r w:rsidR="00456FD9">
        <w:rPr>
          <w:b/>
        </w:rPr>
        <w:t>Table </w:t>
      </w:r>
      <w:r w:rsidRPr="002A6304">
        <w:rPr>
          <w:b/>
        </w:rPr>
        <w:t>I</w:t>
      </w:r>
      <w:r>
        <w:t>.</w:t>
      </w:r>
    </w:p>
    <w:p w:rsidR="002A6304" w:rsidRPr="00216ED9" w:rsidRDefault="002A6304" w:rsidP="00DD3DAF">
      <w:pPr>
        <w:pStyle w:val="base-text-paragraphnonumbers"/>
        <w:rPr>
          <w:b/>
        </w:rPr>
      </w:pPr>
      <w:r w:rsidRPr="00216ED9">
        <w:rPr>
          <w:b/>
        </w:rPr>
        <w:t xml:space="preserve">Table I:  </w:t>
      </w:r>
      <w:r w:rsidR="00E266DF" w:rsidRPr="00216ED9">
        <w:rPr>
          <w:b/>
        </w:rPr>
        <w:t>Broader Carbon Tax Repeal Package</w:t>
      </w:r>
    </w:p>
    <w:tbl>
      <w:tblPr>
        <w:tblStyle w:val="TableGrid"/>
        <w:tblW w:w="6771" w:type="dxa"/>
        <w:tblInd w:w="1134" w:type="dxa"/>
        <w:tblLook w:val="04A0" w:firstRow="1" w:lastRow="0" w:firstColumn="1" w:lastColumn="0" w:noHBand="0" w:noVBand="1"/>
      </w:tblPr>
      <w:tblGrid>
        <w:gridCol w:w="2264"/>
        <w:gridCol w:w="4507"/>
      </w:tblGrid>
      <w:tr w:rsidR="002A6304" w:rsidTr="002A6304">
        <w:trPr>
          <w:tblHeader/>
        </w:trPr>
        <w:tc>
          <w:tcPr>
            <w:tcW w:w="2264" w:type="dxa"/>
          </w:tcPr>
          <w:p w:rsidR="002A6304" w:rsidRPr="00D7359E" w:rsidRDefault="002A6304" w:rsidP="002A6304">
            <w:pPr>
              <w:pStyle w:val="tabletext"/>
              <w:ind w:left="0"/>
              <w:jc w:val="center"/>
              <w:rPr>
                <w:b/>
              </w:rPr>
            </w:pPr>
            <w:r w:rsidRPr="00D7359E">
              <w:rPr>
                <w:b/>
              </w:rPr>
              <w:t>Bill</w:t>
            </w:r>
          </w:p>
        </w:tc>
        <w:tc>
          <w:tcPr>
            <w:tcW w:w="4507" w:type="dxa"/>
          </w:tcPr>
          <w:p w:rsidR="002A6304" w:rsidRPr="00D7359E" w:rsidRDefault="002A6304" w:rsidP="002A6304">
            <w:pPr>
              <w:pStyle w:val="tabletext"/>
              <w:ind w:left="0"/>
              <w:jc w:val="center"/>
              <w:rPr>
                <w:b/>
              </w:rPr>
            </w:pPr>
            <w:r w:rsidRPr="00D7359E">
              <w:rPr>
                <w:b/>
              </w:rPr>
              <w:t>Description</w:t>
            </w:r>
          </w:p>
        </w:tc>
      </w:tr>
      <w:tr w:rsidR="002A6304" w:rsidTr="002A6304">
        <w:tc>
          <w:tcPr>
            <w:tcW w:w="2264" w:type="dxa"/>
          </w:tcPr>
          <w:p w:rsidR="002A6304" w:rsidRDefault="002A6304" w:rsidP="00B01351">
            <w:pPr>
              <w:pStyle w:val="tabletext"/>
              <w:ind w:left="0"/>
            </w:pPr>
            <w:r w:rsidRPr="006D119C">
              <w:t>Clean Energy Legislation (</w:t>
            </w:r>
            <w:r w:rsidR="00622B79">
              <w:t>Carbon Tax Repeal</w:t>
            </w:r>
            <w:r w:rsidRPr="006D119C">
              <w:t>) Bill 201</w:t>
            </w:r>
            <w:r w:rsidR="00B01351">
              <w:t>4</w:t>
            </w:r>
            <w:r w:rsidRPr="006D119C">
              <w:t xml:space="preserve"> (the ‘Main Repeal Bill’)</w:t>
            </w:r>
          </w:p>
        </w:tc>
        <w:tc>
          <w:tcPr>
            <w:tcW w:w="4507" w:type="dxa"/>
          </w:tcPr>
          <w:p w:rsidR="002A6304" w:rsidRDefault="002A6304" w:rsidP="002A6304">
            <w:pPr>
              <w:pStyle w:val="tabletext"/>
              <w:ind w:left="0"/>
            </w:pPr>
            <w:r>
              <w:t>The Main Repeal Bill:</w:t>
            </w:r>
          </w:p>
          <w:p w:rsidR="002A6304" w:rsidRDefault="00E032CB" w:rsidP="002A6304">
            <w:pPr>
              <w:pStyle w:val="tabledotpoint"/>
            </w:pPr>
            <w:r>
              <w:t xml:space="preserve">repeals the </w:t>
            </w:r>
            <w:r w:rsidR="003151F1">
              <w:t>CE Act</w:t>
            </w:r>
            <w:r w:rsidR="002A6304">
              <w:t xml:space="preserve"> and the </w:t>
            </w:r>
            <w:r w:rsidR="00453679">
              <w:t>CE</w:t>
            </w:r>
            <w:r w:rsidR="002A6304">
              <w:t xml:space="preserve"> Charges Acts;</w:t>
            </w:r>
          </w:p>
          <w:p w:rsidR="002A6304" w:rsidRDefault="002A6304" w:rsidP="002A6304">
            <w:pPr>
              <w:pStyle w:val="tabledotpoint"/>
            </w:pPr>
            <w:r>
              <w:t xml:space="preserve">makes consequential amendments to other </w:t>
            </w:r>
            <w:r w:rsidR="00E032CB">
              <w:t xml:space="preserve">legislation referring to the </w:t>
            </w:r>
            <w:r w:rsidR="003151F1">
              <w:t>CE Act</w:t>
            </w:r>
            <w:r>
              <w:t xml:space="preserve"> and the carbon pricing mechanism;</w:t>
            </w:r>
          </w:p>
          <w:p w:rsidR="002A6304" w:rsidRDefault="002A6304" w:rsidP="002A6304">
            <w:pPr>
              <w:pStyle w:val="tabledotpoint"/>
            </w:pPr>
            <w:r>
              <w:t>provides for the collection of all carbon tax liabilities for 2012-13 and 2013-14;</w:t>
            </w:r>
          </w:p>
          <w:p w:rsidR="002A6304" w:rsidRDefault="002A6304" w:rsidP="002A6304">
            <w:pPr>
              <w:pStyle w:val="tabledotpoint"/>
            </w:pPr>
            <w:r>
              <w:t xml:space="preserve">introduces new powers for the ACCC to take action to ensure </w:t>
            </w:r>
            <w:r w:rsidR="00917D72">
              <w:t xml:space="preserve">all </w:t>
            </w:r>
            <w:r>
              <w:t>price reductions relating to the carbon tax repeal are passed on to consumers; and</w:t>
            </w:r>
          </w:p>
          <w:p w:rsidR="002A6304" w:rsidRPr="006D119C" w:rsidRDefault="002A6304" w:rsidP="00F52579">
            <w:pPr>
              <w:pStyle w:val="tabledotpoint"/>
            </w:pPr>
            <w:r>
              <w:t xml:space="preserve">makes arrangements for the finalisation and cessation of industry assistance through the JCP, the </w:t>
            </w:r>
            <w:r w:rsidR="00F52579">
              <w:t>Energy Security Fund</w:t>
            </w:r>
            <w:r>
              <w:t xml:space="preserve"> and the Steel Transformation Plan</w:t>
            </w:r>
            <w:r w:rsidR="005E0A59">
              <w:t xml:space="preserve"> (STP)</w:t>
            </w:r>
            <w:r>
              <w:t>.</w:t>
            </w:r>
          </w:p>
        </w:tc>
      </w:tr>
      <w:tr w:rsidR="002A6304" w:rsidTr="002A6304">
        <w:tc>
          <w:tcPr>
            <w:tcW w:w="2264" w:type="dxa"/>
          </w:tcPr>
          <w:p w:rsidR="002A6304" w:rsidRDefault="002A6304" w:rsidP="002A6304">
            <w:pPr>
              <w:pStyle w:val="tabletext"/>
              <w:ind w:left="0"/>
            </w:pPr>
            <w:r w:rsidRPr="00D7359E">
              <w:t xml:space="preserve">True-up Shortfall Levy </w:t>
            </w:r>
            <w:r>
              <w:t xml:space="preserve">(General) </w:t>
            </w:r>
            <w:r w:rsidRPr="00D7359E">
              <w:t>(</w:t>
            </w:r>
            <w:r w:rsidR="00622B79">
              <w:t>Carbon Tax Repeal</w:t>
            </w:r>
            <w:r w:rsidRPr="00D7359E">
              <w:t xml:space="preserve">) Bill </w:t>
            </w:r>
            <w:r w:rsidR="00C90ACA">
              <w:t>2014</w:t>
            </w:r>
          </w:p>
          <w:p w:rsidR="002A6304" w:rsidRDefault="002A6304" w:rsidP="001C4F46">
            <w:pPr>
              <w:pStyle w:val="tabletext"/>
              <w:ind w:left="0"/>
            </w:pPr>
            <w:r w:rsidRPr="00D7359E">
              <w:t xml:space="preserve">True-up Shortfall Levy </w:t>
            </w:r>
            <w:r>
              <w:t xml:space="preserve">(Excise) </w:t>
            </w:r>
            <w:r w:rsidRPr="00D7359E">
              <w:t>(</w:t>
            </w:r>
            <w:r w:rsidR="00622B79">
              <w:t>Carbon Tax Repeal</w:t>
            </w:r>
            <w:r w:rsidRPr="00D7359E">
              <w:t>) Bill 201</w:t>
            </w:r>
            <w:r w:rsidR="00B01351">
              <w:t>4</w:t>
            </w:r>
          </w:p>
        </w:tc>
        <w:tc>
          <w:tcPr>
            <w:tcW w:w="4507" w:type="dxa"/>
          </w:tcPr>
          <w:p w:rsidR="002A6304" w:rsidRDefault="002A6304" w:rsidP="002A6304">
            <w:pPr>
              <w:pStyle w:val="tabletext"/>
              <w:ind w:left="0"/>
            </w:pPr>
            <w:r>
              <w:rPr>
                <w:rFonts w:cs="Arial"/>
              </w:rPr>
              <w:t xml:space="preserve">Technical </w:t>
            </w:r>
            <w:r w:rsidR="00E21517">
              <w:rPr>
                <w:rFonts w:cs="Arial"/>
              </w:rPr>
              <w:t xml:space="preserve">Bills </w:t>
            </w:r>
            <w:r>
              <w:rPr>
                <w:rFonts w:cs="Arial"/>
              </w:rPr>
              <w:t xml:space="preserve">that provide for recovery </w:t>
            </w:r>
            <w:r w:rsidR="006C5D8C">
              <w:rPr>
                <w:rFonts w:cs="Arial"/>
              </w:rPr>
              <w:t xml:space="preserve">of </w:t>
            </w:r>
            <w:r>
              <w:rPr>
                <w:rFonts w:cs="Arial"/>
              </w:rPr>
              <w:t>the value of over</w:t>
            </w:r>
            <w:r>
              <w:rPr>
                <w:rFonts w:cs="Arial"/>
              </w:rPr>
              <w:noBreakHyphen/>
              <w:t>allocated free carbon units through a constitutionally compliant levy.</w:t>
            </w:r>
          </w:p>
        </w:tc>
      </w:tr>
      <w:tr w:rsidR="002A6304" w:rsidTr="002A6304">
        <w:tc>
          <w:tcPr>
            <w:tcW w:w="2264" w:type="dxa"/>
          </w:tcPr>
          <w:p w:rsidR="002A6304" w:rsidRDefault="002A6304" w:rsidP="002A6304">
            <w:pPr>
              <w:pStyle w:val="tabletext"/>
              <w:ind w:left="0"/>
            </w:pPr>
            <w:r>
              <w:t>Customs Tariff Amendment (</w:t>
            </w:r>
            <w:r w:rsidR="00622B79">
              <w:t>Carbon Tax Repeal</w:t>
            </w:r>
            <w:r>
              <w:t>) Bill 201</w:t>
            </w:r>
            <w:r w:rsidR="00B01351">
              <w:t>4</w:t>
            </w:r>
            <w:r>
              <w:t xml:space="preserve"> </w:t>
            </w:r>
          </w:p>
          <w:p w:rsidR="002A6304" w:rsidRDefault="002A6304" w:rsidP="00B01351">
            <w:pPr>
              <w:pStyle w:val="tabletext"/>
              <w:ind w:left="0"/>
            </w:pPr>
            <w:r>
              <w:t>Excise Tariff Amendment (</w:t>
            </w:r>
            <w:r w:rsidR="00622B79">
              <w:t>Carbon Tax Repeal</w:t>
            </w:r>
            <w:r>
              <w:t>) Bill 201</w:t>
            </w:r>
            <w:r w:rsidR="00B01351">
              <w:t>4</w:t>
            </w:r>
          </w:p>
        </w:tc>
        <w:tc>
          <w:tcPr>
            <w:tcW w:w="4507" w:type="dxa"/>
          </w:tcPr>
          <w:p w:rsidR="002A6304" w:rsidRPr="006C5D8C" w:rsidRDefault="006C5D8C" w:rsidP="006C5D8C">
            <w:pPr>
              <w:pStyle w:val="tabletext"/>
              <w:ind w:left="0"/>
              <w:rPr>
                <w:rFonts w:cs="Arial"/>
              </w:rPr>
            </w:pPr>
            <w:r w:rsidRPr="006C5D8C">
              <w:rPr>
                <w:rFonts w:cs="Arial"/>
              </w:rPr>
              <w:t>Amend</w:t>
            </w:r>
            <w:r>
              <w:rPr>
                <w:rFonts w:cs="Arial"/>
              </w:rPr>
              <w:t>s</w:t>
            </w:r>
            <w:r w:rsidRPr="006C5D8C">
              <w:rPr>
                <w:rFonts w:cs="Arial"/>
              </w:rPr>
              <w:t xml:space="preserve"> </w:t>
            </w:r>
            <w:r w:rsidR="002A6304" w:rsidRPr="006C5D8C">
              <w:rPr>
                <w:rFonts w:cs="Arial"/>
              </w:rPr>
              <w:t xml:space="preserve">provisions </w:t>
            </w:r>
            <w:r w:rsidR="00E21517" w:rsidRPr="006C5D8C">
              <w:rPr>
                <w:rFonts w:cs="Arial"/>
              </w:rPr>
              <w:t xml:space="preserve">to remove the </w:t>
            </w:r>
            <w:r w:rsidR="00B479C3" w:rsidRPr="006C5D8C">
              <w:rPr>
                <w:rFonts w:cs="Arial"/>
              </w:rPr>
              <w:t>equivalent carbon price</w:t>
            </w:r>
            <w:r w:rsidR="00E21517" w:rsidRPr="006C5D8C">
              <w:rPr>
                <w:rFonts w:cs="Arial"/>
              </w:rPr>
              <w:t xml:space="preserve"> imposed</w:t>
            </w:r>
            <w:r w:rsidR="002A6304" w:rsidRPr="006C5D8C">
              <w:rPr>
                <w:rFonts w:cs="Arial"/>
              </w:rPr>
              <w:t xml:space="preserve"> through excise</w:t>
            </w:r>
            <w:r w:rsidR="00E21517" w:rsidRPr="006C5D8C">
              <w:rPr>
                <w:rFonts w:cs="Arial"/>
              </w:rPr>
              <w:t xml:space="preserve"> </w:t>
            </w:r>
            <w:r w:rsidR="002A6304" w:rsidRPr="006C5D8C">
              <w:rPr>
                <w:rFonts w:cs="Arial"/>
              </w:rPr>
              <w:t>equivalent customs duty on aviation fuel; and</w:t>
            </w:r>
          </w:p>
          <w:p w:rsidR="002A6304" w:rsidRPr="006C5D8C" w:rsidRDefault="006C5D8C" w:rsidP="006C5D8C">
            <w:pPr>
              <w:pStyle w:val="tabletext"/>
              <w:ind w:left="0"/>
              <w:rPr>
                <w:rFonts w:cs="Arial"/>
              </w:rPr>
            </w:pPr>
            <w:r w:rsidRPr="006C5D8C">
              <w:rPr>
                <w:rFonts w:cs="Arial"/>
              </w:rPr>
              <w:t>Amend</w:t>
            </w:r>
            <w:r>
              <w:rPr>
                <w:rFonts w:cs="Arial"/>
              </w:rPr>
              <w:t>s</w:t>
            </w:r>
            <w:r w:rsidRPr="006C5D8C">
              <w:rPr>
                <w:rFonts w:cs="Arial"/>
              </w:rPr>
              <w:t xml:space="preserve"> </w:t>
            </w:r>
            <w:r w:rsidR="002A6304" w:rsidRPr="006C5D8C">
              <w:rPr>
                <w:rFonts w:cs="Arial"/>
              </w:rPr>
              <w:t xml:space="preserve">provisions </w:t>
            </w:r>
            <w:r w:rsidR="00E21517" w:rsidRPr="006C5D8C">
              <w:rPr>
                <w:rFonts w:cs="Arial"/>
              </w:rPr>
              <w:t xml:space="preserve">to remove the </w:t>
            </w:r>
            <w:r w:rsidR="00B479C3" w:rsidRPr="006C5D8C">
              <w:rPr>
                <w:rFonts w:cs="Arial"/>
              </w:rPr>
              <w:t>equivalent carbon price</w:t>
            </w:r>
            <w:r w:rsidR="002A6304" w:rsidRPr="006C5D8C">
              <w:rPr>
                <w:rFonts w:cs="Arial"/>
              </w:rPr>
              <w:t xml:space="preserve"> </w:t>
            </w:r>
            <w:r w:rsidR="00E21517" w:rsidRPr="006C5D8C">
              <w:rPr>
                <w:rFonts w:cs="Arial"/>
              </w:rPr>
              <w:t xml:space="preserve">imposed </w:t>
            </w:r>
            <w:r w:rsidR="002A6304" w:rsidRPr="006C5D8C">
              <w:rPr>
                <w:rFonts w:cs="Arial"/>
              </w:rPr>
              <w:t>through excise duty on aviation fuel</w:t>
            </w:r>
            <w:r w:rsidR="00E21517" w:rsidRPr="006C5D8C">
              <w:rPr>
                <w:rFonts w:cs="Arial"/>
              </w:rPr>
              <w:t>.</w:t>
            </w:r>
          </w:p>
        </w:tc>
      </w:tr>
      <w:tr w:rsidR="002A6304" w:rsidTr="002A6304">
        <w:tc>
          <w:tcPr>
            <w:tcW w:w="2264" w:type="dxa"/>
          </w:tcPr>
          <w:p w:rsidR="002A6304" w:rsidRDefault="002A6304" w:rsidP="002A6304">
            <w:pPr>
              <w:pStyle w:val="tabletext"/>
              <w:ind w:left="0"/>
            </w:pPr>
            <w:r>
              <w:t>Ozone Protection and Synthetic Greenhouse Gas (Import Levy) Amendment (</w:t>
            </w:r>
            <w:r w:rsidR="00622B79">
              <w:t>Carbon Tax Repeal</w:t>
            </w:r>
            <w:r>
              <w:t>) Bill 201</w:t>
            </w:r>
            <w:r w:rsidR="00B01351">
              <w:t>4</w:t>
            </w:r>
          </w:p>
          <w:p w:rsidR="002A6304" w:rsidRDefault="002A6304" w:rsidP="002A6304">
            <w:pPr>
              <w:pStyle w:val="tabletext"/>
              <w:ind w:left="0"/>
            </w:pPr>
            <w:r>
              <w:t>Ozone Protection and Synthetic Greenhouse Gas (Manufacture Levy) Amendment (</w:t>
            </w:r>
            <w:r w:rsidR="00622B79">
              <w:t>Carbon Tax Repeal</w:t>
            </w:r>
            <w:r>
              <w:t>) Bill 201</w:t>
            </w:r>
            <w:r w:rsidR="00B01351">
              <w:t>4</w:t>
            </w:r>
          </w:p>
        </w:tc>
        <w:tc>
          <w:tcPr>
            <w:tcW w:w="4507" w:type="dxa"/>
          </w:tcPr>
          <w:p w:rsidR="002A6304" w:rsidRDefault="006C5D8C" w:rsidP="003958BB">
            <w:pPr>
              <w:pStyle w:val="tabletext"/>
              <w:ind w:left="0"/>
            </w:pPr>
            <w:r>
              <w:t>R</w:t>
            </w:r>
            <w:r w:rsidR="002A6304" w:rsidRPr="00D7359E">
              <w:t>epeal</w:t>
            </w:r>
            <w:r>
              <w:t>s</w:t>
            </w:r>
            <w:r w:rsidR="002A6304" w:rsidRPr="00D7359E">
              <w:t xml:space="preserve"> provisions imposing an </w:t>
            </w:r>
            <w:r w:rsidR="00B479C3">
              <w:t>equivalent carbon price</w:t>
            </w:r>
            <w:r w:rsidR="002A6304" w:rsidRPr="00D7359E">
              <w:t xml:space="preserve"> through levies imposed on the import and manufacture of </w:t>
            </w:r>
            <w:r w:rsidR="003958BB">
              <w:t>SGGs</w:t>
            </w:r>
            <w:r w:rsidR="002A6304">
              <w:t>.</w:t>
            </w:r>
          </w:p>
        </w:tc>
      </w:tr>
      <w:tr w:rsidR="002A6304" w:rsidTr="002A6304">
        <w:tc>
          <w:tcPr>
            <w:tcW w:w="2264" w:type="dxa"/>
          </w:tcPr>
          <w:p w:rsidR="002A6304" w:rsidRDefault="002A6304" w:rsidP="002A6304">
            <w:pPr>
              <w:pStyle w:val="tabletext"/>
              <w:ind w:left="0"/>
            </w:pPr>
            <w:r w:rsidRPr="00D7359E">
              <w:t>Climate Change Authority (Abolition) Bill 2013</w:t>
            </w:r>
            <w:r w:rsidR="000C3F86">
              <w:t xml:space="preserve"> [No.2]</w:t>
            </w:r>
          </w:p>
        </w:tc>
        <w:tc>
          <w:tcPr>
            <w:tcW w:w="4507" w:type="dxa"/>
          </w:tcPr>
          <w:p w:rsidR="002A6304" w:rsidRDefault="002A6304" w:rsidP="005E0A59">
            <w:pPr>
              <w:pStyle w:val="tabletext"/>
              <w:ind w:left="0"/>
            </w:pPr>
            <w:r>
              <w:t xml:space="preserve">Abolishes the </w:t>
            </w:r>
            <w:r w:rsidR="005E0A59">
              <w:t>CCA</w:t>
            </w:r>
            <w:r>
              <w:t xml:space="preserve"> and the Land Sector Carbon &amp; Biodiversity Board</w:t>
            </w:r>
            <w:r w:rsidR="00D5237C">
              <w:t xml:space="preserve">.  </w:t>
            </w:r>
          </w:p>
        </w:tc>
      </w:tr>
      <w:tr w:rsidR="002A6304" w:rsidTr="002A6304">
        <w:tc>
          <w:tcPr>
            <w:tcW w:w="2264" w:type="dxa"/>
          </w:tcPr>
          <w:p w:rsidR="002A6304" w:rsidRDefault="003D232A" w:rsidP="00E21517">
            <w:pPr>
              <w:pStyle w:val="tabletext"/>
              <w:ind w:left="0"/>
            </w:pPr>
            <w:r>
              <w:t>Labor 2013-14 Budget Savings (Measures No 1) Bill 2014</w:t>
            </w:r>
          </w:p>
        </w:tc>
        <w:tc>
          <w:tcPr>
            <w:tcW w:w="4507" w:type="dxa"/>
          </w:tcPr>
          <w:p w:rsidR="002A6304" w:rsidRDefault="002A6304" w:rsidP="00E21517">
            <w:pPr>
              <w:pStyle w:val="tabletext"/>
              <w:ind w:left="0"/>
            </w:pPr>
            <w:r w:rsidRPr="00D7359E">
              <w:t>Repeal</w:t>
            </w:r>
            <w:r>
              <w:t>s</w:t>
            </w:r>
            <w:r w:rsidRPr="00D7359E">
              <w:t xml:space="preserve"> the personal income tax cuts </w:t>
            </w:r>
            <w:r w:rsidR="00E21517">
              <w:t>that</w:t>
            </w:r>
            <w:r w:rsidRPr="00D7359E">
              <w:t xml:space="preserve"> were legislated to commen</w:t>
            </w:r>
            <w:r w:rsidR="00E21517">
              <w:t>ce on 1 July 2015, and repeal</w:t>
            </w:r>
            <w:r w:rsidRPr="00D7359E">
              <w:t xml:space="preserve"> the associated amendments to the low-income tax offset</w:t>
            </w:r>
            <w:r>
              <w:t>.</w:t>
            </w:r>
          </w:p>
        </w:tc>
      </w:tr>
      <w:tr w:rsidR="002A6304" w:rsidTr="002A6304">
        <w:tc>
          <w:tcPr>
            <w:tcW w:w="2264" w:type="dxa"/>
          </w:tcPr>
          <w:p w:rsidR="002A6304" w:rsidRDefault="002A6304" w:rsidP="002A6304">
            <w:pPr>
              <w:pStyle w:val="tabletext"/>
              <w:ind w:left="0"/>
            </w:pPr>
            <w:r>
              <w:t xml:space="preserve">Clean Energy Finance </w:t>
            </w:r>
            <w:r w:rsidR="00D74C82">
              <w:t xml:space="preserve">Corporation </w:t>
            </w:r>
            <w:r>
              <w:t>(Abolition) Bill 201</w:t>
            </w:r>
            <w:r w:rsidR="00A9527C">
              <w:t>4</w:t>
            </w:r>
          </w:p>
        </w:tc>
        <w:tc>
          <w:tcPr>
            <w:tcW w:w="4507" w:type="dxa"/>
          </w:tcPr>
          <w:p w:rsidR="002A6304" w:rsidRDefault="002A6304" w:rsidP="005E0A59">
            <w:pPr>
              <w:pStyle w:val="tabletext"/>
              <w:ind w:left="0"/>
            </w:pPr>
            <w:r>
              <w:t>Abolishes the Clean Energy Finance Corporation</w:t>
            </w:r>
            <w:r w:rsidR="005E0A59">
              <w:t xml:space="preserve"> (CEFC)</w:t>
            </w:r>
            <w:r>
              <w:t>.</w:t>
            </w:r>
          </w:p>
        </w:tc>
      </w:tr>
    </w:tbl>
    <w:p w:rsidR="002A6304" w:rsidRPr="002A6304" w:rsidRDefault="002A6304" w:rsidP="00DD3DAF">
      <w:pPr>
        <w:pStyle w:val="base-text-paragraphnonumbers"/>
        <w:rPr>
          <w:b/>
        </w:rPr>
      </w:pPr>
    </w:p>
    <w:p w:rsidR="00A02E26" w:rsidRDefault="00C85947" w:rsidP="00A02E26">
      <w:pPr>
        <w:pStyle w:val="Heading4"/>
      </w:pPr>
      <w:r w:rsidRPr="00B670F7">
        <w:t>Date of effect:</w:t>
      </w:r>
    </w:p>
    <w:p w:rsidR="004F46CB" w:rsidRDefault="004F46CB" w:rsidP="004F46CB">
      <w:pPr>
        <w:pStyle w:val="Heading5"/>
        <w:rPr>
          <w:highlight w:val="yellow"/>
        </w:rPr>
      </w:pPr>
      <w:r w:rsidRPr="004F46CB">
        <w:t>Clean Energy Legislation (</w:t>
      </w:r>
      <w:r w:rsidR="00622B79">
        <w:t>Carbon Tax Repeal</w:t>
      </w:r>
      <w:r w:rsidRPr="004F46CB">
        <w:t>) Bill 201</w:t>
      </w:r>
      <w:r w:rsidR="00B01351">
        <w:t>4</w:t>
      </w:r>
    </w:p>
    <w:p w:rsidR="00C85947" w:rsidRPr="00A45748" w:rsidRDefault="00C85947" w:rsidP="00C85947">
      <w:pPr>
        <w:pStyle w:val="base-text-paragraphnonumbers"/>
      </w:pPr>
      <w:r w:rsidRPr="00A45748">
        <w:t>Sections 1</w:t>
      </w:r>
      <w:r w:rsidR="006D583D" w:rsidRPr="00A45748">
        <w:t xml:space="preserve">, 2 and </w:t>
      </w:r>
      <w:r w:rsidRPr="00A45748">
        <w:t xml:space="preserve">3 </w:t>
      </w:r>
      <w:r w:rsidR="00A45748" w:rsidRPr="00A45748">
        <w:t xml:space="preserve">and anything in </w:t>
      </w:r>
      <w:r w:rsidR="00553508">
        <w:t>the Main Repeal Bill</w:t>
      </w:r>
      <w:r w:rsidR="00A45748" w:rsidRPr="00A45748">
        <w:t xml:space="preserve"> not elsewhere covered in section 2 </w:t>
      </w:r>
      <w:r w:rsidRPr="00A45748">
        <w:t xml:space="preserve">commence on the day </w:t>
      </w:r>
      <w:r w:rsidR="00553508">
        <w:t>the Main Repeal Bill</w:t>
      </w:r>
      <w:r w:rsidRPr="00A45748">
        <w:t xml:space="preserve"> receives the Royal Assent.</w:t>
      </w:r>
    </w:p>
    <w:p w:rsidR="00A45748" w:rsidRDefault="00C85947" w:rsidP="00A45748">
      <w:pPr>
        <w:pStyle w:val="base-text-paragraphnonumbers"/>
      </w:pPr>
      <w:r w:rsidRPr="00A45748">
        <w:t>Schedule 1</w:t>
      </w:r>
      <w:r w:rsidR="00A6062A">
        <w:t>,</w:t>
      </w:r>
      <w:r w:rsidR="00A45748" w:rsidRPr="00A45748">
        <w:t xml:space="preserve"> Part</w:t>
      </w:r>
      <w:r w:rsidR="00A45748">
        <w:t>s</w:t>
      </w:r>
      <w:r w:rsidR="00A45748" w:rsidRPr="00A45748">
        <w:t xml:space="preserve"> 1</w:t>
      </w:r>
      <w:r w:rsidR="00A45748">
        <w:t xml:space="preserve"> and 2</w:t>
      </w:r>
      <w:r w:rsidR="00A02E26" w:rsidRPr="00A45748">
        <w:t xml:space="preserve">, which </w:t>
      </w:r>
      <w:r w:rsidR="00A45748" w:rsidRPr="00F45153">
        <w:t xml:space="preserve">repeal </w:t>
      </w:r>
      <w:r w:rsidR="00174D94">
        <w:t xml:space="preserve">the </w:t>
      </w:r>
      <w:r w:rsidR="003151F1">
        <w:t>CE Act</w:t>
      </w:r>
      <w:r w:rsidR="0069045A">
        <w:t xml:space="preserve"> and the CE </w:t>
      </w:r>
      <w:r w:rsidR="008F43A1">
        <w:t>Charge</w:t>
      </w:r>
      <w:r w:rsidR="00A45748">
        <w:t>s</w:t>
      </w:r>
      <w:r w:rsidR="0069045A">
        <w:t> </w:t>
      </w:r>
      <w:r w:rsidR="008F43A1">
        <w:t>Acts</w:t>
      </w:r>
      <w:r w:rsidR="0069045A">
        <w:t xml:space="preserve"> and make</w:t>
      </w:r>
      <w:r w:rsidR="00A45748">
        <w:t xml:space="preserve"> </w:t>
      </w:r>
      <w:r w:rsidR="009360D9">
        <w:t>c</w:t>
      </w:r>
      <w:r w:rsidR="00A45748">
        <w:t xml:space="preserve">onsequential amendments resulting from </w:t>
      </w:r>
      <w:r w:rsidR="009360D9">
        <w:t>the</w:t>
      </w:r>
      <w:r w:rsidR="00146D5A">
        <w:t>ir</w:t>
      </w:r>
      <w:r w:rsidR="009360D9">
        <w:t xml:space="preserve"> repeal</w:t>
      </w:r>
      <w:r w:rsidR="00A45748">
        <w:t xml:space="preserve">, </w:t>
      </w:r>
      <w:r w:rsidR="00A45748" w:rsidRPr="00A45748">
        <w:t>commence on 1 July 2014</w:t>
      </w:r>
      <w:r w:rsidR="00A45748">
        <w:t>.</w:t>
      </w:r>
    </w:p>
    <w:p w:rsidR="009360D9" w:rsidRDefault="009360D9" w:rsidP="007959ED">
      <w:pPr>
        <w:pStyle w:val="base-text-paragraphnonumbers"/>
      </w:pPr>
      <w:r w:rsidRPr="007959ED">
        <w:t>Schedule</w:t>
      </w:r>
      <w:r w:rsidRPr="00A45748">
        <w:t xml:space="preserve"> 1</w:t>
      </w:r>
      <w:r w:rsidR="00A6062A">
        <w:t>,</w:t>
      </w:r>
      <w:r w:rsidRPr="00A45748">
        <w:t xml:space="preserve"> Part</w:t>
      </w:r>
      <w:r>
        <w:t xml:space="preserve"> 3</w:t>
      </w:r>
      <w:r w:rsidR="00A6062A">
        <w:t>,</w:t>
      </w:r>
      <w:r>
        <w:t xml:space="preserve"> Divisions </w:t>
      </w:r>
      <w:r w:rsidRPr="00A45748">
        <w:t>1</w:t>
      </w:r>
      <w:r>
        <w:t xml:space="preserve"> to 4</w:t>
      </w:r>
      <w:r w:rsidR="007959ED">
        <w:t>, which</w:t>
      </w:r>
      <w:r w:rsidR="007959ED" w:rsidRPr="007959ED">
        <w:t xml:space="preserve"> </w:t>
      </w:r>
      <w:r w:rsidR="007959ED">
        <w:t xml:space="preserve">provide </w:t>
      </w:r>
      <w:r>
        <w:t>transitional provisions necessary to wind up the carbon tax</w:t>
      </w:r>
      <w:r w:rsidR="007959ED">
        <w:t xml:space="preserve"> and provisions to all</w:t>
      </w:r>
      <w:r w:rsidR="007959ED" w:rsidRPr="007959ED">
        <w:t xml:space="preserve">ow the final compliance process to occur </w:t>
      </w:r>
      <w:r w:rsidR="007959ED">
        <w:t>and enable the payment and future enforcement of carbon tax liabilities relating to 2012-13 and 2013-14</w:t>
      </w:r>
      <w:r>
        <w:t>,</w:t>
      </w:r>
      <w:r w:rsidR="007959ED">
        <w:t xml:space="preserve"> </w:t>
      </w:r>
      <w:r w:rsidRPr="00A45748">
        <w:t>commence on 1 July 2014</w:t>
      </w:r>
      <w:r>
        <w:t>.</w:t>
      </w:r>
    </w:p>
    <w:p w:rsidR="002F1577" w:rsidRDefault="007959ED" w:rsidP="002F1577">
      <w:pPr>
        <w:pStyle w:val="base-text-paragraphnonumbers"/>
      </w:pPr>
      <w:r w:rsidRPr="007959ED">
        <w:t>Schedule</w:t>
      </w:r>
      <w:r w:rsidRPr="00A45748">
        <w:t xml:space="preserve"> 1</w:t>
      </w:r>
      <w:r w:rsidR="00A6062A">
        <w:t>,</w:t>
      </w:r>
      <w:r w:rsidRPr="00A45748">
        <w:t xml:space="preserve"> Part</w:t>
      </w:r>
      <w:r>
        <w:t xml:space="preserve"> 3</w:t>
      </w:r>
      <w:r w:rsidR="00A6062A">
        <w:t>,</w:t>
      </w:r>
      <w:r>
        <w:t xml:space="preserve"> Div</w:t>
      </w:r>
      <w:r w:rsidR="002F1577">
        <w:t>ision 5, which stops carbon unit auctions from being conducted</w:t>
      </w:r>
      <w:r w:rsidR="008F43A1">
        <w:t>, cancels any auctioned units (with refunds)</w:t>
      </w:r>
      <w:r w:rsidR="002F1577">
        <w:t xml:space="preserve"> and ends the requirement for</w:t>
      </w:r>
      <w:r w:rsidR="00DD3DAF">
        <w:t xml:space="preserve"> regulations relating to carbon p</w:t>
      </w:r>
      <w:r w:rsidR="002F1577">
        <w:t xml:space="preserve">ollution caps and price ceilings if the legislation is enacted before 1 July 2014, </w:t>
      </w:r>
      <w:r w:rsidR="002F1577" w:rsidRPr="00A45748">
        <w:t>commence</w:t>
      </w:r>
      <w:r w:rsidR="002F1577">
        <w:t>s</w:t>
      </w:r>
      <w:r w:rsidR="002F1577" w:rsidRPr="00A45748">
        <w:t xml:space="preserve"> on the day </w:t>
      </w:r>
      <w:r w:rsidR="00553508">
        <w:t>the Main Repeal Bill</w:t>
      </w:r>
      <w:r w:rsidR="002F1577" w:rsidRPr="00A45748">
        <w:t xml:space="preserve"> receives the Royal Assent</w:t>
      </w:r>
      <w:r w:rsidR="002F1577">
        <w:t>.</w:t>
      </w:r>
    </w:p>
    <w:p w:rsidR="00FC0ED8" w:rsidRPr="00FC0ED8" w:rsidRDefault="00FC0ED8" w:rsidP="00FC0ED8">
      <w:pPr>
        <w:pStyle w:val="base-text-paragraphnonumbers"/>
      </w:pPr>
      <w:r w:rsidRPr="007959ED">
        <w:t>Schedule</w:t>
      </w:r>
      <w:r w:rsidRPr="00A45748">
        <w:t xml:space="preserve"> 1 Part</w:t>
      </w:r>
      <w:r>
        <w:t xml:space="preserve"> 4, which includes provisions to finalise industry assistance, commences on</w:t>
      </w:r>
      <w:r w:rsidRPr="00FC0ED8">
        <w:t>:</w:t>
      </w:r>
    </w:p>
    <w:p w:rsidR="00A6062A" w:rsidRPr="00FC0ED8" w:rsidRDefault="00A6062A" w:rsidP="00A6062A">
      <w:pPr>
        <w:pStyle w:val="dotpoint"/>
      </w:pPr>
      <w:r w:rsidRPr="00E72E1F">
        <w:t>1</w:t>
      </w:r>
      <w:r>
        <w:t xml:space="preserve"> </w:t>
      </w:r>
      <w:r w:rsidRPr="00E72E1F">
        <w:t xml:space="preserve">July 2014, if </w:t>
      </w:r>
      <w:r w:rsidR="00553508">
        <w:t>the Main Repeal Bill</w:t>
      </w:r>
      <w:r w:rsidRPr="00E72E1F">
        <w:t xml:space="preserve"> receives the Royal Assent before 30</w:t>
      </w:r>
      <w:r>
        <w:t xml:space="preserve"> </w:t>
      </w:r>
      <w:r w:rsidRPr="00E72E1F">
        <w:t>June</w:t>
      </w:r>
      <w:r>
        <w:t xml:space="preserve"> 2014; or</w:t>
      </w:r>
    </w:p>
    <w:p w:rsidR="00FC0ED8" w:rsidRDefault="00DD3DAF" w:rsidP="00FC0ED8">
      <w:pPr>
        <w:pStyle w:val="dotpoint"/>
      </w:pPr>
      <w:r>
        <w:t>t</w:t>
      </w:r>
      <w:r w:rsidR="00FC0ED8" w:rsidRPr="00E72E1F">
        <w:t xml:space="preserve">he day after </w:t>
      </w:r>
      <w:r w:rsidR="00553508">
        <w:t>the Main Repeal Bill</w:t>
      </w:r>
      <w:r w:rsidR="00FC0ED8" w:rsidRPr="00E72E1F">
        <w:t xml:space="preserve"> receives the Royal Assent</w:t>
      </w:r>
      <w:r w:rsidR="00453679">
        <w:t>.</w:t>
      </w:r>
    </w:p>
    <w:p w:rsidR="00FC0ED8" w:rsidRDefault="00FC0ED8" w:rsidP="00FC0ED8">
      <w:pPr>
        <w:pStyle w:val="base-text-paragraphnonumbers"/>
      </w:pPr>
      <w:r w:rsidRPr="00FC0ED8">
        <w:t xml:space="preserve">Schedule </w:t>
      </w:r>
      <w:r>
        <w:t>2</w:t>
      </w:r>
      <w:r w:rsidRPr="00FC0ED8">
        <w:t xml:space="preserve">, which </w:t>
      </w:r>
      <w:r>
        <w:t>includes provisions to prohibit carbon tax-related price exploitation and false or misleading representations, and to give the ACCC additional price monitoring powers</w:t>
      </w:r>
      <w:r w:rsidRPr="00FC0ED8">
        <w:t>, commences on</w:t>
      </w:r>
      <w:r>
        <w:t xml:space="preserve"> the later of</w:t>
      </w:r>
      <w:r w:rsidRPr="00FC0ED8">
        <w:t>:</w:t>
      </w:r>
    </w:p>
    <w:p w:rsidR="00FC0ED8" w:rsidRDefault="00FC0ED8" w:rsidP="00FC0ED8">
      <w:pPr>
        <w:pStyle w:val="dotpoint"/>
      </w:pPr>
      <w:r>
        <w:t xml:space="preserve">the day after </w:t>
      </w:r>
      <w:r w:rsidR="00553508">
        <w:t>the Main Repeal Bill</w:t>
      </w:r>
      <w:r>
        <w:t xml:space="preserve"> receives the Royal Assent; and</w:t>
      </w:r>
    </w:p>
    <w:p w:rsidR="00FC0ED8" w:rsidRDefault="00FC0ED8" w:rsidP="00FC0ED8">
      <w:pPr>
        <w:pStyle w:val="dotpoint"/>
      </w:pPr>
      <w:r>
        <w:t>1 January 2014</w:t>
      </w:r>
      <w:r w:rsidR="00310730">
        <w:t>.</w:t>
      </w:r>
    </w:p>
    <w:p w:rsidR="007959ED" w:rsidRDefault="00310730" w:rsidP="00310730">
      <w:pPr>
        <w:pStyle w:val="base-text-paragraphnonumbers"/>
      </w:pPr>
      <w:r>
        <w:t>Schedule 3</w:t>
      </w:r>
      <w:r w:rsidRPr="00310730">
        <w:t xml:space="preserve">, which </w:t>
      </w:r>
      <w:r>
        <w:t xml:space="preserve">repeals the conservation tillage tax offset, </w:t>
      </w:r>
      <w:r w:rsidRPr="00310730">
        <w:t xml:space="preserve">commences the </w:t>
      </w:r>
      <w:r>
        <w:t xml:space="preserve">day after </w:t>
      </w:r>
      <w:r w:rsidR="00553508">
        <w:t>the Main Repeal Bill</w:t>
      </w:r>
      <w:r>
        <w:t xml:space="preserve"> receives the Royal Assent.</w:t>
      </w:r>
    </w:p>
    <w:p w:rsidR="00310730" w:rsidRDefault="00310730" w:rsidP="00310730">
      <w:pPr>
        <w:pStyle w:val="base-text-paragraphnonumbers"/>
      </w:pPr>
      <w:r>
        <w:t>Schedule 4</w:t>
      </w:r>
      <w:r w:rsidRPr="00310730">
        <w:t xml:space="preserve">, which </w:t>
      </w:r>
      <w:r>
        <w:t xml:space="preserve">repeals the </w:t>
      </w:r>
      <w:r w:rsidRPr="00310730">
        <w:rPr>
          <w:i/>
        </w:rPr>
        <w:t>Steel Transformation Plan Act 2011</w:t>
      </w:r>
      <w:r>
        <w:t xml:space="preserve">, </w:t>
      </w:r>
      <w:r w:rsidRPr="00310730">
        <w:t xml:space="preserve">commences on </w:t>
      </w:r>
      <w:r>
        <w:t>1 July 2014.</w:t>
      </w:r>
    </w:p>
    <w:p w:rsidR="0008538B" w:rsidRDefault="0008538B" w:rsidP="00310730">
      <w:pPr>
        <w:pStyle w:val="base-text-paragraphnonumbers"/>
      </w:pPr>
      <w:r>
        <w:t>Schedule 5, which amends the</w:t>
      </w:r>
      <w:r w:rsidRPr="0008538B">
        <w:t xml:space="preserve"> funding for the ARENA</w:t>
      </w:r>
      <w:r>
        <w:t xml:space="preserve">, commences </w:t>
      </w:r>
      <w:r w:rsidRPr="00A45748">
        <w:t xml:space="preserve">the day </w:t>
      </w:r>
      <w:r w:rsidR="00553508">
        <w:t>the Main Repeal Bill</w:t>
      </w:r>
      <w:r w:rsidRPr="00A45748">
        <w:t xml:space="preserve"> receives the Royal Assent</w:t>
      </w:r>
      <w:r>
        <w:t>.</w:t>
      </w:r>
    </w:p>
    <w:p w:rsidR="00FA7FCC" w:rsidRDefault="00FA7FCC" w:rsidP="00FA7FCC">
      <w:pPr>
        <w:pStyle w:val="Heading5"/>
      </w:pPr>
      <w:r>
        <w:t xml:space="preserve">True-up Shortfall Levy </w:t>
      </w:r>
      <w:r w:rsidR="00B807FC">
        <w:t xml:space="preserve">(General) </w:t>
      </w:r>
      <w:r>
        <w:t>(</w:t>
      </w:r>
      <w:r w:rsidR="00622B79">
        <w:t>Carbon Tax Repeal</w:t>
      </w:r>
      <w:r>
        <w:t>) Bill 201</w:t>
      </w:r>
      <w:r w:rsidR="00B01351">
        <w:t>4</w:t>
      </w:r>
    </w:p>
    <w:p w:rsidR="00FA7FCC" w:rsidRDefault="00FA7FCC" w:rsidP="00FA7FCC">
      <w:pPr>
        <w:pStyle w:val="base-text-paragraphnonumbers"/>
      </w:pPr>
      <w:r w:rsidRPr="00A45748">
        <w:t>Sections 1</w:t>
      </w:r>
      <w:r w:rsidR="00B807FC">
        <w:t xml:space="preserve"> and</w:t>
      </w:r>
      <w:r w:rsidRPr="00A45748">
        <w:t xml:space="preserve"> 2 and anything in the </w:t>
      </w:r>
      <w:r w:rsidR="00216ED9">
        <w:t>Bill</w:t>
      </w:r>
      <w:r w:rsidRPr="00A45748">
        <w:t xml:space="preserve"> not elsewhere covered </w:t>
      </w:r>
      <w:r w:rsidR="00B807FC">
        <w:t>in section </w:t>
      </w:r>
      <w:r w:rsidRPr="00A45748">
        <w:t xml:space="preserve">2 commence on the day the </w:t>
      </w:r>
      <w:r w:rsidR="00216ED9">
        <w:t>Bill</w:t>
      </w:r>
      <w:r w:rsidRPr="00A45748">
        <w:t xml:space="preserve"> receives the Royal Assent.</w:t>
      </w:r>
    </w:p>
    <w:p w:rsidR="00B807FC" w:rsidRDefault="00BD79C7" w:rsidP="00FA7FCC">
      <w:pPr>
        <w:pStyle w:val="base-text-paragraphnonumbers"/>
      </w:pPr>
      <w:r>
        <w:t>All other sections</w:t>
      </w:r>
      <w:r w:rsidR="00B807FC">
        <w:t xml:space="preserve"> </w:t>
      </w:r>
      <w:r w:rsidR="00B807FC" w:rsidRPr="00A45748">
        <w:t xml:space="preserve">commence </w:t>
      </w:r>
      <w:r w:rsidR="00946518">
        <w:t>a</w:t>
      </w:r>
      <w:r w:rsidR="00B807FC" w:rsidRPr="00B807FC">
        <w:t xml:space="preserve">t the same time </w:t>
      </w:r>
      <w:r w:rsidR="00946518">
        <w:t>that</w:t>
      </w:r>
      <w:r w:rsidR="00B807FC" w:rsidRPr="00B807FC">
        <w:t xml:space="preserve"> Part 4 of Schedule 1 to the </w:t>
      </w:r>
      <w:r w:rsidR="008F43A1">
        <w:t xml:space="preserve">Main </w:t>
      </w:r>
      <w:r w:rsidR="00B807FC" w:rsidRPr="00B807FC">
        <w:t xml:space="preserve">Repeal </w:t>
      </w:r>
      <w:r w:rsidR="004E7203">
        <w:t>Bill</w:t>
      </w:r>
      <w:r w:rsidR="004E7203" w:rsidRPr="00B807FC">
        <w:t xml:space="preserve"> </w:t>
      </w:r>
      <w:r w:rsidR="00B807FC" w:rsidRPr="00B807FC">
        <w:t>commences</w:t>
      </w:r>
      <w:r w:rsidR="004E7203">
        <w:t>.</w:t>
      </w:r>
    </w:p>
    <w:p w:rsidR="00FA7FCC" w:rsidRDefault="00B807FC" w:rsidP="00FA7FCC">
      <w:pPr>
        <w:pStyle w:val="Heading5"/>
      </w:pPr>
      <w:r w:rsidRPr="00B807FC">
        <w:t xml:space="preserve">True-up Shortfall Levy </w:t>
      </w:r>
      <w:r>
        <w:t xml:space="preserve">(Excise) </w:t>
      </w:r>
      <w:r w:rsidRPr="00B807FC">
        <w:t>(</w:t>
      </w:r>
      <w:r w:rsidR="00622B79">
        <w:t>Carbon Tax Repeal</w:t>
      </w:r>
      <w:r w:rsidRPr="00B807FC">
        <w:t>) Bill 201</w:t>
      </w:r>
      <w:r w:rsidR="00B01351">
        <w:t>4</w:t>
      </w:r>
    </w:p>
    <w:p w:rsidR="00946518" w:rsidRPr="00946518" w:rsidRDefault="00946518" w:rsidP="00946518">
      <w:pPr>
        <w:pStyle w:val="Heading5"/>
        <w:rPr>
          <w:bCs w:val="0"/>
          <w:i w:val="0"/>
          <w:iCs w:val="0"/>
          <w:szCs w:val="20"/>
        </w:rPr>
      </w:pPr>
      <w:r w:rsidRPr="00946518">
        <w:rPr>
          <w:bCs w:val="0"/>
          <w:i w:val="0"/>
          <w:iCs w:val="0"/>
          <w:szCs w:val="20"/>
        </w:rPr>
        <w:t xml:space="preserve">Sections 1 and 2 and anything in the </w:t>
      </w:r>
      <w:r w:rsidR="00216ED9">
        <w:rPr>
          <w:bCs w:val="0"/>
          <w:i w:val="0"/>
          <w:iCs w:val="0"/>
          <w:szCs w:val="20"/>
        </w:rPr>
        <w:t>Bill</w:t>
      </w:r>
      <w:r w:rsidRPr="00946518">
        <w:rPr>
          <w:bCs w:val="0"/>
          <w:i w:val="0"/>
          <w:iCs w:val="0"/>
          <w:szCs w:val="20"/>
        </w:rPr>
        <w:t xml:space="preserve"> n</w:t>
      </w:r>
      <w:r>
        <w:rPr>
          <w:bCs w:val="0"/>
          <w:i w:val="0"/>
          <w:iCs w:val="0"/>
          <w:szCs w:val="20"/>
        </w:rPr>
        <w:t>ot elsewhere covered in section </w:t>
      </w:r>
      <w:r w:rsidRPr="00946518">
        <w:rPr>
          <w:bCs w:val="0"/>
          <w:i w:val="0"/>
          <w:iCs w:val="0"/>
          <w:szCs w:val="20"/>
        </w:rPr>
        <w:t xml:space="preserve">2 commence on the day the </w:t>
      </w:r>
      <w:r w:rsidR="00216ED9">
        <w:rPr>
          <w:bCs w:val="0"/>
          <w:i w:val="0"/>
          <w:iCs w:val="0"/>
          <w:szCs w:val="20"/>
        </w:rPr>
        <w:t>Bill</w:t>
      </w:r>
      <w:r w:rsidRPr="00946518">
        <w:rPr>
          <w:bCs w:val="0"/>
          <w:i w:val="0"/>
          <w:iCs w:val="0"/>
          <w:szCs w:val="20"/>
        </w:rPr>
        <w:t xml:space="preserve"> receives the Royal Assent.</w:t>
      </w:r>
    </w:p>
    <w:p w:rsidR="00946518" w:rsidRPr="004E7203" w:rsidRDefault="00BD79C7" w:rsidP="004E7203">
      <w:pPr>
        <w:pStyle w:val="base-text-paragraphnonumbers"/>
      </w:pPr>
      <w:r w:rsidRPr="004E7203">
        <w:t>All other sections</w:t>
      </w:r>
      <w:r w:rsidR="00946518" w:rsidRPr="00946518">
        <w:t xml:space="preserve"> commence at the same time </w:t>
      </w:r>
      <w:r w:rsidR="00946518" w:rsidRPr="004E7203">
        <w:t>that</w:t>
      </w:r>
      <w:r w:rsidR="00946518" w:rsidRPr="00946518">
        <w:t xml:space="preserve"> Part 4 of Schedule 1 to the </w:t>
      </w:r>
      <w:r w:rsidR="008F43A1">
        <w:t>Main</w:t>
      </w:r>
      <w:r w:rsidR="00946518" w:rsidRPr="00946518">
        <w:t xml:space="preserve"> Repeal </w:t>
      </w:r>
      <w:r w:rsidR="00E032CB">
        <w:t>Bill</w:t>
      </w:r>
      <w:r w:rsidR="00946518" w:rsidRPr="00946518">
        <w:t xml:space="preserve"> commences</w:t>
      </w:r>
    </w:p>
    <w:p w:rsidR="00FA7FCC" w:rsidRPr="00946518" w:rsidRDefault="00FA7FCC" w:rsidP="00946518">
      <w:pPr>
        <w:pStyle w:val="Heading5"/>
      </w:pPr>
      <w:r w:rsidRPr="00946518">
        <w:t>Customs Tariff Amendment (</w:t>
      </w:r>
      <w:r w:rsidR="00622B79">
        <w:t>Carbon Tax Repeal</w:t>
      </w:r>
      <w:r w:rsidRPr="00946518">
        <w:t>) Bill 201</w:t>
      </w:r>
      <w:r w:rsidR="00B01351">
        <w:t>4</w:t>
      </w:r>
      <w:r w:rsidRPr="00946518">
        <w:t xml:space="preserve"> </w:t>
      </w:r>
    </w:p>
    <w:p w:rsidR="00FA7FCC" w:rsidRDefault="00FA7FCC" w:rsidP="00FA7FCC">
      <w:pPr>
        <w:pStyle w:val="base-text-paragraphnonumbers"/>
      </w:pPr>
      <w:r w:rsidRPr="00946518">
        <w:t xml:space="preserve">Sections 1, 2 and 3 and anything in the </w:t>
      </w:r>
      <w:r w:rsidR="00216ED9">
        <w:t>Bill</w:t>
      </w:r>
      <w:r w:rsidRPr="00946518">
        <w:t xml:space="preserve"> not elsewhere covered in section 2 commence on the day the </w:t>
      </w:r>
      <w:r w:rsidR="00216ED9">
        <w:t>Bill</w:t>
      </w:r>
      <w:r w:rsidRPr="00946518">
        <w:t xml:space="preserve"> receives the Royal Assent.</w:t>
      </w:r>
    </w:p>
    <w:p w:rsidR="00946518" w:rsidRPr="00BD79C7" w:rsidRDefault="00946518" w:rsidP="004E7203">
      <w:pPr>
        <w:pStyle w:val="base-text-paragraphnonumbers"/>
      </w:pPr>
      <w:r w:rsidRPr="004E7203">
        <w:t>Schedule 1</w:t>
      </w:r>
      <w:r w:rsidRPr="00946518">
        <w:t xml:space="preserve"> commence</w:t>
      </w:r>
      <w:r w:rsidRPr="004E7203">
        <w:t>s</w:t>
      </w:r>
      <w:r w:rsidRPr="00946518">
        <w:t xml:space="preserve"> at the same t</w:t>
      </w:r>
      <w:r w:rsidRPr="004E7203">
        <w:t>ime that Part 1</w:t>
      </w:r>
      <w:r w:rsidRPr="00946518">
        <w:t xml:space="preserve"> of Schedule 1 to the </w:t>
      </w:r>
      <w:r w:rsidR="008F43A1">
        <w:t>Main</w:t>
      </w:r>
      <w:r w:rsidRPr="00946518">
        <w:t xml:space="preserve"> Repeal </w:t>
      </w:r>
      <w:r w:rsidR="00E032CB">
        <w:t>Bill</w:t>
      </w:r>
      <w:r w:rsidRPr="00946518">
        <w:t xml:space="preserve"> commences</w:t>
      </w:r>
      <w:r w:rsidRPr="004E7203">
        <w:t>.</w:t>
      </w:r>
    </w:p>
    <w:p w:rsidR="00FA7FCC" w:rsidRPr="004E7203" w:rsidRDefault="00FA7FCC" w:rsidP="00FA7FCC">
      <w:pPr>
        <w:pStyle w:val="Heading5"/>
      </w:pPr>
      <w:r w:rsidRPr="004E7203">
        <w:t>Excise Tariff Amendment (</w:t>
      </w:r>
      <w:r w:rsidR="00622B79">
        <w:t>Carbon Tax Repeal</w:t>
      </w:r>
      <w:r w:rsidRPr="004E7203">
        <w:t>) Bill 201</w:t>
      </w:r>
      <w:r w:rsidR="00B01351">
        <w:t>4</w:t>
      </w:r>
    </w:p>
    <w:p w:rsidR="004E7203" w:rsidRPr="004E7203" w:rsidRDefault="004E7203" w:rsidP="004E7203">
      <w:pPr>
        <w:pStyle w:val="base-text-paragraphnonumbers"/>
      </w:pPr>
      <w:r w:rsidRPr="004E7203">
        <w:t xml:space="preserve">Sections 1, 2 and 3 and anything in the </w:t>
      </w:r>
      <w:r w:rsidR="00216ED9">
        <w:t>Bill</w:t>
      </w:r>
      <w:r w:rsidRPr="004E7203">
        <w:t xml:space="preserve"> not elsewhere covered in section 2 commence on the day the </w:t>
      </w:r>
      <w:r w:rsidR="00216ED9">
        <w:t>Bill</w:t>
      </w:r>
      <w:r w:rsidRPr="004E7203">
        <w:t xml:space="preserve"> receives the Royal Assent.</w:t>
      </w:r>
    </w:p>
    <w:p w:rsidR="004E7203" w:rsidRPr="004E7203" w:rsidRDefault="004E7203" w:rsidP="004E7203">
      <w:pPr>
        <w:pStyle w:val="base-text-paragraphnonumbers"/>
      </w:pPr>
      <w:r w:rsidRPr="004E7203">
        <w:t>Schedule 1</w:t>
      </w:r>
      <w:r w:rsidRPr="00946518">
        <w:t xml:space="preserve"> commence</w:t>
      </w:r>
      <w:r w:rsidRPr="004E7203">
        <w:t>s</w:t>
      </w:r>
      <w:r w:rsidRPr="00946518">
        <w:t xml:space="preserve"> at the same t</w:t>
      </w:r>
      <w:r w:rsidRPr="004E7203">
        <w:t>ime that Part 1</w:t>
      </w:r>
      <w:r w:rsidRPr="00946518">
        <w:t xml:space="preserve"> of Schedule 1 to the </w:t>
      </w:r>
      <w:r w:rsidR="008F43A1">
        <w:t>Main</w:t>
      </w:r>
      <w:r w:rsidRPr="00946518">
        <w:t xml:space="preserve"> Repeal </w:t>
      </w:r>
      <w:r w:rsidRPr="004E7203">
        <w:t xml:space="preserve">Bill </w:t>
      </w:r>
      <w:r w:rsidRPr="00946518">
        <w:t>commences</w:t>
      </w:r>
      <w:r w:rsidRPr="004E7203">
        <w:t>.</w:t>
      </w:r>
    </w:p>
    <w:p w:rsidR="00FA7FCC" w:rsidRPr="004E7203" w:rsidRDefault="00FA7FCC" w:rsidP="004E7203">
      <w:pPr>
        <w:pStyle w:val="Heading5"/>
      </w:pPr>
      <w:r w:rsidRPr="004E7203">
        <w:t>Ozone Protection and Synthetic Greenhouse Gas (Import Levy) Amendment (</w:t>
      </w:r>
      <w:r w:rsidR="00622B79">
        <w:t>Carbon Tax Repeal</w:t>
      </w:r>
      <w:r w:rsidRPr="004E7203">
        <w:t>) Bill 201</w:t>
      </w:r>
      <w:r w:rsidR="00B01351">
        <w:t>4</w:t>
      </w:r>
    </w:p>
    <w:p w:rsidR="004E7203" w:rsidRPr="004E7203" w:rsidRDefault="004E7203" w:rsidP="004E7203">
      <w:pPr>
        <w:pStyle w:val="base-text-paragraphnonumbers"/>
      </w:pPr>
      <w:r w:rsidRPr="004E7203">
        <w:t xml:space="preserve">Sections 1, 2 and 3 and anything in the </w:t>
      </w:r>
      <w:r w:rsidR="00216ED9">
        <w:t>Bill</w:t>
      </w:r>
      <w:r w:rsidRPr="004E7203">
        <w:t xml:space="preserve"> not elsewhere covered in section 2 commence on the day the </w:t>
      </w:r>
      <w:r w:rsidR="00216ED9">
        <w:t>Bill</w:t>
      </w:r>
      <w:r w:rsidRPr="004E7203">
        <w:t xml:space="preserve"> receives the Royal Assent.</w:t>
      </w:r>
    </w:p>
    <w:p w:rsidR="004E7203" w:rsidRPr="004E7203" w:rsidRDefault="004E7203" w:rsidP="004E7203">
      <w:pPr>
        <w:pStyle w:val="base-text-paragraphnonumbers"/>
      </w:pPr>
      <w:r w:rsidRPr="004E7203">
        <w:t>Schedule 1</w:t>
      </w:r>
      <w:r w:rsidRPr="00946518">
        <w:t xml:space="preserve"> commence</w:t>
      </w:r>
      <w:r w:rsidRPr="004E7203">
        <w:t>s</w:t>
      </w:r>
      <w:r w:rsidRPr="00946518">
        <w:t xml:space="preserve"> at the same t</w:t>
      </w:r>
      <w:r w:rsidRPr="004E7203">
        <w:t>ime that Part 1</w:t>
      </w:r>
      <w:r w:rsidRPr="00946518">
        <w:t xml:space="preserve"> of Schedule 1 to the </w:t>
      </w:r>
      <w:r w:rsidR="00662579">
        <w:t>Main</w:t>
      </w:r>
      <w:r w:rsidRPr="00946518">
        <w:t xml:space="preserve"> Repeal </w:t>
      </w:r>
      <w:r w:rsidRPr="004E7203">
        <w:t>Bill</w:t>
      </w:r>
      <w:r w:rsidRPr="00946518">
        <w:t xml:space="preserve"> commences</w:t>
      </w:r>
      <w:r w:rsidRPr="004E7203">
        <w:t>.</w:t>
      </w:r>
    </w:p>
    <w:p w:rsidR="00FA7FCC" w:rsidRPr="004E7203" w:rsidRDefault="00FA7FCC" w:rsidP="004E7203">
      <w:pPr>
        <w:pStyle w:val="Heading5"/>
      </w:pPr>
      <w:r w:rsidRPr="004E7203">
        <w:t>Ozone Protection and Synthetic Greenhouse Gas (Manufacture Levy) Amendment (</w:t>
      </w:r>
      <w:r w:rsidR="00622B79">
        <w:t>Carbon Tax Repeal</w:t>
      </w:r>
      <w:r w:rsidRPr="004E7203">
        <w:t>) Bill 201</w:t>
      </w:r>
      <w:r w:rsidR="00B01351">
        <w:t>4</w:t>
      </w:r>
    </w:p>
    <w:p w:rsidR="00FA7FCC" w:rsidRPr="004E7203" w:rsidRDefault="00FA7FCC" w:rsidP="00FA7FCC">
      <w:pPr>
        <w:pStyle w:val="base-text-paragraphnonumbers"/>
      </w:pPr>
      <w:r w:rsidRPr="004E7203">
        <w:t xml:space="preserve">Sections 1, 2 and 3 and anything in the </w:t>
      </w:r>
      <w:r w:rsidR="00216ED9">
        <w:t>Bill</w:t>
      </w:r>
      <w:r w:rsidRPr="004E7203">
        <w:t xml:space="preserve"> not elsewhere covered in section 2 commence on the day the </w:t>
      </w:r>
      <w:r w:rsidR="00216ED9">
        <w:t>Bill</w:t>
      </w:r>
      <w:r w:rsidRPr="004E7203">
        <w:t xml:space="preserve"> receives the Royal Assent.</w:t>
      </w:r>
    </w:p>
    <w:p w:rsidR="004E7203" w:rsidRPr="00BD79C7" w:rsidRDefault="004E7203" w:rsidP="004E7203">
      <w:pPr>
        <w:pStyle w:val="base-text-paragraphnonumbers"/>
      </w:pPr>
      <w:r w:rsidRPr="004E7203">
        <w:t>Schedule 1</w:t>
      </w:r>
      <w:r w:rsidRPr="00946518">
        <w:t xml:space="preserve"> commence</w:t>
      </w:r>
      <w:r w:rsidRPr="004E7203">
        <w:t>s</w:t>
      </w:r>
      <w:r w:rsidRPr="00946518">
        <w:t xml:space="preserve"> at the same t</w:t>
      </w:r>
      <w:r w:rsidRPr="004E7203">
        <w:t>ime that Part 1</w:t>
      </w:r>
      <w:r w:rsidRPr="00946518">
        <w:t xml:space="preserve"> of Schedule 1 to the </w:t>
      </w:r>
      <w:r w:rsidR="00662579">
        <w:t>Main</w:t>
      </w:r>
      <w:r w:rsidRPr="00946518">
        <w:t xml:space="preserve"> Repeal </w:t>
      </w:r>
      <w:r w:rsidRPr="004E7203">
        <w:t xml:space="preserve">Bill </w:t>
      </w:r>
      <w:r w:rsidRPr="00946518">
        <w:t>commences</w:t>
      </w:r>
      <w:r w:rsidRPr="004E7203">
        <w:t>.</w:t>
      </w:r>
    </w:p>
    <w:p w:rsidR="00A02E26" w:rsidRDefault="00C85947" w:rsidP="00E552C1">
      <w:pPr>
        <w:pStyle w:val="Heading4"/>
      </w:pPr>
      <w:r w:rsidRPr="00B670F7">
        <w:t xml:space="preserve">Proposal announced: </w:t>
      </w:r>
      <w:r w:rsidRPr="00C85947">
        <w:t xml:space="preserve"> </w:t>
      </w:r>
    </w:p>
    <w:p w:rsidR="00146D5A" w:rsidRDefault="00057B34" w:rsidP="00D367EE">
      <w:pPr>
        <w:pStyle w:val="base-text-paragraphnonumbers"/>
      </w:pPr>
      <w:r w:rsidRPr="00057B34">
        <w:t>The Prime Minister, the Hon Tony Abbott MP, and the Minister for the Environment, the Hon Greg Hunt MP, announced the Government’s plan to repeal the carbon tax on Tuesday, 15 October 2013, reflecting the Coalition longstanding and public commitment to this policy</w:t>
      </w:r>
      <w:r w:rsidR="00D5237C">
        <w:t xml:space="preserve">.  </w:t>
      </w:r>
    </w:p>
    <w:p w:rsidR="00D367EE" w:rsidRDefault="00D367EE" w:rsidP="00D367EE">
      <w:pPr>
        <w:pStyle w:val="base-text-paragraphnonumbers"/>
        <w:rPr>
          <w:b/>
          <w:i/>
        </w:rPr>
      </w:pPr>
    </w:p>
    <w:p w:rsidR="00C85947" w:rsidRPr="00C85947" w:rsidRDefault="00C85947" w:rsidP="00A02E26">
      <w:pPr>
        <w:pStyle w:val="Heading4"/>
      </w:pPr>
      <w:r w:rsidRPr="00C85947">
        <w:t xml:space="preserve">Financial impact: </w:t>
      </w:r>
    </w:p>
    <w:p w:rsidR="00E440DB" w:rsidRDefault="00E440DB" w:rsidP="00E440DB">
      <w:pPr>
        <w:pStyle w:val="base-text-paragraphnonumbers"/>
      </w:pPr>
      <w:r w:rsidRPr="00E440DB">
        <w:t xml:space="preserve">The financial impact associated with the </w:t>
      </w:r>
      <w:r>
        <w:t>repealing the carbon tax</w:t>
      </w:r>
      <w:r w:rsidRPr="00E440DB">
        <w:t xml:space="preserve"> is reflected in </w:t>
      </w:r>
      <w:r w:rsidR="00E21517">
        <w:t xml:space="preserve">the </w:t>
      </w:r>
      <w:r w:rsidRPr="00E440DB">
        <w:t xml:space="preserve">Tables 1 </w:t>
      </w:r>
      <w:r w:rsidR="00B23A52">
        <w:t>and</w:t>
      </w:r>
      <w:r w:rsidRPr="00E440DB">
        <w:t xml:space="preserve"> </w:t>
      </w:r>
      <w:r>
        <w:t>2</w:t>
      </w:r>
      <w:r w:rsidRPr="00E440DB">
        <w:t xml:space="preserve"> below</w:t>
      </w:r>
      <w:r w:rsidR="004319AB">
        <w:t>.</w:t>
      </w:r>
    </w:p>
    <w:p w:rsidR="00146D5A" w:rsidRDefault="00146D5A">
      <w:pPr>
        <w:spacing w:before="0" w:after="0"/>
        <w:rPr>
          <w:b/>
        </w:rPr>
      </w:pPr>
    </w:p>
    <w:p w:rsidR="00E440DB" w:rsidRDefault="00E21517" w:rsidP="00E440DB">
      <w:pPr>
        <w:pStyle w:val="base-text-paragraphnonumbers"/>
        <w:rPr>
          <w:b/>
        </w:rPr>
      </w:pPr>
      <w:r>
        <w:rPr>
          <w:b/>
        </w:rPr>
        <w:t>Table 1</w:t>
      </w:r>
      <w:r w:rsidR="00E440DB" w:rsidRPr="00E440DB">
        <w:rPr>
          <w:b/>
        </w:rPr>
        <w:t xml:space="preserve">: </w:t>
      </w:r>
      <w:r>
        <w:rPr>
          <w:b/>
        </w:rPr>
        <w:t>Fiscal balance impact of</w:t>
      </w:r>
      <w:r w:rsidRPr="00E440DB">
        <w:rPr>
          <w:b/>
        </w:rPr>
        <w:t xml:space="preserve"> </w:t>
      </w:r>
      <w:r w:rsidRPr="00802755">
        <w:rPr>
          <w:b/>
        </w:rPr>
        <w:t>carbon</w:t>
      </w:r>
      <w:r>
        <w:rPr>
          <w:b/>
        </w:rPr>
        <w:t xml:space="preserve"> tax repeal and </w:t>
      </w:r>
      <w:r w:rsidR="0069045A">
        <w:rPr>
          <w:b/>
        </w:rPr>
        <w:t>carbon</w:t>
      </w:r>
      <w:r w:rsidR="0069045A">
        <w:rPr>
          <w:b/>
        </w:rPr>
        <w:noBreakHyphen/>
      </w:r>
      <w:r w:rsidRPr="00802755">
        <w:rPr>
          <w:b/>
        </w:rPr>
        <w:t xml:space="preserve">related programs </w:t>
      </w:r>
      <w:r w:rsidRPr="00E440DB">
        <w:rPr>
          <w:b/>
        </w:rPr>
        <w:t>($ million)</w:t>
      </w:r>
    </w:p>
    <w:tbl>
      <w:tblPr>
        <w:tblStyle w:val="TableGrid20"/>
        <w:tblW w:w="6736" w:type="dxa"/>
        <w:tblInd w:w="1242" w:type="dxa"/>
        <w:tblLayout w:type="fixed"/>
        <w:tblLook w:val="04A0" w:firstRow="1" w:lastRow="0" w:firstColumn="1" w:lastColumn="0" w:noHBand="0" w:noVBand="1"/>
      </w:tblPr>
      <w:tblGrid>
        <w:gridCol w:w="2694"/>
        <w:gridCol w:w="798"/>
        <w:gridCol w:w="798"/>
        <w:gridCol w:w="798"/>
        <w:gridCol w:w="798"/>
        <w:gridCol w:w="850"/>
      </w:tblGrid>
      <w:tr w:rsidR="0050698B" w:rsidRPr="002B52B3" w:rsidTr="004067EC">
        <w:trPr>
          <w:trHeight w:val="368"/>
          <w:tblHeader/>
        </w:trPr>
        <w:tc>
          <w:tcPr>
            <w:tcW w:w="2694" w:type="dxa"/>
            <w:shd w:val="clear" w:color="auto" w:fill="D9D9D9" w:themeFill="background1" w:themeFillShade="D9"/>
            <w:noWrap/>
            <w:vAlign w:val="center"/>
          </w:tcPr>
          <w:p w:rsidR="0050698B" w:rsidRPr="0050698B" w:rsidRDefault="0050698B" w:rsidP="004067EC">
            <w:pPr>
              <w:spacing w:before="0" w:after="0"/>
              <w:jc w:val="center"/>
              <w:rPr>
                <w:rFonts w:ascii="Times New Roman" w:eastAsia="Times New Roman" w:hAnsi="Times New Roman"/>
                <w:b/>
                <w:i/>
                <w:sz w:val="16"/>
                <w:szCs w:val="16"/>
                <w:lang w:eastAsia="en-AU"/>
              </w:rPr>
            </w:pPr>
            <w:r w:rsidRPr="0050698B">
              <w:rPr>
                <w:rFonts w:ascii="Times New Roman" w:eastAsia="Times New Roman" w:hAnsi="Times New Roman"/>
                <w:b/>
                <w:i/>
                <w:sz w:val="16"/>
                <w:szCs w:val="16"/>
                <w:lang w:eastAsia="en-AU"/>
              </w:rPr>
              <w:t>Fiscal balance ($m)</w:t>
            </w:r>
          </w:p>
        </w:tc>
        <w:tc>
          <w:tcPr>
            <w:tcW w:w="798" w:type="dxa"/>
            <w:shd w:val="clear" w:color="auto" w:fill="D9D9D9" w:themeFill="background1" w:themeFillShade="D9"/>
            <w:vAlign w:val="center"/>
          </w:tcPr>
          <w:p w:rsidR="0050698B" w:rsidRPr="0050698B" w:rsidRDefault="0050698B" w:rsidP="004067EC">
            <w:pPr>
              <w:spacing w:before="0" w:after="0"/>
              <w:jc w:val="center"/>
              <w:rPr>
                <w:rFonts w:ascii="Times New Roman" w:eastAsia="Times New Roman" w:hAnsi="Times New Roman"/>
                <w:b/>
                <w:i/>
                <w:sz w:val="16"/>
                <w:szCs w:val="16"/>
                <w:lang w:eastAsia="en-AU"/>
              </w:rPr>
            </w:pPr>
            <w:r w:rsidRPr="0050698B">
              <w:rPr>
                <w:rFonts w:ascii="Times New Roman" w:eastAsia="Times New Roman" w:hAnsi="Times New Roman"/>
                <w:b/>
                <w:i/>
                <w:sz w:val="16"/>
                <w:szCs w:val="16"/>
                <w:lang w:eastAsia="en-AU"/>
              </w:rPr>
              <w:t>2013-14</w:t>
            </w:r>
          </w:p>
        </w:tc>
        <w:tc>
          <w:tcPr>
            <w:tcW w:w="798" w:type="dxa"/>
            <w:shd w:val="clear" w:color="auto" w:fill="D9D9D9" w:themeFill="background1" w:themeFillShade="D9"/>
            <w:vAlign w:val="center"/>
          </w:tcPr>
          <w:p w:rsidR="0050698B" w:rsidRPr="0050698B" w:rsidRDefault="0050698B" w:rsidP="004067EC">
            <w:pPr>
              <w:spacing w:before="0" w:after="0"/>
              <w:jc w:val="center"/>
              <w:rPr>
                <w:rFonts w:ascii="Times New Roman" w:eastAsia="Times New Roman" w:hAnsi="Times New Roman"/>
                <w:b/>
                <w:i/>
                <w:sz w:val="16"/>
                <w:szCs w:val="16"/>
                <w:lang w:eastAsia="en-AU"/>
              </w:rPr>
            </w:pPr>
            <w:r w:rsidRPr="0050698B">
              <w:rPr>
                <w:rFonts w:ascii="Times New Roman" w:eastAsia="Times New Roman" w:hAnsi="Times New Roman"/>
                <w:b/>
                <w:i/>
                <w:sz w:val="16"/>
                <w:szCs w:val="16"/>
                <w:lang w:eastAsia="en-AU"/>
              </w:rPr>
              <w:t>2014-15</w:t>
            </w:r>
          </w:p>
        </w:tc>
        <w:tc>
          <w:tcPr>
            <w:tcW w:w="798" w:type="dxa"/>
            <w:shd w:val="clear" w:color="auto" w:fill="D9D9D9" w:themeFill="background1" w:themeFillShade="D9"/>
            <w:vAlign w:val="center"/>
          </w:tcPr>
          <w:p w:rsidR="0050698B" w:rsidRPr="0050698B" w:rsidRDefault="0050698B" w:rsidP="004067EC">
            <w:pPr>
              <w:spacing w:before="0" w:after="0"/>
              <w:jc w:val="center"/>
              <w:rPr>
                <w:rFonts w:ascii="Times New Roman" w:eastAsia="Times New Roman" w:hAnsi="Times New Roman"/>
                <w:b/>
                <w:i/>
                <w:sz w:val="16"/>
                <w:szCs w:val="16"/>
                <w:lang w:eastAsia="en-AU"/>
              </w:rPr>
            </w:pPr>
            <w:r w:rsidRPr="0050698B">
              <w:rPr>
                <w:rFonts w:ascii="Times New Roman" w:eastAsia="Times New Roman" w:hAnsi="Times New Roman"/>
                <w:b/>
                <w:i/>
                <w:sz w:val="16"/>
                <w:szCs w:val="16"/>
                <w:lang w:eastAsia="en-AU"/>
              </w:rPr>
              <w:t>2015-16</w:t>
            </w:r>
          </w:p>
        </w:tc>
        <w:tc>
          <w:tcPr>
            <w:tcW w:w="798" w:type="dxa"/>
            <w:shd w:val="clear" w:color="auto" w:fill="D9D9D9" w:themeFill="background1" w:themeFillShade="D9"/>
            <w:vAlign w:val="center"/>
          </w:tcPr>
          <w:p w:rsidR="0050698B" w:rsidRPr="0050698B" w:rsidRDefault="0050698B" w:rsidP="004067EC">
            <w:pPr>
              <w:spacing w:before="0" w:after="0"/>
              <w:jc w:val="center"/>
              <w:rPr>
                <w:rFonts w:ascii="Times New Roman" w:eastAsia="Times New Roman" w:hAnsi="Times New Roman"/>
                <w:b/>
                <w:i/>
                <w:sz w:val="16"/>
                <w:szCs w:val="16"/>
                <w:lang w:eastAsia="en-AU"/>
              </w:rPr>
            </w:pPr>
            <w:r w:rsidRPr="0050698B">
              <w:rPr>
                <w:rFonts w:ascii="Times New Roman" w:eastAsia="Times New Roman" w:hAnsi="Times New Roman"/>
                <w:b/>
                <w:i/>
                <w:sz w:val="16"/>
                <w:szCs w:val="16"/>
                <w:lang w:eastAsia="en-AU"/>
              </w:rPr>
              <w:t>2016-17</w:t>
            </w:r>
          </w:p>
        </w:tc>
        <w:tc>
          <w:tcPr>
            <w:tcW w:w="850" w:type="dxa"/>
            <w:shd w:val="clear" w:color="auto" w:fill="D9D9D9" w:themeFill="background1" w:themeFillShade="D9"/>
            <w:vAlign w:val="center"/>
          </w:tcPr>
          <w:p w:rsidR="0050698B" w:rsidRPr="0050698B" w:rsidRDefault="0050698B" w:rsidP="004067EC">
            <w:pPr>
              <w:spacing w:before="0" w:after="0"/>
              <w:jc w:val="center"/>
              <w:rPr>
                <w:rFonts w:ascii="Times New Roman" w:eastAsia="Times New Roman" w:hAnsi="Times New Roman"/>
                <w:b/>
                <w:i/>
                <w:sz w:val="16"/>
                <w:szCs w:val="16"/>
                <w:lang w:eastAsia="en-AU"/>
              </w:rPr>
            </w:pPr>
            <w:r w:rsidRPr="0050698B">
              <w:rPr>
                <w:rFonts w:ascii="Times New Roman" w:eastAsia="Times New Roman" w:hAnsi="Times New Roman"/>
                <w:b/>
                <w:i/>
                <w:sz w:val="16"/>
                <w:szCs w:val="16"/>
                <w:lang w:eastAsia="en-AU"/>
              </w:rPr>
              <w:t>Total</w:t>
            </w:r>
          </w:p>
        </w:tc>
      </w:tr>
      <w:tr w:rsidR="00A83401" w:rsidRPr="00EB74E3" w:rsidTr="004067EC">
        <w:trPr>
          <w:trHeight w:val="368"/>
        </w:trPr>
        <w:tc>
          <w:tcPr>
            <w:tcW w:w="2694" w:type="dxa"/>
            <w:tcBorders>
              <w:top w:val="single" w:sz="8" w:space="0" w:color="auto"/>
              <w:bottom w:val="single" w:sz="8" w:space="0" w:color="auto"/>
            </w:tcBorders>
            <w:noWrap/>
          </w:tcPr>
          <w:p w:rsidR="00A83401" w:rsidRPr="00EB74E3" w:rsidRDefault="00A83401" w:rsidP="007B5409">
            <w:pPr>
              <w:spacing w:before="0" w:after="0"/>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Total cost of the removal of the carbon tax</w:t>
            </w:r>
          </w:p>
        </w:tc>
        <w:tc>
          <w:tcPr>
            <w:tcW w:w="798" w:type="dxa"/>
            <w:tcBorders>
              <w:top w:val="single" w:sz="8" w:space="0" w:color="auto"/>
              <w:bottom w:val="single" w:sz="8" w:space="0" w:color="auto"/>
            </w:tcBorders>
            <w:noWrap/>
          </w:tcPr>
          <w:p w:rsidR="00A83401" w:rsidRPr="00EB74E3" w:rsidRDefault="00A83401" w:rsidP="00A8340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0.0</w:t>
            </w:r>
          </w:p>
        </w:tc>
        <w:tc>
          <w:tcPr>
            <w:tcW w:w="798" w:type="dxa"/>
            <w:tcBorders>
              <w:top w:val="single" w:sz="8" w:space="0" w:color="auto"/>
              <w:bottom w:val="single" w:sz="8" w:space="0" w:color="auto"/>
            </w:tcBorders>
            <w:noWrap/>
          </w:tcPr>
          <w:p w:rsidR="00A83401" w:rsidRPr="00EB74E3" w:rsidRDefault="00A83401" w:rsidP="00A8340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-2,220.0</w:t>
            </w:r>
          </w:p>
        </w:tc>
        <w:tc>
          <w:tcPr>
            <w:tcW w:w="798" w:type="dxa"/>
            <w:tcBorders>
              <w:top w:val="single" w:sz="8" w:space="0" w:color="auto"/>
              <w:bottom w:val="single" w:sz="8" w:space="0" w:color="auto"/>
            </w:tcBorders>
            <w:noWrap/>
          </w:tcPr>
          <w:p w:rsidR="00A83401" w:rsidRPr="00EB74E3" w:rsidRDefault="00A83401" w:rsidP="00A8340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-4,650.0</w:t>
            </w:r>
          </w:p>
        </w:tc>
        <w:tc>
          <w:tcPr>
            <w:tcW w:w="798" w:type="dxa"/>
            <w:tcBorders>
              <w:top w:val="single" w:sz="8" w:space="0" w:color="auto"/>
              <w:bottom w:val="single" w:sz="8" w:space="0" w:color="auto"/>
            </w:tcBorders>
            <w:noWrap/>
          </w:tcPr>
          <w:p w:rsidR="00A83401" w:rsidRPr="00EB74E3" w:rsidRDefault="00A83401" w:rsidP="00A8340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-6,840.0</w:t>
            </w:r>
          </w:p>
        </w:tc>
        <w:tc>
          <w:tcPr>
            <w:tcW w:w="850" w:type="dxa"/>
            <w:tcBorders>
              <w:top w:val="single" w:sz="8" w:space="0" w:color="auto"/>
              <w:bottom w:val="single" w:sz="8" w:space="0" w:color="auto"/>
            </w:tcBorders>
            <w:noWrap/>
          </w:tcPr>
          <w:p w:rsidR="00A83401" w:rsidRPr="00EB74E3" w:rsidRDefault="00A83401" w:rsidP="00A8340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-13,710.0</w:t>
            </w:r>
          </w:p>
        </w:tc>
      </w:tr>
      <w:tr w:rsidR="0050698B" w:rsidRPr="00EB74E3" w:rsidTr="004067EC">
        <w:trPr>
          <w:trHeight w:val="368"/>
        </w:trPr>
        <w:tc>
          <w:tcPr>
            <w:tcW w:w="2694" w:type="dxa"/>
            <w:tcBorders>
              <w:top w:val="single" w:sz="8" w:space="0" w:color="auto"/>
              <w:bottom w:val="single" w:sz="8" w:space="0" w:color="auto"/>
            </w:tcBorders>
            <w:noWrap/>
            <w:hideMark/>
          </w:tcPr>
          <w:p w:rsidR="0050698B" w:rsidRPr="00EB74E3" w:rsidRDefault="0050698B" w:rsidP="00201FB1">
            <w:pPr>
              <w:spacing w:before="0" w:after="0"/>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Total business compensation measures</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0.0</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984.0</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1,829.0</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2,499.7</w:t>
            </w:r>
          </w:p>
        </w:tc>
        <w:tc>
          <w:tcPr>
            <w:tcW w:w="850"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5,312.7</w:t>
            </w:r>
          </w:p>
        </w:tc>
      </w:tr>
      <w:tr w:rsidR="0050698B" w:rsidRPr="00EB74E3" w:rsidTr="004067EC">
        <w:trPr>
          <w:trHeight w:val="368"/>
        </w:trPr>
        <w:tc>
          <w:tcPr>
            <w:tcW w:w="2694" w:type="dxa"/>
            <w:tcBorders>
              <w:top w:val="single" w:sz="8" w:space="0" w:color="auto"/>
              <w:bottom w:val="single" w:sz="8" w:space="0" w:color="auto"/>
            </w:tcBorders>
            <w:noWrap/>
            <w:hideMark/>
          </w:tcPr>
          <w:p w:rsidR="0050698B" w:rsidRPr="00EB74E3" w:rsidRDefault="0050698B" w:rsidP="00201FB1">
            <w:pPr>
              <w:spacing w:before="0" w:after="0"/>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Total energy market compensation measures </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-1.4</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507.4</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-13.4</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-17.8</w:t>
            </w:r>
          </w:p>
        </w:tc>
        <w:tc>
          <w:tcPr>
            <w:tcW w:w="850"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474.7</w:t>
            </w:r>
          </w:p>
        </w:tc>
      </w:tr>
      <w:tr w:rsidR="0050698B" w:rsidRPr="00EB74E3" w:rsidTr="004067EC">
        <w:trPr>
          <w:trHeight w:val="368"/>
        </w:trPr>
        <w:tc>
          <w:tcPr>
            <w:tcW w:w="2694" w:type="dxa"/>
            <w:tcBorders>
              <w:top w:val="single" w:sz="8" w:space="0" w:color="auto"/>
              <w:bottom w:val="single" w:sz="8" w:space="0" w:color="auto"/>
            </w:tcBorders>
            <w:noWrap/>
            <w:hideMark/>
          </w:tcPr>
          <w:p w:rsidR="0050698B" w:rsidRPr="00EB74E3" w:rsidRDefault="0050698B" w:rsidP="00201FB1">
            <w:pPr>
              <w:spacing w:before="0" w:after="0"/>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 xml:space="preserve">Total </w:t>
            </w:r>
            <w:r w:rsidR="00F3643B" w:rsidRPr="00EB74E3">
              <w:rPr>
                <w:rFonts w:ascii="Times New Roman" w:eastAsia="Times New Roman" w:hAnsi="Times New Roman"/>
                <w:sz w:val="16"/>
                <w:szCs w:val="16"/>
                <w:lang w:eastAsia="en-AU"/>
              </w:rPr>
              <w:t xml:space="preserve">land initiatives </w:t>
            </w:r>
            <w:r w:rsidRPr="00EB74E3">
              <w:rPr>
                <w:rFonts w:ascii="Times New Roman" w:eastAsia="Times New Roman" w:hAnsi="Times New Roman"/>
                <w:sz w:val="16"/>
                <w:szCs w:val="16"/>
                <w:lang w:eastAsia="en-AU"/>
              </w:rPr>
              <w:t>and unnecessary bureaucracies</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2</w:t>
            </w:r>
            <w:r w:rsidR="00EB74E3">
              <w:rPr>
                <w:rFonts w:ascii="Times New Roman" w:eastAsia="Times New Roman" w:hAnsi="Times New Roman"/>
                <w:sz w:val="16"/>
                <w:szCs w:val="16"/>
                <w:lang w:eastAsia="en-AU"/>
              </w:rPr>
              <w:t>1</w:t>
            </w:r>
            <w:r w:rsidRPr="00EB74E3">
              <w:rPr>
                <w:rFonts w:ascii="Times New Roman" w:eastAsia="Times New Roman" w:hAnsi="Times New Roman"/>
                <w:sz w:val="16"/>
                <w:szCs w:val="16"/>
                <w:lang w:eastAsia="en-AU"/>
              </w:rPr>
              <w:t>.5</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62.9</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34.5</w:t>
            </w:r>
          </w:p>
        </w:tc>
        <w:tc>
          <w:tcPr>
            <w:tcW w:w="798" w:type="dxa"/>
            <w:tcBorders>
              <w:top w:val="single" w:sz="8" w:space="0" w:color="auto"/>
              <w:bottom w:val="single" w:sz="8" w:space="0" w:color="auto"/>
            </w:tcBorders>
            <w:noWrap/>
            <w:hideMark/>
          </w:tcPr>
          <w:p w:rsidR="0050698B" w:rsidRPr="00EB74E3" w:rsidRDefault="0050698B" w:rsidP="00201FB1">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32.1</w:t>
            </w:r>
          </w:p>
        </w:tc>
        <w:tc>
          <w:tcPr>
            <w:tcW w:w="850" w:type="dxa"/>
            <w:tcBorders>
              <w:top w:val="single" w:sz="8" w:space="0" w:color="auto"/>
              <w:bottom w:val="single" w:sz="8" w:space="0" w:color="auto"/>
            </w:tcBorders>
            <w:noWrap/>
            <w:hideMark/>
          </w:tcPr>
          <w:p w:rsidR="0050698B" w:rsidRPr="00EB74E3" w:rsidRDefault="0050698B" w:rsidP="00906B78">
            <w:pPr>
              <w:spacing w:before="0" w:after="0"/>
              <w:jc w:val="right"/>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15</w:t>
            </w:r>
            <w:r w:rsidR="00906B78">
              <w:rPr>
                <w:rFonts w:ascii="Times New Roman" w:eastAsia="Times New Roman" w:hAnsi="Times New Roman"/>
                <w:sz w:val="16"/>
                <w:szCs w:val="16"/>
                <w:lang w:eastAsia="en-AU"/>
              </w:rPr>
              <w:t>1</w:t>
            </w:r>
            <w:r w:rsidRPr="00EB74E3">
              <w:rPr>
                <w:rFonts w:ascii="Times New Roman" w:eastAsia="Times New Roman" w:hAnsi="Times New Roman"/>
                <w:sz w:val="16"/>
                <w:szCs w:val="16"/>
                <w:lang w:eastAsia="en-AU"/>
              </w:rPr>
              <w:t>.</w:t>
            </w:r>
            <w:r w:rsidR="00906B78">
              <w:rPr>
                <w:rFonts w:ascii="Times New Roman" w:eastAsia="Times New Roman" w:hAnsi="Times New Roman"/>
                <w:sz w:val="16"/>
                <w:szCs w:val="16"/>
                <w:lang w:eastAsia="en-AU"/>
              </w:rPr>
              <w:t>1</w:t>
            </w:r>
          </w:p>
        </w:tc>
      </w:tr>
      <w:tr w:rsidR="008E2C0E" w:rsidRPr="00EB74E3" w:rsidTr="004067EC">
        <w:trPr>
          <w:trHeight w:val="368"/>
        </w:trPr>
        <w:tc>
          <w:tcPr>
            <w:tcW w:w="2694" w:type="dxa"/>
            <w:tcBorders>
              <w:top w:val="single" w:sz="8" w:space="0" w:color="auto"/>
              <w:bottom w:val="single" w:sz="8" w:space="0" w:color="auto"/>
            </w:tcBorders>
            <w:noWrap/>
            <w:hideMark/>
          </w:tcPr>
          <w:p w:rsidR="008E2C0E" w:rsidRPr="00EB74E3" w:rsidRDefault="008E2C0E" w:rsidP="00201FB1">
            <w:pPr>
              <w:spacing w:before="0" w:after="0"/>
              <w:rPr>
                <w:rFonts w:ascii="Times New Roman" w:eastAsia="Times New Roman" w:hAnsi="Times New Roman"/>
                <w:sz w:val="16"/>
                <w:szCs w:val="16"/>
                <w:lang w:eastAsia="en-AU"/>
              </w:rPr>
            </w:pPr>
            <w:r w:rsidRPr="00EB74E3">
              <w:rPr>
                <w:rFonts w:ascii="Times New Roman" w:eastAsia="Times New Roman" w:hAnsi="Times New Roman"/>
                <w:sz w:val="16"/>
                <w:szCs w:val="16"/>
                <w:lang w:eastAsia="en-AU"/>
              </w:rPr>
              <w:t>Total other measures</w:t>
            </w:r>
          </w:p>
        </w:tc>
        <w:tc>
          <w:tcPr>
            <w:tcW w:w="798" w:type="dxa"/>
            <w:tcBorders>
              <w:top w:val="single" w:sz="8" w:space="0" w:color="auto"/>
              <w:bottom w:val="single" w:sz="8" w:space="0" w:color="auto"/>
            </w:tcBorders>
            <w:noWrap/>
            <w:hideMark/>
          </w:tcPr>
          <w:p w:rsidR="008E2C0E" w:rsidRPr="00EB74E3" w:rsidRDefault="008E2C0E" w:rsidP="00201FB1">
            <w:pPr>
              <w:spacing w:before="0" w:after="0"/>
              <w:jc w:val="right"/>
              <w:rPr>
                <w:rFonts w:ascii="Times New Roman" w:eastAsia="Times New Roman" w:hAnsi="Times New Roman"/>
                <w:sz w:val="16"/>
                <w:szCs w:val="16"/>
                <w:lang w:eastAsia="en-AU"/>
              </w:rPr>
            </w:pPr>
            <w:r>
              <w:rPr>
                <w:rFonts w:ascii="Times New Roman" w:eastAsia="Times New Roman" w:hAnsi="Times New Roman"/>
                <w:sz w:val="16"/>
                <w:szCs w:val="16"/>
                <w:lang w:eastAsia="en-AU"/>
              </w:rPr>
              <w:t>0.6</w:t>
            </w:r>
          </w:p>
        </w:tc>
        <w:tc>
          <w:tcPr>
            <w:tcW w:w="798" w:type="dxa"/>
            <w:tcBorders>
              <w:top w:val="single" w:sz="8" w:space="0" w:color="auto"/>
              <w:bottom w:val="single" w:sz="8" w:space="0" w:color="auto"/>
            </w:tcBorders>
            <w:noWrap/>
            <w:hideMark/>
          </w:tcPr>
          <w:p w:rsidR="008E2C0E" w:rsidRPr="00EB74E3" w:rsidRDefault="008E2C0E" w:rsidP="00201FB1">
            <w:pPr>
              <w:spacing w:before="0" w:after="0"/>
              <w:jc w:val="right"/>
              <w:rPr>
                <w:rFonts w:ascii="Times New Roman" w:eastAsia="Times New Roman" w:hAnsi="Times New Roman"/>
                <w:sz w:val="16"/>
                <w:szCs w:val="16"/>
                <w:lang w:eastAsia="en-AU"/>
              </w:rPr>
            </w:pPr>
            <w:r>
              <w:rPr>
                <w:rFonts w:ascii="Times New Roman" w:eastAsia="Times New Roman" w:hAnsi="Times New Roman"/>
                <w:sz w:val="16"/>
                <w:szCs w:val="16"/>
                <w:lang w:eastAsia="en-AU"/>
              </w:rPr>
              <w:t>304.9</w:t>
            </w:r>
          </w:p>
        </w:tc>
        <w:tc>
          <w:tcPr>
            <w:tcW w:w="798" w:type="dxa"/>
            <w:tcBorders>
              <w:top w:val="single" w:sz="8" w:space="0" w:color="auto"/>
              <w:bottom w:val="single" w:sz="8" w:space="0" w:color="auto"/>
            </w:tcBorders>
            <w:noWrap/>
            <w:hideMark/>
          </w:tcPr>
          <w:p w:rsidR="008E2C0E" w:rsidRPr="00EB74E3" w:rsidRDefault="008E2C0E" w:rsidP="00201FB1">
            <w:pPr>
              <w:spacing w:before="0" w:after="0"/>
              <w:jc w:val="right"/>
              <w:rPr>
                <w:rFonts w:ascii="Times New Roman" w:eastAsia="Times New Roman" w:hAnsi="Times New Roman"/>
                <w:sz w:val="16"/>
                <w:szCs w:val="16"/>
                <w:lang w:eastAsia="en-AU"/>
              </w:rPr>
            </w:pPr>
            <w:r>
              <w:rPr>
                <w:rFonts w:ascii="Times New Roman" w:eastAsia="Times New Roman" w:hAnsi="Times New Roman"/>
                <w:sz w:val="16"/>
                <w:szCs w:val="16"/>
                <w:lang w:eastAsia="en-AU"/>
              </w:rPr>
              <w:t>335.5</w:t>
            </w:r>
          </w:p>
        </w:tc>
        <w:tc>
          <w:tcPr>
            <w:tcW w:w="798" w:type="dxa"/>
            <w:tcBorders>
              <w:top w:val="single" w:sz="8" w:space="0" w:color="auto"/>
              <w:bottom w:val="single" w:sz="8" w:space="0" w:color="auto"/>
            </w:tcBorders>
            <w:noWrap/>
            <w:hideMark/>
          </w:tcPr>
          <w:p w:rsidR="008E2C0E" w:rsidRPr="00EB74E3" w:rsidRDefault="008E2C0E" w:rsidP="00201FB1">
            <w:pPr>
              <w:spacing w:before="0" w:after="0"/>
              <w:jc w:val="right"/>
              <w:rPr>
                <w:rFonts w:ascii="Times New Roman" w:eastAsia="Times New Roman" w:hAnsi="Times New Roman"/>
                <w:sz w:val="16"/>
                <w:szCs w:val="16"/>
                <w:lang w:eastAsia="en-AU"/>
              </w:rPr>
            </w:pPr>
            <w:r>
              <w:rPr>
                <w:rFonts w:ascii="Times New Roman" w:eastAsia="Times New Roman" w:hAnsi="Times New Roman"/>
                <w:sz w:val="16"/>
                <w:szCs w:val="16"/>
                <w:lang w:eastAsia="en-AU"/>
              </w:rPr>
              <w:t>199.1</w:t>
            </w:r>
          </w:p>
        </w:tc>
        <w:tc>
          <w:tcPr>
            <w:tcW w:w="850" w:type="dxa"/>
            <w:tcBorders>
              <w:top w:val="single" w:sz="8" w:space="0" w:color="auto"/>
              <w:bottom w:val="single" w:sz="8" w:space="0" w:color="auto"/>
            </w:tcBorders>
            <w:noWrap/>
            <w:hideMark/>
          </w:tcPr>
          <w:p w:rsidR="008E2C0E" w:rsidRPr="00EB74E3" w:rsidRDefault="008E2C0E" w:rsidP="00201FB1">
            <w:pPr>
              <w:spacing w:before="0" w:after="0"/>
              <w:jc w:val="right"/>
              <w:rPr>
                <w:rFonts w:ascii="Times New Roman" w:eastAsia="Times New Roman" w:hAnsi="Times New Roman"/>
                <w:sz w:val="16"/>
                <w:szCs w:val="16"/>
                <w:lang w:eastAsia="en-AU"/>
              </w:rPr>
            </w:pPr>
            <w:r>
              <w:rPr>
                <w:rFonts w:ascii="Times New Roman" w:eastAsia="Times New Roman" w:hAnsi="Times New Roman"/>
                <w:sz w:val="16"/>
                <w:szCs w:val="16"/>
                <w:lang w:eastAsia="en-AU"/>
              </w:rPr>
              <w:t>839.9</w:t>
            </w:r>
          </w:p>
        </w:tc>
      </w:tr>
      <w:tr w:rsidR="008E2C0E" w:rsidRPr="00EB74E3" w:rsidTr="004067EC">
        <w:trPr>
          <w:trHeight w:val="368"/>
        </w:trPr>
        <w:tc>
          <w:tcPr>
            <w:tcW w:w="2694" w:type="dxa"/>
            <w:tcBorders>
              <w:top w:val="single" w:sz="8" w:space="0" w:color="auto"/>
              <w:bottom w:val="single" w:sz="8" w:space="0" w:color="auto"/>
            </w:tcBorders>
            <w:noWrap/>
            <w:hideMark/>
          </w:tcPr>
          <w:p w:rsidR="008E2C0E" w:rsidRPr="00EB74E3" w:rsidRDefault="008E2C0E" w:rsidP="00201FB1">
            <w:pPr>
              <w:spacing w:before="0" w:after="0"/>
              <w:rPr>
                <w:rFonts w:ascii="Times New Roman" w:eastAsia="Times New Roman" w:hAnsi="Times New Roman"/>
                <w:b/>
                <w:sz w:val="16"/>
                <w:szCs w:val="16"/>
                <w:lang w:eastAsia="en-AU"/>
              </w:rPr>
            </w:pPr>
            <w:r w:rsidRPr="00EB74E3">
              <w:rPr>
                <w:rFonts w:ascii="Times New Roman" w:eastAsia="Times New Roman" w:hAnsi="Times New Roman"/>
                <w:b/>
                <w:sz w:val="16"/>
                <w:szCs w:val="16"/>
                <w:lang w:eastAsia="en-AU"/>
              </w:rPr>
              <w:t>Total savings from removal of measures</w:t>
            </w:r>
          </w:p>
        </w:tc>
        <w:tc>
          <w:tcPr>
            <w:tcW w:w="798" w:type="dxa"/>
            <w:tcBorders>
              <w:top w:val="single" w:sz="8" w:space="0" w:color="auto"/>
              <w:bottom w:val="single" w:sz="8" w:space="0" w:color="auto"/>
            </w:tcBorders>
            <w:noWrap/>
            <w:hideMark/>
          </w:tcPr>
          <w:p w:rsidR="008E2C0E" w:rsidRPr="00EB74E3" w:rsidRDefault="008E2C0E" w:rsidP="00201FB1">
            <w:pPr>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20.8</w:t>
            </w:r>
          </w:p>
        </w:tc>
        <w:tc>
          <w:tcPr>
            <w:tcW w:w="798" w:type="dxa"/>
            <w:tcBorders>
              <w:top w:val="single" w:sz="8" w:space="0" w:color="auto"/>
              <w:bottom w:val="single" w:sz="8" w:space="0" w:color="auto"/>
            </w:tcBorders>
            <w:noWrap/>
            <w:hideMark/>
          </w:tcPr>
          <w:p w:rsidR="008E2C0E" w:rsidRPr="00EB74E3" w:rsidRDefault="008E2C0E" w:rsidP="00201FB1">
            <w:pPr>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1,859.1</w:t>
            </w:r>
          </w:p>
        </w:tc>
        <w:tc>
          <w:tcPr>
            <w:tcW w:w="798" w:type="dxa"/>
            <w:tcBorders>
              <w:top w:val="single" w:sz="8" w:space="0" w:color="auto"/>
              <w:bottom w:val="single" w:sz="8" w:space="0" w:color="auto"/>
            </w:tcBorders>
            <w:noWrap/>
            <w:hideMark/>
          </w:tcPr>
          <w:p w:rsidR="008E2C0E" w:rsidRPr="00EB74E3" w:rsidRDefault="008E2C0E" w:rsidP="00201FB1">
            <w:pPr>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2,185.7</w:t>
            </w:r>
          </w:p>
        </w:tc>
        <w:tc>
          <w:tcPr>
            <w:tcW w:w="798" w:type="dxa"/>
            <w:tcBorders>
              <w:top w:val="single" w:sz="8" w:space="0" w:color="auto"/>
              <w:bottom w:val="single" w:sz="8" w:space="0" w:color="auto"/>
            </w:tcBorders>
            <w:noWrap/>
            <w:hideMark/>
          </w:tcPr>
          <w:p w:rsidR="008E2C0E" w:rsidRPr="00EB74E3" w:rsidRDefault="008E2C0E" w:rsidP="00201FB1">
            <w:pPr>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2,713.0</w:t>
            </w:r>
          </w:p>
        </w:tc>
        <w:tc>
          <w:tcPr>
            <w:tcW w:w="850" w:type="dxa"/>
            <w:tcBorders>
              <w:top w:val="single" w:sz="8" w:space="0" w:color="auto"/>
              <w:bottom w:val="single" w:sz="8" w:space="0" w:color="auto"/>
            </w:tcBorders>
            <w:noWrap/>
            <w:hideMark/>
          </w:tcPr>
          <w:p w:rsidR="008E2C0E" w:rsidRPr="00EB74E3" w:rsidRDefault="008E2C0E" w:rsidP="00201FB1">
            <w:pPr>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6,778.5</w:t>
            </w:r>
          </w:p>
        </w:tc>
      </w:tr>
      <w:tr w:rsidR="008E2C0E" w:rsidRPr="00EB74E3" w:rsidTr="004067EC">
        <w:trPr>
          <w:trHeight w:val="368"/>
        </w:trPr>
        <w:tc>
          <w:tcPr>
            <w:tcW w:w="2694" w:type="dxa"/>
            <w:tcBorders>
              <w:top w:val="single" w:sz="8" w:space="0" w:color="auto"/>
              <w:bottom w:val="single" w:sz="8" w:space="0" w:color="auto"/>
            </w:tcBorders>
            <w:noWrap/>
            <w:hideMark/>
          </w:tcPr>
          <w:p w:rsidR="008E2C0E" w:rsidRPr="00EB74E3" w:rsidRDefault="008E2C0E" w:rsidP="00201FB1">
            <w:pPr>
              <w:spacing w:before="0" w:after="0"/>
              <w:rPr>
                <w:rFonts w:ascii="Times New Roman" w:eastAsia="Times New Roman" w:hAnsi="Times New Roman"/>
                <w:b/>
                <w:sz w:val="16"/>
                <w:szCs w:val="16"/>
                <w:lang w:eastAsia="en-AU"/>
              </w:rPr>
            </w:pPr>
            <w:r w:rsidRPr="00EB74E3">
              <w:rPr>
                <w:rFonts w:ascii="Times New Roman" w:eastAsia="Times New Roman" w:hAnsi="Times New Roman"/>
                <w:b/>
                <w:sz w:val="16"/>
                <w:szCs w:val="16"/>
                <w:lang w:eastAsia="en-AU"/>
              </w:rPr>
              <w:t>Net Budget impact - Carbon Tax Package</w:t>
            </w:r>
          </w:p>
        </w:tc>
        <w:tc>
          <w:tcPr>
            <w:tcW w:w="798" w:type="dxa"/>
            <w:tcBorders>
              <w:top w:val="single" w:sz="8" w:space="0" w:color="auto"/>
              <w:bottom w:val="single" w:sz="8" w:space="0" w:color="auto"/>
            </w:tcBorders>
            <w:noWrap/>
            <w:hideMark/>
          </w:tcPr>
          <w:p w:rsidR="008E2C0E" w:rsidRPr="00EB74E3" w:rsidRDefault="008E2C0E" w:rsidP="00A83401">
            <w:pPr>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20.8</w:t>
            </w:r>
          </w:p>
        </w:tc>
        <w:tc>
          <w:tcPr>
            <w:tcW w:w="798" w:type="dxa"/>
            <w:tcBorders>
              <w:top w:val="single" w:sz="8" w:space="0" w:color="auto"/>
              <w:bottom w:val="single" w:sz="8" w:space="0" w:color="auto"/>
            </w:tcBorders>
            <w:noWrap/>
            <w:hideMark/>
          </w:tcPr>
          <w:p w:rsidR="008E2C0E" w:rsidRPr="00EB74E3" w:rsidRDefault="008E2C0E" w:rsidP="00A83401">
            <w:pPr>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-360.9</w:t>
            </w:r>
          </w:p>
        </w:tc>
        <w:tc>
          <w:tcPr>
            <w:tcW w:w="798" w:type="dxa"/>
            <w:tcBorders>
              <w:top w:val="single" w:sz="8" w:space="0" w:color="auto"/>
              <w:bottom w:val="single" w:sz="8" w:space="0" w:color="auto"/>
            </w:tcBorders>
            <w:noWrap/>
            <w:hideMark/>
          </w:tcPr>
          <w:p w:rsidR="008E2C0E" w:rsidRPr="00EB74E3" w:rsidRDefault="008E2C0E" w:rsidP="00A83401">
            <w:pPr>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-2,464.3</w:t>
            </w:r>
          </w:p>
        </w:tc>
        <w:tc>
          <w:tcPr>
            <w:tcW w:w="798" w:type="dxa"/>
            <w:tcBorders>
              <w:top w:val="single" w:sz="8" w:space="0" w:color="auto"/>
              <w:bottom w:val="single" w:sz="8" w:space="0" w:color="auto"/>
            </w:tcBorders>
            <w:noWrap/>
            <w:hideMark/>
          </w:tcPr>
          <w:p w:rsidR="008E2C0E" w:rsidRPr="00EB74E3" w:rsidRDefault="008E2C0E" w:rsidP="00A83401">
            <w:pPr>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-4,127.0</w:t>
            </w:r>
          </w:p>
        </w:tc>
        <w:tc>
          <w:tcPr>
            <w:tcW w:w="850" w:type="dxa"/>
            <w:tcBorders>
              <w:top w:val="single" w:sz="8" w:space="0" w:color="auto"/>
              <w:bottom w:val="single" w:sz="8" w:space="0" w:color="auto"/>
            </w:tcBorders>
            <w:noWrap/>
            <w:hideMark/>
          </w:tcPr>
          <w:p w:rsidR="008E2C0E" w:rsidRPr="00EB74E3" w:rsidRDefault="008E2C0E" w:rsidP="00A83401">
            <w:pPr>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-6,931.5</w:t>
            </w:r>
          </w:p>
        </w:tc>
      </w:tr>
    </w:tbl>
    <w:p w:rsidR="00802755" w:rsidRPr="00EB74E3" w:rsidRDefault="00802755" w:rsidP="00E21517"/>
    <w:p w:rsidR="00E21517" w:rsidRPr="00EB74E3" w:rsidRDefault="00E21517" w:rsidP="00E21517">
      <w:pPr>
        <w:pStyle w:val="base-text-paragraphnonumbers"/>
        <w:rPr>
          <w:b/>
        </w:rPr>
      </w:pPr>
      <w:r w:rsidRPr="00EB74E3">
        <w:rPr>
          <w:b/>
        </w:rPr>
        <w:t>Table 2: Underlying cash balance impact of carbon tax repeal and carbon-related programs ($ million)</w:t>
      </w:r>
    </w:p>
    <w:tbl>
      <w:tblPr>
        <w:tblStyle w:val="TableGrid20"/>
        <w:tblW w:w="0" w:type="auto"/>
        <w:tblInd w:w="1242" w:type="dxa"/>
        <w:tblLayout w:type="fixed"/>
        <w:tblLook w:val="04A0" w:firstRow="1" w:lastRow="0" w:firstColumn="1" w:lastColumn="0" w:noHBand="0" w:noVBand="1"/>
      </w:tblPr>
      <w:tblGrid>
        <w:gridCol w:w="2694"/>
        <w:gridCol w:w="798"/>
        <w:gridCol w:w="798"/>
        <w:gridCol w:w="798"/>
        <w:gridCol w:w="798"/>
        <w:gridCol w:w="798"/>
      </w:tblGrid>
      <w:tr w:rsidR="00E21517" w:rsidRPr="00EB74E3" w:rsidTr="004067EC">
        <w:trPr>
          <w:trHeight w:val="368"/>
          <w:tblHeader/>
        </w:trPr>
        <w:tc>
          <w:tcPr>
            <w:tcW w:w="2694" w:type="dxa"/>
            <w:shd w:val="clear" w:color="auto" w:fill="D9D9D9" w:themeFill="background1" w:themeFillShade="D9"/>
            <w:noWrap/>
            <w:vAlign w:val="center"/>
            <w:hideMark/>
          </w:tcPr>
          <w:p w:rsidR="00E21517" w:rsidRPr="00EB74E3" w:rsidRDefault="00E21517" w:rsidP="004067EC">
            <w:pPr>
              <w:pStyle w:val="tableheaderwithintable"/>
              <w:spacing w:before="0" w:after="0"/>
              <w:rPr>
                <w:sz w:val="16"/>
                <w:szCs w:val="16"/>
              </w:rPr>
            </w:pPr>
            <w:r w:rsidRPr="00EB74E3">
              <w:rPr>
                <w:sz w:val="16"/>
                <w:szCs w:val="16"/>
              </w:rPr>
              <w:t>Underlying cash balance ($m)</w:t>
            </w:r>
          </w:p>
        </w:tc>
        <w:tc>
          <w:tcPr>
            <w:tcW w:w="798" w:type="dxa"/>
            <w:shd w:val="clear" w:color="auto" w:fill="D9D9D9" w:themeFill="background1" w:themeFillShade="D9"/>
            <w:vAlign w:val="center"/>
            <w:hideMark/>
          </w:tcPr>
          <w:p w:rsidR="00E21517" w:rsidRPr="00EB74E3" w:rsidRDefault="00E21517" w:rsidP="004067EC">
            <w:pPr>
              <w:pStyle w:val="tableheaderwithintable"/>
              <w:spacing w:before="0" w:after="0"/>
              <w:rPr>
                <w:sz w:val="16"/>
                <w:szCs w:val="16"/>
              </w:rPr>
            </w:pPr>
            <w:r w:rsidRPr="00EB74E3">
              <w:rPr>
                <w:sz w:val="16"/>
                <w:szCs w:val="16"/>
              </w:rPr>
              <w:t>2013-14</w:t>
            </w:r>
          </w:p>
        </w:tc>
        <w:tc>
          <w:tcPr>
            <w:tcW w:w="798" w:type="dxa"/>
            <w:shd w:val="clear" w:color="auto" w:fill="D9D9D9" w:themeFill="background1" w:themeFillShade="D9"/>
            <w:vAlign w:val="center"/>
            <w:hideMark/>
          </w:tcPr>
          <w:p w:rsidR="00E21517" w:rsidRPr="00EB74E3" w:rsidRDefault="00E21517" w:rsidP="004067EC">
            <w:pPr>
              <w:pStyle w:val="tableheaderwithintable"/>
              <w:spacing w:before="0" w:after="0"/>
              <w:rPr>
                <w:sz w:val="16"/>
                <w:szCs w:val="16"/>
              </w:rPr>
            </w:pPr>
            <w:r w:rsidRPr="00EB74E3">
              <w:rPr>
                <w:sz w:val="16"/>
                <w:szCs w:val="16"/>
              </w:rPr>
              <w:t>2014-15</w:t>
            </w:r>
          </w:p>
        </w:tc>
        <w:tc>
          <w:tcPr>
            <w:tcW w:w="798" w:type="dxa"/>
            <w:shd w:val="clear" w:color="auto" w:fill="D9D9D9" w:themeFill="background1" w:themeFillShade="D9"/>
            <w:vAlign w:val="center"/>
            <w:hideMark/>
          </w:tcPr>
          <w:p w:rsidR="00E21517" w:rsidRPr="00EB74E3" w:rsidRDefault="00E21517" w:rsidP="004067EC">
            <w:pPr>
              <w:pStyle w:val="tableheaderwithintable"/>
              <w:spacing w:before="0" w:after="0"/>
              <w:rPr>
                <w:sz w:val="16"/>
                <w:szCs w:val="16"/>
              </w:rPr>
            </w:pPr>
            <w:r w:rsidRPr="00EB74E3">
              <w:rPr>
                <w:sz w:val="16"/>
                <w:szCs w:val="16"/>
              </w:rPr>
              <w:t>2015-16</w:t>
            </w:r>
          </w:p>
        </w:tc>
        <w:tc>
          <w:tcPr>
            <w:tcW w:w="798" w:type="dxa"/>
            <w:shd w:val="clear" w:color="auto" w:fill="D9D9D9" w:themeFill="background1" w:themeFillShade="D9"/>
            <w:vAlign w:val="center"/>
            <w:hideMark/>
          </w:tcPr>
          <w:p w:rsidR="00E21517" w:rsidRPr="00EB74E3" w:rsidRDefault="00E21517" w:rsidP="004067EC">
            <w:pPr>
              <w:pStyle w:val="tableheaderwithintable"/>
              <w:spacing w:before="0" w:after="0"/>
              <w:rPr>
                <w:sz w:val="16"/>
                <w:szCs w:val="16"/>
              </w:rPr>
            </w:pPr>
            <w:r w:rsidRPr="00EB74E3">
              <w:rPr>
                <w:sz w:val="16"/>
                <w:szCs w:val="16"/>
              </w:rPr>
              <w:t>2016-17</w:t>
            </w:r>
          </w:p>
        </w:tc>
        <w:tc>
          <w:tcPr>
            <w:tcW w:w="798" w:type="dxa"/>
            <w:shd w:val="clear" w:color="auto" w:fill="D9D9D9" w:themeFill="background1" w:themeFillShade="D9"/>
            <w:vAlign w:val="center"/>
            <w:hideMark/>
          </w:tcPr>
          <w:p w:rsidR="00E21517" w:rsidRPr="00EB74E3" w:rsidRDefault="00E21517" w:rsidP="004067EC">
            <w:pPr>
              <w:pStyle w:val="tableheaderwithintable"/>
              <w:spacing w:before="0" w:after="0"/>
              <w:rPr>
                <w:sz w:val="16"/>
                <w:szCs w:val="16"/>
              </w:rPr>
            </w:pPr>
            <w:r w:rsidRPr="00EB74E3">
              <w:rPr>
                <w:sz w:val="16"/>
                <w:szCs w:val="16"/>
              </w:rPr>
              <w:t>Total</w:t>
            </w:r>
          </w:p>
        </w:tc>
      </w:tr>
      <w:tr w:rsidR="008E2C0E" w:rsidRPr="00982CD5" w:rsidTr="004067EC">
        <w:trPr>
          <w:trHeight w:val="368"/>
        </w:trPr>
        <w:tc>
          <w:tcPr>
            <w:tcW w:w="2694" w:type="dxa"/>
            <w:tcBorders>
              <w:top w:val="single" w:sz="4" w:space="0" w:color="auto"/>
              <w:bottom w:val="single" w:sz="8" w:space="0" w:color="auto"/>
            </w:tcBorders>
            <w:noWrap/>
          </w:tcPr>
          <w:p w:rsidR="008E2C0E" w:rsidRPr="00EB74E3" w:rsidRDefault="008E2C0E" w:rsidP="00A83401">
            <w:pPr>
              <w:pStyle w:val="tabletext"/>
              <w:spacing w:before="0" w:after="0"/>
              <w:rPr>
                <w:rFonts w:ascii="Times New Roman" w:eastAsia="Times New Roman" w:hAnsi="Times New Roman"/>
                <w:b/>
                <w:sz w:val="16"/>
                <w:szCs w:val="16"/>
                <w:lang w:eastAsia="en-AU"/>
              </w:rPr>
            </w:pPr>
            <w:r w:rsidRPr="00EB74E3">
              <w:rPr>
                <w:rFonts w:ascii="Times New Roman" w:eastAsia="Times New Roman" w:hAnsi="Times New Roman"/>
                <w:b/>
                <w:sz w:val="16"/>
                <w:szCs w:val="16"/>
                <w:lang w:eastAsia="en-AU"/>
              </w:rPr>
              <w:t>Net Budget impact – Carbon Tax Package</w:t>
            </w:r>
          </w:p>
        </w:tc>
        <w:tc>
          <w:tcPr>
            <w:tcW w:w="798" w:type="dxa"/>
            <w:tcBorders>
              <w:top w:val="single" w:sz="4" w:space="0" w:color="auto"/>
              <w:bottom w:val="single" w:sz="8" w:space="0" w:color="auto"/>
            </w:tcBorders>
            <w:noWrap/>
          </w:tcPr>
          <w:p w:rsidR="008E2C0E" w:rsidRPr="00EB74E3" w:rsidRDefault="008E2C0E" w:rsidP="00E21517">
            <w:pPr>
              <w:pStyle w:val="tabletext"/>
              <w:spacing w:before="0" w:after="0"/>
              <w:jc w:val="right"/>
              <w:rPr>
                <w:rFonts w:ascii="Times New Roman" w:eastAsia="Times New Roman" w:hAnsi="Times New Roman"/>
                <w:b/>
                <w:sz w:val="16"/>
                <w:szCs w:val="16"/>
                <w:lang w:eastAsia="en-AU"/>
              </w:rPr>
            </w:pPr>
            <w:r w:rsidRPr="00345FCA">
              <w:rPr>
                <w:rFonts w:ascii="Times New Roman" w:eastAsia="Times New Roman" w:hAnsi="Times New Roman"/>
                <w:b/>
                <w:sz w:val="16"/>
                <w:szCs w:val="16"/>
                <w:lang w:eastAsia="en-AU"/>
              </w:rPr>
              <w:t>-556.4</w:t>
            </w:r>
          </w:p>
        </w:tc>
        <w:tc>
          <w:tcPr>
            <w:tcW w:w="798" w:type="dxa"/>
            <w:tcBorders>
              <w:top w:val="single" w:sz="4" w:space="0" w:color="auto"/>
              <w:bottom w:val="single" w:sz="8" w:space="0" w:color="auto"/>
            </w:tcBorders>
            <w:noWrap/>
          </w:tcPr>
          <w:p w:rsidR="008E2C0E" w:rsidRPr="00EB74E3" w:rsidRDefault="008E2C0E" w:rsidP="00E21517">
            <w:pPr>
              <w:pStyle w:val="tabletext"/>
              <w:spacing w:before="0" w:after="0"/>
              <w:jc w:val="right"/>
              <w:rPr>
                <w:rFonts w:ascii="Times New Roman" w:eastAsia="Times New Roman" w:hAnsi="Times New Roman"/>
                <w:b/>
                <w:sz w:val="16"/>
                <w:szCs w:val="16"/>
                <w:lang w:eastAsia="en-AU"/>
              </w:rPr>
            </w:pPr>
            <w:r w:rsidRPr="00345FCA">
              <w:rPr>
                <w:rFonts w:ascii="Times New Roman" w:eastAsia="Times New Roman" w:hAnsi="Times New Roman"/>
                <w:b/>
                <w:sz w:val="16"/>
                <w:szCs w:val="16"/>
                <w:lang w:eastAsia="en-AU"/>
              </w:rPr>
              <w:t>-551.9</w:t>
            </w:r>
          </w:p>
        </w:tc>
        <w:tc>
          <w:tcPr>
            <w:tcW w:w="798" w:type="dxa"/>
            <w:tcBorders>
              <w:top w:val="single" w:sz="4" w:space="0" w:color="auto"/>
              <w:bottom w:val="single" w:sz="8" w:space="0" w:color="auto"/>
            </w:tcBorders>
            <w:noWrap/>
          </w:tcPr>
          <w:p w:rsidR="008E2C0E" w:rsidRPr="00EB74E3" w:rsidRDefault="008E2C0E" w:rsidP="00E21517">
            <w:pPr>
              <w:pStyle w:val="tabletext"/>
              <w:spacing w:before="0" w:after="0"/>
              <w:jc w:val="right"/>
              <w:rPr>
                <w:rFonts w:ascii="Times New Roman" w:eastAsia="Times New Roman" w:hAnsi="Times New Roman"/>
                <w:b/>
                <w:sz w:val="16"/>
                <w:szCs w:val="16"/>
                <w:lang w:eastAsia="en-AU"/>
              </w:rPr>
            </w:pPr>
            <w:r w:rsidRPr="00345FCA">
              <w:rPr>
                <w:rFonts w:ascii="Times New Roman" w:eastAsia="Times New Roman" w:hAnsi="Times New Roman"/>
                <w:b/>
                <w:sz w:val="16"/>
                <w:szCs w:val="16"/>
                <w:lang w:eastAsia="en-AU"/>
              </w:rPr>
              <w:t>-2,327.2</w:t>
            </w:r>
          </w:p>
        </w:tc>
        <w:tc>
          <w:tcPr>
            <w:tcW w:w="798" w:type="dxa"/>
            <w:tcBorders>
              <w:top w:val="single" w:sz="4" w:space="0" w:color="auto"/>
              <w:bottom w:val="single" w:sz="8" w:space="0" w:color="auto"/>
            </w:tcBorders>
            <w:noWrap/>
          </w:tcPr>
          <w:p w:rsidR="008E2C0E" w:rsidRPr="00EB74E3" w:rsidRDefault="008E2C0E" w:rsidP="00E21517">
            <w:pPr>
              <w:pStyle w:val="tabletext"/>
              <w:spacing w:before="0" w:after="0"/>
              <w:jc w:val="right"/>
              <w:rPr>
                <w:rFonts w:ascii="Times New Roman" w:eastAsia="Times New Roman" w:hAnsi="Times New Roman"/>
                <w:b/>
                <w:sz w:val="16"/>
                <w:szCs w:val="16"/>
                <w:lang w:eastAsia="en-AU"/>
              </w:rPr>
            </w:pPr>
            <w:r w:rsidRPr="00345FCA">
              <w:rPr>
                <w:rFonts w:ascii="Times New Roman" w:eastAsia="Times New Roman" w:hAnsi="Times New Roman"/>
                <w:b/>
                <w:sz w:val="16"/>
                <w:szCs w:val="16"/>
                <w:lang w:eastAsia="en-AU"/>
              </w:rPr>
              <w:t>-4,123.0</w:t>
            </w:r>
          </w:p>
        </w:tc>
        <w:tc>
          <w:tcPr>
            <w:tcW w:w="798" w:type="dxa"/>
            <w:tcBorders>
              <w:top w:val="single" w:sz="4" w:space="0" w:color="auto"/>
              <w:bottom w:val="single" w:sz="8" w:space="0" w:color="auto"/>
            </w:tcBorders>
            <w:noWrap/>
          </w:tcPr>
          <w:p w:rsidR="008E2C0E" w:rsidRPr="00EB74E3" w:rsidRDefault="008E2C0E" w:rsidP="00E21517">
            <w:pPr>
              <w:pStyle w:val="tabletext"/>
              <w:spacing w:before="0" w:after="0"/>
              <w:jc w:val="right"/>
              <w:rPr>
                <w:rFonts w:ascii="Times New Roman" w:eastAsia="Times New Roman" w:hAnsi="Times New Roman"/>
                <w:b/>
                <w:sz w:val="16"/>
                <w:szCs w:val="16"/>
                <w:lang w:eastAsia="en-AU"/>
              </w:rPr>
            </w:pPr>
            <w:r>
              <w:rPr>
                <w:rFonts w:ascii="Times New Roman" w:eastAsia="Times New Roman" w:hAnsi="Times New Roman"/>
                <w:b/>
                <w:sz w:val="16"/>
                <w:szCs w:val="16"/>
                <w:lang w:eastAsia="en-AU"/>
              </w:rPr>
              <w:t>-7,558.5</w:t>
            </w:r>
          </w:p>
        </w:tc>
      </w:tr>
    </w:tbl>
    <w:p w:rsidR="0083767C" w:rsidRDefault="0083767C" w:rsidP="008E2C0E">
      <w:pPr>
        <w:pStyle w:val="base-text-paragraphnonumbers"/>
      </w:pPr>
    </w:p>
    <w:p w:rsidR="008E2C0E" w:rsidRDefault="008E2C0E" w:rsidP="008E2C0E">
      <w:pPr>
        <w:pStyle w:val="base-text-paragraphnonumbers"/>
      </w:pPr>
      <w:r w:rsidRPr="008E2C0E">
        <w:t xml:space="preserve">The estimates of </w:t>
      </w:r>
      <w:r w:rsidRPr="008B3BBF">
        <w:t>the fiscal and underlying cash balance impacts of carbon tax repeal and carbon-related programs have been revised</w:t>
      </w:r>
      <w:r w:rsidR="008D7D38" w:rsidRPr="008B3BBF">
        <w:t xml:space="preserve"> since the carbon tax repeal package was first introduced in 2013</w:t>
      </w:r>
      <w:r w:rsidRPr="008B3BBF">
        <w:t>.</w:t>
      </w:r>
    </w:p>
    <w:p w:rsidR="00D164DC" w:rsidRDefault="00D164DC" w:rsidP="008E2C0E">
      <w:pPr>
        <w:pStyle w:val="base-text-paragraphnonumbers"/>
      </w:pPr>
    </w:p>
    <w:p w:rsidR="0003187A" w:rsidRDefault="0003187A">
      <w:pPr>
        <w:spacing w:before="0" w:after="0"/>
        <w:rPr>
          <w:rFonts w:ascii="Helvetica" w:hAnsi="Helvetica"/>
          <w:b/>
          <w:sz w:val="26"/>
        </w:rPr>
      </w:pPr>
      <w:r>
        <w:br w:type="page"/>
      </w:r>
    </w:p>
    <w:p w:rsidR="008A6925" w:rsidRPr="00222A85" w:rsidRDefault="008A6925" w:rsidP="008A6925">
      <w:pPr>
        <w:pStyle w:val="Heading2"/>
      </w:pPr>
      <w:r>
        <w:t>Regulation Impact Statement</w:t>
      </w:r>
    </w:p>
    <w:p w:rsidR="00264263" w:rsidRPr="00222A85" w:rsidRDefault="0069045A" w:rsidP="00C85947">
      <w:pPr>
        <w:pStyle w:val="Heading3"/>
      </w:pPr>
      <w:r>
        <w:t>Carbon tax r</w:t>
      </w:r>
      <w:r w:rsidR="00D43269">
        <w:t>epeal</w:t>
      </w:r>
      <w:r w:rsidR="00BE4CCF">
        <w:t xml:space="preserve"> - </w:t>
      </w:r>
      <w:r w:rsidR="00264263" w:rsidRPr="00222A85">
        <w:t>Regulation impact on business</w:t>
      </w:r>
      <w:r>
        <w:t xml:space="preserve"> and households</w:t>
      </w:r>
    </w:p>
    <w:p w:rsidR="00222A85" w:rsidRDefault="00222A85" w:rsidP="00222A85">
      <w:pPr>
        <w:pStyle w:val="Heading4"/>
        <w:rPr>
          <w:rStyle w:val="BoldItalic"/>
          <w:b/>
          <w:i/>
        </w:rPr>
      </w:pPr>
      <w:r w:rsidRPr="00222A85">
        <w:rPr>
          <w:rStyle w:val="BoldItalic"/>
          <w:b/>
          <w:i/>
        </w:rPr>
        <w:t>Impact</w:t>
      </w:r>
      <w:r w:rsidRPr="00222A85">
        <w:rPr>
          <w:rStyle w:val="BoldItalic"/>
          <w:i/>
        </w:rPr>
        <w:t>:</w:t>
      </w:r>
      <w:r w:rsidRPr="00222A85">
        <w:rPr>
          <w:rStyle w:val="BoldItalic"/>
          <w:b/>
          <w:i/>
        </w:rPr>
        <w:t xml:space="preserve">  </w:t>
      </w:r>
    </w:p>
    <w:p w:rsidR="00222A85" w:rsidRPr="00222A85" w:rsidRDefault="00222A85" w:rsidP="007871D1">
      <w:pPr>
        <w:pStyle w:val="base-text-paragraphnonumbers"/>
        <w:rPr>
          <w:rStyle w:val="BoldItalic"/>
          <w:b w:val="0"/>
          <w:i w:val="0"/>
        </w:rPr>
      </w:pPr>
      <w:r w:rsidRPr="00222A85">
        <w:rPr>
          <w:rStyle w:val="BoldItalic"/>
          <w:b w:val="0"/>
          <w:i w:val="0"/>
        </w:rPr>
        <w:t xml:space="preserve">The Regulation Impact Statement (RIS) for </w:t>
      </w:r>
      <w:r w:rsidR="00C56676">
        <w:rPr>
          <w:rStyle w:val="BoldItalic"/>
          <w:b w:val="0"/>
          <w:i w:val="0"/>
        </w:rPr>
        <w:t>repeal of the carbon tax</w:t>
      </w:r>
      <w:r w:rsidRPr="00222A85">
        <w:rPr>
          <w:rStyle w:val="BoldItalic"/>
          <w:b w:val="0"/>
          <w:i w:val="0"/>
        </w:rPr>
        <w:t xml:space="preserve"> was prepared by </w:t>
      </w:r>
      <w:r w:rsidR="00C56676">
        <w:rPr>
          <w:rStyle w:val="BoldItalic"/>
          <w:b w:val="0"/>
          <w:i w:val="0"/>
        </w:rPr>
        <w:t>the Department of the Environment</w:t>
      </w:r>
      <w:r w:rsidRPr="00222A85">
        <w:rPr>
          <w:rStyle w:val="BoldItalic"/>
          <w:b w:val="0"/>
          <w:i w:val="0"/>
        </w:rPr>
        <w:t xml:space="preserve"> and </w:t>
      </w:r>
      <w:r w:rsidR="0077740A">
        <w:rPr>
          <w:rStyle w:val="BoldItalic"/>
          <w:b w:val="0"/>
          <w:i w:val="0"/>
        </w:rPr>
        <w:t>is summarised below</w:t>
      </w:r>
      <w:r w:rsidR="00D5237C">
        <w:rPr>
          <w:rStyle w:val="BoldItalic"/>
          <w:b w:val="0"/>
          <w:i w:val="0"/>
        </w:rPr>
        <w:t xml:space="preserve">.  </w:t>
      </w:r>
      <w:r w:rsidR="0077740A">
        <w:rPr>
          <w:rStyle w:val="BoldItalic"/>
          <w:b w:val="0"/>
          <w:i w:val="0"/>
        </w:rPr>
        <w:t>The entire RIS is provided in Chapter 8.</w:t>
      </w:r>
    </w:p>
    <w:p w:rsidR="00222A85" w:rsidRPr="00222A85" w:rsidRDefault="00222A85" w:rsidP="00222A85">
      <w:pPr>
        <w:pStyle w:val="Heading4"/>
        <w:rPr>
          <w:rStyle w:val="BoldItalic"/>
          <w:b/>
          <w:i/>
        </w:rPr>
      </w:pPr>
      <w:r w:rsidRPr="00222A85">
        <w:rPr>
          <w:rStyle w:val="BoldItalic"/>
          <w:b/>
          <w:i/>
        </w:rPr>
        <w:t>Main points:</w:t>
      </w:r>
    </w:p>
    <w:p w:rsidR="009126C7" w:rsidRDefault="009126C7" w:rsidP="009126C7">
      <w:pPr>
        <w:pStyle w:val="Heading5"/>
        <w:rPr>
          <w:rStyle w:val="BoldItalic"/>
          <w:b w:val="0"/>
          <w:i/>
        </w:rPr>
      </w:pPr>
      <w:r>
        <w:rPr>
          <w:rStyle w:val="BoldItalic"/>
          <w:b w:val="0"/>
          <w:i/>
        </w:rPr>
        <w:t>Impacts on Business</w:t>
      </w:r>
    </w:p>
    <w:p w:rsidR="009126C7" w:rsidRPr="009126C7" w:rsidRDefault="009126C7" w:rsidP="009126C7">
      <w:pPr>
        <w:pStyle w:val="base-text-paragraphnonumbers"/>
        <w:rPr>
          <w:rStyle w:val="BoldItalic"/>
          <w:b w:val="0"/>
          <w:i w:val="0"/>
        </w:rPr>
      </w:pPr>
      <w:r w:rsidRPr="009126C7">
        <w:rPr>
          <w:rStyle w:val="BoldItalic"/>
          <w:b w:val="0"/>
          <w:i w:val="0"/>
        </w:rPr>
        <w:t>The primary impact of repealing the carbon tax on businesses is to reduce the cost of inputs</w:t>
      </w:r>
      <w:r w:rsidR="00D5237C">
        <w:rPr>
          <w:rStyle w:val="BoldItalic"/>
          <w:b w:val="0"/>
          <w:i w:val="0"/>
        </w:rPr>
        <w:t xml:space="preserve">.  </w:t>
      </w:r>
      <w:r w:rsidRPr="009126C7">
        <w:rPr>
          <w:rStyle w:val="BoldItalic"/>
          <w:b w:val="0"/>
          <w:i w:val="0"/>
        </w:rPr>
        <w:t>While the carbon tax is directly applied to a relatively small number of activities and liable entities, the size and importance of these activities means that as these costs are passed on through the economy the carbon tax results in an increase in input costs for the majority of businesses</w:t>
      </w:r>
      <w:r w:rsidR="00D5237C">
        <w:rPr>
          <w:rStyle w:val="BoldItalic"/>
          <w:b w:val="0"/>
          <w:i w:val="0"/>
        </w:rPr>
        <w:t xml:space="preserve">.  </w:t>
      </w:r>
      <w:r w:rsidRPr="009126C7">
        <w:rPr>
          <w:rStyle w:val="BoldItalic"/>
          <w:b w:val="0"/>
          <w:i w:val="0"/>
        </w:rPr>
        <w:t>The main driver of these cost increases is the impact of the carbon tax on energy prices – primarily electricity and gas.</w:t>
      </w:r>
    </w:p>
    <w:p w:rsidR="009126C7" w:rsidRPr="009126C7" w:rsidRDefault="009126C7" w:rsidP="009126C7">
      <w:pPr>
        <w:pStyle w:val="base-text-paragraphnonumbers"/>
        <w:rPr>
          <w:rStyle w:val="BoldItalic"/>
          <w:b w:val="0"/>
          <w:i w:val="0"/>
        </w:rPr>
      </w:pPr>
      <w:r w:rsidRPr="009126C7">
        <w:rPr>
          <w:rStyle w:val="BoldItalic"/>
          <w:b w:val="0"/>
          <w:i w:val="0"/>
        </w:rPr>
        <w:t>Within the services sector, the production of</w:t>
      </w:r>
      <w:r w:rsidR="0069045A">
        <w:rPr>
          <w:rStyle w:val="BoldItalic"/>
          <w:b w:val="0"/>
          <w:i w:val="0"/>
        </w:rPr>
        <w:t xml:space="preserve"> electricity (particularly coal</w:t>
      </w:r>
      <w:r w:rsidR="0069045A">
        <w:rPr>
          <w:rStyle w:val="BoldItalic"/>
          <w:b w:val="0"/>
          <w:i w:val="0"/>
        </w:rPr>
        <w:noBreakHyphen/>
      </w:r>
      <w:r w:rsidRPr="009126C7">
        <w:rPr>
          <w:rStyle w:val="BoldItalic"/>
          <w:b w:val="0"/>
          <w:i w:val="0"/>
        </w:rPr>
        <w:t>fired electricity) was most heavily affected and should benefit most from the repeal of the carbon tax</w:t>
      </w:r>
      <w:r w:rsidR="00D5237C">
        <w:rPr>
          <w:rStyle w:val="BoldItalic"/>
          <w:b w:val="0"/>
          <w:i w:val="0"/>
        </w:rPr>
        <w:t xml:space="preserve">.  </w:t>
      </w:r>
      <w:r w:rsidRPr="009126C7">
        <w:rPr>
          <w:rStyle w:val="BoldItalic"/>
          <w:b w:val="0"/>
          <w:i w:val="0"/>
        </w:rPr>
        <w:t>In the mining sector, coal mining would be the major beneficiary</w:t>
      </w:r>
      <w:r w:rsidR="00D5237C">
        <w:rPr>
          <w:rStyle w:val="BoldItalic"/>
          <w:b w:val="0"/>
          <w:i w:val="0"/>
        </w:rPr>
        <w:t xml:space="preserve">.  </w:t>
      </w:r>
      <w:r w:rsidRPr="009126C7">
        <w:rPr>
          <w:rStyle w:val="BoldItalic"/>
          <w:b w:val="0"/>
          <w:i w:val="0"/>
        </w:rPr>
        <w:t>In the manufacturing sector, producers with emissions- or energy-intensive activities that were unable to access carbon tax-related assistance would be the main beneficiaries of repeal</w:t>
      </w:r>
      <w:r w:rsidR="00D5237C">
        <w:rPr>
          <w:rStyle w:val="BoldItalic"/>
          <w:b w:val="0"/>
          <w:i w:val="0"/>
        </w:rPr>
        <w:t xml:space="preserve">.  </w:t>
      </w:r>
      <w:r w:rsidRPr="009126C7">
        <w:rPr>
          <w:rStyle w:val="BoldItalic"/>
          <w:b w:val="0"/>
          <w:i w:val="0"/>
        </w:rPr>
        <w:t>There would be minimal impact on dwelling ownership.</w:t>
      </w:r>
    </w:p>
    <w:p w:rsidR="009126C7" w:rsidRPr="009126C7" w:rsidRDefault="009126C7" w:rsidP="009126C7">
      <w:pPr>
        <w:pStyle w:val="base-text-paragraphnonumbers"/>
        <w:rPr>
          <w:rStyle w:val="BoldItalic"/>
          <w:b w:val="0"/>
          <w:i w:val="0"/>
        </w:rPr>
      </w:pPr>
      <w:r w:rsidRPr="009126C7">
        <w:rPr>
          <w:rStyle w:val="BoldItalic"/>
          <w:b w:val="0"/>
          <w:i w:val="0"/>
        </w:rPr>
        <w:t>The removal of the carbon tax is expected to reduce annual ongoing compliance costs for liable entities by $</w:t>
      </w:r>
      <w:r w:rsidR="00856DA9">
        <w:rPr>
          <w:rStyle w:val="BoldItalic"/>
          <w:b w:val="0"/>
          <w:i w:val="0"/>
        </w:rPr>
        <w:t>85.3</w:t>
      </w:r>
      <w:r w:rsidRPr="009126C7">
        <w:rPr>
          <w:rStyle w:val="BoldItalic"/>
          <w:b w:val="0"/>
          <w:i w:val="0"/>
        </w:rPr>
        <w:t xml:space="preserve"> million per annum</w:t>
      </w:r>
      <w:r w:rsidR="00D5237C">
        <w:rPr>
          <w:rStyle w:val="BoldItalic"/>
          <w:b w:val="0"/>
          <w:i w:val="0"/>
        </w:rPr>
        <w:t xml:space="preserve">.  </w:t>
      </w:r>
      <w:r w:rsidR="00F3643B">
        <w:rPr>
          <w:rStyle w:val="BoldItalic"/>
          <w:b w:val="0"/>
          <w:i w:val="0"/>
        </w:rPr>
        <w:t>The </w:t>
      </w:r>
      <w:r w:rsidRPr="009126C7">
        <w:rPr>
          <w:rStyle w:val="BoldItalic"/>
          <w:b w:val="0"/>
          <w:i w:val="0"/>
        </w:rPr>
        <w:t>avoided costs fall into two categories: administrative costs (including remaining abreast of changes in carbon pricing legislation, meeting recording and reporting obligations, negotiating contracts for carbon price pass-through, and discharging emissions liabilities) and substantive costs (emissions verification costs for large emitters).</w:t>
      </w:r>
    </w:p>
    <w:p w:rsidR="009126C7" w:rsidRPr="009126C7" w:rsidRDefault="009126C7" w:rsidP="009126C7">
      <w:pPr>
        <w:pStyle w:val="Heading5"/>
        <w:rPr>
          <w:rStyle w:val="BoldItalic"/>
          <w:b w:val="0"/>
          <w:i/>
        </w:rPr>
      </w:pPr>
      <w:r w:rsidRPr="009126C7">
        <w:rPr>
          <w:rStyle w:val="BoldItalic"/>
          <w:b w:val="0"/>
          <w:i/>
        </w:rPr>
        <w:t>Impact on Households</w:t>
      </w:r>
    </w:p>
    <w:p w:rsidR="009126C7" w:rsidRPr="009126C7" w:rsidRDefault="009126C7" w:rsidP="009126C7">
      <w:pPr>
        <w:pStyle w:val="base-text-paragraphnonumbers"/>
        <w:rPr>
          <w:rStyle w:val="BoldItalic"/>
          <w:b w:val="0"/>
          <w:i w:val="0"/>
        </w:rPr>
      </w:pPr>
      <w:r w:rsidRPr="009126C7">
        <w:rPr>
          <w:rStyle w:val="BoldItalic"/>
          <w:b w:val="0"/>
          <w:i w:val="0"/>
        </w:rPr>
        <w:t>Household costs will be lower than they otherwise would be under a $25.40 carbon price</w:t>
      </w:r>
      <w:r w:rsidR="00D5237C">
        <w:rPr>
          <w:rStyle w:val="BoldItalic"/>
          <w:b w:val="0"/>
          <w:i w:val="0"/>
        </w:rPr>
        <w:t xml:space="preserve">.  </w:t>
      </w:r>
      <w:r w:rsidRPr="009126C7">
        <w:rPr>
          <w:rStyle w:val="BoldItalic"/>
          <w:b w:val="0"/>
          <w:i w:val="0"/>
        </w:rPr>
        <w:t>Recent modelling by the Australian Treasury suggests that the removal of the carbon tax in 2014-15 will reduce the Consumer Price Index by around 0.7 percentage points than it otherwise would be in 2014-15</w:t>
      </w:r>
      <w:r w:rsidR="00D5237C">
        <w:rPr>
          <w:rStyle w:val="BoldItalic"/>
          <w:b w:val="0"/>
          <w:i w:val="0"/>
        </w:rPr>
        <w:t xml:space="preserve">.  </w:t>
      </w:r>
      <w:r w:rsidRPr="009126C7">
        <w:rPr>
          <w:rStyle w:val="BoldItalic"/>
          <w:b w:val="0"/>
          <w:i w:val="0"/>
        </w:rPr>
        <w:t>This is based on the currently legislated fixed carbon price of $25.40 for 2014-15 and the scope intended by the former government, including fuel use by heavy on-road transport.</w:t>
      </w:r>
    </w:p>
    <w:p w:rsidR="00222A85" w:rsidRPr="00C56676" w:rsidRDefault="009126C7" w:rsidP="009126C7">
      <w:pPr>
        <w:pStyle w:val="base-text-paragraphnonumbers"/>
        <w:rPr>
          <w:rStyle w:val="BoldItalic"/>
          <w:b w:val="0"/>
          <w:i w:val="0"/>
          <w:highlight w:val="yellow"/>
        </w:rPr>
      </w:pPr>
      <w:r w:rsidRPr="009126C7">
        <w:rPr>
          <w:rStyle w:val="BoldItalic"/>
          <w:b w:val="0"/>
          <w:i w:val="0"/>
        </w:rPr>
        <w:t>Treasury modelling suggests that the removal of the carbon tax in 2014-15 will leave average costs of living across all households (based on existing expenditure patterns) around $10.50 per week (or around $550 over the year) lower than they would otherwise be in 2014-15</w:t>
      </w:r>
      <w:r w:rsidR="00D5237C">
        <w:rPr>
          <w:rStyle w:val="BoldItalic"/>
          <w:b w:val="0"/>
          <w:i w:val="0"/>
        </w:rPr>
        <w:t xml:space="preserve">.  </w:t>
      </w:r>
    </w:p>
    <w:p w:rsidR="00A43175" w:rsidRPr="00A43175" w:rsidRDefault="00A43175" w:rsidP="003151F1">
      <w:pPr>
        <w:pStyle w:val="Heading2"/>
        <w:rPr>
          <w:rStyle w:val="BoldItalic"/>
          <w:b/>
          <w:i w:val="0"/>
        </w:rPr>
      </w:pPr>
      <w:r w:rsidRPr="00A43175">
        <w:rPr>
          <w:rStyle w:val="BoldItalic"/>
          <w:b/>
          <w:i w:val="0"/>
        </w:rPr>
        <w:t xml:space="preserve">Statement of </w:t>
      </w:r>
      <w:r w:rsidRPr="003151F1">
        <w:rPr>
          <w:rStyle w:val="BoldItalic"/>
          <w:b/>
          <w:i w:val="0"/>
        </w:rPr>
        <w:t>Compatibility</w:t>
      </w:r>
      <w:r w:rsidRPr="00A43175">
        <w:rPr>
          <w:rStyle w:val="BoldItalic"/>
          <w:b/>
          <w:i w:val="0"/>
        </w:rPr>
        <w:t xml:space="preserve"> with Human Rights</w:t>
      </w:r>
    </w:p>
    <w:p w:rsidR="00A43175" w:rsidRPr="007871D1" w:rsidRDefault="00A43175" w:rsidP="003151F1">
      <w:pPr>
        <w:pStyle w:val="Heading3"/>
        <w:rPr>
          <w:rStyle w:val="BoldItalic"/>
          <w:b/>
          <w:i w:val="0"/>
        </w:rPr>
      </w:pPr>
      <w:r w:rsidRPr="00A43175">
        <w:rPr>
          <w:rStyle w:val="BoldItalic"/>
          <w:b/>
          <w:i w:val="0"/>
        </w:rPr>
        <w:t xml:space="preserve">Prepared in accordance with Part 3 of the </w:t>
      </w:r>
      <w:r w:rsidRPr="007871D1">
        <w:rPr>
          <w:rStyle w:val="BoldItalic"/>
          <w:b/>
        </w:rPr>
        <w:t>Human Rights (Parliamentary Scrutiny) Act 2011</w:t>
      </w:r>
      <w:r w:rsidR="007871D1">
        <w:rPr>
          <w:rStyle w:val="BoldItalic"/>
          <w:b/>
          <w:i w:val="0"/>
        </w:rPr>
        <w:t>.</w:t>
      </w:r>
    </w:p>
    <w:p w:rsidR="00C56676" w:rsidRPr="00146D5A" w:rsidRDefault="00C56676" w:rsidP="00146D5A">
      <w:pPr>
        <w:pStyle w:val="base-text-paragraphnonumbers"/>
        <w:spacing w:before="0" w:after="0"/>
        <w:ind w:left="1440"/>
        <w:rPr>
          <w:rStyle w:val="BoldItalic"/>
          <w:b w:val="0"/>
          <w:i w:val="0"/>
        </w:rPr>
      </w:pPr>
      <w:r w:rsidRPr="00146D5A">
        <w:rPr>
          <w:rStyle w:val="BoldItalic"/>
          <w:b w:val="0"/>
          <w:i w:val="0"/>
        </w:rPr>
        <w:t>Clean Energy Legislation (</w:t>
      </w:r>
      <w:r w:rsidR="00622B79">
        <w:rPr>
          <w:rStyle w:val="BoldItalic"/>
          <w:b w:val="0"/>
          <w:i w:val="0"/>
        </w:rPr>
        <w:t>Carbon Tax Repeal</w:t>
      </w:r>
      <w:r w:rsidRPr="00146D5A">
        <w:rPr>
          <w:rStyle w:val="BoldItalic"/>
          <w:b w:val="0"/>
          <w:i w:val="0"/>
        </w:rPr>
        <w:t>) Bill 201</w:t>
      </w:r>
      <w:r w:rsidR="00C90ACA">
        <w:rPr>
          <w:rStyle w:val="BoldItalic"/>
          <w:b w:val="0"/>
          <w:i w:val="0"/>
        </w:rPr>
        <w:t>4</w:t>
      </w:r>
    </w:p>
    <w:p w:rsidR="00C56676" w:rsidRPr="00146D5A" w:rsidRDefault="00C56676" w:rsidP="00146D5A">
      <w:pPr>
        <w:pStyle w:val="base-text-paragraphnonumbers"/>
        <w:spacing w:before="0" w:after="0"/>
        <w:ind w:left="1440"/>
        <w:rPr>
          <w:rStyle w:val="BoldItalic"/>
          <w:b w:val="0"/>
          <w:i w:val="0"/>
        </w:rPr>
      </w:pPr>
      <w:r w:rsidRPr="00146D5A">
        <w:rPr>
          <w:rStyle w:val="BoldItalic"/>
          <w:b w:val="0"/>
          <w:i w:val="0"/>
        </w:rPr>
        <w:t xml:space="preserve">True-up Shortfall Levy </w:t>
      </w:r>
      <w:r w:rsidR="00B807FC" w:rsidRPr="00146D5A">
        <w:rPr>
          <w:rStyle w:val="BoldItalic"/>
          <w:b w:val="0"/>
          <w:i w:val="0"/>
        </w:rPr>
        <w:t xml:space="preserve">(General) </w:t>
      </w:r>
      <w:r w:rsidRPr="00146D5A">
        <w:rPr>
          <w:rStyle w:val="BoldItalic"/>
          <w:b w:val="0"/>
          <w:i w:val="0"/>
        </w:rPr>
        <w:t>(</w:t>
      </w:r>
      <w:r w:rsidR="00622B79">
        <w:rPr>
          <w:rStyle w:val="BoldItalic"/>
          <w:b w:val="0"/>
          <w:i w:val="0"/>
        </w:rPr>
        <w:t>Carbon Tax Repeal</w:t>
      </w:r>
      <w:r w:rsidRPr="00146D5A">
        <w:rPr>
          <w:rStyle w:val="BoldItalic"/>
          <w:b w:val="0"/>
          <w:i w:val="0"/>
        </w:rPr>
        <w:t>) Bill 201</w:t>
      </w:r>
      <w:r w:rsidR="00C90ACA">
        <w:rPr>
          <w:rStyle w:val="BoldItalic"/>
          <w:b w:val="0"/>
          <w:i w:val="0"/>
        </w:rPr>
        <w:t>4</w:t>
      </w:r>
    </w:p>
    <w:p w:rsidR="00B807FC" w:rsidRPr="00146D5A" w:rsidRDefault="00057B34" w:rsidP="00146D5A">
      <w:pPr>
        <w:pStyle w:val="base-text-paragraphnonumbers"/>
        <w:spacing w:before="0" w:after="0"/>
        <w:ind w:left="1440"/>
        <w:rPr>
          <w:rStyle w:val="BoldItalic"/>
          <w:b w:val="0"/>
          <w:i w:val="0"/>
        </w:rPr>
      </w:pPr>
      <w:r w:rsidRPr="00146D5A">
        <w:rPr>
          <w:rStyle w:val="BoldItalic"/>
          <w:b w:val="0"/>
          <w:i w:val="0"/>
        </w:rPr>
        <w:t>True-</w:t>
      </w:r>
      <w:r w:rsidR="00B807FC" w:rsidRPr="00146D5A">
        <w:rPr>
          <w:rStyle w:val="BoldItalic"/>
          <w:b w:val="0"/>
          <w:i w:val="0"/>
        </w:rPr>
        <w:t>up Shortfall Levy (Excise) (</w:t>
      </w:r>
      <w:r w:rsidR="00622B79">
        <w:rPr>
          <w:rStyle w:val="BoldItalic"/>
          <w:b w:val="0"/>
          <w:i w:val="0"/>
        </w:rPr>
        <w:t>Carbon Tax Repeal</w:t>
      </w:r>
      <w:r w:rsidR="00B807FC" w:rsidRPr="00146D5A">
        <w:rPr>
          <w:rStyle w:val="BoldItalic"/>
          <w:b w:val="0"/>
          <w:i w:val="0"/>
        </w:rPr>
        <w:t>) Bill 201</w:t>
      </w:r>
      <w:r w:rsidR="00C90ACA">
        <w:rPr>
          <w:rStyle w:val="BoldItalic"/>
          <w:b w:val="0"/>
          <w:i w:val="0"/>
        </w:rPr>
        <w:t>4</w:t>
      </w:r>
    </w:p>
    <w:p w:rsidR="00C56676" w:rsidRPr="00146D5A" w:rsidRDefault="00C56676" w:rsidP="00146D5A">
      <w:pPr>
        <w:pStyle w:val="base-text-paragraphnonumbers"/>
        <w:spacing w:before="0" w:after="0"/>
        <w:ind w:left="1440"/>
        <w:rPr>
          <w:rStyle w:val="BoldItalic"/>
          <w:b w:val="0"/>
          <w:i w:val="0"/>
        </w:rPr>
      </w:pPr>
      <w:r w:rsidRPr="00146D5A">
        <w:rPr>
          <w:rStyle w:val="BoldItalic"/>
          <w:b w:val="0"/>
          <w:i w:val="0"/>
        </w:rPr>
        <w:t>Customs Tariff Amendment (</w:t>
      </w:r>
      <w:r w:rsidR="00622B79">
        <w:rPr>
          <w:rStyle w:val="BoldItalic"/>
          <w:b w:val="0"/>
          <w:i w:val="0"/>
        </w:rPr>
        <w:t>Carbon Tax Repeal</w:t>
      </w:r>
      <w:r w:rsidRPr="00146D5A">
        <w:rPr>
          <w:rStyle w:val="BoldItalic"/>
          <w:b w:val="0"/>
          <w:i w:val="0"/>
        </w:rPr>
        <w:t>) Bill 201</w:t>
      </w:r>
      <w:r w:rsidR="00C90ACA">
        <w:rPr>
          <w:rStyle w:val="BoldItalic"/>
          <w:b w:val="0"/>
          <w:i w:val="0"/>
        </w:rPr>
        <w:t>4</w:t>
      </w:r>
      <w:r w:rsidRPr="00146D5A">
        <w:rPr>
          <w:rStyle w:val="BoldItalic"/>
          <w:b w:val="0"/>
          <w:i w:val="0"/>
        </w:rPr>
        <w:t xml:space="preserve"> </w:t>
      </w:r>
    </w:p>
    <w:p w:rsidR="00C56676" w:rsidRPr="00146D5A" w:rsidRDefault="00C56676" w:rsidP="00146D5A">
      <w:pPr>
        <w:pStyle w:val="base-text-paragraphnonumbers"/>
        <w:spacing w:before="0" w:after="0"/>
        <w:ind w:left="1440"/>
        <w:rPr>
          <w:rStyle w:val="BoldItalic"/>
          <w:b w:val="0"/>
          <w:i w:val="0"/>
        </w:rPr>
      </w:pPr>
      <w:r w:rsidRPr="00146D5A">
        <w:rPr>
          <w:rStyle w:val="BoldItalic"/>
          <w:b w:val="0"/>
          <w:i w:val="0"/>
        </w:rPr>
        <w:t>Excise Tariff Amendment (</w:t>
      </w:r>
      <w:r w:rsidR="00622B79">
        <w:rPr>
          <w:rStyle w:val="BoldItalic"/>
          <w:b w:val="0"/>
          <w:i w:val="0"/>
        </w:rPr>
        <w:t>Carbon Tax Repeal</w:t>
      </w:r>
      <w:r w:rsidRPr="00146D5A">
        <w:rPr>
          <w:rStyle w:val="BoldItalic"/>
          <w:b w:val="0"/>
          <w:i w:val="0"/>
        </w:rPr>
        <w:t>) Bill 201</w:t>
      </w:r>
      <w:r w:rsidR="00C90ACA">
        <w:rPr>
          <w:rStyle w:val="BoldItalic"/>
          <w:b w:val="0"/>
          <w:i w:val="0"/>
        </w:rPr>
        <w:t>4</w:t>
      </w:r>
    </w:p>
    <w:p w:rsidR="00C56676" w:rsidRPr="00146D5A" w:rsidRDefault="00C56676" w:rsidP="00146D5A">
      <w:pPr>
        <w:pStyle w:val="base-text-paragraphnonumbers"/>
        <w:spacing w:before="0" w:after="0"/>
        <w:ind w:left="1440"/>
        <w:rPr>
          <w:rStyle w:val="BoldItalic"/>
          <w:b w:val="0"/>
          <w:i w:val="0"/>
        </w:rPr>
      </w:pPr>
      <w:r w:rsidRPr="00146D5A">
        <w:rPr>
          <w:rStyle w:val="BoldItalic"/>
          <w:b w:val="0"/>
          <w:i w:val="0"/>
        </w:rPr>
        <w:t>Ozone Protection and Synthetic Greenhouse Gas (Import Levy) Amendment (</w:t>
      </w:r>
      <w:r w:rsidR="00622B79">
        <w:rPr>
          <w:rStyle w:val="BoldItalic"/>
          <w:b w:val="0"/>
          <w:i w:val="0"/>
        </w:rPr>
        <w:t>Carbon Tax Repeal</w:t>
      </w:r>
      <w:r w:rsidRPr="00146D5A">
        <w:rPr>
          <w:rStyle w:val="BoldItalic"/>
          <w:b w:val="0"/>
          <w:i w:val="0"/>
        </w:rPr>
        <w:t>) Bill 201</w:t>
      </w:r>
      <w:r w:rsidR="00C90ACA">
        <w:rPr>
          <w:rStyle w:val="BoldItalic"/>
          <w:b w:val="0"/>
          <w:i w:val="0"/>
        </w:rPr>
        <w:t>4</w:t>
      </w:r>
    </w:p>
    <w:p w:rsidR="00A43175" w:rsidRPr="00146D5A" w:rsidRDefault="00C56676" w:rsidP="00146D5A">
      <w:pPr>
        <w:pStyle w:val="base-text-paragraphnonumbers"/>
        <w:spacing w:before="0" w:after="0"/>
        <w:ind w:left="1440"/>
        <w:rPr>
          <w:rStyle w:val="BoldItalic"/>
          <w:b w:val="0"/>
          <w:i w:val="0"/>
        </w:rPr>
      </w:pPr>
      <w:r w:rsidRPr="00146D5A">
        <w:rPr>
          <w:rStyle w:val="BoldItalic"/>
          <w:b w:val="0"/>
          <w:i w:val="0"/>
        </w:rPr>
        <w:t>Ozone Protection and Synthetic Greenhouse Gas (Manufacture Levy) Amendment (</w:t>
      </w:r>
      <w:r w:rsidR="00622B79">
        <w:rPr>
          <w:rStyle w:val="BoldItalic"/>
          <w:b w:val="0"/>
          <w:i w:val="0"/>
        </w:rPr>
        <w:t>Carbon Tax Repeal</w:t>
      </w:r>
      <w:r w:rsidRPr="00146D5A">
        <w:rPr>
          <w:rStyle w:val="BoldItalic"/>
          <w:b w:val="0"/>
          <w:i w:val="0"/>
        </w:rPr>
        <w:t>) Bill 201</w:t>
      </w:r>
      <w:r w:rsidR="00C90ACA">
        <w:rPr>
          <w:rStyle w:val="BoldItalic"/>
          <w:b w:val="0"/>
          <w:i w:val="0"/>
        </w:rPr>
        <w:t>4</w:t>
      </w:r>
    </w:p>
    <w:p w:rsidR="00A43175" w:rsidRPr="00A43175" w:rsidRDefault="00A43175" w:rsidP="00BD2532">
      <w:pPr>
        <w:pStyle w:val="base-text-paragraphnonumbers"/>
        <w:rPr>
          <w:rStyle w:val="BoldItalic"/>
          <w:b w:val="0"/>
          <w:i w:val="0"/>
        </w:rPr>
      </w:pPr>
      <w:r w:rsidRPr="00A43175">
        <w:rPr>
          <w:rStyle w:val="BoldItalic"/>
          <w:b w:val="0"/>
          <w:i w:val="0"/>
        </w:rPr>
        <w:t>Th</w:t>
      </w:r>
      <w:r w:rsidR="00F17492">
        <w:rPr>
          <w:rStyle w:val="BoldItalic"/>
          <w:b w:val="0"/>
          <w:i w:val="0"/>
        </w:rPr>
        <w:t>ese</w:t>
      </w:r>
      <w:r w:rsidRPr="00A43175">
        <w:rPr>
          <w:rStyle w:val="BoldItalic"/>
          <w:b w:val="0"/>
          <w:i w:val="0"/>
        </w:rPr>
        <w:t xml:space="preserve"> </w:t>
      </w:r>
      <w:r w:rsidR="00E21517">
        <w:rPr>
          <w:rStyle w:val="BoldItalic"/>
          <w:b w:val="0"/>
          <w:i w:val="0"/>
        </w:rPr>
        <w:t>B</w:t>
      </w:r>
      <w:r w:rsidR="00E21517" w:rsidRPr="00A43175">
        <w:rPr>
          <w:rStyle w:val="BoldItalic"/>
          <w:b w:val="0"/>
          <w:i w:val="0"/>
        </w:rPr>
        <w:t>ill</w:t>
      </w:r>
      <w:r w:rsidR="00E21517">
        <w:rPr>
          <w:rStyle w:val="BoldItalic"/>
          <w:b w:val="0"/>
          <w:i w:val="0"/>
        </w:rPr>
        <w:t xml:space="preserve">s </w:t>
      </w:r>
      <w:r w:rsidR="00F17492">
        <w:rPr>
          <w:rStyle w:val="BoldItalic"/>
          <w:b w:val="0"/>
          <w:i w:val="0"/>
        </w:rPr>
        <w:t>are</w:t>
      </w:r>
      <w:r w:rsidRPr="00A43175">
        <w:rPr>
          <w:rStyle w:val="BoldItalic"/>
          <w:b w:val="0"/>
          <w:i w:val="0"/>
        </w:rPr>
        <w:t xml:space="preserve"> compatible with the human rights and freedoms recognised or declared in the international instruments listed in section 3 of the </w:t>
      </w:r>
      <w:r w:rsidRPr="00A43175">
        <w:rPr>
          <w:rStyle w:val="BoldItalic"/>
          <w:b w:val="0"/>
        </w:rPr>
        <w:t>Human Rights (Parliamentary Scrutiny) Act 2011</w:t>
      </w:r>
      <w:r w:rsidRPr="00A43175">
        <w:rPr>
          <w:rStyle w:val="BoldItalic"/>
          <w:b w:val="0"/>
          <w:i w:val="0"/>
        </w:rPr>
        <w:t>.</w:t>
      </w:r>
    </w:p>
    <w:p w:rsidR="00A43175" w:rsidRPr="00A43175" w:rsidRDefault="00F17492" w:rsidP="00057B34">
      <w:pPr>
        <w:pStyle w:val="Heading3"/>
        <w:rPr>
          <w:rStyle w:val="BoldItalic"/>
          <w:b/>
          <w:i w:val="0"/>
        </w:rPr>
      </w:pPr>
      <w:r>
        <w:rPr>
          <w:rStyle w:val="BoldItalic"/>
          <w:b/>
          <w:i w:val="0"/>
        </w:rPr>
        <w:t xml:space="preserve">Overview of the </w:t>
      </w:r>
      <w:r w:rsidR="00607977">
        <w:t xml:space="preserve">Carbon Tax Repeal </w:t>
      </w:r>
      <w:r w:rsidR="00607977" w:rsidRPr="00057B34">
        <w:t xml:space="preserve">Bills </w:t>
      </w:r>
    </w:p>
    <w:p w:rsidR="00057B34" w:rsidRPr="00057B34" w:rsidRDefault="00057B34" w:rsidP="00057B34">
      <w:pPr>
        <w:pStyle w:val="base-text-paragraphnonumbers"/>
      </w:pPr>
      <w:r w:rsidRPr="00057B34">
        <w:t xml:space="preserve">The </w:t>
      </w:r>
      <w:r w:rsidR="00146D5A">
        <w:t xml:space="preserve">Carbon Tax Repeal </w:t>
      </w:r>
      <w:r w:rsidRPr="00057B34">
        <w:t>Bills repeal the carbon tax</w:t>
      </w:r>
      <w:r w:rsidR="00D5237C">
        <w:t xml:space="preserve">.  </w:t>
      </w:r>
      <w:r w:rsidRPr="00057B34">
        <w:t>The carbon tax is imposed in a variety of ways:</w:t>
      </w:r>
    </w:p>
    <w:p w:rsidR="00057B34" w:rsidRPr="00057B34" w:rsidRDefault="00057B34" w:rsidP="00F3643B">
      <w:pPr>
        <w:pStyle w:val="dotpoint"/>
      </w:pPr>
      <w:r w:rsidRPr="00057B34">
        <w:t xml:space="preserve">an obligation on large emitters of greenhouse gases, natural gas suppliers and </w:t>
      </w:r>
      <w:r w:rsidR="00F3643B" w:rsidRPr="00F3643B">
        <w:t>liquefied petroleum gas</w:t>
      </w:r>
      <w:r w:rsidR="00F3643B">
        <w:t xml:space="preserve"> (</w:t>
      </w:r>
      <w:r w:rsidRPr="00057B34">
        <w:t>LPG</w:t>
      </w:r>
      <w:r w:rsidR="00F3643B">
        <w:t>)</w:t>
      </w:r>
      <w:r w:rsidRPr="00057B34">
        <w:t xml:space="preserve"> and </w:t>
      </w:r>
      <w:r w:rsidR="00F3643B" w:rsidRPr="00F3643B">
        <w:t>liquefied natural gas</w:t>
      </w:r>
      <w:r w:rsidR="00F3643B">
        <w:t xml:space="preserve"> (</w:t>
      </w:r>
      <w:r w:rsidRPr="00057B34">
        <w:t>LNG</w:t>
      </w:r>
      <w:r w:rsidR="00F3643B">
        <w:t>)</w:t>
      </w:r>
      <w:r w:rsidRPr="00057B34">
        <w:t xml:space="preserve"> importers, manufacturers and suppliers (liable entities) to pay a unit shortfall charge if they do not buy and surrender eligible emissions units (mostly carbon units issued by the Commonwealth) in accordance with the </w:t>
      </w:r>
      <w:r w:rsidR="003151F1">
        <w:t>CE Act</w:t>
      </w:r>
      <w:r w:rsidR="00E032CB">
        <w:t xml:space="preserve"> </w:t>
      </w:r>
      <w:r w:rsidR="00384CE5">
        <w:t xml:space="preserve">and </w:t>
      </w:r>
      <w:r w:rsidR="00662579">
        <w:t xml:space="preserve">the CE </w:t>
      </w:r>
      <w:r w:rsidR="00384CE5">
        <w:t>Charges Acts</w:t>
      </w:r>
      <w:r w:rsidRPr="00057B34">
        <w:t>;</w:t>
      </w:r>
    </w:p>
    <w:p w:rsidR="00057B34" w:rsidRPr="00057B34" w:rsidRDefault="00057B34" w:rsidP="00057B34">
      <w:pPr>
        <w:pStyle w:val="dotpoint"/>
      </w:pPr>
      <w:r w:rsidRPr="00057B34">
        <w:t xml:space="preserve">a reduction in the fuel tax credits paid for marine, rail and off-road taxable fuel use </w:t>
      </w:r>
      <w:r w:rsidR="00E21517">
        <w:t>by busines</w:t>
      </w:r>
      <w:r w:rsidR="00107EB1">
        <w:t xml:space="preserve">s </w:t>
      </w:r>
      <w:r w:rsidRPr="00057B34">
        <w:t>(</w:t>
      </w:r>
      <w:r w:rsidRPr="00057B34">
        <w:rPr>
          <w:i/>
        </w:rPr>
        <w:t>Fuel Tax Act 2006</w:t>
      </w:r>
      <w:r w:rsidRPr="00057B34">
        <w:t>);</w:t>
      </w:r>
    </w:p>
    <w:p w:rsidR="00057B34" w:rsidRPr="00057B34" w:rsidRDefault="00E21517" w:rsidP="00057B34">
      <w:pPr>
        <w:pStyle w:val="dotpoint"/>
      </w:pPr>
      <w:r w:rsidRPr="00057B34">
        <w:t xml:space="preserve">an increase in excise duty and </w:t>
      </w:r>
      <w:r>
        <w:t>excise equivalent</w:t>
      </w:r>
      <w:r w:rsidRPr="00057B34">
        <w:t xml:space="preserve"> customs duty on aviation fuel (</w:t>
      </w:r>
      <w:r w:rsidRPr="00057B34">
        <w:rPr>
          <w:i/>
        </w:rPr>
        <w:t>Excise Tariff Act 1921</w:t>
      </w:r>
      <w:r w:rsidRPr="00057B34">
        <w:t xml:space="preserve">, </w:t>
      </w:r>
      <w:r w:rsidRPr="00057B34">
        <w:rPr>
          <w:i/>
        </w:rPr>
        <w:t>Customs Tariff Act 1995</w:t>
      </w:r>
      <w:r w:rsidRPr="00057B34">
        <w:t>); and</w:t>
      </w:r>
    </w:p>
    <w:p w:rsidR="00057B34" w:rsidRPr="00057B34" w:rsidRDefault="00057B34" w:rsidP="00057B34">
      <w:pPr>
        <w:pStyle w:val="dotpoint"/>
      </w:pPr>
      <w:r w:rsidRPr="00057B34">
        <w:t>a levy on import and manufacture of synthetic greenhouse gases and equipment (</w:t>
      </w:r>
      <w:r w:rsidRPr="00057B34">
        <w:rPr>
          <w:i/>
        </w:rPr>
        <w:t>Ozone Protection and Synthetic Greenhouse Gas (Import Levy) Act 1995</w:t>
      </w:r>
      <w:r w:rsidRPr="00057B34">
        <w:t xml:space="preserve">, </w:t>
      </w:r>
      <w:r w:rsidRPr="00057B34">
        <w:rPr>
          <w:i/>
        </w:rPr>
        <w:t>Ozone Protection and Synthetic Greenhouse Gas (Manufacture Levy) Act 1995, Ozone Protection and Synthetic Greenhouse Gas Management Act 1989</w:t>
      </w:r>
      <w:r w:rsidRPr="00057B34">
        <w:t>).</w:t>
      </w:r>
    </w:p>
    <w:p w:rsidR="00057B34" w:rsidRDefault="00E47707" w:rsidP="00A43175">
      <w:pPr>
        <w:pStyle w:val="base-text-paragraphnonumbers"/>
        <w:rPr>
          <w:rStyle w:val="BoldItalic"/>
          <w:b w:val="0"/>
          <w:i w:val="0"/>
        </w:rPr>
      </w:pPr>
      <w:r>
        <w:rPr>
          <w:rStyle w:val="BoldItalic"/>
          <w:b w:val="0"/>
          <w:i w:val="0"/>
        </w:rPr>
        <w:t xml:space="preserve">The </w:t>
      </w:r>
      <w:r w:rsidR="00146D5A">
        <w:t xml:space="preserve">Carbon Tax Repeal </w:t>
      </w:r>
      <w:r w:rsidR="00146D5A" w:rsidRPr="00057B34">
        <w:t xml:space="preserve">Bills </w:t>
      </w:r>
      <w:r w:rsidR="00057B34" w:rsidRPr="00057B34">
        <w:rPr>
          <w:rStyle w:val="BoldItalic"/>
          <w:b w:val="0"/>
          <w:i w:val="0"/>
        </w:rPr>
        <w:t>repeal, with effect from 1 July 2014, all of the provisions in the various Acts that impose carbon tax liabilit</w:t>
      </w:r>
      <w:r w:rsidR="00A6062A">
        <w:rPr>
          <w:rStyle w:val="BoldItalic"/>
          <w:b w:val="0"/>
          <w:i w:val="0"/>
        </w:rPr>
        <w:t>ies</w:t>
      </w:r>
      <w:r w:rsidR="00057B34" w:rsidRPr="00057B34">
        <w:rPr>
          <w:rStyle w:val="BoldItalic"/>
          <w:b w:val="0"/>
          <w:i w:val="0"/>
        </w:rPr>
        <w:t xml:space="preserve"> and make consequential and transitional </w:t>
      </w:r>
      <w:r w:rsidR="00E21517">
        <w:rPr>
          <w:rStyle w:val="BoldItalic"/>
          <w:b w:val="0"/>
          <w:i w:val="0"/>
        </w:rPr>
        <w:t>amendments</w:t>
      </w:r>
      <w:r w:rsidR="00D5237C">
        <w:rPr>
          <w:rStyle w:val="BoldItalic"/>
          <w:b w:val="0"/>
          <w:i w:val="0"/>
        </w:rPr>
        <w:t xml:space="preserve">.  </w:t>
      </w:r>
      <w:r w:rsidR="00057B34" w:rsidRPr="00057B34">
        <w:rPr>
          <w:rStyle w:val="BoldItalic"/>
          <w:b w:val="0"/>
          <w:i w:val="0"/>
        </w:rPr>
        <w:t>This includes provision</w:t>
      </w:r>
      <w:r w:rsidR="009B6327">
        <w:rPr>
          <w:rStyle w:val="BoldItalic"/>
          <w:b w:val="0"/>
          <w:i w:val="0"/>
        </w:rPr>
        <w:t>s</w:t>
      </w:r>
      <w:r w:rsidR="00057B34" w:rsidRPr="00057B34">
        <w:rPr>
          <w:rStyle w:val="BoldItalic"/>
          <w:b w:val="0"/>
          <w:i w:val="0"/>
        </w:rPr>
        <w:t xml:space="preserve"> to continue processes and publications under the </w:t>
      </w:r>
      <w:r w:rsidR="003151F1">
        <w:t>CE Act</w:t>
      </w:r>
      <w:r w:rsidR="00E032CB">
        <w:t xml:space="preserve"> </w:t>
      </w:r>
      <w:r w:rsidR="00057B34" w:rsidRPr="00057B34">
        <w:rPr>
          <w:rStyle w:val="BoldItalic"/>
          <w:b w:val="0"/>
          <w:i w:val="0"/>
        </w:rPr>
        <w:t xml:space="preserve">until </w:t>
      </w:r>
      <w:r w:rsidR="00A6062A">
        <w:rPr>
          <w:rStyle w:val="BoldItalic"/>
          <w:b w:val="0"/>
          <w:i w:val="0"/>
        </w:rPr>
        <w:t>liabilities that arise before 1 July </w:t>
      </w:r>
      <w:r w:rsidR="00057B34" w:rsidRPr="00057B34">
        <w:rPr>
          <w:rStyle w:val="BoldItalic"/>
          <w:b w:val="0"/>
          <w:i w:val="0"/>
        </w:rPr>
        <w:t>2014 are satisfied and to cancel any carbon units held by a person once they are no longer needed for this purpose.</w:t>
      </w:r>
    </w:p>
    <w:p w:rsidR="00057B34" w:rsidRPr="00057B34" w:rsidRDefault="00057B34" w:rsidP="00057B34">
      <w:pPr>
        <w:pStyle w:val="base-text-paragraphnonumbers"/>
      </w:pPr>
      <w:r w:rsidRPr="00057B34">
        <w:t xml:space="preserve">The True-up Shortfall Levy </w:t>
      </w:r>
      <w:r>
        <w:t xml:space="preserve">(General) </w:t>
      </w:r>
      <w:r w:rsidRPr="00057B34">
        <w:t>(</w:t>
      </w:r>
      <w:r w:rsidR="00622B79">
        <w:t>Carbon Tax Repeal</w:t>
      </w:r>
      <w:r w:rsidRPr="00057B34">
        <w:t>) Bill 201</w:t>
      </w:r>
      <w:r w:rsidR="00C90ACA">
        <w:t>4</w:t>
      </w:r>
      <w:r w:rsidR="00662579">
        <w:t xml:space="preserve"> and the </w:t>
      </w:r>
      <w:r w:rsidR="00662579" w:rsidRPr="00057B34">
        <w:t xml:space="preserve">True-up Shortfall Levy </w:t>
      </w:r>
      <w:r w:rsidR="00662579">
        <w:t xml:space="preserve">(Excise) </w:t>
      </w:r>
      <w:r w:rsidR="00662579" w:rsidRPr="00057B34">
        <w:t>(</w:t>
      </w:r>
      <w:r w:rsidR="00622B79">
        <w:t>Carbon Tax Repeal</w:t>
      </w:r>
      <w:r w:rsidR="00662579" w:rsidRPr="00057B34">
        <w:t>) Bill 201</w:t>
      </w:r>
      <w:r w:rsidR="00C90ACA">
        <w:t>4</w:t>
      </w:r>
      <w:r w:rsidRPr="00057B34">
        <w:t xml:space="preserve"> impose a levy on persons who were over-allocated free carbon units as industry assistance in the 2013-14 financial year and would have had their 2014-15 allocation </w:t>
      </w:r>
      <w:r w:rsidR="00875D4A">
        <w:t>reduced</w:t>
      </w:r>
      <w:r w:rsidRPr="00057B34">
        <w:t xml:space="preserve"> if the carbon tax had remained in force.</w:t>
      </w:r>
    </w:p>
    <w:p w:rsidR="00057B34" w:rsidRPr="00057B34" w:rsidRDefault="00E47707" w:rsidP="00057B34">
      <w:pPr>
        <w:pStyle w:val="base-text-paragraphnonumbers"/>
      </w:pPr>
      <w:r>
        <w:t xml:space="preserve">The </w:t>
      </w:r>
      <w:r w:rsidR="00146D5A">
        <w:t xml:space="preserve">Carbon Tax Repeal </w:t>
      </w:r>
      <w:r w:rsidR="00146D5A" w:rsidRPr="00057B34">
        <w:t>Bills</w:t>
      </w:r>
      <w:r w:rsidR="00057B34" w:rsidRPr="00057B34">
        <w:t xml:space="preserve"> also repeal the provisions of the </w:t>
      </w:r>
      <w:r w:rsidR="00057B34" w:rsidRPr="00057B34">
        <w:rPr>
          <w:i/>
        </w:rPr>
        <w:t>National Greenhouse and Energy Reporting Act 2007</w:t>
      </w:r>
      <w:r w:rsidR="00057B34" w:rsidRPr="00057B34">
        <w:t xml:space="preserve"> </w:t>
      </w:r>
      <w:r w:rsidR="009B6327">
        <w:t xml:space="preserve">(NGER Act) </w:t>
      </w:r>
      <w:r w:rsidR="00057B34" w:rsidRPr="00057B34">
        <w:t xml:space="preserve">and the </w:t>
      </w:r>
      <w:r w:rsidR="00057B34" w:rsidRPr="00057B34">
        <w:rPr>
          <w:i/>
        </w:rPr>
        <w:t>Australian National Registry of Emissions Units Act 2011</w:t>
      </w:r>
      <w:r w:rsidR="00057B34" w:rsidRPr="00057B34">
        <w:t xml:space="preserve"> </w:t>
      </w:r>
      <w:r w:rsidR="009B6327">
        <w:t xml:space="preserve">(ANREU Act) </w:t>
      </w:r>
      <w:r w:rsidR="00057B34" w:rsidRPr="00057B34">
        <w:t xml:space="preserve">that deal with reporting emissions and registering emissions units for the purposes of the </w:t>
      </w:r>
      <w:r w:rsidR="003151F1">
        <w:t>CE Act</w:t>
      </w:r>
      <w:r w:rsidR="00057B34" w:rsidRPr="00057B34">
        <w:t xml:space="preserve"> and, in essence,</w:t>
      </w:r>
      <w:r w:rsidR="00F3643B">
        <w:t xml:space="preserve"> return those Acts to their pre</w:t>
      </w:r>
      <w:r w:rsidR="00F3643B">
        <w:noBreakHyphen/>
      </w:r>
      <w:r w:rsidR="00057B34" w:rsidRPr="00057B34">
        <w:t>carbon tax form.</w:t>
      </w:r>
    </w:p>
    <w:p w:rsidR="00057B34" w:rsidRDefault="00057B34" w:rsidP="00057B34">
      <w:pPr>
        <w:pStyle w:val="base-text-paragraphnonumbers"/>
      </w:pPr>
      <w:r w:rsidRPr="00057B34">
        <w:t xml:space="preserve">The </w:t>
      </w:r>
      <w:r w:rsidR="00146D5A">
        <w:t xml:space="preserve">Carbon Tax Repeal </w:t>
      </w:r>
      <w:r w:rsidR="00146D5A" w:rsidRPr="00057B34">
        <w:t>Bills</w:t>
      </w:r>
      <w:r w:rsidRPr="00057B34">
        <w:t xml:space="preserve"> also repeal provisions of other Acts </w:t>
      </w:r>
      <w:r w:rsidR="009B6327">
        <w:t>that</w:t>
      </w:r>
      <w:r w:rsidRPr="00057B34">
        <w:t xml:space="preserve"> deal with the tax treatment of carbon units an</w:t>
      </w:r>
      <w:r w:rsidR="00E65F8C">
        <w:t>d their regulation as financial </w:t>
      </w:r>
      <w:r w:rsidRPr="00057B34">
        <w:t>products</w:t>
      </w:r>
      <w:r w:rsidR="00D5237C">
        <w:t xml:space="preserve">.  </w:t>
      </w:r>
    </w:p>
    <w:p w:rsidR="00FF3321" w:rsidRPr="00057B34" w:rsidRDefault="00FF3321" w:rsidP="00057B34">
      <w:pPr>
        <w:pStyle w:val="base-text-paragraphnonumbers"/>
      </w:pPr>
      <w:r w:rsidRPr="00FF3321">
        <w:t xml:space="preserve">The </w:t>
      </w:r>
      <w:r w:rsidR="00146D5A">
        <w:t xml:space="preserve">Carbon Tax Repeal </w:t>
      </w:r>
      <w:r w:rsidR="00146D5A" w:rsidRPr="00057B34">
        <w:t>Bills</w:t>
      </w:r>
      <w:r w:rsidRPr="00FF3321">
        <w:t xml:space="preserve"> also amend the </w:t>
      </w:r>
      <w:r w:rsidRPr="00FF3321">
        <w:rPr>
          <w:i/>
        </w:rPr>
        <w:t>Competition and Consumer Act 2010</w:t>
      </w:r>
      <w:r w:rsidRPr="00FF3321">
        <w:t xml:space="preserve"> (</w:t>
      </w:r>
      <w:r w:rsidR="008E0018">
        <w:t>CC Act</w:t>
      </w:r>
      <w:r w:rsidRPr="00FF3321">
        <w:t>) to prohibit carbon tax</w:t>
      </w:r>
      <w:r w:rsidRPr="00FF3321">
        <w:noBreakHyphen/>
        <w:t>related price exploitation and false or misleading representations following the carbon tax repeal</w:t>
      </w:r>
      <w:r w:rsidR="00D5237C">
        <w:t xml:space="preserve">.  </w:t>
      </w:r>
      <w:r w:rsidRPr="00FF3321">
        <w:t>It also provides the ACCC with additional price monitoring powers.</w:t>
      </w:r>
    </w:p>
    <w:p w:rsidR="00A43175" w:rsidRPr="00A43175" w:rsidRDefault="00A43175" w:rsidP="00057B34">
      <w:pPr>
        <w:pStyle w:val="Heading3"/>
        <w:rPr>
          <w:rStyle w:val="BoldItalic"/>
          <w:b/>
          <w:i w:val="0"/>
        </w:rPr>
      </w:pPr>
      <w:r w:rsidRPr="00A43175">
        <w:rPr>
          <w:rStyle w:val="BoldItalic"/>
          <w:b/>
          <w:i w:val="0"/>
        </w:rPr>
        <w:t>Human rights implications</w:t>
      </w:r>
    </w:p>
    <w:p w:rsidR="00A43175" w:rsidRPr="00A43175" w:rsidRDefault="00A43175" w:rsidP="00A43175">
      <w:pPr>
        <w:pStyle w:val="Heading4"/>
        <w:rPr>
          <w:rStyle w:val="BoldItalic"/>
          <w:b/>
          <w:i/>
        </w:rPr>
      </w:pPr>
      <w:r w:rsidRPr="00A43175">
        <w:rPr>
          <w:rStyle w:val="BoldItalic"/>
          <w:b/>
          <w:i/>
        </w:rPr>
        <w:t>Right</w:t>
      </w:r>
      <w:r w:rsidR="00057B34">
        <w:rPr>
          <w:rStyle w:val="BoldItalic"/>
          <w:b/>
          <w:i/>
        </w:rPr>
        <w:t xml:space="preserve"> to privacy</w:t>
      </w:r>
    </w:p>
    <w:p w:rsidR="00057B34" w:rsidRPr="00057B34" w:rsidRDefault="00057B34" w:rsidP="00057B34">
      <w:pPr>
        <w:pStyle w:val="base-text-paragraphnonumbers"/>
      </w:pPr>
      <w:r w:rsidRPr="00057B34">
        <w:t xml:space="preserve">The </w:t>
      </w:r>
      <w:r w:rsidR="00E47707">
        <w:t>Main Repeal Bill</w:t>
      </w:r>
      <w:r w:rsidR="00E47707" w:rsidRPr="00057B34">
        <w:t xml:space="preserve"> </w:t>
      </w:r>
      <w:r w:rsidRPr="00057B34">
        <w:t>may marginally engage the right to privacy under Article 17 of the International Covenant on Civil and Political Rights (ICCPR)</w:t>
      </w:r>
      <w:r w:rsidR="00D5237C">
        <w:t xml:space="preserve">.  </w:t>
      </w:r>
      <w:r w:rsidRPr="00057B34">
        <w:t>Article 17 prohibits unlawful or arbitrary interferences with a person’s privacy</w:t>
      </w:r>
      <w:r w:rsidR="00D5237C">
        <w:t xml:space="preserve">.  </w:t>
      </w:r>
      <w:r w:rsidRPr="00057B34">
        <w:t>It provides that persons have the right to the protection of the law against such interference</w:t>
      </w:r>
      <w:r w:rsidR="00D5237C">
        <w:t xml:space="preserve">.  </w:t>
      </w:r>
      <w:r w:rsidRPr="00057B34">
        <w:t>An interference with privacy will not be arbitrary if it is not inconsistent with the provisions, aims and objectives of the ICCPR and reasonable in the circumstances</w:t>
      </w:r>
      <w:r w:rsidR="00D5237C">
        <w:t xml:space="preserve">.  </w:t>
      </w:r>
      <w:r w:rsidRPr="00057B34">
        <w:t>Reasonableness, in this context, incorporates notions of proportionality to the objectives sought to be achieved.</w:t>
      </w:r>
    </w:p>
    <w:p w:rsidR="00057B34" w:rsidRPr="00057B34" w:rsidRDefault="00E47707" w:rsidP="00057B34">
      <w:pPr>
        <w:pStyle w:val="base-text-paragraphnonumbers"/>
      </w:pPr>
      <w:r>
        <w:t xml:space="preserve">The </w:t>
      </w:r>
      <w:r w:rsidR="00384CE5">
        <w:t xml:space="preserve">Carbon Tax Repeal </w:t>
      </w:r>
      <w:r w:rsidR="00384CE5" w:rsidRPr="00057B34">
        <w:t xml:space="preserve">Bills </w:t>
      </w:r>
      <w:r w:rsidR="00057B34" w:rsidRPr="00057B34">
        <w:t>remove almost all requirements that persons provide information to the Commonwealth for the purpose of administering the provisions of the Acts which impose the carbon tax, and that the Regulator publish information r</w:t>
      </w:r>
      <w:r w:rsidR="00E65F8C">
        <w:t>elated to the carbon tax on its </w:t>
      </w:r>
      <w:r w:rsidR="00057B34" w:rsidRPr="00057B34">
        <w:t>website</w:t>
      </w:r>
      <w:r w:rsidR="00D5237C">
        <w:t xml:space="preserve">.  </w:t>
      </w:r>
    </w:p>
    <w:p w:rsidR="00057B34" w:rsidRPr="00057B34" w:rsidRDefault="00057B34" w:rsidP="00057B34">
      <w:pPr>
        <w:pStyle w:val="base-text-paragraphnonumbers"/>
      </w:pPr>
      <w:r w:rsidRPr="00057B34">
        <w:t xml:space="preserve">However, </w:t>
      </w:r>
      <w:r w:rsidRPr="00A26E36">
        <w:t xml:space="preserve">the </w:t>
      </w:r>
      <w:r w:rsidR="00E47707" w:rsidRPr="00A26E36">
        <w:t xml:space="preserve">Main Repeal Bill </w:t>
      </w:r>
      <w:r w:rsidRPr="00A26E36">
        <w:t>continues, until 30 June 2015, the requirement that the Regulator publish information about liable entities on its website (</w:t>
      </w:r>
      <w:r w:rsidR="009E773C" w:rsidRPr="00A26E36">
        <w:t xml:space="preserve">Schedule 1, item 323, </w:t>
      </w:r>
      <w:r w:rsidRPr="00A26E36">
        <w:t>table item 58)</w:t>
      </w:r>
      <w:r w:rsidR="00D5237C">
        <w:t xml:space="preserve">.  </w:t>
      </w:r>
      <w:r w:rsidRPr="00A26E36">
        <w:t>It also continues, until 30 June 2015, the requirement that the Regulator publish the OTN (obligation transfer number) Register and the list of surrendered and cancelled OTNs (</w:t>
      </w:r>
      <w:r w:rsidR="009E773C" w:rsidRPr="00A26E36">
        <w:t xml:space="preserve">Schedule 1, item 323, </w:t>
      </w:r>
      <w:r w:rsidRPr="00A26E36">
        <w:t>table items</w:t>
      </w:r>
      <w:r w:rsidRPr="00057B34">
        <w:t xml:space="preserve"> 12 and 13), both of which relate to transfer of liability in the natural gas supply chain</w:t>
      </w:r>
      <w:r w:rsidR="00D5237C">
        <w:t xml:space="preserve">.  </w:t>
      </w:r>
    </w:p>
    <w:p w:rsidR="00057B34" w:rsidRPr="00057B34" w:rsidRDefault="00057B34" w:rsidP="00057B34">
      <w:pPr>
        <w:pStyle w:val="base-text-paragraphnonumbers"/>
      </w:pPr>
      <w:r w:rsidRPr="00057B34">
        <w:t xml:space="preserve">The publication requirements are continued transitionally to allow liable entities and others (for example, recipients of natural gas supplies) to have access to information relevant to reporting and finalisation of liabilities for 2013-14, to allow disclosure to the public of the extent of unit shortfall charges for the year (as in previous years) and to provide public information relevant to the exercise of the price exploitation and price monitoring powers of the </w:t>
      </w:r>
      <w:r w:rsidR="00FF3321">
        <w:t>ACCC</w:t>
      </w:r>
      <w:r w:rsidRPr="00057B34">
        <w:t xml:space="preserve"> (wh</w:t>
      </w:r>
      <w:r w:rsidR="009B6327">
        <w:t>ich will also expire on 30 June </w:t>
      </w:r>
      <w:r w:rsidRPr="00057B34">
        <w:t>2015).</w:t>
      </w:r>
    </w:p>
    <w:p w:rsidR="00A43175" w:rsidRPr="00A43175" w:rsidRDefault="00057B34" w:rsidP="00057B34">
      <w:pPr>
        <w:pStyle w:val="base-text-paragraphnonumbers"/>
        <w:rPr>
          <w:rStyle w:val="BoldItalic"/>
          <w:b w:val="0"/>
          <w:i w:val="0"/>
        </w:rPr>
      </w:pPr>
      <w:r w:rsidRPr="00057B34">
        <w:t xml:space="preserve">To the extent that an individual’s right to privacy is affected by the </w:t>
      </w:r>
      <w:r w:rsidR="00E47707">
        <w:t>Main Repeal Bill</w:t>
      </w:r>
      <w:r w:rsidRPr="00057B34">
        <w:t>, the impact is not arbitrary</w:t>
      </w:r>
      <w:r w:rsidR="00D5237C">
        <w:t xml:space="preserve">.  </w:t>
      </w:r>
      <w:r w:rsidRPr="00057B34">
        <w:t>It is reasonable, necessary and proportionate to the achievement of the legitimate objectives of repealing the carbon tax and making appropriate transitional provisions for that purpose.</w:t>
      </w:r>
    </w:p>
    <w:p w:rsidR="00A43175" w:rsidRPr="00A43175" w:rsidRDefault="00057B34" w:rsidP="00057B34">
      <w:pPr>
        <w:pStyle w:val="Heading4"/>
        <w:rPr>
          <w:rStyle w:val="BoldItalic"/>
          <w:b/>
          <w:i/>
        </w:rPr>
      </w:pPr>
      <w:r>
        <w:rPr>
          <w:rStyle w:val="BoldItalic"/>
          <w:b/>
          <w:i/>
        </w:rPr>
        <w:t>Property rights</w:t>
      </w:r>
    </w:p>
    <w:p w:rsidR="00057B34" w:rsidRPr="00E266DF" w:rsidRDefault="00057B34" w:rsidP="00057B34">
      <w:pPr>
        <w:pStyle w:val="base-text-paragraphnonumbers"/>
      </w:pPr>
      <w:r w:rsidRPr="00057B34">
        <w:t xml:space="preserve">The </w:t>
      </w:r>
      <w:r w:rsidR="00E47707">
        <w:t>Main Repeal Bill</w:t>
      </w:r>
      <w:r w:rsidR="00E47707" w:rsidRPr="00057B34">
        <w:t xml:space="preserve"> </w:t>
      </w:r>
      <w:r w:rsidRPr="00057B34">
        <w:t xml:space="preserve">extinguishes rights to hold </w:t>
      </w:r>
      <w:r w:rsidRPr="00E266DF">
        <w:t>carbon units (</w:t>
      </w:r>
      <w:r w:rsidR="009B6327">
        <w:t>Schedule </w:t>
      </w:r>
      <w:r w:rsidR="009E773C" w:rsidRPr="00E266DF">
        <w:t xml:space="preserve">1, </w:t>
      </w:r>
      <w:r w:rsidRPr="00E266DF">
        <w:t>item 327)</w:t>
      </w:r>
      <w:r w:rsidR="00D5237C">
        <w:t xml:space="preserve">.  </w:t>
      </w:r>
      <w:r w:rsidRPr="00E266DF">
        <w:t>Carbon units are personal property (</w:t>
      </w:r>
      <w:r w:rsidR="003151F1" w:rsidRPr="00E266DF">
        <w:t>CE Act</w:t>
      </w:r>
      <w:r w:rsidRPr="00E266DF">
        <w:t>, s</w:t>
      </w:r>
      <w:r w:rsidR="00384CE5" w:rsidRPr="00E266DF">
        <w:t>ection</w:t>
      </w:r>
      <w:r w:rsidRPr="00E266DF">
        <w:t> 103)</w:t>
      </w:r>
      <w:r w:rsidR="00D5237C">
        <w:t xml:space="preserve">.  </w:t>
      </w:r>
      <w:r w:rsidRPr="00E266DF">
        <w:t>However, item 327 does not engage the relevant human rights obligations.</w:t>
      </w:r>
    </w:p>
    <w:p w:rsidR="00057B34" w:rsidRPr="00057B34" w:rsidRDefault="00057B34" w:rsidP="00057B34">
      <w:pPr>
        <w:pStyle w:val="base-text-paragraphnonumbers"/>
      </w:pPr>
      <w:r w:rsidRPr="00E266DF">
        <w:t>The cancellation provisions do not involve discrimination on any ground or denial of access to the courts</w:t>
      </w:r>
      <w:r w:rsidR="00D5237C">
        <w:t xml:space="preserve">.  </w:t>
      </w:r>
      <w:r w:rsidRPr="00E266DF">
        <w:t xml:space="preserve">Indeed, if the cancellation of a person’s carbon units </w:t>
      </w:r>
      <w:r w:rsidR="0051267F" w:rsidRPr="00E266DF">
        <w:t xml:space="preserve">results in the acquisition of </w:t>
      </w:r>
      <w:r w:rsidRPr="00E266DF">
        <w:t>their property on other than just terms contrary to</w:t>
      </w:r>
      <w:r w:rsidR="002664D4" w:rsidRPr="00E266DF">
        <w:t xml:space="preserve"> section </w:t>
      </w:r>
      <w:r w:rsidRPr="00E266DF">
        <w:t>51(xxxi) of the Constitution and the Commonwealth refuses to pay compensation to the person, the person has a right to bring proceedings to recover compensation (</w:t>
      </w:r>
      <w:r w:rsidR="009E773C" w:rsidRPr="00E266DF">
        <w:t>Schedule 1, item</w:t>
      </w:r>
      <w:r w:rsidR="009B6327">
        <w:t> </w:t>
      </w:r>
      <w:r w:rsidR="004067EC">
        <w:t>345</w:t>
      </w:r>
      <w:r w:rsidR="00CA3444">
        <w:t>D</w:t>
      </w:r>
      <w:r w:rsidRPr="00E266DF">
        <w:t>).</w:t>
      </w:r>
    </w:p>
    <w:p w:rsidR="00A43175" w:rsidRDefault="00057B34" w:rsidP="00057B34">
      <w:pPr>
        <w:pStyle w:val="base-text-paragraphnonumbers"/>
      </w:pPr>
      <w:r w:rsidRPr="00057B34">
        <w:t xml:space="preserve">In any case, it is not envisaged that the cancellation provision in item 327 of Schedule 1 to the </w:t>
      </w:r>
      <w:r w:rsidR="00E47707">
        <w:t>Main Repeal Bill</w:t>
      </w:r>
      <w:r w:rsidR="00E47707" w:rsidRPr="00057B34">
        <w:t xml:space="preserve"> </w:t>
      </w:r>
      <w:r w:rsidR="009B6327">
        <w:t>will need to operate</w:t>
      </w:r>
      <w:r w:rsidR="00D5237C">
        <w:t xml:space="preserve">.  </w:t>
      </w:r>
      <w:r w:rsidR="009B6327">
        <w:t>Other </w:t>
      </w:r>
      <w:r w:rsidRPr="00057B34">
        <w:t>provisions will cancel carbon units either in the normal course of finalising 2013-14 liabilities or with a refund for the price paid for the units</w:t>
      </w:r>
      <w:r>
        <w:t>.</w:t>
      </w:r>
    </w:p>
    <w:p w:rsidR="00057B34" w:rsidRDefault="00057B34" w:rsidP="00384CE5">
      <w:pPr>
        <w:pStyle w:val="base-text-paragraphnonumbers"/>
      </w:pPr>
      <w:r>
        <w:t>First, item 323 of Schedule 1 to</w:t>
      </w:r>
      <w:r w:rsidR="00E47707">
        <w:t xml:space="preserve"> </w:t>
      </w:r>
      <w:r w:rsidR="00553508">
        <w:t>the Main Repeal Bill</w:t>
      </w:r>
      <w:r>
        <w:t xml:space="preserve"> allows existing processes to operate so that carbon units will be cancelled in the circumstances in which they would have been cancelled even if the carbon tax had not been repealed:</w:t>
      </w:r>
    </w:p>
    <w:p w:rsidR="00057B34" w:rsidRPr="00384CE5" w:rsidRDefault="00057B34" w:rsidP="00384CE5">
      <w:pPr>
        <w:pStyle w:val="Bullet"/>
        <w:rPr>
          <w:b w:val="0"/>
        </w:rPr>
      </w:pPr>
      <w:r w:rsidRPr="00384CE5">
        <w:rPr>
          <w:b w:val="0"/>
        </w:rPr>
        <w:t xml:space="preserve">Liable entities will acquire fixed charge carbon units to satisfy their 2013-14 liability in the usual way and the units will be cancelled immediately on purchase in the usual way to satisfy 2013-14 liability </w:t>
      </w:r>
      <w:r w:rsidR="00875D4A">
        <w:rPr>
          <w:b w:val="0"/>
        </w:rPr>
        <w:t>(</w:t>
      </w:r>
      <w:r w:rsidR="007B091B">
        <w:rPr>
          <w:b w:val="0"/>
        </w:rPr>
        <w:t xml:space="preserve">CE Act, </w:t>
      </w:r>
      <w:r w:rsidR="00875D4A">
        <w:rPr>
          <w:b w:val="0"/>
        </w:rPr>
        <w:t xml:space="preserve">section </w:t>
      </w:r>
      <w:r w:rsidRPr="00384CE5">
        <w:rPr>
          <w:b w:val="0"/>
        </w:rPr>
        <w:t>100(7))</w:t>
      </w:r>
      <w:r w:rsidR="00D5237C">
        <w:rPr>
          <w:b w:val="0"/>
        </w:rPr>
        <w:t xml:space="preserve">.  </w:t>
      </w:r>
    </w:p>
    <w:p w:rsidR="00057B34" w:rsidRPr="00384CE5" w:rsidRDefault="00057B34" w:rsidP="00384CE5">
      <w:pPr>
        <w:pStyle w:val="Bullet"/>
        <w:rPr>
          <w:b w:val="0"/>
        </w:rPr>
      </w:pPr>
      <w:r w:rsidRPr="00384CE5">
        <w:rPr>
          <w:b w:val="0"/>
        </w:rPr>
        <w:t xml:space="preserve">Free 2013-14 carbon units will have been issued and dealt with in the usual way and, in the unlikely event that they are not used to satisfy someone’s 2013-14 liability, they will be cancelled under the existing provisions in the usual way </w:t>
      </w:r>
      <w:r w:rsidR="00875D4A">
        <w:rPr>
          <w:b w:val="0"/>
        </w:rPr>
        <w:t>(</w:t>
      </w:r>
      <w:r w:rsidR="007B091B">
        <w:rPr>
          <w:b w:val="0"/>
        </w:rPr>
        <w:t xml:space="preserve">CE Act, </w:t>
      </w:r>
      <w:r w:rsidR="00875D4A">
        <w:rPr>
          <w:b w:val="0"/>
        </w:rPr>
        <w:t xml:space="preserve">section </w:t>
      </w:r>
      <w:r w:rsidRPr="00384CE5">
        <w:rPr>
          <w:b w:val="0"/>
        </w:rPr>
        <w:t>115)</w:t>
      </w:r>
      <w:r w:rsidR="00D5237C">
        <w:rPr>
          <w:b w:val="0"/>
        </w:rPr>
        <w:t xml:space="preserve">.  </w:t>
      </w:r>
    </w:p>
    <w:p w:rsidR="00057B34" w:rsidRDefault="00057B34" w:rsidP="00384CE5">
      <w:pPr>
        <w:pStyle w:val="base-text-paragraphnonumbers"/>
      </w:pPr>
      <w:r>
        <w:t xml:space="preserve">Secondly, </w:t>
      </w:r>
      <w:r w:rsidR="00E47707">
        <w:t>in the even</w:t>
      </w:r>
      <w:r w:rsidR="0072542B">
        <w:t>t</w:t>
      </w:r>
      <w:r w:rsidR="00E47707">
        <w:t xml:space="preserve"> that</w:t>
      </w:r>
      <w:r>
        <w:t xml:space="preserve"> auctions </w:t>
      </w:r>
      <w:r w:rsidR="00E47707">
        <w:t>are</w:t>
      </w:r>
      <w:r>
        <w:t xml:space="preserve"> held in 2014 and someone </w:t>
      </w:r>
      <w:r w:rsidR="00E47707">
        <w:t>buy</w:t>
      </w:r>
      <w:r w:rsidR="00662579">
        <w:t>s</w:t>
      </w:r>
      <w:r w:rsidR="00E47707">
        <w:t xml:space="preserve"> units at an auction, </w:t>
      </w:r>
      <w:r>
        <w:t xml:space="preserve">a person who holds such a unit on the </w:t>
      </w:r>
      <w:r w:rsidR="00384CE5">
        <w:t xml:space="preserve">fifth </w:t>
      </w:r>
      <w:r>
        <w:t xml:space="preserve">day after Royal Assent is given to </w:t>
      </w:r>
      <w:r w:rsidR="00E47707">
        <w:t>the Main Repeal Bill</w:t>
      </w:r>
      <w:r>
        <w:t xml:space="preserve"> will be paid the amount paid for the unit at auction (</w:t>
      </w:r>
      <w:r w:rsidR="009E773C">
        <w:t xml:space="preserve">Schedule 1, </w:t>
      </w:r>
      <w:r>
        <w:t xml:space="preserve">item </w:t>
      </w:r>
      <w:r w:rsidR="00662579">
        <w:t>343A</w:t>
      </w:r>
      <w:r>
        <w:t>).</w:t>
      </w:r>
    </w:p>
    <w:p w:rsidR="00FF3321" w:rsidRDefault="00FF3321" w:rsidP="00057B34">
      <w:pPr>
        <w:pStyle w:val="Heading4"/>
      </w:pPr>
      <w:r>
        <w:t>Civil Penalties</w:t>
      </w:r>
    </w:p>
    <w:p w:rsidR="00FF3321" w:rsidRPr="00FF3321" w:rsidRDefault="00FF3321" w:rsidP="00FF3321">
      <w:pPr>
        <w:pStyle w:val="base-text-paragraphnonumbers"/>
      </w:pPr>
      <w:r w:rsidRPr="00FF3321">
        <w:t xml:space="preserve">Schedule 2 to </w:t>
      </w:r>
      <w:r>
        <w:t>the Main Repeal Bill</w:t>
      </w:r>
      <w:r w:rsidRPr="00FF3321">
        <w:t xml:space="preserve"> contains provisions which prevent a corporation from engaging in price exploitation in relation to the carbon tax repeal (</w:t>
      </w:r>
      <w:r w:rsidR="009E773C">
        <w:t xml:space="preserve">Schedule 2, item 3, </w:t>
      </w:r>
      <w:r w:rsidR="002664D4">
        <w:t xml:space="preserve">section </w:t>
      </w:r>
      <w:r w:rsidR="009E773C">
        <w:t xml:space="preserve">60C, </w:t>
      </w:r>
      <w:r w:rsidR="008E0018">
        <w:t>CC Act</w:t>
      </w:r>
      <w:r w:rsidRPr="00FF3321">
        <w:t>) and from making false or misleading representations concerning the effect of the carbon tax repeal (</w:t>
      </w:r>
      <w:r w:rsidR="009E773C">
        <w:t xml:space="preserve">Schedule 2, item 3, section 60K, </w:t>
      </w:r>
      <w:r w:rsidR="008E0018">
        <w:t>CC Act</w:t>
      </w:r>
      <w:r w:rsidRPr="00FF3321">
        <w:t>)</w:t>
      </w:r>
      <w:r w:rsidR="00D5237C">
        <w:t xml:space="preserve">.  </w:t>
      </w:r>
      <w:r w:rsidRPr="00FF3321">
        <w:t xml:space="preserve">The existing pecuniary penalty regime </w:t>
      </w:r>
      <w:r w:rsidR="00875D4A">
        <w:t xml:space="preserve">(section </w:t>
      </w:r>
      <w:r w:rsidRPr="00FF3321">
        <w:t xml:space="preserve">76 of the </w:t>
      </w:r>
      <w:r w:rsidR="008E0018">
        <w:t>CC Act</w:t>
      </w:r>
      <w:r w:rsidRPr="00FF3321">
        <w:t>) is modified so that it applies to contraventions of these prohibitions (</w:t>
      </w:r>
      <w:r w:rsidR="009E773C" w:rsidRPr="00FF3321">
        <w:t>Schedule 2</w:t>
      </w:r>
      <w:r w:rsidR="009E773C">
        <w:t xml:space="preserve">, </w:t>
      </w:r>
      <w:r w:rsidR="009B6327">
        <w:t>items 5, 6 and 7)</w:t>
      </w:r>
      <w:r w:rsidR="00D5237C">
        <w:t xml:space="preserve">.  </w:t>
      </w:r>
      <w:r w:rsidR="009B6327">
        <w:t>While </w:t>
      </w:r>
      <w:r w:rsidRPr="00FF3321">
        <w:t>the prohibitions are directed at corporations, rather than individuals, individuals could become liable for a pecuniary penalty either through the operation of</w:t>
      </w:r>
      <w:r w:rsidR="002664D4">
        <w:t xml:space="preserve"> section </w:t>
      </w:r>
      <w:r w:rsidRPr="00FF3321">
        <w:t xml:space="preserve">6 of the </w:t>
      </w:r>
      <w:r w:rsidR="008E0018">
        <w:t>CC Act</w:t>
      </w:r>
      <w:r w:rsidRPr="00FF3321">
        <w:t xml:space="preserve"> (</w:t>
      </w:r>
      <w:r w:rsidR="009E773C" w:rsidRPr="00FF3321">
        <w:t>Schedule 2</w:t>
      </w:r>
      <w:r w:rsidR="009E773C">
        <w:t xml:space="preserve">, </w:t>
      </w:r>
      <w:r w:rsidRPr="00FF3321">
        <w:t xml:space="preserve">item 2), which extends the operation of the </w:t>
      </w:r>
      <w:r w:rsidR="008E0018">
        <w:t>CC Act</w:t>
      </w:r>
      <w:r w:rsidRPr="00FF3321">
        <w:t xml:space="preserve"> to individuals in the circumstances described in that section, or on the basis that the individual has aided or abetted a corporation’s contravention of these prohibitions </w:t>
      </w:r>
      <w:r w:rsidR="00875D4A">
        <w:t>(section</w:t>
      </w:r>
      <w:r w:rsidR="009B6327">
        <w:t> </w:t>
      </w:r>
      <w:r w:rsidRPr="00FF3321">
        <w:t>76(1)(c);</w:t>
      </w:r>
      <w:r w:rsidR="002664D4">
        <w:t xml:space="preserve"> section </w:t>
      </w:r>
      <w:r w:rsidRPr="00FF3321">
        <w:t>76(1)(d) and (e) might also be relevant)</w:t>
      </w:r>
      <w:r w:rsidR="00D5237C">
        <w:t xml:space="preserve">.  </w:t>
      </w:r>
      <w:r w:rsidRPr="00FF3321">
        <w:t>It is not anticipated that the direct extension of the prohibitions to individuals through the operation of</w:t>
      </w:r>
      <w:r w:rsidR="002664D4">
        <w:t xml:space="preserve"> section </w:t>
      </w:r>
      <w:r w:rsidRPr="00FF3321">
        <w:t xml:space="preserve">6 of the </w:t>
      </w:r>
      <w:r w:rsidR="008E0018">
        <w:t>CC Act</w:t>
      </w:r>
      <w:r w:rsidRPr="00FF3321">
        <w:t xml:space="preserve"> will be significant</w:t>
      </w:r>
      <w:r w:rsidR="00D5237C">
        <w:t xml:space="preserve">.  </w:t>
      </w:r>
    </w:p>
    <w:p w:rsidR="00FF3321" w:rsidRPr="00FF3321" w:rsidRDefault="00FF3321" w:rsidP="00FF3321">
      <w:pPr>
        <w:pStyle w:val="base-text-paragraphnonumbers"/>
      </w:pPr>
      <w:r w:rsidRPr="00FF3321">
        <w:t>Pecuniary penalties are civil, rather than criminal penalties, and the civil standard of proof applies</w:t>
      </w:r>
      <w:r w:rsidR="00D5237C">
        <w:t xml:space="preserve">.  </w:t>
      </w:r>
      <w:r w:rsidRPr="00FF3321">
        <w:t xml:space="preserve">Having regard to the nature and severity of the penalty, however, it is </w:t>
      </w:r>
      <w:r w:rsidR="00662579">
        <w:t>accept</w:t>
      </w:r>
      <w:r w:rsidR="00662579" w:rsidRPr="00FF3321">
        <w:t xml:space="preserve">ed </w:t>
      </w:r>
      <w:r w:rsidRPr="00FF3321">
        <w:t>that the penalties should be regarded as criminal penalties for the purposes of huma</w:t>
      </w:r>
      <w:r w:rsidR="009B6327">
        <w:t>n rights law, including Article </w:t>
      </w:r>
      <w:r w:rsidRPr="00FF3321">
        <w:t>14 of the ICCPR.</w:t>
      </w:r>
    </w:p>
    <w:p w:rsidR="00FF3321" w:rsidRPr="00FF3321" w:rsidRDefault="00FF3321" w:rsidP="00FF3321">
      <w:pPr>
        <w:pStyle w:val="base-text-paragraphnonumbers"/>
      </w:pPr>
      <w:r w:rsidRPr="00FF3321">
        <w:t>Article 14(2) of the ICCPR provides that a person is entitled to be presumed innocent until proved guilty according to law</w:t>
      </w:r>
      <w:r w:rsidR="00D5237C">
        <w:t xml:space="preserve">.  </w:t>
      </w:r>
      <w:r w:rsidRPr="00FF3321">
        <w:t>Ordinarily, this would require that the case against the person be demonstrated to the criminal standard of proof</w:t>
      </w:r>
      <w:r w:rsidR="00D5237C">
        <w:t xml:space="preserve">.  </w:t>
      </w:r>
      <w:r w:rsidRPr="00FF3321">
        <w:t>The criminal standard of proof is not applied in relation to pecuniary penalty proceedings</w:t>
      </w:r>
      <w:r w:rsidR="00D5237C">
        <w:t xml:space="preserve">.  </w:t>
      </w:r>
      <w:r w:rsidRPr="00FF3321">
        <w:t>Nevertheless, this is compatible with Article 14(2) because the pecuniary penalty provisions have a long and well-litigated history, and it has not been shown that the failure to apply the criminal standard of proof has resulted in injustice</w:t>
      </w:r>
      <w:r w:rsidR="00D5237C">
        <w:t xml:space="preserve">.  </w:t>
      </w:r>
      <w:r w:rsidRPr="00FF3321">
        <w:t>Indeed, the courts have on numerous occasions indicated that the gravity of the allegations being tested in the court will be taken into account, and that the graver the allegation, the greater the strictness of proof that will be required</w:t>
      </w:r>
      <w:r w:rsidR="00D5237C">
        <w:t xml:space="preserve">.  </w:t>
      </w:r>
      <w:r w:rsidRPr="00FF3321">
        <w:t xml:space="preserve">In particular, more than just ‘inexact proofs, indefinite testimony or indirection references’ will be required (see, for example, </w:t>
      </w:r>
      <w:r w:rsidRPr="00FF3321">
        <w:rPr>
          <w:i/>
        </w:rPr>
        <w:t xml:space="preserve">Australian Competition and Consumer Commission v TF Woolam &amp; Sons Pty Ltd </w:t>
      </w:r>
      <w:r w:rsidRPr="00FF3321">
        <w:t>(2011) 196 FCR 212 at [8])</w:t>
      </w:r>
      <w:r w:rsidR="00D5237C">
        <w:t xml:space="preserve">.  </w:t>
      </w:r>
    </w:p>
    <w:p w:rsidR="00FF3321" w:rsidRPr="00FF3321" w:rsidRDefault="00FF3321" w:rsidP="00FF3321">
      <w:pPr>
        <w:pStyle w:val="base-text-paragraphnonumbers"/>
      </w:pPr>
      <w:r w:rsidRPr="00FF3321">
        <w:t>In any event, the pecuniary penalty provisions are directed primarily at corporations, rather than individuals</w:t>
      </w:r>
      <w:r w:rsidR="00D5237C">
        <w:t xml:space="preserve">.  </w:t>
      </w:r>
      <w:r w:rsidRPr="00FF3321">
        <w:t>If it is unnecessary to apply the criminal standard of proof in relation to corporations, it would be inappropriate to apply a different standard of proof to individuals, who would ordinarily only be liable to the extent that they had aided or abetted the contravening conduct of a corporation</w:t>
      </w:r>
      <w:r w:rsidR="00D5237C">
        <w:t xml:space="preserve">.  </w:t>
      </w:r>
      <w:r w:rsidRPr="00FF3321">
        <w:t>Further, unlike corporations, individuals have access to the defence</w:t>
      </w:r>
      <w:r w:rsidR="00D91F7B">
        <w:t>s</w:t>
      </w:r>
      <w:r w:rsidRPr="00FF3321">
        <w:t xml:space="preserve"> set out in</w:t>
      </w:r>
      <w:r w:rsidR="002664D4">
        <w:t xml:space="preserve"> section </w:t>
      </w:r>
      <w:r w:rsidRPr="00FF3321">
        <w:t xml:space="preserve">85 of the </w:t>
      </w:r>
      <w:r w:rsidR="008E0018">
        <w:t>CC Act</w:t>
      </w:r>
      <w:r w:rsidRPr="00FF3321">
        <w:t xml:space="preserve"> (</w:t>
      </w:r>
      <w:r w:rsidR="00C95DD6" w:rsidRPr="00FF3321">
        <w:t>Schedule 2</w:t>
      </w:r>
      <w:r w:rsidR="00C95DD6">
        <w:t>,</w:t>
      </w:r>
      <w:r w:rsidRPr="00FF3321">
        <w:t xml:space="preserve"> item 15), which allows a court to relieve the individual of liability if it is satisfied that the individual has acted honestly and reasonably and, having regard to all the circumstances of the case, ought fairly to be excused.</w:t>
      </w:r>
    </w:p>
    <w:p w:rsidR="00FF3321" w:rsidRPr="00FF3321" w:rsidRDefault="00FF3321" w:rsidP="00FF3321">
      <w:pPr>
        <w:pStyle w:val="base-text-paragraphnonumbers"/>
      </w:pPr>
      <w:r w:rsidRPr="00FF3321">
        <w:t xml:space="preserve">It is also relevant that the pecuniary penalty provisions are but one of a number of enforcement provisions provided in the </w:t>
      </w:r>
      <w:r w:rsidR="008E0018">
        <w:t>CC Act</w:t>
      </w:r>
      <w:r w:rsidRPr="00FF3321">
        <w:t>, which include infringement notices (</w:t>
      </w:r>
      <w:r w:rsidR="00C95DD6" w:rsidRPr="00FF3321">
        <w:t>Schedule 2</w:t>
      </w:r>
      <w:r w:rsidR="00C95DD6">
        <w:t xml:space="preserve">, </w:t>
      </w:r>
      <w:r w:rsidR="00C95DD6" w:rsidRPr="00FF3321">
        <w:t>item 3</w:t>
      </w:r>
      <w:r w:rsidR="00C95DD6">
        <w:t xml:space="preserve">, Division 5, </w:t>
      </w:r>
      <w:r w:rsidRPr="00FF3321">
        <w:t>Part 5</w:t>
      </w:r>
      <w:r w:rsidR="00C95DD6">
        <w:t xml:space="preserve">, </w:t>
      </w:r>
      <w:r w:rsidR="008E0018">
        <w:t>CC Act</w:t>
      </w:r>
      <w:r w:rsidR="00C95DD6">
        <w:t>)</w:t>
      </w:r>
      <w:r w:rsidRPr="00FF3321">
        <w:t>, injunctions (</w:t>
      </w:r>
      <w:r w:rsidR="00C95DD6" w:rsidRPr="00FF3321">
        <w:t>Schedule 2</w:t>
      </w:r>
      <w:r w:rsidR="00C95DD6">
        <w:t xml:space="preserve">, </w:t>
      </w:r>
      <w:r w:rsidR="00C95DD6" w:rsidRPr="00FF3321">
        <w:t>items 9 and 10</w:t>
      </w:r>
      <w:r w:rsidR="00C95DD6">
        <w:t>,</w:t>
      </w:r>
      <w:r w:rsidR="00875D4A">
        <w:t xml:space="preserve"> section </w:t>
      </w:r>
      <w:r w:rsidRPr="00FF3321">
        <w:t xml:space="preserve">80, </w:t>
      </w:r>
      <w:r w:rsidR="008E0018">
        <w:t>CC Act</w:t>
      </w:r>
      <w:r w:rsidRPr="00FF3321">
        <w:t>), orders lim</w:t>
      </w:r>
      <w:r w:rsidR="00E62C7A">
        <w:t>it</w:t>
      </w:r>
      <w:r w:rsidRPr="00FF3321">
        <w:t>ing prices or requiring refunds of money (</w:t>
      </w:r>
      <w:r w:rsidR="00C95DD6" w:rsidRPr="00FF3321">
        <w:t>Schedule 2</w:t>
      </w:r>
      <w:r w:rsidR="00C95DD6">
        <w:t xml:space="preserve">, item 11, </w:t>
      </w:r>
      <w:r w:rsidR="002664D4">
        <w:t xml:space="preserve">section </w:t>
      </w:r>
      <w:r w:rsidR="00C95DD6">
        <w:t xml:space="preserve">80A, </w:t>
      </w:r>
      <w:r w:rsidR="008E0018">
        <w:t>CC Act</w:t>
      </w:r>
      <w:r w:rsidRPr="00FF3321">
        <w:t>), non-punitive orders (</w:t>
      </w:r>
      <w:r w:rsidR="00C95DD6" w:rsidRPr="00FF3321">
        <w:t>Schedule 2</w:t>
      </w:r>
      <w:r w:rsidR="00C95DD6">
        <w:t xml:space="preserve">, </w:t>
      </w:r>
      <w:r w:rsidR="00C95DD6" w:rsidRPr="00FF3321">
        <w:t>items 16, 17 and 18</w:t>
      </w:r>
      <w:r w:rsidR="00C95DD6">
        <w:t>,</w:t>
      </w:r>
      <w:r w:rsidR="00875D4A">
        <w:t xml:space="preserve"> section </w:t>
      </w:r>
      <w:r w:rsidRPr="00FF3321">
        <w:t>86C</w:t>
      </w:r>
      <w:r w:rsidR="00C95DD6">
        <w:t>,</w:t>
      </w:r>
      <w:r w:rsidRPr="00FF3321">
        <w:t xml:space="preserve"> </w:t>
      </w:r>
      <w:r w:rsidR="008E0018">
        <w:t>CC Act</w:t>
      </w:r>
      <w:r w:rsidRPr="00FF3321">
        <w:t>), compensation orders (</w:t>
      </w:r>
      <w:r w:rsidR="00C95DD6" w:rsidRPr="00FF3321">
        <w:t>Schedule 2</w:t>
      </w:r>
      <w:r w:rsidR="00C95DD6">
        <w:t>,</w:t>
      </w:r>
      <w:r w:rsidR="00C95DD6" w:rsidRPr="00FF3321">
        <w:t xml:space="preserve"> items 19, 20, 21, 22 and 23</w:t>
      </w:r>
      <w:r w:rsidR="00C95DD6">
        <w:t>,</w:t>
      </w:r>
      <w:r w:rsidR="00875D4A">
        <w:t xml:space="preserve"> section </w:t>
      </w:r>
      <w:r w:rsidRPr="00FF3321">
        <w:t xml:space="preserve">87 </w:t>
      </w:r>
      <w:r w:rsidR="008E0018">
        <w:t>CC Act</w:t>
      </w:r>
      <w:r w:rsidRPr="00FF3321">
        <w:t>) and declarations (</w:t>
      </w:r>
      <w:r w:rsidR="00C95DD6" w:rsidRPr="00FF3321">
        <w:t>Schedule 2</w:t>
      </w:r>
      <w:r w:rsidR="00C95DD6">
        <w:t>,</w:t>
      </w:r>
      <w:r w:rsidR="00C95DD6" w:rsidRPr="00FF3321">
        <w:t xml:space="preserve"> item 26</w:t>
      </w:r>
      <w:r w:rsidR="00C95DD6">
        <w:t>,</w:t>
      </w:r>
      <w:r w:rsidR="00875D4A">
        <w:t xml:space="preserve"> section </w:t>
      </w:r>
      <w:r w:rsidRPr="00FF3321">
        <w:t xml:space="preserve">163A </w:t>
      </w:r>
      <w:r w:rsidR="008E0018">
        <w:t>CC Act</w:t>
      </w:r>
      <w:r w:rsidRPr="00FF3321">
        <w:t>)</w:t>
      </w:r>
      <w:r w:rsidR="00D5237C">
        <w:t xml:space="preserve">.  </w:t>
      </w:r>
      <w:r w:rsidRPr="00FF3321">
        <w:t xml:space="preserve">The amendments made by the </w:t>
      </w:r>
      <w:r>
        <w:t>Main Repeal Bill</w:t>
      </w:r>
      <w:r w:rsidRPr="00FF3321">
        <w:t xml:space="preserve"> tap into the existing pecuniary penalty regime, and do not create a new regime.</w:t>
      </w:r>
    </w:p>
    <w:p w:rsidR="00FF3321" w:rsidRPr="00FF3321" w:rsidRDefault="00FF3321" w:rsidP="00FF3321">
      <w:pPr>
        <w:pStyle w:val="base-text-paragraphnonumbers"/>
      </w:pPr>
      <w:r w:rsidRPr="00FF3321">
        <w:t>Article 14(3)(g) of the ICCPR provides that a person has the right ‘not to be compelled to testify against himself or to confess guilt’ in criminal proceedings</w:t>
      </w:r>
      <w:r w:rsidR="00D5237C">
        <w:t xml:space="preserve">.  </w:t>
      </w:r>
      <w:r w:rsidRPr="00FF3321">
        <w:t xml:space="preserve">Nothing in the </w:t>
      </w:r>
      <w:r>
        <w:t>Main Repeal Bill</w:t>
      </w:r>
      <w:r w:rsidRPr="00FF3321">
        <w:t xml:space="preserve"> is inconsistent with this requirement</w:t>
      </w:r>
      <w:r w:rsidR="00D5237C">
        <w:t xml:space="preserve">.  </w:t>
      </w:r>
      <w:r w:rsidRPr="00FF3321">
        <w:t>Indeed the information-gathering powers applicable to the prohibitions provide that an individual is excused from giving information or producing a document on the ground that the information or document might tend to incriminate the individual or expose the individual to penalty (</w:t>
      </w:r>
      <w:r w:rsidR="00C95DD6" w:rsidRPr="00FF3321">
        <w:t>Schedule 2</w:t>
      </w:r>
      <w:r w:rsidR="00C95DD6">
        <w:t xml:space="preserve">, item 3, </w:t>
      </w:r>
      <w:r w:rsidR="00875D4A">
        <w:t>60H(5),</w:t>
      </w:r>
      <w:r w:rsidRPr="00FF3321">
        <w:t xml:space="preserve"> </w:t>
      </w:r>
      <w:r w:rsidR="008E0018">
        <w:t>CC Act</w:t>
      </w:r>
      <w:r w:rsidRPr="00FF3321">
        <w:t>)</w:t>
      </w:r>
      <w:r w:rsidR="00D5237C">
        <w:t xml:space="preserve">.  </w:t>
      </w:r>
    </w:p>
    <w:p w:rsidR="00FF3321" w:rsidRPr="00FF3321" w:rsidRDefault="00FF3321" w:rsidP="00FF3321">
      <w:pPr>
        <w:pStyle w:val="base-text-paragraphnonumbers"/>
      </w:pPr>
      <w:r w:rsidRPr="00FF3321">
        <w:t>Article 14(7) of the ICCPR provides that no one is to be liable to be tried or punished again for an offence of which she or he has already been finally convicted or acquitted</w:t>
      </w:r>
      <w:r w:rsidR="00D5237C">
        <w:t xml:space="preserve">.  </w:t>
      </w:r>
      <w:r w:rsidRPr="00FF3321">
        <w:t xml:space="preserve">Nothing in the </w:t>
      </w:r>
      <w:r>
        <w:t>Main Repeal Bill</w:t>
      </w:r>
      <w:r w:rsidRPr="00FF3321">
        <w:t xml:space="preserve"> is inconsistent with this requirement</w:t>
      </w:r>
      <w:r w:rsidR="00D5237C">
        <w:t xml:space="preserve">.  </w:t>
      </w:r>
      <w:r w:rsidRPr="00FF3321">
        <w:t>In particular, criminal proceedings cannot be brought for substantially the same conduct that gave rise to the civil proceedings.</w:t>
      </w:r>
    </w:p>
    <w:p w:rsidR="00057B34" w:rsidRDefault="00057B34" w:rsidP="00057B34">
      <w:pPr>
        <w:pStyle w:val="Heading4"/>
      </w:pPr>
      <w:r>
        <w:t>Right to work and the right to an adequate standard of living</w:t>
      </w:r>
    </w:p>
    <w:p w:rsidR="00057B34" w:rsidRDefault="00057B34" w:rsidP="00057B34">
      <w:pPr>
        <w:pStyle w:val="base-text-paragraphnonumbers"/>
      </w:pPr>
      <w:r w:rsidRPr="00057B34">
        <w:t xml:space="preserve">The </w:t>
      </w:r>
      <w:r w:rsidR="00E47707">
        <w:t>Main Repeal Bill</w:t>
      </w:r>
      <w:r w:rsidRPr="00057B34">
        <w:t xml:space="preserve"> includes consequential amendments to remove carbon units from the definition of a financial product under the </w:t>
      </w:r>
      <w:r w:rsidR="00202BE6" w:rsidRPr="00057B34">
        <w:rPr>
          <w:i/>
        </w:rPr>
        <w:t xml:space="preserve">Australian Securities and Investments Commission Act 2001 </w:t>
      </w:r>
      <w:r w:rsidR="00202BE6" w:rsidRPr="00057B34">
        <w:t>(ASIC Act)</w:t>
      </w:r>
      <w:r w:rsidR="00202BE6">
        <w:t xml:space="preserve"> and the </w:t>
      </w:r>
      <w:r w:rsidRPr="00057B34">
        <w:rPr>
          <w:i/>
        </w:rPr>
        <w:t>Corporations Act 2001</w:t>
      </w:r>
      <w:r w:rsidRPr="00057B34">
        <w:t xml:space="preserve"> (</w:t>
      </w:r>
      <w:r w:rsidR="004B0750">
        <w:t>Corporations Act</w:t>
      </w:r>
      <w:r w:rsidRPr="00057B34">
        <w:t>) (</w:t>
      </w:r>
      <w:r w:rsidR="00C95DD6">
        <w:t xml:space="preserve">Schedule 1, </w:t>
      </w:r>
      <w:r w:rsidR="00E62C7A">
        <w:t>i</w:t>
      </w:r>
      <w:r w:rsidRPr="00057B34">
        <w:t>tems 92, 93, 105 and 106)</w:t>
      </w:r>
      <w:r w:rsidR="00D5237C">
        <w:t xml:space="preserve">.  </w:t>
      </w:r>
      <w:r w:rsidRPr="00057B34">
        <w:t>The effect of this is that Australian financial services (AFS) licensees will no longer be able to operate a business and derive revenue with respect to carbon units from the designated carbon unit day</w:t>
      </w:r>
      <w:r w:rsidR="00D5237C">
        <w:t xml:space="preserve">.  </w:t>
      </w:r>
      <w:r w:rsidRPr="00057B34">
        <w:t>The Australian Securities and Investments Commission (ASIC) will have the ability to vary a licence to remove a carbon unit authorisation or cancel a licence where the only authorisation the licensee holds is with respect to carbon units</w:t>
      </w:r>
      <w:r w:rsidR="00D5237C">
        <w:t xml:space="preserve">.  </w:t>
      </w:r>
    </w:p>
    <w:p w:rsidR="00B85BF2" w:rsidRPr="00057B34" w:rsidRDefault="00B85BF2" w:rsidP="00B85BF2">
      <w:pPr>
        <w:pStyle w:val="base-text-paragraphnonumbers"/>
      </w:pPr>
      <w:r w:rsidRPr="00E032CB">
        <w:t>The amendments allow ASIC to vary a licence without providing the licensee the opportunity to be heard by ASIC and to cancel a licence without providing reasons for the cancellation (these requirements would ordinarily be necessary before ASIC could take action)</w:t>
      </w:r>
      <w:r w:rsidR="00202BE6">
        <w:t xml:space="preserve"> (</w:t>
      </w:r>
      <w:r w:rsidR="00D04DAB">
        <w:t xml:space="preserve">Schedule 1, </w:t>
      </w:r>
      <w:r w:rsidR="00202BE6">
        <w:t>items 94 and 95)</w:t>
      </w:r>
      <w:r w:rsidR="00D5237C">
        <w:t xml:space="preserve">.  </w:t>
      </w:r>
      <w:r w:rsidRPr="00E032CB">
        <w:t xml:space="preserve">These requirements were removed as the </w:t>
      </w:r>
      <w:r w:rsidRPr="00E032CB">
        <w:rPr>
          <w:iCs/>
        </w:rPr>
        <w:t>question of variation or cancellation is a purely factual one, rather than a discretionary decision and should have no adverse effect on the licence holder</w:t>
      </w:r>
      <w:r w:rsidR="00D5237C">
        <w:rPr>
          <w:iCs/>
        </w:rPr>
        <w:t xml:space="preserve">.  </w:t>
      </w:r>
      <w:r w:rsidRPr="00E032CB">
        <w:t>However, affected licensees will continue to have the ability to apply to have ASIC’s actions reviewed via the Administrative Appeals Tribunal or the court system</w:t>
      </w:r>
      <w:r w:rsidR="00D5237C">
        <w:t xml:space="preserve">.  </w:t>
      </w:r>
    </w:p>
    <w:p w:rsidR="00057B34" w:rsidRPr="00057B34" w:rsidRDefault="00875D4A" w:rsidP="00057B34">
      <w:pPr>
        <w:pStyle w:val="base-text-paragraphnonumbers"/>
      </w:pPr>
      <w:r>
        <w:t>T</w:t>
      </w:r>
      <w:r w:rsidR="00057B34" w:rsidRPr="00057B34">
        <w:t xml:space="preserve">he amendments to the </w:t>
      </w:r>
      <w:r w:rsidR="00202BE6">
        <w:t>ASIC Act and the Corporations Act</w:t>
      </w:r>
      <w:r w:rsidR="00D56657">
        <w:t xml:space="preserve"> </w:t>
      </w:r>
      <w:r w:rsidR="00057B34" w:rsidRPr="00057B34">
        <w:t>may marginally engage in the right to earn a living through work and the right to an adequate standard of living as AFS licensees will no longer be able to trade in carbon units (Articles 6 and 11 of the International Covenant on Econom</w:t>
      </w:r>
      <w:r w:rsidR="009B6327">
        <w:t>ic, Social and Cultural Rights</w:t>
      </w:r>
      <w:r w:rsidR="00D5237C">
        <w:t xml:space="preserve">.  </w:t>
      </w:r>
      <w:r w:rsidR="00057B34" w:rsidRPr="00057B34">
        <w:t>However, the specific amendments are merely consequential to the removal of the carbon tax and are necessary for consistency in the law and to maintain an up-to-date AFS licensing register</w:t>
      </w:r>
      <w:r w:rsidR="00D5237C">
        <w:t xml:space="preserve">.  </w:t>
      </w:r>
      <w:r w:rsidR="00057B34" w:rsidRPr="00057B34">
        <w:t xml:space="preserve"> </w:t>
      </w:r>
    </w:p>
    <w:p w:rsidR="00057B34" w:rsidRPr="00057B34" w:rsidRDefault="00057B34" w:rsidP="00057B34">
      <w:pPr>
        <w:pStyle w:val="base-text-paragraphnonumbers"/>
      </w:pPr>
      <w:r w:rsidRPr="00057B34">
        <w:t xml:space="preserve">Licensees will only be </w:t>
      </w:r>
      <w:r w:rsidR="00E62C7A">
        <w:t>a</w:t>
      </w:r>
      <w:r w:rsidRPr="00057B34">
        <w:t>ffected to the extent they hold a carbon unit authorisation – any other authorisations they hold in relation to other financial products will not be impacted.</w:t>
      </w:r>
    </w:p>
    <w:p w:rsidR="00A43175" w:rsidRPr="00A43175" w:rsidRDefault="00A43175" w:rsidP="006A27D0">
      <w:pPr>
        <w:pStyle w:val="Heading3"/>
        <w:rPr>
          <w:rStyle w:val="BoldItalic"/>
          <w:b/>
          <w:i w:val="0"/>
        </w:rPr>
      </w:pPr>
      <w:r w:rsidRPr="00A43175">
        <w:rPr>
          <w:rStyle w:val="BoldItalic"/>
          <w:b/>
          <w:i w:val="0"/>
        </w:rPr>
        <w:t>Conclusion</w:t>
      </w:r>
    </w:p>
    <w:p w:rsidR="00A43175" w:rsidRPr="006A27D0" w:rsidRDefault="00E47707" w:rsidP="00A43175">
      <w:pPr>
        <w:pStyle w:val="base-text-paragraphnonumbers"/>
        <w:rPr>
          <w:iCs/>
        </w:rPr>
      </w:pPr>
      <w:r>
        <w:rPr>
          <w:iCs/>
        </w:rPr>
        <w:t xml:space="preserve">The </w:t>
      </w:r>
      <w:r w:rsidR="00607977">
        <w:t xml:space="preserve">Carbon Tax Repeal </w:t>
      </w:r>
      <w:r w:rsidR="00607977" w:rsidRPr="00057B34">
        <w:t xml:space="preserve">Bills </w:t>
      </w:r>
      <w:r w:rsidR="006A27D0" w:rsidRPr="006A27D0">
        <w:rPr>
          <w:iCs/>
        </w:rPr>
        <w:t xml:space="preserve">are compatible with human rights because the only potential limitations on human rights that the </w:t>
      </w:r>
      <w:r w:rsidR="00553508">
        <w:rPr>
          <w:iCs/>
        </w:rPr>
        <w:t>Carbon Tax Repeal B</w:t>
      </w:r>
      <w:r w:rsidR="006A27D0" w:rsidRPr="006A27D0">
        <w:rPr>
          <w:iCs/>
        </w:rPr>
        <w:t>ills impose relate to the right to privacy</w:t>
      </w:r>
      <w:r w:rsidR="00FF3321" w:rsidRPr="00FF3321">
        <w:rPr>
          <w:rFonts w:eastAsia="Calibri"/>
          <w:sz w:val="24"/>
          <w:szCs w:val="24"/>
          <w:lang w:eastAsia="en-US"/>
        </w:rPr>
        <w:t xml:space="preserve"> </w:t>
      </w:r>
      <w:r w:rsidR="00FF3321" w:rsidRPr="00FF3321">
        <w:rPr>
          <w:iCs/>
        </w:rPr>
        <w:t>and criminal process rights</w:t>
      </w:r>
      <w:r w:rsidR="006A27D0" w:rsidRPr="006A27D0">
        <w:rPr>
          <w:iCs/>
        </w:rPr>
        <w:t xml:space="preserve"> and they are reasonable, necessary and </w:t>
      </w:r>
      <w:r>
        <w:rPr>
          <w:iCs/>
        </w:rPr>
        <w:t xml:space="preserve">proportionate in achieving the </w:t>
      </w:r>
      <w:r w:rsidR="0051267F">
        <w:rPr>
          <w:iCs/>
        </w:rPr>
        <w:t>B</w:t>
      </w:r>
      <w:r w:rsidR="0051267F" w:rsidRPr="006A27D0">
        <w:rPr>
          <w:iCs/>
        </w:rPr>
        <w:t>ills</w:t>
      </w:r>
      <w:r w:rsidR="0051267F">
        <w:rPr>
          <w:iCs/>
        </w:rPr>
        <w:t>’</w:t>
      </w:r>
      <w:r w:rsidR="0051267F" w:rsidRPr="006A27D0">
        <w:rPr>
          <w:iCs/>
        </w:rPr>
        <w:t xml:space="preserve"> </w:t>
      </w:r>
      <w:r w:rsidR="006A27D0" w:rsidRPr="006A27D0">
        <w:rPr>
          <w:iCs/>
        </w:rPr>
        <w:t>legitimate policy objectives of repealing the carbon tax and making appropriate transitional provisions for that purpose.</w:t>
      </w:r>
    </w:p>
    <w:p w:rsidR="00A43175" w:rsidRPr="00A43175" w:rsidRDefault="00A43175" w:rsidP="00A43175">
      <w:pPr>
        <w:pStyle w:val="base-text-paragraphnonumbers"/>
        <w:rPr>
          <w:rStyle w:val="BoldItalic"/>
          <w:b w:val="0"/>
          <w:i w:val="0"/>
        </w:rPr>
      </w:pPr>
    </w:p>
    <w:p w:rsidR="00A43175" w:rsidRPr="00A43175" w:rsidRDefault="00A43175" w:rsidP="00A43175">
      <w:pPr>
        <w:pStyle w:val="Baseparagraphcentred"/>
        <w:rPr>
          <w:rStyle w:val="BoldItalic"/>
          <w:i w:val="0"/>
        </w:rPr>
      </w:pPr>
      <w:r w:rsidRPr="00A43175">
        <w:rPr>
          <w:rStyle w:val="BoldItalic"/>
          <w:i w:val="0"/>
        </w:rPr>
        <w:t xml:space="preserve">Greg </w:t>
      </w:r>
      <w:r w:rsidR="00C56676">
        <w:rPr>
          <w:rStyle w:val="BoldItalic"/>
          <w:i w:val="0"/>
        </w:rPr>
        <w:t>Hunt</w:t>
      </w:r>
    </w:p>
    <w:p w:rsidR="00264263" w:rsidRDefault="00A43175" w:rsidP="00B23A52">
      <w:pPr>
        <w:pStyle w:val="Baseparagraphcentred"/>
      </w:pPr>
      <w:r w:rsidRPr="00A43175">
        <w:rPr>
          <w:rStyle w:val="BoldItalic"/>
          <w:i w:val="0"/>
        </w:rPr>
        <w:t xml:space="preserve">Minister for </w:t>
      </w:r>
      <w:r w:rsidR="00C56676">
        <w:rPr>
          <w:rStyle w:val="BoldItalic"/>
          <w:i w:val="0"/>
        </w:rPr>
        <w:t>the Environment</w:t>
      </w:r>
    </w:p>
    <w:p w:rsidR="00196E2B" w:rsidRDefault="00196E2B" w:rsidP="007C1E27">
      <w:pPr>
        <w:pStyle w:val="ChapterHeading"/>
        <w:numPr>
          <w:ilvl w:val="0"/>
          <w:numId w:val="20"/>
        </w:numPr>
        <w:rPr>
          <w:rStyle w:val="Font30point"/>
        </w:rPr>
        <w:sectPr w:rsidR="00196E2B" w:rsidSect="000C2E94">
          <w:headerReference w:type="default" r:id="rId27"/>
          <w:headerReference w:type="first" r:id="rId28"/>
          <w:pgSz w:w="11906" w:h="16838" w:code="9"/>
          <w:pgMar w:top="2466" w:right="2098" w:bottom="2466" w:left="2098" w:header="1559" w:footer="1899" w:gutter="0"/>
          <w:cols w:space="708"/>
          <w:titlePg/>
          <w:docGrid w:linePitch="360"/>
        </w:sectPr>
      </w:pPr>
    </w:p>
    <w:p w:rsidR="00085BF0" w:rsidRDefault="00085BF0" w:rsidP="007C1E27">
      <w:pPr>
        <w:pStyle w:val="ChapterHeading"/>
        <w:numPr>
          <w:ilvl w:val="0"/>
          <w:numId w:val="20"/>
        </w:numPr>
      </w:pPr>
      <w:bookmarkStart w:id="4" w:name="_Toc393138974"/>
      <w:r w:rsidRPr="008A062B">
        <w:rPr>
          <w:rStyle w:val="Font30point"/>
        </w:rPr>
        <w:t>C</w:t>
      </w:r>
      <w:r w:rsidRPr="008A062B">
        <w:rPr>
          <w:rStyle w:val="Font15point"/>
        </w:rPr>
        <w:t xml:space="preserve">hapter </w:t>
      </w:r>
      <w:r w:rsidR="00834309">
        <w:rPr>
          <w:rStyle w:val="Font19point"/>
        </w:rPr>
        <w:t>1</w:t>
      </w:r>
      <w:r>
        <w:tab/>
      </w:r>
      <w:r>
        <w:br/>
      </w:r>
      <w:r w:rsidR="00834309" w:rsidRPr="00834309">
        <w:t>Repeal of the carbon tax</w:t>
      </w:r>
      <w:bookmarkEnd w:id="4"/>
      <w:r w:rsidR="00834309" w:rsidRPr="00834309">
        <w:t xml:space="preserve"> </w:t>
      </w:r>
    </w:p>
    <w:p w:rsidR="00085BF0" w:rsidRDefault="00085BF0" w:rsidP="00085BF0">
      <w:pPr>
        <w:pStyle w:val="Heading2"/>
      </w:pPr>
      <w:r>
        <w:t>Outline of chapter</w:t>
      </w:r>
    </w:p>
    <w:p w:rsidR="00E032CB" w:rsidRDefault="0051267F" w:rsidP="008946C8">
      <w:pPr>
        <w:pStyle w:val="base-text-paragraph"/>
      </w:pPr>
      <w:r>
        <w:t>Chapter 1 describes how the carbon tax will be repealed</w:t>
      </w:r>
      <w:r w:rsidR="00D5237C">
        <w:t xml:space="preserve">.  </w:t>
      </w:r>
      <w:r>
        <w:t>It also describes the associated transitional arrangements for the winding-up of carbon tax liabilities for 2012</w:t>
      </w:r>
      <w:r>
        <w:noBreakHyphen/>
        <w:t>13 and 2013</w:t>
      </w:r>
      <w:r>
        <w:noBreakHyphen/>
        <w:t>14</w:t>
      </w:r>
      <w:r w:rsidR="00D5237C">
        <w:t xml:space="preserve">.  </w:t>
      </w:r>
      <w:r>
        <w:t>The removal of the equivalent carbon prices applied through the fuel tax credits system, through excise and excise equivalent customs duties, and through SGG levies is dealt with in Chapters 5 and 6</w:t>
      </w:r>
      <w:r w:rsidR="00E032CB">
        <w:t>.</w:t>
      </w:r>
    </w:p>
    <w:p w:rsidR="00B75D9B" w:rsidRDefault="00B75D9B" w:rsidP="00B75D9B">
      <w:pPr>
        <w:pStyle w:val="base-text-paragraph"/>
      </w:pPr>
      <w:r>
        <w:t>The </w:t>
      </w:r>
      <w:r w:rsidR="00384CE5">
        <w:t>Main Repeal Bill</w:t>
      </w:r>
      <w:r>
        <w:t xml:space="preserve"> includes provisions to:</w:t>
      </w:r>
    </w:p>
    <w:p w:rsidR="00B75D9B" w:rsidRDefault="00E032CB" w:rsidP="00B75D9B">
      <w:pPr>
        <w:pStyle w:val="dotpoint"/>
      </w:pPr>
      <w:r>
        <w:t xml:space="preserve">repeal the </w:t>
      </w:r>
      <w:r w:rsidR="003151F1">
        <w:t>CE Act</w:t>
      </w:r>
      <w:r w:rsidR="00B75D9B">
        <w:t xml:space="preserve"> and the five </w:t>
      </w:r>
      <w:r w:rsidR="00242327">
        <w:t>CE C</w:t>
      </w:r>
      <w:r w:rsidR="00B75D9B">
        <w:t>harges Acts;</w:t>
      </w:r>
    </w:p>
    <w:p w:rsidR="00B75D9B" w:rsidRDefault="00B75D9B" w:rsidP="00B75D9B">
      <w:pPr>
        <w:pStyle w:val="dotpoint"/>
      </w:pPr>
      <w:r>
        <w:t xml:space="preserve">provide continuing powers and transitional provisions so that liabilities incurred in relation to 2012-13 and 2013-14 may be collected and </w:t>
      </w:r>
      <w:r w:rsidR="0046019B">
        <w:t xml:space="preserve">obligations </w:t>
      </w:r>
      <w:r>
        <w:t xml:space="preserve">enforced by </w:t>
      </w:r>
      <w:r w:rsidR="0046019B">
        <w:t xml:space="preserve">the </w:t>
      </w:r>
      <w:r>
        <w:t xml:space="preserve">Regulator; </w:t>
      </w:r>
    </w:p>
    <w:p w:rsidR="00B75D9B" w:rsidRDefault="00B75D9B" w:rsidP="00B75D9B">
      <w:pPr>
        <w:pStyle w:val="dotpoint"/>
      </w:pPr>
      <w:r>
        <w:t>ensure that no carbon tax liabilities will be incurred from 1 July 2014; and</w:t>
      </w:r>
    </w:p>
    <w:p w:rsidR="00B75D9B" w:rsidRDefault="0072542B" w:rsidP="00B75D9B">
      <w:pPr>
        <w:pStyle w:val="dotpoint"/>
      </w:pPr>
      <w:r>
        <w:t>require</w:t>
      </w:r>
      <w:r w:rsidR="00B75D9B">
        <w:t xml:space="preserve"> the Regulator to cancel any remaining carbon units after the final surrender deadline for 2013</w:t>
      </w:r>
      <w:r w:rsidR="005332D4">
        <w:t>-</w:t>
      </w:r>
      <w:r w:rsidR="00B75D9B">
        <w:t>14</w:t>
      </w:r>
      <w:r w:rsidR="00D5237C">
        <w:t xml:space="preserve">.  </w:t>
      </w:r>
    </w:p>
    <w:p w:rsidR="00B07DDE" w:rsidRPr="004B7D2C" w:rsidRDefault="004B7D2C" w:rsidP="00B07DDE">
      <w:pPr>
        <w:pStyle w:val="base-text-paragraph"/>
      </w:pPr>
      <w:r w:rsidRPr="004B7D2C">
        <w:t>Chapter 1 also describes the process for ending</w:t>
      </w:r>
      <w:r w:rsidR="00E032CB">
        <w:t xml:space="preserve"> carbon tax</w:t>
      </w:r>
      <w:r w:rsidR="006A26F8">
        <w:noBreakHyphen/>
      </w:r>
      <w:r w:rsidR="00E032CB">
        <w:t>related</w:t>
      </w:r>
      <w:r w:rsidRPr="004B7D2C">
        <w:t xml:space="preserve"> industry assistance:</w:t>
      </w:r>
    </w:p>
    <w:p w:rsidR="004B7D2C" w:rsidRPr="004B7D2C" w:rsidRDefault="004B7D2C" w:rsidP="004B7D2C">
      <w:pPr>
        <w:pStyle w:val="dotpoint"/>
      </w:pPr>
      <w:r w:rsidRPr="004B7D2C">
        <w:t>The Main Repeal Bill maintains the assistance to eligible electricity generators under the Energy Security Fund and to emissions-intensive trade-exposed entities under the JCP</w:t>
      </w:r>
      <w:r>
        <w:t xml:space="preserve"> </w:t>
      </w:r>
      <w:r w:rsidRPr="004B7D2C">
        <w:t>for 2013-14 but terminates assistance from the 2014-15 year</w:t>
      </w:r>
      <w:r w:rsidR="00D5237C">
        <w:t xml:space="preserve">.  </w:t>
      </w:r>
    </w:p>
    <w:p w:rsidR="004B7D2C" w:rsidRPr="004B7D2C" w:rsidRDefault="004B7D2C" w:rsidP="004B7D2C">
      <w:pPr>
        <w:pStyle w:val="dotpoint"/>
      </w:pPr>
      <w:r w:rsidRPr="004B7D2C">
        <w:t>The Main Repeal Bill makes provisions which, with the True-up Shortfall Levy (</w:t>
      </w:r>
      <w:r w:rsidR="00622B79">
        <w:t>Carbon Tax Repeal</w:t>
      </w:r>
      <w:r w:rsidRPr="004B7D2C">
        <w:t xml:space="preserve">) (General) Bill </w:t>
      </w:r>
      <w:r w:rsidR="00C90ACA">
        <w:t>2014</w:t>
      </w:r>
      <w:r w:rsidRPr="004B7D2C">
        <w:t xml:space="preserve"> and the True-up Shortfall Levy (</w:t>
      </w:r>
      <w:r w:rsidR="00622B79">
        <w:t>Carbon Tax Repeal</w:t>
      </w:r>
      <w:r w:rsidRPr="004B7D2C">
        <w:t xml:space="preserve">) (Excise) Bill </w:t>
      </w:r>
      <w:r w:rsidR="00C90ACA">
        <w:t>2014</w:t>
      </w:r>
      <w:r w:rsidRPr="004B7D2C">
        <w:t>, corrects under- and over-allocations of 2013-14 free carbon units issued under the JCP</w:t>
      </w:r>
      <w:r w:rsidR="00D5237C">
        <w:t xml:space="preserve">.  </w:t>
      </w:r>
      <w:r w:rsidRPr="004B7D2C">
        <w:t>It does this by allowing for issue of extra free carbon units to make up for under-allocations, and relinquishment of units or payment of a levy to redress over-allocations.</w:t>
      </w:r>
    </w:p>
    <w:p w:rsidR="00085BF0" w:rsidRDefault="00085BF0" w:rsidP="00085BF0">
      <w:pPr>
        <w:pStyle w:val="Heading2"/>
      </w:pPr>
      <w:r>
        <w:t>Context of amendments</w:t>
      </w:r>
    </w:p>
    <w:p w:rsidR="00A4665D" w:rsidRDefault="00A4665D" w:rsidP="004B7D2C">
      <w:pPr>
        <w:pStyle w:val="Heading3"/>
      </w:pPr>
      <w:r>
        <w:t>Repeal of the carbon tax</w:t>
      </w:r>
    </w:p>
    <w:p w:rsidR="00B07DDE" w:rsidRDefault="00B07DDE" w:rsidP="00B07DDE">
      <w:pPr>
        <w:pStyle w:val="base-text-paragraph"/>
        <w:tabs>
          <w:tab w:val="clear" w:pos="1985"/>
          <w:tab w:val="num" w:pos="1844"/>
        </w:tabs>
        <w:ind w:left="993"/>
      </w:pPr>
      <w:r>
        <w:t xml:space="preserve">The </w:t>
      </w:r>
      <w:r w:rsidR="00384CE5">
        <w:t>Main Repeal Bill</w:t>
      </w:r>
      <w:r>
        <w:t xml:space="preserve"> repeals the</w:t>
      </w:r>
      <w:r w:rsidR="006A26F8">
        <w:t xml:space="preserve"> carbon tax by repealing the </w:t>
      </w:r>
      <w:r w:rsidR="003151F1">
        <w:t>CE Act</w:t>
      </w:r>
      <w:r>
        <w:t xml:space="preserve"> and </w:t>
      </w:r>
      <w:r w:rsidR="00242327">
        <w:t>the CE C</w:t>
      </w:r>
      <w:r>
        <w:t>harges Acts from 1 July 2014</w:t>
      </w:r>
      <w:r w:rsidR="00D5237C">
        <w:t xml:space="preserve">.  </w:t>
      </w:r>
      <w:r>
        <w:t xml:space="preserve">The </w:t>
      </w:r>
      <w:r w:rsidR="006A26F8">
        <w:t xml:space="preserve">carbon tax is created by the </w:t>
      </w:r>
      <w:r w:rsidR="003151F1">
        <w:t>CE Act</w:t>
      </w:r>
      <w:r>
        <w:t>, which establishes which entities are directly liable to pay the carbon tax or pay a carbon tax on the natural gas</w:t>
      </w:r>
      <w:r w:rsidR="00AC0812">
        <w:t xml:space="preserve"> and gaseous fuels</w:t>
      </w:r>
      <w:r>
        <w:t xml:space="preserve"> that they supply (these entities are known as ‘liable</w:t>
      </w:r>
      <w:r w:rsidR="006A26F8">
        <w:t xml:space="preserve"> entities’)</w:t>
      </w:r>
      <w:r w:rsidR="00D5237C">
        <w:t xml:space="preserve">.  </w:t>
      </w:r>
      <w:r w:rsidR="006A26F8">
        <w:t xml:space="preserve">In addition the </w:t>
      </w:r>
      <w:r w:rsidR="003151F1">
        <w:t>CE Act</w:t>
      </w:r>
      <w:r>
        <w:t>:</w:t>
      </w:r>
    </w:p>
    <w:p w:rsidR="00B07DDE" w:rsidRDefault="00B07DDE" w:rsidP="00B07DDE">
      <w:pPr>
        <w:pStyle w:val="dotpoint"/>
      </w:pPr>
      <w:r>
        <w:t>establishes the fixed and flexible price periods of the carbon tax, including setting out how an entity may acquire and surrender carbon units in each period;</w:t>
      </w:r>
    </w:p>
    <w:p w:rsidR="00B07DDE" w:rsidRDefault="00B07DDE" w:rsidP="00B07DDE">
      <w:pPr>
        <w:pStyle w:val="dotpoint"/>
      </w:pPr>
      <w:r>
        <w:t xml:space="preserve">creates carbon units, which may be used by liable entities to meet their carbon tax liability; </w:t>
      </w:r>
    </w:p>
    <w:p w:rsidR="00B07DDE" w:rsidRDefault="00B07DDE" w:rsidP="00B07DDE">
      <w:pPr>
        <w:pStyle w:val="dotpoint"/>
      </w:pPr>
      <w:r>
        <w:t>provides for the allocation of free carbon units as assistance to certain affected industries; and</w:t>
      </w:r>
    </w:p>
    <w:p w:rsidR="00085BF0" w:rsidRDefault="00B07DDE" w:rsidP="00B07DDE">
      <w:pPr>
        <w:pStyle w:val="dotpoint"/>
      </w:pPr>
      <w:r>
        <w:t>establishes monitoring, investigation, enforcement and penalty provisions, and sets out which decisions are reviewable</w:t>
      </w:r>
      <w:r w:rsidR="00242327">
        <w:t>.</w:t>
      </w:r>
    </w:p>
    <w:p w:rsidR="00A4665D" w:rsidRDefault="00A4665D" w:rsidP="00A4665D">
      <w:pPr>
        <w:pStyle w:val="base-text-paragraph"/>
      </w:pPr>
      <w:r>
        <w:t xml:space="preserve">The </w:t>
      </w:r>
      <w:r w:rsidR="00017BDD">
        <w:t xml:space="preserve">Main Repeal Bill </w:t>
      </w:r>
      <w:r>
        <w:t>makes it clear that the Minister is not required to make regulations that relate to financial years after 2013</w:t>
      </w:r>
      <w:r>
        <w:noBreakHyphen/>
        <w:t>14.</w:t>
      </w:r>
    </w:p>
    <w:p w:rsidR="007E2949" w:rsidRDefault="007E2949" w:rsidP="00A4665D">
      <w:pPr>
        <w:pStyle w:val="base-text-paragraph"/>
      </w:pPr>
      <w:r>
        <w:t xml:space="preserve">The </w:t>
      </w:r>
      <w:r w:rsidR="00384CE5">
        <w:t>Main Repeal Bill</w:t>
      </w:r>
      <w:r>
        <w:t xml:space="preserve"> also establishes </w:t>
      </w:r>
      <w:r w:rsidR="00936004">
        <w:t>arrangements</w:t>
      </w:r>
      <w:r>
        <w:t xml:space="preserve"> for:</w:t>
      </w:r>
    </w:p>
    <w:p w:rsidR="007E2949" w:rsidRDefault="007E2949" w:rsidP="00936004">
      <w:pPr>
        <w:pStyle w:val="dotpoint"/>
      </w:pPr>
      <w:r>
        <w:t>managing the over-surrender of ACCUs in 2013</w:t>
      </w:r>
      <w:r>
        <w:noBreakHyphen/>
        <w:t>14;</w:t>
      </w:r>
    </w:p>
    <w:p w:rsidR="007E2949" w:rsidRDefault="00017BDD" w:rsidP="00936004">
      <w:pPr>
        <w:pStyle w:val="dotpoint"/>
      </w:pPr>
      <w:r>
        <w:t xml:space="preserve">the </w:t>
      </w:r>
      <w:r w:rsidR="007E2949">
        <w:t xml:space="preserve">cessation of carbon units, providing certainty that carbon units </w:t>
      </w:r>
      <w:r w:rsidR="001A71A1">
        <w:t>do not exist</w:t>
      </w:r>
      <w:r w:rsidR="007E2949">
        <w:t xml:space="preserve"> after the fi</w:t>
      </w:r>
      <w:r w:rsidR="00F3643B">
        <w:t>nal surrender deadline for 2013</w:t>
      </w:r>
      <w:r w:rsidR="00F3643B">
        <w:noBreakHyphen/>
      </w:r>
      <w:r w:rsidR="007E2949">
        <w:t>14;</w:t>
      </w:r>
      <w:r w:rsidR="00936004">
        <w:t xml:space="preserve"> and </w:t>
      </w:r>
    </w:p>
    <w:p w:rsidR="00017BDD" w:rsidRDefault="00017BDD" w:rsidP="00017BDD">
      <w:pPr>
        <w:pStyle w:val="dotpoint"/>
      </w:pPr>
      <w:r w:rsidRPr="00017BDD">
        <w:t xml:space="preserve">the Regulator </w:t>
      </w:r>
      <w:r>
        <w:t>to</w:t>
      </w:r>
      <w:r w:rsidRPr="00017BDD">
        <w:t xml:space="preserve"> cancel any carbon units sold at an auction and refund the purchase price to the holder of each unit</w:t>
      </w:r>
      <w:r>
        <w:t>, i</w:t>
      </w:r>
      <w:r w:rsidRPr="00017BDD">
        <w:t xml:space="preserve">n the event that auctions are held before the </w:t>
      </w:r>
      <w:r w:rsidR="00E47707" w:rsidRPr="00017BDD">
        <w:t xml:space="preserve">Main Repeal Bill </w:t>
      </w:r>
      <w:r w:rsidRPr="00017BDD">
        <w:t>receives the Royal Assent</w:t>
      </w:r>
      <w:r w:rsidR="00E47707">
        <w:t>.</w:t>
      </w:r>
    </w:p>
    <w:p w:rsidR="00E560B6" w:rsidRDefault="00E560B6" w:rsidP="004B7D2C">
      <w:pPr>
        <w:pStyle w:val="Heading3"/>
      </w:pPr>
      <w:r>
        <w:t>Providing a framework for 2012</w:t>
      </w:r>
      <w:r>
        <w:noBreakHyphen/>
        <w:t>13 and 2013</w:t>
      </w:r>
      <w:r>
        <w:noBreakHyphen/>
        <w:t>14 carbon tax liabilities</w:t>
      </w:r>
    </w:p>
    <w:p w:rsidR="004C28CC" w:rsidRDefault="00E47707" w:rsidP="004C28CC">
      <w:pPr>
        <w:pStyle w:val="base-text-paragraph"/>
      </w:pPr>
      <w:r w:rsidRPr="00E560B6">
        <w:t>Liable entities must meet all 2012</w:t>
      </w:r>
      <w:r w:rsidRPr="00E560B6">
        <w:noBreakHyphen/>
        <w:t>13 and 2013</w:t>
      </w:r>
      <w:r w:rsidRPr="00E560B6">
        <w:noBreakHyphen/>
        <w:t>14 carbon tax liabilities</w:t>
      </w:r>
      <w:r w:rsidR="00D5237C">
        <w:t xml:space="preserve">.  </w:t>
      </w:r>
      <w:r>
        <w:t>To facilitate this, t</w:t>
      </w:r>
      <w:r w:rsidR="00E560B6" w:rsidRPr="00E560B6">
        <w:t xml:space="preserve">he </w:t>
      </w:r>
      <w:r w:rsidRPr="00E560B6">
        <w:t xml:space="preserve">Main Repeal Bill </w:t>
      </w:r>
      <w:r>
        <w:t>includes</w:t>
      </w:r>
      <w:r w:rsidR="00E560B6" w:rsidRPr="00E560B6">
        <w:t xml:space="preserve"> specific provisions </w:t>
      </w:r>
      <w:r>
        <w:t>to preserve elements of</w:t>
      </w:r>
      <w:r w:rsidR="006A26F8">
        <w:t xml:space="preserve"> the </w:t>
      </w:r>
      <w:r w:rsidR="003151F1">
        <w:t>CE Act</w:t>
      </w:r>
      <w:r w:rsidR="00E560B6" w:rsidRPr="00E560B6">
        <w:t xml:space="preserve"> with some modifications</w:t>
      </w:r>
      <w:r w:rsidR="00D5237C">
        <w:t xml:space="preserve">.  </w:t>
      </w:r>
    </w:p>
    <w:p w:rsidR="00E560B6" w:rsidRDefault="00E560B6" w:rsidP="004C28CC">
      <w:pPr>
        <w:pStyle w:val="base-text-paragraph"/>
      </w:pPr>
      <w:r w:rsidRPr="00E560B6">
        <w:t xml:space="preserve">The modifications of the </w:t>
      </w:r>
      <w:r w:rsidR="003151F1">
        <w:t>CE Act</w:t>
      </w:r>
      <w:r w:rsidR="006A26F8" w:rsidRPr="00E560B6">
        <w:t xml:space="preserve"> </w:t>
      </w:r>
      <w:r w:rsidRPr="00E560B6">
        <w:t>provisions ensure that no carbon tax liabilities will be incurred from 1 July 2014, that all arrangements relating to the flexible price period are removed, and that reporting and other obligations that do not relate to 2013</w:t>
      </w:r>
      <w:r w:rsidRPr="00E560B6">
        <w:noBreakHyphen/>
        <w:t>14 or 2013</w:t>
      </w:r>
      <w:r w:rsidRPr="00E560B6">
        <w:noBreakHyphen/>
        <w:t>14 liabilities are ceased</w:t>
      </w:r>
      <w:r w:rsidR="00E47707">
        <w:t>.</w:t>
      </w:r>
    </w:p>
    <w:p w:rsidR="004B7D2C" w:rsidRDefault="004B7D2C" w:rsidP="004B7D2C">
      <w:pPr>
        <w:pStyle w:val="Heading3"/>
      </w:pPr>
      <w:r w:rsidRPr="004B7D2C">
        <w:t>Finalising industry assistance arrangements</w:t>
      </w:r>
    </w:p>
    <w:p w:rsidR="004B7D2C" w:rsidRPr="004B7D2C" w:rsidRDefault="004B7D2C" w:rsidP="004B7D2C">
      <w:pPr>
        <w:pStyle w:val="base-text-paragraph"/>
      </w:pPr>
      <w:r w:rsidRPr="004B7D2C">
        <w:t xml:space="preserve">The Main Repeal Bill provides that carbon tax </w:t>
      </w:r>
      <w:r>
        <w:t xml:space="preserve">liabilities stop </w:t>
      </w:r>
      <w:r w:rsidRPr="004B7D2C">
        <w:t xml:space="preserve">accruing </w:t>
      </w:r>
      <w:r w:rsidR="00384CE5">
        <w:t>at the end of</w:t>
      </w:r>
      <w:r w:rsidR="00384CE5" w:rsidRPr="004B7D2C">
        <w:t xml:space="preserve"> </w:t>
      </w:r>
      <w:r>
        <w:t>2013-14</w:t>
      </w:r>
      <w:r w:rsidR="00D5237C">
        <w:t xml:space="preserve">.  </w:t>
      </w:r>
      <w:r w:rsidRPr="004B7D2C">
        <w:t>Consequently, the Main Repeal Bill also pr</w:t>
      </w:r>
      <w:r>
        <w:t xml:space="preserve">ovides that industry assistance, </w:t>
      </w:r>
      <w:r w:rsidRPr="004B7D2C">
        <w:t>which compensates f</w:t>
      </w:r>
      <w:r>
        <w:t xml:space="preserve">or the impact of the carbon tax, </w:t>
      </w:r>
      <w:r w:rsidRPr="004B7D2C">
        <w:t>is terminated for 2014-15 and beyond</w:t>
      </w:r>
      <w:r w:rsidR="00D5237C">
        <w:t xml:space="preserve">.  </w:t>
      </w:r>
    </w:p>
    <w:p w:rsidR="004B7D2C" w:rsidRPr="004B7D2C" w:rsidRDefault="004B7D2C" w:rsidP="004B7D2C">
      <w:pPr>
        <w:pStyle w:val="base-text-paragraph"/>
      </w:pPr>
      <w:r w:rsidRPr="004B7D2C">
        <w:t xml:space="preserve">There is one transitional matter relating to industry assistance that needs to be dealt with by the </w:t>
      </w:r>
      <w:r w:rsidR="00384CE5">
        <w:t>Carbon Tax Repeal Bills</w:t>
      </w:r>
      <w:r w:rsidR="00D5237C">
        <w:t xml:space="preserve">.  </w:t>
      </w:r>
      <w:r w:rsidRPr="004B7D2C">
        <w:t xml:space="preserve">The JCP is designed on the basis that there are annual </w:t>
      </w:r>
      <w:r>
        <w:t>releases</w:t>
      </w:r>
      <w:r w:rsidRPr="004B7D2C">
        <w:t xml:space="preserve"> of free carbon units</w:t>
      </w:r>
      <w:r w:rsidR="00D5237C">
        <w:t xml:space="preserve">.  </w:t>
      </w:r>
      <w:r w:rsidRPr="004B7D2C">
        <w:t>Recipients of assistance receive free carbon units based on the previous financial year’s production and are required to submit verified production data in the subsequent year</w:t>
      </w:r>
      <w:r w:rsidR="00D5237C">
        <w:t xml:space="preserve">.  </w:t>
      </w:r>
      <w:r w:rsidRPr="004B7D2C">
        <w:t xml:space="preserve">The </w:t>
      </w:r>
      <w:r w:rsidR="00384CE5">
        <w:t>Regulator</w:t>
      </w:r>
      <w:r w:rsidRPr="004B7D2C">
        <w:t xml:space="preserve"> compares reported production data and actual production data for a ‘true-up’ process and determines whether it is necessary to correct an allocation of free units</w:t>
      </w:r>
      <w:r w:rsidR="00D5237C">
        <w:t xml:space="preserve">.  </w:t>
      </w:r>
      <w:r w:rsidRPr="004B7D2C">
        <w:t>Each year’s true-up units are taken into account in determining the subsequent year’s allocation of free units.</w:t>
      </w:r>
    </w:p>
    <w:p w:rsidR="004B7D2C" w:rsidRPr="004B7D2C" w:rsidRDefault="004B7D2C" w:rsidP="004B7D2C">
      <w:pPr>
        <w:pStyle w:val="base-text-paragraph"/>
      </w:pPr>
      <w:r w:rsidRPr="004B7D2C">
        <w:t xml:space="preserve">With the JCP to be discontinued after 2013-14, a process must be established to ensure the </w:t>
      </w:r>
      <w:r w:rsidR="00384CE5">
        <w:t>Regulator</w:t>
      </w:r>
      <w:r w:rsidRPr="004B7D2C">
        <w:t xml:space="preserve"> receives 2013-14 production data to do a ‘true-up’ of the final JCP allocation of free carbon units and that under- and over-allocations of free carbon units are corrected</w:t>
      </w:r>
      <w:r w:rsidR="00D5237C">
        <w:t xml:space="preserve">.  </w:t>
      </w:r>
    </w:p>
    <w:p w:rsidR="004B7D2C" w:rsidRPr="004B7D2C" w:rsidRDefault="004B7D2C" w:rsidP="00B23A52">
      <w:pPr>
        <w:pStyle w:val="base-text-paragraph"/>
      </w:pPr>
      <w:r w:rsidRPr="004B7D2C">
        <w:t xml:space="preserve">The Main Repeal Bill, together with the True-up Shortfall Levy </w:t>
      </w:r>
      <w:r w:rsidR="005332D4" w:rsidRPr="004B7D2C">
        <w:t xml:space="preserve">(General) </w:t>
      </w:r>
      <w:r w:rsidRPr="004B7D2C">
        <w:t>(</w:t>
      </w:r>
      <w:r w:rsidR="00622B79">
        <w:t>Carbon Tax Repeal</w:t>
      </w:r>
      <w:r w:rsidRPr="004B7D2C">
        <w:t xml:space="preserve">) Bill </w:t>
      </w:r>
      <w:r w:rsidR="00C90ACA">
        <w:t>2014</w:t>
      </w:r>
      <w:r w:rsidRPr="004B7D2C">
        <w:t xml:space="preserve"> and the True-up Shortfall Levy</w:t>
      </w:r>
      <w:r w:rsidR="005332D4">
        <w:t xml:space="preserve"> </w:t>
      </w:r>
      <w:r w:rsidR="005332D4" w:rsidRPr="004B7D2C">
        <w:t>(Excise)</w:t>
      </w:r>
      <w:r w:rsidRPr="004B7D2C">
        <w:t xml:space="preserve"> (</w:t>
      </w:r>
      <w:r w:rsidR="00622B79">
        <w:t>Carbon Tax Repeal</w:t>
      </w:r>
      <w:r w:rsidRPr="004B7D2C">
        <w:t xml:space="preserve">) Bill </w:t>
      </w:r>
      <w:r w:rsidR="00C90ACA">
        <w:t>2014</w:t>
      </w:r>
      <w:r w:rsidRPr="004B7D2C">
        <w:t>, establish a broad framework for a true-up reporting process  and for correcting under</w:t>
      </w:r>
      <w:r w:rsidRPr="004B7D2C">
        <w:noBreakHyphen/>
        <w:t xml:space="preserve"> and over</w:t>
      </w:r>
      <w:r w:rsidRPr="004B7D2C">
        <w:noBreakHyphen/>
        <w:t xml:space="preserve"> allocation of 2013-14 free carbon units</w:t>
      </w:r>
      <w:r w:rsidR="00D5237C">
        <w:t xml:space="preserve">.  </w:t>
      </w:r>
      <w:r w:rsidRPr="004B7D2C">
        <w:t>The details of this process are to be set out in rules made by the Minister</w:t>
      </w:r>
      <w:r w:rsidR="00D5237C">
        <w:t xml:space="preserve">.  </w:t>
      </w:r>
      <w:r w:rsidRPr="004B7D2C">
        <w:t xml:space="preserve">The rules would </w:t>
      </w:r>
      <w:r>
        <w:t>be in place</w:t>
      </w:r>
      <w:r w:rsidR="002B184F">
        <w:t xml:space="preserve"> by</w:t>
      </w:r>
      <w:r w:rsidR="00E65F8C">
        <w:t xml:space="preserve"> 1 July </w:t>
      </w:r>
      <w:r w:rsidRPr="004B7D2C">
        <w:t>2014</w:t>
      </w:r>
      <w:r w:rsidR="002B184F">
        <w:t>.</w:t>
      </w:r>
    </w:p>
    <w:p w:rsidR="00085BF0" w:rsidRDefault="00085BF0" w:rsidP="00085BF0">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085BF0" w:rsidRPr="004666B8" w:rsidTr="00085BF0">
        <w:tc>
          <w:tcPr>
            <w:tcW w:w="3275" w:type="dxa"/>
          </w:tcPr>
          <w:p w:rsidR="00085BF0" w:rsidRPr="004666B8" w:rsidRDefault="00085BF0" w:rsidP="00085BF0">
            <w:pPr>
              <w:pStyle w:val="tableheaderwithintable"/>
              <w:rPr>
                <w:lang w:val="en-US" w:eastAsia="en-US"/>
              </w:rPr>
            </w:pPr>
            <w:r w:rsidRPr="004666B8">
              <w:rPr>
                <w:lang w:val="en-US" w:eastAsia="en-US"/>
              </w:rPr>
              <w:t>New law</w:t>
            </w:r>
          </w:p>
        </w:tc>
        <w:tc>
          <w:tcPr>
            <w:tcW w:w="3276" w:type="dxa"/>
          </w:tcPr>
          <w:p w:rsidR="00085BF0" w:rsidRPr="004666B8" w:rsidRDefault="00085BF0" w:rsidP="00085BF0">
            <w:pPr>
              <w:pStyle w:val="tableheaderwithintable"/>
              <w:rPr>
                <w:lang w:val="en-US" w:eastAsia="en-US"/>
              </w:rPr>
            </w:pPr>
            <w:r w:rsidRPr="004666B8">
              <w:rPr>
                <w:lang w:val="en-US" w:eastAsia="en-US"/>
              </w:rPr>
              <w:t>Current law</w:t>
            </w:r>
          </w:p>
        </w:tc>
      </w:tr>
      <w:tr w:rsidR="00E560B6" w:rsidRPr="004666B8" w:rsidTr="00E560B6">
        <w:tc>
          <w:tcPr>
            <w:tcW w:w="6551" w:type="dxa"/>
            <w:gridSpan w:val="2"/>
          </w:tcPr>
          <w:p w:rsidR="00E560B6" w:rsidRPr="00E560B6" w:rsidRDefault="00E560B6" w:rsidP="00E560B6">
            <w:pPr>
              <w:pStyle w:val="tabletext"/>
              <w:jc w:val="center"/>
              <w:rPr>
                <w:b/>
                <w:lang w:val="en-US" w:eastAsia="en-US"/>
              </w:rPr>
            </w:pPr>
            <w:r w:rsidRPr="00E560B6">
              <w:rPr>
                <w:b/>
              </w:rPr>
              <w:t>The repeal of the carbon tax</w:t>
            </w:r>
          </w:p>
        </w:tc>
      </w:tr>
      <w:tr w:rsidR="00E560B6" w:rsidRPr="004666B8" w:rsidTr="00085BF0">
        <w:tc>
          <w:tcPr>
            <w:tcW w:w="3275" w:type="dxa"/>
          </w:tcPr>
          <w:p w:rsidR="00E560B6" w:rsidRPr="004666B8" w:rsidRDefault="00E560B6" w:rsidP="004C28CC">
            <w:pPr>
              <w:pStyle w:val="tabletext"/>
              <w:rPr>
                <w:lang w:val="en-US" w:eastAsia="en-US"/>
              </w:rPr>
            </w:pPr>
            <w:r w:rsidRPr="00E560B6">
              <w:rPr>
                <w:lang w:val="en-US" w:eastAsia="en-US"/>
              </w:rPr>
              <w:t>The carbon tax will be repealed</w:t>
            </w:r>
            <w:r w:rsidR="00D5237C">
              <w:rPr>
                <w:lang w:val="en-US" w:eastAsia="en-US"/>
              </w:rPr>
              <w:t xml:space="preserve">.  </w:t>
            </w:r>
            <w:r w:rsidRPr="00E560B6">
              <w:rPr>
                <w:lang w:val="en-US" w:eastAsia="en-US"/>
              </w:rPr>
              <w:t xml:space="preserve">No carbon tax liabilities will be incurred from </w:t>
            </w:r>
            <w:r w:rsidR="004C28CC">
              <w:rPr>
                <w:lang w:val="en-US" w:eastAsia="en-US"/>
              </w:rPr>
              <w:t>1 July</w:t>
            </w:r>
            <w:r w:rsidRPr="00E560B6">
              <w:rPr>
                <w:lang w:val="en-US" w:eastAsia="en-US"/>
              </w:rPr>
              <w:t xml:space="preserve"> 2014</w:t>
            </w:r>
            <w:r>
              <w:rPr>
                <w:lang w:val="en-US" w:eastAsia="en-US"/>
              </w:rPr>
              <w:t>.</w:t>
            </w:r>
          </w:p>
        </w:tc>
        <w:tc>
          <w:tcPr>
            <w:tcW w:w="3276" w:type="dxa"/>
          </w:tcPr>
          <w:p w:rsidR="00E560B6" w:rsidRPr="004666B8" w:rsidRDefault="00E560B6" w:rsidP="00E560B6">
            <w:pPr>
              <w:pStyle w:val="tabletext"/>
              <w:rPr>
                <w:lang w:val="en-US" w:eastAsia="en-US"/>
              </w:rPr>
            </w:pPr>
            <w:r>
              <w:t xml:space="preserve">The </w:t>
            </w:r>
            <w:r w:rsidR="003151F1">
              <w:t>CE Act</w:t>
            </w:r>
            <w:r w:rsidR="006A26F8" w:rsidRPr="00E560B6">
              <w:t xml:space="preserve"> </w:t>
            </w:r>
            <w:r>
              <w:t>provides that the carbon tax will be in place from 1 July 2012, with a flexible price period to begin from 1 July 2015.</w:t>
            </w:r>
          </w:p>
        </w:tc>
      </w:tr>
    </w:tbl>
    <w:p w:rsidR="00085BF0" w:rsidRDefault="00085BF0" w:rsidP="00085BF0">
      <w:pPr>
        <w:pStyle w:val="Heading2"/>
      </w:pPr>
      <w:r>
        <w:t>Detailed explanation of new law</w:t>
      </w:r>
    </w:p>
    <w:p w:rsidR="006A26F8" w:rsidRDefault="006A26F8" w:rsidP="006A26F8">
      <w:pPr>
        <w:pStyle w:val="Heading3"/>
      </w:pPr>
      <w:r>
        <w:t>General provisions</w:t>
      </w:r>
    </w:p>
    <w:p w:rsidR="00FB473F" w:rsidRPr="00995345" w:rsidRDefault="00FB473F" w:rsidP="0051267F">
      <w:pPr>
        <w:pStyle w:val="base-text-paragraph"/>
      </w:pPr>
      <w:r w:rsidRPr="001A02DF">
        <w:t>When enacted</w:t>
      </w:r>
      <w:r>
        <w:t xml:space="preserve">, the name of the Act will be the </w:t>
      </w:r>
      <w:r w:rsidRPr="00AB43A1">
        <w:rPr>
          <w:i/>
        </w:rPr>
        <w:t>Clean Energy (</w:t>
      </w:r>
      <w:r w:rsidR="003D232A" w:rsidRPr="003D232A">
        <w:rPr>
          <w:i/>
        </w:rPr>
        <w:t>Carbon Tax Repeal</w:t>
      </w:r>
      <w:r w:rsidRPr="00AB43A1">
        <w:rPr>
          <w:i/>
        </w:rPr>
        <w:t xml:space="preserve">) Act </w:t>
      </w:r>
      <w:r w:rsidR="00C90ACA">
        <w:rPr>
          <w:i/>
        </w:rPr>
        <w:t>2014</w:t>
      </w:r>
      <w:r w:rsidR="00D5237C">
        <w:t xml:space="preserve">.  </w:t>
      </w:r>
      <w:r w:rsidRPr="00995345">
        <w:rPr>
          <w:rStyle w:val="Referencingstyle"/>
        </w:rPr>
        <w:t>[</w:t>
      </w:r>
      <w:r w:rsidR="0077740A">
        <w:rPr>
          <w:rStyle w:val="Referencingstyle"/>
        </w:rPr>
        <w:t>clause</w:t>
      </w:r>
      <w:r w:rsidR="0077740A" w:rsidRPr="00995345">
        <w:rPr>
          <w:rStyle w:val="Referencingstyle"/>
        </w:rPr>
        <w:t xml:space="preserve"> </w:t>
      </w:r>
      <w:r w:rsidRPr="00995345">
        <w:rPr>
          <w:rStyle w:val="Referencingstyle"/>
        </w:rPr>
        <w:t>1]</w:t>
      </w:r>
    </w:p>
    <w:p w:rsidR="00FB473F" w:rsidRPr="00654C84" w:rsidRDefault="00FB473F" w:rsidP="00FB473F">
      <w:pPr>
        <w:pStyle w:val="base-text-paragraph"/>
        <w:rPr>
          <w:rStyle w:val="Referencingstyle"/>
          <w:b w:val="0"/>
          <w:i w:val="0"/>
          <w:sz w:val="22"/>
        </w:rPr>
      </w:pPr>
      <w:r>
        <w:t xml:space="preserve">All </w:t>
      </w:r>
      <w:r w:rsidRPr="00AB43A1">
        <w:t>amendments</w:t>
      </w:r>
      <w:r>
        <w:t xml:space="preserve"> made by the Main Repeal Bill, whether to primary or subordinate legislation, have effect according to the terms set out in the </w:t>
      </w:r>
      <w:r w:rsidR="00216ED9">
        <w:t>Bill</w:t>
      </w:r>
      <w:r w:rsidR="00D5237C">
        <w:t xml:space="preserve">.  </w:t>
      </w:r>
      <w:r>
        <w:t xml:space="preserve">Any amendments made to regulations made by the </w:t>
      </w:r>
      <w:r w:rsidR="00384242">
        <w:t>B</w:t>
      </w:r>
      <w:r>
        <w:t>ill, may be further amended or repealed by the Governor-General in Council</w:t>
      </w:r>
      <w:r w:rsidR="00D5237C">
        <w:t xml:space="preserve">.  </w:t>
      </w:r>
      <w:r w:rsidRPr="00995345">
        <w:rPr>
          <w:rStyle w:val="Referencingstyle"/>
        </w:rPr>
        <w:t>[</w:t>
      </w:r>
      <w:r w:rsidR="0077740A">
        <w:rPr>
          <w:rStyle w:val="Referencingstyle"/>
        </w:rPr>
        <w:t>clause</w:t>
      </w:r>
      <w:r w:rsidRPr="00995345">
        <w:rPr>
          <w:rStyle w:val="Referencingstyle"/>
        </w:rPr>
        <w:t xml:space="preserve"> 3]</w:t>
      </w:r>
    </w:p>
    <w:p w:rsidR="006A26F8" w:rsidRPr="006F338E" w:rsidRDefault="00FB473F" w:rsidP="00FB473F">
      <w:pPr>
        <w:pStyle w:val="base-text-paragraph"/>
        <w:rPr>
          <w:rStyle w:val="Referencingstyle"/>
          <w:b w:val="0"/>
          <w:i w:val="0"/>
          <w:sz w:val="22"/>
        </w:rPr>
      </w:pPr>
      <w:r>
        <w:t>Sections 1, 2 and 3 of the Main Repeal Bill commence on the day that the Governor-General gives the Royal Assent</w:t>
      </w:r>
      <w:r w:rsidR="00D5237C">
        <w:t xml:space="preserve">.  </w:t>
      </w:r>
      <w:r w:rsidRPr="00995345">
        <w:rPr>
          <w:rStyle w:val="Referencingstyle"/>
        </w:rPr>
        <w:t>[</w:t>
      </w:r>
      <w:r w:rsidR="0077740A">
        <w:rPr>
          <w:rStyle w:val="Referencingstyle"/>
        </w:rPr>
        <w:t>clause</w:t>
      </w:r>
      <w:r w:rsidR="0077740A" w:rsidRPr="00995345">
        <w:rPr>
          <w:rStyle w:val="Referencingstyle"/>
        </w:rPr>
        <w:t xml:space="preserve"> </w:t>
      </w:r>
      <w:r w:rsidR="001243AA">
        <w:rPr>
          <w:rStyle w:val="Referencingstyle"/>
        </w:rPr>
        <w:t>2, table item </w:t>
      </w:r>
      <w:r>
        <w:rPr>
          <w:rStyle w:val="Referencingstyle"/>
        </w:rPr>
        <w:t>1</w:t>
      </w:r>
      <w:r w:rsidRPr="00995345">
        <w:rPr>
          <w:rStyle w:val="Referencingstyle"/>
        </w:rPr>
        <w:t>]</w:t>
      </w:r>
    </w:p>
    <w:p w:rsidR="006A26F8" w:rsidRDefault="006A26F8" w:rsidP="006A26F8">
      <w:pPr>
        <w:pStyle w:val="Heading3"/>
      </w:pPr>
      <w:r>
        <w:t>Status of legislative instruments</w:t>
      </w:r>
    </w:p>
    <w:p w:rsidR="006A26F8" w:rsidRPr="006A26F8" w:rsidRDefault="006A26F8" w:rsidP="006A26F8">
      <w:pPr>
        <w:pStyle w:val="base-text-paragraph"/>
      </w:pPr>
      <w:r>
        <w:t xml:space="preserve">Any legislative instrument (including regulations, ministerial determinations, rules or other instruments) made under the </w:t>
      </w:r>
      <w:r w:rsidR="003151F1">
        <w:t>CE Act</w:t>
      </w:r>
      <w:r>
        <w:t xml:space="preserve"> cease to have effect on the same date on which the provisions conferring the power on the Minister or the Regulator to make that instrument are repealed</w:t>
      </w:r>
      <w:r w:rsidR="00D5237C">
        <w:t xml:space="preserve">.  </w:t>
      </w:r>
      <w:r>
        <w:t xml:space="preserve">The </w:t>
      </w:r>
      <w:r>
        <w:rPr>
          <w:i/>
        </w:rPr>
        <w:t xml:space="preserve">Clean Energy Regulations </w:t>
      </w:r>
      <w:r w:rsidRPr="00B50602">
        <w:rPr>
          <w:i/>
        </w:rPr>
        <w:t>2011</w:t>
      </w:r>
      <w:r>
        <w:t xml:space="preserve"> (</w:t>
      </w:r>
      <w:r w:rsidRPr="00B50602">
        <w:t>CE Regulations</w:t>
      </w:r>
      <w:r>
        <w:t>)</w:t>
      </w:r>
      <w:r w:rsidRPr="006F338E">
        <w:t>,</w:t>
      </w:r>
      <w:r>
        <w:t xml:space="preserve"> and</w:t>
      </w:r>
      <w:r>
        <w:rPr>
          <w:i/>
        </w:rPr>
        <w:t xml:space="preserve"> </w:t>
      </w:r>
      <w:r w:rsidRPr="006F338E">
        <w:t>the</w:t>
      </w:r>
      <w:r>
        <w:rPr>
          <w:i/>
        </w:rPr>
        <w:t xml:space="preserve"> Clean Energy (Reference Price Method) Determination 2013</w:t>
      </w:r>
      <w:r>
        <w:t xml:space="preserve"> all cease to have effect when the provisions of the </w:t>
      </w:r>
      <w:r w:rsidR="003151F1">
        <w:t>CE Act</w:t>
      </w:r>
      <w:r>
        <w:t xml:space="preserve"> under which they are made are repealed</w:t>
      </w:r>
      <w:r w:rsidR="00D5237C">
        <w:t xml:space="preserve">.  </w:t>
      </w:r>
      <w:r>
        <w:t xml:space="preserve">To the extent that these instruments are made under provisions of the </w:t>
      </w:r>
      <w:r w:rsidR="003151F1">
        <w:t>CE Act</w:t>
      </w:r>
      <w:r w:rsidRPr="006F338E">
        <w:t xml:space="preserve"> </w:t>
      </w:r>
      <w:r>
        <w:t>preserved for the purpose of managing compliance with 2012-13 and 2013-14 obligations, then they continue to operate for that purpose for as long as those provisions are operative.</w:t>
      </w:r>
      <w:r w:rsidR="00D367EE">
        <w:t xml:space="preserve"> </w:t>
      </w:r>
      <w:r w:rsidR="00344453">
        <w:t>T</w:t>
      </w:r>
      <w:r w:rsidR="00344453" w:rsidRPr="006F338E">
        <w:t>he</w:t>
      </w:r>
      <w:r w:rsidR="00344453">
        <w:rPr>
          <w:i/>
        </w:rPr>
        <w:t xml:space="preserve"> Clean Energy (Auctions of Carbon Units) Determination 2013 </w:t>
      </w:r>
      <w:r w:rsidR="00344453">
        <w:t>was revoked on 26 February 2014.</w:t>
      </w:r>
    </w:p>
    <w:p w:rsidR="00085BF0" w:rsidRDefault="00D6350B" w:rsidP="00D6350B">
      <w:pPr>
        <w:pStyle w:val="Heading3"/>
      </w:pPr>
      <w:r>
        <w:t>Repeal of the carbon tax</w:t>
      </w:r>
    </w:p>
    <w:p w:rsidR="00456B0A" w:rsidRDefault="006A26F8" w:rsidP="00916BB7">
      <w:pPr>
        <w:pStyle w:val="base-text-paragraph"/>
      </w:pPr>
      <w:r>
        <w:t>The</w:t>
      </w:r>
      <w:r w:rsidRPr="00D6350B">
        <w:t xml:space="preserve"> Main Repeal Bill repeals the </w:t>
      </w:r>
      <w:r w:rsidR="003151F1">
        <w:t>CE Act</w:t>
      </w:r>
      <w:r w:rsidRPr="00D6350B">
        <w:t xml:space="preserve"> and the five </w:t>
      </w:r>
      <w:r>
        <w:t>CE</w:t>
      </w:r>
      <w:r w:rsidR="00F3643B">
        <w:t> </w:t>
      </w:r>
      <w:r w:rsidRPr="00D6350B">
        <w:t>Charges Acts, effective from 1 July 2014</w:t>
      </w:r>
      <w:r w:rsidR="00D5237C">
        <w:t xml:space="preserve">.  </w:t>
      </w:r>
      <w:r>
        <w:t xml:space="preserve">The repeal of the </w:t>
      </w:r>
      <w:r w:rsidR="003151F1">
        <w:t>CE Act</w:t>
      </w:r>
      <w:r>
        <w:t xml:space="preserve"> and the CE Charges Acts means that no new carbon tax liabilities will arise for 2014-15 or subsequent years</w:t>
      </w:r>
      <w:r w:rsidR="00D5237C">
        <w:t xml:space="preserve">.  </w:t>
      </w:r>
      <w:r w:rsidRPr="00D6350B">
        <w:rPr>
          <w:rStyle w:val="Referencingstyle"/>
        </w:rPr>
        <w:t>[Schedule 1, items 1 to 6]</w:t>
      </w:r>
    </w:p>
    <w:p w:rsidR="00313FE8" w:rsidRPr="00313FE8" w:rsidRDefault="006A26F8" w:rsidP="00313FE8">
      <w:pPr>
        <w:pStyle w:val="Heading3"/>
      </w:pPr>
      <w:r>
        <w:t>Arrangements to manage 2012-13 and 2013-14 carbon tax liabilities and end carbon tax-related obligations</w:t>
      </w:r>
    </w:p>
    <w:p w:rsidR="006A26F8" w:rsidRDefault="006A26F8" w:rsidP="0051267F">
      <w:pPr>
        <w:pStyle w:val="base-text-paragraph"/>
      </w:pPr>
      <w:r>
        <w:t>To ensure that liabilities incurred in 2012</w:t>
      </w:r>
      <w:r>
        <w:noBreakHyphen/>
        <w:t>13 and 2013</w:t>
      </w:r>
      <w:r>
        <w:noBreakHyphen/>
        <w:t>14 are met and</w:t>
      </w:r>
      <w:r w:rsidR="00FB473F">
        <w:t xml:space="preserve"> can</w:t>
      </w:r>
      <w:r>
        <w:t xml:space="preserve">, if necessary, be enforced, the Main Repeal Bill preserves the provisions of the </w:t>
      </w:r>
      <w:r w:rsidR="003151F1">
        <w:t>CE Act</w:t>
      </w:r>
      <w:r>
        <w:t xml:space="preserve"> concerning the management of carbon tax liabilities for 2012-13 and 2013-14</w:t>
      </w:r>
      <w:r w:rsidR="00D5237C">
        <w:t xml:space="preserve">.  </w:t>
      </w:r>
    </w:p>
    <w:p w:rsidR="006A26F8" w:rsidRDefault="006A26F8" w:rsidP="006A26F8">
      <w:pPr>
        <w:pStyle w:val="base-text-paragraph"/>
      </w:pPr>
      <w:r>
        <w:t xml:space="preserve">To do this, the Main Repeal Bill preserves all of the provisions of the </w:t>
      </w:r>
      <w:r w:rsidR="003151F1">
        <w:t>CE Act</w:t>
      </w:r>
      <w:r>
        <w:t xml:space="preserve"> with certain deletions and modifications</w:t>
      </w:r>
      <w:r w:rsidR="00D5237C">
        <w:t xml:space="preserve">.  </w:t>
      </w:r>
      <w:r>
        <w:t xml:space="preserve">These changes limit the preserved provisions of the </w:t>
      </w:r>
      <w:r w:rsidR="003151F1">
        <w:t>CE Act</w:t>
      </w:r>
      <w:r>
        <w:t xml:space="preserve"> to apply only to 2012</w:t>
      </w:r>
      <w:r>
        <w:noBreakHyphen/>
        <w:t>13 and 2013</w:t>
      </w:r>
      <w:r>
        <w:noBreakHyphen/>
        <w:t>14 and remove provisions that are not required for managing 2012</w:t>
      </w:r>
      <w:r>
        <w:noBreakHyphen/>
        <w:t>13 and 2013</w:t>
      </w:r>
      <w:r>
        <w:noBreakHyphen/>
        <w:t>14 carbon tax liabilities</w:t>
      </w:r>
      <w:r w:rsidR="00D5237C">
        <w:t xml:space="preserve">.  </w:t>
      </w:r>
      <w:r w:rsidRPr="004B6749">
        <w:rPr>
          <w:rStyle w:val="Referencingstyle"/>
        </w:rPr>
        <w:t>[Schedule 1,</w:t>
      </w:r>
      <w:r>
        <w:rPr>
          <w:rStyle w:val="Referencingstyle"/>
        </w:rPr>
        <w:t xml:space="preserve"> </w:t>
      </w:r>
      <w:r w:rsidRPr="004B6749">
        <w:rPr>
          <w:rStyle w:val="Referencingstyle"/>
        </w:rPr>
        <w:t>item 323]</w:t>
      </w:r>
    </w:p>
    <w:p w:rsidR="00313FE8" w:rsidRPr="00313FE8" w:rsidRDefault="006A26F8" w:rsidP="006A26F8">
      <w:pPr>
        <w:pStyle w:val="base-text-paragraph"/>
        <w:rPr>
          <w:rStyle w:val="Referencingstyle"/>
          <w:b w:val="0"/>
          <w:i w:val="0"/>
          <w:sz w:val="22"/>
        </w:rPr>
      </w:pPr>
      <w:r>
        <w:t>T</w:t>
      </w:r>
      <w:r w:rsidRPr="00456B0A">
        <w:t>he</w:t>
      </w:r>
      <w:r>
        <w:t>se</w:t>
      </w:r>
      <w:r w:rsidRPr="00456B0A">
        <w:t xml:space="preserve"> transitional provisions ensure that any actions undertaken by the Regulator before the </w:t>
      </w:r>
      <w:r w:rsidR="003151F1">
        <w:t>CE Act</w:t>
      </w:r>
      <w:r w:rsidRPr="00456B0A">
        <w:t xml:space="preserve"> is repealed </w:t>
      </w:r>
      <w:r>
        <w:t>remain</w:t>
      </w:r>
      <w:r w:rsidRPr="00456B0A">
        <w:t xml:space="preserve"> valid</w:t>
      </w:r>
      <w:r w:rsidR="00D5237C">
        <w:t xml:space="preserve">.  </w:t>
      </w:r>
      <w:r w:rsidRPr="004B6749">
        <w:rPr>
          <w:rStyle w:val="Referencingstyle"/>
        </w:rPr>
        <w:t>[Schedule 1, item 320]</w:t>
      </w:r>
    </w:p>
    <w:p w:rsidR="006A6C85" w:rsidRDefault="006A26F8" w:rsidP="006A26F8">
      <w:pPr>
        <w:pStyle w:val="Heading4"/>
      </w:pPr>
      <w:r>
        <w:t>R</w:t>
      </w:r>
      <w:r w:rsidR="006A6C85">
        <w:t>ecovery of 2012-13 and 2013-14 liabilities</w:t>
      </w:r>
    </w:p>
    <w:p w:rsidR="006A26F8" w:rsidRDefault="006A26F8" w:rsidP="0051267F">
      <w:pPr>
        <w:pStyle w:val="base-text-paragraph"/>
      </w:pPr>
      <w:r>
        <w:t>The purpos</w:t>
      </w:r>
      <w:r w:rsidR="00851713">
        <w:t>e of recovering 2012-13 and 2013</w:t>
      </w:r>
      <w:r>
        <w:t xml:space="preserve">-14 liabilities is largely achieved by limiting the meaning of ‘eligible financial year’ and ‘fixed charge year’ in the </w:t>
      </w:r>
      <w:r w:rsidR="003151F1">
        <w:t>CE Act</w:t>
      </w:r>
      <w:r>
        <w:t xml:space="preserve"> to the 2012-13 and 2013-14 years</w:t>
      </w:r>
      <w:r w:rsidR="00D5237C">
        <w:t xml:space="preserve">.  </w:t>
      </w:r>
      <w:r w:rsidRPr="00F37EAD">
        <w:t>T</w:t>
      </w:r>
      <w:r>
        <w:t>ogether with other m</w:t>
      </w:r>
      <w:r w:rsidRPr="00456B0A">
        <w:t>inor modifications</w:t>
      </w:r>
      <w:r>
        <w:t xml:space="preserve">, this </w:t>
      </w:r>
      <w:r w:rsidRPr="00F37EAD">
        <w:t xml:space="preserve">has the effect </w:t>
      </w:r>
      <w:r>
        <w:t>that the provisions imposing carbon tax liability do not apply to other years but continue to apply to those years</w:t>
      </w:r>
      <w:r w:rsidR="00D5237C">
        <w:t xml:space="preserve">.  </w:t>
      </w:r>
      <w:r w:rsidRPr="004B6749">
        <w:rPr>
          <w:rStyle w:val="Referencingstyle"/>
        </w:rPr>
        <w:t>[Schedule 1, item 323, table items 3</w:t>
      </w:r>
      <w:r>
        <w:rPr>
          <w:rStyle w:val="Referencingstyle"/>
        </w:rPr>
        <w:t xml:space="preserve"> and </w:t>
      </w:r>
      <w:r w:rsidRPr="004B6749">
        <w:rPr>
          <w:rStyle w:val="Referencingstyle"/>
        </w:rPr>
        <w:t>4]</w:t>
      </w:r>
      <w:r w:rsidRPr="00876A56">
        <w:rPr>
          <w:rStyle w:val="Referencingstyle"/>
        </w:rPr>
        <w:t xml:space="preserve"> </w:t>
      </w:r>
      <w:r w:rsidRPr="004B6749">
        <w:rPr>
          <w:rStyle w:val="Referencingstyle"/>
        </w:rPr>
        <w:t>[Schedule 1, item 323, table items 7, 28</w:t>
      </w:r>
      <w:r>
        <w:rPr>
          <w:rStyle w:val="Referencingstyle"/>
        </w:rPr>
        <w:t xml:space="preserve">, </w:t>
      </w:r>
      <w:r w:rsidRPr="004B6749">
        <w:rPr>
          <w:rStyle w:val="Referencingstyle"/>
        </w:rPr>
        <w:t>29</w:t>
      </w:r>
      <w:r>
        <w:rPr>
          <w:rStyle w:val="Referencingstyle"/>
        </w:rPr>
        <w:t xml:space="preserve"> and</w:t>
      </w:r>
      <w:r w:rsidRPr="004B6749">
        <w:rPr>
          <w:rStyle w:val="Referencingstyle"/>
        </w:rPr>
        <w:t> 41]</w:t>
      </w:r>
    </w:p>
    <w:p w:rsidR="006A26F8" w:rsidRPr="00D6350B" w:rsidRDefault="006A26F8" w:rsidP="006A26F8">
      <w:pPr>
        <w:pStyle w:val="base-text-paragraph"/>
        <w:rPr>
          <w:rStyle w:val="Referencingstyle"/>
          <w:b w:val="0"/>
          <w:i w:val="0"/>
          <w:sz w:val="22"/>
        </w:rPr>
      </w:pPr>
      <w:r>
        <w:t>In addition, to allow for compliance with 2012</w:t>
      </w:r>
      <w:r>
        <w:noBreakHyphen/>
        <w:t>13 and 2013</w:t>
      </w:r>
      <w:r>
        <w:noBreakHyphen/>
        <w:t>14 liabilities, the repeal of the CE Charges Acts does not apply to the issue of carbon units with a vintage year of 2012</w:t>
      </w:r>
      <w:r>
        <w:noBreakHyphen/>
        <w:t>13 or 2013</w:t>
      </w:r>
      <w:r>
        <w:noBreakHyphen/>
        <w:t>14, or to unit shortfall charges incurred for those years</w:t>
      </w:r>
      <w:r w:rsidR="00D5237C">
        <w:t xml:space="preserve">.  </w:t>
      </w:r>
      <w:r w:rsidRPr="00D6350B">
        <w:rPr>
          <w:rStyle w:val="Referencingstyle"/>
        </w:rPr>
        <w:t>[Schedule 1, item 324(1) and (3)]</w:t>
      </w:r>
    </w:p>
    <w:p w:rsidR="006A6C85" w:rsidRPr="00916BB7" w:rsidRDefault="006A26F8" w:rsidP="006A26F8">
      <w:pPr>
        <w:pStyle w:val="base-text-paragraph"/>
        <w:rPr>
          <w:rStyle w:val="Referencingstyle"/>
          <w:sz w:val="22"/>
        </w:rPr>
      </w:pPr>
      <w:r>
        <w:t>The transitional provisions mean that, for 2013-14, a liable entity will incur a liability, acquire and surrender units and, if it does not surrender units, incur a unit shortfall charge in the same way as it would have done for 2012-13</w:t>
      </w:r>
      <w:r w:rsidR="00D5237C">
        <w:t xml:space="preserve">.  </w:t>
      </w:r>
      <w:r>
        <w:t>They also preserve the Regulator’s powers to recover unit shortfall charges and any associated late payment penalties that arise in relation to 2012-13 and 2013-14 for as long as these powers are necessary</w:t>
      </w:r>
      <w:r w:rsidR="00D5237C">
        <w:t xml:space="preserve">.  </w:t>
      </w:r>
      <w:r w:rsidRPr="006A6C85">
        <w:rPr>
          <w:rStyle w:val="Referencingstyle"/>
        </w:rPr>
        <w:t>[Schedule 1, item 323]</w:t>
      </w:r>
    </w:p>
    <w:p w:rsidR="006A6C85" w:rsidRPr="006A6C85" w:rsidRDefault="006A26F8" w:rsidP="006A6C85">
      <w:pPr>
        <w:pStyle w:val="Heading4"/>
      </w:pPr>
      <w:r>
        <w:t>M</w:t>
      </w:r>
      <w:r w:rsidR="006A6C85" w:rsidRPr="006A6C85">
        <w:t>anaging the over-surrender of ACCUs in 2013</w:t>
      </w:r>
      <w:r w:rsidR="006A6C85" w:rsidRPr="006A6C85">
        <w:noBreakHyphen/>
        <w:t>14</w:t>
      </w:r>
    </w:p>
    <w:p w:rsidR="006A26F8" w:rsidRPr="007E2949" w:rsidRDefault="006A26F8" w:rsidP="006A26F8">
      <w:pPr>
        <w:pStyle w:val="base-text-paragraph"/>
      </w:pPr>
      <w:r>
        <w:t>The Main Repeal Bill makes one significant adjustment to the way that the surrender of 2013-14 units will operate</w:t>
      </w:r>
      <w:r w:rsidR="00D5237C">
        <w:t xml:space="preserve">.  </w:t>
      </w:r>
      <w:r>
        <w:t xml:space="preserve">Section 128(7) of the </w:t>
      </w:r>
      <w:r w:rsidR="003151F1">
        <w:t>CE Act</w:t>
      </w:r>
      <w:r w:rsidRPr="007E2949">
        <w:t xml:space="preserve"> </w:t>
      </w:r>
      <w:r>
        <w:t xml:space="preserve">currently </w:t>
      </w:r>
      <w:r w:rsidRPr="007E2949">
        <w:t xml:space="preserve">provides that </w:t>
      </w:r>
      <w:r w:rsidR="00F3643B">
        <w:t>Australian carbon credit units (</w:t>
      </w:r>
      <w:r w:rsidRPr="007E2949">
        <w:t>ACCUs</w:t>
      </w:r>
      <w:r w:rsidR="00F3643B">
        <w:t>)</w:t>
      </w:r>
      <w:r w:rsidRPr="007E2949">
        <w:t xml:space="preserve"> that are surrendered in excess of a liable entity’s limit (</w:t>
      </w:r>
      <w:r>
        <w:t xml:space="preserve">that is, </w:t>
      </w:r>
      <w:r w:rsidRPr="007E2949">
        <w:t>5 per cent of total liability for most liable entities) are carried forward and deemed to be surrendered in the next financial year</w:t>
      </w:r>
      <w:r w:rsidR="00D5237C">
        <w:t xml:space="preserve">.  </w:t>
      </w:r>
      <w:r w:rsidRPr="007E2949">
        <w:t xml:space="preserve">As the carbon tax will be repealed, the </w:t>
      </w:r>
      <w:r>
        <w:t>Main Repeal Bill</w:t>
      </w:r>
      <w:r w:rsidRPr="007E2949">
        <w:t xml:space="preserve"> includes provisions that make alternative arrangements for these units</w:t>
      </w:r>
      <w:r>
        <w:t xml:space="preserve"> in 2013-14</w:t>
      </w:r>
      <w:r w:rsidR="00D5237C">
        <w:t xml:space="preserve">.  </w:t>
      </w:r>
    </w:p>
    <w:p w:rsidR="006A26F8" w:rsidRPr="00456B0A" w:rsidRDefault="006A26F8" w:rsidP="006A26F8">
      <w:pPr>
        <w:pStyle w:val="base-text-paragraph"/>
        <w:rPr>
          <w:b/>
          <w:i/>
        </w:rPr>
      </w:pPr>
      <w:r w:rsidRPr="007E2949">
        <w:t>Rather than being carri</w:t>
      </w:r>
      <w:r w:rsidR="0051267F">
        <w:t>ed forward, ACCUs that are over</w:t>
      </w:r>
      <w:r w:rsidR="0051267F">
        <w:noBreakHyphen/>
      </w:r>
      <w:r w:rsidRPr="007E2949">
        <w:t>surrendered in relation to an entity’s 2013</w:t>
      </w:r>
      <w:r w:rsidRPr="007E2949">
        <w:noBreakHyphen/>
        <w:t xml:space="preserve">14 liability will be deemed not </w:t>
      </w:r>
      <w:r>
        <w:t xml:space="preserve">to have </w:t>
      </w:r>
      <w:r w:rsidRPr="007E2949">
        <w:t xml:space="preserve">been surrendered and the Regulator </w:t>
      </w:r>
      <w:r>
        <w:t>will restore the</w:t>
      </w:r>
      <w:r w:rsidRPr="007E2949">
        <w:t xml:space="preserve"> ACCU</w:t>
      </w:r>
      <w:r>
        <w:t>s</w:t>
      </w:r>
      <w:r w:rsidRPr="007E2949">
        <w:t xml:space="preserve"> </w:t>
      </w:r>
      <w:r>
        <w:t>to</w:t>
      </w:r>
      <w:r w:rsidRPr="007E2949">
        <w:t xml:space="preserve"> the entity’s Registry account</w:t>
      </w:r>
      <w:r w:rsidR="00D5237C">
        <w:t xml:space="preserve">.  </w:t>
      </w:r>
      <w:r w:rsidRPr="00456B0A">
        <w:rPr>
          <w:rStyle w:val="Referencingstyle"/>
        </w:rPr>
        <w:t>[Schedule 1, item 323, table item 44] [Schedule 1, item 328]</w:t>
      </w:r>
    </w:p>
    <w:p w:rsidR="006A6C85" w:rsidRPr="00771C16" w:rsidRDefault="006A26F8" w:rsidP="006A26F8">
      <w:pPr>
        <w:pStyle w:val="base-text-paragraph"/>
        <w:rPr>
          <w:rStyle w:val="Referencingstyle"/>
          <w:b w:val="0"/>
          <w:i w:val="0"/>
          <w:sz w:val="22"/>
        </w:rPr>
      </w:pPr>
      <w:r>
        <w:t xml:space="preserve">To enable this restoration of ACCUs by the Regulator, the Main Repeal Bill provides that </w:t>
      </w:r>
      <w:r w:rsidR="000A0D0D">
        <w:t xml:space="preserve">the </w:t>
      </w:r>
      <w:r>
        <w:t>Regulator may determine which of the ACCUs surrendered by the entity were over-surrendered and will be restored</w:t>
      </w:r>
      <w:r w:rsidR="00D5237C">
        <w:t xml:space="preserve">.  </w:t>
      </w:r>
      <w:r>
        <w:t>For the avoidance of doubt, the Main Repeal Bill confirms that a written notice issued by the Regulator specifying which ACCUs are restored units is not a legislative instrument</w:t>
      </w:r>
      <w:r w:rsidR="00D5237C">
        <w:t xml:space="preserve">.  </w:t>
      </w:r>
      <w:r>
        <w:t xml:space="preserve">This is because the notice is administrative in nature, and does not fall within the meaning of section 5 of the </w:t>
      </w:r>
      <w:r>
        <w:rPr>
          <w:i/>
        </w:rPr>
        <w:t>Legislative Instruments Act 2003</w:t>
      </w:r>
      <w:r w:rsidR="00D5237C">
        <w:t xml:space="preserve">.  </w:t>
      </w:r>
      <w:r w:rsidRPr="00D31C7C">
        <w:rPr>
          <w:rStyle w:val="Referencingstyle"/>
        </w:rPr>
        <w:t>[Schedule 1, item 328(</w:t>
      </w:r>
      <w:r w:rsidR="00884AE2">
        <w:rPr>
          <w:rStyle w:val="Referencingstyle"/>
        </w:rPr>
        <w:t>4</w:t>
      </w:r>
      <w:r w:rsidRPr="00D31C7C">
        <w:rPr>
          <w:rStyle w:val="Referencingstyle"/>
        </w:rPr>
        <w:t>)]</w:t>
      </w:r>
    </w:p>
    <w:p w:rsidR="00771C16" w:rsidRPr="00D31C7C" w:rsidRDefault="006A26F8" w:rsidP="00771C16">
      <w:pPr>
        <w:pStyle w:val="Heading4"/>
      </w:pPr>
      <w:r>
        <w:t xml:space="preserve">Immediate cessation of auctions of carbon units </w:t>
      </w:r>
    </w:p>
    <w:p w:rsidR="006A26F8" w:rsidRPr="00D31C7C" w:rsidRDefault="006A26F8" w:rsidP="006A26F8">
      <w:pPr>
        <w:pStyle w:val="base-text-paragraph"/>
      </w:pPr>
      <w:r w:rsidRPr="00D31C7C">
        <w:t xml:space="preserve">The Regulator is prohibited from holding auctions of carbon units after </w:t>
      </w:r>
      <w:r>
        <w:t xml:space="preserve">30 June 2014 or from </w:t>
      </w:r>
      <w:r w:rsidRPr="00D31C7C">
        <w:t xml:space="preserve">the day that </w:t>
      </w:r>
      <w:r>
        <w:t>the Main Repeal Bill</w:t>
      </w:r>
      <w:r w:rsidRPr="00D31C7C">
        <w:t xml:space="preserve"> receives the Royal Assent, </w:t>
      </w:r>
      <w:r>
        <w:t xml:space="preserve">if it is </w:t>
      </w:r>
      <w:r w:rsidR="00FB473F">
        <w:t xml:space="preserve">on or </w:t>
      </w:r>
      <w:r>
        <w:t>before 30 June 2014</w:t>
      </w:r>
      <w:r w:rsidR="00D5237C">
        <w:t xml:space="preserve">.  </w:t>
      </w:r>
      <w:r w:rsidRPr="00D31C7C">
        <w:t>In add</w:t>
      </w:r>
      <w:r>
        <w:t xml:space="preserve">ition, any determination made by the Minister under </w:t>
      </w:r>
      <w:r w:rsidRPr="00D31C7C">
        <w:t xml:space="preserve">section 113(1) of the </w:t>
      </w:r>
      <w:r w:rsidR="003151F1">
        <w:t>CE Act</w:t>
      </w:r>
      <w:r>
        <w:t xml:space="preserve"> (for these purposes the </w:t>
      </w:r>
      <w:r>
        <w:rPr>
          <w:i/>
        </w:rPr>
        <w:t>Clean Energy (Auction of Carbon Units) Determination 2013</w:t>
      </w:r>
      <w:r>
        <w:t>)</w:t>
      </w:r>
      <w:r w:rsidRPr="00D31C7C">
        <w:t xml:space="preserve">, which sets out the rules and procedures for auctions of carbon units, ceases to have effect from </w:t>
      </w:r>
      <w:r>
        <w:t>the relevant date</w:t>
      </w:r>
      <w:r w:rsidR="00D5237C">
        <w:t xml:space="preserve">.  </w:t>
      </w:r>
      <w:r w:rsidRPr="00D31C7C">
        <w:rPr>
          <w:rStyle w:val="Referencingstyle"/>
        </w:rPr>
        <w:t>[Schedule 1, item 343]</w:t>
      </w:r>
      <w:r w:rsidRPr="00D31C7C">
        <w:t xml:space="preserve"> </w:t>
      </w:r>
      <w:r w:rsidR="00344453">
        <w:t xml:space="preserve"> That determination was revoked on 26 February 2014 by the </w:t>
      </w:r>
      <w:r w:rsidR="00344453">
        <w:rPr>
          <w:i/>
        </w:rPr>
        <w:t>Clean Energy Auction Revocation Determination 201.</w:t>
      </w:r>
    </w:p>
    <w:p w:rsidR="006A26F8" w:rsidRPr="00D31C7C" w:rsidRDefault="006A26F8" w:rsidP="006A26F8">
      <w:pPr>
        <w:pStyle w:val="base-text-paragraph"/>
      </w:pPr>
      <w:r w:rsidRPr="00D31C7C">
        <w:t xml:space="preserve">There is no need for auctions of carbon units to be held after </w:t>
      </w:r>
      <w:r>
        <w:t>the Main Repeal Bill</w:t>
      </w:r>
      <w:r w:rsidRPr="00D31C7C">
        <w:t xml:space="preserve"> receives the Royal Assent as</w:t>
      </w:r>
      <w:r>
        <w:t>,</w:t>
      </w:r>
      <w:r w:rsidRPr="00D31C7C">
        <w:t xml:space="preserve"> </w:t>
      </w:r>
      <w:r>
        <w:t xml:space="preserve">under section 122 of the </w:t>
      </w:r>
      <w:r w:rsidR="003151F1">
        <w:t>CE Act</w:t>
      </w:r>
      <w:r>
        <w:t xml:space="preserve">, </w:t>
      </w:r>
      <w:r w:rsidRPr="00D31C7C">
        <w:t xml:space="preserve">carbon units issued at auction may only </w:t>
      </w:r>
      <w:r w:rsidR="0072542B">
        <w:t xml:space="preserve">be </w:t>
      </w:r>
      <w:r w:rsidR="001C41E1">
        <w:t xml:space="preserve">surrendered </w:t>
      </w:r>
      <w:r>
        <w:t>from 2015</w:t>
      </w:r>
      <w:r>
        <w:noBreakHyphen/>
        <w:t>16</w:t>
      </w:r>
      <w:r w:rsidRPr="00D31C7C">
        <w:t>.</w:t>
      </w:r>
    </w:p>
    <w:p w:rsidR="006A26F8" w:rsidRPr="00D31C7C" w:rsidRDefault="006A26F8" w:rsidP="006A26F8">
      <w:pPr>
        <w:pStyle w:val="base-text-paragraph"/>
      </w:pPr>
      <w:r w:rsidRPr="00D31C7C">
        <w:t xml:space="preserve">The repeal of the </w:t>
      </w:r>
      <w:r>
        <w:t>CE</w:t>
      </w:r>
      <w:r w:rsidRPr="00D31C7C">
        <w:t xml:space="preserve"> Charges Acts does not apply to units issued as a result of an auction that was conducted before 1 July 2014</w:t>
      </w:r>
      <w:r>
        <w:t xml:space="preserve"> so that the auction charges are validly paid</w:t>
      </w:r>
      <w:r w:rsidR="00D5237C">
        <w:t xml:space="preserve">.  </w:t>
      </w:r>
      <w:r w:rsidRPr="00D31C7C">
        <w:rPr>
          <w:rStyle w:val="Referencingstyle"/>
        </w:rPr>
        <w:t>[Schedule 1, item 324(2)]</w:t>
      </w:r>
      <w:r w:rsidRPr="00D31C7C">
        <w:rPr>
          <w:b/>
          <w:i/>
        </w:rPr>
        <w:t xml:space="preserve"> </w:t>
      </w:r>
    </w:p>
    <w:p w:rsidR="006A26F8" w:rsidRDefault="006A26F8" w:rsidP="006A26F8">
      <w:pPr>
        <w:pStyle w:val="base-text-paragraph"/>
      </w:pPr>
      <w:r>
        <w:t>If</w:t>
      </w:r>
      <w:r w:rsidRPr="00D31C7C">
        <w:t xml:space="preserve"> auctions are held before </w:t>
      </w:r>
      <w:r>
        <w:t>the Main Repeal Bill</w:t>
      </w:r>
      <w:r w:rsidRPr="00D31C7C">
        <w:t xml:space="preserve"> receives the Royal Assent, the </w:t>
      </w:r>
      <w:r>
        <w:t>Main Repeal Bill</w:t>
      </w:r>
      <w:r w:rsidRPr="00D31C7C">
        <w:t xml:space="preserve"> includes the requirement that the Regulator cancel any units that were issued at the auctions</w:t>
      </w:r>
      <w:r w:rsidR="00D5237C">
        <w:t xml:space="preserve">.  </w:t>
      </w:r>
      <w:r w:rsidRPr="00D31C7C">
        <w:t xml:space="preserve">Where there was an entry in the Registry for a carbon unit issued at auction at 3:00 pm on the fifth business day after the day that the </w:t>
      </w:r>
      <w:r>
        <w:t>Main Repeal Bill</w:t>
      </w:r>
      <w:r w:rsidRPr="00D31C7C">
        <w:t xml:space="preserve"> receives the Royal Assent, the Regulator must cancel the unit and pay the holder of the unit the amount that was paid for the unit at the auction</w:t>
      </w:r>
      <w:r w:rsidR="00D5237C">
        <w:t xml:space="preserve">.  </w:t>
      </w:r>
      <w:r w:rsidRPr="00D31C7C">
        <w:t>Note that the refund will be issued to the holder of the unit, who may not necessarily be the person that purchased the unit at auction</w:t>
      </w:r>
      <w:r w:rsidR="00D5237C">
        <w:t xml:space="preserve">.  </w:t>
      </w:r>
      <w:r w:rsidRPr="00456B0A">
        <w:rPr>
          <w:rStyle w:val="Referencingstyle"/>
        </w:rPr>
        <w:t>[Schedule 1, item 343A]</w:t>
      </w:r>
    </w:p>
    <w:p w:rsidR="00771C16" w:rsidRPr="00456B0A" w:rsidRDefault="0051267F" w:rsidP="006A26F8">
      <w:pPr>
        <w:pStyle w:val="base-text-paragraph"/>
      </w:pPr>
      <w:r>
        <w:t xml:space="preserve">Under Division 420 of the </w:t>
      </w:r>
      <w:r w:rsidRPr="00A7030E">
        <w:rPr>
          <w:i/>
        </w:rPr>
        <w:t xml:space="preserve">Income Tax Assessment Act 1997 </w:t>
      </w:r>
      <w:r>
        <w:t>(ITAA 1997), an income tax deduction is provided when an entity becomes the holder of a registered emissions unit</w:t>
      </w:r>
      <w:r w:rsidR="00D5237C">
        <w:t xml:space="preserve">.  </w:t>
      </w:r>
      <w:r>
        <w:t>Therefore, to ensure these entities do</w:t>
      </w:r>
      <w:r w:rsidRPr="00722802">
        <w:t xml:space="preserve"> not benefit from both the refund </w:t>
      </w:r>
      <w:r>
        <w:t xml:space="preserve">of the auction unit </w:t>
      </w:r>
      <w:r w:rsidRPr="00722802">
        <w:t>and an income tax deduction</w:t>
      </w:r>
      <w:r>
        <w:t xml:space="preserve">, </w:t>
      </w:r>
      <w:r w:rsidRPr="00722802">
        <w:t>the amount of the refund is included in the entity’s assessable income under the general income tax recoupment rules to</w:t>
      </w:r>
      <w:r>
        <w:t xml:space="preserve"> offset the deduction (see table</w:t>
      </w:r>
      <w:r w:rsidRPr="00150422">
        <w:t xml:space="preserve"> </w:t>
      </w:r>
      <w:r w:rsidRPr="00722802">
        <w:t>item 1.2</w:t>
      </w:r>
      <w:r>
        <w:t>7A</w:t>
      </w:r>
      <w:r w:rsidRPr="00722802">
        <w:t xml:space="preserve"> of </w:t>
      </w:r>
      <w:r w:rsidR="00DB4076">
        <w:t>section</w:t>
      </w:r>
      <w:r>
        <w:t xml:space="preserve"> 20-30(1) of the ITAA </w:t>
      </w:r>
      <w:r w:rsidRPr="00722802">
        <w:t>1997</w:t>
      </w:r>
      <w:r>
        <w:t>)</w:t>
      </w:r>
      <w:r w:rsidR="006A26F8" w:rsidRPr="00722802">
        <w:t>.</w:t>
      </w:r>
    </w:p>
    <w:p w:rsidR="006A6C85" w:rsidRPr="00D31C7C" w:rsidRDefault="006A26F8" w:rsidP="006A6C85">
      <w:pPr>
        <w:pStyle w:val="Heading4"/>
      </w:pPr>
      <w:r>
        <w:t xml:space="preserve">Final </w:t>
      </w:r>
      <w:r w:rsidR="006A6C85">
        <w:t xml:space="preserve">cancellation </w:t>
      </w:r>
      <w:r w:rsidR="006A6C85" w:rsidRPr="00D31C7C">
        <w:t>of carbon units</w:t>
      </w:r>
    </w:p>
    <w:p w:rsidR="006A26F8" w:rsidRDefault="006A26F8" w:rsidP="006A26F8">
      <w:pPr>
        <w:pStyle w:val="base-text-paragraph"/>
      </w:pPr>
      <w:r>
        <w:t>Once the final surrender for 2013-14 has taken place (which is to occur on Monday, 2 February 2015), there will be no further need for a person to hold carbon units</w:t>
      </w:r>
      <w:r w:rsidR="00D5237C">
        <w:t xml:space="preserve">.  </w:t>
      </w:r>
      <w:r w:rsidRPr="00D31C7C">
        <w:t xml:space="preserve">If there is an entry for a carbon unit in an entity’s Registry account at the start of the </w:t>
      </w:r>
      <w:r>
        <w:t>‘</w:t>
      </w:r>
      <w:r w:rsidRPr="00D31C7C">
        <w:t>designated carbon unit day</w:t>
      </w:r>
      <w:r>
        <w:t>’</w:t>
      </w:r>
      <w:r w:rsidRPr="00D31C7C">
        <w:t>, the Regulator is required to cancel the unit and remove the entry from the Registry account</w:t>
      </w:r>
      <w:r w:rsidR="00D5237C">
        <w:t xml:space="preserve">.  </w:t>
      </w:r>
      <w:r>
        <w:t>T</w:t>
      </w:r>
      <w:r w:rsidRPr="00D31C7C">
        <w:t>he Regulator is prohibited from issuing carbon units after the designated carbon unit day</w:t>
      </w:r>
      <w:r w:rsidR="00D5237C">
        <w:t xml:space="preserve">.  </w:t>
      </w:r>
      <w:r w:rsidRPr="00D31C7C">
        <w:rPr>
          <w:rStyle w:val="Referencingstyle"/>
        </w:rPr>
        <w:t>[Schedule 1, item 325]</w:t>
      </w:r>
      <w:r w:rsidRPr="00D31C7C">
        <w:t xml:space="preserve"> </w:t>
      </w:r>
      <w:r w:rsidRPr="00D31C7C">
        <w:rPr>
          <w:rStyle w:val="Referencingstyle"/>
        </w:rPr>
        <w:t>[Schedule 1, item 327]</w:t>
      </w:r>
    </w:p>
    <w:p w:rsidR="006A26F8" w:rsidRDefault="006A26F8" w:rsidP="006A26F8">
      <w:pPr>
        <w:pStyle w:val="base-text-paragraph"/>
      </w:pPr>
      <w:r>
        <w:t>T</w:t>
      </w:r>
      <w:r w:rsidRPr="00D31C7C">
        <w:t xml:space="preserve">he </w:t>
      </w:r>
      <w:r>
        <w:t>Main Repeal Bill</w:t>
      </w:r>
      <w:r w:rsidRPr="00D31C7C">
        <w:t xml:space="preserve"> specifies </w:t>
      </w:r>
      <w:r>
        <w:t>that the</w:t>
      </w:r>
      <w:r w:rsidRPr="00D31C7C">
        <w:t xml:space="preserve"> ‘designated carbon unit day’</w:t>
      </w:r>
      <w:r>
        <w:t xml:space="preserve"> is either</w:t>
      </w:r>
      <w:r w:rsidR="000B466D">
        <w:t>:</w:t>
      </w:r>
    </w:p>
    <w:p w:rsidR="006A26F8" w:rsidRDefault="006A26F8" w:rsidP="006A26F8">
      <w:pPr>
        <w:pStyle w:val="dotpoint"/>
      </w:pPr>
      <w:r>
        <w:t>Monday, 9 February 2015 (being 5 working days after Monday, 2 February 201</w:t>
      </w:r>
      <w:r w:rsidR="00FB473F">
        <w:t>5</w:t>
      </w:r>
      <w:r>
        <w:t>); or</w:t>
      </w:r>
    </w:p>
    <w:p w:rsidR="006A26F8" w:rsidRPr="00D31C7C" w:rsidRDefault="006A26F8" w:rsidP="006A26F8">
      <w:pPr>
        <w:pStyle w:val="dotpoint"/>
      </w:pPr>
      <w:r>
        <w:t>a later day specified in a legislative instrument made by the Regulator</w:t>
      </w:r>
      <w:r w:rsidR="00D5237C">
        <w:t xml:space="preserve">.  </w:t>
      </w:r>
      <w:r w:rsidRPr="00D31C7C">
        <w:rPr>
          <w:rStyle w:val="Referencingstyle"/>
        </w:rPr>
        <w:t>[Schedule 1, item 321]</w:t>
      </w:r>
      <w:r w:rsidRPr="00D31C7C">
        <w:t xml:space="preserve"> </w:t>
      </w:r>
      <w:r w:rsidRPr="00D31C7C">
        <w:rPr>
          <w:rStyle w:val="Referencingstyle"/>
        </w:rPr>
        <w:t>[Schedule 1, item 322]</w:t>
      </w:r>
      <w:r>
        <w:rPr>
          <w:rStyle w:val="Referencingstyle"/>
        </w:rPr>
        <w:t xml:space="preserve"> </w:t>
      </w:r>
    </w:p>
    <w:p w:rsidR="006A26F8" w:rsidRPr="006A6C85" w:rsidRDefault="006A26F8" w:rsidP="006A26F8">
      <w:pPr>
        <w:pStyle w:val="base-text-paragraph"/>
        <w:rPr>
          <w:rStyle w:val="Referencingstyle"/>
          <w:b w:val="0"/>
          <w:i w:val="0"/>
          <w:sz w:val="22"/>
        </w:rPr>
      </w:pPr>
      <w:r w:rsidRPr="00D31C7C">
        <w:t>A later day may be specified as the designated carbon unit day in a legislative instrument by the Regulator</w:t>
      </w:r>
      <w:r>
        <w:t>, where</w:t>
      </w:r>
      <w:r w:rsidRPr="00D31C7C">
        <w:t xml:space="preserve"> the Regulator has </w:t>
      </w:r>
      <w:r>
        <w:t xml:space="preserve">also </w:t>
      </w:r>
      <w:r w:rsidRPr="00D31C7C">
        <w:t xml:space="preserve">made a legislative instrument under section 142 of the </w:t>
      </w:r>
      <w:r w:rsidR="003151F1">
        <w:t>CE Act</w:t>
      </w:r>
      <w:r w:rsidRPr="00D31C7C">
        <w:t xml:space="preserve"> specifying that the </w:t>
      </w:r>
      <w:r>
        <w:t xml:space="preserve">final </w:t>
      </w:r>
      <w:r w:rsidRPr="00D31C7C">
        <w:t xml:space="preserve">surrender </w:t>
      </w:r>
      <w:r>
        <w:t>date</w:t>
      </w:r>
      <w:r w:rsidRPr="00D31C7C">
        <w:t xml:space="preserve"> for 2013</w:t>
      </w:r>
      <w:r w:rsidRPr="00D31C7C">
        <w:noBreakHyphen/>
        <w:t xml:space="preserve">14 is a day later than </w:t>
      </w:r>
      <w:r>
        <w:t>2</w:t>
      </w:r>
      <w:r w:rsidRPr="00D31C7C">
        <w:t> February 2015</w:t>
      </w:r>
      <w:r w:rsidR="00D5237C">
        <w:t xml:space="preserve">.  </w:t>
      </w:r>
      <w:r>
        <w:t xml:space="preserve">Both of these legislative instruments are disallowable under section 42 of the </w:t>
      </w:r>
      <w:r w:rsidRPr="00F52579">
        <w:rPr>
          <w:i/>
        </w:rPr>
        <w:t>Legislative Instruments Act 2003</w:t>
      </w:r>
      <w:r w:rsidR="00D5237C">
        <w:rPr>
          <w:i/>
        </w:rPr>
        <w:t xml:space="preserve">.  </w:t>
      </w:r>
      <w:r w:rsidRPr="00D31C7C">
        <w:t xml:space="preserve">Section 142 of the </w:t>
      </w:r>
      <w:r w:rsidR="003151F1">
        <w:t>CE Act</w:t>
      </w:r>
      <w:r w:rsidRPr="00D31C7C">
        <w:t xml:space="preserve"> allows the Regulator to extend a surrender deadline where technical problems </w:t>
      </w:r>
      <w:r>
        <w:t>mean that</w:t>
      </w:r>
      <w:r w:rsidRPr="00D31C7C">
        <w:t xml:space="preserve"> two or more entities </w:t>
      </w:r>
      <w:r>
        <w:t xml:space="preserve">are prevented </w:t>
      </w:r>
      <w:r w:rsidRPr="00D31C7C">
        <w:t>from surrendering units</w:t>
      </w:r>
      <w:r w:rsidR="00D5237C">
        <w:t xml:space="preserve">.  </w:t>
      </w:r>
      <w:r>
        <w:t>The Regulator’s power to specify a later designated carbon unit day is necessary to reflect any delay in the final surrender date for 2013-14</w:t>
      </w:r>
      <w:r w:rsidR="00D5237C">
        <w:t xml:space="preserve">.  </w:t>
      </w:r>
      <w:r>
        <w:rPr>
          <w:rStyle w:val="Referencingstyle"/>
        </w:rPr>
        <w:t>[Schedule </w:t>
      </w:r>
      <w:r w:rsidRPr="00D31C7C">
        <w:rPr>
          <w:rStyle w:val="Referencingstyle"/>
        </w:rPr>
        <w:t>1, item 322]</w:t>
      </w:r>
    </w:p>
    <w:p w:rsidR="006A6C85" w:rsidRPr="00D31C7C" w:rsidRDefault="006A26F8" w:rsidP="006A26F8">
      <w:pPr>
        <w:pStyle w:val="base-text-paragraph"/>
      </w:pPr>
      <w:r>
        <w:t xml:space="preserve">It may be that the Regulator does not need to cancel any carbon units on the designated carbon unit day because of the operation of sections 100(7) and 115 of the </w:t>
      </w:r>
      <w:r w:rsidR="003151F1">
        <w:t>CE Act</w:t>
      </w:r>
      <w:r>
        <w:t xml:space="preserve"> (concerning the cancellation of fixed charge and free carbon units respectively) and item 343A to the Main Repeal Bill (concerning the cancellation of auctioned units)</w:t>
      </w:r>
      <w:r w:rsidR="00D5237C">
        <w:t xml:space="preserve">.  </w:t>
      </w:r>
    </w:p>
    <w:p w:rsidR="00FB0F57" w:rsidRPr="00FB0F57" w:rsidRDefault="006A26F8" w:rsidP="00FB0F57">
      <w:pPr>
        <w:pStyle w:val="Heading4"/>
      </w:pPr>
      <w:r w:rsidRPr="00FB0F57">
        <w:t xml:space="preserve">Ending ongoing obligations under the </w:t>
      </w:r>
      <w:r>
        <w:t>preserved</w:t>
      </w:r>
      <w:r w:rsidRPr="00FB0F57">
        <w:t xml:space="preserve"> </w:t>
      </w:r>
      <w:r w:rsidR="003151F1">
        <w:t>CE Act</w:t>
      </w:r>
      <w:r>
        <w:t xml:space="preserve"> provisions</w:t>
      </w:r>
    </w:p>
    <w:p w:rsidR="006A26F8" w:rsidRPr="00FB0F57" w:rsidRDefault="006A26F8" w:rsidP="006A26F8">
      <w:pPr>
        <w:pStyle w:val="base-text-paragraph"/>
      </w:pPr>
      <w:r>
        <w:t>To provide clarity and remove redundant requirements, t</w:t>
      </w:r>
      <w:r w:rsidRPr="00FB0F57">
        <w:t xml:space="preserve">he </w:t>
      </w:r>
      <w:r>
        <w:t>Main Repeal Bill</w:t>
      </w:r>
      <w:r w:rsidRPr="00FB0F57">
        <w:t xml:space="preserve"> removes </w:t>
      </w:r>
      <w:r>
        <w:t xml:space="preserve">the following </w:t>
      </w:r>
      <w:r w:rsidRPr="00FB0F57">
        <w:t xml:space="preserve">reporting, notification or administrative obligations </w:t>
      </w:r>
      <w:r>
        <w:t>unrelated to</w:t>
      </w:r>
      <w:r w:rsidRPr="00FB0F57">
        <w:t xml:space="preserve"> 2012</w:t>
      </w:r>
      <w:r w:rsidRPr="00FB0F57">
        <w:noBreakHyphen/>
        <w:t>13 or 2013</w:t>
      </w:r>
      <w:r w:rsidRPr="00FB0F57">
        <w:noBreakHyphen/>
        <w:t>14:</w:t>
      </w:r>
    </w:p>
    <w:p w:rsidR="006A26F8" w:rsidRPr="00FB0F57" w:rsidRDefault="006A26F8" w:rsidP="006A26F8">
      <w:pPr>
        <w:pStyle w:val="dotpoint"/>
      </w:pPr>
      <w:r w:rsidRPr="00FB0F57">
        <w:t>reporting and notification</w:t>
      </w:r>
      <w:r w:rsidR="007B091B">
        <w:t xml:space="preserve"> requirements under the Opt-in s</w:t>
      </w:r>
      <w:r w:rsidRPr="00FB0F57">
        <w:t xml:space="preserve">cheme, which are set out in the </w:t>
      </w:r>
      <w:r w:rsidRPr="00B50602">
        <w:t>CE Regulations</w:t>
      </w:r>
      <w:r w:rsidRPr="00FB0F57">
        <w:t xml:space="preserve">; </w:t>
      </w:r>
      <w:r w:rsidRPr="00BF2379">
        <w:rPr>
          <w:rStyle w:val="Referencingstyle"/>
        </w:rPr>
        <w:t>[Schedule 1, item 329]</w:t>
      </w:r>
      <w:r w:rsidRPr="00FB0F57">
        <w:rPr>
          <w:b/>
          <w:i/>
        </w:rPr>
        <w:t xml:space="preserve"> </w:t>
      </w:r>
    </w:p>
    <w:p w:rsidR="006A26F8" w:rsidRPr="00FB0F57" w:rsidRDefault="006A26F8" w:rsidP="006A26F8">
      <w:pPr>
        <w:pStyle w:val="dotpoint"/>
      </w:pPr>
      <w:r w:rsidRPr="00FB0F57">
        <w:t xml:space="preserve">the ability for entities to accept, quote or surrender obligation transfer numbers; </w:t>
      </w:r>
      <w:r w:rsidRPr="00BF2379">
        <w:rPr>
          <w:rStyle w:val="Referencingstyle"/>
        </w:rPr>
        <w:t>[Schedu</w:t>
      </w:r>
      <w:r w:rsidR="000A0D0D">
        <w:rPr>
          <w:rStyle w:val="Referencingstyle"/>
        </w:rPr>
        <w:t>le 1, item 323, table item 11</w:t>
      </w:r>
      <w:r w:rsidRPr="00BF2379">
        <w:rPr>
          <w:rStyle w:val="Referencingstyle"/>
        </w:rPr>
        <w:t>]</w:t>
      </w:r>
    </w:p>
    <w:p w:rsidR="006A26F8" w:rsidRPr="00FB0F57" w:rsidRDefault="006A26F8" w:rsidP="006A26F8">
      <w:pPr>
        <w:pStyle w:val="dotpoint"/>
      </w:pPr>
      <w:r w:rsidRPr="00FB0F57">
        <w:t xml:space="preserve">the requirement that holders of an obligation transfer number or gaseous fuel suppliers notify the Regulator of changes to their name or address; </w:t>
      </w:r>
      <w:r w:rsidRPr="00BF2379">
        <w:rPr>
          <w:rStyle w:val="Referencingstyle"/>
        </w:rPr>
        <w:t>[Schedule 1, item 323, table item 16]</w:t>
      </w:r>
    </w:p>
    <w:p w:rsidR="006A26F8" w:rsidRPr="00FB0F57" w:rsidRDefault="006A26F8" w:rsidP="006A26F8">
      <w:pPr>
        <w:pStyle w:val="dotpoint"/>
      </w:pPr>
      <w:r w:rsidRPr="00FB0F57">
        <w:t xml:space="preserve">the requirement that joint ventures notify the Regulator if they cease to be a mandatory designated joint venture or cease to pass the joint venture declaration test; and </w:t>
      </w:r>
      <w:r w:rsidRPr="00BF2379">
        <w:rPr>
          <w:rStyle w:val="Referencingstyle"/>
        </w:rPr>
        <w:t>[Schedule 1, item 323, table items 19 and 21]</w:t>
      </w:r>
    </w:p>
    <w:p w:rsidR="00FB0F57" w:rsidRPr="00FB0F57" w:rsidRDefault="006A26F8" w:rsidP="006A26F8">
      <w:pPr>
        <w:pStyle w:val="dotpoint"/>
      </w:pPr>
      <w:r w:rsidRPr="00FB0F57">
        <w:t>the ability for entities to surrender a liability transfer certificate</w:t>
      </w:r>
      <w:r w:rsidR="00D5237C">
        <w:t xml:space="preserve">.  </w:t>
      </w:r>
      <w:r w:rsidRPr="00BF2379">
        <w:rPr>
          <w:rStyle w:val="Referencingstyle"/>
        </w:rPr>
        <w:t>[Schedule 1, item 323, table item 26]</w:t>
      </w:r>
    </w:p>
    <w:p w:rsidR="00FB0F57" w:rsidRPr="00FB0F57" w:rsidRDefault="006A26F8" w:rsidP="00E74133">
      <w:pPr>
        <w:pStyle w:val="Heading4"/>
      </w:pPr>
      <w:r>
        <w:t>The</w:t>
      </w:r>
      <w:r w:rsidRPr="00FB0F57">
        <w:t xml:space="preserve"> Regulator’s powers and obligations</w:t>
      </w:r>
    </w:p>
    <w:p w:rsidR="006A26F8" w:rsidRPr="00FB0F57" w:rsidRDefault="006A26F8" w:rsidP="006A26F8">
      <w:pPr>
        <w:pStyle w:val="base-text-paragraph"/>
      </w:pPr>
      <w:r>
        <w:t>The Main Repeal Bill ends the Regulator’s following p</w:t>
      </w:r>
      <w:r w:rsidRPr="00FB0F57">
        <w:t>owers and obligations from 1 July 2014:</w:t>
      </w:r>
    </w:p>
    <w:p w:rsidR="006A26F8" w:rsidRPr="00FB0F57" w:rsidRDefault="006A26F8" w:rsidP="006A26F8">
      <w:pPr>
        <w:pStyle w:val="dotpoint"/>
      </w:pPr>
      <w:r w:rsidRPr="00FB0F57">
        <w:t xml:space="preserve">the issue and cancellation of obligation transfer numbers; </w:t>
      </w:r>
      <w:r w:rsidRPr="00E74133">
        <w:rPr>
          <w:rStyle w:val="Referencingstyle"/>
        </w:rPr>
        <w:t>[Schedule 1, item 323, table items 10</w:t>
      </w:r>
      <w:r w:rsidR="004C1410">
        <w:rPr>
          <w:rStyle w:val="Referencingstyle"/>
        </w:rPr>
        <w:t xml:space="preserve"> to </w:t>
      </w:r>
      <w:r w:rsidRPr="00E74133">
        <w:rPr>
          <w:rStyle w:val="Referencingstyle"/>
        </w:rPr>
        <w:t>11]</w:t>
      </w:r>
    </w:p>
    <w:p w:rsidR="006A26F8" w:rsidRPr="00FB0F57" w:rsidRDefault="006A26F8" w:rsidP="006A26F8">
      <w:pPr>
        <w:pStyle w:val="dotpoint"/>
        <w:rPr>
          <w:b/>
          <w:i/>
        </w:rPr>
      </w:pPr>
      <w:r>
        <w:t>making</w:t>
      </w:r>
      <w:r w:rsidRPr="00FB0F57">
        <w:t xml:space="preserve"> a declaration that a joint venture passes the joint venture declaration test or revok</w:t>
      </w:r>
      <w:r>
        <w:t>ing</w:t>
      </w:r>
      <w:r w:rsidRPr="00FB0F57">
        <w:t xml:space="preserve"> such a declaration; and </w:t>
      </w:r>
      <w:r w:rsidRPr="00E74133">
        <w:rPr>
          <w:rStyle w:val="Referencingstyle"/>
        </w:rPr>
        <w:t>[Schedule 1, item 323, table items 20 and 22]</w:t>
      </w:r>
    </w:p>
    <w:p w:rsidR="006A26F8" w:rsidRPr="00FB0F57" w:rsidRDefault="006A26F8" w:rsidP="006A26F8">
      <w:pPr>
        <w:pStyle w:val="dotpoint"/>
      </w:pPr>
      <w:r w:rsidRPr="00FB0F57">
        <w:t>issu</w:t>
      </w:r>
      <w:r>
        <w:t>ing</w:t>
      </w:r>
      <w:r w:rsidRPr="00FB0F57">
        <w:t xml:space="preserve"> or cancel</w:t>
      </w:r>
      <w:r>
        <w:t>ling</w:t>
      </w:r>
      <w:r w:rsidRPr="00FB0F57">
        <w:t xml:space="preserve"> liability transfer certificates</w:t>
      </w:r>
      <w:r w:rsidR="00D5237C">
        <w:t xml:space="preserve">.  </w:t>
      </w:r>
      <w:r w:rsidRPr="00E74133">
        <w:rPr>
          <w:rStyle w:val="Referencingstyle"/>
        </w:rPr>
        <w:t>[Schedule 1, item 323, table items 24</w:t>
      </w:r>
      <w:r w:rsidR="004C1410">
        <w:rPr>
          <w:rStyle w:val="Referencingstyle"/>
        </w:rPr>
        <w:t xml:space="preserve"> to </w:t>
      </w:r>
      <w:r w:rsidRPr="00E74133">
        <w:rPr>
          <w:rStyle w:val="Referencingstyle"/>
        </w:rPr>
        <w:t>26]</w:t>
      </w:r>
    </w:p>
    <w:p w:rsidR="006A26F8" w:rsidRPr="00FB0F57" w:rsidRDefault="006A26F8" w:rsidP="006A26F8">
      <w:pPr>
        <w:pStyle w:val="base-text-paragraph"/>
      </w:pPr>
      <w:r>
        <w:t xml:space="preserve">To maintain relevant public information for the 2013-14 compliance process, the Main Repeal Bill retains the Regulator’s following </w:t>
      </w:r>
      <w:r w:rsidRPr="00FB0F57">
        <w:t xml:space="preserve">information publication </w:t>
      </w:r>
      <w:r>
        <w:t>obligations until</w:t>
      </w:r>
      <w:r w:rsidRPr="00FB0F57">
        <w:t xml:space="preserve"> 30 June 2015: </w:t>
      </w:r>
    </w:p>
    <w:p w:rsidR="006A26F8" w:rsidRPr="00FB0F57" w:rsidRDefault="006A26F8" w:rsidP="006A26F8">
      <w:pPr>
        <w:pStyle w:val="dotpoint"/>
      </w:pPr>
      <w:r>
        <w:t xml:space="preserve">the publication requirements in </w:t>
      </w:r>
      <w:r w:rsidRPr="00FB0F57">
        <w:t>Part 9</w:t>
      </w:r>
      <w:r>
        <w:t xml:space="preserve"> of the </w:t>
      </w:r>
      <w:r w:rsidR="003151F1">
        <w:t>CE Act</w:t>
      </w:r>
      <w:r w:rsidRPr="00FB0F57">
        <w:t xml:space="preserve">, </w:t>
      </w:r>
      <w:r>
        <w:t>concerning</w:t>
      </w:r>
      <w:r w:rsidRPr="00FB0F57">
        <w:t xml:space="preserve"> the publication of information</w:t>
      </w:r>
      <w:r>
        <w:t xml:space="preserve"> about the carbon pricing mechanism, particularly the Liable </w:t>
      </w:r>
      <w:r w:rsidR="00FB473F">
        <w:t>Entities</w:t>
      </w:r>
      <w:r>
        <w:t xml:space="preserve"> Public Information Database</w:t>
      </w:r>
      <w:r w:rsidRPr="00FB0F57">
        <w:t xml:space="preserve">; and </w:t>
      </w:r>
      <w:r w:rsidRPr="00E74133">
        <w:rPr>
          <w:rStyle w:val="Referencingstyle"/>
        </w:rPr>
        <w:t xml:space="preserve">[Schedule 1, item 323, table item 58] </w:t>
      </w:r>
    </w:p>
    <w:p w:rsidR="00FB0F57" w:rsidRPr="00771C16" w:rsidRDefault="006A26F8" w:rsidP="006A26F8">
      <w:pPr>
        <w:pStyle w:val="dotpoint"/>
        <w:rPr>
          <w:rStyle w:val="Referencingstyle"/>
          <w:sz w:val="22"/>
        </w:rPr>
      </w:pPr>
      <w:r w:rsidRPr="00FB0F57">
        <w:t>the requirement that the Regulator publish and update information on obligation transfer numbers, including the OTN Register and a list of obligation transfer numbers cancelled or surrendered</w:t>
      </w:r>
      <w:r w:rsidR="00D5237C">
        <w:t xml:space="preserve">.  </w:t>
      </w:r>
      <w:r w:rsidRPr="00E74133">
        <w:rPr>
          <w:rStyle w:val="Referencingstyle"/>
        </w:rPr>
        <w:t>[Schedule 1, item 323, table items 12</w:t>
      </w:r>
      <w:r w:rsidR="004C7572">
        <w:rPr>
          <w:rStyle w:val="Referencingstyle"/>
        </w:rPr>
        <w:t> </w:t>
      </w:r>
      <w:r w:rsidR="004C1410">
        <w:rPr>
          <w:rStyle w:val="Referencingstyle"/>
        </w:rPr>
        <w:t>to</w:t>
      </w:r>
      <w:r w:rsidRPr="00E74133">
        <w:rPr>
          <w:rStyle w:val="Referencingstyle"/>
        </w:rPr>
        <w:t>15]</w:t>
      </w:r>
    </w:p>
    <w:p w:rsidR="00771C16" w:rsidRPr="007E2949" w:rsidRDefault="006A26F8" w:rsidP="00771C16">
      <w:pPr>
        <w:pStyle w:val="Heading4"/>
      </w:pPr>
      <w:r>
        <w:t>R</w:t>
      </w:r>
      <w:r w:rsidRPr="007E2949">
        <w:t>emoving references to the flexible price period</w:t>
      </w:r>
    </w:p>
    <w:p w:rsidR="006A26F8" w:rsidRPr="007E2949" w:rsidRDefault="006A26F8" w:rsidP="006A26F8">
      <w:pPr>
        <w:pStyle w:val="base-text-paragraph"/>
      </w:pPr>
      <w:r>
        <w:t>The Main Repeal Bill will remove the following p</w:t>
      </w:r>
      <w:r w:rsidRPr="007E2949">
        <w:t xml:space="preserve">rovisions </w:t>
      </w:r>
      <w:r>
        <w:t>concerning</w:t>
      </w:r>
      <w:r w:rsidRPr="007E2949">
        <w:t xml:space="preserve"> the flexible price period in</w:t>
      </w:r>
      <w:r>
        <w:t xml:space="preserve"> the preserved provisions of the </w:t>
      </w:r>
      <w:r w:rsidR="003151F1">
        <w:t>CE Act</w:t>
      </w:r>
      <w:r w:rsidRPr="007E2949">
        <w:t>:</w:t>
      </w:r>
    </w:p>
    <w:p w:rsidR="006A26F8" w:rsidRPr="007E2949" w:rsidRDefault="006A26F8" w:rsidP="006A26F8">
      <w:pPr>
        <w:pStyle w:val="dotpoint"/>
      </w:pPr>
      <w:r w:rsidRPr="007E2949">
        <w:t xml:space="preserve">definitions relating to concepts relevant only in the flexible price period; </w:t>
      </w:r>
      <w:r w:rsidRPr="007E2949">
        <w:rPr>
          <w:rStyle w:val="Referencingstyle"/>
        </w:rPr>
        <w:t>[Schedule 1, item 323, table items 2, 5</w:t>
      </w:r>
      <w:r w:rsidR="000A0D0D">
        <w:rPr>
          <w:rStyle w:val="Referencingstyle"/>
        </w:rPr>
        <w:t xml:space="preserve"> to </w:t>
      </w:r>
      <w:r w:rsidRPr="007E2949">
        <w:rPr>
          <w:rStyle w:val="Referencingstyle"/>
        </w:rPr>
        <w:t>6]</w:t>
      </w:r>
      <w:r w:rsidRPr="007E2949">
        <w:rPr>
          <w:b/>
          <w:i/>
        </w:rPr>
        <w:t xml:space="preserve"> </w:t>
      </w:r>
    </w:p>
    <w:p w:rsidR="006A26F8" w:rsidRPr="007E2949" w:rsidRDefault="006A26F8" w:rsidP="006A26F8">
      <w:pPr>
        <w:pStyle w:val="dotpoint"/>
      </w:pPr>
      <w:r w:rsidRPr="007E2949">
        <w:t>Part 2, which provides for the making of regulations setting a carbon pollution cap for compliance years from 2015</w:t>
      </w:r>
      <w:r w:rsidRPr="007E2949">
        <w:noBreakHyphen/>
        <w:t xml:space="preserve">16; </w:t>
      </w:r>
      <w:r w:rsidRPr="007E2949">
        <w:rPr>
          <w:rStyle w:val="Referencingstyle"/>
        </w:rPr>
        <w:t>[Schedule 1, item 323, table item 8]</w:t>
      </w:r>
    </w:p>
    <w:p w:rsidR="006A26F8" w:rsidRPr="007E2949" w:rsidRDefault="006A26F8" w:rsidP="006A26F8">
      <w:pPr>
        <w:pStyle w:val="dotpoint"/>
      </w:pPr>
      <w:r w:rsidRPr="007E2949">
        <w:t xml:space="preserve">provisions that set out compliance and relinquishment arrangements and how eligible emissions units are surrendered in the flexible price period; </w:t>
      </w:r>
      <w:r w:rsidR="004C1410" w:rsidRPr="007E2949">
        <w:rPr>
          <w:rStyle w:val="Referencingstyle"/>
        </w:rPr>
        <w:t>[Schedule 1, item 323, table items 42</w:t>
      </w:r>
      <w:r w:rsidR="004C1410">
        <w:rPr>
          <w:rStyle w:val="Referencingstyle"/>
        </w:rPr>
        <w:t xml:space="preserve"> to </w:t>
      </w:r>
      <w:r w:rsidR="004C1410" w:rsidRPr="007E2949">
        <w:rPr>
          <w:rStyle w:val="Referencingstyle"/>
        </w:rPr>
        <w:t>43, 45</w:t>
      </w:r>
      <w:r w:rsidR="004C1410">
        <w:rPr>
          <w:rStyle w:val="Referencingstyle"/>
        </w:rPr>
        <w:t xml:space="preserve"> to </w:t>
      </w:r>
      <w:r w:rsidR="004C1410" w:rsidRPr="007E2949">
        <w:rPr>
          <w:rStyle w:val="Referencingstyle"/>
        </w:rPr>
        <w:t>47, 64</w:t>
      </w:r>
      <w:r w:rsidR="004C1410">
        <w:rPr>
          <w:rStyle w:val="Referencingstyle"/>
        </w:rPr>
        <w:t xml:space="preserve"> to </w:t>
      </w:r>
      <w:r w:rsidR="004C1410" w:rsidRPr="007E2949">
        <w:rPr>
          <w:rStyle w:val="Referencingstyle"/>
        </w:rPr>
        <w:t>65]</w:t>
      </w:r>
      <w:r w:rsidR="004C1410" w:rsidRPr="007E2949">
        <w:rPr>
          <w:b/>
          <w:i/>
        </w:rPr>
        <w:t xml:space="preserve"> </w:t>
      </w:r>
      <w:r w:rsidRPr="007E2949">
        <w:rPr>
          <w:b/>
          <w:i/>
        </w:rPr>
        <w:t xml:space="preserve"> </w:t>
      </w:r>
    </w:p>
    <w:p w:rsidR="006A26F8" w:rsidRPr="007E2949" w:rsidRDefault="006A26F8" w:rsidP="006A26F8">
      <w:pPr>
        <w:pStyle w:val="dotpoint"/>
      </w:pPr>
      <w:r w:rsidRPr="007E2949">
        <w:t xml:space="preserve">provisions relating to the publication of information in or about the flexible price period; </w:t>
      </w:r>
      <w:r w:rsidR="004B04A0">
        <w:rPr>
          <w:rStyle w:val="Referencingstyle"/>
        </w:rPr>
        <w:t>[Schedule 1, item 323, table items 59, </w:t>
      </w:r>
      <w:r w:rsidRPr="007E2949">
        <w:rPr>
          <w:rStyle w:val="Referencingstyle"/>
        </w:rPr>
        <w:t>61</w:t>
      </w:r>
      <w:r w:rsidR="004C1410">
        <w:rPr>
          <w:rStyle w:val="Referencingstyle"/>
        </w:rPr>
        <w:t xml:space="preserve"> to </w:t>
      </w:r>
      <w:r w:rsidRPr="007E2949">
        <w:rPr>
          <w:rStyle w:val="Referencingstyle"/>
        </w:rPr>
        <w:t xml:space="preserve">63] </w:t>
      </w:r>
    </w:p>
    <w:p w:rsidR="006A26F8" w:rsidRPr="007E2949" w:rsidRDefault="006A26F8" w:rsidP="006A26F8">
      <w:pPr>
        <w:pStyle w:val="dotpoint"/>
      </w:pPr>
      <w:r w:rsidRPr="007E2949">
        <w:t xml:space="preserve">provisions relating to the purchase of carbon units at a fixed price in the flexible price period; </w:t>
      </w:r>
      <w:r w:rsidR="004B04A0">
        <w:rPr>
          <w:rStyle w:val="Referencingstyle"/>
        </w:rPr>
        <w:t>[Schedule 1, item 323, table </w:t>
      </w:r>
      <w:r w:rsidRPr="007E2949">
        <w:rPr>
          <w:rStyle w:val="Referencingstyle"/>
        </w:rPr>
        <w:t>it</w:t>
      </w:r>
      <w:r w:rsidR="004B04A0">
        <w:rPr>
          <w:rStyle w:val="Referencingstyle"/>
        </w:rPr>
        <w:t>ems </w:t>
      </w:r>
      <w:r w:rsidRPr="007E2949">
        <w:rPr>
          <w:rStyle w:val="Referencingstyle"/>
        </w:rPr>
        <w:t>30</w:t>
      </w:r>
      <w:r w:rsidR="004C1410">
        <w:rPr>
          <w:rStyle w:val="Referencingstyle"/>
        </w:rPr>
        <w:t xml:space="preserve"> to </w:t>
      </w:r>
      <w:r w:rsidRPr="007E2949">
        <w:rPr>
          <w:rStyle w:val="Referencingstyle"/>
        </w:rPr>
        <w:t>37</w:t>
      </w:r>
      <w:r w:rsidRPr="007E2949">
        <w:rPr>
          <w:b/>
          <w:i/>
        </w:rPr>
        <w:t xml:space="preserve">] </w:t>
      </w:r>
    </w:p>
    <w:p w:rsidR="006A26F8" w:rsidRPr="007E2949" w:rsidRDefault="006A26F8" w:rsidP="006A26F8">
      <w:pPr>
        <w:pStyle w:val="dotpoint"/>
      </w:pPr>
      <w:r w:rsidRPr="007E2949">
        <w:t xml:space="preserve">provisions relating to auctions or issuance of carbon units in the flexible price period; and </w:t>
      </w:r>
      <w:r w:rsidR="004B04A0">
        <w:rPr>
          <w:rStyle w:val="Referencingstyle"/>
        </w:rPr>
        <w:t>[Schedule 1, item 323, table items 37 </w:t>
      </w:r>
      <w:r w:rsidRPr="007E2949">
        <w:rPr>
          <w:rStyle w:val="Referencingstyle"/>
        </w:rPr>
        <w:t>and 39]</w:t>
      </w:r>
    </w:p>
    <w:p w:rsidR="00771C16" w:rsidRPr="007E2949" w:rsidRDefault="006A26F8" w:rsidP="006A26F8">
      <w:pPr>
        <w:pStyle w:val="dotpoint"/>
      </w:pPr>
      <w:r w:rsidRPr="007E2949">
        <w:t xml:space="preserve">the provision that </w:t>
      </w:r>
      <w:r>
        <w:t xml:space="preserve">calculates </w:t>
      </w:r>
      <w:r w:rsidRPr="007E2949">
        <w:t>the ‘per</w:t>
      </w:r>
      <w:r w:rsidRPr="007E2949">
        <w:noBreakHyphen/>
        <w:t xml:space="preserve">tonne carbon price equivalent’, which sets the </w:t>
      </w:r>
      <w:r>
        <w:t>equivalent carbon price</w:t>
      </w:r>
      <w:r w:rsidRPr="007E2949">
        <w:t xml:space="preserve"> applied to certain uses of liquid and gaseous fuels in the flexible price period</w:t>
      </w:r>
      <w:r w:rsidR="00D5237C">
        <w:t xml:space="preserve">.  </w:t>
      </w:r>
      <w:r w:rsidRPr="007E2949">
        <w:rPr>
          <w:rStyle w:val="Referencingstyle"/>
        </w:rPr>
        <w:t>[Schedule 1, item 323, table item 60]</w:t>
      </w:r>
    </w:p>
    <w:p w:rsidR="006A26F8" w:rsidRDefault="006A26F8" w:rsidP="006A26F8">
      <w:pPr>
        <w:pStyle w:val="Heading3"/>
      </w:pPr>
      <w:r>
        <w:t>Transitional and other arrangements</w:t>
      </w:r>
    </w:p>
    <w:p w:rsidR="00FB0F57" w:rsidRPr="00FB0F57" w:rsidRDefault="006A26F8" w:rsidP="00E74133">
      <w:pPr>
        <w:pStyle w:val="Heading4"/>
      </w:pPr>
      <w:r>
        <w:t>Specific t</w:t>
      </w:r>
      <w:r w:rsidRPr="00FB0F57">
        <w:t>ransitional provisions</w:t>
      </w:r>
    </w:p>
    <w:p w:rsidR="006A26F8" w:rsidRPr="00FB0F57" w:rsidRDefault="006A26F8" w:rsidP="006A26F8">
      <w:pPr>
        <w:pStyle w:val="base-text-paragraph"/>
      </w:pPr>
      <w:r>
        <w:t>The Main Repeal Bill includes the following specific</w:t>
      </w:r>
      <w:r w:rsidRPr="00FB0F57">
        <w:t xml:space="preserve"> transitional provisions </w:t>
      </w:r>
      <w:r>
        <w:t>to provide</w:t>
      </w:r>
      <w:r w:rsidRPr="00FB0F57">
        <w:t xml:space="preserve"> clarity, as a consequence of modifications to the </w:t>
      </w:r>
      <w:r w:rsidR="003151F1">
        <w:t>CE Act</w:t>
      </w:r>
      <w:r w:rsidRPr="00FB0F57">
        <w:t xml:space="preserve"> or for the avoidance of doubt</w:t>
      </w:r>
      <w:r>
        <w:t>:</w:t>
      </w:r>
    </w:p>
    <w:p w:rsidR="006A26F8" w:rsidRPr="00FB0F57" w:rsidRDefault="006A26F8" w:rsidP="006A26F8">
      <w:pPr>
        <w:pStyle w:val="dotpoint"/>
        <w:rPr>
          <w:b/>
          <w:i/>
        </w:rPr>
      </w:pPr>
      <w:r w:rsidRPr="00FB0F57">
        <w:t>confirming that no liabilities arise from facilities in the Joint Petroleum Development Area and Greater Sunrise unit area</w:t>
      </w:r>
      <w:r>
        <w:t xml:space="preserve"> (which continues the effect of </w:t>
      </w:r>
      <w:r w:rsidR="00FB473F">
        <w:t xml:space="preserve">regulation </w:t>
      </w:r>
      <w:r>
        <w:t xml:space="preserve">3.3 of the </w:t>
      </w:r>
      <w:r w:rsidRPr="00B50602">
        <w:t>CE Regulations</w:t>
      </w:r>
      <w:r>
        <w:t>)</w:t>
      </w:r>
      <w:r w:rsidRPr="00FB0F57">
        <w:t xml:space="preserve">; </w:t>
      </w:r>
      <w:r w:rsidRPr="00E74133">
        <w:rPr>
          <w:rStyle w:val="Referencingstyle"/>
        </w:rPr>
        <w:t>[Schedule 1, item 323, table item 9]</w:t>
      </w:r>
    </w:p>
    <w:p w:rsidR="006A26F8" w:rsidRPr="00FB0F57" w:rsidRDefault="006A26F8" w:rsidP="006A26F8">
      <w:pPr>
        <w:pStyle w:val="dotpoint"/>
      </w:pPr>
      <w:r>
        <w:t>removing</w:t>
      </w:r>
      <w:r w:rsidRPr="00FB0F57">
        <w:t xml:space="preserve"> provisions that include simplified outlines that are no longer relevant; </w:t>
      </w:r>
      <w:r w:rsidRPr="00E74133">
        <w:rPr>
          <w:rStyle w:val="Referencingstyle"/>
        </w:rPr>
        <w:t>[Schedule 1, item 323, table items 1, 27, 40</w:t>
      </w:r>
      <w:r w:rsidR="000A0D0D">
        <w:rPr>
          <w:rStyle w:val="Referencingstyle"/>
        </w:rPr>
        <w:t xml:space="preserve"> and </w:t>
      </w:r>
      <w:r>
        <w:rPr>
          <w:rStyle w:val="Referencingstyle"/>
        </w:rPr>
        <w:t>48A</w:t>
      </w:r>
      <w:r w:rsidRPr="00E74133">
        <w:rPr>
          <w:rStyle w:val="Referencingstyle"/>
        </w:rPr>
        <w:t xml:space="preserve">] </w:t>
      </w:r>
    </w:p>
    <w:p w:rsidR="006A26F8" w:rsidRPr="00916BB7" w:rsidRDefault="006A26F8" w:rsidP="006A26F8">
      <w:pPr>
        <w:pStyle w:val="dotpoint"/>
        <w:rPr>
          <w:rStyle w:val="Referencingstyle"/>
          <w:b w:val="0"/>
          <w:i w:val="0"/>
          <w:sz w:val="22"/>
        </w:rPr>
      </w:pPr>
      <w:r>
        <w:t>ensuring that any definitions that are relevant to the repeal transition are in place from the date of the Royal Assent, rather than from 1 July 2014;</w:t>
      </w:r>
      <w:r w:rsidRPr="00AE34B0">
        <w:rPr>
          <w:rStyle w:val="Referencingstyle"/>
        </w:rPr>
        <w:t xml:space="preserve"> </w:t>
      </w:r>
      <w:r w:rsidRPr="00E74133">
        <w:rPr>
          <w:rStyle w:val="Referencingstyle"/>
        </w:rPr>
        <w:t>[Schedule 1, item 3</w:t>
      </w:r>
      <w:r>
        <w:rPr>
          <w:rStyle w:val="Referencingstyle"/>
        </w:rPr>
        <w:t>45C</w:t>
      </w:r>
      <w:r w:rsidRPr="00E74133">
        <w:rPr>
          <w:rStyle w:val="Referencingstyle"/>
        </w:rPr>
        <w:t>]</w:t>
      </w:r>
    </w:p>
    <w:p w:rsidR="006A26F8" w:rsidRPr="00FB0F57" w:rsidRDefault="006A26F8" w:rsidP="006A26F8">
      <w:pPr>
        <w:pStyle w:val="dotpoint"/>
      </w:pPr>
      <w:r w:rsidRPr="00FB0F57">
        <w:t xml:space="preserve">removing now-redundant provisions from the list of reviewable decisions and civil penalty provisions (noting that the amendments do not apply to decisions </w:t>
      </w:r>
      <w:r>
        <w:t xml:space="preserve">or breaches </w:t>
      </w:r>
      <w:r w:rsidRPr="00FB0F57">
        <w:t xml:space="preserve">before 1 July 2014); and </w:t>
      </w:r>
      <w:r w:rsidRPr="00E74133">
        <w:rPr>
          <w:rStyle w:val="Referencingstyle"/>
        </w:rPr>
        <w:t>[Schedule 1, item 323, table items 67</w:t>
      </w:r>
      <w:r w:rsidR="004C1410">
        <w:rPr>
          <w:rStyle w:val="Referencingstyle"/>
        </w:rPr>
        <w:t xml:space="preserve"> to </w:t>
      </w:r>
      <w:r w:rsidRPr="00E74133">
        <w:rPr>
          <w:rStyle w:val="Referencingstyle"/>
        </w:rPr>
        <w:t>68] [Schedule 1, item 323(3)</w:t>
      </w:r>
      <w:r>
        <w:rPr>
          <w:rStyle w:val="Referencingstyle"/>
        </w:rPr>
        <w:t xml:space="preserve"> and (4)</w:t>
      </w:r>
      <w:r w:rsidRPr="00E74133">
        <w:rPr>
          <w:rStyle w:val="Referencingstyle"/>
        </w:rPr>
        <w:t>]</w:t>
      </w:r>
      <w:r w:rsidRPr="00FB0F57">
        <w:rPr>
          <w:b/>
          <w:i/>
        </w:rPr>
        <w:t xml:space="preserve"> </w:t>
      </w:r>
    </w:p>
    <w:p w:rsidR="006A26F8" w:rsidRPr="002664D4" w:rsidRDefault="006A26F8" w:rsidP="006A26F8">
      <w:pPr>
        <w:pStyle w:val="dotpoint"/>
        <w:rPr>
          <w:rStyle w:val="Referencingstyle"/>
          <w:b w:val="0"/>
          <w:i w:val="0"/>
          <w:sz w:val="22"/>
        </w:rPr>
      </w:pPr>
      <w:r w:rsidRPr="00FB0F57">
        <w:t>removing references to emissions trading schemes from the role of the Regulator</w:t>
      </w:r>
      <w:r w:rsidR="00D5237C">
        <w:t xml:space="preserve">.  </w:t>
      </w:r>
      <w:r w:rsidRPr="00E74133">
        <w:rPr>
          <w:rStyle w:val="Referencingstyle"/>
        </w:rPr>
        <w:t>[Sched</w:t>
      </w:r>
      <w:r w:rsidR="004C1410">
        <w:rPr>
          <w:rStyle w:val="Referencingstyle"/>
        </w:rPr>
        <w:t>ule 1, item 323, table items 70 to</w:t>
      </w:r>
      <w:r w:rsidR="000A0D0D">
        <w:rPr>
          <w:rStyle w:val="Referencingstyle"/>
        </w:rPr>
        <w:t xml:space="preserve"> </w:t>
      </w:r>
      <w:r w:rsidRPr="00E74133">
        <w:rPr>
          <w:rStyle w:val="Referencingstyle"/>
        </w:rPr>
        <w:t>72]</w:t>
      </w:r>
    </w:p>
    <w:p w:rsidR="006A26F8" w:rsidRDefault="006A26F8" w:rsidP="006A26F8">
      <w:pPr>
        <w:pStyle w:val="base-text-paragraph"/>
      </w:pPr>
      <w:r>
        <w:t xml:space="preserve">The Main Repeal Bill also includes two provisions to clarify the operation of preserved provisions of the </w:t>
      </w:r>
      <w:r w:rsidR="003151F1">
        <w:t>CE Act</w:t>
      </w:r>
      <w:r>
        <w:t>:</w:t>
      </w:r>
    </w:p>
    <w:p w:rsidR="006A26F8" w:rsidRPr="00AE34B0" w:rsidRDefault="006A26F8" w:rsidP="006A26F8">
      <w:pPr>
        <w:pStyle w:val="dotpoint"/>
        <w:rPr>
          <w:rStyle w:val="Referencingstyle"/>
          <w:b w:val="0"/>
          <w:i w:val="0"/>
          <w:sz w:val="22"/>
        </w:rPr>
      </w:pPr>
      <w:r>
        <w:t>for the avoidance of doubt, the final surrender deadline of 15 June or 1 February will always be a business day, even when that date falls on a non-business day (in which case the deadline is tak</w:t>
      </w:r>
      <w:r w:rsidR="00FB473F">
        <w:t>en to be the next business day); and</w:t>
      </w:r>
      <w:r>
        <w:t xml:space="preserve"> </w:t>
      </w:r>
      <w:r w:rsidRPr="00E74133">
        <w:rPr>
          <w:rStyle w:val="Referencingstyle"/>
        </w:rPr>
        <w:t>[Schedule 1, item 3</w:t>
      </w:r>
      <w:r w:rsidR="00F1509B">
        <w:rPr>
          <w:rStyle w:val="Referencingstyle"/>
        </w:rPr>
        <w:t>45</w:t>
      </w:r>
      <w:r>
        <w:rPr>
          <w:rStyle w:val="Referencingstyle"/>
        </w:rPr>
        <w:t>A</w:t>
      </w:r>
      <w:r w:rsidRPr="00E74133">
        <w:rPr>
          <w:rStyle w:val="Referencingstyle"/>
        </w:rPr>
        <w:t>]</w:t>
      </w:r>
    </w:p>
    <w:p w:rsidR="006A26F8" w:rsidRDefault="006A26F8" w:rsidP="006A26F8">
      <w:pPr>
        <w:pStyle w:val="dotpoint"/>
      </w:pPr>
      <w:r>
        <w:t xml:space="preserve">a minor adjustment to an equation in section 131(3) of the </w:t>
      </w:r>
      <w:r w:rsidR="003151F1">
        <w:t>CE Act</w:t>
      </w:r>
      <w:r>
        <w:t xml:space="preserve"> addresses an unintended consequence of the original wording that could be argued to have resulted in an entity having an excessive surrender obligation</w:t>
      </w:r>
      <w:r w:rsidR="00D5237C">
        <w:t xml:space="preserve">.  </w:t>
      </w:r>
      <w:r w:rsidRPr="00E74133">
        <w:rPr>
          <w:rStyle w:val="Referencingstyle"/>
        </w:rPr>
        <w:t>[Schedule 1, item 3</w:t>
      </w:r>
      <w:r w:rsidR="00F1509B">
        <w:rPr>
          <w:rStyle w:val="Referencingstyle"/>
        </w:rPr>
        <w:t>45</w:t>
      </w:r>
      <w:r>
        <w:rPr>
          <w:rStyle w:val="Referencingstyle"/>
        </w:rPr>
        <w:t>B</w:t>
      </w:r>
      <w:r w:rsidRPr="00E74133">
        <w:rPr>
          <w:rStyle w:val="Referencingstyle"/>
        </w:rPr>
        <w:t>]</w:t>
      </w:r>
    </w:p>
    <w:p w:rsidR="006A26F8" w:rsidRPr="00D6350B" w:rsidRDefault="006A26F8" w:rsidP="006A26F8">
      <w:pPr>
        <w:pStyle w:val="base-text-paragraph"/>
      </w:pPr>
      <w:r>
        <w:t>If the Main Repeal Bill receives</w:t>
      </w:r>
      <w:r w:rsidR="004B04A0">
        <w:t xml:space="preserve"> the Royal Assent before 31 May </w:t>
      </w:r>
      <w:r>
        <w:t xml:space="preserve">2014, then it provides that the requirements for the Minister to take all reasonable steps to table regulations setting the carbon pollution cap (section 15(1) of the </w:t>
      </w:r>
      <w:r w:rsidR="003151F1">
        <w:t>CE Act</w:t>
      </w:r>
      <w:r>
        <w:t xml:space="preserve">) and the price ceiling (section 100(14) of the </w:t>
      </w:r>
      <w:r w:rsidR="003151F1">
        <w:t>CE Act</w:t>
      </w:r>
      <w:r>
        <w:t>) are explicitly removed</w:t>
      </w:r>
      <w:r w:rsidR="00D5237C">
        <w:t xml:space="preserve">.  </w:t>
      </w:r>
      <w:r>
        <w:t>These</w:t>
      </w:r>
      <w:r w:rsidRPr="00D6350B">
        <w:t xml:space="preserve"> regulations would </w:t>
      </w:r>
      <w:r>
        <w:t xml:space="preserve">relate to the flexible price period, which commences from 2015-16 and are not </w:t>
      </w:r>
      <w:r w:rsidRPr="00D6350B">
        <w:t>required</w:t>
      </w:r>
      <w:r w:rsidR="00D5237C">
        <w:t xml:space="preserve">.  </w:t>
      </w:r>
      <w:r w:rsidRPr="00D6350B">
        <w:rPr>
          <w:rStyle w:val="Referencingstyle"/>
        </w:rPr>
        <w:t>[Schedule 1, items 344 and 345]</w:t>
      </w:r>
      <w:r w:rsidRPr="00D6350B">
        <w:t xml:space="preserve"> </w:t>
      </w:r>
    </w:p>
    <w:p w:rsidR="003B1F57" w:rsidRPr="008F6B7C" w:rsidRDefault="006A26F8" w:rsidP="006A26F8">
      <w:pPr>
        <w:pStyle w:val="base-text-paragraph"/>
        <w:rPr>
          <w:rStyle w:val="Referencingstyle"/>
          <w:b w:val="0"/>
          <w:i w:val="0"/>
          <w:sz w:val="22"/>
        </w:rPr>
      </w:pPr>
      <w:r>
        <w:t>There is no continuing</w:t>
      </w:r>
      <w:r w:rsidRPr="00D6350B">
        <w:t xml:space="preserve"> need for reviews</w:t>
      </w:r>
      <w:r>
        <w:t xml:space="preserve"> to be undertaken by the Climate Change Authority (CCA)</w:t>
      </w:r>
      <w:r w:rsidRPr="00D6350B">
        <w:t xml:space="preserve"> </w:t>
      </w:r>
      <w:r>
        <w:t>under</w:t>
      </w:r>
      <w:r w:rsidRPr="00D6350B">
        <w:t xml:space="preserve"> the </w:t>
      </w:r>
      <w:r w:rsidR="003151F1">
        <w:t>CE Act</w:t>
      </w:r>
      <w:r w:rsidR="00D5237C">
        <w:t xml:space="preserve">.  </w:t>
      </w:r>
      <w:r>
        <w:t xml:space="preserve">Accordingly, </w:t>
      </w:r>
      <w:r w:rsidRPr="00D6350B">
        <w:t xml:space="preserve">provisions </w:t>
      </w:r>
      <w:r>
        <w:t xml:space="preserve">relating to these reviews </w:t>
      </w:r>
      <w:r w:rsidRPr="00D6350B">
        <w:t>are removed</w:t>
      </w:r>
      <w:r>
        <w:t xml:space="preserve"> from the preserved provisions of the </w:t>
      </w:r>
      <w:r w:rsidR="003151F1">
        <w:t>CE Act</w:t>
      </w:r>
      <w:r w:rsidR="00D5237C">
        <w:t xml:space="preserve">.  </w:t>
      </w:r>
      <w:r w:rsidR="008E1EF9" w:rsidRPr="00D6350B">
        <w:rPr>
          <w:rStyle w:val="Referencingstyle"/>
        </w:rPr>
        <w:t>[Schedule 1, item 323, table item 69]</w:t>
      </w:r>
      <w:r>
        <w:t>For further information about the abolition of the CCA, please refer to the Explanatory Memorandum for the Climate Change Authority (Abolition) Bill 2013</w:t>
      </w:r>
      <w:r w:rsidR="000C3F86">
        <w:t xml:space="preserve"> [No.2]</w:t>
      </w:r>
      <w:r w:rsidR="00D5237C">
        <w:t xml:space="preserve">.  </w:t>
      </w:r>
    </w:p>
    <w:p w:rsidR="00771C16" w:rsidRPr="00456B0A" w:rsidRDefault="00771C16" w:rsidP="00771C16">
      <w:pPr>
        <w:pStyle w:val="Heading4"/>
      </w:pPr>
      <w:r w:rsidRPr="00456B0A">
        <w:t>Transitional rule-making power</w:t>
      </w:r>
    </w:p>
    <w:p w:rsidR="00771C16" w:rsidRPr="00FB0F57" w:rsidRDefault="006A26F8" w:rsidP="00771C16">
      <w:pPr>
        <w:pStyle w:val="base-text-paragraph"/>
        <w:rPr>
          <w:rStyle w:val="Referencingstyle"/>
          <w:b w:val="0"/>
          <w:i w:val="0"/>
          <w:sz w:val="22"/>
        </w:rPr>
      </w:pPr>
      <w:r w:rsidRPr="00332F8B">
        <w:t xml:space="preserve">The Minister may, by legislative instrument, make rules in relation to transitional matters arising out of the amendments and repeals made by Schedule 1 </w:t>
      </w:r>
      <w:r w:rsidR="00FB473F">
        <w:t>to</w:t>
      </w:r>
      <w:r w:rsidRPr="00332F8B">
        <w:t xml:space="preserve"> the </w:t>
      </w:r>
      <w:r>
        <w:t>Main Repeal</w:t>
      </w:r>
      <w:r w:rsidRPr="00332F8B">
        <w:t xml:space="preserve"> Bill</w:t>
      </w:r>
      <w:r w:rsidR="00D5237C">
        <w:t xml:space="preserve">.  </w:t>
      </w:r>
      <w:r w:rsidRPr="00332F8B">
        <w:t>This standard rule-making power is included to ensure that the Minister may address any unanticipated transitional matters through rules with legislative force, thereby ensuring that the specific transitional arrangements are clear to all relevant parties</w:t>
      </w:r>
      <w:r w:rsidR="00D5237C">
        <w:t xml:space="preserve">.  </w:t>
      </w:r>
      <w:r w:rsidRPr="00332F8B">
        <w:t xml:space="preserve">These rules would be disallowable by either House of the Parliament under section 42 of the </w:t>
      </w:r>
      <w:r w:rsidRPr="00332F8B">
        <w:rPr>
          <w:i/>
        </w:rPr>
        <w:t>Legislative Instruments Act 2003</w:t>
      </w:r>
      <w:r w:rsidR="00D5237C">
        <w:t xml:space="preserve">.  </w:t>
      </w:r>
      <w:r w:rsidRPr="00FB0F57">
        <w:rPr>
          <w:rStyle w:val="Referencingstyle"/>
        </w:rPr>
        <w:t>[Schedule 1, item 342]</w:t>
      </w:r>
    </w:p>
    <w:p w:rsidR="0007350A" w:rsidRDefault="0007350A" w:rsidP="0007350A">
      <w:pPr>
        <w:pStyle w:val="Heading4"/>
      </w:pPr>
      <w:r>
        <w:t>A</w:t>
      </w:r>
      <w:r w:rsidRPr="00811ED3">
        <w:t xml:space="preserve">cquisition of property </w:t>
      </w:r>
    </w:p>
    <w:p w:rsidR="0007350A" w:rsidRPr="0007350A" w:rsidRDefault="00FB473F" w:rsidP="0007350A">
      <w:pPr>
        <w:pStyle w:val="base-text-paragraph"/>
        <w:rPr>
          <w:rStyle w:val="Referencingstyle"/>
          <w:b w:val="0"/>
          <w:i w:val="0"/>
          <w:sz w:val="22"/>
        </w:rPr>
      </w:pPr>
      <w:r w:rsidRPr="00332F8B">
        <w:t xml:space="preserve">To the extent that the operation of </w:t>
      </w:r>
      <w:r>
        <w:t xml:space="preserve">Schedule 1 to the Main Repeal </w:t>
      </w:r>
      <w:r w:rsidRPr="00332F8B">
        <w:t xml:space="preserve">Bill </w:t>
      </w:r>
      <w:r>
        <w:t xml:space="preserve">would </w:t>
      </w:r>
      <w:r w:rsidRPr="00332F8B">
        <w:t xml:space="preserve">result in an acquisition of property from a person </w:t>
      </w:r>
      <w:r w:rsidR="000A0D0D">
        <w:t xml:space="preserve">within the meaning of </w:t>
      </w:r>
      <w:r w:rsidRPr="00332F8B">
        <w:t>section 51(xxxi) of the Constitution, the Commonwealth is liable to pay a reasonable amount of compensation to the person</w:t>
      </w:r>
      <w:r w:rsidR="00D5237C">
        <w:t xml:space="preserve">.  </w:t>
      </w:r>
      <w:r w:rsidRPr="00332F8B">
        <w:t>The person may institute proceedings against the Commonwealth if the person and the Commonwealth are unable to agree on the sum that should be paid</w:t>
      </w:r>
      <w:r w:rsidR="00D5237C">
        <w:t xml:space="preserve">.  </w:t>
      </w:r>
      <w:r w:rsidRPr="00332F8B">
        <w:t>The Commonwealth does not anticipate that the operation of Schedule 1 will result in payment of compensation</w:t>
      </w:r>
      <w:r w:rsidR="00D5237C">
        <w:t xml:space="preserve">.  </w:t>
      </w:r>
      <w:r w:rsidRPr="0007350A">
        <w:rPr>
          <w:rStyle w:val="Referencingstyle"/>
        </w:rPr>
        <w:t xml:space="preserve"> [Schedule 1, item 34</w:t>
      </w:r>
      <w:r>
        <w:rPr>
          <w:rStyle w:val="Referencingstyle"/>
        </w:rPr>
        <w:t>5D</w:t>
      </w:r>
      <w:r w:rsidRPr="0007350A">
        <w:rPr>
          <w:rStyle w:val="Referencingstyle"/>
        </w:rPr>
        <w:t>]</w:t>
      </w:r>
    </w:p>
    <w:p w:rsidR="009F0FC1" w:rsidRDefault="00737367" w:rsidP="009F0FC1">
      <w:pPr>
        <w:pStyle w:val="Heading3"/>
      </w:pPr>
      <w:r w:rsidRPr="00737367">
        <w:t>Finalising industry assistance arrangements</w:t>
      </w:r>
    </w:p>
    <w:p w:rsidR="00737367" w:rsidRPr="00737367" w:rsidRDefault="00737367" w:rsidP="00737367">
      <w:pPr>
        <w:pStyle w:val="Heading4"/>
      </w:pPr>
      <w:r>
        <w:t xml:space="preserve">Termination of industry assistance </w:t>
      </w:r>
      <w:r w:rsidR="00807064">
        <w:t>–</w:t>
      </w:r>
      <w:r>
        <w:t xml:space="preserve"> E</w:t>
      </w:r>
      <w:r w:rsidR="00807064">
        <w:t xml:space="preserve">nergy </w:t>
      </w:r>
      <w:r>
        <w:t>S</w:t>
      </w:r>
      <w:r w:rsidR="00807064">
        <w:t xml:space="preserve">ecurity </w:t>
      </w:r>
      <w:r>
        <w:t>F</w:t>
      </w:r>
      <w:r w:rsidR="00807064">
        <w:t>und</w:t>
      </w:r>
    </w:p>
    <w:p w:rsidR="006A26F8" w:rsidRDefault="006A26F8" w:rsidP="006A26F8">
      <w:pPr>
        <w:pStyle w:val="base-text-paragraph"/>
      </w:pPr>
      <w:r>
        <w:t xml:space="preserve">The Energy Security Fund is established by Part 8 of the </w:t>
      </w:r>
      <w:r w:rsidR="003151F1">
        <w:t>CE Act</w:t>
      </w:r>
      <w:r w:rsidR="00D5237C">
        <w:t xml:space="preserve">.  </w:t>
      </w:r>
      <w:r>
        <w:t xml:space="preserve">Under section 161 of the </w:t>
      </w:r>
      <w:r w:rsidR="003151F1">
        <w:t>CE Act</w:t>
      </w:r>
      <w:r>
        <w:t xml:space="preserve"> free carbon units are issued in, and in relation to, particular eligible financial years.</w:t>
      </w:r>
    </w:p>
    <w:p w:rsidR="009F0FC1" w:rsidRDefault="006A26F8" w:rsidP="006A26F8">
      <w:pPr>
        <w:pStyle w:val="base-text-paragraph"/>
      </w:pPr>
      <w:r>
        <w:t xml:space="preserve">From 1 July 2014, the meaning of ‘eligible financial year’ in section 161 of the </w:t>
      </w:r>
      <w:r w:rsidR="003151F1">
        <w:t>CE Act</w:t>
      </w:r>
      <w:r>
        <w:t xml:space="preserve"> will be limited to the 2012-13 and 2013-14 years</w:t>
      </w:r>
      <w:r w:rsidR="00D5237C">
        <w:t xml:space="preserve">.  </w:t>
      </w:r>
      <w:r>
        <w:t xml:space="preserve">For this reason, from 1 July 2014, the Regulator will not be able to issue free carbon units under Part 8 of the </w:t>
      </w:r>
      <w:r w:rsidR="003151F1">
        <w:t>CE Act</w:t>
      </w:r>
      <w:r w:rsidR="00D5237C">
        <w:t xml:space="preserve">.  </w:t>
      </w:r>
      <w:r w:rsidRPr="00737367">
        <w:rPr>
          <w:rStyle w:val="Referencingstyle"/>
        </w:rPr>
        <w:t>[Sc</w:t>
      </w:r>
      <w:r w:rsidR="00884AE2">
        <w:rPr>
          <w:rStyle w:val="Referencingstyle"/>
        </w:rPr>
        <w:t>hedule 1, item 323, table item 3</w:t>
      </w:r>
      <w:r w:rsidRPr="00737367">
        <w:rPr>
          <w:rStyle w:val="Referencingstyle"/>
        </w:rPr>
        <w:t>]</w:t>
      </w:r>
    </w:p>
    <w:p w:rsidR="00737367" w:rsidRDefault="00737367" w:rsidP="00737367">
      <w:pPr>
        <w:pStyle w:val="Heading4"/>
        <w:rPr>
          <w:bCs/>
          <w:iCs/>
        </w:rPr>
      </w:pPr>
      <w:r>
        <w:t xml:space="preserve">Termination of industry assistance </w:t>
      </w:r>
      <w:r w:rsidR="00807064">
        <w:t>–</w:t>
      </w:r>
      <w:r>
        <w:t xml:space="preserve"> J</w:t>
      </w:r>
      <w:r w:rsidR="00807064">
        <w:t xml:space="preserve">obs &amp; </w:t>
      </w:r>
      <w:r>
        <w:t>C</w:t>
      </w:r>
      <w:r w:rsidR="00807064">
        <w:t xml:space="preserve">ompetitiveness </w:t>
      </w:r>
      <w:r>
        <w:t>P</w:t>
      </w:r>
      <w:r w:rsidR="00807064">
        <w:t>rogram</w:t>
      </w:r>
    </w:p>
    <w:p w:rsidR="006A26F8" w:rsidRDefault="006A26F8" w:rsidP="006A26F8">
      <w:pPr>
        <w:pStyle w:val="base-text-paragraph"/>
      </w:pPr>
      <w:r>
        <w:t xml:space="preserve">The JCP is established by regulations made under Part 7 of the </w:t>
      </w:r>
      <w:r w:rsidR="003151F1">
        <w:t>CE Act</w:t>
      </w:r>
      <w:r w:rsidR="00D5237C">
        <w:t xml:space="preserve">.  </w:t>
      </w:r>
      <w:r>
        <w:t xml:space="preserve">Under clause 103 of Schedule 1 to the </w:t>
      </w:r>
      <w:r w:rsidRPr="00B50602">
        <w:t>CE Regulations</w:t>
      </w:r>
      <w:r>
        <w:t>, the Regulator issues f</w:t>
      </w:r>
      <w:r w:rsidRPr="00807064">
        <w:t>ree</w:t>
      </w:r>
      <w:r>
        <w:t xml:space="preserve"> carbon units for specified activities which must be carried on during an eligible financial year</w:t>
      </w:r>
      <w:r w:rsidR="00D5237C">
        <w:t xml:space="preserve">.  </w:t>
      </w:r>
    </w:p>
    <w:p w:rsidR="00737367" w:rsidRDefault="006A26F8" w:rsidP="006A26F8">
      <w:pPr>
        <w:pStyle w:val="base-text-paragraph"/>
      </w:pPr>
      <w:r>
        <w:t xml:space="preserve">‘Eligible financial year’ in clause 103 has the same meaning as in the </w:t>
      </w:r>
      <w:r w:rsidR="003151F1">
        <w:t>CE Act</w:t>
      </w:r>
      <w:r>
        <w:t xml:space="preserve">, in accordance with section 13 of the </w:t>
      </w:r>
      <w:r w:rsidRPr="00E344FE">
        <w:rPr>
          <w:i/>
        </w:rPr>
        <w:t>Legislative Instruments Act 2003</w:t>
      </w:r>
      <w:r w:rsidR="00D5237C">
        <w:t xml:space="preserve">.  </w:t>
      </w:r>
      <w:r>
        <w:t>From 1 July 2014, the meaning of ‘eligible financial year’ in clause 103 will be limited to the 2012-13 and 2013</w:t>
      </w:r>
      <w:r>
        <w:noBreakHyphen/>
        <w:t>14 years</w:t>
      </w:r>
      <w:r w:rsidR="00D5237C">
        <w:t xml:space="preserve">.  </w:t>
      </w:r>
      <w:r w:rsidRPr="00E344FE">
        <w:rPr>
          <w:rStyle w:val="Referencingstyle"/>
        </w:rPr>
        <w:t>[Sc</w:t>
      </w:r>
      <w:r w:rsidR="00884AE2">
        <w:rPr>
          <w:rStyle w:val="Referencingstyle"/>
        </w:rPr>
        <w:t>hedule 1, item 323, table item 3</w:t>
      </w:r>
      <w:r w:rsidRPr="00E344FE">
        <w:rPr>
          <w:rStyle w:val="Referencingstyle"/>
        </w:rPr>
        <w:t>]</w:t>
      </w:r>
      <w:r>
        <w:t xml:space="preserve"> For this reason, from 1 July 2014, JCP activities cannot give rise to an entitlement to free carbon units.</w:t>
      </w:r>
    </w:p>
    <w:p w:rsidR="00737367" w:rsidRPr="00AD3BFD" w:rsidRDefault="006A26F8" w:rsidP="00737367">
      <w:pPr>
        <w:pStyle w:val="Heading4"/>
        <w:rPr>
          <w:bCs/>
          <w:iCs/>
        </w:rPr>
      </w:pPr>
      <w:r>
        <w:t>True-up arrangements for the final allocation of free carbon units under the Jobs &amp; Competitiveness Program</w:t>
      </w:r>
    </w:p>
    <w:p w:rsidR="006A26F8" w:rsidRDefault="006A26F8" w:rsidP="006A26F8">
      <w:pPr>
        <w:pStyle w:val="base-text-paragraph"/>
      </w:pPr>
      <w:r>
        <w:t>The Main Repeal Bill provides for a process by which allocations of free 2013-14 carbon units are subject to a final ‘true-up’</w:t>
      </w:r>
      <w:r w:rsidR="00D5237C">
        <w:t xml:space="preserve">.  </w:t>
      </w:r>
      <w:r>
        <w:t xml:space="preserve">This is designed to </w:t>
      </w:r>
      <w:r w:rsidR="005A259C">
        <w:t xml:space="preserve">correct </w:t>
      </w:r>
      <w:r w:rsidR="008D75C7">
        <w:t xml:space="preserve">under- </w:t>
      </w:r>
      <w:r w:rsidRPr="00CF1B86">
        <w:t xml:space="preserve">and </w:t>
      </w:r>
      <w:r w:rsidR="008D75C7">
        <w:t>over</w:t>
      </w:r>
      <w:r w:rsidRPr="00CF1B86">
        <w:t>-allocations of 2013</w:t>
      </w:r>
      <w:r>
        <w:t>-</w:t>
      </w:r>
      <w:r w:rsidRPr="00CF1B86">
        <w:t>14 free carbon units, by allowing for issue of extra free carbon units or imposition of a levy if carbon units are not relinquished</w:t>
      </w:r>
      <w:r w:rsidR="00D5237C">
        <w:t xml:space="preserve">.  </w:t>
      </w:r>
    </w:p>
    <w:p w:rsidR="006A26F8" w:rsidRPr="00846A13" w:rsidRDefault="006A26F8" w:rsidP="006A26F8">
      <w:pPr>
        <w:pStyle w:val="base-text-paragraph"/>
      </w:pPr>
      <w:r>
        <w:t>For the purposes of the true-up process, the Main Repeal Bill creates a reporting requirement for persons (known as ‘designated persons’) who received 2013-14 free carbon units</w:t>
      </w:r>
      <w:r w:rsidR="00D5237C">
        <w:t xml:space="preserve">.  </w:t>
      </w:r>
      <w:r>
        <w:t>A designated person must comply with this reporting requirement just as they are required to comply with a reporting requirement under the JCP</w:t>
      </w:r>
      <w:r w:rsidR="00D5237C">
        <w:t xml:space="preserve">.  </w:t>
      </w:r>
      <w:r>
        <w:t>The specific details of the reporting requirement, including what must be reported and when, will be set out in Ministerial rules</w:t>
      </w:r>
      <w:r w:rsidR="00D5237C">
        <w:t xml:space="preserve">.  </w:t>
      </w:r>
      <w:r>
        <w:t>By providing that the reporting requirement is set out in rules, the Minister may more readily account for the specific requirements of the affected persons and take account of matters raised in consultation with them</w:t>
      </w:r>
      <w:r w:rsidR="00D5237C">
        <w:t xml:space="preserve">.  </w:t>
      </w:r>
      <w:r w:rsidRPr="00F52579">
        <w:rPr>
          <w:rStyle w:val="Referencingstyle"/>
        </w:rPr>
        <w:t>[Schedule 1, item 351]</w:t>
      </w:r>
      <w:r w:rsidRPr="00CF1B86">
        <w:rPr>
          <w:b/>
          <w:i/>
        </w:rPr>
        <w:t xml:space="preserve"> </w:t>
      </w:r>
    </w:p>
    <w:p w:rsidR="006A26F8" w:rsidRPr="00F52579" w:rsidRDefault="006A26F8" w:rsidP="006A26F8">
      <w:pPr>
        <w:pStyle w:val="Heading5"/>
      </w:pPr>
      <w:r>
        <w:t>Under-allocation of units</w:t>
      </w:r>
    </w:p>
    <w:p w:rsidR="006A26F8" w:rsidRDefault="006A26F8" w:rsidP="006A26F8">
      <w:pPr>
        <w:pStyle w:val="base-text-paragraph"/>
      </w:pPr>
      <w:r>
        <w:t>A person will have an under-allocation of free 2013-14 carbon units if the conditions set out in the Ministerial rules are met</w:t>
      </w:r>
      <w:r w:rsidR="00D5237C">
        <w:t xml:space="preserve">.  </w:t>
      </w:r>
      <w:r>
        <w:t>The rules will also specify the method by which the under-allocation is calculated</w:t>
      </w:r>
      <w:r w:rsidR="00D5237C">
        <w:t xml:space="preserve">.  </w:t>
      </w:r>
      <w:r>
        <w:t>The Regulator will rectify an under-allocation of free 2013-14 carbon units by issuing a number of additional</w:t>
      </w:r>
      <w:r w:rsidRPr="00B71442">
        <w:t xml:space="preserve"> 2013-14 </w:t>
      </w:r>
      <w:r>
        <w:t xml:space="preserve">free </w:t>
      </w:r>
      <w:r w:rsidRPr="00B71442">
        <w:t>carbon units to a person</w:t>
      </w:r>
      <w:r w:rsidR="00D5237C">
        <w:t xml:space="preserve">.  </w:t>
      </w:r>
      <w:r>
        <w:t>This can occur after 1 July 2014 for this purpose</w:t>
      </w:r>
      <w:r w:rsidR="00D5237C">
        <w:t xml:space="preserve">.  </w:t>
      </w:r>
      <w:r w:rsidRPr="00624525">
        <w:rPr>
          <w:rStyle w:val="Referencingstyle"/>
        </w:rPr>
        <w:t>[Schedule 1, item 352</w:t>
      </w:r>
      <w:r w:rsidR="004C1410">
        <w:rPr>
          <w:rStyle w:val="Referencingstyle"/>
        </w:rPr>
        <w:t xml:space="preserve"> and </w:t>
      </w:r>
      <w:r w:rsidRPr="00624525">
        <w:rPr>
          <w:rStyle w:val="Referencingstyle"/>
        </w:rPr>
        <w:t>353]</w:t>
      </w:r>
      <w:r>
        <w:rPr>
          <w:rStyle w:val="Referencingstyle"/>
        </w:rPr>
        <w:t xml:space="preserve"> </w:t>
      </w:r>
      <w:r>
        <w:t xml:space="preserve"> </w:t>
      </w:r>
    </w:p>
    <w:p w:rsidR="006A26F8" w:rsidRDefault="006A26F8" w:rsidP="006A26F8">
      <w:pPr>
        <w:pStyle w:val="Heading5"/>
      </w:pPr>
      <w:r>
        <w:t>Over-allocation of units</w:t>
      </w:r>
    </w:p>
    <w:p w:rsidR="006A26F8" w:rsidRDefault="006A26F8" w:rsidP="006A26F8">
      <w:pPr>
        <w:pStyle w:val="base-text-paragraph"/>
      </w:pPr>
      <w:r>
        <w:t>A person will have an over-allocation of free 2013-14 carbon units if the conditions set out in the Ministerial rules are met</w:t>
      </w:r>
      <w:r w:rsidR="00D5237C">
        <w:t xml:space="preserve">.  </w:t>
      </w:r>
      <w:r>
        <w:t>The rules will also specify the method by which the over-allocation is calculated</w:t>
      </w:r>
      <w:r w:rsidR="00D5237C">
        <w:t xml:space="preserve">.  </w:t>
      </w:r>
      <w:r>
        <w:t>A</w:t>
      </w:r>
      <w:r w:rsidR="008E1EF9">
        <w:t> </w:t>
      </w:r>
      <w:r>
        <w:t>person who has received an over-allocation of free carbon units under the JCP could relinquish the over</w:t>
      </w:r>
      <w:r>
        <w:noBreakHyphen/>
      </w:r>
      <w:r w:rsidRPr="00E45AA4">
        <w:t xml:space="preserve">allocated units </w:t>
      </w:r>
      <w:r>
        <w:t xml:space="preserve">under section 212 of the </w:t>
      </w:r>
      <w:r w:rsidR="003151F1">
        <w:t>CE Act</w:t>
      </w:r>
      <w:r w:rsidR="00D5237C">
        <w:t xml:space="preserve">.  </w:t>
      </w:r>
      <w:r>
        <w:t>If the person does not relinqu</w:t>
      </w:r>
      <w:r w:rsidR="005A259C">
        <w:t>ish at least the number of over</w:t>
      </w:r>
      <w:r w:rsidR="005A259C">
        <w:noBreakHyphen/>
      </w:r>
      <w:r>
        <w:t>allocated units, then the person will have a true</w:t>
      </w:r>
      <w:r>
        <w:noBreakHyphen/>
        <w:t>up shortfall equal to the number of units not relinquished</w:t>
      </w:r>
      <w:r w:rsidR="00D5237C">
        <w:t xml:space="preserve">.  </w:t>
      </w:r>
      <w:r w:rsidR="004C1410" w:rsidRPr="00624525">
        <w:rPr>
          <w:rStyle w:val="Referencingstyle"/>
        </w:rPr>
        <w:t>[Schedule 1, item</w:t>
      </w:r>
      <w:r w:rsidR="008D75C7">
        <w:rPr>
          <w:rStyle w:val="Referencingstyle"/>
        </w:rPr>
        <w:t>s</w:t>
      </w:r>
      <w:r w:rsidR="004C1410" w:rsidRPr="00624525">
        <w:rPr>
          <w:rStyle w:val="Referencingstyle"/>
        </w:rPr>
        <w:t xml:space="preserve"> 354</w:t>
      </w:r>
      <w:r w:rsidR="004C1410">
        <w:rPr>
          <w:rStyle w:val="Referencingstyle"/>
        </w:rPr>
        <w:t xml:space="preserve"> and </w:t>
      </w:r>
      <w:r w:rsidR="004C1410" w:rsidRPr="00624525">
        <w:rPr>
          <w:rStyle w:val="Referencingstyle"/>
        </w:rPr>
        <w:t>355]</w:t>
      </w:r>
    </w:p>
    <w:p w:rsidR="006A26F8" w:rsidRDefault="006A26F8" w:rsidP="006A26F8">
      <w:pPr>
        <w:pStyle w:val="base-text-paragraph"/>
      </w:pPr>
      <w:r>
        <w:t xml:space="preserve">A person who has a </w:t>
      </w:r>
      <w:r w:rsidRPr="00631680">
        <w:t>true-up shortfall</w:t>
      </w:r>
      <w:r>
        <w:t xml:space="preserve"> must pay a levy</w:t>
      </w:r>
      <w:r w:rsidR="00D5237C">
        <w:t xml:space="preserve">.  </w:t>
      </w:r>
      <w:r w:rsidRPr="00631680">
        <w:t xml:space="preserve">The amount of the levy will be worked out using the formula: </w:t>
      </w:r>
    </w:p>
    <w:p w:rsidR="006A26F8" w:rsidRPr="00657D3C" w:rsidRDefault="006A26F8" w:rsidP="006A26F8">
      <w:pPr>
        <w:pStyle w:val="Baseparagraphcentred"/>
        <w:ind w:left="58" w:firstLine="3"/>
        <w:rPr>
          <w:sz w:val="20"/>
        </w:rPr>
      </w:pPr>
      <w:r w:rsidRPr="00657D3C">
        <w:rPr>
          <w:sz w:val="20"/>
        </w:rPr>
        <w:t>number of units in</w:t>
      </w:r>
      <w:r w:rsidR="008E1EF9">
        <w:rPr>
          <w:sz w:val="20"/>
        </w:rPr>
        <w:t xml:space="preserve"> the true-up shortfall x $24.15</w:t>
      </w:r>
    </w:p>
    <w:p w:rsidR="00CE5ECD" w:rsidRPr="001243AA" w:rsidRDefault="00FB473F" w:rsidP="00EE451A">
      <w:pPr>
        <w:pStyle w:val="base-text-paragraph"/>
      </w:pPr>
      <w:r w:rsidRPr="001243AA">
        <w:t xml:space="preserve">The true-up levy is imposed in two separate </w:t>
      </w:r>
      <w:r w:rsidR="008E1EF9">
        <w:t>Bills</w:t>
      </w:r>
      <w:r w:rsidRPr="001243AA">
        <w:t xml:space="preserve"> to put beyond doubt that the imposition of the levy complies with section 55 of the Constitution</w:t>
      </w:r>
      <w:r w:rsidR="00D5237C" w:rsidRPr="001243AA">
        <w:t xml:space="preserve">.  </w:t>
      </w:r>
      <w:r w:rsidRPr="001243AA">
        <w:rPr>
          <w:rStyle w:val="Referencingstyle"/>
        </w:rPr>
        <w:t>[</w:t>
      </w:r>
      <w:r w:rsidR="001243AA" w:rsidRPr="001243AA">
        <w:rPr>
          <w:rStyle w:val="Referencingstyle"/>
        </w:rPr>
        <w:t>True-up Shortfall Levy (General) (</w:t>
      </w:r>
      <w:r w:rsidR="00622B79">
        <w:rPr>
          <w:rStyle w:val="Referencingstyle"/>
        </w:rPr>
        <w:t>Carbon Tax Repeal</w:t>
      </w:r>
      <w:r w:rsidR="001243AA" w:rsidRPr="001243AA">
        <w:rPr>
          <w:rStyle w:val="Referencingstyle"/>
        </w:rPr>
        <w:t xml:space="preserve">) Bill </w:t>
      </w:r>
      <w:r w:rsidR="00C90ACA">
        <w:rPr>
          <w:rStyle w:val="Referencingstyle"/>
        </w:rPr>
        <w:t>2014</w:t>
      </w:r>
      <w:r w:rsidRPr="001243AA">
        <w:rPr>
          <w:rStyle w:val="Referencingstyle"/>
        </w:rPr>
        <w:t xml:space="preserve">, </w:t>
      </w:r>
      <w:r w:rsidR="004319AB" w:rsidRPr="001243AA">
        <w:rPr>
          <w:rStyle w:val="Referencingstyle"/>
        </w:rPr>
        <w:t>clause</w:t>
      </w:r>
      <w:r w:rsidR="00EE451A" w:rsidRPr="001243AA">
        <w:rPr>
          <w:rStyle w:val="Referencingstyle"/>
        </w:rPr>
        <w:t xml:space="preserve"> </w:t>
      </w:r>
      <w:r w:rsidRPr="001243AA">
        <w:rPr>
          <w:rStyle w:val="Referencingstyle"/>
        </w:rPr>
        <w:t>8</w:t>
      </w:r>
      <w:r w:rsidR="00EE451A" w:rsidRPr="001243AA">
        <w:rPr>
          <w:rStyle w:val="Referencingstyle"/>
        </w:rPr>
        <w:t>]</w:t>
      </w:r>
      <w:r w:rsidRPr="001243AA">
        <w:rPr>
          <w:rStyle w:val="Referencingstyle"/>
        </w:rPr>
        <w:t xml:space="preserve"> </w:t>
      </w:r>
      <w:r w:rsidR="00EE451A" w:rsidRPr="001243AA">
        <w:rPr>
          <w:rStyle w:val="Referencingstyle"/>
        </w:rPr>
        <w:t>[</w:t>
      </w:r>
      <w:r w:rsidR="001243AA" w:rsidRPr="001243AA">
        <w:rPr>
          <w:rStyle w:val="Referencingstyle"/>
        </w:rPr>
        <w:t>True-up Shortfall Levy (Excise) (</w:t>
      </w:r>
      <w:r w:rsidR="00622B79">
        <w:rPr>
          <w:rStyle w:val="Referencingstyle"/>
        </w:rPr>
        <w:t>Carbon Tax Repeal</w:t>
      </w:r>
      <w:r w:rsidR="001243AA" w:rsidRPr="001243AA">
        <w:rPr>
          <w:rStyle w:val="Referencingstyle"/>
        </w:rPr>
        <w:t xml:space="preserve">) Bill </w:t>
      </w:r>
      <w:r w:rsidR="00C90ACA">
        <w:rPr>
          <w:rStyle w:val="Referencingstyle"/>
        </w:rPr>
        <w:t>2014</w:t>
      </w:r>
      <w:r w:rsidRPr="001243AA">
        <w:rPr>
          <w:rStyle w:val="Referencingstyle"/>
        </w:rPr>
        <w:t xml:space="preserve">, </w:t>
      </w:r>
      <w:r w:rsidR="004D24A9" w:rsidRPr="001243AA">
        <w:rPr>
          <w:rStyle w:val="Referencingstyle"/>
        </w:rPr>
        <w:t xml:space="preserve">clause </w:t>
      </w:r>
      <w:r w:rsidRPr="001243AA">
        <w:rPr>
          <w:rStyle w:val="Referencingstyle"/>
        </w:rPr>
        <w:t>8]</w:t>
      </w:r>
      <w:r w:rsidR="00CE5ECD" w:rsidRPr="001243AA">
        <w:t xml:space="preserve"> When enacted, the names of the Acts will be the </w:t>
      </w:r>
      <w:r w:rsidR="00CE5ECD" w:rsidRPr="001243AA">
        <w:rPr>
          <w:i/>
        </w:rPr>
        <w:t>True-up Shortfall Levy (General)(</w:t>
      </w:r>
      <w:r w:rsidR="00622B79">
        <w:rPr>
          <w:i/>
        </w:rPr>
        <w:t>Carbon Tax Repeal</w:t>
      </w:r>
      <w:r w:rsidR="00CE5ECD" w:rsidRPr="001243AA">
        <w:rPr>
          <w:i/>
        </w:rPr>
        <w:t xml:space="preserve">) Act </w:t>
      </w:r>
      <w:r w:rsidR="00C90ACA">
        <w:rPr>
          <w:i/>
        </w:rPr>
        <w:t>2014</w:t>
      </w:r>
      <w:r w:rsidR="00CE5ECD" w:rsidRPr="001243AA">
        <w:t xml:space="preserve"> and the </w:t>
      </w:r>
      <w:r w:rsidR="00CE5ECD" w:rsidRPr="001243AA">
        <w:rPr>
          <w:i/>
        </w:rPr>
        <w:t>True-up Shortfall Levy (Excise)(</w:t>
      </w:r>
      <w:r w:rsidR="00622B79">
        <w:rPr>
          <w:i/>
        </w:rPr>
        <w:t>Carbon Tax Repeal</w:t>
      </w:r>
      <w:r w:rsidR="00CE5ECD" w:rsidRPr="001243AA">
        <w:rPr>
          <w:i/>
        </w:rPr>
        <w:t xml:space="preserve">) Act </w:t>
      </w:r>
      <w:r w:rsidR="00C90ACA">
        <w:rPr>
          <w:i/>
        </w:rPr>
        <w:t>2014</w:t>
      </w:r>
      <w:r w:rsidR="00D5237C" w:rsidRPr="001243AA">
        <w:t xml:space="preserve">.  </w:t>
      </w:r>
      <w:r w:rsidR="00CE5ECD" w:rsidRPr="001243AA">
        <w:rPr>
          <w:rStyle w:val="Referencingstyle"/>
        </w:rPr>
        <w:t>[</w:t>
      </w:r>
      <w:r w:rsidR="001243AA" w:rsidRPr="001243AA">
        <w:rPr>
          <w:rStyle w:val="Referencingstyle"/>
        </w:rPr>
        <w:t>True-up Shortfall Levy (General) (</w:t>
      </w:r>
      <w:r w:rsidR="00622B79">
        <w:rPr>
          <w:rStyle w:val="Referencingstyle"/>
        </w:rPr>
        <w:t>Carbon Tax Repeal</w:t>
      </w:r>
      <w:r w:rsidR="001243AA" w:rsidRPr="001243AA">
        <w:rPr>
          <w:rStyle w:val="Referencingstyle"/>
        </w:rPr>
        <w:t xml:space="preserve">) Bill </w:t>
      </w:r>
      <w:r w:rsidR="00C90ACA">
        <w:rPr>
          <w:rStyle w:val="Referencingstyle"/>
        </w:rPr>
        <w:t>2014</w:t>
      </w:r>
      <w:r w:rsidR="00CE5ECD" w:rsidRPr="001243AA">
        <w:rPr>
          <w:rStyle w:val="Referencingstyle"/>
        </w:rPr>
        <w:t xml:space="preserve">, </w:t>
      </w:r>
      <w:r w:rsidR="00A26E36" w:rsidRPr="001243AA">
        <w:rPr>
          <w:rStyle w:val="Referencingstyle"/>
        </w:rPr>
        <w:t xml:space="preserve">clause </w:t>
      </w:r>
      <w:r w:rsidR="00CE5ECD" w:rsidRPr="001243AA">
        <w:rPr>
          <w:rStyle w:val="Referencingstyle"/>
        </w:rPr>
        <w:t>1]</w:t>
      </w:r>
      <w:r w:rsidR="00603011" w:rsidRPr="001243AA">
        <w:rPr>
          <w:rStyle w:val="Referencingstyle"/>
        </w:rPr>
        <w:t xml:space="preserve"> </w:t>
      </w:r>
      <w:r w:rsidR="00CE5ECD" w:rsidRPr="001243AA">
        <w:rPr>
          <w:rStyle w:val="Referencingstyle"/>
        </w:rPr>
        <w:t>[</w:t>
      </w:r>
      <w:r w:rsidR="001243AA" w:rsidRPr="001243AA">
        <w:rPr>
          <w:rStyle w:val="Referencingstyle"/>
        </w:rPr>
        <w:t>True-up Shortfall Levy (Excise) (</w:t>
      </w:r>
      <w:r w:rsidR="00622B79">
        <w:rPr>
          <w:rStyle w:val="Referencingstyle"/>
        </w:rPr>
        <w:t>Carbon Tax Repeal</w:t>
      </w:r>
      <w:r w:rsidR="001243AA" w:rsidRPr="001243AA">
        <w:rPr>
          <w:rStyle w:val="Referencingstyle"/>
        </w:rPr>
        <w:t xml:space="preserve">) Bill </w:t>
      </w:r>
      <w:r w:rsidR="00C90ACA">
        <w:rPr>
          <w:rStyle w:val="Referencingstyle"/>
        </w:rPr>
        <w:t>2014</w:t>
      </w:r>
      <w:r w:rsidR="00CE5ECD" w:rsidRPr="001243AA">
        <w:rPr>
          <w:rStyle w:val="Referencingstyle"/>
        </w:rPr>
        <w:t xml:space="preserve">, </w:t>
      </w:r>
      <w:r w:rsidR="00A26E36" w:rsidRPr="001243AA">
        <w:rPr>
          <w:rStyle w:val="Referencingstyle"/>
        </w:rPr>
        <w:t xml:space="preserve">clause </w:t>
      </w:r>
      <w:r w:rsidR="00CE5ECD" w:rsidRPr="001243AA">
        <w:rPr>
          <w:rStyle w:val="Referencingstyle"/>
        </w:rPr>
        <w:t>1]</w:t>
      </w:r>
    </w:p>
    <w:p w:rsidR="006A26F8" w:rsidRDefault="006A26F8" w:rsidP="006A26F8">
      <w:pPr>
        <w:pStyle w:val="base-text-paragraph"/>
      </w:pPr>
      <w:r>
        <w:t>The true-up shortfall levy must be paid by the date set out in the Ministerial rules</w:t>
      </w:r>
      <w:r w:rsidR="00D5237C">
        <w:t xml:space="preserve">.  </w:t>
      </w:r>
      <w:r>
        <w:t>A late payment penalty will apply if the true-up shortfall levy is not paid in full by the date prescribed in the rules</w:t>
      </w:r>
      <w:r w:rsidR="00D5237C">
        <w:t xml:space="preserve">.  </w:t>
      </w:r>
      <w:r w:rsidR="008E1EF9">
        <w:t>The </w:t>
      </w:r>
      <w:r>
        <w:t>rate of the late payment penalty is 20 per cent per year, unless a lower percentage is prescribed in the rules</w:t>
      </w:r>
      <w:r w:rsidR="00D5237C">
        <w:t xml:space="preserve">.  </w:t>
      </w:r>
      <w:r>
        <w:t>The Regulator may recover the levy and late payment penalty on behalf of the Commonwealth</w:t>
      </w:r>
      <w:r w:rsidR="00D5237C">
        <w:t xml:space="preserve">.  </w:t>
      </w:r>
      <w:r w:rsidR="004C1410" w:rsidRPr="00624525">
        <w:rPr>
          <w:rStyle w:val="Referencingstyle"/>
        </w:rPr>
        <w:t>[Schedule 1, item</w:t>
      </w:r>
      <w:r w:rsidR="000A0D0D">
        <w:rPr>
          <w:rStyle w:val="Referencingstyle"/>
        </w:rPr>
        <w:t>s</w:t>
      </w:r>
      <w:r w:rsidR="004C1410" w:rsidRPr="00624525">
        <w:rPr>
          <w:rStyle w:val="Referencingstyle"/>
        </w:rPr>
        <w:t xml:space="preserve"> 356</w:t>
      </w:r>
      <w:r w:rsidR="000A0D0D">
        <w:rPr>
          <w:rStyle w:val="Referencingstyle"/>
        </w:rPr>
        <w:t xml:space="preserve"> to </w:t>
      </w:r>
      <w:r w:rsidR="004C1410">
        <w:rPr>
          <w:rStyle w:val="Referencingstyle"/>
        </w:rPr>
        <w:t>358</w:t>
      </w:r>
      <w:r w:rsidR="004C1410" w:rsidRPr="00624525">
        <w:rPr>
          <w:rStyle w:val="Referencingstyle"/>
        </w:rPr>
        <w:t>]</w:t>
      </w:r>
    </w:p>
    <w:p w:rsidR="006A26F8" w:rsidRPr="00846A13" w:rsidRDefault="006A26F8" w:rsidP="006A26F8">
      <w:pPr>
        <w:pStyle w:val="base-text-paragraph"/>
        <w:rPr>
          <w:rStyle w:val="Referencingstyle"/>
          <w:b w:val="0"/>
          <w:i w:val="0"/>
          <w:sz w:val="22"/>
        </w:rPr>
      </w:pPr>
      <w:r>
        <w:t>To ensure that the Regulator has the appropriate powers and authority to ensure compliance with the true</w:t>
      </w:r>
      <w:r>
        <w:noBreakHyphen/>
        <w:t>up shortfall levy, Schedule 1, Part 4 to the Main Repeal Bill and the T</w:t>
      </w:r>
      <w:r w:rsidRPr="00802B7E">
        <w:t xml:space="preserve">rue-up </w:t>
      </w:r>
      <w:r>
        <w:t>S</w:t>
      </w:r>
      <w:r w:rsidRPr="00802B7E">
        <w:t xml:space="preserve">hortfall </w:t>
      </w:r>
      <w:r>
        <w:t>L</w:t>
      </w:r>
      <w:r w:rsidRPr="00802B7E">
        <w:t xml:space="preserve">evy </w:t>
      </w:r>
      <w:r>
        <w:t>B</w:t>
      </w:r>
      <w:r w:rsidRPr="00802B7E">
        <w:t>ills</w:t>
      </w:r>
      <w:r>
        <w:t xml:space="preserve"> are included in the definition of ‘associated provisions’ under section 5 of the </w:t>
      </w:r>
      <w:r w:rsidR="003151F1">
        <w:t>CE Act</w:t>
      </w:r>
      <w:r w:rsidR="00D5237C">
        <w:t xml:space="preserve">.  </w:t>
      </w:r>
      <w:r>
        <w:t>This brings the arrangements for the true-up shortfall levy in line with the Regulator’s powers to ensure compliance with the JCP</w:t>
      </w:r>
      <w:r w:rsidR="00D5237C">
        <w:t xml:space="preserve">.  </w:t>
      </w:r>
      <w:r w:rsidRPr="00E74133">
        <w:rPr>
          <w:rStyle w:val="Referencingstyle"/>
        </w:rPr>
        <w:t>[Schedule 1, item 3</w:t>
      </w:r>
      <w:r>
        <w:rPr>
          <w:rStyle w:val="Referencingstyle"/>
        </w:rPr>
        <w:t>58A</w:t>
      </w:r>
      <w:r w:rsidRPr="00E74133">
        <w:rPr>
          <w:rStyle w:val="Referencingstyle"/>
        </w:rPr>
        <w:t>]</w:t>
      </w:r>
    </w:p>
    <w:p w:rsidR="006A26F8" w:rsidRDefault="006A26F8" w:rsidP="006A26F8">
      <w:pPr>
        <w:pStyle w:val="Heading5"/>
      </w:pPr>
      <w:r>
        <w:t>Ministerial Rules</w:t>
      </w:r>
    </w:p>
    <w:p w:rsidR="006A26F8" w:rsidRPr="00FB473F" w:rsidRDefault="00FB473F" w:rsidP="006A26F8">
      <w:pPr>
        <w:pStyle w:val="base-text-paragraph"/>
        <w:rPr>
          <w:rStyle w:val="Referencingstyle"/>
          <w:b w:val="0"/>
          <w:i w:val="0"/>
          <w:sz w:val="22"/>
        </w:rPr>
      </w:pPr>
      <w:r w:rsidRPr="006B0E59">
        <w:t>The</w:t>
      </w:r>
      <w:r>
        <w:t xml:space="preserve"> true-up provisions contain a standard provision authorising the</w:t>
      </w:r>
      <w:r w:rsidRPr="006B0E59">
        <w:t xml:space="preserve"> Minister </w:t>
      </w:r>
      <w:r>
        <w:t>to</w:t>
      </w:r>
      <w:r w:rsidRPr="006B0E59">
        <w:t xml:space="preserve"> make the rules referred to in the rest of Schedule 1, Part 4 of the Main Repeal Bill</w:t>
      </w:r>
      <w:r>
        <w:t xml:space="preserve"> (such as the under- and over-allocation rules)</w:t>
      </w:r>
      <w:r w:rsidRPr="006B0E59">
        <w:t xml:space="preserve"> and other rules necessary or convenient for giving effect to the Part by way of a legislative instrument</w:t>
      </w:r>
      <w:r w:rsidR="00D5237C">
        <w:t xml:space="preserve">.  </w:t>
      </w:r>
      <w:r>
        <w:t xml:space="preserve">The </w:t>
      </w:r>
      <w:r w:rsidRPr="006B0E59">
        <w:t>rules will involve complex, technical drafting which will need to be the subject of consultation with affected persons and which is therefore suitable for inclusion in subordinate legislation</w:t>
      </w:r>
      <w:r w:rsidR="00D5237C">
        <w:t xml:space="preserve">.  </w:t>
      </w:r>
      <w:r w:rsidRPr="006B0E59">
        <w:t xml:space="preserve">The rules would be disallowable by either House of the Parliament under section 42 of the </w:t>
      </w:r>
      <w:r w:rsidRPr="006B0E59">
        <w:rPr>
          <w:i/>
        </w:rPr>
        <w:t>Legislative Instruments Act 2003</w:t>
      </w:r>
      <w:r w:rsidR="00D5237C">
        <w:t xml:space="preserve">.  </w:t>
      </w:r>
      <w:r w:rsidRPr="006B0E59">
        <w:rPr>
          <w:rStyle w:val="Referencingstyle"/>
        </w:rPr>
        <w:t>[Schedule 1, item 359]</w:t>
      </w:r>
    </w:p>
    <w:p w:rsidR="00FB473F" w:rsidRPr="00846A13" w:rsidRDefault="00EE451A" w:rsidP="00FB473F">
      <w:pPr>
        <w:pStyle w:val="Heading5"/>
        <w:rPr>
          <w:rStyle w:val="Referencingstyle"/>
          <w:b w:val="0"/>
          <w:i/>
          <w:sz w:val="22"/>
        </w:rPr>
      </w:pPr>
      <w:r>
        <w:t xml:space="preserve">General </w:t>
      </w:r>
      <w:r w:rsidR="00FB473F">
        <w:t>provisions</w:t>
      </w:r>
    </w:p>
    <w:p w:rsidR="00EE451A" w:rsidRPr="001243AA" w:rsidRDefault="00EE451A" w:rsidP="00EE451A">
      <w:pPr>
        <w:pStyle w:val="base-text-paragraph"/>
      </w:pPr>
      <w:r>
        <w:t xml:space="preserve">The formal provisions in sections 1 and 2 of the True-up Shortfall Levy Bills </w:t>
      </w:r>
      <w:r w:rsidRPr="001243AA">
        <w:t>commence on the day that the Governor-General gives the Royal Assent</w:t>
      </w:r>
      <w:r w:rsidR="00D5237C" w:rsidRPr="001243AA">
        <w:t xml:space="preserve">.  </w:t>
      </w:r>
      <w:r w:rsidRPr="001243AA">
        <w:t>The operativ</w:t>
      </w:r>
      <w:r w:rsidR="008E1EF9">
        <w:t>e provisions commence on 1 July </w:t>
      </w:r>
      <w:r w:rsidRPr="001243AA">
        <w:t>2014 or Royal Assent if earlier</w:t>
      </w:r>
      <w:r w:rsidR="00D5237C" w:rsidRPr="001243AA">
        <w:t xml:space="preserve">.  </w:t>
      </w:r>
      <w:r w:rsidRPr="001243AA">
        <w:rPr>
          <w:rStyle w:val="Referencingstyle"/>
        </w:rPr>
        <w:t>[</w:t>
      </w:r>
      <w:r w:rsidR="001243AA" w:rsidRPr="001243AA">
        <w:rPr>
          <w:rStyle w:val="Referencingstyle"/>
        </w:rPr>
        <w:t>True-up Shortfall Levy (General) (</w:t>
      </w:r>
      <w:r w:rsidR="00622B79">
        <w:rPr>
          <w:rStyle w:val="Referencingstyle"/>
        </w:rPr>
        <w:t>Carbon Tax Repeal</w:t>
      </w:r>
      <w:r w:rsidR="001243AA" w:rsidRPr="001243AA">
        <w:rPr>
          <w:rStyle w:val="Referencingstyle"/>
        </w:rPr>
        <w:t xml:space="preserve">) Bill </w:t>
      </w:r>
      <w:r w:rsidR="00C90ACA">
        <w:rPr>
          <w:rStyle w:val="Referencingstyle"/>
        </w:rPr>
        <w:t>2014</w:t>
      </w:r>
      <w:r w:rsidRPr="001243AA">
        <w:rPr>
          <w:rStyle w:val="Referencingstyle"/>
        </w:rPr>
        <w:t xml:space="preserve">, </w:t>
      </w:r>
      <w:r w:rsidR="00A26E36" w:rsidRPr="001243AA">
        <w:rPr>
          <w:rStyle w:val="Referencingstyle"/>
        </w:rPr>
        <w:t xml:space="preserve">clause </w:t>
      </w:r>
      <w:r w:rsidRPr="001243AA">
        <w:rPr>
          <w:rStyle w:val="Referencingstyle"/>
        </w:rPr>
        <w:t>2] [</w:t>
      </w:r>
      <w:r w:rsidR="001243AA" w:rsidRPr="001243AA">
        <w:rPr>
          <w:rStyle w:val="Referencingstyle"/>
        </w:rPr>
        <w:t>True-up Shortfall Levy (Excise) (</w:t>
      </w:r>
      <w:r w:rsidR="00622B79">
        <w:rPr>
          <w:rStyle w:val="Referencingstyle"/>
        </w:rPr>
        <w:t>Carbon Tax Repeal</w:t>
      </w:r>
      <w:r w:rsidR="001243AA" w:rsidRPr="001243AA">
        <w:rPr>
          <w:rStyle w:val="Referencingstyle"/>
        </w:rPr>
        <w:t xml:space="preserve">) Bill </w:t>
      </w:r>
      <w:r w:rsidR="00C90ACA">
        <w:rPr>
          <w:rStyle w:val="Referencingstyle"/>
        </w:rPr>
        <w:t>2014</w:t>
      </w:r>
      <w:r w:rsidRPr="001243AA">
        <w:rPr>
          <w:rStyle w:val="Referencingstyle"/>
        </w:rPr>
        <w:t xml:space="preserve">, </w:t>
      </w:r>
      <w:r w:rsidR="00A26E36" w:rsidRPr="001243AA">
        <w:rPr>
          <w:rStyle w:val="Referencingstyle"/>
        </w:rPr>
        <w:t xml:space="preserve">clause </w:t>
      </w:r>
      <w:r w:rsidRPr="001243AA">
        <w:rPr>
          <w:rStyle w:val="Referencingstyle"/>
        </w:rPr>
        <w:t>2]</w:t>
      </w:r>
    </w:p>
    <w:p w:rsidR="006A26F8" w:rsidRPr="001243AA" w:rsidRDefault="006A26F8" w:rsidP="006A26F8">
      <w:pPr>
        <w:pStyle w:val="base-text-paragraph"/>
      </w:pPr>
      <w:r w:rsidRPr="001243AA">
        <w:t xml:space="preserve">Definitions of expressions relating to the true-up process, which refer to concepts that are expressly defined in the subsequent provisions in Schedule 1, Part 4 (such as ‘over-allocation of free carbon units’) and the </w:t>
      </w:r>
      <w:r w:rsidR="003151F1" w:rsidRPr="001243AA">
        <w:t>CE Act</w:t>
      </w:r>
      <w:r w:rsidR="00D5237C" w:rsidRPr="001243AA">
        <w:t xml:space="preserve">.  </w:t>
      </w:r>
      <w:r w:rsidRPr="001243AA">
        <w:t>The ‘</w:t>
      </w:r>
      <w:r w:rsidR="007B091B" w:rsidRPr="001243AA">
        <w:t>l</w:t>
      </w:r>
      <w:r w:rsidR="000A0D0D" w:rsidRPr="001243AA">
        <w:t xml:space="preserve">evy’ </w:t>
      </w:r>
      <w:r w:rsidRPr="001243AA">
        <w:t xml:space="preserve">is defined by reference to the True-up Shortfall Levy </w:t>
      </w:r>
      <w:r w:rsidR="00EE451A" w:rsidRPr="001243AA">
        <w:t>Bills</w:t>
      </w:r>
      <w:r w:rsidR="00D5237C" w:rsidRPr="001243AA">
        <w:t xml:space="preserve">.  </w:t>
      </w:r>
      <w:r w:rsidRPr="001243AA">
        <w:rPr>
          <w:rStyle w:val="Referencingstyle"/>
        </w:rPr>
        <w:t>[Schedule 1, item 346]</w:t>
      </w:r>
    </w:p>
    <w:p w:rsidR="006A26F8" w:rsidRPr="001243AA" w:rsidRDefault="00FB473F" w:rsidP="006A26F8">
      <w:pPr>
        <w:pStyle w:val="base-text-paragraph"/>
      </w:pPr>
      <w:r w:rsidRPr="001243AA">
        <w:t xml:space="preserve">The True-up Shortfall Levy </w:t>
      </w:r>
      <w:r w:rsidR="00EE451A" w:rsidRPr="001243AA">
        <w:t>Bills</w:t>
      </w:r>
      <w:r w:rsidRPr="001243AA">
        <w:t xml:space="preserve"> include definitions of expressions used in the </w:t>
      </w:r>
      <w:r w:rsidR="00216ED9" w:rsidRPr="001243AA">
        <w:t>Bill</w:t>
      </w:r>
      <w:r w:rsidRPr="001243AA">
        <w:t>s, namely ‘Joint Petroleum Development Area’, ‘person’ and ‘true-up shortfall’</w:t>
      </w:r>
      <w:r w:rsidR="00D5237C" w:rsidRPr="001243AA">
        <w:t xml:space="preserve">.  </w:t>
      </w:r>
      <w:r w:rsidRPr="001243AA">
        <w:rPr>
          <w:rStyle w:val="Referencingstyle"/>
        </w:rPr>
        <w:t>[</w:t>
      </w:r>
      <w:r w:rsidR="001243AA" w:rsidRPr="001243AA">
        <w:rPr>
          <w:rStyle w:val="Referencingstyle"/>
        </w:rPr>
        <w:t>True-up Shortfall Levy (General) (</w:t>
      </w:r>
      <w:r w:rsidR="00622B79">
        <w:rPr>
          <w:rStyle w:val="Referencingstyle"/>
        </w:rPr>
        <w:t>Carbon Tax Repeal</w:t>
      </w:r>
      <w:r w:rsidR="001243AA" w:rsidRPr="001243AA">
        <w:rPr>
          <w:rStyle w:val="Referencingstyle"/>
        </w:rPr>
        <w:t xml:space="preserve">) Bill </w:t>
      </w:r>
      <w:r w:rsidR="00C90ACA">
        <w:rPr>
          <w:rStyle w:val="Referencingstyle"/>
        </w:rPr>
        <w:t>2014</w:t>
      </w:r>
      <w:r w:rsidR="00644F78" w:rsidRPr="001243AA">
        <w:rPr>
          <w:rStyle w:val="Referencingstyle"/>
        </w:rPr>
        <w:t xml:space="preserve">, </w:t>
      </w:r>
      <w:r w:rsidR="00FA5430" w:rsidRPr="001243AA">
        <w:rPr>
          <w:rStyle w:val="Referencingstyle"/>
        </w:rPr>
        <w:t>clause</w:t>
      </w:r>
      <w:r w:rsidR="00EE451A" w:rsidRPr="001243AA">
        <w:rPr>
          <w:rStyle w:val="Referencingstyle"/>
        </w:rPr>
        <w:t xml:space="preserve"> 3</w:t>
      </w:r>
      <w:r w:rsidR="00644F78" w:rsidRPr="001243AA">
        <w:rPr>
          <w:rStyle w:val="Referencingstyle"/>
        </w:rPr>
        <w:t>] [</w:t>
      </w:r>
      <w:r w:rsidR="001243AA" w:rsidRPr="001243AA">
        <w:rPr>
          <w:rStyle w:val="Referencingstyle"/>
        </w:rPr>
        <w:t>True-up Shortfall Levy (Excise) (</w:t>
      </w:r>
      <w:r w:rsidR="00622B79">
        <w:rPr>
          <w:rStyle w:val="Referencingstyle"/>
        </w:rPr>
        <w:t>Carbon Tax Repeal</w:t>
      </w:r>
      <w:r w:rsidR="001243AA" w:rsidRPr="001243AA">
        <w:rPr>
          <w:rStyle w:val="Referencingstyle"/>
        </w:rPr>
        <w:t xml:space="preserve">) Bill </w:t>
      </w:r>
      <w:r w:rsidR="00C90ACA">
        <w:rPr>
          <w:rStyle w:val="Referencingstyle"/>
        </w:rPr>
        <w:t>2014</w:t>
      </w:r>
      <w:r w:rsidRPr="001243AA">
        <w:rPr>
          <w:rStyle w:val="Referencingstyle"/>
        </w:rPr>
        <w:t xml:space="preserve">, </w:t>
      </w:r>
      <w:r w:rsidR="00FA5430" w:rsidRPr="001243AA">
        <w:rPr>
          <w:rStyle w:val="Referencingstyle"/>
        </w:rPr>
        <w:t>clause</w:t>
      </w:r>
      <w:r w:rsidR="00603011" w:rsidRPr="001243AA">
        <w:rPr>
          <w:rStyle w:val="Referencingstyle"/>
        </w:rPr>
        <w:t xml:space="preserve"> </w:t>
      </w:r>
      <w:r w:rsidRPr="001243AA">
        <w:rPr>
          <w:rStyle w:val="Referencingstyle"/>
        </w:rPr>
        <w:t>3]</w:t>
      </w:r>
    </w:p>
    <w:p w:rsidR="00FB473F" w:rsidRPr="001243AA" w:rsidRDefault="00FB473F" w:rsidP="00FB473F">
      <w:pPr>
        <w:pStyle w:val="base-text-paragraph"/>
      </w:pPr>
      <w:r w:rsidRPr="001243AA">
        <w:t>The true-up provisions apply to:</w:t>
      </w:r>
    </w:p>
    <w:p w:rsidR="00FB473F" w:rsidRPr="001243AA" w:rsidRDefault="00FB473F" w:rsidP="00FB473F">
      <w:pPr>
        <w:pStyle w:val="dotpoint"/>
      </w:pPr>
      <w:r w:rsidRPr="001243AA">
        <w:t>the Australian States and Territories and Norfolk Island, but the true-up levy does not apply to the extent (if any) that it would involve taxing the property of a State;</w:t>
      </w:r>
      <w:r w:rsidR="008E1EF9">
        <w:t xml:space="preserve"> and</w:t>
      </w:r>
      <w:r w:rsidRPr="001243AA">
        <w:t xml:space="preserve">  </w:t>
      </w:r>
      <w:r w:rsidRPr="001243AA">
        <w:rPr>
          <w:rStyle w:val="Referencingstyle"/>
        </w:rPr>
        <w:t>[Schedule 1, item 347] [</w:t>
      </w:r>
      <w:r w:rsidR="001243AA" w:rsidRPr="001243AA">
        <w:rPr>
          <w:rStyle w:val="Referencingstyle"/>
        </w:rPr>
        <w:t>True-up Shortfall Levy (General) (</w:t>
      </w:r>
      <w:r w:rsidR="00622B79">
        <w:rPr>
          <w:rStyle w:val="Referencingstyle"/>
        </w:rPr>
        <w:t>Carbon Tax Repeal</w:t>
      </w:r>
      <w:r w:rsidR="001243AA" w:rsidRPr="001243AA">
        <w:rPr>
          <w:rStyle w:val="Referencingstyle"/>
        </w:rPr>
        <w:t xml:space="preserve">) Bill </w:t>
      </w:r>
      <w:r w:rsidR="00C90ACA">
        <w:rPr>
          <w:rStyle w:val="Referencingstyle"/>
        </w:rPr>
        <w:t>2014</w:t>
      </w:r>
      <w:r w:rsidR="00644F78" w:rsidRPr="001243AA">
        <w:rPr>
          <w:rStyle w:val="Referencingstyle"/>
        </w:rPr>
        <w:t xml:space="preserve">, </w:t>
      </w:r>
      <w:r w:rsidR="00FA5430" w:rsidRPr="001243AA">
        <w:rPr>
          <w:rStyle w:val="Referencingstyle"/>
        </w:rPr>
        <w:t xml:space="preserve">clauses </w:t>
      </w:r>
      <w:r w:rsidR="00644F78" w:rsidRPr="001243AA">
        <w:rPr>
          <w:rStyle w:val="Referencingstyle"/>
        </w:rPr>
        <w:t>4</w:t>
      </w:r>
      <w:r w:rsidR="00107EB1" w:rsidRPr="001243AA">
        <w:rPr>
          <w:rStyle w:val="Referencingstyle"/>
        </w:rPr>
        <w:t xml:space="preserve"> and </w:t>
      </w:r>
      <w:r w:rsidR="00644F78" w:rsidRPr="001243AA">
        <w:rPr>
          <w:rStyle w:val="Referencingstyle"/>
        </w:rPr>
        <w:t>9] [</w:t>
      </w:r>
      <w:r w:rsidR="001243AA" w:rsidRPr="001243AA">
        <w:rPr>
          <w:rStyle w:val="Referencingstyle"/>
        </w:rPr>
        <w:t>True-up Shortfall Levy (Excise) (</w:t>
      </w:r>
      <w:r w:rsidR="00622B79">
        <w:rPr>
          <w:rStyle w:val="Referencingstyle"/>
        </w:rPr>
        <w:t>Carbon Tax Repeal</w:t>
      </w:r>
      <w:r w:rsidR="001243AA" w:rsidRPr="001243AA">
        <w:rPr>
          <w:rStyle w:val="Referencingstyle"/>
        </w:rPr>
        <w:t xml:space="preserve">) Bill </w:t>
      </w:r>
      <w:r w:rsidR="00C90ACA">
        <w:rPr>
          <w:rStyle w:val="Referencingstyle"/>
        </w:rPr>
        <w:t>2014</w:t>
      </w:r>
      <w:r w:rsidRPr="001243AA">
        <w:rPr>
          <w:rStyle w:val="Referencingstyle"/>
        </w:rPr>
        <w:t xml:space="preserve">, </w:t>
      </w:r>
      <w:r w:rsidR="00FA5430" w:rsidRPr="001243AA">
        <w:rPr>
          <w:rStyle w:val="Referencingstyle"/>
        </w:rPr>
        <w:t xml:space="preserve">clauses </w:t>
      </w:r>
      <w:r w:rsidRPr="001243AA">
        <w:rPr>
          <w:rStyle w:val="Referencingstyle"/>
        </w:rPr>
        <w:t>4</w:t>
      </w:r>
      <w:r w:rsidR="00107EB1" w:rsidRPr="001243AA">
        <w:rPr>
          <w:rStyle w:val="Referencingstyle"/>
        </w:rPr>
        <w:t xml:space="preserve"> and </w:t>
      </w:r>
      <w:r w:rsidRPr="001243AA">
        <w:rPr>
          <w:rStyle w:val="Referencingstyle"/>
        </w:rPr>
        <w:t>9]</w:t>
      </w:r>
      <w:r w:rsidRPr="001243AA">
        <w:rPr>
          <w:b/>
          <w:i/>
        </w:rPr>
        <w:t xml:space="preserve"> </w:t>
      </w:r>
      <w:r w:rsidRPr="001243AA">
        <w:t xml:space="preserve">  </w:t>
      </w:r>
    </w:p>
    <w:p w:rsidR="00FB473F" w:rsidRPr="001243AA" w:rsidRDefault="00FB473F" w:rsidP="00FB473F">
      <w:pPr>
        <w:pStyle w:val="dotpoint"/>
      </w:pPr>
      <w:r w:rsidRPr="001243AA">
        <w:t xml:space="preserve">Australia’s external territories, exclusive economic zone and continental shelf and in the Joint Petroleum Development Area, consistent with the application of the </w:t>
      </w:r>
      <w:r w:rsidR="003151F1" w:rsidRPr="001243AA">
        <w:t>CE Act</w:t>
      </w:r>
      <w:r w:rsidR="00D5237C" w:rsidRPr="001243AA">
        <w:t xml:space="preserve">.  </w:t>
      </w:r>
      <w:r w:rsidR="000A0D0D" w:rsidRPr="001243AA">
        <w:rPr>
          <w:rStyle w:val="Referencingstyle"/>
        </w:rPr>
        <w:t>[Schedule </w:t>
      </w:r>
      <w:r w:rsidR="008D75C7" w:rsidRPr="001243AA">
        <w:rPr>
          <w:rStyle w:val="Referencingstyle"/>
        </w:rPr>
        <w:t xml:space="preserve">1, items 348 to </w:t>
      </w:r>
      <w:r w:rsidRPr="001243AA">
        <w:rPr>
          <w:rStyle w:val="Referencingstyle"/>
        </w:rPr>
        <w:t>350] [</w:t>
      </w:r>
      <w:r w:rsidR="001243AA" w:rsidRPr="001243AA">
        <w:rPr>
          <w:rStyle w:val="Referencingstyle"/>
        </w:rPr>
        <w:t>True-up Shortfall Levy (General) (</w:t>
      </w:r>
      <w:r w:rsidR="00622B79">
        <w:rPr>
          <w:rStyle w:val="Referencingstyle"/>
        </w:rPr>
        <w:t>Carbon Tax Repeal</w:t>
      </w:r>
      <w:r w:rsidR="001243AA" w:rsidRPr="001243AA">
        <w:rPr>
          <w:rStyle w:val="Referencingstyle"/>
        </w:rPr>
        <w:t xml:space="preserve">) Bill </w:t>
      </w:r>
      <w:r w:rsidR="00C90ACA">
        <w:rPr>
          <w:rStyle w:val="Referencingstyle"/>
        </w:rPr>
        <w:t>2014</w:t>
      </w:r>
      <w:r w:rsidR="00644F78" w:rsidRPr="001243AA">
        <w:rPr>
          <w:rStyle w:val="Referencingstyle"/>
        </w:rPr>
        <w:t xml:space="preserve">, </w:t>
      </w:r>
      <w:r w:rsidR="00FA5430" w:rsidRPr="001243AA">
        <w:rPr>
          <w:rStyle w:val="Referencingstyle"/>
        </w:rPr>
        <w:t xml:space="preserve">clauses </w:t>
      </w:r>
      <w:r w:rsidR="00644F78" w:rsidRPr="001243AA">
        <w:rPr>
          <w:rStyle w:val="Referencingstyle"/>
        </w:rPr>
        <w:t>5</w:t>
      </w:r>
      <w:r w:rsidR="005A6F13" w:rsidRPr="001243AA">
        <w:rPr>
          <w:rStyle w:val="Referencingstyle"/>
        </w:rPr>
        <w:t xml:space="preserve"> to</w:t>
      </w:r>
      <w:r w:rsidR="00603011" w:rsidRPr="001243AA">
        <w:rPr>
          <w:rStyle w:val="Referencingstyle"/>
        </w:rPr>
        <w:t xml:space="preserve"> </w:t>
      </w:r>
      <w:r w:rsidR="00644F78" w:rsidRPr="001243AA">
        <w:rPr>
          <w:rStyle w:val="Referencingstyle"/>
        </w:rPr>
        <w:t>7] [</w:t>
      </w:r>
      <w:r w:rsidR="001243AA" w:rsidRPr="001243AA">
        <w:rPr>
          <w:rStyle w:val="Referencingstyle"/>
        </w:rPr>
        <w:t>True-up Shortfall Levy (Excise) (</w:t>
      </w:r>
      <w:r w:rsidR="00622B79">
        <w:rPr>
          <w:rStyle w:val="Referencingstyle"/>
        </w:rPr>
        <w:t>Carbon Tax Repeal</w:t>
      </w:r>
      <w:r w:rsidR="001243AA" w:rsidRPr="001243AA">
        <w:rPr>
          <w:rStyle w:val="Referencingstyle"/>
        </w:rPr>
        <w:t xml:space="preserve">) Bill </w:t>
      </w:r>
      <w:r w:rsidR="00C90ACA">
        <w:rPr>
          <w:rStyle w:val="Referencingstyle"/>
        </w:rPr>
        <w:t>2014</w:t>
      </w:r>
      <w:r w:rsidR="00D5237C" w:rsidRPr="001243AA">
        <w:rPr>
          <w:rStyle w:val="Referencingstyle"/>
        </w:rPr>
        <w:t xml:space="preserve">, </w:t>
      </w:r>
      <w:r w:rsidR="00FA5430" w:rsidRPr="001243AA">
        <w:rPr>
          <w:rStyle w:val="Referencingstyle"/>
        </w:rPr>
        <w:t xml:space="preserve">clauses </w:t>
      </w:r>
      <w:r w:rsidRPr="001243AA">
        <w:rPr>
          <w:rStyle w:val="Referencingstyle"/>
        </w:rPr>
        <w:t>5</w:t>
      </w:r>
      <w:r w:rsidR="005A6F13" w:rsidRPr="001243AA">
        <w:rPr>
          <w:rStyle w:val="Referencingstyle"/>
        </w:rPr>
        <w:t xml:space="preserve"> to </w:t>
      </w:r>
      <w:r w:rsidRPr="001243AA">
        <w:rPr>
          <w:rStyle w:val="Referencingstyle"/>
        </w:rPr>
        <w:t>7]</w:t>
      </w:r>
    </w:p>
    <w:p w:rsidR="00737367" w:rsidRPr="001243AA" w:rsidRDefault="004C1410" w:rsidP="00FB473F">
      <w:pPr>
        <w:pStyle w:val="base-text-paragraph"/>
      </w:pPr>
      <w:r w:rsidRPr="001243AA">
        <w:t>The Commonwealth cannot tax itself and the true-up provisions do not apply to the Commonwealth</w:t>
      </w:r>
      <w:r w:rsidR="00D5237C" w:rsidRPr="001243AA">
        <w:t xml:space="preserve">.  </w:t>
      </w:r>
      <w:r w:rsidRPr="001243AA">
        <w:rPr>
          <w:rStyle w:val="Referencingstyle"/>
        </w:rPr>
        <w:t xml:space="preserve">[Schedule 1, </w:t>
      </w:r>
      <w:r w:rsidR="00FA5430" w:rsidRPr="001243AA">
        <w:rPr>
          <w:rStyle w:val="Referencingstyle"/>
        </w:rPr>
        <w:t>item</w:t>
      </w:r>
      <w:r w:rsidR="00EE451A" w:rsidRPr="001243AA">
        <w:rPr>
          <w:rStyle w:val="Referencingstyle"/>
        </w:rPr>
        <w:t xml:space="preserve"> </w:t>
      </w:r>
      <w:r w:rsidRPr="001243AA">
        <w:rPr>
          <w:rStyle w:val="Referencingstyle"/>
        </w:rPr>
        <w:t>347] [</w:t>
      </w:r>
      <w:r w:rsidR="001243AA" w:rsidRPr="001243AA">
        <w:rPr>
          <w:rStyle w:val="Referencingstyle"/>
        </w:rPr>
        <w:t>True-up Shortfall Levy (General) (</w:t>
      </w:r>
      <w:r w:rsidR="00622B79">
        <w:rPr>
          <w:rStyle w:val="Referencingstyle"/>
        </w:rPr>
        <w:t>Carbon Tax Repeal</w:t>
      </w:r>
      <w:r w:rsidR="001243AA" w:rsidRPr="001243AA">
        <w:rPr>
          <w:rStyle w:val="Referencingstyle"/>
        </w:rPr>
        <w:t xml:space="preserve">) Bill </w:t>
      </w:r>
      <w:r w:rsidR="00C90ACA">
        <w:rPr>
          <w:rStyle w:val="Referencingstyle"/>
        </w:rPr>
        <w:t>2014</w:t>
      </w:r>
      <w:r w:rsidR="00644F78" w:rsidRPr="001243AA">
        <w:rPr>
          <w:rStyle w:val="Referencingstyle"/>
        </w:rPr>
        <w:t xml:space="preserve">, </w:t>
      </w:r>
      <w:r w:rsidR="000A0D0D" w:rsidRPr="001243AA">
        <w:rPr>
          <w:rStyle w:val="Referencingstyle"/>
        </w:rPr>
        <w:t>clause</w:t>
      </w:r>
      <w:r w:rsidR="00644F78" w:rsidRPr="001243AA">
        <w:rPr>
          <w:rStyle w:val="Referencingstyle"/>
        </w:rPr>
        <w:t xml:space="preserve"> 4] [</w:t>
      </w:r>
      <w:r w:rsidR="001243AA" w:rsidRPr="001243AA">
        <w:rPr>
          <w:rStyle w:val="Referencingstyle"/>
        </w:rPr>
        <w:t>True-up Shortfall Levy (Excise) (</w:t>
      </w:r>
      <w:r w:rsidR="00622B79">
        <w:rPr>
          <w:rStyle w:val="Referencingstyle"/>
        </w:rPr>
        <w:t>Carbon Tax Repeal</w:t>
      </w:r>
      <w:r w:rsidR="001243AA" w:rsidRPr="001243AA">
        <w:rPr>
          <w:rStyle w:val="Referencingstyle"/>
        </w:rPr>
        <w:t xml:space="preserve">) Bill </w:t>
      </w:r>
      <w:r w:rsidR="00C90ACA">
        <w:rPr>
          <w:rStyle w:val="Referencingstyle"/>
        </w:rPr>
        <w:t>2014</w:t>
      </w:r>
      <w:r w:rsidRPr="001243AA">
        <w:rPr>
          <w:rStyle w:val="Referencingstyle"/>
        </w:rPr>
        <w:t xml:space="preserve">, </w:t>
      </w:r>
      <w:r w:rsidR="00FA5430" w:rsidRPr="001243AA">
        <w:rPr>
          <w:rStyle w:val="Referencingstyle"/>
        </w:rPr>
        <w:t xml:space="preserve">clause </w:t>
      </w:r>
      <w:r w:rsidRPr="001243AA">
        <w:rPr>
          <w:rStyle w:val="Referencingstyle"/>
        </w:rPr>
        <w:t>4]</w:t>
      </w:r>
      <w:r w:rsidRPr="001243AA">
        <w:rPr>
          <w:b/>
          <w:i/>
        </w:rPr>
        <w:t xml:space="preserve"> </w:t>
      </w:r>
      <w:r w:rsidRPr="001243AA">
        <w:t xml:space="preserve"> </w:t>
      </w:r>
    </w:p>
    <w:p w:rsidR="009F0FC1" w:rsidRDefault="009F0FC1" w:rsidP="009F0FC1">
      <w:pPr>
        <w:pStyle w:val="Heading4"/>
      </w:pPr>
      <w:r w:rsidRPr="001243AA">
        <w:t>Income tax deduction of true-up shortfall levy</w:t>
      </w:r>
    </w:p>
    <w:p w:rsidR="009F0FC1" w:rsidRPr="00094C9F" w:rsidRDefault="00E03B25" w:rsidP="00D6350B">
      <w:pPr>
        <w:pStyle w:val="base-text-paragraph"/>
      </w:pPr>
      <w:r>
        <w:t>There is no separate provision for the income tax treatment of a payment of a true-up shortfall levy, as the ordinary income tax deduction provisions apply to this levy (see section 8-1</w:t>
      </w:r>
      <w:r w:rsidRPr="006A0613">
        <w:t xml:space="preserve"> </w:t>
      </w:r>
      <w:r w:rsidRPr="00094C9F">
        <w:t>of the ITAA 1997</w:t>
      </w:r>
      <w:r>
        <w:t>)</w:t>
      </w:r>
      <w:r w:rsidR="00D5237C">
        <w:t xml:space="preserve">.  </w:t>
      </w:r>
      <w:r>
        <w:t>This results in t</w:t>
      </w:r>
      <w:r w:rsidRPr="00094C9F">
        <w:t>axpayers who dispose of their over</w:t>
      </w:r>
      <w:r>
        <w:t>-</w:t>
      </w:r>
      <w:r w:rsidRPr="00094C9F">
        <w:t xml:space="preserve">allocated units to a third party </w:t>
      </w:r>
      <w:r>
        <w:t>being</w:t>
      </w:r>
      <w:r w:rsidRPr="00094C9F">
        <w:t xml:space="preserve"> treated broadly in the same way as if they had voluntarily relinquished their excess units to the Regulator.</w:t>
      </w:r>
    </w:p>
    <w:p w:rsidR="009F0FC1" w:rsidRPr="00094C9F" w:rsidRDefault="00E03B25" w:rsidP="004B0750">
      <w:pPr>
        <w:pStyle w:val="base-text-paragraph"/>
      </w:pPr>
      <w:r w:rsidRPr="00094C9F">
        <w:t xml:space="preserve">For example, if taxpayers were to relinquish their free units to the Regulator for no consideration, </w:t>
      </w:r>
      <w:r>
        <w:t>financially</w:t>
      </w:r>
      <w:r w:rsidRPr="00094C9F">
        <w:t xml:space="preserve"> they would be in a neutral position, having neither received </w:t>
      </w:r>
      <w:r>
        <w:t xml:space="preserve">consideration for the relinquishment </w:t>
      </w:r>
      <w:r w:rsidRPr="00094C9F">
        <w:t>nor paid for the units</w:t>
      </w:r>
      <w:r w:rsidR="00D5237C">
        <w:t xml:space="preserve">.  </w:t>
      </w:r>
      <w:r w:rsidRPr="00094C9F">
        <w:t xml:space="preserve">Furthermore, they would not have received a deduction for the market value of the free units </w:t>
      </w:r>
      <w:r>
        <w:t xml:space="preserve">received </w:t>
      </w:r>
      <w:r w:rsidRPr="00094C9F">
        <w:t>or have been assessed on any amount upon relinquishing the units to the Regulator</w:t>
      </w:r>
      <w:r w:rsidR="00D5237C">
        <w:t xml:space="preserve">.  </w:t>
      </w:r>
    </w:p>
    <w:p w:rsidR="009F0FC1" w:rsidRPr="00094C9F" w:rsidRDefault="009F0FC1" w:rsidP="00D6350B">
      <w:pPr>
        <w:pStyle w:val="base-text-paragraph"/>
      </w:pPr>
      <w:r w:rsidRPr="00094C9F">
        <w:t xml:space="preserve">However, if taxpayers were to </w:t>
      </w:r>
      <w:r w:rsidR="00094C9F" w:rsidRPr="00094C9F">
        <w:t>sell</w:t>
      </w:r>
      <w:r w:rsidRPr="00094C9F">
        <w:t xml:space="preserve"> their </w:t>
      </w:r>
      <w:r w:rsidR="0032750E">
        <w:t>free</w:t>
      </w:r>
      <w:r w:rsidR="00094C9F" w:rsidRPr="00094C9F">
        <w:t xml:space="preserve"> </w:t>
      </w:r>
      <w:r w:rsidRPr="00094C9F">
        <w:t>units, they would be liable for a true-up levy</w:t>
      </w:r>
      <w:r w:rsidR="00D5237C">
        <w:t xml:space="preserve">.  </w:t>
      </w:r>
      <w:r w:rsidRPr="00094C9F">
        <w:t xml:space="preserve">Where the price received for the units is similar to the true-up levy imposed, taxpayers </w:t>
      </w:r>
      <w:r w:rsidR="00E03B25">
        <w:t>would</w:t>
      </w:r>
      <w:r w:rsidRPr="00094C9F">
        <w:t xml:space="preserve"> be in a similar position had they relinquished the units to the Regulator for no consideration</w:t>
      </w:r>
      <w:r w:rsidR="00D5237C">
        <w:t xml:space="preserve">.  </w:t>
      </w:r>
      <w:r w:rsidRPr="00094C9F">
        <w:t xml:space="preserve">This reflects that </w:t>
      </w:r>
      <w:r w:rsidR="00094C9F" w:rsidRPr="00094C9F">
        <w:t>any amounts</w:t>
      </w:r>
      <w:r w:rsidRPr="00094C9F">
        <w:t xml:space="preserve"> received for the </w:t>
      </w:r>
      <w:r w:rsidR="00094C9F" w:rsidRPr="00094C9F">
        <w:t>sale</w:t>
      </w:r>
      <w:r w:rsidRPr="00094C9F">
        <w:t xml:space="preserve"> of the units would broadly equate to the levy paid</w:t>
      </w:r>
      <w:r w:rsidR="00D5237C">
        <w:t xml:space="preserve">.  </w:t>
      </w:r>
      <w:r w:rsidRPr="00094C9F">
        <w:t>Furthermore, the amount included in assessable income would broadly be offset by a deduction for the levy</w:t>
      </w:r>
      <w:r w:rsidR="00D5237C">
        <w:t xml:space="preserve">.  </w:t>
      </w:r>
    </w:p>
    <w:p w:rsidR="00903443" w:rsidRDefault="009F0FC1" w:rsidP="00903443">
      <w:pPr>
        <w:pStyle w:val="base-text-paragraph"/>
      </w:pPr>
      <w:r w:rsidRPr="00094C9F">
        <w:t>If the levy remains unpaid after the time when it becomes due for payment, the entity is liable to pay a penalty of 20 per cent per annum or a lower percentage specified in the rules</w:t>
      </w:r>
      <w:r w:rsidR="00D5237C">
        <w:t xml:space="preserve">.  </w:t>
      </w:r>
      <w:r w:rsidR="006A0613" w:rsidRPr="00094C9F">
        <w:t>Section 26-5 of the ITAA 1997</w:t>
      </w:r>
      <w:r w:rsidR="006A0613">
        <w:t xml:space="preserve"> </w:t>
      </w:r>
      <w:r w:rsidRPr="00094C9F">
        <w:t>ensure</w:t>
      </w:r>
      <w:r w:rsidR="00E03B25">
        <w:t>s</w:t>
      </w:r>
      <w:r w:rsidRPr="00094C9F">
        <w:t xml:space="preserve"> the entity bears</w:t>
      </w:r>
      <w:r w:rsidR="006A0613">
        <w:t xml:space="preserve"> the full cost of this penalty and </w:t>
      </w:r>
      <w:r w:rsidRPr="00094C9F">
        <w:t>that the entity cannot claim an income tax deduct</w:t>
      </w:r>
      <w:r w:rsidR="006A0613">
        <w:t>ion in respect of this penalty</w:t>
      </w:r>
      <w:r w:rsidR="00D5237C">
        <w:t xml:space="preserve">.  </w:t>
      </w:r>
      <w:r w:rsidRPr="00094C9F">
        <w:t>This outcome is consistent with the income tax treatment that applies where an entity incurs a late payment penalty where they have not paid their unit shortfall charge by the required time</w:t>
      </w:r>
      <w:r w:rsidR="008D75C7">
        <w:t>.</w:t>
      </w:r>
    </w:p>
    <w:p w:rsidR="00903443" w:rsidRPr="00903443" w:rsidRDefault="00903443" w:rsidP="00903443">
      <w:pPr>
        <w:pStyle w:val="base-text-paragraph"/>
        <w:sectPr w:rsidR="00903443" w:rsidRPr="00903443" w:rsidSect="00196E2B">
          <w:headerReference w:type="default" r:id="rId29"/>
          <w:type w:val="oddPage"/>
          <w:pgSz w:w="11906" w:h="16838" w:code="9"/>
          <w:pgMar w:top="2466" w:right="2098" w:bottom="2466" w:left="2098" w:header="1559" w:footer="1899" w:gutter="0"/>
          <w:cols w:space="708"/>
          <w:titlePg/>
          <w:docGrid w:linePitch="360"/>
        </w:sectPr>
      </w:pPr>
    </w:p>
    <w:p w:rsidR="00834309" w:rsidRDefault="00834309" w:rsidP="007C1E27">
      <w:pPr>
        <w:pStyle w:val="ChapterHeading"/>
        <w:numPr>
          <w:ilvl w:val="0"/>
          <w:numId w:val="20"/>
        </w:numPr>
      </w:pPr>
      <w:bookmarkStart w:id="5" w:name="_Toc393138975"/>
      <w:r w:rsidRPr="008A062B">
        <w:rPr>
          <w:rStyle w:val="Font30point"/>
        </w:rPr>
        <w:t>C</w:t>
      </w:r>
      <w:r w:rsidRPr="008A062B">
        <w:rPr>
          <w:rStyle w:val="Font15point"/>
        </w:rPr>
        <w:t xml:space="preserve">hapter </w:t>
      </w:r>
      <w:r>
        <w:rPr>
          <w:rStyle w:val="Font19point"/>
        </w:rPr>
        <w:t>2</w:t>
      </w:r>
      <w:r>
        <w:tab/>
      </w:r>
      <w:r>
        <w:br/>
      </w:r>
      <w:r w:rsidR="004B0750">
        <w:t>Consequential amendments concerning emissions and energy r</w:t>
      </w:r>
      <w:r w:rsidR="00737367">
        <w:t xml:space="preserve">eporting, </w:t>
      </w:r>
      <w:r w:rsidR="004B0750">
        <w:t xml:space="preserve">carbon </w:t>
      </w:r>
      <w:r w:rsidR="00737367">
        <w:t>units</w:t>
      </w:r>
      <w:r w:rsidRPr="00085BF0">
        <w:t xml:space="preserve"> and the Clean Energy Regulator</w:t>
      </w:r>
      <w:bookmarkEnd w:id="5"/>
    </w:p>
    <w:p w:rsidR="00834309" w:rsidRDefault="00834309" w:rsidP="007343E0">
      <w:pPr>
        <w:pStyle w:val="Heading2"/>
      </w:pPr>
      <w:r>
        <w:t>Outline of chapter</w:t>
      </w:r>
    </w:p>
    <w:p w:rsidR="001F163E" w:rsidRPr="00834309" w:rsidRDefault="00EC0599" w:rsidP="001F163E">
      <w:pPr>
        <w:pStyle w:val="base-text-paragraph"/>
        <w:numPr>
          <w:ilvl w:val="1"/>
          <w:numId w:val="20"/>
        </w:numPr>
      </w:pPr>
      <w:r w:rsidRPr="00834309">
        <w:t>Chapter 2 explains amendments</w:t>
      </w:r>
      <w:r>
        <w:t xml:space="preserve"> to other legislation</w:t>
      </w:r>
      <w:r w:rsidRPr="00834309">
        <w:t xml:space="preserve"> </w:t>
      </w:r>
      <w:r>
        <w:t>that remove redundant and irrelevant functions and references, consequential on the repeal of the carbon tax</w:t>
      </w:r>
      <w:r w:rsidR="00D5237C">
        <w:t xml:space="preserve">.  </w:t>
      </w:r>
      <w:r>
        <w:t>This legislation existed when the carbon tax was introduced</w:t>
      </w:r>
      <w:r w:rsidR="00E03B25">
        <w:t xml:space="preserve"> and</w:t>
      </w:r>
      <w:r>
        <w:t xml:space="preserve"> was used to support the carbon tax and will continue in operation after the repeal of the carbon tax to support the Government’s emissions reduction, energy, energy efficiency and other policies</w:t>
      </w:r>
      <w:r w:rsidR="00D5237C">
        <w:t xml:space="preserve">.  </w:t>
      </w:r>
      <w:r w:rsidR="004B04A0">
        <w:t>The </w:t>
      </w:r>
      <w:r w:rsidR="000A0D0D">
        <w:t xml:space="preserve">amendments </w:t>
      </w:r>
      <w:r w:rsidR="006A26F8">
        <w:t>are</w:t>
      </w:r>
      <w:r w:rsidR="006A26F8" w:rsidRPr="00834309">
        <w:t>:</w:t>
      </w:r>
    </w:p>
    <w:p w:rsidR="00C26E8D" w:rsidRDefault="00C26E8D" w:rsidP="00C26E8D">
      <w:pPr>
        <w:pStyle w:val="dotpoint"/>
      </w:pPr>
      <w:r>
        <w:t>a</w:t>
      </w:r>
      <w:r w:rsidRPr="00C26E8D">
        <w:t xml:space="preserve">mendments to the NGER Act to remove the reporting requirements of entities liable under the </w:t>
      </w:r>
      <w:r w:rsidR="003151F1">
        <w:t>CE Act</w:t>
      </w:r>
      <w:r w:rsidRPr="00C26E8D">
        <w:t xml:space="preserve">  and to make consequential amendments</w:t>
      </w:r>
      <w:r>
        <w:t>;</w:t>
      </w:r>
      <w:r w:rsidRPr="00C26E8D">
        <w:t xml:space="preserve"> </w:t>
      </w:r>
    </w:p>
    <w:p w:rsidR="00834309" w:rsidRDefault="008D4534" w:rsidP="00C26E8D">
      <w:pPr>
        <w:pStyle w:val="dotpoint"/>
      </w:pPr>
      <w:r w:rsidRPr="00834309">
        <w:t>amendments</w:t>
      </w:r>
      <w:r>
        <w:t xml:space="preserve"> to the ANREU Act to</w:t>
      </w:r>
      <w:r w:rsidRPr="00834309">
        <w:t xml:space="preserve"> </w:t>
      </w:r>
      <w:r w:rsidR="00964A03" w:rsidRPr="00834309">
        <w:t>remove</w:t>
      </w:r>
      <w:r>
        <w:t xml:space="preserve"> carbon units from the Registry, </w:t>
      </w:r>
      <w:r w:rsidR="00964A03" w:rsidRPr="00834309">
        <w:t>remove architecture allowing for direct or indirect linkages with non-</w:t>
      </w:r>
      <w:r>
        <w:t xml:space="preserve">Kyoto emissions trading schemes, and </w:t>
      </w:r>
      <w:r w:rsidR="00B610E5">
        <w:t xml:space="preserve">remove </w:t>
      </w:r>
      <w:r w:rsidR="00964A03" w:rsidRPr="00834309">
        <w:t xml:space="preserve">references to the </w:t>
      </w:r>
      <w:r w:rsidR="003151F1">
        <w:t>CE Act</w:t>
      </w:r>
      <w:r w:rsidR="00964A03" w:rsidRPr="00384CE5">
        <w:t>;</w:t>
      </w:r>
      <w:r w:rsidR="00DF26F7">
        <w:t xml:space="preserve"> </w:t>
      </w:r>
    </w:p>
    <w:p w:rsidR="001F163E" w:rsidRPr="001F163E" w:rsidRDefault="001F163E" w:rsidP="001F163E">
      <w:pPr>
        <w:pStyle w:val="dotpoint"/>
      </w:pPr>
      <w:r w:rsidRPr="001F163E">
        <w:t xml:space="preserve">amendments to the </w:t>
      </w:r>
      <w:r w:rsidRPr="004B0750">
        <w:t xml:space="preserve">Regulator Act  to remove the Regulator’s functions under the </w:t>
      </w:r>
      <w:r w:rsidR="00EC0599">
        <w:t>CE  Act</w:t>
      </w:r>
      <w:r w:rsidRPr="001F163E">
        <w:t xml:space="preserve"> and to make other amendments consequential on the repeal of that legislation;</w:t>
      </w:r>
    </w:p>
    <w:p w:rsidR="001F163E" w:rsidRPr="001F163E" w:rsidRDefault="001F163E" w:rsidP="001F163E">
      <w:pPr>
        <w:pStyle w:val="dotpoint"/>
      </w:pPr>
      <w:r w:rsidRPr="001F163E">
        <w:t>amendments to the ASIC Act and the Corp</w:t>
      </w:r>
      <w:r w:rsidR="004B0750">
        <w:t>oration</w:t>
      </w:r>
      <w:r w:rsidRPr="001F163E">
        <w:t>s Act to cease regulation of carbon units as financial products; and</w:t>
      </w:r>
    </w:p>
    <w:p w:rsidR="001F163E" w:rsidRPr="001F163E" w:rsidRDefault="001F163E" w:rsidP="001F163E">
      <w:pPr>
        <w:pStyle w:val="dotpoint"/>
      </w:pPr>
      <w:r w:rsidRPr="001F163E">
        <w:t xml:space="preserve">amendments to the </w:t>
      </w:r>
      <w:r w:rsidRPr="001F163E">
        <w:rPr>
          <w:i/>
        </w:rPr>
        <w:t>Anti-Money Laundering and Counter Terrorism Financing Act 2006</w:t>
      </w:r>
      <w:r w:rsidRPr="001F163E">
        <w:t xml:space="preserve"> </w:t>
      </w:r>
      <w:r w:rsidR="005D4671">
        <w:t>(</w:t>
      </w:r>
      <w:r w:rsidR="005D4671" w:rsidRPr="00142FB8">
        <w:t>Anti-Money Laundering Act</w:t>
      </w:r>
      <w:r w:rsidR="005D4671">
        <w:t xml:space="preserve">) </w:t>
      </w:r>
      <w:r w:rsidRPr="001F163E">
        <w:t>to cease its application to carbon units.</w:t>
      </w:r>
    </w:p>
    <w:p w:rsidR="00834309" w:rsidRDefault="00834309" w:rsidP="007343E0">
      <w:pPr>
        <w:pStyle w:val="Heading2"/>
      </w:pPr>
      <w:r>
        <w:t>Context of amendments</w:t>
      </w:r>
    </w:p>
    <w:p w:rsidR="00C26E8D" w:rsidRDefault="00C26E8D" w:rsidP="00C26E8D">
      <w:pPr>
        <w:pStyle w:val="Heading3"/>
      </w:pPr>
      <w:r>
        <w:t>National Greenhouse and Energy Reporting Scheme</w:t>
      </w:r>
    </w:p>
    <w:p w:rsidR="00C26E8D" w:rsidRDefault="00EC0599" w:rsidP="00C26E8D">
      <w:pPr>
        <w:pStyle w:val="base-text-paragraph"/>
        <w:numPr>
          <w:ilvl w:val="1"/>
          <w:numId w:val="20"/>
        </w:numPr>
      </w:pPr>
      <w:r>
        <w:t>NGERS was implemented by</w:t>
      </w:r>
      <w:r w:rsidR="00AF2250">
        <w:t xml:space="preserve"> the</w:t>
      </w:r>
      <w:r>
        <w:t xml:space="preserve"> NGER Act and </w:t>
      </w:r>
      <w:r w:rsidRPr="00E54B1E">
        <w:t>commenced</w:t>
      </w:r>
      <w:r>
        <w:t xml:space="preserve"> operation in 2008</w:t>
      </w:r>
      <w:r w:rsidR="00D5237C">
        <w:t xml:space="preserve">.  </w:t>
      </w:r>
      <w:r>
        <w:t xml:space="preserve">NGERS </w:t>
      </w:r>
      <w:r w:rsidRPr="00C26E8D">
        <w:t>introduced a single national framework for reporting and disseminating company information about greenhouse gas emissions, energy production, energy consumption and other information</w:t>
      </w:r>
      <w:r w:rsidR="00D5237C">
        <w:t xml:space="preserve">.  </w:t>
      </w:r>
      <w:r>
        <w:t>NGERS will continue to</w:t>
      </w:r>
      <w:r w:rsidR="00C26E8D">
        <w:t>:</w:t>
      </w:r>
    </w:p>
    <w:p w:rsidR="001F163E" w:rsidRDefault="00EC0599" w:rsidP="001F163E">
      <w:pPr>
        <w:pStyle w:val="dotpoint"/>
      </w:pPr>
      <w:r>
        <w:t>assist</w:t>
      </w:r>
      <w:r w:rsidR="001F163E">
        <w:t xml:space="preserve"> Australia to meet its international reporting requirements;</w:t>
      </w:r>
    </w:p>
    <w:p w:rsidR="001F163E" w:rsidRDefault="00EC0599" w:rsidP="001F163E">
      <w:pPr>
        <w:pStyle w:val="dotpoint"/>
      </w:pPr>
      <w:r>
        <w:t>inform</w:t>
      </w:r>
      <w:r w:rsidR="001F163E">
        <w:t xml:space="preserve"> the Australian public; and</w:t>
      </w:r>
    </w:p>
    <w:p w:rsidR="00C26E8D" w:rsidRDefault="00EC0599" w:rsidP="001F163E">
      <w:pPr>
        <w:pStyle w:val="dotpoint"/>
      </w:pPr>
      <w:r>
        <w:t>inform</w:t>
      </w:r>
      <w:r w:rsidR="001F163E">
        <w:t xml:space="preserve"> the development of Government policy</w:t>
      </w:r>
      <w:r w:rsidR="00C26E8D">
        <w:t>.</w:t>
      </w:r>
    </w:p>
    <w:p w:rsidR="00EC0599" w:rsidRDefault="00EC0599" w:rsidP="00EC0599">
      <w:pPr>
        <w:pStyle w:val="base-text-paragraph"/>
        <w:numPr>
          <w:ilvl w:val="1"/>
          <w:numId w:val="20"/>
        </w:numPr>
      </w:pPr>
      <w:r w:rsidRPr="00EC0599">
        <w:t>From 2012, the objects of the NGER Act included underpinning the carbon tax, which will be removed.</w:t>
      </w:r>
    </w:p>
    <w:p w:rsidR="00834309" w:rsidRPr="00834309" w:rsidRDefault="00834309" w:rsidP="00834309">
      <w:pPr>
        <w:pStyle w:val="Heading3"/>
      </w:pPr>
      <w:r>
        <w:t>A</w:t>
      </w:r>
      <w:r w:rsidRPr="00964A03">
        <w:t>ustralian National Registry of Emissions Units</w:t>
      </w:r>
    </w:p>
    <w:p w:rsidR="00834309" w:rsidRDefault="00834309" w:rsidP="007C1E27">
      <w:pPr>
        <w:pStyle w:val="base-text-paragraph"/>
        <w:numPr>
          <w:ilvl w:val="1"/>
          <w:numId w:val="20"/>
        </w:numPr>
      </w:pPr>
      <w:r>
        <w:t>The A</w:t>
      </w:r>
      <w:r w:rsidRPr="00964A03">
        <w:t>ustralian National Registry of Emissions Units (</w:t>
      </w:r>
      <w:r w:rsidR="004B04A0">
        <w:t>the </w:t>
      </w:r>
      <w:r>
        <w:t>Registry</w:t>
      </w:r>
      <w:r w:rsidRPr="00964A03">
        <w:t>) is a secure electronic system designed to accurately track the location and ownership of</w:t>
      </w:r>
      <w:r>
        <w:t xml:space="preserve"> emission units</w:t>
      </w:r>
      <w:r w:rsidR="00D5237C">
        <w:t xml:space="preserve">.  </w:t>
      </w:r>
      <w:r w:rsidR="004B0750">
        <w:t xml:space="preserve">It was established </w:t>
      </w:r>
      <w:r w:rsidR="00EC0599">
        <w:t>on an administrative basis in 2008 to support Australia’s international climate change obligations</w:t>
      </w:r>
      <w:r w:rsidR="00D5237C">
        <w:t xml:space="preserve">.  </w:t>
      </w:r>
      <w:r w:rsidR="003609ED">
        <w:t>In 2011, t</w:t>
      </w:r>
      <w:r>
        <w:t>he Registry</w:t>
      </w:r>
      <w:r w:rsidRPr="007A2A15">
        <w:t xml:space="preserve"> </w:t>
      </w:r>
      <w:r w:rsidR="004B0750">
        <w:t>was backed by legislation</w:t>
      </w:r>
      <w:r w:rsidR="003609ED">
        <w:t xml:space="preserve"> </w:t>
      </w:r>
      <w:r>
        <w:t xml:space="preserve">through </w:t>
      </w:r>
      <w:r w:rsidRPr="007A2A15">
        <w:t>the introduction of the ANREU Act</w:t>
      </w:r>
      <w:r w:rsidR="004B0750">
        <w:t>, which</w:t>
      </w:r>
      <w:r w:rsidR="001F163E">
        <w:t xml:space="preserve"> was amended from 2012 to support the carbon tax</w:t>
      </w:r>
      <w:r w:rsidR="00D5237C">
        <w:t xml:space="preserve">.  </w:t>
      </w:r>
      <w:r w:rsidR="003609ED">
        <w:t>Given that the</w:t>
      </w:r>
      <w:r>
        <w:t xml:space="preserve"> Registry existed before introduction of the carbon tax </w:t>
      </w:r>
      <w:r w:rsidR="003609ED">
        <w:t xml:space="preserve">it </w:t>
      </w:r>
      <w:r>
        <w:t xml:space="preserve">will need to continue to deliver </w:t>
      </w:r>
      <w:r w:rsidR="001F163E">
        <w:t>it</w:t>
      </w:r>
      <w:r w:rsidR="00D56657">
        <w:t>s</w:t>
      </w:r>
      <w:r w:rsidR="001F163E">
        <w:t xml:space="preserve"> original</w:t>
      </w:r>
      <w:r>
        <w:t xml:space="preserve"> functions, </w:t>
      </w:r>
      <w:r w:rsidR="003609ED">
        <w:t>supported by the existing legislated framework</w:t>
      </w:r>
      <w:r w:rsidR="00D5237C">
        <w:t xml:space="preserve">.  </w:t>
      </w:r>
      <w:r w:rsidR="004B04A0">
        <w:t>These </w:t>
      </w:r>
      <w:r w:rsidR="003609ED">
        <w:t>functions include</w:t>
      </w:r>
      <w:r>
        <w:t>:</w:t>
      </w:r>
    </w:p>
    <w:p w:rsidR="00834309" w:rsidRDefault="001F163E" w:rsidP="00834309">
      <w:pPr>
        <w:pStyle w:val="dotpoint"/>
      </w:pPr>
      <w:r>
        <w:t xml:space="preserve">assisting </w:t>
      </w:r>
      <w:r w:rsidR="00834309">
        <w:t>Australia meet its commitments under the Kyoto Protocol; and</w:t>
      </w:r>
    </w:p>
    <w:p w:rsidR="00834309" w:rsidRDefault="001F163E" w:rsidP="00834309">
      <w:pPr>
        <w:pStyle w:val="dotpoint"/>
      </w:pPr>
      <w:r>
        <w:t xml:space="preserve">underpinning </w:t>
      </w:r>
      <w:r w:rsidR="00834309">
        <w:t xml:space="preserve">the operation of the Carbon Farming </w:t>
      </w:r>
      <w:r w:rsidR="000A0D0D">
        <w:t>Initiative</w:t>
      </w:r>
      <w:r w:rsidR="00B301E2">
        <w:t>.</w:t>
      </w:r>
    </w:p>
    <w:p w:rsidR="00834309" w:rsidRDefault="00834309" w:rsidP="007C1E27">
      <w:pPr>
        <w:pStyle w:val="base-text-paragraph"/>
        <w:numPr>
          <w:ilvl w:val="1"/>
          <w:numId w:val="20"/>
        </w:numPr>
      </w:pPr>
      <w:r>
        <w:t>With the introduction of the carbon tax, and subsequent</w:t>
      </w:r>
      <w:r w:rsidR="001F163E">
        <w:t xml:space="preserve"> decision</w:t>
      </w:r>
      <w:r>
        <w:t xml:space="preserve"> to </w:t>
      </w:r>
      <w:r w:rsidR="001F163E">
        <w:t xml:space="preserve">link to </w:t>
      </w:r>
      <w:r>
        <w:t xml:space="preserve">the European Union Emissions Trading </w:t>
      </w:r>
      <w:r w:rsidR="00AF2250">
        <w:t>Scheme</w:t>
      </w:r>
      <w:r w:rsidR="00061F5F">
        <w:t xml:space="preserve"> (EU ETS)</w:t>
      </w:r>
      <w:r>
        <w:t>, a number of amendments were made to the ANREU Act to recognise specific emission units issued under these schemes</w:t>
      </w:r>
      <w:r w:rsidR="00D5237C">
        <w:t xml:space="preserve">.  </w:t>
      </w:r>
      <w:r>
        <w:t xml:space="preserve">To ensure clarity and consistency, references to these units and mechanisms relating to these units </w:t>
      </w:r>
      <w:r w:rsidR="00BB7CB3">
        <w:t>will</w:t>
      </w:r>
      <w:r>
        <w:t xml:space="preserve"> be removed.</w:t>
      </w:r>
    </w:p>
    <w:p w:rsidR="00DF26F7" w:rsidRDefault="004B0750" w:rsidP="00DF26F7">
      <w:pPr>
        <w:pStyle w:val="Heading3"/>
      </w:pPr>
      <w:r>
        <w:t>Financial regulation and carbon units</w:t>
      </w:r>
    </w:p>
    <w:p w:rsidR="00DF26F7" w:rsidRDefault="001F163E" w:rsidP="00DF26F7">
      <w:pPr>
        <w:pStyle w:val="base-text-paragraph"/>
        <w:numPr>
          <w:ilvl w:val="1"/>
          <w:numId w:val="20"/>
        </w:numPr>
      </w:pPr>
      <w:r>
        <w:t>Repeal of the carbon tax will result in the cancellation of all carbon units and it is no longer necessary that they be recognised as financial products</w:t>
      </w:r>
      <w:r w:rsidR="00D5237C">
        <w:t xml:space="preserve">.  </w:t>
      </w:r>
      <w:r>
        <w:t>Accordingly, a carbon unit</w:t>
      </w:r>
      <w:r w:rsidR="00BB7CB3">
        <w:t xml:space="preserve"> will cease </w:t>
      </w:r>
      <w:r>
        <w:t xml:space="preserve">to be a financial product under the ASIC Act and the </w:t>
      </w:r>
      <w:r w:rsidR="004B0750">
        <w:t>Corporations Act</w:t>
      </w:r>
      <w:r w:rsidR="00DF26F7">
        <w:t>.</w:t>
      </w:r>
    </w:p>
    <w:p w:rsidR="00082E38" w:rsidRPr="001F163E" w:rsidRDefault="00082E38" w:rsidP="00DF26F7">
      <w:pPr>
        <w:pStyle w:val="base-text-paragraph"/>
        <w:numPr>
          <w:ilvl w:val="1"/>
          <w:numId w:val="20"/>
        </w:numPr>
      </w:pPr>
      <w:r w:rsidRPr="001F163E">
        <w:t xml:space="preserve">Transitional arrangements are provided in relation to the application of the ASIC Act and </w:t>
      </w:r>
      <w:r w:rsidR="004B0750">
        <w:t>Corporations Act</w:t>
      </w:r>
      <w:r w:rsidRPr="001F163E">
        <w:t xml:space="preserve"> on carbon units issued before the </w:t>
      </w:r>
      <w:r w:rsidR="00B301E2">
        <w:t>specified date</w:t>
      </w:r>
      <w:r w:rsidR="00B301E2" w:rsidRPr="001F163E">
        <w:t xml:space="preserve"> </w:t>
      </w:r>
      <w:r w:rsidRPr="001F163E">
        <w:t>and the form in which the ASIC may vary or cancel an Australian Financial Services (AFS) licence with a carbon unit authorisation</w:t>
      </w:r>
      <w:r w:rsidR="001F163E">
        <w:t>.</w:t>
      </w:r>
    </w:p>
    <w:p w:rsidR="00834309" w:rsidRDefault="00834309" w:rsidP="007343E0">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834309" w:rsidRPr="004666B8" w:rsidTr="007343E0">
        <w:tc>
          <w:tcPr>
            <w:tcW w:w="3275" w:type="dxa"/>
          </w:tcPr>
          <w:p w:rsidR="00834309" w:rsidRPr="004666B8" w:rsidRDefault="00834309" w:rsidP="007343E0">
            <w:pPr>
              <w:pStyle w:val="tableheaderwithintable"/>
              <w:rPr>
                <w:lang w:val="en-US" w:eastAsia="en-US"/>
              </w:rPr>
            </w:pPr>
            <w:r w:rsidRPr="004666B8">
              <w:rPr>
                <w:lang w:val="en-US" w:eastAsia="en-US"/>
              </w:rPr>
              <w:t>New law</w:t>
            </w:r>
          </w:p>
        </w:tc>
        <w:tc>
          <w:tcPr>
            <w:tcW w:w="3276" w:type="dxa"/>
          </w:tcPr>
          <w:p w:rsidR="00834309" w:rsidRPr="004666B8" w:rsidRDefault="00834309" w:rsidP="007343E0">
            <w:pPr>
              <w:pStyle w:val="tableheaderwithintable"/>
              <w:rPr>
                <w:lang w:val="en-US" w:eastAsia="en-US"/>
              </w:rPr>
            </w:pPr>
            <w:r w:rsidRPr="004666B8">
              <w:rPr>
                <w:lang w:val="en-US" w:eastAsia="en-US"/>
              </w:rPr>
              <w:t>Current law</w:t>
            </w:r>
          </w:p>
        </w:tc>
      </w:tr>
      <w:tr w:rsidR="001F163E" w:rsidRPr="004666B8" w:rsidTr="00146D5A">
        <w:tc>
          <w:tcPr>
            <w:tcW w:w="6551" w:type="dxa"/>
            <w:gridSpan w:val="2"/>
          </w:tcPr>
          <w:p w:rsidR="001F163E" w:rsidRPr="004666B8" w:rsidRDefault="001F163E" w:rsidP="001F163E">
            <w:pPr>
              <w:pStyle w:val="tabletext"/>
              <w:jc w:val="center"/>
              <w:rPr>
                <w:lang w:val="en-US" w:eastAsia="en-US"/>
              </w:rPr>
            </w:pPr>
            <w:r w:rsidRPr="001F163E">
              <w:rPr>
                <w:b/>
              </w:rPr>
              <w:t>Reporting under NGERS</w:t>
            </w:r>
          </w:p>
        </w:tc>
      </w:tr>
      <w:tr w:rsidR="00F041CA" w:rsidRPr="004666B8" w:rsidTr="007343E0">
        <w:tc>
          <w:tcPr>
            <w:tcW w:w="3275" w:type="dxa"/>
          </w:tcPr>
          <w:p w:rsidR="00F041CA" w:rsidRPr="004666B8" w:rsidRDefault="00DD6601" w:rsidP="00DD6601">
            <w:pPr>
              <w:pStyle w:val="tabletext"/>
              <w:rPr>
                <w:lang w:val="en-US" w:eastAsia="en-US"/>
              </w:rPr>
            </w:pPr>
            <w:r>
              <w:rPr>
                <w:lang w:val="en-US" w:eastAsia="en-US"/>
              </w:rPr>
              <w:t>From 2014-15 r</w:t>
            </w:r>
            <w:r w:rsidR="00F041CA" w:rsidRPr="00115B4F">
              <w:rPr>
                <w:lang w:val="en-US" w:eastAsia="en-US"/>
              </w:rPr>
              <w:t xml:space="preserve">eporting obligations only apply to </w:t>
            </w:r>
            <w:r w:rsidR="00F041CA">
              <w:rPr>
                <w:lang w:val="en-US" w:eastAsia="en-US"/>
              </w:rPr>
              <w:t xml:space="preserve">constitutional corporations </w:t>
            </w:r>
            <w:r w:rsidR="00F041CA" w:rsidRPr="00115B4F">
              <w:rPr>
                <w:lang w:val="en-US" w:eastAsia="en-US"/>
              </w:rPr>
              <w:t xml:space="preserve">and </w:t>
            </w:r>
            <w:r w:rsidR="00F041CA">
              <w:rPr>
                <w:lang w:val="en-US" w:eastAsia="en-US"/>
              </w:rPr>
              <w:t>do</w:t>
            </w:r>
            <w:r w:rsidR="00F041CA" w:rsidRPr="00115B4F">
              <w:rPr>
                <w:lang w:val="en-US" w:eastAsia="en-US"/>
              </w:rPr>
              <w:t xml:space="preserve"> not extend to ‘persons’</w:t>
            </w:r>
            <w:r w:rsidR="00F041CA">
              <w:rPr>
                <w:lang w:val="en-US" w:eastAsia="en-US"/>
              </w:rPr>
              <w:t>.</w:t>
            </w:r>
          </w:p>
        </w:tc>
        <w:tc>
          <w:tcPr>
            <w:tcW w:w="3276" w:type="dxa"/>
          </w:tcPr>
          <w:p w:rsidR="00F041CA" w:rsidRPr="004666B8" w:rsidRDefault="00F041CA" w:rsidP="00F041CA">
            <w:pPr>
              <w:pStyle w:val="tabletext"/>
              <w:rPr>
                <w:lang w:val="en-US" w:eastAsia="en-US"/>
              </w:rPr>
            </w:pPr>
            <w:r>
              <w:rPr>
                <w:lang w:val="en-US" w:eastAsia="en-US"/>
              </w:rPr>
              <w:t>In addition to reports provided under section 19 of the NGER Act by constitutional corporations, any person who is liable under the carbon pricing mechanism is required</w:t>
            </w:r>
            <w:r w:rsidRPr="00115B4F">
              <w:rPr>
                <w:lang w:val="en-US" w:eastAsia="en-US"/>
              </w:rPr>
              <w:t xml:space="preserve"> to provide reports to the Regulator</w:t>
            </w:r>
            <w:r w:rsidRPr="00A03836">
              <w:t xml:space="preserve"> under sections 22A and 22AA</w:t>
            </w:r>
            <w:r>
              <w:t xml:space="preserve"> of the NGER Act.</w:t>
            </w:r>
          </w:p>
        </w:tc>
      </w:tr>
      <w:tr w:rsidR="001F163E" w:rsidRPr="004666B8" w:rsidTr="00146D5A">
        <w:tc>
          <w:tcPr>
            <w:tcW w:w="6551" w:type="dxa"/>
            <w:gridSpan w:val="2"/>
          </w:tcPr>
          <w:p w:rsidR="001F163E" w:rsidRPr="004666B8" w:rsidRDefault="001F163E" w:rsidP="001F163E">
            <w:pPr>
              <w:pStyle w:val="tabletext"/>
              <w:jc w:val="center"/>
              <w:rPr>
                <w:lang w:val="en-US" w:eastAsia="en-US"/>
              </w:rPr>
            </w:pPr>
            <w:r w:rsidRPr="001F163E">
              <w:rPr>
                <w:b/>
              </w:rPr>
              <w:t>Audits under NGERS</w:t>
            </w:r>
          </w:p>
        </w:tc>
      </w:tr>
      <w:tr w:rsidR="00F041CA" w:rsidRPr="004666B8" w:rsidTr="007343E0">
        <w:tc>
          <w:tcPr>
            <w:tcW w:w="3275" w:type="dxa"/>
          </w:tcPr>
          <w:p w:rsidR="00F041CA" w:rsidRPr="004666B8" w:rsidRDefault="00DD6601" w:rsidP="005A6F13">
            <w:pPr>
              <w:pStyle w:val="tabletext"/>
              <w:rPr>
                <w:lang w:val="en-US" w:eastAsia="en-US"/>
              </w:rPr>
            </w:pPr>
            <w:r>
              <w:rPr>
                <w:lang w:val="en-US" w:eastAsia="en-US"/>
              </w:rPr>
              <w:t>From 2014-15 t</w:t>
            </w:r>
            <w:r w:rsidR="00F041CA">
              <w:t>he auditing arrangements for constitutional corporations that existed prior to the introduction of the carbon tax apply</w:t>
            </w:r>
            <w:r w:rsidR="00D5237C">
              <w:t xml:space="preserve">.  </w:t>
            </w:r>
            <w:r w:rsidR="00F041CA">
              <w:t>Mandatory pre-submission audits are not required.</w:t>
            </w:r>
          </w:p>
        </w:tc>
        <w:tc>
          <w:tcPr>
            <w:tcW w:w="3276" w:type="dxa"/>
          </w:tcPr>
          <w:p w:rsidR="00F041CA" w:rsidRPr="004666B8" w:rsidRDefault="00F041CA" w:rsidP="00F041CA">
            <w:pPr>
              <w:pStyle w:val="tabletext"/>
              <w:rPr>
                <w:lang w:val="en-US" w:eastAsia="en-US"/>
              </w:rPr>
            </w:pPr>
            <w:r w:rsidRPr="00F041CA">
              <w:t>Large</w:t>
            </w:r>
            <w:r>
              <w:t xml:space="preserve"> liable entities must have their reports audited prior to submitting them to the Regulator</w:t>
            </w:r>
            <w:r w:rsidR="00D5237C">
              <w:t xml:space="preserve">.  </w:t>
            </w:r>
            <w:r>
              <w:t>These audit requirements are in addition to the audit requirements that existed prior to the introduction of the carbon tax.</w:t>
            </w:r>
          </w:p>
        </w:tc>
      </w:tr>
      <w:tr w:rsidR="00082E38" w:rsidRPr="004666B8" w:rsidTr="00082E38">
        <w:tc>
          <w:tcPr>
            <w:tcW w:w="6551" w:type="dxa"/>
            <w:gridSpan w:val="2"/>
          </w:tcPr>
          <w:p w:rsidR="00082E38" w:rsidRPr="00082E38" w:rsidRDefault="00082E38" w:rsidP="00082E38">
            <w:pPr>
              <w:pStyle w:val="tabletext"/>
              <w:jc w:val="center"/>
              <w:rPr>
                <w:b/>
                <w:lang w:val="en-US" w:eastAsia="en-US"/>
              </w:rPr>
            </w:pPr>
            <w:r w:rsidRPr="00082E38">
              <w:rPr>
                <w:b/>
              </w:rPr>
              <w:t>Removal of carbon units as a financial product</w:t>
            </w:r>
          </w:p>
        </w:tc>
      </w:tr>
      <w:tr w:rsidR="00082E38" w:rsidRPr="004666B8" w:rsidTr="007343E0">
        <w:tc>
          <w:tcPr>
            <w:tcW w:w="3275" w:type="dxa"/>
          </w:tcPr>
          <w:p w:rsidR="00082E38" w:rsidRPr="00082E38" w:rsidRDefault="00082E38" w:rsidP="00082E38">
            <w:pPr>
              <w:pStyle w:val="tabletext"/>
              <w:rPr>
                <w:lang w:val="en-US" w:eastAsia="en-US"/>
              </w:rPr>
            </w:pPr>
            <w:r w:rsidRPr="00082E38">
              <w:rPr>
                <w:lang w:val="en-US" w:eastAsia="en-US"/>
              </w:rPr>
              <w:t xml:space="preserve">Carbon units will no longer be classified as a financial product under the </w:t>
            </w:r>
            <w:r w:rsidR="00202BE6" w:rsidRPr="00082E38">
              <w:rPr>
                <w:lang w:val="en-US" w:eastAsia="en-US"/>
              </w:rPr>
              <w:t xml:space="preserve">ASIC Act and </w:t>
            </w:r>
            <w:r w:rsidR="00202BE6">
              <w:rPr>
                <w:lang w:val="en-US" w:eastAsia="en-US"/>
              </w:rPr>
              <w:t>the Corporations Act</w:t>
            </w:r>
            <w:r w:rsidR="00D5237C">
              <w:rPr>
                <w:lang w:val="en-US" w:eastAsia="en-US"/>
              </w:rPr>
              <w:t xml:space="preserve">.  </w:t>
            </w:r>
          </w:p>
          <w:p w:rsidR="00082E38" w:rsidRPr="004666B8" w:rsidRDefault="00082E38" w:rsidP="005D4671">
            <w:pPr>
              <w:pStyle w:val="tabletext"/>
              <w:rPr>
                <w:lang w:val="en-US" w:eastAsia="en-US"/>
              </w:rPr>
            </w:pPr>
            <w:r w:rsidRPr="00082E38">
              <w:rPr>
                <w:lang w:val="en-US" w:eastAsia="en-US"/>
              </w:rPr>
              <w:t xml:space="preserve">Transitional arrangements are provided in relation to the application of the ASIC Act and </w:t>
            </w:r>
            <w:r w:rsidR="004B0750">
              <w:rPr>
                <w:lang w:val="en-US" w:eastAsia="en-US"/>
              </w:rPr>
              <w:t>Corporations Act</w:t>
            </w:r>
            <w:r w:rsidRPr="00082E38">
              <w:rPr>
                <w:lang w:val="en-US" w:eastAsia="en-US"/>
              </w:rPr>
              <w:t xml:space="preserve"> </w:t>
            </w:r>
            <w:r w:rsidR="005D4671">
              <w:rPr>
                <w:lang w:val="en-US" w:eastAsia="en-US"/>
              </w:rPr>
              <w:t>to</w:t>
            </w:r>
            <w:r w:rsidRPr="00082E38">
              <w:rPr>
                <w:lang w:val="en-US" w:eastAsia="en-US"/>
              </w:rPr>
              <w:t xml:space="preserve"> carbon units issued before the </w:t>
            </w:r>
            <w:r>
              <w:rPr>
                <w:lang w:val="en-US" w:eastAsia="en-US"/>
              </w:rPr>
              <w:t>‘</w:t>
            </w:r>
            <w:r w:rsidRPr="00082E38">
              <w:rPr>
                <w:lang w:val="en-US" w:eastAsia="en-US"/>
              </w:rPr>
              <w:t>designated carbon unit day</w:t>
            </w:r>
            <w:r>
              <w:rPr>
                <w:lang w:val="en-US" w:eastAsia="en-US"/>
              </w:rPr>
              <w:t>’</w:t>
            </w:r>
            <w:r w:rsidRPr="00082E38">
              <w:rPr>
                <w:lang w:val="en-US" w:eastAsia="en-US"/>
              </w:rPr>
              <w:t xml:space="preserve"> and the </w:t>
            </w:r>
            <w:r w:rsidR="001F163E">
              <w:rPr>
                <w:lang w:val="en-US" w:eastAsia="en-US"/>
              </w:rPr>
              <w:t>way</w:t>
            </w:r>
            <w:r w:rsidRPr="00082E38">
              <w:rPr>
                <w:lang w:val="en-US" w:eastAsia="en-US"/>
              </w:rPr>
              <w:t xml:space="preserve"> in which ASIC may vary or cancel an AFS licence with a carbon unit authorisation</w:t>
            </w:r>
            <w:r>
              <w:rPr>
                <w:lang w:val="en-US" w:eastAsia="en-US"/>
              </w:rPr>
              <w:t>.</w:t>
            </w:r>
          </w:p>
        </w:tc>
        <w:tc>
          <w:tcPr>
            <w:tcW w:w="3276" w:type="dxa"/>
          </w:tcPr>
          <w:p w:rsidR="00082E38" w:rsidRDefault="00082E38" w:rsidP="00082E38">
            <w:pPr>
              <w:pStyle w:val="tabletext"/>
            </w:pPr>
            <w:r>
              <w:t xml:space="preserve">Carbon units are currently classified as a financial product under the </w:t>
            </w:r>
            <w:r w:rsidR="00202BE6" w:rsidRPr="00082E38">
              <w:rPr>
                <w:lang w:val="en-US" w:eastAsia="en-US"/>
              </w:rPr>
              <w:t xml:space="preserve">ASIC Act and </w:t>
            </w:r>
            <w:r w:rsidR="00202BE6">
              <w:rPr>
                <w:lang w:val="en-US" w:eastAsia="en-US"/>
              </w:rPr>
              <w:t>the Corporations Act</w:t>
            </w:r>
            <w:r w:rsidR="00D5237C">
              <w:t xml:space="preserve">.  </w:t>
            </w:r>
            <w:r>
              <w:t xml:space="preserve">As a result, carbon units are subject to the </w:t>
            </w:r>
            <w:r w:rsidR="004B0750">
              <w:t>Corporations Act</w:t>
            </w:r>
            <w:r>
              <w:t xml:space="preserve"> and the ASIC Act and businesses providing services in respect of carbon units are regulated by ASIC.</w:t>
            </w:r>
          </w:p>
          <w:p w:rsidR="00082E38" w:rsidRPr="004666B8" w:rsidRDefault="00082E38" w:rsidP="00082E38">
            <w:pPr>
              <w:pStyle w:val="tabletext"/>
              <w:rPr>
                <w:lang w:val="en-US" w:eastAsia="en-US"/>
              </w:rPr>
            </w:pPr>
            <w:r>
              <w:t>ASIC currently has the ability to vary or cancel an AFS licence under certain circumstances</w:t>
            </w:r>
            <w:r w:rsidR="00202BE6">
              <w:t>.</w:t>
            </w:r>
          </w:p>
        </w:tc>
      </w:tr>
    </w:tbl>
    <w:p w:rsidR="00834309" w:rsidRDefault="00834309" w:rsidP="007343E0">
      <w:pPr>
        <w:pStyle w:val="Heading2"/>
      </w:pPr>
      <w:r>
        <w:t>Detailed explanation of new law</w:t>
      </w:r>
    </w:p>
    <w:p w:rsidR="00834309" w:rsidRDefault="00A03836" w:rsidP="00A03836">
      <w:pPr>
        <w:pStyle w:val="Heading3"/>
      </w:pPr>
      <w:r>
        <w:t>National Greenhouse and Energy Reporting Scheme</w:t>
      </w:r>
    </w:p>
    <w:p w:rsidR="00C26E8D" w:rsidRDefault="00A03836" w:rsidP="00A03836">
      <w:pPr>
        <w:pStyle w:val="Heading4"/>
      </w:pPr>
      <w:r w:rsidRPr="00B915E7">
        <w:t xml:space="preserve">Removal of requirements </w:t>
      </w:r>
      <w:r w:rsidR="00620341">
        <w:t>relating to</w:t>
      </w:r>
      <w:r w:rsidRPr="00B915E7">
        <w:t xml:space="preserve"> liable entities </w:t>
      </w:r>
    </w:p>
    <w:p w:rsidR="00A03836" w:rsidRPr="00A03836" w:rsidRDefault="00A03836" w:rsidP="00A03836">
      <w:pPr>
        <w:pStyle w:val="base-text-paragraph"/>
        <w:numPr>
          <w:ilvl w:val="1"/>
          <w:numId w:val="20"/>
        </w:numPr>
        <w:rPr>
          <w:rStyle w:val="Referencingstyle"/>
          <w:b w:val="0"/>
          <w:i w:val="0"/>
          <w:sz w:val="22"/>
        </w:rPr>
      </w:pPr>
      <w:r w:rsidRPr="00A03836">
        <w:t xml:space="preserve">Liable entities will not be required to provide reports to </w:t>
      </w:r>
      <w:r w:rsidR="004B0750">
        <w:t>the Regulator</w:t>
      </w:r>
      <w:r w:rsidRPr="00A03836">
        <w:t xml:space="preserve"> relating to emissions numbers under sections 22A and 22AA </w:t>
      </w:r>
      <w:r w:rsidR="00BB7CB3">
        <w:t xml:space="preserve">of the NGER Act </w:t>
      </w:r>
      <w:r w:rsidRPr="00A03836">
        <w:t>after reporting requirements for 2013-14 are met</w:t>
      </w:r>
      <w:r w:rsidR="00D5237C">
        <w:t xml:space="preserve">.  </w:t>
      </w:r>
      <w:r w:rsidR="004B04A0">
        <w:t>The </w:t>
      </w:r>
      <w:r w:rsidR="001F163E">
        <w:t xml:space="preserve">Main Repeal Bill </w:t>
      </w:r>
      <w:r w:rsidRPr="00A03836">
        <w:t>remove</w:t>
      </w:r>
      <w:r>
        <w:t>s</w:t>
      </w:r>
      <w:r w:rsidRPr="00A03836">
        <w:t xml:space="preserve"> the </w:t>
      </w:r>
      <w:r>
        <w:t>provisions</w:t>
      </w:r>
      <w:r w:rsidRPr="00A03836">
        <w:t xml:space="preserve"> of the NGER Act that create these obligations and the references to them</w:t>
      </w:r>
      <w:r w:rsidR="00D5237C">
        <w:t xml:space="preserve">.  </w:t>
      </w:r>
      <w:r w:rsidR="000D14E4">
        <w:rPr>
          <w:rStyle w:val="Referencingstyle"/>
        </w:rPr>
        <w:t>[Schedule 1</w:t>
      </w:r>
      <w:r w:rsidR="00D5237C">
        <w:rPr>
          <w:rStyle w:val="Referencingstyle"/>
        </w:rPr>
        <w:t xml:space="preserve">, </w:t>
      </w:r>
      <w:r w:rsidR="000D14E4">
        <w:rPr>
          <w:rStyle w:val="Referencingstyle"/>
        </w:rPr>
        <w:t xml:space="preserve">items 293 to </w:t>
      </w:r>
      <w:r w:rsidRPr="00A03836">
        <w:rPr>
          <w:rStyle w:val="Referencingstyle"/>
        </w:rPr>
        <w:t xml:space="preserve">295, </w:t>
      </w:r>
      <w:r w:rsidR="004C1410">
        <w:rPr>
          <w:rStyle w:val="Referencingstyle"/>
          <w:rFonts w:eastAsiaTheme="minorHAnsi"/>
        </w:rPr>
        <w:t>section</w:t>
      </w:r>
      <w:r w:rsidR="004C1410">
        <w:rPr>
          <w:rStyle w:val="Referencingstyle"/>
        </w:rPr>
        <w:t xml:space="preserve"> </w:t>
      </w:r>
      <w:r w:rsidR="000D14E4">
        <w:rPr>
          <w:rStyle w:val="Referencingstyle"/>
        </w:rPr>
        <w:t>22(1)(a)-(b), 22(2)(a)-(b) and</w:t>
      </w:r>
      <w:r w:rsidRPr="00A03836">
        <w:rPr>
          <w:rStyle w:val="Referencingstyle"/>
        </w:rPr>
        <w:t xml:space="preserve"> Parts 3A and 3D, NGER Act]</w:t>
      </w:r>
    </w:p>
    <w:p w:rsidR="00A03836" w:rsidRPr="000D14E4" w:rsidRDefault="000D14E4" w:rsidP="00A03836">
      <w:pPr>
        <w:pStyle w:val="base-text-paragraph"/>
        <w:numPr>
          <w:ilvl w:val="1"/>
          <w:numId w:val="20"/>
        </w:numPr>
        <w:rPr>
          <w:rStyle w:val="Referencingstyle"/>
          <w:b w:val="0"/>
          <w:i w:val="0"/>
          <w:sz w:val="22"/>
        </w:rPr>
      </w:pPr>
      <w:r>
        <w:t xml:space="preserve">The </w:t>
      </w:r>
      <w:r w:rsidR="001F163E">
        <w:t>Main Repeal Bill</w:t>
      </w:r>
      <w:r w:rsidR="001F163E" w:rsidRPr="00A03836">
        <w:t xml:space="preserve"> </w:t>
      </w:r>
      <w:r w:rsidR="00A03836" w:rsidRPr="00A03836">
        <w:t>also remove</w:t>
      </w:r>
      <w:r w:rsidR="001F163E">
        <w:t>s</w:t>
      </w:r>
      <w:r w:rsidR="00A03836" w:rsidRPr="00A03836">
        <w:t xml:space="preserve"> the requirements </w:t>
      </w:r>
      <w:r w:rsidR="00BB7CB3">
        <w:t xml:space="preserve">in the NGER Act </w:t>
      </w:r>
      <w:r w:rsidR="001F163E">
        <w:t>that</w:t>
      </w:r>
      <w:r w:rsidR="00A03836" w:rsidRPr="00A03836">
        <w:t xml:space="preserve"> liable entities apply to the Regulator to be registered, and the obligations of the Regulator to register or deregister a person who has applied, after the end of financial year 2013-14</w:t>
      </w:r>
      <w:r w:rsidR="00D5237C">
        <w:t xml:space="preserve">.  </w:t>
      </w:r>
      <w:r w:rsidR="004C1410" w:rsidRPr="00A03836">
        <w:rPr>
          <w:rStyle w:val="Referencingstyle"/>
          <w:rFonts w:eastAsiaTheme="minorHAnsi"/>
        </w:rPr>
        <w:t>[Schedule 1</w:t>
      </w:r>
      <w:r w:rsidR="00D5237C">
        <w:rPr>
          <w:rStyle w:val="Referencingstyle"/>
          <w:rFonts w:eastAsiaTheme="minorHAnsi"/>
        </w:rPr>
        <w:t xml:space="preserve">, </w:t>
      </w:r>
      <w:r w:rsidR="004C1410" w:rsidRPr="00A03836">
        <w:rPr>
          <w:rStyle w:val="Referencingstyle"/>
          <w:rFonts w:eastAsiaTheme="minorHAnsi"/>
        </w:rPr>
        <w:t>items 288</w:t>
      </w:r>
      <w:r w:rsidR="004C1410">
        <w:rPr>
          <w:rStyle w:val="Referencingstyle"/>
          <w:rFonts w:eastAsiaTheme="minorHAnsi"/>
        </w:rPr>
        <w:t xml:space="preserve"> to </w:t>
      </w:r>
      <w:r w:rsidR="004C1410" w:rsidRPr="00A03836">
        <w:rPr>
          <w:rStyle w:val="Referencingstyle"/>
          <w:rFonts w:eastAsiaTheme="minorHAnsi"/>
        </w:rPr>
        <w:t>29</w:t>
      </w:r>
      <w:r w:rsidR="007B01FE">
        <w:rPr>
          <w:rStyle w:val="Referencingstyle"/>
          <w:rFonts w:eastAsiaTheme="minorHAnsi"/>
        </w:rPr>
        <w:t>1</w:t>
      </w:r>
      <w:r w:rsidR="004C1410" w:rsidRPr="00A03836">
        <w:rPr>
          <w:rStyle w:val="Referencingstyle"/>
          <w:rFonts w:eastAsiaTheme="minorHAnsi"/>
        </w:rPr>
        <w:t xml:space="preserve"> and 303, sections 15A, 15AA, 18A,</w:t>
      </w:r>
      <w:r w:rsidR="004C1410">
        <w:rPr>
          <w:rStyle w:val="Referencingstyle"/>
          <w:rFonts w:eastAsiaTheme="minorHAnsi"/>
        </w:rPr>
        <w:t xml:space="preserve"> </w:t>
      </w:r>
      <w:r w:rsidR="004C1410" w:rsidRPr="00A03836">
        <w:rPr>
          <w:rStyle w:val="Referencingstyle"/>
          <w:rFonts w:eastAsiaTheme="minorHAnsi"/>
        </w:rPr>
        <w:t>18B(3)(b) and 25(1), NGER Act]</w:t>
      </w:r>
    </w:p>
    <w:p w:rsidR="000D14E4" w:rsidRPr="000D14E4" w:rsidRDefault="000D14E4" w:rsidP="000D14E4">
      <w:pPr>
        <w:pStyle w:val="base-text-paragraph"/>
        <w:numPr>
          <w:ilvl w:val="1"/>
          <w:numId w:val="20"/>
        </w:numPr>
        <w:rPr>
          <w:rStyle w:val="Referencingstyle"/>
          <w:b w:val="0"/>
          <w:i w:val="0"/>
          <w:sz w:val="22"/>
        </w:rPr>
      </w:pPr>
      <w:r w:rsidRPr="000D14E4">
        <w:t xml:space="preserve">Under the existing </w:t>
      </w:r>
      <w:r w:rsidR="003151F1">
        <w:t>CE Act</w:t>
      </w:r>
      <w:r w:rsidR="00BB7CB3">
        <w:t xml:space="preserve"> and NGER Act</w:t>
      </w:r>
      <w:r w:rsidRPr="000D14E4">
        <w:t>, ‘liability transfer certificates’ allow liable entities to transfer responsibility for reporting under the NGER Act to another person, provided certain conditions are met</w:t>
      </w:r>
      <w:r w:rsidR="00D5237C">
        <w:t xml:space="preserve">.  </w:t>
      </w:r>
      <w:r w:rsidRPr="000D14E4">
        <w:t>As no entities w</w:t>
      </w:r>
      <w:r w:rsidR="00BB7CB3">
        <w:t xml:space="preserve">ill have liability under the </w:t>
      </w:r>
      <w:r w:rsidR="003151F1">
        <w:t>CE Act</w:t>
      </w:r>
      <w:r w:rsidRPr="000D14E4">
        <w:t xml:space="preserve"> after 2013-14, this type of </w:t>
      </w:r>
      <w:r>
        <w:t>transfer mechanism</w:t>
      </w:r>
      <w:r w:rsidRPr="000D14E4">
        <w:t xml:space="preserve"> is not required</w:t>
      </w:r>
      <w:r w:rsidR="00D5237C">
        <w:t xml:space="preserve">.  </w:t>
      </w:r>
      <w:r>
        <w:t>However, reporting transfer certificates, which provide a similar function</w:t>
      </w:r>
      <w:r w:rsidR="001F163E">
        <w:t xml:space="preserve"> for </w:t>
      </w:r>
      <w:r w:rsidR="00BB7CB3">
        <w:t>NGER</w:t>
      </w:r>
      <w:r w:rsidR="001F163E">
        <w:t xml:space="preserve"> purposes</w:t>
      </w:r>
      <w:r>
        <w:t>, will continue to function under the NGER Act</w:t>
      </w:r>
      <w:r w:rsidR="00D5237C">
        <w:t xml:space="preserve">.  </w:t>
      </w:r>
      <w:r w:rsidRPr="000D14E4">
        <w:t xml:space="preserve">The </w:t>
      </w:r>
      <w:r w:rsidR="00BB7CB3">
        <w:t xml:space="preserve">Main Repeal Bill removes the </w:t>
      </w:r>
      <w:r w:rsidRPr="000D14E4">
        <w:t xml:space="preserve">provisions </w:t>
      </w:r>
      <w:r w:rsidR="00BB7CB3">
        <w:t xml:space="preserve">in the NGER Act </w:t>
      </w:r>
      <w:r w:rsidRPr="000D14E4">
        <w:t>relating to liability transfer certificates – including applications, reporting and accounting</w:t>
      </w:r>
      <w:r w:rsidR="00D5237C">
        <w:t xml:space="preserve">.  </w:t>
      </w:r>
      <w:r w:rsidR="004C1410" w:rsidRPr="000D14E4">
        <w:rPr>
          <w:rStyle w:val="Referencingstyle"/>
        </w:rPr>
        <w:t>[Schedule 1</w:t>
      </w:r>
      <w:r w:rsidR="00D5237C">
        <w:rPr>
          <w:rStyle w:val="Referencingstyle"/>
        </w:rPr>
        <w:t xml:space="preserve">, </w:t>
      </w:r>
      <w:r w:rsidR="004C1410" w:rsidRPr="000D14E4">
        <w:rPr>
          <w:rStyle w:val="Referencingstyle"/>
        </w:rPr>
        <w:t>items 287, 292</w:t>
      </w:r>
      <w:r w:rsidR="007B01FE">
        <w:rPr>
          <w:rStyle w:val="Referencingstyle"/>
        </w:rPr>
        <w:t xml:space="preserve"> to </w:t>
      </w:r>
      <w:r w:rsidR="004C1410" w:rsidRPr="000D14E4">
        <w:rPr>
          <w:rStyle w:val="Referencingstyle"/>
        </w:rPr>
        <w:t>295 and 298</w:t>
      </w:r>
      <w:r w:rsidR="007B01FE">
        <w:rPr>
          <w:rStyle w:val="Referencingstyle"/>
        </w:rPr>
        <w:t xml:space="preserve"> to </w:t>
      </w:r>
      <w:r w:rsidR="004C1410" w:rsidRPr="000D14E4">
        <w:rPr>
          <w:rStyle w:val="Referencingstyle"/>
        </w:rPr>
        <w:t>304, sections 13(4), 19(1)(note 4), 22(1)(a)-(b)</w:t>
      </w:r>
      <w:r w:rsidR="004C1410">
        <w:rPr>
          <w:rStyle w:val="Referencingstyle"/>
        </w:rPr>
        <w:t xml:space="preserve"> and</w:t>
      </w:r>
      <w:r w:rsidR="004C1410" w:rsidRPr="000D14E4">
        <w:rPr>
          <w:rStyle w:val="Referencingstyle"/>
        </w:rPr>
        <w:t xml:space="preserve"> 22(2)(a)-(b), Parts 3A</w:t>
      </w:r>
      <w:r w:rsidR="004C1410">
        <w:rPr>
          <w:rStyle w:val="Referencingstyle"/>
        </w:rPr>
        <w:t xml:space="preserve"> and</w:t>
      </w:r>
      <w:r w:rsidR="004C1410" w:rsidRPr="000D14E4">
        <w:rPr>
          <w:rStyle w:val="Referencingstyle"/>
        </w:rPr>
        <w:t xml:space="preserve"> 3D, </w:t>
      </w:r>
      <w:r w:rsidR="004C1410">
        <w:rPr>
          <w:rStyle w:val="Referencingstyle"/>
        </w:rPr>
        <w:t>sections</w:t>
      </w:r>
      <w:r w:rsidR="004C1410" w:rsidRPr="000D14E4">
        <w:rPr>
          <w:rStyle w:val="Referencingstyle"/>
        </w:rPr>
        <w:t xml:space="preserve"> 24(1AD), (1AE)(a)</w:t>
      </w:r>
      <w:r w:rsidR="004C1410">
        <w:rPr>
          <w:rStyle w:val="Referencingstyle"/>
        </w:rPr>
        <w:t xml:space="preserve">, </w:t>
      </w:r>
      <w:r w:rsidR="004C1410" w:rsidRPr="000D14E4">
        <w:rPr>
          <w:rStyle w:val="Referencingstyle"/>
        </w:rPr>
        <w:t>(1H), (1J), (8), 25(1) and 30(2A), NGER Act]</w:t>
      </w:r>
    </w:p>
    <w:p w:rsidR="000D14E4" w:rsidRPr="000D14E4" w:rsidRDefault="00BB7CB3" w:rsidP="00620341">
      <w:pPr>
        <w:pStyle w:val="base-text-paragraph"/>
        <w:numPr>
          <w:ilvl w:val="1"/>
          <w:numId w:val="20"/>
        </w:numPr>
        <w:rPr>
          <w:rStyle w:val="Referencingstyle"/>
          <w:b w:val="0"/>
          <w:i w:val="0"/>
          <w:sz w:val="22"/>
        </w:rPr>
      </w:pPr>
      <w:r>
        <w:t>The Main Repeal Bill removes from the NGER Act the r</w:t>
      </w:r>
      <w:r w:rsidR="000D14E4">
        <w:t xml:space="preserve">equirements for </w:t>
      </w:r>
      <w:r w:rsidR="003958BB">
        <w:t xml:space="preserve">large </w:t>
      </w:r>
      <w:r w:rsidR="000D14E4">
        <w:t>liable entities’</w:t>
      </w:r>
      <w:r>
        <w:t xml:space="preserve"> emission reports to be audited</w:t>
      </w:r>
      <w:r w:rsidR="00D5237C">
        <w:t xml:space="preserve">.  </w:t>
      </w:r>
      <w:r>
        <w:t>T</w:t>
      </w:r>
      <w:r w:rsidR="000D14E4">
        <w:t>hese requirements are redundant once the carbon tax is repealed</w:t>
      </w:r>
      <w:r w:rsidR="00D5237C">
        <w:t xml:space="preserve">.  </w:t>
      </w:r>
      <w:r w:rsidR="000D14E4">
        <w:t>However, the pre-submission audit requir</w:t>
      </w:r>
      <w:r w:rsidR="004B04A0">
        <w:t>ement remains in place for 2013</w:t>
      </w:r>
      <w:r w:rsidR="004B04A0">
        <w:noBreakHyphen/>
      </w:r>
      <w:r w:rsidR="000D14E4">
        <w:t>14</w:t>
      </w:r>
      <w:r w:rsidR="00D5237C">
        <w:t xml:space="preserve">.  </w:t>
      </w:r>
      <w:r w:rsidR="000D14E4">
        <w:t>Further, the auditing arrangements that existed prior to the introduction of the carbon tax will continue to apply</w:t>
      </w:r>
      <w:r w:rsidR="00D5237C">
        <w:rPr>
          <w:rStyle w:val="Referencingstyle"/>
        </w:rPr>
        <w:t xml:space="preserve">.  </w:t>
      </w:r>
      <w:r w:rsidR="00884AE2">
        <w:rPr>
          <w:rStyle w:val="Referencingstyle"/>
        </w:rPr>
        <w:t>[Schedule 1, item 31</w:t>
      </w:r>
      <w:r w:rsidR="000D14E4" w:rsidRPr="00620341">
        <w:rPr>
          <w:rStyle w:val="Referencingstyle"/>
        </w:rPr>
        <w:t>0, section 74AA, NGER Act]</w:t>
      </w:r>
      <w:r w:rsidR="00620341" w:rsidRPr="00620341">
        <w:rPr>
          <w:rStyle w:val="Referencingstyle"/>
        </w:rPr>
        <w:t>[Schedule 1, item 337]</w:t>
      </w:r>
    </w:p>
    <w:p w:rsidR="000D14E4" w:rsidRPr="006774B3" w:rsidRDefault="00620341" w:rsidP="00620341">
      <w:pPr>
        <w:pStyle w:val="base-text-paragraph"/>
        <w:numPr>
          <w:ilvl w:val="1"/>
          <w:numId w:val="20"/>
        </w:numPr>
        <w:rPr>
          <w:rStyle w:val="Referencingstyle"/>
          <w:b w:val="0"/>
          <w:i w:val="0"/>
          <w:sz w:val="22"/>
        </w:rPr>
      </w:pPr>
      <w:r>
        <w:t xml:space="preserve">The </w:t>
      </w:r>
      <w:r w:rsidR="001F163E">
        <w:t>Main Repeal Bill</w:t>
      </w:r>
      <w:r w:rsidR="001F163E" w:rsidRPr="00620341">
        <w:t xml:space="preserve"> </w:t>
      </w:r>
      <w:r w:rsidRPr="00620341">
        <w:t>remove</w:t>
      </w:r>
      <w:r>
        <w:t>s</w:t>
      </w:r>
      <w:r w:rsidRPr="00620341">
        <w:t xml:space="preserve"> the obligation </w:t>
      </w:r>
      <w:r w:rsidR="00BB7CB3">
        <w:t xml:space="preserve">in the NGER Act </w:t>
      </w:r>
      <w:r w:rsidR="00A07253">
        <w:t xml:space="preserve">for </w:t>
      </w:r>
      <w:r w:rsidR="004B0750">
        <w:t>the Regulator</w:t>
      </w:r>
      <w:r w:rsidR="00A07253">
        <w:t xml:space="preserve"> </w:t>
      </w:r>
      <w:r w:rsidRPr="00620341">
        <w:t>to publish information related to reports submitted by liable entities</w:t>
      </w:r>
      <w:r w:rsidR="00D5237C">
        <w:t xml:space="preserve">.  </w:t>
      </w:r>
      <w:r w:rsidR="00A07253">
        <w:t xml:space="preserve">However, the </w:t>
      </w:r>
      <w:r w:rsidR="00F1509B">
        <w:t xml:space="preserve">publication </w:t>
      </w:r>
      <w:r w:rsidR="00A07253">
        <w:t xml:space="preserve">obligations </w:t>
      </w:r>
      <w:r w:rsidR="00F1509B">
        <w:t>(</w:t>
      </w:r>
      <w:r w:rsidR="00A262D9">
        <w:t xml:space="preserve">as </w:t>
      </w:r>
      <w:r w:rsidR="004B04A0">
        <w:t>set out in section </w:t>
      </w:r>
      <w:r w:rsidR="00A07253">
        <w:t xml:space="preserve">24 </w:t>
      </w:r>
      <w:r w:rsidR="00BB7CB3">
        <w:t>of the NGER Act</w:t>
      </w:r>
      <w:r w:rsidR="00F1509B">
        <w:t>)</w:t>
      </w:r>
      <w:r w:rsidR="00F1509B" w:rsidRPr="00F1509B">
        <w:t xml:space="preserve"> </w:t>
      </w:r>
      <w:r w:rsidR="00F1509B">
        <w:t>that existed prior to the introduction of the carbon tax will continue to apply</w:t>
      </w:r>
      <w:r w:rsidR="00D5237C">
        <w:t xml:space="preserve">.  </w:t>
      </w:r>
      <w:r w:rsidRPr="00620341">
        <w:t xml:space="preserve">A consequential amendment is </w:t>
      </w:r>
      <w:r>
        <w:t xml:space="preserve">also </w:t>
      </w:r>
      <w:r w:rsidRPr="00620341">
        <w:t xml:space="preserve">made to section 25 </w:t>
      </w:r>
      <w:r w:rsidR="00BB7CB3">
        <w:t xml:space="preserve">of the NGER Act </w:t>
      </w:r>
      <w:r>
        <w:t>to remove the</w:t>
      </w:r>
      <w:r w:rsidR="00A07253">
        <w:t xml:space="preserve"> ability for </w:t>
      </w:r>
      <w:r w:rsidRPr="00620341">
        <w:t>reporters to request</w:t>
      </w:r>
      <w:r w:rsidR="001F163E">
        <w:t xml:space="preserve"> that</w:t>
      </w:r>
      <w:r w:rsidR="00A07253">
        <w:t xml:space="preserve"> </w:t>
      </w:r>
      <w:r w:rsidRPr="00620341">
        <w:t xml:space="preserve">information </w:t>
      </w:r>
      <w:r w:rsidR="00A07253" w:rsidRPr="00620341">
        <w:t xml:space="preserve">related to reports submitted by liable entities </w:t>
      </w:r>
      <w:r w:rsidRPr="00620341">
        <w:t>not be published</w:t>
      </w:r>
      <w:r w:rsidR="00D5237C">
        <w:t xml:space="preserve">.  </w:t>
      </w:r>
      <w:r w:rsidRPr="00620341">
        <w:rPr>
          <w:rStyle w:val="Referencingstyle"/>
        </w:rPr>
        <w:t>[S</w:t>
      </w:r>
      <w:r w:rsidR="004C1410">
        <w:rPr>
          <w:rStyle w:val="Referencingstyle"/>
        </w:rPr>
        <w:t xml:space="preserve">chedule 1, items 297 and 303, </w:t>
      </w:r>
      <w:r w:rsidRPr="00620341">
        <w:rPr>
          <w:rStyle w:val="Referencingstyle"/>
        </w:rPr>
        <w:t>sections 24(1AA) and 25(1), NGER Act]</w:t>
      </w:r>
    </w:p>
    <w:p w:rsidR="006774B3" w:rsidRDefault="006774B3" w:rsidP="006774B3">
      <w:pPr>
        <w:pStyle w:val="Heading4"/>
      </w:pPr>
      <w:r>
        <w:t>Transitional provisions</w:t>
      </w:r>
    </w:p>
    <w:p w:rsidR="006774B3" w:rsidRDefault="006774B3" w:rsidP="0089116B">
      <w:pPr>
        <w:pStyle w:val="base-text-paragraph"/>
        <w:numPr>
          <w:ilvl w:val="1"/>
          <w:numId w:val="20"/>
        </w:numPr>
      </w:pPr>
      <w:r>
        <w:t>Despite the repeal of the defin</w:t>
      </w:r>
      <w:r w:rsidR="004B04A0">
        <w:t>itions and sections of the NGER </w:t>
      </w:r>
      <w:r>
        <w:t xml:space="preserve">Act detailed above, the </w:t>
      </w:r>
      <w:r w:rsidR="001F163E">
        <w:t xml:space="preserve">Main Repeal Bill </w:t>
      </w:r>
      <w:r w:rsidR="00BB7CB3">
        <w:t>preserves</w:t>
      </w:r>
      <w:r>
        <w:t xml:space="preserve"> key </w:t>
      </w:r>
      <w:r w:rsidR="00BB7CB3">
        <w:t xml:space="preserve">NGER Act </w:t>
      </w:r>
      <w:r>
        <w:t xml:space="preserve">provisions relating to registration, reporting and record keeping so that </w:t>
      </w:r>
      <w:r w:rsidR="00BB7CB3">
        <w:t xml:space="preserve">liable </w:t>
      </w:r>
      <w:r>
        <w:t>entities can meet their 2013-14 obligations</w:t>
      </w:r>
      <w:r w:rsidR="00D5237C">
        <w:t xml:space="preserve">.  </w:t>
      </w:r>
      <w:r>
        <w:t xml:space="preserve">These transitional </w:t>
      </w:r>
      <w:r w:rsidR="00BB7CB3">
        <w:t xml:space="preserve">NGER Act </w:t>
      </w:r>
      <w:r>
        <w:t>provisions are necessary becau</w:t>
      </w:r>
      <w:r w:rsidR="005E5B0B">
        <w:t>se obligations relating to 2013</w:t>
      </w:r>
      <w:r w:rsidR="005E5B0B">
        <w:noBreakHyphen/>
      </w:r>
      <w:r>
        <w:t xml:space="preserve">14 must be met during 2014-15, after the aspects of the NGER Act that relate to the </w:t>
      </w:r>
      <w:r w:rsidR="003151F1">
        <w:t>CE Act</w:t>
      </w:r>
      <w:r>
        <w:t xml:space="preserve"> have been repealed</w:t>
      </w:r>
      <w:r w:rsidR="00BB7CB3" w:rsidRPr="00BB7CB3">
        <w:t xml:space="preserve"> </w:t>
      </w:r>
      <w:r w:rsidR="00BB7CB3">
        <w:t>on 1 July 2014</w:t>
      </w:r>
      <w:r w:rsidR="00D5237C">
        <w:t xml:space="preserve">.  </w:t>
      </w:r>
      <w:r w:rsidR="00BB7CB3" w:rsidRPr="006774B3">
        <w:rPr>
          <w:rStyle w:val="Referencingstyle"/>
        </w:rPr>
        <w:t>[Schedule 1, item 337]</w:t>
      </w:r>
    </w:p>
    <w:p w:rsidR="006774B3" w:rsidRPr="006774B3" w:rsidRDefault="005C0729" w:rsidP="0089116B">
      <w:pPr>
        <w:pStyle w:val="base-text-paragraph"/>
        <w:numPr>
          <w:ilvl w:val="1"/>
          <w:numId w:val="20"/>
        </w:numPr>
      </w:pPr>
      <w:r>
        <w:t>For example, t</w:t>
      </w:r>
      <w:r w:rsidR="006774B3">
        <w:t xml:space="preserve">his means that reports </w:t>
      </w:r>
      <w:r>
        <w:t xml:space="preserve">under section 22A </w:t>
      </w:r>
      <w:r w:rsidR="00BB7CB3">
        <w:t xml:space="preserve">of the NGER Act </w:t>
      </w:r>
      <w:r>
        <w:t>relating to 2013-14 are due by 31 October 2014</w:t>
      </w:r>
      <w:r w:rsidR="006774B3">
        <w:t>, despite the fact that that section is repealed from 1 July 2014</w:t>
      </w:r>
      <w:r w:rsidR="00D5237C">
        <w:t xml:space="preserve">.  </w:t>
      </w:r>
      <w:r w:rsidR="006774B3">
        <w:t>Definitions and measurement provisions required for entities to submit those reports also continue</w:t>
      </w:r>
      <w:r w:rsidR="00D5237C">
        <w:t xml:space="preserve">.  </w:t>
      </w:r>
      <w:r w:rsidR="00B301E2">
        <w:rPr>
          <w:rStyle w:val="Referencingstyle"/>
        </w:rPr>
        <w:t>[Schedule 1, item 337</w:t>
      </w:r>
      <w:r w:rsidR="006774B3" w:rsidRPr="005C0729">
        <w:rPr>
          <w:rStyle w:val="Referencingstyle"/>
        </w:rPr>
        <w:t>]</w:t>
      </w:r>
      <w:r w:rsidR="006774B3">
        <w:t xml:space="preserve">  Audit requirements in section 74AA </w:t>
      </w:r>
      <w:r w:rsidR="00BB7CB3">
        <w:t xml:space="preserve">of the NGER Act </w:t>
      </w:r>
      <w:r w:rsidR="006774B3">
        <w:t xml:space="preserve">will continue to apply for </w:t>
      </w:r>
      <w:r>
        <w:t xml:space="preserve">reports relating to </w:t>
      </w:r>
      <w:r w:rsidR="006774B3">
        <w:t>2013-14</w:t>
      </w:r>
      <w:r w:rsidR="00D5237C">
        <w:t xml:space="preserve">.  </w:t>
      </w:r>
      <w:r w:rsidR="006774B3" w:rsidRPr="005C0729">
        <w:rPr>
          <w:rStyle w:val="Referencingstyle"/>
        </w:rPr>
        <w:t>[Schedule 1, item 337]</w:t>
      </w:r>
    </w:p>
    <w:p w:rsidR="00A07253" w:rsidRDefault="00857F02" w:rsidP="006774B3">
      <w:pPr>
        <w:pStyle w:val="Heading4"/>
      </w:pPr>
      <w:r>
        <w:t>Removal of reporting obligations of</w:t>
      </w:r>
      <w:r w:rsidRPr="00B915E7">
        <w:t xml:space="preserve"> </w:t>
      </w:r>
      <w:r>
        <w:t>‘persons’ other than corporations</w:t>
      </w:r>
    </w:p>
    <w:p w:rsidR="00857F02" w:rsidRDefault="00857F02" w:rsidP="00857F02">
      <w:pPr>
        <w:pStyle w:val="base-text-paragraph"/>
        <w:numPr>
          <w:ilvl w:val="1"/>
          <w:numId w:val="20"/>
        </w:numPr>
      </w:pPr>
      <w:r>
        <w:t xml:space="preserve">The </w:t>
      </w:r>
      <w:r w:rsidR="0089116B">
        <w:t xml:space="preserve">Main Repeal Bill </w:t>
      </w:r>
      <w:r>
        <w:t>amends the NGER Act to transfer</w:t>
      </w:r>
      <w:r w:rsidR="0089116B">
        <w:t xml:space="preserve"> most of</w:t>
      </w:r>
      <w:r>
        <w:t xml:space="preserve"> the obligations placed on</w:t>
      </w:r>
      <w:r w:rsidR="00BB7CB3">
        <w:t xml:space="preserve"> ‘persons’ throughout the Act to ‘</w:t>
      </w:r>
      <w:r>
        <w:t>group entities</w:t>
      </w:r>
      <w:r w:rsidR="00BB7CB3">
        <w:t>’</w:t>
      </w:r>
      <w:r w:rsidR="00D5237C">
        <w:t xml:space="preserve">.  </w:t>
      </w:r>
      <w:r>
        <w:t>This is because, ongoing reporting obligations only apply to constitution</w:t>
      </w:r>
      <w:r w:rsidR="0089116B">
        <w:t>al</w:t>
      </w:r>
      <w:r>
        <w:t xml:space="preserve"> corporations and members of their groups and will not extend to ‘persons’</w:t>
      </w:r>
      <w:r w:rsidR="0089116B">
        <w:t xml:space="preserve"> more generally</w:t>
      </w:r>
      <w:r w:rsidR="00D5237C">
        <w:t xml:space="preserve">.  </w:t>
      </w:r>
    </w:p>
    <w:p w:rsidR="008418C4" w:rsidRDefault="00BB7CB3" w:rsidP="00FB473F">
      <w:pPr>
        <w:pStyle w:val="base-text-paragraph"/>
        <w:numPr>
          <w:ilvl w:val="1"/>
          <w:numId w:val="20"/>
        </w:numPr>
      </w:pPr>
      <w:r>
        <w:t>A ‘</w:t>
      </w:r>
      <w:r w:rsidR="008418C4">
        <w:t>group entity’ is a new term defined as a corporation that is a member of a controlling corporation’s group</w:t>
      </w:r>
      <w:r w:rsidR="00D5237C">
        <w:t xml:space="preserve">.  </w:t>
      </w:r>
      <w:r w:rsidR="008418C4">
        <w:t>A ‘memb</w:t>
      </w:r>
      <w:r w:rsidR="00B301E2">
        <w:t xml:space="preserve">er’ has the meaning given by </w:t>
      </w:r>
      <w:r w:rsidR="008418C4">
        <w:t>section 8(2) of the NGER Act, and includes the controlling corporation and its subsidiaries</w:t>
      </w:r>
      <w:r w:rsidR="00D5237C">
        <w:t xml:space="preserve">.  </w:t>
      </w:r>
      <w:r w:rsidR="008418C4">
        <w:t xml:space="preserve">These new terms are required to replace the defined term ‘person’, which is not </w:t>
      </w:r>
      <w:r>
        <w:t xml:space="preserve">required after repeal of the </w:t>
      </w:r>
      <w:r w:rsidR="003151F1">
        <w:t>CE Act</w:t>
      </w:r>
      <w:r w:rsidR="00D5237C">
        <w:t xml:space="preserve">.  </w:t>
      </w:r>
      <w:r w:rsidRPr="003215B4">
        <w:rPr>
          <w:i/>
        </w:rPr>
        <w:t>[</w:t>
      </w:r>
      <w:r w:rsidRPr="008418C4">
        <w:rPr>
          <w:rStyle w:val="Referencingstyle"/>
        </w:rPr>
        <w:t>Schedule 1, item 214, section 7, NGER Act]</w:t>
      </w:r>
    </w:p>
    <w:p w:rsidR="009126C7" w:rsidRPr="009126C7" w:rsidRDefault="00857F02" w:rsidP="00221A20">
      <w:pPr>
        <w:pStyle w:val="base-text-paragraph"/>
        <w:numPr>
          <w:ilvl w:val="1"/>
          <w:numId w:val="20"/>
        </w:numPr>
        <w:rPr>
          <w:rStyle w:val="Referencingstyle"/>
          <w:b w:val="0"/>
          <w:i w:val="0"/>
          <w:sz w:val="22"/>
        </w:rPr>
      </w:pPr>
      <w:r>
        <w:t>The application of the NGER Act to persons other than constitutional corporations was required to underpin the oper</w:t>
      </w:r>
      <w:r w:rsidR="00BB7CB3">
        <w:t xml:space="preserve">ation of the </w:t>
      </w:r>
      <w:r w:rsidR="003151F1">
        <w:t>CE Act</w:t>
      </w:r>
      <w:r w:rsidR="00D5237C">
        <w:t xml:space="preserve">.  </w:t>
      </w:r>
      <w:r w:rsidR="00BB7CB3">
        <w:t>The terms ‘</w:t>
      </w:r>
      <w:r>
        <w:t>person</w:t>
      </w:r>
      <w:r w:rsidR="00BB7CB3">
        <w:t>’</w:t>
      </w:r>
      <w:r>
        <w:t xml:space="preserve"> and </w:t>
      </w:r>
      <w:r w:rsidR="00BB7CB3">
        <w:t>‘persons’</w:t>
      </w:r>
      <w:r>
        <w:t xml:space="preserve"> where they remain in the NGER Act, have the general meaning given to them by the </w:t>
      </w:r>
      <w:r w:rsidR="004B04A0">
        <w:rPr>
          <w:i/>
        </w:rPr>
        <w:t>Acts </w:t>
      </w:r>
      <w:r w:rsidRPr="009126C7">
        <w:rPr>
          <w:i/>
        </w:rPr>
        <w:t>Interpretation Act 1901</w:t>
      </w:r>
      <w:r w:rsidR="00D5237C">
        <w:t xml:space="preserve">.  </w:t>
      </w:r>
      <w:r w:rsidR="009126C7" w:rsidRPr="009126C7">
        <w:rPr>
          <w:rStyle w:val="Referencingstyle"/>
        </w:rPr>
        <w:t>[Schedule 1, items 224, 243, 246, 248, 250, 251, 253, 255 to 258, 261 to 266, 269, 272, 276, 278 to 279 and 286, sections 7, 11(1), 11A, 11B and 13(2) and (3), NGER Act]</w:t>
      </w:r>
    </w:p>
    <w:p w:rsidR="00B10556" w:rsidRDefault="00BB7CB3" w:rsidP="00221A20">
      <w:pPr>
        <w:pStyle w:val="base-text-paragraph"/>
        <w:numPr>
          <w:ilvl w:val="1"/>
          <w:numId w:val="20"/>
        </w:numPr>
      </w:pPr>
      <w:r>
        <w:t>With the introduction of the carbon tax, the NGER Act was amended to include the concept of ‘non-group entity’, which is a person who is not a member of a controlling corporation’s group</w:t>
      </w:r>
      <w:r w:rsidR="00D5237C">
        <w:t xml:space="preserve">.  </w:t>
      </w:r>
      <w:r w:rsidR="004B04A0">
        <w:t>The term ‘non</w:t>
      </w:r>
      <w:r w:rsidR="004B04A0">
        <w:noBreakHyphen/>
      </w:r>
      <w:r>
        <w:t>group entity’ was used to expand specific provisions to account for a person who is not a member of a controlling corporation’s group</w:t>
      </w:r>
      <w:r w:rsidR="00D5237C">
        <w:t xml:space="preserve">.  </w:t>
      </w:r>
      <w:r w:rsidR="00B10556">
        <w:t xml:space="preserve">The term is used in </w:t>
      </w:r>
      <w:r w:rsidR="00B301E2">
        <w:t xml:space="preserve">provisions </w:t>
      </w:r>
      <w:r w:rsidR="00B10556">
        <w:t>relating to:</w:t>
      </w:r>
    </w:p>
    <w:p w:rsidR="00B10556" w:rsidRDefault="0089116B" w:rsidP="00B10556">
      <w:pPr>
        <w:pStyle w:val="dotpoint"/>
      </w:pPr>
      <w:r>
        <w:t xml:space="preserve">facility </w:t>
      </w:r>
      <w:r w:rsidR="00B10556">
        <w:t>declarations;</w:t>
      </w:r>
    </w:p>
    <w:p w:rsidR="00B10556" w:rsidRDefault="0089116B" w:rsidP="00B10556">
      <w:pPr>
        <w:pStyle w:val="dotpoint"/>
      </w:pPr>
      <w:r>
        <w:t xml:space="preserve">declarations </w:t>
      </w:r>
      <w:r w:rsidR="00B10556">
        <w:t>of operational control;</w:t>
      </w:r>
      <w:r w:rsidR="004B04A0">
        <w:t xml:space="preserve"> and</w:t>
      </w:r>
    </w:p>
    <w:p w:rsidR="00B10556" w:rsidRDefault="0089116B" w:rsidP="00B10556">
      <w:pPr>
        <w:pStyle w:val="dotpoint"/>
      </w:pPr>
      <w:r>
        <w:t>auditing</w:t>
      </w:r>
      <w:r w:rsidR="000A0D0D">
        <w:t>.</w:t>
      </w:r>
    </w:p>
    <w:p w:rsidR="00221A20" w:rsidRDefault="00221A20" w:rsidP="00221A20">
      <w:pPr>
        <w:pStyle w:val="base-text-paragraph"/>
        <w:numPr>
          <w:ilvl w:val="1"/>
          <w:numId w:val="20"/>
        </w:numPr>
      </w:pPr>
      <w:r>
        <w:t xml:space="preserve">The </w:t>
      </w:r>
      <w:r w:rsidR="0089116B">
        <w:t xml:space="preserve">Main Repeal Bill </w:t>
      </w:r>
      <w:r>
        <w:t>removes all references to ‘non-group entity’ as these entities do not have ong</w:t>
      </w:r>
      <w:r w:rsidR="004B04A0">
        <w:t>oing obligations under the NGER </w:t>
      </w:r>
      <w:r>
        <w:t>Act and are not relevant after repeal of the carbon tax</w:t>
      </w:r>
      <w:r w:rsidR="00D5237C">
        <w:t xml:space="preserve">.  </w:t>
      </w:r>
      <w:r w:rsidRPr="00221A20">
        <w:rPr>
          <w:rStyle w:val="Referencingstyle"/>
        </w:rPr>
        <w:t>[Schedule 1, item 220, section 7, NGER Act]</w:t>
      </w:r>
      <w:r>
        <w:t xml:space="preserve"> </w:t>
      </w:r>
    </w:p>
    <w:p w:rsidR="00B10556" w:rsidRDefault="004C07E5" w:rsidP="00B10556">
      <w:pPr>
        <w:pStyle w:val="base-text-paragraph"/>
        <w:numPr>
          <w:ilvl w:val="1"/>
          <w:numId w:val="20"/>
        </w:numPr>
      </w:pPr>
      <w:r>
        <w:t xml:space="preserve">The </w:t>
      </w:r>
      <w:r w:rsidR="0089116B">
        <w:t xml:space="preserve">Main Repeal Bill </w:t>
      </w:r>
      <w:r>
        <w:t>repeals</w:t>
      </w:r>
      <w:r w:rsidR="00B10556">
        <w:t xml:space="preserve"> sections 54A and 55A</w:t>
      </w:r>
      <w:r w:rsidR="004B0750">
        <w:t xml:space="preserve"> of the NGER Act</w:t>
      </w:r>
      <w:r w:rsidR="001E5E07">
        <w:t>, which</w:t>
      </w:r>
      <w:r>
        <w:t xml:space="preserve"> allowed</w:t>
      </w:r>
      <w:r w:rsidR="00B10556">
        <w:t xml:space="preserve"> non-group entities </w:t>
      </w:r>
      <w:r>
        <w:t>to</w:t>
      </w:r>
      <w:r w:rsidR="00B10556">
        <w:t xml:space="preserve"> </w:t>
      </w:r>
      <w:r>
        <w:t>request</w:t>
      </w:r>
      <w:r w:rsidR="00B10556">
        <w:t xml:space="preserve"> </w:t>
      </w:r>
      <w:r w:rsidR="004B0750">
        <w:t>the Regulator</w:t>
      </w:r>
      <w:r>
        <w:t xml:space="preserve"> to declare a </w:t>
      </w:r>
      <w:r w:rsidR="00B10556">
        <w:t>facility or operational control over a facility</w:t>
      </w:r>
      <w:r w:rsidR="00D5237C">
        <w:t xml:space="preserve">.  </w:t>
      </w:r>
      <w:r w:rsidR="001E5E07">
        <w:t>O</w:t>
      </w:r>
      <w:r w:rsidR="00B10556">
        <w:t xml:space="preserve">nly corporations may have a facility or operational control declared by </w:t>
      </w:r>
      <w:r w:rsidR="004B0750">
        <w:t>the Regulator</w:t>
      </w:r>
      <w:r w:rsidR="00D5237C">
        <w:t xml:space="preserve">.  </w:t>
      </w:r>
      <w:r w:rsidR="00B10556" w:rsidRPr="004C07E5">
        <w:rPr>
          <w:rStyle w:val="Referencingstyle"/>
        </w:rPr>
        <w:t xml:space="preserve">[Schedule 1, items 237, 244, 252, 259, 280 and 305-309, </w:t>
      </w:r>
      <w:r w:rsidR="00AF2250">
        <w:rPr>
          <w:rStyle w:val="Referencingstyle"/>
        </w:rPr>
        <w:t>sections 7, 54A, 55A, 56(j) and </w:t>
      </w:r>
      <w:r w:rsidR="00B10556" w:rsidRPr="004C07E5">
        <w:rPr>
          <w:rStyle w:val="Referencingstyle"/>
        </w:rPr>
        <w:t>56(k)-(l), NGER Act]</w:t>
      </w:r>
      <w:r w:rsidR="00B10556">
        <w:t xml:space="preserve"> </w:t>
      </w:r>
    </w:p>
    <w:p w:rsidR="00B10556" w:rsidRDefault="00B10556" w:rsidP="00B10556">
      <w:pPr>
        <w:pStyle w:val="base-text-paragraph"/>
        <w:numPr>
          <w:ilvl w:val="1"/>
          <w:numId w:val="20"/>
        </w:numPr>
      </w:pPr>
      <w:r>
        <w:t xml:space="preserve">The </w:t>
      </w:r>
      <w:r w:rsidR="0089116B">
        <w:t xml:space="preserve">Main Repeal Bill </w:t>
      </w:r>
      <w:r>
        <w:t>also remove</w:t>
      </w:r>
      <w:r w:rsidR="0089116B">
        <w:t>s</w:t>
      </w:r>
      <w:r>
        <w:t xml:space="preserve"> references to non-group entities </w:t>
      </w:r>
      <w:r w:rsidR="004C07E5">
        <w:t>from the auditing</w:t>
      </w:r>
      <w:r w:rsidR="00872108">
        <w:t xml:space="preserve"> provisions for certain entities</w:t>
      </w:r>
      <w:r w:rsidR="00D5237C">
        <w:t xml:space="preserve">.  </w:t>
      </w:r>
      <w:r w:rsidR="00872108">
        <w:t>These auditing provisions will continue to apply to the responsible member</w:t>
      </w:r>
      <w:r w:rsidR="004B0750">
        <w:t xml:space="preserve"> under</w:t>
      </w:r>
      <w:r w:rsidR="00872108">
        <w:t xml:space="preserve"> </w:t>
      </w:r>
      <w:r w:rsidR="004B0750">
        <w:t xml:space="preserve">transfers made </w:t>
      </w:r>
      <w:r w:rsidR="00872108">
        <w:t>under section 22X</w:t>
      </w:r>
      <w:r w:rsidR="004B0750">
        <w:t xml:space="preserve"> of the NGER Act</w:t>
      </w:r>
      <w:r w:rsidR="00D5237C">
        <w:t xml:space="preserve">.  </w:t>
      </w:r>
      <w:r w:rsidRPr="00872108">
        <w:rPr>
          <w:rStyle w:val="Referencingstyle"/>
        </w:rPr>
        <w:t>[</w:t>
      </w:r>
      <w:r w:rsidR="004C1410" w:rsidRPr="00872108">
        <w:rPr>
          <w:rStyle w:val="Referencingstyle"/>
        </w:rPr>
        <w:t>Schedule 1, items 311</w:t>
      </w:r>
      <w:r w:rsidR="004C1410">
        <w:rPr>
          <w:rStyle w:val="Referencingstyle"/>
        </w:rPr>
        <w:t xml:space="preserve"> and </w:t>
      </w:r>
      <w:r w:rsidR="004C1410" w:rsidRPr="00872108">
        <w:rPr>
          <w:rStyle w:val="Referencingstyle"/>
        </w:rPr>
        <w:t>312, sections 74B(1) and 74C(1), NGER Act]</w:t>
      </w:r>
    </w:p>
    <w:p w:rsidR="00221A20" w:rsidRPr="00857F02" w:rsidRDefault="00B10556" w:rsidP="00B10556">
      <w:pPr>
        <w:pStyle w:val="base-text-paragraph"/>
        <w:numPr>
          <w:ilvl w:val="1"/>
          <w:numId w:val="20"/>
        </w:numPr>
        <w:rPr>
          <w:rStyle w:val="Referencingstyle"/>
          <w:b w:val="0"/>
          <w:i w:val="0"/>
          <w:sz w:val="22"/>
        </w:rPr>
      </w:pPr>
      <w:r>
        <w:t>Section 22X of the NGER Act allows a controlling corporation to transfer reporting obligations for a facility to a ‘group entity’, where that group entity has operational control over the facility</w:t>
      </w:r>
      <w:r w:rsidR="00D5237C">
        <w:t xml:space="preserve">.  </w:t>
      </w:r>
      <w:r w:rsidR="001E5E07">
        <w:t>It</w:t>
      </w:r>
      <w:r>
        <w:t xml:space="preserve"> allows entities flexibility in their reporting arrangements and allows them to reduce their reporting burden</w:t>
      </w:r>
      <w:r w:rsidR="00D5237C">
        <w:t xml:space="preserve">.  </w:t>
      </w:r>
      <w:r w:rsidR="00872108">
        <w:t xml:space="preserve">The </w:t>
      </w:r>
      <w:r w:rsidR="0089116B">
        <w:t xml:space="preserve">Main Repeal Bill </w:t>
      </w:r>
      <w:r>
        <w:t>remove</w:t>
      </w:r>
      <w:r w:rsidR="00872108">
        <w:t>s</w:t>
      </w:r>
      <w:r>
        <w:t xml:space="preserve"> the reference to liability transfer certificates in this section, which is redundant</w:t>
      </w:r>
      <w:r w:rsidR="00872108">
        <w:t xml:space="preserve"> following repeal of the </w:t>
      </w:r>
      <w:r w:rsidR="003151F1">
        <w:t>CE Act</w:t>
      </w:r>
      <w:r w:rsidR="00D5237C">
        <w:t xml:space="preserve">.  </w:t>
      </w:r>
      <w:r w:rsidR="00872108">
        <w:t>This reporting transfer mechanism will continue to operate in relation to group entities with operational control</w:t>
      </w:r>
      <w:r w:rsidR="00D5237C">
        <w:t xml:space="preserve">.  </w:t>
      </w:r>
      <w:r w:rsidRPr="00872108">
        <w:rPr>
          <w:rStyle w:val="Referencingstyle"/>
        </w:rPr>
        <w:t xml:space="preserve">[Schedule 1, item 296, </w:t>
      </w:r>
      <w:r w:rsidR="004C1410" w:rsidRPr="00221A20">
        <w:rPr>
          <w:rStyle w:val="Referencingstyle"/>
        </w:rPr>
        <w:t xml:space="preserve">section </w:t>
      </w:r>
      <w:r w:rsidRPr="00872108">
        <w:rPr>
          <w:rStyle w:val="Referencingstyle"/>
        </w:rPr>
        <w:t>22X(1)(a), NGER Act]</w:t>
      </w:r>
    </w:p>
    <w:p w:rsidR="00857F02" w:rsidRDefault="00857F02" w:rsidP="00857F02">
      <w:pPr>
        <w:pStyle w:val="Heading4"/>
      </w:pPr>
      <w:r w:rsidRPr="00B915E7">
        <w:t>Changes to provisions relating to ‘operational control’</w:t>
      </w:r>
    </w:p>
    <w:p w:rsidR="00857F02" w:rsidRDefault="00857F02" w:rsidP="0089116B">
      <w:pPr>
        <w:pStyle w:val="base-text-paragraph"/>
        <w:numPr>
          <w:ilvl w:val="1"/>
          <w:numId w:val="20"/>
        </w:numPr>
      </w:pPr>
      <w:r>
        <w:t xml:space="preserve">The term ‘operational control’ is fundamental in determining </w:t>
      </w:r>
      <w:r w:rsidR="001E5E07">
        <w:t>the</w:t>
      </w:r>
      <w:r>
        <w:t xml:space="preserve"> entity </w:t>
      </w:r>
      <w:r w:rsidR="001E5E07">
        <w:t xml:space="preserve">that </w:t>
      </w:r>
      <w:r>
        <w:t>has the legal obligation to report under the NGER Act</w:t>
      </w:r>
      <w:r w:rsidR="00D5237C">
        <w:t xml:space="preserve">.  </w:t>
      </w:r>
      <w:r>
        <w:t>Th</w:t>
      </w:r>
      <w:r w:rsidR="001E5E07">
        <w:t xml:space="preserve">e term was adopted under the </w:t>
      </w:r>
      <w:r w:rsidR="003151F1">
        <w:t>CE Act</w:t>
      </w:r>
      <w:r>
        <w:t xml:space="preserve"> for the purposes of assigning liability under the carbon tax</w:t>
      </w:r>
      <w:r w:rsidR="00D5237C">
        <w:t xml:space="preserve">.  </w:t>
      </w:r>
      <w:r>
        <w:t>An entity has 'operational control' over a facility under sections 11, 11A and 11B</w:t>
      </w:r>
      <w:r w:rsidR="004B0750">
        <w:t xml:space="preserve"> of the NGER Act</w:t>
      </w:r>
      <w:r>
        <w:t>, where the entity has the authority to introduce and implement operating, health and safety and environmental policies in relation to the facility</w:t>
      </w:r>
      <w:r w:rsidR="00D5237C">
        <w:t xml:space="preserve">.  </w:t>
      </w:r>
      <w:r w:rsidR="0089116B">
        <w:t>In certain circumstances, e</w:t>
      </w:r>
      <w:r>
        <w:t xml:space="preserve">ntities can nominate the group entity with operational control over a facility to </w:t>
      </w:r>
      <w:r w:rsidR="004B0750">
        <w:t>the Regulator</w:t>
      </w:r>
      <w:r>
        <w:t>.</w:t>
      </w:r>
    </w:p>
    <w:p w:rsidR="00857F02" w:rsidRDefault="00857F02" w:rsidP="0089116B">
      <w:pPr>
        <w:pStyle w:val="base-text-paragraph"/>
        <w:numPr>
          <w:ilvl w:val="1"/>
          <w:numId w:val="20"/>
        </w:numPr>
      </w:pPr>
      <w:r>
        <w:t xml:space="preserve">The </w:t>
      </w:r>
      <w:r w:rsidR="0089116B">
        <w:t xml:space="preserve">Main Repeal Bill </w:t>
      </w:r>
      <w:r>
        <w:t>remove</w:t>
      </w:r>
      <w:r w:rsidR="00BE5DC9">
        <w:t>s</w:t>
      </w:r>
      <w:r>
        <w:t xml:space="preserve"> the requirement for </w:t>
      </w:r>
      <w:r w:rsidR="00BE5DC9">
        <w:t>nominations of operational control to be made in relation</w:t>
      </w:r>
      <w:r w:rsidR="00B301E2">
        <w:t xml:space="preserve"> to</w:t>
      </w:r>
      <w:r w:rsidR="00BE5DC9">
        <w:t xml:space="preserve"> </w:t>
      </w:r>
      <w:r>
        <w:t>interim emissions numbers</w:t>
      </w:r>
      <w:r w:rsidR="00BE5DC9">
        <w:t xml:space="preserve"> and fixed charge years</w:t>
      </w:r>
      <w:r w:rsidR="00D5237C">
        <w:t xml:space="preserve">.  </w:t>
      </w:r>
      <w:r>
        <w:t xml:space="preserve">Interim emissions numbers and fixed charge years are </w:t>
      </w:r>
      <w:r w:rsidR="00BE5DC9">
        <w:t>only relevant to the carbon tax and these nomination</w:t>
      </w:r>
      <w:r>
        <w:t xml:space="preserve"> provisions are no longer required</w:t>
      </w:r>
      <w:r w:rsidR="00D5237C">
        <w:t xml:space="preserve">.  </w:t>
      </w:r>
      <w:r w:rsidR="004B0750">
        <w:t>The Main Repeal Bill</w:t>
      </w:r>
      <w:r w:rsidR="00BE5DC9">
        <w:t xml:space="preserve"> also removes references to joint ventures from the operation</w:t>
      </w:r>
      <w:r w:rsidR="00DF6C83">
        <w:t>al</w:t>
      </w:r>
      <w:r w:rsidR="00BE5DC9">
        <w:t xml:space="preserve"> control nomination section as these are only relevant to the operation of the carbon tax</w:t>
      </w:r>
      <w:r w:rsidR="00D5237C">
        <w:t xml:space="preserve">.  </w:t>
      </w:r>
      <w:r w:rsidRPr="00BE5DC9">
        <w:rPr>
          <w:rStyle w:val="Referencingstyle"/>
        </w:rPr>
        <w:t>[</w:t>
      </w:r>
      <w:r w:rsidR="00DF6C83" w:rsidRPr="00BE5DC9">
        <w:rPr>
          <w:rStyle w:val="Referencingstyle"/>
        </w:rPr>
        <w:t>Schedule 1, item 267, section 11B(7), NGER Act]</w:t>
      </w:r>
      <w:r w:rsidR="00DF6C83" w:rsidRPr="00BE5DC9">
        <w:t xml:space="preserve"> </w:t>
      </w:r>
      <w:r w:rsidR="00DF6C83" w:rsidRPr="00BE5DC9">
        <w:rPr>
          <w:rStyle w:val="Referencingstyle"/>
        </w:rPr>
        <w:t>[Schedule 1, items 270</w:t>
      </w:r>
      <w:r w:rsidR="00DF6C83">
        <w:rPr>
          <w:rStyle w:val="Referencingstyle"/>
        </w:rPr>
        <w:t xml:space="preserve"> to </w:t>
      </w:r>
      <w:r w:rsidR="00DF6C83" w:rsidRPr="00280E71">
        <w:rPr>
          <w:rStyle w:val="Referencingstyle"/>
        </w:rPr>
        <w:t>277, sections 11B(15)-(19) and</w:t>
      </w:r>
      <w:r w:rsidR="00AF2250">
        <w:rPr>
          <w:rStyle w:val="Referencingstyle"/>
        </w:rPr>
        <w:t> </w:t>
      </w:r>
      <w:r w:rsidR="00DF6C83" w:rsidRPr="00280E71">
        <w:rPr>
          <w:rStyle w:val="Referencingstyle"/>
        </w:rPr>
        <w:t>11B(15)(b)-(c) and 11B(17)(b)-(c), N</w:t>
      </w:r>
      <w:r w:rsidR="00DF6C83" w:rsidRPr="00BE5DC9">
        <w:rPr>
          <w:rStyle w:val="Referencingstyle"/>
        </w:rPr>
        <w:t>GER Act]</w:t>
      </w:r>
    </w:p>
    <w:p w:rsidR="00857F02" w:rsidRDefault="00857F02" w:rsidP="0089116B">
      <w:pPr>
        <w:pStyle w:val="base-text-paragraph"/>
        <w:numPr>
          <w:ilvl w:val="1"/>
          <w:numId w:val="20"/>
        </w:numPr>
      </w:pPr>
      <w:r>
        <w:t xml:space="preserve">As a consequence of </w:t>
      </w:r>
      <w:r w:rsidR="00BE5DC9">
        <w:t>removing</w:t>
      </w:r>
      <w:r>
        <w:t xml:space="preserve"> reporting obligations </w:t>
      </w:r>
      <w:r w:rsidR="00BE5DC9">
        <w:t>for</w:t>
      </w:r>
      <w:r>
        <w:t xml:space="preserve"> persons other than </w:t>
      </w:r>
      <w:r w:rsidR="00BE5DC9">
        <w:t xml:space="preserve">constitutional </w:t>
      </w:r>
      <w:r>
        <w:t xml:space="preserve">corporations, the </w:t>
      </w:r>
      <w:r w:rsidR="00BE5DC9">
        <w:t xml:space="preserve">operational control </w:t>
      </w:r>
      <w:r>
        <w:t xml:space="preserve">test for </w:t>
      </w:r>
      <w:r w:rsidR="00BE5DC9">
        <w:t xml:space="preserve">trusts </w:t>
      </w:r>
      <w:r>
        <w:t xml:space="preserve">is </w:t>
      </w:r>
      <w:r w:rsidR="00BE5DC9">
        <w:t>no longer relevant and all references are</w:t>
      </w:r>
      <w:r>
        <w:t xml:space="preserve"> removed</w:t>
      </w:r>
      <w:r w:rsidR="00D5237C">
        <w:t xml:space="preserve">.  </w:t>
      </w:r>
      <w:r w:rsidRPr="00BE5DC9">
        <w:rPr>
          <w:rStyle w:val="Referencingstyle"/>
        </w:rPr>
        <w:t>[</w:t>
      </w:r>
      <w:r w:rsidR="00DF6C83" w:rsidRPr="00BE5DC9">
        <w:rPr>
          <w:rStyle w:val="Referencingstyle"/>
        </w:rPr>
        <w:t>Schedule 1, items 221, 247, 281 and 307, section</w:t>
      </w:r>
      <w:r w:rsidR="00DF6C83">
        <w:rPr>
          <w:rStyle w:val="Referencingstyle"/>
        </w:rPr>
        <w:t xml:space="preserve">s </w:t>
      </w:r>
      <w:r w:rsidR="00DF6C83" w:rsidRPr="00BE5DC9">
        <w:rPr>
          <w:rStyle w:val="Referencingstyle"/>
        </w:rPr>
        <w:t>7, 11(4), 11C and</w:t>
      </w:r>
      <w:r w:rsidR="00DF6C83">
        <w:rPr>
          <w:rStyle w:val="Referencingstyle"/>
        </w:rPr>
        <w:t xml:space="preserve"> </w:t>
      </w:r>
      <w:r w:rsidR="00DF6C83" w:rsidRPr="00BE5DC9">
        <w:rPr>
          <w:rStyle w:val="Referencingstyle"/>
        </w:rPr>
        <w:t>56(aab), (aa), (ga) and (gb), NGER Act]</w:t>
      </w:r>
    </w:p>
    <w:p w:rsidR="00857F02" w:rsidRPr="00857F02" w:rsidRDefault="009F73D7" w:rsidP="0089116B">
      <w:pPr>
        <w:pStyle w:val="base-text-paragraph"/>
        <w:numPr>
          <w:ilvl w:val="1"/>
          <w:numId w:val="20"/>
        </w:numPr>
      </w:pPr>
      <w:r>
        <w:t xml:space="preserve">The Regulator may cancel a </w:t>
      </w:r>
      <w:r w:rsidR="004B0750">
        <w:t xml:space="preserve">person’s </w:t>
      </w:r>
      <w:r>
        <w:t>nomination for operational control over a facility if they have an unsatisfactory compliance record</w:t>
      </w:r>
      <w:r w:rsidR="00D5237C">
        <w:t xml:space="preserve">.  </w:t>
      </w:r>
      <w:r>
        <w:t xml:space="preserve">The </w:t>
      </w:r>
      <w:r w:rsidR="0089116B">
        <w:t xml:space="preserve">Main Repeal Bill </w:t>
      </w:r>
      <w:r>
        <w:t xml:space="preserve">amends the definition of ‘unsatisfactory compliance record’ </w:t>
      </w:r>
      <w:r w:rsidR="00857F02">
        <w:t xml:space="preserve">to </w:t>
      </w:r>
      <w:r w:rsidR="001E5E07">
        <w:t xml:space="preserve">remove contraventions of the </w:t>
      </w:r>
      <w:r w:rsidR="003151F1">
        <w:t>CE Act</w:t>
      </w:r>
      <w:r w:rsidR="00857F02">
        <w:t xml:space="preserve"> from the list of</w:t>
      </w:r>
      <w:r>
        <w:t xml:space="preserve"> prescribed</w:t>
      </w:r>
      <w:r w:rsidR="00857F02">
        <w:t xml:space="preserve"> actions</w:t>
      </w:r>
      <w:r w:rsidR="00D5237C">
        <w:t xml:space="preserve">.  </w:t>
      </w:r>
      <w:r w:rsidR="00857F02" w:rsidRPr="009F73D7">
        <w:rPr>
          <w:rStyle w:val="Referencingstyle"/>
        </w:rPr>
        <w:t>[</w:t>
      </w:r>
      <w:r w:rsidR="00DF6C83">
        <w:rPr>
          <w:rStyle w:val="Referencingstyle"/>
        </w:rPr>
        <w:t xml:space="preserve">Schedule 1, items 282 to 284, </w:t>
      </w:r>
      <w:r w:rsidR="00857F02" w:rsidRPr="009F73D7">
        <w:rPr>
          <w:rStyle w:val="Referencingstyle"/>
        </w:rPr>
        <w:t>sections 11D(1</w:t>
      </w:r>
      <w:r w:rsidR="004B04A0">
        <w:rPr>
          <w:rStyle w:val="Referencingstyle"/>
        </w:rPr>
        <w:t>)(c), (e)-(f) and (i)-(j), NGER </w:t>
      </w:r>
      <w:r w:rsidR="00857F02" w:rsidRPr="009F73D7">
        <w:rPr>
          <w:rStyle w:val="Referencingstyle"/>
        </w:rPr>
        <w:t>Act]</w:t>
      </w:r>
    </w:p>
    <w:p w:rsidR="00A07253" w:rsidRPr="00620341" w:rsidRDefault="00A07253" w:rsidP="00A07253">
      <w:pPr>
        <w:pStyle w:val="Heading4"/>
        <w:rPr>
          <w:rStyle w:val="Referencingstyle"/>
          <w:b/>
          <w:i/>
          <w:sz w:val="22"/>
        </w:rPr>
      </w:pPr>
      <w:r>
        <w:t>Changes to definitions</w:t>
      </w:r>
    </w:p>
    <w:p w:rsidR="00A07253" w:rsidRDefault="001E5E07" w:rsidP="00A07253">
      <w:pPr>
        <w:pStyle w:val="base-text-paragraph"/>
        <w:numPr>
          <w:ilvl w:val="1"/>
          <w:numId w:val="20"/>
        </w:numPr>
      </w:pPr>
      <w:r>
        <w:t xml:space="preserve">After the repeal of the carbon tax, certain definitions included in the NGER Act reference the definitions set out in section 5 of the </w:t>
      </w:r>
      <w:r w:rsidR="003151F1">
        <w:t>CE Act</w:t>
      </w:r>
      <w:r>
        <w:t>, which will no longer exist</w:t>
      </w:r>
      <w:r w:rsidR="00D5237C">
        <w:t xml:space="preserve">.  </w:t>
      </w:r>
      <w:r>
        <w:t>As a result new definitions for these terms are included in section 7 of the NGER Act to ensure their continued operation in the context of the NGER Act</w:t>
      </w:r>
      <w:r w:rsidR="00D5237C">
        <w:t xml:space="preserve">.  </w:t>
      </w:r>
      <w:r>
        <w:t>These include definitions for ‘</w:t>
      </w:r>
      <w:r w:rsidRPr="00A07253">
        <w:t>carbon dioxide equivalence</w:t>
      </w:r>
      <w:r>
        <w:t>’, ‘</w:t>
      </w:r>
      <w:r w:rsidRPr="00A07253">
        <w:t>foreign country</w:t>
      </w:r>
      <w:r>
        <w:t>’ and ‘</w:t>
      </w:r>
      <w:r w:rsidRPr="00A07253">
        <w:t>foreign corporation</w:t>
      </w:r>
      <w:r>
        <w:t>’</w:t>
      </w:r>
      <w:r w:rsidR="00D5237C">
        <w:t xml:space="preserve">.  </w:t>
      </w:r>
      <w:r w:rsidR="00A07253" w:rsidRPr="00A07253">
        <w:rPr>
          <w:rStyle w:val="Referencingstyle"/>
        </w:rPr>
        <w:t>[Schedule 1, items 204, 211 and 212, section 7, NGER Act]</w:t>
      </w:r>
      <w:r w:rsidR="00A07253">
        <w:t xml:space="preserve">  </w:t>
      </w:r>
    </w:p>
    <w:p w:rsidR="00A07253" w:rsidRDefault="009F73D7" w:rsidP="00A07253">
      <w:pPr>
        <w:pStyle w:val="base-text-paragraph"/>
        <w:numPr>
          <w:ilvl w:val="1"/>
          <w:numId w:val="20"/>
        </w:numPr>
      </w:pPr>
      <w:r>
        <w:t xml:space="preserve">The </w:t>
      </w:r>
      <w:r w:rsidR="0089116B">
        <w:t xml:space="preserve">Main Repeal Bill </w:t>
      </w:r>
      <w:r>
        <w:t>introduces the term,</w:t>
      </w:r>
      <w:r w:rsidR="00A07253">
        <w:t xml:space="preserve"> </w:t>
      </w:r>
      <w:r>
        <w:t>‘designated financial year’</w:t>
      </w:r>
      <w:r w:rsidR="00A07253">
        <w:t xml:space="preserve">, which means a </w:t>
      </w:r>
      <w:r>
        <w:t xml:space="preserve">financial </w:t>
      </w:r>
      <w:r w:rsidR="00A07253">
        <w:t>year that begins on 1 July 2012 or any later financial year</w:t>
      </w:r>
      <w:r w:rsidR="00D5237C">
        <w:t xml:space="preserve">.  </w:t>
      </w:r>
      <w:r w:rsidR="00A07253">
        <w:t xml:space="preserve">This term replaces the term eligible financial year, which </w:t>
      </w:r>
      <w:r>
        <w:t>was inserted as part of the introduction of the carbon</w:t>
      </w:r>
      <w:r w:rsidR="0089116B">
        <w:t xml:space="preserve"> tax</w:t>
      </w:r>
      <w:r w:rsidR="00D5237C">
        <w:t xml:space="preserve">.  </w:t>
      </w:r>
      <w:r>
        <w:t>To provide clarity and remove any potential for unintended consequences, all references to ‘eligible financial year’ are replaced with ‘designated financial year’</w:t>
      </w:r>
      <w:r w:rsidR="00D5237C">
        <w:t xml:space="preserve">.  </w:t>
      </w:r>
      <w:r w:rsidR="00A07253" w:rsidRPr="008418C4">
        <w:rPr>
          <w:rStyle w:val="Referencingstyle"/>
        </w:rPr>
        <w:t>[Schedule 1, items 205, 207, 249, 260 and 268, section 7, NGER Act]</w:t>
      </w:r>
      <w:r w:rsidR="00A07253">
        <w:t xml:space="preserve"> </w:t>
      </w:r>
    </w:p>
    <w:p w:rsidR="00620341" w:rsidRPr="00221A20" w:rsidRDefault="00221A20" w:rsidP="00A07253">
      <w:pPr>
        <w:pStyle w:val="base-text-paragraph"/>
        <w:numPr>
          <w:ilvl w:val="1"/>
          <w:numId w:val="20"/>
        </w:numPr>
        <w:rPr>
          <w:rStyle w:val="Referencingstyle"/>
          <w:b w:val="0"/>
          <w:i w:val="0"/>
          <w:sz w:val="22"/>
        </w:rPr>
      </w:pPr>
      <w:r>
        <w:t xml:space="preserve">The </w:t>
      </w:r>
      <w:r w:rsidR="0089116B">
        <w:t xml:space="preserve">Main Repeal Bill </w:t>
      </w:r>
      <w:r>
        <w:t>removes a</w:t>
      </w:r>
      <w:r w:rsidR="00A07253">
        <w:t xml:space="preserve"> number of definitions and measurement provisions from sections 7, 7B, 7C and 10 of the NGER Act because they are redundant, having been included solely for the purpose of underpinning the </w:t>
      </w:r>
      <w:r>
        <w:t xml:space="preserve">reporting and measurement of liabilities under the carbon </w:t>
      </w:r>
      <w:r w:rsidR="001E5E07">
        <w:t>pricing mechanism</w:t>
      </w:r>
      <w:r w:rsidR="00D5237C">
        <w:t xml:space="preserve">.  </w:t>
      </w:r>
      <w:r w:rsidR="00A07253" w:rsidRPr="00221A20">
        <w:rPr>
          <w:rStyle w:val="Referencingstyle"/>
        </w:rPr>
        <w:t>[Schedule 1, items 206, 208</w:t>
      </w:r>
      <w:r w:rsidR="00771557">
        <w:rPr>
          <w:rStyle w:val="Referencingstyle"/>
        </w:rPr>
        <w:t xml:space="preserve"> to </w:t>
      </w:r>
      <w:r w:rsidR="00A07253" w:rsidRPr="00221A20">
        <w:rPr>
          <w:rStyle w:val="Referencingstyle"/>
        </w:rPr>
        <w:t>210, 213, 215</w:t>
      </w:r>
      <w:r w:rsidR="00771557">
        <w:rPr>
          <w:rStyle w:val="Referencingstyle"/>
        </w:rPr>
        <w:t xml:space="preserve"> to </w:t>
      </w:r>
      <w:r w:rsidR="00A07253" w:rsidRPr="00221A20">
        <w:rPr>
          <w:rStyle w:val="Referencingstyle"/>
        </w:rPr>
        <w:t>220, 222</w:t>
      </w:r>
      <w:r w:rsidR="00DF6C83">
        <w:rPr>
          <w:rStyle w:val="Referencingstyle"/>
        </w:rPr>
        <w:t xml:space="preserve"> to </w:t>
      </w:r>
      <w:r w:rsidR="00A07253" w:rsidRPr="00221A20">
        <w:rPr>
          <w:rStyle w:val="Referencingstyle"/>
        </w:rPr>
        <w:t>232, 234, 238 and 241</w:t>
      </w:r>
      <w:r w:rsidR="00771557">
        <w:rPr>
          <w:rStyle w:val="Referencingstyle"/>
        </w:rPr>
        <w:t>,</w:t>
      </w:r>
      <w:r w:rsidR="00A07253" w:rsidRPr="00221A20">
        <w:rPr>
          <w:rStyle w:val="Referencingstyle"/>
        </w:rPr>
        <w:t xml:space="preserve"> sections 7, 7B and 7C, NGER Act]</w:t>
      </w:r>
    </w:p>
    <w:p w:rsidR="00221A20" w:rsidRPr="00221A20" w:rsidRDefault="007F6C69" w:rsidP="00221A20">
      <w:pPr>
        <w:pStyle w:val="Heading4"/>
      </w:pPr>
      <w:r>
        <w:t>Administrative</w:t>
      </w:r>
      <w:r w:rsidR="00221A20" w:rsidRPr="00221A20">
        <w:t xml:space="preserve"> amendments</w:t>
      </w:r>
    </w:p>
    <w:p w:rsidR="007F6C69" w:rsidRDefault="007F6C69" w:rsidP="007F6C69">
      <w:pPr>
        <w:pStyle w:val="base-text-paragraph"/>
        <w:numPr>
          <w:ilvl w:val="1"/>
          <w:numId w:val="20"/>
        </w:numPr>
      </w:pPr>
      <w:r>
        <w:t xml:space="preserve">The NGER Act </w:t>
      </w:r>
      <w:r w:rsidR="001E5E07">
        <w:t xml:space="preserve">will </w:t>
      </w:r>
      <w:r>
        <w:t xml:space="preserve">no longer </w:t>
      </w:r>
      <w:r w:rsidR="001E5E07">
        <w:t>have</w:t>
      </w:r>
      <w:r>
        <w:t xml:space="preserve"> th</w:t>
      </w:r>
      <w:r w:rsidR="001E5E07">
        <w:t xml:space="preserve">e object of underpinning the </w:t>
      </w:r>
      <w:r w:rsidR="003151F1">
        <w:t>CE Act</w:t>
      </w:r>
      <w:r w:rsidR="00D5237C">
        <w:t xml:space="preserve">.  </w:t>
      </w:r>
      <w:r>
        <w:t xml:space="preserve">Accordingly, the </w:t>
      </w:r>
      <w:r w:rsidR="0089116B">
        <w:t xml:space="preserve">Main Repeal Bill </w:t>
      </w:r>
      <w:r>
        <w:t>removes this object</w:t>
      </w:r>
      <w:r w:rsidR="004B0750">
        <w:t xml:space="preserve"> from section 3 of the NGER Act</w:t>
      </w:r>
      <w:r w:rsidR="00D5237C">
        <w:t xml:space="preserve">.  </w:t>
      </w:r>
      <w:r w:rsidR="000A0D0D">
        <w:rPr>
          <w:rStyle w:val="Referencingstyle"/>
        </w:rPr>
        <w:t xml:space="preserve">[Schedule 1, items 196 to </w:t>
      </w:r>
      <w:r w:rsidRPr="007F6C69">
        <w:rPr>
          <w:rStyle w:val="Referencingstyle"/>
        </w:rPr>
        <w:t>198, section 3, NGER Act]</w:t>
      </w:r>
      <w:r>
        <w:t xml:space="preserve"> </w:t>
      </w:r>
    </w:p>
    <w:p w:rsidR="007F6C69" w:rsidRDefault="007F6C69" w:rsidP="007F6C69">
      <w:pPr>
        <w:pStyle w:val="base-text-paragraph"/>
        <w:numPr>
          <w:ilvl w:val="1"/>
          <w:numId w:val="20"/>
        </w:numPr>
      </w:pPr>
      <w:r>
        <w:t xml:space="preserve">As a consequence of the </w:t>
      </w:r>
      <w:r w:rsidR="003151F1">
        <w:t>CE Act</w:t>
      </w:r>
      <w:r>
        <w:t xml:space="preserve"> being repealed, references to the </w:t>
      </w:r>
      <w:r w:rsidR="003151F1">
        <w:t>CE Act</w:t>
      </w:r>
      <w:r>
        <w:t xml:space="preserve"> in </w:t>
      </w:r>
      <w:r w:rsidR="005D4671">
        <w:t xml:space="preserve">the </w:t>
      </w:r>
      <w:r>
        <w:t xml:space="preserve">NGER </w:t>
      </w:r>
      <w:r w:rsidRPr="00E03B25">
        <w:t>Act are redundant</w:t>
      </w:r>
      <w:r w:rsidR="00D5237C">
        <w:t xml:space="preserve">.  </w:t>
      </w:r>
      <w:r>
        <w:t xml:space="preserve">The </w:t>
      </w:r>
      <w:r w:rsidR="0089116B">
        <w:t xml:space="preserve">Main Repeal Bill </w:t>
      </w:r>
      <w:r>
        <w:t>removes these references</w:t>
      </w:r>
      <w:r w:rsidR="00D5237C">
        <w:t xml:space="preserve">.  </w:t>
      </w:r>
      <w:r w:rsidRPr="007F6C69">
        <w:rPr>
          <w:rStyle w:val="Referencingstyle"/>
        </w:rPr>
        <w:t xml:space="preserve">[Schedule 1, items 199, 233, 235, 236, 239, 240, 242, 245, 254, </w:t>
      </w:r>
      <w:r w:rsidR="00DB4076">
        <w:rPr>
          <w:rStyle w:val="Referencingstyle"/>
        </w:rPr>
        <w:t>section</w:t>
      </w:r>
      <w:r w:rsidRPr="007F6C69">
        <w:rPr>
          <w:rStyle w:val="Referencingstyle"/>
        </w:rPr>
        <w:t>s 4(1), 7A(1), 8(1), 9(</w:t>
      </w:r>
      <w:r w:rsidR="000A0D0D">
        <w:rPr>
          <w:rStyle w:val="Referencingstyle"/>
        </w:rPr>
        <w:t xml:space="preserve">1), 10(1), 10(3), 11(1), 11(3) and </w:t>
      </w:r>
      <w:r w:rsidR="004B04A0">
        <w:rPr>
          <w:rStyle w:val="Referencingstyle"/>
        </w:rPr>
        <w:t>11A(2), NGER </w:t>
      </w:r>
      <w:r w:rsidRPr="007F6C69">
        <w:rPr>
          <w:rStyle w:val="Referencingstyle"/>
        </w:rPr>
        <w:t>Act]</w:t>
      </w:r>
      <w:r>
        <w:t xml:space="preserve"> </w:t>
      </w:r>
    </w:p>
    <w:p w:rsidR="00221A20" w:rsidRPr="00771557" w:rsidRDefault="001E5E07" w:rsidP="007F6C69">
      <w:pPr>
        <w:pStyle w:val="base-text-paragraph"/>
        <w:numPr>
          <w:ilvl w:val="1"/>
          <w:numId w:val="20"/>
        </w:numPr>
        <w:rPr>
          <w:rStyle w:val="Referencingstyle"/>
          <w:b w:val="0"/>
          <w:i w:val="0"/>
          <w:sz w:val="22"/>
        </w:rPr>
      </w:pPr>
      <w:r>
        <w:t xml:space="preserve">With the introduction of the carbon tax, section 4 of the NGER Act was amended to include the constitutional powers underpinning the </w:t>
      </w:r>
      <w:r w:rsidR="003151F1">
        <w:t>CE Act</w:t>
      </w:r>
      <w:r w:rsidR="00D5237C">
        <w:t xml:space="preserve">.  </w:t>
      </w:r>
      <w:r>
        <w:t xml:space="preserve">With the repeal of the </w:t>
      </w:r>
      <w:r w:rsidR="003151F1">
        <w:t>CE Act</w:t>
      </w:r>
      <w:r>
        <w:t>, these additional powers are no longer required</w:t>
      </w:r>
      <w:r w:rsidR="00D5237C">
        <w:t xml:space="preserve">.  </w:t>
      </w:r>
      <w:r>
        <w:t xml:space="preserve">The Main Repeal Bill amends the constitutional basis of the NGER Act to remove reference to those   powers that supported the </w:t>
      </w:r>
      <w:r w:rsidR="003151F1">
        <w:t>CE Act</w:t>
      </w:r>
      <w:r w:rsidR="00D5237C">
        <w:t xml:space="preserve">.  </w:t>
      </w:r>
      <w:r w:rsidR="007F6C69" w:rsidRPr="006774B3">
        <w:rPr>
          <w:rStyle w:val="Referencingstyle"/>
        </w:rPr>
        <w:t xml:space="preserve">[Schedule 1, </w:t>
      </w:r>
      <w:r>
        <w:rPr>
          <w:rStyle w:val="Referencingstyle"/>
        </w:rPr>
        <w:t>items 199</w:t>
      </w:r>
      <w:r w:rsidR="009126C7">
        <w:rPr>
          <w:rStyle w:val="Referencingstyle"/>
        </w:rPr>
        <w:t xml:space="preserve"> to </w:t>
      </w:r>
      <w:r>
        <w:rPr>
          <w:rStyle w:val="Referencingstyle"/>
        </w:rPr>
        <w:t xml:space="preserve">200, </w:t>
      </w:r>
      <w:r w:rsidR="00DB4076">
        <w:rPr>
          <w:rStyle w:val="Referencingstyle"/>
        </w:rPr>
        <w:t>section</w:t>
      </w:r>
      <w:r w:rsidR="00AF2250">
        <w:rPr>
          <w:rStyle w:val="Referencingstyle"/>
        </w:rPr>
        <w:t>s 4(1)</w:t>
      </w:r>
      <w:r w:rsidR="00AF2250">
        <w:rPr>
          <w:rStyle w:val="Referencingstyle"/>
        </w:rPr>
        <w:noBreakHyphen/>
      </w:r>
      <w:r w:rsidR="007F6C69" w:rsidRPr="006774B3">
        <w:rPr>
          <w:rStyle w:val="Referencingstyle"/>
        </w:rPr>
        <w:t>(2), NGER Act]</w:t>
      </w:r>
    </w:p>
    <w:p w:rsidR="00771557" w:rsidRPr="009D0C32" w:rsidRDefault="00771557" w:rsidP="00771557">
      <w:pPr>
        <w:pStyle w:val="base-text-paragraph"/>
        <w:numPr>
          <w:ilvl w:val="1"/>
          <w:numId w:val="20"/>
        </w:numPr>
        <w:rPr>
          <w:rStyle w:val="Referencingstyle"/>
          <w:b w:val="0"/>
          <w:i w:val="0"/>
          <w:sz w:val="22"/>
        </w:rPr>
      </w:pPr>
      <w:r>
        <w:t>The Main Repeal Bill also amends the NGER Act provision dealing with the relationship between the NGER Act and State and Territory laws to return it to its pre-CE Act form</w:t>
      </w:r>
      <w:r w:rsidR="00D5237C">
        <w:t xml:space="preserve">.  </w:t>
      </w:r>
      <w:r>
        <w:t>Section 5(2) was added to the NGER Act to ensure that the Act excluded State and Territory laws which required reporting of greenhouse gas emissions by most of the legal persons covered by the CE Act (and who were required to report under the NGER Act)</w:t>
      </w:r>
      <w:r w:rsidR="00D5237C">
        <w:t xml:space="preserve">.  </w:t>
      </w:r>
      <w:r>
        <w:t>It will not be needed once the CE Act is repealed and reference to greenhouse gas emissions is reinstated in section 5(1)</w:t>
      </w:r>
      <w:r w:rsidR="00D5237C">
        <w:t xml:space="preserve">.  </w:t>
      </w:r>
      <w:r w:rsidRPr="006774B3">
        <w:rPr>
          <w:rStyle w:val="Referencingstyle"/>
        </w:rPr>
        <w:t xml:space="preserve">[Schedule 1, </w:t>
      </w:r>
      <w:r>
        <w:rPr>
          <w:rStyle w:val="Referencingstyle"/>
        </w:rPr>
        <w:t>items 201</w:t>
      </w:r>
      <w:r w:rsidR="009126C7">
        <w:rPr>
          <w:rStyle w:val="Referencingstyle"/>
        </w:rPr>
        <w:t xml:space="preserve"> to </w:t>
      </w:r>
      <w:r>
        <w:rPr>
          <w:rStyle w:val="Referencingstyle"/>
        </w:rPr>
        <w:t>203, section 5</w:t>
      </w:r>
      <w:r w:rsidRPr="006774B3">
        <w:rPr>
          <w:rStyle w:val="Referencingstyle"/>
        </w:rPr>
        <w:t>, NGER Act]</w:t>
      </w:r>
    </w:p>
    <w:p w:rsidR="0089116B" w:rsidRDefault="0089116B" w:rsidP="0089116B">
      <w:pPr>
        <w:pStyle w:val="Heading3"/>
      </w:pPr>
      <w:r>
        <w:t>A</w:t>
      </w:r>
      <w:r w:rsidRPr="00964A03">
        <w:t>ustralian National Registry of Emissions Units</w:t>
      </w:r>
    </w:p>
    <w:p w:rsidR="0089116B" w:rsidRDefault="0089116B" w:rsidP="0089116B">
      <w:pPr>
        <w:pStyle w:val="Heading4"/>
      </w:pPr>
      <w:r w:rsidRPr="0089116B">
        <w:t>Removal of carbon units</w:t>
      </w:r>
    </w:p>
    <w:p w:rsidR="0089116B" w:rsidRPr="0089116B" w:rsidRDefault="0089116B" w:rsidP="009126C7">
      <w:pPr>
        <w:pStyle w:val="base-text-paragraph"/>
        <w:numPr>
          <w:ilvl w:val="1"/>
          <w:numId w:val="20"/>
        </w:numPr>
      </w:pPr>
      <w:r>
        <w:t>The repeal of the carbon tax will involve cancellation of all carbon units</w:t>
      </w:r>
      <w:r w:rsidR="00607977">
        <w:t>, as these units will not</w:t>
      </w:r>
      <w:r w:rsidR="00DC7372">
        <w:t xml:space="preserve"> need to</w:t>
      </w:r>
      <w:r w:rsidR="00607977">
        <w:t xml:space="preserve"> exist after repeal of the carbon tax</w:t>
      </w:r>
      <w:r w:rsidR="00D5237C">
        <w:t xml:space="preserve">.  </w:t>
      </w:r>
      <w:r>
        <w:t xml:space="preserve">The Main Repeal Bill </w:t>
      </w:r>
      <w:r w:rsidR="001E5E07">
        <w:t>amends</w:t>
      </w:r>
      <w:r>
        <w:t xml:space="preserve"> </w:t>
      </w:r>
      <w:r w:rsidRPr="00F125D6">
        <w:t xml:space="preserve">the </w:t>
      </w:r>
      <w:r w:rsidRPr="0089116B">
        <w:t>ANREU Act</w:t>
      </w:r>
      <w:r w:rsidRPr="00F125D6">
        <w:t xml:space="preserve"> to repeal redundant r</w:t>
      </w:r>
      <w:r>
        <w:t>eferences to ‘carbon units’</w:t>
      </w:r>
      <w:r w:rsidR="00D5237C">
        <w:t xml:space="preserve">.  </w:t>
      </w:r>
      <w:r w:rsidR="009126C7" w:rsidRPr="009126C7">
        <w:rPr>
          <w:rStyle w:val="Referencingstyle"/>
        </w:rPr>
        <w:t>[Schedule 1, items 13</w:t>
      </w:r>
      <w:r w:rsidR="000A0D0D">
        <w:rPr>
          <w:rStyle w:val="Referencingstyle"/>
        </w:rPr>
        <w:t xml:space="preserve">, 25, 31, 38 to 39, 41, 45, 55, 58 to </w:t>
      </w:r>
      <w:r w:rsidR="009126C7" w:rsidRPr="009126C7">
        <w:rPr>
          <w:rStyle w:val="Referencingstyle"/>
        </w:rPr>
        <w:t>60, 64, 71, 72, 78, 79, 80, 82, sections 3, 4, 9(4)(a), 11(5)(b), 15(2)(aa) 26(3)(a)(ia), 27(3B)(c), 28A(1)(aa</w:t>
      </w:r>
      <w:r w:rsidR="000A0D0D">
        <w:rPr>
          <w:rStyle w:val="Referencingstyle"/>
        </w:rPr>
        <w:t xml:space="preserve">), 28B(1)(aa), 28D(5)(ii), 61A </w:t>
      </w:r>
      <w:r w:rsidR="009126C7" w:rsidRPr="009126C7">
        <w:rPr>
          <w:rStyle w:val="Referencingstyle"/>
        </w:rPr>
        <w:t>and 64, ANREU Act]</w:t>
      </w:r>
    </w:p>
    <w:p w:rsidR="006C1369" w:rsidRDefault="0089116B" w:rsidP="0089116B">
      <w:pPr>
        <w:pStyle w:val="base-text-paragraph"/>
        <w:numPr>
          <w:ilvl w:val="1"/>
          <w:numId w:val="20"/>
        </w:numPr>
      </w:pPr>
      <w:r>
        <w:t xml:space="preserve">The amendments </w:t>
      </w:r>
      <w:r w:rsidR="004B0750">
        <w:t>made by th</w:t>
      </w:r>
      <w:r w:rsidR="004B04A0">
        <w:t>e Main Repeal Bill to the ANREU </w:t>
      </w:r>
      <w:r w:rsidR="004B0750">
        <w:t xml:space="preserve">Act </w:t>
      </w:r>
      <w:r>
        <w:t>will commence on 1 July 2014</w:t>
      </w:r>
      <w:r w:rsidR="00D5237C">
        <w:t xml:space="preserve">.  </w:t>
      </w:r>
      <w:r w:rsidRPr="00CC27E5">
        <w:rPr>
          <w:b/>
          <w:bCs/>
          <w:i/>
          <w:iCs/>
          <w:sz w:val="18"/>
          <w:szCs w:val="18"/>
        </w:rPr>
        <w:t>[</w:t>
      </w:r>
      <w:r w:rsidR="00F002FB">
        <w:rPr>
          <w:rStyle w:val="Referencingstyle"/>
        </w:rPr>
        <w:t>clause</w:t>
      </w:r>
      <w:r w:rsidR="00F002FB" w:rsidRPr="00995345">
        <w:rPr>
          <w:rStyle w:val="Referencingstyle"/>
        </w:rPr>
        <w:t xml:space="preserve"> </w:t>
      </w:r>
      <w:r w:rsidRPr="00CC27E5">
        <w:rPr>
          <w:b/>
          <w:bCs/>
          <w:i/>
          <w:iCs/>
          <w:sz w:val="18"/>
          <w:szCs w:val="18"/>
        </w:rPr>
        <w:t>2]</w:t>
      </w:r>
      <w:r>
        <w:t xml:space="preserve"> </w:t>
      </w:r>
    </w:p>
    <w:p w:rsidR="0089116B" w:rsidRPr="00F90466" w:rsidRDefault="000A0D0D" w:rsidP="0089116B">
      <w:pPr>
        <w:pStyle w:val="base-text-paragraph"/>
        <w:numPr>
          <w:ilvl w:val="1"/>
          <w:numId w:val="20"/>
        </w:numPr>
      </w:pPr>
      <w:r>
        <w:t>However, c</w:t>
      </w:r>
      <w:r w:rsidR="006C1369">
        <w:t>arbon units will remain in existence until the ‘designated carbon unit day’ on Monday, 9 February 2015 (or a later day as specified by the Regulator) so that they can be used to satisfy liabilities for the 2013-14 eligible financial year</w:t>
      </w:r>
      <w:r w:rsidR="00D5237C">
        <w:t xml:space="preserve">.  </w:t>
      </w:r>
      <w:r w:rsidR="006C1369">
        <w:t>For that reason, the Main Repeal Bill provides that the ANREU Act in its unamended form continues to operate in relation to carbon units issued before the designated carbon unit day</w:t>
      </w:r>
      <w:r w:rsidR="00D5237C">
        <w:t xml:space="preserve">.  </w:t>
      </w:r>
      <w:r w:rsidR="006C1369">
        <w:t>This is a transitional arrangement, designed to support the finalisation of carbon tax liabilities for 2012-13 and 2013-14</w:t>
      </w:r>
      <w:r w:rsidR="00D5237C">
        <w:t xml:space="preserve">.  </w:t>
      </w:r>
      <w:r w:rsidR="0089116B">
        <w:rPr>
          <w:b/>
          <w:bCs/>
          <w:i/>
          <w:iCs/>
          <w:sz w:val="18"/>
          <w:szCs w:val="18"/>
        </w:rPr>
        <w:t>[Schedule 1, item 332]</w:t>
      </w:r>
    </w:p>
    <w:p w:rsidR="0089116B" w:rsidRDefault="0089116B" w:rsidP="0089116B">
      <w:pPr>
        <w:pStyle w:val="Heading4"/>
      </w:pPr>
      <w:r>
        <w:t xml:space="preserve">Removal of other references to the </w:t>
      </w:r>
      <w:r w:rsidR="003151F1">
        <w:t>CE Act</w:t>
      </w:r>
      <w:r>
        <w:t xml:space="preserve"> </w:t>
      </w:r>
    </w:p>
    <w:p w:rsidR="0089116B" w:rsidRPr="00F90466" w:rsidRDefault="006C1369" w:rsidP="0089116B">
      <w:pPr>
        <w:pStyle w:val="base-text-paragraph"/>
        <w:numPr>
          <w:ilvl w:val="1"/>
          <w:numId w:val="20"/>
        </w:numPr>
      </w:pPr>
      <w:r>
        <w:t>The Main Repeal Bill makes consequential amendments to the ANREU</w:t>
      </w:r>
      <w:r w:rsidR="004B04A0">
        <w:t> </w:t>
      </w:r>
      <w:r>
        <w:t>Act</w:t>
      </w:r>
      <w:r w:rsidR="00633097">
        <w:t xml:space="preserve"> to remove references to the </w:t>
      </w:r>
      <w:r w:rsidR="003151F1">
        <w:t>CE Act</w:t>
      </w:r>
      <w:r>
        <w:t xml:space="preserve"> and provisions of that Act</w:t>
      </w:r>
      <w:r w:rsidR="00D5237C">
        <w:t xml:space="preserve">.  </w:t>
      </w:r>
      <w:r w:rsidR="009126C7" w:rsidRPr="009126C7">
        <w:rPr>
          <w:rStyle w:val="Referencingstyle"/>
        </w:rPr>
        <w:t>[Schedule 1, items 13, 15, 16, 22, 25, 26, 29, 31, 37, 40, 48, 51, 54, 58 to 59, 63, 67 to 70, 72 and 73, sections 3, 4, 14A, 17(1A), 19(3B), 22(4B),</w:t>
      </w:r>
      <w:r w:rsidR="000A0D0D">
        <w:rPr>
          <w:rStyle w:val="Referencingstyle"/>
        </w:rPr>
        <w:t xml:space="preserve"> </w:t>
      </w:r>
      <w:r w:rsidR="009126C7" w:rsidRPr="009126C7">
        <w:rPr>
          <w:rStyle w:val="Referencingstyle"/>
        </w:rPr>
        <w:t>27(3B), 28A(4)(aa), 28B(11)</w:t>
      </w:r>
      <w:r w:rsidR="00D5237C">
        <w:rPr>
          <w:rStyle w:val="Referencingstyle"/>
        </w:rPr>
        <w:t xml:space="preserve">, </w:t>
      </w:r>
      <w:r w:rsidR="009126C7" w:rsidRPr="009126C7">
        <w:rPr>
          <w:rStyle w:val="Referencingstyle"/>
        </w:rPr>
        <w:t>28C(17)(aa), 28D(5)(b) and 28D(16(aa), ANREU Act]</w:t>
      </w:r>
    </w:p>
    <w:p w:rsidR="0089116B" w:rsidRDefault="0089116B" w:rsidP="0089116B">
      <w:pPr>
        <w:pStyle w:val="Heading4"/>
      </w:pPr>
      <w:r>
        <w:t>Removal of capacity to link to non-Kyoto markets</w:t>
      </w:r>
    </w:p>
    <w:p w:rsidR="0089116B" w:rsidRDefault="0089116B" w:rsidP="0089116B">
      <w:pPr>
        <w:pStyle w:val="base-text-paragraph"/>
        <w:numPr>
          <w:ilvl w:val="1"/>
          <w:numId w:val="20"/>
        </w:numPr>
        <w:rPr>
          <w:rFonts w:eastAsiaTheme="minorHAnsi"/>
          <w:szCs w:val="18"/>
        </w:rPr>
      </w:pPr>
      <w:r>
        <w:t>The Registry will no longer need the capacity to record trade in units that are not Kyoto units</w:t>
      </w:r>
      <w:r w:rsidR="00D5237C">
        <w:t xml:space="preserve">.  </w:t>
      </w:r>
      <w:r>
        <w:t>The category of ‘prescribed international unit’ was intended to encompass a broad range of non-Kyoto international emissions units to facilitate trade in those units</w:t>
      </w:r>
      <w:r w:rsidR="00D5237C">
        <w:t xml:space="preserve">.  </w:t>
      </w:r>
      <w:r>
        <w:t>As this category is no longer needed, the definition of prescribed international unit will be removed</w:t>
      </w:r>
      <w:r w:rsidR="00D5237C">
        <w:t xml:space="preserve">.  </w:t>
      </w:r>
      <w:r w:rsidRPr="0089116B">
        <w:rPr>
          <w:rStyle w:val="Referencingstyle"/>
        </w:rPr>
        <w:t>[Schedule 1, item 30, section 4</w:t>
      </w:r>
      <w:r w:rsidR="008B282A">
        <w:rPr>
          <w:rStyle w:val="Referencingstyle"/>
        </w:rPr>
        <w:t>,</w:t>
      </w:r>
      <w:r w:rsidRPr="0089116B">
        <w:rPr>
          <w:rStyle w:val="Referencingstyle"/>
        </w:rPr>
        <w:t xml:space="preserve"> ANREU Act]</w:t>
      </w:r>
      <w:r w:rsidR="00D5237C">
        <w:rPr>
          <w:szCs w:val="18"/>
        </w:rPr>
        <w:t xml:space="preserve">.  </w:t>
      </w:r>
      <w:r>
        <w:t>The Main Repeal Bill provides for references to the term to be removed from the ANREU Act</w:t>
      </w:r>
      <w:r w:rsidR="00D5237C">
        <w:t xml:space="preserve">.  </w:t>
      </w:r>
      <w:r w:rsidR="008D001F" w:rsidRPr="008D001F">
        <w:rPr>
          <w:rStyle w:val="Referencingstyle"/>
        </w:rPr>
        <w:t>[Schedule 1, items 13, 18-19, 23, 32 to 34, 38, 42 to 44, 46 to 47, 52 to 53, 56 to 57, 61 to 62, 65 to 66, 68 to 69, 75</w:t>
      </w:r>
      <w:r w:rsidR="000A0D0D">
        <w:rPr>
          <w:rStyle w:val="Referencingstyle"/>
        </w:rPr>
        <w:t xml:space="preserve"> </w:t>
      </w:r>
      <w:r w:rsidR="008D001F" w:rsidRPr="008D001F">
        <w:rPr>
          <w:rStyle w:val="Referencingstyle"/>
        </w:rPr>
        <w:t>to 76, 79, 81, 87 to 89, sections 3, 4, 9(4)(a), 15(2)(d), 16(2)(b)(ii), 16(5), 16(7)(b), 21, 22(4A)(a), 26(3)(iii)</w:t>
      </w:r>
      <w:r w:rsidR="000A0D0D">
        <w:rPr>
          <w:rStyle w:val="Referencingstyle"/>
        </w:rPr>
        <w:t>,</w:t>
      </w:r>
      <w:r w:rsidR="008D001F" w:rsidRPr="008D001F">
        <w:rPr>
          <w:rStyle w:val="Referencingstyle"/>
        </w:rPr>
        <w:t xml:space="preserve"> 28A(1), 28B(1), 28B(11), 58, 63 to 63G, 64 and 82, ANREU Act]</w:t>
      </w:r>
    </w:p>
    <w:p w:rsidR="0089116B" w:rsidRPr="0089116B" w:rsidRDefault="0089116B" w:rsidP="0089116B">
      <w:pPr>
        <w:pStyle w:val="base-text-paragraph"/>
        <w:numPr>
          <w:ilvl w:val="1"/>
          <w:numId w:val="20"/>
        </w:numPr>
      </w:pPr>
      <w:r w:rsidRPr="0089116B">
        <w:t xml:space="preserve">Operational provisions allowing </w:t>
      </w:r>
      <w:r w:rsidR="004B0750">
        <w:t>the Regulator</w:t>
      </w:r>
      <w:r w:rsidRPr="0089116B">
        <w:t xml:space="preserve"> to facilitate trade in prescribed international units will be removed</w:t>
      </w:r>
      <w:r w:rsidR="00D5237C">
        <w:t xml:space="preserve">.  </w:t>
      </w:r>
      <w:r w:rsidR="00DF6C83">
        <w:rPr>
          <w:rStyle w:val="Referencingstyle"/>
        </w:rPr>
        <w:t xml:space="preserve">[Schedule 1, </w:t>
      </w:r>
      <w:r w:rsidR="00DB4076">
        <w:rPr>
          <w:rStyle w:val="Referencingstyle"/>
        </w:rPr>
        <w:t>item</w:t>
      </w:r>
      <w:r w:rsidR="00DF6C83">
        <w:rPr>
          <w:rStyle w:val="Referencingstyle"/>
        </w:rPr>
        <w:t xml:space="preserve"> 74,</w:t>
      </w:r>
      <w:r w:rsidR="004067EC">
        <w:rPr>
          <w:rStyle w:val="Referencingstyle"/>
        </w:rPr>
        <w:t xml:space="preserve"> Part 4, </w:t>
      </w:r>
      <w:r w:rsidRPr="0089116B">
        <w:rPr>
          <w:rStyle w:val="Referencingstyle"/>
        </w:rPr>
        <w:t>ANREU Act]</w:t>
      </w:r>
    </w:p>
    <w:p w:rsidR="0089116B" w:rsidRPr="0089116B" w:rsidRDefault="00633097" w:rsidP="0089116B">
      <w:pPr>
        <w:pStyle w:val="base-text-paragraph"/>
        <w:numPr>
          <w:ilvl w:val="1"/>
          <w:numId w:val="20"/>
        </w:numPr>
      </w:pPr>
      <w:r>
        <w:t xml:space="preserve">The Main Repeal Bill removes other </w:t>
      </w:r>
      <w:r w:rsidR="0089116B">
        <w:t>Regulator functions necessary to give effect to trading instructions relating to prescribed international units, for example to make entries for prescribed international units on the Registry or to transfer prescribed international un</w:t>
      </w:r>
      <w:r>
        <w:t>its between accounts</w:t>
      </w:r>
      <w:r w:rsidR="00D5237C">
        <w:t xml:space="preserve">.  </w:t>
      </w:r>
      <w:r w:rsidR="00DF6C83" w:rsidRPr="0089116B">
        <w:rPr>
          <w:rStyle w:val="Referencingstyle"/>
        </w:rPr>
        <w:t xml:space="preserve">[Schedule 1, </w:t>
      </w:r>
      <w:r w:rsidR="00DF6C83">
        <w:rPr>
          <w:rStyle w:val="Referencingstyle"/>
        </w:rPr>
        <w:t>i</w:t>
      </w:r>
      <w:r w:rsidR="00DF6C83" w:rsidRPr="0089116B">
        <w:rPr>
          <w:rStyle w:val="Referencingstyle"/>
        </w:rPr>
        <w:t>tems 36</w:t>
      </w:r>
      <w:r w:rsidR="00DF6C83">
        <w:rPr>
          <w:rStyle w:val="Referencingstyle"/>
        </w:rPr>
        <w:t xml:space="preserve"> and</w:t>
      </w:r>
      <w:r w:rsidR="00DF6C83" w:rsidRPr="0089116B">
        <w:rPr>
          <w:rStyle w:val="Referencingstyle"/>
        </w:rPr>
        <w:t xml:space="preserve"> 49</w:t>
      </w:r>
      <w:r w:rsidR="00D5237C">
        <w:rPr>
          <w:rStyle w:val="Referencingstyle"/>
        </w:rPr>
        <w:t xml:space="preserve">, </w:t>
      </w:r>
      <w:r w:rsidR="00DF6C83" w:rsidRPr="0089116B">
        <w:rPr>
          <w:rStyle w:val="Referencingstyle"/>
        </w:rPr>
        <w:t>section</w:t>
      </w:r>
      <w:r w:rsidR="00DF6C83">
        <w:rPr>
          <w:rStyle w:val="Referencingstyle"/>
        </w:rPr>
        <w:t>s</w:t>
      </w:r>
      <w:r w:rsidR="00DF6C83" w:rsidRPr="0089116B">
        <w:rPr>
          <w:rStyle w:val="Referencingstyle"/>
        </w:rPr>
        <w:t xml:space="preserve"> 4, 17(3</w:t>
      </w:r>
      <w:r w:rsidR="000A0D0D">
        <w:rPr>
          <w:rStyle w:val="Referencingstyle"/>
        </w:rPr>
        <w:t>) and</w:t>
      </w:r>
      <w:r w:rsidR="00DF6C83">
        <w:rPr>
          <w:rStyle w:val="Referencingstyle"/>
        </w:rPr>
        <w:t xml:space="preserve"> </w:t>
      </w:r>
      <w:r w:rsidR="00DF6C83" w:rsidRPr="0089116B">
        <w:rPr>
          <w:rStyle w:val="Referencingstyle"/>
        </w:rPr>
        <w:t>50</w:t>
      </w:r>
      <w:r w:rsidR="00DF6C83">
        <w:rPr>
          <w:rStyle w:val="Referencingstyle"/>
        </w:rPr>
        <w:t xml:space="preserve"> to </w:t>
      </w:r>
      <w:r w:rsidR="00DF6C83" w:rsidRPr="0089116B">
        <w:rPr>
          <w:rStyle w:val="Referencingstyle"/>
        </w:rPr>
        <w:t>53</w:t>
      </w:r>
      <w:r w:rsidR="00DF6C83">
        <w:rPr>
          <w:rStyle w:val="Referencingstyle"/>
        </w:rPr>
        <w:t>, ANREU Act</w:t>
      </w:r>
      <w:r w:rsidR="00DF6C83" w:rsidRPr="0089116B">
        <w:rPr>
          <w:rStyle w:val="Referencingstyle"/>
        </w:rPr>
        <w:t>]</w:t>
      </w:r>
    </w:p>
    <w:p w:rsidR="0089116B" w:rsidRDefault="0089116B" w:rsidP="0089116B">
      <w:pPr>
        <w:pStyle w:val="Heading4"/>
        <w:rPr>
          <w:szCs w:val="22"/>
        </w:rPr>
      </w:pPr>
      <w:r>
        <w:t xml:space="preserve">Removal of capacity to link to </w:t>
      </w:r>
      <w:r w:rsidR="00DA0562">
        <w:t>international emissions trading schemes</w:t>
      </w:r>
    </w:p>
    <w:p w:rsidR="0089116B" w:rsidRDefault="0089116B" w:rsidP="0089116B">
      <w:pPr>
        <w:pStyle w:val="base-text-paragraph"/>
        <w:numPr>
          <w:ilvl w:val="1"/>
          <w:numId w:val="20"/>
        </w:numPr>
        <w:rPr>
          <w:rFonts w:eastAsiaTheme="minorHAnsi"/>
        </w:rPr>
      </w:pPr>
      <w:r>
        <w:t xml:space="preserve">To facilitate linking with </w:t>
      </w:r>
      <w:r w:rsidR="007A2A3F">
        <w:t xml:space="preserve">other international emissions trading schemes, including </w:t>
      </w:r>
      <w:r>
        <w:t xml:space="preserve">the </w:t>
      </w:r>
      <w:r w:rsidR="00DC7372">
        <w:t>EU </w:t>
      </w:r>
      <w:r>
        <w:t>ETS, the definition of ‘prescribed international units’ included European Union Allowances (EUAs) and Australian Issued International Units (AIIUs)</w:t>
      </w:r>
      <w:r w:rsidR="00D5237C">
        <w:t xml:space="preserve">.  </w:t>
      </w:r>
      <w:r w:rsidR="00DA0562">
        <w:t>With the repeal of the carbon tax, it follows that l</w:t>
      </w:r>
      <w:r>
        <w:t xml:space="preserve">inking to </w:t>
      </w:r>
      <w:r w:rsidR="007A2A3F">
        <w:t xml:space="preserve">other </w:t>
      </w:r>
      <w:r w:rsidR="00633097">
        <w:t>emissions trading schemes will not proceed</w:t>
      </w:r>
      <w:r w:rsidR="00D5237C">
        <w:t xml:space="preserve">.  </w:t>
      </w:r>
      <w:r>
        <w:t>Definitions and provisions that were inserted into the ANREU Act to achieve that outcome are no longer required and will be removed</w:t>
      </w:r>
      <w:r w:rsidR="00D5237C">
        <w:t xml:space="preserve">.  </w:t>
      </w:r>
      <w:r w:rsidR="008D001F" w:rsidRPr="008D001F">
        <w:rPr>
          <w:rStyle w:val="Referencingstyle"/>
        </w:rPr>
        <w:t>[Schedule 1, items 14, 17, 20, 21, 24, 27 to 29, 83 to 86 and 90 to 91, sections 4, 48A, 66, 79(1), 82 and 86A and Parts 6A and 6B, ANREU Act]</w:t>
      </w:r>
    </w:p>
    <w:p w:rsidR="0089116B" w:rsidRPr="0089116B" w:rsidRDefault="00633097" w:rsidP="0089116B">
      <w:pPr>
        <w:pStyle w:val="base-text-paragraph"/>
        <w:numPr>
          <w:ilvl w:val="1"/>
          <w:numId w:val="20"/>
        </w:numPr>
      </w:pPr>
      <w:r>
        <w:t>As there will be no EUAs or AIIUs held in the Registry, the Main Repeal Bill removes anti-fraud and oversight arrangements relating to EUAs and AIIUs as they are redundant</w:t>
      </w:r>
      <w:r w:rsidR="00D5237C">
        <w:t xml:space="preserve">.  </w:t>
      </w:r>
      <w:r w:rsidR="00DF6C83" w:rsidRPr="0089116B">
        <w:rPr>
          <w:rStyle w:val="Referencingstyle"/>
        </w:rPr>
        <w:t xml:space="preserve">[Schedule 1, </w:t>
      </w:r>
      <w:r w:rsidR="00DF6C83">
        <w:rPr>
          <w:rStyle w:val="Referencingstyle"/>
        </w:rPr>
        <w:t>i</w:t>
      </w:r>
      <w:r w:rsidR="00DF6C83" w:rsidRPr="0089116B">
        <w:rPr>
          <w:rStyle w:val="Referencingstyle"/>
        </w:rPr>
        <w:t>tem</w:t>
      </w:r>
      <w:r w:rsidR="00951DB6">
        <w:rPr>
          <w:rStyle w:val="Referencingstyle"/>
        </w:rPr>
        <w:t>s</w:t>
      </w:r>
      <w:r w:rsidR="00DF6C83" w:rsidRPr="0089116B">
        <w:rPr>
          <w:rStyle w:val="Referencingstyle"/>
        </w:rPr>
        <w:t xml:space="preserve"> 35</w:t>
      </w:r>
      <w:r w:rsidR="00951DB6">
        <w:rPr>
          <w:rStyle w:val="Referencingstyle"/>
        </w:rPr>
        <w:t xml:space="preserve"> and 84</w:t>
      </w:r>
      <w:r w:rsidR="00DF6C83" w:rsidRPr="0089116B">
        <w:rPr>
          <w:rStyle w:val="Referencingstyle"/>
        </w:rPr>
        <w:t>, section</w:t>
      </w:r>
      <w:r w:rsidR="00951DB6">
        <w:rPr>
          <w:rStyle w:val="Referencingstyle"/>
        </w:rPr>
        <w:t>s 4 and Parts 6A and 6B</w:t>
      </w:r>
      <w:r w:rsidR="00DF6C83">
        <w:rPr>
          <w:rStyle w:val="Referencingstyle"/>
        </w:rPr>
        <w:t>,</w:t>
      </w:r>
      <w:r w:rsidR="00DF6C83" w:rsidRPr="0089116B">
        <w:rPr>
          <w:rStyle w:val="Referencingstyle"/>
        </w:rPr>
        <w:t xml:space="preserve"> ANREU Act]</w:t>
      </w:r>
    </w:p>
    <w:p w:rsidR="0089116B" w:rsidRDefault="0089116B" w:rsidP="0089116B">
      <w:pPr>
        <w:pStyle w:val="Heading3"/>
      </w:pPr>
      <w:r>
        <w:t xml:space="preserve">Clean Energy Regulator </w:t>
      </w:r>
    </w:p>
    <w:p w:rsidR="0089116B" w:rsidRDefault="0089116B" w:rsidP="0089116B">
      <w:pPr>
        <w:pStyle w:val="Heading4"/>
      </w:pPr>
      <w:r w:rsidRPr="0089116B">
        <w:t>Change in the role of the Regulator</w:t>
      </w:r>
    </w:p>
    <w:p w:rsidR="0089116B" w:rsidRPr="0089116B" w:rsidRDefault="007A2A3F" w:rsidP="0089116B">
      <w:pPr>
        <w:pStyle w:val="base-text-paragraph"/>
        <w:numPr>
          <w:ilvl w:val="1"/>
          <w:numId w:val="20"/>
        </w:numPr>
        <w:rPr>
          <w:b/>
        </w:rPr>
      </w:pPr>
      <w:r>
        <w:t>Under section 12 of the Regulator Act, t</w:t>
      </w:r>
      <w:r w:rsidR="0089116B" w:rsidRPr="0089116B">
        <w:t>he</w:t>
      </w:r>
      <w:r w:rsidR="0089116B" w:rsidRPr="0089116B">
        <w:rPr>
          <w:b/>
          <w:i/>
        </w:rPr>
        <w:t xml:space="preserve"> </w:t>
      </w:r>
      <w:r w:rsidR="0089116B" w:rsidRPr="0089116B">
        <w:t>Regulator has the functions conferred on it by a climate change law or another Commonwealth law</w:t>
      </w:r>
      <w:r w:rsidR="00D5237C">
        <w:t xml:space="preserve">.  </w:t>
      </w:r>
      <w:r>
        <w:t>Sections 43 and 44 of the Regulator Act provide t</w:t>
      </w:r>
      <w:r w:rsidR="0089116B" w:rsidRPr="0089116B">
        <w:t xml:space="preserve">he Regulator </w:t>
      </w:r>
      <w:r>
        <w:t xml:space="preserve">with the </w:t>
      </w:r>
      <w:r w:rsidR="0089116B" w:rsidRPr="0089116B">
        <w:t>power to disclose protected information for the purpose of a climate change law</w:t>
      </w:r>
      <w:r>
        <w:t xml:space="preserve">, including </w:t>
      </w:r>
      <w:r w:rsidR="0089116B" w:rsidRPr="0089116B">
        <w:t>the Clean Energy Legislation</w:t>
      </w:r>
      <w:r w:rsidR="00D5237C">
        <w:t xml:space="preserve">.  </w:t>
      </w:r>
    </w:p>
    <w:p w:rsidR="0089116B" w:rsidRPr="0089116B" w:rsidRDefault="0089116B" w:rsidP="0089116B">
      <w:pPr>
        <w:pStyle w:val="base-text-paragraph"/>
        <w:numPr>
          <w:ilvl w:val="1"/>
          <w:numId w:val="20"/>
        </w:numPr>
        <w:rPr>
          <w:b/>
        </w:rPr>
      </w:pPr>
      <w:r w:rsidRPr="0089116B">
        <w:t xml:space="preserve">The Main Repeal Bill removes the Clean Energy Legislation from the definition </w:t>
      </w:r>
      <w:r w:rsidR="00DC7372">
        <w:t xml:space="preserve">of ‘climate change law’ </w:t>
      </w:r>
      <w:r w:rsidRPr="0089116B">
        <w:t>as a consequence of the repeal of that legislation</w:t>
      </w:r>
      <w:r w:rsidR="00D5237C">
        <w:t xml:space="preserve">.  </w:t>
      </w:r>
      <w:r w:rsidR="00DF6C83" w:rsidRPr="0089116B">
        <w:rPr>
          <w:rStyle w:val="Referencingstyle"/>
        </w:rPr>
        <w:t>[Schedule 1, item 97, section 4</w:t>
      </w:r>
      <w:r w:rsidR="00DF6C83">
        <w:rPr>
          <w:rStyle w:val="Referencingstyle"/>
        </w:rPr>
        <w:t>,</w:t>
      </w:r>
      <w:r w:rsidR="00DF6C83" w:rsidRPr="0089116B">
        <w:rPr>
          <w:rStyle w:val="Referencingstyle"/>
        </w:rPr>
        <w:t xml:space="preserve"> </w:t>
      </w:r>
      <w:r w:rsidR="00DF6C83">
        <w:rPr>
          <w:rStyle w:val="Referencingstyle"/>
        </w:rPr>
        <w:t>Regulator</w:t>
      </w:r>
      <w:r w:rsidR="00DF6C83" w:rsidRPr="0089116B">
        <w:rPr>
          <w:rStyle w:val="Referencingstyle"/>
        </w:rPr>
        <w:t xml:space="preserve"> Act] [Schedule 1, </w:t>
      </w:r>
      <w:r w:rsidR="00DF6C83">
        <w:rPr>
          <w:rStyle w:val="Referencingstyle"/>
        </w:rPr>
        <w:t>i</w:t>
      </w:r>
      <w:r w:rsidR="00DF6C83" w:rsidRPr="0089116B">
        <w:rPr>
          <w:rStyle w:val="Referencingstyle"/>
        </w:rPr>
        <w:t>tem</w:t>
      </w:r>
      <w:r w:rsidR="00DF6C83">
        <w:rPr>
          <w:rStyle w:val="Referencingstyle"/>
        </w:rPr>
        <w:t> </w:t>
      </w:r>
      <w:r w:rsidR="00DF6C83" w:rsidRPr="0089116B">
        <w:rPr>
          <w:rStyle w:val="Referencingstyle"/>
        </w:rPr>
        <w:t xml:space="preserve">95, </w:t>
      </w:r>
      <w:r w:rsidR="00DF6C83">
        <w:rPr>
          <w:rStyle w:val="Referencingstyle"/>
        </w:rPr>
        <w:t>s</w:t>
      </w:r>
      <w:r w:rsidR="00DF6C83" w:rsidRPr="0089116B">
        <w:rPr>
          <w:rStyle w:val="Referencingstyle"/>
        </w:rPr>
        <w:t>ection</w:t>
      </w:r>
      <w:r w:rsidR="00DF6C83">
        <w:rPr>
          <w:rStyle w:val="Referencingstyle"/>
        </w:rPr>
        <w:t>s</w:t>
      </w:r>
      <w:r w:rsidR="00DF6C83" w:rsidRPr="0089116B">
        <w:rPr>
          <w:rStyle w:val="Referencingstyle"/>
        </w:rPr>
        <w:t xml:space="preserve"> 3, 4</w:t>
      </w:r>
      <w:r w:rsidR="00DF6C83">
        <w:rPr>
          <w:rStyle w:val="Referencingstyle"/>
        </w:rPr>
        <w:t xml:space="preserve"> and</w:t>
      </w:r>
      <w:r w:rsidR="00DF6C83" w:rsidRPr="0089116B">
        <w:rPr>
          <w:rStyle w:val="Referencingstyle"/>
        </w:rPr>
        <w:t xml:space="preserve"> 41(3)(a)</w:t>
      </w:r>
      <w:r w:rsidR="00D5237C">
        <w:rPr>
          <w:rStyle w:val="Referencingstyle"/>
        </w:rPr>
        <w:t xml:space="preserve">, </w:t>
      </w:r>
      <w:r w:rsidR="00DF6C83">
        <w:rPr>
          <w:rStyle w:val="Referencingstyle"/>
        </w:rPr>
        <w:t>Regulator</w:t>
      </w:r>
      <w:r w:rsidR="00DF6C83" w:rsidRPr="0089116B">
        <w:rPr>
          <w:rStyle w:val="Referencingstyle"/>
        </w:rPr>
        <w:t xml:space="preserve"> Act]</w:t>
      </w:r>
    </w:p>
    <w:p w:rsidR="0089116B" w:rsidRPr="0089116B" w:rsidRDefault="0089116B" w:rsidP="0089116B">
      <w:pPr>
        <w:pStyle w:val="base-text-paragraph"/>
        <w:numPr>
          <w:ilvl w:val="1"/>
          <w:numId w:val="20"/>
        </w:numPr>
      </w:pPr>
      <w:r w:rsidRPr="0089116B">
        <w:t xml:space="preserve">The Main Repeal Bill also updates the simplified outline of the </w:t>
      </w:r>
      <w:r w:rsidR="00384CE5">
        <w:t>Regulator</w:t>
      </w:r>
      <w:r w:rsidRPr="0089116B">
        <w:t xml:space="preserve"> Act and the objective of the Regulator to take account of the changed functions of the </w:t>
      </w:r>
      <w:r w:rsidR="00384CE5">
        <w:t>Regulator</w:t>
      </w:r>
      <w:r w:rsidR="00D5237C">
        <w:t xml:space="preserve">.  </w:t>
      </w:r>
      <w:r w:rsidR="008D001F" w:rsidRPr="008D001F">
        <w:rPr>
          <w:rStyle w:val="Referencingstyle"/>
        </w:rPr>
        <w:t xml:space="preserve">[Schedule 1, </w:t>
      </w:r>
      <w:r w:rsidR="00061F5F">
        <w:rPr>
          <w:rStyle w:val="Referencingstyle"/>
        </w:rPr>
        <w:t>item 95 and 101, sections 3 and </w:t>
      </w:r>
      <w:r w:rsidR="008D001F" w:rsidRPr="008D001F">
        <w:rPr>
          <w:rStyle w:val="Referencingstyle"/>
        </w:rPr>
        <w:t>4, Regulator Act]</w:t>
      </w:r>
    </w:p>
    <w:p w:rsidR="00633097" w:rsidRDefault="0089116B" w:rsidP="0089116B">
      <w:pPr>
        <w:pStyle w:val="base-text-paragraph"/>
        <w:numPr>
          <w:ilvl w:val="1"/>
          <w:numId w:val="20"/>
        </w:numPr>
      </w:pPr>
      <w:r w:rsidRPr="0089116B">
        <w:t>These amendments take effect on 1 July 2014</w:t>
      </w:r>
      <w:r w:rsidR="00D5237C">
        <w:t xml:space="preserve">.  </w:t>
      </w:r>
      <w:r w:rsidRPr="0089116B">
        <w:rPr>
          <w:rStyle w:val="Referencingstyle"/>
        </w:rPr>
        <w:t>[</w:t>
      </w:r>
      <w:r w:rsidR="000A0D0D">
        <w:rPr>
          <w:rStyle w:val="Referencingstyle"/>
        </w:rPr>
        <w:t>clause </w:t>
      </w:r>
      <w:r w:rsidRPr="0089116B">
        <w:rPr>
          <w:rStyle w:val="Referencingstyle"/>
        </w:rPr>
        <w:t>2]</w:t>
      </w:r>
      <w:r w:rsidRPr="0089116B">
        <w:t xml:space="preserve"> </w:t>
      </w:r>
    </w:p>
    <w:p w:rsidR="0089116B" w:rsidRPr="0089116B" w:rsidRDefault="0089116B" w:rsidP="0089116B">
      <w:pPr>
        <w:pStyle w:val="base-text-paragraph"/>
        <w:numPr>
          <w:ilvl w:val="1"/>
          <w:numId w:val="20"/>
        </w:numPr>
      </w:pPr>
      <w:r w:rsidRPr="0089116B">
        <w:t xml:space="preserve">The </w:t>
      </w:r>
      <w:r w:rsidR="00384CE5">
        <w:t>Regulator</w:t>
      </w:r>
      <w:r w:rsidRPr="0089116B">
        <w:t xml:space="preserve"> will need to perform functions under the Clean Energy Legislation in its preserved form and to disclose protected information for the purposes of that legislation</w:t>
      </w:r>
      <w:r w:rsidR="00D5237C">
        <w:t xml:space="preserve">.  </w:t>
      </w:r>
      <w:r w:rsidRPr="0089116B">
        <w:t>A transitional provision continues the existing definition of ‘climate change law’ to ensure that these things can happen</w:t>
      </w:r>
      <w:r w:rsidR="00D5237C">
        <w:t xml:space="preserve">.  </w:t>
      </w:r>
      <w:r w:rsidRPr="0089116B">
        <w:t>It also deems the definition to include the repeal legislation so that the Regulator can perform functions under those laws and disclose protected information for the purposes of those laws</w:t>
      </w:r>
      <w:r w:rsidR="00D5237C">
        <w:t xml:space="preserve">.  </w:t>
      </w:r>
      <w:r w:rsidRPr="0089116B">
        <w:rPr>
          <w:rStyle w:val="Referencingstyle"/>
        </w:rPr>
        <w:t>[Schedule 1, item 333]</w:t>
      </w:r>
    </w:p>
    <w:p w:rsidR="0089116B" w:rsidRPr="0089116B" w:rsidRDefault="0089116B" w:rsidP="0089116B">
      <w:pPr>
        <w:pStyle w:val="Heading4"/>
      </w:pPr>
      <w:r w:rsidRPr="0089116B">
        <w:t>Other consequential amendments</w:t>
      </w:r>
    </w:p>
    <w:p w:rsidR="0089116B" w:rsidRPr="0089116B" w:rsidRDefault="0089116B" w:rsidP="0089116B">
      <w:pPr>
        <w:pStyle w:val="base-text-paragraph"/>
        <w:numPr>
          <w:ilvl w:val="1"/>
          <w:numId w:val="20"/>
        </w:numPr>
      </w:pPr>
      <w:r w:rsidRPr="0089116B">
        <w:t xml:space="preserve">Other consequential amendments to the </w:t>
      </w:r>
      <w:r w:rsidR="00384CE5">
        <w:t>Regulator</w:t>
      </w:r>
      <w:r w:rsidRPr="0089116B">
        <w:t xml:space="preserve"> Act are:</w:t>
      </w:r>
    </w:p>
    <w:p w:rsidR="00633097" w:rsidRPr="0089116B" w:rsidRDefault="00633097" w:rsidP="00633097">
      <w:pPr>
        <w:pStyle w:val="dotpoint"/>
      </w:pPr>
      <w:r w:rsidRPr="0089116B">
        <w:t xml:space="preserve">to remove a reference to consistency with the objects of the </w:t>
      </w:r>
      <w:r w:rsidR="003151F1">
        <w:t>CE Act</w:t>
      </w:r>
      <w:r w:rsidRPr="0089116B">
        <w:t xml:space="preserve"> in the provision authorising the Minister to give directions to the </w:t>
      </w:r>
      <w:r>
        <w:t>Regulator</w:t>
      </w:r>
      <w:r w:rsidRPr="0089116B">
        <w:t xml:space="preserve">; </w:t>
      </w:r>
      <w:r w:rsidR="008D001F" w:rsidRPr="008D001F">
        <w:rPr>
          <w:rStyle w:val="Referencingstyle"/>
        </w:rPr>
        <w:t>[Schedule 1, item 103, section 41(3)(a), Regulator Act]</w:t>
      </w:r>
    </w:p>
    <w:p w:rsidR="00633097" w:rsidRPr="0089116B" w:rsidRDefault="00633097" w:rsidP="00633097">
      <w:pPr>
        <w:pStyle w:val="dotpoint"/>
      </w:pPr>
      <w:r w:rsidRPr="0089116B">
        <w:t xml:space="preserve">to transfer definitions </w:t>
      </w:r>
      <w:r>
        <w:t xml:space="preserve">currently </w:t>
      </w:r>
      <w:r w:rsidRPr="0089116B">
        <w:t xml:space="preserve">contained in the </w:t>
      </w:r>
      <w:r w:rsidR="003151F1">
        <w:t>CE Act</w:t>
      </w:r>
      <w:r>
        <w:t xml:space="preserve"> </w:t>
      </w:r>
      <w:r w:rsidRPr="0089116B">
        <w:t xml:space="preserve">to the </w:t>
      </w:r>
      <w:r>
        <w:t>Regulator</w:t>
      </w:r>
      <w:r w:rsidRPr="0089116B">
        <w:t xml:space="preserve"> Act</w:t>
      </w:r>
      <w:r>
        <w:t xml:space="preserve"> because they </w:t>
      </w:r>
      <w:r w:rsidRPr="0089116B">
        <w:t xml:space="preserve">are required for the continued operation of the </w:t>
      </w:r>
      <w:r>
        <w:t>Regulator</w:t>
      </w:r>
      <w:r w:rsidRPr="0089116B">
        <w:t xml:space="preserve"> Act after repeal of the carbon tax</w:t>
      </w:r>
      <w:r w:rsidR="00D5237C">
        <w:t xml:space="preserve">.  </w:t>
      </w:r>
      <w:r>
        <w:t xml:space="preserve">The relevant definitions are </w:t>
      </w:r>
      <w:r w:rsidRPr="000A4195">
        <w:t>‘Climate Change Convention’, ‘international climate change agreement’, ‘greenhouse gas’, and ‘international agreement’</w:t>
      </w:r>
      <w:r w:rsidRPr="0089116B">
        <w:t xml:space="preserve">; and </w:t>
      </w:r>
      <w:r w:rsidR="000A0D0D">
        <w:rPr>
          <w:rStyle w:val="Referencingstyle"/>
        </w:rPr>
        <w:t xml:space="preserve">[Schedule 1, items 96, 98, 99 and </w:t>
      </w:r>
      <w:r w:rsidR="008D001F" w:rsidRPr="008D001F">
        <w:rPr>
          <w:rStyle w:val="Referencingstyle"/>
        </w:rPr>
        <w:t xml:space="preserve"> 100, section 4, Regulator Act]</w:t>
      </w:r>
    </w:p>
    <w:p w:rsidR="0089116B" w:rsidRPr="0089116B" w:rsidRDefault="00633097" w:rsidP="00633097">
      <w:pPr>
        <w:pStyle w:val="dotpoint"/>
      </w:pPr>
      <w:r w:rsidRPr="0089116B">
        <w:t xml:space="preserve">to remove references in the </w:t>
      </w:r>
      <w:r>
        <w:t>Regulator</w:t>
      </w:r>
      <w:r w:rsidRPr="0089116B">
        <w:t xml:space="preserve"> Act to </w:t>
      </w:r>
      <w:r>
        <w:t>‘</w:t>
      </w:r>
      <w:r w:rsidRPr="0089116B">
        <w:t>prescribed international units</w:t>
      </w:r>
      <w:r>
        <w:t>’,</w:t>
      </w:r>
      <w:r w:rsidRPr="0089116B">
        <w:t xml:space="preserve"> consistent with the removal of the concept from the ANREU Act</w:t>
      </w:r>
      <w:r w:rsidR="00D5237C">
        <w:t xml:space="preserve">.  </w:t>
      </w:r>
      <w:r w:rsidR="008D001F" w:rsidRPr="008D001F">
        <w:rPr>
          <w:rStyle w:val="Referencingstyle"/>
        </w:rPr>
        <w:t>[Schedule 1, items 102 and 104, sections 4 and 49(1)(z), Regulator Act]</w:t>
      </w:r>
    </w:p>
    <w:p w:rsidR="00082E38" w:rsidRDefault="00DA0562" w:rsidP="003609ED">
      <w:pPr>
        <w:pStyle w:val="Heading3"/>
      </w:pPr>
      <w:r>
        <w:t>Financial regulation and carbon units</w:t>
      </w:r>
    </w:p>
    <w:p w:rsidR="003609ED" w:rsidRDefault="003609ED" w:rsidP="003609ED">
      <w:pPr>
        <w:pStyle w:val="Heading4"/>
      </w:pPr>
      <w:r>
        <w:t>ASIC Act Amendments</w:t>
      </w:r>
    </w:p>
    <w:p w:rsidR="003609ED" w:rsidRPr="0089116B" w:rsidRDefault="00633097" w:rsidP="0089116B">
      <w:pPr>
        <w:pStyle w:val="base-text-paragraph"/>
        <w:numPr>
          <w:ilvl w:val="1"/>
          <w:numId w:val="20"/>
        </w:numPr>
        <w:rPr>
          <w:b/>
          <w:i/>
        </w:rPr>
      </w:pPr>
      <w:r>
        <w:t xml:space="preserve">The Main Repeal Bill removes references to ‘carbon units’ in the ASIC Act, which means that a carbon unit ceases to be a financial product </w:t>
      </w:r>
      <w:r w:rsidR="00202BE6">
        <w:t>from a date specified in the legislation</w:t>
      </w:r>
      <w:r w:rsidR="00D5237C">
        <w:t xml:space="preserve">.  </w:t>
      </w:r>
      <w:r w:rsidR="00DB4076" w:rsidRPr="0089116B">
        <w:rPr>
          <w:rStyle w:val="Referencingstyle"/>
        </w:rPr>
        <w:t xml:space="preserve">[Schedule 1, </w:t>
      </w:r>
      <w:r w:rsidR="00DB4076">
        <w:rPr>
          <w:rStyle w:val="Referencingstyle"/>
        </w:rPr>
        <w:t>i</w:t>
      </w:r>
      <w:r w:rsidR="00DB4076" w:rsidRPr="0089116B">
        <w:rPr>
          <w:rStyle w:val="Referencingstyle"/>
        </w:rPr>
        <w:t>tems 92 and 93</w:t>
      </w:r>
      <w:r w:rsidR="00D5237C">
        <w:rPr>
          <w:rStyle w:val="Referencingstyle"/>
        </w:rPr>
        <w:t xml:space="preserve">, </w:t>
      </w:r>
      <w:r w:rsidR="00DB4076">
        <w:rPr>
          <w:rStyle w:val="Referencingstyle"/>
        </w:rPr>
        <w:t>section</w:t>
      </w:r>
      <w:r w:rsidR="00DB4076" w:rsidRPr="0089116B">
        <w:rPr>
          <w:rStyle w:val="Referencingstyle"/>
        </w:rPr>
        <w:t>s 12BAA(7)(ka) and 12BAB(1)(g), ASIC Act]</w:t>
      </w:r>
    </w:p>
    <w:p w:rsidR="003609ED" w:rsidRDefault="003609ED" w:rsidP="00607977">
      <w:pPr>
        <w:pStyle w:val="base-text-paragraph"/>
        <w:numPr>
          <w:ilvl w:val="1"/>
          <w:numId w:val="20"/>
        </w:numPr>
      </w:pPr>
      <w:r>
        <w:t xml:space="preserve">A new Part 20 to the ASIC Act is inserted to provide transitional provisions </w:t>
      </w:r>
      <w:r w:rsidR="00607977">
        <w:t xml:space="preserve">to </w:t>
      </w:r>
      <w:r w:rsidR="00607977" w:rsidRPr="00607977">
        <w:t>ensure that carbon units issued before</w:t>
      </w:r>
      <w:r w:rsidR="00607977">
        <w:t xml:space="preserve"> the designated carbon unit day </w:t>
      </w:r>
      <w:r w:rsidR="00607977" w:rsidRPr="00607977">
        <w:t>continue to be regulated as financial products</w:t>
      </w:r>
      <w:r w:rsidR="00D5237C">
        <w:t xml:space="preserve">.  </w:t>
      </w:r>
      <w:r w:rsidRPr="003609ED">
        <w:rPr>
          <w:rStyle w:val="Referencingstyle"/>
        </w:rPr>
        <w:t xml:space="preserve">[Schedule 1, </w:t>
      </w:r>
      <w:r w:rsidR="00DB4076">
        <w:rPr>
          <w:rStyle w:val="Referencingstyle"/>
        </w:rPr>
        <w:t>item</w:t>
      </w:r>
      <w:r w:rsidRPr="003609ED">
        <w:rPr>
          <w:rStyle w:val="Referencingstyle"/>
        </w:rPr>
        <w:t xml:space="preserve"> 94, Part 20, ASIC Act]</w:t>
      </w:r>
    </w:p>
    <w:p w:rsidR="00633097" w:rsidRDefault="00633097" w:rsidP="003609ED">
      <w:pPr>
        <w:pStyle w:val="base-text-paragraph"/>
        <w:numPr>
          <w:ilvl w:val="1"/>
          <w:numId w:val="20"/>
        </w:numPr>
      </w:pPr>
      <w:r>
        <w:t xml:space="preserve">‘Designated carbon unit day’ has the same meaning as in </w:t>
      </w:r>
      <w:r w:rsidR="005D4671">
        <w:t xml:space="preserve">Schedule 1, </w:t>
      </w:r>
      <w:r>
        <w:t xml:space="preserve">Part 3 of the </w:t>
      </w:r>
      <w:r w:rsidRPr="0092296D">
        <w:t>Main Repeal Bill,</w:t>
      </w:r>
      <w:r>
        <w:t xml:space="preserve"> that is, 9 February 2015, or a later day as specified by the Regulator</w:t>
      </w:r>
      <w:r w:rsidR="00D5237C">
        <w:t xml:space="preserve">.  </w:t>
      </w:r>
      <w:r w:rsidR="00202BE6">
        <w:rPr>
          <w:rStyle w:val="Referencingstyle"/>
        </w:rPr>
        <w:t xml:space="preserve">[Schedule 1, </w:t>
      </w:r>
      <w:r w:rsidR="00DB4076">
        <w:rPr>
          <w:rStyle w:val="Referencingstyle"/>
        </w:rPr>
        <w:t>item</w:t>
      </w:r>
      <w:r w:rsidR="00202BE6">
        <w:rPr>
          <w:rStyle w:val="Referencingstyle"/>
        </w:rPr>
        <w:t xml:space="preserve"> 94, </w:t>
      </w:r>
      <w:r w:rsidR="00202BE6" w:rsidRPr="003609ED">
        <w:rPr>
          <w:rStyle w:val="Referencingstyle"/>
        </w:rPr>
        <w:t>section 29</w:t>
      </w:r>
      <w:r w:rsidR="00202BE6">
        <w:rPr>
          <w:rStyle w:val="Referencingstyle"/>
        </w:rPr>
        <w:t>5</w:t>
      </w:r>
      <w:r w:rsidR="00202BE6" w:rsidRPr="003609ED">
        <w:rPr>
          <w:rStyle w:val="Referencingstyle"/>
        </w:rPr>
        <w:t>, ASIC Act]</w:t>
      </w:r>
    </w:p>
    <w:p w:rsidR="003609ED" w:rsidRDefault="003609ED" w:rsidP="003609ED">
      <w:pPr>
        <w:pStyle w:val="base-text-paragraph"/>
        <w:numPr>
          <w:ilvl w:val="1"/>
          <w:numId w:val="20"/>
        </w:numPr>
      </w:pPr>
      <w:r>
        <w:t>Carbon units issued prior to the designated carbon unit day will continue to be subject to the ASIC Act</w:t>
      </w:r>
      <w:r w:rsidR="00D5237C">
        <w:t xml:space="preserve">.  </w:t>
      </w:r>
      <w:r>
        <w:t>For example, up until the designated carbon unit day, carbon units will continue to be subject to the consumer protection provisions provided for in the ASIC Act</w:t>
      </w:r>
      <w:r w:rsidR="00D5237C">
        <w:t xml:space="preserve">.  </w:t>
      </w:r>
      <w:r w:rsidRPr="003609ED">
        <w:rPr>
          <w:rStyle w:val="Referencingstyle"/>
        </w:rPr>
        <w:t xml:space="preserve">[Schedule 1, </w:t>
      </w:r>
      <w:r w:rsidR="00DB4076">
        <w:rPr>
          <w:rStyle w:val="Referencingstyle"/>
        </w:rPr>
        <w:t>item</w:t>
      </w:r>
      <w:r w:rsidRPr="003609ED">
        <w:rPr>
          <w:rStyle w:val="Referencingstyle"/>
        </w:rPr>
        <w:t xml:space="preserve"> 94</w:t>
      </w:r>
      <w:r w:rsidR="00D5237C">
        <w:rPr>
          <w:rStyle w:val="Referencingstyle"/>
        </w:rPr>
        <w:t xml:space="preserve">, </w:t>
      </w:r>
      <w:r w:rsidRPr="003609ED">
        <w:rPr>
          <w:rStyle w:val="Referencingstyle"/>
        </w:rPr>
        <w:t>section 296, ASIC Act]</w:t>
      </w:r>
    </w:p>
    <w:p w:rsidR="003609ED" w:rsidRDefault="004B0750" w:rsidP="003609ED">
      <w:pPr>
        <w:pStyle w:val="Heading4"/>
      </w:pPr>
      <w:r>
        <w:t>Corporations Act</w:t>
      </w:r>
      <w:r w:rsidR="003609ED">
        <w:t xml:space="preserve"> amendments</w:t>
      </w:r>
    </w:p>
    <w:p w:rsidR="003609ED" w:rsidRPr="003609ED" w:rsidRDefault="003609ED" w:rsidP="003609ED">
      <w:pPr>
        <w:pStyle w:val="base-text-paragraph"/>
        <w:numPr>
          <w:ilvl w:val="1"/>
          <w:numId w:val="20"/>
        </w:numPr>
      </w:pPr>
      <w:r>
        <w:t xml:space="preserve">The </w:t>
      </w:r>
      <w:r w:rsidR="00607977">
        <w:t xml:space="preserve">Main Repeal Bill </w:t>
      </w:r>
      <w:r>
        <w:t xml:space="preserve">removes references to ‘carbon units’ in the </w:t>
      </w:r>
      <w:r w:rsidR="004B0750">
        <w:t>Corporations Act</w:t>
      </w:r>
      <w:r>
        <w:t xml:space="preserve"> which has the effect of a carbon unit ceasing to be a financial product </w:t>
      </w:r>
      <w:r w:rsidR="00202BE6">
        <w:t>from the date specified in the legislation</w:t>
      </w:r>
      <w:r w:rsidR="00D5237C">
        <w:t xml:space="preserve">.  </w:t>
      </w:r>
      <w:r w:rsidR="00DB4076" w:rsidRPr="003609ED">
        <w:rPr>
          <w:rStyle w:val="Referencingstyle"/>
        </w:rPr>
        <w:t xml:space="preserve">[Schedule 1, </w:t>
      </w:r>
      <w:r w:rsidR="00DB4076">
        <w:rPr>
          <w:rStyle w:val="Referencingstyle"/>
        </w:rPr>
        <w:t>i</w:t>
      </w:r>
      <w:r w:rsidR="00DB4076" w:rsidRPr="003609ED">
        <w:rPr>
          <w:rStyle w:val="Referencingstyle"/>
        </w:rPr>
        <w:t>tems 105 and 106</w:t>
      </w:r>
      <w:r w:rsidR="00D5237C">
        <w:rPr>
          <w:rStyle w:val="Referencingstyle"/>
        </w:rPr>
        <w:t xml:space="preserve">, </w:t>
      </w:r>
      <w:r w:rsidR="00DB4076" w:rsidRPr="003609ED">
        <w:rPr>
          <w:rStyle w:val="Referencingstyle"/>
        </w:rPr>
        <w:t>section</w:t>
      </w:r>
      <w:r w:rsidR="00DB4076">
        <w:rPr>
          <w:rStyle w:val="Referencingstyle"/>
        </w:rPr>
        <w:t>s</w:t>
      </w:r>
      <w:r w:rsidR="00DB4076" w:rsidRPr="003609ED">
        <w:rPr>
          <w:rStyle w:val="Referencingstyle"/>
        </w:rPr>
        <w:t xml:space="preserve"> 9 and 764A(1)(kaa), </w:t>
      </w:r>
      <w:r w:rsidR="00DB4076">
        <w:rPr>
          <w:rStyle w:val="Referencingstyle"/>
        </w:rPr>
        <w:t>Corporations Act</w:t>
      </w:r>
      <w:r w:rsidR="00DB4076" w:rsidRPr="003609ED">
        <w:rPr>
          <w:rStyle w:val="Referencingstyle"/>
        </w:rPr>
        <w:t>]</w:t>
      </w:r>
    </w:p>
    <w:p w:rsidR="003609ED" w:rsidRPr="00202BE6" w:rsidRDefault="00B610E5" w:rsidP="000A4195">
      <w:pPr>
        <w:pStyle w:val="base-text-paragraph"/>
        <w:numPr>
          <w:ilvl w:val="1"/>
          <w:numId w:val="20"/>
        </w:numPr>
        <w:rPr>
          <w:rStyle w:val="Referencingstyle"/>
          <w:b w:val="0"/>
          <w:i w:val="0"/>
          <w:sz w:val="22"/>
        </w:rPr>
      </w:pPr>
      <w:r>
        <w:t xml:space="preserve">The </w:t>
      </w:r>
      <w:r w:rsidR="00607977">
        <w:t>Main Repeal Bill</w:t>
      </w:r>
      <w:r>
        <w:t xml:space="preserve"> inserts a</w:t>
      </w:r>
      <w:r w:rsidR="003609ED">
        <w:t xml:space="preserve"> new Part </w:t>
      </w:r>
      <w:r w:rsidR="00202BE6">
        <w:t xml:space="preserve">10.23 </w:t>
      </w:r>
      <w:r>
        <w:t xml:space="preserve">into the </w:t>
      </w:r>
      <w:r w:rsidR="004B0750">
        <w:t>Corporations Act</w:t>
      </w:r>
      <w:r>
        <w:t xml:space="preserve"> </w:t>
      </w:r>
      <w:r w:rsidR="003609ED">
        <w:t xml:space="preserve">to provide transitional </w:t>
      </w:r>
      <w:r w:rsidR="00633097">
        <w:t xml:space="preserve">arrangements </w:t>
      </w:r>
      <w:r w:rsidR="003609ED">
        <w:t>relating to removal of carbon units as a financial product</w:t>
      </w:r>
      <w:r w:rsidR="000A4195">
        <w:t xml:space="preserve"> and </w:t>
      </w:r>
      <w:r w:rsidR="000A4195" w:rsidRPr="000A4195">
        <w:t xml:space="preserve">ensure that carbon units issued before the </w:t>
      </w:r>
      <w:r w:rsidR="000A4195">
        <w:t>‘</w:t>
      </w:r>
      <w:r w:rsidR="000A4195" w:rsidRPr="000A4195">
        <w:t>designated carbon unit day</w:t>
      </w:r>
      <w:r w:rsidR="000A4195">
        <w:t xml:space="preserve">’ </w:t>
      </w:r>
      <w:r w:rsidR="000A4195" w:rsidRPr="000A4195">
        <w:t>continue to be regulated as financial products</w:t>
      </w:r>
      <w:r w:rsidR="00D5237C">
        <w:t xml:space="preserve">.  </w:t>
      </w:r>
      <w:r w:rsidR="003609ED" w:rsidRPr="003609ED">
        <w:rPr>
          <w:rStyle w:val="Referencingstyle"/>
        </w:rPr>
        <w:t xml:space="preserve">[Schedule 1, </w:t>
      </w:r>
      <w:r w:rsidR="00DB4076" w:rsidRPr="003609ED">
        <w:rPr>
          <w:rStyle w:val="Referencingstyle"/>
        </w:rPr>
        <w:t xml:space="preserve">item </w:t>
      </w:r>
      <w:r w:rsidR="003609ED" w:rsidRPr="003609ED">
        <w:rPr>
          <w:rStyle w:val="Referencingstyle"/>
        </w:rPr>
        <w:t>107</w:t>
      </w:r>
      <w:r w:rsidR="00D5237C">
        <w:rPr>
          <w:rStyle w:val="Referencingstyle"/>
        </w:rPr>
        <w:t xml:space="preserve">, </w:t>
      </w:r>
      <w:r w:rsidR="003609ED" w:rsidRPr="003609ED">
        <w:rPr>
          <w:rStyle w:val="Referencingstyle"/>
        </w:rPr>
        <w:t xml:space="preserve">Part 10.23, </w:t>
      </w:r>
      <w:r w:rsidR="004B0750">
        <w:rPr>
          <w:rStyle w:val="Referencingstyle"/>
        </w:rPr>
        <w:t>Corporations Act</w:t>
      </w:r>
      <w:r w:rsidR="003609ED" w:rsidRPr="003609ED">
        <w:rPr>
          <w:rStyle w:val="Referencingstyle"/>
        </w:rPr>
        <w:t>]</w:t>
      </w:r>
    </w:p>
    <w:p w:rsidR="00202BE6" w:rsidRDefault="00202BE6" w:rsidP="000A4195">
      <w:pPr>
        <w:pStyle w:val="base-text-paragraph"/>
        <w:numPr>
          <w:ilvl w:val="1"/>
          <w:numId w:val="20"/>
        </w:numPr>
      </w:pPr>
      <w:r>
        <w:t>‘Designated carbon unit day’ has the same meaning as in the Main Repeal Bill, that is, 9 February 2015, or a later day as specified by the Regulator</w:t>
      </w:r>
      <w:r w:rsidR="00D5237C">
        <w:t xml:space="preserve">.  </w:t>
      </w:r>
      <w:r w:rsidRPr="003609ED">
        <w:rPr>
          <w:rStyle w:val="Referencingstyle"/>
        </w:rPr>
        <w:t xml:space="preserve">[Schedule 1, </w:t>
      </w:r>
      <w:r w:rsidR="00DB4076" w:rsidRPr="003609ED">
        <w:rPr>
          <w:rStyle w:val="Referencingstyle"/>
        </w:rPr>
        <w:t xml:space="preserve">item </w:t>
      </w:r>
      <w:r>
        <w:rPr>
          <w:rStyle w:val="Referencingstyle"/>
        </w:rPr>
        <w:t xml:space="preserve">107, </w:t>
      </w:r>
      <w:r w:rsidRPr="003609ED">
        <w:rPr>
          <w:rStyle w:val="Referencingstyle"/>
        </w:rPr>
        <w:t xml:space="preserve">section </w:t>
      </w:r>
      <w:r>
        <w:rPr>
          <w:rStyle w:val="Referencingstyle"/>
        </w:rPr>
        <w:t>1542</w:t>
      </w:r>
      <w:r w:rsidRPr="003609ED">
        <w:rPr>
          <w:rStyle w:val="Referencingstyle"/>
        </w:rPr>
        <w:t xml:space="preserve">, </w:t>
      </w:r>
      <w:r>
        <w:rPr>
          <w:rStyle w:val="Referencingstyle"/>
        </w:rPr>
        <w:t>Corporations</w:t>
      </w:r>
      <w:r w:rsidRPr="003609ED">
        <w:rPr>
          <w:rStyle w:val="Referencingstyle"/>
        </w:rPr>
        <w:t xml:space="preserve"> Act]</w:t>
      </w:r>
    </w:p>
    <w:p w:rsidR="003609ED" w:rsidRPr="003609ED" w:rsidRDefault="003609ED" w:rsidP="003609ED">
      <w:pPr>
        <w:pStyle w:val="base-text-paragraph"/>
        <w:numPr>
          <w:ilvl w:val="1"/>
          <w:numId w:val="20"/>
        </w:numPr>
      </w:pPr>
      <w:r>
        <w:t xml:space="preserve">Carbon units issued prior to the designated carbon unit day will continue to be subject to the </w:t>
      </w:r>
      <w:r w:rsidR="004B0750">
        <w:t>Corporations Act</w:t>
      </w:r>
      <w:r w:rsidR="00D5237C">
        <w:t xml:space="preserve">.  </w:t>
      </w:r>
      <w:r>
        <w:t xml:space="preserve">For example, up until the designated carbon unit day, carbon units will continue to be subject to the financial services laws under the </w:t>
      </w:r>
      <w:r w:rsidR="004B0750">
        <w:t>Corporations Act</w:t>
      </w:r>
      <w:r w:rsidR="00D5237C">
        <w:t xml:space="preserve">.  </w:t>
      </w:r>
      <w:r w:rsidRPr="003609ED">
        <w:rPr>
          <w:rStyle w:val="Referencingstyle"/>
        </w:rPr>
        <w:t xml:space="preserve">[Schedule 1, </w:t>
      </w:r>
      <w:r w:rsidR="00DB4076" w:rsidRPr="003609ED">
        <w:rPr>
          <w:rStyle w:val="Referencingstyle"/>
        </w:rPr>
        <w:t xml:space="preserve">item </w:t>
      </w:r>
      <w:r w:rsidRPr="003609ED">
        <w:rPr>
          <w:rStyle w:val="Referencingstyle"/>
        </w:rPr>
        <w:t>107</w:t>
      </w:r>
      <w:r w:rsidR="00D5237C">
        <w:rPr>
          <w:rStyle w:val="Referencingstyle"/>
        </w:rPr>
        <w:t xml:space="preserve">, </w:t>
      </w:r>
      <w:r w:rsidRPr="003609ED">
        <w:rPr>
          <w:rStyle w:val="Referencingstyle"/>
        </w:rPr>
        <w:t xml:space="preserve">section 1543, </w:t>
      </w:r>
      <w:r w:rsidR="004B0750">
        <w:rPr>
          <w:rStyle w:val="Referencingstyle"/>
        </w:rPr>
        <w:t>Corporations Act</w:t>
      </w:r>
      <w:r w:rsidRPr="003609ED">
        <w:rPr>
          <w:rStyle w:val="Referencingstyle"/>
        </w:rPr>
        <w:t>]</w:t>
      </w:r>
    </w:p>
    <w:p w:rsidR="003609ED" w:rsidRDefault="003609ED" w:rsidP="003609ED">
      <w:pPr>
        <w:pStyle w:val="base-text-paragraph"/>
        <w:numPr>
          <w:ilvl w:val="1"/>
          <w:numId w:val="20"/>
        </w:numPr>
      </w:pPr>
      <w:r>
        <w:t xml:space="preserve">Where ASIC varies a condition of an AFS licence </w:t>
      </w:r>
      <w:r w:rsidR="00B610E5">
        <w:t xml:space="preserve">and that variation </w:t>
      </w:r>
      <w:r>
        <w:t xml:space="preserve">only has the effect of removing </w:t>
      </w:r>
      <w:r w:rsidR="00DC7372">
        <w:t xml:space="preserve">a carbon unit authorisation, </w:t>
      </w:r>
      <w:r w:rsidR="00142FB8">
        <w:t>section</w:t>
      </w:r>
      <w:r>
        <w:t xml:space="preserve"> 914A(3), (4) and (5) of the </w:t>
      </w:r>
      <w:r w:rsidR="004B0750">
        <w:t>Corporations Act</w:t>
      </w:r>
      <w:r>
        <w:t xml:space="preserve"> do</w:t>
      </w:r>
      <w:r w:rsidR="00142FB8">
        <w:t>es</w:t>
      </w:r>
      <w:r>
        <w:t xml:space="preserve"> not apply</w:t>
      </w:r>
      <w:r w:rsidR="00D5237C">
        <w:t xml:space="preserve">.  </w:t>
      </w:r>
      <w:r>
        <w:t>Primarily, ASIC is not required to give the licensee the opportunity to appear, or be represented at a hearing before ASIC or to make a submission to ASIC in relation to the removal of the carbon unit authorisation</w:t>
      </w:r>
      <w:r w:rsidR="00D5237C">
        <w:t xml:space="preserve">.  </w:t>
      </w:r>
      <w:r w:rsidRPr="003609ED">
        <w:rPr>
          <w:rStyle w:val="Referencingstyle"/>
        </w:rPr>
        <w:t xml:space="preserve">[Schedule 1, </w:t>
      </w:r>
      <w:r w:rsidR="00DB4076" w:rsidRPr="003609ED">
        <w:rPr>
          <w:rStyle w:val="Referencingstyle"/>
        </w:rPr>
        <w:t xml:space="preserve">item </w:t>
      </w:r>
      <w:r w:rsidRPr="003609ED">
        <w:rPr>
          <w:rStyle w:val="Referencingstyle"/>
        </w:rPr>
        <w:t>1</w:t>
      </w:r>
      <w:r w:rsidR="00736790">
        <w:rPr>
          <w:rStyle w:val="Referencingstyle"/>
        </w:rPr>
        <w:t xml:space="preserve">07, </w:t>
      </w:r>
      <w:r w:rsidRPr="003609ED">
        <w:rPr>
          <w:rStyle w:val="Referencingstyle"/>
        </w:rPr>
        <w:t xml:space="preserve">section 1544, </w:t>
      </w:r>
      <w:r w:rsidR="004B0750">
        <w:rPr>
          <w:rStyle w:val="Referencingstyle"/>
        </w:rPr>
        <w:t>Corporations Act</w:t>
      </w:r>
      <w:r w:rsidRPr="003609ED">
        <w:rPr>
          <w:rStyle w:val="Referencingstyle"/>
        </w:rPr>
        <w:t>]</w:t>
      </w:r>
    </w:p>
    <w:p w:rsidR="003609ED" w:rsidRPr="003609ED" w:rsidRDefault="003609ED" w:rsidP="003609ED">
      <w:pPr>
        <w:pStyle w:val="base-text-paragraph"/>
        <w:numPr>
          <w:ilvl w:val="1"/>
          <w:numId w:val="20"/>
        </w:numPr>
      </w:pPr>
      <w:r>
        <w:t>ASIC will have the ability to cancel an AFS licence that only has authorisations in respect of carbon units</w:t>
      </w:r>
      <w:r w:rsidR="00D5237C">
        <w:t xml:space="preserve">.  </w:t>
      </w:r>
      <w:r>
        <w:t xml:space="preserve">Where ASIC cancels an AFS licence, ASIC is not required to provide a statement outlining the reasons for the cancellation (which is required under section 915G of the </w:t>
      </w:r>
      <w:r w:rsidR="004B0750">
        <w:t>Corporations Act</w:t>
      </w:r>
      <w:r>
        <w:t xml:space="preserve"> when a licence is ordinarily cancelled)</w:t>
      </w:r>
      <w:r w:rsidR="009B38A8">
        <w:t xml:space="preserve"> because </w:t>
      </w:r>
      <w:r w:rsidR="009B38A8" w:rsidRPr="00057B34">
        <w:t xml:space="preserve">the </w:t>
      </w:r>
      <w:r w:rsidR="009B38A8" w:rsidRPr="00057B34">
        <w:rPr>
          <w:iCs/>
        </w:rPr>
        <w:t>question of cancellation is a purely factual one, rather than a discretionary decision</w:t>
      </w:r>
      <w:r w:rsidR="00142FB8">
        <w:rPr>
          <w:iCs/>
        </w:rPr>
        <w:t>,</w:t>
      </w:r>
      <w:r w:rsidR="009B38A8" w:rsidRPr="00057B34">
        <w:rPr>
          <w:iCs/>
        </w:rPr>
        <w:t xml:space="preserve"> and should have no adverse effect on the licence holder</w:t>
      </w:r>
      <w:r w:rsidR="00D5237C">
        <w:rPr>
          <w:iCs/>
        </w:rPr>
        <w:t xml:space="preserve">.  </w:t>
      </w:r>
      <w:r w:rsidR="009B38A8" w:rsidRPr="00057B34">
        <w:t xml:space="preserve">However, affected licensees will continue to have the ability to apply to have ASIC’s actions reviewed </w:t>
      </w:r>
      <w:r w:rsidR="00633097">
        <w:t>by</w:t>
      </w:r>
      <w:r w:rsidR="009B38A8" w:rsidRPr="00057B34">
        <w:t xml:space="preserve"> the Administrative Appeals Tribunal or the court system</w:t>
      </w:r>
      <w:r w:rsidR="00D5237C">
        <w:t xml:space="preserve">.  </w:t>
      </w:r>
      <w:r w:rsidR="00736790">
        <w:rPr>
          <w:rStyle w:val="Referencingstyle"/>
        </w:rPr>
        <w:t xml:space="preserve">[Schedule 1, </w:t>
      </w:r>
      <w:r w:rsidR="00DB4076">
        <w:rPr>
          <w:rStyle w:val="Referencingstyle"/>
        </w:rPr>
        <w:t>item</w:t>
      </w:r>
      <w:r w:rsidR="00736790">
        <w:rPr>
          <w:rStyle w:val="Referencingstyle"/>
        </w:rPr>
        <w:t xml:space="preserve"> 107, </w:t>
      </w:r>
      <w:r w:rsidRPr="003609ED">
        <w:rPr>
          <w:rStyle w:val="Referencingstyle"/>
        </w:rPr>
        <w:t xml:space="preserve">sections 1545 and 1546, </w:t>
      </w:r>
      <w:r w:rsidR="004B0750">
        <w:rPr>
          <w:rStyle w:val="Referencingstyle"/>
        </w:rPr>
        <w:t>Corporations Act</w:t>
      </w:r>
      <w:r w:rsidRPr="003609ED">
        <w:rPr>
          <w:rStyle w:val="Referencingstyle"/>
        </w:rPr>
        <w:t>]</w:t>
      </w:r>
    </w:p>
    <w:p w:rsidR="003609ED" w:rsidRDefault="003609ED" w:rsidP="003609ED">
      <w:pPr>
        <w:pStyle w:val="base-text-paragraph"/>
        <w:numPr>
          <w:ilvl w:val="1"/>
          <w:numId w:val="20"/>
        </w:numPr>
      </w:pPr>
      <w:r>
        <w:t>In order to vary a condition of an AFS licence or cancel a licence as a result of carbon units ceasing to be a financial product, it will not be necessary for a licensee to apply to ASIC for this to occur – ASIC will have the ability to take such action without an application from the affected licensee.</w:t>
      </w:r>
    </w:p>
    <w:p w:rsidR="0089116B" w:rsidRPr="0089116B" w:rsidRDefault="0089116B" w:rsidP="0089116B">
      <w:pPr>
        <w:pStyle w:val="Heading3"/>
      </w:pPr>
      <w:r w:rsidRPr="0089116B">
        <w:t xml:space="preserve">Removal of carbon units from money laundering legislation </w:t>
      </w:r>
    </w:p>
    <w:p w:rsidR="00633097" w:rsidRDefault="0089116B" w:rsidP="0089116B">
      <w:pPr>
        <w:pStyle w:val="base-text-paragraph"/>
        <w:numPr>
          <w:ilvl w:val="1"/>
          <w:numId w:val="20"/>
        </w:numPr>
      </w:pPr>
      <w:r w:rsidRPr="0089116B">
        <w:t xml:space="preserve">Security and anti-fraud measures introduced to address the risk of money laundering through trading in carbon units will no longer be needed after </w:t>
      </w:r>
      <w:r w:rsidR="00633097">
        <w:t>carbon units are cancelled</w:t>
      </w:r>
      <w:r w:rsidR="00D5237C">
        <w:t xml:space="preserve">.  </w:t>
      </w:r>
    </w:p>
    <w:p w:rsidR="0089116B" w:rsidRPr="0089116B" w:rsidRDefault="0089116B" w:rsidP="0089116B">
      <w:pPr>
        <w:pStyle w:val="base-text-paragraph"/>
        <w:numPr>
          <w:ilvl w:val="1"/>
          <w:numId w:val="20"/>
        </w:numPr>
      </w:pPr>
      <w:r w:rsidRPr="0089116B">
        <w:t xml:space="preserve">References to carbon units in the </w:t>
      </w:r>
      <w:r w:rsidR="00142FB8" w:rsidRPr="00142FB8">
        <w:t>Anti-Money Laundering Act</w:t>
      </w:r>
      <w:r w:rsidR="00142FB8">
        <w:t xml:space="preserve"> </w:t>
      </w:r>
      <w:r w:rsidRPr="0089116B">
        <w:t>will be removed</w:t>
      </w:r>
      <w:r w:rsidR="00D5237C">
        <w:t xml:space="preserve">.  </w:t>
      </w:r>
      <w:r w:rsidRPr="0089116B">
        <w:t>This will have the effect of ending the requirement for financial institutions to report on trade in carbon units to the Australian Transaction Reports and Analysis Centre</w:t>
      </w:r>
      <w:r w:rsidR="00DA0562">
        <w:t xml:space="preserve"> (AUSTRAC)</w:t>
      </w:r>
      <w:r w:rsidR="00D5237C">
        <w:t xml:space="preserve">.  </w:t>
      </w:r>
      <w:r w:rsidR="00DB4076" w:rsidRPr="0089116B">
        <w:rPr>
          <w:rStyle w:val="Referencingstyle"/>
        </w:rPr>
        <w:t xml:space="preserve">[Schedule 1, </w:t>
      </w:r>
      <w:r w:rsidR="00DB4076">
        <w:rPr>
          <w:rStyle w:val="Referencingstyle"/>
        </w:rPr>
        <w:t>i</w:t>
      </w:r>
      <w:r w:rsidR="00DB4076" w:rsidRPr="0089116B">
        <w:rPr>
          <w:rStyle w:val="Referencingstyle"/>
        </w:rPr>
        <w:t xml:space="preserve">tems 10 to 12, sections 5 and 6(2) </w:t>
      </w:r>
      <w:r w:rsidR="00DB4076">
        <w:rPr>
          <w:rStyle w:val="Referencingstyle"/>
        </w:rPr>
        <w:t>(</w:t>
      </w:r>
      <w:r w:rsidR="00DB4076" w:rsidRPr="00E60B6A">
        <w:rPr>
          <w:rStyle w:val="Referencingstyle"/>
        </w:rPr>
        <w:t xml:space="preserve">paragraph </w:t>
      </w:r>
      <w:r w:rsidR="00DB4076" w:rsidRPr="0089116B">
        <w:rPr>
          <w:rStyle w:val="Referencingstyle"/>
        </w:rPr>
        <w:t>(baa) and (d) in table item 33</w:t>
      </w:r>
      <w:r w:rsidR="00DB4076">
        <w:rPr>
          <w:rStyle w:val="Referencingstyle"/>
        </w:rPr>
        <w:t>)</w:t>
      </w:r>
      <w:r w:rsidR="00DB4076" w:rsidRPr="0089116B">
        <w:rPr>
          <w:rStyle w:val="Referencingstyle"/>
        </w:rPr>
        <w:t xml:space="preserve">, Anti-Money Laundering Act] </w:t>
      </w:r>
      <w:r w:rsidRPr="0089116B">
        <w:rPr>
          <w:rStyle w:val="Referencingstyle"/>
        </w:rPr>
        <w:t xml:space="preserve"> </w:t>
      </w:r>
    </w:p>
    <w:p w:rsidR="0089116B" w:rsidRPr="0089116B" w:rsidRDefault="0089116B" w:rsidP="0089116B">
      <w:pPr>
        <w:pStyle w:val="base-text-paragraph"/>
        <w:numPr>
          <w:ilvl w:val="1"/>
          <w:numId w:val="20"/>
        </w:numPr>
      </w:pPr>
      <w:r w:rsidRPr="0089116B">
        <w:t>The amendments</w:t>
      </w:r>
      <w:r w:rsidR="00DA0562">
        <w:t xml:space="preserve"> to the </w:t>
      </w:r>
      <w:r w:rsidR="00DA0562" w:rsidRPr="00142FB8">
        <w:t>Anti-Money Laundering Act</w:t>
      </w:r>
      <w:r w:rsidR="00DA0562" w:rsidRPr="0089116B">
        <w:rPr>
          <w:i/>
        </w:rPr>
        <w:t xml:space="preserve"> </w:t>
      </w:r>
      <w:r w:rsidRPr="0089116B">
        <w:t>will commence on 1 July 2014</w:t>
      </w:r>
      <w:r w:rsidR="00D5237C">
        <w:t xml:space="preserve">.  </w:t>
      </w:r>
      <w:r w:rsidRPr="0089116B">
        <w:rPr>
          <w:rStyle w:val="Referencingstyle"/>
        </w:rPr>
        <w:t>[</w:t>
      </w:r>
      <w:r w:rsidR="00142FB8">
        <w:rPr>
          <w:rStyle w:val="Referencingstyle"/>
        </w:rPr>
        <w:t>clause</w:t>
      </w:r>
      <w:r w:rsidRPr="0089116B">
        <w:rPr>
          <w:rStyle w:val="Referencingstyle"/>
        </w:rPr>
        <w:t xml:space="preserve"> 2] </w:t>
      </w:r>
      <w:r w:rsidRPr="0089116B">
        <w:t>However, carbon units will remain in existence until the ‘designated carbon unit day’ on 9 February 2015</w:t>
      </w:r>
      <w:r w:rsidR="00DC7372">
        <w:t xml:space="preserve"> (or a later day specified by the Regulator)</w:t>
      </w:r>
      <w:r w:rsidRPr="0089116B">
        <w:t xml:space="preserve"> so that they can be used to satisfy liabilities for the 2013-14 eligible financial year</w:t>
      </w:r>
      <w:r w:rsidR="00D5237C">
        <w:t xml:space="preserve">.  </w:t>
      </w:r>
      <w:r w:rsidRPr="0089116B">
        <w:t xml:space="preserve">For that reason, the Main Repeal Bill also makes transitional provision that the </w:t>
      </w:r>
      <w:r w:rsidR="00E60B6A">
        <w:t>Anti-Money Laundering</w:t>
      </w:r>
      <w:r w:rsidR="00E60B6A" w:rsidRPr="0089116B">
        <w:t xml:space="preserve"> </w:t>
      </w:r>
      <w:r w:rsidRPr="0089116B">
        <w:t>Act in its unamended form continues to operate in relation to carbon units issued before the designated carbon unit day</w:t>
      </w:r>
      <w:r w:rsidR="00D5237C">
        <w:t xml:space="preserve">.  </w:t>
      </w:r>
      <w:r w:rsidR="00DB4076">
        <w:rPr>
          <w:rStyle w:val="Referencingstyle"/>
        </w:rPr>
        <w:t>[Schedule 1, item </w:t>
      </w:r>
      <w:r w:rsidR="00DB4076" w:rsidRPr="0089116B">
        <w:rPr>
          <w:rStyle w:val="Referencingstyle"/>
        </w:rPr>
        <w:t>33</w:t>
      </w:r>
      <w:r w:rsidR="00E60B6A">
        <w:rPr>
          <w:rStyle w:val="Referencingstyle"/>
        </w:rPr>
        <w:t>1</w:t>
      </w:r>
      <w:r w:rsidR="00DB4076" w:rsidRPr="0089116B">
        <w:rPr>
          <w:rStyle w:val="Referencingstyle"/>
        </w:rPr>
        <w:t>, sections 5 and 6(2)</w:t>
      </w:r>
      <w:r w:rsidR="00DB4076">
        <w:rPr>
          <w:rStyle w:val="Referencingstyle"/>
        </w:rPr>
        <w:t xml:space="preserve"> (</w:t>
      </w:r>
      <w:r w:rsidR="00DB4076" w:rsidRPr="0089116B">
        <w:rPr>
          <w:rStyle w:val="Referencingstyle"/>
        </w:rPr>
        <w:t>paragraph (baa) and (d) in table item 33</w:t>
      </w:r>
      <w:r w:rsidR="00DB4076">
        <w:rPr>
          <w:rStyle w:val="Referencingstyle"/>
        </w:rPr>
        <w:t>), Anti-Money Laundering Act</w:t>
      </w:r>
      <w:r w:rsidR="00DB4076" w:rsidRPr="0089116B">
        <w:rPr>
          <w:rStyle w:val="Referencingstyle"/>
        </w:rPr>
        <w:t>]</w:t>
      </w:r>
    </w:p>
    <w:p w:rsidR="0089116B" w:rsidRPr="003609ED" w:rsidRDefault="0089116B" w:rsidP="0089116B">
      <w:pPr>
        <w:pStyle w:val="base-text-paragraph"/>
        <w:numPr>
          <w:ilvl w:val="0"/>
          <w:numId w:val="0"/>
        </w:numPr>
        <w:ind w:left="1134"/>
      </w:pPr>
    </w:p>
    <w:p w:rsidR="00834309" w:rsidRDefault="00834309" w:rsidP="00834309">
      <w:pPr>
        <w:pStyle w:val="Baseparagraphcentred"/>
      </w:pPr>
    </w:p>
    <w:p w:rsidR="00196E2B" w:rsidRDefault="00196E2B" w:rsidP="003D2BA7">
      <w:pPr>
        <w:pStyle w:val="ChapterHeading"/>
        <w:numPr>
          <w:ilvl w:val="0"/>
          <w:numId w:val="22"/>
        </w:numPr>
        <w:rPr>
          <w:rStyle w:val="Font30point"/>
        </w:rPr>
        <w:sectPr w:rsidR="00196E2B" w:rsidSect="00196E2B">
          <w:headerReference w:type="default" r:id="rId30"/>
          <w:type w:val="oddPage"/>
          <w:pgSz w:w="11906" w:h="16838" w:code="9"/>
          <w:pgMar w:top="2466" w:right="2098" w:bottom="2466" w:left="2098" w:header="1559" w:footer="1899" w:gutter="0"/>
          <w:cols w:space="708"/>
          <w:titlePg/>
          <w:docGrid w:linePitch="360"/>
        </w:sectPr>
      </w:pPr>
    </w:p>
    <w:p w:rsidR="00834309" w:rsidRDefault="00834309" w:rsidP="003D2BA7">
      <w:pPr>
        <w:pStyle w:val="ChapterHeading"/>
        <w:numPr>
          <w:ilvl w:val="0"/>
          <w:numId w:val="22"/>
        </w:numPr>
      </w:pPr>
      <w:bookmarkStart w:id="6" w:name="_Toc393138976"/>
      <w:r w:rsidRPr="008A062B">
        <w:rPr>
          <w:rStyle w:val="Font30point"/>
        </w:rPr>
        <w:t>C</w:t>
      </w:r>
      <w:r w:rsidRPr="008A062B">
        <w:rPr>
          <w:rStyle w:val="Font15point"/>
        </w:rPr>
        <w:t xml:space="preserve">hapter </w:t>
      </w:r>
      <w:r>
        <w:rPr>
          <w:rStyle w:val="Font19point"/>
        </w:rPr>
        <w:t>3</w:t>
      </w:r>
      <w:r>
        <w:tab/>
      </w:r>
      <w:r>
        <w:br/>
      </w:r>
      <w:r w:rsidR="00DA0562">
        <w:t>C</w:t>
      </w:r>
      <w:r w:rsidRPr="00834309">
        <w:t xml:space="preserve">onsequential </w:t>
      </w:r>
      <w:r w:rsidR="00AD141F">
        <w:t xml:space="preserve">taxation </w:t>
      </w:r>
      <w:r w:rsidRPr="00834309">
        <w:t>amendments</w:t>
      </w:r>
      <w:bookmarkEnd w:id="6"/>
      <w:r w:rsidRPr="00834309">
        <w:t xml:space="preserve"> </w:t>
      </w:r>
    </w:p>
    <w:p w:rsidR="00834309" w:rsidRDefault="00834309" w:rsidP="007343E0">
      <w:pPr>
        <w:pStyle w:val="Heading2"/>
      </w:pPr>
      <w:r>
        <w:t>Outline of chapter</w:t>
      </w:r>
    </w:p>
    <w:p w:rsidR="00330CB0" w:rsidRPr="00330CB0" w:rsidRDefault="00330CB0" w:rsidP="00330CB0">
      <w:pPr>
        <w:pStyle w:val="ListParagraph"/>
        <w:numPr>
          <w:ilvl w:val="0"/>
          <w:numId w:val="22"/>
        </w:numPr>
        <w:contextualSpacing w:val="0"/>
        <w:rPr>
          <w:vanish/>
        </w:rPr>
      </w:pPr>
    </w:p>
    <w:p w:rsidR="00330CB0" w:rsidRPr="00330CB0" w:rsidRDefault="00330CB0" w:rsidP="00330CB0">
      <w:pPr>
        <w:pStyle w:val="ListParagraph"/>
        <w:numPr>
          <w:ilvl w:val="0"/>
          <w:numId w:val="22"/>
        </w:numPr>
        <w:contextualSpacing w:val="0"/>
        <w:rPr>
          <w:vanish/>
        </w:rPr>
      </w:pPr>
    </w:p>
    <w:p w:rsidR="00834309" w:rsidRDefault="00E03B25" w:rsidP="00330CB0">
      <w:pPr>
        <w:pStyle w:val="base-text-paragraph"/>
        <w:numPr>
          <w:ilvl w:val="1"/>
          <w:numId w:val="22"/>
        </w:numPr>
      </w:pPr>
      <w:r>
        <w:t>Chapter 3 explains the consequential amendments to taxation provisions associated with repeal of the carbon tax</w:t>
      </w:r>
      <w:r w:rsidR="00D5237C">
        <w:t xml:space="preserve">.  </w:t>
      </w:r>
      <w:r>
        <w:t>Specifically, these amendments repeal redundant provisions in the</w:t>
      </w:r>
      <w:r w:rsidR="009A1208">
        <w:t>:</w:t>
      </w:r>
    </w:p>
    <w:p w:rsidR="009A1208" w:rsidRDefault="009A1208" w:rsidP="009A1208">
      <w:pPr>
        <w:pStyle w:val="dotpoint"/>
      </w:pPr>
      <w:r w:rsidRPr="009A1208">
        <w:t xml:space="preserve">income tax, goods </w:t>
      </w:r>
      <w:r w:rsidR="007B091B">
        <w:t>&amp;</w:t>
      </w:r>
      <w:r w:rsidRPr="009A1208">
        <w:t xml:space="preserve"> services tax (GST) and petroleum resource rent tax (PRRT) legislation relating to emission</w:t>
      </w:r>
      <w:r w:rsidR="00ED1568">
        <w:t>s</w:t>
      </w:r>
      <w:r w:rsidRPr="009A1208">
        <w:t xml:space="preserve"> units issued and charges imposed under the carbon </w:t>
      </w:r>
      <w:r>
        <w:t>tax; and</w:t>
      </w:r>
    </w:p>
    <w:p w:rsidR="009A1208" w:rsidRDefault="009A1208" w:rsidP="009A1208">
      <w:pPr>
        <w:pStyle w:val="dotpoint"/>
      </w:pPr>
      <w:r>
        <w:t xml:space="preserve">taxation administration legislation relating </w:t>
      </w:r>
      <w:r w:rsidRPr="007126AE">
        <w:t>to</w:t>
      </w:r>
      <w:r>
        <w:t xml:space="preserve"> the</w:t>
      </w:r>
      <w:r w:rsidRPr="007126AE">
        <w:t xml:space="preserve"> </w:t>
      </w:r>
      <w:r>
        <w:t xml:space="preserve">disclosure of taxpayer information </w:t>
      </w:r>
      <w:r w:rsidR="00ED1568">
        <w:t>by</w:t>
      </w:r>
      <w:r w:rsidR="00ED1568" w:rsidRPr="007126AE">
        <w:t xml:space="preserve"> </w:t>
      </w:r>
      <w:r w:rsidRPr="007126AE">
        <w:t>the Commission</w:t>
      </w:r>
      <w:r w:rsidR="00ED1568">
        <w:t>er</w:t>
      </w:r>
      <w:r w:rsidRPr="007126AE">
        <w:t xml:space="preserve"> of Taxation</w:t>
      </w:r>
      <w:r>
        <w:t xml:space="preserve"> (</w:t>
      </w:r>
      <w:r w:rsidR="00E90B47">
        <w:t xml:space="preserve">Tax </w:t>
      </w:r>
      <w:r>
        <w:t xml:space="preserve">Commissioner) </w:t>
      </w:r>
      <w:r w:rsidR="00ED1568">
        <w:t xml:space="preserve">to </w:t>
      </w:r>
      <w:r>
        <w:t>the Regulator.</w:t>
      </w:r>
    </w:p>
    <w:p w:rsidR="00834309" w:rsidRDefault="00834309" w:rsidP="007343E0">
      <w:pPr>
        <w:pStyle w:val="Heading2"/>
      </w:pPr>
      <w:r>
        <w:t>Context of amendments</w:t>
      </w:r>
    </w:p>
    <w:p w:rsidR="00834309" w:rsidRDefault="00E03B25" w:rsidP="003D2BA7">
      <w:pPr>
        <w:pStyle w:val="base-text-paragraph"/>
        <w:numPr>
          <w:ilvl w:val="1"/>
          <w:numId w:val="22"/>
        </w:numPr>
      </w:pPr>
      <w:r w:rsidRPr="00E03B25">
        <w:t>The establishment of the carbon tax introduced a number of amendments to the existing tax provisions to provide specific income tax and GST treatment for emissions units</w:t>
      </w:r>
      <w:r w:rsidR="00D5237C">
        <w:t xml:space="preserve">.  </w:t>
      </w:r>
      <w:r w:rsidRPr="00E03B25">
        <w:t>These amendments reduced the compliance costs that taxpayers would have otherwise faced in using the ordinary income tax and GST provisions</w:t>
      </w:r>
      <w:r w:rsidR="00D5237C">
        <w:t xml:space="preserve">.  </w:t>
      </w:r>
    </w:p>
    <w:p w:rsidR="002506D2" w:rsidRDefault="00A45C79" w:rsidP="003D2BA7">
      <w:pPr>
        <w:pStyle w:val="base-text-paragraph"/>
        <w:numPr>
          <w:ilvl w:val="1"/>
          <w:numId w:val="22"/>
        </w:numPr>
      </w:pPr>
      <w:r w:rsidRPr="002506D2">
        <w:t xml:space="preserve">Amendments also provided that </w:t>
      </w:r>
      <w:r w:rsidR="002506D2" w:rsidRPr="002506D2">
        <w:t xml:space="preserve">where </w:t>
      </w:r>
      <w:r w:rsidRPr="002506D2">
        <w:t>a</w:t>
      </w:r>
      <w:r w:rsidR="002506D2" w:rsidRPr="002506D2">
        <w:t xml:space="preserve"> liable entity failed to meet its surrender obligations </w:t>
      </w:r>
      <w:r w:rsidR="002506D2">
        <w:t>the resulting</w:t>
      </w:r>
      <w:r w:rsidRPr="002506D2">
        <w:t xml:space="preserve"> unit shortfall charge</w:t>
      </w:r>
      <w:r w:rsidR="002506D2">
        <w:t xml:space="preserve"> was not </w:t>
      </w:r>
      <w:r w:rsidR="002506D2" w:rsidRPr="00A45C79">
        <w:t>deductible expenditure for income tax and PRRT purposes</w:t>
      </w:r>
      <w:r w:rsidR="00D5237C">
        <w:t xml:space="preserve">.  </w:t>
      </w:r>
      <w:r w:rsidR="004B04A0">
        <w:t>This </w:t>
      </w:r>
      <w:r w:rsidR="002506D2">
        <w:t xml:space="preserve">approach was designed to ensure that </w:t>
      </w:r>
      <w:r w:rsidR="00AE5FBD">
        <w:t xml:space="preserve">taxpayers who are </w:t>
      </w:r>
      <w:r w:rsidR="002506D2">
        <w:t>non-compliant liable entities face the full costs of non-compliance.</w:t>
      </w:r>
    </w:p>
    <w:p w:rsidR="002506D2" w:rsidRDefault="002506D2" w:rsidP="003D2BA7">
      <w:pPr>
        <w:pStyle w:val="base-text-paragraph"/>
        <w:numPr>
          <w:ilvl w:val="1"/>
          <w:numId w:val="22"/>
        </w:numPr>
      </w:pPr>
      <w:r>
        <w:t xml:space="preserve">Due to the repeal of the carbon tax these amendments are no longer required and are removed from the </w:t>
      </w:r>
      <w:r w:rsidR="00E03B25">
        <w:t>taxation provisions</w:t>
      </w:r>
      <w:r>
        <w:t>.</w:t>
      </w:r>
    </w:p>
    <w:p w:rsidR="00D33893" w:rsidRDefault="00D33893">
      <w:pPr>
        <w:spacing w:before="0" w:after="0"/>
        <w:rPr>
          <w:rFonts w:ascii="Helvetica" w:hAnsi="Helvetica"/>
          <w:b/>
          <w:sz w:val="26"/>
        </w:rPr>
      </w:pPr>
      <w:r>
        <w:br w:type="page"/>
      </w:r>
    </w:p>
    <w:p w:rsidR="00834309" w:rsidRDefault="00834309" w:rsidP="007343E0">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834309" w:rsidRPr="004666B8" w:rsidTr="007343E0">
        <w:tc>
          <w:tcPr>
            <w:tcW w:w="3275" w:type="dxa"/>
          </w:tcPr>
          <w:p w:rsidR="00834309" w:rsidRPr="004666B8" w:rsidRDefault="00834309" w:rsidP="007343E0">
            <w:pPr>
              <w:pStyle w:val="tableheaderwithintable"/>
              <w:rPr>
                <w:lang w:val="en-US" w:eastAsia="en-US"/>
              </w:rPr>
            </w:pPr>
            <w:r w:rsidRPr="004666B8">
              <w:rPr>
                <w:lang w:val="en-US" w:eastAsia="en-US"/>
              </w:rPr>
              <w:t>New law</w:t>
            </w:r>
          </w:p>
        </w:tc>
        <w:tc>
          <w:tcPr>
            <w:tcW w:w="3276" w:type="dxa"/>
          </w:tcPr>
          <w:p w:rsidR="00834309" w:rsidRPr="004666B8" w:rsidRDefault="00834309" w:rsidP="007343E0">
            <w:pPr>
              <w:pStyle w:val="tableheaderwithintable"/>
              <w:rPr>
                <w:lang w:val="en-US" w:eastAsia="en-US"/>
              </w:rPr>
            </w:pPr>
            <w:r w:rsidRPr="004666B8">
              <w:rPr>
                <w:lang w:val="en-US" w:eastAsia="en-US"/>
              </w:rPr>
              <w:t>Current law</w:t>
            </w:r>
          </w:p>
        </w:tc>
      </w:tr>
      <w:tr w:rsidR="002506D2" w:rsidRPr="004666B8" w:rsidTr="002506D2">
        <w:tc>
          <w:tcPr>
            <w:tcW w:w="6551" w:type="dxa"/>
            <w:gridSpan w:val="2"/>
            <w:vAlign w:val="center"/>
          </w:tcPr>
          <w:p w:rsidR="002506D2" w:rsidRPr="002506D2" w:rsidRDefault="002506D2" w:rsidP="002506D2">
            <w:pPr>
              <w:pStyle w:val="tabletext"/>
              <w:jc w:val="center"/>
              <w:rPr>
                <w:b/>
                <w:lang w:val="en-US" w:eastAsia="en-US"/>
              </w:rPr>
            </w:pPr>
            <w:r w:rsidRPr="002506D2">
              <w:rPr>
                <w:b/>
                <w:lang w:val="en-US" w:eastAsia="en-US"/>
              </w:rPr>
              <w:t>Income tax treatment of redundant units</w:t>
            </w:r>
          </w:p>
        </w:tc>
      </w:tr>
      <w:tr w:rsidR="00834309" w:rsidRPr="004666B8" w:rsidTr="007343E0">
        <w:tc>
          <w:tcPr>
            <w:tcW w:w="3275" w:type="dxa"/>
          </w:tcPr>
          <w:p w:rsidR="00834309" w:rsidRPr="004666B8" w:rsidRDefault="002506D2" w:rsidP="00AD141F">
            <w:pPr>
              <w:pStyle w:val="tabletext"/>
              <w:rPr>
                <w:lang w:val="en-US" w:eastAsia="en-US"/>
              </w:rPr>
            </w:pPr>
            <w:r>
              <w:t>The discrete income tax provisions that apply to emission</w:t>
            </w:r>
            <w:r w:rsidR="00AD141F">
              <w:t>s</w:t>
            </w:r>
            <w:r>
              <w:t xml:space="preserve"> units on the Registry no longer apply to redundant units, namely carbon units and prescribed international units.</w:t>
            </w:r>
          </w:p>
        </w:tc>
        <w:tc>
          <w:tcPr>
            <w:tcW w:w="3276" w:type="dxa"/>
          </w:tcPr>
          <w:p w:rsidR="00834309" w:rsidRPr="004666B8" w:rsidRDefault="002506D2" w:rsidP="009438B8">
            <w:pPr>
              <w:pStyle w:val="tabletext"/>
              <w:rPr>
                <w:lang w:val="en-US" w:eastAsia="en-US"/>
              </w:rPr>
            </w:pPr>
            <w:r w:rsidRPr="002506D2">
              <w:rPr>
                <w:lang w:val="en-US" w:eastAsia="en-US"/>
              </w:rPr>
              <w:t>Discrete income tax provisions apply to emission</w:t>
            </w:r>
            <w:r w:rsidR="00AD141F">
              <w:rPr>
                <w:lang w:val="en-US" w:eastAsia="en-US"/>
              </w:rPr>
              <w:t>s</w:t>
            </w:r>
            <w:r w:rsidRPr="002506D2">
              <w:rPr>
                <w:lang w:val="en-US" w:eastAsia="en-US"/>
              </w:rPr>
              <w:t xml:space="preserve"> units on</w:t>
            </w:r>
            <w:r w:rsidR="00E03B25">
              <w:rPr>
                <w:lang w:val="en-US" w:eastAsia="en-US"/>
              </w:rPr>
              <w:t xml:space="preserve"> the</w:t>
            </w:r>
            <w:r w:rsidRPr="002506D2">
              <w:rPr>
                <w:lang w:val="en-US" w:eastAsia="en-US"/>
              </w:rPr>
              <w:t xml:space="preserve"> </w:t>
            </w:r>
            <w:r w:rsidR="009438B8">
              <w:rPr>
                <w:lang w:val="en-US" w:eastAsia="en-US"/>
              </w:rPr>
              <w:t>Registry</w:t>
            </w:r>
            <w:r>
              <w:rPr>
                <w:lang w:val="en-US" w:eastAsia="en-US"/>
              </w:rPr>
              <w:t xml:space="preserve">, </w:t>
            </w:r>
            <w:r w:rsidRPr="002506D2">
              <w:rPr>
                <w:lang w:val="en-US" w:eastAsia="en-US"/>
              </w:rPr>
              <w:t xml:space="preserve">including carbon units, Kyoto units, prescribed international units and </w:t>
            </w:r>
            <w:r w:rsidR="00AD141F">
              <w:rPr>
                <w:lang w:val="en-US" w:eastAsia="en-US"/>
              </w:rPr>
              <w:t>ACCUs</w:t>
            </w:r>
            <w:r w:rsidRPr="002506D2">
              <w:rPr>
                <w:lang w:val="en-US" w:eastAsia="en-US"/>
              </w:rPr>
              <w:t>.</w:t>
            </w:r>
          </w:p>
        </w:tc>
      </w:tr>
      <w:tr w:rsidR="00E90B47" w:rsidRPr="004666B8" w:rsidTr="007343E0">
        <w:tc>
          <w:tcPr>
            <w:tcW w:w="6551" w:type="dxa"/>
            <w:gridSpan w:val="2"/>
          </w:tcPr>
          <w:p w:rsidR="00E90B47" w:rsidRPr="004666B8" w:rsidRDefault="00E90B47" w:rsidP="00E90B47">
            <w:pPr>
              <w:pStyle w:val="tabletext"/>
              <w:jc w:val="center"/>
              <w:rPr>
                <w:lang w:val="en-US" w:eastAsia="en-US"/>
              </w:rPr>
            </w:pPr>
            <w:r w:rsidRPr="00E90B47">
              <w:rPr>
                <w:b/>
                <w:lang w:val="en-US" w:eastAsia="en-US"/>
              </w:rPr>
              <w:t>GST treatment of redundant units</w:t>
            </w:r>
          </w:p>
        </w:tc>
      </w:tr>
      <w:tr w:rsidR="002506D2" w:rsidRPr="004666B8" w:rsidTr="007343E0">
        <w:tc>
          <w:tcPr>
            <w:tcW w:w="3275" w:type="dxa"/>
          </w:tcPr>
          <w:p w:rsidR="002506D2" w:rsidRPr="004666B8" w:rsidRDefault="00E90B47" w:rsidP="007343E0">
            <w:pPr>
              <w:pStyle w:val="tabletext"/>
              <w:rPr>
                <w:lang w:val="en-US" w:eastAsia="en-US"/>
              </w:rPr>
            </w:pPr>
            <w:r w:rsidRPr="00E90B47">
              <w:rPr>
                <w:lang w:val="en-US" w:eastAsia="en-US"/>
              </w:rPr>
              <w:t>GST-free treatment is removed</w:t>
            </w:r>
            <w:r>
              <w:rPr>
                <w:lang w:val="en-US" w:eastAsia="en-US"/>
              </w:rPr>
              <w:t xml:space="preserve"> from redundant emission</w:t>
            </w:r>
            <w:r w:rsidR="00AD141F">
              <w:rPr>
                <w:lang w:val="en-US" w:eastAsia="en-US"/>
              </w:rPr>
              <w:t>s</w:t>
            </w:r>
            <w:r>
              <w:rPr>
                <w:lang w:val="en-US" w:eastAsia="en-US"/>
              </w:rPr>
              <w:t xml:space="preserve"> units, namely </w:t>
            </w:r>
            <w:r w:rsidRPr="00E90B47">
              <w:rPr>
                <w:lang w:val="en-US" w:eastAsia="en-US"/>
              </w:rPr>
              <w:t>carbon units and prescribed international units</w:t>
            </w:r>
            <w:r>
              <w:rPr>
                <w:lang w:val="en-US" w:eastAsia="en-US"/>
              </w:rPr>
              <w:t>.</w:t>
            </w:r>
          </w:p>
        </w:tc>
        <w:tc>
          <w:tcPr>
            <w:tcW w:w="3276" w:type="dxa"/>
          </w:tcPr>
          <w:p w:rsidR="002506D2" w:rsidRPr="004666B8" w:rsidRDefault="00E90B47" w:rsidP="00AD141F">
            <w:pPr>
              <w:pStyle w:val="tabletext"/>
              <w:rPr>
                <w:lang w:val="en-US" w:eastAsia="en-US"/>
              </w:rPr>
            </w:pPr>
            <w:r>
              <w:rPr>
                <w:lang w:val="en-US" w:eastAsia="en-US"/>
              </w:rPr>
              <w:t>Carbon units, eligible</w:t>
            </w:r>
            <w:r w:rsidR="00AD141F">
              <w:rPr>
                <w:lang w:val="en-US" w:eastAsia="en-US"/>
              </w:rPr>
              <w:t xml:space="preserve"> ACCUs </w:t>
            </w:r>
            <w:r>
              <w:rPr>
                <w:lang w:val="en-US" w:eastAsia="en-US"/>
              </w:rPr>
              <w:t>and eligible international emissions units are GST-free.</w:t>
            </w:r>
          </w:p>
        </w:tc>
      </w:tr>
      <w:tr w:rsidR="00E90B47" w:rsidRPr="004666B8" w:rsidTr="007343E0">
        <w:tc>
          <w:tcPr>
            <w:tcW w:w="6551" w:type="dxa"/>
            <w:gridSpan w:val="2"/>
          </w:tcPr>
          <w:p w:rsidR="00E90B47" w:rsidRPr="004666B8" w:rsidRDefault="00E90B47" w:rsidP="007343E0">
            <w:pPr>
              <w:pStyle w:val="tabletext"/>
              <w:jc w:val="center"/>
              <w:rPr>
                <w:lang w:val="en-US" w:eastAsia="en-US"/>
              </w:rPr>
            </w:pPr>
            <w:r w:rsidRPr="00E90B47">
              <w:rPr>
                <w:b/>
                <w:lang w:val="en-US" w:eastAsia="en-US"/>
              </w:rPr>
              <w:t>Petroleum Resource Rent Tax treatment of redundant units</w:t>
            </w:r>
          </w:p>
        </w:tc>
      </w:tr>
      <w:tr w:rsidR="00E90B47" w:rsidRPr="004666B8" w:rsidTr="007343E0">
        <w:tc>
          <w:tcPr>
            <w:tcW w:w="3275" w:type="dxa"/>
          </w:tcPr>
          <w:p w:rsidR="00E90B47" w:rsidRPr="004666B8" w:rsidRDefault="00E90B47" w:rsidP="000D35DE">
            <w:pPr>
              <w:pStyle w:val="tabletext"/>
              <w:rPr>
                <w:lang w:val="en-US" w:eastAsia="en-US"/>
              </w:rPr>
            </w:pPr>
            <w:r w:rsidRPr="00E90B47">
              <w:rPr>
                <w:lang w:val="en-US" w:eastAsia="en-US"/>
              </w:rPr>
              <w:t xml:space="preserve">As a result of </w:t>
            </w:r>
            <w:r>
              <w:rPr>
                <w:lang w:val="en-US" w:eastAsia="en-US"/>
              </w:rPr>
              <w:t>ending the</w:t>
            </w:r>
            <w:r w:rsidRPr="00E90B47">
              <w:rPr>
                <w:lang w:val="en-US" w:eastAsia="en-US"/>
              </w:rPr>
              <w:t xml:space="preserve"> </w:t>
            </w:r>
            <w:r>
              <w:rPr>
                <w:lang w:val="en-US" w:eastAsia="en-US"/>
              </w:rPr>
              <w:t>JCP</w:t>
            </w:r>
            <w:r w:rsidRPr="00E90B47">
              <w:rPr>
                <w:lang w:val="en-US" w:eastAsia="en-US"/>
              </w:rPr>
              <w:t xml:space="preserve">, the provision which includes </w:t>
            </w:r>
            <w:r w:rsidR="000D35DE" w:rsidRPr="00E90B47">
              <w:rPr>
                <w:lang w:val="en-US" w:eastAsia="en-US"/>
              </w:rPr>
              <w:t xml:space="preserve">in </w:t>
            </w:r>
            <w:r w:rsidR="000D35DE">
              <w:rPr>
                <w:lang w:val="en-US" w:eastAsia="en-US"/>
              </w:rPr>
              <w:t xml:space="preserve">the </w:t>
            </w:r>
            <w:r w:rsidR="000D35DE" w:rsidRPr="00E90B47">
              <w:rPr>
                <w:lang w:val="en-US" w:eastAsia="en-US"/>
              </w:rPr>
              <w:t xml:space="preserve">assessable receipts of </w:t>
            </w:r>
            <w:r w:rsidR="000D35DE">
              <w:rPr>
                <w:lang w:val="en-US" w:eastAsia="en-US"/>
              </w:rPr>
              <w:t xml:space="preserve">a petroleum </w:t>
            </w:r>
            <w:r w:rsidR="000D35DE" w:rsidRPr="00E90B47">
              <w:rPr>
                <w:lang w:val="en-US" w:eastAsia="en-US"/>
              </w:rPr>
              <w:t>project</w:t>
            </w:r>
            <w:r w:rsidR="000D35DE">
              <w:rPr>
                <w:lang w:val="en-US" w:eastAsia="en-US"/>
              </w:rPr>
              <w:t xml:space="preserve"> a</w:t>
            </w:r>
            <w:r w:rsidR="000D35DE" w:rsidRPr="00E90B47">
              <w:rPr>
                <w:lang w:val="en-US" w:eastAsia="en-US"/>
              </w:rPr>
              <w:t xml:space="preserve">mounts received from the sale of free </w:t>
            </w:r>
            <w:r w:rsidR="000D35DE">
              <w:rPr>
                <w:lang w:val="en-US" w:eastAsia="en-US"/>
              </w:rPr>
              <w:t xml:space="preserve">JCP </w:t>
            </w:r>
            <w:r w:rsidR="000D35DE" w:rsidRPr="00E90B47">
              <w:rPr>
                <w:lang w:val="en-US" w:eastAsia="en-US"/>
              </w:rPr>
              <w:t xml:space="preserve">carbon units </w:t>
            </w:r>
            <w:r w:rsidR="000D35DE">
              <w:rPr>
                <w:lang w:val="en-US" w:eastAsia="en-US"/>
              </w:rPr>
              <w:t>is</w:t>
            </w:r>
            <w:r w:rsidRPr="00E90B47">
              <w:rPr>
                <w:lang w:val="en-US" w:eastAsia="en-US"/>
              </w:rPr>
              <w:t xml:space="preserve"> removed as </w:t>
            </w:r>
            <w:r w:rsidR="000D35DE">
              <w:rPr>
                <w:lang w:val="en-US" w:eastAsia="en-US"/>
              </w:rPr>
              <w:t>it is</w:t>
            </w:r>
            <w:r w:rsidRPr="00E90B47">
              <w:rPr>
                <w:lang w:val="en-US" w:eastAsia="en-US"/>
              </w:rPr>
              <w:t xml:space="preserve"> redundant</w:t>
            </w:r>
            <w:r>
              <w:rPr>
                <w:lang w:val="en-US" w:eastAsia="en-US"/>
              </w:rPr>
              <w:t>.</w:t>
            </w:r>
          </w:p>
        </w:tc>
        <w:tc>
          <w:tcPr>
            <w:tcW w:w="3276" w:type="dxa"/>
          </w:tcPr>
          <w:p w:rsidR="00E90B47" w:rsidRPr="004666B8" w:rsidRDefault="00E90B47" w:rsidP="00AD141F">
            <w:pPr>
              <w:pStyle w:val="tabletext"/>
              <w:rPr>
                <w:lang w:val="en-US" w:eastAsia="en-US"/>
              </w:rPr>
            </w:pPr>
            <w:r w:rsidRPr="00E90B47">
              <w:rPr>
                <w:lang w:val="en-US" w:eastAsia="en-US"/>
              </w:rPr>
              <w:t xml:space="preserve">Amounts received in relation to a petroleum project </w:t>
            </w:r>
            <w:r w:rsidR="00AD141F" w:rsidRPr="00E90B47">
              <w:rPr>
                <w:lang w:val="en-US" w:eastAsia="en-US"/>
              </w:rPr>
              <w:t xml:space="preserve">from the sale of free </w:t>
            </w:r>
            <w:r w:rsidR="00AD141F">
              <w:rPr>
                <w:lang w:val="en-US" w:eastAsia="en-US"/>
              </w:rPr>
              <w:t xml:space="preserve">JCP </w:t>
            </w:r>
            <w:r w:rsidR="00AD141F" w:rsidRPr="00E90B47">
              <w:rPr>
                <w:lang w:val="en-US" w:eastAsia="en-US"/>
              </w:rPr>
              <w:t xml:space="preserve">carbon units </w:t>
            </w:r>
            <w:r w:rsidRPr="00E90B47">
              <w:rPr>
                <w:lang w:val="en-US" w:eastAsia="en-US"/>
              </w:rPr>
              <w:t>are included in asse</w:t>
            </w:r>
            <w:r w:rsidR="00A207EC">
              <w:rPr>
                <w:lang w:val="en-US" w:eastAsia="en-US"/>
              </w:rPr>
              <w:t>ssable receipts of that project</w:t>
            </w:r>
            <w:r w:rsidRPr="00E90B47">
              <w:rPr>
                <w:lang w:val="en-US" w:eastAsia="en-US"/>
              </w:rPr>
              <w:t>.</w:t>
            </w:r>
          </w:p>
        </w:tc>
      </w:tr>
      <w:tr w:rsidR="00E90B47" w:rsidRPr="004666B8" w:rsidTr="007343E0">
        <w:tc>
          <w:tcPr>
            <w:tcW w:w="6551" w:type="dxa"/>
            <w:gridSpan w:val="2"/>
          </w:tcPr>
          <w:p w:rsidR="00E90B47" w:rsidRPr="004666B8" w:rsidRDefault="00E90B47" w:rsidP="00E90B47">
            <w:pPr>
              <w:pStyle w:val="tabletext"/>
              <w:jc w:val="center"/>
              <w:rPr>
                <w:lang w:val="en-US" w:eastAsia="en-US"/>
              </w:rPr>
            </w:pPr>
            <w:r w:rsidRPr="00E90B47">
              <w:rPr>
                <w:b/>
                <w:lang w:val="en-US" w:eastAsia="en-US"/>
              </w:rPr>
              <w:t>Unit shortfall charge</w:t>
            </w:r>
          </w:p>
        </w:tc>
      </w:tr>
      <w:tr w:rsidR="00E90B47" w:rsidRPr="004666B8" w:rsidTr="007343E0">
        <w:tc>
          <w:tcPr>
            <w:tcW w:w="3275" w:type="dxa"/>
          </w:tcPr>
          <w:p w:rsidR="00E90B47" w:rsidRPr="004666B8" w:rsidRDefault="00E90B47" w:rsidP="007343E0">
            <w:pPr>
              <w:pStyle w:val="tabletext"/>
              <w:rPr>
                <w:lang w:val="en-US" w:eastAsia="en-US"/>
              </w:rPr>
            </w:pPr>
            <w:r w:rsidRPr="00E90B47">
              <w:rPr>
                <w:lang w:val="en-US" w:eastAsia="en-US"/>
              </w:rPr>
              <w:t>Redundant income tax and PRRT provisions relating to the unit shortfall charge are removed</w:t>
            </w:r>
            <w:r>
              <w:rPr>
                <w:lang w:val="en-US" w:eastAsia="en-US"/>
              </w:rPr>
              <w:t>.</w:t>
            </w:r>
          </w:p>
        </w:tc>
        <w:tc>
          <w:tcPr>
            <w:tcW w:w="3276" w:type="dxa"/>
          </w:tcPr>
          <w:p w:rsidR="00E90B47" w:rsidRPr="004666B8" w:rsidRDefault="00E90B47" w:rsidP="007343E0">
            <w:pPr>
              <w:pStyle w:val="tabletext"/>
              <w:rPr>
                <w:lang w:val="en-US" w:eastAsia="en-US"/>
              </w:rPr>
            </w:pPr>
            <w:r w:rsidRPr="00E90B47">
              <w:rPr>
                <w:lang w:val="en-US" w:eastAsia="en-US"/>
              </w:rPr>
              <w:t>Unit shortfall charge is not deductible expenditure under the income tax provisions and is excluded expenditure under the PRRT provisions</w:t>
            </w:r>
            <w:r>
              <w:rPr>
                <w:lang w:val="en-US" w:eastAsia="en-US"/>
              </w:rPr>
              <w:t>.</w:t>
            </w:r>
          </w:p>
        </w:tc>
      </w:tr>
      <w:tr w:rsidR="00E90B47" w:rsidRPr="004666B8" w:rsidTr="007343E0">
        <w:tc>
          <w:tcPr>
            <w:tcW w:w="6551" w:type="dxa"/>
            <w:gridSpan w:val="2"/>
          </w:tcPr>
          <w:p w:rsidR="00E90B47" w:rsidRPr="004666B8" w:rsidRDefault="00E90B47" w:rsidP="00E90B47">
            <w:pPr>
              <w:pStyle w:val="tabletext"/>
              <w:jc w:val="center"/>
              <w:rPr>
                <w:lang w:val="en-US" w:eastAsia="en-US"/>
              </w:rPr>
            </w:pPr>
            <w:r w:rsidRPr="00E90B47">
              <w:rPr>
                <w:b/>
                <w:lang w:val="en-US" w:eastAsia="en-US"/>
              </w:rPr>
              <w:t>International Unit Surrender Charge</w:t>
            </w:r>
          </w:p>
        </w:tc>
      </w:tr>
      <w:tr w:rsidR="00E90B47" w:rsidRPr="004666B8" w:rsidTr="007343E0">
        <w:tc>
          <w:tcPr>
            <w:tcW w:w="3275" w:type="dxa"/>
          </w:tcPr>
          <w:p w:rsidR="00E90B47" w:rsidRPr="004666B8" w:rsidRDefault="00E90B47" w:rsidP="007343E0">
            <w:pPr>
              <w:pStyle w:val="tabletext"/>
              <w:rPr>
                <w:lang w:val="en-US" w:eastAsia="en-US"/>
              </w:rPr>
            </w:pPr>
            <w:r w:rsidRPr="00E90B47">
              <w:rPr>
                <w:lang w:val="en-US" w:eastAsia="en-US"/>
              </w:rPr>
              <w:t xml:space="preserve">Redundant income tax provisions relating to a charge imposed on the surrender of an eligible </w:t>
            </w:r>
            <w:r w:rsidR="00E03B25">
              <w:rPr>
                <w:lang w:val="en-US" w:eastAsia="en-US"/>
              </w:rPr>
              <w:t xml:space="preserve">international </w:t>
            </w:r>
            <w:r w:rsidRPr="00E90B47">
              <w:rPr>
                <w:lang w:val="en-US" w:eastAsia="en-US"/>
              </w:rPr>
              <w:t>emissions unit are removed</w:t>
            </w:r>
            <w:r>
              <w:rPr>
                <w:lang w:val="en-US" w:eastAsia="en-US"/>
              </w:rPr>
              <w:t>.</w:t>
            </w:r>
          </w:p>
        </w:tc>
        <w:tc>
          <w:tcPr>
            <w:tcW w:w="3276" w:type="dxa"/>
          </w:tcPr>
          <w:p w:rsidR="00E90B47" w:rsidRPr="004666B8" w:rsidRDefault="00E90B47" w:rsidP="007343E0">
            <w:pPr>
              <w:pStyle w:val="tabletext"/>
              <w:rPr>
                <w:lang w:val="en-US" w:eastAsia="en-US"/>
              </w:rPr>
            </w:pPr>
            <w:r w:rsidRPr="00E90B47">
              <w:rPr>
                <w:lang w:val="en-US" w:eastAsia="en-US"/>
              </w:rPr>
              <w:t>An income tax deduction is available for a charge imposed on the surrender of an eligible international emissions unit</w:t>
            </w:r>
            <w:r>
              <w:rPr>
                <w:lang w:val="en-US" w:eastAsia="en-US"/>
              </w:rPr>
              <w:t>.</w:t>
            </w:r>
          </w:p>
        </w:tc>
      </w:tr>
      <w:tr w:rsidR="00E90B47" w:rsidRPr="004666B8" w:rsidTr="007343E0">
        <w:tc>
          <w:tcPr>
            <w:tcW w:w="6551" w:type="dxa"/>
            <w:gridSpan w:val="2"/>
          </w:tcPr>
          <w:p w:rsidR="00E90B47" w:rsidRPr="00E90B47" w:rsidRDefault="000D35DE" w:rsidP="000D35DE">
            <w:pPr>
              <w:pStyle w:val="tabletext"/>
              <w:jc w:val="center"/>
              <w:rPr>
                <w:lang w:val="en-US" w:eastAsia="en-US"/>
              </w:rPr>
            </w:pPr>
            <w:r>
              <w:rPr>
                <w:b/>
                <w:lang w:val="en-US" w:eastAsia="en-US"/>
              </w:rPr>
              <w:t xml:space="preserve">Provision </w:t>
            </w:r>
            <w:r w:rsidR="00E90B47" w:rsidRPr="00E90B47">
              <w:rPr>
                <w:b/>
                <w:lang w:val="en-US" w:eastAsia="en-US"/>
              </w:rPr>
              <w:t xml:space="preserve">of information </w:t>
            </w:r>
            <w:r>
              <w:rPr>
                <w:b/>
                <w:lang w:val="en-US" w:eastAsia="en-US"/>
              </w:rPr>
              <w:t>by</w:t>
            </w:r>
            <w:r w:rsidRPr="00E90B47">
              <w:rPr>
                <w:b/>
                <w:lang w:val="en-US" w:eastAsia="en-US"/>
              </w:rPr>
              <w:t xml:space="preserve"> </w:t>
            </w:r>
            <w:r w:rsidR="00E90B47" w:rsidRPr="00E90B47">
              <w:rPr>
                <w:b/>
                <w:lang w:val="en-US" w:eastAsia="en-US"/>
              </w:rPr>
              <w:t xml:space="preserve">the </w:t>
            </w:r>
            <w:r w:rsidR="00E90B47">
              <w:rPr>
                <w:b/>
                <w:lang w:val="en-US" w:eastAsia="en-US"/>
              </w:rPr>
              <w:t xml:space="preserve">Tax </w:t>
            </w:r>
            <w:r w:rsidR="00E90B47" w:rsidRPr="00E90B47">
              <w:rPr>
                <w:b/>
                <w:lang w:val="en-US" w:eastAsia="en-US"/>
              </w:rPr>
              <w:t xml:space="preserve">Commissioner </w:t>
            </w:r>
            <w:r>
              <w:rPr>
                <w:b/>
                <w:lang w:val="en-US" w:eastAsia="en-US"/>
              </w:rPr>
              <w:t>to the</w:t>
            </w:r>
            <w:r w:rsidRPr="00E90B47">
              <w:rPr>
                <w:b/>
                <w:lang w:val="en-US" w:eastAsia="en-US"/>
              </w:rPr>
              <w:t xml:space="preserve"> </w:t>
            </w:r>
            <w:r w:rsidR="00E90B47" w:rsidRPr="00E90B47">
              <w:rPr>
                <w:b/>
                <w:lang w:val="en-US" w:eastAsia="en-US"/>
              </w:rPr>
              <w:t>Regulator</w:t>
            </w:r>
          </w:p>
        </w:tc>
      </w:tr>
      <w:tr w:rsidR="00E90B47" w:rsidRPr="004666B8" w:rsidTr="007343E0">
        <w:tc>
          <w:tcPr>
            <w:tcW w:w="3275" w:type="dxa"/>
          </w:tcPr>
          <w:p w:rsidR="00E90B47" w:rsidRPr="00DA0562" w:rsidRDefault="00E90B47" w:rsidP="000D35DE">
            <w:pPr>
              <w:pStyle w:val="tabletext"/>
              <w:rPr>
                <w:lang w:val="en-US" w:eastAsia="en-US"/>
              </w:rPr>
            </w:pPr>
            <w:r w:rsidRPr="00DA0562">
              <w:rPr>
                <w:lang w:val="en-US" w:eastAsia="en-US"/>
              </w:rPr>
              <w:t xml:space="preserve">Redundant taxation administration provisions which allow the </w:t>
            </w:r>
            <w:r w:rsidR="00E03B25">
              <w:rPr>
                <w:lang w:val="en-US" w:eastAsia="en-US"/>
              </w:rPr>
              <w:t xml:space="preserve">Tax </w:t>
            </w:r>
            <w:r w:rsidRPr="00DA0562">
              <w:rPr>
                <w:lang w:val="en-US" w:eastAsia="en-US"/>
              </w:rPr>
              <w:t xml:space="preserve">Commissioner to </w:t>
            </w:r>
            <w:r w:rsidR="000D35DE">
              <w:rPr>
                <w:lang w:val="en-US" w:eastAsia="en-US"/>
              </w:rPr>
              <w:t>provide</w:t>
            </w:r>
            <w:r w:rsidR="000D35DE" w:rsidRPr="00DA0562">
              <w:rPr>
                <w:lang w:val="en-US" w:eastAsia="en-US"/>
              </w:rPr>
              <w:t xml:space="preserve"> </w:t>
            </w:r>
            <w:r w:rsidRPr="00DA0562">
              <w:rPr>
                <w:lang w:val="en-US" w:eastAsia="en-US"/>
              </w:rPr>
              <w:t xml:space="preserve">carbon tax related information </w:t>
            </w:r>
            <w:r w:rsidR="000D35DE">
              <w:rPr>
                <w:lang w:val="en-US" w:eastAsia="en-US"/>
              </w:rPr>
              <w:t>to</w:t>
            </w:r>
            <w:r w:rsidR="000D35DE" w:rsidRPr="00DA0562">
              <w:rPr>
                <w:lang w:val="en-US" w:eastAsia="en-US"/>
              </w:rPr>
              <w:t xml:space="preserve"> </w:t>
            </w:r>
            <w:r w:rsidRPr="00DA0562">
              <w:rPr>
                <w:lang w:val="en-US" w:eastAsia="en-US"/>
              </w:rPr>
              <w:t>the Regulator are removed</w:t>
            </w:r>
            <w:r w:rsidR="000D35DE">
              <w:rPr>
                <w:lang w:val="en-US" w:eastAsia="en-US"/>
              </w:rPr>
              <w:t>.</w:t>
            </w:r>
          </w:p>
        </w:tc>
        <w:tc>
          <w:tcPr>
            <w:tcW w:w="3276" w:type="dxa"/>
          </w:tcPr>
          <w:p w:rsidR="00E90B47" w:rsidRPr="00DA0562" w:rsidRDefault="00E90B47" w:rsidP="000D35DE">
            <w:pPr>
              <w:pStyle w:val="tabletext"/>
              <w:rPr>
                <w:lang w:val="en-US" w:eastAsia="en-US"/>
              </w:rPr>
            </w:pPr>
            <w:r w:rsidRPr="00DA0562">
              <w:rPr>
                <w:lang w:val="en-US" w:eastAsia="en-US"/>
              </w:rPr>
              <w:t xml:space="preserve">The taxation administration provisions allow the Tax Commissioner to </w:t>
            </w:r>
            <w:r w:rsidR="000D35DE">
              <w:rPr>
                <w:lang w:val="en-US" w:eastAsia="en-US"/>
              </w:rPr>
              <w:t>provide</w:t>
            </w:r>
            <w:r w:rsidR="000D35DE" w:rsidRPr="00DA0562">
              <w:rPr>
                <w:lang w:val="en-US" w:eastAsia="en-US"/>
              </w:rPr>
              <w:t xml:space="preserve"> </w:t>
            </w:r>
            <w:r w:rsidRPr="00DA0562">
              <w:rPr>
                <w:lang w:val="en-US" w:eastAsia="en-US"/>
              </w:rPr>
              <w:t xml:space="preserve">carbon tax related information </w:t>
            </w:r>
            <w:r w:rsidR="000D35DE">
              <w:rPr>
                <w:lang w:val="en-US" w:eastAsia="en-US"/>
              </w:rPr>
              <w:t>to</w:t>
            </w:r>
            <w:r w:rsidR="000D35DE" w:rsidRPr="00DA0562">
              <w:rPr>
                <w:lang w:val="en-US" w:eastAsia="en-US"/>
              </w:rPr>
              <w:t xml:space="preserve"> </w:t>
            </w:r>
            <w:r w:rsidRPr="00DA0562">
              <w:rPr>
                <w:lang w:val="en-US" w:eastAsia="en-US"/>
              </w:rPr>
              <w:t>the Regulator.</w:t>
            </w:r>
          </w:p>
        </w:tc>
      </w:tr>
    </w:tbl>
    <w:p w:rsidR="00834309" w:rsidRDefault="00834309" w:rsidP="007343E0">
      <w:pPr>
        <w:pStyle w:val="Heading2"/>
      </w:pPr>
      <w:r>
        <w:t>Detailed explanation of new law</w:t>
      </w:r>
    </w:p>
    <w:p w:rsidR="00600E55" w:rsidRPr="00600E55" w:rsidRDefault="00600E55" w:rsidP="00600E55">
      <w:pPr>
        <w:pStyle w:val="Heading3"/>
      </w:pPr>
      <w:r w:rsidRPr="00600E55">
        <w:t>Taxation treatment of redundant units</w:t>
      </w:r>
    </w:p>
    <w:p w:rsidR="00E41DB5" w:rsidRDefault="00E41DB5" w:rsidP="00600E55">
      <w:pPr>
        <w:pStyle w:val="Heading4"/>
      </w:pPr>
      <w:r>
        <w:t>Income tax treatment of units</w:t>
      </w:r>
    </w:p>
    <w:p w:rsidR="00834309" w:rsidRDefault="00E03B25" w:rsidP="003D2BA7">
      <w:pPr>
        <w:pStyle w:val="base-text-paragraph"/>
        <w:numPr>
          <w:ilvl w:val="1"/>
          <w:numId w:val="22"/>
        </w:numPr>
      </w:pPr>
      <w:r w:rsidRPr="00307F7B">
        <w:t xml:space="preserve">Discrete income tax </w:t>
      </w:r>
      <w:r>
        <w:t xml:space="preserve">provisions </w:t>
      </w:r>
      <w:r w:rsidRPr="00307F7B">
        <w:t>were introduced as a part of the</w:t>
      </w:r>
      <w:r>
        <w:t xml:space="preserve"> Clean Energy Legislation</w:t>
      </w:r>
      <w:r w:rsidRPr="00307F7B">
        <w:t xml:space="preserve"> concerning the income tax treatment of units registered on the </w:t>
      </w:r>
      <w:r>
        <w:t>Registry, namely</w:t>
      </w:r>
      <w:r w:rsidRPr="00307F7B">
        <w:t xml:space="preserve"> carbon units, Kyoto units, prescribed international units and</w:t>
      </w:r>
      <w:r>
        <w:t xml:space="preserve"> ACCUs</w:t>
      </w:r>
      <w:r w:rsidR="00D5237C">
        <w:t xml:space="preserve">.  </w:t>
      </w:r>
      <w:r w:rsidRPr="00307F7B">
        <w:t>The amendments inserted Division 420 of the ITAA 1997, which provided for a rolling balance treatment for units registered on the Registry</w:t>
      </w:r>
      <w:r>
        <w:t>.</w:t>
      </w:r>
    </w:p>
    <w:p w:rsidR="00722C82" w:rsidRPr="00B10C33" w:rsidRDefault="00722C82" w:rsidP="003D2BA7">
      <w:pPr>
        <w:pStyle w:val="base-text-paragraph"/>
        <w:numPr>
          <w:ilvl w:val="1"/>
          <w:numId w:val="22"/>
        </w:numPr>
        <w:rPr>
          <w:rStyle w:val="Referencingstyle"/>
          <w:b w:val="0"/>
          <w:i w:val="0"/>
          <w:sz w:val="22"/>
        </w:rPr>
      </w:pPr>
      <w:r w:rsidRPr="00722C82">
        <w:t>As the taxation provisions in respect of carbon units and prescribed international units become redundant with the repeal of the carbon tax, these ame</w:t>
      </w:r>
      <w:r w:rsidR="00E03B25">
        <w:t xml:space="preserve">ndments remove these provisions </w:t>
      </w:r>
      <w:r w:rsidRPr="00722C82">
        <w:t>from the ITAA 1997</w:t>
      </w:r>
      <w:r w:rsidR="00D5237C">
        <w:t xml:space="preserve">.  </w:t>
      </w:r>
      <w:r w:rsidR="00D56657" w:rsidRPr="00722C82">
        <w:rPr>
          <w:rStyle w:val="Referencingstyle"/>
          <w:rFonts w:eastAsiaTheme="minorHAnsi"/>
        </w:rPr>
        <w:t>[Schedule 1, items 158 to 195 (excluding 179),</w:t>
      </w:r>
      <w:r w:rsidR="00D56657">
        <w:rPr>
          <w:rStyle w:val="Referencingstyle"/>
          <w:rFonts w:eastAsiaTheme="minorHAnsi"/>
        </w:rPr>
        <w:t xml:space="preserve"> </w:t>
      </w:r>
      <w:r w:rsidR="00D56657" w:rsidRPr="00722C82">
        <w:rPr>
          <w:rStyle w:val="Referencingstyle"/>
          <w:rFonts w:eastAsiaTheme="minorHAnsi"/>
        </w:rPr>
        <w:t>section</w:t>
      </w:r>
      <w:r w:rsidR="00D56657">
        <w:rPr>
          <w:rStyle w:val="Referencingstyle"/>
          <w:rFonts w:eastAsiaTheme="minorHAnsi"/>
        </w:rPr>
        <w:t>s</w:t>
      </w:r>
      <w:r w:rsidR="00D56657" w:rsidRPr="00722C82">
        <w:rPr>
          <w:rStyle w:val="Referencingstyle"/>
          <w:rFonts w:eastAsiaTheme="minorHAnsi"/>
        </w:rPr>
        <w:t xml:space="preserve"> 104</w:t>
      </w:r>
      <w:r w:rsidR="00D56657" w:rsidRPr="00722C82">
        <w:rPr>
          <w:rStyle w:val="Referencingstyle"/>
          <w:rFonts w:eastAsiaTheme="minorHAnsi"/>
        </w:rPr>
        <w:noBreakHyphen/>
        <w:t>5, 104</w:t>
      </w:r>
      <w:r w:rsidR="00D56657" w:rsidRPr="00722C82">
        <w:rPr>
          <w:rStyle w:val="Referencingstyle"/>
          <w:rFonts w:eastAsiaTheme="minorHAnsi"/>
        </w:rPr>
        <w:noBreakHyphen/>
        <w:t>205(1)(a)(i) to (iv), 112</w:t>
      </w:r>
      <w:r w:rsidR="00D56657" w:rsidRPr="00722C82">
        <w:rPr>
          <w:rStyle w:val="Referencingstyle"/>
          <w:rFonts w:eastAsiaTheme="minorHAnsi"/>
        </w:rPr>
        <w:noBreakHyphen/>
        <w:t>97, 118</w:t>
      </w:r>
      <w:r w:rsidR="00D56657" w:rsidRPr="00722C82">
        <w:rPr>
          <w:rStyle w:val="Referencingstyle"/>
          <w:rFonts w:eastAsiaTheme="minorHAnsi"/>
        </w:rPr>
        <w:noBreakHyphen/>
        <w:t>15(2), 420</w:t>
      </w:r>
      <w:r w:rsidR="00D56657" w:rsidRPr="00722C82">
        <w:rPr>
          <w:rStyle w:val="Referencingstyle"/>
          <w:rFonts w:eastAsiaTheme="minorHAnsi"/>
        </w:rPr>
        <w:noBreakHyphen/>
        <w:t>10(a) and (c), 420</w:t>
      </w:r>
      <w:r w:rsidR="00D56657" w:rsidRPr="00722C82">
        <w:rPr>
          <w:rStyle w:val="Referencingstyle"/>
          <w:rFonts w:eastAsiaTheme="minorHAnsi"/>
        </w:rPr>
        <w:noBreakHyphen/>
        <w:t>15(1) (note), 420</w:t>
      </w:r>
      <w:r w:rsidR="00D56657" w:rsidRPr="00722C82">
        <w:rPr>
          <w:rStyle w:val="Referencingstyle"/>
          <w:rFonts w:eastAsiaTheme="minorHAnsi"/>
        </w:rPr>
        <w:noBreakHyphen/>
        <w:t>15(3)</w:t>
      </w:r>
      <w:r w:rsidR="00D5237C">
        <w:rPr>
          <w:rStyle w:val="Referencingstyle"/>
          <w:rFonts w:eastAsiaTheme="minorHAnsi"/>
        </w:rPr>
        <w:t xml:space="preserve">, </w:t>
      </w:r>
      <w:r w:rsidR="00A207EC">
        <w:rPr>
          <w:rStyle w:val="Referencingstyle"/>
          <w:rFonts w:eastAsiaTheme="minorHAnsi"/>
        </w:rPr>
        <w:t>420</w:t>
      </w:r>
      <w:r w:rsidR="00A207EC">
        <w:rPr>
          <w:rStyle w:val="Referencingstyle"/>
          <w:rFonts w:eastAsiaTheme="minorHAnsi"/>
        </w:rPr>
        <w:noBreakHyphen/>
        <w:t>20(3), 420</w:t>
      </w:r>
      <w:r w:rsidR="00A207EC">
        <w:rPr>
          <w:rStyle w:val="Referencingstyle"/>
          <w:rFonts w:eastAsiaTheme="minorHAnsi"/>
        </w:rPr>
        <w:noBreakHyphen/>
        <w:t>21(1)(a)(i)</w:t>
      </w:r>
      <w:r w:rsidR="00D56657">
        <w:rPr>
          <w:rStyle w:val="Referencingstyle"/>
          <w:rFonts w:eastAsiaTheme="minorHAnsi"/>
        </w:rPr>
        <w:t>-</w:t>
      </w:r>
      <w:r w:rsidR="00D56657" w:rsidRPr="00722C82">
        <w:rPr>
          <w:rStyle w:val="Referencingstyle"/>
          <w:rFonts w:eastAsiaTheme="minorHAnsi"/>
        </w:rPr>
        <w:t>(iv), 420</w:t>
      </w:r>
      <w:r w:rsidR="00D56657" w:rsidRPr="00722C82">
        <w:rPr>
          <w:rStyle w:val="Referencingstyle"/>
          <w:rFonts w:eastAsiaTheme="minorHAnsi"/>
        </w:rPr>
        <w:noBreakHyphen/>
        <w:t>2</w:t>
      </w:r>
      <w:r w:rsidR="00A207EC">
        <w:rPr>
          <w:rStyle w:val="Referencingstyle"/>
          <w:rFonts w:eastAsiaTheme="minorHAnsi"/>
        </w:rPr>
        <w:t>1(1) (example), 420</w:t>
      </w:r>
      <w:r w:rsidR="00A207EC">
        <w:rPr>
          <w:rStyle w:val="Referencingstyle"/>
          <w:rFonts w:eastAsiaTheme="minorHAnsi"/>
        </w:rPr>
        <w:noBreakHyphen/>
        <w:t>21(2)(a)(i)</w:t>
      </w:r>
      <w:r w:rsidR="00D56657">
        <w:rPr>
          <w:rStyle w:val="Referencingstyle"/>
          <w:rFonts w:eastAsiaTheme="minorHAnsi"/>
        </w:rPr>
        <w:t>-</w:t>
      </w:r>
      <w:r w:rsidR="00D56657" w:rsidRPr="00722C82">
        <w:rPr>
          <w:rStyle w:val="Referencingstyle"/>
          <w:rFonts w:eastAsiaTheme="minorHAnsi"/>
        </w:rPr>
        <w:t>(iv)</w:t>
      </w:r>
      <w:r w:rsidR="00D56657">
        <w:rPr>
          <w:rStyle w:val="Referencingstyle"/>
          <w:rFonts w:eastAsiaTheme="minorHAnsi"/>
        </w:rPr>
        <w:t xml:space="preserve">, </w:t>
      </w:r>
      <w:r w:rsidR="00D56657" w:rsidRPr="00722C82">
        <w:rPr>
          <w:rStyle w:val="Referencingstyle"/>
          <w:rFonts w:eastAsiaTheme="minorHAnsi"/>
        </w:rPr>
        <w:t>420</w:t>
      </w:r>
      <w:r w:rsidR="00D56657" w:rsidRPr="00722C82">
        <w:rPr>
          <w:rStyle w:val="Referencingstyle"/>
          <w:rFonts w:eastAsiaTheme="minorHAnsi"/>
        </w:rPr>
        <w:noBreakHyphen/>
        <w:t>35(b)(i) and (ii), 420</w:t>
      </w:r>
      <w:r w:rsidR="00D56657" w:rsidRPr="00722C82">
        <w:rPr>
          <w:rStyle w:val="Referencingstyle"/>
          <w:rFonts w:eastAsiaTheme="minorHAnsi"/>
        </w:rPr>
        <w:noBreakHyphen/>
        <w:t>35 (example), 420</w:t>
      </w:r>
      <w:r w:rsidR="00D56657" w:rsidRPr="00722C82">
        <w:rPr>
          <w:rStyle w:val="Referencingstyle"/>
          <w:rFonts w:eastAsiaTheme="minorHAnsi"/>
        </w:rPr>
        <w:noBreakHyphen/>
        <w:t>51(1) and (2), 420</w:t>
      </w:r>
      <w:r w:rsidR="00D56657" w:rsidRPr="00722C82">
        <w:rPr>
          <w:rStyle w:val="Referencingstyle"/>
          <w:rFonts w:eastAsiaTheme="minorHAnsi"/>
        </w:rPr>
        <w:noBreakHyphen/>
        <w:t>52(a)(i), 420</w:t>
      </w:r>
      <w:r w:rsidR="00D56657" w:rsidRPr="00722C82">
        <w:rPr>
          <w:rStyle w:val="Referencingstyle"/>
          <w:rFonts w:eastAsiaTheme="minorHAnsi"/>
        </w:rPr>
        <w:noBreakHyphen/>
        <w:t>52(b), 420</w:t>
      </w:r>
      <w:r w:rsidR="00D56657" w:rsidRPr="00722C82">
        <w:rPr>
          <w:rStyle w:val="Referencingstyle"/>
          <w:rFonts w:eastAsiaTheme="minorHAnsi"/>
        </w:rPr>
        <w:noBreakHyphen/>
        <w:t>55(6)</w:t>
      </w:r>
      <w:r w:rsidR="00D56657">
        <w:rPr>
          <w:rStyle w:val="Referencingstyle"/>
          <w:rFonts w:eastAsiaTheme="minorHAnsi"/>
        </w:rPr>
        <w:t>,</w:t>
      </w:r>
      <w:r w:rsidR="00D56657" w:rsidRPr="00722C82">
        <w:rPr>
          <w:rStyle w:val="Referencingstyle"/>
          <w:rFonts w:eastAsiaTheme="minorHAnsi"/>
        </w:rPr>
        <w:t xml:space="preserve"> 420</w:t>
      </w:r>
      <w:r w:rsidR="00D56657" w:rsidRPr="00722C82">
        <w:rPr>
          <w:rStyle w:val="Referencingstyle"/>
          <w:rFonts w:eastAsiaTheme="minorHAnsi"/>
        </w:rPr>
        <w:noBreakHyphen/>
        <w:t>57(9), 420</w:t>
      </w:r>
      <w:r w:rsidR="00D56657" w:rsidRPr="00722C82">
        <w:rPr>
          <w:rStyle w:val="Referencingstyle"/>
          <w:rFonts w:eastAsiaTheme="minorHAnsi"/>
        </w:rPr>
        <w:noBreakHyphen/>
        <w:t>58, 420</w:t>
      </w:r>
      <w:r w:rsidR="00D56657" w:rsidRPr="00722C82">
        <w:rPr>
          <w:rStyle w:val="Referencingstyle"/>
          <w:rFonts w:eastAsiaTheme="minorHAnsi"/>
        </w:rPr>
        <w:noBreakHyphen/>
        <w:t>60(1)</w:t>
      </w:r>
      <w:r w:rsidR="00D56657">
        <w:rPr>
          <w:rStyle w:val="Referencingstyle"/>
          <w:rFonts w:eastAsiaTheme="minorHAnsi"/>
        </w:rPr>
        <w:t>,</w:t>
      </w:r>
      <w:r w:rsidR="00D56657" w:rsidRPr="00722C82">
        <w:rPr>
          <w:rStyle w:val="Referencingstyle"/>
          <w:rFonts w:eastAsiaTheme="minorHAnsi"/>
        </w:rPr>
        <w:t xml:space="preserve"> (2) and (4), 420</w:t>
      </w:r>
      <w:r w:rsidR="00D56657" w:rsidRPr="00722C82">
        <w:rPr>
          <w:rStyle w:val="Referencingstyle"/>
          <w:rFonts w:eastAsiaTheme="minorHAnsi"/>
        </w:rPr>
        <w:noBreakHyphen/>
        <w:t>65(3), 420</w:t>
      </w:r>
      <w:r w:rsidR="00D56657" w:rsidRPr="00722C82">
        <w:rPr>
          <w:rStyle w:val="Referencingstyle"/>
          <w:rFonts w:eastAsiaTheme="minorHAnsi"/>
        </w:rPr>
        <w:noBreakHyphen/>
        <w:t>70(3) and 995</w:t>
      </w:r>
      <w:r w:rsidR="00D56657" w:rsidRPr="00722C82">
        <w:rPr>
          <w:rStyle w:val="Referencingstyle"/>
          <w:rFonts w:eastAsiaTheme="minorHAnsi"/>
        </w:rPr>
        <w:noBreakHyphen/>
        <w:t>1(1), ITAA 1997]</w:t>
      </w:r>
    </w:p>
    <w:p w:rsidR="000D35DE" w:rsidRDefault="00AE5FBD" w:rsidP="003D2BA7">
      <w:pPr>
        <w:pStyle w:val="base-text-paragraph"/>
        <w:numPr>
          <w:ilvl w:val="1"/>
          <w:numId w:val="22"/>
        </w:numPr>
      </w:pPr>
      <w:r w:rsidRPr="00AE5FBD">
        <w:t xml:space="preserve">Division 420 </w:t>
      </w:r>
      <w:r w:rsidR="00B10C33">
        <w:t>continue</w:t>
      </w:r>
      <w:r w:rsidR="000D35DE">
        <w:t>s</w:t>
      </w:r>
      <w:r w:rsidR="00B10C33">
        <w:t xml:space="preserve"> to apply </w:t>
      </w:r>
      <w:r w:rsidR="00E41DB5">
        <w:t xml:space="preserve">to </w:t>
      </w:r>
      <w:r w:rsidR="000D35DE">
        <w:t xml:space="preserve">the </w:t>
      </w:r>
      <w:r w:rsidR="00E41DB5">
        <w:t>other categories of emission</w:t>
      </w:r>
      <w:r w:rsidR="000D35DE">
        <w:t>s</w:t>
      </w:r>
      <w:r w:rsidR="00B10C33">
        <w:t xml:space="preserve"> units </w:t>
      </w:r>
      <w:r w:rsidR="00E41DB5">
        <w:t xml:space="preserve">that continue to be </w:t>
      </w:r>
      <w:r w:rsidR="00E03B25">
        <w:t>held</w:t>
      </w:r>
      <w:r w:rsidR="00B10C33">
        <w:t xml:space="preserve"> on the Registry</w:t>
      </w:r>
      <w:r w:rsidR="00E41DB5">
        <w:t>, namely</w:t>
      </w:r>
      <w:r w:rsidR="00B10C33">
        <w:t xml:space="preserve"> </w:t>
      </w:r>
      <w:r w:rsidR="000D35DE">
        <w:t>ACCUs</w:t>
      </w:r>
      <w:r w:rsidR="00E41DB5">
        <w:t xml:space="preserve"> and Kyoto units</w:t>
      </w:r>
      <w:r w:rsidR="00D5237C">
        <w:t xml:space="preserve">.  </w:t>
      </w:r>
      <w:r w:rsidR="00B10C33">
        <w:t xml:space="preserve">Retaining these provisions ensures continued certainty and reduced compliance costs for </w:t>
      </w:r>
      <w:r w:rsidR="00E41DB5">
        <w:t>entities using these units</w:t>
      </w:r>
      <w:r w:rsidR="00B10C33">
        <w:t xml:space="preserve">, as it </w:t>
      </w:r>
      <w:r w:rsidR="00E41DB5">
        <w:t xml:space="preserve">provides clarity on the tax treatment of these units without the need for further interpretation under </w:t>
      </w:r>
      <w:r w:rsidR="00B10C33">
        <w:t>various provisions of the tax law.</w:t>
      </w:r>
    </w:p>
    <w:p w:rsidR="00E41DB5" w:rsidRDefault="00E41DB5" w:rsidP="00600E55">
      <w:pPr>
        <w:pStyle w:val="Heading4"/>
      </w:pPr>
      <w:r w:rsidRPr="00E41DB5">
        <w:t>GST-free status of units</w:t>
      </w:r>
    </w:p>
    <w:p w:rsidR="00B10C33" w:rsidRDefault="00E41DB5" w:rsidP="003D2BA7">
      <w:pPr>
        <w:pStyle w:val="base-text-paragraph"/>
        <w:numPr>
          <w:ilvl w:val="1"/>
          <w:numId w:val="22"/>
        </w:numPr>
      </w:pPr>
      <w:r>
        <w:t xml:space="preserve">The Clean Energy Legislation also amended </w:t>
      </w:r>
      <w:r w:rsidRPr="00E41DB5">
        <w:t xml:space="preserve">the GST </w:t>
      </w:r>
      <w:r w:rsidR="00E03B25">
        <w:t>Act</w:t>
      </w:r>
      <w:r w:rsidRPr="00E41DB5">
        <w:t xml:space="preserve"> to ensure that the suppl</w:t>
      </w:r>
      <w:r w:rsidR="00E03B25">
        <w:t>ies</w:t>
      </w:r>
      <w:r w:rsidRPr="00E41DB5">
        <w:t xml:space="preserve"> of eligible emissions units, as defined in the </w:t>
      </w:r>
      <w:r w:rsidR="003151F1">
        <w:t>CE Act</w:t>
      </w:r>
      <w:r w:rsidRPr="00E41DB5">
        <w:t xml:space="preserve">, </w:t>
      </w:r>
      <w:r w:rsidR="00E03B25">
        <w:t>are</w:t>
      </w:r>
      <w:r w:rsidRPr="00E41DB5">
        <w:t xml:space="preserve"> GST-free</w:t>
      </w:r>
      <w:r w:rsidR="00D5237C">
        <w:t xml:space="preserve">.  </w:t>
      </w:r>
      <w:r w:rsidRPr="00E41DB5">
        <w:t>These provisions in respect of carbon units and prescribed international units become redundant with the repeal of the carbon tax.</w:t>
      </w:r>
    </w:p>
    <w:p w:rsidR="00E41DB5" w:rsidRPr="003C5487" w:rsidRDefault="00E03B25" w:rsidP="003D2BA7">
      <w:pPr>
        <w:pStyle w:val="base-text-paragraph"/>
        <w:numPr>
          <w:ilvl w:val="1"/>
          <w:numId w:val="22"/>
        </w:numPr>
        <w:rPr>
          <w:rStyle w:val="Referencingstyle"/>
          <w:b w:val="0"/>
          <w:i w:val="0"/>
          <w:sz w:val="22"/>
        </w:rPr>
      </w:pPr>
      <w:r>
        <w:t>A</w:t>
      </w:r>
      <w:r w:rsidRPr="007A4626">
        <w:t xml:space="preserve"> definition of ‘eligible emissions unit’</w:t>
      </w:r>
      <w:r>
        <w:t xml:space="preserve"> is included in</w:t>
      </w:r>
      <w:r w:rsidR="004B04A0">
        <w:t xml:space="preserve"> the GST </w:t>
      </w:r>
      <w:r w:rsidRPr="007A4626">
        <w:t xml:space="preserve">Act </w:t>
      </w:r>
      <w:r>
        <w:t>t</w:t>
      </w:r>
      <w:r w:rsidRPr="00E41DB5">
        <w:t xml:space="preserve">o </w:t>
      </w:r>
      <w:r w:rsidRPr="00B21F6E">
        <w:t>ensure that GST</w:t>
      </w:r>
      <w:r w:rsidRPr="00B21F6E">
        <w:noBreakHyphen/>
        <w:t>free status continues to apply to the categories of emission</w:t>
      </w:r>
      <w:r>
        <w:t>s</w:t>
      </w:r>
      <w:r w:rsidRPr="00B21F6E">
        <w:t xml:space="preserve"> units that continue to exist</w:t>
      </w:r>
      <w:r w:rsidR="00D5237C">
        <w:rPr>
          <w:rStyle w:val="Referencingstyle"/>
        </w:rPr>
        <w:t xml:space="preserve">.  </w:t>
      </w:r>
      <w:r w:rsidRPr="00B21F6E">
        <w:t>This definition effectively excludes</w:t>
      </w:r>
      <w:r>
        <w:t xml:space="preserve"> redundant carbon units and prescribed international units</w:t>
      </w:r>
      <w:r w:rsidR="00D5237C">
        <w:t xml:space="preserve">.  </w:t>
      </w:r>
      <w:r w:rsidR="001978A9" w:rsidRPr="001978A9">
        <w:rPr>
          <w:rStyle w:val="Referencingstyle"/>
          <w:rFonts w:eastAsiaTheme="minorHAnsi"/>
        </w:rPr>
        <w:t>[Schedule 1, item</w:t>
      </w:r>
      <w:r w:rsidR="00CD2C9D">
        <w:rPr>
          <w:rStyle w:val="Referencingstyle"/>
          <w:rFonts w:eastAsiaTheme="minorHAnsi"/>
        </w:rPr>
        <w:t>s 7,</w:t>
      </w:r>
      <w:r w:rsidR="001978A9" w:rsidRPr="001978A9">
        <w:rPr>
          <w:rStyle w:val="Referencingstyle"/>
          <w:rFonts w:eastAsiaTheme="minorHAnsi"/>
        </w:rPr>
        <w:t xml:space="preserve"> 8</w:t>
      </w:r>
      <w:r w:rsidR="00CD2C9D">
        <w:rPr>
          <w:rStyle w:val="Referencingstyle"/>
          <w:rFonts w:eastAsiaTheme="minorHAnsi"/>
        </w:rPr>
        <w:t xml:space="preserve"> and 9</w:t>
      </w:r>
      <w:r w:rsidR="001978A9" w:rsidRPr="001978A9">
        <w:rPr>
          <w:rStyle w:val="Referencingstyle"/>
          <w:rFonts w:eastAsiaTheme="minorHAnsi"/>
        </w:rPr>
        <w:t>, section 195-1, GST Act]</w:t>
      </w:r>
    </w:p>
    <w:p w:rsidR="003C5487" w:rsidRDefault="00E03B25" w:rsidP="003D2BA7">
      <w:pPr>
        <w:pStyle w:val="base-text-paragraph"/>
        <w:numPr>
          <w:ilvl w:val="1"/>
          <w:numId w:val="22"/>
        </w:numPr>
      </w:pPr>
      <w:r w:rsidRPr="00E12247">
        <w:t>The amendments achieve this by importing definitions of eligible international emissions unit and eligible Australian carbon credit unit into the GST Act under the definition of an ‘eligible emissions unit’</w:t>
      </w:r>
      <w:r w:rsidR="00D5237C">
        <w:t xml:space="preserve">.  </w:t>
      </w:r>
      <w:r w:rsidRPr="00E12247">
        <w:t>‘Eligible Australian carbon credit unit’ ha</w:t>
      </w:r>
      <w:r>
        <w:t xml:space="preserve">s the same meaning as in the </w:t>
      </w:r>
      <w:r w:rsidR="003151F1">
        <w:t>CE Act</w:t>
      </w:r>
      <w:r w:rsidRPr="00E12247">
        <w:t xml:space="preserve"> prior to its repeal and ‘eligible international emissions unit’ has the same meaning as in the ANREU Act, which no longer includes prescribed international units due to the repeal of the carbon tax</w:t>
      </w:r>
      <w:r w:rsidR="00D5237C">
        <w:t xml:space="preserve">.  </w:t>
      </w:r>
      <w:r w:rsidR="004B04A0">
        <w:t>The </w:t>
      </w:r>
      <w:r w:rsidRPr="00E12247">
        <w:t>effect of importing these definitions into the GST Act is that ACCUs and eligible international emissions units (excluding prescribed international units) retain their GST-free status</w:t>
      </w:r>
      <w:r w:rsidR="00D5237C">
        <w:t xml:space="preserve">.  </w:t>
      </w:r>
      <w:r w:rsidR="003C5487" w:rsidRPr="003C5487">
        <w:rPr>
          <w:rStyle w:val="Referencingstyle"/>
          <w:rFonts w:eastAsiaTheme="minorHAnsi"/>
        </w:rPr>
        <w:t>[Schedule 1, items 7</w:t>
      </w:r>
      <w:r w:rsidR="00CD2C9D">
        <w:rPr>
          <w:rStyle w:val="Referencingstyle"/>
          <w:rFonts w:eastAsiaTheme="minorHAnsi"/>
        </w:rPr>
        <w:t xml:space="preserve">, 8, </w:t>
      </w:r>
      <w:r w:rsidR="003C5487" w:rsidRPr="003C5487">
        <w:rPr>
          <w:rStyle w:val="Referencingstyle"/>
          <w:rFonts w:eastAsiaTheme="minorHAnsi"/>
        </w:rPr>
        <w:t>9</w:t>
      </w:r>
      <w:r w:rsidR="004B04A0">
        <w:rPr>
          <w:rStyle w:val="Referencingstyle"/>
          <w:rFonts w:eastAsiaTheme="minorHAnsi"/>
        </w:rPr>
        <w:t xml:space="preserve"> and </w:t>
      </w:r>
      <w:r w:rsidR="00CD2C9D">
        <w:rPr>
          <w:rStyle w:val="Referencingstyle"/>
          <w:rFonts w:eastAsiaTheme="minorHAnsi"/>
        </w:rPr>
        <w:t>19</w:t>
      </w:r>
      <w:r w:rsidR="004B04A0">
        <w:rPr>
          <w:rStyle w:val="Referencingstyle"/>
          <w:rFonts w:eastAsiaTheme="minorHAnsi"/>
        </w:rPr>
        <w:t>, section 195</w:t>
      </w:r>
      <w:r w:rsidR="004B04A0">
        <w:rPr>
          <w:rStyle w:val="Referencingstyle"/>
          <w:rFonts w:eastAsiaTheme="minorHAnsi"/>
        </w:rPr>
        <w:noBreakHyphen/>
      </w:r>
      <w:r w:rsidR="003C5487" w:rsidRPr="003C5487">
        <w:rPr>
          <w:rStyle w:val="Referencingstyle"/>
          <w:rFonts w:eastAsiaTheme="minorHAnsi"/>
        </w:rPr>
        <w:t>1, GST Act</w:t>
      </w:r>
      <w:r w:rsidR="00CD2C9D">
        <w:rPr>
          <w:rStyle w:val="Referencingstyle"/>
          <w:rFonts w:eastAsiaTheme="minorHAnsi"/>
        </w:rPr>
        <w:t xml:space="preserve"> and </w:t>
      </w:r>
      <w:r w:rsidR="00CD2C9D">
        <w:rPr>
          <w:rStyle w:val="Referencingstyle"/>
          <w:rFonts w:eastAsia="Calibri"/>
        </w:rPr>
        <w:t xml:space="preserve">section 4, </w:t>
      </w:r>
      <w:r w:rsidR="00CD2C9D" w:rsidRPr="00CD2C9D">
        <w:rPr>
          <w:rStyle w:val="Referencingstyle"/>
          <w:rFonts w:eastAsia="Calibri"/>
        </w:rPr>
        <w:t>ANREU Act</w:t>
      </w:r>
      <w:r w:rsidR="003C5487" w:rsidRPr="003C5487">
        <w:rPr>
          <w:rStyle w:val="Referencingstyle"/>
          <w:rFonts w:eastAsiaTheme="minorHAnsi"/>
        </w:rPr>
        <w:t>]</w:t>
      </w:r>
    </w:p>
    <w:p w:rsidR="003C5487" w:rsidRDefault="008035BE" w:rsidP="00600E55">
      <w:pPr>
        <w:pStyle w:val="Heading4"/>
      </w:pPr>
      <w:r w:rsidRPr="008035BE">
        <w:t xml:space="preserve">Treatment of units under the Petroleum Resource Rent Tax provisions </w:t>
      </w:r>
    </w:p>
    <w:p w:rsidR="008035BE" w:rsidRPr="00707536" w:rsidRDefault="00E03B25" w:rsidP="003D2BA7">
      <w:pPr>
        <w:pStyle w:val="base-text-paragraph"/>
        <w:numPr>
          <w:ilvl w:val="1"/>
          <w:numId w:val="22"/>
        </w:numPr>
        <w:rPr>
          <w:rStyle w:val="Referencingstyle"/>
          <w:b w:val="0"/>
          <w:i w:val="0"/>
          <w:sz w:val="22"/>
        </w:rPr>
      </w:pPr>
      <w:r>
        <w:t xml:space="preserve">The </w:t>
      </w:r>
      <w:r w:rsidRPr="00E86230">
        <w:rPr>
          <w:i/>
        </w:rPr>
        <w:t>Petroleum Resource Rent Tax Assessment Amendment Act 2012</w:t>
      </w:r>
      <w:r w:rsidRPr="008E0999">
        <w:t xml:space="preserve"> </w:t>
      </w:r>
      <w:r>
        <w:t xml:space="preserve">made amendments to the </w:t>
      </w:r>
      <w:r w:rsidRPr="00707536">
        <w:rPr>
          <w:i/>
        </w:rPr>
        <w:t>Petroleum Resource Rent Tax Assessment Act 1987</w:t>
      </w:r>
      <w:r>
        <w:t xml:space="preserve"> (PRRTA</w:t>
      </w:r>
      <w:r w:rsidR="00E125FA">
        <w:t xml:space="preserve"> </w:t>
      </w:r>
      <w:r>
        <w:t>A</w:t>
      </w:r>
      <w:r w:rsidR="00E125FA">
        <w:t>ct</w:t>
      </w:r>
      <w:r>
        <w:t>) to ensure</w:t>
      </w:r>
      <w:r w:rsidRPr="008035BE">
        <w:t xml:space="preserve"> that amounts received from the sale of free carbon units issued </w:t>
      </w:r>
      <w:r>
        <w:t xml:space="preserve">under </w:t>
      </w:r>
      <w:r w:rsidRPr="008035BE">
        <w:t xml:space="preserve">the </w:t>
      </w:r>
      <w:r>
        <w:t>JCP</w:t>
      </w:r>
      <w:r w:rsidRPr="008035BE">
        <w:t xml:space="preserve"> in relation to a petroleum project are included in assessable receipts of that project</w:t>
      </w:r>
      <w:r w:rsidR="00D5237C">
        <w:t xml:space="preserve">.  </w:t>
      </w:r>
      <w:r>
        <w:t>The carbon tax repeal terminates the</w:t>
      </w:r>
      <w:r w:rsidRPr="008035BE">
        <w:t xml:space="preserve"> </w:t>
      </w:r>
      <w:r>
        <w:t>JCP</w:t>
      </w:r>
      <w:r w:rsidRPr="008035BE">
        <w:t xml:space="preserve"> </w:t>
      </w:r>
      <w:r>
        <w:t>and as a result a consequential amendment is required to remove provisions relating to</w:t>
      </w:r>
      <w:r w:rsidRPr="008035BE">
        <w:t xml:space="preserve"> this program</w:t>
      </w:r>
      <w:r w:rsidR="00D5237C">
        <w:t xml:space="preserve">.  </w:t>
      </w:r>
      <w:r w:rsidR="008035BE" w:rsidRPr="00707536">
        <w:rPr>
          <w:rStyle w:val="Referencingstyle"/>
          <w:rFonts w:eastAsiaTheme="minorHAnsi"/>
        </w:rPr>
        <w:t xml:space="preserve">[Schedule 1, items 316 and 317, </w:t>
      </w:r>
      <w:r w:rsidR="00D56657">
        <w:rPr>
          <w:rStyle w:val="Referencingstyle"/>
          <w:rFonts w:eastAsiaTheme="minorHAnsi"/>
        </w:rPr>
        <w:t>section</w:t>
      </w:r>
      <w:r w:rsidR="008035BE" w:rsidRPr="00707536">
        <w:rPr>
          <w:rStyle w:val="Referencingstyle"/>
          <w:rFonts w:eastAsiaTheme="minorHAnsi"/>
        </w:rPr>
        <w:t xml:space="preserve"> 28(1)(b)(iii) and 28(1)(c), PRRTA</w:t>
      </w:r>
      <w:r w:rsidR="00341A39">
        <w:rPr>
          <w:rStyle w:val="Referencingstyle"/>
          <w:rFonts w:eastAsiaTheme="minorHAnsi"/>
        </w:rPr>
        <w:t xml:space="preserve"> </w:t>
      </w:r>
      <w:r w:rsidR="008035BE" w:rsidRPr="00707536">
        <w:rPr>
          <w:rStyle w:val="Referencingstyle"/>
          <w:rFonts w:eastAsiaTheme="minorHAnsi"/>
        </w:rPr>
        <w:t>A</w:t>
      </w:r>
      <w:r w:rsidR="00341A39">
        <w:rPr>
          <w:rStyle w:val="Referencingstyle"/>
          <w:rFonts w:eastAsiaTheme="minorHAnsi"/>
        </w:rPr>
        <w:t>ct</w:t>
      </w:r>
      <w:r w:rsidR="008035BE" w:rsidRPr="00707536">
        <w:rPr>
          <w:rStyle w:val="Referencingstyle"/>
          <w:rFonts w:eastAsiaTheme="minorHAnsi"/>
        </w:rPr>
        <w:t>]</w:t>
      </w:r>
      <w:r w:rsidR="007738CB" w:rsidRPr="00707536">
        <w:rPr>
          <w:rStyle w:val="Referencingstyle"/>
          <w:rFonts w:eastAsiaTheme="minorHAnsi"/>
        </w:rPr>
        <w:t xml:space="preserve"> </w:t>
      </w:r>
    </w:p>
    <w:p w:rsidR="009E5A36" w:rsidRDefault="009E5A36" w:rsidP="00600E55">
      <w:pPr>
        <w:pStyle w:val="Heading4"/>
      </w:pPr>
      <w:r w:rsidRPr="009E5A36">
        <w:t>Application and transitional provisions relating to redundant units</w:t>
      </w:r>
    </w:p>
    <w:p w:rsidR="008035BE" w:rsidRDefault="009E5A36" w:rsidP="003D2BA7">
      <w:pPr>
        <w:pStyle w:val="base-text-paragraph"/>
        <w:numPr>
          <w:ilvl w:val="1"/>
          <w:numId w:val="22"/>
        </w:numPr>
      </w:pPr>
      <w:r w:rsidRPr="009E5A36">
        <w:t>The amendments to the taxation provisions apply from the repeal of the carbon tax, effective on 1 July 2014</w:t>
      </w:r>
      <w:r w:rsidR="00D5237C">
        <w:t xml:space="preserve">.  </w:t>
      </w:r>
      <w:r w:rsidRPr="009E5A36">
        <w:t xml:space="preserve">However, transitional amendments ensure that units issued up to the designated carbon unit day, that day being 9 February 2015 or a later date if specified in a </w:t>
      </w:r>
      <w:r w:rsidR="00CC0736">
        <w:t xml:space="preserve">disallowable </w:t>
      </w:r>
      <w:r w:rsidRPr="009E5A36">
        <w:t>legislative instrument made by the Regulator, continue to receive the tax treatment that existed prior to 1 July 2014</w:t>
      </w:r>
      <w:r w:rsidR="00D5237C">
        <w:t xml:space="preserve">.  </w:t>
      </w:r>
      <w:r w:rsidRPr="009E5A36">
        <w:t xml:space="preserve">This ensures that where there is a requirement to issue carbon units to satisfy </w:t>
      </w:r>
      <w:r>
        <w:t xml:space="preserve">2013-14 </w:t>
      </w:r>
      <w:r w:rsidRPr="009E5A36">
        <w:t>carbon tax liabilities on or after 1 July 2014, these carbon units continue to remain subject to the discrete taxation provisions that apply to emission</w:t>
      </w:r>
      <w:r w:rsidR="00E620C8">
        <w:t>s</w:t>
      </w:r>
      <w:r w:rsidRPr="009E5A36">
        <w:t xml:space="preserve"> units</w:t>
      </w:r>
      <w:r w:rsidR="00D5237C">
        <w:t xml:space="preserve">.  </w:t>
      </w:r>
      <w:r w:rsidR="00CD2C9D" w:rsidRPr="008035BE">
        <w:t xml:space="preserve"> </w:t>
      </w:r>
      <w:r w:rsidRPr="009E5A36">
        <w:rPr>
          <w:rStyle w:val="Referencingstyle"/>
          <w:rFonts w:eastAsiaTheme="minorHAnsi"/>
        </w:rPr>
        <w:t>[Schedule 1, item</w:t>
      </w:r>
      <w:r w:rsidR="00707536">
        <w:rPr>
          <w:rStyle w:val="Referencingstyle"/>
          <w:rFonts w:eastAsiaTheme="minorHAnsi"/>
        </w:rPr>
        <w:t xml:space="preserve">s </w:t>
      </w:r>
      <w:r w:rsidR="00E125FA">
        <w:rPr>
          <w:rStyle w:val="Referencingstyle"/>
          <w:rFonts w:eastAsiaTheme="minorHAnsi"/>
        </w:rPr>
        <w:t xml:space="preserve">322, </w:t>
      </w:r>
      <w:r w:rsidR="00C5260F">
        <w:rPr>
          <w:rStyle w:val="Referencingstyle"/>
          <w:rFonts w:eastAsiaTheme="minorHAnsi"/>
        </w:rPr>
        <w:t xml:space="preserve">323, 330, </w:t>
      </w:r>
      <w:r w:rsidRPr="009E5A36">
        <w:rPr>
          <w:rStyle w:val="Referencingstyle"/>
          <w:rFonts w:eastAsiaTheme="minorHAnsi"/>
        </w:rPr>
        <w:t>336(2) and 339(1)]</w:t>
      </w:r>
    </w:p>
    <w:p w:rsidR="009E5A36" w:rsidRDefault="00A207EC" w:rsidP="003D2BA7">
      <w:pPr>
        <w:pStyle w:val="base-text-paragraph"/>
        <w:numPr>
          <w:ilvl w:val="1"/>
          <w:numId w:val="22"/>
        </w:numPr>
      </w:pPr>
      <w:r>
        <w:t>A</w:t>
      </w:r>
      <w:r w:rsidR="00E125FA">
        <w:t xml:space="preserve">s </w:t>
      </w:r>
      <w:r w:rsidR="00707536" w:rsidRPr="00707536">
        <w:t>no prescribed international units have been issued</w:t>
      </w:r>
      <w:r>
        <w:t>,</w:t>
      </w:r>
      <w:r w:rsidR="00D74C82">
        <w:t xml:space="preserve"> </w:t>
      </w:r>
      <w:r w:rsidR="00E620C8">
        <w:t>registered</w:t>
      </w:r>
      <w:r>
        <w:t xml:space="preserve"> or prescribed</w:t>
      </w:r>
      <w:r w:rsidR="00707536">
        <w:t xml:space="preserve"> </w:t>
      </w:r>
      <w:r w:rsidR="009E5A36" w:rsidRPr="009E5A36">
        <w:t xml:space="preserve">no transitional provisions are </w:t>
      </w:r>
      <w:r w:rsidR="009321C3">
        <w:t>needed</w:t>
      </w:r>
      <w:r w:rsidR="009E5A36" w:rsidRPr="009E5A36">
        <w:t xml:space="preserve"> in respect of these units in the income tax and GST provisions</w:t>
      </w:r>
      <w:r w:rsidR="009E5A36">
        <w:t>.</w:t>
      </w:r>
    </w:p>
    <w:p w:rsidR="00600E55" w:rsidRDefault="00600E55" w:rsidP="00600E55">
      <w:pPr>
        <w:pStyle w:val="Heading3"/>
      </w:pPr>
      <w:r w:rsidRPr="00600E55">
        <w:t xml:space="preserve">Taxation treatment of charges imposed under the Clean Energy </w:t>
      </w:r>
      <w:r w:rsidR="00E620C8">
        <w:t>Legislation</w:t>
      </w:r>
      <w:r w:rsidR="00E620C8" w:rsidRPr="00600E55">
        <w:t xml:space="preserve"> </w:t>
      </w:r>
    </w:p>
    <w:p w:rsidR="00600E55" w:rsidRDefault="00600E55" w:rsidP="00600E55">
      <w:pPr>
        <w:pStyle w:val="Heading4"/>
      </w:pPr>
      <w:r w:rsidRPr="00600E55">
        <w:t xml:space="preserve">Unit shortfall charge </w:t>
      </w:r>
    </w:p>
    <w:p w:rsidR="00600E55" w:rsidRDefault="00600E55" w:rsidP="003D2BA7">
      <w:pPr>
        <w:pStyle w:val="base-text-paragraph"/>
        <w:numPr>
          <w:ilvl w:val="1"/>
          <w:numId w:val="22"/>
        </w:numPr>
      </w:pPr>
      <w:r>
        <w:t>Under the current carbon tax arrangements, i</w:t>
      </w:r>
      <w:r w:rsidRPr="00600E55">
        <w:t>f liable entities do not surrender enough eligible emissions units to satisfy their liability, a unit shortfall charge is payable</w:t>
      </w:r>
      <w:r w:rsidR="00D5237C">
        <w:t xml:space="preserve">.  </w:t>
      </w:r>
      <w:r w:rsidRPr="00600E55">
        <w:t xml:space="preserve">To ensure </w:t>
      </w:r>
      <w:r>
        <w:t>non-compliant entities</w:t>
      </w:r>
      <w:r w:rsidRPr="00600E55">
        <w:t xml:space="preserve"> bear the full cost of this charge, </w:t>
      </w:r>
      <w:r>
        <w:t xml:space="preserve">provisions included in the </w:t>
      </w:r>
      <w:r w:rsidR="00E125FA">
        <w:t>ITAA 1997 prevent taxpayers</w:t>
      </w:r>
      <w:r w:rsidR="00E125FA" w:rsidRPr="00600E55">
        <w:t xml:space="preserve"> from claiming an income tax deduction in respect of this charge</w:t>
      </w:r>
      <w:r w:rsidR="00D5237C">
        <w:t xml:space="preserve">.  </w:t>
      </w:r>
      <w:r w:rsidR="00E125FA">
        <w:t>Provisions are also included in the PRRTA</w:t>
      </w:r>
      <w:r w:rsidR="00A207EC">
        <w:t xml:space="preserve"> </w:t>
      </w:r>
      <w:r w:rsidR="00E125FA">
        <w:t>A</w:t>
      </w:r>
      <w:r w:rsidR="00A207EC">
        <w:t>ct</w:t>
      </w:r>
      <w:r w:rsidR="00E125FA">
        <w:t xml:space="preserve"> to ensure this charge is not recognised as </w:t>
      </w:r>
      <w:r w:rsidR="00E125FA" w:rsidRPr="00600E55">
        <w:t xml:space="preserve">expenditure </w:t>
      </w:r>
      <w:r w:rsidR="00E125FA">
        <w:t>(that is, it is excluded expenditure)</w:t>
      </w:r>
      <w:r w:rsidRPr="00600E55">
        <w:t>.</w:t>
      </w:r>
    </w:p>
    <w:p w:rsidR="00600E55" w:rsidRPr="007738CB" w:rsidRDefault="00E125FA" w:rsidP="003D2BA7">
      <w:pPr>
        <w:pStyle w:val="base-text-paragraph"/>
        <w:numPr>
          <w:ilvl w:val="1"/>
          <w:numId w:val="22"/>
        </w:numPr>
        <w:rPr>
          <w:rStyle w:val="Referencingstyle"/>
          <w:b w:val="0"/>
          <w:i w:val="0"/>
          <w:sz w:val="22"/>
        </w:rPr>
      </w:pPr>
      <w:r>
        <w:t xml:space="preserve">The Main Repeal Bill removes redundant provisions relating to the unit shortfall charge with 2013-14 being </w:t>
      </w:r>
      <w:r w:rsidRPr="00600E55">
        <w:t xml:space="preserve">the last year </w:t>
      </w:r>
      <w:r>
        <w:t xml:space="preserve">in </w:t>
      </w:r>
      <w:r w:rsidRPr="00600E55">
        <w:t>which the unit shortfall charge can</w:t>
      </w:r>
      <w:r>
        <w:t xml:space="preserve"> be applied</w:t>
      </w:r>
      <w:r w:rsidR="00D5237C">
        <w:t xml:space="preserve">.  </w:t>
      </w:r>
      <w:r>
        <w:t xml:space="preserve">Therefore, as the charge can be last applied in respect to the 2013-14 year, this Bill removes these redundant provisions in the ITAA 1997 and the </w:t>
      </w:r>
      <w:r w:rsidR="00E311A6">
        <w:t>PRRTA Act</w:t>
      </w:r>
      <w:r w:rsidR="00D5237C">
        <w:t xml:space="preserve">.  </w:t>
      </w:r>
      <w:r>
        <w:t xml:space="preserve">Transitional provisions ensure </w:t>
      </w:r>
      <w:r w:rsidRPr="003125FD">
        <w:t>these</w:t>
      </w:r>
      <w:r>
        <w:t xml:space="preserve"> provisions continue to operate in respect to the periods </w:t>
      </w:r>
      <w:r w:rsidRPr="003125FD">
        <w:t>for which</w:t>
      </w:r>
      <w:r>
        <w:t xml:space="preserve"> the </w:t>
      </w:r>
      <w:r w:rsidRPr="003125FD">
        <w:t>charge</w:t>
      </w:r>
      <w:r>
        <w:t xml:space="preserve"> can be applied</w:t>
      </w:r>
      <w:r w:rsidR="00D5237C">
        <w:t xml:space="preserve">.  </w:t>
      </w:r>
      <w:r w:rsidR="00C5260F" w:rsidRPr="007738CB">
        <w:rPr>
          <w:rStyle w:val="Referencingstyle"/>
          <w:rFonts w:eastAsiaTheme="minorHAnsi"/>
        </w:rPr>
        <w:t xml:space="preserve">[Schedule 1, item 156, </w:t>
      </w:r>
      <w:r w:rsidR="00C5260F" w:rsidRPr="007738CB">
        <w:rPr>
          <w:rStyle w:val="Referencingstyle"/>
          <w:rFonts w:eastAsia="Calibri"/>
        </w:rPr>
        <w:t>section 12-5, ITAA 1997</w:t>
      </w:r>
      <w:r w:rsidR="00C5260F" w:rsidRPr="007738CB">
        <w:rPr>
          <w:rStyle w:val="Referencingstyle"/>
          <w:rFonts w:eastAsiaTheme="minorHAnsi"/>
        </w:rPr>
        <w:t>] [Schedule 1, item</w:t>
      </w:r>
      <w:r w:rsidR="001C41E1">
        <w:rPr>
          <w:rStyle w:val="Referencingstyle"/>
          <w:rFonts w:eastAsiaTheme="minorHAnsi"/>
        </w:rPr>
        <w:t xml:space="preserve"> 157, section 26-18</w:t>
      </w:r>
      <w:r w:rsidR="00D5237C">
        <w:rPr>
          <w:rStyle w:val="Referencingstyle"/>
          <w:rFonts w:eastAsiaTheme="minorHAnsi"/>
        </w:rPr>
        <w:t xml:space="preserve">, </w:t>
      </w:r>
      <w:r w:rsidR="001C41E1">
        <w:rPr>
          <w:rStyle w:val="Referencingstyle"/>
          <w:rFonts w:eastAsiaTheme="minorHAnsi"/>
        </w:rPr>
        <w:t>ITAA 1997</w:t>
      </w:r>
      <w:r w:rsidR="00C5260F" w:rsidRPr="007738CB">
        <w:rPr>
          <w:rStyle w:val="Referencingstyle"/>
          <w:rFonts w:eastAsiaTheme="minorHAnsi"/>
        </w:rPr>
        <w:t>] [</w:t>
      </w:r>
      <w:r w:rsidR="00C5260F">
        <w:rPr>
          <w:rStyle w:val="Referencingstyle"/>
          <w:rFonts w:eastAsiaTheme="minorHAnsi"/>
        </w:rPr>
        <w:t>S</w:t>
      </w:r>
      <w:r w:rsidR="00C5260F" w:rsidRPr="007738CB">
        <w:rPr>
          <w:rStyle w:val="Referencingstyle"/>
          <w:rFonts w:eastAsiaTheme="minorHAnsi"/>
        </w:rPr>
        <w:t xml:space="preserve">chedule 1, item 318, </w:t>
      </w:r>
      <w:r w:rsidR="00C5260F">
        <w:rPr>
          <w:rStyle w:val="Referencingstyle"/>
          <w:rFonts w:eastAsiaTheme="minorHAnsi"/>
        </w:rPr>
        <w:t>section</w:t>
      </w:r>
      <w:r w:rsidR="004B04A0">
        <w:rPr>
          <w:rStyle w:val="Referencingstyle"/>
          <w:rFonts w:eastAsiaTheme="minorHAnsi"/>
        </w:rPr>
        <w:t> </w:t>
      </w:r>
      <w:r w:rsidR="00C5260F" w:rsidRPr="007738CB">
        <w:rPr>
          <w:rStyle w:val="Referencingstyle"/>
          <w:rFonts w:eastAsiaTheme="minorHAnsi"/>
        </w:rPr>
        <w:t>44(1)(ia), PRRTA Act] [</w:t>
      </w:r>
      <w:r w:rsidR="00C5260F">
        <w:rPr>
          <w:rStyle w:val="Referencingstyle"/>
          <w:rFonts w:eastAsia="Calibri"/>
        </w:rPr>
        <w:t>S</w:t>
      </w:r>
      <w:r w:rsidR="00C5260F" w:rsidRPr="007738CB">
        <w:rPr>
          <w:rStyle w:val="Referencingstyle"/>
          <w:rFonts w:eastAsia="Calibri"/>
        </w:rPr>
        <w:t>chedule 1,</w:t>
      </w:r>
      <w:r w:rsidR="00C5260F" w:rsidRPr="007738CB">
        <w:rPr>
          <w:rStyle w:val="Referencingstyle"/>
          <w:rFonts w:eastAsiaTheme="minorHAnsi"/>
        </w:rPr>
        <w:t xml:space="preserve"> item 336(1)] [</w:t>
      </w:r>
      <w:r w:rsidR="00C5260F">
        <w:rPr>
          <w:rStyle w:val="Referencingstyle"/>
          <w:rFonts w:eastAsia="Calibri"/>
        </w:rPr>
        <w:t>S</w:t>
      </w:r>
      <w:r w:rsidR="00C5260F" w:rsidRPr="007738CB">
        <w:rPr>
          <w:rStyle w:val="Referencingstyle"/>
          <w:rFonts w:eastAsia="Calibri"/>
        </w:rPr>
        <w:t xml:space="preserve">chedule 1, item </w:t>
      </w:r>
      <w:r w:rsidR="00C5260F" w:rsidRPr="007738CB">
        <w:rPr>
          <w:rStyle w:val="Referencingstyle"/>
          <w:rFonts w:eastAsiaTheme="minorHAnsi"/>
        </w:rPr>
        <w:t>339(2)]</w:t>
      </w:r>
    </w:p>
    <w:p w:rsidR="00353A8B" w:rsidRDefault="00353A8B" w:rsidP="00353A8B">
      <w:pPr>
        <w:pStyle w:val="Heading4"/>
      </w:pPr>
      <w:r w:rsidRPr="00353A8B">
        <w:t>International Unit Surrender Charge</w:t>
      </w:r>
    </w:p>
    <w:p w:rsidR="00834309" w:rsidRPr="00353A8B" w:rsidRDefault="006A0613" w:rsidP="003D2BA7">
      <w:pPr>
        <w:pStyle w:val="base-text-paragraph"/>
        <w:numPr>
          <w:ilvl w:val="1"/>
          <w:numId w:val="22"/>
        </w:numPr>
        <w:rPr>
          <w:rStyle w:val="Referencingstyle"/>
          <w:b w:val="0"/>
          <w:i w:val="0"/>
          <w:sz w:val="22"/>
        </w:rPr>
      </w:pPr>
      <w:r w:rsidRPr="00353A8B">
        <w:t>Section 420-43 of the ITAA 1997</w:t>
      </w:r>
      <w:r>
        <w:t xml:space="preserve"> </w:t>
      </w:r>
      <w:r w:rsidR="00E125FA">
        <w:t xml:space="preserve">provides </w:t>
      </w:r>
      <w:r>
        <w:t xml:space="preserve">that </w:t>
      </w:r>
      <w:r w:rsidR="00353A8B" w:rsidRPr="00353A8B">
        <w:t xml:space="preserve">a taxpayer can deduct an amount of charge imposed by the </w:t>
      </w:r>
      <w:r w:rsidR="00353A8B" w:rsidRPr="00353A8B">
        <w:rPr>
          <w:i/>
        </w:rPr>
        <w:t>Clean Energy (International Unit Surrender Charge) Act 2011</w:t>
      </w:r>
      <w:r w:rsidR="00353A8B" w:rsidRPr="00353A8B">
        <w:t xml:space="preserve"> on the surrender of an eligible inte</w:t>
      </w:r>
      <w:r>
        <w:t>rnational emissions unit</w:t>
      </w:r>
      <w:r w:rsidR="00D5237C">
        <w:t xml:space="preserve">.  </w:t>
      </w:r>
      <w:r w:rsidR="00353A8B" w:rsidRPr="00353A8B">
        <w:t xml:space="preserve">As this charge was repealed by the </w:t>
      </w:r>
      <w:r w:rsidR="004B04A0">
        <w:rPr>
          <w:i/>
        </w:rPr>
        <w:t>Clean </w:t>
      </w:r>
      <w:r w:rsidR="00353A8B" w:rsidRPr="00353A8B">
        <w:rPr>
          <w:i/>
        </w:rPr>
        <w:t>Energy (International Emissions Trading and Other Measures) Act 2012</w:t>
      </w:r>
      <w:r w:rsidR="00353A8B" w:rsidRPr="00353A8B">
        <w:t>, this provision is redundant and as such is removed from the ITAA 1997</w:t>
      </w:r>
      <w:r w:rsidR="00D5237C">
        <w:t xml:space="preserve">.  </w:t>
      </w:r>
      <w:r w:rsidR="00353A8B" w:rsidRPr="00353A8B">
        <w:rPr>
          <w:rStyle w:val="Referencingstyle"/>
          <w:rFonts w:eastAsiaTheme="minorHAnsi"/>
        </w:rPr>
        <w:t>[Schedule 1, item 179, section 420</w:t>
      </w:r>
      <w:r w:rsidR="00353A8B" w:rsidRPr="00353A8B">
        <w:rPr>
          <w:rStyle w:val="Referencingstyle"/>
          <w:rFonts w:eastAsiaTheme="minorHAnsi"/>
        </w:rPr>
        <w:noBreakHyphen/>
        <w:t>43, ITAA 1997]</w:t>
      </w:r>
    </w:p>
    <w:p w:rsidR="00353A8B" w:rsidRDefault="00E620C8" w:rsidP="00353A8B">
      <w:pPr>
        <w:pStyle w:val="Heading3"/>
      </w:pPr>
      <w:r>
        <w:t>Provision</w:t>
      </w:r>
      <w:r w:rsidRPr="00353A8B">
        <w:t xml:space="preserve"> </w:t>
      </w:r>
      <w:r w:rsidR="00353A8B" w:rsidRPr="00353A8B">
        <w:t xml:space="preserve">of information </w:t>
      </w:r>
      <w:r>
        <w:t>by</w:t>
      </w:r>
      <w:r w:rsidRPr="00353A8B">
        <w:t xml:space="preserve"> </w:t>
      </w:r>
      <w:r w:rsidR="00353A8B" w:rsidRPr="00353A8B">
        <w:t>the</w:t>
      </w:r>
      <w:r w:rsidR="00E125FA">
        <w:t xml:space="preserve"> Tax</w:t>
      </w:r>
      <w:r w:rsidR="00353A8B" w:rsidRPr="00353A8B">
        <w:t xml:space="preserve"> Commissioner </w:t>
      </w:r>
      <w:r>
        <w:t>to the</w:t>
      </w:r>
      <w:r w:rsidRPr="00353A8B">
        <w:t xml:space="preserve"> </w:t>
      </w:r>
      <w:r w:rsidR="00353A8B" w:rsidRPr="00353A8B">
        <w:t>Regulator</w:t>
      </w:r>
    </w:p>
    <w:p w:rsidR="00353A8B" w:rsidRDefault="00150422" w:rsidP="003D2BA7">
      <w:pPr>
        <w:pStyle w:val="base-text-paragraph"/>
        <w:numPr>
          <w:ilvl w:val="1"/>
          <w:numId w:val="22"/>
        </w:numPr>
      </w:pPr>
      <w:r>
        <w:t xml:space="preserve">Table 6, </w:t>
      </w:r>
      <w:r w:rsidR="003B6468" w:rsidRPr="003B6468">
        <w:t>section</w:t>
      </w:r>
      <w:r>
        <w:t xml:space="preserve"> 355</w:t>
      </w:r>
      <w:r>
        <w:noBreakHyphen/>
        <w:t>65(7) of Schedule 1</w:t>
      </w:r>
      <w:r w:rsidR="00A207EC">
        <w:t xml:space="preserve"> </w:t>
      </w:r>
      <w:r w:rsidR="00E620C8">
        <w:t>to</w:t>
      </w:r>
      <w:r>
        <w:t xml:space="preserve"> the</w:t>
      </w:r>
      <w:r w:rsidR="009F0FC1">
        <w:t xml:space="preserve"> </w:t>
      </w:r>
      <w:r w:rsidR="009F0FC1" w:rsidRPr="00452933">
        <w:rPr>
          <w:i/>
        </w:rPr>
        <w:t>Taxation Administration Act 1953</w:t>
      </w:r>
      <w:r w:rsidR="009F0FC1">
        <w:t xml:space="preserve"> </w:t>
      </w:r>
      <w:r w:rsidR="009321C3">
        <w:t>allows</w:t>
      </w:r>
      <w:r w:rsidR="009F0FC1">
        <w:t xml:space="preserve"> the Tax Commissioner to </w:t>
      </w:r>
      <w:r w:rsidR="00E620C8">
        <w:t xml:space="preserve">provide </w:t>
      </w:r>
      <w:r w:rsidR="009F0FC1">
        <w:t xml:space="preserve">information </w:t>
      </w:r>
      <w:r w:rsidR="00E620C8">
        <w:t xml:space="preserve">to </w:t>
      </w:r>
      <w:r w:rsidR="009F0FC1">
        <w:t xml:space="preserve">the Regulator in respect of the carbon pricing mechanism and </w:t>
      </w:r>
      <w:r w:rsidR="009F0FC1" w:rsidRPr="00ED09A6">
        <w:t xml:space="preserve">the equivalent </w:t>
      </w:r>
      <w:r w:rsidR="009F0FC1" w:rsidRPr="007B540A">
        <w:t>carbon pric</w:t>
      </w:r>
      <w:r w:rsidR="009F0FC1">
        <w:t xml:space="preserve">e </w:t>
      </w:r>
      <w:r w:rsidR="009F0FC1" w:rsidRPr="00ED09A6">
        <w:t xml:space="preserve">on </w:t>
      </w:r>
      <w:r w:rsidR="009F0FC1">
        <w:t>taxable</w:t>
      </w:r>
      <w:r w:rsidR="009F0FC1" w:rsidRPr="00ED09A6">
        <w:t xml:space="preserve"> fuels</w:t>
      </w:r>
      <w:r w:rsidR="009F0FC1">
        <w:t>.</w:t>
      </w:r>
    </w:p>
    <w:p w:rsidR="009F0FC1" w:rsidRDefault="009F0FC1" w:rsidP="003D2BA7">
      <w:pPr>
        <w:pStyle w:val="base-text-paragraph"/>
        <w:numPr>
          <w:ilvl w:val="1"/>
          <w:numId w:val="22"/>
        </w:numPr>
      </w:pPr>
      <w:r w:rsidRPr="009F0FC1">
        <w:t xml:space="preserve">As both of these mechanisms are repealed with effect from </w:t>
      </w:r>
      <w:r>
        <w:t>1 </w:t>
      </w:r>
      <w:r w:rsidRPr="009F0FC1">
        <w:t>July</w:t>
      </w:r>
      <w:r>
        <w:t> </w:t>
      </w:r>
      <w:r w:rsidRPr="009F0FC1">
        <w:t>2014, the information sharing provisions are also repealed with effect from this date</w:t>
      </w:r>
      <w:r w:rsidR="00D5237C">
        <w:t xml:space="preserve">.  </w:t>
      </w:r>
      <w:r w:rsidRPr="009F0FC1">
        <w:t xml:space="preserve">However, the repeal of these provisions does not affect the ability of the </w:t>
      </w:r>
      <w:r>
        <w:t xml:space="preserve">Tax </w:t>
      </w:r>
      <w:r w:rsidRPr="009F0FC1">
        <w:t xml:space="preserve">Commissioner to continue to </w:t>
      </w:r>
      <w:r w:rsidR="00E620C8">
        <w:t>provide</w:t>
      </w:r>
      <w:r w:rsidR="00E620C8" w:rsidRPr="009F0FC1">
        <w:t xml:space="preserve"> </w:t>
      </w:r>
      <w:r w:rsidRPr="009F0FC1">
        <w:t xml:space="preserve">appropriate information </w:t>
      </w:r>
      <w:r w:rsidR="00E620C8">
        <w:t>to</w:t>
      </w:r>
      <w:r w:rsidR="00E620C8" w:rsidRPr="009F0FC1">
        <w:t xml:space="preserve"> </w:t>
      </w:r>
      <w:r w:rsidRPr="009F0FC1">
        <w:t>the Regulator in respect to relevant transactions relating to the operation of the carbon pricing mechanism and equivalent carbon price</w:t>
      </w:r>
      <w:r w:rsidR="00D5237C">
        <w:t xml:space="preserve">.  </w:t>
      </w:r>
      <w:r w:rsidRPr="009F0FC1">
        <w:t xml:space="preserve">For example, the </w:t>
      </w:r>
      <w:r>
        <w:t xml:space="preserve">Tax </w:t>
      </w:r>
      <w:r w:rsidRPr="009F0FC1">
        <w:t xml:space="preserve">Commissioner may seek verification from the Regulator that a taxpayer was covered by the </w:t>
      </w:r>
      <w:r w:rsidR="00E620C8">
        <w:t>O</w:t>
      </w:r>
      <w:r w:rsidRPr="009F0FC1">
        <w:t>pt</w:t>
      </w:r>
      <w:r w:rsidRPr="009F0FC1">
        <w:noBreakHyphen/>
        <w:t xml:space="preserve">in scheme for liquid petroleum fuels when they lodge their claim for fuel tax credits in the second half of 2014 </w:t>
      </w:r>
      <w:r w:rsidR="00E125FA" w:rsidRPr="00B132DC">
        <w:t>in respect of fuel acquired e</w:t>
      </w:r>
      <w:r w:rsidR="00E125FA">
        <w:t>arlier that was covered by the O</w:t>
      </w:r>
      <w:r w:rsidR="00E125FA" w:rsidRPr="00B132DC">
        <w:t>pt</w:t>
      </w:r>
      <w:r w:rsidR="00E125FA">
        <w:noBreakHyphen/>
      </w:r>
      <w:r w:rsidR="00E125FA" w:rsidRPr="00B132DC">
        <w:t>in scheme</w:t>
      </w:r>
      <w:r w:rsidR="00D5237C">
        <w:t xml:space="preserve">.  </w:t>
      </w:r>
      <w:r w:rsidRPr="009F0FC1">
        <w:rPr>
          <w:rStyle w:val="Referencingstyle"/>
          <w:rFonts w:eastAsiaTheme="minorHAnsi"/>
        </w:rPr>
        <w:t>[Schedule 1, item</w:t>
      </w:r>
      <w:r w:rsidR="00341A39">
        <w:rPr>
          <w:rStyle w:val="Referencingstyle"/>
          <w:rFonts w:eastAsiaTheme="minorHAnsi"/>
        </w:rPr>
        <w:t>s</w:t>
      </w:r>
      <w:r w:rsidRPr="009F0FC1">
        <w:rPr>
          <w:rStyle w:val="Referencingstyle"/>
          <w:rFonts w:eastAsiaTheme="minorHAnsi"/>
        </w:rPr>
        <w:t xml:space="preserve"> </w:t>
      </w:r>
      <w:r w:rsidR="0032750E">
        <w:rPr>
          <w:rStyle w:val="Referencingstyle"/>
          <w:rFonts w:eastAsiaTheme="minorHAnsi"/>
        </w:rPr>
        <w:t>319 and 340</w:t>
      </w:r>
      <w:r w:rsidRPr="009F0FC1">
        <w:rPr>
          <w:rStyle w:val="Referencingstyle"/>
          <w:rFonts w:eastAsiaTheme="minorHAnsi"/>
        </w:rPr>
        <w:t xml:space="preserve">, </w:t>
      </w:r>
      <w:r w:rsidR="004B04A0">
        <w:rPr>
          <w:b/>
          <w:i/>
          <w:sz w:val="18"/>
        </w:rPr>
        <w:t>section 355</w:t>
      </w:r>
      <w:r w:rsidR="004B04A0">
        <w:rPr>
          <w:b/>
          <w:i/>
          <w:sz w:val="18"/>
        </w:rPr>
        <w:noBreakHyphen/>
        <w:t>65(7) (table item </w:t>
      </w:r>
      <w:r w:rsidR="0032750E">
        <w:rPr>
          <w:b/>
          <w:i/>
          <w:sz w:val="18"/>
        </w:rPr>
        <w:t>3), TAA 1953</w:t>
      </w:r>
      <w:r w:rsidRPr="009F0FC1">
        <w:rPr>
          <w:rStyle w:val="Referencingstyle"/>
          <w:rFonts w:eastAsiaTheme="minorHAnsi"/>
        </w:rPr>
        <w:t>]</w:t>
      </w:r>
      <w:r w:rsidR="0072130E" w:rsidRPr="0072130E">
        <w:rPr>
          <w:rStyle w:val="Referencingstyle"/>
          <w:rFonts w:eastAsia="Calibri"/>
        </w:rPr>
        <w:t xml:space="preserve"> </w:t>
      </w:r>
    </w:p>
    <w:p w:rsidR="00196E2B" w:rsidRDefault="0032750E" w:rsidP="00196E2B">
      <w:pPr>
        <w:pStyle w:val="base-text-paragraph"/>
        <w:numPr>
          <w:ilvl w:val="1"/>
          <w:numId w:val="22"/>
        </w:numPr>
      </w:pPr>
      <w:r>
        <w:t xml:space="preserve">These amendments provide that provisions </w:t>
      </w:r>
      <w:r w:rsidR="009F0FC1" w:rsidRPr="009F0FC1">
        <w:t>relating to the true</w:t>
      </w:r>
      <w:r w:rsidR="00802B7E">
        <w:noBreakHyphen/>
      </w:r>
      <w:r w:rsidR="009F0FC1" w:rsidRPr="009F0FC1">
        <w:t xml:space="preserve">up shortfall levy are associated provisions for the purposes of the </w:t>
      </w:r>
      <w:r w:rsidR="003151F1">
        <w:t>CE Act</w:t>
      </w:r>
      <w:r w:rsidR="00D5237C">
        <w:t xml:space="preserve">.  </w:t>
      </w:r>
      <w:r w:rsidR="009F0FC1" w:rsidRPr="009F0FC1">
        <w:t xml:space="preserve">As the existing disclosure of taxpayer information provisions allows the </w:t>
      </w:r>
      <w:r w:rsidR="009F0FC1">
        <w:t xml:space="preserve">Tax </w:t>
      </w:r>
      <w:r w:rsidR="009F0FC1" w:rsidRPr="009F0FC1">
        <w:t>Commissioner to disclose information to the Regulator for the purposes of the associated provisions of that Act, this has the effect that the</w:t>
      </w:r>
      <w:r w:rsidR="009F0FC1">
        <w:t xml:space="preserve"> Tax</w:t>
      </w:r>
      <w:r w:rsidR="009F0FC1" w:rsidRPr="009F0FC1">
        <w:t xml:space="preserve"> Commissioner can also disclose information to the Regulator for the purposes of the true-up shortfall levy</w:t>
      </w:r>
      <w:r w:rsidR="00D5237C">
        <w:t xml:space="preserve">.  </w:t>
      </w:r>
      <w:r w:rsidRPr="0032750E">
        <w:rPr>
          <w:rStyle w:val="Referencingstyle"/>
        </w:rPr>
        <w:t>[Schedule 1, items 340 and 358A]</w:t>
      </w:r>
      <w:r>
        <w:t xml:space="preserve"> </w:t>
      </w:r>
    </w:p>
    <w:p w:rsidR="00196E2B" w:rsidRDefault="00196E2B" w:rsidP="00196E2B">
      <w:pPr>
        <w:pStyle w:val="base-text-paragraph"/>
        <w:numPr>
          <w:ilvl w:val="0"/>
          <w:numId w:val="0"/>
        </w:numPr>
      </w:pPr>
    </w:p>
    <w:p w:rsidR="00196E2B" w:rsidRDefault="00196E2B" w:rsidP="00196E2B">
      <w:pPr>
        <w:pStyle w:val="base-text-paragraph"/>
        <w:numPr>
          <w:ilvl w:val="0"/>
          <w:numId w:val="0"/>
        </w:numPr>
        <w:rPr>
          <w:rStyle w:val="Font30point"/>
        </w:rPr>
        <w:sectPr w:rsidR="00196E2B" w:rsidSect="00196E2B">
          <w:headerReference w:type="default" r:id="rId31"/>
          <w:type w:val="oddPage"/>
          <w:pgSz w:w="11906" w:h="16838" w:code="9"/>
          <w:pgMar w:top="2466" w:right="2098" w:bottom="2466" w:left="2098" w:header="1559" w:footer="1899" w:gutter="0"/>
          <w:cols w:space="708"/>
          <w:titlePg/>
          <w:docGrid w:linePitch="360"/>
        </w:sectPr>
      </w:pPr>
    </w:p>
    <w:p w:rsidR="007343E0" w:rsidRDefault="007343E0" w:rsidP="003D2BA7">
      <w:pPr>
        <w:pStyle w:val="ChapterHeading"/>
        <w:numPr>
          <w:ilvl w:val="0"/>
          <w:numId w:val="22"/>
        </w:numPr>
      </w:pPr>
      <w:bookmarkStart w:id="7" w:name="_Toc393138977"/>
      <w:r w:rsidRPr="008A062B">
        <w:rPr>
          <w:rStyle w:val="Font30point"/>
        </w:rPr>
        <w:t>C</w:t>
      </w:r>
      <w:r w:rsidRPr="008A062B">
        <w:rPr>
          <w:rStyle w:val="Font15point"/>
        </w:rPr>
        <w:t xml:space="preserve">hapter </w:t>
      </w:r>
      <w:r>
        <w:rPr>
          <w:rStyle w:val="Font19point"/>
        </w:rPr>
        <w:t>4</w:t>
      </w:r>
      <w:r>
        <w:tab/>
      </w:r>
      <w:r>
        <w:br/>
      </w:r>
      <w:r w:rsidR="00DA0562">
        <w:t xml:space="preserve">Amendments to the </w:t>
      </w:r>
      <w:r w:rsidR="00DA0562" w:rsidRPr="000F0298">
        <w:t xml:space="preserve">Competition </w:t>
      </w:r>
      <w:r w:rsidR="007A2A3F" w:rsidRPr="000F0298">
        <w:t>and</w:t>
      </w:r>
      <w:r w:rsidR="00DA0562" w:rsidRPr="000F0298">
        <w:t xml:space="preserve"> Consumer Act 2010</w:t>
      </w:r>
      <w:r w:rsidR="004E558C">
        <w:t xml:space="preserve"> </w:t>
      </w:r>
      <w:r w:rsidR="004E558C" w:rsidRPr="004E558C">
        <w:t>– ensuring cost savings are passed on to customers</w:t>
      </w:r>
      <w:bookmarkEnd w:id="7"/>
    </w:p>
    <w:p w:rsidR="007343E0" w:rsidRDefault="007343E0" w:rsidP="007343E0">
      <w:pPr>
        <w:pStyle w:val="Heading2"/>
      </w:pPr>
      <w:r>
        <w:t>Outline of chapter</w:t>
      </w:r>
    </w:p>
    <w:p w:rsidR="004E558C" w:rsidRDefault="004E558C" w:rsidP="003D2BA7">
      <w:pPr>
        <w:pStyle w:val="base-text-paragraph"/>
        <w:numPr>
          <w:ilvl w:val="1"/>
          <w:numId w:val="22"/>
        </w:numPr>
      </w:pPr>
      <w:r w:rsidRPr="004E558C">
        <w:t>Schedule 2 to the Main Repeal Bill amends the CC Act to prohibit carbon tax-related price exploitation, to ensure that all cost savings attributable to the carbon tax repeal are passed through the supply chain for regulated goods, and to ensure that lower prices resulting from the repeal of the carbon tax are passed on to consumers of regulated goods</w:t>
      </w:r>
      <w:r>
        <w:t>.</w:t>
      </w:r>
    </w:p>
    <w:p w:rsidR="004E558C" w:rsidRPr="004E558C" w:rsidRDefault="004E558C" w:rsidP="004E558C">
      <w:pPr>
        <w:pStyle w:val="base-text-paragraph"/>
        <w:numPr>
          <w:ilvl w:val="1"/>
          <w:numId w:val="22"/>
        </w:numPr>
      </w:pPr>
      <w:r w:rsidRPr="004E558C">
        <w:t>Schedule 2 to the Main Repeal Bill also amends the CC Act to:</w:t>
      </w:r>
    </w:p>
    <w:p w:rsidR="004E558C" w:rsidRPr="004E558C" w:rsidRDefault="004E558C" w:rsidP="004E558C">
      <w:pPr>
        <w:pStyle w:val="dotpoint"/>
      </w:pPr>
      <w:r w:rsidRPr="004E558C">
        <w:t>prohibit false or misleading representations about the effect of the carbon tax repeal;</w:t>
      </w:r>
    </w:p>
    <w:p w:rsidR="004E558C" w:rsidRPr="004E558C" w:rsidRDefault="004E558C" w:rsidP="004E558C">
      <w:pPr>
        <w:pStyle w:val="dotpoint"/>
      </w:pPr>
      <w:r w:rsidRPr="004E558C">
        <w:t>require the ACCC to provide  retailers of electricity and natural gas, and entities that are importers of bulk synthetic greenhouse with a carbon tax removal substantiation notice;</w:t>
      </w:r>
    </w:p>
    <w:p w:rsidR="004E558C" w:rsidRPr="004E558C" w:rsidRDefault="004E558C" w:rsidP="004E558C">
      <w:pPr>
        <w:pStyle w:val="dotpoint"/>
      </w:pPr>
      <w:r w:rsidRPr="004E558C">
        <w:t>require retailers of electricity and natural gas, and entities that are importers of bulk synthetic greenhouse gases, to provide the ACCC with a carbon tax removal substantiation statement;</w:t>
      </w:r>
    </w:p>
    <w:p w:rsidR="004E558C" w:rsidRPr="004E558C" w:rsidRDefault="004E558C" w:rsidP="004E558C">
      <w:pPr>
        <w:pStyle w:val="dotpoint"/>
      </w:pPr>
      <w:r w:rsidRPr="004E558C">
        <w:t>require entities that are retailers of electricity and natural gas to provide their customers with a statement that explains how carbon tax removal savings will be passed on to them;</w:t>
      </w:r>
    </w:p>
    <w:p w:rsidR="004E558C" w:rsidRPr="004E558C" w:rsidRDefault="004E558C" w:rsidP="004E558C">
      <w:pPr>
        <w:pStyle w:val="dotpoint"/>
      </w:pPr>
      <w:r w:rsidRPr="004E558C">
        <w:t>provide the ACCC with additional price monitoring powers in relation to the carbon tax repeal;</w:t>
      </w:r>
    </w:p>
    <w:p w:rsidR="007343E0" w:rsidRDefault="004E558C" w:rsidP="004E558C">
      <w:pPr>
        <w:pStyle w:val="dotpoint"/>
      </w:pPr>
      <w:r w:rsidRPr="004E558C">
        <w:t>provide for stiff penalties to entities that fail to comply with these provisions</w:t>
      </w:r>
      <w:r w:rsidR="00696F12" w:rsidRPr="004E558C">
        <w:t>.</w:t>
      </w:r>
    </w:p>
    <w:p w:rsidR="007343E0" w:rsidRDefault="007343E0" w:rsidP="007343E0">
      <w:pPr>
        <w:pStyle w:val="Heading2"/>
      </w:pPr>
      <w:r>
        <w:t>Context of amendments</w:t>
      </w:r>
    </w:p>
    <w:p w:rsidR="00AE5BE7" w:rsidRDefault="00AE5BE7" w:rsidP="00AE5BE7">
      <w:pPr>
        <w:pStyle w:val="Heading3"/>
      </w:pPr>
      <w:r>
        <w:t>Overview</w:t>
      </w:r>
    </w:p>
    <w:p w:rsidR="00436C76" w:rsidRDefault="00436C76" w:rsidP="00436C76">
      <w:pPr>
        <w:pStyle w:val="base-text-paragraph"/>
        <w:numPr>
          <w:ilvl w:val="1"/>
          <w:numId w:val="22"/>
        </w:numPr>
      </w:pPr>
      <w:r>
        <w:t>The removal of the carbon tax is expected to lower input costs for some businesses.  In some markets this will flow on in the form of lower consumer prices.  However, in selected markets, especially where competition is limited, businesses may think that it is open to them not to pass through savings from the carbon tax repeal.</w:t>
      </w:r>
    </w:p>
    <w:p w:rsidR="00436C76" w:rsidRDefault="00436C76" w:rsidP="00436C76">
      <w:pPr>
        <w:pStyle w:val="base-text-paragraph"/>
        <w:numPr>
          <w:ilvl w:val="1"/>
          <w:numId w:val="22"/>
        </w:numPr>
      </w:pPr>
      <w:r>
        <w:t xml:space="preserve">The amendments contained in Schedule 2 to the Main Repeal Bill will ensure that consumers and businesses are not exploited by suppliers following the repeal of the carbon tax by prohibiting price exploitation with respect to certain key goods (such as electricity and gas) and false or misleading representations about the effects of the carbon tax repeal on prices.  Price exploitation will occur whenever an affected entity does not pass through all </w:t>
      </w:r>
      <w:r w:rsidR="00696F12">
        <w:t>of its</w:t>
      </w:r>
      <w:r>
        <w:t xml:space="preserve"> cost savings that are directly or indirectly attributable to the carbon tax repeal.  These amendments are based on those made when the GST was first introduced, but impose greater levels of consumer protection and stiffer penalties on entities that do not comply with their cost saving pass through obligation.</w:t>
      </w:r>
    </w:p>
    <w:p w:rsidR="00436C76" w:rsidRDefault="00436C76" w:rsidP="00436C76">
      <w:pPr>
        <w:pStyle w:val="base-text-paragraph"/>
        <w:numPr>
          <w:ilvl w:val="1"/>
          <w:numId w:val="22"/>
        </w:numPr>
      </w:pPr>
      <w:r>
        <w:t xml:space="preserve">The amendments prohibit entities engaging in carbon specific price exploitation with respect to certain key goods in relation to the carbon tax repeal, with contraventions incurring maximum pecuniary penalties of 6,471 penalty units ($1,100,070) for a corporation and 1,295 penalty units ($220,150) for an individual. In addition, if the entity is </w:t>
      </w:r>
      <w:r w:rsidR="00696F12">
        <w:t>an</w:t>
      </w:r>
      <w:r>
        <w:t xml:space="preserve"> electricity retailer, natural gas retailer, or an importer of bulk synthetic greenhouse gases they would be required to pay the Commonwealth, by way of penalty, an amount equal to 250 per cent of those cost savings that were not passed through.</w:t>
      </w:r>
    </w:p>
    <w:p w:rsidR="00436C76" w:rsidRDefault="00436C76" w:rsidP="00436C76">
      <w:pPr>
        <w:pStyle w:val="base-text-paragraph"/>
        <w:numPr>
          <w:ilvl w:val="1"/>
          <w:numId w:val="22"/>
        </w:numPr>
      </w:pPr>
      <w:r>
        <w:t>The amendments require the ACCC to give a ‘carbon tax removal substantiation notice’ to retailers of electricity or natural gas and bulk SGG importers, that sell electricity, natural gas and synthetic greenhouse gas to their customers.  In response to such a notice, retailers of electricity or natural gas and bulk SGGs importers must explain how the cost savings that are directly or indirectly attributable to the carbon tax repeal are reflected in prices charged for electricity, natural gas and bulk synthetic greenhouse gas and provide supporting information and documentation.</w:t>
      </w:r>
    </w:p>
    <w:p w:rsidR="00436C76" w:rsidRDefault="00436C76" w:rsidP="00436C76">
      <w:pPr>
        <w:pStyle w:val="base-text-paragraph"/>
        <w:numPr>
          <w:ilvl w:val="1"/>
          <w:numId w:val="22"/>
        </w:numPr>
      </w:pPr>
      <w:r>
        <w:t>The amendments require retailers of electricity and natural gas and ‘bulk SGG importers’ (each of which is defined) to provide a ‘carbon tax removal substantiation statement’ to the ACCC.  In this statement, those retailers and importers will have to provide an estimate, expressed as an annual average percentage price or in dollars, of the entity’s cost savings that result from the carbon tax repeal and that are passed on to customers.</w:t>
      </w:r>
    </w:p>
    <w:p w:rsidR="00436C76" w:rsidRDefault="00436C76" w:rsidP="00436C76">
      <w:pPr>
        <w:pStyle w:val="base-text-paragraph"/>
        <w:numPr>
          <w:ilvl w:val="1"/>
          <w:numId w:val="22"/>
        </w:numPr>
      </w:pPr>
      <w:r>
        <w:t xml:space="preserve">The amendments also require that within 30 days after the Royal Assent, retailers of electricity and natural gas must prepare a statement to provide an estimate, expressed as an annual average percentage price or in an annual average dollar price, of the entity’s cost savings that are directly or indirectly attributable to the carbon tax repeal and that are passed on to customers for the 2014-15 financial year. </w:t>
      </w:r>
    </w:p>
    <w:p w:rsidR="00436C76" w:rsidRDefault="00436C76" w:rsidP="00436C76">
      <w:pPr>
        <w:pStyle w:val="base-text-paragraph"/>
        <w:numPr>
          <w:ilvl w:val="1"/>
          <w:numId w:val="22"/>
        </w:numPr>
      </w:pPr>
      <w:r>
        <w:t>The amendments require retailers of electricity and natural gas to prepare and communicate the contents of a statement to customers that identifies the estimated cost savings that are directly or indirectly attributable to the carbon tax repeal in 2014-15. Retailers must communicate this statement to customers within 60 days after Royal Assent.</w:t>
      </w:r>
    </w:p>
    <w:p w:rsidR="00436C76" w:rsidRDefault="00436C76" w:rsidP="00436C76">
      <w:pPr>
        <w:pStyle w:val="base-text-paragraph"/>
        <w:numPr>
          <w:ilvl w:val="1"/>
          <w:numId w:val="22"/>
        </w:numPr>
      </w:pPr>
      <w:r>
        <w:t>The amendments will also give the ACCC monitoring powers to assess the general effect of the carbon tax repeal on certain prices, and for the purpose of assisting the ACCC’s considerations with respect to the new price exploitation prohibition.</w:t>
      </w:r>
    </w:p>
    <w:p w:rsidR="00436C76" w:rsidRDefault="00436C76" w:rsidP="003D2BA7">
      <w:pPr>
        <w:pStyle w:val="base-text-paragraph"/>
        <w:numPr>
          <w:ilvl w:val="1"/>
          <w:numId w:val="22"/>
        </w:numPr>
      </w:pPr>
      <w:r>
        <w:t>Under the CC Act as it currently stands, there is no prohibition against price exploitation.  However, there are existing provisions that prohibit false and misleading misrepresentations, including about price.  The amendments will complement these existing provisions of the CC Act.</w:t>
      </w:r>
    </w:p>
    <w:p w:rsidR="007343E0" w:rsidRDefault="007343E0" w:rsidP="007343E0">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436C76" w:rsidRPr="004666B8" w:rsidTr="00A22118">
        <w:tc>
          <w:tcPr>
            <w:tcW w:w="3275" w:type="dxa"/>
          </w:tcPr>
          <w:p w:rsidR="00436C76" w:rsidRPr="004666B8" w:rsidRDefault="00436C76" w:rsidP="00A22118">
            <w:pPr>
              <w:pStyle w:val="tableheaderwithintable"/>
              <w:rPr>
                <w:lang w:val="en-US" w:eastAsia="en-US"/>
              </w:rPr>
            </w:pPr>
            <w:r w:rsidRPr="004666B8">
              <w:rPr>
                <w:lang w:val="en-US" w:eastAsia="en-US"/>
              </w:rPr>
              <w:t>New law</w:t>
            </w:r>
          </w:p>
        </w:tc>
        <w:tc>
          <w:tcPr>
            <w:tcW w:w="3276" w:type="dxa"/>
          </w:tcPr>
          <w:p w:rsidR="00436C76" w:rsidRPr="004666B8" w:rsidRDefault="00436C76" w:rsidP="00A22118">
            <w:pPr>
              <w:pStyle w:val="tableheaderwithintable"/>
              <w:rPr>
                <w:lang w:val="en-US" w:eastAsia="en-US"/>
              </w:rPr>
            </w:pPr>
            <w:r w:rsidRPr="004666B8">
              <w:rPr>
                <w:lang w:val="en-US" w:eastAsia="en-US"/>
              </w:rPr>
              <w:t>Current law</w:t>
            </w:r>
          </w:p>
        </w:tc>
      </w:tr>
      <w:tr w:rsidR="00436C76" w:rsidRPr="004666B8" w:rsidTr="00A22118">
        <w:tc>
          <w:tcPr>
            <w:tcW w:w="3275" w:type="dxa"/>
          </w:tcPr>
          <w:p w:rsidR="00436C76" w:rsidRDefault="00436C76" w:rsidP="00A22118">
            <w:pPr>
              <w:pStyle w:val="tabletext"/>
            </w:pPr>
            <w:r>
              <w:rPr>
                <w:lang w:eastAsia="en-US"/>
              </w:rPr>
              <w:t>Introduces a new</w:t>
            </w:r>
            <w:r>
              <w:rPr>
                <w:lang w:val="en-US" w:eastAsia="en-US"/>
              </w:rPr>
              <w:t xml:space="preserve"> prohibition on entities engaging in carbon</w:t>
            </w:r>
            <w:r>
              <w:rPr>
                <w:lang w:val="en-US" w:eastAsia="en-US"/>
              </w:rPr>
              <w:noBreakHyphen/>
              <w:t xml:space="preserve">specific price exploitation with respect to certain key goods in relation to the carbon tax repeal, with contraventions incurring </w:t>
            </w:r>
            <w:r>
              <w:t xml:space="preserve">maximum pecuniary penalties of </w:t>
            </w:r>
            <w:r w:rsidRPr="00C054B1">
              <w:rPr>
                <w:szCs w:val="24"/>
              </w:rPr>
              <w:t>6</w:t>
            </w:r>
            <w:r>
              <w:rPr>
                <w:szCs w:val="24"/>
              </w:rPr>
              <w:t>,</w:t>
            </w:r>
            <w:r w:rsidRPr="00C054B1">
              <w:rPr>
                <w:szCs w:val="24"/>
              </w:rPr>
              <w:t>471 penalty units ($1,100,070) for a corporation and 1</w:t>
            </w:r>
            <w:r>
              <w:rPr>
                <w:szCs w:val="24"/>
              </w:rPr>
              <w:t>,</w:t>
            </w:r>
            <w:r w:rsidRPr="00C054B1">
              <w:rPr>
                <w:szCs w:val="24"/>
              </w:rPr>
              <w:t>295 penalty units ($220,150) for</w:t>
            </w:r>
            <w:r>
              <w:rPr>
                <w:szCs w:val="24"/>
              </w:rPr>
              <w:t xml:space="preserve"> an individual</w:t>
            </w:r>
            <w:r>
              <w:t>.</w:t>
            </w:r>
          </w:p>
          <w:p w:rsidR="00436C76" w:rsidRPr="004666B8" w:rsidRDefault="00436C76" w:rsidP="00A22118">
            <w:pPr>
              <w:pStyle w:val="tabletext"/>
              <w:rPr>
                <w:lang w:val="en-US" w:eastAsia="en-US"/>
              </w:rPr>
            </w:pPr>
            <w:r>
              <w:t xml:space="preserve">In addition, an entity that supplies electricity or natural gas or is an importer of bulk synthetic greenhouse gas that failed to pass through </w:t>
            </w:r>
            <w:r w:rsidRPr="002C532B">
              <w:rPr>
                <w:i/>
              </w:rPr>
              <w:t>all</w:t>
            </w:r>
            <w:r>
              <w:t xml:space="preserve"> of its cost savings resulting from the carbon tax repeal would be required to pay the Commonwealth, by way of penalty, an amount </w:t>
            </w:r>
            <w:r w:rsidRPr="000532F1">
              <w:t>equal to 250</w:t>
            </w:r>
            <w:r>
              <w:t xml:space="preserve"> per cent </w:t>
            </w:r>
            <w:r w:rsidRPr="000532F1">
              <w:t>of those cost savings that were not passed through</w:t>
            </w:r>
            <w:r>
              <w:t>.</w:t>
            </w:r>
          </w:p>
        </w:tc>
        <w:tc>
          <w:tcPr>
            <w:tcW w:w="3276" w:type="dxa"/>
          </w:tcPr>
          <w:p w:rsidR="00436C76" w:rsidRPr="004666B8" w:rsidRDefault="00436C76" w:rsidP="00A22118">
            <w:pPr>
              <w:pStyle w:val="tabletext"/>
              <w:rPr>
                <w:lang w:val="en-US" w:eastAsia="en-US"/>
              </w:rPr>
            </w:pPr>
            <w:r>
              <w:rPr>
                <w:lang w:val="en-US" w:eastAsia="en-US"/>
              </w:rPr>
              <w:t>There is currently no price exploitation provision under the CC Act.</w:t>
            </w:r>
          </w:p>
        </w:tc>
      </w:tr>
      <w:tr w:rsidR="00436C76" w:rsidRPr="004666B8" w:rsidTr="00A22118">
        <w:tc>
          <w:tcPr>
            <w:tcW w:w="3275" w:type="dxa"/>
          </w:tcPr>
          <w:p w:rsidR="00436C76" w:rsidRPr="00F626EA" w:rsidRDefault="00436C76" w:rsidP="00A22118">
            <w:pPr>
              <w:pStyle w:val="tabletext"/>
              <w:rPr>
                <w:lang w:eastAsia="en-US"/>
              </w:rPr>
            </w:pPr>
            <w:r>
              <w:rPr>
                <w:lang w:eastAsia="en-US"/>
              </w:rPr>
              <w:t>Introduces new powers for the ACCC to: monitor the prices of certain goods before and during the carbon tax repeal transition period; assess the general effect of the carbon tax repeal on these prices; and assist the ACCC in considering whether a corporation has engaged, is or may engage in price exploitation.</w:t>
            </w:r>
          </w:p>
        </w:tc>
        <w:tc>
          <w:tcPr>
            <w:tcW w:w="3276" w:type="dxa"/>
          </w:tcPr>
          <w:p w:rsidR="00436C76" w:rsidRPr="0067444F" w:rsidRDefault="00436C76" w:rsidP="00A22118">
            <w:pPr>
              <w:pStyle w:val="tabletext"/>
              <w:rPr>
                <w:lang w:eastAsia="en-US"/>
              </w:rPr>
            </w:pPr>
            <w:r>
              <w:rPr>
                <w:lang w:eastAsia="en-US"/>
              </w:rPr>
              <w:t>Under Part VIIA, Division 5 of the CC Act, the Minister may direct the ACCC to monitor prices, costs and profits relating to the supply of goods or services for defined businesses or sectors.</w:t>
            </w:r>
          </w:p>
        </w:tc>
      </w:tr>
      <w:tr w:rsidR="00436C76" w:rsidRPr="004666B8" w:rsidTr="00A22118">
        <w:tc>
          <w:tcPr>
            <w:tcW w:w="3275" w:type="dxa"/>
          </w:tcPr>
          <w:p w:rsidR="00436C76" w:rsidRPr="00F626EA" w:rsidRDefault="00436C76" w:rsidP="00A22118">
            <w:pPr>
              <w:pStyle w:val="tabletext"/>
              <w:rPr>
                <w:lang w:eastAsia="en-US"/>
              </w:rPr>
            </w:pPr>
            <w:r>
              <w:rPr>
                <w:lang w:eastAsia="en-US"/>
              </w:rPr>
              <w:t>Introduces a new prohibition preventing entities from making false or misleading representations about either the effect of the carbon tax repeal or the carbon tax scheme on prices during the carbon tax repeal transition period.</w:t>
            </w:r>
          </w:p>
        </w:tc>
        <w:tc>
          <w:tcPr>
            <w:tcW w:w="3276" w:type="dxa"/>
          </w:tcPr>
          <w:p w:rsidR="00436C76" w:rsidRPr="003238C5" w:rsidRDefault="00436C76" w:rsidP="00A22118">
            <w:pPr>
              <w:pStyle w:val="tabletext"/>
              <w:rPr>
                <w:lang w:eastAsia="en-US"/>
              </w:rPr>
            </w:pPr>
            <w:r w:rsidRPr="003238C5">
              <w:rPr>
                <w:lang w:eastAsia="en-US"/>
              </w:rPr>
              <w:t xml:space="preserve">Currently, </w:t>
            </w:r>
            <w:r w:rsidRPr="003B6468">
              <w:rPr>
                <w:lang w:eastAsia="en-US"/>
              </w:rPr>
              <w:t>section</w:t>
            </w:r>
            <w:r w:rsidRPr="003238C5">
              <w:rPr>
                <w:lang w:eastAsia="en-US"/>
              </w:rPr>
              <w:t xml:space="preserve"> 29(1)(i) of the </w:t>
            </w:r>
            <w:r>
              <w:rPr>
                <w:lang w:val="en-US" w:eastAsia="en-US"/>
              </w:rPr>
              <w:t xml:space="preserve">Australian Consumer Law (ACL) </w:t>
            </w:r>
            <w:r w:rsidRPr="003238C5">
              <w:rPr>
                <w:lang w:eastAsia="en-US"/>
              </w:rPr>
              <w:t>prohibits false or misleading representations in connection with the supply or possible supply of goods or services, and the promotion of the supp</w:t>
            </w:r>
            <w:r>
              <w:rPr>
                <w:lang w:eastAsia="en-US"/>
              </w:rPr>
              <w:t xml:space="preserve">ly or use of goods and services with respect to price.  </w:t>
            </w:r>
            <w:r w:rsidRPr="003238C5">
              <w:rPr>
                <w:lang w:eastAsia="en-US"/>
              </w:rPr>
              <w:t>Section 18 of the ACL provides a general prohibition on misleading or deceptive conduct.</w:t>
            </w:r>
          </w:p>
        </w:tc>
      </w:tr>
      <w:tr w:rsidR="00436C76" w:rsidRPr="004666B8" w:rsidTr="00A22118">
        <w:tc>
          <w:tcPr>
            <w:tcW w:w="3275" w:type="dxa"/>
          </w:tcPr>
          <w:p w:rsidR="00436C76" w:rsidRDefault="00436C76" w:rsidP="00A22118">
            <w:pPr>
              <w:pStyle w:val="tabletext"/>
              <w:rPr>
                <w:lang w:eastAsia="en-US"/>
              </w:rPr>
            </w:pPr>
            <w:r>
              <w:rPr>
                <w:lang w:eastAsia="en-US"/>
              </w:rPr>
              <w:t xml:space="preserve">Introduces a new obligation for the ACCC to give entities who are </w:t>
            </w:r>
            <w:r>
              <w:t xml:space="preserve">retailers of electricity or natural gas or a bulk SGG importer, </w:t>
            </w:r>
            <w:r>
              <w:rPr>
                <w:lang w:eastAsia="en-US"/>
              </w:rPr>
              <w:t>a carbon tax removal substantiation notice.  In response to, this notice entities will have to explain how savings arising from the carbon tax repeal are reflected in prices charged for regulated supplies, and provide supporting information.</w:t>
            </w:r>
          </w:p>
        </w:tc>
        <w:tc>
          <w:tcPr>
            <w:tcW w:w="3276" w:type="dxa"/>
          </w:tcPr>
          <w:p w:rsidR="00436C76" w:rsidRPr="003238C5" w:rsidRDefault="00436C76" w:rsidP="00A22118">
            <w:pPr>
              <w:pStyle w:val="tabletext"/>
              <w:rPr>
                <w:lang w:eastAsia="en-US"/>
              </w:rPr>
            </w:pPr>
            <w:r>
              <w:rPr>
                <w:lang w:eastAsia="en-US"/>
              </w:rPr>
              <w:t>Currently section 219 of the ACL allows the ACCC to issue a substantiation notice in some circumstances in regard to a particular claim or representation made in the course of trade or commerce.</w:t>
            </w:r>
          </w:p>
        </w:tc>
      </w:tr>
      <w:tr w:rsidR="00436C76" w:rsidRPr="004666B8" w:rsidTr="00A22118">
        <w:tc>
          <w:tcPr>
            <w:tcW w:w="3275" w:type="dxa"/>
          </w:tcPr>
          <w:p w:rsidR="00436C76" w:rsidRDefault="00436C76" w:rsidP="00A22118">
            <w:pPr>
              <w:pStyle w:val="tabletext"/>
              <w:rPr>
                <w:lang w:eastAsia="en-US"/>
              </w:rPr>
            </w:pPr>
            <w:r>
              <w:rPr>
                <w:lang w:eastAsia="en-US"/>
              </w:rPr>
              <w:t xml:space="preserve">Introduces a new obligation for electricity and natural gas retailers and </w:t>
            </w:r>
            <w:r>
              <w:t>bulk SGG importers</w:t>
            </w:r>
            <w:r>
              <w:rPr>
                <w:lang w:eastAsia="en-US"/>
              </w:rPr>
              <w:t xml:space="preserve"> to give the ACCC a carbon tax removal substantiation statement. In this statement, retailers and importers will have to provide an estimate, expressed as a percentage or in dollars, of the entity’s cost savings that result from the carbon tax repeal and that are passed on to customers, and provide supporting information to the ACCC.</w:t>
            </w:r>
          </w:p>
          <w:p w:rsidR="00436C76" w:rsidRDefault="00436C76" w:rsidP="00A22118">
            <w:pPr>
              <w:pStyle w:val="tabletext"/>
              <w:rPr>
                <w:lang w:eastAsia="en-US"/>
              </w:rPr>
            </w:pPr>
            <w:r>
              <w:rPr>
                <w:lang w:eastAsia="en-US"/>
              </w:rPr>
              <w:t>Electricity and natural gas retailers must also provided a corresponding statement to their customers.</w:t>
            </w:r>
          </w:p>
        </w:tc>
        <w:tc>
          <w:tcPr>
            <w:tcW w:w="3276" w:type="dxa"/>
          </w:tcPr>
          <w:p w:rsidR="00436C76" w:rsidRPr="003238C5" w:rsidRDefault="00436C76" w:rsidP="00A22118">
            <w:pPr>
              <w:pStyle w:val="tabletext"/>
              <w:rPr>
                <w:lang w:eastAsia="en-US"/>
              </w:rPr>
            </w:pPr>
            <w:r>
              <w:rPr>
                <w:lang w:eastAsia="en-US"/>
              </w:rPr>
              <w:t xml:space="preserve">Currently, there are no obligations in the CC Act that require electricity and natural gas suppliers or bulk SGG importers to provide a statement to the ACCC which estimates the entity’s cost savings resulting from carbon tax repeal. There is also, currently no obligation in the CC Act that require electricity and natural gas suppliers to provide a corresponding statement to their customers. </w:t>
            </w:r>
          </w:p>
        </w:tc>
      </w:tr>
    </w:tbl>
    <w:p w:rsidR="007343E0" w:rsidRDefault="007343E0" w:rsidP="007343E0">
      <w:pPr>
        <w:pStyle w:val="Heading2"/>
      </w:pPr>
      <w:r>
        <w:t>Detailed explanation of new law</w:t>
      </w:r>
    </w:p>
    <w:p w:rsidR="00267F11" w:rsidRDefault="00436C76" w:rsidP="003D2BA7">
      <w:pPr>
        <w:pStyle w:val="base-text-paragraph"/>
        <w:numPr>
          <w:ilvl w:val="1"/>
          <w:numId w:val="22"/>
        </w:numPr>
      </w:pPr>
      <w:r>
        <w:t>With a view to ensuring</w:t>
      </w:r>
      <w:r w:rsidRPr="000A3EE2">
        <w:t xml:space="preserve"> that consumers and businesses are not exploited by suppliers following the repeal of the carbon tax, the </w:t>
      </w:r>
      <w:r>
        <w:t xml:space="preserve">Main Repeal </w:t>
      </w:r>
      <w:r w:rsidRPr="000A3EE2">
        <w:t>Bill</w:t>
      </w:r>
      <w:r w:rsidR="00267F11">
        <w:t>:</w:t>
      </w:r>
    </w:p>
    <w:p w:rsidR="00436C76" w:rsidRPr="00ED4F9D" w:rsidRDefault="00436C76" w:rsidP="00436C76">
      <w:pPr>
        <w:pStyle w:val="dotpoint"/>
        <w:rPr>
          <w:rStyle w:val="Referencingstyle"/>
          <w:b w:val="0"/>
          <w:i w:val="0"/>
          <w:sz w:val="22"/>
        </w:rPr>
      </w:pPr>
      <w:r w:rsidRPr="000A3EE2">
        <w:t xml:space="preserve">inserts a new Part V in the </w:t>
      </w:r>
      <w:r>
        <w:t>CC Act imposing a carbon tax price reduction obligation, prohibiting carbon tax</w:t>
      </w:r>
      <w:r>
        <w:noBreakHyphen/>
      </w:r>
      <w:r w:rsidRPr="000A3EE2">
        <w:t>related price exploitation and false or misleading representations about the effect of the carbon tax repeal</w:t>
      </w:r>
      <w:r>
        <w:t xml:space="preserve">; and </w:t>
      </w:r>
      <w:r w:rsidRPr="00267F11">
        <w:rPr>
          <w:rStyle w:val="Referencingstyle"/>
        </w:rPr>
        <w:t>[</w:t>
      </w:r>
      <w:r>
        <w:rPr>
          <w:rStyle w:val="Referencingstyle"/>
        </w:rPr>
        <w:t>S</w:t>
      </w:r>
      <w:r w:rsidRPr="00267F11">
        <w:rPr>
          <w:rStyle w:val="Referencingstyle"/>
        </w:rPr>
        <w:t>chedule 2, item</w:t>
      </w:r>
      <w:r>
        <w:rPr>
          <w:rStyle w:val="Referencingstyle"/>
        </w:rPr>
        <w:t> </w:t>
      </w:r>
      <w:r w:rsidRPr="00267F11">
        <w:rPr>
          <w:rStyle w:val="Referencingstyle"/>
        </w:rPr>
        <w:t>3</w:t>
      </w:r>
      <w:r>
        <w:rPr>
          <w:rStyle w:val="Referencingstyle"/>
        </w:rPr>
        <w:t>,</w:t>
      </w:r>
      <w:r w:rsidRPr="00267F11">
        <w:rPr>
          <w:rStyle w:val="Referencingstyle"/>
          <w:rFonts w:eastAsia="Calibri"/>
        </w:rPr>
        <w:t xml:space="preserve"> </w:t>
      </w:r>
      <w:r w:rsidRPr="00267F11">
        <w:rPr>
          <w:rStyle w:val="Referencingstyle"/>
        </w:rPr>
        <w:t xml:space="preserve">Division 1, </w:t>
      </w:r>
      <w:r>
        <w:rPr>
          <w:rStyle w:val="Referencingstyle"/>
        </w:rPr>
        <w:t>CC Act</w:t>
      </w:r>
      <w:r w:rsidRPr="00267F11">
        <w:rPr>
          <w:rStyle w:val="Referencingstyle"/>
        </w:rPr>
        <w:t>]</w:t>
      </w:r>
    </w:p>
    <w:p w:rsidR="00436C76" w:rsidRDefault="00436C76" w:rsidP="00436C76">
      <w:pPr>
        <w:pStyle w:val="dotpoint"/>
      </w:pPr>
      <w:r>
        <w:rPr>
          <w:lang w:eastAsia="en-US"/>
        </w:rPr>
        <w:t>requires the ACCC to give r</w:t>
      </w:r>
      <w:r>
        <w:t>etailers of electricity or natural gas and bulk SGG importers that sell their respective goods to customers</w:t>
      </w:r>
      <w:r>
        <w:rPr>
          <w:lang w:eastAsia="en-US"/>
        </w:rPr>
        <w:t xml:space="preserve">, a carbon tax removal substantiation notice.  In response to this notice, those entities subject to section 60FA will have to explain how savings arising from the carbon tax repeal are reflected in prices charged for electricity, natural gas and synthetic greenhouse gases, and provide supporting information. </w:t>
      </w:r>
      <w:r w:rsidRPr="00267F11">
        <w:rPr>
          <w:rStyle w:val="Referencingstyle"/>
        </w:rPr>
        <w:t>[</w:t>
      </w:r>
      <w:r>
        <w:rPr>
          <w:rStyle w:val="Referencingstyle"/>
        </w:rPr>
        <w:t>S</w:t>
      </w:r>
      <w:r w:rsidRPr="00267F11">
        <w:rPr>
          <w:rStyle w:val="Referencingstyle"/>
        </w:rPr>
        <w:t>chedule 2, item 3</w:t>
      </w:r>
      <w:r>
        <w:rPr>
          <w:rStyle w:val="Referencingstyle"/>
        </w:rPr>
        <w:t>,</w:t>
      </w:r>
      <w:r w:rsidRPr="00267F11">
        <w:rPr>
          <w:rStyle w:val="Referencingstyle"/>
          <w:rFonts w:eastAsia="Calibri"/>
        </w:rPr>
        <w:t xml:space="preserve"> </w:t>
      </w:r>
      <w:r>
        <w:rPr>
          <w:rStyle w:val="Referencingstyle"/>
        </w:rPr>
        <w:t>Division 2A</w:t>
      </w:r>
      <w:r w:rsidRPr="00267F11">
        <w:rPr>
          <w:rStyle w:val="Referencingstyle"/>
        </w:rPr>
        <w:t xml:space="preserve">, </w:t>
      </w:r>
      <w:r>
        <w:rPr>
          <w:rStyle w:val="Referencingstyle"/>
        </w:rPr>
        <w:t>CC Act</w:t>
      </w:r>
      <w:r w:rsidRPr="00267F11">
        <w:rPr>
          <w:rStyle w:val="Referencingstyle"/>
        </w:rPr>
        <w:t>]</w:t>
      </w:r>
    </w:p>
    <w:p w:rsidR="00436C76" w:rsidRDefault="00436C76" w:rsidP="00436C76">
      <w:pPr>
        <w:pStyle w:val="dotpoint"/>
      </w:pPr>
      <w:r>
        <w:rPr>
          <w:lang w:eastAsia="en-US"/>
        </w:rPr>
        <w:t xml:space="preserve">requires electricity and natural gas retailers and bulk SGG importers that sell their respective goods to customers to give the ACCC a carbon tax removal substantiation statement. In this statement, retailers and importers will have to provide an estimate, expressed as a percentage or in dollars, of the entity’s cost savings that result from the carbon tax repeal and that are passed on to customers, and provide supporting information.  Electricity and natural gas retailers would also have to inform customers about price savings. </w:t>
      </w:r>
      <w:r w:rsidRPr="00267F11">
        <w:rPr>
          <w:rStyle w:val="Referencingstyle"/>
        </w:rPr>
        <w:t>[</w:t>
      </w:r>
      <w:r>
        <w:rPr>
          <w:rStyle w:val="Referencingstyle"/>
        </w:rPr>
        <w:t>S</w:t>
      </w:r>
      <w:r w:rsidRPr="00267F11">
        <w:rPr>
          <w:rStyle w:val="Referencingstyle"/>
        </w:rPr>
        <w:t>chedule 2, item 3</w:t>
      </w:r>
      <w:r>
        <w:rPr>
          <w:rStyle w:val="Referencingstyle"/>
        </w:rPr>
        <w:t>,</w:t>
      </w:r>
      <w:r w:rsidRPr="00267F11">
        <w:rPr>
          <w:rStyle w:val="Referencingstyle"/>
          <w:rFonts w:eastAsia="Calibri"/>
        </w:rPr>
        <w:t xml:space="preserve"> </w:t>
      </w:r>
      <w:r>
        <w:rPr>
          <w:rStyle w:val="Referencingstyle"/>
        </w:rPr>
        <w:t>Division 2B and 2C</w:t>
      </w:r>
      <w:r w:rsidRPr="00267F11">
        <w:rPr>
          <w:rStyle w:val="Referencingstyle"/>
        </w:rPr>
        <w:t xml:space="preserve">, </w:t>
      </w:r>
      <w:r>
        <w:rPr>
          <w:rStyle w:val="Referencingstyle"/>
        </w:rPr>
        <w:t>CC Act</w:t>
      </w:r>
      <w:r w:rsidRPr="00267F11">
        <w:rPr>
          <w:rStyle w:val="Referencingstyle"/>
        </w:rPr>
        <w:t>]</w:t>
      </w:r>
    </w:p>
    <w:p w:rsidR="007343E0" w:rsidRDefault="00436C76" w:rsidP="00436C76">
      <w:pPr>
        <w:pStyle w:val="dotpoint"/>
      </w:pPr>
      <w:r w:rsidRPr="000A3EE2">
        <w:t>provide</w:t>
      </w:r>
      <w:r>
        <w:t>s</w:t>
      </w:r>
      <w:r w:rsidRPr="000A3EE2">
        <w:t xml:space="preserve"> the ACCC additional price monitoring powers in relation to the carbon tax repeal</w:t>
      </w:r>
      <w:r>
        <w:t xml:space="preserve">. </w:t>
      </w:r>
      <w:r>
        <w:rPr>
          <w:rStyle w:val="Referencingstyle"/>
        </w:rPr>
        <w:t>[Schedule </w:t>
      </w:r>
      <w:r w:rsidRPr="003C7B8B">
        <w:rPr>
          <w:rStyle w:val="Referencingstyle"/>
        </w:rPr>
        <w:t xml:space="preserve">2, </w:t>
      </w:r>
      <w:r>
        <w:rPr>
          <w:rStyle w:val="Referencingstyle"/>
        </w:rPr>
        <w:t>item</w:t>
      </w:r>
      <w:r w:rsidRPr="003C7B8B">
        <w:rPr>
          <w:rStyle w:val="Referencingstyle"/>
        </w:rPr>
        <w:t xml:space="preserve"> </w:t>
      </w:r>
      <w:r>
        <w:rPr>
          <w:rStyle w:val="Referencingstyle"/>
        </w:rPr>
        <w:t>3</w:t>
      </w:r>
      <w:r w:rsidRPr="003C7B8B">
        <w:rPr>
          <w:rStyle w:val="Referencingstyle"/>
        </w:rPr>
        <w:t>, section</w:t>
      </w:r>
      <w:r>
        <w:rPr>
          <w:rStyle w:val="Referencingstyle"/>
        </w:rPr>
        <w:t xml:space="preserve"> 60G, CC Act</w:t>
      </w:r>
      <w:r w:rsidRPr="003C7B8B">
        <w:rPr>
          <w:rStyle w:val="Referencingstyle"/>
        </w:rPr>
        <w:t>]</w:t>
      </w:r>
    </w:p>
    <w:p w:rsidR="00436C76" w:rsidRDefault="00436C76" w:rsidP="00436C76">
      <w:pPr>
        <w:pStyle w:val="base-text-paragraph"/>
        <w:numPr>
          <w:ilvl w:val="1"/>
          <w:numId w:val="22"/>
        </w:numPr>
      </w:pPr>
      <w:r>
        <w:t>N</w:t>
      </w:r>
      <w:r w:rsidRPr="00E1110F">
        <w:t xml:space="preserve">ew Part V </w:t>
      </w:r>
      <w:r>
        <w:t>of the CC Act applies to</w:t>
      </w:r>
      <w:r w:rsidRPr="00E1110F">
        <w:t xml:space="preserve"> the States </w:t>
      </w:r>
      <w:r>
        <w:t>and</w:t>
      </w:r>
      <w:r w:rsidRPr="00E1110F">
        <w:t xml:space="preserve"> Territories insofar </w:t>
      </w:r>
      <w:r>
        <w:t xml:space="preserve">as they conduct </w:t>
      </w:r>
      <w:r w:rsidRPr="00E1110F">
        <w:t>business either directly or through an authority of the State or Territory</w:t>
      </w:r>
      <w:r>
        <w:rPr>
          <w:rStyle w:val="Referencingstyle"/>
        </w:rPr>
        <w:t xml:space="preserve">.  </w:t>
      </w:r>
      <w:r w:rsidRPr="00E1110F">
        <w:rPr>
          <w:rStyle w:val="Referencingstyle"/>
        </w:rPr>
        <w:t xml:space="preserve">[Schedule 2, </w:t>
      </w:r>
      <w:r>
        <w:rPr>
          <w:rStyle w:val="Referencingstyle"/>
        </w:rPr>
        <w:t xml:space="preserve">item 1, </w:t>
      </w:r>
      <w:r w:rsidRPr="00E1110F">
        <w:rPr>
          <w:rStyle w:val="Referencingstyle"/>
        </w:rPr>
        <w:t>section 2B(1)</w:t>
      </w:r>
      <w:r>
        <w:rPr>
          <w:rStyle w:val="Referencingstyle"/>
        </w:rPr>
        <w:t>, CC Act</w:t>
      </w:r>
      <w:r w:rsidRPr="00E1110F">
        <w:rPr>
          <w:rStyle w:val="Referencingstyle"/>
        </w:rPr>
        <w:t>]</w:t>
      </w:r>
    </w:p>
    <w:p w:rsidR="00436C76" w:rsidRPr="00ED4F9D" w:rsidRDefault="00436C76" w:rsidP="00436C76">
      <w:pPr>
        <w:pStyle w:val="base-text-paragraph"/>
        <w:numPr>
          <w:ilvl w:val="1"/>
          <w:numId w:val="22"/>
        </w:numPr>
        <w:rPr>
          <w:rStyle w:val="Referencingstyle"/>
          <w:b w:val="0"/>
          <w:i w:val="0"/>
          <w:sz w:val="22"/>
        </w:rPr>
      </w:pPr>
      <w:r>
        <w:t>Section</w:t>
      </w:r>
      <w:r w:rsidRPr="00E1110F">
        <w:t xml:space="preserve"> 6(2)(b) of the </w:t>
      </w:r>
      <w:r>
        <w:t>CC Act</w:t>
      </w:r>
      <w:r w:rsidRPr="00E1110F">
        <w:t xml:space="preserve"> currently extends the application of parts of the </w:t>
      </w:r>
      <w:r>
        <w:t>CC Act</w:t>
      </w:r>
      <w:r w:rsidRPr="00E1110F">
        <w:t xml:space="preserve"> in reliance of the Commonwealth’s constitutional trade and commerce power</w:t>
      </w:r>
      <w:r>
        <w:t>.  It is amended</w:t>
      </w:r>
      <w:r w:rsidRPr="00E1110F">
        <w:t xml:space="preserve"> to similarly extend the application of the new Part V (other than Division 5)</w:t>
      </w:r>
      <w:r>
        <w:t xml:space="preserve">.  </w:t>
      </w:r>
      <w:r w:rsidRPr="00E1110F">
        <w:rPr>
          <w:rStyle w:val="Referencingstyle"/>
        </w:rPr>
        <w:t xml:space="preserve">[Schedule 2, </w:t>
      </w:r>
      <w:r>
        <w:rPr>
          <w:rStyle w:val="Referencingstyle"/>
        </w:rPr>
        <w:t xml:space="preserve">item 2, </w:t>
      </w:r>
      <w:r w:rsidRPr="00E1110F">
        <w:rPr>
          <w:rStyle w:val="Referencingstyle"/>
        </w:rPr>
        <w:t>section 6(2)(b)</w:t>
      </w:r>
      <w:r>
        <w:rPr>
          <w:rStyle w:val="Referencingstyle"/>
        </w:rPr>
        <w:t>, CC Act</w:t>
      </w:r>
      <w:r w:rsidRPr="00E1110F">
        <w:rPr>
          <w:rStyle w:val="Referencingstyle"/>
        </w:rPr>
        <w:t>]</w:t>
      </w:r>
    </w:p>
    <w:p w:rsidR="00436C76" w:rsidRDefault="00436C76" w:rsidP="00436C76">
      <w:pPr>
        <w:pStyle w:val="base-text-paragraph"/>
        <w:numPr>
          <w:ilvl w:val="1"/>
          <w:numId w:val="22"/>
        </w:numPr>
      </w:pPr>
      <w:r>
        <w:t>Some provisions of Part V of the CC Act apply to ‘entities’. The term ‘entity’ is defined as meaning any of the following:</w:t>
      </w:r>
    </w:p>
    <w:p w:rsidR="00436C76" w:rsidRPr="000532F1" w:rsidRDefault="00436C76" w:rsidP="00436C76">
      <w:pPr>
        <w:pStyle w:val="dotpoint"/>
      </w:pPr>
      <w:r w:rsidRPr="000532F1">
        <w:t xml:space="preserve">a </w:t>
      </w:r>
      <w:r w:rsidRPr="00CE11FD">
        <w:t>corporation (as defined by section 4</w:t>
      </w:r>
      <w:r>
        <w:t xml:space="preserve"> of the CC Act</w:t>
      </w:r>
      <w:r w:rsidRPr="00CE11FD">
        <w:t>);</w:t>
      </w:r>
    </w:p>
    <w:p w:rsidR="00436C76" w:rsidRPr="000532F1" w:rsidRDefault="00436C76" w:rsidP="00436C76">
      <w:pPr>
        <w:pStyle w:val="dotpoint"/>
      </w:pPr>
      <w:r w:rsidRPr="000532F1">
        <w:t>an individual;</w:t>
      </w:r>
    </w:p>
    <w:p w:rsidR="00436C76" w:rsidRPr="000532F1" w:rsidRDefault="00436C76" w:rsidP="00436C76">
      <w:pPr>
        <w:pStyle w:val="dotpoint"/>
      </w:pPr>
      <w:r w:rsidRPr="000532F1">
        <w:t>a body corporate;</w:t>
      </w:r>
    </w:p>
    <w:p w:rsidR="00436C76" w:rsidRPr="000532F1" w:rsidRDefault="00436C76" w:rsidP="00436C76">
      <w:pPr>
        <w:pStyle w:val="dotpoint"/>
      </w:pPr>
      <w:r w:rsidRPr="000532F1">
        <w:t xml:space="preserve">a </w:t>
      </w:r>
      <w:r w:rsidRPr="00CE11FD">
        <w:t xml:space="preserve">corporation </w:t>
      </w:r>
      <w:r w:rsidRPr="000532F1">
        <w:t>sole;</w:t>
      </w:r>
    </w:p>
    <w:p w:rsidR="00436C76" w:rsidRPr="000532F1" w:rsidRDefault="00436C76" w:rsidP="00436C76">
      <w:pPr>
        <w:pStyle w:val="dotpoint"/>
      </w:pPr>
      <w:r w:rsidRPr="000532F1">
        <w:t>a body politic;</w:t>
      </w:r>
    </w:p>
    <w:p w:rsidR="00436C76" w:rsidRPr="000532F1" w:rsidRDefault="00436C76" w:rsidP="00436C76">
      <w:pPr>
        <w:pStyle w:val="dotpoint"/>
      </w:pPr>
      <w:r w:rsidRPr="000532F1">
        <w:t>a partnership;</w:t>
      </w:r>
    </w:p>
    <w:p w:rsidR="00436C76" w:rsidRPr="000532F1" w:rsidRDefault="00436C76" w:rsidP="00436C76">
      <w:pPr>
        <w:pStyle w:val="dotpoint"/>
      </w:pPr>
      <w:r w:rsidRPr="000532F1">
        <w:t>any other unincorporated association or body of entities;</w:t>
      </w:r>
    </w:p>
    <w:p w:rsidR="00436C76" w:rsidRDefault="00436C76" w:rsidP="00436C76">
      <w:pPr>
        <w:pStyle w:val="dotpoint"/>
      </w:pPr>
      <w:r w:rsidRPr="000532F1">
        <w:t>a trust</w:t>
      </w:r>
      <w:r>
        <w:t>; and</w:t>
      </w:r>
    </w:p>
    <w:p w:rsidR="00267F11" w:rsidRDefault="00436C76" w:rsidP="00436C76">
      <w:pPr>
        <w:pStyle w:val="dotpoint"/>
      </w:pPr>
      <w:r>
        <w:t>any party or entity which can or does buy or sell electricity, natural gas or synthetic greenhouse gases.</w:t>
      </w:r>
      <w:r w:rsidRPr="00E0060F">
        <w:rPr>
          <w:rStyle w:val="Referencingstyle"/>
        </w:rPr>
        <w:t xml:space="preserve"> </w:t>
      </w:r>
      <w:r w:rsidRPr="00267F11">
        <w:rPr>
          <w:rStyle w:val="Referencingstyle"/>
        </w:rPr>
        <w:t>[Schedule 2, item</w:t>
      </w:r>
      <w:r>
        <w:rPr>
          <w:rStyle w:val="Referencingstyle"/>
        </w:rPr>
        <w:t> </w:t>
      </w:r>
      <w:r w:rsidRPr="00267F11">
        <w:rPr>
          <w:rStyle w:val="Referencingstyle"/>
        </w:rPr>
        <w:t>3</w:t>
      </w:r>
      <w:r>
        <w:rPr>
          <w:rStyle w:val="Referencingstyle"/>
        </w:rPr>
        <w:t>, section 60A</w:t>
      </w:r>
      <w:r w:rsidRPr="00267F11">
        <w:rPr>
          <w:rStyle w:val="Referencingstyle"/>
        </w:rPr>
        <w:t xml:space="preserve">, </w:t>
      </w:r>
      <w:r>
        <w:rPr>
          <w:rStyle w:val="Referencingstyle"/>
        </w:rPr>
        <w:t>CC Act</w:t>
      </w:r>
      <w:r w:rsidRPr="00267F11">
        <w:rPr>
          <w:rStyle w:val="Referencingstyle"/>
        </w:rPr>
        <w:t>]</w:t>
      </w:r>
    </w:p>
    <w:p w:rsidR="00E1110F" w:rsidRDefault="00E1110F" w:rsidP="00E1110F">
      <w:pPr>
        <w:pStyle w:val="Heading3"/>
      </w:pPr>
      <w:r w:rsidRPr="00E1110F">
        <w:t>Price exploitation in relation to the carbon tax repeal</w:t>
      </w:r>
    </w:p>
    <w:p w:rsidR="00DB4BC7" w:rsidRDefault="00DB4BC7" w:rsidP="00DB4BC7">
      <w:pPr>
        <w:pStyle w:val="base-text-paragraph"/>
        <w:numPr>
          <w:ilvl w:val="1"/>
          <w:numId w:val="22"/>
        </w:numPr>
      </w:pPr>
      <w:r>
        <w:t xml:space="preserve">The Main Repeal Bill amends the CC Act to include a new prohibition against price exploitation in relation to the carbon tax repeal.  This will let the ACCC take action against entities that engage in price exploitation following the repeal of the carbon tax.  </w:t>
      </w:r>
      <w:r w:rsidRPr="00267F11">
        <w:rPr>
          <w:rStyle w:val="Referencingstyle"/>
        </w:rPr>
        <w:t>[Schedule 2, item</w:t>
      </w:r>
      <w:r>
        <w:rPr>
          <w:rStyle w:val="Referencingstyle"/>
        </w:rPr>
        <w:t> </w:t>
      </w:r>
      <w:r w:rsidRPr="00267F11">
        <w:rPr>
          <w:rStyle w:val="Referencingstyle"/>
        </w:rPr>
        <w:t>3</w:t>
      </w:r>
      <w:r>
        <w:rPr>
          <w:rStyle w:val="Referencingstyle"/>
        </w:rPr>
        <w:t>, section 60</w:t>
      </w:r>
      <w:r w:rsidRPr="00267F11">
        <w:rPr>
          <w:rStyle w:val="Referencingstyle"/>
        </w:rPr>
        <w:t xml:space="preserve">, </w:t>
      </w:r>
      <w:r>
        <w:rPr>
          <w:rStyle w:val="Referencingstyle"/>
        </w:rPr>
        <w:t>CC Act</w:t>
      </w:r>
      <w:r w:rsidRPr="00267F11">
        <w:rPr>
          <w:rStyle w:val="Referencingstyle"/>
        </w:rPr>
        <w:t>]</w:t>
      </w:r>
    </w:p>
    <w:p w:rsidR="00DB4BC7" w:rsidRPr="00A96518" w:rsidRDefault="00DB4BC7" w:rsidP="00DB4BC7">
      <w:pPr>
        <w:pStyle w:val="base-text-paragraph"/>
        <w:numPr>
          <w:ilvl w:val="1"/>
          <w:numId w:val="22"/>
        </w:numPr>
        <w:rPr>
          <w:rStyle w:val="Referencingstyle"/>
          <w:b w:val="0"/>
          <w:i w:val="0"/>
          <w:sz w:val="22"/>
        </w:rPr>
      </w:pPr>
      <w:r>
        <w:t xml:space="preserve">The amendments to the CC Act include a summary of new Part V, which provides a simplified outline of the new price exploitation and monitoring provisions.  </w:t>
      </w:r>
      <w:r w:rsidRPr="00267F11">
        <w:rPr>
          <w:rStyle w:val="Referencingstyle"/>
        </w:rPr>
        <w:t>[Schedule 2, item 3</w:t>
      </w:r>
      <w:bookmarkStart w:id="8" w:name="_Toc370720034"/>
      <w:r>
        <w:rPr>
          <w:rStyle w:val="Referencingstyle"/>
        </w:rPr>
        <w:t>,</w:t>
      </w:r>
      <w:r w:rsidRPr="00267F11">
        <w:rPr>
          <w:rStyle w:val="Referencingstyle"/>
          <w:rFonts w:eastAsia="Calibri"/>
        </w:rPr>
        <w:t xml:space="preserve"> </w:t>
      </w:r>
      <w:bookmarkEnd w:id="8"/>
      <w:r>
        <w:rPr>
          <w:rStyle w:val="Referencingstyle"/>
        </w:rPr>
        <w:t>section 60</w:t>
      </w:r>
      <w:r w:rsidRPr="00267F11">
        <w:rPr>
          <w:rStyle w:val="Referencingstyle"/>
        </w:rPr>
        <w:t xml:space="preserve">, </w:t>
      </w:r>
      <w:r>
        <w:rPr>
          <w:rStyle w:val="Referencingstyle"/>
        </w:rPr>
        <w:t>CC Act</w:t>
      </w:r>
      <w:r w:rsidRPr="00267F11">
        <w:rPr>
          <w:rStyle w:val="Referencingstyle"/>
        </w:rPr>
        <w:t>]</w:t>
      </w:r>
    </w:p>
    <w:p w:rsidR="00DB4BC7" w:rsidRDefault="00DB4BC7" w:rsidP="00DB4BC7">
      <w:pPr>
        <w:pStyle w:val="base-text-paragraph"/>
        <w:numPr>
          <w:ilvl w:val="1"/>
          <w:numId w:val="22"/>
        </w:numPr>
      </w:pPr>
      <w:r>
        <w:t xml:space="preserve">The amendments insert a new objects clause into Part V of the CC Act. </w:t>
      </w:r>
      <w:r w:rsidRPr="00D6350B">
        <w:rPr>
          <w:rStyle w:val="Referencingstyle"/>
        </w:rPr>
        <w:t>[</w:t>
      </w:r>
      <w:r>
        <w:rPr>
          <w:rStyle w:val="Referencingstyle"/>
        </w:rPr>
        <w:t>Schedule 2, item 3, section 60AA, CC Act</w:t>
      </w:r>
      <w:r w:rsidRPr="00D6350B">
        <w:rPr>
          <w:rStyle w:val="Referencingstyle"/>
        </w:rPr>
        <w:t>]</w:t>
      </w:r>
      <w:r>
        <w:rPr>
          <w:rStyle w:val="Referencingstyle"/>
        </w:rPr>
        <w:t xml:space="preserve">  </w:t>
      </w:r>
      <w:r>
        <w:t>The main objects of Part V of the CC Act are:</w:t>
      </w:r>
    </w:p>
    <w:p w:rsidR="00DB4BC7" w:rsidRPr="0065534F" w:rsidRDefault="00DB4BC7" w:rsidP="00DB4BC7">
      <w:pPr>
        <w:pStyle w:val="dotpoint"/>
      </w:pPr>
      <w:r w:rsidRPr="0065534F">
        <w:t xml:space="preserve">to deter price exploitation in relation to the carbon tax repeal at each </w:t>
      </w:r>
      <w:r>
        <w:t>point</w:t>
      </w:r>
      <w:r w:rsidRPr="0065534F">
        <w:t xml:space="preserve"> in the supply chain for regulated goods; and</w:t>
      </w:r>
    </w:p>
    <w:p w:rsidR="00DB4BC7" w:rsidRPr="0073389B" w:rsidRDefault="00DB4BC7" w:rsidP="00DB4BC7">
      <w:pPr>
        <w:pStyle w:val="dotpoint"/>
      </w:pPr>
      <w:r w:rsidRPr="00182FA7">
        <w:t xml:space="preserve">to ensure that all cost savings attributable to the carbon tax repeal are passed through the supply chain for regulated goods.  </w:t>
      </w:r>
      <w:r w:rsidRPr="00182FA7">
        <w:rPr>
          <w:rStyle w:val="Referencingstyle"/>
        </w:rPr>
        <w:t>[</w:t>
      </w:r>
      <w:r>
        <w:rPr>
          <w:rStyle w:val="Referencingstyle"/>
        </w:rPr>
        <w:t xml:space="preserve">Schedule 2, </w:t>
      </w:r>
      <w:r w:rsidRPr="0073389B">
        <w:rPr>
          <w:rStyle w:val="Referencingstyle"/>
        </w:rPr>
        <w:t>item 3, section 60AA(1), CC Act]</w:t>
      </w:r>
    </w:p>
    <w:p w:rsidR="00DB4BC7" w:rsidRPr="00182FA7" w:rsidRDefault="00DB4BC7" w:rsidP="00DB4BC7">
      <w:pPr>
        <w:pStyle w:val="base-text-paragraph"/>
        <w:numPr>
          <w:ilvl w:val="1"/>
          <w:numId w:val="22"/>
        </w:numPr>
      </w:pPr>
      <w:r w:rsidRPr="0073389B">
        <w:t xml:space="preserve">The amendments also clarify that the intention of the Parliament in enacting Part V of the CC Act is to ensure that all cost savings attributable to the carbon tax repeal are passed on to consumers of regulated goods through lower prices.  </w:t>
      </w:r>
      <w:r w:rsidRPr="0073389B">
        <w:rPr>
          <w:rStyle w:val="Referencingstyle"/>
        </w:rPr>
        <w:t>[Schedule 2, item3, section</w:t>
      </w:r>
      <w:r w:rsidRPr="00182FA7">
        <w:rPr>
          <w:rStyle w:val="Referencingstyle"/>
        </w:rPr>
        <w:t> 60AA(</w:t>
      </w:r>
      <w:r>
        <w:rPr>
          <w:rStyle w:val="Referencingstyle"/>
        </w:rPr>
        <w:t>2</w:t>
      </w:r>
      <w:r w:rsidRPr="00182FA7">
        <w:rPr>
          <w:rStyle w:val="Referencingstyle"/>
        </w:rPr>
        <w:t>), CC Act]</w:t>
      </w:r>
    </w:p>
    <w:p w:rsidR="00DB4BC7" w:rsidRDefault="00DB4BC7" w:rsidP="00DB4BC7">
      <w:pPr>
        <w:pStyle w:val="base-text-paragraph"/>
        <w:numPr>
          <w:ilvl w:val="1"/>
          <w:numId w:val="22"/>
        </w:numPr>
      </w:pPr>
      <w:r>
        <w:t>By expressly stating the objects of Part V of the CC Act and the intention of the Parliament in enacting Part V, the intention is to ensure that Part V of the CC Act will be interpreted in such a manner that:</w:t>
      </w:r>
    </w:p>
    <w:p w:rsidR="00DB4BC7" w:rsidRDefault="00DB4BC7" w:rsidP="00DB4BC7">
      <w:pPr>
        <w:pStyle w:val="dotpoint"/>
      </w:pPr>
      <w:r>
        <w:t>price exploitation in relation to the carbon tax repeal will be deterred at each point in the supply chain for regulated goods; and</w:t>
      </w:r>
    </w:p>
    <w:p w:rsidR="00DB4BC7" w:rsidRPr="00182FA7" w:rsidRDefault="00DB4BC7" w:rsidP="00DB4BC7">
      <w:pPr>
        <w:pStyle w:val="dotpoint"/>
      </w:pPr>
      <w:r w:rsidRPr="00182FA7">
        <w:t>all cost savings attributable to the carbon tax repeal are passed through the supply chain for regulated goods; and</w:t>
      </w:r>
    </w:p>
    <w:p w:rsidR="00DB4BC7" w:rsidRPr="00182FA7" w:rsidRDefault="00DB4BC7" w:rsidP="00DB4BC7">
      <w:pPr>
        <w:pStyle w:val="dotpoint"/>
      </w:pPr>
      <w:r w:rsidRPr="00182FA7">
        <w:t>all cost savings attributable to the carbon tax repeal are passed on to consumers of regulated goods through lower prices.</w:t>
      </w:r>
    </w:p>
    <w:p w:rsidR="00DB4BC7" w:rsidRDefault="00DB4BC7" w:rsidP="00DB4BC7">
      <w:pPr>
        <w:pStyle w:val="base-text-paragraph"/>
        <w:numPr>
          <w:ilvl w:val="1"/>
          <w:numId w:val="22"/>
        </w:numPr>
      </w:pPr>
      <w:r>
        <w:t xml:space="preserve">The price exploitation prohibition applies to the regulated supply of regulated goods during the carbon tax repeal transition period, which is the period beginning at the start of 1 July 2014 and ending at the end of 30 June 2015.  </w:t>
      </w:r>
      <w:r w:rsidRPr="00B35780">
        <w:rPr>
          <w:rStyle w:val="Referencingstyle"/>
        </w:rPr>
        <w:t xml:space="preserve">[Schedule 2, </w:t>
      </w:r>
      <w:r>
        <w:rPr>
          <w:rStyle w:val="Referencingstyle"/>
        </w:rPr>
        <w:t>item</w:t>
      </w:r>
      <w:r w:rsidRPr="00B35780">
        <w:rPr>
          <w:rStyle w:val="Referencingstyle"/>
        </w:rPr>
        <w:t xml:space="preserve"> 3, </w:t>
      </w:r>
      <w:r>
        <w:rPr>
          <w:rStyle w:val="Referencingstyle"/>
        </w:rPr>
        <w:t>Part V</w:t>
      </w:r>
      <w:r w:rsidRPr="00B35780">
        <w:rPr>
          <w:rStyle w:val="Referencingstyle"/>
        </w:rPr>
        <w:t xml:space="preserve">, </w:t>
      </w:r>
      <w:r>
        <w:rPr>
          <w:rStyle w:val="Referencingstyle"/>
        </w:rPr>
        <w:t>CC Act</w:t>
      </w:r>
      <w:r w:rsidRPr="00B35780">
        <w:rPr>
          <w:rStyle w:val="Referencingstyle"/>
        </w:rPr>
        <w:t>]</w:t>
      </w:r>
    </w:p>
    <w:p w:rsidR="00DB4BC7" w:rsidRPr="006179B0" w:rsidRDefault="00DB4BC7" w:rsidP="00DB4BC7">
      <w:pPr>
        <w:pStyle w:val="base-text-paragraph"/>
        <w:numPr>
          <w:ilvl w:val="1"/>
          <w:numId w:val="22"/>
        </w:numPr>
        <w:rPr>
          <w:rStyle w:val="Referencingstyle"/>
          <w:b w:val="0"/>
          <w:i w:val="0"/>
          <w:sz w:val="22"/>
        </w:rPr>
      </w:pPr>
      <w:r w:rsidRPr="00DA0562">
        <w:t>‘</w:t>
      </w:r>
      <w:r>
        <w:t>R</w:t>
      </w:r>
      <w:r w:rsidRPr="00DA0562">
        <w:t>egulated supply’</w:t>
      </w:r>
      <w:r>
        <w:t xml:space="preserve"> means </w:t>
      </w:r>
      <w:r w:rsidRPr="00FF7903">
        <w:t>a supply of regulated goods that occurs during the carbon tax repeal transition</w:t>
      </w:r>
      <w:r>
        <w:t xml:space="preserve"> period (from 1 July 2014 to 30 June </w:t>
      </w:r>
      <w:r w:rsidRPr="00FF7903">
        <w:t>2015)</w:t>
      </w:r>
      <w:r>
        <w:t xml:space="preserve">.  </w:t>
      </w:r>
      <w:r w:rsidRPr="00A916F4">
        <w:rPr>
          <w:rStyle w:val="Referencingstyle"/>
        </w:rPr>
        <w:t xml:space="preserve">[Schedule 2, </w:t>
      </w:r>
      <w:r>
        <w:rPr>
          <w:rStyle w:val="Referencingstyle"/>
        </w:rPr>
        <w:t>item</w:t>
      </w:r>
      <w:r w:rsidRPr="00A916F4">
        <w:rPr>
          <w:rStyle w:val="Referencingstyle"/>
        </w:rPr>
        <w:t xml:space="preserve"> 3, section 60A, </w:t>
      </w:r>
      <w:r>
        <w:rPr>
          <w:rStyle w:val="Referencingstyle"/>
        </w:rPr>
        <w:t>CC Act</w:t>
      </w:r>
      <w:r w:rsidRPr="00A916F4">
        <w:rPr>
          <w:rStyle w:val="Referencingstyle"/>
        </w:rPr>
        <w:t>]</w:t>
      </w:r>
    </w:p>
    <w:p w:rsidR="00DB4BC7" w:rsidRDefault="00DB4BC7" w:rsidP="00DB4BC7">
      <w:pPr>
        <w:pStyle w:val="base-text-paragraph"/>
        <w:numPr>
          <w:ilvl w:val="1"/>
          <w:numId w:val="22"/>
        </w:numPr>
      </w:pPr>
      <w:r w:rsidRPr="00DA0562">
        <w:t>‘</w:t>
      </w:r>
      <w:r>
        <w:t>P</w:t>
      </w:r>
      <w:r w:rsidRPr="00DA0562">
        <w:t xml:space="preserve">rice’ </w:t>
      </w:r>
      <w:r>
        <w:t xml:space="preserve">means </w:t>
      </w:r>
      <w:r w:rsidRPr="007A3AEA">
        <w:t>a charge of any description for the supply and any pecuniary or other benefit, whether direct or indirect, received or to be received by a person for or in connection with the supply</w:t>
      </w:r>
      <w:r>
        <w:t xml:space="preserve">.  </w:t>
      </w:r>
      <w:r w:rsidRPr="00A916F4">
        <w:rPr>
          <w:rStyle w:val="Referencingstyle"/>
        </w:rPr>
        <w:t xml:space="preserve">[Schedule 2, </w:t>
      </w:r>
      <w:r>
        <w:rPr>
          <w:rStyle w:val="Referencingstyle"/>
        </w:rPr>
        <w:t>item </w:t>
      </w:r>
      <w:r w:rsidRPr="00A916F4">
        <w:rPr>
          <w:rStyle w:val="Referencingstyle"/>
        </w:rPr>
        <w:t xml:space="preserve">3, section 60A, </w:t>
      </w:r>
      <w:r>
        <w:rPr>
          <w:rStyle w:val="Referencingstyle"/>
        </w:rPr>
        <w:t>CC Act]</w:t>
      </w:r>
    </w:p>
    <w:p w:rsidR="00DB4BC7" w:rsidRPr="00536186" w:rsidRDefault="00DB4BC7" w:rsidP="00DB4BC7">
      <w:pPr>
        <w:pStyle w:val="base-text-paragraph"/>
        <w:numPr>
          <w:ilvl w:val="1"/>
          <w:numId w:val="22"/>
        </w:numPr>
        <w:rPr>
          <w:rStyle w:val="Referencingstyle"/>
          <w:b w:val="0"/>
          <w:i w:val="0"/>
          <w:sz w:val="22"/>
        </w:rPr>
      </w:pPr>
      <w:r w:rsidRPr="00DA0562">
        <w:t>‘Regulated goods’</w:t>
      </w:r>
      <w:r w:rsidRPr="00FF7903">
        <w:t xml:space="preserve"> means natural gas, electricity, </w:t>
      </w:r>
      <w:r>
        <w:t>SGGs, SGG </w:t>
      </w:r>
      <w:r w:rsidRPr="00FF7903">
        <w:t>equipment or any other kind of good prescribed by the Minister through a legislative instrument</w:t>
      </w:r>
      <w:r>
        <w:t xml:space="preserve">, which is disallowable by either House of the Parliament under section 42 of the </w:t>
      </w:r>
      <w:r>
        <w:rPr>
          <w:i/>
        </w:rPr>
        <w:t>Legislative Instruments Act 2003</w:t>
      </w:r>
      <w:r>
        <w:t xml:space="preserve">.  This power will allow the Minister, in the event that there are significant concerns about pricing behaviour in other markets or sectors, to extend the operation of the price exploitation power to these additional markets or sectors.  The list of regulated goods is intended to cover retail and wholesale electricity and natural gas, as well as supplies of SGGs throughout the supply chain.  </w:t>
      </w:r>
      <w:r w:rsidRPr="00930F53">
        <w:rPr>
          <w:rStyle w:val="Referencingstyle"/>
        </w:rPr>
        <w:t xml:space="preserve">[Schedule 2, </w:t>
      </w:r>
      <w:r>
        <w:rPr>
          <w:rStyle w:val="Referencingstyle"/>
        </w:rPr>
        <w:t>item</w:t>
      </w:r>
      <w:r w:rsidRPr="00930F53">
        <w:rPr>
          <w:rStyle w:val="Referencingstyle"/>
        </w:rPr>
        <w:t xml:space="preserve"> 3, section 60B</w:t>
      </w:r>
      <w:r>
        <w:rPr>
          <w:rStyle w:val="Referencingstyle"/>
        </w:rPr>
        <w:t>, CC Act</w:t>
      </w:r>
      <w:r w:rsidRPr="00930F53">
        <w:rPr>
          <w:rStyle w:val="Referencingstyle"/>
        </w:rPr>
        <w:t>]</w:t>
      </w:r>
      <w:r>
        <w:rPr>
          <w:rStyle w:val="Referencingstyle"/>
        </w:rPr>
        <w:t xml:space="preserve"> </w:t>
      </w:r>
      <w:r w:rsidRPr="00B35780">
        <w:rPr>
          <w:rStyle w:val="Referencingstyle"/>
        </w:rPr>
        <w:t xml:space="preserve">[Schedule 2, </w:t>
      </w:r>
      <w:r>
        <w:rPr>
          <w:rStyle w:val="Referencingstyle"/>
        </w:rPr>
        <w:t>item</w:t>
      </w:r>
      <w:r w:rsidRPr="00B35780">
        <w:rPr>
          <w:rStyle w:val="Referencingstyle"/>
        </w:rPr>
        <w:t xml:space="preserve"> 3, section 60A, </w:t>
      </w:r>
      <w:r>
        <w:rPr>
          <w:rStyle w:val="Referencingstyle"/>
        </w:rPr>
        <w:t>CC Act</w:t>
      </w:r>
      <w:r w:rsidRPr="00B35780">
        <w:rPr>
          <w:rStyle w:val="Referencingstyle"/>
        </w:rPr>
        <w:t>]</w:t>
      </w:r>
      <w:r w:rsidRPr="00CC1FA3">
        <w:rPr>
          <w:rStyle w:val="Referencingstyle"/>
        </w:rPr>
        <w:t xml:space="preserve"> [Schedule 2, </w:t>
      </w:r>
      <w:r>
        <w:rPr>
          <w:rStyle w:val="Referencingstyle"/>
        </w:rPr>
        <w:t>item</w:t>
      </w:r>
      <w:r w:rsidRPr="00CC1FA3">
        <w:rPr>
          <w:rStyle w:val="Referencingstyle"/>
        </w:rPr>
        <w:t xml:space="preserve"> 3, section 60B(1)</w:t>
      </w:r>
      <w:r>
        <w:rPr>
          <w:rStyle w:val="Referencingstyle"/>
        </w:rPr>
        <w:t>, CC Act]</w:t>
      </w:r>
    </w:p>
    <w:p w:rsidR="00DB4BC7" w:rsidRPr="00930F53" w:rsidRDefault="00DB4BC7" w:rsidP="00DB4BC7">
      <w:pPr>
        <w:pStyle w:val="base-text-paragraph"/>
        <w:numPr>
          <w:ilvl w:val="1"/>
          <w:numId w:val="22"/>
        </w:numPr>
        <w:rPr>
          <w:rStyle w:val="Referencingstyle"/>
          <w:b w:val="0"/>
          <w:i w:val="0"/>
          <w:sz w:val="22"/>
        </w:rPr>
      </w:pPr>
      <w:r w:rsidRPr="00A916F4">
        <w:t>Definitions for</w:t>
      </w:r>
      <w:r>
        <w:t xml:space="preserve"> ‘synthetic greenhouse gases’</w:t>
      </w:r>
      <w:r w:rsidRPr="00A916F4">
        <w:t xml:space="preserve"> and </w:t>
      </w:r>
      <w:r>
        <w:t>‘synthetic greenhouse gas</w:t>
      </w:r>
      <w:r w:rsidRPr="00A916F4">
        <w:t xml:space="preserve"> equipment</w:t>
      </w:r>
      <w:r>
        <w:t xml:space="preserve">’ </w:t>
      </w:r>
      <w:r w:rsidRPr="00A916F4">
        <w:t xml:space="preserve">are the same as their respective meanings in the </w:t>
      </w:r>
      <w:r w:rsidRPr="003D42E9">
        <w:rPr>
          <w:i/>
        </w:rPr>
        <w:t>Ozone Protection and Synthetic Greenhouse Gases Management Act 1989</w:t>
      </w:r>
      <w:r>
        <w:t xml:space="preserve"> (Ozone Management Act). Definition of ‘bulk SGG importer’ is an entity who holds a controlled substances licence for the import of synthetic greenhouse gas under the Ozone Management Act.  </w:t>
      </w:r>
      <w:r w:rsidRPr="00A916F4">
        <w:rPr>
          <w:rStyle w:val="Referencingstyle"/>
        </w:rPr>
        <w:t xml:space="preserve">[Schedule 2, </w:t>
      </w:r>
      <w:r>
        <w:rPr>
          <w:rStyle w:val="Referencingstyle"/>
        </w:rPr>
        <w:t>item</w:t>
      </w:r>
      <w:r w:rsidRPr="00A916F4">
        <w:rPr>
          <w:rStyle w:val="Referencingstyle"/>
        </w:rPr>
        <w:t xml:space="preserve"> 3, section 60A, </w:t>
      </w:r>
      <w:r>
        <w:rPr>
          <w:rStyle w:val="Referencingstyle"/>
        </w:rPr>
        <w:t>CC Act</w:t>
      </w:r>
      <w:r w:rsidRPr="004D564B">
        <w:rPr>
          <w:rStyle w:val="Referencingstyle"/>
        </w:rPr>
        <w:t>]</w:t>
      </w:r>
    </w:p>
    <w:p w:rsidR="00DB4BC7" w:rsidRDefault="00DB4BC7" w:rsidP="00DB4BC7">
      <w:pPr>
        <w:pStyle w:val="base-text-paragraph"/>
        <w:numPr>
          <w:ilvl w:val="1"/>
          <w:numId w:val="22"/>
        </w:numPr>
      </w:pPr>
      <w:r>
        <w:t xml:space="preserve">New section 60C of the CC Act sets out the prohibition on price exploitation in relation to the carbon tax repeal.  </w:t>
      </w:r>
      <w:r w:rsidRPr="003238C5">
        <w:t>It con</w:t>
      </w:r>
      <w:r>
        <w:t>tains a number of elements.  An entity  that engages in price exploitation in relation to the carbon tax repeal if, and only if:</w:t>
      </w:r>
    </w:p>
    <w:p w:rsidR="00DB4BC7" w:rsidRPr="00A409EC" w:rsidRDefault="00DB4BC7" w:rsidP="00DB4BC7">
      <w:pPr>
        <w:pStyle w:val="dotpoint"/>
      </w:pPr>
      <w:r>
        <w:t xml:space="preserve">it makes a regulated supply; </w:t>
      </w:r>
    </w:p>
    <w:p w:rsidR="00DB4BC7" w:rsidRDefault="00DB4BC7" w:rsidP="00DB4BC7">
      <w:pPr>
        <w:pStyle w:val="dotpoint"/>
      </w:pPr>
      <w:r w:rsidRPr="000532F1">
        <w:t>the price for the supply does not pass through all of the entity</w:t>
      </w:r>
      <w:r>
        <w:t>’</w:t>
      </w:r>
      <w:r w:rsidRPr="000532F1">
        <w:t>s cost savings relating to the supply that are directly or indirectly attributable to the carbon tax repeal</w:t>
      </w:r>
      <w:r>
        <w:t xml:space="preserve">.  </w:t>
      </w:r>
      <w:r w:rsidRPr="00D2363D">
        <w:rPr>
          <w:rStyle w:val="Referencingstyle"/>
        </w:rPr>
        <w:t>[Schedule 2, item 3, section 60C, CC Act] [Schedule 2, item 3, section 60C(2), CC Act]</w:t>
      </w:r>
      <w:r w:rsidRPr="002640A5">
        <w:t xml:space="preserve">  </w:t>
      </w:r>
    </w:p>
    <w:p w:rsidR="00DB4BC7" w:rsidRDefault="00DB4BC7" w:rsidP="00DB4BC7">
      <w:pPr>
        <w:pStyle w:val="base-text-paragraph"/>
        <w:numPr>
          <w:ilvl w:val="1"/>
          <w:numId w:val="22"/>
        </w:numPr>
      </w:pPr>
      <w:r>
        <w:t xml:space="preserve">When </w:t>
      </w:r>
      <w:r w:rsidRPr="000532F1">
        <w:t>determining whether the price for a supply made by an entity does not pass through all of the entity</w:t>
      </w:r>
      <w:r>
        <w:t>’</w:t>
      </w:r>
      <w:r w:rsidRPr="000532F1">
        <w:t xml:space="preserve">s cost savings relating to the supply that are directly or indirectly attributable to the carbon tax repeal, </w:t>
      </w:r>
      <w:r>
        <w:t xml:space="preserve">the amendments provide that </w:t>
      </w:r>
      <w:r w:rsidRPr="000532F1">
        <w:t xml:space="preserve">regard </w:t>
      </w:r>
      <w:r>
        <w:t xml:space="preserve">is </w:t>
      </w:r>
      <w:r w:rsidRPr="000532F1">
        <w:t>to</w:t>
      </w:r>
      <w:r>
        <w:t xml:space="preserve"> be had to:</w:t>
      </w:r>
    </w:p>
    <w:p w:rsidR="00DB4BC7" w:rsidRDefault="00DB4BC7" w:rsidP="00DB4BC7">
      <w:pPr>
        <w:pStyle w:val="dotpoint"/>
      </w:pPr>
      <w:r w:rsidRPr="000532F1">
        <w:t xml:space="preserve"> the entity</w:t>
      </w:r>
      <w:r>
        <w:t>’</w:t>
      </w:r>
      <w:r w:rsidRPr="000532F1">
        <w:t>s cost savings that are directly or indirectly attrib</w:t>
      </w:r>
      <w:r>
        <w:t>utable to the carbon tax repeal;</w:t>
      </w:r>
    </w:p>
    <w:p w:rsidR="00DB4BC7" w:rsidRDefault="00DB4BC7" w:rsidP="00DB4BC7">
      <w:pPr>
        <w:pStyle w:val="dotpoint"/>
      </w:pPr>
      <w:r w:rsidRPr="000532F1">
        <w:t>how th</w:t>
      </w:r>
      <w:r>
        <w:t>os</w:t>
      </w:r>
      <w:r w:rsidRPr="000532F1">
        <w:t>e cost savings can reasonably be attributed to the different</w:t>
      </w:r>
      <w:r>
        <w:t xml:space="preserve"> supplies that the entity makes;</w:t>
      </w:r>
    </w:p>
    <w:p w:rsidR="00DB4BC7" w:rsidRDefault="00DB4BC7" w:rsidP="00DB4BC7">
      <w:pPr>
        <w:pStyle w:val="dotpoint"/>
      </w:pPr>
      <w:r w:rsidRPr="000532F1">
        <w:t>the entity</w:t>
      </w:r>
      <w:r>
        <w:t>’</w:t>
      </w:r>
      <w:r w:rsidRPr="000532F1">
        <w:t>s costs</w:t>
      </w:r>
      <w:r>
        <w:t>; and</w:t>
      </w:r>
    </w:p>
    <w:p w:rsidR="00DB4BC7" w:rsidRDefault="00DB4BC7" w:rsidP="00DB4BC7">
      <w:pPr>
        <w:pStyle w:val="dotpoint"/>
        <w:rPr>
          <w:rStyle w:val="Referencingstyle"/>
          <w:b w:val="0"/>
          <w:i w:val="0"/>
          <w:sz w:val="22"/>
        </w:rPr>
      </w:pPr>
      <w:r w:rsidRPr="000532F1">
        <w:t>any other relevant matter that may reasonably influence the price.</w:t>
      </w:r>
      <w:r w:rsidRPr="00A96D08">
        <w:t xml:space="preserve"> </w:t>
      </w:r>
      <w:r w:rsidRPr="00A96D08">
        <w:rPr>
          <w:rStyle w:val="Referencingstyle"/>
        </w:rPr>
        <w:t>[Schedule 2, item 3, section 60C(2), CC Act]</w:t>
      </w:r>
    </w:p>
    <w:p w:rsidR="00DB4BC7" w:rsidRPr="00182FA7" w:rsidRDefault="00DB4BC7" w:rsidP="00DB4BC7">
      <w:pPr>
        <w:pStyle w:val="base-text-paragraph"/>
        <w:numPr>
          <w:ilvl w:val="1"/>
          <w:numId w:val="22"/>
        </w:numPr>
      </w:pPr>
      <w:r w:rsidRPr="00182FA7">
        <w:t xml:space="preserve">The intention of these </w:t>
      </w:r>
      <w:r>
        <w:t>provision</w:t>
      </w:r>
      <w:r w:rsidRPr="00182FA7">
        <w:t>s is to ensure that suppliers of a regulated supply must pass on all savings that are directly or indirectly attributable to the carbon tax.   However</w:t>
      </w:r>
      <w:r>
        <w:t>,</w:t>
      </w:r>
      <w:r w:rsidRPr="00182FA7">
        <w:t xml:space="preserve"> it also recognises that </w:t>
      </w:r>
      <w:r>
        <w:t xml:space="preserve">a number of factors influence prices.  While all cost savings from </w:t>
      </w:r>
      <w:r w:rsidRPr="00182FA7">
        <w:t xml:space="preserve">the removal of the carbon tax </w:t>
      </w:r>
      <w:r>
        <w:t>are to be passed through in lower prices, other factors may affect prices in the opposite direction at the same time.  For example, if the input costs of a supply are increasing significantly at the same time as the carbon tax is removed, pass through of cost savings from the removal of the carbon tax might result in a smaller price increase than would have occurred with the carbon tax in place, rather than a price reduction.  The provision also requires that where an entity supplies multiple goods, they must pass on the cost savings that relate to each particular good in the price for that particular good.</w:t>
      </w:r>
    </w:p>
    <w:p w:rsidR="00DB4BC7" w:rsidRPr="00D36722" w:rsidRDefault="00DB4BC7" w:rsidP="00DB4BC7">
      <w:pPr>
        <w:pStyle w:val="base-text-paragraph"/>
        <w:numPr>
          <w:ilvl w:val="1"/>
          <w:numId w:val="22"/>
        </w:numPr>
        <w:rPr>
          <w:rStyle w:val="Referencingstyle"/>
          <w:b w:val="0"/>
          <w:i w:val="0"/>
          <w:sz w:val="22"/>
        </w:rPr>
      </w:pPr>
      <w:r w:rsidRPr="00D36722">
        <w:t xml:space="preserve">If a </w:t>
      </w:r>
      <w:r>
        <w:t>C</w:t>
      </w:r>
      <w:r w:rsidRPr="00D36722">
        <w:t xml:space="preserve">ourt finds that </w:t>
      </w:r>
      <w:r>
        <w:t>an entity</w:t>
      </w:r>
      <w:r w:rsidRPr="00D36722">
        <w:t xml:space="preserve"> has contravened this prohibition, then it may be subject to maximum civil pecuniary penalties of 6,</w:t>
      </w:r>
      <w:r>
        <w:t>471</w:t>
      </w:r>
      <w:r w:rsidRPr="00D36722">
        <w:t xml:space="preserve"> penalty units ($1,</w:t>
      </w:r>
      <w:r>
        <w:t>100</w:t>
      </w:r>
      <w:r w:rsidRPr="00D36722">
        <w:t>,0</w:t>
      </w:r>
      <w:r>
        <w:t>7</w:t>
      </w:r>
      <w:r w:rsidRPr="00D36722">
        <w:t>0) and 1,</w:t>
      </w:r>
      <w:r>
        <w:t>295</w:t>
      </w:r>
      <w:r w:rsidRPr="00D36722">
        <w:t xml:space="preserve"> penalty units ($2</w:t>
      </w:r>
      <w:r>
        <w:t>20</w:t>
      </w:r>
      <w:r w:rsidRPr="00D36722">
        <w:t>,</w:t>
      </w:r>
      <w:r>
        <w:t>150</w:t>
      </w:r>
      <w:r w:rsidRPr="00D36722">
        <w:t xml:space="preserve">) for a </w:t>
      </w:r>
      <w:r>
        <w:t>body corporate</w:t>
      </w:r>
      <w:r w:rsidRPr="00D36722">
        <w:t xml:space="preserve"> and </w:t>
      </w:r>
      <w:r>
        <w:t xml:space="preserve">a person other than a body corporate </w:t>
      </w:r>
      <w:r w:rsidRPr="00D36722">
        <w:t>respectively</w:t>
      </w:r>
      <w:r>
        <w:t xml:space="preserve">.  </w:t>
      </w:r>
      <w:r w:rsidRPr="00D36722">
        <w:t>These</w:t>
      </w:r>
      <w:r>
        <w:t> </w:t>
      </w:r>
      <w:r w:rsidRPr="00D36722">
        <w:t>penalty amounts are in line with the penalty amounts under the ACL for a wide range of offences, including false and misleading representations</w:t>
      </w:r>
      <w:r>
        <w:t xml:space="preserve">.  </w:t>
      </w:r>
      <w:r w:rsidRPr="00D36722">
        <w:rPr>
          <w:rStyle w:val="Referencingstyle"/>
        </w:rPr>
        <w:t>[Schedule 2, item</w:t>
      </w:r>
      <w:r>
        <w:rPr>
          <w:rStyle w:val="Referencingstyle"/>
        </w:rPr>
        <w:t>s</w:t>
      </w:r>
      <w:r w:rsidRPr="00D36722">
        <w:rPr>
          <w:rStyle w:val="Referencingstyle"/>
        </w:rPr>
        <w:t xml:space="preserve"> 5, </w:t>
      </w:r>
      <w:r>
        <w:rPr>
          <w:rStyle w:val="Referencingstyle"/>
        </w:rPr>
        <w:t>section</w:t>
      </w:r>
      <w:r w:rsidRPr="00D36722">
        <w:rPr>
          <w:rStyle w:val="Referencingstyle"/>
        </w:rPr>
        <w:t xml:space="preserve"> 76(1)(a</w:t>
      </w:r>
      <w:r>
        <w:rPr>
          <w:rStyle w:val="Referencingstyle"/>
        </w:rPr>
        <w:t>)(i),</w:t>
      </w:r>
      <w:r w:rsidRPr="00D84E95">
        <w:rPr>
          <w:rStyle w:val="Referencingstyle"/>
        </w:rPr>
        <w:t xml:space="preserve"> </w:t>
      </w:r>
      <w:r>
        <w:rPr>
          <w:rStyle w:val="Referencingstyle"/>
        </w:rPr>
        <w:t>CC Act] [Schedule 2, item</w:t>
      </w:r>
      <w:r w:rsidRPr="00D36722">
        <w:rPr>
          <w:rStyle w:val="Referencingstyle"/>
        </w:rPr>
        <w:t xml:space="preserve"> 6</w:t>
      </w:r>
      <w:r>
        <w:rPr>
          <w:rStyle w:val="Referencingstyle"/>
        </w:rPr>
        <w:t>, section</w:t>
      </w:r>
      <w:r w:rsidRPr="00D36722">
        <w:rPr>
          <w:rStyle w:val="Referencingstyle"/>
        </w:rPr>
        <w:t xml:space="preserve"> 76(1A)(b</w:t>
      </w:r>
      <w:r>
        <w:rPr>
          <w:rStyle w:val="Referencingstyle"/>
        </w:rPr>
        <w:t>), CC Act] [Schedule 2, item</w:t>
      </w:r>
      <w:r w:rsidRPr="00D36722">
        <w:rPr>
          <w:rStyle w:val="Referencingstyle"/>
        </w:rPr>
        <w:t xml:space="preserve"> 7</w:t>
      </w:r>
      <w:r>
        <w:rPr>
          <w:rStyle w:val="Referencingstyle"/>
        </w:rPr>
        <w:t>, section</w:t>
      </w:r>
      <w:r w:rsidRPr="00D36722">
        <w:rPr>
          <w:rStyle w:val="Referencingstyle"/>
        </w:rPr>
        <w:t xml:space="preserve"> 76(1B)(a)</w:t>
      </w:r>
      <w:r>
        <w:rPr>
          <w:rStyle w:val="Referencingstyle"/>
        </w:rPr>
        <w:t>, CC Act</w:t>
      </w:r>
      <w:r w:rsidRPr="00D36722">
        <w:rPr>
          <w:rStyle w:val="Referencingstyle"/>
        </w:rPr>
        <w:t>]</w:t>
      </w:r>
    </w:p>
    <w:p w:rsidR="00DB4BC7" w:rsidRDefault="00DB4BC7" w:rsidP="00DB4BC7">
      <w:pPr>
        <w:pStyle w:val="base-text-paragraph"/>
        <w:numPr>
          <w:ilvl w:val="1"/>
          <w:numId w:val="22"/>
        </w:numPr>
      </w:pPr>
      <w:r w:rsidRPr="003958BB">
        <w:t>The levels of pecuniary penalties reflect the seriousness of the contraventions and represent clear a</w:t>
      </w:r>
      <w:r>
        <w:t>nd strong disincentives for non</w:t>
      </w:r>
      <w:r>
        <w:noBreakHyphen/>
      </w:r>
      <w:r w:rsidRPr="003958BB">
        <w:t>compliance</w:t>
      </w:r>
      <w:r>
        <w:t xml:space="preserve">.  </w:t>
      </w:r>
      <w:r w:rsidRPr="003958BB">
        <w:t>The effectiveness of the new prohibitions hinge</w:t>
      </w:r>
      <w:r>
        <w:t>s</w:t>
      </w:r>
      <w:r w:rsidRPr="003958BB">
        <w:t xml:space="preserve"> on the ability to deter, and where necessary enforce, contraventions</w:t>
      </w:r>
      <w:r>
        <w:t xml:space="preserve">.  </w:t>
      </w:r>
      <w:r w:rsidRPr="003958BB">
        <w:t xml:space="preserve">This is particularly important given that </w:t>
      </w:r>
      <w:r>
        <w:t>an entity</w:t>
      </w:r>
      <w:r w:rsidRPr="003958BB">
        <w:t xml:space="preserve"> who does not comply could obtain substantial financial gain through </w:t>
      </w:r>
      <w:r>
        <w:t xml:space="preserve">not passing </w:t>
      </w:r>
      <w:r w:rsidRPr="000532F1">
        <w:t>through all of the entity</w:t>
      </w:r>
      <w:r>
        <w:t>’</w:t>
      </w:r>
      <w:r w:rsidRPr="000532F1">
        <w:t>s cost savings relating to the supply that are directly or indirectly attributable to the carbon tax repeal</w:t>
      </w:r>
      <w:r w:rsidRPr="003958BB">
        <w:t>.</w:t>
      </w:r>
    </w:p>
    <w:p w:rsidR="00DB4BC7" w:rsidRPr="003958BB" w:rsidRDefault="00DB4BC7" w:rsidP="00DB4BC7">
      <w:pPr>
        <w:pStyle w:val="base-text-paragraph"/>
        <w:numPr>
          <w:ilvl w:val="1"/>
          <w:numId w:val="22"/>
        </w:numPr>
      </w:pPr>
      <w:r w:rsidRPr="003958BB">
        <w:t>Other redress and enforcement mechanisms include actions for damages, injunctions and a range of punitive, non-punitive and other orders,</w:t>
      </w:r>
      <w:r>
        <w:t xml:space="preserve"> including a new power for the c</w:t>
      </w:r>
      <w:r w:rsidRPr="003958BB">
        <w:t>ourt to make orders limiting prices and requiring refunds</w:t>
      </w:r>
      <w:r>
        <w:t xml:space="preserve">. </w:t>
      </w:r>
    </w:p>
    <w:p w:rsidR="00DB4BC7" w:rsidRPr="002640A5" w:rsidRDefault="00DB4BC7" w:rsidP="00DB4BC7">
      <w:pPr>
        <w:pStyle w:val="base-text-paragraph"/>
        <w:numPr>
          <w:ilvl w:val="1"/>
          <w:numId w:val="22"/>
        </w:numPr>
        <w:rPr>
          <w:rStyle w:val="Referencingstyle"/>
          <w:b w:val="0"/>
          <w:i w:val="0"/>
          <w:sz w:val="22"/>
        </w:rPr>
      </w:pPr>
      <w:r>
        <w:t>T</w:t>
      </w:r>
      <w:r w:rsidRPr="00DA081D">
        <w:t xml:space="preserve">he ACCC may issue a </w:t>
      </w:r>
      <w:r>
        <w:t xml:space="preserve">written </w:t>
      </w:r>
      <w:r w:rsidRPr="00DA081D">
        <w:t xml:space="preserve">notice to </w:t>
      </w:r>
      <w:r>
        <w:t xml:space="preserve">an entity </w:t>
      </w:r>
      <w:r w:rsidRPr="00DA081D">
        <w:t xml:space="preserve">if it considers the </w:t>
      </w:r>
      <w:r>
        <w:t xml:space="preserve">entity </w:t>
      </w:r>
      <w:r w:rsidRPr="00DA081D">
        <w:t xml:space="preserve">has </w:t>
      </w:r>
      <w:r>
        <w:t xml:space="preserve">engaged in price exploitation in relation to the carbon tax repeal.  </w:t>
      </w:r>
      <w:r w:rsidRPr="00DA081D">
        <w:t xml:space="preserve">New </w:t>
      </w:r>
      <w:r w:rsidRPr="003B6468">
        <w:t>section</w:t>
      </w:r>
      <w:r w:rsidRPr="00DA081D">
        <w:t xml:space="preserve"> </w:t>
      </w:r>
      <w:r>
        <w:t>60D(2) of the CC Act</w:t>
      </w:r>
      <w:r w:rsidRPr="00DA081D">
        <w:t xml:space="preserve"> sets out the form and content of the notice</w:t>
      </w:r>
      <w:r>
        <w:t xml:space="preserve">.  </w:t>
      </w:r>
      <w:r w:rsidRPr="002640A5">
        <w:rPr>
          <w:rStyle w:val="Referencingstyle"/>
        </w:rPr>
        <w:t xml:space="preserve">[Schedule 2, </w:t>
      </w:r>
      <w:r>
        <w:rPr>
          <w:rStyle w:val="Referencingstyle"/>
        </w:rPr>
        <w:t>item</w:t>
      </w:r>
      <w:r w:rsidRPr="002640A5">
        <w:rPr>
          <w:rStyle w:val="Referencingstyle"/>
        </w:rPr>
        <w:t xml:space="preserve"> 3, </w:t>
      </w:r>
      <w:r>
        <w:rPr>
          <w:rStyle w:val="Referencingstyle"/>
        </w:rPr>
        <w:t>section</w:t>
      </w:r>
      <w:r w:rsidRPr="002640A5">
        <w:rPr>
          <w:rStyle w:val="Referencingstyle"/>
        </w:rPr>
        <w:t> </w:t>
      </w:r>
      <w:r>
        <w:rPr>
          <w:rStyle w:val="Referencingstyle"/>
        </w:rPr>
        <w:t>60D, CC Act</w:t>
      </w:r>
      <w:r w:rsidRPr="002640A5">
        <w:rPr>
          <w:rStyle w:val="Referencingstyle"/>
        </w:rPr>
        <w:t>]</w:t>
      </w:r>
    </w:p>
    <w:p w:rsidR="00DB4BC7" w:rsidRPr="00254624" w:rsidRDefault="00DB4BC7" w:rsidP="00DB4BC7">
      <w:pPr>
        <w:pStyle w:val="base-text-paragraph"/>
        <w:numPr>
          <w:ilvl w:val="1"/>
          <w:numId w:val="22"/>
        </w:numPr>
        <w:rPr>
          <w:rStyle w:val="Referencingstyle"/>
          <w:b w:val="0"/>
          <w:i w:val="0"/>
          <w:sz w:val="22"/>
        </w:rPr>
      </w:pPr>
      <w:r w:rsidRPr="00DA081D">
        <w:t xml:space="preserve">In proceedings seeking </w:t>
      </w:r>
      <w:r>
        <w:t xml:space="preserve">pecuniary </w:t>
      </w:r>
      <w:r w:rsidRPr="00DA081D">
        <w:t>penalties</w:t>
      </w:r>
      <w:r>
        <w:t xml:space="preserve">, </w:t>
      </w:r>
      <w:r w:rsidRPr="00DA081D">
        <w:t>injunctions</w:t>
      </w:r>
      <w:r>
        <w:t xml:space="preserve"> or orders (both punitive and non-punitive) in relation to a contravention of new section 60C of the CC Act</w:t>
      </w:r>
      <w:r w:rsidRPr="00DA081D">
        <w:t xml:space="preserve">, the notice will be prima facie evidence that the </w:t>
      </w:r>
      <w:r w:rsidRPr="000532F1">
        <w:t>price for the supply did not pass through all of the entity</w:t>
      </w:r>
      <w:r>
        <w:t>’</w:t>
      </w:r>
      <w:r w:rsidRPr="000532F1">
        <w:t>s cost savings relating to the supply that were directly or indirectly attributable to the carbon tax repeal</w:t>
      </w:r>
      <w:r>
        <w:t xml:space="preserve">.  </w:t>
      </w:r>
      <w:r w:rsidRPr="00DA081D">
        <w:t xml:space="preserve">The ACCC </w:t>
      </w:r>
      <w:r>
        <w:t>is</w:t>
      </w:r>
      <w:r w:rsidRPr="00DA081D">
        <w:t xml:space="preserve"> able to vary or revoke the notice, either on its own initiative, or on application by the </w:t>
      </w:r>
      <w:r>
        <w:t>entity</w:t>
      </w:r>
      <w:r w:rsidRPr="00DA081D">
        <w:t xml:space="preserve"> to which the notice is issued</w:t>
      </w:r>
      <w:r>
        <w:t xml:space="preserve">.  New section 60D of CC Act creates additional incentive for compliance by putting the onus on the supplier to prove that price </w:t>
      </w:r>
      <w:r w:rsidRPr="000532F1">
        <w:t>for the supply did not pass through all of the entity</w:t>
      </w:r>
      <w:r>
        <w:t>’</w:t>
      </w:r>
      <w:r w:rsidRPr="000532F1">
        <w:t>s cost savings relating to the supply that were directly or indirectly attributable to the carbon tax repeal</w:t>
      </w:r>
      <w:r w:rsidDel="00D560D5">
        <w:t xml:space="preserve"> </w:t>
      </w:r>
      <w:r>
        <w:t xml:space="preserve">in any relevant court proceedings.  The issuing of such notices would also serve as a warning for suppliers to stop or refrain from future conduct that may be considered by the ACCC to be in breach of the new section 60C of the CC Act.  </w:t>
      </w:r>
      <w:r w:rsidRPr="002640A5">
        <w:rPr>
          <w:rStyle w:val="Referencingstyle"/>
        </w:rPr>
        <w:t xml:space="preserve">[Schedule 2, </w:t>
      </w:r>
      <w:r>
        <w:rPr>
          <w:rStyle w:val="Referencingstyle"/>
        </w:rPr>
        <w:t xml:space="preserve">item 3, </w:t>
      </w:r>
      <w:r w:rsidRPr="002640A5">
        <w:rPr>
          <w:rStyle w:val="Referencingstyle"/>
        </w:rPr>
        <w:t>section 60D(3) and (4)</w:t>
      </w:r>
      <w:r>
        <w:rPr>
          <w:rStyle w:val="Referencingstyle"/>
        </w:rPr>
        <w:t>, CC Act</w:t>
      </w:r>
      <w:r w:rsidRPr="002640A5">
        <w:rPr>
          <w:rStyle w:val="Referencingstyle"/>
        </w:rPr>
        <w:t>]</w:t>
      </w:r>
    </w:p>
    <w:p w:rsidR="00DB4BC7" w:rsidRPr="002C0611" w:rsidRDefault="00DB4BC7" w:rsidP="00DB4BC7">
      <w:pPr>
        <w:pStyle w:val="base-text-paragraph"/>
        <w:numPr>
          <w:ilvl w:val="1"/>
          <w:numId w:val="22"/>
        </w:numPr>
        <w:rPr>
          <w:rStyle w:val="Referencingstyle"/>
          <w:b w:val="0"/>
          <w:i w:val="0"/>
          <w:sz w:val="22"/>
        </w:rPr>
      </w:pPr>
      <w:r>
        <w:t xml:space="preserve">The ACCC may also issue a written notice to an entity which </w:t>
      </w:r>
      <w:r w:rsidRPr="00E53542">
        <w:t>allow</w:t>
      </w:r>
      <w:r>
        <w:t>s</w:t>
      </w:r>
      <w:r w:rsidRPr="00E53542">
        <w:t xml:space="preserve"> the ACCC to indicate to </w:t>
      </w:r>
      <w:r>
        <w:t xml:space="preserve">an entity </w:t>
      </w:r>
      <w:r w:rsidRPr="00E53542">
        <w:t>that supplies specified in the notice should not be made above a maximum price</w:t>
      </w:r>
      <w:r>
        <w:t>.  I</w:t>
      </w:r>
      <w:r w:rsidRPr="00E53542">
        <w:t>n</w:t>
      </w:r>
      <w:r>
        <w:t> </w:t>
      </w:r>
      <w:r w:rsidRPr="00E53542">
        <w:t xml:space="preserve">effect these notices will give a warning to </w:t>
      </w:r>
      <w:r>
        <w:t xml:space="preserve">an entity </w:t>
      </w:r>
      <w:r w:rsidRPr="00E53542">
        <w:t xml:space="preserve">that supplies above the maximum price specified will, in the </w:t>
      </w:r>
      <w:r>
        <w:t>ACCC’s</w:t>
      </w:r>
      <w:r w:rsidRPr="00E53542">
        <w:t xml:space="preserve"> opinion, indicate price exploitation</w:t>
      </w:r>
      <w:r>
        <w:t xml:space="preserve">. </w:t>
      </w:r>
      <w:r>
        <w:rPr>
          <w:rStyle w:val="Referencingstyle"/>
        </w:rPr>
        <w:t>[Schedule </w:t>
      </w:r>
      <w:r w:rsidRPr="002C0611">
        <w:rPr>
          <w:rStyle w:val="Referencingstyle"/>
        </w:rPr>
        <w:t xml:space="preserve">2, </w:t>
      </w:r>
      <w:r>
        <w:rPr>
          <w:rStyle w:val="Referencingstyle"/>
        </w:rPr>
        <w:t>item</w:t>
      </w:r>
      <w:r w:rsidRPr="002C0611">
        <w:rPr>
          <w:rStyle w:val="Referencingstyle"/>
        </w:rPr>
        <w:t xml:space="preserve"> 3, </w:t>
      </w:r>
      <w:r>
        <w:rPr>
          <w:rStyle w:val="Referencingstyle"/>
        </w:rPr>
        <w:t>section</w:t>
      </w:r>
      <w:r w:rsidRPr="002C0611">
        <w:rPr>
          <w:rStyle w:val="Referencingstyle"/>
        </w:rPr>
        <w:t xml:space="preserve"> 60E</w:t>
      </w:r>
      <w:r>
        <w:rPr>
          <w:rStyle w:val="Referencingstyle"/>
        </w:rPr>
        <w:t>, CC Act</w:t>
      </w:r>
      <w:r w:rsidRPr="002C0611">
        <w:rPr>
          <w:rStyle w:val="Referencingstyle"/>
        </w:rPr>
        <w:t>]</w:t>
      </w:r>
    </w:p>
    <w:p w:rsidR="00DB4BC7" w:rsidRPr="0007756A" w:rsidRDefault="00DB4BC7" w:rsidP="00DB4BC7">
      <w:pPr>
        <w:pStyle w:val="base-text-paragraph"/>
        <w:numPr>
          <w:ilvl w:val="1"/>
          <w:numId w:val="22"/>
        </w:numPr>
        <w:rPr>
          <w:rStyle w:val="Referencingstyle"/>
          <w:b w:val="0"/>
          <w:i w:val="0"/>
          <w:sz w:val="22"/>
        </w:rPr>
      </w:pPr>
      <w:r w:rsidRPr="00EE399D">
        <w:t xml:space="preserve">Unlike notices issued under new section </w:t>
      </w:r>
      <w:r>
        <w:t>60D</w:t>
      </w:r>
      <w:r w:rsidRPr="00277178">
        <w:t xml:space="preserve"> </w:t>
      </w:r>
      <w:r>
        <w:t>of the CC Act</w:t>
      </w:r>
      <w:r w:rsidRPr="00EE399D">
        <w:t xml:space="preserve">, notices issued under new section </w:t>
      </w:r>
      <w:r>
        <w:t>60E</w:t>
      </w:r>
      <w:r w:rsidRPr="00EE399D">
        <w:t xml:space="preserve"> </w:t>
      </w:r>
      <w:r>
        <w:t>of the CC Act</w:t>
      </w:r>
      <w:r w:rsidRPr="00EE399D">
        <w:t xml:space="preserve"> will not constitute prima facie evidence in any subsequent proceedings</w:t>
      </w:r>
      <w:r>
        <w:t xml:space="preserve">.  </w:t>
      </w:r>
      <w:r w:rsidRPr="00EE399D">
        <w:t xml:space="preserve">However, the ACCC will be able to publish notices issued under new section </w:t>
      </w:r>
      <w:r>
        <w:t>60E</w:t>
      </w:r>
      <w:r w:rsidRPr="00277178">
        <w:t xml:space="preserve"> </w:t>
      </w:r>
      <w:r>
        <w:t>of the CC Act</w:t>
      </w:r>
      <w:r w:rsidRPr="00EE399D">
        <w:t xml:space="preserve">, and will also be required to include them in its report to the Minister under new section </w:t>
      </w:r>
      <w:r>
        <w:t>60J</w:t>
      </w:r>
      <w:r w:rsidRPr="00277178">
        <w:t xml:space="preserve"> </w:t>
      </w:r>
      <w:r>
        <w:t xml:space="preserve">of the CC Act.  </w:t>
      </w:r>
      <w:r w:rsidRPr="002C0611">
        <w:rPr>
          <w:rStyle w:val="Referencingstyle"/>
        </w:rPr>
        <w:t xml:space="preserve">[Schedule 2, </w:t>
      </w:r>
      <w:r>
        <w:rPr>
          <w:rStyle w:val="Referencingstyle"/>
        </w:rPr>
        <w:t>item</w:t>
      </w:r>
      <w:r w:rsidRPr="002C0611">
        <w:rPr>
          <w:rStyle w:val="Referencingstyle"/>
        </w:rPr>
        <w:t xml:space="preserve"> 3, section</w:t>
      </w:r>
      <w:r>
        <w:rPr>
          <w:rStyle w:val="Referencingstyle"/>
        </w:rPr>
        <w:t> </w:t>
      </w:r>
      <w:r w:rsidRPr="002C0611">
        <w:rPr>
          <w:rStyle w:val="Referencingstyle"/>
        </w:rPr>
        <w:t>60E(4)</w:t>
      </w:r>
      <w:r w:rsidRPr="00D84E95">
        <w:rPr>
          <w:rStyle w:val="Referencingstyle"/>
        </w:rPr>
        <w:t xml:space="preserve"> </w:t>
      </w:r>
      <w:r>
        <w:rPr>
          <w:rStyle w:val="Referencingstyle"/>
        </w:rPr>
        <w:t>CC Act</w:t>
      </w:r>
      <w:r w:rsidRPr="002C0611">
        <w:rPr>
          <w:rStyle w:val="Referencingstyle"/>
        </w:rPr>
        <w:t>]</w:t>
      </w:r>
      <w:r>
        <w:rPr>
          <w:rStyle w:val="Referencingstyle"/>
        </w:rPr>
        <w:t xml:space="preserve"> </w:t>
      </w:r>
      <w:r w:rsidRPr="002C0611">
        <w:rPr>
          <w:rStyle w:val="Referencingstyle"/>
        </w:rPr>
        <w:t xml:space="preserve">[Schedule 2, </w:t>
      </w:r>
      <w:r>
        <w:rPr>
          <w:rStyle w:val="Referencingstyle"/>
        </w:rPr>
        <w:t>item</w:t>
      </w:r>
      <w:r w:rsidRPr="002C0611">
        <w:rPr>
          <w:rStyle w:val="Referencingstyle"/>
        </w:rPr>
        <w:t xml:space="preserve"> 3, </w:t>
      </w:r>
      <w:r>
        <w:rPr>
          <w:rStyle w:val="Referencingstyle"/>
        </w:rPr>
        <w:t xml:space="preserve">section </w:t>
      </w:r>
      <w:r w:rsidRPr="002C0611">
        <w:rPr>
          <w:rStyle w:val="Referencingstyle"/>
        </w:rPr>
        <w:t>60J(2)</w:t>
      </w:r>
      <w:r>
        <w:rPr>
          <w:rStyle w:val="Referencingstyle"/>
        </w:rPr>
        <w:t>, CC Act</w:t>
      </w:r>
      <w:r w:rsidRPr="002C0611">
        <w:rPr>
          <w:rStyle w:val="Referencingstyle"/>
        </w:rPr>
        <w:t>]</w:t>
      </w:r>
    </w:p>
    <w:p w:rsidR="00DB4BC7" w:rsidRPr="00D560D5" w:rsidRDefault="00DB4BC7" w:rsidP="00DB4BC7">
      <w:pPr>
        <w:pStyle w:val="base-text-paragraph"/>
        <w:numPr>
          <w:ilvl w:val="1"/>
          <w:numId w:val="22"/>
        </w:numPr>
        <w:rPr>
          <w:rStyle w:val="Referencingstyle"/>
          <w:b w:val="0"/>
          <w:i w:val="0"/>
          <w:sz w:val="22"/>
        </w:rPr>
      </w:pPr>
      <w:r w:rsidRPr="009F0446">
        <w:t xml:space="preserve">To the extent that the operation of a provision in new Part V of the </w:t>
      </w:r>
      <w:r>
        <w:t>CC Act</w:t>
      </w:r>
      <w:r w:rsidRPr="009F0446">
        <w:t xml:space="preserve"> would result in an acquisition of property from a person without just terms within the meaning of section 51(xxxi) of the Constitution, the provision does not have any operation and the Act remains constitutionally valid</w:t>
      </w:r>
      <w:r>
        <w:t xml:space="preserve">.  </w:t>
      </w:r>
      <w:r w:rsidRPr="009F0446">
        <w:rPr>
          <w:rStyle w:val="Referencingstyle"/>
        </w:rPr>
        <w:t xml:space="preserve">[Schedule 2, item 3, section 60F, </w:t>
      </w:r>
      <w:r>
        <w:rPr>
          <w:rStyle w:val="Referencingstyle"/>
        </w:rPr>
        <w:t>CC Act</w:t>
      </w:r>
      <w:r w:rsidRPr="009F0446">
        <w:rPr>
          <w:rStyle w:val="Referencingstyle"/>
        </w:rPr>
        <w:t>]</w:t>
      </w:r>
    </w:p>
    <w:p w:rsidR="00DB4BC7" w:rsidRDefault="00DB4BC7" w:rsidP="00DB4BC7">
      <w:pPr>
        <w:pStyle w:val="Heading3"/>
      </w:pPr>
      <w:r w:rsidRPr="000532F1">
        <w:t>Fail</w:t>
      </w:r>
      <w:r>
        <w:t>ure to pass on cost savings—250 per cent</w:t>
      </w:r>
      <w:r w:rsidRPr="000532F1">
        <w:t xml:space="preserve"> penalty</w:t>
      </w:r>
    </w:p>
    <w:p w:rsidR="00DB4BC7" w:rsidRDefault="00DB4BC7" w:rsidP="00DB4BC7">
      <w:pPr>
        <w:pStyle w:val="base-text-paragraph"/>
        <w:numPr>
          <w:ilvl w:val="1"/>
          <w:numId w:val="22"/>
        </w:numPr>
      </w:pPr>
      <w:r>
        <w:t xml:space="preserve">In addition, section 60CA imposes an additional penalty for entities that supply electricity or </w:t>
      </w:r>
      <w:r w:rsidRPr="000C22A6">
        <w:t>natural gas or are bulk importers of synthetic greenhouse gases that supply synthetic greenhouse gases to</w:t>
      </w:r>
      <w:r>
        <w:t xml:space="preserve"> customers and that fail to </w:t>
      </w:r>
      <w:r w:rsidRPr="000532F1">
        <w:t>pass through all of the entity</w:t>
      </w:r>
      <w:r>
        <w:t>’</w:t>
      </w:r>
      <w:r w:rsidRPr="000532F1">
        <w:t>s cost savings relating to the supply that are directly or indirectly attrib</w:t>
      </w:r>
      <w:r>
        <w:t xml:space="preserve">utable to the carbon tax repeal. </w:t>
      </w:r>
    </w:p>
    <w:p w:rsidR="00DB4BC7" w:rsidRPr="00DB4BC7" w:rsidRDefault="00DB4BC7" w:rsidP="00DB4BC7">
      <w:pPr>
        <w:pStyle w:val="base-text-paragraph"/>
        <w:numPr>
          <w:ilvl w:val="1"/>
          <w:numId w:val="22"/>
        </w:numPr>
        <w:rPr>
          <w:b/>
          <w:i/>
        </w:rPr>
      </w:pPr>
      <w:r>
        <w:t xml:space="preserve">This new penalty will apply if an entity contravenes new section 60C(1) in relation to a particular supply of electricity, natural gas or a particular supply of bulk imports of synthetic greenhouse gases that are supplied to a customer.  An entity that is found to have contravened section 60C(1) shall pay to the Commonwealth, by way of a penalty, an amount equal to 250 per cent of those cost savings that were not passed through.  No other entities are covered by this section. </w:t>
      </w:r>
      <w:r w:rsidRPr="00DB4BC7">
        <w:rPr>
          <w:b/>
          <w:i/>
          <w:sz w:val="18"/>
        </w:rPr>
        <w:t>[Schedule 2, item 3, section 60CA, CC Act]</w:t>
      </w:r>
    </w:p>
    <w:p w:rsidR="00DB4BC7" w:rsidRDefault="00DB4BC7" w:rsidP="00DB4BC7">
      <w:pPr>
        <w:pStyle w:val="base-text-paragraph"/>
        <w:numPr>
          <w:ilvl w:val="1"/>
          <w:numId w:val="22"/>
        </w:numPr>
      </w:pPr>
      <w:r>
        <w:t>The penalty is akin to similar penalties in the competition provisions of the CC Act for price fixing relating to cartels (for example, section 44ZZRF of the CC Act), where a penalty of up to three times the total benefit that had been obtained may be imposed in certain situations.</w:t>
      </w:r>
    </w:p>
    <w:p w:rsidR="00DB4BC7" w:rsidRDefault="00DB4BC7" w:rsidP="00DB4BC7">
      <w:pPr>
        <w:pStyle w:val="base-text-paragraph"/>
        <w:numPr>
          <w:ilvl w:val="1"/>
          <w:numId w:val="22"/>
        </w:numPr>
      </w:pPr>
      <w:r>
        <w:t xml:space="preserve">If the entity fails to pay the penalty by 1 July 2015, then the penalty will be subject to penalty interest at a rate of 6 per cent per year, calculated from 1 July 2015. This interest on the penalty is also a penalty.  </w:t>
      </w:r>
      <w:r w:rsidRPr="000C22A6">
        <w:rPr>
          <w:rStyle w:val="Referencingstyle"/>
        </w:rPr>
        <w:t>[Schedule 2, item 3, section 60CA(2), CC Act]  [Schedule 2, item 3, section 60CA(3), CC Act]</w:t>
      </w:r>
      <w:r>
        <w:t xml:space="preserve">  The penalty, while it remains unpaid, is a debt due to the Commonwealth.  The ACCC shall recover the penalty in a court of competent jurisdiction.  However, the ACCC shall only be obliged to do so in circumstances where the cost of doing so does not exceed the amount owing. </w:t>
      </w:r>
      <w:r w:rsidRPr="00294D85">
        <w:rPr>
          <w:rStyle w:val="Referencingstyle"/>
        </w:rPr>
        <w:t>[Schedule 2, item 3, section 60CA(4), CC Act]</w:t>
      </w:r>
      <w:r>
        <w:t xml:space="preserve">  </w:t>
      </w:r>
    </w:p>
    <w:p w:rsidR="00DB4BC7" w:rsidRPr="00AE6B36" w:rsidRDefault="00DB4BC7" w:rsidP="00DB4BC7">
      <w:pPr>
        <w:pStyle w:val="base-text-paragraph"/>
        <w:numPr>
          <w:ilvl w:val="1"/>
          <w:numId w:val="22"/>
        </w:numPr>
        <w:rPr>
          <w:b/>
          <w:i/>
        </w:rPr>
      </w:pPr>
      <w:r>
        <w:t>To provide greater transparency, within 13 months after the Royal Assent day, the ACCC will be required to report to Parliament in respect of penalties payable by entities</w:t>
      </w:r>
      <w:r w:rsidRPr="00DB4BC7">
        <w:rPr>
          <w:sz w:val="18"/>
        </w:rPr>
        <w:t>. [</w:t>
      </w:r>
      <w:r w:rsidRPr="00DB4BC7">
        <w:rPr>
          <w:b/>
          <w:i/>
          <w:sz w:val="18"/>
        </w:rPr>
        <w:t>Schedule</w:t>
      </w:r>
      <w:r w:rsidRPr="00DB4BC7">
        <w:rPr>
          <w:sz w:val="18"/>
        </w:rPr>
        <w:t xml:space="preserve"> </w:t>
      </w:r>
      <w:r w:rsidRPr="00DB4BC7">
        <w:rPr>
          <w:b/>
          <w:i/>
          <w:sz w:val="18"/>
        </w:rPr>
        <w:t>2, item 3, section 60CA(5), CC Act]</w:t>
      </w:r>
    </w:p>
    <w:p w:rsidR="00AE6B36" w:rsidRPr="00AE6B36" w:rsidRDefault="00AE6B36" w:rsidP="00DB4BC7">
      <w:pPr>
        <w:pStyle w:val="base-text-paragraph"/>
        <w:numPr>
          <w:ilvl w:val="1"/>
          <w:numId w:val="22"/>
        </w:numPr>
        <w:rPr>
          <w:b/>
          <w:i/>
        </w:rPr>
      </w:pPr>
      <w:r>
        <w:t>This provision is intended to serve as a strong disincentive to prevent affected entities from engaging in price exploitation in relation to the carbon tax repeal, and to ensure that the full cost savings due to customers are duly passed on.  The penalty is a significant amount, and reflects the strength of the Parliament’s commitment to ensure that entities do not make windfall gains from the repeal of the carbon tax, and to ensure that full cost savings resulting from the carbon tax repeal are passed on to consumers. This provision is in line with other provisions in the CC Act.</w:t>
      </w:r>
      <w:r w:rsidDel="0041457B">
        <w:t xml:space="preserve"> </w:t>
      </w:r>
    </w:p>
    <w:p w:rsidR="00AE6B36" w:rsidRPr="00AE6B36" w:rsidRDefault="00AE6B36" w:rsidP="00AE6B36">
      <w:pPr>
        <w:pStyle w:val="Heading3"/>
      </w:pPr>
      <w:r w:rsidRPr="00AE6B36">
        <w:t>Carbon tax removal substantiation notice</w:t>
      </w:r>
    </w:p>
    <w:p w:rsidR="00DB4BC7" w:rsidRPr="00FB563D" w:rsidRDefault="00DB4BC7" w:rsidP="00DB4BC7">
      <w:pPr>
        <w:pStyle w:val="base-text-paragraph"/>
        <w:numPr>
          <w:ilvl w:val="1"/>
          <w:numId w:val="22"/>
        </w:numPr>
        <w:rPr>
          <w:rStyle w:val="Referencingstyle"/>
          <w:b w:val="0"/>
          <w:i w:val="0"/>
          <w:sz w:val="22"/>
        </w:rPr>
      </w:pPr>
      <w:r>
        <w:t xml:space="preserve">The amendments insert a new Division 2A into Part V of the CC Act.  The new Division 2A would deal with notices to be called ‘carbon tax removal substantiation notices’.  The CC Act includes, as part of the ACL, other substantiation notice provisions.  The new provisions are based on the existing provisions, and operate in a similar manner. </w:t>
      </w:r>
      <w:r w:rsidRPr="00673565">
        <w:t xml:space="preserve">The penalty is akin to other similar penalties in the competition provisions of the </w:t>
      </w:r>
      <w:r>
        <w:t xml:space="preserve">CC Act </w:t>
      </w:r>
      <w:r w:rsidRPr="00673565">
        <w:t>for price fixing, where a penalty of three times the loss to those affected by a contravention can be imposed.</w:t>
      </w:r>
      <w:r>
        <w:t xml:space="preserve"> </w:t>
      </w:r>
      <w:r w:rsidRPr="00E95E02">
        <w:rPr>
          <w:b/>
          <w:i/>
        </w:rPr>
        <w:t>[</w:t>
      </w:r>
      <w:r w:rsidRPr="009F0446">
        <w:rPr>
          <w:rStyle w:val="Referencingstyle"/>
        </w:rPr>
        <w:t xml:space="preserve">Schedule 2, item 3, </w:t>
      </w:r>
      <w:r>
        <w:rPr>
          <w:rStyle w:val="Referencingstyle"/>
        </w:rPr>
        <w:t>Division 2A, CC Act]</w:t>
      </w:r>
    </w:p>
    <w:p w:rsidR="00DB4BC7" w:rsidRDefault="00DB4BC7" w:rsidP="00DB4BC7">
      <w:pPr>
        <w:pStyle w:val="base-text-paragraph"/>
        <w:numPr>
          <w:ilvl w:val="1"/>
          <w:numId w:val="22"/>
        </w:numPr>
      </w:pPr>
      <w:r>
        <w:t>The requirement for the ACCC to issue carbon tax removal substantiation notices expands and enhances the ACCC’s existing powers under the CC Act.</w:t>
      </w:r>
    </w:p>
    <w:p w:rsidR="00DB4BC7" w:rsidRDefault="00DB4BC7" w:rsidP="00DB4BC7">
      <w:pPr>
        <w:pStyle w:val="base-text-paragraph"/>
        <w:numPr>
          <w:ilvl w:val="1"/>
          <w:numId w:val="22"/>
        </w:numPr>
      </w:pPr>
      <w:r>
        <w:t xml:space="preserve">The ACCC would be required to give a written carbon tax removal substantiation notice </w:t>
      </w:r>
      <w:r w:rsidRPr="00C71C9B">
        <w:t>under new section 60FA of the CC Act</w:t>
      </w:r>
      <w:r>
        <w:t xml:space="preserve"> to an entity that</w:t>
      </w:r>
      <w:r w:rsidRPr="00545B5A">
        <w:t xml:space="preserve"> is</w:t>
      </w:r>
      <w:r>
        <w:t>:</w:t>
      </w:r>
    </w:p>
    <w:p w:rsidR="00DB4BC7" w:rsidRDefault="00DB4BC7" w:rsidP="00DB4BC7">
      <w:pPr>
        <w:pStyle w:val="dotpoint"/>
      </w:pPr>
      <w:r w:rsidRPr="00545B5A">
        <w:t xml:space="preserve"> an </w:t>
      </w:r>
      <w:r>
        <w:t>‘</w:t>
      </w:r>
      <w:r w:rsidRPr="00545B5A">
        <w:t>electricity retailer</w:t>
      </w:r>
      <w:r>
        <w:t>’ that sells electricity to ‘electricity customers’;</w:t>
      </w:r>
    </w:p>
    <w:p w:rsidR="00DB4BC7" w:rsidRDefault="00DB4BC7" w:rsidP="00DB4BC7">
      <w:pPr>
        <w:pStyle w:val="dotpoint"/>
      </w:pPr>
      <w:r w:rsidRPr="00545B5A">
        <w:t xml:space="preserve">a </w:t>
      </w:r>
      <w:r>
        <w:t>‘</w:t>
      </w:r>
      <w:r w:rsidRPr="00545B5A">
        <w:t>natural gas retailer</w:t>
      </w:r>
      <w:r>
        <w:t xml:space="preserve">’ that sells natural gas to ‘natural gas customers’; or </w:t>
      </w:r>
    </w:p>
    <w:p w:rsidR="00DB4BC7" w:rsidRDefault="00DB4BC7" w:rsidP="00DB4BC7">
      <w:pPr>
        <w:pStyle w:val="dotpoint"/>
      </w:pPr>
      <w:r>
        <w:t xml:space="preserve">a ‘bulk SGG importer’ that sells ‘synthetic greenhouse gas’ to ‘SGG customers’ . </w:t>
      </w:r>
      <w:r w:rsidRPr="00E95E02">
        <w:rPr>
          <w:b/>
          <w:i/>
        </w:rPr>
        <w:t>[</w:t>
      </w:r>
      <w:r w:rsidRPr="009F0446">
        <w:rPr>
          <w:rStyle w:val="Referencingstyle"/>
        </w:rPr>
        <w:t xml:space="preserve">Schedule 2, item 3, </w:t>
      </w:r>
      <w:r>
        <w:rPr>
          <w:rStyle w:val="Referencingstyle"/>
        </w:rPr>
        <w:t>section 60FA, CC Act]</w:t>
      </w:r>
      <w:r>
        <w:t xml:space="preserve">  </w:t>
      </w:r>
    </w:p>
    <w:p w:rsidR="00DB4BC7" w:rsidRDefault="00DB4BC7" w:rsidP="00DB4BC7">
      <w:pPr>
        <w:pStyle w:val="base-text-paragraph"/>
        <w:numPr>
          <w:ilvl w:val="1"/>
          <w:numId w:val="22"/>
        </w:numPr>
      </w:pPr>
      <w:r w:rsidRPr="001815F8">
        <w:t>The term</w:t>
      </w:r>
      <w:r>
        <w:t>s</w:t>
      </w:r>
      <w:r w:rsidRPr="001815F8">
        <w:t xml:space="preserve"> ‘electricity retailer’</w:t>
      </w:r>
      <w:r>
        <w:t>,</w:t>
      </w:r>
      <w:r w:rsidRPr="001815F8">
        <w:t xml:space="preserve"> ‘natural gas retailer’ </w:t>
      </w:r>
      <w:r>
        <w:t xml:space="preserve">and ‘bulk SGG importer’ </w:t>
      </w:r>
      <w:r w:rsidRPr="001815F8">
        <w:t>are defined in section 60A of the CC Act</w:t>
      </w:r>
      <w:r w:rsidR="00696F12" w:rsidRPr="001815F8">
        <w:t>.</w:t>
      </w:r>
      <w:r>
        <w:t xml:space="preserve"> </w:t>
      </w:r>
      <w:r w:rsidRPr="008B0B00">
        <w:rPr>
          <w:rStyle w:val="Referencingstyle"/>
        </w:rPr>
        <w:t>[Sc</w:t>
      </w:r>
      <w:r>
        <w:rPr>
          <w:rStyle w:val="Referencingstyle"/>
        </w:rPr>
        <w:t>hedule 2, item 3, section 60A</w:t>
      </w:r>
      <w:r w:rsidRPr="008B0B00">
        <w:rPr>
          <w:rStyle w:val="Referencingstyle"/>
        </w:rPr>
        <w:t>, CC Act]</w:t>
      </w:r>
    </w:p>
    <w:p w:rsidR="00DB4BC7" w:rsidRDefault="00DB4BC7" w:rsidP="00DB4BC7">
      <w:pPr>
        <w:pStyle w:val="base-text-paragraph"/>
        <w:numPr>
          <w:ilvl w:val="1"/>
          <w:numId w:val="22"/>
        </w:numPr>
      </w:pPr>
      <w:r>
        <w:t xml:space="preserve">The definitions of ‘electricity retailer’ and ‘natural gas retailer’ reflect the definitions used in the ‘National Energy Retail Law’ and </w:t>
      </w:r>
      <w:r w:rsidR="00344453">
        <w:t xml:space="preserve">other </w:t>
      </w:r>
      <w:r>
        <w:t xml:space="preserve">relevant state and territory laws. These definitions do not include every entity in the supply chain. </w:t>
      </w:r>
      <w:r w:rsidRPr="001815F8">
        <w:t xml:space="preserve">For example entities who re-sell electricity such as caravan parks, nursing homes, retirement villages are not ‘electricity retailers’. </w:t>
      </w:r>
      <w:r>
        <w:t xml:space="preserve"> In addition, paragraph (f) of the definition of ‘electricity retailer’ includes electricity producers. </w:t>
      </w:r>
      <w:r w:rsidRPr="00A428FE">
        <w:t xml:space="preserve">For the purpose of the </w:t>
      </w:r>
      <w:r w:rsidRPr="00DE416B">
        <w:rPr>
          <w:i/>
        </w:rPr>
        <w:t>Acts Interpretation Act 1901</w:t>
      </w:r>
      <w:r>
        <w:t>,</w:t>
      </w:r>
      <w:r w:rsidRPr="00A428FE">
        <w:t xml:space="preserve"> the definition of </w:t>
      </w:r>
      <w:r>
        <w:t>‘</w:t>
      </w:r>
      <w:r w:rsidRPr="00A428FE">
        <w:t>electricity retailer</w:t>
      </w:r>
      <w:r>
        <w:t>’</w:t>
      </w:r>
      <w:r w:rsidRPr="00A428FE">
        <w:t xml:space="preserve"> is limited to electricity retailers and electricity producers selling electricity into a wholesale electricity markets to a retailer.  </w:t>
      </w:r>
      <w:r w:rsidRPr="0084618C">
        <w:t xml:space="preserve">This is not intended to </w:t>
      </w:r>
      <w:r>
        <w:t>override any pre-existing contracts.</w:t>
      </w:r>
    </w:p>
    <w:p w:rsidR="00DB4BC7" w:rsidRDefault="00DB4BC7" w:rsidP="00DB4BC7">
      <w:pPr>
        <w:pStyle w:val="base-text-paragraph"/>
        <w:numPr>
          <w:ilvl w:val="1"/>
          <w:numId w:val="22"/>
        </w:numPr>
      </w:pPr>
      <w:r>
        <w:t>The definition of ‘bulk SGG importer’ reflects the definition used in the Ozone Management Act</w:t>
      </w:r>
      <w:r w:rsidRPr="001815F8">
        <w:t xml:space="preserve">.  </w:t>
      </w:r>
      <w:r w:rsidRPr="008B0B00">
        <w:rPr>
          <w:rStyle w:val="Referencingstyle"/>
        </w:rPr>
        <w:t>[Sc</w:t>
      </w:r>
      <w:r>
        <w:rPr>
          <w:rStyle w:val="Referencingstyle"/>
        </w:rPr>
        <w:t>hedule 2, item 3, section 60A</w:t>
      </w:r>
      <w:r w:rsidRPr="008B0B00">
        <w:rPr>
          <w:rStyle w:val="Referencingstyle"/>
        </w:rPr>
        <w:t>, CC Act]</w:t>
      </w:r>
    </w:p>
    <w:p w:rsidR="00DB4BC7" w:rsidRPr="00E95E02" w:rsidRDefault="00DB4BC7" w:rsidP="00DB4BC7">
      <w:pPr>
        <w:pStyle w:val="base-text-paragraph"/>
        <w:numPr>
          <w:ilvl w:val="1"/>
          <w:numId w:val="22"/>
        </w:numPr>
      </w:pPr>
      <w:r>
        <w:t xml:space="preserve">The terms ‘electricity customer’, </w:t>
      </w:r>
      <w:r w:rsidRPr="00A63EBC">
        <w:t>‘natural gas customer’</w:t>
      </w:r>
      <w:r>
        <w:t xml:space="preserve"> and ‘SGG customer’ are defined in section 60A of the CC Act.  An electricity customer is an entity who purchases electricity.  A natural gas customer</w:t>
      </w:r>
      <w:r w:rsidRPr="00A63EBC">
        <w:t xml:space="preserve"> </w:t>
      </w:r>
      <w:r>
        <w:t>is</w:t>
      </w:r>
      <w:r w:rsidRPr="00A63EBC">
        <w:t xml:space="preserve"> an </w:t>
      </w:r>
      <w:r>
        <w:t>entity</w:t>
      </w:r>
      <w:r w:rsidRPr="00A63EBC">
        <w:t xml:space="preserve"> who purchases </w:t>
      </w:r>
      <w:r>
        <w:t xml:space="preserve">natural </w:t>
      </w:r>
      <w:r w:rsidRPr="00A63EBC">
        <w:t>gas</w:t>
      </w:r>
      <w:r>
        <w:t xml:space="preserve">. An SGG customer is an entity who purchases synthetic greenhouse gas.  </w:t>
      </w:r>
      <w:r w:rsidRPr="008B0B00">
        <w:rPr>
          <w:rStyle w:val="Referencingstyle"/>
        </w:rPr>
        <w:t>[Sc</w:t>
      </w:r>
      <w:r>
        <w:rPr>
          <w:rStyle w:val="Referencingstyle"/>
        </w:rPr>
        <w:t>hedule 2, item 3, section 60A</w:t>
      </w:r>
      <w:r w:rsidRPr="008B0B00">
        <w:rPr>
          <w:rStyle w:val="Referencingstyle"/>
        </w:rPr>
        <w:t>, CC Act]</w:t>
      </w:r>
      <w:r>
        <w:t xml:space="preserve">The term ‘regulated supply’ is defined in new section 60A of the CC Act and in relation to ‘carbon tax removal substantiation notices’ is limited to the supply of electricity, natural gas and bulk synthetic greenhouse gas occurring during the ‘carbon repeal transition period’. </w:t>
      </w:r>
      <w:r w:rsidRPr="00A96D08">
        <w:rPr>
          <w:rStyle w:val="Referencingstyle"/>
        </w:rPr>
        <w:t>[Schedule</w:t>
      </w:r>
      <w:r w:rsidRPr="009F0446">
        <w:rPr>
          <w:rStyle w:val="Referencingstyle"/>
        </w:rPr>
        <w:t xml:space="preserve"> 2, item 3</w:t>
      </w:r>
      <w:r>
        <w:rPr>
          <w:rStyle w:val="Referencingstyle"/>
        </w:rPr>
        <w:t xml:space="preserve">, section </w:t>
      </w:r>
      <w:r w:rsidRPr="00E95E02">
        <w:rPr>
          <w:rStyle w:val="Referencingstyle"/>
        </w:rPr>
        <w:t>60A, CC Act]</w:t>
      </w:r>
      <w:r w:rsidRPr="00A96D08">
        <w:rPr>
          <w:rStyle w:val="Referencingstyle"/>
        </w:rPr>
        <w:t xml:space="preserve"> [Schedule 2, item 3, section 60FA(1)</w:t>
      </w:r>
      <w:r>
        <w:rPr>
          <w:rStyle w:val="Referencingstyle"/>
        </w:rPr>
        <w:t>and 60FA(2)</w:t>
      </w:r>
      <w:r w:rsidRPr="00A96D08">
        <w:rPr>
          <w:rStyle w:val="Referencingstyle"/>
        </w:rPr>
        <w:t xml:space="preserve">, CC Act] </w:t>
      </w:r>
    </w:p>
    <w:p w:rsidR="00DB4BC7" w:rsidRDefault="00DB4BC7" w:rsidP="00DB4BC7">
      <w:pPr>
        <w:pStyle w:val="base-text-paragraph"/>
        <w:numPr>
          <w:ilvl w:val="1"/>
          <w:numId w:val="22"/>
        </w:numPr>
      </w:pPr>
      <w:r>
        <w:t>Through such a notice, the ACCC will require retailers of electricity, natural gas or bulk SGG importers to do the following.</w:t>
      </w:r>
    </w:p>
    <w:p w:rsidR="00DB4BC7" w:rsidRDefault="00DB4BC7" w:rsidP="00DB4BC7">
      <w:pPr>
        <w:pStyle w:val="base-text-paragraph"/>
        <w:numPr>
          <w:ilvl w:val="1"/>
          <w:numId w:val="22"/>
        </w:numPr>
      </w:pPr>
      <w:r>
        <w:t>First, the ACCC will require the entity to give to the ACCC a statement that explains:</w:t>
      </w:r>
    </w:p>
    <w:p w:rsidR="00DB4BC7" w:rsidRPr="00064438" w:rsidRDefault="00DB4BC7" w:rsidP="00DB4BC7">
      <w:pPr>
        <w:pStyle w:val="dotpoint"/>
      </w:pPr>
      <w:r w:rsidRPr="00064438">
        <w:t xml:space="preserve">how the carbon tax repeal has affected, or is affecting, the </w:t>
      </w:r>
      <w:r>
        <w:t>entity’s</w:t>
      </w:r>
      <w:r w:rsidRPr="00064438">
        <w:t xml:space="preserve"> regulated supply input costs; and</w:t>
      </w:r>
    </w:p>
    <w:p w:rsidR="00DB4BC7" w:rsidRPr="00E95E02" w:rsidRDefault="00DB4BC7" w:rsidP="00DB4BC7">
      <w:pPr>
        <w:pStyle w:val="dotpoint"/>
      </w:pPr>
      <w:r w:rsidRPr="00064438">
        <w:t xml:space="preserve">how reductions in the </w:t>
      </w:r>
      <w:r>
        <w:t>entity’s</w:t>
      </w:r>
      <w:r w:rsidRPr="00064438">
        <w:t xml:space="preserve"> regulated supply input costs that are directly or indirectly attributable to the carbon tax repeal are reflected in the prices charged by the </w:t>
      </w:r>
      <w:r>
        <w:t>entity</w:t>
      </w:r>
      <w:r w:rsidRPr="00064438">
        <w:t xml:space="preserve"> for regulated supplies</w:t>
      </w:r>
      <w:r w:rsidRPr="00E95E02">
        <w:t xml:space="preserve">.  </w:t>
      </w:r>
      <w:r w:rsidRPr="00E95E02">
        <w:rPr>
          <w:rStyle w:val="Referencingstyle"/>
        </w:rPr>
        <w:t>[Schedule 2, item 3, section 60FA(2), CC Act]</w:t>
      </w:r>
    </w:p>
    <w:p w:rsidR="00DB4BC7" w:rsidRPr="00567E32" w:rsidRDefault="00DB4BC7" w:rsidP="00DB4BC7">
      <w:pPr>
        <w:pStyle w:val="base-text-paragraph"/>
        <w:numPr>
          <w:ilvl w:val="1"/>
          <w:numId w:val="22"/>
        </w:numPr>
        <w:rPr>
          <w:rStyle w:val="Referencingstyle"/>
          <w:b w:val="0"/>
          <w:i w:val="0"/>
          <w:sz w:val="22"/>
        </w:rPr>
      </w:pPr>
      <w:r>
        <w:t xml:space="preserve">The term ‘regulated supply input costs’, of an entity, means </w:t>
      </w:r>
      <w:r w:rsidRPr="0065534F">
        <w:t xml:space="preserve">the </w:t>
      </w:r>
      <w:r>
        <w:t>entity</w:t>
      </w:r>
      <w:r w:rsidRPr="0065534F">
        <w:t xml:space="preserve">’s input costs in relation to the making by the </w:t>
      </w:r>
      <w:r>
        <w:t xml:space="preserve">entity </w:t>
      </w:r>
      <w:r w:rsidRPr="0065534F">
        <w:t>of regulated supplies</w:t>
      </w:r>
      <w:r>
        <w:t xml:space="preserve">. </w:t>
      </w:r>
      <w:r w:rsidRPr="00E95E02">
        <w:rPr>
          <w:rStyle w:val="Referencingstyle"/>
        </w:rPr>
        <w:t>[</w:t>
      </w:r>
      <w:r w:rsidRPr="009F0446">
        <w:rPr>
          <w:rStyle w:val="Referencingstyle"/>
        </w:rPr>
        <w:t>Schedule 2, item 3</w:t>
      </w:r>
      <w:r>
        <w:rPr>
          <w:rStyle w:val="Referencingstyle"/>
        </w:rPr>
        <w:t>, section 60A, CC Act]</w:t>
      </w:r>
    </w:p>
    <w:p w:rsidR="00DB4BC7" w:rsidRPr="00490882" w:rsidRDefault="00DB4BC7" w:rsidP="00DB4BC7">
      <w:pPr>
        <w:pStyle w:val="base-text-paragraph"/>
        <w:numPr>
          <w:ilvl w:val="1"/>
          <w:numId w:val="22"/>
        </w:numPr>
        <w:rPr>
          <w:rStyle w:val="Referencingstyle"/>
          <w:b w:val="0"/>
          <w:i w:val="0"/>
          <w:sz w:val="22"/>
        </w:rPr>
      </w:pPr>
      <w:r>
        <w:rPr>
          <w:rStyle w:val="Referencingstyle"/>
          <w:b w:val="0"/>
          <w:i w:val="0"/>
          <w:sz w:val="22"/>
        </w:rPr>
        <w:t>These i</w:t>
      </w:r>
      <w:r w:rsidRPr="00567E32">
        <w:rPr>
          <w:rStyle w:val="Referencingstyle"/>
          <w:b w:val="0"/>
          <w:i w:val="0"/>
          <w:sz w:val="22"/>
        </w:rPr>
        <w:t xml:space="preserve">nput costs </w:t>
      </w:r>
      <w:r>
        <w:rPr>
          <w:rStyle w:val="Referencingstyle"/>
          <w:b w:val="0"/>
          <w:i w:val="0"/>
          <w:sz w:val="22"/>
        </w:rPr>
        <w:t>include costs directly attributable to the imposition of the carbon tax and the passing of those costs through the supply chain, as well as a</w:t>
      </w:r>
      <w:r w:rsidRPr="00567E32">
        <w:rPr>
          <w:rStyle w:val="Referencingstyle"/>
          <w:b w:val="0"/>
          <w:i w:val="0"/>
          <w:sz w:val="22"/>
        </w:rPr>
        <w:t>dministrative and compliance costs</w:t>
      </w:r>
      <w:r>
        <w:rPr>
          <w:rStyle w:val="Referencingstyle"/>
          <w:b w:val="0"/>
          <w:i w:val="0"/>
          <w:sz w:val="22"/>
        </w:rPr>
        <w:t xml:space="preserve"> associated with the carbon tax and its repeal.</w:t>
      </w:r>
    </w:p>
    <w:p w:rsidR="00DB4BC7" w:rsidRPr="00E95E02" w:rsidRDefault="00DB4BC7" w:rsidP="00DB4BC7">
      <w:pPr>
        <w:pStyle w:val="base-text-paragraph"/>
        <w:numPr>
          <w:ilvl w:val="1"/>
          <w:numId w:val="22"/>
        </w:numPr>
      </w:pPr>
      <w:r>
        <w:rPr>
          <w:rStyle w:val="Referencingstyle"/>
          <w:b w:val="0"/>
          <w:i w:val="0"/>
          <w:sz w:val="22"/>
        </w:rPr>
        <w:t>Secondly, t</w:t>
      </w:r>
      <w:r w:rsidRPr="00D36A54">
        <w:rPr>
          <w:rStyle w:val="Referencingstyle"/>
          <w:b w:val="0"/>
          <w:i w:val="0"/>
          <w:sz w:val="22"/>
        </w:rPr>
        <w:t xml:space="preserve">he ACCC </w:t>
      </w:r>
      <w:r>
        <w:rPr>
          <w:rStyle w:val="Referencingstyle"/>
          <w:b w:val="0"/>
          <w:i w:val="0"/>
          <w:sz w:val="22"/>
        </w:rPr>
        <w:t>would</w:t>
      </w:r>
      <w:r w:rsidRPr="00D36A54">
        <w:rPr>
          <w:rStyle w:val="Referencingstyle"/>
          <w:b w:val="0"/>
          <w:i w:val="0"/>
          <w:sz w:val="22"/>
        </w:rPr>
        <w:t xml:space="preserve"> require the </w:t>
      </w:r>
      <w:r>
        <w:rPr>
          <w:rStyle w:val="Referencingstyle"/>
          <w:b w:val="0"/>
          <w:i w:val="0"/>
          <w:sz w:val="22"/>
        </w:rPr>
        <w:t>entity</w:t>
      </w:r>
      <w:r w:rsidRPr="00D36A54">
        <w:rPr>
          <w:rStyle w:val="Referencingstyle"/>
          <w:b w:val="0"/>
          <w:i w:val="0"/>
          <w:sz w:val="22"/>
        </w:rPr>
        <w:t xml:space="preserve"> to </w:t>
      </w:r>
      <w:r w:rsidRPr="00064438">
        <w:t xml:space="preserve">give to the </w:t>
      </w:r>
      <w:r>
        <w:t xml:space="preserve">ACCC </w:t>
      </w:r>
      <w:r w:rsidRPr="00064438">
        <w:t>information</w:t>
      </w:r>
      <w:r>
        <w:t xml:space="preserve">, or </w:t>
      </w:r>
      <w:r w:rsidRPr="00064438">
        <w:t xml:space="preserve">produce to the </w:t>
      </w:r>
      <w:r>
        <w:t xml:space="preserve">ACCC </w:t>
      </w:r>
      <w:r w:rsidRPr="00064438">
        <w:t>documents</w:t>
      </w:r>
      <w:r>
        <w:t>,</w:t>
      </w:r>
      <w:r w:rsidRPr="00064438">
        <w:t xml:space="preserve"> that substantiate the explanation set out in the statement</w:t>
      </w:r>
      <w:r w:rsidRPr="00E95E02">
        <w:t xml:space="preserve">. </w:t>
      </w:r>
      <w:r w:rsidRPr="00E95E02">
        <w:rPr>
          <w:rStyle w:val="Referencingstyle"/>
        </w:rPr>
        <w:t>[</w:t>
      </w:r>
      <w:r>
        <w:rPr>
          <w:rStyle w:val="Referencingstyle"/>
        </w:rPr>
        <w:t>Schedule 2, item 3</w:t>
      </w:r>
      <w:r w:rsidRPr="00E95E02">
        <w:rPr>
          <w:rStyle w:val="Referencingstyle"/>
        </w:rPr>
        <w:t>, section 60FA(2), CC Act]</w:t>
      </w:r>
    </w:p>
    <w:p w:rsidR="00DB4BC7" w:rsidRPr="00FB796E" w:rsidRDefault="00DB4BC7" w:rsidP="00DB4BC7">
      <w:pPr>
        <w:pStyle w:val="base-text-paragraph"/>
        <w:numPr>
          <w:ilvl w:val="1"/>
          <w:numId w:val="22"/>
        </w:numPr>
      </w:pPr>
      <w:r>
        <w:t xml:space="preserve">The ACCC must, in a carbon tax removal substantiation notice, set out a period within which the entity must comply with the notice.  This is a period of 21 days after the notice is given.  The ACCC could extend this period under section 60FB of the CC Act, if the recipient of the notice applied in writing for an extension within 14 days after the date of the notice.  </w:t>
      </w:r>
      <w:r w:rsidRPr="00995345">
        <w:rPr>
          <w:rStyle w:val="Referencingstyle"/>
        </w:rPr>
        <w:t>[</w:t>
      </w:r>
      <w:r w:rsidRPr="009F0446">
        <w:rPr>
          <w:rStyle w:val="Referencingstyle"/>
        </w:rPr>
        <w:t xml:space="preserve">Schedule 2, item </w:t>
      </w:r>
      <w:r w:rsidRPr="00FB796E">
        <w:rPr>
          <w:rStyle w:val="Referencingstyle"/>
        </w:rPr>
        <w:t>3, section</w:t>
      </w:r>
      <w:r>
        <w:rPr>
          <w:rStyle w:val="Referencingstyle"/>
        </w:rPr>
        <w:t>s 60FA(2), 60FA(4)]</w:t>
      </w:r>
      <w:r w:rsidRPr="00FB796E">
        <w:rPr>
          <w:rStyle w:val="Referencingstyle"/>
        </w:rPr>
        <w:t xml:space="preserve"> </w:t>
      </w:r>
      <w:r w:rsidRPr="00995345">
        <w:rPr>
          <w:rStyle w:val="Referencingstyle"/>
        </w:rPr>
        <w:t>[</w:t>
      </w:r>
      <w:r w:rsidRPr="009F0446">
        <w:rPr>
          <w:rStyle w:val="Referencingstyle"/>
        </w:rPr>
        <w:t xml:space="preserve">Schedule 2, item </w:t>
      </w:r>
      <w:r w:rsidRPr="00FB796E">
        <w:rPr>
          <w:rStyle w:val="Referencingstyle"/>
        </w:rPr>
        <w:t>3</w:t>
      </w:r>
      <w:r>
        <w:rPr>
          <w:rStyle w:val="Referencingstyle"/>
        </w:rPr>
        <w:t>, section </w:t>
      </w:r>
      <w:r w:rsidRPr="00FB796E">
        <w:rPr>
          <w:rStyle w:val="Referencingstyle"/>
        </w:rPr>
        <w:t>60FB, CC Act]</w:t>
      </w:r>
    </w:p>
    <w:p w:rsidR="00DB4BC7" w:rsidRPr="00FB796E" w:rsidRDefault="00DB4BC7" w:rsidP="00DB4BC7">
      <w:pPr>
        <w:pStyle w:val="base-text-paragraph"/>
        <w:numPr>
          <w:ilvl w:val="1"/>
          <w:numId w:val="22"/>
        </w:numPr>
      </w:pPr>
      <w:r>
        <w:t xml:space="preserve">The ACCC could extend this 21 day period, or decide not to extend it, at its discretion; it would </w:t>
      </w:r>
      <w:r w:rsidRPr="00FB796E">
        <w:t>not</w:t>
      </w:r>
      <w:r>
        <w:t xml:space="preserve"> be required to extend the period whenever an application under section 60FB was made (see subsection 33(2A) of the </w:t>
      </w:r>
      <w:r w:rsidRPr="006A5C6F">
        <w:rPr>
          <w:i/>
        </w:rPr>
        <w:t>Acts Interpretation Act 1901</w:t>
      </w:r>
      <w:r>
        <w:t>.)  If the ACCC did decide to extend the period, the ACCC could only extend the time in which the entity must comply with a notice for a period of no more than 28 days.  The ACCC could extend this period once</w:t>
      </w:r>
      <w:r w:rsidRPr="00556C83">
        <w:t xml:space="preserve"> </w:t>
      </w:r>
      <w:r>
        <w:t>only, and only if an application for an extension was made during this 14 day period.</w:t>
      </w:r>
      <w:r w:rsidRPr="00FB796E">
        <w:rPr>
          <w:rStyle w:val="Referencingstyle"/>
        </w:rPr>
        <w:t xml:space="preserve"> </w:t>
      </w:r>
      <w:r w:rsidRPr="00995345">
        <w:rPr>
          <w:rStyle w:val="Referencingstyle"/>
        </w:rPr>
        <w:t>[</w:t>
      </w:r>
      <w:r w:rsidRPr="009F0446">
        <w:rPr>
          <w:rStyle w:val="Referencingstyle"/>
        </w:rPr>
        <w:t xml:space="preserve">Schedule 2, item </w:t>
      </w:r>
      <w:r w:rsidRPr="00FB796E">
        <w:rPr>
          <w:rStyle w:val="Referencingstyle"/>
        </w:rPr>
        <w:t>3, section</w:t>
      </w:r>
      <w:r>
        <w:rPr>
          <w:rStyle w:val="Referencingstyle"/>
        </w:rPr>
        <w:t>s 60FB(1), 60FB(2) [</w:t>
      </w:r>
      <w:r w:rsidRPr="009F0446">
        <w:rPr>
          <w:rStyle w:val="Referencingstyle"/>
        </w:rPr>
        <w:t xml:space="preserve">Schedule 2, item </w:t>
      </w:r>
      <w:r>
        <w:rPr>
          <w:rStyle w:val="Referencingstyle"/>
        </w:rPr>
        <w:t>3, section 60FC</w:t>
      </w:r>
      <w:r w:rsidRPr="00FB796E">
        <w:rPr>
          <w:rStyle w:val="Referencingstyle"/>
        </w:rPr>
        <w:t>(2), CC Act]</w:t>
      </w:r>
    </w:p>
    <w:p w:rsidR="00DB4BC7" w:rsidRPr="008B0B00" w:rsidRDefault="00DB4BC7" w:rsidP="00DB4BC7">
      <w:pPr>
        <w:pStyle w:val="base-text-paragraph"/>
        <w:numPr>
          <w:ilvl w:val="1"/>
          <w:numId w:val="22"/>
        </w:numPr>
        <w:rPr>
          <w:rStyle w:val="Referencingstyle"/>
          <w:b w:val="0"/>
          <w:i w:val="0"/>
          <w:sz w:val="22"/>
        </w:rPr>
      </w:pPr>
      <w:r>
        <w:t xml:space="preserve">The ACCC could also, in a ‘carbon tax removal substantiation notice’, specify a manner </w:t>
      </w:r>
      <w:r w:rsidRPr="008B0B00">
        <w:t xml:space="preserve">and form for provision of information and documents.  </w:t>
      </w:r>
      <w:r w:rsidRPr="008B0B00">
        <w:rPr>
          <w:rStyle w:val="Referencingstyle"/>
        </w:rPr>
        <w:t>[Schedule 2, item 3, section 60FA(2), CC Act]</w:t>
      </w:r>
    </w:p>
    <w:p w:rsidR="00DB4BC7" w:rsidRPr="008B0B00" w:rsidRDefault="00DB4BC7" w:rsidP="00DB4BC7">
      <w:pPr>
        <w:pStyle w:val="base-text-paragraph"/>
        <w:numPr>
          <w:ilvl w:val="1"/>
          <w:numId w:val="22"/>
        </w:numPr>
        <w:rPr>
          <w:rStyle w:val="Referencingstyle"/>
          <w:b w:val="0"/>
          <w:i w:val="0"/>
          <w:sz w:val="22"/>
        </w:rPr>
      </w:pPr>
      <w:r w:rsidRPr="008B0B00">
        <w:rPr>
          <w:rStyle w:val="Referencingstyle"/>
          <w:b w:val="0"/>
          <w:i w:val="0"/>
          <w:sz w:val="22"/>
        </w:rPr>
        <w:t xml:space="preserve">An entity that was given a carbon tax removal substantiation notice must </w:t>
      </w:r>
      <w:r w:rsidRPr="008B0B00">
        <w:t>then</w:t>
      </w:r>
      <w:r w:rsidRPr="008B0B00">
        <w:rPr>
          <w:rStyle w:val="Referencingstyle"/>
          <w:b w:val="0"/>
          <w:i w:val="0"/>
          <w:sz w:val="22"/>
        </w:rPr>
        <w:t xml:space="preserve"> </w:t>
      </w:r>
      <w:r w:rsidRPr="00DB4BC7">
        <w:t>comply</w:t>
      </w:r>
      <w:r w:rsidRPr="008B0B00">
        <w:rPr>
          <w:rStyle w:val="Referencingstyle"/>
          <w:b w:val="0"/>
          <w:i w:val="0"/>
          <w:sz w:val="22"/>
        </w:rPr>
        <w:t xml:space="preserve"> with the notice within the ‘applicable compliance period’.  </w:t>
      </w:r>
      <w:r w:rsidRPr="008B0B00">
        <w:rPr>
          <w:rStyle w:val="Referencingstyle"/>
        </w:rPr>
        <w:t>[Schedule 2, item 3</w:t>
      </w:r>
      <w:r w:rsidR="00FF6DD8">
        <w:rPr>
          <w:rStyle w:val="Referencingstyle"/>
        </w:rPr>
        <w:t>,</w:t>
      </w:r>
      <w:r>
        <w:rPr>
          <w:rStyle w:val="Referencingstyle"/>
        </w:rPr>
        <w:t xml:space="preserve"> </w:t>
      </w:r>
      <w:r w:rsidRPr="008B0B00">
        <w:rPr>
          <w:rStyle w:val="Referencingstyle"/>
        </w:rPr>
        <w:t>section 60FC(1), CC Act]</w:t>
      </w:r>
    </w:p>
    <w:p w:rsidR="00DB4BC7" w:rsidRPr="008B0B00" w:rsidRDefault="00DB4BC7" w:rsidP="00DB4BC7">
      <w:pPr>
        <w:pStyle w:val="base-text-paragraph"/>
        <w:numPr>
          <w:ilvl w:val="1"/>
          <w:numId w:val="22"/>
        </w:numPr>
        <w:rPr>
          <w:rStyle w:val="Referencingstyle"/>
          <w:b w:val="0"/>
          <w:i w:val="0"/>
          <w:sz w:val="22"/>
        </w:rPr>
      </w:pPr>
      <w:r w:rsidRPr="00B24CB2">
        <w:rPr>
          <w:rStyle w:val="Referencingstyle"/>
          <w:b w:val="0"/>
          <w:i w:val="0"/>
          <w:sz w:val="22"/>
        </w:rPr>
        <w:t xml:space="preserve">The ‘applicable compliance period’ for a carbon tax removal substantiation notice </w:t>
      </w:r>
      <w:r>
        <w:rPr>
          <w:rStyle w:val="Referencingstyle"/>
          <w:b w:val="0"/>
          <w:i w:val="0"/>
          <w:sz w:val="22"/>
        </w:rPr>
        <w:t>is</w:t>
      </w:r>
      <w:r w:rsidRPr="00B24CB2">
        <w:rPr>
          <w:rStyle w:val="Referencingstyle"/>
          <w:b w:val="0"/>
          <w:i w:val="0"/>
          <w:sz w:val="22"/>
        </w:rPr>
        <w:t xml:space="preserve"> </w:t>
      </w:r>
      <w:r w:rsidRPr="00064438">
        <w:t>the period of 21 days specified in the notice</w:t>
      </w:r>
      <w:r>
        <w:t>,</w:t>
      </w:r>
      <w:r w:rsidRPr="00064438">
        <w:t xml:space="preserve"> or</w:t>
      </w:r>
      <w:r>
        <w:t xml:space="preserve">, </w:t>
      </w:r>
      <w:r w:rsidRPr="00064438">
        <w:t>if th</w:t>
      </w:r>
      <w:r>
        <w:t>at</w:t>
      </w:r>
      <w:r w:rsidRPr="00064438">
        <w:t xml:space="preserve"> period ha</w:t>
      </w:r>
      <w:r>
        <w:t>d</w:t>
      </w:r>
      <w:r w:rsidRPr="00064438">
        <w:t xml:space="preserve"> been extended under section </w:t>
      </w:r>
      <w:r w:rsidRPr="00B24CB2">
        <w:t>60FB</w:t>
      </w:r>
      <w:r>
        <w:t xml:space="preserve"> of the CC Act, </w:t>
      </w:r>
      <w:r w:rsidRPr="00064438">
        <w:t>the period as so ext</w:t>
      </w:r>
      <w:r>
        <w:t xml:space="preserve">ended that is not more than 28 days.  </w:t>
      </w:r>
      <w:r w:rsidRPr="008B0B00">
        <w:t xml:space="preserve">If an entity had applied for an extension, the applicable compliance period also includes the period up until the time when the entity is given notice of the ACCC’s decision on the extension.  </w:t>
      </w:r>
      <w:r w:rsidRPr="008B0B00">
        <w:rPr>
          <w:rStyle w:val="Referencingstyle"/>
        </w:rPr>
        <w:t>[Schedule 2, item 3, section</w:t>
      </w:r>
      <w:r>
        <w:rPr>
          <w:rStyle w:val="Referencingstyle"/>
        </w:rPr>
        <w:t> 60FA(2</w:t>
      </w:r>
      <w:r w:rsidRPr="008B0B00">
        <w:rPr>
          <w:rStyle w:val="Referencingstyle"/>
        </w:rPr>
        <w:t>)</w:t>
      </w:r>
      <w:r>
        <w:rPr>
          <w:rStyle w:val="Referencingstyle"/>
        </w:rPr>
        <w:t>]</w:t>
      </w:r>
      <w:r w:rsidRPr="00404C28">
        <w:rPr>
          <w:rStyle w:val="Referencingstyle"/>
        </w:rPr>
        <w:t xml:space="preserve"> </w:t>
      </w:r>
      <w:r w:rsidRPr="008B0B00">
        <w:rPr>
          <w:rStyle w:val="Referencingstyle"/>
        </w:rPr>
        <w:t>[Schedule 2, item 3</w:t>
      </w:r>
      <w:r>
        <w:rPr>
          <w:rStyle w:val="Referencingstyle"/>
        </w:rPr>
        <w:t xml:space="preserve">, </w:t>
      </w:r>
      <w:r w:rsidRPr="008B0B00">
        <w:rPr>
          <w:rStyle w:val="Referencingstyle"/>
        </w:rPr>
        <w:t>section</w:t>
      </w:r>
      <w:r>
        <w:rPr>
          <w:rStyle w:val="Referencingstyle"/>
        </w:rPr>
        <w:t> </w:t>
      </w:r>
      <w:r w:rsidRPr="008B0B00">
        <w:rPr>
          <w:rStyle w:val="Referencingstyle"/>
        </w:rPr>
        <w:t>60FC(2), CC Act]</w:t>
      </w:r>
    </w:p>
    <w:p w:rsidR="00DB4BC7" w:rsidRPr="00064438" w:rsidRDefault="00DB4BC7" w:rsidP="00DB4BC7">
      <w:pPr>
        <w:pStyle w:val="base-text-paragraph"/>
        <w:numPr>
          <w:ilvl w:val="1"/>
          <w:numId w:val="22"/>
        </w:numPr>
      </w:pPr>
      <w:r>
        <w:rPr>
          <w:rStyle w:val="Referencingstyle"/>
          <w:b w:val="0"/>
          <w:i w:val="0"/>
          <w:sz w:val="22"/>
        </w:rPr>
        <w:t xml:space="preserve">The effect of this provision is that, if an entity applies under section 60FB for an extension of the period for complying with a carbon tax substantiation </w:t>
      </w:r>
      <w:r w:rsidRPr="00DB4BC7">
        <w:t>notice</w:t>
      </w:r>
      <w:r>
        <w:rPr>
          <w:rStyle w:val="Referencingstyle"/>
          <w:b w:val="0"/>
          <w:i w:val="0"/>
          <w:sz w:val="22"/>
        </w:rPr>
        <w:t>, and the ACCC decides not to extend that period, the ‘</w:t>
      </w:r>
      <w:r w:rsidRPr="00842003">
        <w:t>applicable</w:t>
      </w:r>
      <w:r>
        <w:rPr>
          <w:rStyle w:val="Referencingstyle"/>
          <w:b w:val="0"/>
          <w:i w:val="0"/>
          <w:sz w:val="22"/>
        </w:rPr>
        <w:t xml:space="preserve"> compliance period’ ends on the day the entity is given notice of the ACCC’s decision, rather than at the end of the original 21 day period.</w:t>
      </w:r>
    </w:p>
    <w:p w:rsidR="00DB4BC7" w:rsidRPr="00CE010D" w:rsidRDefault="00DB4BC7" w:rsidP="00DB4BC7">
      <w:pPr>
        <w:pStyle w:val="base-text-paragraph"/>
        <w:numPr>
          <w:ilvl w:val="1"/>
          <w:numId w:val="22"/>
        </w:numPr>
        <w:rPr>
          <w:rStyle w:val="Referencingstyle"/>
          <w:b w:val="0"/>
          <w:i w:val="0"/>
          <w:sz w:val="22"/>
        </w:rPr>
      </w:pPr>
      <w:r>
        <w:rPr>
          <w:rStyle w:val="Referencingstyle"/>
          <w:b w:val="0"/>
          <w:i w:val="0"/>
          <w:sz w:val="22"/>
        </w:rPr>
        <w:t>An entity</w:t>
      </w:r>
      <w:r w:rsidRPr="00CE010D">
        <w:rPr>
          <w:rStyle w:val="Referencingstyle"/>
          <w:b w:val="0"/>
          <w:i w:val="0"/>
          <w:sz w:val="22"/>
        </w:rPr>
        <w:t xml:space="preserve"> that had been given a carbon tax removal substantiation notice would commit an offence if it was capable of </w:t>
      </w:r>
      <w:r w:rsidRPr="00842003">
        <w:t>complying</w:t>
      </w:r>
      <w:r w:rsidRPr="00CE010D">
        <w:rPr>
          <w:rStyle w:val="Referencingstyle"/>
          <w:b w:val="0"/>
          <w:i w:val="0"/>
          <w:sz w:val="22"/>
        </w:rPr>
        <w:t xml:space="preserve"> with the notice, but did not do so.</w:t>
      </w:r>
      <w:r>
        <w:t xml:space="preserve">  Such an</w:t>
      </w:r>
      <w:r w:rsidRPr="00CE010D">
        <w:rPr>
          <w:rStyle w:val="Referencingstyle"/>
          <w:b w:val="0"/>
          <w:i w:val="0"/>
          <w:sz w:val="22"/>
        </w:rPr>
        <w:t xml:space="preserve"> offence </w:t>
      </w:r>
      <w:r>
        <w:rPr>
          <w:rStyle w:val="Referencingstyle"/>
          <w:b w:val="0"/>
          <w:i w:val="0"/>
          <w:sz w:val="22"/>
        </w:rPr>
        <w:t xml:space="preserve">is </w:t>
      </w:r>
      <w:r w:rsidRPr="00CE010D">
        <w:rPr>
          <w:rStyle w:val="Referencingstyle"/>
          <w:b w:val="0"/>
          <w:i w:val="0"/>
          <w:sz w:val="22"/>
        </w:rPr>
        <w:t xml:space="preserve">an offence of strict liability.  Strict liability offences are dealt with in Division 6 of Part 2.2 of the Criminal Code.  </w:t>
      </w:r>
      <w:r w:rsidRPr="00995345">
        <w:rPr>
          <w:rStyle w:val="Referencingstyle"/>
        </w:rPr>
        <w:t>[</w:t>
      </w:r>
      <w:r w:rsidRPr="008B0B00">
        <w:rPr>
          <w:rStyle w:val="Referencingstyle"/>
        </w:rPr>
        <w:t>Schedule 2, item 3, section 60FA(2)</w:t>
      </w:r>
      <w:r>
        <w:rPr>
          <w:rStyle w:val="Referencingstyle"/>
        </w:rPr>
        <w:t>, CC Act]</w:t>
      </w:r>
      <w:r w:rsidRPr="00A96D08">
        <w:rPr>
          <w:rStyle w:val="Referencingstyle"/>
        </w:rPr>
        <w:t> </w:t>
      </w:r>
      <w:r w:rsidRPr="00995345">
        <w:rPr>
          <w:rStyle w:val="Referencingstyle"/>
        </w:rPr>
        <w:t>[</w:t>
      </w:r>
      <w:r w:rsidRPr="008B0B00">
        <w:rPr>
          <w:rStyle w:val="Referencingstyle"/>
        </w:rPr>
        <w:t>Schedule 2, item 3, section</w:t>
      </w:r>
      <w:r>
        <w:rPr>
          <w:rStyle w:val="Referencingstyle"/>
        </w:rPr>
        <w:t>s</w:t>
      </w:r>
      <w:r w:rsidRPr="008B0B00">
        <w:rPr>
          <w:rStyle w:val="Referencingstyle"/>
        </w:rPr>
        <w:t> </w:t>
      </w:r>
      <w:r w:rsidRPr="00A96D08">
        <w:rPr>
          <w:rStyle w:val="Referencingstyle"/>
        </w:rPr>
        <w:t xml:space="preserve"> 60FC(3), 60FC(4), CC Act</w:t>
      </w:r>
      <w:r w:rsidRPr="00995345">
        <w:rPr>
          <w:rStyle w:val="Referencingstyle"/>
        </w:rPr>
        <w:t>]</w:t>
      </w:r>
    </w:p>
    <w:p w:rsidR="00DB4BC7" w:rsidRPr="00404C28" w:rsidRDefault="00DB4BC7" w:rsidP="00DB4BC7">
      <w:pPr>
        <w:pStyle w:val="base-text-paragraph"/>
        <w:numPr>
          <w:ilvl w:val="1"/>
          <w:numId w:val="22"/>
        </w:numPr>
        <w:rPr>
          <w:rStyle w:val="Referencingstyle"/>
          <w:b w:val="0"/>
          <w:i w:val="0"/>
          <w:sz w:val="22"/>
        </w:rPr>
      </w:pPr>
      <w:r w:rsidRPr="00404C28">
        <w:rPr>
          <w:rStyle w:val="Referencingstyle"/>
          <w:b w:val="0"/>
          <w:i w:val="0"/>
          <w:sz w:val="22"/>
        </w:rPr>
        <w:t xml:space="preserve">The maximum penalty applicable to an entity found guilty of this offence would be </w:t>
      </w:r>
      <w:r w:rsidRPr="00DB4BC7">
        <w:t>200</w:t>
      </w:r>
      <w:r w:rsidRPr="00404C28">
        <w:rPr>
          <w:rStyle w:val="Referencingstyle"/>
          <w:b w:val="0"/>
          <w:i w:val="0"/>
          <w:sz w:val="22"/>
        </w:rPr>
        <w:t xml:space="preserve"> penalty units ($34,000).  </w:t>
      </w:r>
      <w:r w:rsidRPr="00995345">
        <w:rPr>
          <w:rStyle w:val="Referencingstyle"/>
        </w:rPr>
        <w:t>[</w:t>
      </w:r>
      <w:r w:rsidRPr="008B0B00">
        <w:rPr>
          <w:rStyle w:val="Referencingstyle"/>
        </w:rPr>
        <w:t>Schedule 2, item 3, section</w:t>
      </w:r>
      <w:r>
        <w:rPr>
          <w:rStyle w:val="Referencingstyle"/>
        </w:rPr>
        <w:t> </w:t>
      </w:r>
      <w:r w:rsidRPr="008B0B00">
        <w:rPr>
          <w:rStyle w:val="Referencingstyle"/>
        </w:rPr>
        <w:t>60FA(2)</w:t>
      </w:r>
      <w:r w:rsidRPr="00404C28">
        <w:rPr>
          <w:rStyle w:val="Referencingstyle"/>
          <w:b w:val="0"/>
          <w:i w:val="0"/>
          <w:sz w:val="22"/>
        </w:rPr>
        <w:t>,</w:t>
      </w:r>
      <w:r>
        <w:rPr>
          <w:rStyle w:val="Referencingstyle"/>
          <w:b w:val="0"/>
          <w:i w:val="0"/>
          <w:sz w:val="22"/>
        </w:rPr>
        <w:t xml:space="preserve"> </w:t>
      </w:r>
      <w:r w:rsidRPr="00841FD8">
        <w:rPr>
          <w:rStyle w:val="Referencingstyle"/>
        </w:rPr>
        <w:t>CC Act</w:t>
      </w:r>
      <w:r w:rsidRPr="00995345">
        <w:rPr>
          <w:rStyle w:val="Referencingstyle"/>
        </w:rPr>
        <w:t>]</w:t>
      </w:r>
      <w:r w:rsidRPr="00404C28">
        <w:rPr>
          <w:rStyle w:val="Referencingstyle"/>
          <w:b w:val="0"/>
          <w:i w:val="0"/>
          <w:sz w:val="22"/>
        </w:rPr>
        <w:t xml:space="preserve"> </w:t>
      </w:r>
      <w:r w:rsidRPr="00995345">
        <w:rPr>
          <w:rStyle w:val="Referencingstyle"/>
        </w:rPr>
        <w:t>[</w:t>
      </w:r>
      <w:r w:rsidRPr="008B0B00">
        <w:rPr>
          <w:rStyle w:val="Referencingstyle"/>
        </w:rPr>
        <w:t>Schedule 2, item 3, section</w:t>
      </w:r>
      <w:r>
        <w:rPr>
          <w:rStyle w:val="Referencingstyle"/>
        </w:rPr>
        <w:t xml:space="preserve"> </w:t>
      </w:r>
      <w:r w:rsidRPr="00841FD8">
        <w:rPr>
          <w:rStyle w:val="Referencingstyle"/>
        </w:rPr>
        <w:t>60</w:t>
      </w:r>
      <w:r>
        <w:rPr>
          <w:rStyle w:val="Referencingstyle"/>
        </w:rPr>
        <w:t>FC(3)</w:t>
      </w:r>
      <w:r w:rsidRPr="00841FD8">
        <w:rPr>
          <w:rStyle w:val="Referencingstyle"/>
        </w:rPr>
        <w:t>,</w:t>
      </w:r>
      <w:r>
        <w:rPr>
          <w:rStyle w:val="Referencingstyle"/>
        </w:rPr>
        <w:t xml:space="preserve"> </w:t>
      </w:r>
      <w:r w:rsidRPr="00841FD8">
        <w:rPr>
          <w:rStyle w:val="Referencingstyle"/>
        </w:rPr>
        <w:t>CC Act</w:t>
      </w:r>
      <w:r w:rsidRPr="00995345">
        <w:rPr>
          <w:rStyle w:val="Referencingstyle"/>
        </w:rPr>
        <w:t>]</w:t>
      </w:r>
    </w:p>
    <w:p w:rsidR="00DB4BC7" w:rsidRPr="00404C28" w:rsidRDefault="00DB4BC7" w:rsidP="00DB4BC7">
      <w:pPr>
        <w:pStyle w:val="base-text-paragraph"/>
        <w:numPr>
          <w:ilvl w:val="1"/>
          <w:numId w:val="22"/>
        </w:numPr>
        <w:rPr>
          <w:rStyle w:val="Referencingstyle"/>
          <w:b w:val="0"/>
          <w:i w:val="0"/>
          <w:sz w:val="22"/>
        </w:rPr>
      </w:pPr>
      <w:r w:rsidRPr="00404C28">
        <w:rPr>
          <w:rStyle w:val="Referencingstyle"/>
          <w:b w:val="0"/>
          <w:i w:val="0"/>
          <w:sz w:val="22"/>
        </w:rPr>
        <w:t xml:space="preserve">In the case that the offence applied to an individual, whether or not because of </w:t>
      </w:r>
      <w:r w:rsidRPr="00842003">
        <w:t>subsection</w:t>
      </w:r>
      <w:r w:rsidRPr="00404C28">
        <w:rPr>
          <w:rStyle w:val="Referencingstyle"/>
          <w:b w:val="0"/>
          <w:i w:val="0"/>
          <w:sz w:val="22"/>
        </w:rPr>
        <w:t xml:space="preserve"> 6(2) of the CC Act, the maximum penalty that would be applicable to that individual, if found guilty of the offence, would be 40 penalty units ($6,800).  </w:t>
      </w:r>
      <w:r w:rsidRPr="00A96D08">
        <w:rPr>
          <w:rStyle w:val="Referencingstyle"/>
        </w:rPr>
        <w:t>[Schedule 2, item 3, section 60FA(2)</w:t>
      </w:r>
      <w:r>
        <w:rPr>
          <w:rStyle w:val="Referencingstyle"/>
        </w:rPr>
        <w:t xml:space="preserve">, </w:t>
      </w:r>
      <w:r w:rsidRPr="00A96D08">
        <w:rPr>
          <w:rStyle w:val="Referencingstyle"/>
        </w:rPr>
        <w:t>CC Act]</w:t>
      </w:r>
      <w:r>
        <w:rPr>
          <w:rStyle w:val="Referencingstyle"/>
        </w:rPr>
        <w:t xml:space="preserve"> [</w:t>
      </w:r>
      <w:r w:rsidRPr="008B0B00">
        <w:rPr>
          <w:rStyle w:val="Referencingstyle"/>
        </w:rPr>
        <w:t xml:space="preserve">Schedule 2, item 3, </w:t>
      </w:r>
      <w:r>
        <w:rPr>
          <w:rStyle w:val="Referencingstyle"/>
        </w:rPr>
        <w:t>section</w:t>
      </w:r>
      <w:r w:rsidRPr="00A96D08">
        <w:rPr>
          <w:rStyle w:val="Referencingstyle"/>
        </w:rPr>
        <w:t> 60FC(5), CC Act]</w:t>
      </w:r>
    </w:p>
    <w:p w:rsidR="00DB4BC7" w:rsidRPr="002326CD" w:rsidRDefault="00DB4BC7" w:rsidP="00DB4BC7">
      <w:pPr>
        <w:pStyle w:val="base-text-paragraph"/>
        <w:numPr>
          <w:ilvl w:val="1"/>
          <w:numId w:val="22"/>
        </w:numPr>
        <w:rPr>
          <w:rStyle w:val="Referencingstyle"/>
          <w:b w:val="0"/>
          <w:i w:val="0"/>
          <w:sz w:val="22"/>
        </w:rPr>
      </w:pPr>
      <w:r w:rsidRPr="00A96D08">
        <w:rPr>
          <w:rStyle w:val="Referencingstyle"/>
          <w:b w:val="0"/>
          <w:i w:val="0"/>
          <w:sz w:val="22"/>
        </w:rPr>
        <w:t xml:space="preserve">In addition, the individual would be excused from giving information or </w:t>
      </w:r>
      <w:r w:rsidRPr="00DB4BC7">
        <w:t>producing</w:t>
      </w:r>
      <w:r w:rsidRPr="00A96D08">
        <w:rPr>
          <w:rStyle w:val="Referencingstyle"/>
          <w:b w:val="0"/>
          <w:i w:val="0"/>
          <w:sz w:val="22"/>
        </w:rPr>
        <w:t xml:space="preserve"> a document in accordance with a carbon tax removal substantiation notice on the ground that the information or the production of the document might tend to incriminate the individual or expose the individual to a penalty.  This would preserve the operation of the common law privileges against self-incrimination or exposure to a penalty.  </w:t>
      </w:r>
      <w:r w:rsidRPr="00A96D08">
        <w:rPr>
          <w:rStyle w:val="Referencingstyle"/>
        </w:rPr>
        <w:t>[Schedule 2, item 3, section</w:t>
      </w:r>
      <w:r>
        <w:rPr>
          <w:rStyle w:val="Referencingstyle"/>
        </w:rPr>
        <w:t>s</w:t>
      </w:r>
      <w:r w:rsidRPr="00A96D08">
        <w:rPr>
          <w:rStyle w:val="Referencingstyle"/>
        </w:rPr>
        <w:t> 60FA(2)</w:t>
      </w:r>
      <w:r w:rsidRPr="0035132F">
        <w:rPr>
          <w:rStyle w:val="Referencingstyle"/>
        </w:rPr>
        <w:t xml:space="preserve"> </w:t>
      </w:r>
      <w:r w:rsidRPr="00A96D08">
        <w:rPr>
          <w:rStyle w:val="Referencingstyle"/>
        </w:rPr>
        <w:t>CC Act]</w:t>
      </w:r>
      <w:r>
        <w:rPr>
          <w:rStyle w:val="Referencingstyle"/>
        </w:rPr>
        <w:t xml:space="preserve"> </w:t>
      </w:r>
      <w:r w:rsidRPr="00A96D08">
        <w:rPr>
          <w:rStyle w:val="Referencingstyle"/>
        </w:rPr>
        <w:t>[</w:t>
      </w:r>
      <w:r>
        <w:rPr>
          <w:rStyle w:val="Referencingstyle"/>
        </w:rPr>
        <w:t>Schedule 2, item 3, section 60FC(6),</w:t>
      </w:r>
      <w:r w:rsidRPr="00841FD8">
        <w:rPr>
          <w:rStyle w:val="Referencingstyle"/>
        </w:rPr>
        <w:t xml:space="preserve"> CC Act</w:t>
      </w:r>
      <w:r w:rsidRPr="00995345">
        <w:rPr>
          <w:rStyle w:val="Referencingstyle"/>
        </w:rPr>
        <w:t>]</w:t>
      </w:r>
    </w:p>
    <w:p w:rsidR="00DB4BC7" w:rsidRDefault="00DB4BC7" w:rsidP="00DB4BC7">
      <w:pPr>
        <w:pStyle w:val="base-text-paragraph"/>
        <w:numPr>
          <w:ilvl w:val="1"/>
          <w:numId w:val="22"/>
        </w:numPr>
        <w:rPr>
          <w:rStyle w:val="Referencingstyle"/>
          <w:b w:val="0"/>
          <w:i w:val="0"/>
          <w:sz w:val="22"/>
        </w:rPr>
      </w:pPr>
      <w:r>
        <w:rPr>
          <w:rStyle w:val="Referencingstyle"/>
          <w:b w:val="0"/>
          <w:i w:val="0"/>
          <w:sz w:val="22"/>
        </w:rPr>
        <w:t>T</w:t>
      </w:r>
      <w:r w:rsidRPr="001815F8">
        <w:rPr>
          <w:rStyle w:val="Referencingstyle"/>
          <w:b w:val="0"/>
          <w:i w:val="0"/>
          <w:sz w:val="22"/>
        </w:rPr>
        <w:t>h</w:t>
      </w:r>
      <w:r>
        <w:rPr>
          <w:rStyle w:val="Referencingstyle"/>
          <w:b w:val="0"/>
          <w:i w:val="0"/>
          <w:sz w:val="22"/>
        </w:rPr>
        <w:t xml:space="preserve">e amendments do not preclude reliance on other applicable common law </w:t>
      </w:r>
      <w:r w:rsidRPr="00DB4BC7">
        <w:t>privileges</w:t>
      </w:r>
      <w:r>
        <w:rPr>
          <w:rStyle w:val="Referencingstyle"/>
          <w:b w:val="0"/>
          <w:i w:val="0"/>
          <w:sz w:val="22"/>
        </w:rPr>
        <w:t>, where those are available, for example, right to claim legal professional privilege.</w:t>
      </w:r>
    </w:p>
    <w:p w:rsidR="00DB4BC7" w:rsidRDefault="00DB4BC7" w:rsidP="00DB4BC7">
      <w:pPr>
        <w:pStyle w:val="base-text-paragraph"/>
        <w:numPr>
          <w:ilvl w:val="1"/>
          <w:numId w:val="22"/>
        </w:numPr>
        <w:rPr>
          <w:rStyle w:val="Referencingstyle"/>
          <w:b w:val="0"/>
          <w:i w:val="0"/>
          <w:sz w:val="22"/>
        </w:rPr>
      </w:pPr>
      <w:r>
        <w:rPr>
          <w:rStyle w:val="Referencingstyle"/>
          <w:b w:val="0"/>
          <w:i w:val="0"/>
          <w:sz w:val="22"/>
        </w:rPr>
        <w:t xml:space="preserve">A carbon tax removal substantiation notice must explain the effect of </w:t>
      </w:r>
      <w:r w:rsidRPr="00842003">
        <w:t>the</w:t>
      </w:r>
      <w:r>
        <w:rPr>
          <w:rStyle w:val="Referencingstyle"/>
          <w:b w:val="0"/>
          <w:i w:val="0"/>
          <w:sz w:val="22"/>
        </w:rPr>
        <w:t xml:space="preserve"> following provisions:</w:t>
      </w:r>
    </w:p>
    <w:p w:rsidR="00DB4BC7" w:rsidRPr="00064438" w:rsidRDefault="00DB4BC7" w:rsidP="00DB4BC7">
      <w:pPr>
        <w:pStyle w:val="dotpoint"/>
      </w:pPr>
      <w:r w:rsidRPr="00064438">
        <w:t>section </w:t>
      </w:r>
      <w:r w:rsidRPr="00E06009">
        <w:t>60FB</w:t>
      </w:r>
      <w:r>
        <w:t xml:space="preserve"> of the CC Act (which deals with extending periods for complying with carbon tax removal substantiation notices)</w:t>
      </w:r>
      <w:r w:rsidRPr="00064438">
        <w:t>;</w:t>
      </w:r>
    </w:p>
    <w:p w:rsidR="00DB4BC7" w:rsidRPr="00064438" w:rsidRDefault="00DB4BC7" w:rsidP="00DB4BC7">
      <w:pPr>
        <w:pStyle w:val="dotpoint"/>
      </w:pPr>
      <w:r w:rsidRPr="00064438">
        <w:t>section </w:t>
      </w:r>
      <w:r w:rsidRPr="00E06009">
        <w:t>60FC</w:t>
      </w:r>
      <w:r>
        <w:t xml:space="preserve"> of the CC Act (which creates an offence of a failure to comply with a carbon tax removal substantiation notice)</w:t>
      </w:r>
      <w:r w:rsidRPr="00064438">
        <w:t>;</w:t>
      </w:r>
    </w:p>
    <w:p w:rsidR="00DB4BC7" w:rsidRPr="00064438" w:rsidRDefault="00DB4BC7" w:rsidP="00DB4BC7">
      <w:pPr>
        <w:pStyle w:val="dotpoint"/>
      </w:pPr>
      <w:r w:rsidRPr="00064438">
        <w:t xml:space="preserve">sections 137.1 and 137.2 of the </w:t>
      </w:r>
      <w:r w:rsidRPr="00F46E7B">
        <w:t>Criminal Code</w:t>
      </w:r>
      <w:r>
        <w:t xml:space="preserve"> (which create offences relating to provision of false or misleading information and </w:t>
      </w:r>
      <w:r w:rsidRPr="00A96D08">
        <w:t xml:space="preserve">documents). </w:t>
      </w:r>
      <w:r w:rsidRPr="00A96D08">
        <w:rPr>
          <w:rStyle w:val="Referencingstyle"/>
        </w:rPr>
        <w:t>[Schedule 2, item 3, section</w:t>
      </w:r>
      <w:r>
        <w:rPr>
          <w:rStyle w:val="Referencingstyle"/>
        </w:rPr>
        <w:t>s 60FA(2) and 60FA(5),</w:t>
      </w:r>
      <w:r w:rsidRPr="00841FD8">
        <w:rPr>
          <w:rStyle w:val="Referencingstyle"/>
        </w:rPr>
        <w:t xml:space="preserve"> CC Act</w:t>
      </w:r>
      <w:r w:rsidRPr="00995345">
        <w:rPr>
          <w:rStyle w:val="Referencingstyle"/>
        </w:rPr>
        <w:t>]</w:t>
      </w:r>
    </w:p>
    <w:p w:rsidR="00AE6B36" w:rsidRDefault="00AE6B36" w:rsidP="00AE6B36">
      <w:pPr>
        <w:pStyle w:val="Heading3"/>
      </w:pPr>
      <w:r>
        <w:t>Requirements for electricity and gas retailers to inform consumers of cost savings arising from the carbon tax repeal</w:t>
      </w:r>
    </w:p>
    <w:p w:rsidR="00AE6B36" w:rsidRDefault="00AE6B36" w:rsidP="00AE6B36">
      <w:pPr>
        <w:pStyle w:val="base-text-paragraph"/>
        <w:numPr>
          <w:ilvl w:val="1"/>
          <w:numId w:val="22"/>
        </w:numPr>
      </w:pPr>
      <w:r>
        <w:t xml:space="preserve">A ‘carbon tax removal substantiation statement’ is required </w:t>
      </w:r>
      <w:r w:rsidRPr="00545B5A">
        <w:t xml:space="preserve">if </w:t>
      </w:r>
      <w:r>
        <w:t>an entity</w:t>
      </w:r>
      <w:r w:rsidRPr="00545B5A">
        <w:t xml:space="preserve"> is an </w:t>
      </w:r>
      <w:r>
        <w:t>‘</w:t>
      </w:r>
      <w:r w:rsidRPr="00AE6B36">
        <w:rPr>
          <w:rStyle w:val="Referencingstyle"/>
          <w:sz w:val="22"/>
        </w:rPr>
        <w:t>electricity</w:t>
      </w:r>
      <w:r w:rsidRPr="00545B5A">
        <w:t xml:space="preserve"> retailer</w:t>
      </w:r>
      <w:r>
        <w:t>’ that sells electricity to ‘electricity customers’,</w:t>
      </w:r>
      <w:r w:rsidRPr="00545B5A">
        <w:t xml:space="preserve"> a </w:t>
      </w:r>
      <w:r>
        <w:t>‘</w:t>
      </w:r>
      <w:r w:rsidRPr="00545B5A">
        <w:t>natural gas retailer</w:t>
      </w:r>
      <w:r>
        <w:t xml:space="preserve">’ that sells natural gas to ‘natural gas customers’ or is a ‘bulk SGG importer’ that sells ‘synthetic greenhouse gas’ to ‘SGG </w:t>
      </w:r>
      <w:r w:rsidRPr="008A47CA">
        <w:t xml:space="preserve">customers’. </w:t>
      </w:r>
      <w:r w:rsidRPr="008A47CA">
        <w:rPr>
          <w:rStyle w:val="Referencingstyle"/>
        </w:rPr>
        <w:t xml:space="preserve"> [Schedule 2, item 3, section 60FD(1), CC Act]</w:t>
      </w:r>
      <w:r w:rsidRPr="008A47CA" w:rsidDel="00DE416B">
        <w:t xml:space="preserve"> </w:t>
      </w:r>
    </w:p>
    <w:p w:rsidR="00AE6B36" w:rsidRDefault="00AE6B36" w:rsidP="00AE6B36">
      <w:pPr>
        <w:pStyle w:val="base-text-paragraph"/>
        <w:numPr>
          <w:ilvl w:val="1"/>
          <w:numId w:val="22"/>
        </w:numPr>
      </w:pPr>
      <w:r w:rsidRPr="008A47CA">
        <w:t>Under</w:t>
      </w:r>
      <w:r>
        <w:t xml:space="preserve"> Division 2B of Part V of the CC Act, within 30 days following Royal </w:t>
      </w:r>
      <w:r w:rsidRPr="00AE6B36">
        <w:rPr>
          <w:rStyle w:val="Referencingstyle"/>
          <w:sz w:val="22"/>
        </w:rPr>
        <w:t>Assent</w:t>
      </w:r>
      <w:r>
        <w:t xml:space="preserve"> day of the Main Repeal Bill the entities covered by the division are   required to do two things.</w:t>
      </w:r>
    </w:p>
    <w:p w:rsidR="00AE6B36" w:rsidRDefault="00AE6B36" w:rsidP="00AE6B36">
      <w:pPr>
        <w:pStyle w:val="base-text-paragraph"/>
        <w:numPr>
          <w:ilvl w:val="1"/>
          <w:numId w:val="22"/>
        </w:numPr>
      </w:pPr>
      <w:r>
        <w:t xml:space="preserve">First, the entity is required to give to the ACCC a written </w:t>
      </w:r>
      <w:r w:rsidRPr="00A63EBC">
        <w:t xml:space="preserve">carbon tax removal </w:t>
      </w:r>
      <w:r w:rsidRPr="00AE6B36">
        <w:rPr>
          <w:rStyle w:val="Referencingstyle"/>
          <w:sz w:val="22"/>
        </w:rPr>
        <w:t>substantiation</w:t>
      </w:r>
      <w:r w:rsidRPr="00A63EBC">
        <w:t xml:space="preserve"> statement </w:t>
      </w:r>
      <w:r>
        <w:t>that sets out:</w:t>
      </w:r>
    </w:p>
    <w:p w:rsidR="00AE6B36" w:rsidRDefault="00AE6B36" w:rsidP="00AE6B36">
      <w:pPr>
        <w:pStyle w:val="dotpoint"/>
      </w:pPr>
      <w:r>
        <w:t>i</w:t>
      </w:r>
      <w:r w:rsidRPr="003E3BA8">
        <w:t xml:space="preserve">f the </w:t>
      </w:r>
      <w:r>
        <w:t>entity</w:t>
      </w:r>
      <w:r w:rsidRPr="003E3BA8">
        <w:t xml:space="preserve"> has</w:t>
      </w:r>
      <w:r>
        <w:t xml:space="preserve"> electricity customers – </w:t>
      </w:r>
      <w:r w:rsidRPr="003E3BA8">
        <w:t xml:space="preserve">the </w:t>
      </w:r>
      <w:r>
        <w:t>entity’s</w:t>
      </w:r>
      <w:r w:rsidRPr="003E3BA8">
        <w:t xml:space="preserve"> estimate, on an average annual percentage price basis, or an average annual dollar price basis, of </w:t>
      </w:r>
      <w:r>
        <w:t>its</w:t>
      </w:r>
      <w:r w:rsidRPr="003E3BA8">
        <w:t xml:space="preserve"> cost savings that have been, are, or will be, directly or indirectly attributable to the carbon tax repeal and that have been, are being, or will be, passed on to those customers during the fina</w:t>
      </w:r>
      <w:r>
        <w:t>ncial year that began on 1 July </w:t>
      </w:r>
      <w:r w:rsidRPr="003E3BA8">
        <w:t>2014</w:t>
      </w:r>
      <w:r>
        <w:t>; and</w:t>
      </w:r>
    </w:p>
    <w:p w:rsidR="00AE6B36" w:rsidRPr="00EE26FC" w:rsidRDefault="00AE6B36" w:rsidP="00AE6B36">
      <w:pPr>
        <w:pStyle w:val="dotpoint"/>
        <w:rPr>
          <w:rStyle w:val="Referencingstyle"/>
          <w:b w:val="0"/>
          <w:i w:val="0"/>
          <w:sz w:val="22"/>
        </w:rPr>
      </w:pPr>
      <w:r>
        <w:t>i</w:t>
      </w:r>
      <w:r w:rsidRPr="003E3BA8">
        <w:t xml:space="preserve">f the </w:t>
      </w:r>
      <w:r>
        <w:t>entity</w:t>
      </w:r>
      <w:r w:rsidRPr="003E3BA8">
        <w:t xml:space="preserve"> has</w:t>
      </w:r>
      <w:r>
        <w:t xml:space="preserve"> natural gas customers – </w:t>
      </w:r>
      <w:r w:rsidRPr="003E3BA8">
        <w:t xml:space="preserve">the </w:t>
      </w:r>
      <w:r>
        <w:t xml:space="preserve">entity’s </w:t>
      </w:r>
      <w:r w:rsidRPr="003E3BA8">
        <w:t xml:space="preserve">estimate, on an average annual percentage price basis, or an average annual dollar price </w:t>
      </w:r>
      <w:r w:rsidRPr="00004B2E">
        <w:t xml:space="preserve">basis, of its cost savings that have been, are, or will be, directly or indirectly attributable to the carbon tax repeal and that have been, are being, or will be, passed on to those customers during the financial year that began on 1 July 2014.  </w:t>
      </w:r>
    </w:p>
    <w:p w:rsidR="00AE6B36" w:rsidRPr="00EE26FC" w:rsidRDefault="00AE6B36" w:rsidP="00AE6B36">
      <w:pPr>
        <w:pStyle w:val="dotpoint"/>
        <w:rPr>
          <w:rStyle w:val="Referencingstyle"/>
          <w:b w:val="0"/>
          <w:i w:val="0"/>
          <w:sz w:val="22"/>
        </w:rPr>
      </w:pPr>
      <w:r>
        <w:t xml:space="preserve">if the entity has SGG customers – </w:t>
      </w:r>
      <w:r w:rsidRPr="002E371B">
        <w:t>the entity’s estimate, on an average annual percentage price basis, or an average annual dollar price basis, of the entity’s cost savings that have been, are, or will be, directly or indirectly attributable to the carbon tax repeal and that have been, are being, or will be, passed on to each class of SGG customers during the financial year that began on 1 July 2014</w:t>
      </w:r>
      <w:r>
        <w:t xml:space="preserve">. </w:t>
      </w:r>
      <w:r w:rsidRPr="00004B2E">
        <w:rPr>
          <w:rStyle w:val="Referencingstyle"/>
        </w:rPr>
        <w:t>[Schedule 2,</w:t>
      </w:r>
      <w:r>
        <w:rPr>
          <w:rStyle w:val="Referencingstyle"/>
        </w:rPr>
        <w:t xml:space="preserve"> item 3,</w:t>
      </w:r>
      <w:r w:rsidRPr="00004B2E">
        <w:rPr>
          <w:rStyle w:val="Referencingstyle"/>
        </w:rPr>
        <w:t xml:space="preserve"> section 60FD(2), CC Act</w:t>
      </w:r>
      <w:r w:rsidRPr="00DB6DD7">
        <w:rPr>
          <w:rStyle w:val="Referencingstyle"/>
          <w:b w:val="0"/>
          <w:i w:val="0"/>
          <w:sz w:val="22"/>
        </w:rPr>
        <w:t>]</w:t>
      </w:r>
    </w:p>
    <w:p w:rsidR="00AE6B36" w:rsidRPr="00004B2E" w:rsidRDefault="00AE6B36" w:rsidP="00AE6B36">
      <w:pPr>
        <w:pStyle w:val="base-text-paragraph"/>
        <w:numPr>
          <w:ilvl w:val="1"/>
          <w:numId w:val="22"/>
        </w:numPr>
      </w:pPr>
      <w:r w:rsidRPr="00004B2E">
        <w:t xml:space="preserve">Secondly, the entity is required to give to the ACCC information that substantiates the estimate or estimates set out in the carbon tax removal substantiation statement.  </w:t>
      </w:r>
      <w:r w:rsidRPr="00DB6DD7">
        <w:rPr>
          <w:b/>
          <w:i/>
          <w:sz w:val="18"/>
          <w:szCs w:val="18"/>
        </w:rPr>
        <w:t>[</w:t>
      </w:r>
      <w:r w:rsidRPr="00004B2E">
        <w:rPr>
          <w:rStyle w:val="Referencingstyle"/>
        </w:rPr>
        <w:t>Schedule 2, item 3,</w:t>
      </w:r>
      <w:r>
        <w:rPr>
          <w:rStyle w:val="Referencingstyle"/>
        </w:rPr>
        <w:t xml:space="preserve"> </w:t>
      </w:r>
      <w:r w:rsidRPr="00DB6DD7">
        <w:rPr>
          <w:b/>
          <w:i/>
          <w:sz w:val="18"/>
          <w:szCs w:val="18"/>
        </w:rPr>
        <w:t>section 60FD(2), CC Act]</w:t>
      </w:r>
    </w:p>
    <w:p w:rsidR="00AE6B36" w:rsidRPr="006D51F2" w:rsidRDefault="00AE6B36" w:rsidP="00AE6B36">
      <w:pPr>
        <w:pStyle w:val="base-text-paragraph"/>
        <w:numPr>
          <w:ilvl w:val="1"/>
          <w:numId w:val="22"/>
        </w:numPr>
      </w:pPr>
      <w:r w:rsidRPr="003D19D3">
        <w:t xml:space="preserve">If the </w:t>
      </w:r>
      <w:r>
        <w:t>entity</w:t>
      </w:r>
      <w:r w:rsidRPr="003D19D3">
        <w:t xml:space="preserve"> has given a </w:t>
      </w:r>
      <w:r w:rsidRPr="00A63EBC">
        <w:t xml:space="preserve">carbon tax removal substantiation statement </w:t>
      </w:r>
      <w:r w:rsidRPr="003D19D3">
        <w:t xml:space="preserve">to the </w:t>
      </w:r>
      <w:r>
        <w:t>ACCC</w:t>
      </w:r>
      <w:r w:rsidRPr="003D19D3">
        <w:t xml:space="preserve">, the </w:t>
      </w:r>
      <w:r>
        <w:t>entity</w:t>
      </w:r>
      <w:r w:rsidRPr="003D19D3">
        <w:t xml:space="preserve"> must ensure that a copy of the statement is available on </w:t>
      </w:r>
      <w:r>
        <w:t>its</w:t>
      </w:r>
      <w:r w:rsidRPr="003D19D3">
        <w:t xml:space="preserve"> website, in a </w:t>
      </w:r>
      <w:r>
        <w:t>way</w:t>
      </w:r>
      <w:r w:rsidRPr="003D19D3">
        <w:t xml:space="preserve"> that is readily accessible by the public, until the end of 30 June 2015.</w:t>
      </w:r>
      <w:r>
        <w:t xml:space="preserve">  </w:t>
      </w:r>
      <w:r w:rsidRPr="00CF1251">
        <w:rPr>
          <w:b/>
          <w:i/>
          <w:sz w:val="18"/>
          <w:szCs w:val="18"/>
        </w:rPr>
        <w:t>[</w:t>
      </w:r>
      <w:r w:rsidRPr="008B0B00">
        <w:rPr>
          <w:rStyle w:val="Referencingstyle"/>
        </w:rPr>
        <w:t>Schedule 2, item 3</w:t>
      </w:r>
      <w:r>
        <w:rPr>
          <w:rStyle w:val="Referencingstyle"/>
        </w:rPr>
        <w:t xml:space="preserve">, </w:t>
      </w:r>
      <w:r w:rsidRPr="00CF1251">
        <w:rPr>
          <w:b/>
          <w:i/>
          <w:sz w:val="18"/>
          <w:szCs w:val="18"/>
        </w:rPr>
        <w:t>section 60FD(4), CC</w:t>
      </w:r>
      <w:r>
        <w:rPr>
          <w:b/>
          <w:i/>
          <w:sz w:val="18"/>
          <w:szCs w:val="18"/>
        </w:rPr>
        <w:t> </w:t>
      </w:r>
      <w:r w:rsidRPr="00CF1251">
        <w:rPr>
          <w:b/>
          <w:i/>
          <w:sz w:val="18"/>
          <w:szCs w:val="18"/>
        </w:rPr>
        <w:t>Act]</w:t>
      </w:r>
    </w:p>
    <w:p w:rsidR="00AE6B36" w:rsidRDefault="00AE6B36" w:rsidP="00AE6B36">
      <w:pPr>
        <w:pStyle w:val="base-text-paragraph"/>
        <w:numPr>
          <w:ilvl w:val="1"/>
          <w:numId w:val="22"/>
        </w:numPr>
      </w:pPr>
      <w:r>
        <w:t xml:space="preserve">An entity that must give a </w:t>
      </w:r>
      <w:r w:rsidRPr="00A63EBC">
        <w:t>carbon tax removal substantiation statement</w:t>
      </w:r>
      <w:r>
        <w:t xml:space="preserve"> to the ACCC, or to ensure that a copy of that statement is available on its website, would commit an offence if it was capable of complying with the requirement, but did not do so.  Such an offence is an offence of strict liability.  Strict liability offences are dealt with in Division 6 of Part 2.2 of the Criminal Code.  </w:t>
      </w:r>
      <w:r w:rsidRPr="00CF1251">
        <w:rPr>
          <w:b/>
          <w:i/>
          <w:sz w:val="18"/>
          <w:szCs w:val="18"/>
        </w:rPr>
        <w:t>[</w:t>
      </w:r>
      <w:r w:rsidRPr="008B0B00">
        <w:rPr>
          <w:rStyle w:val="Referencingstyle"/>
        </w:rPr>
        <w:t>Schedule 2, item 3</w:t>
      </w:r>
      <w:r>
        <w:rPr>
          <w:rStyle w:val="Referencingstyle"/>
        </w:rPr>
        <w:t xml:space="preserve">, </w:t>
      </w:r>
      <w:r w:rsidRPr="00CF1251">
        <w:rPr>
          <w:b/>
          <w:i/>
          <w:sz w:val="18"/>
          <w:szCs w:val="18"/>
        </w:rPr>
        <w:t>section</w:t>
      </w:r>
      <w:r>
        <w:rPr>
          <w:b/>
          <w:i/>
          <w:sz w:val="18"/>
          <w:szCs w:val="18"/>
        </w:rPr>
        <w:t>s</w:t>
      </w:r>
      <w:r w:rsidRPr="00CF1251">
        <w:rPr>
          <w:b/>
          <w:i/>
          <w:sz w:val="18"/>
          <w:szCs w:val="18"/>
        </w:rPr>
        <w:t xml:space="preserve"> 60FD(5), 60FD(6), CC Act]</w:t>
      </w:r>
    </w:p>
    <w:p w:rsidR="00AE6B36" w:rsidRDefault="00AE6B36" w:rsidP="00AE6B36">
      <w:pPr>
        <w:pStyle w:val="base-text-paragraph"/>
        <w:numPr>
          <w:ilvl w:val="1"/>
          <w:numId w:val="22"/>
        </w:numPr>
      </w:pPr>
      <w:r>
        <w:t xml:space="preserve">The maximum penalty applicable to a corporation found guilty of this offence would be 500 penalty units ($85,000).  </w:t>
      </w:r>
      <w:r w:rsidRPr="00CF1251">
        <w:rPr>
          <w:b/>
          <w:i/>
          <w:sz w:val="18"/>
          <w:szCs w:val="18"/>
        </w:rPr>
        <w:t>[</w:t>
      </w:r>
      <w:r w:rsidRPr="008B0B00">
        <w:rPr>
          <w:rStyle w:val="Referencingstyle"/>
        </w:rPr>
        <w:t>Schedule 2, item 3</w:t>
      </w:r>
      <w:r>
        <w:rPr>
          <w:rStyle w:val="Referencingstyle"/>
        </w:rPr>
        <w:t xml:space="preserve">, </w:t>
      </w:r>
      <w:r>
        <w:rPr>
          <w:b/>
          <w:i/>
          <w:sz w:val="18"/>
          <w:szCs w:val="18"/>
        </w:rPr>
        <w:t>section </w:t>
      </w:r>
      <w:r w:rsidRPr="00CF1251">
        <w:rPr>
          <w:b/>
          <w:i/>
          <w:sz w:val="18"/>
          <w:szCs w:val="18"/>
        </w:rPr>
        <w:t>60FD(5), CC Act]</w:t>
      </w:r>
    </w:p>
    <w:p w:rsidR="00AE6B36" w:rsidRPr="001A7503" w:rsidRDefault="00AE6B36" w:rsidP="00AE6B36">
      <w:pPr>
        <w:pStyle w:val="base-text-paragraph"/>
        <w:numPr>
          <w:ilvl w:val="1"/>
          <w:numId w:val="22"/>
        </w:numPr>
        <w:rPr>
          <w:rStyle w:val="Referencingstyle"/>
          <w:b w:val="0"/>
          <w:i w:val="0"/>
          <w:sz w:val="22"/>
        </w:rPr>
      </w:pPr>
      <w:r>
        <w:rPr>
          <w:rStyle w:val="Referencingstyle"/>
          <w:b w:val="0"/>
          <w:i w:val="0"/>
          <w:sz w:val="22"/>
        </w:rPr>
        <w:t xml:space="preserve">In the case that the offence applied to an individual, whether or not because of </w:t>
      </w:r>
      <w:r w:rsidRPr="00842003">
        <w:t>subsection</w:t>
      </w:r>
      <w:r w:rsidRPr="001A7503">
        <w:rPr>
          <w:rStyle w:val="Referencingstyle"/>
          <w:b w:val="0"/>
          <w:i w:val="0"/>
          <w:sz w:val="22"/>
        </w:rPr>
        <w:t> 6(2) of the CC Act</w:t>
      </w:r>
      <w:r>
        <w:rPr>
          <w:rStyle w:val="Referencingstyle"/>
          <w:b w:val="0"/>
          <w:i w:val="0"/>
          <w:sz w:val="22"/>
        </w:rPr>
        <w:t>,</w:t>
      </w:r>
      <w:r w:rsidRPr="001A7503">
        <w:rPr>
          <w:rStyle w:val="Referencingstyle"/>
          <w:b w:val="0"/>
          <w:i w:val="0"/>
          <w:sz w:val="22"/>
        </w:rPr>
        <w:t xml:space="preserve"> </w:t>
      </w:r>
      <w:r>
        <w:rPr>
          <w:rStyle w:val="Referencingstyle"/>
          <w:b w:val="0"/>
          <w:i w:val="0"/>
          <w:sz w:val="22"/>
        </w:rPr>
        <w:t>t</w:t>
      </w:r>
      <w:r w:rsidRPr="001A7503">
        <w:rPr>
          <w:rStyle w:val="Referencingstyle"/>
          <w:b w:val="0"/>
          <w:i w:val="0"/>
          <w:sz w:val="22"/>
        </w:rPr>
        <w:t xml:space="preserve">he maximum penalty </w:t>
      </w:r>
      <w:r>
        <w:rPr>
          <w:rStyle w:val="Referencingstyle"/>
          <w:b w:val="0"/>
          <w:i w:val="0"/>
          <w:sz w:val="22"/>
        </w:rPr>
        <w:t>that would be applicable to that individual, if found guilty of the offence,</w:t>
      </w:r>
      <w:r w:rsidRPr="001A7503">
        <w:rPr>
          <w:rStyle w:val="Referencingstyle"/>
          <w:b w:val="0"/>
          <w:i w:val="0"/>
          <w:sz w:val="22"/>
        </w:rPr>
        <w:t xml:space="preserve"> would be </w:t>
      </w:r>
      <w:r>
        <w:rPr>
          <w:rStyle w:val="Referencingstyle"/>
          <w:b w:val="0"/>
          <w:i w:val="0"/>
          <w:sz w:val="22"/>
        </w:rPr>
        <w:t>40 penalty units (</w:t>
      </w:r>
      <w:r w:rsidRPr="001A7503">
        <w:rPr>
          <w:rStyle w:val="Referencingstyle"/>
          <w:b w:val="0"/>
          <w:i w:val="0"/>
          <w:sz w:val="22"/>
        </w:rPr>
        <w:t>$</w:t>
      </w:r>
      <w:r>
        <w:rPr>
          <w:rStyle w:val="Referencingstyle"/>
          <w:b w:val="0"/>
          <w:i w:val="0"/>
          <w:sz w:val="22"/>
        </w:rPr>
        <w:t>6,800)</w:t>
      </w:r>
      <w:r w:rsidRPr="001A7503">
        <w:rPr>
          <w:rStyle w:val="Referencingstyle"/>
          <w:b w:val="0"/>
          <w:i w:val="0"/>
          <w:sz w:val="22"/>
        </w:rPr>
        <w:t>.</w:t>
      </w:r>
      <w:r>
        <w:rPr>
          <w:rStyle w:val="Referencingstyle"/>
          <w:b w:val="0"/>
          <w:i w:val="0"/>
          <w:sz w:val="22"/>
        </w:rPr>
        <w:t xml:space="preserve">  </w:t>
      </w:r>
      <w:r w:rsidRPr="00995345">
        <w:rPr>
          <w:rStyle w:val="Referencingstyle"/>
        </w:rPr>
        <w:t>[</w:t>
      </w:r>
      <w:r w:rsidRPr="008B0B00">
        <w:rPr>
          <w:rStyle w:val="Referencingstyle"/>
        </w:rPr>
        <w:t>Schedule 2, item 3</w:t>
      </w:r>
      <w:r>
        <w:rPr>
          <w:rStyle w:val="Referencingstyle"/>
        </w:rPr>
        <w:t>, sections 60FC(5) and 60FC(7),</w:t>
      </w:r>
      <w:r w:rsidRPr="00841FD8">
        <w:rPr>
          <w:rStyle w:val="Referencingstyle"/>
        </w:rPr>
        <w:t xml:space="preserve"> CC Act</w:t>
      </w:r>
      <w:r w:rsidRPr="00995345">
        <w:rPr>
          <w:rStyle w:val="Referencingstyle"/>
        </w:rPr>
        <w:t>]</w:t>
      </w:r>
    </w:p>
    <w:p w:rsidR="00AE6B36" w:rsidRDefault="00AE6B36" w:rsidP="00AE6B36">
      <w:pPr>
        <w:pStyle w:val="base-text-paragraph"/>
        <w:numPr>
          <w:ilvl w:val="1"/>
          <w:numId w:val="22"/>
        </w:numPr>
      </w:pPr>
      <w:r>
        <w:t xml:space="preserve">In addition, the individual would be excused from giving an estimate or information in accordance with a carbon tax removal substantiation statement on the ground that the estimate or information might tend to incriminate the individual or expose the individual to a penalty.  This would preserve the operation of the common law privileges against self-incrimination or exposure to a penalty.  </w:t>
      </w:r>
      <w:r w:rsidRPr="00CF1251">
        <w:rPr>
          <w:b/>
          <w:i/>
          <w:sz w:val="18"/>
          <w:szCs w:val="18"/>
        </w:rPr>
        <w:t>[</w:t>
      </w:r>
      <w:r w:rsidRPr="008B0B00">
        <w:rPr>
          <w:rStyle w:val="Referencingstyle"/>
        </w:rPr>
        <w:t>Schedule 2, item 3</w:t>
      </w:r>
      <w:r>
        <w:rPr>
          <w:rStyle w:val="Referencingstyle"/>
        </w:rPr>
        <w:t>,</w:t>
      </w:r>
      <w:r>
        <w:rPr>
          <w:b/>
          <w:i/>
          <w:sz w:val="18"/>
          <w:szCs w:val="18"/>
        </w:rPr>
        <w:t xml:space="preserve"> section </w:t>
      </w:r>
      <w:r w:rsidRPr="00CF1251">
        <w:rPr>
          <w:b/>
          <w:i/>
          <w:sz w:val="18"/>
          <w:szCs w:val="18"/>
        </w:rPr>
        <w:t>60FD(8), CC Act]</w:t>
      </w:r>
    </w:p>
    <w:p w:rsidR="00AE6B36" w:rsidRPr="00141316" w:rsidRDefault="00AE6B36" w:rsidP="00AE6B36">
      <w:pPr>
        <w:pStyle w:val="base-text-paragraph"/>
        <w:numPr>
          <w:ilvl w:val="1"/>
          <w:numId w:val="22"/>
        </w:numPr>
      </w:pPr>
      <w:r>
        <w:t>The provisions do not limit the ACCC’s other information</w:t>
      </w:r>
      <w:r>
        <w:noBreakHyphen/>
        <w:t xml:space="preserve">gathering powers.  </w:t>
      </w:r>
      <w:r w:rsidRPr="00CF1251">
        <w:rPr>
          <w:b/>
          <w:i/>
          <w:sz w:val="18"/>
          <w:szCs w:val="18"/>
        </w:rPr>
        <w:t>[</w:t>
      </w:r>
      <w:r w:rsidRPr="008B0B00">
        <w:rPr>
          <w:rStyle w:val="Referencingstyle"/>
        </w:rPr>
        <w:t xml:space="preserve">Schedule 2, item </w:t>
      </w:r>
      <w:r w:rsidRPr="00454607">
        <w:rPr>
          <w:rStyle w:val="Referencingstyle"/>
        </w:rPr>
        <w:t>3</w:t>
      </w:r>
      <w:r>
        <w:rPr>
          <w:rStyle w:val="Referencingstyle"/>
        </w:rPr>
        <w:t xml:space="preserve">, </w:t>
      </w:r>
      <w:r w:rsidRPr="00454607">
        <w:rPr>
          <w:b/>
          <w:i/>
          <w:sz w:val="18"/>
          <w:szCs w:val="18"/>
        </w:rPr>
        <w:t>section</w:t>
      </w:r>
      <w:r>
        <w:rPr>
          <w:b/>
          <w:i/>
          <w:sz w:val="18"/>
          <w:szCs w:val="18"/>
        </w:rPr>
        <w:t>s 60FD(9) and</w:t>
      </w:r>
      <w:r w:rsidRPr="00CF1251">
        <w:rPr>
          <w:b/>
          <w:i/>
          <w:sz w:val="18"/>
          <w:szCs w:val="18"/>
        </w:rPr>
        <w:t xml:space="preserve"> 60FD(10), CC Act]</w:t>
      </w:r>
    </w:p>
    <w:p w:rsidR="00AE6B36" w:rsidRDefault="00AE6B36" w:rsidP="00AE6B36">
      <w:pPr>
        <w:pStyle w:val="base-text-paragraph"/>
        <w:numPr>
          <w:ilvl w:val="1"/>
          <w:numId w:val="22"/>
        </w:numPr>
      </w:pPr>
      <w:r>
        <w:t>This new Division 2B is intended to serve as a strong disincentive to ensure that costs savings resulting from the carbon tax repeal are passed onto customers, and to encourage greater transparency in the process.  The penalties under this Division are significant ones, and reflect the strength of the Parliament’s commitment to ensure that entities do not make windfall gains from the repeal of the carbon tax, and to ensure that full cost savings resulting from the carbon tax repeal are passed on to customers.</w:t>
      </w:r>
    </w:p>
    <w:p w:rsidR="00AE6B36" w:rsidRDefault="00AE6B36" w:rsidP="00AE6B36">
      <w:pPr>
        <w:pStyle w:val="base-text-paragraph"/>
        <w:numPr>
          <w:ilvl w:val="1"/>
          <w:numId w:val="22"/>
        </w:numPr>
      </w:pPr>
      <w:r>
        <w:t xml:space="preserve">To ensure greater transparency, within 13 months after the date of the Royal Assent, the ACCC is required to report to the Parliament in respect of compliance with this Division by all affected entities. </w:t>
      </w:r>
      <w:r w:rsidRPr="00CF1251">
        <w:rPr>
          <w:b/>
          <w:i/>
          <w:sz w:val="18"/>
          <w:szCs w:val="18"/>
        </w:rPr>
        <w:t>[</w:t>
      </w:r>
      <w:r>
        <w:rPr>
          <w:rStyle w:val="Referencingstyle"/>
        </w:rPr>
        <w:t>Schedule </w:t>
      </w:r>
      <w:r w:rsidRPr="008B0B00">
        <w:rPr>
          <w:rStyle w:val="Referencingstyle"/>
        </w:rPr>
        <w:t>2, item 3</w:t>
      </w:r>
      <w:r>
        <w:rPr>
          <w:rStyle w:val="Referencingstyle"/>
        </w:rPr>
        <w:t xml:space="preserve">, </w:t>
      </w:r>
      <w:r w:rsidRPr="00CF1251">
        <w:rPr>
          <w:b/>
          <w:i/>
          <w:sz w:val="18"/>
          <w:szCs w:val="18"/>
        </w:rPr>
        <w:t>section 60FD(</w:t>
      </w:r>
      <w:r>
        <w:rPr>
          <w:b/>
          <w:i/>
          <w:sz w:val="18"/>
          <w:szCs w:val="18"/>
        </w:rPr>
        <w:t>11</w:t>
      </w:r>
      <w:r w:rsidRPr="00CF1251">
        <w:rPr>
          <w:b/>
          <w:i/>
          <w:sz w:val="18"/>
          <w:szCs w:val="18"/>
        </w:rPr>
        <w:t>), CC</w:t>
      </w:r>
      <w:r>
        <w:rPr>
          <w:b/>
          <w:i/>
          <w:sz w:val="18"/>
          <w:szCs w:val="18"/>
        </w:rPr>
        <w:t> </w:t>
      </w:r>
      <w:r w:rsidRPr="00CF1251">
        <w:rPr>
          <w:b/>
          <w:i/>
          <w:sz w:val="18"/>
          <w:szCs w:val="18"/>
        </w:rPr>
        <w:t>Act]</w:t>
      </w:r>
    </w:p>
    <w:p w:rsidR="00AB5F1F" w:rsidRDefault="00AB5F1F" w:rsidP="00AB5F1F">
      <w:pPr>
        <w:pStyle w:val="Heading3"/>
      </w:pPr>
      <w:r>
        <w:t>Statements for electricity and natural gas customers</w:t>
      </w:r>
    </w:p>
    <w:p w:rsidR="00AB5F1F" w:rsidRDefault="00AB5F1F" w:rsidP="00AB5F1F">
      <w:pPr>
        <w:pStyle w:val="base-text-paragraph"/>
        <w:numPr>
          <w:ilvl w:val="1"/>
          <w:numId w:val="22"/>
        </w:numPr>
      </w:pPr>
      <w:r>
        <w:t xml:space="preserve">The amendments insert a new Division 2C into Part V of the CC Act.  The new Division 2C deals with statements provided to customers by ‘retailers of electricity and natural gas’. </w:t>
      </w:r>
      <w:r w:rsidRPr="00CF1251">
        <w:rPr>
          <w:b/>
          <w:i/>
          <w:sz w:val="18"/>
          <w:szCs w:val="18"/>
        </w:rPr>
        <w:t>[</w:t>
      </w:r>
      <w:r>
        <w:rPr>
          <w:rStyle w:val="Referencingstyle"/>
        </w:rPr>
        <w:t>Schedule </w:t>
      </w:r>
      <w:r w:rsidRPr="008B0B00">
        <w:rPr>
          <w:rStyle w:val="Referencingstyle"/>
        </w:rPr>
        <w:t>2, item 3</w:t>
      </w:r>
      <w:r>
        <w:rPr>
          <w:rStyle w:val="Referencingstyle"/>
        </w:rPr>
        <w:t>, Division 2C</w:t>
      </w:r>
      <w:r w:rsidRPr="00CF1251">
        <w:rPr>
          <w:b/>
          <w:i/>
          <w:sz w:val="18"/>
          <w:szCs w:val="18"/>
        </w:rPr>
        <w:t>, CC</w:t>
      </w:r>
      <w:r>
        <w:rPr>
          <w:b/>
          <w:i/>
          <w:sz w:val="18"/>
          <w:szCs w:val="18"/>
        </w:rPr>
        <w:t> </w:t>
      </w:r>
      <w:r w:rsidRPr="00CF1251">
        <w:rPr>
          <w:b/>
          <w:i/>
          <w:sz w:val="18"/>
          <w:szCs w:val="18"/>
        </w:rPr>
        <w:t>Act]</w:t>
      </w:r>
      <w:r>
        <w:t xml:space="preserve"> </w:t>
      </w:r>
    </w:p>
    <w:p w:rsidR="00AB5F1F" w:rsidRDefault="00AB5F1F" w:rsidP="00AB5F1F">
      <w:pPr>
        <w:pStyle w:val="base-text-paragraph"/>
        <w:numPr>
          <w:ilvl w:val="1"/>
          <w:numId w:val="22"/>
        </w:numPr>
      </w:pPr>
      <w:r>
        <w:t xml:space="preserve">The new section 60FE only applies to an entity if the entity is an electricity retailer that sells electricity to electricity customers or a natural gas retailer that sells natural gas to natural gas customers. No other entities are covered by this section, that is, suppliers of SGGs (including bulk SGG importers) or SGG equipment are not required to provide statements to customers. </w:t>
      </w:r>
      <w:r w:rsidRPr="002268C0">
        <w:rPr>
          <w:b/>
          <w:i/>
          <w:sz w:val="18"/>
          <w:szCs w:val="18"/>
        </w:rPr>
        <w:t>[</w:t>
      </w:r>
      <w:r>
        <w:rPr>
          <w:rStyle w:val="Referencingstyle"/>
        </w:rPr>
        <w:t>Schedule </w:t>
      </w:r>
      <w:r w:rsidRPr="008B0B00">
        <w:rPr>
          <w:rStyle w:val="Referencingstyle"/>
        </w:rPr>
        <w:t>2, item 3</w:t>
      </w:r>
      <w:r>
        <w:rPr>
          <w:rStyle w:val="Referencingstyle"/>
        </w:rPr>
        <w:t xml:space="preserve">, </w:t>
      </w:r>
      <w:r w:rsidRPr="002268C0">
        <w:rPr>
          <w:b/>
          <w:i/>
          <w:sz w:val="18"/>
          <w:szCs w:val="18"/>
        </w:rPr>
        <w:t>section 60FE(1), CC Act]</w:t>
      </w:r>
    </w:p>
    <w:p w:rsidR="00AB5F1F" w:rsidRDefault="00AB5F1F" w:rsidP="00AB5F1F">
      <w:pPr>
        <w:pStyle w:val="base-text-paragraph"/>
        <w:numPr>
          <w:ilvl w:val="1"/>
          <w:numId w:val="22"/>
        </w:numPr>
      </w:pPr>
      <w:r>
        <w:t>The entity must prepare a statement within 30 days after the Royal Assent day of the Main Repeal Bill that:</w:t>
      </w:r>
    </w:p>
    <w:p w:rsidR="00AB5F1F" w:rsidRDefault="00AB5F1F" w:rsidP="00AB5F1F">
      <w:pPr>
        <w:pStyle w:val="dotpoint"/>
        <w:rPr>
          <w:rStyle w:val="CharAmSchText"/>
        </w:rPr>
      </w:pPr>
      <w:r w:rsidRPr="009E439A">
        <w:rPr>
          <w:rStyle w:val="CharAmSchText"/>
        </w:rPr>
        <w:t>if the entity has electricity customers</w:t>
      </w:r>
      <w:r>
        <w:rPr>
          <w:rStyle w:val="CharAmSchText"/>
        </w:rPr>
        <w:t xml:space="preserve"> – </w:t>
      </w:r>
      <w:r w:rsidRPr="009E439A">
        <w:rPr>
          <w:rStyle w:val="CharAmSchText"/>
        </w:rPr>
        <w:t>identifies, on an average annual percentage price basis, or an average annual dollar price basis, the estimated cost savings, to each class of electricity customers, that:</w:t>
      </w:r>
    </w:p>
    <w:p w:rsidR="00AB5F1F" w:rsidRDefault="00AB5F1F" w:rsidP="00AB5F1F">
      <w:pPr>
        <w:pStyle w:val="dotpoint2"/>
        <w:rPr>
          <w:rStyle w:val="CharAmSchText"/>
        </w:rPr>
      </w:pPr>
      <w:r w:rsidRPr="009E439A">
        <w:rPr>
          <w:rStyle w:val="CharAmSchText"/>
        </w:rPr>
        <w:t>have been, are, or will be, directly or indirectly attributable to the carbon tax repeal; and</w:t>
      </w:r>
    </w:p>
    <w:p w:rsidR="00AB5F1F" w:rsidRPr="009E439A" w:rsidRDefault="00AB5F1F" w:rsidP="00AB5F1F">
      <w:pPr>
        <w:pStyle w:val="dotpoint2"/>
        <w:rPr>
          <w:rStyle w:val="CharAmSchText"/>
        </w:rPr>
      </w:pPr>
      <w:r w:rsidRPr="009E439A">
        <w:rPr>
          <w:rStyle w:val="CharAmSchText"/>
        </w:rPr>
        <w:t>are for the financial year that began on 1 July 2014; and</w:t>
      </w:r>
    </w:p>
    <w:p w:rsidR="00AB5F1F" w:rsidRPr="009E439A" w:rsidRDefault="00AB5F1F" w:rsidP="00AB5F1F">
      <w:pPr>
        <w:pStyle w:val="dotpoint"/>
        <w:rPr>
          <w:rStyle w:val="CharAmSchText"/>
        </w:rPr>
      </w:pPr>
      <w:r>
        <w:rPr>
          <w:rStyle w:val="CharAmSchText"/>
        </w:rPr>
        <w:t>i</w:t>
      </w:r>
      <w:r w:rsidRPr="009E439A">
        <w:rPr>
          <w:rStyle w:val="CharAmSchText"/>
        </w:rPr>
        <w:t>f the entity has natural gas customers</w:t>
      </w:r>
      <w:r>
        <w:rPr>
          <w:rStyle w:val="CharAmSchText"/>
        </w:rPr>
        <w:t xml:space="preserve"> – </w:t>
      </w:r>
      <w:r w:rsidRPr="009E439A">
        <w:rPr>
          <w:rStyle w:val="CharAmSchText"/>
        </w:rPr>
        <w:t>identifies, on an average annual percentage price basis, or an average annual dollar price basis, the estimated cost savings, to each class of natural gas customers, that:</w:t>
      </w:r>
    </w:p>
    <w:p w:rsidR="00AB5F1F" w:rsidRPr="009E439A" w:rsidRDefault="00AB5F1F" w:rsidP="00AB5F1F">
      <w:pPr>
        <w:pStyle w:val="dotpoint2"/>
        <w:rPr>
          <w:rStyle w:val="CharAmSchText"/>
        </w:rPr>
      </w:pPr>
      <w:r w:rsidRPr="009E439A">
        <w:rPr>
          <w:rStyle w:val="CharAmSchText"/>
        </w:rPr>
        <w:t>have been, are, or will be, directly or indirectly attributable to the carbon tax repeal; and</w:t>
      </w:r>
    </w:p>
    <w:p w:rsidR="00AB5F1F" w:rsidRDefault="00AB5F1F" w:rsidP="00AB5F1F">
      <w:pPr>
        <w:pStyle w:val="dotpoint2"/>
      </w:pPr>
      <w:r w:rsidRPr="009E439A">
        <w:rPr>
          <w:rStyle w:val="CharAmSchText"/>
        </w:rPr>
        <w:t>are for the financial year that began on 1 July 2014.</w:t>
      </w:r>
      <w:r>
        <w:rPr>
          <w:rStyle w:val="CharAmSchText"/>
        </w:rPr>
        <w:t xml:space="preserve">   </w:t>
      </w:r>
      <w:r w:rsidRPr="00CF1251">
        <w:rPr>
          <w:b/>
          <w:i/>
          <w:sz w:val="18"/>
          <w:szCs w:val="18"/>
        </w:rPr>
        <w:t>[</w:t>
      </w:r>
      <w:r>
        <w:rPr>
          <w:rStyle w:val="Referencingstyle"/>
        </w:rPr>
        <w:t>Schedule </w:t>
      </w:r>
      <w:r w:rsidRPr="008B0B00">
        <w:rPr>
          <w:rStyle w:val="Referencingstyle"/>
        </w:rPr>
        <w:t>2, item 3</w:t>
      </w:r>
      <w:r>
        <w:rPr>
          <w:b/>
          <w:i/>
          <w:sz w:val="18"/>
          <w:szCs w:val="18"/>
        </w:rPr>
        <w:t xml:space="preserve">, </w:t>
      </w:r>
      <w:r w:rsidRPr="00E81A74">
        <w:rPr>
          <w:rStyle w:val="Referencingstyle"/>
        </w:rPr>
        <w:t>section 60</w:t>
      </w:r>
      <w:r w:rsidRPr="00D53992">
        <w:rPr>
          <w:rStyle w:val="Referencingstyle"/>
        </w:rPr>
        <w:t>FE(2), CC Act]</w:t>
      </w:r>
    </w:p>
    <w:p w:rsidR="00AB5F1F" w:rsidRDefault="00AB5F1F" w:rsidP="00AB5F1F">
      <w:pPr>
        <w:pStyle w:val="base-text-paragraph"/>
        <w:numPr>
          <w:ilvl w:val="1"/>
          <w:numId w:val="22"/>
        </w:numPr>
      </w:pPr>
      <w:r w:rsidRPr="003A19FF">
        <w:t>There is flexibility in how retailers can meet this requirement, for example, a retailer may choose to provide average estimates that are specific to individual jurisdictions rather than a single</w:t>
      </w:r>
      <w:r>
        <w:t xml:space="preserve"> average for each class of its customers.</w:t>
      </w:r>
    </w:p>
    <w:p w:rsidR="00AB5F1F" w:rsidRDefault="00AB5F1F" w:rsidP="00AB5F1F">
      <w:pPr>
        <w:pStyle w:val="base-text-paragraph"/>
        <w:numPr>
          <w:ilvl w:val="1"/>
          <w:numId w:val="22"/>
        </w:numPr>
      </w:pPr>
      <w:r>
        <w:t>During the period</w:t>
      </w:r>
      <w:r w:rsidRPr="00D53992">
        <w:t xml:space="preserve"> </w:t>
      </w:r>
      <w:r>
        <w:t>beginning 30 days after the Royal Assent day of the Main Repeal Bill and</w:t>
      </w:r>
      <w:r w:rsidRPr="00D53992">
        <w:t xml:space="preserve"> </w:t>
      </w:r>
      <w:r>
        <w:t>ending 30 days after the Royal Assent day, the entity must ensure that the contents of the statement it has prepared is communicated to</w:t>
      </w:r>
      <w:r w:rsidRPr="00D53992">
        <w:t xml:space="preserve"> </w:t>
      </w:r>
      <w:r>
        <w:t>each of its customers.</w:t>
      </w:r>
      <w:r w:rsidRPr="006D51F2">
        <w:rPr>
          <w:b/>
          <w:i/>
        </w:rPr>
        <w:t xml:space="preserve">  </w:t>
      </w:r>
      <w:r w:rsidRPr="002268C0">
        <w:rPr>
          <w:b/>
          <w:i/>
          <w:sz w:val="18"/>
          <w:szCs w:val="18"/>
        </w:rPr>
        <w:t>[</w:t>
      </w:r>
      <w:r>
        <w:rPr>
          <w:rStyle w:val="Referencingstyle"/>
        </w:rPr>
        <w:t>Schedule </w:t>
      </w:r>
      <w:r w:rsidRPr="008B0B00">
        <w:rPr>
          <w:rStyle w:val="Referencingstyle"/>
        </w:rPr>
        <w:t>2, item 3</w:t>
      </w:r>
      <w:r>
        <w:rPr>
          <w:b/>
          <w:i/>
          <w:sz w:val="18"/>
          <w:szCs w:val="18"/>
        </w:rPr>
        <w:t>, section 60FE(3), CC </w:t>
      </w:r>
      <w:r w:rsidRPr="002268C0">
        <w:rPr>
          <w:b/>
          <w:i/>
          <w:sz w:val="18"/>
          <w:szCs w:val="18"/>
        </w:rPr>
        <w:t>Act]</w:t>
      </w:r>
    </w:p>
    <w:p w:rsidR="00AB5F1F" w:rsidRDefault="00AB5F1F" w:rsidP="00AB5F1F">
      <w:pPr>
        <w:pStyle w:val="base-text-paragraph"/>
        <w:numPr>
          <w:ilvl w:val="1"/>
          <w:numId w:val="22"/>
        </w:numPr>
      </w:pPr>
      <w:r>
        <w:t>There is flexibility in how the contents of statements are communicated to customers.  For example, the communication methods could involve information being included on invoices, bill inserts, separate letters to customers, and on websites.</w:t>
      </w:r>
    </w:p>
    <w:p w:rsidR="00AB5F1F" w:rsidRDefault="00AB5F1F" w:rsidP="00AB5F1F">
      <w:pPr>
        <w:pStyle w:val="base-text-paragraph"/>
        <w:numPr>
          <w:ilvl w:val="1"/>
          <w:numId w:val="22"/>
        </w:numPr>
      </w:pPr>
      <w:r>
        <w:t xml:space="preserve">An entity that must prepare a statement, and provide a statement to each customer, would commit an offence if it was capable of complying with the requirement, but did not do so.  Such an offence is an offence of strict liability.  Strict liability offences are dealt with in Division 6 of Part 2.2 of the Criminal Code.  </w:t>
      </w:r>
      <w:r w:rsidRPr="002268C0">
        <w:rPr>
          <w:b/>
          <w:i/>
          <w:sz w:val="18"/>
          <w:szCs w:val="18"/>
        </w:rPr>
        <w:t>[</w:t>
      </w:r>
      <w:r>
        <w:rPr>
          <w:rStyle w:val="Referencingstyle"/>
        </w:rPr>
        <w:t>Schedule </w:t>
      </w:r>
      <w:r w:rsidRPr="008B0B00">
        <w:rPr>
          <w:rStyle w:val="Referencingstyle"/>
        </w:rPr>
        <w:t>2, item 3</w:t>
      </w:r>
      <w:r w:rsidRPr="002268C0">
        <w:rPr>
          <w:b/>
          <w:i/>
          <w:sz w:val="18"/>
          <w:szCs w:val="18"/>
        </w:rPr>
        <w:t>, section</w:t>
      </w:r>
      <w:r>
        <w:rPr>
          <w:b/>
          <w:i/>
          <w:sz w:val="18"/>
          <w:szCs w:val="18"/>
        </w:rPr>
        <w:t>s </w:t>
      </w:r>
      <w:r w:rsidRPr="002268C0">
        <w:rPr>
          <w:b/>
          <w:i/>
          <w:sz w:val="18"/>
          <w:szCs w:val="18"/>
        </w:rPr>
        <w:t>60FE(4), 60FE(5), CC Act]</w:t>
      </w:r>
    </w:p>
    <w:p w:rsidR="00AB5F1F" w:rsidRDefault="00AB5F1F" w:rsidP="00AB5F1F">
      <w:pPr>
        <w:pStyle w:val="base-text-paragraph"/>
        <w:numPr>
          <w:ilvl w:val="1"/>
          <w:numId w:val="22"/>
        </w:numPr>
      </w:pPr>
      <w:r>
        <w:t xml:space="preserve">The maximum penalty applicable to an entity found guilty of this offence would be 400 penalty units ($68,000). </w:t>
      </w:r>
      <w:r w:rsidRPr="002268C0">
        <w:rPr>
          <w:sz w:val="18"/>
          <w:szCs w:val="18"/>
        </w:rPr>
        <w:t xml:space="preserve"> </w:t>
      </w:r>
      <w:r w:rsidRPr="002268C0">
        <w:rPr>
          <w:b/>
          <w:i/>
          <w:sz w:val="18"/>
          <w:szCs w:val="18"/>
        </w:rPr>
        <w:t>[</w:t>
      </w:r>
      <w:r>
        <w:rPr>
          <w:rStyle w:val="Referencingstyle"/>
        </w:rPr>
        <w:t>Schedule </w:t>
      </w:r>
      <w:r w:rsidRPr="008B0B00">
        <w:rPr>
          <w:rStyle w:val="Referencingstyle"/>
        </w:rPr>
        <w:t>2, ite</w:t>
      </w:r>
      <w:r>
        <w:rPr>
          <w:rStyle w:val="Referencingstyle"/>
        </w:rPr>
        <w:t xml:space="preserve">m 3, </w:t>
      </w:r>
      <w:r>
        <w:rPr>
          <w:b/>
          <w:i/>
          <w:sz w:val="18"/>
          <w:szCs w:val="18"/>
        </w:rPr>
        <w:t>s</w:t>
      </w:r>
      <w:r w:rsidRPr="002268C0">
        <w:rPr>
          <w:b/>
          <w:i/>
          <w:sz w:val="18"/>
          <w:szCs w:val="18"/>
        </w:rPr>
        <w:t>ection</w:t>
      </w:r>
      <w:r>
        <w:rPr>
          <w:b/>
          <w:i/>
          <w:sz w:val="18"/>
          <w:szCs w:val="18"/>
        </w:rPr>
        <w:t> </w:t>
      </w:r>
      <w:r w:rsidRPr="002268C0">
        <w:rPr>
          <w:b/>
          <w:i/>
          <w:sz w:val="18"/>
          <w:szCs w:val="18"/>
        </w:rPr>
        <w:t>60FE(4), CC Act]</w:t>
      </w:r>
    </w:p>
    <w:p w:rsidR="00AB5F1F" w:rsidRPr="001A7503" w:rsidRDefault="00AB5F1F" w:rsidP="00AB5F1F">
      <w:pPr>
        <w:pStyle w:val="base-text-paragraph"/>
        <w:numPr>
          <w:ilvl w:val="1"/>
          <w:numId w:val="22"/>
        </w:numPr>
        <w:rPr>
          <w:rStyle w:val="Referencingstyle"/>
          <w:b w:val="0"/>
          <w:i w:val="0"/>
          <w:sz w:val="22"/>
        </w:rPr>
      </w:pPr>
      <w:r>
        <w:rPr>
          <w:rStyle w:val="Referencingstyle"/>
          <w:b w:val="0"/>
          <w:i w:val="0"/>
          <w:sz w:val="22"/>
        </w:rPr>
        <w:t xml:space="preserve">In the case that the </w:t>
      </w:r>
      <w:r w:rsidRPr="00AB5F1F">
        <w:t>offence</w:t>
      </w:r>
      <w:r>
        <w:rPr>
          <w:rStyle w:val="Referencingstyle"/>
          <w:b w:val="0"/>
          <w:i w:val="0"/>
          <w:sz w:val="22"/>
        </w:rPr>
        <w:t xml:space="preserve"> applied to an individual, whether or not because of </w:t>
      </w:r>
      <w:r w:rsidRPr="00842003">
        <w:t>subsection</w:t>
      </w:r>
      <w:r w:rsidRPr="001A7503">
        <w:rPr>
          <w:rStyle w:val="Referencingstyle"/>
          <w:b w:val="0"/>
          <w:i w:val="0"/>
          <w:sz w:val="22"/>
        </w:rPr>
        <w:t> 6(2) of the CC Act</w:t>
      </w:r>
      <w:r>
        <w:rPr>
          <w:rStyle w:val="Referencingstyle"/>
          <w:b w:val="0"/>
          <w:i w:val="0"/>
          <w:sz w:val="22"/>
        </w:rPr>
        <w:t>,</w:t>
      </w:r>
      <w:r w:rsidRPr="001A7503">
        <w:rPr>
          <w:rStyle w:val="Referencingstyle"/>
          <w:b w:val="0"/>
          <w:i w:val="0"/>
          <w:sz w:val="22"/>
        </w:rPr>
        <w:t xml:space="preserve"> </w:t>
      </w:r>
      <w:r>
        <w:rPr>
          <w:rStyle w:val="Referencingstyle"/>
          <w:b w:val="0"/>
          <w:i w:val="0"/>
          <w:sz w:val="22"/>
        </w:rPr>
        <w:t>t</w:t>
      </w:r>
      <w:r w:rsidRPr="001A7503">
        <w:rPr>
          <w:rStyle w:val="Referencingstyle"/>
          <w:b w:val="0"/>
          <w:i w:val="0"/>
          <w:sz w:val="22"/>
        </w:rPr>
        <w:t xml:space="preserve">he maximum penalty </w:t>
      </w:r>
      <w:r>
        <w:rPr>
          <w:rStyle w:val="Referencingstyle"/>
          <w:b w:val="0"/>
          <w:i w:val="0"/>
          <w:sz w:val="22"/>
        </w:rPr>
        <w:t>that would be applicable to that individual, if found guilty of the offence,</w:t>
      </w:r>
      <w:r w:rsidRPr="001A7503">
        <w:rPr>
          <w:rStyle w:val="Referencingstyle"/>
          <w:b w:val="0"/>
          <w:i w:val="0"/>
          <w:sz w:val="22"/>
        </w:rPr>
        <w:t xml:space="preserve"> would be </w:t>
      </w:r>
      <w:r>
        <w:rPr>
          <w:rStyle w:val="Referencingstyle"/>
          <w:b w:val="0"/>
          <w:i w:val="0"/>
          <w:sz w:val="22"/>
        </w:rPr>
        <w:t>40 penalty units (</w:t>
      </w:r>
      <w:r w:rsidRPr="001A7503">
        <w:rPr>
          <w:rStyle w:val="Referencingstyle"/>
          <w:b w:val="0"/>
          <w:i w:val="0"/>
          <w:sz w:val="22"/>
        </w:rPr>
        <w:t>$</w:t>
      </w:r>
      <w:r>
        <w:rPr>
          <w:rStyle w:val="Referencingstyle"/>
          <w:b w:val="0"/>
          <w:i w:val="0"/>
          <w:sz w:val="22"/>
        </w:rPr>
        <w:t>6,800)</w:t>
      </w:r>
      <w:r w:rsidRPr="001A7503">
        <w:rPr>
          <w:rStyle w:val="Referencingstyle"/>
          <w:b w:val="0"/>
          <w:i w:val="0"/>
          <w:sz w:val="22"/>
        </w:rPr>
        <w:t>.</w:t>
      </w:r>
      <w:r>
        <w:rPr>
          <w:rStyle w:val="Referencingstyle"/>
          <w:b w:val="0"/>
          <w:i w:val="0"/>
          <w:sz w:val="22"/>
        </w:rPr>
        <w:t xml:space="preserve">  </w:t>
      </w:r>
      <w:r w:rsidRPr="00995345">
        <w:rPr>
          <w:rStyle w:val="Referencingstyle"/>
        </w:rPr>
        <w:t>[</w:t>
      </w:r>
      <w:r>
        <w:rPr>
          <w:rStyle w:val="Referencingstyle"/>
        </w:rPr>
        <w:t>Schedule </w:t>
      </w:r>
      <w:r w:rsidRPr="008B0B00">
        <w:rPr>
          <w:rStyle w:val="Referencingstyle"/>
        </w:rPr>
        <w:t>2, item 3</w:t>
      </w:r>
      <w:r>
        <w:rPr>
          <w:b/>
          <w:i/>
          <w:sz w:val="18"/>
          <w:szCs w:val="18"/>
        </w:rPr>
        <w:t xml:space="preserve">, </w:t>
      </w:r>
      <w:r>
        <w:rPr>
          <w:rStyle w:val="Referencingstyle"/>
        </w:rPr>
        <w:t>sections 60FE(5), and 60FE(6),</w:t>
      </w:r>
      <w:r w:rsidRPr="00841FD8">
        <w:rPr>
          <w:rStyle w:val="Referencingstyle"/>
        </w:rPr>
        <w:t xml:space="preserve"> CC Act</w:t>
      </w:r>
      <w:r w:rsidRPr="00995345">
        <w:rPr>
          <w:rStyle w:val="Referencingstyle"/>
        </w:rPr>
        <w:t>]</w:t>
      </w:r>
    </w:p>
    <w:p w:rsidR="00AB5F1F" w:rsidRDefault="00AB5F1F" w:rsidP="00AB5F1F">
      <w:pPr>
        <w:pStyle w:val="base-text-paragraph"/>
        <w:numPr>
          <w:ilvl w:val="1"/>
          <w:numId w:val="22"/>
        </w:numPr>
      </w:pPr>
      <w:r>
        <w:t xml:space="preserve">In addition, the individual would be excused from </w:t>
      </w:r>
      <w:r w:rsidRPr="000532F1">
        <w:t xml:space="preserve">preparing </w:t>
      </w:r>
      <w:r>
        <w:t xml:space="preserve">or communicating the contents of this </w:t>
      </w:r>
      <w:r w:rsidRPr="000532F1">
        <w:t>statement</w:t>
      </w:r>
      <w:r>
        <w:t xml:space="preserve"> </w:t>
      </w:r>
      <w:r w:rsidRPr="000532F1">
        <w:t>on the ground that the information in the statement might tend to incriminate the individual or expose the individual to a penalty</w:t>
      </w:r>
      <w:r>
        <w:t xml:space="preserve">.   This would preserve the operation of the common law privileges against self-incrimination or exposure to a penalty.  </w:t>
      </w:r>
      <w:r w:rsidRPr="00DE2F30">
        <w:rPr>
          <w:b/>
          <w:i/>
          <w:sz w:val="18"/>
          <w:szCs w:val="18"/>
        </w:rPr>
        <w:t>[</w:t>
      </w:r>
      <w:r>
        <w:rPr>
          <w:rStyle w:val="Referencingstyle"/>
        </w:rPr>
        <w:t>Schedule </w:t>
      </w:r>
      <w:r w:rsidRPr="008B0B00">
        <w:rPr>
          <w:rStyle w:val="Referencingstyle"/>
        </w:rPr>
        <w:t>2, item 3</w:t>
      </w:r>
      <w:r>
        <w:rPr>
          <w:b/>
          <w:i/>
          <w:sz w:val="18"/>
          <w:szCs w:val="18"/>
        </w:rPr>
        <w:t xml:space="preserve">, </w:t>
      </w:r>
      <w:r w:rsidRPr="00DE2F30">
        <w:rPr>
          <w:b/>
          <w:i/>
          <w:sz w:val="18"/>
          <w:szCs w:val="18"/>
        </w:rPr>
        <w:t>section 60F</w:t>
      </w:r>
      <w:r>
        <w:rPr>
          <w:b/>
          <w:i/>
          <w:sz w:val="18"/>
          <w:szCs w:val="18"/>
        </w:rPr>
        <w:t>E</w:t>
      </w:r>
      <w:r w:rsidRPr="00DE2F30">
        <w:rPr>
          <w:b/>
          <w:i/>
          <w:sz w:val="18"/>
          <w:szCs w:val="18"/>
        </w:rPr>
        <w:t>(8), CC Act]</w:t>
      </w:r>
    </w:p>
    <w:p w:rsidR="00AB5F1F" w:rsidRPr="00BC7E4C" w:rsidRDefault="00AB5F1F" w:rsidP="00AB5F1F">
      <w:pPr>
        <w:pStyle w:val="base-text-paragraph"/>
        <w:numPr>
          <w:ilvl w:val="1"/>
          <w:numId w:val="22"/>
        </w:numPr>
        <w:rPr>
          <w:rStyle w:val="Referencingstyle"/>
          <w:b w:val="0"/>
          <w:i w:val="0"/>
          <w:sz w:val="22"/>
        </w:rPr>
      </w:pPr>
      <w:r w:rsidRPr="00842003">
        <w:t>Section</w:t>
      </w:r>
      <w:r w:rsidRPr="0036182F">
        <w:rPr>
          <w:rStyle w:val="Referencingstyle"/>
          <w:b w:val="0"/>
          <w:i w:val="0"/>
          <w:sz w:val="22"/>
        </w:rPr>
        <w:t> </w:t>
      </w:r>
      <w:r w:rsidRPr="00DE2F30">
        <w:t>155AAA</w:t>
      </w:r>
      <w:r w:rsidRPr="0036182F">
        <w:rPr>
          <w:rStyle w:val="Referencingstyle"/>
          <w:b w:val="0"/>
          <w:i w:val="0"/>
          <w:sz w:val="22"/>
        </w:rPr>
        <w:t xml:space="preserve"> of the CC Act restricts the disclosure of information that is ‘</w:t>
      </w:r>
      <w:r w:rsidRPr="00DE2F30">
        <w:t>protected</w:t>
      </w:r>
      <w:r w:rsidRPr="0036182F">
        <w:rPr>
          <w:rStyle w:val="Referencingstyle"/>
          <w:b w:val="0"/>
          <w:i w:val="0"/>
          <w:sz w:val="22"/>
        </w:rPr>
        <w:t xml:space="preserve"> information’.  Information that was obtained by the ACCC under </w:t>
      </w:r>
      <w:r>
        <w:rPr>
          <w:rStyle w:val="Referencingstyle"/>
          <w:b w:val="0"/>
          <w:i w:val="0"/>
          <w:sz w:val="22"/>
        </w:rPr>
        <w:t xml:space="preserve">paragraph </w:t>
      </w:r>
      <w:r w:rsidRPr="00AB5F1F">
        <w:t>60F</w:t>
      </w:r>
      <w:r>
        <w:rPr>
          <w:rStyle w:val="Referencingstyle"/>
          <w:b w:val="0"/>
          <w:i w:val="0"/>
          <w:sz w:val="22"/>
        </w:rPr>
        <w:t>(2)(b)</w:t>
      </w:r>
      <w:r w:rsidRPr="0036182F">
        <w:rPr>
          <w:rStyle w:val="Referencingstyle"/>
          <w:b w:val="0"/>
          <w:i w:val="0"/>
          <w:sz w:val="22"/>
        </w:rPr>
        <w:t xml:space="preserve"> of the CC Act </w:t>
      </w:r>
      <w:r>
        <w:rPr>
          <w:rStyle w:val="Referencingstyle"/>
          <w:b w:val="0"/>
          <w:i w:val="0"/>
          <w:sz w:val="22"/>
        </w:rPr>
        <w:t>is</w:t>
      </w:r>
      <w:r w:rsidRPr="0036182F">
        <w:rPr>
          <w:rStyle w:val="Referencingstyle"/>
          <w:b w:val="0"/>
          <w:i w:val="0"/>
          <w:sz w:val="22"/>
        </w:rPr>
        <w:t xml:space="preserve"> ‘protected information’, and its disclosure limited by this provision</w:t>
      </w:r>
      <w:r>
        <w:rPr>
          <w:rStyle w:val="Referencingstyle"/>
          <w:b w:val="0"/>
          <w:i w:val="0"/>
          <w:sz w:val="22"/>
        </w:rPr>
        <w:t>.</w:t>
      </w:r>
      <w:r>
        <w:rPr>
          <w:rStyle w:val="Referencingstyle"/>
        </w:rPr>
        <w:t xml:space="preserve"> </w:t>
      </w:r>
      <w:r>
        <w:rPr>
          <w:rStyle w:val="Referencingstyle"/>
          <w:sz w:val="16"/>
        </w:rPr>
        <w:t>[</w:t>
      </w:r>
      <w:r>
        <w:rPr>
          <w:rStyle w:val="Referencingstyle"/>
        </w:rPr>
        <w:t xml:space="preserve">Schedule 2, item 25, section 155AAA, </w:t>
      </w:r>
      <w:r w:rsidRPr="00841FD8">
        <w:rPr>
          <w:rStyle w:val="Referencingstyle"/>
        </w:rPr>
        <w:t>CC Act</w:t>
      </w:r>
      <w:r w:rsidRPr="00995345">
        <w:rPr>
          <w:rStyle w:val="Referencingstyle"/>
        </w:rPr>
        <w:t>]</w:t>
      </w:r>
    </w:p>
    <w:p w:rsidR="00AB5F1F" w:rsidRDefault="00AB5F1F" w:rsidP="00AB5F1F">
      <w:pPr>
        <w:pStyle w:val="base-text-paragraph"/>
        <w:numPr>
          <w:ilvl w:val="1"/>
          <w:numId w:val="22"/>
        </w:numPr>
      </w:pPr>
      <w:r>
        <w:t>Division 2C is intended to serve as a strong disincentive to ensure that costs savings resulting from the carbon tax repeal are passed onto customers, to encourage greater transparency in the process, and to ensure that customers are made directly aware of the benefits to them of the carbon tax repeal.  The penalties under this Division are significant ones, and reflect the strength of the Parliament’s commitment to ensure that entities do not make windfall gains from the repeal of the carbon tax, to ensure that full cost savings resulting from the carbon tax repeal are passed on to customers, and to ensure that customers are made fully aware of the benefits they are receiving from the repeal.</w:t>
      </w:r>
    </w:p>
    <w:p w:rsidR="0007756A" w:rsidRDefault="0007756A" w:rsidP="00A37D2E">
      <w:pPr>
        <w:pStyle w:val="Heading3"/>
      </w:pPr>
      <w:r>
        <w:t>Price monitoring in relation to the carbon tax repeal</w:t>
      </w:r>
    </w:p>
    <w:p w:rsidR="00656E09" w:rsidRDefault="00656E09" w:rsidP="00656E09">
      <w:pPr>
        <w:pStyle w:val="base-text-paragraph"/>
        <w:numPr>
          <w:ilvl w:val="1"/>
          <w:numId w:val="22"/>
        </w:numPr>
      </w:pPr>
      <w:r>
        <w:t>New section 60G of the CC Act provides the ACCC with new powers to monitor the prices of certain goods to assess the general effect of the carbon tax scheme and carbon tax repeal on prices charged by entities for supplies for a period before and during the carbon tax repeal transition period, and to assist it in considering whether an entity has engaged, is or may engage in price exploitation.  This will inform the ACCC’s reports to the Minister under new section 60J</w:t>
      </w:r>
      <w:r w:rsidRPr="00277178">
        <w:t xml:space="preserve"> </w:t>
      </w:r>
      <w:r>
        <w:t xml:space="preserve">of the CC Act.  </w:t>
      </w:r>
      <w:r w:rsidRPr="007709A2">
        <w:rPr>
          <w:rStyle w:val="Referencingstyle"/>
        </w:rPr>
        <w:t xml:space="preserve">[Schedule 2, </w:t>
      </w:r>
      <w:r>
        <w:rPr>
          <w:rStyle w:val="Referencingstyle"/>
        </w:rPr>
        <w:t>item</w:t>
      </w:r>
      <w:r w:rsidRPr="007709A2">
        <w:rPr>
          <w:rStyle w:val="Referencingstyle"/>
        </w:rPr>
        <w:t xml:space="preserve"> 3, section 60G</w:t>
      </w:r>
      <w:r>
        <w:rPr>
          <w:rStyle w:val="Referencingstyle"/>
        </w:rPr>
        <w:t>, CC Act</w:t>
      </w:r>
      <w:r w:rsidRPr="007709A2">
        <w:rPr>
          <w:rStyle w:val="Referencingstyle"/>
        </w:rPr>
        <w:t>]</w:t>
      </w:r>
      <w:r w:rsidRPr="003C7B8B">
        <w:rPr>
          <w:rStyle w:val="Referencingstyle"/>
        </w:rPr>
        <w:t xml:space="preserve">  </w:t>
      </w:r>
      <w:r>
        <w:t xml:space="preserve"> </w:t>
      </w:r>
      <w:r w:rsidRPr="007709A2">
        <w:rPr>
          <w:rStyle w:val="Referencingstyle"/>
        </w:rPr>
        <w:t xml:space="preserve">[Schedule 2, </w:t>
      </w:r>
      <w:r>
        <w:rPr>
          <w:rStyle w:val="Referencingstyle"/>
        </w:rPr>
        <w:t>item 3, section </w:t>
      </w:r>
      <w:r w:rsidRPr="007709A2">
        <w:rPr>
          <w:rStyle w:val="Referencingstyle"/>
        </w:rPr>
        <w:t xml:space="preserve">60G(1), </w:t>
      </w:r>
      <w:r>
        <w:rPr>
          <w:rStyle w:val="Referencingstyle"/>
        </w:rPr>
        <w:t>60G</w:t>
      </w:r>
      <w:r w:rsidRPr="007709A2">
        <w:rPr>
          <w:rStyle w:val="Referencingstyle"/>
        </w:rPr>
        <w:t>(3),</w:t>
      </w:r>
      <w:r>
        <w:rPr>
          <w:rStyle w:val="Referencingstyle"/>
        </w:rPr>
        <w:t xml:space="preserve"> 60G</w:t>
      </w:r>
      <w:r w:rsidRPr="007709A2">
        <w:rPr>
          <w:rStyle w:val="Referencingstyle"/>
        </w:rPr>
        <w:t>(6) and</w:t>
      </w:r>
      <w:r>
        <w:rPr>
          <w:rStyle w:val="Referencingstyle"/>
        </w:rPr>
        <w:t>60G</w:t>
      </w:r>
      <w:r w:rsidRPr="007709A2">
        <w:rPr>
          <w:rStyle w:val="Referencingstyle"/>
        </w:rPr>
        <w:t xml:space="preserve"> (8)</w:t>
      </w:r>
      <w:r>
        <w:rPr>
          <w:rStyle w:val="Referencingstyle"/>
        </w:rPr>
        <w:t>, CC Act</w:t>
      </w:r>
      <w:r w:rsidRPr="007709A2">
        <w:rPr>
          <w:rStyle w:val="Referencingstyle"/>
        </w:rPr>
        <w:t>]</w:t>
      </w:r>
      <w:r w:rsidRPr="003C7B8B">
        <w:rPr>
          <w:rStyle w:val="Referencingstyle"/>
        </w:rPr>
        <w:t xml:space="preserve">  </w:t>
      </w:r>
    </w:p>
    <w:p w:rsidR="00656E09" w:rsidRDefault="00656E09" w:rsidP="00656E09">
      <w:pPr>
        <w:pStyle w:val="base-text-paragraph"/>
        <w:numPr>
          <w:ilvl w:val="1"/>
          <w:numId w:val="22"/>
        </w:numPr>
      </w:pPr>
      <w:r>
        <w:t xml:space="preserve">The ACCC’s monitoring power will extend beyond the prices actually charged for supplies.  In assessing the general effect of the carbon tax scheme and carbon tax repeal on prices, it may also monitor prices advertised, displayed and offered.  This allows for the general effect of the carbon tax repeal to be monitored more comprehensively, and potentially allows the ACCC to become aware of possible price exploitation before it has actually occurred.  </w:t>
      </w:r>
      <w:r w:rsidRPr="007709A2">
        <w:rPr>
          <w:rStyle w:val="Referencingstyle"/>
        </w:rPr>
        <w:t xml:space="preserve">[Schedule 2, </w:t>
      </w:r>
      <w:r>
        <w:rPr>
          <w:rStyle w:val="Referencingstyle"/>
        </w:rPr>
        <w:t>item 3, section</w:t>
      </w:r>
      <w:r w:rsidRPr="007709A2">
        <w:rPr>
          <w:rStyle w:val="Referencingstyle"/>
        </w:rPr>
        <w:t xml:space="preserve"> 60G(2),</w:t>
      </w:r>
      <w:r>
        <w:rPr>
          <w:rStyle w:val="Referencingstyle"/>
        </w:rPr>
        <w:t xml:space="preserve"> 60G</w:t>
      </w:r>
      <w:r w:rsidRPr="007709A2">
        <w:rPr>
          <w:rStyle w:val="Referencingstyle"/>
        </w:rPr>
        <w:t xml:space="preserve"> (4),</w:t>
      </w:r>
      <w:r>
        <w:rPr>
          <w:rStyle w:val="Referencingstyle"/>
        </w:rPr>
        <w:t xml:space="preserve"> 60G</w:t>
      </w:r>
      <w:r w:rsidRPr="007709A2">
        <w:rPr>
          <w:rStyle w:val="Referencingstyle"/>
        </w:rPr>
        <w:t xml:space="preserve"> (7), and </w:t>
      </w:r>
      <w:r>
        <w:rPr>
          <w:rStyle w:val="Referencingstyle"/>
        </w:rPr>
        <w:t>60G</w:t>
      </w:r>
      <w:r w:rsidRPr="007709A2">
        <w:rPr>
          <w:rStyle w:val="Referencingstyle"/>
        </w:rPr>
        <w:t>(9)</w:t>
      </w:r>
      <w:r>
        <w:rPr>
          <w:rStyle w:val="Referencingstyle"/>
        </w:rPr>
        <w:t>, CC Act</w:t>
      </w:r>
      <w:r w:rsidRPr="007709A2">
        <w:rPr>
          <w:rStyle w:val="Referencingstyle"/>
        </w:rPr>
        <w:t>]</w:t>
      </w:r>
    </w:p>
    <w:p w:rsidR="00656E09" w:rsidRDefault="00656E09" w:rsidP="00656E09">
      <w:pPr>
        <w:pStyle w:val="base-text-paragraph"/>
        <w:numPr>
          <w:ilvl w:val="1"/>
          <w:numId w:val="22"/>
        </w:numPr>
      </w:pPr>
      <w:r>
        <w:t xml:space="preserve">In addition to the monitoring for the purpose of assessing the general effects of the carbon tax scheme and carbon tax repeal on pricing, the ACCC will also be able to monitor prices to assist its consideration of whether an entity has engaged, is engaging or may in the future engage in price exploitation in relation to the carbon tax repeal.  It is expected that targeted price monitoring will be an important element of the ACCC’s enforcement regime with respect to the price exploitation prohibition.  </w:t>
      </w:r>
      <w:r w:rsidRPr="007709A2">
        <w:rPr>
          <w:rStyle w:val="Referencingstyle"/>
        </w:rPr>
        <w:t xml:space="preserve">[Schedule 2, </w:t>
      </w:r>
      <w:r>
        <w:rPr>
          <w:rStyle w:val="Referencingstyle"/>
        </w:rPr>
        <w:t xml:space="preserve">item 3, </w:t>
      </w:r>
      <w:r w:rsidRPr="007709A2">
        <w:rPr>
          <w:rStyle w:val="Referencingstyle"/>
        </w:rPr>
        <w:t>section 60G(5)</w:t>
      </w:r>
      <w:r>
        <w:rPr>
          <w:rStyle w:val="Referencingstyle"/>
        </w:rPr>
        <w:t>, CC Act</w:t>
      </w:r>
      <w:r w:rsidRPr="007709A2">
        <w:rPr>
          <w:rStyle w:val="Referencingstyle"/>
        </w:rPr>
        <w:t>]</w:t>
      </w:r>
      <w:r>
        <w:t xml:space="preserve">  </w:t>
      </w:r>
    </w:p>
    <w:p w:rsidR="00656E09" w:rsidRDefault="00656E09" w:rsidP="00656E09">
      <w:pPr>
        <w:pStyle w:val="base-text-paragraph"/>
        <w:numPr>
          <w:ilvl w:val="1"/>
          <w:numId w:val="22"/>
        </w:numPr>
      </w:pPr>
      <w:r>
        <w:t>The new ACCC monitoring powers will not be economy-wide, but will be focused in scope.  The provisions apply to ‘</w:t>
      </w:r>
      <w:r w:rsidRPr="000A4195">
        <w:t>relevant goods</w:t>
      </w:r>
      <w:r>
        <w:t xml:space="preserve">’ and any goods supplied by a corporation when that corporation is on the Liable Entities Public Information Database.  </w:t>
      </w:r>
      <w:r w:rsidRPr="00F4555D">
        <w:rPr>
          <w:rStyle w:val="Referencingstyle"/>
        </w:rPr>
        <w:t xml:space="preserve">[Schedule 2, </w:t>
      </w:r>
      <w:r>
        <w:rPr>
          <w:rStyle w:val="Referencingstyle"/>
        </w:rPr>
        <w:t>item 3, section </w:t>
      </w:r>
      <w:r w:rsidRPr="00F4555D">
        <w:rPr>
          <w:rStyle w:val="Referencingstyle"/>
        </w:rPr>
        <w:t xml:space="preserve">60G(11), </w:t>
      </w:r>
      <w:r>
        <w:rPr>
          <w:rStyle w:val="Referencingstyle"/>
        </w:rPr>
        <w:t>CC Act</w:t>
      </w:r>
      <w:r w:rsidRPr="00F4555D">
        <w:rPr>
          <w:rStyle w:val="Referencingstyle"/>
        </w:rPr>
        <w:t>]</w:t>
      </w:r>
    </w:p>
    <w:p w:rsidR="00656E09" w:rsidRPr="00E53542" w:rsidRDefault="00656E09" w:rsidP="00656E09">
      <w:pPr>
        <w:pStyle w:val="base-text-paragraph"/>
        <w:numPr>
          <w:ilvl w:val="1"/>
          <w:numId w:val="22"/>
        </w:numPr>
        <w:rPr>
          <w:rStyle w:val="Referencingstyle"/>
          <w:b w:val="0"/>
          <w:i w:val="0"/>
          <w:sz w:val="22"/>
        </w:rPr>
      </w:pPr>
      <w:r w:rsidRPr="003B308D">
        <w:t>‘Relevant goods</w:t>
      </w:r>
      <w:r>
        <w:t>’ include all ‘</w:t>
      </w:r>
      <w:r w:rsidRPr="003B308D">
        <w:t>regulated goods</w:t>
      </w:r>
      <w:r>
        <w:t>’</w:t>
      </w:r>
      <w:r>
        <w:rPr>
          <w:i/>
        </w:rPr>
        <w:t xml:space="preserve"> </w:t>
      </w:r>
      <w:r>
        <w:t>and any other kind of goods specified by regulation under the section.  In addition, as ‘relevant</w:t>
      </w:r>
      <w:r w:rsidRPr="003B308D">
        <w:t xml:space="preserve"> goods</w:t>
      </w:r>
      <w:r>
        <w:t>’ capture all ‘</w:t>
      </w:r>
      <w:r w:rsidRPr="003B308D">
        <w:t>regulated goods</w:t>
      </w:r>
      <w:r>
        <w:t>’, any kind of goods added to the scope of ‘</w:t>
      </w:r>
      <w:r w:rsidRPr="003B308D">
        <w:t>regulated goods</w:t>
      </w:r>
      <w:r>
        <w:t xml:space="preserve">’ would automatically flow through to expand the scope of price monitoring.  </w:t>
      </w:r>
      <w:r w:rsidRPr="001B320D">
        <w:t>This focused</w:t>
      </w:r>
      <w:r>
        <w:t xml:space="preserve"> monitoring approach will allow the ACCC to identify the most important price effects of the carbon tax scheme and carbon tax repeal in the economy, and target its monitoring efforts under the new section.  </w:t>
      </w:r>
      <w:r w:rsidRPr="007709A2">
        <w:rPr>
          <w:rStyle w:val="Referencingstyle"/>
        </w:rPr>
        <w:t xml:space="preserve">[Schedule 2, </w:t>
      </w:r>
      <w:r>
        <w:rPr>
          <w:rStyle w:val="Referencingstyle"/>
        </w:rPr>
        <w:t xml:space="preserve">item 3, </w:t>
      </w:r>
      <w:r w:rsidRPr="007709A2">
        <w:rPr>
          <w:rStyle w:val="Referencingstyle"/>
        </w:rPr>
        <w:t>section 60G(11)</w:t>
      </w:r>
      <w:r>
        <w:rPr>
          <w:rStyle w:val="Referencingstyle"/>
        </w:rPr>
        <w:t>, CC Act</w:t>
      </w:r>
      <w:r w:rsidRPr="007709A2">
        <w:rPr>
          <w:rStyle w:val="Referencingstyle"/>
        </w:rPr>
        <w:t>]</w:t>
      </w:r>
    </w:p>
    <w:p w:rsidR="00656E09" w:rsidRPr="003C3E67" w:rsidRDefault="00656E09" w:rsidP="00656E09">
      <w:pPr>
        <w:pStyle w:val="base-text-paragraph"/>
        <w:numPr>
          <w:ilvl w:val="1"/>
          <w:numId w:val="22"/>
        </w:numPr>
      </w:pPr>
      <w:r>
        <w:t xml:space="preserve">The power to prescribe additional relevant goods will allow the Minister, in the event that there are significant concerns about pricing behaviour in other markets or sectors, to extend the operation of the price monitoring power to these additional markets or sectors.  </w:t>
      </w:r>
      <w:r w:rsidRPr="007709A2">
        <w:rPr>
          <w:rStyle w:val="Referencingstyle"/>
        </w:rPr>
        <w:t xml:space="preserve">[Schedule 2, </w:t>
      </w:r>
      <w:r>
        <w:rPr>
          <w:rStyle w:val="Referencingstyle"/>
        </w:rPr>
        <w:t xml:space="preserve">item 3, </w:t>
      </w:r>
      <w:r w:rsidRPr="007709A2">
        <w:rPr>
          <w:rStyle w:val="Referencingstyle"/>
        </w:rPr>
        <w:t>section 60G(12)</w:t>
      </w:r>
      <w:r>
        <w:rPr>
          <w:rStyle w:val="Referencingstyle"/>
        </w:rPr>
        <w:t>, CC Act</w:t>
      </w:r>
      <w:r w:rsidRPr="007709A2">
        <w:rPr>
          <w:rStyle w:val="Referencingstyle"/>
        </w:rPr>
        <w:t>]</w:t>
      </w:r>
    </w:p>
    <w:p w:rsidR="00656E09" w:rsidRPr="00E61969" w:rsidRDefault="00656E09" w:rsidP="00656E09">
      <w:pPr>
        <w:pStyle w:val="base-text-paragraph"/>
        <w:numPr>
          <w:ilvl w:val="1"/>
          <w:numId w:val="22"/>
        </w:numPr>
      </w:pPr>
      <w:r>
        <w:t>ACCC monitoring powers will have effect for the ‘</w:t>
      </w:r>
      <w:r w:rsidRPr="000A4195">
        <w:t>carbon tax repeal transition period</w:t>
      </w:r>
      <w:r>
        <w:t>’ (that is from 1 July 2014 to 30 June 2015) and the ‘</w:t>
      </w:r>
      <w:r w:rsidRPr="000A4195">
        <w:t>pre-repeal transition period</w:t>
      </w:r>
      <w:r>
        <w:t>’</w:t>
      </w:r>
      <w:r w:rsidRPr="000A4195">
        <w:t xml:space="preserve"> </w:t>
      </w:r>
      <w:r>
        <w:t xml:space="preserve">(that is from the commencement of the section until 30 June 2014).  For example, if Schedule 2 commences on 1 January 2014, then the monitoring power will last from that time until 30 June 2015. The ACCC, under direction from the Treasurer, started formal monitoring under section 95ZE of the CC Act on 1 March 2014.  This will provide a baseline of prices.   </w:t>
      </w:r>
      <w:r w:rsidRPr="007709A2">
        <w:rPr>
          <w:rStyle w:val="Referencingstyle"/>
        </w:rPr>
        <w:t xml:space="preserve">[Schedule 2, </w:t>
      </w:r>
      <w:r>
        <w:rPr>
          <w:rStyle w:val="Referencingstyle"/>
        </w:rPr>
        <w:t>item 3, section 60G</w:t>
      </w:r>
      <w:r w:rsidRPr="007709A2">
        <w:rPr>
          <w:rStyle w:val="Referencingstyle"/>
        </w:rPr>
        <w:t>(1)</w:t>
      </w:r>
      <w:r>
        <w:rPr>
          <w:rStyle w:val="Referencingstyle"/>
        </w:rPr>
        <w:t>-</w:t>
      </w:r>
      <w:r w:rsidRPr="007709A2">
        <w:rPr>
          <w:rStyle w:val="Referencingstyle"/>
        </w:rPr>
        <w:t xml:space="preserve">(4), </w:t>
      </w:r>
      <w:r>
        <w:rPr>
          <w:rStyle w:val="Referencingstyle"/>
        </w:rPr>
        <w:t>60G</w:t>
      </w:r>
      <w:r w:rsidRPr="007709A2">
        <w:rPr>
          <w:rStyle w:val="Referencingstyle"/>
        </w:rPr>
        <w:t>(6)</w:t>
      </w:r>
      <w:r>
        <w:rPr>
          <w:rStyle w:val="Referencingstyle"/>
        </w:rPr>
        <w:t>-</w:t>
      </w:r>
      <w:r w:rsidRPr="007709A2">
        <w:rPr>
          <w:rStyle w:val="Referencingstyle"/>
        </w:rPr>
        <w:t>(9) and</w:t>
      </w:r>
      <w:r>
        <w:rPr>
          <w:rStyle w:val="Referencingstyle"/>
        </w:rPr>
        <w:t xml:space="preserve"> 60G</w:t>
      </w:r>
      <w:r w:rsidRPr="007709A2">
        <w:rPr>
          <w:rStyle w:val="Referencingstyle"/>
        </w:rPr>
        <w:t xml:space="preserve"> (13)</w:t>
      </w:r>
      <w:r>
        <w:rPr>
          <w:rStyle w:val="Referencingstyle"/>
        </w:rPr>
        <w:t>, CC Act</w:t>
      </w:r>
      <w:r w:rsidRPr="007709A2">
        <w:rPr>
          <w:rStyle w:val="Referencingstyle"/>
        </w:rPr>
        <w:t>]</w:t>
      </w:r>
    </w:p>
    <w:p w:rsidR="00656E09" w:rsidRPr="00DE287D" w:rsidRDefault="00656E09" w:rsidP="00656E09">
      <w:pPr>
        <w:pStyle w:val="base-text-paragraph"/>
        <w:numPr>
          <w:ilvl w:val="1"/>
          <w:numId w:val="22"/>
        </w:numPr>
        <w:rPr>
          <w:rStyle w:val="Referencingstyle"/>
          <w:b w:val="0"/>
          <w:i w:val="0"/>
          <w:sz w:val="22"/>
        </w:rPr>
      </w:pPr>
      <w:r>
        <w:t xml:space="preserve">However, the new section does not limit the ACCC’s existing price surveillance powers under Part VIIA of the CC Act.  </w:t>
      </w:r>
      <w:r w:rsidRPr="007709A2">
        <w:rPr>
          <w:rStyle w:val="Referencingstyle"/>
        </w:rPr>
        <w:t xml:space="preserve">[Schedule 2, </w:t>
      </w:r>
      <w:r>
        <w:rPr>
          <w:rStyle w:val="Referencingstyle"/>
        </w:rPr>
        <w:t xml:space="preserve">item 3, </w:t>
      </w:r>
      <w:r w:rsidRPr="007709A2">
        <w:rPr>
          <w:rStyle w:val="Referencingstyle"/>
        </w:rPr>
        <w:t>section 60G (10)</w:t>
      </w:r>
      <w:r>
        <w:rPr>
          <w:rStyle w:val="Referencingstyle"/>
        </w:rPr>
        <w:t>, CC Act</w:t>
      </w:r>
      <w:r w:rsidRPr="007709A2">
        <w:rPr>
          <w:rStyle w:val="Referencingstyle"/>
        </w:rPr>
        <w:t>]</w:t>
      </w:r>
    </w:p>
    <w:p w:rsidR="00656E09" w:rsidRDefault="00656E09" w:rsidP="00656E09">
      <w:pPr>
        <w:pStyle w:val="base-text-paragraph"/>
        <w:numPr>
          <w:ilvl w:val="1"/>
          <w:numId w:val="22"/>
        </w:numPr>
      </w:pPr>
      <w:r>
        <w:t>To enable the ACCC to effectively exercise its new monitoring powers, it will also be given complementary information</w:t>
      </w:r>
      <w:r>
        <w:noBreakHyphen/>
        <w:t xml:space="preserve">gathering powers, similar to those it was given for its role in relation to the introduction of the GST.  </w:t>
      </w:r>
      <w:r w:rsidRPr="00786642">
        <w:rPr>
          <w:rStyle w:val="Referencingstyle"/>
        </w:rPr>
        <w:t>[Schedule 2, item 3, section 60H</w:t>
      </w:r>
      <w:r>
        <w:rPr>
          <w:rStyle w:val="Referencingstyle"/>
        </w:rPr>
        <w:t>, CC Act</w:t>
      </w:r>
      <w:r w:rsidRPr="00786642">
        <w:rPr>
          <w:rStyle w:val="Referencingstyle"/>
        </w:rPr>
        <w:t>]</w:t>
      </w:r>
    </w:p>
    <w:p w:rsidR="00656E09" w:rsidRPr="00786642" w:rsidRDefault="00656E09" w:rsidP="00656E09">
      <w:pPr>
        <w:pStyle w:val="base-text-paragraph"/>
        <w:numPr>
          <w:ilvl w:val="1"/>
          <w:numId w:val="22"/>
        </w:numPr>
        <w:rPr>
          <w:rStyle w:val="Referencingstyle"/>
          <w:b w:val="0"/>
          <w:i w:val="0"/>
          <w:sz w:val="22"/>
        </w:rPr>
      </w:pPr>
      <w:r>
        <w:t xml:space="preserve">Under these powers, a member of the ACCC may request a person to produce specified information or to produce documents containing information relating to prices or the setting of prices, that the member reasonably believes will or may be useful to the Commission in monitoring prices (the new </w:t>
      </w:r>
      <w:r w:rsidRPr="003B6468">
        <w:t>section</w:t>
      </w:r>
      <w:r>
        <w:t xml:space="preserve"> 60G(1) to (9) of the CC Act).  </w:t>
      </w:r>
      <w:r w:rsidRPr="00786642">
        <w:rPr>
          <w:rStyle w:val="Referencingstyle"/>
        </w:rPr>
        <w:t>[Schedule 2, item 3, section 60H</w:t>
      </w:r>
      <w:r>
        <w:rPr>
          <w:rStyle w:val="Referencingstyle"/>
        </w:rPr>
        <w:t>, CC Act</w:t>
      </w:r>
      <w:r w:rsidRPr="00786642">
        <w:rPr>
          <w:rStyle w:val="Referencingstyle"/>
        </w:rPr>
        <w:t>]</w:t>
      </w:r>
    </w:p>
    <w:p w:rsidR="00656E09" w:rsidRPr="00584AF3" w:rsidRDefault="00656E09" w:rsidP="00656E09">
      <w:pPr>
        <w:pStyle w:val="base-text-paragraph"/>
        <w:numPr>
          <w:ilvl w:val="1"/>
          <w:numId w:val="22"/>
        </w:numPr>
      </w:pPr>
      <w:r>
        <w:t>T</w:t>
      </w:r>
      <w:r w:rsidRPr="00584AF3">
        <w:t>he information or documen</w:t>
      </w:r>
      <w:r w:rsidRPr="00303CBB">
        <w:t>ts tha</w:t>
      </w:r>
      <w:r>
        <w:t>t</w:t>
      </w:r>
      <w:r w:rsidRPr="00584AF3">
        <w:t xml:space="preserve"> may be required by the ACCC may relate to prices, or the setting of prices: </w:t>
      </w:r>
    </w:p>
    <w:p w:rsidR="00656E09" w:rsidRPr="00584AF3" w:rsidRDefault="00656E09" w:rsidP="00656E09">
      <w:pPr>
        <w:pStyle w:val="dotpoint"/>
      </w:pPr>
      <w:r w:rsidRPr="00584AF3">
        <w:t xml:space="preserve">before or after the carbon tax repeal; </w:t>
      </w:r>
    </w:p>
    <w:p w:rsidR="00656E09" w:rsidRPr="00584AF3" w:rsidRDefault="00656E09" w:rsidP="00656E09">
      <w:pPr>
        <w:pStyle w:val="dotpoint"/>
      </w:pPr>
      <w:r w:rsidRPr="00584AF3">
        <w:t xml:space="preserve">before or after the start of the carbon tax repeal transition period; and </w:t>
      </w:r>
    </w:p>
    <w:p w:rsidR="00656E09" w:rsidRPr="0007756A" w:rsidRDefault="00656E09" w:rsidP="00656E09">
      <w:pPr>
        <w:pStyle w:val="dotpoint"/>
      </w:pPr>
      <w:r w:rsidRPr="00584AF3">
        <w:t>in a situation, or during a period, specified in the notice</w:t>
      </w:r>
      <w:r>
        <w:t xml:space="preserve">.  </w:t>
      </w:r>
      <w:r w:rsidRPr="00916872">
        <w:rPr>
          <w:rStyle w:val="Referencingstyle"/>
        </w:rPr>
        <w:t xml:space="preserve">[Schedule 2, </w:t>
      </w:r>
      <w:r>
        <w:rPr>
          <w:rStyle w:val="Referencingstyle"/>
        </w:rPr>
        <w:t>item</w:t>
      </w:r>
      <w:r w:rsidRPr="00916872">
        <w:rPr>
          <w:rStyle w:val="Referencingstyle"/>
        </w:rPr>
        <w:t xml:space="preserve"> 3, section 60H</w:t>
      </w:r>
      <w:r>
        <w:rPr>
          <w:rStyle w:val="Referencingstyle"/>
        </w:rPr>
        <w:t>(2), CC Act</w:t>
      </w:r>
      <w:r w:rsidRPr="00916872">
        <w:rPr>
          <w:rStyle w:val="Referencingstyle"/>
        </w:rPr>
        <w:t>]</w:t>
      </w:r>
    </w:p>
    <w:p w:rsidR="00656E09" w:rsidRPr="00F4555D" w:rsidRDefault="00656E09" w:rsidP="00656E09">
      <w:pPr>
        <w:pStyle w:val="base-text-paragraph"/>
        <w:numPr>
          <w:ilvl w:val="1"/>
          <w:numId w:val="22"/>
        </w:numPr>
      </w:pPr>
      <w:r w:rsidRPr="00F4555D">
        <w:t xml:space="preserve">Therefore, it will be possible for the ACCC to request information or documents relating to prices and the setting of prices prior to the repeal of the carbon tax, and prior to the </w:t>
      </w:r>
      <w:r>
        <w:t xml:space="preserve">commencement of the </w:t>
      </w:r>
      <w:r w:rsidRPr="00F4555D">
        <w:t>carbon tax repeal transition period, in order to compare them with prices and pricing decisions after the changes take place</w:t>
      </w:r>
      <w:r>
        <w:t xml:space="preserve">.  </w:t>
      </w:r>
    </w:p>
    <w:p w:rsidR="00656E09" w:rsidRPr="00F4555D" w:rsidRDefault="00656E09" w:rsidP="00656E09">
      <w:pPr>
        <w:pStyle w:val="base-text-paragraph"/>
        <w:numPr>
          <w:ilvl w:val="1"/>
          <w:numId w:val="22"/>
        </w:numPr>
      </w:pPr>
      <w:r w:rsidRPr="00F4555D">
        <w:t xml:space="preserve">New </w:t>
      </w:r>
      <w:r w:rsidRPr="003B6468">
        <w:t>section</w:t>
      </w:r>
      <w:r w:rsidRPr="00F4555D">
        <w:t xml:space="preserve"> 60H(4) </w:t>
      </w:r>
      <w:r>
        <w:t xml:space="preserve">of the CC Act </w:t>
      </w:r>
      <w:r w:rsidRPr="00F4555D">
        <w:t xml:space="preserve">provides that it is an offence to refuse or fail to comply with a request under </w:t>
      </w:r>
      <w:r w:rsidRPr="003B6468">
        <w:t>section</w:t>
      </w:r>
      <w:r w:rsidRPr="00F4555D">
        <w:t xml:space="preserve"> 60H(1)</w:t>
      </w:r>
      <w:r>
        <w:t xml:space="preserve"> of the CC Act</w:t>
      </w:r>
      <w:r w:rsidRPr="00F4555D">
        <w:t>, with a maximum penalty of 20 penalty units</w:t>
      </w:r>
      <w:r>
        <w:t xml:space="preserve"> ($3,400).  This penalty amount is equal to the penalty amount provided for under</w:t>
      </w:r>
      <w:r w:rsidRPr="0064204D">
        <w:t xml:space="preserve"> </w:t>
      </w:r>
      <w:r>
        <w:t xml:space="preserve">the ACCC’s general information gathering powers (section 155 of the CC Act) for an equivalent breach.  </w:t>
      </w:r>
      <w:r w:rsidRPr="007709A2">
        <w:rPr>
          <w:rStyle w:val="Referencingstyle"/>
        </w:rPr>
        <w:t xml:space="preserve">[Schedule 2, </w:t>
      </w:r>
      <w:r>
        <w:rPr>
          <w:rStyle w:val="Referencingstyle"/>
        </w:rPr>
        <w:t>item</w:t>
      </w:r>
      <w:r w:rsidRPr="007709A2">
        <w:rPr>
          <w:rStyle w:val="Referencingstyle"/>
        </w:rPr>
        <w:t xml:space="preserve"> 3, section 60H</w:t>
      </w:r>
      <w:r>
        <w:rPr>
          <w:rStyle w:val="Referencingstyle"/>
        </w:rPr>
        <w:t>, CC Act]</w:t>
      </w:r>
    </w:p>
    <w:p w:rsidR="00656E09" w:rsidRDefault="00656E09" w:rsidP="00656E09">
      <w:pPr>
        <w:pStyle w:val="base-text-paragraph"/>
        <w:numPr>
          <w:ilvl w:val="1"/>
          <w:numId w:val="22"/>
        </w:numPr>
      </w:pPr>
      <w:r>
        <w:t>The new information-gathering powers do not limit the general information</w:t>
      </w:r>
      <w:r>
        <w:noBreakHyphen/>
        <w:t xml:space="preserve">gathering powers of the ACCC under section 155 of the CC Act.  </w:t>
      </w:r>
      <w:r w:rsidRPr="00786642">
        <w:rPr>
          <w:rStyle w:val="Referencingstyle"/>
        </w:rPr>
        <w:t xml:space="preserve">[Schedule 2, </w:t>
      </w:r>
      <w:r>
        <w:rPr>
          <w:rStyle w:val="Referencingstyle"/>
        </w:rPr>
        <w:t>item</w:t>
      </w:r>
      <w:r w:rsidRPr="00786642">
        <w:rPr>
          <w:rStyle w:val="Referencingstyle"/>
        </w:rPr>
        <w:t xml:space="preserve"> 3, </w:t>
      </w:r>
      <w:r>
        <w:rPr>
          <w:rStyle w:val="Referencingstyle"/>
        </w:rPr>
        <w:t>section</w:t>
      </w:r>
      <w:r w:rsidRPr="00786642">
        <w:rPr>
          <w:rStyle w:val="Referencingstyle"/>
        </w:rPr>
        <w:t> 60H(6)]</w:t>
      </w:r>
    </w:p>
    <w:p w:rsidR="00F4555D" w:rsidRDefault="00656E09" w:rsidP="003D2BA7">
      <w:pPr>
        <w:pStyle w:val="base-text-paragraph"/>
        <w:numPr>
          <w:ilvl w:val="1"/>
          <w:numId w:val="22"/>
        </w:numPr>
      </w:pPr>
      <w:r w:rsidRPr="00F4555D">
        <w:t xml:space="preserve">The ACCC will be required to give the Minister a written report about </w:t>
      </w:r>
      <w:r>
        <w:t>its</w:t>
      </w:r>
      <w:r w:rsidRPr="00F4555D">
        <w:t xml:space="preserve"> operations under the new Part V </w:t>
      </w:r>
      <w:r>
        <w:t xml:space="preserve">of the CC Act </w:t>
      </w:r>
      <w:r w:rsidRPr="00F4555D">
        <w:t>within 28 days after the end of each quarter</w:t>
      </w:r>
      <w:r>
        <w:t xml:space="preserve">.  </w:t>
      </w:r>
      <w:r w:rsidRPr="007709A2">
        <w:rPr>
          <w:rStyle w:val="Referencingstyle"/>
        </w:rPr>
        <w:t xml:space="preserve">[Schedule 2, </w:t>
      </w:r>
      <w:r>
        <w:rPr>
          <w:rStyle w:val="Referencingstyle"/>
        </w:rPr>
        <w:t>item 3, section 60J, CC Act]</w:t>
      </w:r>
    </w:p>
    <w:p w:rsidR="00A37D2E" w:rsidRDefault="00A37D2E" w:rsidP="007845A6">
      <w:pPr>
        <w:pStyle w:val="Heading3"/>
      </w:pPr>
      <w:r w:rsidRPr="00A37D2E">
        <w:t>False or misleading representations about the effect of the carbon tax repeal on prices</w:t>
      </w:r>
    </w:p>
    <w:p w:rsidR="00656E09" w:rsidRDefault="00656E09" w:rsidP="00656E09">
      <w:pPr>
        <w:pStyle w:val="base-text-paragraph"/>
        <w:numPr>
          <w:ilvl w:val="1"/>
          <w:numId w:val="22"/>
        </w:numPr>
      </w:pPr>
      <w:r>
        <w:t xml:space="preserve">The Main Repeal Bill introduces a new provision to prohibit an entity, in connection with the supply or possible supply of goods or services, from making false or misleading representations about the effect of the carbon tax scheme and carbon tax repeal on prices for the supply of those goods or services during the carbon tax repeal transition period (from 1 July 2014 to 30 June 2015).  Unlike the price exploitation provisions, these carbon-specific prohibitions will apply across the economy, to cover all goods and services.  </w:t>
      </w:r>
      <w:r w:rsidRPr="00A37D2E">
        <w:rPr>
          <w:rStyle w:val="Referencingstyle"/>
        </w:rPr>
        <w:t xml:space="preserve">[Schedule 2, </w:t>
      </w:r>
      <w:r>
        <w:rPr>
          <w:rStyle w:val="Referencingstyle"/>
        </w:rPr>
        <w:t>item</w:t>
      </w:r>
      <w:r w:rsidRPr="00A37D2E">
        <w:rPr>
          <w:rStyle w:val="Referencingstyle"/>
        </w:rPr>
        <w:t xml:space="preserve"> 3, section 60K, </w:t>
      </w:r>
      <w:r>
        <w:rPr>
          <w:rStyle w:val="Referencingstyle"/>
        </w:rPr>
        <w:t>CC Act</w:t>
      </w:r>
      <w:r w:rsidRPr="00A37D2E">
        <w:rPr>
          <w:rStyle w:val="Referencingstyle"/>
        </w:rPr>
        <w:t>]</w:t>
      </w:r>
    </w:p>
    <w:p w:rsidR="00656E09" w:rsidRDefault="00656E09" w:rsidP="00656E09">
      <w:pPr>
        <w:pStyle w:val="base-text-paragraph"/>
        <w:numPr>
          <w:ilvl w:val="1"/>
          <w:numId w:val="22"/>
        </w:numPr>
        <w:tabs>
          <w:tab w:val="clear" w:pos="1984"/>
          <w:tab w:val="num" w:pos="1843"/>
        </w:tabs>
      </w:pPr>
      <w:r>
        <w:t>There are existing provisions under the ACL that prohibit false and misleading misrepresentations, including with respect to price (section 29 of Schedule 2 to the CC Act).  The new carbon</w:t>
      </w:r>
      <w:r>
        <w:noBreakHyphen/>
        <w:t>specific prohibition on false or misleading representations will complement and operate in conjunction with existing law to help ensure that consumers are not exploited by those businesses that make false or misleading representations in relation to the pricing effect of the carbon tax scheme and carbon tax repeal.  The explicit inclusion of a carbon-specific prohibition on false or misleading representations is intended to make it very clear that misrepresentations with respect to the carbon tax are prohibited.</w:t>
      </w:r>
    </w:p>
    <w:p w:rsidR="00254624" w:rsidRPr="00D36722" w:rsidRDefault="00656E09" w:rsidP="00656E09">
      <w:pPr>
        <w:pStyle w:val="base-text-paragraph"/>
        <w:numPr>
          <w:ilvl w:val="1"/>
          <w:numId w:val="22"/>
        </w:numPr>
      </w:pPr>
      <w:r>
        <w:t>Entities</w:t>
      </w:r>
      <w:r w:rsidRPr="00D36722">
        <w:t xml:space="preserve"> that contravene this prohibition can be subject to maximum civil pecuniary penaltie</w:t>
      </w:r>
      <w:r>
        <w:t>s of 6,471 penalty units ($1,10</w:t>
      </w:r>
      <w:r w:rsidRPr="00D36722">
        <w:t xml:space="preserve">0,070) and 1,295 penalty units ($220,150) for a </w:t>
      </w:r>
      <w:r>
        <w:t>body corporate</w:t>
      </w:r>
      <w:r w:rsidRPr="00D36722">
        <w:t xml:space="preserve"> and </w:t>
      </w:r>
      <w:r>
        <w:t xml:space="preserve">a person other than a body corporate </w:t>
      </w:r>
      <w:r w:rsidRPr="00D36722">
        <w:t>respectively</w:t>
      </w:r>
      <w:r>
        <w:t xml:space="preserve">.  </w:t>
      </w:r>
      <w:r w:rsidRPr="00D36722">
        <w:t xml:space="preserve">These penalty amounts </w:t>
      </w:r>
      <w:r>
        <w:t xml:space="preserve">reflect the seriousness of the contravention and </w:t>
      </w:r>
      <w:r w:rsidRPr="00D36722">
        <w:t>are in line with the penalty amounts under the ACL for false and misleading representations</w:t>
      </w:r>
      <w:r>
        <w:t>.</w:t>
      </w:r>
      <w:r w:rsidRPr="005C57B5">
        <w:rPr>
          <w:rStyle w:val="Referencingstyle"/>
        </w:rPr>
        <w:t xml:space="preserve"> </w:t>
      </w:r>
      <w:r w:rsidRPr="00D36722">
        <w:rPr>
          <w:rStyle w:val="Referencingstyle"/>
        </w:rPr>
        <w:t>[Schedule 2, item</w:t>
      </w:r>
      <w:r>
        <w:rPr>
          <w:rStyle w:val="Referencingstyle"/>
        </w:rPr>
        <w:t>s</w:t>
      </w:r>
      <w:r w:rsidRPr="00D36722">
        <w:rPr>
          <w:rStyle w:val="Referencingstyle"/>
        </w:rPr>
        <w:t xml:space="preserve"> 5, </w:t>
      </w:r>
      <w:r>
        <w:rPr>
          <w:rStyle w:val="Referencingstyle"/>
        </w:rPr>
        <w:t>section</w:t>
      </w:r>
      <w:r w:rsidRPr="00D36722">
        <w:rPr>
          <w:rStyle w:val="Referencingstyle"/>
        </w:rPr>
        <w:t xml:space="preserve"> 76(1)(a</w:t>
      </w:r>
      <w:r>
        <w:rPr>
          <w:rStyle w:val="Referencingstyle"/>
        </w:rPr>
        <w:t>)(i),</w:t>
      </w:r>
      <w:r w:rsidRPr="00D84E95">
        <w:rPr>
          <w:rStyle w:val="Referencingstyle"/>
        </w:rPr>
        <w:t xml:space="preserve"> </w:t>
      </w:r>
      <w:r>
        <w:rPr>
          <w:rStyle w:val="Referencingstyle"/>
        </w:rPr>
        <w:t>CC Act] [Schedule 2, item</w:t>
      </w:r>
      <w:r w:rsidRPr="00D36722">
        <w:rPr>
          <w:rStyle w:val="Referencingstyle"/>
        </w:rPr>
        <w:t xml:space="preserve"> 6</w:t>
      </w:r>
      <w:r>
        <w:rPr>
          <w:rStyle w:val="Referencingstyle"/>
        </w:rPr>
        <w:t>, section</w:t>
      </w:r>
      <w:r w:rsidRPr="00D36722">
        <w:rPr>
          <w:rStyle w:val="Referencingstyle"/>
        </w:rPr>
        <w:t xml:space="preserve"> 76(1A)(b</w:t>
      </w:r>
      <w:r>
        <w:rPr>
          <w:rStyle w:val="Referencingstyle"/>
        </w:rPr>
        <w:t>) ,CC Act] [Schedule 2, item</w:t>
      </w:r>
      <w:r w:rsidRPr="00D36722">
        <w:rPr>
          <w:rStyle w:val="Referencingstyle"/>
        </w:rPr>
        <w:t xml:space="preserve"> 7</w:t>
      </w:r>
      <w:r>
        <w:rPr>
          <w:rStyle w:val="Referencingstyle"/>
        </w:rPr>
        <w:t>, section</w:t>
      </w:r>
      <w:r w:rsidRPr="00D36722">
        <w:rPr>
          <w:rStyle w:val="Referencingstyle"/>
        </w:rPr>
        <w:t xml:space="preserve"> 76(1B)(a)</w:t>
      </w:r>
      <w:r>
        <w:rPr>
          <w:rStyle w:val="Referencingstyle"/>
        </w:rPr>
        <w:t>, CC Act</w:t>
      </w:r>
      <w:r w:rsidRPr="00D36722">
        <w:rPr>
          <w:rStyle w:val="Referencingstyle"/>
        </w:rPr>
        <w:t>]</w:t>
      </w:r>
      <w:r>
        <w:t xml:space="preserve">  </w:t>
      </w:r>
    </w:p>
    <w:p w:rsidR="007845A6" w:rsidRDefault="007845A6" w:rsidP="007845A6">
      <w:pPr>
        <w:pStyle w:val="Heading3"/>
      </w:pPr>
      <w:r>
        <w:t xml:space="preserve">Infringement notices </w:t>
      </w:r>
      <w:r w:rsidR="004B3E4E">
        <w:t>and other enforcement provisions</w:t>
      </w:r>
    </w:p>
    <w:p w:rsidR="00656E09" w:rsidRPr="001B7AEB" w:rsidRDefault="00656E09" w:rsidP="00656E09">
      <w:pPr>
        <w:pStyle w:val="base-text-paragraph"/>
        <w:numPr>
          <w:ilvl w:val="1"/>
          <w:numId w:val="22"/>
        </w:numPr>
      </w:pPr>
      <w:r>
        <w:t xml:space="preserve">New Part V, </w:t>
      </w:r>
      <w:r w:rsidRPr="001B7AEB">
        <w:t xml:space="preserve">Division 5 </w:t>
      </w:r>
      <w:r>
        <w:t>of the CC Act</w:t>
      </w:r>
      <w:r w:rsidRPr="001B7AEB">
        <w:t xml:space="preserve"> </w:t>
      </w:r>
      <w:r>
        <w:t>provides</w:t>
      </w:r>
      <w:r w:rsidRPr="001B7AEB">
        <w:t xml:space="preserve"> the ACCC </w:t>
      </w:r>
      <w:r>
        <w:t xml:space="preserve">with </w:t>
      </w:r>
      <w:r w:rsidRPr="001B7AEB">
        <w:t>the power to issue infringement notices in relation to provisions concerning price exploitation related to the carbon tax repeal</w:t>
      </w:r>
      <w:r>
        <w:t xml:space="preserve">.  </w:t>
      </w:r>
      <w:r w:rsidRPr="001B7AEB">
        <w:t>This power is consistent with the ACCC’s existing powers to issue infringement notices in relation to the ACL</w:t>
      </w:r>
      <w:r>
        <w:t xml:space="preserve">.  </w:t>
      </w:r>
      <w:r w:rsidRPr="001B7AEB">
        <w:t xml:space="preserve">The use of infringement notices will supplement the civil pecuniary penalties as well as the other enforcement powers </w:t>
      </w:r>
      <w:r>
        <w:t>included</w:t>
      </w:r>
      <w:r w:rsidRPr="001B7AEB">
        <w:t xml:space="preserve"> in </w:t>
      </w:r>
      <w:r>
        <w:t xml:space="preserve">the Main Repeal Bill.  </w:t>
      </w:r>
      <w:r w:rsidRPr="00786642">
        <w:rPr>
          <w:rStyle w:val="Referencingstyle"/>
        </w:rPr>
        <w:t xml:space="preserve">[Schedule 2, </w:t>
      </w:r>
      <w:r>
        <w:rPr>
          <w:rStyle w:val="Referencingstyle"/>
        </w:rPr>
        <w:t>i</w:t>
      </w:r>
      <w:r w:rsidRPr="00786642">
        <w:rPr>
          <w:rStyle w:val="Referencingstyle"/>
        </w:rPr>
        <w:t>tem 3, Division 5</w:t>
      </w:r>
      <w:r>
        <w:rPr>
          <w:rStyle w:val="Referencingstyle"/>
        </w:rPr>
        <w:t>, CC Act</w:t>
      </w:r>
      <w:r w:rsidRPr="00786642">
        <w:rPr>
          <w:rStyle w:val="Referencingstyle"/>
        </w:rPr>
        <w:t>]</w:t>
      </w:r>
    </w:p>
    <w:p w:rsidR="00656E09" w:rsidRPr="001B7AEB" w:rsidRDefault="00656E09" w:rsidP="00656E09">
      <w:pPr>
        <w:pStyle w:val="base-text-paragraph"/>
        <w:numPr>
          <w:ilvl w:val="1"/>
          <w:numId w:val="22"/>
        </w:numPr>
      </w:pPr>
      <w:r w:rsidRPr="001B7AEB">
        <w:t>The capacity to issue an infringement notice is not intended to amount to the imposition of a financial penalty by the ACCC</w:t>
      </w:r>
      <w:r>
        <w:t xml:space="preserve">.  </w:t>
      </w:r>
      <w:r w:rsidRPr="001B7AEB">
        <w:t xml:space="preserve">It is intended, instead, to provide a mechanism through which a person </w:t>
      </w:r>
      <w:r>
        <w:t>who,</w:t>
      </w:r>
      <w:r w:rsidRPr="001B7AEB">
        <w:t xml:space="preserve"> in the opinion of the ACCC</w:t>
      </w:r>
      <w:r>
        <w:t>,</w:t>
      </w:r>
      <w:r w:rsidRPr="001B7AEB">
        <w:t xml:space="preserve"> has contravened new sections 60C or 60K</w:t>
      </w:r>
      <w:r>
        <w:t xml:space="preserve"> of the CC Act</w:t>
      </w:r>
      <w:r w:rsidRPr="001B7AEB">
        <w:t xml:space="preserve"> may forestall an application to the courts by the ACCC for the imposition of a civil pecuniary penalty</w:t>
      </w:r>
      <w:r>
        <w:t xml:space="preserve">.  </w:t>
      </w:r>
      <w:r w:rsidRPr="00786642">
        <w:rPr>
          <w:rStyle w:val="Referencingstyle"/>
        </w:rPr>
        <w:t xml:space="preserve">[Schedule 2, </w:t>
      </w:r>
      <w:r>
        <w:rPr>
          <w:rStyle w:val="Referencingstyle"/>
        </w:rPr>
        <w:t>i</w:t>
      </w:r>
      <w:r w:rsidRPr="00786642">
        <w:rPr>
          <w:rStyle w:val="Referencingstyle"/>
        </w:rPr>
        <w:t>tem 3, Division 5</w:t>
      </w:r>
      <w:r>
        <w:rPr>
          <w:rStyle w:val="Referencingstyle"/>
        </w:rPr>
        <w:t>, CC Act</w:t>
      </w:r>
      <w:r w:rsidRPr="00786642">
        <w:rPr>
          <w:rStyle w:val="Referencingstyle"/>
        </w:rPr>
        <w:t>]</w:t>
      </w:r>
    </w:p>
    <w:p w:rsidR="00656E09" w:rsidRPr="00786642" w:rsidRDefault="00656E09" w:rsidP="00656E09">
      <w:pPr>
        <w:pStyle w:val="base-text-paragraph"/>
        <w:numPr>
          <w:ilvl w:val="1"/>
          <w:numId w:val="22"/>
        </w:numPr>
        <w:rPr>
          <w:rStyle w:val="Referencingstyle"/>
          <w:b w:val="0"/>
          <w:i w:val="0"/>
          <w:sz w:val="22"/>
        </w:rPr>
      </w:pPr>
      <w:r w:rsidRPr="001B7AEB">
        <w:t xml:space="preserve">Infringement notices allow the </w:t>
      </w:r>
      <w:r>
        <w:t>ACCC t</w:t>
      </w:r>
      <w:r w:rsidRPr="001B7AEB">
        <w:t>o take action against minor breaches of the provisions more efficiently and effectively than through court action alone, and provide the potential for a speedier resolution of matters than is possible through the courts (although this would depend on the complexity of each matter)</w:t>
      </w:r>
      <w:r>
        <w:t xml:space="preserve">.  </w:t>
      </w:r>
      <w:r>
        <w:rPr>
          <w:rStyle w:val="Referencingstyle"/>
        </w:rPr>
        <w:t>[Schedule 2, item 3, section 60L, CC Act]</w:t>
      </w:r>
    </w:p>
    <w:p w:rsidR="00656E09" w:rsidRDefault="00656E09" w:rsidP="00656E09">
      <w:pPr>
        <w:pStyle w:val="base-text-paragraph"/>
        <w:numPr>
          <w:ilvl w:val="1"/>
          <w:numId w:val="22"/>
        </w:numPr>
      </w:pPr>
      <w:r>
        <w:t>For infringement notices relating to those contraventions of the new section 60C and 60K, with corresponding maximum civil pecuniary penalty of $1,100,070 for bodies corporate and $220,150 for persons other than bodies corporate, the infringement notice amounts are:</w:t>
      </w:r>
    </w:p>
    <w:p w:rsidR="00656E09" w:rsidRDefault="00656E09" w:rsidP="00656E09">
      <w:pPr>
        <w:pStyle w:val="dotpoint"/>
      </w:pPr>
      <w:r>
        <w:t>600 penalty units (presently $102,000) for listed corporations;</w:t>
      </w:r>
    </w:p>
    <w:p w:rsidR="00656E09" w:rsidRDefault="00656E09" w:rsidP="00656E09">
      <w:pPr>
        <w:pStyle w:val="dotpoint"/>
      </w:pPr>
      <w:r>
        <w:t>60 penalty units (presently $10,200) for bodies corporate that are not listed corporations; and</w:t>
      </w:r>
    </w:p>
    <w:p w:rsidR="00656E09" w:rsidRPr="001B7AEB" w:rsidRDefault="00656E09" w:rsidP="00656E09">
      <w:pPr>
        <w:pStyle w:val="dotpoint"/>
      </w:pPr>
      <w:r>
        <w:t xml:space="preserve">12 penalty units (presently $2,040) for persons other than bodies corporate.  </w:t>
      </w:r>
      <w:r>
        <w:rPr>
          <w:rStyle w:val="Referencingstyle"/>
        </w:rPr>
        <w:t>[Schedule 2, item 3, section 60L(5), CC Act]</w:t>
      </w:r>
    </w:p>
    <w:p w:rsidR="00656E09" w:rsidRDefault="00656E09" w:rsidP="00656E09">
      <w:pPr>
        <w:pStyle w:val="base-text-paragraph"/>
        <w:numPr>
          <w:ilvl w:val="1"/>
          <w:numId w:val="22"/>
        </w:numPr>
      </w:pPr>
      <w:r w:rsidRPr="0077740A">
        <w:t>These infringement notice amounts are consistent with the infringement notice amounts that apply for th</w:t>
      </w:r>
      <w:r>
        <w:t xml:space="preserve">e rest of the ACL set out in </w:t>
      </w:r>
      <w:r w:rsidRPr="0077740A">
        <w:t>section 134C</w:t>
      </w:r>
      <w:r>
        <w:t xml:space="preserve"> of the CC Act.  </w:t>
      </w:r>
    </w:p>
    <w:p w:rsidR="00656E09" w:rsidRDefault="00656E09" w:rsidP="00656E09">
      <w:pPr>
        <w:pStyle w:val="base-text-paragraph"/>
        <w:numPr>
          <w:ilvl w:val="1"/>
          <w:numId w:val="22"/>
        </w:numPr>
      </w:pPr>
      <w:r w:rsidRPr="00601D28">
        <w:t>These penalties are substantially less than the maximum civil pecuniary penalties proposed for contraventions of these provisions, which reflects their intended application to minor infringements of the law.</w:t>
      </w:r>
    </w:p>
    <w:p w:rsidR="00656E09" w:rsidRPr="001E5F94" w:rsidRDefault="00656E09" w:rsidP="00656E09">
      <w:pPr>
        <w:pStyle w:val="base-text-paragraph"/>
        <w:numPr>
          <w:ilvl w:val="1"/>
          <w:numId w:val="22"/>
        </w:numPr>
        <w:rPr>
          <w:rStyle w:val="Referencingstyle"/>
          <w:b w:val="0"/>
          <w:i w:val="0"/>
          <w:sz w:val="22"/>
        </w:rPr>
      </w:pPr>
      <w:r w:rsidRPr="001B7AEB">
        <w:t xml:space="preserve">Compliance with an infringement notice requires payment of the financial penalty within a certain period of time to avoid legal </w:t>
      </w:r>
      <w:r>
        <w:t>proceedings</w:t>
      </w:r>
      <w:r w:rsidRPr="001B7AEB">
        <w:t xml:space="preserve"> in respect of the alleged contravention</w:t>
      </w:r>
      <w:r>
        <w:t xml:space="preserve">.  </w:t>
      </w:r>
      <w:r w:rsidRPr="001E5F94">
        <w:rPr>
          <w:rStyle w:val="Referencingstyle"/>
        </w:rPr>
        <w:t xml:space="preserve">[Schedule 2, </w:t>
      </w:r>
      <w:r>
        <w:rPr>
          <w:rStyle w:val="Referencingstyle"/>
        </w:rPr>
        <w:t>i</w:t>
      </w:r>
      <w:r w:rsidRPr="001E5F94">
        <w:rPr>
          <w:rStyle w:val="Referencingstyle"/>
        </w:rPr>
        <w:t>tem 3, section 60M(1)</w:t>
      </w:r>
      <w:r>
        <w:rPr>
          <w:rStyle w:val="Referencingstyle"/>
        </w:rPr>
        <w:t>, CC Act</w:t>
      </w:r>
      <w:r w:rsidRPr="001E5F94">
        <w:rPr>
          <w:rStyle w:val="Referencingstyle"/>
        </w:rPr>
        <w:t>]</w:t>
      </w:r>
    </w:p>
    <w:p w:rsidR="00656E09" w:rsidRDefault="00656E09" w:rsidP="00656E09">
      <w:pPr>
        <w:pStyle w:val="base-text-paragraph"/>
        <w:numPr>
          <w:ilvl w:val="1"/>
          <w:numId w:val="22"/>
        </w:numPr>
      </w:pPr>
      <w:r w:rsidRPr="001E5F94">
        <w:t>Compliance with an infringement notice brings the process for enforcing the alleged contravention to an end after its administrative phase</w:t>
      </w:r>
      <w:r>
        <w:t xml:space="preserve">.  </w:t>
      </w:r>
      <w:r w:rsidRPr="001E5F94">
        <w:t>This reflects the intention behind the infringement notice mechanism of providing a process through which the entity may forestall court proceedings by the ACCC in relation to the alleged contravention.</w:t>
      </w:r>
    </w:p>
    <w:p w:rsidR="00656E09" w:rsidRDefault="00656E09" w:rsidP="00656E09">
      <w:pPr>
        <w:pStyle w:val="base-text-paragraph"/>
        <w:numPr>
          <w:ilvl w:val="1"/>
          <w:numId w:val="22"/>
        </w:numPr>
      </w:pPr>
      <w:r w:rsidRPr="00601D28">
        <w:t xml:space="preserve">Compliance with an infringement notice is not taken as an admission of liability or a contravention of the </w:t>
      </w:r>
      <w:r>
        <w:t xml:space="preserve">CC Act.  </w:t>
      </w:r>
      <w:r w:rsidRPr="00601D28">
        <w:t>Furthermore, if a person complies, he or she is not subject to further civil or criminal proceedings in relation to the alleged contravention.</w:t>
      </w:r>
    </w:p>
    <w:p w:rsidR="00656E09" w:rsidRDefault="00656E09" w:rsidP="00656E09">
      <w:pPr>
        <w:pStyle w:val="base-text-paragraph"/>
        <w:numPr>
          <w:ilvl w:val="1"/>
          <w:numId w:val="22"/>
        </w:numPr>
      </w:pPr>
      <w:r w:rsidRPr="00601D28">
        <w:t>An infringement notice does not give rise to an enforceable requirement to pay the financial penalty</w:t>
      </w:r>
      <w:r>
        <w:t xml:space="preserve">.  </w:t>
      </w:r>
      <w:r w:rsidRPr="00601D28">
        <w:t xml:space="preserve">If a person does not comply with the infringement notice within the period of time specified, the </w:t>
      </w:r>
      <w:r>
        <w:t>ACCC</w:t>
      </w:r>
      <w:r w:rsidRPr="00601D28">
        <w:t xml:space="preserve"> cannot enforce the infringement notice</w:t>
      </w:r>
      <w:r>
        <w:t xml:space="preserve">.  </w:t>
      </w:r>
      <w:r w:rsidRPr="00601D28">
        <w:t xml:space="preserve">Instead, the </w:t>
      </w:r>
      <w:r>
        <w:t>ACCC</w:t>
      </w:r>
      <w:r w:rsidRPr="00601D28">
        <w:t xml:space="preserve"> may bring civil or criminal proceedings against the person in relation to the same alleged contravention, but not for failure to pay the penalty in the infringement notice</w:t>
      </w:r>
      <w:r>
        <w:t xml:space="preserve">.  </w:t>
      </w:r>
      <w:r w:rsidRPr="00FE76A6">
        <w:rPr>
          <w:rStyle w:val="Referencingstyle"/>
        </w:rPr>
        <w:t xml:space="preserve">[Schedule 2, </w:t>
      </w:r>
      <w:r>
        <w:rPr>
          <w:rStyle w:val="Referencingstyle"/>
        </w:rPr>
        <w:t>i</w:t>
      </w:r>
      <w:r w:rsidRPr="00FE76A6">
        <w:rPr>
          <w:rStyle w:val="Referencingstyle"/>
        </w:rPr>
        <w:t>tem 3, section 60N</w:t>
      </w:r>
      <w:r>
        <w:rPr>
          <w:rStyle w:val="Referencingstyle"/>
        </w:rPr>
        <w:t>, CC Act</w:t>
      </w:r>
      <w:r w:rsidRPr="00FE76A6">
        <w:rPr>
          <w:rStyle w:val="Referencingstyle"/>
        </w:rPr>
        <w:t>]</w:t>
      </w:r>
    </w:p>
    <w:p w:rsidR="00656E09" w:rsidRPr="00FE76A6" w:rsidRDefault="00656E09" w:rsidP="00656E09">
      <w:pPr>
        <w:pStyle w:val="base-text-paragraph"/>
        <w:numPr>
          <w:ilvl w:val="1"/>
          <w:numId w:val="22"/>
        </w:numPr>
      </w:pPr>
      <w:r w:rsidRPr="00FE76A6">
        <w:t>The ACCC will have the power both to issue and revoke an infringement notice, as well as the ability to extend the compliance period</w:t>
      </w:r>
      <w:r>
        <w:t xml:space="preserve">.  </w:t>
      </w:r>
      <w:r>
        <w:rPr>
          <w:rStyle w:val="Referencingstyle"/>
        </w:rPr>
        <w:t>[Schedule 2, item 3, section 60P, CC Act</w:t>
      </w:r>
      <w:r w:rsidRPr="00FE76A6">
        <w:rPr>
          <w:rStyle w:val="Referencingstyle"/>
        </w:rPr>
        <w:t>]</w:t>
      </w:r>
    </w:p>
    <w:p w:rsidR="00656E09" w:rsidRDefault="00656E09" w:rsidP="00656E09">
      <w:pPr>
        <w:pStyle w:val="base-text-paragraph"/>
        <w:numPr>
          <w:ilvl w:val="1"/>
          <w:numId w:val="22"/>
        </w:numPr>
      </w:pPr>
      <w:r>
        <w:t xml:space="preserve">The infringement notice compliance period is initially 28 days.  However, the ACCC may extend the infringement notice compliance period once for a further period of 28 days.  </w:t>
      </w:r>
      <w:r w:rsidRPr="00194975">
        <w:rPr>
          <w:rStyle w:val="Referencingstyle"/>
        </w:rPr>
        <w:t xml:space="preserve">[Schedule 2, </w:t>
      </w:r>
      <w:r>
        <w:rPr>
          <w:rStyle w:val="Referencingstyle"/>
        </w:rPr>
        <w:t>i</w:t>
      </w:r>
      <w:r w:rsidRPr="00194975">
        <w:rPr>
          <w:rStyle w:val="Referencingstyle"/>
        </w:rPr>
        <w:t>tem 3, section 60P</w:t>
      </w:r>
      <w:r>
        <w:rPr>
          <w:rStyle w:val="Referencingstyle"/>
        </w:rPr>
        <w:t>, CC Act</w:t>
      </w:r>
      <w:r w:rsidRPr="00194975">
        <w:rPr>
          <w:rStyle w:val="Referencingstyle"/>
        </w:rPr>
        <w:t>]</w:t>
      </w:r>
    </w:p>
    <w:p w:rsidR="00194975" w:rsidRPr="001E5F94" w:rsidRDefault="00656E09" w:rsidP="00656E09">
      <w:pPr>
        <w:pStyle w:val="base-text-paragraph"/>
        <w:numPr>
          <w:ilvl w:val="1"/>
          <w:numId w:val="22"/>
        </w:numPr>
      </w:pPr>
      <w:r>
        <w:t xml:space="preserve">The ACCC may withdraw an infringement notice if it considers it appropriate, by written notice to the person.  The mechanism under which an infringement notice can be withdrawn is set out in the new section 60Q.  </w:t>
      </w:r>
      <w:r w:rsidRPr="00194975">
        <w:rPr>
          <w:rStyle w:val="Referencingstyle"/>
        </w:rPr>
        <w:t xml:space="preserve">[Schedule 2, </w:t>
      </w:r>
      <w:r>
        <w:rPr>
          <w:rStyle w:val="Referencingstyle"/>
        </w:rPr>
        <w:t>item</w:t>
      </w:r>
      <w:r w:rsidRPr="00194975">
        <w:rPr>
          <w:rStyle w:val="Referencingstyle"/>
        </w:rPr>
        <w:t xml:space="preserve"> 3, section 60Q</w:t>
      </w:r>
      <w:r>
        <w:rPr>
          <w:rStyle w:val="Referencingstyle"/>
        </w:rPr>
        <w:t>, CC Act</w:t>
      </w:r>
      <w:r w:rsidRPr="00194975">
        <w:rPr>
          <w:rStyle w:val="Referencingstyle"/>
        </w:rPr>
        <w:t>]</w:t>
      </w:r>
    </w:p>
    <w:p w:rsidR="00FB7AE6" w:rsidRDefault="00FB7AE6" w:rsidP="00FB7AE6">
      <w:pPr>
        <w:pStyle w:val="Heading3"/>
      </w:pPr>
      <w:bookmarkStart w:id="9" w:name="Index"/>
      <w:r>
        <w:t xml:space="preserve">Amendments of </w:t>
      </w:r>
      <w:r w:rsidR="008E0018">
        <w:t>CC Act</w:t>
      </w:r>
      <w:r>
        <w:t xml:space="preserve"> consequential on new ACCC powers</w:t>
      </w:r>
    </w:p>
    <w:p w:rsidR="00DA7624" w:rsidRPr="00DA7624" w:rsidRDefault="00DA7624" w:rsidP="00DA7624">
      <w:pPr>
        <w:pStyle w:val="Heading4"/>
      </w:pPr>
      <w:r>
        <w:t>Enforcement and penalties</w:t>
      </w:r>
    </w:p>
    <w:p w:rsidR="00346366" w:rsidRPr="001B7AEB" w:rsidRDefault="00346366" w:rsidP="00346366">
      <w:pPr>
        <w:pStyle w:val="base-text-paragraph"/>
        <w:numPr>
          <w:ilvl w:val="1"/>
          <w:numId w:val="22"/>
        </w:numPr>
      </w:pPr>
      <w:r w:rsidRPr="001B7AEB">
        <w:t xml:space="preserve">Part VI of the </w:t>
      </w:r>
      <w:r>
        <w:t>CC Act</w:t>
      </w:r>
      <w:r w:rsidRPr="001B7AEB">
        <w:t xml:space="preserve"> deals with enforcement and remedies</w:t>
      </w:r>
      <w:r>
        <w:t xml:space="preserve">.  </w:t>
      </w:r>
      <w:r w:rsidRPr="003B6468">
        <w:t>Section</w:t>
      </w:r>
      <w:r w:rsidRPr="001B7AEB">
        <w:t xml:space="preserve"> 75B(1) </w:t>
      </w:r>
      <w:r>
        <w:t xml:space="preserve">of the CC Act </w:t>
      </w:r>
      <w:r w:rsidRPr="001B7AEB">
        <w:t xml:space="preserve">provides that a reference in Part VI to a person involved in </w:t>
      </w:r>
      <w:r>
        <w:t>a contravention of Part IV, IVB</w:t>
      </w:r>
      <w:r w:rsidRPr="001B7AEB">
        <w:t xml:space="preserve"> or section 95AZN shall be read as a reference to a person who has been involved in the contravention, for example, by aiding, abetting, being knowingly concerned or conspiring in the contravention</w:t>
      </w:r>
      <w:r>
        <w:t xml:space="preserve">. </w:t>
      </w:r>
      <w:r w:rsidRPr="003B6468">
        <w:t>Section</w:t>
      </w:r>
      <w:r w:rsidRPr="001B7AEB">
        <w:t xml:space="preserve"> 75B(1) </w:t>
      </w:r>
      <w:r>
        <w:t xml:space="preserve">is amended </w:t>
      </w:r>
      <w:r w:rsidRPr="001B7AEB">
        <w:t>so that it also applies in relation to a contravention of new sections 60C and 60K</w:t>
      </w:r>
      <w:r>
        <w:t xml:space="preserve">.  </w:t>
      </w:r>
      <w:r w:rsidRPr="001B7AEB">
        <w:rPr>
          <w:rStyle w:val="Referencingstyle"/>
        </w:rPr>
        <w:t xml:space="preserve">[Schedule 2, </w:t>
      </w:r>
      <w:r>
        <w:rPr>
          <w:rStyle w:val="Referencingstyle"/>
        </w:rPr>
        <w:t>item</w:t>
      </w:r>
      <w:r w:rsidRPr="001B7AEB">
        <w:rPr>
          <w:rStyle w:val="Referencingstyle"/>
        </w:rPr>
        <w:t xml:space="preserve"> 4</w:t>
      </w:r>
      <w:r>
        <w:rPr>
          <w:rStyle w:val="Referencingstyle"/>
        </w:rPr>
        <w:t xml:space="preserve">, </w:t>
      </w:r>
      <w:r w:rsidRPr="001B7AEB">
        <w:rPr>
          <w:rStyle w:val="Referencingstyle"/>
        </w:rPr>
        <w:t>section 75B(1)</w:t>
      </w:r>
      <w:r>
        <w:rPr>
          <w:rStyle w:val="Referencingstyle"/>
        </w:rPr>
        <w:t>, CC Act</w:t>
      </w:r>
      <w:r w:rsidRPr="001B7AEB">
        <w:rPr>
          <w:rStyle w:val="Referencingstyle"/>
        </w:rPr>
        <w:t>]</w:t>
      </w:r>
    </w:p>
    <w:p w:rsidR="00346366" w:rsidRPr="001B7AEB" w:rsidRDefault="00346366" w:rsidP="00346366">
      <w:pPr>
        <w:pStyle w:val="base-text-paragraph"/>
        <w:numPr>
          <w:ilvl w:val="1"/>
          <w:numId w:val="22"/>
        </w:numPr>
      </w:pPr>
      <w:r w:rsidRPr="003B6468">
        <w:t>Section</w:t>
      </w:r>
      <w:r>
        <w:t xml:space="preserve"> 76(1)(a)(i) of the CC Act is amended </w:t>
      </w:r>
      <w:r w:rsidRPr="001B7AEB">
        <w:t>to provide that a contravention of new sections 60C and 60K will attract</w:t>
      </w:r>
      <w:r>
        <w:t xml:space="preserve"> around</w:t>
      </w:r>
      <w:r w:rsidRPr="001B7AEB">
        <w:t xml:space="preserve"> the same penalties as </w:t>
      </w:r>
      <w:r w:rsidRPr="00AE4C46">
        <w:t>a contravention of the prohibition on false or misleadin</w:t>
      </w:r>
      <w:r>
        <w:t>g representations in section 29 of</w:t>
      </w:r>
      <w:r w:rsidRPr="00AE4C46">
        <w:t xml:space="preserve"> Schedule 2 </w:t>
      </w:r>
      <w:r>
        <w:t>to</w:t>
      </w:r>
      <w:r w:rsidRPr="00AE4C46">
        <w:t xml:space="preserve"> the </w:t>
      </w:r>
      <w:r>
        <w:t xml:space="preserve">CC Act.  </w:t>
      </w:r>
      <w:r w:rsidRPr="001B7AEB">
        <w:t>Contravention of the new section</w:t>
      </w:r>
      <w:r>
        <w:t>s</w:t>
      </w:r>
      <w:r w:rsidRPr="001B7AEB">
        <w:t xml:space="preserve"> 60C and 60</w:t>
      </w:r>
      <w:r>
        <w:t>K</w:t>
      </w:r>
      <w:r w:rsidRPr="001B7AEB">
        <w:t xml:space="preserve"> </w:t>
      </w:r>
      <w:r>
        <w:t xml:space="preserve">of the CC Act </w:t>
      </w:r>
      <w:r w:rsidRPr="001B7AEB">
        <w:t xml:space="preserve">will incur maximum pecuniary penalties of </w:t>
      </w:r>
      <w:r>
        <w:t>6,471</w:t>
      </w:r>
      <w:r w:rsidRPr="001B7AEB">
        <w:t xml:space="preserve"> penalty units for a </w:t>
      </w:r>
      <w:r>
        <w:t>body corporate</w:t>
      </w:r>
      <w:r w:rsidRPr="001B7AEB">
        <w:t xml:space="preserve"> and </w:t>
      </w:r>
      <w:r>
        <w:t>1,295</w:t>
      </w:r>
      <w:r w:rsidRPr="001B7AEB">
        <w:t xml:space="preserve"> penalty units for </w:t>
      </w:r>
      <w:r>
        <w:t>person other than a body corporate</w:t>
      </w:r>
      <w:r w:rsidRPr="001B7AEB">
        <w:t xml:space="preserve">, which equates to </w:t>
      </w:r>
      <w:r>
        <w:t>$1,</w:t>
      </w:r>
      <w:r w:rsidRPr="001B7AEB">
        <w:t>1</w:t>
      </w:r>
      <w:r>
        <w:t>00,070 and $220</w:t>
      </w:r>
      <w:r w:rsidRPr="001B7AEB">
        <w:t>,</w:t>
      </w:r>
      <w:r>
        <w:t>150</w:t>
      </w:r>
      <w:r w:rsidRPr="001B7AEB">
        <w:t>, respectively</w:t>
      </w:r>
      <w:r>
        <w:t>.</w:t>
      </w:r>
      <w:r w:rsidRPr="005C57B5">
        <w:rPr>
          <w:rStyle w:val="Referencingstyle"/>
        </w:rPr>
        <w:t xml:space="preserve"> </w:t>
      </w:r>
      <w:r w:rsidRPr="00D36722">
        <w:rPr>
          <w:rStyle w:val="Referencingstyle"/>
        </w:rPr>
        <w:t>[Schedule 2, item</w:t>
      </w:r>
      <w:r>
        <w:rPr>
          <w:rStyle w:val="Referencingstyle"/>
        </w:rPr>
        <w:t>s</w:t>
      </w:r>
      <w:r w:rsidRPr="00D36722">
        <w:rPr>
          <w:rStyle w:val="Referencingstyle"/>
        </w:rPr>
        <w:t xml:space="preserve"> 5, </w:t>
      </w:r>
      <w:r>
        <w:rPr>
          <w:rStyle w:val="Referencingstyle"/>
        </w:rPr>
        <w:t>section</w:t>
      </w:r>
      <w:r w:rsidRPr="00D36722">
        <w:rPr>
          <w:rStyle w:val="Referencingstyle"/>
        </w:rPr>
        <w:t xml:space="preserve"> 76(1)(a</w:t>
      </w:r>
      <w:r>
        <w:rPr>
          <w:rStyle w:val="Referencingstyle"/>
        </w:rPr>
        <w:t>)(i),</w:t>
      </w:r>
      <w:r w:rsidRPr="00D84E95">
        <w:rPr>
          <w:rStyle w:val="Referencingstyle"/>
        </w:rPr>
        <w:t xml:space="preserve"> </w:t>
      </w:r>
      <w:r>
        <w:rPr>
          <w:rStyle w:val="Referencingstyle"/>
        </w:rPr>
        <w:t>CC Act] [Schedule 2, item</w:t>
      </w:r>
      <w:r w:rsidRPr="00D36722">
        <w:rPr>
          <w:rStyle w:val="Referencingstyle"/>
        </w:rPr>
        <w:t xml:space="preserve"> 6</w:t>
      </w:r>
      <w:r>
        <w:rPr>
          <w:rStyle w:val="Referencingstyle"/>
        </w:rPr>
        <w:t>, section</w:t>
      </w:r>
      <w:r w:rsidRPr="00D36722">
        <w:rPr>
          <w:rStyle w:val="Referencingstyle"/>
        </w:rPr>
        <w:t xml:space="preserve"> 76(1A)(b</w:t>
      </w:r>
      <w:r>
        <w:rPr>
          <w:rStyle w:val="Referencingstyle"/>
        </w:rPr>
        <w:t>), CC Act] [Schedule 2, item</w:t>
      </w:r>
      <w:r w:rsidRPr="00D36722">
        <w:rPr>
          <w:rStyle w:val="Referencingstyle"/>
        </w:rPr>
        <w:t xml:space="preserve"> 7</w:t>
      </w:r>
      <w:r>
        <w:rPr>
          <w:rStyle w:val="Referencingstyle"/>
        </w:rPr>
        <w:t>, section </w:t>
      </w:r>
      <w:r w:rsidRPr="00D36722">
        <w:rPr>
          <w:rStyle w:val="Referencingstyle"/>
        </w:rPr>
        <w:t>76(1B)(a)</w:t>
      </w:r>
      <w:r>
        <w:rPr>
          <w:rStyle w:val="Referencingstyle"/>
        </w:rPr>
        <w:t>, CC Act</w:t>
      </w:r>
      <w:r w:rsidRPr="00D36722">
        <w:rPr>
          <w:rStyle w:val="Referencingstyle"/>
        </w:rPr>
        <w:t>]</w:t>
      </w:r>
    </w:p>
    <w:p w:rsidR="00254624" w:rsidRDefault="00346366" w:rsidP="00346366">
      <w:pPr>
        <w:pStyle w:val="base-text-paragraph"/>
        <w:numPr>
          <w:ilvl w:val="1"/>
          <w:numId w:val="22"/>
        </w:numPr>
      </w:pPr>
      <w:r w:rsidRPr="004B276D">
        <w:t>The levels of pecuniary penalties reflect the seriousness of the contraventions and represent clear a</w:t>
      </w:r>
      <w:r>
        <w:t>nd strong disincentives for non</w:t>
      </w:r>
      <w:r>
        <w:noBreakHyphen/>
      </w:r>
      <w:r w:rsidRPr="004B276D">
        <w:t>compliance</w:t>
      </w:r>
      <w:r>
        <w:t xml:space="preserve">.  </w:t>
      </w:r>
      <w:r w:rsidRPr="004B276D">
        <w:t>The effectiveness of the new prohibitions hinge</w:t>
      </w:r>
      <w:r>
        <w:t>s</w:t>
      </w:r>
      <w:r w:rsidRPr="004B276D">
        <w:t xml:space="preserve"> on the ability to deter, and where necessary enforce, contraventions</w:t>
      </w:r>
      <w:r>
        <w:t xml:space="preserve">.  </w:t>
      </w:r>
      <w:r w:rsidRPr="004B276D">
        <w:t>This is particularly important given that a person who does not comply could obtain substantial financial gain through ch</w:t>
      </w:r>
      <w:r>
        <w:t>arging unreasonably high prices.  Further, these penalty amounts are in line with the penalty amounts under the ACL for a wide range of offences, including false and misleading representations.</w:t>
      </w:r>
    </w:p>
    <w:p w:rsidR="00DA7624" w:rsidRDefault="00DA7624" w:rsidP="00DA7624">
      <w:pPr>
        <w:pStyle w:val="Heading4"/>
      </w:pPr>
      <w:r>
        <w:t>Civil remedies</w:t>
      </w:r>
    </w:p>
    <w:p w:rsidR="00346366" w:rsidRPr="001B7AEB" w:rsidRDefault="00346366" w:rsidP="00346366">
      <w:pPr>
        <w:pStyle w:val="base-text-paragraph"/>
        <w:numPr>
          <w:ilvl w:val="1"/>
          <w:numId w:val="22"/>
        </w:numPr>
      </w:pPr>
      <w:r w:rsidRPr="001B7AEB">
        <w:t xml:space="preserve">Section 77A of the </w:t>
      </w:r>
      <w:r>
        <w:t>CC Act</w:t>
      </w:r>
      <w:r w:rsidRPr="001B7AEB">
        <w:t xml:space="preserve"> prevents a body corporate from indemnifying a person against a civil liability incurred as an office</w:t>
      </w:r>
      <w:r>
        <w:t>r</w:t>
      </w:r>
      <w:r w:rsidRPr="001B7AEB">
        <w:t xml:space="preserve"> of the body corporate</w:t>
      </w:r>
      <w:r>
        <w:t xml:space="preserve">.  </w:t>
      </w:r>
      <w:r w:rsidRPr="001B7AEB">
        <w:t xml:space="preserve">The definition of ‘civil liability’ under </w:t>
      </w:r>
      <w:r w:rsidRPr="003B6468">
        <w:t>section</w:t>
      </w:r>
      <w:r w:rsidRPr="001B7AEB">
        <w:t xml:space="preserve"> 77A(3) </w:t>
      </w:r>
      <w:r>
        <w:t>is</w:t>
      </w:r>
      <w:r w:rsidRPr="001B7AEB">
        <w:t xml:space="preserve"> amended to include the new Part V of the </w:t>
      </w:r>
      <w:r>
        <w:t xml:space="preserve">CC Act.  </w:t>
      </w:r>
      <w:r w:rsidRPr="00CE31CC">
        <w:rPr>
          <w:rStyle w:val="Referencingstyle"/>
        </w:rPr>
        <w:t xml:space="preserve">[Schedule 2, </w:t>
      </w:r>
      <w:r>
        <w:rPr>
          <w:rStyle w:val="Referencingstyle"/>
        </w:rPr>
        <w:t>item</w:t>
      </w:r>
      <w:r w:rsidRPr="00CE31CC">
        <w:rPr>
          <w:rStyle w:val="Referencingstyle"/>
        </w:rPr>
        <w:t xml:space="preserve"> 8, section 77A, </w:t>
      </w:r>
      <w:r>
        <w:rPr>
          <w:rStyle w:val="Referencingstyle"/>
        </w:rPr>
        <w:t>CC Act</w:t>
      </w:r>
      <w:r w:rsidRPr="00CE31CC">
        <w:rPr>
          <w:rStyle w:val="Referencingstyle"/>
        </w:rPr>
        <w:t>]</w:t>
      </w:r>
    </w:p>
    <w:p w:rsidR="00346366" w:rsidRPr="001B7AEB" w:rsidRDefault="00346366" w:rsidP="00346366">
      <w:pPr>
        <w:pStyle w:val="base-text-paragraph"/>
        <w:numPr>
          <w:ilvl w:val="1"/>
          <w:numId w:val="22"/>
        </w:numPr>
      </w:pPr>
      <w:r w:rsidRPr="003B6468">
        <w:t>Section</w:t>
      </w:r>
      <w:r w:rsidRPr="001B7AEB">
        <w:t xml:space="preserve"> 80(1) of the </w:t>
      </w:r>
      <w:r>
        <w:t>CC Act</w:t>
      </w:r>
      <w:r w:rsidRPr="001B7AEB">
        <w:t xml:space="preserve"> states who may apply for injunctions, and in what circumstances</w:t>
      </w:r>
      <w:r>
        <w:t xml:space="preserve">.  </w:t>
      </w:r>
      <w:r w:rsidRPr="003B6468">
        <w:t>Section</w:t>
      </w:r>
      <w:r w:rsidRPr="001B7AEB">
        <w:t xml:space="preserve"> 80(1)(a) </w:t>
      </w:r>
      <w:r>
        <w:t xml:space="preserve">is amended </w:t>
      </w:r>
      <w:r w:rsidRPr="001B7AEB">
        <w:t xml:space="preserve">so that an injunction may be granted if the </w:t>
      </w:r>
      <w:r>
        <w:t>C</w:t>
      </w:r>
      <w:r w:rsidRPr="001B7AEB">
        <w:t>ourt is satisfied that a person has engaged, or is proposing to engage, in conduct that constitutes or would constitute a contravention of new sections 60C and 60K</w:t>
      </w:r>
      <w:r>
        <w:t xml:space="preserve">.  </w:t>
      </w:r>
      <w:r w:rsidRPr="00CE31CC">
        <w:rPr>
          <w:rStyle w:val="Referencingstyle"/>
        </w:rPr>
        <w:t xml:space="preserve">[Schedule 2, </w:t>
      </w:r>
      <w:r>
        <w:rPr>
          <w:rStyle w:val="Referencingstyle"/>
        </w:rPr>
        <w:t xml:space="preserve">item 9, </w:t>
      </w:r>
      <w:r w:rsidRPr="00CE31CC">
        <w:rPr>
          <w:rStyle w:val="Referencingstyle"/>
        </w:rPr>
        <w:t xml:space="preserve">section 80(1), </w:t>
      </w:r>
      <w:r>
        <w:rPr>
          <w:rStyle w:val="Referencingstyle"/>
        </w:rPr>
        <w:t>CC Act</w:t>
      </w:r>
      <w:r w:rsidRPr="00CE31CC">
        <w:rPr>
          <w:rStyle w:val="Referencingstyle"/>
        </w:rPr>
        <w:t>]</w:t>
      </w:r>
    </w:p>
    <w:p w:rsidR="00346366" w:rsidRPr="00DA7624" w:rsidRDefault="00346366" w:rsidP="00346366">
      <w:pPr>
        <w:pStyle w:val="base-text-paragraph"/>
        <w:numPr>
          <w:ilvl w:val="1"/>
          <w:numId w:val="22"/>
        </w:numPr>
        <w:rPr>
          <w:b/>
          <w:i/>
        </w:rPr>
      </w:pPr>
      <w:r w:rsidRPr="003B6468">
        <w:t>Section</w:t>
      </w:r>
      <w:r w:rsidRPr="001B7AEB">
        <w:t xml:space="preserve"> 80(1A) </w:t>
      </w:r>
      <w:r>
        <w:t xml:space="preserve">of the CC Act </w:t>
      </w:r>
      <w:r w:rsidRPr="001B7AEB">
        <w:t>places restrictions on who may apply for an injunction in relation to certain provisions</w:t>
      </w:r>
      <w:r>
        <w:t xml:space="preserve">.  </w:t>
      </w:r>
      <w:r w:rsidRPr="001B7AEB">
        <w:t xml:space="preserve">Currently, the ACCC may apply for an injunction in relation to a contravention of section 50 of the </w:t>
      </w:r>
      <w:r>
        <w:t xml:space="preserve">CC Act.  </w:t>
      </w:r>
      <w:r w:rsidRPr="003B6468">
        <w:t>Section</w:t>
      </w:r>
      <w:r w:rsidRPr="001B7AEB">
        <w:t xml:space="preserve"> 80(1A) </w:t>
      </w:r>
      <w:r>
        <w:t xml:space="preserve">of the CC Act is amended </w:t>
      </w:r>
      <w:r w:rsidRPr="001B7AEB">
        <w:t xml:space="preserve">to similarly provide that the ACCC may </w:t>
      </w:r>
      <w:r>
        <w:t xml:space="preserve">also </w:t>
      </w:r>
      <w:r w:rsidRPr="001B7AEB">
        <w:t>apply for an injunction relating to a contravention of new sections 60C and 60K</w:t>
      </w:r>
      <w:r w:rsidRPr="00F43D71">
        <w:t xml:space="preserve"> </w:t>
      </w:r>
      <w:r>
        <w:t xml:space="preserve">of the CC Act.  </w:t>
      </w:r>
      <w:r w:rsidRPr="00DA7624">
        <w:rPr>
          <w:rStyle w:val="Referencingstyle"/>
        </w:rPr>
        <w:t xml:space="preserve">[Schedule 2, item 10, section 80(1A), </w:t>
      </w:r>
      <w:r>
        <w:rPr>
          <w:rStyle w:val="Referencingstyle"/>
        </w:rPr>
        <w:t>CC Act</w:t>
      </w:r>
      <w:r w:rsidRPr="00DA7624">
        <w:rPr>
          <w:rStyle w:val="Referencingstyle"/>
        </w:rPr>
        <w:t>]</w:t>
      </w:r>
    </w:p>
    <w:p w:rsidR="00346366" w:rsidRPr="001B7AEB" w:rsidRDefault="00346366" w:rsidP="00346366">
      <w:pPr>
        <w:pStyle w:val="base-text-paragraph"/>
        <w:numPr>
          <w:ilvl w:val="1"/>
          <w:numId w:val="22"/>
        </w:numPr>
      </w:pPr>
      <w:r>
        <w:t>N</w:t>
      </w:r>
      <w:r w:rsidRPr="001B7AEB">
        <w:t xml:space="preserve">ew section 80A </w:t>
      </w:r>
      <w:r>
        <w:t>of the CC Act</w:t>
      </w:r>
      <w:r w:rsidRPr="001B7AEB">
        <w:t xml:space="preserve"> provide</w:t>
      </w:r>
      <w:r>
        <w:t>s</w:t>
      </w:r>
      <w:r w:rsidRPr="001B7AEB">
        <w:t xml:space="preserve"> that, if on the application of the ACCC, the Cour</w:t>
      </w:r>
      <w:r>
        <w:t>t is satisfied that new section </w:t>
      </w:r>
      <w:r w:rsidRPr="001B7AEB">
        <w:t xml:space="preserve">60C </w:t>
      </w:r>
      <w:r>
        <w:t>of the CC Act</w:t>
      </w:r>
      <w:r w:rsidRPr="001B7AEB">
        <w:t xml:space="preserve"> has been contravened, it may make orders requiring the person who contravened the section, or someone involved in the contravention, not to make a regulated supply at a price above that specified in the order</w:t>
      </w:r>
      <w:r>
        <w:t xml:space="preserve">.  </w:t>
      </w:r>
      <w:r w:rsidRPr="001B7AEB">
        <w:t>The Court may also make an order requiring the person who contravened new section 60C</w:t>
      </w:r>
      <w:r w:rsidRPr="00F43D71">
        <w:t xml:space="preserve"> </w:t>
      </w:r>
      <w:r>
        <w:t>of the CC Act</w:t>
      </w:r>
      <w:r w:rsidRPr="001B7AEB">
        <w:t>, or a person involved in the contravention, to refund money to a person specified in the order</w:t>
      </w:r>
      <w:r>
        <w:t xml:space="preserve">.  </w:t>
      </w:r>
      <w:r w:rsidRPr="00CE31CC">
        <w:rPr>
          <w:rStyle w:val="Referencingstyle"/>
        </w:rPr>
        <w:t xml:space="preserve">[Schedule 2, </w:t>
      </w:r>
      <w:r>
        <w:rPr>
          <w:rStyle w:val="Referencingstyle"/>
        </w:rPr>
        <w:t>item</w:t>
      </w:r>
      <w:r w:rsidRPr="00CE31CC">
        <w:rPr>
          <w:rStyle w:val="Referencingstyle"/>
        </w:rPr>
        <w:t xml:space="preserve"> 11, section 80A, </w:t>
      </w:r>
      <w:r>
        <w:rPr>
          <w:rStyle w:val="Referencingstyle"/>
        </w:rPr>
        <w:t>CC Act</w:t>
      </w:r>
      <w:r w:rsidRPr="00CE31CC">
        <w:rPr>
          <w:rStyle w:val="Referencingstyle"/>
        </w:rPr>
        <w:t>]</w:t>
      </w:r>
    </w:p>
    <w:p w:rsidR="00346366" w:rsidRPr="001B7AEB" w:rsidRDefault="00346366" w:rsidP="00346366">
      <w:pPr>
        <w:pStyle w:val="base-text-paragraph"/>
        <w:numPr>
          <w:ilvl w:val="1"/>
          <w:numId w:val="22"/>
        </w:numPr>
      </w:pPr>
      <w:r w:rsidRPr="001B7AEB">
        <w:t xml:space="preserve">In essence new section 80A </w:t>
      </w:r>
      <w:r>
        <w:t>of the CC Act</w:t>
      </w:r>
      <w:r w:rsidRPr="001B7AEB">
        <w:t xml:space="preserve"> makes clear that where new section 60C has been contravened, the Court may make orders restraining supplies above a certain price and/or requiring refunds</w:t>
      </w:r>
      <w:r>
        <w:t xml:space="preserve">.  </w:t>
      </w:r>
      <w:r w:rsidRPr="001B7AEB">
        <w:t xml:space="preserve">However, the discretion whether to grant such orders remains with the Court and new section 80A does not limit the Court’s general power to grant injunctions under section 80 of the </w:t>
      </w:r>
      <w:r>
        <w:t>CC Act</w:t>
      </w:r>
      <w:r w:rsidRPr="001B7AEB">
        <w:t>.</w:t>
      </w:r>
    </w:p>
    <w:p w:rsidR="00346366" w:rsidRPr="001B7AEB" w:rsidRDefault="00346366" w:rsidP="00346366">
      <w:pPr>
        <w:pStyle w:val="base-text-paragraph"/>
        <w:numPr>
          <w:ilvl w:val="1"/>
          <w:numId w:val="22"/>
        </w:numPr>
      </w:pPr>
      <w:r w:rsidRPr="001B7AEB">
        <w:t xml:space="preserve">Section 82 of the </w:t>
      </w:r>
      <w:r>
        <w:t>CC Act</w:t>
      </w:r>
      <w:r w:rsidRPr="001B7AEB">
        <w:t xml:space="preserve"> currently provides that a person who suffers loss or damage by conduct of another person done in contravention of a provision of Part IV or IVB may recover that amount against any person involved in contravention</w:t>
      </w:r>
      <w:r>
        <w:t xml:space="preserve">.  </w:t>
      </w:r>
      <w:r w:rsidRPr="003B6468">
        <w:t>Section</w:t>
      </w:r>
      <w:r w:rsidRPr="001B7AEB">
        <w:t xml:space="preserve"> 82(1) </w:t>
      </w:r>
      <w:r>
        <w:t xml:space="preserve">of the CC Act is amended </w:t>
      </w:r>
      <w:r w:rsidRPr="001B7AEB">
        <w:t>to apply it in relation to new sections 60C and 60K</w:t>
      </w:r>
      <w:r w:rsidRPr="00F43D71">
        <w:t xml:space="preserve"> </w:t>
      </w:r>
      <w:r>
        <w:t xml:space="preserve">of the CC Act.  </w:t>
      </w:r>
      <w:r w:rsidRPr="00CE31CC">
        <w:rPr>
          <w:rStyle w:val="Referencingstyle"/>
        </w:rPr>
        <w:t xml:space="preserve">[Schedule 2, </w:t>
      </w:r>
      <w:r>
        <w:rPr>
          <w:rStyle w:val="Referencingstyle"/>
        </w:rPr>
        <w:t xml:space="preserve">item 12, </w:t>
      </w:r>
      <w:r w:rsidRPr="00CE31CC">
        <w:rPr>
          <w:rStyle w:val="Referencingstyle"/>
        </w:rPr>
        <w:t xml:space="preserve">section 82(1), </w:t>
      </w:r>
      <w:r>
        <w:rPr>
          <w:rStyle w:val="Referencingstyle"/>
        </w:rPr>
        <w:t>CC Act</w:t>
      </w:r>
      <w:r w:rsidRPr="00CE31CC">
        <w:rPr>
          <w:rStyle w:val="Referencingstyle"/>
        </w:rPr>
        <w:t>]</w:t>
      </w:r>
    </w:p>
    <w:p w:rsidR="00346366" w:rsidRPr="001B7AEB" w:rsidRDefault="00346366" w:rsidP="00346366">
      <w:pPr>
        <w:pStyle w:val="base-text-paragraph"/>
        <w:numPr>
          <w:ilvl w:val="1"/>
          <w:numId w:val="22"/>
        </w:numPr>
      </w:pPr>
      <w:r w:rsidRPr="001B7AEB">
        <w:t xml:space="preserve">Section 83 of the </w:t>
      </w:r>
      <w:r>
        <w:t>CC Act</w:t>
      </w:r>
      <w:r w:rsidRPr="001B7AEB">
        <w:t xml:space="preserve"> provides that findings of fact in which a person has been found to have contravened or been involved in a contravention of Part IV or Part IVB </w:t>
      </w:r>
      <w:r>
        <w:t>of the CC Act</w:t>
      </w:r>
      <w:r w:rsidRPr="001B7AEB">
        <w:t xml:space="preserve"> is prima facie evidence of that fact for the purposes of section 82 proceedings</w:t>
      </w:r>
      <w:r>
        <w:t>.  Section </w:t>
      </w:r>
      <w:r w:rsidRPr="001B7AEB">
        <w:t xml:space="preserve">83 </w:t>
      </w:r>
      <w:r>
        <w:t xml:space="preserve">is amended </w:t>
      </w:r>
      <w:r w:rsidRPr="001B7AEB">
        <w:t>to apply it in relation to new sections 60C and 60K</w:t>
      </w:r>
      <w:r w:rsidRPr="00F43D71">
        <w:t xml:space="preserve"> </w:t>
      </w:r>
      <w:r>
        <w:t xml:space="preserve">of the CC Act.  </w:t>
      </w:r>
      <w:r w:rsidRPr="00CE31CC">
        <w:rPr>
          <w:rStyle w:val="Referencingstyle"/>
        </w:rPr>
        <w:t xml:space="preserve">[Schedule 2, </w:t>
      </w:r>
      <w:r>
        <w:rPr>
          <w:rStyle w:val="Referencingstyle"/>
        </w:rPr>
        <w:t>item</w:t>
      </w:r>
      <w:r w:rsidRPr="00CE31CC">
        <w:rPr>
          <w:rStyle w:val="Referencingstyle"/>
        </w:rPr>
        <w:t xml:space="preserve"> 13, section 83, </w:t>
      </w:r>
      <w:r>
        <w:rPr>
          <w:rStyle w:val="Referencingstyle"/>
        </w:rPr>
        <w:t>CC Act</w:t>
      </w:r>
      <w:r w:rsidRPr="00CE31CC">
        <w:rPr>
          <w:rStyle w:val="Referencingstyle"/>
        </w:rPr>
        <w:t>]</w:t>
      </w:r>
    </w:p>
    <w:p w:rsidR="00346366" w:rsidRPr="001B7AEB" w:rsidRDefault="00346366" w:rsidP="00346366">
      <w:pPr>
        <w:pStyle w:val="base-text-paragraph"/>
        <w:numPr>
          <w:ilvl w:val="1"/>
          <w:numId w:val="22"/>
        </w:numPr>
      </w:pPr>
      <w:r w:rsidRPr="003B6468">
        <w:t>Section</w:t>
      </w:r>
      <w:r w:rsidRPr="001B7AEB">
        <w:t xml:space="preserve"> 84(1)</w:t>
      </w:r>
      <w:r w:rsidRPr="00F43D71">
        <w:t xml:space="preserve"> </w:t>
      </w:r>
      <w:r>
        <w:t>of the CC Act</w:t>
      </w:r>
      <w:r w:rsidRPr="001B7AEB">
        <w:t xml:space="preserve"> provides for the state of mind of a body corporate to be established by reference to the state of mind of a director, employee or agent of the body corporate in certain circumstances</w:t>
      </w:r>
      <w:r>
        <w:t xml:space="preserve">.  </w:t>
      </w:r>
      <w:r w:rsidRPr="003B6468">
        <w:t>Section</w:t>
      </w:r>
      <w:r w:rsidRPr="001B7AEB">
        <w:t xml:space="preserve"> 84(1) </w:t>
      </w:r>
      <w:r>
        <w:t xml:space="preserve">of the CC Act is amended </w:t>
      </w:r>
      <w:r w:rsidRPr="001B7AEB">
        <w:t>to apply it in relation to the new Part V</w:t>
      </w:r>
      <w:r w:rsidRPr="00F43D71">
        <w:t xml:space="preserve"> </w:t>
      </w:r>
      <w:r>
        <w:t xml:space="preserve">of the CC Act.  </w:t>
      </w:r>
      <w:r w:rsidRPr="00CE31CC">
        <w:rPr>
          <w:rStyle w:val="Referencingstyle"/>
        </w:rPr>
        <w:t xml:space="preserve">[Schedule 2, </w:t>
      </w:r>
      <w:r>
        <w:rPr>
          <w:rStyle w:val="Referencingstyle"/>
        </w:rPr>
        <w:t>item</w:t>
      </w:r>
      <w:r w:rsidRPr="00CE31CC">
        <w:rPr>
          <w:rStyle w:val="Referencingstyle"/>
        </w:rPr>
        <w:t xml:space="preserve"> 14, section </w:t>
      </w:r>
      <w:r>
        <w:rPr>
          <w:rStyle w:val="Referencingstyle"/>
        </w:rPr>
        <w:t>84(1</w:t>
      </w:r>
      <w:r w:rsidRPr="00CE31CC">
        <w:rPr>
          <w:rStyle w:val="Referencingstyle"/>
        </w:rPr>
        <w:t xml:space="preserve">), </w:t>
      </w:r>
      <w:r>
        <w:rPr>
          <w:rStyle w:val="Referencingstyle"/>
        </w:rPr>
        <w:t>CC Act</w:t>
      </w:r>
      <w:r w:rsidRPr="00CE31CC">
        <w:rPr>
          <w:rStyle w:val="Referencingstyle"/>
        </w:rPr>
        <w:t>]</w:t>
      </w:r>
    </w:p>
    <w:p w:rsidR="00346366" w:rsidRPr="001B7AEB" w:rsidRDefault="00346366" w:rsidP="00346366">
      <w:pPr>
        <w:pStyle w:val="base-text-paragraph"/>
        <w:numPr>
          <w:ilvl w:val="1"/>
          <w:numId w:val="22"/>
        </w:numPr>
      </w:pPr>
      <w:r w:rsidRPr="003B6468">
        <w:t>Section</w:t>
      </w:r>
      <w:r w:rsidRPr="001B7AEB">
        <w:t xml:space="preserve"> 84(3) </w:t>
      </w:r>
      <w:r>
        <w:t>of the CC Act</w:t>
      </w:r>
      <w:r w:rsidRPr="001B7AEB">
        <w:t xml:space="preserve"> makes a person vicariously liable by imputing the state of mind of an employee or agent to the person in certain circumstances</w:t>
      </w:r>
      <w:r>
        <w:t xml:space="preserve">.  </w:t>
      </w:r>
      <w:r w:rsidRPr="003B6468">
        <w:t>Section</w:t>
      </w:r>
      <w:r w:rsidRPr="001B7AEB">
        <w:t xml:space="preserve"> 84(3) </w:t>
      </w:r>
      <w:r>
        <w:t xml:space="preserve">of the CC Act is amended </w:t>
      </w:r>
      <w:r w:rsidRPr="001B7AEB">
        <w:t>to apply it in relation to the new Part V</w:t>
      </w:r>
      <w:r w:rsidRPr="00F43D71">
        <w:t xml:space="preserve"> </w:t>
      </w:r>
      <w:r>
        <w:t xml:space="preserve">of the CC Act.  </w:t>
      </w:r>
      <w:r w:rsidRPr="00CE31CC">
        <w:rPr>
          <w:rStyle w:val="Referencingstyle"/>
        </w:rPr>
        <w:t xml:space="preserve">[Schedule 2, </w:t>
      </w:r>
      <w:r>
        <w:rPr>
          <w:rStyle w:val="Referencingstyle"/>
        </w:rPr>
        <w:t xml:space="preserve">item 14, </w:t>
      </w:r>
      <w:r w:rsidRPr="00CE31CC">
        <w:rPr>
          <w:rStyle w:val="Referencingstyle"/>
        </w:rPr>
        <w:t xml:space="preserve">section 84(3), </w:t>
      </w:r>
      <w:r>
        <w:rPr>
          <w:rStyle w:val="Referencingstyle"/>
        </w:rPr>
        <w:t>CC Act</w:t>
      </w:r>
      <w:r w:rsidRPr="00CE31CC">
        <w:rPr>
          <w:rStyle w:val="Referencingstyle"/>
        </w:rPr>
        <w:t>]</w:t>
      </w:r>
    </w:p>
    <w:p w:rsidR="00346366" w:rsidRPr="001B7AEB" w:rsidRDefault="00346366" w:rsidP="00346366">
      <w:pPr>
        <w:pStyle w:val="base-text-paragraph"/>
        <w:numPr>
          <w:ilvl w:val="1"/>
          <w:numId w:val="22"/>
        </w:numPr>
      </w:pPr>
      <w:r w:rsidRPr="001B7AEB">
        <w:t xml:space="preserve">Section 85 </w:t>
      </w:r>
      <w:r>
        <w:t>of the CC Act</w:t>
      </w:r>
      <w:r w:rsidRPr="001B7AEB">
        <w:t xml:space="preserve"> provides a defence to conduct in breach of Part IV </w:t>
      </w:r>
      <w:r>
        <w:t>of the CC Act</w:t>
      </w:r>
      <w:r w:rsidRPr="001B7AEB">
        <w:t xml:space="preserve"> or conduct referred to in </w:t>
      </w:r>
      <w:r w:rsidRPr="003B6468">
        <w:t>section</w:t>
      </w:r>
      <w:r w:rsidRPr="001B7AEB">
        <w:t xml:space="preserve"> 76(1)(b), (c), (d), (e) or (f) if the person ought fairly to be excused</w:t>
      </w:r>
      <w:r>
        <w:t>.  S</w:t>
      </w:r>
      <w:r w:rsidRPr="001B7AEB">
        <w:t xml:space="preserve">ection 85 </w:t>
      </w:r>
      <w:r>
        <w:t xml:space="preserve">is amended </w:t>
      </w:r>
      <w:r w:rsidRPr="001B7AEB">
        <w:t>to ensure defences apply in relation to new sections 60C and 60K</w:t>
      </w:r>
      <w:r>
        <w:t xml:space="preserve">.  </w:t>
      </w:r>
      <w:r w:rsidRPr="00CE31CC">
        <w:rPr>
          <w:rStyle w:val="Referencingstyle"/>
        </w:rPr>
        <w:t xml:space="preserve">[Schedule 2, </w:t>
      </w:r>
      <w:r>
        <w:rPr>
          <w:rStyle w:val="Referencingstyle"/>
        </w:rPr>
        <w:t>item</w:t>
      </w:r>
      <w:r w:rsidRPr="00CE31CC">
        <w:rPr>
          <w:rStyle w:val="Referencingstyle"/>
        </w:rPr>
        <w:t xml:space="preserve"> 15, section 85(a), </w:t>
      </w:r>
      <w:r>
        <w:rPr>
          <w:rStyle w:val="Referencingstyle"/>
        </w:rPr>
        <w:t>CC Act</w:t>
      </w:r>
      <w:r w:rsidRPr="00CE31CC">
        <w:rPr>
          <w:rStyle w:val="Referencingstyle"/>
        </w:rPr>
        <w:t>]</w:t>
      </w:r>
    </w:p>
    <w:p w:rsidR="00346366" w:rsidRPr="001B7AEB" w:rsidRDefault="00346366" w:rsidP="00346366">
      <w:pPr>
        <w:pStyle w:val="base-text-paragraph"/>
        <w:numPr>
          <w:ilvl w:val="1"/>
          <w:numId w:val="22"/>
        </w:numPr>
      </w:pPr>
      <w:r w:rsidRPr="001B7AEB">
        <w:t xml:space="preserve">Section 86C </w:t>
      </w:r>
      <w:r>
        <w:t>of the CC Act</w:t>
      </w:r>
      <w:r w:rsidRPr="001B7AEB">
        <w:t xml:space="preserve"> provides for </w:t>
      </w:r>
      <w:r>
        <w:t>the Court</w:t>
      </w:r>
      <w:r w:rsidRPr="001B7AEB">
        <w:t xml:space="preserve"> to impose an order to undertake a community a</w:t>
      </w:r>
      <w:r>
        <w:t>wareness program,</w:t>
      </w:r>
      <w:r w:rsidRPr="001B7AEB">
        <w:t xml:space="preserve"> publish an advertisement, attend trade practices awareness training or implement a trade practices compliance program</w:t>
      </w:r>
      <w:r>
        <w:t>.  Section 86C is amended so that</w:t>
      </w:r>
      <w:r w:rsidRPr="001B7AEB">
        <w:t xml:space="preserve"> these types of non-punitive orders </w:t>
      </w:r>
      <w:r>
        <w:t>are</w:t>
      </w:r>
      <w:r w:rsidRPr="001B7AEB">
        <w:t xml:space="preserve"> available as a remedy for a contravention of new sections 60C and 60K</w:t>
      </w:r>
      <w:r>
        <w:t xml:space="preserve">.  The amendments </w:t>
      </w:r>
      <w:r w:rsidRPr="001B7AEB">
        <w:t>expressly provide</w:t>
      </w:r>
      <w:r>
        <w:t xml:space="preserve"> </w:t>
      </w:r>
      <w:r w:rsidRPr="001B7AEB">
        <w:t>that a community service order or a probation order is not available as a remedy for either of these new sections</w:t>
      </w:r>
      <w:r>
        <w:t xml:space="preserve">.  </w:t>
      </w:r>
      <w:r w:rsidRPr="00CE31CC">
        <w:rPr>
          <w:rStyle w:val="Referencingstyle"/>
        </w:rPr>
        <w:t xml:space="preserve">[Schedule 2, </w:t>
      </w:r>
      <w:r>
        <w:rPr>
          <w:rStyle w:val="Referencingstyle"/>
        </w:rPr>
        <w:t>items</w:t>
      </w:r>
      <w:r w:rsidRPr="00CE31CC">
        <w:rPr>
          <w:rStyle w:val="Referencingstyle"/>
        </w:rPr>
        <w:t xml:space="preserve"> 16, 17 and 18, section 86C, </w:t>
      </w:r>
      <w:r>
        <w:rPr>
          <w:rStyle w:val="Referencingstyle"/>
        </w:rPr>
        <w:t>CC Act</w:t>
      </w:r>
      <w:r w:rsidRPr="00CE31CC">
        <w:rPr>
          <w:rStyle w:val="Referencingstyle"/>
        </w:rPr>
        <w:t>]</w:t>
      </w:r>
    </w:p>
    <w:p w:rsidR="00346366" w:rsidRPr="001B7AEB" w:rsidRDefault="00346366" w:rsidP="00346366">
      <w:pPr>
        <w:pStyle w:val="base-text-paragraph"/>
        <w:numPr>
          <w:ilvl w:val="1"/>
          <w:numId w:val="22"/>
        </w:numPr>
      </w:pPr>
      <w:r w:rsidRPr="001B7AEB">
        <w:t xml:space="preserve">Section 87 confers a wide power on the </w:t>
      </w:r>
      <w:r>
        <w:t>C</w:t>
      </w:r>
      <w:r w:rsidRPr="001B7AEB">
        <w:t>ourt to make remedial orders in appropriate cases relating to conduct engaged in contravention of Part IV or Division 2 of Part IVB</w:t>
      </w:r>
      <w:r>
        <w:t>.  S</w:t>
      </w:r>
      <w:r w:rsidRPr="001B7AEB">
        <w:t xml:space="preserve">ection 87 </w:t>
      </w:r>
      <w:r>
        <w:t xml:space="preserve">is amended </w:t>
      </w:r>
      <w:r w:rsidRPr="001B7AEB">
        <w:t>to apply in relation to new sections 60C and 60K</w:t>
      </w:r>
      <w:r>
        <w:t xml:space="preserve">.  </w:t>
      </w:r>
      <w:r w:rsidRPr="00CE31CC">
        <w:rPr>
          <w:rStyle w:val="Referencingstyle"/>
        </w:rPr>
        <w:t xml:space="preserve">[Schedule 2, </w:t>
      </w:r>
      <w:r>
        <w:rPr>
          <w:rStyle w:val="Referencingstyle"/>
        </w:rPr>
        <w:t>items</w:t>
      </w:r>
      <w:r w:rsidRPr="00CE31CC">
        <w:rPr>
          <w:rStyle w:val="Referencingstyle"/>
        </w:rPr>
        <w:t xml:space="preserve"> 19 to 23, section 87, </w:t>
      </w:r>
      <w:r>
        <w:rPr>
          <w:rStyle w:val="Referencingstyle"/>
        </w:rPr>
        <w:t>CC Act</w:t>
      </w:r>
      <w:r w:rsidRPr="00CE31CC">
        <w:rPr>
          <w:rStyle w:val="Referencingstyle"/>
        </w:rPr>
        <w:t>]</w:t>
      </w:r>
    </w:p>
    <w:p w:rsidR="00346366" w:rsidRPr="001B7AEB" w:rsidRDefault="00346366" w:rsidP="00346366">
      <w:pPr>
        <w:pStyle w:val="base-text-paragraph"/>
        <w:numPr>
          <w:ilvl w:val="1"/>
          <w:numId w:val="22"/>
        </w:numPr>
      </w:pPr>
      <w:r w:rsidRPr="001B7AEB">
        <w:t>Section 155AAA</w:t>
      </w:r>
      <w:r>
        <w:t xml:space="preserve"> of the CC Act</w:t>
      </w:r>
      <w:r w:rsidRPr="001B7AEB">
        <w:t xml:space="preserve"> protects information given to the ACCC in confidence</w:t>
      </w:r>
      <w:r>
        <w:t xml:space="preserve">.  </w:t>
      </w:r>
      <w:r w:rsidRPr="001B7AEB">
        <w:t xml:space="preserve">The definition of </w:t>
      </w:r>
      <w:r>
        <w:t>‘</w:t>
      </w:r>
      <w:r w:rsidRPr="001B7AEB">
        <w:t>core statutory provision</w:t>
      </w:r>
      <w:r>
        <w:t>’ is amended</w:t>
      </w:r>
      <w:r w:rsidRPr="001B7AEB">
        <w:t xml:space="preserve"> to include the new Part V</w:t>
      </w:r>
      <w:r w:rsidRPr="00F43D71">
        <w:t xml:space="preserve"> </w:t>
      </w:r>
      <w:r>
        <w:t>of the CC Act.  T</w:t>
      </w:r>
      <w:r w:rsidRPr="001B7AEB">
        <w:t xml:space="preserve">he definition of </w:t>
      </w:r>
      <w:r>
        <w:t>‘</w:t>
      </w:r>
      <w:r w:rsidRPr="001B7AEB">
        <w:t>protected information</w:t>
      </w:r>
      <w:r>
        <w:t>’</w:t>
      </w:r>
      <w:r w:rsidRPr="001B7AEB">
        <w:t xml:space="preserve"> </w:t>
      </w:r>
      <w:r>
        <w:t xml:space="preserve">is amended </w:t>
      </w:r>
      <w:r w:rsidRPr="001B7AEB">
        <w:t>to apply to information given to the ACCC under new section 60H</w:t>
      </w:r>
      <w:r w:rsidRPr="00F43D71">
        <w:t xml:space="preserve"> </w:t>
      </w:r>
      <w:r>
        <w:t xml:space="preserve">of the CC Act.  </w:t>
      </w:r>
      <w:r w:rsidRPr="00CE31CC">
        <w:rPr>
          <w:rStyle w:val="Referencingstyle"/>
        </w:rPr>
        <w:t xml:space="preserve">[Schedule 2, </w:t>
      </w:r>
      <w:r>
        <w:rPr>
          <w:rStyle w:val="Referencingstyle"/>
        </w:rPr>
        <w:t>items</w:t>
      </w:r>
      <w:r w:rsidRPr="00CE31CC">
        <w:rPr>
          <w:rStyle w:val="Referencingstyle"/>
        </w:rPr>
        <w:t xml:space="preserve"> 24 and 25, section 155AAA, </w:t>
      </w:r>
      <w:r>
        <w:rPr>
          <w:rStyle w:val="Referencingstyle"/>
        </w:rPr>
        <w:t>CC Act</w:t>
      </w:r>
      <w:r w:rsidRPr="00CE31CC">
        <w:rPr>
          <w:rStyle w:val="Referencingstyle"/>
        </w:rPr>
        <w:t>]</w:t>
      </w:r>
    </w:p>
    <w:p w:rsidR="00C048AA" w:rsidRPr="00D33893" w:rsidRDefault="00346366" w:rsidP="00346366">
      <w:pPr>
        <w:pStyle w:val="base-text-paragraph"/>
        <w:numPr>
          <w:ilvl w:val="1"/>
          <w:numId w:val="22"/>
        </w:numPr>
        <w:rPr>
          <w:rStyle w:val="Referencingstyle"/>
          <w:sz w:val="22"/>
          <w:szCs w:val="22"/>
        </w:rPr>
      </w:pPr>
      <w:r w:rsidRPr="00C048AA">
        <w:rPr>
          <w:szCs w:val="22"/>
        </w:rPr>
        <w:t xml:space="preserve">Section 163A of the </w:t>
      </w:r>
      <w:r>
        <w:rPr>
          <w:szCs w:val="22"/>
        </w:rPr>
        <w:t>CC Act</w:t>
      </w:r>
      <w:r w:rsidRPr="00C048AA">
        <w:rPr>
          <w:szCs w:val="22"/>
        </w:rPr>
        <w:t xml:space="preserve"> confers on the Court jurisdiction to</w:t>
      </w:r>
      <w:r>
        <w:rPr>
          <w:szCs w:val="22"/>
        </w:rPr>
        <w:t xml:space="preserve"> order </w:t>
      </w:r>
      <w:r w:rsidRPr="00A55A69">
        <w:t>prohibition</w:t>
      </w:r>
      <w:r>
        <w:rPr>
          <w:szCs w:val="22"/>
        </w:rPr>
        <w:t xml:space="preserve">, certiorari </w:t>
      </w:r>
      <w:r w:rsidRPr="00C048AA">
        <w:rPr>
          <w:szCs w:val="22"/>
        </w:rPr>
        <w:t>or mandamus</w:t>
      </w:r>
      <w:r>
        <w:rPr>
          <w:szCs w:val="22"/>
        </w:rPr>
        <w:t>,</w:t>
      </w:r>
      <w:r w:rsidRPr="00C048AA">
        <w:rPr>
          <w:szCs w:val="22"/>
        </w:rPr>
        <w:t xml:space="preserve"> </w:t>
      </w:r>
      <w:r>
        <w:rPr>
          <w:szCs w:val="22"/>
        </w:rPr>
        <w:t>or</w:t>
      </w:r>
      <w:r w:rsidRPr="00C048AA">
        <w:rPr>
          <w:szCs w:val="22"/>
        </w:rPr>
        <w:t xml:space="preserve"> to make </w:t>
      </w:r>
      <w:r>
        <w:rPr>
          <w:szCs w:val="22"/>
        </w:rPr>
        <w:t xml:space="preserve">a </w:t>
      </w:r>
      <w:r w:rsidRPr="00C048AA">
        <w:rPr>
          <w:szCs w:val="22"/>
        </w:rPr>
        <w:t>declaration</w:t>
      </w:r>
      <w:r>
        <w:rPr>
          <w:szCs w:val="22"/>
        </w:rPr>
        <w:t>,</w:t>
      </w:r>
      <w:r w:rsidRPr="00C048AA">
        <w:rPr>
          <w:szCs w:val="22"/>
        </w:rPr>
        <w:t xml:space="preserve"> in relation to the operation or effect of any provision of the </w:t>
      </w:r>
      <w:r>
        <w:rPr>
          <w:szCs w:val="22"/>
        </w:rPr>
        <w:t>CC Act</w:t>
      </w:r>
      <w:r w:rsidRPr="00C048AA">
        <w:rPr>
          <w:szCs w:val="22"/>
        </w:rPr>
        <w:t xml:space="preserve"> and the ACL (other than the implied warranties provisions of ACL</w:t>
      </w:r>
      <w:r>
        <w:rPr>
          <w:szCs w:val="22"/>
        </w:rPr>
        <w:t>,</w:t>
      </w:r>
      <w:r w:rsidRPr="00C048AA">
        <w:rPr>
          <w:szCs w:val="22"/>
        </w:rPr>
        <w:t xml:space="preserve"> Part 3-2</w:t>
      </w:r>
      <w:r>
        <w:rPr>
          <w:szCs w:val="22"/>
        </w:rPr>
        <w:t>,</w:t>
      </w:r>
      <w:r w:rsidRPr="00C048AA">
        <w:rPr>
          <w:szCs w:val="22"/>
        </w:rPr>
        <w:t xml:space="preserve"> Division 1 and Part 5-4) and the validity of any Act or thing done, or purporting to have been done under the </w:t>
      </w:r>
      <w:r>
        <w:rPr>
          <w:szCs w:val="22"/>
        </w:rPr>
        <w:t xml:space="preserve">CC Act.  </w:t>
      </w:r>
      <w:r w:rsidRPr="00C048AA">
        <w:rPr>
          <w:szCs w:val="22"/>
        </w:rPr>
        <w:t xml:space="preserve">However provisions under Part XIB and XIC of the </w:t>
      </w:r>
      <w:r>
        <w:rPr>
          <w:szCs w:val="22"/>
        </w:rPr>
        <w:t>CC Act</w:t>
      </w:r>
      <w:r w:rsidRPr="00C048AA">
        <w:rPr>
          <w:szCs w:val="22"/>
        </w:rPr>
        <w:t xml:space="preserve"> are exempted</w:t>
      </w:r>
      <w:r>
        <w:rPr>
          <w:szCs w:val="22"/>
        </w:rPr>
        <w:t xml:space="preserve">.  </w:t>
      </w:r>
      <w:r w:rsidRPr="00C048AA">
        <w:rPr>
          <w:szCs w:val="22"/>
        </w:rPr>
        <w:t xml:space="preserve">The </w:t>
      </w:r>
      <w:r>
        <w:t>Main Repeal Bill</w:t>
      </w:r>
      <w:r w:rsidRPr="00C048AA">
        <w:rPr>
          <w:szCs w:val="22"/>
        </w:rPr>
        <w:t xml:space="preserve"> expressly provides that new Part V is also exempted from the application of section 163A</w:t>
      </w:r>
      <w:r>
        <w:rPr>
          <w:szCs w:val="22"/>
        </w:rPr>
        <w:t xml:space="preserve">.  </w:t>
      </w:r>
      <w:r w:rsidRPr="00C048AA">
        <w:rPr>
          <w:rStyle w:val="Referencingstyle"/>
        </w:rPr>
        <w:t xml:space="preserve">[Schedule 2, </w:t>
      </w:r>
      <w:r>
        <w:rPr>
          <w:rStyle w:val="Referencingstyle"/>
        </w:rPr>
        <w:t>item</w:t>
      </w:r>
      <w:r w:rsidRPr="00C048AA">
        <w:rPr>
          <w:rStyle w:val="Referencingstyle"/>
        </w:rPr>
        <w:t xml:space="preserve"> 26, section 163A</w:t>
      </w:r>
      <w:r>
        <w:rPr>
          <w:rStyle w:val="Referencingstyle"/>
        </w:rPr>
        <w:t>, CC Act</w:t>
      </w:r>
      <w:r w:rsidRPr="00C048AA">
        <w:rPr>
          <w:rStyle w:val="Referencingstyle"/>
        </w:rPr>
        <w:t>]</w:t>
      </w:r>
    </w:p>
    <w:p w:rsidR="00196E2B" w:rsidRDefault="00196E2B" w:rsidP="00196E2B">
      <w:pPr>
        <w:pStyle w:val="ChapterHeading"/>
        <w:numPr>
          <w:ilvl w:val="0"/>
          <w:numId w:val="0"/>
        </w:numPr>
        <w:ind w:left="1985"/>
        <w:rPr>
          <w:rStyle w:val="Font30point"/>
        </w:rPr>
        <w:sectPr w:rsidR="00196E2B" w:rsidSect="00196E2B">
          <w:headerReference w:type="default" r:id="rId32"/>
          <w:type w:val="oddPage"/>
          <w:pgSz w:w="11906" w:h="16838" w:code="9"/>
          <w:pgMar w:top="2466" w:right="2098" w:bottom="2466" w:left="2098" w:header="1559" w:footer="1899" w:gutter="0"/>
          <w:cols w:space="708"/>
          <w:titlePg/>
          <w:docGrid w:linePitch="360"/>
        </w:sectPr>
      </w:pPr>
    </w:p>
    <w:p w:rsidR="00EA0FD6" w:rsidRDefault="00EA0FD6" w:rsidP="008D2D55">
      <w:pPr>
        <w:pStyle w:val="ChapterHeading"/>
        <w:numPr>
          <w:ilvl w:val="0"/>
          <w:numId w:val="25"/>
        </w:numPr>
      </w:pPr>
      <w:bookmarkStart w:id="10" w:name="_Toc393138978"/>
      <w:r w:rsidRPr="008A062B">
        <w:rPr>
          <w:rStyle w:val="Font30point"/>
        </w:rPr>
        <w:t>C</w:t>
      </w:r>
      <w:r w:rsidRPr="008A062B">
        <w:rPr>
          <w:rStyle w:val="Font15point"/>
        </w:rPr>
        <w:t xml:space="preserve">hapter </w:t>
      </w:r>
      <w:r>
        <w:rPr>
          <w:rStyle w:val="Font19point"/>
        </w:rPr>
        <w:t>5</w:t>
      </w:r>
      <w:r>
        <w:tab/>
      </w:r>
      <w:r>
        <w:br/>
        <w:t>Removal of equivalent carbon price from taxable fuels</w:t>
      </w:r>
      <w:bookmarkEnd w:id="10"/>
    </w:p>
    <w:p w:rsidR="00EA0FD6" w:rsidRDefault="00EA0FD6" w:rsidP="00372296">
      <w:pPr>
        <w:pStyle w:val="Heading2"/>
      </w:pPr>
      <w:r>
        <w:t>Outline of chapter</w:t>
      </w:r>
    </w:p>
    <w:p w:rsidR="00346366" w:rsidRPr="00346366" w:rsidRDefault="00346366" w:rsidP="008D2D55">
      <w:pPr>
        <w:pStyle w:val="ListParagraph"/>
        <w:numPr>
          <w:ilvl w:val="0"/>
          <w:numId w:val="25"/>
        </w:numPr>
        <w:contextualSpacing w:val="0"/>
        <w:rPr>
          <w:vanish/>
        </w:rPr>
      </w:pPr>
    </w:p>
    <w:p w:rsidR="00346366" w:rsidRPr="00346366" w:rsidRDefault="00346366" w:rsidP="008D2D55">
      <w:pPr>
        <w:pStyle w:val="ListParagraph"/>
        <w:numPr>
          <w:ilvl w:val="0"/>
          <w:numId w:val="25"/>
        </w:numPr>
        <w:contextualSpacing w:val="0"/>
        <w:rPr>
          <w:vanish/>
        </w:rPr>
      </w:pPr>
    </w:p>
    <w:p w:rsidR="00346366" w:rsidRPr="00346366" w:rsidRDefault="00346366" w:rsidP="008D2D55">
      <w:pPr>
        <w:pStyle w:val="ListParagraph"/>
        <w:numPr>
          <w:ilvl w:val="0"/>
          <w:numId w:val="25"/>
        </w:numPr>
        <w:contextualSpacing w:val="0"/>
        <w:rPr>
          <w:vanish/>
        </w:rPr>
      </w:pPr>
    </w:p>
    <w:p w:rsidR="00346366" w:rsidRPr="00346366" w:rsidRDefault="00346366" w:rsidP="008D2D55">
      <w:pPr>
        <w:pStyle w:val="ListParagraph"/>
        <w:numPr>
          <w:ilvl w:val="0"/>
          <w:numId w:val="25"/>
        </w:numPr>
        <w:contextualSpacing w:val="0"/>
        <w:rPr>
          <w:vanish/>
        </w:rPr>
      </w:pPr>
    </w:p>
    <w:p w:rsidR="00EA0FD6" w:rsidRDefault="00EA0FD6" w:rsidP="008D2D55">
      <w:pPr>
        <w:pStyle w:val="base-text-paragraph"/>
        <w:numPr>
          <w:ilvl w:val="1"/>
          <w:numId w:val="25"/>
        </w:numPr>
      </w:pPr>
      <w:r w:rsidRPr="00EA0FD6">
        <w:t xml:space="preserve">Chapter </w:t>
      </w:r>
      <w:r>
        <w:t>5</w:t>
      </w:r>
      <w:r w:rsidRPr="00EA0FD6">
        <w:t xml:space="preserve"> describes the changes </w:t>
      </w:r>
      <w:r w:rsidR="00F43D71">
        <w:t xml:space="preserve">to relevant legislation </w:t>
      </w:r>
      <w:r w:rsidRPr="00EA0FD6">
        <w:t xml:space="preserve">to remove the </w:t>
      </w:r>
      <w:r w:rsidR="000B1A0E">
        <w:t>equivalent carbon price</w:t>
      </w:r>
      <w:r w:rsidRPr="00EA0FD6">
        <w:t xml:space="preserve"> from </w:t>
      </w:r>
      <w:r w:rsidR="003B172B">
        <w:t xml:space="preserve">liquid and gaseous </w:t>
      </w:r>
      <w:r w:rsidRPr="00EA0FD6">
        <w:t>fuels</w:t>
      </w:r>
      <w:r w:rsidR="00D5237C">
        <w:t xml:space="preserve">.  </w:t>
      </w:r>
      <w:r w:rsidRPr="00EA0FD6">
        <w:t xml:space="preserve"> </w:t>
      </w:r>
      <w:r>
        <w:t>These amendments</w:t>
      </w:r>
      <w:r w:rsidR="00961241">
        <w:t>:</w:t>
      </w:r>
    </w:p>
    <w:p w:rsidR="00EA0FD6" w:rsidRPr="00EA0FD6" w:rsidRDefault="00EA0FD6" w:rsidP="00EA0FD6">
      <w:pPr>
        <w:pStyle w:val="dotpoint"/>
      </w:pPr>
      <w:r w:rsidRPr="00EA0FD6">
        <w:t>adjust fuel tax credits (FTCs) for certain uses of taxable fuel; and</w:t>
      </w:r>
    </w:p>
    <w:p w:rsidR="00EA0FD6" w:rsidRDefault="00E125FA" w:rsidP="00EA0FD6">
      <w:pPr>
        <w:pStyle w:val="dotpoint"/>
      </w:pPr>
      <w:r>
        <w:t xml:space="preserve">reduce excise and excise </w:t>
      </w:r>
      <w:r w:rsidR="00EA0FD6" w:rsidRPr="00EA0FD6">
        <w:t>equivalent customs duty imposed on aviation fuel</w:t>
      </w:r>
      <w:r w:rsidR="00961241">
        <w:t>.</w:t>
      </w:r>
    </w:p>
    <w:p w:rsidR="00EA0FD6" w:rsidRDefault="00EA0FD6" w:rsidP="00372296">
      <w:pPr>
        <w:pStyle w:val="Heading2"/>
      </w:pPr>
      <w:r>
        <w:t>Context of amendments</w:t>
      </w:r>
    </w:p>
    <w:p w:rsidR="00EA0FD6" w:rsidRDefault="004348D8" w:rsidP="008D2D55">
      <w:pPr>
        <w:pStyle w:val="base-text-paragraph"/>
        <w:numPr>
          <w:ilvl w:val="1"/>
          <w:numId w:val="25"/>
        </w:numPr>
      </w:pPr>
      <w:r w:rsidRPr="004348D8">
        <w:t>All taxable fuel (including petrol and diesel) produced in, or</w:t>
      </w:r>
      <w:r w:rsidR="00E125FA">
        <w:t xml:space="preserve"> imported</w:t>
      </w:r>
      <w:r w:rsidR="00105E8D">
        <w:t xml:space="preserve"> into</w:t>
      </w:r>
      <w:r w:rsidR="00E125FA">
        <w:t xml:space="preserve">, </w:t>
      </w:r>
      <w:r w:rsidR="00105E8D" w:rsidRPr="004348D8">
        <w:t>Australia</w:t>
      </w:r>
      <w:r w:rsidR="00105E8D">
        <w:t xml:space="preserve"> </w:t>
      </w:r>
      <w:r w:rsidR="00E125FA">
        <w:t xml:space="preserve">has excise or excise </w:t>
      </w:r>
      <w:r w:rsidRPr="004348D8">
        <w:t>equivalent customs duty (fuel tax) imposed on it when it enters the Australian market</w:t>
      </w:r>
      <w:r w:rsidR="00D5237C">
        <w:t xml:space="preserve">.  </w:t>
      </w:r>
      <w:r w:rsidRPr="004348D8">
        <w:t>To reduce the incidence of fuel tax on certain business users, fuel tax credits (FTCs) are provided to business taxpayers for a variety of uses of fuel</w:t>
      </w:r>
      <w:r>
        <w:t>.</w:t>
      </w:r>
    </w:p>
    <w:p w:rsidR="004348D8" w:rsidRDefault="004348D8" w:rsidP="008D2D55">
      <w:pPr>
        <w:pStyle w:val="base-text-paragraph"/>
        <w:numPr>
          <w:ilvl w:val="1"/>
          <w:numId w:val="25"/>
        </w:numPr>
      </w:pPr>
      <w:r>
        <w:t>In particular, FTCs are provided to:</w:t>
      </w:r>
    </w:p>
    <w:p w:rsidR="004348D8" w:rsidRDefault="004348D8" w:rsidP="004348D8">
      <w:pPr>
        <w:pStyle w:val="dotpoint"/>
      </w:pPr>
      <w:r>
        <w:t>all off-road business users of taxable fuel; and</w:t>
      </w:r>
    </w:p>
    <w:p w:rsidR="004348D8" w:rsidRDefault="004348D8" w:rsidP="004348D8">
      <w:pPr>
        <w:pStyle w:val="dotpoint"/>
      </w:pPr>
      <w:r>
        <w:t>business users of heavy vehicles (over 4.5 tonnes) for fuel used for travelling on public roads (these FTCs are reduced by the road user charge).</w:t>
      </w:r>
    </w:p>
    <w:p w:rsidR="004348D8" w:rsidRDefault="004348D8" w:rsidP="008D2D55">
      <w:pPr>
        <w:pStyle w:val="base-text-paragraph"/>
        <w:numPr>
          <w:ilvl w:val="1"/>
          <w:numId w:val="25"/>
        </w:numPr>
      </w:pPr>
      <w:r>
        <w:t>FTCs are also av</w:t>
      </w:r>
      <w:r w:rsidR="0076569A">
        <w:t>ailable for non-business users for</w:t>
      </w:r>
      <w:r>
        <w:t xml:space="preserve"> taxable fuel that they acquire or manufacture in, or import into, Australia to the extent that it is used to generate electricity for domestic use.</w:t>
      </w:r>
    </w:p>
    <w:p w:rsidR="004348D8" w:rsidRPr="004B65C0" w:rsidDel="00A36D41" w:rsidRDefault="004348D8" w:rsidP="008D2D55">
      <w:pPr>
        <w:pStyle w:val="base-text-paragraph"/>
        <w:numPr>
          <w:ilvl w:val="1"/>
          <w:numId w:val="25"/>
        </w:numPr>
      </w:pPr>
      <w:r w:rsidRPr="00000B1F">
        <w:t xml:space="preserve">The </w:t>
      </w:r>
      <w:r>
        <w:t xml:space="preserve">equivalent </w:t>
      </w:r>
      <w:r w:rsidRPr="00000B1F">
        <w:t xml:space="preserve">carbon price was applied to </w:t>
      </w:r>
      <w:r w:rsidR="00CE4B52">
        <w:t xml:space="preserve">certain uses of </w:t>
      </w:r>
      <w:r>
        <w:t xml:space="preserve">taxable </w:t>
      </w:r>
      <w:r w:rsidRPr="00000B1F">
        <w:t>fuels through several mechanisms</w:t>
      </w:r>
      <w:r w:rsidR="00D5237C">
        <w:t xml:space="preserve">.  </w:t>
      </w:r>
      <w:r w:rsidRPr="00000B1F">
        <w:t xml:space="preserve">These mechanisms included reducing the entitlement to FTCs for fuels such as petrol and diesel as well as increasing the </w:t>
      </w:r>
      <w:r w:rsidR="00E125FA" w:rsidRPr="00000B1F">
        <w:t>rate</w:t>
      </w:r>
      <w:r w:rsidR="00E125FA">
        <w:t>s</w:t>
      </w:r>
      <w:r w:rsidR="00E125FA" w:rsidRPr="00000B1F">
        <w:t xml:space="preserve"> of </w:t>
      </w:r>
      <w:r w:rsidR="00E125FA">
        <w:t xml:space="preserve">excise and excise equivalent customs </w:t>
      </w:r>
      <w:r w:rsidR="00E125FA" w:rsidRPr="00000B1F">
        <w:t>duty applied to aviation fuel</w:t>
      </w:r>
      <w:r w:rsidR="00D5237C">
        <w:t xml:space="preserve">.  </w:t>
      </w:r>
      <w:r w:rsidR="00E125FA">
        <w:t>The rates of duty were not increased on other types of fuel</w:t>
      </w:r>
      <w:r>
        <w:t>.</w:t>
      </w:r>
    </w:p>
    <w:p w:rsidR="004348D8" w:rsidRDefault="004348D8" w:rsidP="008D2D55">
      <w:pPr>
        <w:pStyle w:val="base-text-paragraph"/>
        <w:numPr>
          <w:ilvl w:val="1"/>
          <w:numId w:val="25"/>
        </w:numPr>
      </w:pPr>
      <w:r>
        <w:t>These amendments remove the equivalent carbon price from taxable fuels by repealing the changes which were made to impose the equivalent carbon price.</w:t>
      </w:r>
    </w:p>
    <w:p w:rsidR="00EA0FD6" w:rsidRDefault="00EA0FD6" w:rsidP="00372296">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EA0FD6" w:rsidRPr="004666B8" w:rsidTr="00372296">
        <w:tc>
          <w:tcPr>
            <w:tcW w:w="3275" w:type="dxa"/>
          </w:tcPr>
          <w:p w:rsidR="00EA0FD6" w:rsidRPr="004666B8" w:rsidRDefault="00EA0FD6" w:rsidP="00372296">
            <w:pPr>
              <w:pStyle w:val="tableheaderwithintable"/>
              <w:rPr>
                <w:lang w:val="en-US" w:eastAsia="en-US"/>
              </w:rPr>
            </w:pPr>
            <w:r w:rsidRPr="004666B8">
              <w:rPr>
                <w:lang w:val="en-US" w:eastAsia="en-US"/>
              </w:rPr>
              <w:t>New law</w:t>
            </w:r>
          </w:p>
        </w:tc>
        <w:tc>
          <w:tcPr>
            <w:tcW w:w="3276" w:type="dxa"/>
          </w:tcPr>
          <w:p w:rsidR="00EA0FD6" w:rsidRPr="004666B8" w:rsidRDefault="00EA0FD6" w:rsidP="00372296">
            <w:pPr>
              <w:pStyle w:val="tableheaderwithintable"/>
              <w:rPr>
                <w:lang w:val="en-US" w:eastAsia="en-US"/>
              </w:rPr>
            </w:pPr>
            <w:r w:rsidRPr="004666B8">
              <w:rPr>
                <w:lang w:val="en-US" w:eastAsia="en-US"/>
              </w:rPr>
              <w:t>Current law</w:t>
            </w:r>
          </w:p>
        </w:tc>
      </w:tr>
      <w:tr w:rsidR="004348D8" w:rsidRPr="004666B8" w:rsidTr="00372296">
        <w:tc>
          <w:tcPr>
            <w:tcW w:w="6551" w:type="dxa"/>
            <w:gridSpan w:val="2"/>
          </w:tcPr>
          <w:p w:rsidR="004348D8" w:rsidRPr="004348D8" w:rsidRDefault="004348D8" w:rsidP="004348D8">
            <w:pPr>
              <w:pStyle w:val="tabletext"/>
              <w:jc w:val="center"/>
              <w:rPr>
                <w:b/>
                <w:lang w:val="en-US" w:eastAsia="en-US"/>
              </w:rPr>
            </w:pPr>
            <w:r w:rsidRPr="004348D8">
              <w:rPr>
                <w:b/>
              </w:rPr>
              <w:t>Increases to FTCs for certain uses of taxable fuel</w:t>
            </w:r>
          </w:p>
        </w:tc>
      </w:tr>
      <w:tr w:rsidR="004348D8" w:rsidRPr="004666B8" w:rsidTr="00372296">
        <w:tc>
          <w:tcPr>
            <w:tcW w:w="3275" w:type="dxa"/>
          </w:tcPr>
          <w:p w:rsidR="004348D8" w:rsidRPr="00A409EC" w:rsidRDefault="004348D8" w:rsidP="00105E8D">
            <w:pPr>
              <w:pStyle w:val="tabletext"/>
            </w:pPr>
            <w:r>
              <w:t xml:space="preserve">FTCs </w:t>
            </w:r>
            <w:r w:rsidR="00105E8D">
              <w:t>for</w:t>
            </w:r>
            <w:r>
              <w:t xml:space="preserve"> certain uses of taxable fuel are increased to remove the </w:t>
            </w:r>
            <w:r w:rsidR="0076569A">
              <w:t xml:space="preserve">reduction attributable to the </w:t>
            </w:r>
            <w:r>
              <w:t>equivalent carbon price.</w:t>
            </w:r>
          </w:p>
        </w:tc>
        <w:tc>
          <w:tcPr>
            <w:tcW w:w="3276" w:type="dxa"/>
          </w:tcPr>
          <w:p w:rsidR="004348D8" w:rsidRPr="00A409EC" w:rsidRDefault="004348D8" w:rsidP="00372296">
            <w:pPr>
              <w:pStyle w:val="tabletext"/>
            </w:pPr>
            <w:r>
              <w:t>Reduced FTCs provided for certain uses of taxable fuel to reflect an equivalent carbon price.</w:t>
            </w:r>
          </w:p>
        </w:tc>
      </w:tr>
      <w:tr w:rsidR="004348D8" w:rsidRPr="004666B8" w:rsidTr="00372296">
        <w:tc>
          <w:tcPr>
            <w:tcW w:w="6551" w:type="dxa"/>
            <w:gridSpan w:val="2"/>
          </w:tcPr>
          <w:p w:rsidR="004348D8" w:rsidRPr="004666B8" w:rsidRDefault="00E125FA" w:rsidP="004348D8">
            <w:pPr>
              <w:pStyle w:val="tabletext"/>
              <w:jc w:val="center"/>
              <w:rPr>
                <w:lang w:val="en-US" w:eastAsia="en-US"/>
              </w:rPr>
            </w:pPr>
            <w:r>
              <w:rPr>
                <w:b/>
              </w:rPr>
              <w:t xml:space="preserve">Reductions in excise and excise </w:t>
            </w:r>
            <w:r w:rsidR="004348D8" w:rsidRPr="004348D8">
              <w:rPr>
                <w:b/>
              </w:rPr>
              <w:t>equivalent customs duty for aviation fuel</w:t>
            </w:r>
          </w:p>
        </w:tc>
      </w:tr>
      <w:tr w:rsidR="004348D8" w:rsidRPr="004666B8" w:rsidTr="00372296">
        <w:tc>
          <w:tcPr>
            <w:tcW w:w="3275" w:type="dxa"/>
          </w:tcPr>
          <w:p w:rsidR="004348D8" w:rsidRPr="00A409EC" w:rsidRDefault="004348D8" w:rsidP="00372296">
            <w:pPr>
              <w:pStyle w:val="tabletext"/>
              <w:tabs>
                <w:tab w:val="left" w:pos="2805"/>
              </w:tabs>
            </w:pPr>
            <w:r>
              <w:t>Rates of duty on aviation fuel are reduced to exclude the equivalent carbon price.</w:t>
            </w:r>
          </w:p>
        </w:tc>
        <w:tc>
          <w:tcPr>
            <w:tcW w:w="3276" w:type="dxa"/>
          </w:tcPr>
          <w:p w:rsidR="004348D8" w:rsidRPr="00A409EC" w:rsidRDefault="004348D8" w:rsidP="00372296">
            <w:pPr>
              <w:pStyle w:val="tabletext"/>
            </w:pPr>
            <w:r>
              <w:t>Rates of duty on aviation fuel are increased to include the equivalent carbon price.</w:t>
            </w:r>
          </w:p>
        </w:tc>
      </w:tr>
      <w:tr w:rsidR="004348D8" w:rsidRPr="004666B8" w:rsidTr="00372296">
        <w:tc>
          <w:tcPr>
            <w:tcW w:w="6551" w:type="dxa"/>
            <w:gridSpan w:val="2"/>
          </w:tcPr>
          <w:p w:rsidR="004348D8" w:rsidRPr="004666B8" w:rsidRDefault="004348D8" w:rsidP="004348D8">
            <w:pPr>
              <w:pStyle w:val="tabletext"/>
              <w:jc w:val="center"/>
              <w:rPr>
                <w:lang w:val="en-US" w:eastAsia="en-US"/>
              </w:rPr>
            </w:pPr>
            <w:r w:rsidRPr="004348D8">
              <w:rPr>
                <w:b/>
              </w:rPr>
              <w:t>Removal of other additional FTCs to reflect the repeal of the carbon tax</w:t>
            </w:r>
          </w:p>
        </w:tc>
      </w:tr>
      <w:tr w:rsidR="004348D8" w:rsidRPr="004666B8" w:rsidTr="00372296">
        <w:tc>
          <w:tcPr>
            <w:tcW w:w="3275" w:type="dxa"/>
          </w:tcPr>
          <w:p w:rsidR="004348D8" w:rsidRDefault="004348D8" w:rsidP="00372296">
            <w:pPr>
              <w:pStyle w:val="tabletext"/>
              <w:tabs>
                <w:tab w:val="left" w:pos="2805"/>
              </w:tabs>
            </w:pPr>
            <w:r>
              <w:t>The additional FTC for non-transport gaseous fuel used in specified agriculture, forestry and fisheries activities is removed</w:t>
            </w:r>
            <w:r w:rsidR="00D5237C">
              <w:t xml:space="preserve">.  </w:t>
            </w:r>
          </w:p>
          <w:p w:rsidR="0076569A" w:rsidRDefault="0076569A" w:rsidP="00372296">
            <w:pPr>
              <w:pStyle w:val="tabletext"/>
              <w:tabs>
                <w:tab w:val="left" w:pos="2805"/>
              </w:tabs>
            </w:pPr>
            <w:r>
              <w:t>This additional FTC was provided to compensate those users for the carbon tax that was passed though in the cost of non</w:t>
            </w:r>
            <w:r>
              <w:noBreakHyphen/>
              <w:t>transport gaseous fuels.</w:t>
            </w:r>
          </w:p>
        </w:tc>
        <w:tc>
          <w:tcPr>
            <w:tcW w:w="3276" w:type="dxa"/>
          </w:tcPr>
          <w:p w:rsidR="004348D8" w:rsidRDefault="004348D8" w:rsidP="00372296">
            <w:pPr>
              <w:pStyle w:val="tabletext"/>
            </w:pPr>
            <w:r>
              <w:t>An additional FTC is available for non</w:t>
            </w:r>
            <w:r>
              <w:noBreakHyphen/>
              <w:t>transport gaseous fuel used in specified agriculture, forestry and fisheries activities.</w:t>
            </w:r>
          </w:p>
        </w:tc>
      </w:tr>
      <w:tr w:rsidR="004348D8" w:rsidRPr="004666B8" w:rsidTr="00372296">
        <w:tc>
          <w:tcPr>
            <w:tcW w:w="3275" w:type="dxa"/>
          </w:tcPr>
          <w:p w:rsidR="004348D8" w:rsidRDefault="004348D8" w:rsidP="00372296">
            <w:pPr>
              <w:pStyle w:val="tabletext"/>
              <w:tabs>
                <w:tab w:val="left" w:pos="2805"/>
              </w:tabs>
            </w:pPr>
            <w:r>
              <w:t>No FTCs are available for aviation fuel.</w:t>
            </w:r>
          </w:p>
        </w:tc>
        <w:tc>
          <w:tcPr>
            <w:tcW w:w="3276" w:type="dxa"/>
          </w:tcPr>
          <w:p w:rsidR="004348D8" w:rsidRDefault="004348D8" w:rsidP="00372296">
            <w:pPr>
              <w:pStyle w:val="tabletext"/>
            </w:pPr>
            <w:r>
              <w:t>A FTC is available for aviation fuel covered by the Opt-in scheme.</w:t>
            </w:r>
          </w:p>
        </w:tc>
      </w:tr>
    </w:tbl>
    <w:p w:rsidR="00EA0FD6" w:rsidRDefault="00EA0FD6" w:rsidP="00372296">
      <w:pPr>
        <w:pStyle w:val="Heading2"/>
      </w:pPr>
      <w:r>
        <w:t>Detailed explanation of new law</w:t>
      </w:r>
    </w:p>
    <w:p w:rsidR="00CA45C2" w:rsidRDefault="00CA45C2" w:rsidP="00CA45C2">
      <w:pPr>
        <w:pStyle w:val="Heading3"/>
      </w:pPr>
      <w:r w:rsidRPr="00CA45C2">
        <w:t>Increases to FTCs for certain uses of taxable fuel</w:t>
      </w:r>
    </w:p>
    <w:p w:rsidR="00CA45C2" w:rsidRDefault="00CA45C2" w:rsidP="008D2D55">
      <w:pPr>
        <w:pStyle w:val="base-text-paragraph"/>
        <w:numPr>
          <w:ilvl w:val="1"/>
          <w:numId w:val="25"/>
        </w:numPr>
      </w:pPr>
      <w:r>
        <w:t xml:space="preserve">To implement an </w:t>
      </w:r>
      <w:r w:rsidR="00B43295">
        <w:t>equivalent carbon</w:t>
      </w:r>
      <w:r>
        <w:t xml:space="preserve"> price on certain uses of taxable fuel, FTCs were reduced for some recipients with effect from 1</w:t>
      </w:r>
      <w:r w:rsidR="00885060">
        <w:t> July </w:t>
      </w:r>
      <w:r>
        <w:t>2012</w:t>
      </w:r>
      <w:r w:rsidR="00D5237C">
        <w:t xml:space="preserve">.  </w:t>
      </w:r>
      <w:r w:rsidRPr="004776BF">
        <w:t xml:space="preserve">However, </w:t>
      </w:r>
      <w:r>
        <w:t>specified</w:t>
      </w:r>
      <w:r w:rsidRPr="004776BF">
        <w:t xml:space="preserve"> uses of fuel were exempt from the </w:t>
      </w:r>
      <w:r w:rsidR="00B43295">
        <w:t>equivalent carbon</w:t>
      </w:r>
      <w:r w:rsidRPr="004776BF">
        <w:t xml:space="preserve"> price</w:t>
      </w:r>
      <w:r w:rsidR="00D5237C">
        <w:t xml:space="preserve">.  </w:t>
      </w:r>
      <w:r w:rsidRPr="004776BF">
        <w:t xml:space="preserve">For example, there was no reduction in FTCs for </w:t>
      </w:r>
      <w:r>
        <w:t>business</w:t>
      </w:r>
      <w:r w:rsidRPr="004776BF">
        <w:t xml:space="preserve"> </w:t>
      </w:r>
      <w:r>
        <w:t xml:space="preserve">users of </w:t>
      </w:r>
      <w:r w:rsidRPr="004776BF">
        <w:t>fuel in heavy vehicles travelling on public roads</w:t>
      </w:r>
      <w:r w:rsidR="0076569A">
        <w:t xml:space="preserve"> or for fuel used otherwise than by combustion</w:t>
      </w:r>
      <w:r w:rsidR="00D5237C">
        <w:t xml:space="preserve">.  </w:t>
      </w:r>
      <w:r w:rsidRPr="004776BF">
        <w:t>Fuel used in specified agriculture, forestry and fisheries activities was also exempt from the equivalent carbon price.</w:t>
      </w:r>
    </w:p>
    <w:p w:rsidR="00CA45C2" w:rsidRDefault="00CA45C2" w:rsidP="008D2D55">
      <w:pPr>
        <w:pStyle w:val="base-text-paragraph"/>
        <w:numPr>
          <w:ilvl w:val="1"/>
          <w:numId w:val="25"/>
        </w:numPr>
      </w:pPr>
      <w:r>
        <w:t xml:space="preserve">The amount of the reduction in FTCs </w:t>
      </w:r>
      <w:r w:rsidR="0076569A">
        <w:t xml:space="preserve">to remove the carbon reduction from </w:t>
      </w:r>
      <w:r>
        <w:t>taxable fuels subject to the equivalent carbon price is called the ‘</w:t>
      </w:r>
      <w:r w:rsidR="00E125FA">
        <w:t xml:space="preserve">amount of </w:t>
      </w:r>
      <w:r>
        <w:t>carbon reduction’</w:t>
      </w:r>
      <w:r w:rsidR="00D5237C">
        <w:t xml:space="preserve">.  </w:t>
      </w:r>
      <w:r>
        <w:t>The amount of carbon reduction is different for different fuel types, reflecting the different emission rates for different fuels</w:t>
      </w:r>
      <w:r w:rsidR="00D5237C">
        <w:t xml:space="preserve">.  </w:t>
      </w:r>
    </w:p>
    <w:p w:rsidR="00EA0FD6" w:rsidRPr="00742B27" w:rsidRDefault="00CA45C2" w:rsidP="008D2D55">
      <w:pPr>
        <w:pStyle w:val="base-text-paragraph"/>
        <w:numPr>
          <w:ilvl w:val="1"/>
          <w:numId w:val="25"/>
        </w:numPr>
        <w:rPr>
          <w:rStyle w:val="Referencingstyle"/>
          <w:b w:val="0"/>
          <w:i w:val="0"/>
          <w:sz w:val="22"/>
        </w:rPr>
      </w:pPr>
      <w:r>
        <w:t xml:space="preserve">These amendments increase FTCs for taxable fuel </w:t>
      </w:r>
      <w:r w:rsidR="00E125FA">
        <w:t>that was subject to the equivalent carbon price through a reduction in FTCs</w:t>
      </w:r>
      <w:r w:rsidR="00D5237C">
        <w:t xml:space="preserve">.  </w:t>
      </w:r>
      <w:r w:rsidR="003308B4">
        <w:t>For </w:t>
      </w:r>
      <w:r>
        <w:t>these recipients, FTCs are increased by the applicable amount of carbon reduction</w:t>
      </w:r>
      <w:r w:rsidR="00D5237C">
        <w:t xml:space="preserve">.  </w:t>
      </w:r>
      <w:r>
        <w:t xml:space="preserve">This ensures that FTCs for fuel use subject to the </w:t>
      </w:r>
      <w:r w:rsidR="00B43295">
        <w:t>equivalent carbon</w:t>
      </w:r>
      <w:r>
        <w:t xml:space="preserve"> price are restored </w:t>
      </w:r>
      <w:r w:rsidR="00E125FA">
        <w:t>to what they would have been had the carbon tax not been implemented</w:t>
      </w:r>
      <w:r w:rsidR="00D5237C">
        <w:t xml:space="preserve">.  </w:t>
      </w:r>
      <w:r>
        <w:t xml:space="preserve">The current and new FTC </w:t>
      </w:r>
      <w:r w:rsidRPr="00254FBB">
        <w:t xml:space="preserve">rates are set out below for taxable fuels subject to the </w:t>
      </w:r>
      <w:r w:rsidR="00B43295">
        <w:t>equivalent carbon</w:t>
      </w:r>
      <w:r w:rsidRPr="00254FBB">
        <w:t xml:space="preserve"> price</w:t>
      </w:r>
      <w:r w:rsidR="00D5237C">
        <w:t xml:space="preserve">.  </w:t>
      </w:r>
      <w:r w:rsidR="002E0BB2" w:rsidRPr="00254FBB">
        <w:rPr>
          <w:rStyle w:val="Referencingstyle"/>
        </w:rPr>
        <w:t>[Schedule 1, items 121, 122 and 123</w:t>
      </w:r>
      <w:r w:rsidR="00D5237C">
        <w:rPr>
          <w:rStyle w:val="Referencingstyle"/>
        </w:rPr>
        <w:t xml:space="preserve">, </w:t>
      </w:r>
      <w:r w:rsidR="002E0BB2" w:rsidRPr="00254FBB">
        <w:rPr>
          <w:rStyle w:val="Referencingstyle"/>
        </w:rPr>
        <w:t>sections 43-</w:t>
      </w:r>
      <w:r w:rsidR="002E0BB2">
        <w:rPr>
          <w:rStyle w:val="Referencingstyle"/>
        </w:rPr>
        <w:t>5 and 43-8, Fuel Tax Act]</w:t>
      </w:r>
    </w:p>
    <w:p w:rsidR="00742B27" w:rsidRDefault="007B5409" w:rsidP="007B5409">
      <w:pPr>
        <w:pStyle w:val="TableHeadingoutsidetable"/>
        <w:numPr>
          <w:ilvl w:val="0"/>
          <w:numId w:val="0"/>
        </w:numPr>
        <w:ind w:left="1134"/>
      </w:pPr>
      <w:r>
        <w:t>Table 5.1</w:t>
      </w:r>
      <w:r>
        <w:tab/>
      </w:r>
      <w:r w:rsidR="0076569A">
        <w:t>Changes in rates of FTCs for liquid fuels</w:t>
      </w:r>
    </w:p>
    <w:tbl>
      <w:tblPr>
        <w:tblStyle w:val="TableGrid"/>
        <w:tblW w:w="6710" w:type="dxa"/>
        <w:tblInd w:w="1242" w:type="dxa"/>
        <w:tblLook w:val="04A0" w:firstRow="1" w:lastRow="0" w:firstColumn="1" w:lastColumn="0" w:noHBand="0" w:noVBand="1"/>
      </w:tblPr>
      <w:tblGrid>
        <w:gridCol w:w="1981"/>
        <w:gridCol w:w="1576"/>
        <w:gridCol w:w="1576"/>
        <w:gridCol w:w="1577"/>
      </w:tblGrid>
      <w:tr w:rsidR="00742B27" w:rsidRPr="00742B27" w:rsidTr="000F0298">
        <w:tc>
          <w:tcPr>
            <w:tcW w:w="1981" w:type="dxa"/>
          </w:tcPr>
          <w:p w:rsidR="00742B27" w:rsidRPr="00742B27" w:rsidRDefault="00742B27" w:rsidP="00742B27">
            <w:pPr>
              <w:pStyle w:val="tableheaderwithintable"/>
            </w:pPr>
            <w:r>
              <w:t>Use</w:t>
            </w:r>
          </w:p>
        </w:tc>
        <w:tc>
          <w:tcPr>
            <w:tcW w:w="1576" w:type="dxa"/>
          </w:tcPr>
          <w:p w:rsidR="00742B27" w:rsidRPr="00742B27" w:rsidRDefault="00742B27" w:rsidP="00742B27">
            <w:pPr>
              <w:pStyle w:val="tableheaderwithintable"/>
            </w:pPr>
            <w:r>
              <w:t>Eligible liquid fuel</w:t>
            </w:r>
          </w:p>
        </w:tc>
        <w:tc>
          <w:tcPr>
            <w:tcW w:w="1576" w:type="dxa"/>
          </w:tcPr>
          <w:p w:rsidR="00742B27" w:rsidRPr="00742B27" w:rsidRDefault="00742B27" w:rsidP="00742B27">
            <w:pPr>
              <w:pStyle w:val="tableheaderwithintable"/>
            </w:pPr>
            <w:r>
              <w:t>FTCs at 1 July 2013 (cents per litre)</w:t>
            </w:r>
          </w:p>
        </w:tc>
        <w:tc>
          <w:tcPr>
            <w:tcW w:w="1577" w:type="dxa"/>
          </w:tcPr>
          <w:p w:rsidR="00742B27" w:rsidRPr="00742B27" w:rsidRDefault="00742B27" w:rsidP="00742B27">
            <w:pPr>
              <w:pStyle w:val="tableheaderwithintable"/>
            </w:pPr>
            <w:r>
              <w:t>FTCs at 1 July 2014 (cents per litre)</w:t>
            </w:r>
          </w:p>
        </w:tc>
      </w:tr>
      <w:tr w:rsidR="0076569A" w:rsidRPr="00742B27" w:rsidTr="000F0298">
        <w:tc>
          <w:tcPr>
            <w:tcW w:w="1981" w:type="dxa"/>
            <w:vMerge w:val="restart"/>
          </w:tcPr>
          <w:p w:rsidR="0076569A" w:rsidRPr="003A4BBD" w:rsidRDefault="0076569A" w:rsidP="00742B27">
            <w:pPr>
              <w:pStyle w:val="Baseparagraphcentred"/>
              <w:ind w:left="0"/>
              <w:jc w:val="left"/>
              <w:rPr>
                <w:sz w:val="20"/>
              </w:rPr>
            </w:pPr>
            <w:r w:rsidRPr="003A4BBD">
              <w:rPr>
                <w:sz w:val="20"/>
              </w:rPr>
              <w:t>Off-road business activities where the fuel is combusted (except for specified agriculture, forestry and fisheries activities</w:t>
            </w:r>
            <w:r w:rsidR="009F0446">
              <w:rPr>
                <w:sz w:val="20"/>
              </w:rPr>
              <w:t>)</w:t>
            </w:r>
            <w:r w:rsidR="005D4671">
              <w:rPr>
                <w:sz w:val="20"/>
              </w:rPr>
              <w:t>.</w:t>
            </w:r>
          </w:p>
        </w:tc>
        <w:tc>
          <w:tcPr>
            <w:tcW w:w="1576" w:type="dxa"/>
          </w:tcPr>
          <w:p w:rsidR="0076569A" w:rsidRPr="003A4BBD" w:rsidRDefault="0076569A" w:rsidP="00742B27">
            <w:pPr>
              <w:pStyle w:val="Baseparagraphcentred"/>
              <w:ind w:left="58" w:firstLine="3"/>
              <w:jc w:val="left"/>
              <w:rPr>
                <w:sz w:val="20"/>
              </w:rPr>
            </w:pPr>
            <w:r w:rsidRPr="003A4BBD">
              <w:rPr>
                <w:sz w:val="20"/>
              </w:rPr>
              <w:t>Petrol</w:t>
            </w:r>
          </w:p>
        </w:tc>
        <w:tc>
          <w:tcPr>
            <w:tcW w:w="1576" w:type="dxa"/>
          </w:tcPr>
          <w:p w:rsidR="0076569A" w:rsidRPr="003A4BBD" w:rsidRDefault="0076569A" w:rsidP="00742B27">
            <w:pPr>
              <w:pStyle w:val="Baseparagraphcentred"/>
              <w:ind w:left="0"/>
              <w:rPr>
                <w:sz w:val="20"/>
              </w:rPr>
            </w:pPr>
            <w:r w:rsidRPr="003A4BBD">
              <w:rPr>
                <w:sz w:val="20"/>
              </w:rPr>
              <w:t>32.347</w:t>
            </w:r>
          </w:p>
        </w:tc>
        <w:tc>
          <w:tcPr>
            <w:tcW w:w="1577" w:type="dxa"/>
          </w:tcPr>
          <w:p w:rsidR="0076569A" w:rsidRPr="003A4BBD" w:rsidRDefault="0076569A" w:rsidP="00382FC2">
            <w:pPr>
              <w:pStyle w:val="Baseparagraphcentred"/>
              <w:ind w:left="0"/>
              <w:rPr>
                <w:sz w:val="20"/>
              </w:rPr>
            </w:pPr>
            <w:r>
              <w:rPr>
                <w:sz w:val="20"/>
              </w:rPr>
              <w:t>38.143</w:t>
            </w:r>
          </w:p>
        </w:tc>
      </w:tr>
      <w:tr w:rsidR="0076569A" w:rsidRPr="00742B27" w:rsidTr="000F0298">
        <w:tc>
          <w:tcPr>
            <w:tcW w:w="1981" w:type="dxa"/>
            <w:vMerge/>
          </w:tcPr>
          <w:p w:rsidR="0076569A" w:rsidRPr="003A4BBD" w:rsidRDefault="0076569A" w:rsidP="00742B27">
            <w:pPr>
              <w:pStyle w:val="Baseparagraphcentred"/>
              <w:ind w:left="0"/>
              <w:rPr>
                <w:sz w:val="20"/>
              </w:rPr>
            </w:pPr>
          </w:p>
        </w:tc>
        <w:tc>
          <w:tcPr>
            <w:tcW w:w="1576" w:type="dxa"/>
          </w:tcPr>
          <w:p w:rsidR="0076569A" w:rsidRPr="003A4BBD" w:rsidRDefault="0076569A" w:rsidP="00742B27">
            <w:pPr>
              <w:pStyle w:val="Baseparagraphcentred"/>
              <w:ind w:left="58" w:firstLine="3"/>
              <w:jc w:val="left"/>
              <w:rPr>
                <w:sz w:val="20"/>
              </w:rPr>
            </w:pPr>
            <w:r w:rsidRPr="003A4BBD">
              <w:rPr>
                <w:sz w:val="20"/>
              </w:rPr>
              <w:t>Diesel and other liquid fuels</w:t>
            </w:r>
          </w:p>
        </w:tc>
        <w:tc>
          <w:tcPr>
            <w:tcW w:w="1576" w:type="dxa"/>
          </w:tcPr>
          <w:p w:rsidR="0076569A" w:rsidRPr="003A4BBD" w:rsidRDefault="0076569A" w:rsidP="00742B27">
            <w:pPr>
              <w:pStyle w:val="Baseparagraphcentred"/>
              <w:ind w:left="0"/>
              <w:rPr>
                <w:sz w:val="20"/>
              </w:rPr>
            </w:pPr>
            <w:r w:rsidRPr="003A4BBD">
              <w:rPr>
                <w:sz w:val="20"/>
              </w:rPr>
              <w:t>31.622</w:t>
            </w:r>
          </w:p>
        </w:tc>
        <w:tc>
          <w:tcPr>
            <w:tcW w:w="1577" w:type="dxa"/>
          </w:tcPr>
          <w:p w:rsidR="0076569A" w:rsidRPr="003A4BBD" w:rsidRDefault="0076569A" w:rsidP="00382FC2">
            <w:pPr>
              <w:pStyle w:val="Baseparagraphcentred"/>
              <w:ind w:left="0"/>
              <w:rPr>
                <w:sz w:val="20"/>
              </w:rPr>
            </w:pPr>
            <w:r>
              <w:rPr>
                <w:sz w:val="20"/>
              </w:rPr>
              <w:t>38.143</w:t>
            </w:r>
          </w:p>
        </w:tc>
      </w:tr>
      <w:tr w:rsidR="0076569A" w:rsidRPr="00742B27" w:rsidTr="000F0298">
        <w:tc>
          <w:tcPr>
            <w:tcW w:w="1981" w:type="dxa"/>
          </w:tcPr>
          <w:p w:rsidR="0076569A" w:rsidRPr="003A4BBD" w:rsidRDefault="0076569A" w:rsidP="00742B27">
            <w:pPr>
              <w:pStyle w:val="Baseparagraphcentred"/>
              <w:ind w:left="0"/>
              <w:jc w:val="left"/>
              <w:rPr>
                <w:sz w:val="20"/>
              </w:rPr>
            </w:pPr>
            <w:r w:rsidRPr="003A4BBD">
              <w:rPr>
                <w:sz w:val="20"/>
              </w:rPr>
              <w:t>Supply of fuel for domestic heating</w:t>
            </w:r>
            <w:r w:rsidR="005D4671">
              <w:rPr>
                <w:sz w:val="20"/>
              </w:rPr>
              <w:t>.</w:t>
            </w:r>
          </w:p>
        </w:tc>
        <w:tc>
          <w:tcPr>
            <w:tcW w:w="1576" w:type="dxa"/>
          </w:tcPr>
          <w:p w:rsidR="0076569A" w:rsidRPr="003A4BBD" w:rsidRDefault="0076569A" w:rsidP="00742B27">
            <w:pPr>
              <w:pStyle w:val="Baseparagraphcentred"/>
              <w:ind w:left="58" w:firstLine="3"/>
              <w:jc w:val="left"/>
              <w:rPr>
                <w:sz w:val="20"/>
              </w:rPr>
            </w:pPr>
            <w:r w:rsidRPr="003A4BBD">
              <w:rPr>
                <w:sz w:val="20"/>
              </w:rPr>
              <w:t>Heating oil and kerosene</w:t>
            </w:r>
          </w:p>
        </w:tc>
        <w:tc>
          <w:tcPr>
            <w:tcW w:w="1576" w:type="dxa"/>
          </w:tcPr>
          <w:p w:rsidR="0076569A" w:rsidRPr="003A4BBD" w:rsidRDefault="0076569A" w:rsidP="00742B27">
            <w:pPr>
              <w:pStyle w:val="Baseparagraphcentred"/>
              <w:ind w:left="0"/>
              <w:rPr>
                <w:sz w:val="20"/>
              </w:rPr>
            </w:pPr>
            <w:r w:rsidRPr="003A4BBD">
              <w:rPr>
                <w:sz w:val="20"/>
              </w:rPr>
              <w:t>31.622</w:t>
            </w:r>
          </w:p>
        </w:tc>
        <w:tc>
          <w:tcPr>
            <w:tcW w:w="1577" w:type="dxa"/>
          </w:tcPr>
          <w:p w:rsidR="0076569A" w:rsidRPr="003A4BBD" w:rsidRDefault="0076569A" w:rsidP="00382FC2">
            <w:pPr>
              <w:pStyle w:val="Baseparagraphcentred"/>
              <w:ind w:left="0"/>
              <w:rPr>
                <w:sz w:val="20"/>
              </w:rPr>
            </w:pPr>
            <w:r>
              <w:rPr>
                <w:sz w:val="20"/>
              </w:rPr>
              <w:t>38.143</w:t>
            </w:r>
          </w:p>
        </w:tc>
      </w:tr>
    </w:tbl>
    <w:p w:rsidR="00046811" w:rsidRDefault="007B5409" w:rsidP="007B5409">
      <w:pPr>
        <w:pStyle w:val="TableHeadingoutsidetable"/>
        <w:numPr>
          <w:ilvl w:val="0"/>
          <w:numId w:val="0"/>
        </w:numPr>
        <w:ind w:left="1134"/>
      </w:pPr>
      <w:r>
        <w:t>Table 5.2</w:t>
      </w:r>
      <w:r>
        <w:tab/>
      </w:r>
      <w:r w:rsidR="0076569A">
        <w:t>Changes in rates of FTCs for gaseous fuels</w:t>
      </w:r>
    </w:p>
    <w:tbl>
      <w:tblPr>
        <w:tblStyle w:val="TableGrid"/>
        <w:tblW w:w="6663" w:type="dxa"/>
        <w:tblInd w:w="1242" w:type="dxa"/>
        <w:tblLook w:val="04A0" w:firstRow="1" w:lastRow="0" w:firstColumn="1" w:lastColumn="0" w:noHBand="0" w:noVBand="1"/>
      </w:tblPr>
      <w:tblGrid>
        <w:gridCol w:w="1985"/>
        <w:gridCol w:w="1559"/>
        <w:gridCol w:w="1559"/>
        <w:gridCol w:w="1560"/>
      </w:tblGrid>
      <w:tr w:rsidR="00742B27" w:rsidRPr="00742B27" w:rsidTr="000F0298">
        <w:tc>
          <w:tcPr>
            <w:tcW w:w="1985" w:type="dxa"/>
          </w:tcPr>
          <w:p w:rsidR="00742B27" w:rsidRPr="00742B27" w:rsidRDefault="00742B27" w:rsidP="00372296">
            <w:pPr>
              <w:pStyle w:val="tableheaderwithintable"/>
            </w:pPr>
            <w:r>
              <w:t>Use</w:t>
            </w:r>
          </w:p>
        </w:tc>
        <w:tc>
          <w:tcPr>
            <w:tcW w:w="1559" w:type="dxa"/>
          </w:tcPr>
          <w:p w:rsidR="00742B27" w:rsidRPr="00742B27" w:rsidRDefault="00742B27" w:rsidP="00046811">
            <w:pPr>
              <w:pStyle w:val="tableheaderwithintable"/>
            </w:pPr>
            <w:r>
              <w:t xml:space="preserve">Eligible </w:t>
            </w:r>
            <w:r w:rsidR="00046811">
              <w:t>gaseous</w:t>
            </w:r>
            <w:r>
              <w:t xml:space="preserve"> fuel</w:t>
            </w:r>
          </w:p>
        </w:tc>
        <w:tc>
          <w:tcPr>
            <w:tcW w:w="1559" w:type="dxa"/>
          </w:tcPr>
          <w:p w:rsidR="00742B27" w:rsidRPr="00742B27" w:rsidRDefault="00742B27" w:rsidP="0076569A">
            <w:pPr>
              <w:pStyle w:val="tableheaderwithintable"/>
            </w:pPr>
            <w:r>
              <w:t xml:space="preserve">FTCs at 1 July 2013 </w:t>
            </w:r>
          </w:p>
        </w:tc>
        <w:tc>
          <w:tcPr>
            <w:tcW w:w="1560" w:type="dxa"/>
          </w:tcPr>
          <w:p w:rsidR="00742B27" w:rsidRPr="00742B27" w:rsidRDefault="00742B27" w:rsidP="0076569A">
            <w:pPr>
              <w:pStyle w:val="tableheaderwithintable"/>
            </w:pPr>
            <w:r>
              <w:t>FTCs at 1 July 2014</w:t>
            </w:r>
          </w:p>
        </w:tc>
      </w:tr>
      <w:tr w:rsidR="0076569A" w:rsidRPr="00742B27" w:rsidTr="000F0298">
        <w:tc>
          <w:tcPr>
            <w:tcW w:w="1985" w:type="dxa"/>
            <w:vMerge w:val="restart"/>
          </w:tcPr>
          <w:p w:rsidR="0076569A" w:rsidRPr="003A4BBD" w:rsidRDefault="0076569A" w:rsidP="00372296">
            <w:pPr>
              <w:pStyle w:val="Baseparagraphcentred"/>
              <w:ind w:left="0"/>
              <w:jc w:val="left"/>
              <w:rPr>
                <w:sz w:val="20"/>
              </w:rPr>
            </w:pPr>
            <w:r w:rsidRPr="003A4BBD">
              <w:rPr>
                <w:sz w:val="20"/>
              </w:rPr>
              <w:t>Off-road business activities where the fuel is combusted (except for specified agriculture, forestry and fisheries activities</w:t>
            </w:r>
            <w:r w:rsidR="009F0446">
              <w:rPr>
                <w:sz w:val="20"/>
              </w:rPr>
              <w:t>)</w:t>
            </w:r>
            <w:r w:rsidR="005D4671">
              <w:rPr>
                <w:sz w:val="20"/>
              </w:rPr>
              <w:t>.</w:t>
            </w:r>
          </w:p>
        </w:tc>
        <w:tc>
          <w:tcPr>
            <w:tcW w:w="1559" w:type="dxa"/>
          </w:tcPr>
          <w:p w:rsidR="0076569A" w:rsidRPr="003A4BBD" w:rsidRDefault="0076569A" w:rsidP="00372296">
            <w:pPr>
              <w:pStyle w:val="Baseparagraphcentred"/>
              <w:ind w:left="58" w:firstLine="3"/>
              <w:jc w:val="left"/>
              <w:rPr>
                <w:sz w:val="20"/>
              </w:rPr>
            </w:pPr>
            <w:r w:rsidRPr="003A4BBD">
              <w:rPr>
                <w:sz w:val="20"/>
              </w:rPr>
              <w:t>Duty paid LPG – transport</w:t>
            </w:r>
          </w:p>
        </w:tc>
        <w:tc>
          <w:tcPr>
            <w:tcW w:w="1559" w:type="dxa"/>
          </w:tcPr>
          <w:p w:rsidR="0076569A" w:rsidRPr="003A4BBD" w:rsidRDefault="0076569A" w:rsidP="00372296">
            <w:pPr>
              <w:pStyle w:val="Baseparagraphcentred"/>
              <w:ind w:left="0"/>
              <w:rPr>
                <w:sz w:val="20"/>
              </w:rPr>
            </w:pPr>
            <w:r w:rsidRPr="003A4BBD">
              <w:rPr>
                <w:sz w:val="20"/>
              </w:rPr>
              <w:t>3.636 cents per litre</w:t>
            </w:r>
          </w:p>
        </w:tc>
        <w:tc>
          <w:tcPr>
            <w:tcW w:w="1560" w:type="dxa"/>
          </w:tcPr>
          <w:p w:rsidR="0076569A" w:rsidRPr="00184A67" w:rsidRDefault="0076569A" w:rsidP="00382FC2">
            <w:pPr>
              <w:pStyle w:val="Baseparagraphcentred"/>
              <w:ind w:left="0"/>
              <w:rPr>
                <w:sz w:val="20"/>
              </w:rPr>
            </w:pPr>
            <w:r w:rsidRPr="00184A67">
              <w:rPr>
                <w:sz w:val="20"/>
              </w:rPr>
              <w:t>10.0 cents per litre</w:t>
            </w:r>
          </w:p>
        </w:tc>
      </w:tr>
      <w:tr w:rsidR="0076569A" w:rsidRPr="00742B27" w:rsidTr="000F0298">
        <w:tc>
          <w:tcPr>
            <w:tcW w:w="1985" w:type="dxa"/>
            <w:vMerge/>
          </w:tcPr>
          <w:p w:rsidR="0076569A" w:rsidRPr="003A4BBD" w:rsidRDefault="0076569A" w:rsidP="00372296">
            <w:pPr>
              <w:pStyle w:val="Baseparagraphcentred"/>
              <w:ind w:left="0"/>
              <w:rPr>
                <w:sz w:val="20"/>
              </w:rPr>
            </w:pPr>
          </w:p>
        </w:tc>
        <w:tc>
          <w:tcPr>
            <w:tcW w:w="1559" w:type="dxa"/>
          </w:tcPr>
          <w:p w:rsidR="0076569A" w:rsidRPr="003A4BBD" w:rsidRDefault="0076569A" w:rsidP="00372296">
            <w:pPr>
              <w:pStyle w:val="Baseparagraphcentred"/>
              <w:ind w:left="58" w:firstLine="3"/>
              <w:jc w:val="left"/>
              <w:rPr>
                <w:sz w:val="20"/>
              </w:rPr>
            </w:pPr>
            <w:r w:rsidRPr="003A4BBD">
              <w:rPr>
                <w:sz w:val="20"/>
              </w:rPr>
              <w:t>Duty paid LNG or CNG – transport</w:t>
            </w:r>
          </w:p>
        </w:tc>
        <w:tc>
          <w:tcPr>
            <w:tcW w:w="1559" w:type="dxa"/>
          </w:tcPr>
          <w:p w:rsidR="0076569A" w:rsidRPr="003A4BBD" w:rsidRDefault="0076569A" w:rsidP="00372296">
            <w:pPr>
              <w:pStyle w:val="Baseparagraphcentred"/>
              <w:ind w:left="0"/>
              <w:rPr>
                <w:sz w:val="20"/>
              </w:rPr>
            </w:pPr>
            <w:r w:rsidRPr="003A4BBD">
              <w:rPr>
                <w:sz w:val="20"/>
              </w:rPr>
              <w:t>8.666 cents per kilogram</w:t>
            </w:r>
          </w:p>
        </w:tc>
        <w:tc>
          <w:tcPr>
            <w:tcW w:w="1560" w:type="dxa"/>
          </w:tcPr>
          <w:p w:rsidR="0076569A" w:rsidRPr="00184A67" w:rsidRDefault="0076569A" w:rsidP="00382FC2">
            <w:pPr>
              <w:pStyle w:val="Baseparagraphcentred"/>
              <w:ind w:left="0"/>
              <w:rPr>
                <w:sz w:val="20"/>
              </w:rPr>
            </w:pPr>
            <w:r w:rsidRPr="00184A67">
              <w:rPr>
                <w:sz w:val="20"/>
              </w:rPr>
              <w:t>20.9 cents per kilogram</w:t>
            </w:r>
          </w:p>
        </w:tc>
      </w:tr>
      <w:tr w:rsidR="0076569A" w:rsidRPr="00742B27" w:rsidTr="000F0298">
        <w:tc>
          <w:tcPr>
            <w:tcW w:w="1985" w:type="dxa"/>
          </w:tcPr>
          <w:p w:rsidR="0076569A" w:rsidRPr="003A4BBD" w:rsidRDefault="0076569A" w:rsidP="00046811">
            <w:pPr>
              <w:pStyle w:val="Baseparagraphcentred"/>
              <w:ind w:left="0"/>
              <w:jc w:val="left"/>
              <w:rPr>
                <w:sz w:val="20"/>
              </w:rPr>
            </w:pPr>
            <w:r w:rsidRPr="003A4BBD">
              <w:rPr>
                <w:sz w:val="20"/>
              </w:rPr>
              <w:t>Supplying LPG:</w:t>
            </w:r>
          </w:p>
          <w:p w:rsidR="0076569A" w:rsidRPr="003A4BBD" w:rsidRDefault="0076569A" w:rsidP="00046811">
            <w:pPr>
              <w:pStyle w:val="tabledotpoint"/>
            </w:pPr>
            <w:r w:rsidRPr="003A4BBD">
              <w:t>by filling cylinders of 210kg capacity or less for non-transport use; and</w:t>
            </w:r>
          </w:p>
          <w:p w:rsidR="0076569A" w:rsidRPr="003A4BBD" w:rsidRDefault="0076569A" w:rsidP="00046811">
            <w:pPr>
              <w:pStyle w:val="tabledotpoint"/>
            </w:pPr>
            <w:r w:rsidRPr="003A4BBD">
              <w:t>in tanks for residential use</w:t>
            </w:r>
          </w:p>
        </w:tc>
        <w:tc>
          <w:tcPr>
            <w:tcW w:w="1559" w:type="dxa"/>
          </w:tcPr>
          <w:p w:rsidR="0076569A" w:rsidRPr="003A4BBD" w:rsidRDefault="0076569A" w:rsidP="00372296">
            <w:pPr>
              <w:pStyle w:val="Baseparagraphcentred"/>
              <w:ind w:left="58" w:firstLine="3"/>
              <w:jc w:val="left"/>
              <w:rPr>
                <w:sz w:val="20"/>
              </w:rPr>
            </w:pPr>
            <w:r w:rsidRPr="003A4BBD">
              <w:rPr>
                <w:sz w:val="20"/>
              </w:rPr>
              <w:t>Duty paid LPG – transport</w:t>
            </w:r>
          </w:p>
        </w:tc>
        <w:tc>
          <w:tcPr>
            <w:tcW w:w="1559" w:type="dxa"/>
          </w:tcPr>
          <w:p w:rsidR="0076569A" w:rsidRPr="003A4BBD" w:rsidRDefault="0076569A" w:rsidP="00372296">
            <w:pPr>
              <w:pStyle w:val="Baseparagraphcentred"/>
              <w:ind w:left="0"/>
              <w:rPr>
                <w:sz w:val="20"/>
              </w:rPr>
            </w:pPr>
            <w:r w:rsidRPr="003A4BBD">
              <w:rPr>
                <w:sz w:val="20"/>
              </w:rPr>
              <w:t>3.636 cents per litre</w:t>
            </w:r>
          </w:p>
        </w:tc>
        <w:tc>
          <w:tcPr>
            <w:tcW w:w="1560" w:type="dxa"/>
          </w:tcPr>
          <w:p w:rsidR="0076569A" w:rsidRPr="00184A67" w:rsidRDefault="00FF0AAF" w:rsidP="00FF0AAF">
            <w:pPr>
              <w:pStyle w:val="Baseparagraphcentred"/>
              <w:numPr>
                <w:ilvl w:val="0"/>
                <w:numId w:val="23"/>
              </w:numPr>
              <w:jc w:val="left"/>
              <w:rPr>
                <w:sz w:val="20"/>
              </w:rPr>
            </w:pPr>
            <w:r>
              <w:rPr>
                <w:sz w:val="20"/>
              </w:rPr>
              <w:t xml:space="preserve"> </w:t>
            </w:r>
            <w:r w:rsidR="0076569A" w:rsidRPr="00184A67">
              <w:rPr>
                <w:sz w:val="20"/>
              </w:rPr>
              <w:t>cents per litre</w:t>
            </w:r>
          </w:p>
        </w:tc>
      </w:tr>
    </w:tbl>
    <w:p w:rsidR="005B638D" w:rsidRDefault="005B638D">
      <w:pPr>
        <w:spacing w:before="0" w:after="0"/>
        <w:rPr>
          <w:b/>
        </w:rPr>
      </w:pPr>
    </w:p>
    <w:p w:rsidR="00742B27" w:rsidRDefault="007B5409" w:rsidP="007B5409">
      <w:pPr>
        <w:pStyle w:val="TableHeadingoutsidetable"/>
        <w:numPr>
          <w:ilvl w:val="0"/>
          <w:numId w:val="0"/>
        </w:numPr>
        <w:ind w:left="1134"/>
      </w:pPr>
      <w:r>
        <w:t>Table 5.3</w:t>
      </w:r>
      <w:r>
        <w:tab/>
      </w:r>
      <w:r w:rsidR="00046811" w:rsidRPr="00046811">
        <w:t>Rate of fuel tax credit for blended fuels</w:t>
      </w:r>
    </w:p>
    <w:tbl>
      <w:tblPr>
        <w:tblStyle w:val="TableGrid10"/>
        <w:tblW w:w="6690" w:type="dxa"/>
        <w:tblInd w:w="1215" w:type="dxa"/>
        <w:tblLayout w:type="fixed"/>
        <w:tblLook w:val="04A0" w:firstRow="1" w:lastRow="0" w:firstColumn="1" w:lastColumn="0" w:noHBand="0" w:noVBand="1"/>
      </w:tblPr>
      <w:tblGrid>
        <w:gridCol w:w="2012"/>
        <w:gridCol w:w="1559"/>
        <w:gridCol w:w="1559"/>
        <w:gridCol w:w="1560"/>
      </w:tblGrid>
      <w:tr w:rsidR="00046811" w:rsidRPr="00046811" w:rsidTr="000F0298">
        <w:tc>
          <w:tcPr>
            <w:tcW w:w="2012" w:type="dxa"/>
          </w:tcPr>
          <w:p w:rsidR="00046811" w:rsidRPr="00046811" w:rsidRDefault="00046811" w:rsidP="003A4BBD">
            <w:pPr>
              <w:pStyle w:val="tableheaderwithintable"/>
            </w:pPr>
            <w:r w:rsidRPr="00046811">
              <w:t>Use</w:t>
            </w:r>
          </w:p>
        </w:tc>
        <w:tc>
          <w:tcPr>
            <w:tcW w:w="1559" w:type="dxa"/>
          </w:tcPr>
          <w:p w:rsidR="00046811" w:rsidRPr="00046811" w:rsidRDefault="00046811" w:rsidP="003A4BBD">
            <w:pPr>
              <w:pStyle w:val="tableheaderwithintable"/>
            </w:pPr>
            <w:r w:rsidRPr="00046811">
              <w:t>Eligible blended fuel</w:t>
            </w:r>
          </w:p>
        </w:tc>
        <w:tc>
          <w:tcPr>
            <w:tcW w:w="1559" w:type="dxa"/>
          </w:tcPr>
          <w:p w:rsidR="00046811" w:rsidRPr="00046811" w:rsidRDefault="00046811" w:rsidP="003A4BBD">
            <w:pPr>
              <w:pStyle w:val="tableheaderwithintable"/>
            </w:pPr>
            <w:r w:rsidRPr="00046811">
              <w:t xml:space="preserve">FTCs at 1 July 2013 </w:t>
            </w:r>
            <w:r w:rsidRPr="003A4BBD">
              <w:t>(cents per litre)</w:t>
            </w:r>
          </w:p>
        </w:tc>
        <w:tc>
          <w:tcPr>
            <w:tcW w:w="1560" w:type="dxa"/>
          </w:tcPr>
          <w:p w:rsidR="00046811" w:rsidRPr="00046811" w:rsidRDefault="00046811" w:rsidP="003A4BBD">
            <w:pPr>
              <w:pStyle w:val="tableheaderwithintable"/>
            </w:pPr>
            <w:r w:rsidRPr="00046811">
              <w:t xml:space="preserve">FTCs at 1 July 2014 </w:t>
            </w:r>
            <w:r w:rsidRPr="003A4BBD">
              <w:t>(cents per litre)</w:t>
            </w:r>
          </w:p>
        </w:tc>
      </w:tr>
      <w:tr w:rsidR="0076569A" w:rsidRPr="00046811" w:rsidTr="000F0298">
        <w:tc>
          <w:tcPr>
            <w:tcW w:w="2012" w:type="dxa"/>
            <w:vMerge w:val="restart"/>
          </w:tcPr>
          <w:p w:rsidR="0076569A" w:rsidRPr="00046811" w:rsidRDefault="0076569A" w:rsidP="00046811">
            <w:pPr>
              <w:tabs>
                <w:tab w:val="left" w:pos="2805"/>
              </w:tabs>
              <w:spacing w:before="40" w:after="40"/>
              <w:rPr>
                <w:rFonts w:ascii="Times New Roman" w:hAnsi="Times New Roman"/>
                <w:sz w:val="20"/>
              </w:rPr>
            </w:pPr>
            <w:r w:rsidRPr="00046811">
              <w:rPr>
                <w:rFonts w:ascii="Times New Roman" w:hAnsi="Times New Roman"/>
                <w:sz w:val="20"/>
              </w:rPr>
              <w:t>Off-road business activities where the fuel is combusted (except for specified agriculture, forestry and fisheries activities).</w:t>
            </w:r>
          </w:p>
        </w:tc>
        <w:tc>
          <w:tcPr>
            <w:tcW w:w="1559" w:type="dxa"/>
          </w:tcPr>
          <w:p w:rsidR="0076569A" w:rsidRPr="00046811" w:rsidRDefault="0076569A" w:rsidP="00046811">
            <w:pPr>
              <w:tabs>
                <w:tab w:val="left" w:pos="2805"/>
              </w:tabs>
              <w:spacing w:before="40" w:after="40"/>
              <w:rPr>
                <w:rFonts w:ascii="Times New Roman" w:hAnsi="Times New Roman"/>
                <w:sz w:val="20"/>
              </w:rPr>
            </w:pPr>
            <w:r w:rsidRPr="00046811">
              <w:rPr>
                <w:rFonts w:ascii="Times New Roman" w:hAnsi="Times New Roman"/>
                <w:sz w:val="20"/>
              </w:rPr>
              <w:t>B5</w:t>
            </w:r>
          </w:p>
        </w:tc>
        <w:tc>
          <w:tcPr>
            <w:tcW w:w="1559" w:type="dxa"/>
          </w:tcPr>
          <w:p w:rsidR="0076569A" w:rsidRPr="00046811" w:rsidRDefault="0076569A" w:rsidP="00E125FA">
            <w:pPr>
              <w:tabs>
                <w:tab w:val="left" w:pos="2805"/>
              </w:tabs>
              <w:spacing w:before="40" w:after="40"/>
              <w:jc w:val="center"/>
              <w:rPr>
                <w:rFonts w:ascii="Times New Roman" w:hAnsi="Times New Roman"/>
                <w:sz w:val="20"/>
              </w:rPr>
            </w:pPr>
            <w:r w:rsidRPr="00046811">
              <w:rPr>
                <w:rFonts w:ascii="Times New Roman" w:hAnsi="Times New Roman"/>
                <w:sz w:val="20"/>
              </w:rPr>
              <w:t>31.94805</w:t>
            </w:r>
          </w:p>
        </w:tc>
        <w:tc>
          <w:tcPr>
            <w:tcW w:w="1560" w:type="dxa"/>
          </w:tcPr>
          <w:p w:rsidR="0076569A" w:rsidRPr="00046811" w:rsidRDefault="0076569A" w:rsidP="00E125FA">
            <w:pPr>
              <w:tabs>
                <w:tab w:val="left" w:pos="2805"/>
              </w:tabs>
              <w:spacing w:before="40" w:after="40"/>
              <w:jc w:val="center"/>
              <w:rPr>
                <w:rFonts w:ascii="Times New Roman" w:hAnsi="Times New Roman"/>
                <w:b/>
                <w:sz w:val="20"/>
                <w:highlight w:val="yellow"/>
              </w:rPr>
            </w:pPr>
            <w:r w:rsidRPr="004D1965">
              <w:rPr>
                <w:rFonts w:ascii="Times New Roman" w:hAnsi="Times New Roman"/>
                <w:sz w:val="20"/>
              </w:rPr>
              <w:t>38.143</w:t>
            </w:r>
          </w:p>
        </w:tc>
      </w:tr>
      <w:tr w:rsidR="0076569A" w:rsidRPr="00046811" w:rsidTr="000F0298">
        <w:tc>
          <w:tcPr>
            <w:tcW w:w="2012" w:type="dxa"/>
            <w:vMerge/>
            <w:vAlign w:val="center"/>
          </w:tcPr>
          <w:p w:rsidR="0076569A" w:rsidRPr="00046811" w:rsidRDefault="0076569A" w:rsidP="00046811">
            <w:pPr>
              <w:numPr>
                <w:ilvl w:val="0"/>
                <w:numId w:val="19"/>
              </w:numPr>
              <w:tabs>
                <w:tab w:val="clear" w:pos="3119"/>
                <w:tab w:val="left" w:pos="2805"/>
              </w:tabs>
              <w:spacing w:before="40" w:after="40"/>
              <w:ind w:left="0"/>
              <w:rPr>
                <w:rFonts w:ascii="Times New Roman" w:hAnsi="Times New Roman"/>
                <w:sz w:val="20"/>
              </w:rPr>
            </w:pPr>
          </w:p>
        </w:tc>
        <w:tc>
          <w:tcPr>
            <w:tcW w:w="1559" w:type="dxa"/>
          </w:tcPr>
          <w:p w:rsidR="0076569A" w:rsidRPr="00046811" w:rsidRDefault="0076569A" w:rsidP="00046811">
            <w:pPr>
              <w:tabs>
                <w:tab w:val="left" w:pos="2805"/>
              </w:tabs>
              <w:spacing w:before="40" w:after="40"/>
              <w:rPr>
                <w:rFonts w:ascii="Times New Roman" w:hAnsi="Times New Roman"/>
                <w:sz w:val="20"/>
              </w:rPr>
            </w:pPr>
            <w:r w:rsidRPr="00046811">
              <w:rPr>
                <w:rFonts w:ascii="Times New Roman" w:hAnsi="Times New Roman"/>
                <w:sz w:val="20"/>
              </w:rPr>
              <w:t xml:space="preserve">B20 </w:t>
            </w:r>
          </w:p>
        </w:tc>
        <w:tc>
          <w:tcPr>
            <w:tcW w:w="1559" w:type="dxa"/>
          </w:tcPr>
          <w:p w:rsidR="0076569A" w:rsidRPr="00046811" w:rsidRDefault="0076569A" w:rsidP="00E125FA">
            <w:pPr>
              <w:tabs>
                <w:tab w:val="left" w:pos="2805"/>
              </w:tabs>
              <w:spacing w:before="40" w:after="40"/>
              <w:jc w:val="center"/>
              <w:rPr>
                <w:rFonts w:ascii="Times New Roman" w:hAnsi="Times New Roman"/>
                <w:sz w:val="20"/>
              </w:rPr>
            </w:pPr>
            <w:r w:rsidRPr="00046811">
              <w:rPr>
                <w:rFonts w:ascii="Times New Roman" w:hAnsi="Times New Roman"/>
                <w:sz w:val="20"/>
              </w:rPr>
              <w:t>32.9262</w:t>
            </w:r>
          </w:p>
        </w:tc>
        <w:tc>
          <w:tcPr>
            <w:tcW w:w="1560" w:type="dxa"/>
          </w:tcPr>
          <w:p w:rsidR="0076569A" w:rsidRPr="00046811" w:rsidRDefault="0076569A" w:rsidP="00E125FA">
            <w:pPr>
              <w:tabs>
                <w:tab w:val="left" w:pos="2805"/>
              </w:tabs>
              <w:spacing w:before="40" w:after="40"/>
              <w:jc w:val="center"/>
              <w:rPr>
                <w:rFonts w:ascii="Times New Roman" w:hAnsi="Times New Roman"/>
                <w:b/>
                <w:sz w:val="20"/>
                <w:highlight w:val="yellow"/>
              </w:rPr>
            </w:pPr>
            <w:r w:rsidRPr="004D1965">
              <w:rPr>
                <w:rFonts w:ascii="Times New Roman" w:hAnsi="Times New Roman"/>
                <w:sz w:val="20"/>
              </w:rPr>
              <w:t>38.143</w:t>
            </w:r>
          </w:p>
        </w:tc>
      </w:tr>
      <w:tr w:rsidR="0076569A" w:rsidRPr="00046811" w:rsidTr="000F0298">
        <w:tc>
          <w:tcPr>
            <w:tcW w:w="2012" w:type="dxa"/>
            <w:vMerge/>
          </w:tcPr>
          <w:p w:rsidR="0076569A" w:rsidRPr="00046811" w:rsidRDefault="0076569A" w:rsidP="00046811">
            <w:pPr>
              <w:tabs>
                <w:tab w:val="left" w:pos="2805"/>
              </w:tabs>
              <w:spacing w:before="0" w:after="200" w:line="276" w:lineRule="auto"/>
              <w:ind w:left="472"/>
              <w:rPr>
                <w:rFonts w:ascii="Times New Roman" w:hAnsi="Times New Roman"/>
                <w:sz w:val="20"/>
              </w:rPr>
            </w:pPr>
          </w:p>
        </w:tc>
        <w:tc>
          <w:tcPr>
            <w:tcW w:w="1559" w:type="dxa"/>
          </w:tcPr>
          <w:p w:rsidR="0076569A" w:rsidRPr="00046811" w:rsidRDefault="0076569A" w:rsidP="00046811">
            <w:pPr>
              <w:tabs>
                <w:tab w:val="left" w:pos="2805"/>
              </w:tabs>
              <w:spacing w:before="40" w:after="40"/>
              <w:rPr>
                <w:rFonts w:ascii="Times New Roman" w:hAnsi="Times New Roman"/>
                <w:sz w:val="20"/>
              </w:rPr>
            </w:pPr>
            <w:r w:rsidRPr="00046811">
              <w:rPr>
                <w:rFonts w:ascii="Times New Roman" w:hAnsi="Times New Roman"/>
                <w:sz w:val="20"/>
              </w:rPr>
              <w:t xml:space="preserve">E10 </w:t>
            </w:r>
          </w:p>
        </w:tc>
        <w:tc>
          <w:tcPr>
            <w:tcW w:w="1559" w:type="dxa"/>
          </w:tcPr>
          <w:p w:rsidR="0076569A" w:rsidRPr="00046811" w:rsidRDefault="0076569A" w:rsidP="00E125FA">
            <w:pPr>
              <w:tabs>
                <w:tab w:val="left" w:pos="2805"/>
              </w:tabs>
              <w:spacing w:before="40" w:after="40"/>
              <w:jc w:val="center"/>
              <w:rPr>
                <w:rFonts w:ascii="Times New Roman" w:hAnsi="Times New Roman"/>
                <w:sz w:val="20"/>
              </w:rPr>
            </w:pPr>
            <w:r w:rsidRPr="00046811">
              <w:rPr>
                <w:rFonts w:ascii="Times New Roman" w:hAnsi="Times New Roman"/>
                <w:sz w:val="20"/>
              </w:rPr>
              <w:t>32.9266</w:t>
            </w:r>
          </w:p>
        </w:tc>
        <w:tc>
          <w:tcPr>
            <w:tcW w:w="1560" w:type="dxa"/>
          </w:tcPr>
          <w:p w:rsidR="0076569A" w:rsidRPr="004D1965" w:rsidRDefault="0076569A" w:rsidP="00E125FA">
            <w:pPr>
              <w:tabs>
                <w:tab w:val="left" w:pos="2805"/>
              </w:tabs>
              <w:spacing w:before="40" w:after="40"/>
              <w:jc w:val="center"/>
              <w:rPr>
                <w:rFonts w:ascii="Times New Roman" w:hAnsi="Times New Roman"/>
                <w:b/>
                <w:sz w:val="20"/>
              </w:rPr>
            </w:pPr>
            <w:r w:rsidRPr="004D1965">
              <w:rPr>
                <w:rFonts w:ascii="Times New Roman" w:hAnsi="Times New Roman"/>
                <w:sz w:val="20"/>
              </w:rPr>
              <w:t>38.143</w:t>
            </w:r>
          </w:p>
        </w:tc>
      </w:tr>
      <w:tr w:rsidR="0076569A" w:rsidRPr="00046811" w:rsidTr="000F0298">
        <w:tc>
          <w:tcPr>
            <w:tcW w:w="2012" w:type="dxa"/>
            <w:vMerge/>
          </w:tcPr>
          <w:p w:rsidR="0076569A" w:rsidRPr="00046811" w:rsidRDefault="0076569A" w:rsidP="00046811">
            <w:pPr>
              <w:tabs>
                <w:tab w:val="left" w:pos="2805"/>
              </w:tabs>
              <w:spacing w:before="0" w:after="200" w:line="276" w:lineRule="auto"/>
              <w:ind w:left="472"/>
              <w:rPr>
                <w:rFonts w:ascii="Times New Roman" w:hAnsi="Times New Roman"/>
                <w:sz w:val="20"/>
              </w:rPr>
            </w:pPr>
          </w:p>
        </w:tc>
        <w:tc>
          <w:tcPr>
            <w:tcW w:w="1559" w:type="dxa"/>
          </w:tcPr>
          <w:p w:rsidR="0076569A" w:rsidRPr="00046811" w:rsidRDefault="0076569A" w:rsidP="00046811">
            <w:pPr>
              <w:tabs>
                <w:tab w:val="left" w:pos="2805"/>
              </w:tabs>
              <w:spacing w:before="40" w:after="40"/>
              <w:rPr>
                <w:rFonts w:ascii="Times New Roman" w:hAnsi="Times New Roman"/>
                <w:sz w:val="20"/>
              </w:rPr>
            </w:pPr>
            <w:r w:rsidRPr="00046811">
              <w:rPr>
                <w:rFonts w:ascii="Times New Roman" w:hAnsi="Times New Roman"/>
                <w:sz w:val="20"/>
              </w:rPr>
              <w:t xml:space="preserve">E85 </w:t>
            </w:r>
          </w:p>
        </w:tc>
        <w:tc>
          <w:tcPr>
            <w:tcW w:w="1559" w:type="dxa"/>
          </w:tcPr>
          <w:p w:rsidR="0076569A" w:rsidRPr="00046811" w:rsidRDefault="0076569A" w:rsidP="00E125FA">
            <w:pPr>
              <w:tabs>
                <w:tab w:val="left" w:pos="2805"/>
              </w:tabs>
              <w:spacing w:before="40" w:after="40"/>
              <w:jc w:val="center"/>
              <w:rPr>
                <w:rFonts w:ascii="Times New Roman" w:hAnsi="Times New Roman"/>
                <w:sz w:val="20"/>
              </w:rPr>
            </w:pPr>
            <w:r w:rsidRPr="00046811">
              <w:rPr>
                <w:rFonts w:ascii="Times New Roman" w:hAnsi="Times New Roman"/>
                <w:sz w:val="20"/>
              </w:rPr>
              <w:t>4.85205</w:t>
            </w:r>
          </w:p>
        </w:tc>
        <w:tc>
          <w:tcPr>
            <w:tcW w:w="1560" w:type="dxa"/>
          </w:tcPr>
          <w:p w:rsidR="0076569A" w:rsidRPr="004D1965" w:rsidRDefault="0076569A" w:rsidP="00E125FA">
            <w:pPr>
              <w:tabs>
                <w:tab w:val="left" w:pos="2805"/>
              </w:tabs>
              <w:spacing w:before="40" w:after="40"/>
              <w:jc w:val="center"/>
              <w:rPr>
                <w:rFonts w:ascii="Times New Roman" w:hAnsi="Times New Roman"/>
                <w:b/>
                <w:sz w:val="20"/>
              </w:rPr>
            </w:pPr>
            <w:r w:rsidRPr="00184A67">
              <w:rPr>
                <w:rFonts w:ascii="Times New Roman" w:hAnsi="Times New Roman"/>
                <w:sz w:val="20"/>
              </w:rPr>
              <w:t>5.72145</w:t>
            </w:r>
          </w:p>
        </w:tc>
      </w:tr>
    </w:tbl>
    <w:p w:rsidR="00046811" w:rsidRPr="003A4BBD" w:rsidRDefault="00046811" w:rsidP="008D2D55">
      <w:pPr>
        <w:pStyle w:val="base-text-paragraph"/>
        <w:numPr>
          <w:ilvl w:val="1"/>
          <w:numId w:val="25"/>
        </w:numPr>
        <w:rPr>
          <w:rStyle w:val="Referencingstyle"/>
          <w:b w:val="0"/>
          <w:i w:val="0"/>
          <w:sz w:val="22"/>
        </w:rPr>
      </w:pPr>
      <w:r w:rsidRPr="00046811">
        <w:t xml:space="preserve">Consequential amendments are also made to </w:t>
      </w:r>
      <w:r w:rsidR="009F0446" w:rsidRPr="009F0446">
        <w:rPr>
          <w:i/>
        </w:rPr>
        <w:t>Fuel Tax (Consequential and Transitional Provisions) Act 2006</w:t>
      </w:r>
      <w:r w:rsidR="009F0446">
        <w:t xml:space="preserve"> </w:t>
      </w:r>
      <w:r w:rsidRPr="00046811">
        <w:t xml:space="preserve">to remove references to the reductions in FTCs due to </w:t>
      </w:r>
      <w:r w:rsidR="00357FD6">
        <w:t>the equivalent carbon price</w:t>
      </w:r>
      <w:r w:rsidR="00D5237C">
        <w:t xml:space="preserve">.  </w:t>
      </w:r>
      <w:r w:rsidR="00357FD6">
        <w:t xml:space="preserve">These </w:t>
      </w:r>
      <w:r w:rsidR="003A4BBD">
        <w:t>references</w:t>
      </w:r>
      <w:r w:rsidR="00357FD6">
        <w:t xml:space="preserve"> are not required following</w:t>
      </w:r>
      <w:r w:rsidR="00ED610F">
        <w:t xml:space="preserve"> the</w:t>
      </w:r>
      <w:r w:rsidR="00357FD6">
        <w:t xml:space="preserve"> repeal of the carbon tax</w:t>
      </w:r>
      <w:r w:rsidR="00D5237C">
        <w:t xml:space="preserve">.  </w:t>
      </w:r>
      <w:r w:rsidR="002E0BB2" w:rsidRPr="00046811">
        <w:rPr>
          <w:rStyle w:val="Referencingstyle"/>
          <w:rFonts w:eastAsiaTheme="minorHAnsi"/>
        </w:rPr>
        <w:t xml:space="preserve">[Schedule 1, </w:t>
      </w:r>
      <w:r w:rsidR="002E0BB2">
        <w:rPr>
          <w:rStyle w:val="Referencingstyle"/>
          <w:rFonts w:eastAsiaTheme="minorHAnsi"/>
        </w:rPr>
        <w:t>item</w:t>
      </w:r>
      <w:r w:rsidR="002E0BB2" w:rsidRPr="00046811">
        <w:rPr>
          <w:rStyle w:val="Referencingstyle"/>
        </w:rPr>
        <w:t>s</w:t>
      </w:r>
      <w:r w:rsidR="002E0BB2" w:rsidRPr="00046811">
        <w:rPr>
          <w:rStyle w:val="Referencingstyle"/>
          <w:rFonts w:eastAsiaTheme="minorHAnsi"/>
        </w:rPr>
        <w:t xml:space="preserve"> 108, 109, 110, 122, 135, 136, 138, 143, 147, 152 and 155, sections 2-1, 40-5, 43-5 and 110-5</w:t>
      </w:r>
      <w:r w:rsidR="002E0BB2">
        <w:rPr>
          <w:rStyle w:val="Referencingstyle"/>
          <w:rFonts w:eastAsiaTheme="minorHAnsi"/>
        </w:rPr>
        <w:t xml:space="preserve">, </w:t>
      </w:r>
      <w:r w:rsidR="002E0BB2" w:rsidRPr="00046811">
        <w:rPr>
          <w:rStyle w:val="Referencingstyle"/>
          <w:rFonts w:eastAsiaTheme="minorHAnsi"/>
        </w:rPr>
        <w:t>Fuel Tax Act; item 12(2A)</w:t>
      </w:r>
      <w:r w:rsidR="002E0BB2">
        <w:rPr>
          <w:rStyle w:val="Referencingstyle"/>
          <w:rFonts w:eastAsiaTheme="minorHAnsi"/>
        </w:rPr>
        <w:t>,</w:t>
      </w:r>
      <w:r w:rsidR="002E0BB2" w:rsidRPr="00046811">
        <w:rPr>
          <w:rStyle w:val="Referencingstyle"/>
          <w:rFonts w:eastAsiaTheme="minorHAnsi"/>
        </w:rPr>
        <w:t xml:space="preserve"> Schedule 3</w:t>
      </w:r>
      <w:r w:rsidR="002E0BB2">
        <w:rPr>
          <w:rStyle w:val="Referencingstyle"/>
          <w:rFonts w:eastAsiaTheme="minorHAnsi"/>
        </w:rPr>
        <w:t>,</w:t>
      </w:r>
      <w:r w:rsidR="002E0BB2" w:rsidRPr="00046811">
        <w:rPr>
          <w:rStyle w:val="Referencingstyle"/>
          <w:rFonts w:eastAsiaTheme="minorHAnsi"/>
        </w:rPr>
        <w:t xml:space="preserve"> </w:t>
      </w:r>
      <w:r w:rsidR="002E0BB2" w:rsidRPr="00A63226">
        <w:rPr>
          <w:rStyle w:val="Referencingstyle"/>
          <w:rFonts w:eastAsiaTheme="minorHAnsi"/>
        </w:rPr>
        <w:t>Fuel Tax (Consequential and Transitional Provisions) Act 2006]</w:t>
      </w:r>
    </w:p>
    <w:p w:rsidR="003A4BBD" w:rsidRDefault="00ED610F" w:rsidP="00961241">
      <w:pPr>
        <w:pStyle w:val="Heading3"/>
        <w:rPr>
          <w:i/>
        </w:rPr>
      </w:pPr>
      <w:r>
        <w:t xml:space="preserve">Reductions in excise and excise </w:t>
      </w:r>
      <w:r w:rsidR="003A4BBD" w:rsidRPr="001B5D6E">
        <w:t>equivalent customs duty for aviation fuel</w:t>
      </w:r>
    </w:p>
    <w:p w:rsidR="004B117E" w:rsidRDefault="004B117E" w:rsidP="004B117E">
      <w:pPr>
        <w:pStyle w:val="Heading4"/>
      </w:pPr>
      <w:r>
        <w:t>General provisions</w:t>
      </w:r>
    </w:p>
    <w:p w:rsidR="004B117E" w:rsidRPr="001243AA" w:rsidRDefault="004B117E" w:rsidP="008D2D55">
      <w:pPr>
        <w:pStyle w:val="base-text-paragraph"/>
        <w:numPr>
          <w:ilvl w:val="1"/>
          <w:numId w:val="25"/>
        </w:numPr>
      </w:pPr>
      <w:r>
        <w:t>The reductions in excise and excise equivalent</w:t>
      </w:r>
      <w:r w:rsidR="005D4671">
        <w:t xml:space="preserve"> customs duty will be implemented</w:t>
      </w:r>
      <w:r>
        <w:t xml:space="preserve"> by the Excise Amendment Bill and the Customs Amendment Bill</w:t>
      </w:r>
      <w:r w:rsidR="00D5237C">
        <w:t xml:space="preserve">.  </w:t>
      </w:r>
      <w:r w:rsidRPr="001A02DF">
        <w:t>When enacted</w:t>
      </w:r>
      <w:r>
        <w:t xml:space="preserve">, the names of those Bills will be the </w:t>
      </w:r>
      <w:r w:rsidRPr="009F0446">
        <w:rPr>
          <w:i/>
        </w:rPr>
        <w:t xml:space="preserve">Excise Tariff </w:t>
      </w:r>
      <w:r w:rsidRPr="001243AA">
        <w:rPr>
          <w:i/>
        </w:rPr>
        <w:t>Amendment (</w:t>
      </w:r>
      <w:r w:rsidR="00622B79">
        <w:rPr>
          <w:i/>
        </w:rPr>
        <w:t>Carbon Tax Repeal</w:t>
      </w:r>
      <w:r w:rsidRPr="001243AA">
        <w:rPr>
          <w:i/>
        </w:rPr>
        <w:t xml:space="preserve">) </w:t>
      </w:r>
      <w:r w:rsidR="009F0446" w:rsidRPr="001243AA">
        <w:rPr>
          <w:i/>
        </w:rPr>
        <w:t>Act</w:t>
      </w:r>
      <w:r w:rsidRPr="001243AA">
        <w:rPr>
          <w:i/>
        </w:rPr>
        <w:t xml:space="preserve"> </w:t>
      </w:r>
      <w:r w:rsidR="00C90ACA">
        <w:rPr>
          <w:i/>
        </w:rPr>
        <w:t>2014</w:t>
      </w:r>
      <w:r w:rsidRPr="001243AA">
        <w:t xml:space="preserve"> and the </w:t>
      </w:r>
      <w:r w:rsidRPr="001243AA">
        <w:rPr>
          <w:i/>
        </w:rPr>
        <w:t>Customs Tariff Amendment (</w:t>
      </w:r>
      <w:r w:rsidR="00622B79">
        <w:rPr>
          <w:i/>
        </w:rPr>
        <w:t>Carbon Tax Repeal</w:t>
      </w:r>
      <w:r w:rsidRPr="001243AA">
        <w:rPr>
          <w:i/>
        </w:rPr>
        <w:t xml:space="preserve">) </w:t>
      </w:r>
      <w:r w:rsidR="009F0446" w:rsidRPr="001243AA">
        <w:rPr>
          <w:i/>
        </w:rPr>
        <w:t>Act</w:t>
      </w:r>
      <w:r w:rsidRPr="001243AA">
        <w:rPr>
          <w:i/>
        </w:rPr>
        <w:t xml:space="preserve"> </w:t>
      </w:r>
      <w:r w:rsidR="00C90ACA">
        <w:rPr>
          <w:i/>
        </w:rPr>
        <w:t>2014</w:t>
      </w:r>
      <w:r w:rsidR="00D5237C" w:rsidRPr="001243AA">
        <w:t xml:space="preserve">.  </w:t>
      </w:r>
      <w:r w:rsidRPr="001243AA">
        <w:rPr>
          <w:rStyle w:val="Referencingstyle"/>
        </w:rPr>
        <w:t>[</w:t>
      </w:r>
      <w:r w:rsidR="001243AA" w:rsidRPr="001243AA">
        <w:rPr>
          <w:rStyle w:val="Referencingstyle"/>
        </w:rPr>
        <w:t>Excise Amendment Bill</w:t>
      </w:r>
      <w:r w:rsidRPr="001243AA">
        <w:rPr>
          <w:rStyle w:val="Referencingstyle"/>
        </w:rPr>
        <w:t xml:space="preserve">, </w:t>
      </w:r>
      <w:r w:rsidR="00F002FB" w:rsidRPr="001243AA">
        <w:rPr>
          <w:rStyle w:val="Referencingstyle"/>
        </w:rPr>
        <w:t xml:space="preserve">clause </w:t>
      </w:r>
      <w:r w:rsidRPr="001243AA">
        <w:rPr>
          <w:rStyle w:val="Referencingstyle"/>
        </w:rPr>
        <w:t>1]</w:t>
      </w:r>
      <w:r w:rsidR="00584B43">
        <w:rPr>
          <w:rStyle w:val="Referencingstyle"/>
        </w:rPr>
        <w:t xml:space="preserve"> </w:t>
      </w:r>
      <w:r w:rsidRPr="001243AA">
        <w:rPr>
          <w:rStyle w:val="Referencingstyle"/>
        </w:rPr>
        <w:t>[</w:t>
      </w:r>
      <w:r w:rsidR="001243AA" w:rsidRPr="001243AA">
        <w:rPr>
          <w:rStyle w:val="Referencingstyle"/>
        </w:rPr>
        <w:t>Customs Amendment Bill</w:t>
      </w:r>
      <w:r w:rsidRPr="001243AA">
        <w:rPr>
          <w:rStyle w:val="Referencingstyle"/>
        </w:rPr>
        <w:t xml:space="preserve">, </w:t>
      </w:r>
      <w:r w:rsidR="00F002FB" w:rsidRPr="001243AA">
        <w:rPr>
          <w:rStyle w:val="Referencingstyle"/>
        </w:rPr>
        <w:t xml:space="preserve">clause </w:t>
      </w:r>
      <w:r w:rsidRPr="001243AA">
        <w:rPr>
          <w:rStyle w:val="Referencingstyle"/>
        </w:rPr>
        <w:t>1]</w:t>
      </w:r>
    </w:p>
    <w:p w:rsidR="004B117E" w:rsidRPr="001243AA" w:rsidRDefault="004B117E" w:rsidP="008D2D55">
      <w:pPr>
        <w:pStyle w:val="base-text-paragraph"/>
        <w:numPr>
          <w:ilvl w:val="1"/>
          <w:numId w:val="25"/>
        </w:numPr>
        <w:rPr>
          <w:rStyle w:val="Referencingstyle"/>
          <w:b w:val="0"/>
          <w:i w:val="0"/>
          <w:sz w:val="22"/>
        </w:rPr>
      </w:pPr>
      <w:r w:rsidRPr="001243AA">
        <w:t xml:space="preserve">All amendments made by the </w:t>
      </w:r>
      <w:r w:rsidRPr="001243AA">
        <w:rPr>
          <w:rFonts w:eastAsiaTheme="minorHAnsi" w:cs="Arial"/>
          <w:color w:val="000000"/>
          <w:sz w:val="20"/>
        </w:rPr>
        <w:t xml:space="preserve">Excise Amendment Bill and the Customs </w:t>
      </w:r>
      <w:r w:rsidRPr="001243AA">
        <w:t>Amendment</w:t>
      </w:r>
      <w:r w:rsidRPr="001243AA">
        <w:rPr>
          <w:rFonts w:eastAsiaTheme="minorHAnsi" w:cs="Arial"/>
          <w:color w:val="000000"/>
          <w:sz w:val="20"/>
        </w:rPr>
        <w:t xml:space="preserve"> Bill</w:t>
      </w:r>
      <w:r w:rsidRPr="001243AA">
        <w:t xml:space="preserve"> have effect according to the terms set out in the Bills</w:t>
      </w:r>
      <w:r w:rsidR="00D5237C" w:rsidRPr="001243AA">
        <w:t xml:space="preserve">.  </w:t>
      </w:r>
      <w:r w:rsidRPr="001243AA">
        <w:rPr>
          <w:rStyle w:val="Referencingstyle"/>
        </w:rPr>
        <w:t>[</w:t>
      </w:r>
      <w:r w:rsidR="001243AA" w:rsidRPr="001243AA">
        <w:rPr>
          <w:rStyle w:val="Referencingstyle"/>
        </w:rPr>
        <w:t>Excise Amendment Bill</w:t>
      </w:r>
      <w:r w:rsidRPr="001243AA">
        <w:rPr>
          <w:rStyle w:val="Referencingstyle"/>
        </w:rPr>
        <w:t xml:space="preserve">, </w:t>
      </w:r>
      <w:r w:rsidR="00F002FB" w:rsidRPr="001243AA">
        <w:rPr>
          <w:rStyle w:val="Referencingstyle"/>
        </w:rPr>
        <w:t xml:space="preserve">clause </w:t>
      </w:r>
      <w:r w:rsidRPr="001243AA">
        <w:rPr>
          <w:rStyle w:val="Referencingstyle"/>
        </w:rPr>
        <w:t>3]</w:t>
      </w:r>
      <w:r w:rsidR="00584B43">
        <w:rPr>
          <w:rStyle w:val="Referencingstyle"/>
        </w:rPr>
        <w:t xml:space="preserve"> </w:t>
      </w:r>
      <w:r w:rsidRPr="001243AA">
        <w:rPr>
          <w:rStyle w:val="Referencingstyle"/>
        </w:rPr>
        <w:t>[</w:t>
      </w:r>
      <w:r w:rsidR="001243AA" w:rsidRPr="001243AA">
        <w:rPr>
          <w:rStyle w:val="Referencingstyle"/>
        </w:rPr>
        <w:t>Customs Amendment Bill</w:t>
      </w:r>
      <w:r w:rsidRPr="001243AA">
        <w:rPr>
          <w:rStyle w:val="Referencingstyle"/>
        </w:rPr>
        <w:t xml:space="preserve">, </w:t>
      </w:r>
      <w:r w:rsidR="00F002FB" w:rsidRPr="001243AA">
        <w:rPr>
          <w:rStyle w:val="Referencingstyle"/>
        </w:rPr>
        <w:t xml:space="preserve">clause </w:t>
      </w:r>
      <w:r w:rsidRPr="001243AA">
        <w:rPr>
          <w:rStyle w:val="Referencingstyle"/>
        </w:rPr>
        <w:t>3]</w:t>
      </w:r>
    </w:p>
    <w:p w:rsidR="004B117E" w:rsidRPr="001243AA" w:rsidRDefault="004B117E" w:rsidP="008D2D55">
      <w:pPr>
        <w:pStyle w:val="base-text-paragraph"/>
        <w:numPr>
          <w:ilvl w:val="1"/>
          <w:numId w:val="25"/>
        </w:numPr>
      </w:pPr>
      <w:r w:rsidRPr="001243AA">
        <w:t>The formal provisions in sections 1, 2 and 3 of the Excise Amendment Bill and the Customs Amendment Bill commence on the day that the Governor-General gives the Royal Assent</w:t>
      </w:r>
      <w:r w:rsidR="00D5237C" w:rsidRPr="001243AA">
        <w:t xml:space="preserve">.  </w:t>
      </w:r>
      <w:r w:rsidRPr="001243AA">
        <w:t>The operative provisions commence on 1 July 2014</w:t>
      </w:r>
      <w:r w:rsidR="00D5237C" w:rsidRPr="001243AA">
        <w:t xml:space="preserve">.  </w:t>
      </w:r>
      <w:r w:rsidRPr="001243AA">
        <w:rPr>
          <w:rStyle w:val="Referencingstyle"/>
        </w:rPr>
        <w:t>[</w:t>
      </w:r>
      <w:r w:rsidR="001243AA" w:rsidRPr="001243AA">
        <w:rPr>
          <w:rStyle w:val="Referencingstyle"/>
        </w:rPr>
        <w:t>Excise Amendment Bill</w:t>
      </w:r>
      <w:r w:rsidRPr="001243AA">
        <w:rPr>
          <w:rStyle w:val="Referencingstyle"/>
        </w:rPr>
        <w:t xml:space="preserve">, </w:t>
      </w:r>
      <w:r w:rsidR="00FA5430" w:rsidRPr="001243AA">
        <w:rPr>
          <w:rStyle w:val="Referencingstyle"/>
        </w:rPr>
        <w:t>clause</w:t>
      </w:r>
      <w:r w:rsidRPr="001243AA">
        <w:rPr>
          <w:rStyle w:val="Referencingstyle"/>
        </w:rPr>
        <w:t xml:space="preserve"> 2] [</w:t>
      </w:r>
      <w:r w:rsidR="001243AA" w:rsidRPr="001243AA">
        <w:rPr>
          <w:rStyle w:val="Referencingstyle"/>
        </w:rPr>
        <w:t>Customs Amendment Bill</w:t>
      </w:r>
      <w:r w:rsidRPr="001243AA">
        <w:rPr>
          <w:rStyle w:val="Referencingstyle"/>
        </w:rPr>
        <w:t xml:space="preserve">, </w:t>
      </w:r>
      <w:r w:rsidR="00FA5430" w:rsidRPr="001243AA">
        <w:rPr>
          <w:rStyle w:val="Referencingstyle"/>
        </w:rPr>
        <w:t xml:space="preserve">clause </w:t>
      </w:r>
      <w:r w:rsidRPr="001243AA">
        <w:rPr>
          <w:rStyle w:val="Referencingstyle"/>
        </w:rPr>
        <w:t>2]</w:t>
      </w:r>
    </w:p>
    <w:p w:rsidR="003A4BBD" w:rsidRDefault="003A4BBD" w:rsidP="003A4BBD">
      <w:pPr>
        <w:pStyle w:val="Heading4"/>
      </w:pPr>
      <w:r>
        <w:t>Changes in rates of duty for all aviation fuel</w:t>
      </w:r>
    </w:p>
    <w:p w:rsidR="003A4BBD" w:rsidRDefault="003A4BBD" w:rsidP="008D2D55">
      <w:pPr>
        <w:pStyle w:val="base-text-paragraph"/>
        <w:numPr>
          <w:ilvl w:val="1"/>
          <w:numId w:val="25"/>
        </w:numPr>
      </w:pPr>
      <w:r>
        <w:t xml:space="preserve">Prior to the implementation of the carbon tax, FTCs were not available </w:t>
      </w:r>
      <w:r w:rsidR="0076569A">
        <w:t>for</w:t>
      </w:r>
      <w:r>
        <w:t xml:space="preserve"> aviation fuel in any circumstances</w:t>
      </w:r>
      <w:r w:rsidR="00D5237C">
        <w:t xml:space="preserve">.  </w:t>
      </w:r>
      <w:r w:rsidR="00CE4B52">
        <w:t>I</w:t>
      </w:r>
      <w:r w:rsidRPr="009E2BC1">
        <w:t>ncrease</w:t>
      </w:r>
      <w:r>
        <w:t>s</w:t>
      </w:r>
      <w:r w:rsidRPr="009E2BC1">
        <w:t xml:space="preserve"> </w:t>
      </w:r>
      <w:r>
        <w:t xml:space="preserve">to the rates of </w:t>
      </w:r>
      <w:r w:rsidRPr="009E2BC1">
        <w:t>excise and excise</w:t>
      </w:r>
      <w:r w:rsidR="00ED610F">
        <w:t xml:space="preserve"> </w:t>
      </w:r>
      <w:r w:rsidRPr="009E2BC1">
        <w:t>equivalent customs duty</w:t>
      </w:r>
      <w:r>
        <w:t xml:space="preserve"> were made to implement an </w:t>
      </w:r>
      <w:r w:rsidR="00B43295">
        <w:t>equivalent carbon</w:t>
      </w:r>
      <w:r>
        <w:t xml:space="preserve"> price on aviation fuel</w:t>
      </w:r>
      <w:r w:rsidR="00D5237C">
        <w:t xml:space="preserve">.  </w:t>
      </w:r>
      <w:r>
        <w:t xml:space="preserve">The </w:t>
      </w:r>
      <w:r w:rsidR="00B43295">
        <w:t>equivalent carbon</w:t>
      </w:r>
      <w:r w:rsidR="00ED610F">
        <w:t xml:space="preserve"> price was represented </w:t>
      </w:r>
      <w:r>
        <w:t xml:space="preserve">by increases in the rates of duty equal to a </w:t>
      </w:r>
      <w:r w:rsidR="00ED610F">
        <w:t>‘carbon component rate’</w:t>
      </w:r>
      <w:r w:rsidR="00D5237C">
        <w:t xml:space="preserve">.  </w:t>
      </w:r>
      <w:r>
        <w:t xml:space="preserve">The carbon component rates </w:t>
      </w:r>
      <w:r w:rsidRPr="00332753">
        <w:t xml:space="preserve">are different for </w:t>
      </w:r>
      <w:r>
        <w:t>aviation kerosene and aviation gasoline</w:t>
      </w:r>
      <w:r w:rsidRPr="00332753">
        <w:t xml:space="preserve">, reflecting the different emission rates for </w:t>
      </w:r>
      <w:r>
        <w:t xml:space="preserve">the </w:t>
      </w:r>
      <w:r w:rsidRPr="00332753">
        <w:t xml:space="preserve">different </w:t>
      </w:r>
      <w:r>
        <w:t xml:space="preserve">aviation </w:t>
      </w:r>
      <w:r w:rsidRPr="00332753">
        <w:t>fuels.</w:t>
      </w:r>
    </w:p>
    <w:p w:rsidR="003A4BBD" w:rsidRDefault="003A4BBD" w:rsidP="008D2D55">
      <w:pPr>
        <w:pStyle w:val="base-text-paragraph"/>
        <w:numPr>
          <w:ilvl w:val="1"/>
          <w:numId w:val="25"/>
        </w:numPr>
      </w:pPr>
      <w:r w:rsidRPr="009E2BC1">
        <w:t xml:space="preserve">Prior to </w:t>
      </w:r>
      <w:r>
        <w:t>the imposition of the equivalen</w:t>
      </w:r>
      <w:r w:rsidR="00ED610F">
        <w:t>t carbon price on aviation fuel</w:t>
      </w:r>
      <w:r w:rsidRPr="009E2BC1">
        <w:t xml:space="preserve">, </w:t>
      </w:r>
      <w:r>
        <w:t xml:space="preserve">the rates of duty on aviation fuel were equal to the amount representing a </w:t>
      </w:r>
      <w:r w:rsidRPr="009E2BC1">
        <w:t xml:space="preserve">levy to fund </w:t>
      </w:r>
      <w:r>
        <w:t>the Civil Aviation Safety Authority (</w:t>
      </w:r>
      <w:r w:rsidRPr="009E2BC1">
        <w:t>CASA</w:t>
      </w:r>
      <w:r>
        <w:t>)</w:t>
      </w:r>
      <w:r w:rsidRPr="009E2BC1">
        <w:t>.</w:t>
      </w:r>
    </w:p>
    <w:p w:rsidR="003A4BBD" w:rsidRPr="00607A8C" w:rsidRDefault="003A4BBD" w:rsidP="008D2D55">
      <w:pPr>
        <w:pStyle w:val="base-text-paragraph"/>
        <w:numPr>
          <w:ilvl w:val="1"/>
          <w:numId w:val="25"/>
        </w:numPr>
        <w:rPr>
          <w:rStyle w:val="Referencingstyle"/>
          <w:b w:val="0"/>
          <w:i w:val="0"/>
          <w:sz w:val="22"/>
        </w:rPr>
      </w:pPr>
      <w:r>
        <w:t>These amendments remove the ‘carbon component rate’ from</w:t>
      </w:r>
      <w:r w:rsidR="00ED610F">
        <w:t xml:space="preserve"> the rates of excise and excise </w:t>
      </w:r>
      <w:r>
        <w:t>equivalent customs duty imposed on aviation fuels</w:t>
      </w:r>
      <w:r w:rsidR="00D5237C">
        <w:t xml:space="preserve">.  </w:t>
      </w:r>
      <w:r>
        <w:t xml:space="preserve">With the removal of the carbon component rate, the rates of duty for both aviation </w:t>
      </w:r>
      <w:r w:rsidRPr="001243AA">
        <w:t>kerosene and aviation gasoline are reduced t</w:t>
      </w:r>
      <w:r w:rsidR="0072542B" w:rsidRPr="001243AA">
        <w:t xml:space="preserve">o the pre-carbon tax rate of </w:t>
      </w:r>
      <w:r w:rsidRPr="001243AA">
        <w:t>3</w:t>
      </w:r>
      <w:r w:rsidR="0072542B" w:rsidRPr="001243AA">
        <w:t>.</w:t>
      </w:r>
      <w:r w:rsidRPr="001243AA">
        <w:t>556</w:t>
      </w:r>
      <w:r w:rsidR="0072542B" w:rsidRPr="001243AA">
        <w:t xml:space="preserve"> cents per litre</w:t>
      </w:r>
      <w:r w:rsidRPr="001243AA">
        <w:t>, which represents the hypothecated levy to fund CASA</w:t>
      </w:r>
      <w:r w:rsidR="00D5237C" w:rsidRPr="001243AA">
        <w:t xml:space="preserve">.  </w:t>
      </w:r>
      <w:r w:rsidR="00E112A7" w:rsidRPr="001243AA">
        <w:rPr>
          <w:rStyle w:val="Referencingstyle"/>
        </w:rPr>
        <w:t>[</w:t>
      </w:r>
      <w:r w:rsidR="001243AA" w:rsidRPr="001243AA">
        <w:rPr>
          <w:rStyle w:val="Referencingstyle"/>
        </w:rPr>
        <w:t>Excise Amendment Bill</w:t>
      </w:r>
      <w:r w:rsidR="0076569A" w:rsidRPr="001243AA">
        <w:rPr>
          <w:rStyle w:val="Referencingstyle"/>
        </w:rPr>
        <w:t xml:space="preserve">, </w:t>
      </w:r>
      <w:r w:rsidR="002E0BB2" w:rsidRPr="001243AA">
        <w:rPr>
          <w:rStyle w:val="Referencingstyle"/>
        </w:rPr>
        <w:t xml:space="preserve">items </w:t>
      </w:r>
      <w:r w:rsidR="0076569A" w:rsidRPr="001243AA">
        <w:rPr>
          <w:rStyle w:val="Referencingstyle"/>
        </w:rPr>
        <w:t>6 and 7, Schedule (cell at table subitem 10.6</w:t>
      </w:r>
      <w:r w:rsidR="00ED610F" w:rsidRPr="001243AA">
        <w:rPr>
          <w:rStyle w:val="Referencingstyle"/>
        </w:rPr>
        <w:t xml:space="preserve"> and 10.17</w:t>
      </w:r>
      <w:r w:rsidR="0076569A" w:rsidRPr="001243AA">
        <w:rPr>
          <w:rStyle w:val="Referencingstyle"/>
        </w:rPr>
        <w:t>, column headed “Rate of Duty”)</w:t>
      </w:r>
      <w:r w:rsidR="00E112A7" w:rsidRPr="001243AA">
        <w:rPr>
          <w:rStyle w:val="Referencingstyle"/>
        </w:rPr>
        <w:t>,</w:t>
      </w:r>
      <w:r w:rsidR="00584B43">
        <w:rPr>
          <w:rStyle w:val="Referencingstyle"/>
        </w:rPr>
        <w:t xml:space="preserve"> Excise </w:t>
      </w:r>
      <w:r w:rsidR="0076569A" w:rsidRPr="001243AA">
        <w:rPr>
          <w:rStyle w:val="Referencingstyle"/>
        </w:rPr>
        <w:t>Tariff Act</w:t>
      </w:r>
      <w:r w:rsidR="002E0BB2" w:rsidRPr="001243AA">
        <w:rPr>
          <w:rStyle w:val="Referencingstyle"/>
        </w:rPr>
        <w:t xml:space="preserve"> 1921</w:t>
      </w:r>
      <w:r w:rsidR="0076569A" w:rsidRPr="001243AA">
        <w:rPr>
          <w:rStyle w:val="Referencingstyle"/>
        </w:rPr>
        <w:t>] [</w:t>
      </w:r>
      <w:r w:rsidR="001243AA" w:rsidRPr="001243AA">
        <w:rPr>
          <w:rStyle w:val="Referencingstyle"/>
        </w:rPr>
        <w:t>Customs Amendment Bill</w:t>
      </w:r>
      <w:r w:rsidR="0076569A" w:rsidRPr="001243AA">
        <w:rPr>
          <w:rStyle w:val="Referencingstyle"/>
        </w:rPr>
        <w:t xml:space="preserve">, </w:t>
      </w:r>
      <w:r w:rsidR="002E0BB2" w:rsidRPr="001243AA">
        <w:rPr>
          <w:rStyle w:val="Referencingstyle"/>
        </w:rPr>
        <w:t xml:space="preserve">items </w:t>
      </w:r>
      <w:r w:rsidR="0076569A" w:rsidRPr="001243AA">
        <w:rPr>
          <w:rStyle w:val="Referencingstyle"/>
        </w:rPr>
        <w:t>2 to 37, Schedule 3 (subheadings 2710.12.61, 2710.19.40, 2710.91.40, 2710.91.61, 2710.99.</w:t>
      </w:r>
      <w:r w:rsidR="0076569A" w:rsidRPr="004D1965">
        <w:rPr>
          <w:rStyle w:val="Referencingstyle"/>
        </w:rPr>
        <w:t>40 and 2710.99.61, column 3), Schedule 5 (cells at table items 60</w:t>
      </w:r>
      <w:r w:rsidR="00584B43">
        <w:rPr>
          <w:rStyle w:val="Referencingstyle"/>
        </w:rPr>
        <w:t>, 66, 76, 80, 88 and 92, column </w:t>
      </w:r>
      <w:r w:rsidR="0076569A" w:rsidRPr="004D1965">
        <w:rPr>
          <w:rStyle w:val="Referencingstyle"/>
        </w:rPr>
        <w:t xml:space="preserve">3), Schedule 6 (cells at table item 63, 69, 79, 83, 91 and 95, column 3), Schedule 7 (cells at table item 62, 68, 78, 82, 90 and 94, column </w:t>
      </w:r>
      <w:r w:rsidR="002E0BB2">
        <w:rPr>
          <w:rStyle w:val="Referencingstyle"/>
        </w:rPr>
        <w:t xml:space="preserve">3), </w:t>
      </w:r>
      <w:r w:rsidR="00584B43">
        <w:rPr>
          <w:rStyle w:val="Referencingstyle"/>
        </w:rPr>
        <w:t>Schedule 8 (cells at table item </w:t>
      </w:r>
      <w:r w:rsidR="0076569A" w:rsidRPr="004D1965">
        <w:rPr>
          <w:rStyle w:val="Referencingstyle"/>
        </w:rPr>
        <w:t>68,74, 84, 88, 96 and 100, column 3</w:t>
      </w:r>
      <w:r w:rsidR="0076569A" w:rsidRPr="004B117E">
        <w:rPr>
          <w:rStyle w:val="Referencingstyle"/>
        </w:rPr>
        <w:t>), Schedule 9</w:t>
      </w:r>
      <w:r w:rsidR="0076569A" w:rsidRPr="004D1965">
        <w:rPr>
          <w:rStyle w:val="Referencingstyle"/>
        </w:rPr>
        <w:t xml:space="preserve"> (cells at table item 67, 74, 85, 89, 99 and 103, column 3)</w:t>
      </w:r>
      <w:r w:rsidR="00E112A7">
        <w:rPr>
          <w:rStyle w:val="Referencingstyle"/>
        </w:rPr>
        <w:t>,</w:t>
      </w:r>
      <w:r w:rsidR="0076569A" w:rsidRPr="004D1965">
        <w:rPr>
          <w:rStyle w:val="Referencingstyle"/>
        </w:rPr>
        <w:t xml:space="preserve"> Customs Tariff Act</w:t>
      </w:r>
      <w:r w:rsidR="002E0BB2">
        <w:rPr>
          <w:rStyle w:val="Referencingstyle"/>
        </w:rPr>
        <w:t xml:space="preserve"> 1995</w:t>
      </w:r>
      <w:r w:rsidR="0076569A" w:rsidRPr="004D1965">
        <w:rPr>
          <w:rStyle w:val="Referencingstyle"/>
        </w:rPr>
        <w:t>]</w:t>
      </w:r>
    </w:p>
    <w:p w:rsidR="00607A8C" w:rsidRPr="003A4BBD" w:rsidRDefault="007B5409" w:rsidP="007B5409">
      <w:pPr>
        <w:pStyle w:val="TableHeadingoutsidetable"/>
        <w:numPr>
          <w:ilvl w:val="0"/>
          <w:numId w:val="0"/>
        </w:numPr>
        <w:ind w:left="1134"/>
      </w:pPr>
      <w:r>
        <w:t>Table 5.4</w:t>
      </w:r>
      <w:r>
        <w:tab/>
      </w:r>
      <w:r w:rsidR="00607A8C">
        <w:t>Aviation fuel duty rates</w:t>
      </w:r>
    </w:p>
    <w:tbl>
      <w:tblPr>
        <w:tblStyle w:val="TableGrid"/>
        <w:tblW w:w="0" w:type="auto"/>
        <w:tblInd w:w="1134" w:type="dxa"/>
        <w:tblLook w:val="04A0" w:firstRow="1" w:lastRow="0" w:firstColumn="1" w:lastColumn="0" w:noHBand="0" w:noVBand="1"/>
      </w:tblPr>
      <w:tblGrid>
        <w:gridCol w:w="2242"/>
        <w:gridCol w:w="2275"/>
        <w:gridCol w:w="2275"/>
      </w:tblGrid>
      <w:tr w:rsidR="00607A8C" w:rsidTr="00AE7B73">
        <w:tc>
          <w:tcPr>
            <w:tcW w:w="2242" w:type="dxa"/>
          </w:tcPr>
          <w:p w:rsidR="00607A8C" w:rsidRPr="000577CE" w:rsidRDefault="00607A8C" w:rsidP="00607A8C">
            <w:pPr>
              <w:pStyle w:val="tableheaderwithintable"/>
            </w:pPr>
            <w:r w:rsidRPr="000577CE">
              <w:t>Aviation fuel</w:t>
            </w:r>
          </w:p>
        </w:tc>
        <w:tc>
          <w:tcPr>
            <w:tcW w:w="2275" w:type="dxa"/>
          </w:tcPr>
          <w:p w:rsidR="00607A8C" w:rsidRPr="000577CE" w:rsidRDefault="00607A8C" w:rsidP="00607A8C">
            <w:pPr>
              <w:pStyle w:val="tableheaderwithintable"/>
            </w:pPr>
            <w:r w:rsidRPr="000577CE">
              <w:t xml:space="preserve">Rate </w:t>
            </w:r>
            <w:r>
              <w:t xml:space="preserve">of duty </w:t>
            </w:r>
            <w:r w:rsidRPr="000577CE">
              <w:t>as at 1 July 2013</w:t>
            </w:r>
            <w:r>
              <w:t xml:space="preserve"> (cents per litre)</w:t>
            </w:r>
          </w:p>
        </w:tc>
        <w:tc>
          <w:tcPr>
            <w:tcW w:w="2275" w:type="dxa"/>
          </w:tcPr>
          <w:p w:rsidR="00607A8C" w:rsidRPr="000577CE" w:rsidRDefault="00607A8C" w:rsidP="00607A8C">
            <w:pPr>
              <w:pStyle w:val="tableheaderwithintable"/>
            </w:pPr>
            <w:r w:rsidRPr="000577CE">
              <w:t xml:space="preserve">Rate </w:t>
            </w:r>
            <w:r>
              <w:t xml:space="preserve">of duty </w:t>
            </w:r>
            <w:r w:rsidRPr="000577CE">
              <w:t>as at 1 July 2014</w:t>
            </w:r>
            <w:r>
              <w:t xml:space="preserve"> (cents per litre)</w:t>
            </w:r>
          </w:p>
        </w:tc>
      </w:tr>
      <w:tr w:rsidR="00607A8C" w:rsidTr="00AE7B73">
        <w:tc>
          <w:tcPr>
            <w:tcW w:w="2242" w:type="dxa"/>
          </w:tcPr>
          <w:p w:rsidR="00607A8C" w:rsidRPr="000577CE" w:rsidRDefault="00607A8C" w:rsidP="00ED610F">
            <w:pPr>
              <w:pStyle w:val="tabletext"/>
              <w:ind w:left="0"/>
              <w:jc w:val="both"/>
            </w:pPr>
            <w:r w:rsidRPr="000577CE">
              <w:t>Aviation kerosene</w:t>
            </w:r>
          </w:p>
        </w:tc>
        <w:tc>
          <w:tcPr>
            <w:tcW w:w="2275" w:type="dxa"/>
          </w:tcPr>
          <w:p w:rsidR="00607A8C" w:rsidRPr="00EF1D2D" w:rsidRDefault="00607A8C" w:rsidP="00ED610F">
            <w:pPr>
              <w:pStyle w:val="tabletext"/>
              <w:ind w:left="0"/>
              <w:jc w:val="center"/>
            </w:pPr>
            <w:r w:rsidRPr="00EF1D2D">
              <w:t>9</w:t>
            </w:r>
            <w:r w:rsidR="000B1A0E">
              <w:t>.</w:t>
            </w:r>
            <w:r w:rsidRPr="00EF1D2D">
              <w:t>835</w:t>
            </w:r>
          </w:p>
        </w:tc>
        <w:tc>
          <w:tcPr>
            <w:tcW w:w="2275" w:type="dxa"/>
          </w:tcPr>
          <w:p w:rsidR="00607A8C" w:rsidRPr="00EF1D2D" w:rsidRDefault="00607A8C" w:rsidP="00ED610F">
            <w:pPr>
              <w:pStyle w:val="tabletext"/>
              <w:ind w:left="0"/>
              <w:jc w:val="center"/>
            </w:pPr>
            <w:r>
              <w:t>3</w:t>
            </w:r>
            <w:r w:rsidR="000B1A0E">
              <w:t>.</w:t>
            </w:r>
            <w:r>
              <w:t>556</w:t>
            </w:r>
          </w:p>
        </w:tc>
      </w:tr>
      <w:tr w:rsidR="00607A8C" w:rsidTr="00AE7B73">
        <w:tc>
          <w:tcPr>
            <w:tcW w:w="2242" w:type="dxa"/>
          </w:tcPr>
          <w:p w:rsidR="00607A8C" w:rsidRPr="000577CE" w:rsidRDefault="00607A8C" w:rsidP="00ED610F">
            <w:pPr>
              <w:pStyle w:val="tabletext"/>
              <w:ind w:left="0"/>
              <w:jc w:val="both"/>
            </w:pPr>
            <w:r w:rsidRPr="000577CE">
              <w:t>Aviation gasoline</w:t>
            </w:r>
          </w:p>
        </w:tc>
        <w:tc>
          <w:tcPr>
            <w:tcW w:w="2275" w:type="dxa"/>
          </w:tcPr>
          <w:p w:rsidR="00607A8C" w:rsidRPr="00EF1D2D" w:rsidRDefault="00607A8C" w:rsidP="00ED610F">
            <w:pPr>
              <w:pStyle w:val="tabletext"/>
              <w:ind w:left="0"/>
              <w:jc w:val="center"/>
            </w:pPr>
            <w:r>
              <w:t>8</w:t>
            </w:r>
            <w:r w:rsidR="000B1A0E">
              <w:t>.</w:t>
            </w:r>
            <w:r w:rsidRPr="00EF1D2D">
              <w:t>869</w:t>
            </w:r>
          </w:p>
        </w:tc>
        <w:tc>
          <w:tcPr>
            <w:tcW w:w="2275" w:type="dxa"/>
          </w:tcPr>
          <w:p w:rsidR="00607A8C" w:rsidRPr="00EF1D2D" w:rsidRDefault="00607A8C" w:rsidP="00ED610F">
            <w:pPr>
              <w:pStyle w:val="tabletext"/>
              <w:ind w:left="0"/>
              <w:jc w:val="center"/>
            </w:pPr>
            <w:r>
              <w:t>3</w:t>
            </w:r>
            <w:r w:rsidR="000B1A0E">
              <w:t>.</w:t>
            </w:r>
            <w:r>
              <w:t>556</w:t>
            </w:r>
          </w:p>
        </w:tc>
      </w:tr>
    </w:tbl>
    <w:p w:rsidR="00742B27" w:rsidRPr="001243AA" w:rsidRDefault="00AE7B73" w:rsidP="008D2D55">
      <w:pPr>
        <w:pStyle w:val="base-text-paragraph"/>
        <w:numPr>
          <w:ilvl w:val="1"/>
          <w:numId w:val="25"/>
        </w:numPr>
        <w:rPr>
          <w:rStyle w:val="Referencingstyle"/>
          <w:b w:val="0"/>
          <w:i w:val="0"/>
          <w:sz w:val="22"/>
        </w:rPr>
      </w:pPr>
      <w:r w:rsidRPr="00254FBB">
        <w:t xml:space="preserve">Consequential amendments are made to the </w:t>
      </w:r>
      <w:r w:rsidRPr="002E0BB2">
        <w:rPr>
          <w:i/>
        </w:rPr>
        <w:t xml:space="preserve">Excise Tariff Act </w:t>
      </w:r>
      <w:r w:rsidR="002E0BB2" w:rsidRPr="002E0BB2">
        <w:rPr>
          <w:i/>
        </w:rPr>
        <w:t>1921</w:t>
      </w:r>
      <w:r w:rsidR="002E0BB2">
        <w:t xml:space="preserve"> </w:t>
      </w:r>
      <w:r w:rsidRPr="00254FBB">
        <w:t xml:space="preserve">and </w:t>
      </w:r>
      <w:r w:rsidRPr="002E0BB2">
        <w:rPr>
          <w:i/>
        </w:rPr>
        <w:t xml:space="preserve">Customs Tariff Act </w:t>
      </w:r>
      <w:r w:rsidR="002E0BB2" w:rsidRPr="002E0BB2">
        <w:rPr>
          <w:i/>
        </w:rPr>
        <w:t>1995</w:t>
      </w:r>
      <w:r w:rsidR="002E0BB2">
        <w:t xml:space="preserve"> </w:t>
      </w:r>
      <w:r w:rsidRPr="00254FBB">
        <w:t xml:space="preserve">to accommodate the removal of the carbon </w:t>
      </w:r>
      <w:r w:rsidRPr="001243AA">
        <w:t>compon</w:t>
      </w:r>
      <w:r w:rsidR="00ED610F" w:rsidRPr="001243AA">
        <w:t xml:space="preserve">ent rate from excise and excise </w:t>
      </w:r>
      <w:r w:rsidRPr="001243AA">
        <w:t>equivalent customs duty on aviation fuel</w:t>
      </w:r>
      <w:r w:rsidR="00D5237C" w:rsidRPr="001243AA">
        <w:t xml:space="preserve">.  </w:t>
      </w:r>
      <w:r w:rsidRPr="001243AA">
        <w:rPr>
          <w:rStyle w:val="Referencingstyle"/>
          <w:rFonts w:eastAsiaTheme="minorHAnsi"/>
        </w:rPr>
        <w:t>[</w:t>
      </w:r>
      <w:r w:rsidR="001243AA" w:rsidRPr="001243AA">
        <w:rPr>
          <w:rStyle w:val="Referencingstyle"/>
          <w:rFonts w:eastAsiaTheme="minorHAnsi"/>
        </w:rPr>
        <w:t>Excise Amendment Bill</w:t>
      </w:r>
      <w:r w:rsidRPr="001243AA">
        <w:rPr>
          <w:rStyle w:val="Referencingstyle"/>
          <w:rFonts w:eastAsiaTheme="minorHAnsi"/>
        </w:rPr>
        <w:t xml:space="preserve">, </w:t>
      </w:r>
      <w:r w:rsidR="004F08CD" w:rsidRPr="001243AA">
        <w:rPr>
          <w:rStyle w:val="Referencingstyle"/>
          <w:rFonts w:eastAsiaTheme="minorHAnsi"/>
        </w:rPr>
        <w:t>item</w:t>
      </w:r>
      <w:r w:rsidRPr="001243AA">
        <w:rPr>
          <w:rStyle w:val="Referencingstyle"/>
          <w:rFonts w:eastAsiaTheme="minorHAnsi"/>
        </w:rPr>
        <w:t>s 1 to 5</w:t>
      </w:r>
      <w:r w:rsidR="00D5237C" w:rsidRPr="001243AA">
        <w:rPr>
          <w:rStyle w:val="Referencingstyle"/>
          <w:rFonts w:eastAsiaTheme="minorHAnsi"/>
        </w:rPr>
        <w:t xml:space="preserve">, </w:t>
      </w:r>
      <w:r w:rsidR="00DB4076" w:rsidRPr="001243AA">
        <w:rPr>
          <w:rStyle w:val="Referencingstyle"/>
          <w:rFonts w:eastAsiaTheme="minorHAnsi"/>
        </w:rPr>
        <w:t>section</w:t>
      </w:r>
      <w:r w:rsidR="00ED610F" w:rsidRPr="001243AA">
        <w:rPr>
          <w:rStyle w:val="Referencingstyle"/>
          <w:rFonts w:eastAsiaTheme="minorHAnsi"/>
        </w:rPr>
        <w:t xml:space="preserve">s 3(1) and 5(1) and </w:t>
      </w:r>
      <w:r w:rsidRPr="001243AA">
        <w:rPr>
          <w:rStyle w:val="Referencingstyle"/>
          <w:rFonts w:eastAsiaTheme="minorHAnsi"/>
        </w:rPr>
        <w:t>sections 6FA, 6FB and 6FC, Excise Tariff Act</w:t>
      </w:r>
      <w:r w:rsidR="00384242" w:rsidRPr="001243AA">
        <w:rPr>
          <w:rStyle w:val="Referencingstyle"/>
          <w:rFonts w:eastAsiaTheme="minorHAnsi"/>
        </w:rPr>
        <w:t xml:space="preserve"> 1921</w:t>
      </w:r>
      <w:r w:rsidRPr="001243AA">
        <w:rPr>
          <w:rStyle w:val="Referencingstyle"/>
          <w:rFonts w:eastAsiaTheme="minorHAnsi"/>
        </w:rPr>
        <w:t>, Schedule (note 2 to Schedule heading and table heading)</w:t>
      </w:r>
      <w:r w:rsidR="004067EC" w:rsidRPr="001243AA">
        <w:rPr>
          <w:rStyle w:val="Referencingstyle"/>
          <w:rFonts w:eastAsiaTheme="minorHAnsi"/>
        </w:rPr>
        <w:t>,</w:t>
      </w:r>
      <w:r w:rsidRPr="001243AA">
        <w:rPr>
          <w:rStyle w:val="Referencingstyle"/>
          <w:rFonts w:eastAsiaTheme="minorHAnsi"/>
        </w:rPr>
        <w:t xml:space="preserve"> Excise Tariff Act 1921</w:t>
      </w:r>
      <w:r w:rsidR="00ED610F" w:rsidRPr="001243AA">
        <w:rPr>
          <w:rStyle w:val="Referencingstyle"/>
          <w:rFonts w:eastAsiaTheme="minorHAnsi"/>
        </w:rPr>
        <w:t>] [</w:t>
      </w:r>
      <w:r w:rsidR="001243AA" w:rsidRPr="001243AA">
        <w:rPr>
          <w:rStyle w:val="Referencingstyle"/>
          <w:rFonts w:eastAsiaTheme="minorHAnsi"/>
        </w:rPr>
        <w:t>Customs Amendment Bill</w:t>
      </w:r>
      <w:r w:rsidRPr="001243AA">
        <w:rPr>
          <w:rStyle w:val="Referencingstyle"/>
          <w:rFonts w:eastAsiaTheme="minorHAnsi"/>
        </w:rPr>
        <w:t xml:space="preserve">, </w:t>
      </w:r>
      <w:r w:rsidR="004F08CD" w:rsidRPr="001243AA">
        <w:rPr>
          <w:rStyle w:val="Referencingstyle"/>
          <w:rFonts w:eastAsiaTheme="minorHAnsi"/>
        </w:rPr>
        <w:t>item</w:t>
      </w:r>
      <w:r w:rsidRPr="001243AA">
        <w:rPr>
          <w:rStyle w:val="Referencingstyle"/>
          <w:rFonts w:eastAsiaTheme="minorHAnsi"/>
        </w:rPr>
        <w:t xml:space="preserve"> 1, section 19A, Customs Tariff Act 1995]</w:t>
      </w:r>
    </w:p>
    <w:p w:rsidR="00AE7B73" w:rsidRDefault="00AE7B73" w:rsidP="00AE7B73">
      <w:pPr>
        <w:pStyle w:val="Heading4"/>
      </w:pPr>
      <w:r w:rsidRPr="00AE7B73">
        <w:t>Removal of additional FTC for aviat</w:t>
      </w:r>
      <w:r w:rsidR="009F0446">
        <w:t>ion fuel subject to the Opt-in s</w:t>
      </w:r>
      <w:r w:rsidRPr="00AE7B73">
        <w:t>cheme</w:t>
      </w:r>
    </w:p>
    <w:p w:rsidR="00AE7B73" w:rsidRDefault="00AE7B73" w:rsidP="008D2D55">
      <w:pPr>
        <w:pStyle w:val="base-text-paragraph"/>
        <w:numPr>
          <w:ilvl w:val="1"/>
          <w:numId w:val="25"/>
        </w:numPr>
      </w:pPr>
      <w:r>
        <w:t xml:space="preserve">As </w:t>
      </w:r>
      <w:r w:rsidR="00584B43">
        <w:t xml:space="preserve">large </w:t>
      </w:r>
      <w:r>
        <w:t xml:space="preserve">users of aviation fuel were able to </w:t>
      </w:r>
      <w:r w:rsidR="009F0446">
        <w:t>o</w:t>
      </w:r>
      <w:r>
        <w:t>pt-in to be covered by the carbon pricing mechanism from 1 July 2013, the increases in rates of excise and excise</w:t>
      </w:r>
      <w:r w:rsidR="00ED610F">
        <w:t xml:space="preserve"> </w:t>
      </w:r>
      <w:r>
        <w:t xml:space="preserve">equivalent customs duty were offset by the provision of an additional FTC for aviation fuel covered by the </w:t>
      </w:r>
      <w:r w:rsidR="00961241">
        <w:t>O</w:t>
      </w:r>
      <w:r>
        <w:t>pt</w:t>
      </w:r>
      <w:r w:rsidR="00961241">
        <w:t>-</w:t>
      </w:r>
      <w:r>
        <w:t>in scheme</w:t>
      </w:r>
      <w:r w:rsidR="00D5237C">
        <w:t xml:space="preserve">.  </w:t>
      </w:r>
      <w:r>
        <w:t>However, only the part of the fuel tax attributable to the carbon component rate was eligible for FTCs (the part of the fuel tax comprising the hypothecated levy to f</w:t>
      </w:r>
      <w:r w:rsidR="00ED610F">
        <w:t>und CASA was not eligible for a</w:t>
      </w:r>
      <w:r>
        <w:t xml:space="preserve"> FTC)</w:t>
      </w:r>
      <w:r w:rsidR="00D5237C">
        <w:t xml:space="preserve">.  </w:t>
      </w:r>
    </w:p>
    <w:p w:rsidR="00AE7B73" w:rsidRDefault="00AE7B73" w:rsidP="008D2D55">
      <w:pPr>
        <w:pStyle w:val="base-text-paragraph"/>
        <w:numPr>
          <w:ilvl w:val="1"/>
          <w:numId w:val="25"/>
        </w:numPr>
      </w:pPr>
      <w:r>
        <w:t xml:space="preserve">These amendments remove the additional FTC for aviation fuel covered by the </w:t>
      </w:r>
      <w:r w:rsidR="009438B8">
        <w:t>O</w:t>
      </w:r>
      <w:r w:rsidR="009F0446">
        <w:t>pt-in s</w:t>
      </w:r>
      <w:r>
        <w:t xml:space="preserve">cheme, to reflect that the rates of duty on aviation fuel are reduced by the </w:t>
      </w:r>
      <w:r w:rsidR="00ED610F">
        <w:t xml:space="preserve">removal of the </w:t>
      </w:r>
      <w:r>
        <w:t>equivalent carbon price and that the fuels are also no longer covered by the carbon pricing mechanism</w:t>
      </w:r>
      <w:r w:rsidR="00D5237C">
        <w:t xml:space="preserve">.  </w:t>
      </w:r>
      <w:r>
        <w:t xml:space="preserve"> </w:t>
      </w:r>
      <w:r>
        <w:rPr>
          <w:rStyle w:val="Referencingstyle"/>
        </w:rPr>
        <w:t xml:space="preserve">[Schedule 1, </w:t>
      </w:r>
      <w:r w:rsidR="004F08CD">
        <w:rPr>
          <w:rStyle w:val="Referencingstyle"/>
        </w:rPr>
        <w:t>item</w:t>
      </w:r>
      <w:r>
        <w:rPr>
          <w:rStyle w:val="Referencingstyle"/>
        </w:rPr>
        <w:t>s 117 and 126,</w:t>
      </w:r>
      <w:r w:rsidR="002E0BB2">
        <w:rPr>
          <w:rStyle w:val="Referencingstyle"/>
        </w:rPr>
        <w:t xml:space="preserve"> </w:t>
      </w:r>
      <w:r w:rsidRPr="00AE7B73">
        <w:rPr>
          <w:rStyle w:val="Referencingstyle"/>
        </w:rPr>
        <w:t>section</w:t>
      </w:r>
      <w:r w:rsidR="00582FE9">
        <w:rPr>
          <w:rStyle w:val="Referencingstyle"/>
        </w:rPr>
        <w:t>s</w:t>
      </w:r>
      <w:r w:rsidRPr="00AE7B73">
        <w:rPr>
          <w:rStyle w:val="Referencingstyle"/>
        </w:rPr>
        <w:t xml:space="preserve"> 41-30(2) and 43-11, Fuel Tax Act]</w:t>
      </w:r>
      <w:r>
        <w:t xml:space="preserve">  </w:t>
      </w:r>
    </w:p>
    <w:p w:rsidR="00AE7B73" w:rsidRDefault="00AE7B73" w:rsidP="008D2D55">
      <w:pPr>
        <w:pStyle w:val="base-text-paragraph"/>
        <w:numPr>
          <w:ilvl w:val="1"/>
          <w:numId w:val="25"/>
        </w:numPr>
      </w:pPr>
      <w:r>
        <w:t xml:space="preserve">Consequential amendments are made to the Fuel Tax Act to reflect the removal of the additional FTC for aviation fuel covered by the </w:t>
      </w:r>
      <w:r w:rsidR="00961241">
        <w:t>O</w:t>
      </w:r>
      <w:r w:rsidR="009F0446">
        <w:t>pt-in s</w:t>
      </w:r>
      <w:r>
        <w:t>cheme</w:t>
      </w:r>
      <w:r w:rsidR="00D5237C">
        <w:t xml:space="preserve">.  </w:t>
      </w:r>
      <w:r w:rsidR="00ED610F" w:rsidRPr="00AE7B73">
        <w:rPr>
          <w:rStyle w:val="Referencingstyle"/>
        </w:rPr>
        <w:t xml:space="preserve">[Schedule 1, </w:t>
      </w:r>
      <w:r w:rsidR="00ED610F">
        <w:rPr>
          <w:rStyle w:val="Referencingstyle"/>
        </w:rPr>
        <w:t>item</w:t>
      </w:r>
      <w:r w:rsidR="00ED610F" w:rsidRPr="00AE7B73">
        <w:rPr>
          <w:rStyle w:val="Referencingstyle"/>
        </w:rPr>
        <w:t>s 108, 110, 111, 112, 115, 116, 120, 124, 125 and 138</w:t>
      </w:r>
      <w:r w:rsidR="00D5237C">
        <w:rPr>
          <w:rStyle w:val="Referencingstyle"/>
        </w:rPr>
        <w:t xml:space="preserve">, </w:t>
      </w:r>
      <w:r w:rsidR="00ED610F" w:rsidRPr="00AE7B73">
        <w:rPr>
          <w:rStyle w:val="Referencingstyle"/>
        </w:rPr>
        <w:t>sections 2-1, 40-5</w:t>
      </w:r>
      <w:r w:rsidR="002E0BB2">
        <w:rPr>
          <w:rStyle w:val="Referencingstyle"/>
        </w:rPr>
        <w:t xml:space="preserve">, </w:t>
      </w:r>
      <w:r w:rsidR="00ED610F" w:rsidRPr="00AE7B73">
        <w:rPr>
          <w:rStyle w:val="Referencingstyle"/>
        </w:rPr>
        <w:t>41</w:t>
      </w:r>
      <w:r w:rsidR="00ED610F">
        <w:rPr>
          <w:rStyle w:val="Referencingstyle"/>
        </w:rPr>
        <w:t>-</w:t>
      </w:r>
      <w:r w:rsidR="00ED610F" w:rsidRPr="00AE7B73">
        <w:rPr>
          <w:rStyle w:val="Referencingstyle"/>
        </w:rPr>
        <w:t>1</w:t>
      </w:r>
      <w:r w:rsidR="00ED610F">
        <w:rPr>
          <w:rStyle w:val="Referencingstyle"/>
        </w:rPr>
        <w:t xml:space="preserve">, </w:t>
      </w:r>
      <w:r w:rsidR="00ED610F" w:rsidRPr="00AE7B73">
        <w:rPr>
          <w:rStyle w:val="Referencingstyle"/>
        </w:rPr>
        <w:t xml:space="preserve">41-5(3)(b), </w:t>
      </w:r>
      <w:r w:rsidR="002E0BB2">
        <w:rPr>
          <w:rStyle w:val="Referencingstyle"/>
        </w:rPr>
        <w:t xml:space="preserve">41-30, 43-1, 43-10 and 110-5, </w:t>
      </w:r>
      <w:r w:rsidR="00ED610F" w:rsidRPr="00AE7B73">
        <w:rPr>
          <w:rStyle w:val="Referencingstyle"/>
        </w:rPr>
        <w:t>Fuel Tax Act]</w:t>
      </w:r>
      <w:r>
        <w:t xml:space="preserve">  </w:t>
      </w:r>
    </w:p>
    <w:p w:rsidR="003B172B" w:rsidRDefault="003B172B" w:rsidP="003B172B">
      <w:pPr>
        <w:pStyle w:val="Heading3"/>
      </w:pPr>
      <w:r w:rsidRPr="003B172B">
        <w:t>Consequential amendments to reflect the removal of the carbon pricing mechanism</w:t>
      </w:r>
    </w:p>
    <w:p w:rsidR="003B172B" w:rsidRDefault="003B172B" w:rsidP="003B172B">
      <w:pPr>
        <w:pStyle w:val="Heading4"/>
      </w:pPr>
      <w:r>
        <w:t xml:space="preserve">Removal of additional FTC for certain uses of non-transport gaseous fuels </w:t>
      </w:r>
    </w:p>
    <w:p w:rsidR="003B172B" w:rsidRPr="003B172B" w:rsidRDefault="003B172B" w:rsidP="008D2D55">
      <w:pPr>
        <w:pStyle w:val="base-text-paragraph"/>
        <w:numPr>
          <w:ilvl w:val="1"/>
          <w:numId w:val="25"/>
        </w:numPr>
      </w:pPr>
      <w:r w:rsidRPr="003B172B">
        <w:t>The equivalent carbon price is imposed on the non-transport use of gaseous fuels through the carbon pricing mechanism</w:t>
      </w:r>
      <w:r w:rsidR="00D5237C">
        <w:t xml:space="preserve">.  </w:t>
      </w:r>
      <w:r w:rsidRPr="003B172B">
        <w:t xml:space="preserve">However, as specified agriculture, forestry and fishery activities are exempt from the carbon tax, the non-transport use of gaseous fuels used in these activities receive an additional FTC to compensate for the effect of the </w:t>
      </w:r>
      <w:r w:rsidR="00CE4B52">
        <w:t xml:space="preserve">equivalent </w:t>
      </w:r>
      <w:r w:rsidRPr="003B172B">
        <w:t>carbon price which is embedded in the price of the gaseous fuel</w:t>
      </w:r>
      <w:r w:rsidR="00D5237C">
        <w:t xml:space="preserve">.  </w:t>
      </w:r>
    </w:p>
    <w:p w:rsidR="003B172B" w:rsidRPr="003B172B" w:rsidRDefault="003B172B" w:rsidP="008D2D55">
      <w:pPr>
        <w:pStyle w:val="base-text-paragraph"/>
        <w:numPr>
          <w:ilvl w:val="1"/>
          <w:numId w:val="25"/>
        </w:numPr>
      </w:pPr>
      <w:r w:rsidRPr="003B172B">
        <w:t>With the repeal of the carbon tax, this additional FTC for the non-transport use of gaseous fuels used in these activities is no longer required</w:t>
      </w:r>
      <w:r w:rsidR="00D5237C">
        <w:t xml:space="preserve">.  </w:t>
      </w:r>
      <w:r w:rsidRPr="003B172B">
        <w:t>Therefore, this additional FTC for the non-transport use of gaseous fuels used in specified agriculture, forestry and fishery activities is removed</w:t>
      </w:r>
      <w:r w:rsidR="00D5237C">
        <w:t xml:space="preserve">.  </w:t>
      </w:r>
      <w:r w:rsidRPr="003B172B">
        <w:rPr>
          <w:rStyle w:val="Referencingstyle"/>
        </w:rPr>
        <w:t>[Schedule 1, item 119, Division 42A</w:t>
      </w:r>
      <w:r w:rsidR="00D5237C">
        <w:rPr>
          <w:rStyle w:val="Referencingstyle"/>
        </w:rPr>
        <w:t xml:space="preserve">, </w:t>
      </w:r>
      <w:r w:rsidRPr="003B172B">
        <w:rPr>
          <w:rStyle w:val="Referencingstyle"/>
        </w:rPr>
        <w:t>Fuel Tax Act]</w:t>
      </w:r>
      <w:r w:rsidRPr="003B172B">
        <w:t xml:space="preserve">  </w:t>
      </w:r>
    </w:p>
    <w:p w:rsidR="003B172B" w:rsidRDefault="003B172B" w:rsidP="008D2D55">
      <w:pPr>
        <w:pStyle w:val="base-text-paragraph"/>
        <w:numPr>
          <w:ilvl w:val="1"/>
          <w:numId w:val="25"/>
        </w:numPr>
      </w:pPr>
      <w:r w:rsidRPr="003B172B">
        <w:t>Consequential amendments are also made to the Fuel Tax Act to reflect the removal of this additional FTC</w:t>
      </w:r>
      <w:r w:rsidR="00D5237C">
        <w:t xml:space="preserve">.  </w:t>
      </w:r>
      <w:r w:rsidRPr="003B172B">
        <w:rPr>
          <w:rStyle w:val="Referencingstyle"/>
        </w:rPr>
        <w:t>[Schedule 1, items 113, 114, 118, 127 to 134, 137, 139 to 142, 144 to</w:t>
      </w:r>
      <w:r w:rsidR="002E0BB2">
        <w:rPr>
          <w:rStyle w:val="Referencingstyle"/>
        </w:rPr>
        <w:t xml:space="preserve"> 146, 148 to 151, 153 and 154, section</w:t>
      </w:r>
      <w:r w:rsidR="00582FE9">
        <w:rPr>
          <w:rStyle w:val="Referencingstyle"/>
        </w:rPr>
        <w:t>s</w:t>
      </w:r>
      <w:r w:rsidR="002E0BB2">
        <w:rPr>
          <w:rStyle w:val="Referencingstyle"/>
        </w:rPr>
        <w:t xml:space="preserve"> 41-15(1)</w:t>
      </w:r>
      <w:r w:rsidR="00582FE9">
        <w:rPr>
          <w:rStyle w:val="Referencingstyle"/>
        </w:rPr>
        <w:t>,</w:t>
      </w:r>
      <w:r w:rsidR="00584B43">
        <w:rPr>
          <w:rStyle w:val="Referencingstyle"/>
        </w:rPr>
        <w:t xml:space="preserve"> 41</w:t>
      </w:r>
      <w:r w:rsidR="00584B43">
        <w:rPr>
          <w:rStyle w:val="Referencingstyle"/>
        </w:rPr>
        <w:noBreakHyphen/>
      </w:r>
      <w:r w:rsidRPr="003B172B">
        <w:rPr>
          <w:rStyle w:val="Referencingstyle"/>
        </w:rPr>
        <w:t xml:space="preserve">25(2)(a)(ii), 41-35 and 110-5 and </w:t>
      </w:r>
      <w:r w:rsidR="002E0BB2">
        <w:rPr>
          <w:rStyle w:val="Referencingstyle"/>
        </w:rPr>
        <w:t>S</w:t>
      </w:r>
      <w:r w:rsidRPr="003B172B">
        <w:rPr>
          <w:rStyle w:val="Referencingstyle"/>
        </w:rPr>
        <w:t>ubdivision 43-B</w:t>
      </w:r>
      <w:r w:rsidR="002E0BB2">
        <w:rPr>
          <w:rStyle w:val="Referencingstyle"/>
        </w:rPr>
        <w:t>,</w:t>
      </w:r>
      <w:r w:rsidR="00ED610F">
        <w:rPr>
          <w:rStyle w:val="Referencingstyle"/>
        </w:rPr>
        <w:t xml:space="preserve"> </w:t>
      </w:r>
      <w:r w:rsidRPr="003B172B">
        <w:rPr>
          <w:rStyle w:val="Referencingstyle"/>
        </w:rPr>
        <w:t xml:space="preserve">Fuel Tax Act] </w:t>
      </w:r>
      <w:r w:rsidRPr="003B172B">
        <w:t xml:space="preserve"> </w:t>
      </w:r>
    </w:p>
    <w:p w:rsidR="00DD4AB1" w:rsidRDefault="00DD4AB1" w:rsidP="00DD4AB1">
      <w:pPr>
        <w:pStyle w:val="Heading3"/>
      </w:pPr>
      <w:r>
        <w:t>Application provisions</w:t>
      </w:r>
    </w:p>
    <w:p w:rsidR="00DD4AB1" w:rsidRPr="008232F4" w:rsidRDefault="00DD4AB1" w:rsidP="008D2D55">
      <w:pPr>
        <w:pStyle w:val="base-text-paragraph"/>
        <w:numPr>
          <w:ilvl w:val="1"/>
          <w:numId w:val="25"/>
        </w:numPr>
        <w:rPr>
          <w:i/>
        </w:rPr>
      </w:pPr>
      <w:r>
        <w:t>The changes to FTCs apply to taxable fuel acquired, manufactured or imported on or after 1 July 2014</w:t>
      </w:r>
      <w:r w:rsidR="00D5237C">
        <w:rPr>
          <w:rStyle w:val="Referencingstyle"/>
        </w:rPr>
        <w:t xml:space="preserve">.  </w:t>
      </w:r>
      <w:r w:rsidRPr="008232F4">
        <w:rPr>
          <w:rStyle w:val="Referencingstyle"/>
          <w:rFonts w:eastAsiaTheme="minorHAnsi"/>
        </w:rPr>
        <w:t>[Schedule 1, items 334 and 335]</w:t>
      </w:r>
    </w:p>
    <w:p w:rsidR="00DD4AB1" w:rsidRDefault="00DD4AB1" w:rsidP="008D2D55">
      <w:pPr>
        <w:pStyle w:val="base-text-paragraph"/>
        <w:numPr>
          <w:ilvl w:val="1"/>
          <w:numId w:val="25"/>
        </w:numPr>
      </w:pPr>
      <w:r>
        <w:t>Nothing in the Carbon Tax Repeal Bills is intended to alter the existing definitions in the Fuel Tax Act</w:t>
      </w:r>
      <w:r w:rsidR="00D5237C">
        <w:t xml:space="preserve">.  </w:t>
      </w:r>
      <w:r>
        <w:t>The meaning of the terms ‘acquire’, ‘manufacture’ and ‘import’ are set out in Fuel Taxation Ruling FTR 2007/1</w:t>
      </w:r>
      <w:r w:rsidR="00D5237C">
        <w:t xml:space="preserve">.  </w:t>
      </w:r>
      <w:r>
        <w:t>The changes to rates of excise duty apply to goods that are entered for home consumption on or after 1 July 2014</w:t>
      </w:r>
      <w:r w:rsidR="00D5237C">
        <w:t xml:space="preserve">.  </w:t>
      </w:r>
      <w:r w:rsidR="00E112A7">
        <w:rPr>
          <w:rStyle w:val="Referencingstyle"/>
        </w:rPr>
        <w:t>[</w:t>
      </w:r>
      <w:r w:rsidR="001243AA">
        <w:rPr>
          <w:rStyle w:val="Referencingstyle"/>
        </w:rPr>
        <w:t>Excise Amendment Bill</w:t>
      </w:r>
      <w:r>
        <w:rPr>
          <w:rStyle w:val="Referencingstyle"/>
        </w:rPr>
        <w:t>, item 8]</w:t>
      </w:r>
    </w:p>
    <w:p w:rsidR="00DD4AB1" w:rsidRDefault="008232F4" w:rsidP="008D2D55">
      <w:pPr>
        <w:pStyle w:val="base-text-paragraph"/>
        <w:numPr>
          <w:ilvl w:val="1"/>
          <w:numId w:val="25"/>
        </w:numPr>
      </w:pPr>
      <w:r>
        <w:t xml:space="preserve">The changes to rates of excise </w:t>
      </w:r>
      <w:r w:rsidR="00DD4AB1">
        <w:t>equivalent customs duty apply to goods imported into Australia on or after 1 July 2014, and to goods imported before that time where the time for working out the rate of import duty on the goods has not yet occurred</w:t>
      </w:r>
      <w:r w:rsidR="00D5237C">
        <w:t xml:space="preserve">.  </w:t>
      </w:r>
      <w:r w:rsidR="00E112A7">
        <w:rPr>
          <w:rStyle w:val="Referencingstyle"/>
        </w:rPr>
        <w:t>[</w:t>
      </w:r>
      <w:r w:rsidR="001243AA">
        <w:rPr>
          <w:rStyle w:val="Referencingstyle"/>
        </w:rPr>
        <w:t>Customs Amendment Bill</w:t>
      </w:r>
      <w:r w:rsidR="00DD4AB1">
        <w:rPr>
          <w:rStyle w:val="Referencingstyle"/>
        </w:rPr>
        <w:t>, i</w:t>
      </w:r>
      <w:r w:rsidR="00E112A7">
        <w:rPr>
          <w:rStyle w:val="Referencingstyle"/>
        </w:rPr>
        <w:t>tem 38</w:t>
      </w:r>
      <w:r w:rsidR="00352B06">
        <w:rPr>
          <w:rStyle w:val="Referencingstyle"/>
        </w:rPr>
        <w:t>]</w:t>
      </w:r>
    </w:p>
    <w:p w:rsidR="003B172B" w:rsidRPr="003B172B" w:rsidRDefault="003B172B" w:rsidP="00EB3186">
      <w:pPr>
        <w:pStyle w:val="base-text-paragraph"/>
        <w:numPr>
          <w:ilvl w:val="0"/>
          <w:numId w:val="0"/>
        </w:numPr>
        <w:ind w:left="1134"/>
      </w:pPr>
    </w:p>
    <w:p w:rsidR="00C15219" w:rsidRDefault="00C15219" w:rsidP="00C15219">
      <w:pPr>
        <w:pStyle w:val="ChapterHeading"/>
        <w:numPr>
          <w:ilvl w:val="0"/>
          <w:numId w:val="0"/>
        </w:numPr>
        <w:rPr>
          <w:rStyle w:val="Font30point"/>
        </w:rPr>
        <w:sectPr w:rsidR="00C15219" w:rsidSect="00196E2B">
          <w:headerReference w:type="default" r:id="rId33"/>
          <w:type w:val="oddPage"/>
          <w:pgSz w:w="11906" w:h="16838" w:code="9"/>
          <w:pgMar w:top="2466" w:right="2098" w:bottom="2466" w:left="2098" w:header="1559" w:footer="1899" w:gutter="0"/>
          <w:cols w:space="708"/>
          <w:titlePg/>
          <w:docGrid w:linePitch="360"/>
        </w:sectPr>
      </w:pPr>
    </w:p>
    <w:p w:rsidR="00EB3186" w:rsidRDefault="00EB3186" w:rsidP="00C15219">
      <w:pPr>
        <w:pStyle w:val="ChapterHeading"/>
        <w:numPr>
          <w:ilvl w:val="0"/>
          <w:numId w:val="0"/>
        </w:numPr>
      </w:pPr>
      <w:bookmarkStart w:id="11" w:name="_Toc393138979"/>
      <w:r w:rsidRPr="008A062B">
        <w:rPr>
          <w:rStyle w:val="Font30point"/>
        </w:rPr>
        <w:t>C</w:t>
      </w:r>
      <w:r w:rsidRPr="008A062B">
        <w:rPr>
          <w:rStyle w:val="Font15point"/>
        </w:rPr>
        <w:t xml:space="preserve">hapter </w:t>
      </w:r>
      <w:r>
        <w:rPr>
          <w:rStyle w:val="Font19point"/>
        </w:rPr>
        <w:t>6</w:t>
      </w:r>
      <w:r>
        <w:tab/>
      </w:r>
      <w:r>
        <w:br/>
      </w:r>
      <w:r w:rsidR="00852239">
        <w:t xml:space="preserve">Removal of equivalent carbon price </w:t>
      </w:r>
      <w:r w:rsidR="00453679">
        <w:t>from</w:t>
      </w:r>
      <w:r w:rsidR="00852239">
        <w:t xml:space="preserve"> s</w:t>
      </w:r>
      <w:r w:rsidR="002C3AB6" w:rsidRPr="002C3AB6">
        <w:t xml:space="preserve">ynthetic </w:t>
      </w:r>
      <w:r w:rsidR="00852239">
        <w:t>g</w:t>
      </w:r>
      <w:r w:rsidR="002C3AB6" w:rsidRPr="002C3AB6">
        <w:t xml:space="preserve">reenhouse </w:t>
      </w:r>
      <w:r w:rsidR="00852239">
        <w:t>g</w:t>
      </w:r>
      <w:r w:rsidR="002C3AB6" w:rsidRPr="002C3AB6">
        <w:t>ases</w:t>
      </w:r>
      <w:bookmarkEnd w:id="11"/>
    </w:p>
    <w:p w:rsidR="00EB3186" w:rsidRDefault="00EB3186" w:rsidP="00372296">
      <w:pPr>
        <w:pStyle w:val="Heading2"/>
      </w:pPr>
      <w:r>
        <w:t>Outline of chapter</w:t>
      </w:r>
    </w:p>
    <w:p w:rsidR="009C1A3F" w:rsidRPr="009C1A3F" w:rsidRDefault="009C1A3F" w:rsidP="009C1A3F">
      <w:pPr>
        <w:pStyle w:val="ListParagraph"/>
        <w:numPr>
          <w:ilvl w:val="0"/>
          <w:numId w:val="24"/>
        </w:numPr>
        <w:contextualSpacing w:val="0"/>
        <w:rPr>
          <w:vanish/>
        </w:rPr>
      </w:pPr>
    </w:p>
    <w:p w:rsidR="009C1A3F" w:rsidRPr="009C1A3F" w:rsidRDefault="009C1A3F" w:rsidP="009C1A3F">
      <w:pPr>
        <w:pStyle w:val="ListParagraph"/>
        <w:numPr>
          <w:ilvl w:val="0"/>
          <w:numId w:val="24"/>
        </w:numPr>
        <w:contextualSpacing w:val="0"/>
        <w:rPr>
          <w:vanish/>
        </w:rPr>
      </w:pPr>
    </w:p>
    <w:p w:rsidR="009C1A3F" w:rsidRPr="009C1A3F" w:rsidRDefault="009C1A3F" w:rsidP="009C1A3F">
      <w:pPr>
        <w:pStyle w:val="ListParagraph"/>
        <w:numPr>
          <w:ilvl w:val="0"/>
          <w:numId w:val="24"/>
        </w:numPr>
        <w:contextualSpacing w:val="0"/>
        <w:rPr>
          <w:vanish/>
        </w:rPr>
      </w:pPr>
    </w:p>
    <w:p w:rsidR="009C1A3F" w:rsidRPr="009C1A3F" w:rsidRDefault="009C1A3F" w:rsidP="009C1A3F">
      <w:pPr>
        <w:pStyle w:val="ListParagraph"/>
        <w:numPr>
          <w:ilvl w:val="0"/>
          <w:numId w:val="24"/>
        </w:numPr>
        <w:contextualSpacing w:val="0"/>
        <w:rPr>
          <w:vanish/>
        </w:rPr>
      </w:pPr>
    </w:p>
    <w:p w:rsidR="009C1A3F" w:rsidRPr="009C1A3F" w:rsidRDefault="009C1A3F" w:rsidP="009C1A3F">
      <w:pPr>
        <w:pStyle w:val="ListParagraph"/>
        <w:numPr>
          <w:ilvl w:val="0"/>
          <w:numId w:val="24"/>
        </w:numPr>
        <w:contextualSpacing w:val="0"/>
        <w:rPr>
          <w:vanish/>
        </w:rPr>
      </w:pPr>
    </w:p>
    <w:p w:rsidR="009C1A3F" w:rsidRPr="009C1A3F" w:rsidRDefault="009C1A3F" w:rsidP="009C1A3F">
      <w:pPr>
        <w:pStyle w:val="ListParagraph"/>
        <w:numPr>
          <w:ilvl w:val="0"/>
          <w:numId w:val="24"/>
        </w:numPr>
        <w:contextualSpacing w:val="0"/>
        <w:rPr>
          <w:vanish/>
        </w:rPr>
      </w:pPr>
    </w:p>
    <w:p w:rsidR="00EB3186" w:rsidRDefault="002E0BB2" w:rsidP="009C1A3F">
      <w:pPr>
        <w:pStyle w:val="base-text-paragraph"/>
        <w:numPr>
          <w:ilvl w:val="1"/>
          <w:numId w:val="24"/>
        </w:numPr>
      </w:pPr>
      <w:r w:rsidRPr="00A409EC">
        <w:t xml:space="preserve">Chapter </w:t>
      </w:r>
      <w:r>
        <w:t>6</w:t>
      </w:r>
      <w:r w:rsidRPr="00A409EC">
        <w:t xml:space="preserve"> describes </w:t>
      </w:r>
      <w:r>
        <w:t xml:space="preserve">the arrangements necessary for repealing the equivalent carbon price applied to SGGs and equipment containing SGGs through the </w:t>
      </w:r>
      <w:r w:rsidRPr="0012420B">
        <w:t>Ozone</w:t>
      </w:r>
      <w:r>
        <w:t xml:space="preserve"> </w:t>
      </w:r>
      <w:r w:rsidRPr="0012420B">
        <w:t>Management Act</w:t>
      </w:r>
      <w:r>
        <w:t>, Ozone (Import Levy) Act and Ozone (Manufacture Levy) Act, including the following specific amendments</w:t>
      </w:r>
      <w:r w:rsidR="002C3AB6">
        <w:t>:</w:t>
      </w:r>
    </w:p>
    <w:p w:rsidR="002C3AB6" w:rsidRPr="002C3AB6" w:rsidRDefault="002C3AB6" w:rsidP="002C3AB6">
      <w:pPr>
        <w:pStyle w:val="dotpoint"/>
      </w:pPr>
      <w:r w:rsidRPr="002C3AB6">
        <w:t xml:space="preserve">repealing the </w:t>
      </w:r>
      <w:r w:rsidR="00B479C3">
        <w:t>equivalent carbon price</w:t>
      </w:r>
      <w:r w:rsidRPr="002C3AB6">
        <w:t xml:space="preserve"> from the </w:t>
      </w:r>
      <w:r w:rsidR="00F43D71">
        <w:t xml:space="preserve">Ozone </w:t>
      </w:r>
      <w:r w:rsidR="008232F4">
        <w:t>(Import Levy) Act</w:t>
      </w:r>
      <w:r w:rsidRPr="002C3AB6">
        <w:t>;</w:t>
      </w:r>
    </w:p>
    <w:p w:rsidR="002C3AB6" w:rsidRPr="002C3AB6" w:rsidRDefault="002E0BB2" w:rsidP="002C3AB6">
      <w:pPr>
        <w:pStyle w:val="dotpoint"/>
      </w:pPr>
      <w:r w:rsidRPr="002C3AB6">
        <w:t xml:space="preserve">repealing the </w:t>
      </w:r>
      <w:r>
        <w:t>equivalent carbon price</w:t>
      </w:r>
      <w:r w:rsidRPr="002C3AB6">
        <w:t xml:space="preserve"> from the Ozone (Manufacture Levy) Act</w:t>
      </w:r>
      <w:r w:rsidR="002C3AB6" w:rsidRPr="002C3AB6">
        <w:t>;</w:t>
      </w:r>
    </w:p>
    <w:p w:rsidR="002C3AB6" w:rsidRPr="002C3AB6" w:rsidRDefault="002C3AB6" w:rsidP="002C3AB6">
      <w:pPr>
        <w:pStyle w:val="dotpoint"/>
      </w:pPr>
      <w:r w:rsidRPr="002C3AB6">
        <w:t xml:space="preserve">allowing the importation or manufacture of </w:t>
      </w:r>
      <w:r w:rsidR="003958BB">
        <w:t>SGGs</w:t>
      </w:r>
      <w:r w:rsidRPr="002C3AB6">
        <w:t xml:space="preserve"> to be used in medical equipment to be exempt from the </w:t>
      </w:r>
      <w:r w:rsidR="00F43D71">
        <w:t xml:space="preserve">Ozone (Import Levy) Act </w:t>
      </w:r>
      <w:r w:rsidRPr="002C3AB6">
        <w:t xml:space="preserve">and Ozone (Manufacture Levy) Act; </w:t>
      </w:r>
    </w:p>
    <w:p w:rsidR="002C3AB6" w:rsidRPr="002C3AB6" w:rsidRDefault="002C3AB6" w:rsidP="002C3AB6">
      <w:pPr>
        <w:pStyle w:val="dotpoint"/>
      </w:pPr>
      <w:r w:rsidRPr="002C3AB6">
        <w:t xml:space="preserve">repealing provisions to allow for refund of the </w:t>
      </w:r>
      <w:r w:rsidR="00B479C3">
        <w:t>equivalent carbon price</w:t>
      </w:r>
      <w:r w:rsidRPr="002C3AB6">
        <w:t xml:space="preserve"> on </w:t>
      </w:r>
      <w:r w:rsidR="003958BB">
        <w:t>SGG</w:t>
      </w:r>
      <w:r w:rsidR="008232F4">
        <w:t>s</w:t>
      </w:r>
      <w:r w:rsidRPr="002C3AB6">
        <w:t xml:space="preserve"> and products containing these gases on export</w:t>
      </w:r>
      <w:r w:rsidR="00B32BDD">
        <w:t xml:space="preserve"> (export refund scheme)</w:t>
      </w:r>
      <w:r w:rsidRPr="002C3AB6">
        <w:t xml:space="preserve">; </w:t>
      </w:r>
      <w:r w:rsidR="00584B43">
        <w:t>and</w:t>
      </w:r>
    </w:p>
    <w:p w:rsidR="002C3AB6" w:rsidRDefault="002C3AB6" w:rsidP="002C3AB6">
      <w:pPr>
        <w:pStyle w:val="dotpoint"/>
      </w:pPr>
      <w:r w:rsidRPr="002C3AB6">
        <w:t>providing transitional provisions for the export refund scheme</w:t>
      </w:r>
      <w:r w:rsidR="00D5237C">
        <w:t xml:space="preserve">.  </w:t>
      </w:r>
    </w:p>
    <w:p w:rsidR="00EB3186" w:rsidRDefault="00EB3186" w:rsidP="00372296">
      <w:pPr>
        <w:pStyle w:val="Heading2"/>
      </w:pPr>
      <w:r>
        <w:t>Context of amendments</w:t>
      </w:r>
    </w:p>
    <w:p w:rsidR="00361657" w:rsidRDefault="00361657" w:rsidP="00361657">
      <w:pPr>
        <w:pStyle w:val="Heading3"/>
        <w:rPr>
          <w:highlight w:val="yellow"/>
        </w:rPr>
      </w:pPr>
      <w:r>
        <w:t xml:space="preserve">Repealing the </w:t>
      </w:r>
      <w:r w:rsidR="00B479C3">
        <w:t>equivalent carbon price</w:t>
      </w:r>
      <w:r>
        <w:t xml:space="preserve"> </w:t>
      </w:r>
    </w:p>
    <w:p w:rsidR="00361657" w:rsidRDefault="00361657" w:rsidP="00330CB0">
      <w:pPr>
        <w:pStyle w:val="base-text-paragraph"/>
        <w:numPr>
          <w:ilvl w:val="1"/>
          <w:numId w:val="24"/>
        </w:numPr>
      </w:pPr>
      <w:r>
        <w:t xml:space="preserve">The Clean Energy Legislation introduced an equivalent carbon price, which applies to the import or manufacture of bulk </w:t>
      </w:r>
      <w:r w:rsidR="003958BB">
        <w:t>SGGs</w:t>
      </w:r>
      <w:r>
        <w:t xml:space="preserve"> and import of all products containing these gases</w:t>
      </w:r>
      <w:r w:rsidR="00D5237C">
        <w:t xml:space="preserve">.  </w:t>
      </w:r>
      <w:r>
        <w:t>The equivalent carbon price is applied and calculated at the point of import or manufacture</w:t>
      </w:r>
      <w:r w:rsidR="00D5237C">
        <w:t xml:space="preserve">.  </w:t>
      </w:r>
    </w:p>
    <w:p w:rsidR="002C3AB6" w:rsidRPr="00254FBB" w:rsidRDefault="00361657" w:rsidP="00330CB0">
      <w:pPr>
        <w:pStyle w:val="base-text-paragraph"/>
        <w:numPr>
          <w:ilvl w:val="1"/>
          <w:numId w:val="24"/>
        </w:numPr>
      </w:pPr>
      <w:r w:rsidRPr="00254FBB">
        <w:t xml:space="preserve">The equivalent carbon price for </w:t>
      </w:r>
      <w:r w:rsidR="003958BB">
        <w:t>SGGs</w:t>
      </w:r>
      <w:r w:rsidR="003958BB" w:rsidRPr="00254FBB">
        <w:t xml:space="preserve"> </w:t>
      </w:r>
      <w:r w:rsidRPr="00254FBB">
        <w:t>is calculated using the value of the carbon tax and the global warming potential for each gas relative to carbon dioxide</w:t>
      </w:r>
      <w:r w:rsidR="00D5237C">
        <w:t xml:space="preserve">.  </w:t>
      </w:r>
      <w:r w:rsidRPr="00254FBB">
        <w:t xml:space="preserve">The combination of these is called the ‘applicable charge rate’ in the </w:t>
      </w:r>
      <w:r w:rsidR="00F43D71">
        <w:t xml:space="preserve">Ozone (Import Levy) Act </w:t>
      </w:r>
      <w:r w:rsidRPr="00254FBB">
        <w:t>or Ozone (Manufacture Levy) Act</w:t>
      </w:r>
      <w:r w:rsidR="00D5237C">
        <w:t xml:space="preserve">.  </w:t>
      </w:r>
      <w:r w:rsidRPr="00254FBB">
        <w:t xml:space="preserve">The applicable charge rate is part of the levy charged on the import or manufacture of </w:t>
      </w:r>
      <w:r w:rsidR="003958BB">
        <w:t>SGGs</w:t>
      </w:r>
      <w:r w:rsidR="003958BB" w:rsidRPr="00254FBB">
        <w:t xml:space="preserve"> </w:t>
      </w:r>
      <w:r w:rsidRPr="00254FBB">
        <w:t>or products that contain these gases</w:t>
      </w:r>
      <w:r w:rsidR="00D5237C">
        <w:t xml:space="preserve">.  </w:t>
      </w:r>
      <w:r w:rsidR="00F864CE" w:rsidRPr="00254FBB">
        <w:t>The other part of the levy (the cost recovery component)</w:t>
      </w:r>
      <w:r w:rsidR="003958BB">
        <w:t xml:space="preserve">, outlined in section </w:t>
      </w:r>
      <w:r w:rsidR="003958BB" w:rsidRPr="00254FBB">
        <w:t>6</w:t>
      </w:r>
      <w:r w:rsidR="003958BB">
        <w:t>5D of the Ozone Management Act,</w:t>
      </w:r>
      <w:r w:rsidR="00F864CE" w:rsidRPr="00254FBB">
        <w:t xml:space="preserve"> was applied before the introduction of the </w:t>
      </w:r>
      <w:r w:rsidR="00B32BDD">
        <w:t>C</w:t>
      </w:r>
      <w:r w:rsidR="00F864CE" w:rsidRPr="00254FBB">
        <w:t xml:space="preserve">lean </w:t>
      </w:r>
      <w:r w:rsidR="00B32BDD">
        <w:t>E</w:t>
      </w:r>
      <w:r w:rsidR="00F864CE" w:rsidRPr="00254FBB">
        <w:t xml:space="preserve">nergy </w:t>
      </w:r>
      <w:r w:rsidR="00B32BDD">
        <w:t>L</w:t>
      </w:r>
      <w:r w:rsidR="00F864CE" w:rsidRPr="00254FBB">
        <w:t>egislation and will continue after the carbon tax is repealed as it relates to administering the Ozone Protection and SGG Prog</w:t>
      </w:r>
      <w:r w:rsidR="003958BB">
        <w:t>ram, including the legislation</w:t>
      </w:r>
      <w:r w:rsidR="00D5237C">
        <w:t xml:space="preserve">.  </w:t>
      </w:r>
    </w:p>
    <w:p w:rsidR="003958BB" w:rsidRDefault="002C3AB6" w:rsidP="00330CB0">
      <w:pPr>
        <w:pStyle w:val="base-text-paragraph"/>
        <w:numPr>
          <w:ilvl w:val="1"/>
          <w:numId w:val="24"/>
        </w:numPr>
      </w:pPr>
      <w:r w:rsidRPr="00A409EC">
        <w:t xml:space="preserve">The </w:t>
      </w:r>
      <w:r w:rsidR="007C3C09">
        <w:t>Main Repeal Bill</w:t>
      </w:r>
      <w:r w:rsidR="00C30F7F">
        <w:t>, the Ozone Manufacture Amendment Bill and the Ozone Import Amendment Bill</w:t>
      </w:r>
      <w:r w:rsidR="007C3C09">
        <w:t xml:space="preserve"> </w:t>
      </w:r>
      <w:r w:rsidR="00C30F7F">
        <w:t>remove</w:t>
      </w:r>
      <w:r>
        <w:t xml:space="preserve"> the </w:t>
      </w:r>
      <w:r w:rsidR="00361657">
        <w:t xml:space="preserve">applicable charge rate </w:t>
      </w:r>
      <w:r>
        <w:t xml:space="preserve">from the </w:t>
      </w:r>
      <w:r w:rsidRPr="00361657">
        <w:t xml:space="preserve">Ozone Management Act, </w:t>
      </w:r>
      <w:r w:rsidR="00F43D71">
        <w:t xml:space="preserve">Ozone (Import Levy) Act </w:t>
      </w:r>
      <w:r>
        <w:t xml:space="preserve">and the </w:t>
      </w:r>
      <w:r w:rsidR="00F43D71">
        <w:t xml:space="preserve">Ozone (Manufacture Levy) Act </w:t>
      </w:r>
      <w:r>
        <w:t>from 1 July 2014</w:t>
      </w:r>
      <w:r w:rsidR="00D5237C">
        <w:t xml:space="preserve">.  </w:t>
      </w:r>
      <w:r>
        <w:t xml:space="preserve">This ensures that importers and manufactures of </w:t>
      </w:r>
      <w:r w:rsidR="003958BB">
        <w:t>SGG</w:t>
      </w:r>
      <w:r>
        <w:t xml:space="preserve"> and products containing these gases will not incur a liability to pay the </w:t>
      </w:r>
      <w:r w:rsidR="00B479C3">
        <w:t>equivalent carbon price</w:t>
      </w:r>
      <w:r>
        <w:t xml:space="preserve"> for gas manufactured, and gas and equipment imported, from 1</w:t>
      </w:r>
      <w:r w:rsidR="00361657">
        <w:t> July </w:t>
      </w:r>
      <w:r>
        <w:t>2014</w:t>
      </w:r>
      <w:r w:rsidR="00A77692">
        <w:t>.</w:t>
      </w:r>
    </w:p>
    <w:p w:rsidR="00EB3186" w:rsidRDefault="00EB3186" w:rsidP="00372296">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EB3186" w:rsidRPr="004666B8" w:rsidTr="00372296">
        <w:tc>
          <w:tcPr>
            <w:tcW w:w="3275" w:type="dxa"/>
          </w:tcPr>
          <w:p w:rsidR="00EB3186" w:rsidRPr="004666B8" w:rsidRDefault="00EB3186" w:rsidP="00372296">
            <w:pPr>
              <w:pStyle w:val="tableheaderwithintable"/>
              <w:rPr>
                <w:lang w:val="en-US" w:eastAsia="en-US"/>
              </w:rPr>
            </w:pPr>
            <w:r w:rsidRPr="004666B8">
              <w:rPr>
                <w:lang w:val="en-US" w:eastAsia="en-US"/>
              </w:rPr>
              <w:t>New law</w:t>
            </w:r>
          </w:p>
        </w:tc>
        <w:tc>
          <w:tcPr>
            <w:tcW w:w="3276" w:type="dxa"/>
          </w:tcPr>
          <w:p w:rsidR="00EB3186" w:rsidRPr="004666B8" w:rsidRDefault="00EB3186" w:rsidP="00372296">
            <w:pPr>
              <w:pStyle w:val="tableheaderwithintable"/>
              <w:rPr>
                <w:lang w:val="en-US" w:eastAsia="en-US"/>
              </w:rPr>
            </w:pPr>
            <w:r w:rsidRPr="004666B8">
              <w:rPr>
                <w:lang w:val="en-US" w:eastAsia="en-US"/>
              </w:rPr>
              <w:t>Current law</w:t>
            </w:r>
          </w:p>
        </w:tc>
      </w:tr>
      <w:tr w:rsidR="003958BB" w:rsidRPr="004666B8" w:rsidTr="003958BB">
        <w:tc>
          <w:tcPr>
            <w:tcW w:w="6551" w:type="dxa"/>
            <w:gridSpan w:val="2"/>
          </w:tcPr>
          <w:p w:rsidR="003958BB" w:rsidRPr="003958BB" w:rsidRDefault="005133E3" w:rsidP="003958BB">
            <w:pPr>
              <w:pStyle w:val="tabletext"/>
              <w:jc w:val="center"/>
              <w:rPr>
                <w:lang w:val="en-US" w:eastAsia="en-US"/>
              </w:rPr>
            </w:pPr>
            <w:r w:rsidRPr="005133E3">
              <w:rPr>
                <w:b/>
              </w:rPr>
              <w:t xml:space="preserve">Repealing the </w:t>
            </w:r>
            <w:r w:rsidR="00B479C3">
              <w:rPr>
                <w:b/>
              </w:rPr>
              <w:t>equivalent carbon price on SGGs</w:t>
            </w:r>
          </w:p>
        </w:tc>
      </w:tr>
      <w:tr w:rsidR="003958BB" w:rsidRPr="004666B8" w:rsidTr="00372296">
        <w:tc>
          <w:tcPr>
            <w:tcW w:w="3275" w:type="dxa"/>
          </w:tcPr>
          <w:p w:rsidR="003958BB" w:rsidRPr="004666B8" w:rsidRDefault="005133E3" w:rsidP="000C2E94">
            <w:pPr>
              <w:pStyle w:val="tabletext"/>
              <w:rPr>
                <w:lang w:val="en-US" w:eastAsia="en-US"/>
              </w:rPr>
            </w:pPr>
            <w:r>
              <w:t>An equivalent carbon price applies to SGGs imported or manufactured before 1 July 2014</w:t>
            </w:r>
            <w:r w:rsidR="00B32BDD">
              <w:t xml:space="preserve"> but not from that date</w:t>
            </w:r>
            <w:r w:rsidR="00D5237C">
              <w:t xml:space="preserve">.  </w:t>
            </w:r>
          </w:p>
        </w:tc>
        <w:tc>
          <w:tcPr>
            <w:tcW w:w="3276" w:type="dxa"/>
          </w:tcPr>
          <w:p w:rsidR="003958BB" w:rsidRPr="004666B8" w:rsidRDefault="003958BB" w:rsidP="005133E3">
            <w:pPr>
              <w:pStyle w:val="tabletext"/>
              <w:rPr>
                <w:lang w:val="en-US" w:eastAsia="en-US"/>
              </w:rPr>
            </w:pPr>
            <w:r>
              <w:t>An equivalent carbon price applies to the import or manufacture of bulk SGGs and import of all products containing these gases</w:t>
            </w:r>
            <w:r w:rsidR="00D5237C">
              <w:t xml:space="preserve">.  </w:t>
            </w:r>
            <w:r w:rsidR="00584B43">
              <w:t>The </w:t>
            </w:r>
            <w:r w:rsidR="005133E3">
              <w:t>equivalent carbon price is applied and calculated at the point of import or manufacture</w:t>
            </w:r>
            <w:r w:rsidR="008232F4">
              <w:t>.</w:t>
            </w:r>
          </w:p>
        </w:tc>
      </w:tr>
    </w:tbl>
    <w:p w:rsidR="00EB3186" w:rsidRDefault="00EB3186" w:rsidP="00372296">
      <w:pPr>
        <w:pStyle w:val="Heading2"/>
      </w:pPr>
      <w:r>
        <w:t>Detailed explanation of new law</w:t>
      </w:r>
    </w:p>
    <w:p w:rsidR="00030E0E" w:rsidRDefault="00030E0E" w:rsidP="00030E0E">
      <w:pPr>
        <w:pStyle w:val="Heading3"/>
      </w:pPr>
      <w:r>
        <w:t>General provisions</w:t>
      </w:r>
    </w:p>
    <w:p w:rsidR="00030E0E" w:rsidRPr="00995345" w:rsidRDefault="00030E0E" w:rsidP="00330CB0">
      <w:pPr>
        <w:pStyle w:val="base-text-paragraph"/>
        <w:numPr>
          <w:ilvl w:val="1"/>
          <w:numId w:val="24"/>
        </w:numPr>
      </w:pPr>
      <w:r w:rsidRPr="001A02DF">
        <w:t>When enacted</w:t>
      </w:r>
      <w:r>
        <w:t xml:space="preserve">, the names of the Ozone Manufacture Amendment Bill and the Ozone Import Amendment Bill will be the </w:t>
      </w:r>
      <w:r w:rsidRPr="005D4671">
        <w:rPr>
          <w:i/>
        </w:rPr>
        <w:t>Ozone Protection and Synthetic Greenhouse Gas (Manufacture Levy) Amendment (</w:t>
      </w:r>
      <w:r w:rsidR="00622B79">
        <w:rPr>
          <w:i/>
        </w:rPr>
        <w:t>Carbon Tax Repeal</w:t>
      </w:r>
      <w:r w:rsidRPr="005D4671">
        <w:rPr>
          <w:i/>
        </w:rPr>
        <w:t xml:space="preserve">) Act </w:t>
      </w:r>
      <w:r w:rsidR="00C90ACA">
        <w:rPr>
          <w:i/>
        </w:rPr>
        <w:t>2014</w:t>
      </w:r>
      <w:r>
        <w:t xml:space="preserve"> and the </w:t>
      </w:r>
      <w:r w:rsidRPr="005D4671">
        <w:rPr>
          <w:i/>
        </w:rPr>
        <w:t>Ozone Protection and Synthetic Greenhouse Gas (Import Levy) Amendment (</w:t>
      </w:r>
      <w:r w:rsidR="00622B79">
        <w:rPr>
          <w:i/>
        </w:rPr>
        <w:t>Carbon Tax Repeal</w:t>
      </w:r>
      <w:r w:rsidRPr="005D4671">
        <w:rPr>
          <w:i/>
        </w:rPr>
        <w:t xml:space="preserve">) Act </w:t>
      </w:r>
      <w:r w:rsidR="00C90ACA">
        <w:rPr>
          <w:i/>
        </w:rPr>
        <w:t>2014</w:t>
      </w:r>
      <w:r w:rsidR="00D5237C">
        <w:t xml:space="preserve">.  </w:t>
      </w:r>
      <w:r w:rsidRPr="008232F4">
        <w:rPr>
          <w:rStyle w:val="Referencingstyle"/>
        </w:rPr>
        <w:t>[</w:t>
      </w:r>
      <w:r w:rsidR="001243AA">
        <w:rPr>
          <w:rStyle w:val="Referencingstyle"/>
        </w:rPr>
        <w:t>Ozone Manufacture Amendment Bill</w:t>
      </w:r>
      <w:r w:rsidRPr="008232F4">
        <w:rPr>
          <w:rStyle w:val="Referencingstyle"/>
        </w:rPr>
        <w:t xml:space="preserve">, </w:t>
      </w:r>
      <w:r w:rsidR="000C2E94" w:rsidRPr="008232F4">
        <w:rPr>
          <w:rStyle w:val="Referencingstyle"/>
        </w:rPr>
        <w:t>clause</w:t>
      </w:r>
      <w:r w:rsidRPr="008232F4">
        <w:rPr>
          <w:rStyle w:val="Referencingstyle"/>
        </w:rPr>
        <w:t xml:space="preserve"> 1]</w:t>
      </w:r>
      <w:r w:rsidR="00584B43">
        <w:rPr>
          <w:rStyle w:val="Referencingstyle"/>
        </w:rPr>
        <w:t xml:space="preserve"> </w:t>
      </w:r>
      <w:r w:rsidRPr="008232F4">
        <w:rPr>
          <w:rStyle w:val="Referencingstyle"/>
        </w:rPr>
        <w:t>[</w:t>
      </w:r>
      <w:r w:rsidR="00584B43">
        <w:rPr>
          <w:rStyle w:val="Referencingstyle"/>
        </w:rPr>
        <w:t>Ozone </w:t>
      </w:r>
      <w:r w:rsidR="001243AA">
        <w:rPr>
          <w:rStyle w:val="Referencingstyle"/>
        </w:rPr>
        <w:t>Import Amendment Bill</w:t>
      </w:r>
      <w:r w:rsidRPr="008232F4">
        <w:rPr>
          <w:rStyle w:val="Referencingstyle"/>
        </w:rPr>
        <w:t>,</w:t>
      </w:r>
      <w:r w:rsidR="008232F4">
        <w:rPr>
          <w:rStyle w:val="Referencingstyle"/>
        </w:rPr>
        <w:t xml:space="preserve"> </w:t>
      </w:r>
      <w:r w:rsidR="000C2E94" w:rsidRPr="008232F4">
        <w:rPr>
          <w:rStyle w:val="Referencingstyle"/>
        </w:rPr>
        <w:t>clause</w:t>
      </w:r>
      <w:r w:rsidRPr="008232F4">
        <w:rPr>
          <w:rStyle w:val="Referencingstyle"/>
        </w:rPr>
        <w:t xml:space="preserve"> 1]</w:t>
      </w:r>
    </w:p>
    <w:p w:rsidR="00030E0E" w:rsidRPr="00B56824" w:rsidRDefault="00030E0E" w:rsidP="00330CB0">
      <w:pPr>
        <w:pStyle w:val="base-text-paragraph"/>
        <w:numPr>
          <w:ilvl w:val="1"/>
          <w:numId w:val="24"/>
        </w:numPr>
        <w:rPr>
          <w:rStyle w:val="Referencingstyle"/>
          <w:b w:val="0"/>
          <w:i w:val="0"/>
          <w:sz w:val="22"/>
        </w:rPr>
      </w:pPr>
      <w:r w:rsidRPr="00B56824">
        <w:t>All amendments made by the Ozone Manufacture Amendment Bill and the Ozone Import Amendment Bill have effect according to the terms set out in the Bills</w:t>
      </w:r>
      <w:r w:rsidR="00D5237C" w:rsidRPr="00B56824">
        <w:t xml:space="preserve">.  </w:t>
      </w:r>
      <w:r w:rsidRPr="00B56824">
        <w:rPr>
          <w:rStyle w:val="Referencingstyle"/>
        </w:rPr>
        <w:t>[</w:t>
      </w:r>
      <w:r w:rsidR="001243AA" w:rsidRPr="00B56824">
        <w:rPr>
          <w:rStyle w:val="Referencingstyle"/>
        </w:rPr>
        <w:t>Ozone Manufacture Amendment Bill</w:t>
      </w:r>
      <w:r w:rsidRPr="00B56824">
        <w:rPr>
          <w:rStyle w:val="Referencingstyle"/>
        </w:rPr>
        <w:t xml:space="preserve">, </w:t>
      </w:r>
      <w:r w:rsidR="000C2E94" w:rsidRPr="00B56824">
        <w:rPr>
          <w:rStyle w:val="Referencingstyle"/>
        </w:rPr>
        <w:t xml:space="preserve">clause </w:t>
      </w:r>
      <w:r w:rsidRPr="00B56824">
        <w:rPr>
          <w:rStyle w:val="Referencingstyle"/>
        </w:rPr>
        <w:t>3]</w:t>
      </w:r>
      <w:r w:rsidR="00584B43">
        <w:rPr>
          <w:rStyle w:val="Referencingstyle"/>
        </w:rPr>
        <w:t xml:space="preserve"> </w:t>
      </w:r>
      <w:r w:rsidRPr="00B56824">
        <w:rPr>
          <w:rStyle w:val="Referencingstyle"/>
        </w:rPr>
        <w:t>[</w:t>
      </w:r>
      <w:r w:rsidR="00584B43">
        <w:rPr>
          <w:rStyle w:val="Referencingstyle"/>
        </w:rPr>
        <w:t>Ozone </w:t>
      </w:r>
      <w:r w:rsidR="001243AA" w:rsidRPr="00B56824">
        <w:rPr>
          <w:rStyle w:val="Referencingstyle"/>
        </w:rPr>
        <w:t>Import Amendment Bill</w:t>
      </w:r>
      <w:r w:rsidRPr="00B56824">
        <w:rPr>
          <w:rStyle w:val="Referencingstyle"/>
        </w:rPr>
        <w:t xml:space="preserve">, </w:t>
      </w:r>
      <w:r w:rsidR="000C2E94" w:rsidRPr="00B56824">
        <w:rPr>
          <w:rStyle w:val="Referencingstyle"/>
        </w:rPr>
        <w:t xml:space="preserve">clause </w:t>
      </w:r>
      <w:r w:rsidRPr="00B56824">
        <w:rPr>
          <w:rStyle w:val="Referencingstyle"/>
        </w:rPr>
        <w:t>3]</w:t>
      </w:r>
    </w:p>
    <w:p w:rsidR="00030E0E" w:rsidRPr="00B56824" w:rsidRDefault="00030E0E" w:rsidP="00330CB0">
      <w:pPr>
        <w:pStyle w:val="base-text-paragraph"/>
        <w:numPr>
          <w:ilvl w:val="1"/>
          <w:numId w:val="24"/>
        </w:numPr>
        <w:rPr>
          <w:rStyle w:val="Referencingstyle"/>
          <w:b w:val="0"/>
          <w:i w:val="0"/>
          <w:sz w:val="22"/>
        </w:rPr>
      </w:pPr>
      <w:r w:rsidRPr="00B56824">
        <w:t>The formal provisions in sections 1, 2 and 3 of the Ozone Manufacture Amendment Bill and the Ozone Import Amendment Bill commence on the day that the Governor-General gives the Royal Assent</w:t>
      </w:r>
      <w:r w:rsidR="00D5237C" w:rsidRPr="00B56824">
        <w:t xml:space="preserve">.  </w:t>
      </w:r>
      <w:r w:rsidRPr="00B56824">
        <w:t>The operative provisions commence on 1 July 2014</w:t>
      </w:r>
      <w:r w:rsidR="00D5237C" w:rsidRPr="00B56824">
        <w:t xml:space="preserve">.  </w:t>
      </w:r>
      <w:r w:rsidRPr="00B56824">
        <w:rPr>
          <w:rStyle w:val="Referencingstyle"/>
        </w:rPr>
        <w:t>[</w:t>
      </w:r>
      <w:r w:rsidR="001243AA" w:rsidRPr="00B56824">
        <w:rPr>
          <w:rStyle w:val="Referencingstyle"/>
        </w:rPr>
        <w:t>Ozone Manufacture Amendment Bill</w:t>
      </w:r>
      <w:r w:rsidRPr="00B56824">
        <w:rPr>
          <w:rStyle w:val="Referencingstyle"/>
        </w:rPr>
        <w:t xml:space="preserve">, </w:t>
      </w:r>
      <w:r w:rsidR="000C2E94" w:rsidRPr="00B56824">
        <w:rPr>
          <w:rStyle w:val="Referencingstyle"/>
        </w:rPr>
        <w:t xml:space="preserve">clause </w:t>
      </w:r>
      <w:r w:rsidRPr="00B56824">
        <w:rPr>
          <w:rStyle w:val="Referencingstyle"/>
        </w:rPr>
        <w:t>2] [</w:t>
      </w:r>
      <w:r w:rsidR="001243AA" w:rsidRPr="00B56824">
        <w:rPr>
          <w:rStyle w:val="Referencingstyle"/>
        </w:rPr>
        <w:t>Ozone Import Amendment Bill</w:t>
      </w:r>
      <w:r w:rsidRPr="00B56824">
        <w:rPr>
          <w:rStyle w:val="Referencingstyle"/>
        </w:rPr>
        <w:t xml:space="preserve">, </w:t>
      </w:r>
      <w:r w:rsidR="000C2E94" w:rsidRPr="00B56824">
        <w:rPr>
          <w:rStyle w:val="Referencingstyle"/>
        </w:rPr>
        <w:t xml:space="preserve">clause </w:t>
      </w:r>
      <w:r w:rsidRPr="00B56824">
        <w:rPr>
          <w:rStyle w:val="Referencingstyle"/>
        </w:rPr>
        <w:t>2]</w:t>
      </w:r>
    </w:p>
    <w:p w:rsidR="00361657" w:rsidRDefault="00361657" w:rsidP="00361657">
      <w:pPr>
        <w:pStyle w:val="Heading3"/>
      </w:pPr>
      <w:r>
        <w:t xml:space="preserve">Repealing the </w:t>
      </w:r>
      <w:r w:rsidR="00B479C3">
        <w:t>equivalent carbon price</w:t>
      </w:r>
    </w:p>
    <w:p w:rsidR="00361657" w:rsidRPr="00361657" w:rsidRDefault="00361657" w:rsidP="00361657">
      <w:pPr>
        <w:pStyle w:val="Heading4"/>
      </w:pPr>
      <w:r>
        <w:t xml:space="preserve">Repealing the </w:t>
      </w:r>
      <w:r w:rsidR="00B479C3">
        <w:t>equivalent carbon price</w:t>
      </w:r>
    </w:p>
    <w:p w:rsidR="00EB3186" w:rsidRDefault="00361657" w:rsidP="00330CB0">
      <w:pPr>
        <w:pStyle w:val="base-text-paragraph"/>
        <w:numPr>
          <w:ilvl w:val="1"/>
          <w:numId w:val="24"/>
        </w:numPr>
      </w:pPr>
      <w:r>
        <w:t xml:space="preserve"> The equivalent carbon price </w:t>
      </w:r>
      <w:r w:rsidR="005133E3">
        <w:t>does not</w:t>
      </w:r>
      <w:r>
        <w:t xml:space="preserve"> </w:t>
      </w:r>
      <w:r w:rsidR="005133E3">
        <w:t>apply</w:t>
      </w:r>
      <w:r>
        <w:t xml:space="preserve"> to the importation or manufacture of </w:t>
      </w:r>
      <w:r w:rsidR="005133E3">
        <w:t>SGGs</w:t>
      </w:r>
      <w:r>
        <w:t xml:space="preserve"> or products that contain these gases </w:t>
      </w:r>
      <w:r w:rsidR="00B32BDD">
        <w:t xml:space="preserve">on or </w:t>
      </w:r>
      <w:r>
        <w:t>after 1 July 2014</w:t>
      </w:r>
      <w:r w:rsidR="00D5237C">
        <w:t xml:space="preserve">.  </w:t>
      </w:r>
      <w:r>
        <w:t xml:space="preserve">This is achieved by repealing the applicable charge rate of the levy applied to the import or manufacture of </w:t>
      </w:r>
      <w:r w:rsidR="005133E3">
        <w:t>SGGs</w:t>
      </w:r>
      <w:r>
        <w:t xml:space="preserve"> or products containing these gases and removing all definitions that are associated with these provisions</w:t>
      </w:r>
      <w:r w:rsidR="00D5237C">
        <w:t xml:space="preserve">.  </w:t>
      </w:r>
      <w:r w:rsidR="00E8338B">
        <w:rPr>
          <w:rStyle w:val="Referencingstyle"/>
        </w:rPr>
        <w:t>[</w:t>
      </w:r>
      <w:r w:rsidR="001243AA">
        <w:rPr>
          <w:rStyle w:val="Referencingstyle"/>
        </w:rPr>
        <w:t>Ozone Manufacture Amendment Bill</w:t>
      </w:r>
      <w:r w:rsidR="00E8338B">
        <w:rPr>
          <w:rStyle w:val="Referencingstyle"/>
        </w:rPr>
        <w:t>, items 1 to 9 and 13</w:t>
      </w:r>
      <w:r w:rsidR="00133346">
        <w:rPr>
          <w:rStyle w:val="Referencingstyle"/>
        </w:rPr>
        <w:t>,</w:t>
      </w:r>
      <w:r w:rsidR="00E8338B" w:rsidRPr="006277DE">
        <w:rPr>
          <w:rStyle w:val="Referencingstyle"/>
        </w:rPr>
        <w:t xml:space="preserve"> </w:t>
      </w:r>
      <w:r w:rsidR="00E8338B">
        <w:rPr>
          <w:rStyle w:val="Referencingstyle"/>
        </w:rPr>
        <w:t>sections 2A, 2B and 3A</w:t>
      </w:r>
      <w:r w:rsidR="00E8338B" w:rsidRPr="00A409EC">
        <w:rPr>
          <w:rStyle w:val="Referencingstyle"/>
        </w:rPr>
        <w:t xml:space="preserve">, </w:t>
      </w:r>
      <w:r w:rsidR="00E8338B">
        <w:rPr>
          <w:rStyle w:val="Referencingstyle"/>
        </w:rPr>
        <w:t>Ozone (Man</w:t>
      </w:r>
      <w:r w:rsidR="00133346">
        <w:rPr>
          <w:rStyle w:val="Referencingstyle"/>
        </w:rPr>
        <w:t>ufacture Levy) Act]  [</w:t>
      </w:r>
      <w:r w:rsidR="001243AA">
        <w:rPr>
          <w:rStyle w:val="Referencingstyle"/>
        </w:rPr>
        <w:t>Ozone Import Amendment Bill</w:t>
      </w:r>
      <w:r w:rsidR="00E8338B">
        <w:rPr>
          <w:rStyle w:val="Referencingstyle"/>
        </w:rPr>
        <w:t>, items 1 to 9, 13 to 14</w:t>
      </w:r>
      <w:r w:rsidR="00133346">
        <w:rPr>
          <w:rStyle w:val="Referencingstyle"/>
        </w:rPr>
        <w:t>,</w:t>
      </w:r>
      <w:r w:rsidR="00E8338B">
        <w:rPr>
          <w:rStyle w:val="Referencingstyle"/>
        </w:rPr>
        <w:t xml:space="preserve"> </w:t>
      </w:r>
      <w:r w:rsidR="00E8338B" w:rsidRPr="00A409EC">
        <w:rPr>
          <w:rStyle w:val="Referencingstyle"/>
        </w:rPr>
        <w:t>section</w:t>
      </w:r>
      <w:r w:rsidR="00E8338B">
        <w:rPr>
          <w:rStyle w:val="Referencingstyle"/>
        </w:rPr>
        <w:t xml:space="preserve">s 2A, 2B, 3A and 4A, Ozone (Import Levy) Act </w:t>
      </w:r>
      <w:r w:rsidR="00E8338B" w:rsidRPr="00A409EC">
        <w:rPr>
          <w:rStyle w:val="Referencingstyle"/>
        </w:rPr>
        <w:t>]</w:t>
      </w:r>
    </w:p>
    <w:p w:rsidR="007E603B" w:rsidRDefault="007E603B" w:rsidP="007E603B">
      <w:pPr>
        <w:pStyle w:val="Heading4"/>
      </w:pPr>
      <w:r>
        <w:t xml:space="preserve">Payment of levies after the repeal of the </w:t>
      </w:r>
      <w:r w:rsidR="00B479C3">
        <w:t>equivalent carbon price</w:t>
      </w:r>
    </w:p>
    <w:p w:rsidR="007E603B" w:rsidRPr="007E603B" w:rsidRDefault="007E603B" w:rsidP="00330CB0">
      <w:pPr>
        <w:pStyle w:val="base-text-paragraph"/>
        <w:numPr>
          <w:ilvl w:val="1"/>
          <w:numId w:val="24"/>
        </w:numPr>
      </w:pPr>
      <w:r w:rsidRPr="007E603B">
        <w:t xml:space="preserve">Prior to the introduction of the Clean Energy </w:t>
      </w:r>
      <w:r>
        <w:t>Legislation</w:t>
      </w:r>
      <w:r w:rsidRPr="007E603B">
        <w:t xml:space="preserve">, all imports and manufacture of </w:t>
      </w:r>
      <w:r w:rsidR="003958BB">
        <w:t>SGG</w:t>
      </w:r>
      <w:r w:rsidRPr="007E603B">
        <w:t xml:space="preserve"> and some products containing these gases were charged a cost recovery levy</w:t>
      </w:r>
      <w:r w:rsidR="00D5237C">
        <w:t xml:space="preserve">.  </w:t>
      </w:r>
      <w:r w:rsidRPr="007E603B">
        <w:t xml:space="preserve">The cost recovery component of the levy, referred to as the prescribed rate in the </w:t>
      </w:r>
      <w:r w:rsidR="00F43D71">
        <w:t xml:space="preserve">Ozone (Import Levy) Act </w:t>
      </w:r>
      <w:r w:rsidRPr="007E603B">
        <w:t xml:space="preserve">and Ozone (Manufacture Levy) Act, will continue after the repeal of the </w:t>
      </w:r>
      <w:r w:rsidR="00B479C3">
        <w:t>equivalent carbon price</w:t>
      </w:r>
      <w:r w:rsidR="00D5237C">
        <w:t xml:space="preserve">.  </w:t>
      </w:r>
    </w:p>
    <w:p w:rsidR="007E603B" w:rsidRPr="00A80975" w:rsidRDefault="007E603B" w:rsidP="00330CB0">
      <w:pPr>
        <w:pStyle w:val="base-text-paragraph"/>
        <w:numPr>
          <w:ilvl w:val="1"/>
          <w:numId w:val="24"/>
        </w:numPr>
        <w:rPr>
          <w:rStyle w:val="Referencingstyle"/>
          <w:b w:val="0"/>
          <w:i w:val="0"/>
          <w:sz w:val="22"/>
        </w:rPr>
      </w:pPr>
      <w:r w:rsidRPr="007E603B">
        <w:t>The cost recovery component of the levy</w:t>
      </w:r>
      <w:r>
        <w:t xml:space="preserve"> </w:t>
      </w:r>
      <w:r w:rsidRPr="007E603B">
        <w:t xml:space="preserve">will be $165 per tonne of </w:t>
      </w:r>
      <w:r w:rsidR="003958BB">
        <w:t>SGG</w:t>
      </w:r>
      <w:r w:rsidRPr="007E603B">
        <w:t xml:space="preserve"> imported or manufactured, or a lower rate if specified in the regulations</w:t>
      </w:r>
      <w:r w:rsidR="00D5237C">
        <w:t xml:space="preserve">.  </w:t>
      </w:r>
      <w:r w:rsidRPr="007E603B">
        <w:t>The rate currently set in regulations, and which also applied prior to 1 July 2012, is $165 per tonne</w:t>
      </w:r>
      <w:r w:rsidR="00D5237C">
        <w:t xml:space="preserve">.  </w:t>
      </w:r>
      <w:r w:rsidR="00E8338B" w:rsidRPr="007E603B">
        <w:rPr>
          <w:rStyle w:val="Referencingstyle"/>
          <w:rFonts w:eastAsiaTheme="minorHAnsi"/>
        </w:rPr>
        <w:t>[</w:t>
      </w:r>
      <w:r w:rsidR="001243AA">
        <w:rPr>
          <w:rStyle w:val="Referencingstyle"/>
          <w:rFonts w:eastAsiaTheme="minorHAnsi"/>
        </w:rPr>
        <w:t>Ozone Manufacture Amendment Bill</w:t>
      </w:r>
      <w:r w:rsidR="00E8338B" w:rsidRPr="007E603B">
        <w:rPr>
          <w:rStyle w:val="Referencingstyle"/>
          <w:rFonts w:eastAsiaTheme="minorHAnsi"/>
        </w:rPr>
        <w:t xml:space="preserve">, </w:t>
      </w:r>
      <w:r w:rsidR="00E8338B">
        <w:rPr>
          <w:rStyle w:val="Referencingstyle"/>
          <w:rFonts w:eastAsiaTheme="minorHAnsi"/>
        </w:rPr>
        <w:t>i</w:t>
      </w:r>
      <w:r w:rsidR="00E8338B" w:rsidRPr="007E603B">
        <w:rPr>
          <w:rStyle w:val="Referencingstyle"/>
          <w:rFonts w:eastAsiaTheme="minorHAnsi"/>
        </w:rPr>
        <w:t>tem 9, section 3A, Ozone (Manufacture Levy) Act]  [</w:t>
      </w:r>
      <w:r w:rsidR="001243AA">
        <w:rPr>
          <w:rStyle w:val="Referencingstyle"/>
          <w:rFonts w:eastAsiaTheme="minorHAnsi"/>
        </w:rPr>
        <w:t>Ozone Import Amendment Bill</w:t>
      </w:r>
      <w:r w:rsidR="00E8338B" w:rsidRPr="007E603B">
        <w:rPr>
          <w:rStyle w:val="Referencingstyle"/>
          <w:rFonts w:eastAsiaTheme="minorHAnsi"/>
        </w:rPr>
        <w:t xml:space="preserve">, </w:t>
      </w:r>
      <w:r w:rsidR="00E8338B">
        <w:rPr>
          <w:rStyle w:val="Referencingstyle"/>
          <w:rFonts w:eastAsiaTheme="minorHAnsi"/>
        </w:rPr>
        <w:t>i</w:t>
      </w:r>
      <w:r w:rsidR="00E8338B" w:rsidRPr="007E603B">
        <w:rPr>
          <w:rStyle w:val="Referencingstyle"/>
          <w:rFonts w:eastAsiaTheme="minorHAnsi"/>
        </w:rPr>
        <w:t xml:space="preserve">tems 9 and 13, sections 3A and 4A, </w:t>
      </w:r>
      <w:r w:rsidR="00E8338B">
        <w:rPr>
          <w:rStyle w:val="Referencingstyle"/>
          <w:rFonts w:eastAsiaTheme="minorHAnsi"/>
        </w:rPr>
        <w:t xml:space="preserve">Ozone (Import Levy) Act </w:t>
      </w:r>
      <w:r w:rsidR="00E8338B" w:rsidRPr="007E603B">
        <w:rPr>
          <w:rStyle w:val="Referencingstyle"/>
          <w:rFonts w:eastAsiaTheme="minorHAnsi"/>
        </w:rPr>
        <w:t>]</w:t>
      </w:r>
    </w:p>
    <w:p w:rsidR="00A80975" w:rsidRDefault="00A80975" w:rsidP="00A80975">
      <w:pPr>
        <w:pStyle w:val="Heading4"/>
      </w:pPr>
      <w:r>
        <w:t>Treatment of levy exemptions for medical equipment</w:t>
      </w:r>
    </w:p>
    <w:p w:rsidR="00A80975" w:rsidRPr="00F864CE" w:rsidRDefault="00A80975" w:rsidP="00330CB0">
      <w:pPr>
        <w:pStyle w:val="base-text-paragraph"/>
        <w:numPr>
          <w:ilvl w:val="1"/>
          <w:numId w:val="24"/>
        </w:numPr>
      </w:pPr>
      <w:r>
        <w:t xml:space="preserve">The Ozone Management Act, </w:t>
      </w:r>
      <w:r w:rsidR="00F43D71">
        <w:t xml:space="preserve">Ozone (Import Levy) Act </w:t>
      </w:r>
      <w:r>
        <w:t xml:space="preserve">and </w:t>
      </w:r>
      <w:r w:rsidR="00F43D71">
        <w:t xml:space="preserve">Ozone (Manufacture Levy) Act </w:t>
      </w:r>
      <w:r>
        <w:t xml:space="preserve">contain exemptions from the </w:t>
      </w:r>
      <w:r w:rsidR="00B479C3">
        <w:t>equivalent carbon price</w:t>
      </w:r>
      <w:r>
        <w:t xml:space="preserve"> and in some cases from the entire Ozone Management Act</w:t>
      </w:r>
      <w:r w:rsidR="00D5237C">
        <w:t xml:space="preserve">.  </w:t>
      </w:r>
      <w:r>
        <w:t xml:space="preserve">These exemptions are available in circumstances where it is impractical to apply the tax, or where the </w:t>
      </w:r>
      <w:r w:rsidR="003958BB">
        <w:t xml:space="preserve">SGGs </w:t>
      </w:r>
      <w:r>
        <w:t>are used for medical, veterinary, health or safety purposes</w:t>
      </w:r>
      <w:r w:rsidR="00D5237C">
        <w:t xml:space="preserve">.  </w:t>
      </w:r>
      <w:r w:rsidR="0075773A">
        <w:t>T</w:t>
      </w:r>
      <w:r w:rsidR="00F864CE" w:rsidRPr="00F864CE">
        <w:t>hese exemptions are specifically available for the cost recovery component of the levy through other provisions in the Act</w:t>
      </w:r>
      <w:r w:rsidR="00D5237C">
        <w:t xml:space="preserve">.  </w:t>
      </w:r>
    </w:p>
    <w:p w:rsidR="00A80975" w:rsidRPr="00A80975" w:rsidRDefault="00A80975" w:rsidP="00330CB0">
      <w:pPr>
        <w:pStyle w:val="base-text-paragraph"/>
        <w:numPr>
          <w:ilvl w:val="1"/>
          <w:numId w:val="24"/>
        </w:numPr>
        <w:rPr>
          <w:rStyle w:val="Referencingstyle"/>
          <w:b w:val="0"/>
          <w:i w:val="0"/>
          <w:sz w:val="22"/>
        </w:rPr>
      </w:pPr>
      <w:r>
        <w:t xml:space="preserve">The </w:t>
      </w:r>
      <w:r w:rsidR="00F43D71">
        <w:t xml:space="preserve">Ozone (Import Levy) Act </w:t>
      </w:r>
      <w:r>
        <w:t xml:space="preserve">and </w:t>
      </w:r>
      <w:r w:rsidR="00F43D71">
        <w:t xml:space="preserve">Ozone (Manufacture Levy) Act </w:t>
      </w:r>
      <w:r>
        <w:t xml:space="preserve">contain an exemption for </w:t>
      </w:r>
      <w:r w:rsidR="003958BB">
        <w:t xml:space="preserve">SGGs </w:t>
      </w:r>
      <w:r>
        <w:t>used in medical equipment</w:t>
      </w:r>
      <w:r w:rsidR="00D5237C">
        <w:t xml:space="preserve">.  </w:t>
      </w:r>
      <w:r w:rsidR="00584B43">
        <w:t>The </w:t>
      </w:r>
      <w:r>
        <w:t xml:space="preserve">exemption for </w:t>
      </w:r>
      <w:r w:rsidR="00B32BDD">
        <w:t>SGGs</w:t>
      </w:r>
      <w:r>
        <w:t xml:space="preserve"> to be used in medical equipment will apply to the cost recovery levy </w:t>
      </w:r>
      <w:r w:rsidR="00B32BDD">
        <w:t xml:space="preserve">from </w:t>
      </w:r>
      <w:r>
        <w:t>1 July 2014</w:t>
      </w:r>
      <w:r w:rsidR="00D5237C">
        <w:t xml:space="preserve">.  </w:t>
      </w:r>
      <w:r w:rsidR="00F864CE">
        <w:t>The</w:t>
      </w:r>
      <w:r w:rsidR="00F864CE" w:rsidRPr="00F864CE">
        <w:t xml:space="preserve"> amendment ensures a consistent treatment for all SGGs imported for use in medical equipment</w:t>
      </w:r>
      <w:r w:rsidR="00D5237C">
        <w:t xml:space="preserve">.  </w:t>
      </w:r>
      <w:r w:rsidR="00E112A7">
        <w:rPr>
          <w:rStyle w:val="Referencingstyle"/>
        </w:rPr>
        <w:t>[</w:t>
      </w:r>
      <w:r w:rsidR="001243AA">
        <w:rPr>
          <w:rStyle w:val="Referencingstyle"/>
        </w:rPr>
        <w:t>Ozone Manufacture Amendment Bill</w:t>
      </w:r>
      <w:r w:rsidR="00E8338B" w:rsidRPr="00A80975">
        <w:rPr>
          <w:rStyle w:val="Referencingstyle"/>
        </w:rPr>
        <w:t xml:space="preserve">, </w:t>
      </w:r>
      <w:r w:rsidR="00E8338B">
        <w:rPr>
          <w:rStyle w:val="Referencingstyle"/>
        </w:rPr>
        <w:t>i</w:t>
      </w:r>
      <w:r w:rsidR="00E8338B" w:rsidRPr="00A80975">
        <w:rPr>
          <w:rStyle w:val="Referencingstyle"/>
        </w:rPr>
        <w:t>tems 10</w:t>
      </w:r>
      <w:r w:rsidR="00E8338B">
        <w:rPr>
          <w:rStyle w:val="Referencingstyle"/>
        </w:rPr>
        <w:t xml:space="preserve"> to </w:t>
      </w:r>
      <w:r w:rsidR="00E8338B" w:rsidRPr="00A80975">
        <w:rPr>
          <w:rStyle w:val="Referencingstyle"/>
        </w:rPr>
        <w:t>12, section 3A, Ozone (Manufacture Levy) Act]  [</w:t>
      </w:r>
      <w:r w:rsidR="001243AA">
        <w:rPr>
          <w:rStyle w:val="Referencingstyle"/>
        </w:rPr>
        <w:t>Ozone Import Amendment Bill</w:t>
      </w:r>
      <w:r w:rsidR="00E8338B" w:rsidRPr="00A80975">
        <w:rPr>
          <w:rStyle w:val="Referencingstyle"/>
        </w:rPr>
        <w:t xml:space="preserve">, </w:t>
      </w:r>
      <w:r w:rsidR="00E8338B">
        <w:rPr>
          <w:rStyle w:val="Referencingstyle"/>
        </w:rPr>
        <w:t>i</w:t>
      </w:r>
      <w:r w:rsidR="00E8338B" w:rsidRPr="00A80975">
        <w:rPr>
          <w:rStyle w:val="Referencingstyle"/>
        </w:rPr>
        <w:t>tems 10</w:t>
      </w:r>
      <w:r w:rsidR="00E8338B">
        <w:rPr>
          <w:rStyle w:val="Referencingstyle"/>
        </w:rPr>
        <w:t xml:space="preserve"> to </w:t>
      </w:r>
      <w:r w:rsidR="00E8338B" w:rsidRPr="00A80975">
        <w:rPr>
          <w:rStyle w:val="Referencingstyle"/>
        </w:rPr>
        <w:t>12</w:t>
      </w:r>
      <w:r w:rsidR="00D5237C">
        <w:rPr>
          <w:rStyle w:val="Referencingstyle"/>
        </w:rPr>
        <w:t xml:space="preserve">, </w:t>
      </w:r>
      <w:r w:rsidR="00E8338B" w:rsidRPr="00A80975">
        <w:rPr>
          <w:rStyle w:val="Referencingstyle"/>
        </w:rPr>
        <w:t xml:space="preserve">section 3A, </w:t>
      </w:r>
      <w:r w:rsidR="00E8338B">
        <w:rPr>
          <w:rStyle w:val="Referencingstyle"/>
        </w:rPr>
        <w:t xml:space="preserve">Ozone (Import Levy) Act </w:t>
      </w:r>
      <w:r w:rsidR="00E8338B" w:rsidRPr="00A80975">
        <w:rPr>
          <w:rStyle w:val="Referencingstyle"/>
        </w:rPr>
        <w:t>]</w:t>
      </w:r>
    </w:p>
    <w:p w:rsidR="00A80975" w:rsidRDefault="00A80975" w:rsidP="00A80975">
      <w:pPr>
        <w:pStyle w:val="Heading4"/>
      </w:pPr>
      <w:r w:rsidRPr="00A80975">
        <w:t>Amounts to be credited to the Ozone Protection and SGG Account</w:t>
      </w:r>
    </w:p>
    <w:p w:rsidR="00A80975" w:rsidRDefault="00A80975" w:rsidP="00330CB0">
      <w:pPr>
        <w:pStyle w:val="base-text-paragraph"/>
        <w:numPr>
          <w:ilvl w:val="1"/>
          <w:numId w:val="24"/>
        </w:numPr>
      </w:pPr>
      <w:r>
        <w:t xml:space="preserve">The cost recovery levy, referred to as the prescribed rate component in the </w:t>
      </w:r>
      <w:r w:rsidR="00F43D71">
        <w:t xml:space="preserve">Ozone (Import Levy) Act </w:t>
      </w:r>
      <w:r>
        <w:t>and Ozone (Manufacture Levy) Act, is paid into the Ozone Protection and SGG Account</w:t>
      </w:r>
      <w:r w:rsidR="00D5237C">
        <w:t xml:space="preserve">.  </w:t>
      </w:r>
      <w:r w:rsidR="00584B43">
        <w:t>The </w:t>
      </w:r>
      <w:r w:rsidR="00B479C3">
        <w:t>equivalent carbon price</w:t>
      </w:r>
      <w:r>
        <w:t xml:space="preserve"> is paid into the Consolidated Revenue Fund</w:t>
      </w:r>
      <w:r w:rsidR="00D5237C">
        <w:t xml:space="preserve">.  </w:t>
      </w:r>
    </w:p>
    <w:p w:rsidR="00A80975" w:rsidRPr="00B05C4E" w:rsidRDefault="00A80975" w:rsidP="00330CB0">
      <w:pPr>
        <w:pStyle w:val="base-text-paragraph"/>
        <w:numPr>
          <w:ilvl w:val="1"/>
          <w:numId w:val="24"/>
        </w:numPr>
        <w:rPr>
          <w:rStyle w:val="Referencingstyle"/>
          <w:b w:val="0"/>
          <w:i w:val="0"/>
          <w:sz w:val="22"/>
        </w:rPr>
      </w:pPr>
      <w:r>
        <w:t xml:space="preserve">Once the </w:t>
      </w:r>
      <w:r w:rsidR="00B479C3">
        <w:t>equivalent carbon price</w:t>
      </w:r>
      <w:r>
        <w:t xml:space="preserve"> is repealed and no longer collected, the cost recovery levy collected through the </w:t>
      </w:r>
      <w:r w:rsidR="00F43D71">
        <w:t xml:space="preserve">Ozone (Import Levy) Act </w:t>
      </w:r>
      <w:r>
        <w:t xml:space="preserve">and </w:t>
      </w:r>
      <w:r w:rsidR="00F43D71">
        <w:t xml:space="preserve">Ozone (Manufacture Levy) Act </w:t>
      </w:r>
      <w:r>
        <w:t>will continue to be paid into the Ozone Protection and SGG Account</w:t>
      </w:r>
      <w:r w:rsidR="00F864CE">
        <w:t xml:space="preserve"> as it is necessary for the administration of</w:t>
      </w:r>
      <w:r w:rsidR="00F864CE" w:rsidRPr="00F864CE">
        <w:t xml:space="preserve"> the Ozone Protection and SGG Program</w:t>
      </w:r>
      <w:r w:rsidR="00D5237C">
        <w:t xml:space="preserve">.  </w:t>
      </w:r>
      <w:r w:rsidR="00E8338B" w:rsidRPr="00B05C4E">
        <w:rPr>
          <w:rStyle w:val="Referencingstyle"/>
        </w:rPr>
        <w:t xml:space="preserve">[Schedule 1, </w:t>
      </w:r>
      <w:r w:rsidR="00E8338B">
        <w:rPr>
          <w:rStyle w:val="Referencingstyle"/>
        </w:rPr>
        <w:t>i</w:t>
      </w:r>
      <w:r w:rsidR="00E8338B" w:rsidRPr="00B05C4E">
        <w:rPr>
          <w:rStyle w:val="Referencingstyle"/>
        </w:rPr>
        <w:t>tems 313</w:t>
      </w:r>
      <w:r w:rsidR="00E8338B">
        <w:rPr>
          <w:rStyle w:val="Referencingstyle"/>
        </w:rPr>
        <w:t xml:space="preserve"> to </w:t>
      </w:r>
      <w:r w:rsidR="008232F4">
        <w:rPr>
          <w:rStyle w:val="Referencingstyle"/>
        </w:rPr>
        <w:t xml:space="preserve">314, </w:t>
      </w:r>
      <w:r w:rsidR="00E8338B" w:rsidRPr="00B05C4E">
        <w:rPr>
          <w:rStyle w:val="Referencingstyle"/>
        </w:rPr>
        <w:t xml:space="preserve">section 65D, Ozone Management Act]  [Schedule 1, </w:t>
      </w:r>
      <w:r w:rsidR="00E8338B">
        <w:rPr>
          <w:rStyle w:val="Referencingstyle"/>
        </w:rPr>
        <w:t>i</w:t>
      </w:r>
      <w:r w:rsidR="00E8338B" w:rsidRPr="00B05C4E">
        <w:rPr>
          <w:rStyle w:val="Referencingstyle"/>
        </w:rPr>
        <w:t>tem 338(1), section 65C, Ozone Management Act]</w:t>
      </w:r>
    </w:p>
    <w:p w:rsidR="00B05C4E" w:rsidRDefault="00B05C4E" w:rsidP="00B05C4E">
      <w:pPr>
        <w:pStyle w:val="Heading4"/>
      </w:pPr>
      <w:r>
        <w:t>Export refund scheme</w:t>
      </w:r>
    </w:p>
    <w:p w:rsidR="00B05C4E" w:rsidRDefault="00B05C4E" w:rsidP="00330CB0">
      <w:pPr>
        <w:pStyle w:val="base-text-paragraph"/>
        <w:numPr>
          <w:ilvl w:val="1"/>
          <w:numId w:val="24"/>
        </w:numPr>
      </w:pPr>
      <w:r>
        <w:t xml:space="preserve">Under the Ozone and SGG Management Act, Controlled Substance licensees and Synthetic Greenhouse Gas Equipment licensees are able to claim a refund of the </w:t>
      </w:r>
      <w:r w:rsidR="00B479C3">
        <w:t>equivalent carbon price</w:t>
      </w:r>
      <w:r>
        <w:t xml:space="preserve"> paid on </w:t>
      </w:r>
      <w:r w:rsidR="003958BB">
        <w:t>SGGs</w:t>
      </w:r>
      <w:r>
        <w:t xml:space="preserve"> through the export refund scheme</w:t>
      </w:r>
      <w:r w:rsidR="00D5237C">
        <w:t xml:space="preserve">.  </w:t>
      </w:r>
      <w:r>
        <w:t xml:space="preserve">Licensees can claim an export refund if they are able to demonstrate that an amount of </w:t>
      </w:r>
      <w:r w:rsidR="003958BB">
        <w:t>SGG</w:t>
      </w:r>
      <w:r>
        <w:t xml:space="preserve"> has been imported in the previous 12 months, the </w:t>
      </w:r>
      <w:r w:rsidR="00B479C3">
        <w:t>equivalent carbon price</w:t>
      </w:r>
      <w:r>
        <w:t xml:space="preserve"> has been paid</w:t>
      </w:r>
      <w:r w:rsidR="00C30F7F">
        <w:t xml:space="preserve"> on this</w:t>
      </w:r>
      <w:r>
        <w:t xml:space="preserve"> and that the gases have been exported</w:t>
      </w:r>
      <w:r w:rsidR="00C30F7F">
        <w:t xml:space="preserve"> within 12 months of import</w:t>
      </w:r>
      <w:r w:rsidR="00D5237C">
        <w:t xml:space="preserve">.  </w:t>
      </w:r>
    </w:p>
    <w:p w:rsidR="00B05C4E" w:rsidRDefault="00B05C4E" w:rsidP="00330CB0">
      <w:pPr>
        <w:pStyle w:val="base-text-paragraph"/>
        <w:numPr>
          <w:ilvl w:val="1"/>
          <w:numId w:val="24"/>
        </w:numPr>
      </w:pPr>
      <w:r>
        <w:t>The export refund scheme will be repealed on 1 July 2014 as it is no longer required after the carbon tax ends</w:t>
      </w:r>
      <w:r w:rsidR="00D5237C">
        <w:t xml:space="preserve">.  </w:t>
      </w:r>
      <w:r w:rsidR="00E8338B" w:rsidRPr="00B05C4E">
        <w:rPr>
          <w:rStyle w:val="Referencingstyle"/>
        </w:rPr>
        <w:t xml:space="preserve">[Schedule 1, </w:t>
      </w:r>
      <w:r w:rsidR="00E8338B">
        <w:rPr>
          <w:rStyle w:val="Referencingstyle"/>
        </w:rPr>
        <w:t>i</w:t>
      </w:r>
      <w:r w:rsidR="008232F4">
        <w:rPr>
          <w:rStyle w:val="Referencingstyle"/>
        </w:rPr>
        <w:t>tem 315, sections 69AA</w:t>
      </w:r>
      <w:r w:rsidR="0075773A">
        <w:rPr>
          <w:rStyle w:val="Referencingstyle"/>
        </w:rPr>
        <w:t xml:space="preserve"> </w:t>
      </w:r>
      <w:r w:rsidR="008232F4">
        <w:rPr>
          <w:rStyle w:val="Referencingstyle"/>
        </w:rPr>
        <w:t>to 69</w:t>
      </w:r>
      <w:r w:rsidR="00E8338B" w:rsidRPr="00B05C4E">
        <w:rPr>
          <w:rStyle w:val="Referencingstyle"/>
        </w:rPr>
        <w:t>AD, Ozone Management Act]</w:t>
      </w:r>
    </w:p>
    <w:p w:rsidR="00B05C4E" w:rsidRPr="007571BE" w:rsidRDefault="00B05C4E" w:rsidP="00330CB0">
      <w:pPr>
        <w:pStyle w:val="base-text-paragraph"/>
        <w:numPr>
          <w:ilvl w:val="1"/>
          <w:numId w:val="24"/>
        </w:numPr>
        <w:rPr>
          <w:rStyle w:val="Referencingstyle"/>
          <w:b w:val="0"/>
          <w:i w:val="0"/>
          <w:sz w:val="22"/>
        </w:rPr>
      </w:pPr>
      <w:r>
        <w:t xml:space="preserve">Transitional provisions are included to allow licensees to claim the export refund on gases imported prior to the repeal of the </w:t>
      </w:r>
      <w:r w:rsidR="00B479C3">
        <w:t>equivalent carbon price</w:t>
      </w:r>
      <w:r w:rsidR="00D5237C">
        <w:t xml:space="preserve">.  </w:t>
      </w:r>
      <w:r>
        <w:t>Applications will be accepted and assessed by the Department administering the Ozone</w:t>
      </w:r>
      <w:r w:rsidR="00F43D71">
        <w:t xml:space="preserve"> Management Act until 1</w:t>
      </w:r>
      <w:r w:rsidR="00584B43">
        <w:t> January </w:t>
      </w:r>
      <w:r>
        <w:t>2016</w:t>
      </w:r>
      <w:r w:rsidR="00D5237C">
        <w:t xml:space="preserve">.  </w:t>
      </w:r>
      <w:r>
        <w:t>At this time, the export refund scheme will cease</w:t>
      </w:r>
      <w:r w:rsidR="00D5237C">
        <w:t xml:space="preserve">.  </w:t>
      </w:r>
      <w:r>
        <w:t xml:space="preserve">This time extension is to provide time for licensees to use the </w:t>
      </w:r>
      <w:r w:rsidR="003958BB">
        <w:t xml:space="preserve">SGGs </w:t>
      </w:r>
      <w:r>
        <w:t xml:space="preserve">on-hand and export as either </w:t>
      </w:r>
      <w:r w:rsidR="003958BB">
        <w:t xml:space="preserve">SGGs </w:t>
      </w:r>
      <w:r>
        <w:t>or products containing these gases</w:t>
      </w:r>
      <w:r w:rsidR="00D5237C">
        <w:t xml:space="preserve">.  </w:t>
      </w:r>
      <w:r w:rsidR="00584B43">
        <w:rPr>
          <w:rStyle w:val="Referencingstyle"/>
        </w:rPr>
        <w:t>[Schedule 1, item </w:t>
      </w:r>
      <w:r w:rsidR="00E8338B">
        <w:rPr>
          <w:rStyle w:val="Referencingstyle"/>
        </w:rPr>
        <w:t>338(2)</w:t>
      </w:r>
      <w:r w:rsidR="00E8338B" w:rsidRPr="00A409EC">
        <w:rPr>
          <w:rStyle w:val="Referencingstyle"/>
        </w:rPr>
        <w:t xml:space="preserve">, </w:t>
      </w:r>
      <w:r w:rsidR="00E8338B">
        <w:rPr>
          <w:rStyle w:val="Referencingstyle"/>
        </w:rPr>
        <w:t>sections 69AA</w:t>
      </w:r>
      <w:r w:rsidR="00582FE9">
        <w:rPr>
          <w:rStyle w:val="Referencingstyle"/>
        </w:rPr>
        <w:t xml:space="preserve"> to 69</w:t>
      </w:r>
      <w:r w:rsidR="00E8338B">
        <w:rPr>
          <w:rStyle w:val="Referencingstyle"/>
        </w:rPr>
        <w:t>AD, Ozone Management Act]</w:t>
      </w:r>
    </w:p>
    <w:p w:rsidR="00C15219" w:rsidRDefault="00C15219" w:rsidP="00C15219">
      <w:pPr>
        <w:pStyle w:val="ChapterHeading"/>
        <w:numPr>
          <w:ilvl w:val="0"/>
          <w:numId w:val="0"/>
        </w:numPr>
        <w:rPr>
          <w:rStyle w:val="Font30point"/>
        </w:rPr>
        <w:sectPr w:rsidR="00C15219" w:rsidSect="00C15219">
          <w:headerReference w:type="default" r:id="rId34"/>
          <w:type w:val="oddPage"/>
          <w:pgSz w:w="11906" w:h="16838" w:code="9"/>
          <w:pgMar w:top="2466" w:right="2098" w:bottom="2466" w:left="2098" w:header="1559" w:footer="1899" w:gutter="0"/>
          <w:cols w:space="708"/>
          <w:titlePg/>
          <w:docGrid w:linePitch="360"/>
        </w:sectPr>
      </w:pPr>
    </w:p>
    <w:p w:rsidR="00E80EDC" w:rsidRDefault="00E80EDC" w:rsidP="00C15219">
      <w:pPr>
        <w:pStyle w:val="ChapterHeading"/>
        <w:numPr>
          <w:ilvl w:val="0"/>
          <w:numId w:val="0"/>
        </w:numPr>
      </w:pPr>
      <w:bookmarkStart w:id="12" w:name="_Toc393138980"/>
      <w:r w:rsidRPr="008A062B">
        <w:rPr>
          <w:rStyle w:val="Font30point"/>
        </w:rPr>
        <w:t>C</w:t>
      </w:r>
      <w:r w:rsidRPr="008A062B">
        <w:rPr>
          <w:rStyle w:val="Font15point"/>
        </w:rPr>
        <w:t xml:space="preserve">hapter </w:t>
      </w:r>
      <w:r>
        <w:rPr>
          <w:rStyle w:val="Font15point"/>
        </w:rPr>
        <w:t>7</w:t>
      </w:r>
      <w:r>
        <w:tab/>
      </w:r>
      <w:r>
        <w:br/>
      </w:r>
      <w:r w:rsidR="007C3C09">
        <w:t>Specific repeal issues</w:t>
      </w:r>
      <w:bookmarkEnd w:id="12"/>
    </w:p>
    <w:p w:rsidR="00E80EDC" w:rsidRDefault="00E80EDC" w:rsidP="00372296">
      <w:pPr>
        <w:pStyle w:val="Heading2"/>
      </w:pPr>
      <w:r>
        <w:t>Outline of chapter</w:t>
      </w:r>
    </w:p>
    <w:p w:rsidR="00330CB0" w:rsidRPr="00330CB0" w:rsidRDefault="00330CB0" w:rsidP="00330CB0">
      <w:pPr>
        <w:pStyle w:val="ListParagraph"/>
        <w:numPr>
          <w:ilvl w:val="0"/>
          <w:numId w:val="24"/>
        </w:numPr>
        <w:contextualSpacing w:val="0"/>
        <w:rPr>
          <w:vanish/>
        </w:rPr>
      </w:pPr>
    </w:p>
    <w:p w:rsidR="00E80EDC" w:rsidRDefault="00E80EDC" w:rsidP="00330CB0">
      <w:pPr>
        <w:pStyle w:val="base-text-paragraph"/>
        <w:numPr>
          <w:ilvl w:val="1"/>
          <w:numId w:val="24"/>
        </w:numPr>
      </w:pPr>
      <w:r w:rsidRPr="00A409EC">
        <w:t xml:space="preserve">Chapter </w:t>
      </w:r>
      <w:r>
        <w:t>7</w:t>
      </w:r>
      <w:r w:rsidRPr="00A409EC">
        <w:t xml:space="preserve"> describes </w:t>
      </w:r>
      <w:r>
        <w:t>the provisions necessary to:</w:t>
      </w:r>
    </w:p>
    <w:p w:rsidR="00E80EDC" w:rsidRPr="00966D9D" w:rsidRDefault="00E80EDC" w:rsidP="00E80EDC">
      <w:pPr>
        <w:pStyle w:val="dotpoint"/>
      </w:pPr>
      <w:r>
        <w:t xml:space="preserve">repeal the </w:t>
      </w:r>
      <w:r w:rsidRPr="00E80EDC">
        <w:rPr>
          <w:i/>
        </w:rPr>
        <w:t>Steel Transformation Plan Act 2011</w:t>
      </w:r>
      <w:r>
        <w:t xml:space="preserve"> (STP Act);</w:t>
      </w:r>
    </w:p>
    <w:p w:rsidR="00E80EDC" w:rsidRPr="00AC0EF4" w:rsidRDefault="00E80EDC" w:rsidP="00E80EDC">
      <w:pPr>
        <w:pStyle w:val="dotpoint"/>
        <w:rPr>
          <w:color w:val="000000"/>
        </w:rPr>
      </w:pPr>
      <w:r>
        <w:t xml:space="preserve">repeal the </w:t>
      </w:r>
      <w:r w:rsidRPr="009452A3">
        <w:rPr>
          <w:i/>
        </w:rPr>
        <w:t>Steel Transformation Plan 2012</w:t>
      </w:r>
      <w:r>
        <w:t xml:space="preserve">; </w:t>
      </w:r>
    </w:p>
    <w:p w:rsidR="00E80EDC" w:rsidRDefault="00E80EDC" w:rsidP="00E80EDC">
      <w:pPr>
        <w:pStyle w:val="dotpoint"/>
      </w:pPr>
      <w:r>
        <w:t>repeal the refundable tax offset for conservation tillag</w:t>
      </w:r>
      <w:r w:rsidR="0008538B">
        <w:t>e (conservation tillage offset); and</w:t>
      </w:r>
    </w:p>
    <w:p w:rsidR="0008538B" w:rsidRDefault="0008538B" w:rsidP="0008538B">
      <w:pPr>
        <w:pStyle w:val="dotpoint"/>
      </w:pPr>
      <w:r>
        <w:t xml:space="preserve">adjust funding for </w:t>
      </w:r>
      <w:r w:rsidRPr="0008538B">
        <w:t>the Australian Renewable Energy Agency (ARENA)</w:t>
      </w:r>
      <w:r>
        <w:t>.</w:t>
      </w:r>
    </w:p>
    <w:p w:rsidR="00E80EDC" w:rsidRDefault="00E80EDC" w:rsidP="00372296">
      <w:pPr>
        <w:pStyle w:val="Heading2"/>
      </w:pPr>
      <w:r>
        <w:t>Context of amendments</w:t>
      </w:r>
    </w:p>
    <w:p w:rsidR="00E80EDC" w:rsidRPr="00E80EDC" w:rsidRDefault="00E80EDC" w:rsidP="00E80EDC">
      <w:pPr>
        <w:pStyle w:val="Heading3"/>
      </w:pPr>
      <w:r>
        <w:t xml:space="preserve">Repeal of the Steel Transformation Plan </w:t>
      </w:r>
    </w:p>
    <w:p w:rsidR="00E80EDC" w:rsidRDefault="00E80EDC" w:rsidP="00330CB0">
      <w:pPr>
        <w:pStyle w:val="base-text-paragraph"/>
        <w:numPr>
          <w:ilvl w:val="1"/>
          <w:numId w:val="24"/>
        </w:numPr>
      </w:pPr>
      <w:r>
        <w:t xml:space="preserve">The STP Act was introduced to establish the legislative framework and administrative details for the </w:t>
      </w:r>
      <w:r w:rsidR="00D5237C">
        <w:t xml:space="preserve">STP.  </w:t>
      </w:r>
      <w:r w:rsidRPr="003B006F">
        <w:t xml:space="preserve">The </w:t>
      </w:r>
      <w:r w:rsidR="00AF4F39">
        <w:t>STP</w:t>
      </w:r>
      <w:r>
        <w:t xml:space="preserve"> is a </w:t>
      </w:r>
      <w:r w:rsidR="00691C66">
        <w:t>self</w:t>
      </w:r>
      <w:r w:rsidR="00AF4F39">
        <w:noBreakHyphen/>
      </w:r>
      <w:r w:rsidR="00691C66">
        <w:t xml:space="preserve">assessment entitlement scheme </w:t>
      </w:r>
      <w:r>
        <w:t>designed to</w:t>
      </w:r>
      <w:r w:rsidRPr="003B006F">
        <w:t xml:space="preserve"> encourage investment, innovation and competitiveness in the Australian steel manufacturing industry in order to assist the industry</w:t>
      </w:r>
      <w:r w:rsidR="00B32BDD">
        <w:t xml:space="preserve"> to</w:t>
      </w:r>
      <w:r w:rsidRPr="003B006F">
        <w:t xml:space="preserve"> </w:t>
      </w:r>
      <w:r>
        <w:t>transition to</w:t>
      </w:r>
      <w:r w:rsidRPr="003B006F">
        <w:t xml:space="preserve"> a low carbon economy</w:t>
      </w:r>
      <w:r w:rsidR="00D5237C">
        <w:t xml:space="preserve">.  </w:t>
      </w:r>
      <w:r w:rsidRPr="003B006F">
        <w:t>Industry assistance is no longer required due to the</w:t>
      </w:r>
      <w:r>
        <w:t xml:space="preserve"> repeal of the </w:t>
      </w:r>
      <w:r w:rsidR="00372296">
        <w:t xml:space="preserve">carbon tax, and </w:t>
      </w:r>
      <w:r w:rsidR="00691C66">
        <w:t xml:space="preserve">steel manufacturers </w:t>
      </w:r>
      <w:r w:rsidR="00D5237C">
        <w:t>no longer face</w:t>
      </w:r>
      <w:r w:rsidR="00372296">
        <w:t xml:space="preserve"> a cost </w:t>
      </w:r>
      <w:r w:rsidR="00691C66">
        <w:t>burden</w:t>
      </w:r>
      <w:r w:rsidR="00372296">
        <w:t xml:space="preserve"> associated with the production of greenhouse gas emissions</w:t>
      </w:r>
      <w:r w:rsidR="00D5237C">
        <w:t xml:space="preserve">.  </w:t>
      </w:r>
    </w:p>
    <w:p w:rsidR="00372296" w:rsidRDefault="009E7BDF" w:rsidP="00372296">
      <w:pPr>
        <w:pStyle w:val="Heading3"/>
      </w:pPr>
      <w:r>
        <w:t>Repeal of the c</w:t>
      </w:r>
      <w:r w:rsidR="00372296">
        <w:t>onservation tillage offset</w:t>
      </w:r>
    </w:p>
    <w:p w:rsidR="00372296" w:rsidRDefault="00372296" w:rsidP="00330CB0">
      <w:pPr>
        <w:pStyle w:val="base-text-paragraph"/>
        <w:numPr>
          <w:ilvl w:val="1"/>
          <w:numId w:val="24"/>
        </w:numPr>
      </w:pPr>
      <w:r>
        <w:t>The conservation tillage offset was introduced as part of the Clean Energy Legislation</w:t>
      </w:r>
      <w:r w:rsidR="00D5237C">
        <w:t xml:space="preserve">.  </w:t>
      </w:r>
    </w:p>
    <w:p w:rsidR="00372296" w:rsidRPr="00372296" w:rsidRDefault="00372296" w:rsidP="00330CB0">
      <w:pPr>
        <w:pStyle w:val="base-text-paragraph"/>
        <w:numPr>
          <w:ilvl w:val="1"/>
          <w:numId w:val="24"/>
        </w:numPr>
      </w:pPr>
      <w:r w:rsidRPr="00372296">
        <w:t xml:space="preserve">Under the ITAA 1997, </w:t>
      </w:r>
      <w:r>
        <w:t xml:space="preserve">from 2012-13 </w:t>
      </w:r>
      <w:r w:rsidRPr="00372296">
        <w:t>a taxpayer is eligible to claim the conservation tillage offset for an income year if:</w:t>
      </w:r>
    </w:p>
    <w:p w:rsidR="00372296" w:rsidRPr="00372296" w:rsidRDefault="00372296" w:rsidP="00330CB0">
      <w:pPr>
        <w:pStyle w:val="dotpoint"/>
      </w:pPr>
      <w:r w:rsidRPr="00372296">
        <w:t xml:space="preserve">during the income year </w:t>
      </w:r>
      <w:r w:rsidR="00FB30BC">
        <w:t>the taxpayer</w:t>
      </w:r>
      <w:r w:rsidRPr="00372296">
        <w:t xml:space="preserve"> used for the first time, or installed ready for use, a new eligible no-till seeder that they held for the purposes of carrying on a primary production business; and</w:t>
      </w:r>
    </w:p>
    <w:p w:rsidR="00372296" w:rsidRDefault="00372296" w:rsidP="00330CB0">
      <w:pPr>
        <w:pStyle w:val="dotpoint"/>
      </w:pPr>
      <w:r w:rsidRPr="00372296">
        <w:t>the taxpayer held a Research Participation Certificate for the income year</w:t>
      </w:r>
      <w:r>
        <w:t>.</w:t>
      </w:r>
    </w:p>
    <w:p w:rsidR="00372296" w:rsidRDefault="00ED610F" w:rsidP="00330CB0">
      <w:pPr>
        <w:pStyle w:val="base-text-paragraph"/>
        <w:numPr>
          <w:ilvl w:val="1"/>
          <w:numId w:val="24"/>
        </w:numPr>
      </w:pPr>
      <w:r>
        <w:t>The amount of the offset is 15 per cent of the cost of the eligible no-till seeder and the offset was refundable</w:t>
      </w:r>
      <w:r w:rsidR="00D5237C">
        <w:t xml:space="preserve">.  </w:t>
      </w:r>
      <w:r>
        <w:t>The offset was legislated to be a temporary measure and was to only be available from 2012-13 to 2014-15 (inclusive) and only for seeders first used or installed between 1 July 2012 and 30 June 2015</w:t>
      </w:r>
      <w:r w:rsidR="00372296">
        <w:t>.</w:t>
      </w:r>
    </w:p>
    <w:p w:rsidR="00E80EDC" w:rsidRPr="00FB30BC" w:rsidRDefault="004742F4" w:rsidP="00330CB0">
      <w:pPr>
        <w:pStyle w:val="base-text-paragraph"/>
        <w:numPr>
          <w:ilvl w:val="1"/>
          <w:numId w:val="24"/>
        </w:numPr>
      </w:pPr>
      <w:r w:rsidRPr="00FB30BC">
        <w:t>Research Participation Certificates are issued by the Secretary of the Department of Agriculture in respect of an income year</w:t>
      </w:r>
      <w:r w:rsidR="00D5237C">
        <w:t xml:space="preserve">.  </w:t>
      </w:r>
      <w:r w:rsidRPr="00FB30BC">
        <w:t xml:space="preserve">Before issuing a certificate, the Secretary must be satisfied that the taxpayer </w:t>
      </w:r>
      <w:r w:rsidR="00FB30BC">
        <w:t>has</w:t>
      </w:r>
      <w:r w:rsidRPr="00FB30BC">
        <w:t xml:space="preserve"> completed a conservation tillage survey during the relevant income year</w:t>
      </w:r>
      <w:r w:rsidR="0008538B" w:rsidRPr="00FB30BC">
        <w:t>.</w:t>
      </w:r>
    </w:p>
    <w:p w:rsidR="0008538B" w:rsidRDefault="0008538B" w:rsidP="0008538B">
      <w:pPr>
        <w:pStyle w:val="Heading3"/>
      </w:pPr>
      <w:r>
        <w:t xml:space="preserve">Adjusting funding for </w:t>
      </w:r>
      <w:r w:rsidRPr="0008538B">
        <w:t>the Australian Renewable Energy Agency</w:t>
      </w:r>
    </w:p>
    <w:p w:rsidR="0008538B" w:rsidRDefault="00DD4629" w:rsidP="00330CB0">
      <w:pPr>
        <w:pStyle w:val="base-text-paragraph"/>
        <w:numPr>
          <w:ilvl w:val="1"/>
          <w:numId w:val="24"/>
        </w:numPr>
      </w:pPr>
      <w:r w:rsidRPr="00DD4629">
        <w:t>The Main Repeal Bill changes the future funding for the ARENA as a result of a 2013 Budget measure to re-profile funding and the decision to reduce funding to partially offset the costs associated with repealing the carbon tax</w:t>
      </w:r>
      <w:r w:rsidR="00B32BDD">
        <w:t>.</w:t>
      </w:r>
    </w:p>
    <w:p w:rsidR="0008538B" w:rsidRPr="0008538B" w:rsidRDefault="0008538B" w:rsidP="00330CB0">
      <w:pPr>
        <w:pStyle w:val="base-text-paragraph"/>
        <w:numPr>
          <w:ilvl w:val="1"/>
          <w:numId w:val="24"/>
        </w:numPr>
      </w:pPr>
      <w:r>
        <w:t xml:space="preserve">Changes to </w:t>
      </w:r>
      <w:r w:rsidR="00AF4F39">
        <w:t xml:space="preserve">the </w:t>
      </w:r>
      <w:r>
        <w:t xml:space="preserve">ARENA’s future funding require amendment to the </w:t>
      </w:r>
      <w:r w:rsidRPr="0008538B">
        <w:rPr>
          <w:i/>
        </w:rPr>
        <w:t>Australian Renewable Energy Agency Act 2011</w:t>
      </w:r>
      <w:r w:rsidR="003B6468">
        <w:rPr>
          <w:i/>
        </w:rPr>
        <w:t xml:space="preserve"> </w:t>
      </w:r>
      <w:r w:rsidR="003B6468" w:rsidRPr="003B6468">
        <w:t>(ARENA Act)</w:t>
      </w:r>
      <w:r>
        <w:t xml:space="preserve">, which outlines the maximum amounts payable to </w:t>
      </w:r>
      <w:r w:rsidR="00DD4629">
        <w:t xml:space="preserve">the </w:t>
      </w:r>
      <w:r>
        <w:t>ARENA for each financial year up to 2019-2020.</w:t>
      </w:r>
    </w:p>
    <w:p w:rsidR="00E80EDC" w:rsidRDefault="00E80EDC" w:rsidP="00372296">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E80EDC" w:rsidRPr="004666B8" w:rsidTr="00372296">
        <w:tc>
          <w:tcPr>
            <w:tcW w:w="3275" w:type="dxa"/>
          </w:tcPr>
          <w:p w:rsidR="00E80EDC" w:rsidRPr="004666B8" w:rsidRDefault="00E80EDC" w:rsidP="00372296">
            <w:pPr>
              <w:pStyle w:val="tableheaderwithintable"/>
              <w:rPr>
                <w:lang w:val="en-US" w:eastAsia="en-US"/>
              </w:rPr>
            </w:pPr>
            <w:r w:rsidRPr="004666B8">
              <w:rPr>
                <w:lang w:val="en-US" w:eastAsia="en-US"/>
              </w:rPr>
              <w:t>New law</w:t>
            </w:r>
          </w:p>
        </w:tc>
        <w:tc>
          <w:tcPr>
            <w:tcW w:w="3276" w:type="dxa"/>
          </w:tcPr>
          <w:p w:rsidR="00E80EDC" w:rsidRPr="004666B8" w:rsidRDefault="00E80EDC" w:rsidP="00372296">
            <w:pPr>
              <w:pStyle w:val="tableheaderwithintable"/>
              <w:rPr>
                <w:lang w:val="en-US" w:eastAsia="en-US"/>
              </w:rPr>
            </w:pPr>
            <w:r w:rsidRPr="004666B8">
              <w:rPr>
                <w:lang w:val="en-US" w:eastAsia="en-US"/>
              </w:rPr>
              <w:t>Current law</w:t>
            </w:r>
          </w:p>
        </w:tc>
      </w:tr>
      <w:tr w:rsidR="009438B8" w:rsidRPr="004666B8" w:rsidTr="009438B8">
        <w:tc>
          <w:tcPr>
            <w:tcW w:w="6551" w:type="dxa"/>
            <w:gridSpan w:val="2"/>
          </w:tcPr>
          <w:p w:rsidR="009438B8" w:rsidRPr="00A409EC" w:rsidRDefault="009438B8" w:rsidP="00D5237C">
            <w:pPr>
              <w:pStyle w:val="tabletext"/>
              <w:jc w:val="center"/>
            </w:pPr>
            <w:r w:rsidRPr="009438B8">
              <w:rPr>
                <w:b/>
              </w:rPr>
              <w:t xml:space="preserve">Repeal of the </w:t>
            </w:r>
            <w:r w:rsidR="00D5237C">
              <w:rPr>
                <w:b/>
              </w:rPr>
              <w:t>STP</w:t>
            </w:r>
          </w:p>
        </w:tc>
      </w:tr>
      <w:tr w:rsidR="009438B8" w:rsidRPr="004666B8" w:rsidTr="009438B8">
        <w:tc>
          <w:tcPr>
            <w:tcW w:w="3275" w:type="dxa"/>
          </w:tcPr>
          <w:p w:rsidR="009438B8" w:rsidRPr="00A409EC" w:rsidRDefault="009E7BDF" w:rsidP="009E7BDF">
            <w:pPr>
              <w:pStyle w:val="tabletext"/>
            </w:pPr>
            <w:r>
              <w:t>No further</w:t>
            </w:r>
            <w:r w:rsidR="00691C66">
              <w:t xml:space="preserve"> STP</w:t>
            </w:r>
            <w:r>
              <w:t xml:space="preserve"> payments are made from </w:t>
            </w:r>
            <w:r w:rsidRPr="009E7BDF">
              <w:t>1</w:t>
            </w:r>
            <w:r>
              <w:t> July </w:t>
            </w:r>
            <w:r w:rsidRPr="009E7BDF">
              <w:t>2014</w:t>
            </w:r>
            <w:r>
              <w:t>.</w:t>
            </w:r>
          </w:p>
        </w:tc>
        <w:tc>
          <w:tcPr>
            <w:tcW w:w="3276" w:type="dxa"/>
          </w:tcPr>
          <w:p w:rsidR="009438B8" w:rsidRPr="00A409EC" w:rsidRDefault="00691C66" w:rsidP="009E7BDF">
            <w:pPr>
              <w:pStyle w:val="tabletext"/>
            </w:pPr>
            <w:r>
              <w:t>Funding</w:t>
            </w:r>
            <w:r w:rsidR="009E7BDF">
              <w:t xml:space="preserve"> provided to the </w:t>
            </w:r>
            <w:r w:rsidR="009E7BDF" w:rsidRPr="003B006F">
              <w:t>Australian steel manufacturing industry to assist the industry</w:t>
            </w:r>
            <w:r w:rsidR="009E7BDF">
              <w:t xml:space="preserve"> transition to</w:t>
            </w:r>
            <w:r w:rsidR="009E7BDF" w:rsidRPr="003B006F">
              <w:t xml:space="preserve"> a low carbon economy</w:t>
            </w:r>
            <w:r w:rsidR="009E7BDF">
              <w:t>.</w:t>
            </w:r>
          </w:p>
        </w:tc>
      </w:tr>
      <w:tr w:rsidR="009E7BDF" w:rsidRPr="004666B8" w:rsidTr="009E7BDF">
        <w:tc>
          <w:tcPr>
            <w:tcW w:w="6551" w:type="dxa"/>
            <w:gridSpan w:val="2"/>
          </w:tcPr>
          <w:p w:rsidR="009E7BDF" w:rsidRPr="00A409EC" w:rsidRDefault="009E7BDF" w:rsidP="00D5237C">
            <w:pPr>
              <w:pStyle w:val="tabletext"/>
              <w:jc w:val="center"/>
            </w:pPr>
            <w:r w:rsidRPr="009E7BDF">
              <w:rPr>
                <w:b/>
              </w:rPr>
              <w:t xml:space="preserve">Adjusting funding for the </w:t>
            </w:r>
            <w:r w:rsidR="00D5237C">
              <w:rPr>
                <w:b/>
              </w:rPr>
              <w:t>ARENA</w:t>
            </w:r>
          </w:p>
        </w:tc>
      </w:tr>
      <w:tr w:rsidR="009438B8" w:rsidRPr="004666B8" w:rsidTr="009438B8">
        <w:tc>
          <w:tcPr>
            <w:tcW w:w="3275" w:type="dxa"/>
          </w:tcPr>
          <w:p w:rsidR="009438B8" w:rsidRPr="00A409EC" w:rsidRDefault="009E7BDF" w:rsidP="009E7BDF">
            <w:pPr>
              <w:pStyle w:val="tabletext"/>
            </w:pPr>
            <w:r>
              <w:t>Funding for the ARENA is reduced to reflect budget re-profiling and cost savings.</w:t>
            </w:r>
          </w:p>
        </w:tc>
        <w:tc>
          <w:tcPr>
            <w:tcW w:w="3276" w:type="dxa"/>
          </w:tcPr>
          <w:p w:rsidR="009438B8" w:rsidRPr="00A409EC" w:rsidRDefault="009E7BDF" w:rsidP="009E7BDF">
            <w:pPr>
              <w:pStyle w:val="tabletext"/>
            </w:pPr>
            <w:r>
              <w:t xml:space="preserve">The </w:t>
            </w:r>
            <w:r w:rsidRPr="009E7BDF">
              <w:t xml:space="preserve">ARENA’s future funding </w:t>
            </w:r>
            <w:r>
              <w:t>arrangements are set out in the ARENA Act</w:t>
            </w:r>
            <w:r w:rsidR="008232F4">
              <w:t>.</w:t>
            </w:r>
          </w:p>
        </w:tc>
      </w:tr>
      <w:tr w:rsidR="00372296" w:rsidRPr="004666B8" w:rsidTr="00372296">
        <w:tc>
          <w:tcPr>
            <w:tcW w:w="6551" w:type="dxa"/>
            <w:gridSpan w:val="2"/>
          </w:tcPr>
          <w:p w:rsidR="00372296" w:rsidRPr="00372296" w:rsidRDefault="009E7BDF" w:rsidP="009E7BDF">
            <w:pPr>
              <w:pStyle w:val="tabletext"/>
              <w:jc w:val="center"/>
              <w:rPr>
                <w:b/>
                <w:lang w:val="en-US" w:eastAsia="en-US"/>
              </w:rPr>
            </w:pPr>
            <w:r>
              <w:rPr>
                <w:b/>
              </w:rPr>
              <w:t>Repeal of the c</w:t>
            </w:r>
            <w:r w:rsidR="00372296" w:rsidRPr="00372296">
              <w:rPr>
                <w:b/>
              </w:rPr>
              <w:t>onservation tillage offset</w:t>
            </w:r>
          </w:p>
        </w:tc>
      </w:tr>
      <w:tr w:rsidR="00372296" w:rsidRPr="004666B8" w:rsidTr="00372296">
        <w:tc>
          <w:tcPr>
            <w:tcW w:w="3275" w:type="dxa"/>
          </w:tcPr>
          <w:p w:rsidR="00372296" w:rsidRPr="00A409EC" w:rsidRDefault="00372296" w:rsidP="00D5237C">
            <w:pPr>
              <w:pStyle w:val="tabletext"/>
            </w:pPr>
            <w:r>
              <w:rPr>
                <w:lang w:val="en-US" w:eastAsia="en-US"/>
              </w:rPr>
              <w:t>Taxpayers who first use or install an eligible no</w:t>
            </w:r>
            <w:r w:rsidR="00D5237C">
              <w:rPr>
                <w:lang w:val="en-US" w:eastAsia="en-US"/>
              </w:rPr>
              <w:t>-</w:t>
            </w:r>
            <w:r>
              <w:rPr>
                <w:lang w:val="en-US" w:eastAsia="en-US"/>
              </w:rPr>
              <w:t xml:space="preserve">till seeder </w:t>
            </w:r>
            <w:r w:rsidR="00B32BDD">
              <w:rPr>
                <w:lang w:val="en-US" w:eastAsia="en-US"/>
              </w:rPr>
              <w:t xml:space="preserve">from </w:t>
            </w:r>
            <w:r w:rsidR="009438B8">
              <w:rPr>
                <w:lang w:val="en-US" w:eastAsia="en-US"/>
              </w:rPr>
              <w:t>1 July </w:t>
            </w:r>
            <w:r>
              <w:rPr>
                <w:lang w:val="en-US" w:eastAsia="en-US"/>
              </w:rPr>
              <w:t xml:space="preserve">2014 will not be entitled to claim the </w:t>
            </w:r>
            <w:r w:rsidR="008232F4">
              <w:rPr>
                <w:lang w:val="en-US" w:eastAsia="en-US"/>
              </w:rPr>
              <w:t xml:space="preserve">conservation tillage </w:t>
            </w:r>
            <w:r>
              <w:rPr>
                <w:lang w:val="en-US" w:eastAsia="en-US"/>
              </w:rPr>
              <w:t>offset.</w:t>
            </w:r>
          </w:p>
        </w:tc>
        <w:tc>
          <w:tcPr>
            <w:tcW w:w="3276" w:type="dxa"/>
          </w:tcPr>
          <w:p w:rsidR="00372296" w:rsidRPr="00A409EC" w:rsidRDefault="00372296" w:rsidP="00B32BDD">
            <w:pPr>
              <w:pStyle w:val="tabletext"/>
            </w:pPr>
            <w:r>
              <w:rPr>
                <w:lang w:val="en-US" w:eastAsia="en-US"/>
              </w:rPr>
              <w:t>Taxpayers may claim the conservation ti</w:t>
            </w:r>
            <w:r w:rsidR="00D5237C">
              <w:rPr>
                <w:lang w:val="en-US" w:eastAsia="en-US"/>
              </w:rPr>
              <w:t>llage offset for an eligible no-</w:t>
            </w:r>
            <w:r>
              <w:rPr>
                <w:lang w:val="en-US" w:eastAsia="en-US"/>
              </w:rPr>
              <w:t>till seeder that they first use</w:t>
            </w:r>
            <w:r w:rsidR="00D5237C">
              <w:rPr>
                <w:lang w:val="en-US" w:eastAsia="en-US"/>
              </w:rPr>
              <w:t>d</w:t>
            </w:r>
            <w:r>
              <w:rPr>
                <w:lang w:val="en-US" w:eastAsia="en-US"/>
              </w:rPr>
              <w:t xml:space="preserve"> or install</w:t>
            </w:r>
            <w:r w:rsidR="00D5237C">
              <w:rPr>
                <w:lang w:val="en-US" w:eastAsia="en-US"/>
              </w:rPr>
              <w:t>ed</w:t>
            </w:r>
            <w:r>
              <w:rPr>
                <w:lang w:val="en-US" w:eastAsia="en-US"/>
              </w:rPr>
              <w:t xml:space="preserve"> between 1 July 2012 and </w:t>
            </w:r>
            <w:r w:rsidR="00B32BDD">
              <w:rPr>
                <w:lang w:val="en-US" w:eastAsia="en-US"/>
              </w:rPr>
              <w:t>30 June</w:t>
            </w:r>
            <w:r>
              <w:rPr>
                <w:lang w:val="en-US" w:eastAsia="en-US"/>
              </w:rPr>
              <w:t xml:space="preserve"> 2015.</w:t>
            </w:r>
          </w:p>
        </w:tc>
      </w:tr>
    </w:tbl>
    <w:p w:rsidR="00E80EDC" w:rsidRDefault="00E80EDC" w:rsidP="00372296">
      <w:pPr>
        <w:pStyle w:val="Heading2"/>
      </w:pPr>
      <w:r>
        <w:t>Detailed explanation of new law</w:t>
      </w:r>
    </w:p>
    <w:p w:rsidR="00372296" w:rsidRDefault="00372296" w:rsidP="0008538B">
      <w:pPr>
        <w:pStyle w:val="Heading3"/>
      </w:pPr>
      <w:r>
        <w:t xml:space="preserve">Repeal of the Steel Transformation Plan </w:t>
      </w:r>
    </w:p>
    <w:p w:rsidR="00372296" w:rsidRPr="00680EA6" w:rsidRDefault="00372296" w:rsidP="00330CB0">
      <w:pPr>
        <w:pStyle w:val="base-text-paragraph"/>
        <w:numPr>
          <w:ilvl w:val="1"/>
          <w:numId w:val="24"/>
        </w:numPr>
        <w:rPr>
          <w:rStyle w:val="Referencingstyle"/>
          <w:b w:val="0"/>
          <w:i w:val="0"/>
          <w:sz w:val="22"/>
        </w:rPr>
      </w:pPr>
      <w:r w:rsidRPr="00372296">
        <w:rPr>
          <w:szCs w:val="22"/>
        </w:rPr>
        <w:t xml:space="preserve">The STP Act is </w:t>
      </w:r>
      <w:r>
        <w:rPr>
          <w:szCs w:val="22"/>
        </w:rPr>
        <w:t>repealed</w:t>
      </w:r>
      <w:r w:rsidRPr="00372296">
        <w:rPr>
          <w:szCs w:val="22"/>
        </w:rPr>
        <w:t xml:space="preserve"> in its entirety</w:t>
      </w:r>
      <w:r>
        <w:rPr>
          <w:szCs w:val="22"/>
        </w:rPr>
        <w:t>, with effect from</w:t>
      </w:r>
      <w:r w:rsidRPr="00A409EC">
        <w:rPr>
          <w:szCs w:val="22"/>
        </w:rPr>
        <w:t xml:space="preserve"> </w:t>
      </w:r>
      <w:r w:rsidR="00680EA6">
        <w:rPr>
          <w:szCs w:val="22"/>
        </w:rPr>
        <w:t>1 July </w:t>
      </w:r>
      <w:r>
        <w:rPr>
          <w:szCs w:val="22"/>
        </w:rPr>
        <w:t>2014</w:t>
      </w:r>
      <w:r w:rsidR="00D5237C">
        <w:rPr>
          <w:szCs w:val="22"/>
        </w:rPr>
        <w:t xml:space="preserve">.  </w:t>
      </w:r>
      <w:r w:rsidR="00D86294">
        <w:rPr>
          <w:szCs w:val="22"/>
        </w:rPr>
        <w:t>The</w:t>
      </w:r>
      <w:r w:rsidR="00D86294" w:rsidRPr="00D86294">
        <w:t xml:space="preserve"> </w:t>
      </w:r>
      <w:r w:rsidR="00D86294" w:rsidRPr="00680EA6">
        <w:t xml:space="preserve">legislative instrument </w:t>
      </w:r>
      <w:r w:rsidR="00554E35">
        <w:t>under</w:t>
      </w:r>
      <w:r w:rsidR="00D86294" w:rsidRPr="00680EA6">
        <w:t xml:space="preserve"> the STP Act, the </w:t>
      </w:r>
      <w:r w:rsidR="00D86294" w:rsidRPr="00691C66">
        <w:rPr>
          <w:i/>
        </w:rPr>
        <w:t>Steel Transformation Plan</w:t>
      </w:r>
      <w:r w:rsidR="00691C66" w:rsidRPr="00691C66">
        <w:rPr>
          <w:i/>
        </w:rPr>
        <w:t xml:space="preserve"> 2012</w:t>
      </w:r>
      <w:r w:rsidR="00D86294" w:rsidRPr="00680EA6">
        <w:t xml:space="preserve">, </w:t>
      </w:r>
      <w:r w:rsidR="00D86294">
        <w:t>also ceases to have effect from 1 July 2014</w:t>
      </w:r>
      <w:r w:rsidR="00D5237C">
        <w:rPr>
          <w:szCs w:val="22"/>
        </w:rPr>
        <w:t xml:space="preserve">.  </w:t>
      </w:r>
      <w:r w:rsidR="007060E3">
        <w:rPr>
          <w:rStyle w:val="Referencingstyle"/>
        </w:rPr>
        <w:t>[Schedule </w:t>
      </w:r>
      <w:r w:rsidR="00680EA6">
        <w:rPr>
          <w:rStyle w:val="Referencingstyle"/>
        </w:rPr>
        <w:t>4, item 1</w:t>
      </w:r>
      <w:r w:rsidRPr="00680EA6">
        <w:rPr>
          <w:rStyle w:val="Referencingstyle"/>
        </w:rPr>
        <w:t>]</w:t>
      </w:r>
    </w:p>
    <w:p w:rsidR="001F7FEC" w:rsidRDefault="001F7FEC" w:rsidP="00330CB0">
      <w:pPr>
        <w:pStyle w:val="base-text-paragraph"/>
        <w:numPr>
          <w:ilvl w:val="1"/>
          <w:numId w:val="24"/>
        </w:numPr>
      </w:pPr>
      <w:r>
        <w:t>The consequences for the STP participants is that after 30 June 2014:</w:t>
      </w:r>
    </w:p>
    <w:p w:rsidR="001F7FEC" w:rsidRDefault="001F7FEC" w:rsidP="001F7FEC">
      <w:pPr>
        <w:pStyle w:val="dotpoint"/>
      </w:pPr>
      <w:r>
        <w:t xml:space="preserve"> no fu</w:t>
      </w:r>
      <w:r w:rsidR="00010A66">
        <w:t>rther STP payments are payable;</w:t>
      </w:r>
    </w:p>
    <w:p w:rsidR="001F7FEC" w:rsidRDefault="001F7FEC" w:rsidP="001F7FEC">
      <w:pPr>
        <w:pStyle w:val="dotpoint"/>
      </w:pPr>
      <w:r>
        <w:t>any conditions</w:t>
      </w:r>
      <w:r w:rsidR="00010A66">
        <w:t xml:space="preserve"> </w:t>
      </w:r>
      <w:r>
        <w:t>associated with previous payment of competitiveness assistance advances, under Part 2 of the STP Act</w:t>
      </w:r>
      <w:r w:rsidR="00010A66">
        <w:t>, including reporting requirements</w:t>
      </w:r>
      <w:r w:rsidR="00010A66" w:rsidRPr="00010A66">
        <w:t xml:space="preserve"> </w:t>
      </w:r>
      <w:r w:rsidR="00010A66">
        <w:t>relating to the</w:t>
      </w:r>
      <w:r w:rsidR="00010A66" w:rsidRPr="00D86294">
        <w:t xml:space="preserve"> </w:t>
      </w:r>
      <w:r w:rsidR="00010A66">
        <w:t xml:space="preserve">half-year ending on 30 June 2014, </w:t>
      </w:r>
      <w:r>
        <w:t>no longer apply; and</w:t>
      </w:r>
    </w:p>
    <w:p w:rsidR="00680EA6" w:rsidRDefault="001F7FEC" w:rsidP="001F7FEC">
      <w:pPr>
        <w:pStyle w:val="dotpoint"/>
      </w:pPr>
      <w:r>
        <w:t>any conditions</w:t>
      </w:r>
      <w:r w:rsidR="007B3F1D">
        <w:t>, such as document retention obligations,</w:t>
      </w:r>
      <w:r>
        <w:t xml:space="preserve"> under Part 3 of the STP Act and the </w:t>
      </w:r>
      <w:r w:rsidRPr="00691C66">
        <w:rPr>
          <w:i/>
        </w:rPr>
        <w:t xml:space="preserve">Steel Transformation Plan </w:t>
      </w:r>
      <w:r w:rsidR="00691C66" w:rsidRPr="00691C66">
        <w:rPr>
          <w:i/>
        </w:rPr>
        <w:t>2012</w:t>
      </w:r>
      <w:r w:rsidR="00691C66">
        <w:t xml:space="preserve"> </w:t>
      </w:r>
      <w:r w:rsidR="00010A66">
        <w:t>are no longer enforceable</w:t>
      </w:r>
      <w:r w:rsidR="00D5237C">
        <w:t xml:space="preserve">.  </w:t>
      </w:r>
      <w:r w:rsidR="00E8338B">
        <w:rPr>
          <w:rStyle w:val="Referencingstyle"/>
        </w:rPr>
        <w:t>[Schedul</w:t>
      </w:r>
      <w:r w:rsidR="00EF237D">
        <w:rPr>
          <w:rStyle w:val="Referencingstyle"/>
        </w:rPr>
        <w:t>e 4, item</w:t>
      </w:r>
      <w:r w:rsidR="00E8338B">
        <w:rPr>
          <w:rStyle w:val="Referencingstyle"/>
        </w:rPr>
        <w:t xml:space="preserve"> 2</w:t>
      </w:r>
      <w:r w:rsidRPr="001F7FEC">
        <w:rPr>
          <w:rStyle w:val="Referencingstyle"/>
        </w:rPr>
        <w:t>]</w:t>
      </w:r>
    </w:p>
    <w:p w:rsidR="00680EA6" w:rsidRDefault="001F7FEC" w:rsidP="00330CB0">
      <w:pPr>
        <w:pStyle w:val="base-text-paragraph"/>
        <w:numPr>
          <w:ilvl w:val="1"/>
          <w:numId w:val="24"/>
        </w:numPr>
      </w:pPr>
      <w:r>
        <w:t>From 1 July 2014 the Department</w:t>
      </w:r>
      <w:r w:rsidR="00554E35">
        <w:t xml:space="preserve"> of Industry</w:t>
      </w:r>
      <w:r>
        <w:t xml:space="preserve"> is </w:t>
      </w:r>
      <w:r w:rsidR="00680EA6">
        <w:t xml:space="preserve">no longer required to </w:t>
      </w:r>
      <w:r>
        <w:t>include</w:t>
      </w:r>
      <w:r w:rsidR="00680EA6">
        <w:t xml:space="preserve"> details </w:t>
      </w:r>
      <w:r>
        <w:t xml:space="preserve">in its annual report regarding </w:t>
      </w:r>
      <w:r w:rsidRPr="003B6E3B">
        <w:rPr>
          <w:szCs w:val="22"/>
        </w:rPr>
        <w:t>aspects</w:t>
      </w:r>
      <w:r>
        <w:t xml:space="preserve"> of the STP</w:t>
      </w:r>
      <w:r w:rsidR="00D5237C">
        <w:t xml:space="preserve">.  </w:t>
      </w:r>
      <w:r>
        <w:t xml:space="preserve">This includes details of </w:t>
      </w:r>
      <w:r w:rsidR="00680EA6">
        <w:t>the total amount of STP payments paid to the STP participants and information about the progress of the Australian steel manufacturing industry towards improved environmental outcomes and workforce skills development</w:t>
      </w:r>
      <w:r w:rsidR="00D5237C">
        <w:t xml:space="preserve">.  </w:t>
      </w:r>
      <w:r w:rsidR="00EF237D">
        <w:rPr>
          <w:rStyle w:val="Referencingstyle"/>
        </w:rPr>
        <w:t>[Schedule 4, item</w:t>
      </w:r>
      <w:r w:rsidR="00E8338B">
        <w:rPr>
          <w:rStyle w:val="Referencingstyle"/>
        </w:rPr>
        <w:t xml:space="preserve"> </w:t>
      </w:r>
      <w:r w:rsidR="00680EA6" w:rsidRPr="001F7FEC">
        <w:rPr>
          <w:rStyle w:val="Referencingstyle"/>
        </w:rPr>
        <w:t>2]</w:t>
      </w:r>
      <w:r w:rsidR="00680EA6">
        <w:t xml:space="preserve"> </w:t>
      </w:r>
    </w:p>
    <w:p w:rsidR="00680EA6" w:rsidRPr="003B6E3B" w:rsidRDefault="00680EA6" w:rsidP="00330CB0">
      <w:pPr>
        <w:pStyle w:val="base-text-paragraph"/>
        <w:numPr>
          <w:ilvl w:val="1"/>
          <w:numId w:val="24"/>
        </w:numPr>
        <w:rPr>
          <w:rStyle w:val="Referencingstyle"/>
          <w:b w:val="0"/>
          <w:i w:val="0"/>
          <w:sz w:val="22"/>
        </w:rPr>
      </w:pPr>
      <w:r>
        <w:t xml:space="preserve">Definitions </w:t>
      </w:r>
      <w:r w:rsidR="005E5B0B">
        <w:t xml:space="preserve">for ‘old Act’ and ‘old Plan’ </w:t>
      </w:r>
      <w:r>
        <w:t xml:space="preserve">are provided </w:t>
      </w:r>
      <w:r w:rsidR="005E5B0B">
        <w:t xml:space="preserve">to clearly </w:t>
      </w:r>
      <w:r w:rsidR="00D5237C">
        <w:t xml:space="preserve">identify and </w:t>
      </w:r>
      <w:r w:rsidR="005E5B0B">
        <w:t xml:space="preserve">differentiate references to the STP Act and the </w:t>
      </w:r>
      <w:r w:rsidR="005E5B0B" w:rsidRPr="00691C66">
        <w:rPr>
          <w:i/>
        </w:rPr>
        <w:t>Steel Transformation Plan 2012</w:t>
      </w:r>
      <w:r w:rsidR="005E5B0B">
        <w:t>, respectively</w:t>
      </w:r>
      <w:r w:rsidR="00D5237C">
        <w:t xml:space="preserve">.  </w:t>
      </w:r>
      <w:r w:rsidR="00691C66">
        <w:rPr>
          <w:rStyle w:val="Referencingstyle"/>
        </w:rPr>
        <w:t>[Schedule 4, item 2</w:t>
      </w:r>
      <w:r w:rsidR="00605CE5">
        <w:rPr>
          <w:rStyle w:val="Referencingstyle"/>
        </w:rPr>
        <w:t xml:space="preserve">, </w:t>
      </w:r>
      <w:r>
        <w:rPr>
          <w:rStyle w:val="Referencingstyle"/>
        </w:rPr>
        <w:t>2</w:t>
      </w:r>
      <w:r w:rsidRPr="00A409EC">
        <w:rPr>
          <w:rStyle w:val="Referencingstyle"/>
        </w:rPr>
        <w:t>]</w:t>
      </w:r>
    </w:p>
    <w:p w:rsidR="003B6E3B" w:rsidRDefault="003B6E3B" w:rsidP="003B6E3B">
      <w:pPr>
        <w:pStyle w:val="Heading3"/>
      </w:pPr>
      <w:r>
        <w:t>Conservation tillage offset</w:t>
      </w:r>
    </w:p>
    <w:p w:rsidR="00474B13" w:rsidRDefault="00474B13" w:rsidP="00474B13">
      <w:pPr>
        <w:pStyle w:val="Heading4"/>
      </w:pPr>
      <w:r>
        <w:t>Repealing the offset</w:t>
      </w:r>
    </w:p>
    <w:p w:rsidR="003B6E3B" w:rsidRDefault="003B6E3B" w:rsidP="00330CB0">
      <w:pPr>
        <w:pStyle w:val="base-text-paragraph"/>
        <w:numPr>
          <w:ilvl w:val="1"/>
          <w:numId w:val="24"/>
        </w:numPr>
      </w:pPr>
      <w:r>
        <w:t>The conservation tillage offset</w:t>
      </w:r>
      <w:r w:rsidR="00AF4F39">
        <w:t xml:space="preserve"> provisions set out in the ITAA </w:t>
      </w:r>
      <w:r>
        <w:t>1997 are repealed for 2014-15 and subsequent years</w:t>
      </w:r>
      <w:r w:rsidR="00D5237C">
        <w:t xml:space="preserve">.  </w:t>
      </w:r>
      <w:r>
        <w:t>As a result</w:t>
      </w:r>
      <w:r w:rsidRPr="006C0904">
        <w:t xml:space="preserve">, taxpayers will no longer be able to claim the </w:t>
      </w:r>
      <w:r>
        <w:t xml:space="preserve">tax </w:t>
      </w:r>
      <w:r w:rsidRPr="006C0904">
        <w:t>offset when they first use or install an eligible no</w:t>
      </w:r>
      <w:r>
        <w:t>-</w:t>
      </w:r>
      <w:r w:rsidRPr="006C0904">
        <w:t>till seeder</w:t>
      </w:r>
      <w:r w:rsidR="00D5237C">
        <w:t xml:space="preserve">.  </w:t>
      </w:r>
      <w:r w:rsidRPr="003B6E3B">
        <w:rPr>
          <w:rStyle w:val="Referencingstyle"/>
        </w:rPr>
        <w:t>[Schedule 3</w:t>
      </w:r>
      <w:r w:rsidR="00FB30BC">
        <w:rPr>
          <w:rStyle w:val="Referencingstyle"/>
        </w:rPr>
        <w:t>, item 4, Subdivision 38</w:t>
      </w:r>
      <w:r>
        <w:rPr>
          <w:rStyle w:val="Referencingstyle"/>
        </w:rPr>
        <w:t xml:space="preserve">5-J, </w:t>
      </w:r>
      <w:r w:rsidR="00AF4F39">
        <w:rPr>
          <w:rStyle w:val="Referencingstyle"/>
        </w:rPr>
        <w:t>ITAA </w:t>
      </w:r>
      <w:r w:rsidRPr="003B6E3B">
        <w:rPr>
          <w:rStyle w:val="Referencingstyle"/>
        </w:rPr>
        <w:t>1997]</w:t>
      </w:r>
    </w:p>
    <w:p w:rsidR="003B6E3B" w:rsidRPr="003B6E3B" w:rsidRDefault="003B6E3B" w:rsidP="00330CB0">
      <w:pPr>
        <w:pStyle w:val="base-text-paragraph"/>
        <w:numPr>
          <w:ilvl w:val="1"/>
          <w:numId w:val="24"/>
        </w:numPr>
      </w:pPr>
      <w:r w:rsidRPr="006C0904">
        <w:t xml:space="preserve">References to the offset in the general rules for offsets, the Dictionary and the explanatory and guidance material for the Act </w:t>
      </w:r>
      <w:r>
        <w:t>are also</w:t>
      </w:r>
      <w:r w:rsidRPr="006C0904">
        <w:t xml:space="preserve"> repealed</w:t>
      </w:r>
      <w:r w:rsidR="00D5237C">
        <w:t xml:space="preserve">.  </w:t>
      </w:r>
      <w:r w:rsidRPr="003B6E3B">
        <w:rPr>
          <w:rStyle w:val="Referencingstyle"/>
        </w:rPr>
        <w:t>[Schedule 3, items 3 and 5, table item 24 in section</w:t>
      </w:r>
      <w:r w:rsidR="008232F4">
        <w:rPr>
          <w:rStyle w:val="Referencingstyle"/>
        </w:rPr>
        <w:t>s</w:t>
      </w:r>
      <w:r w:rsidRPr="003B6E3B">
        <w:rPr>
          <w:rStyle w:val="Referencingstyle"/>
        </w:rPr>
        <w:t xml:space="preserve"> 67-23 and </w:t>
      </w:r>
      <w:r w:rsidR="00AF4F39">
        <w:rPr>
          <w:rStyle w:val="Referencingstyle"/>
        </w:rPr>
        <w:t>section 995</w:t>
      </w:r>
      <w:r w:rsidR="00AF4F39">
        <w:rPr>
          <w:rStyle w:val="Referencingstyle"/>
        </w:rPr>
        <w:noBreakHyphen/>
      </w:r>
      <w:r>
        <w:rPr>
          <w:rStyle w:val="Referencingstyle"/>
        </w:rPr>
        <w:t xml:space="preserve">1(1), </w:t>
      </w:r>
      <w:r w:rsidRPr="003B6E3B">
        <w:rPr>
          <w:rStyle w:val="Referencingstyle"/>
        </w:rPr>
        <w:t>ITAA 1997]</w:t>
      </w:r>
    </w:p>
    <w:p w:rsidR="003B6E3B" w:rsidRPr="003B6E3B" w:rsidRDefault="00ED610F" w:rsidP="00330CB0">
      <w:pPr>
        <w:pStyle w:val="base-text-paragraph"/>
        <w:numPr>
          <w:ilvl w:val="1"/>
          <w:numId w:val="24"/>
        </w:numPr>
      </w:pPr>
      <w:r>
        <w:t>A sunset clause was included when the offset was introduced to repeal the provisions after the offse</w:t>
      </w:r>
      <w:r w:rsidR="00AF4F39">
        <w:t>t ceased to be available from 1 July </w:t>
      </w:r>
      <w:r>
        <w:t>2015</w:t>
      </w:r>
      <w:r w:rsidR="00D5237C">
        <w:t xml:space="preserve">.  </w:t>
      </w:r>
      <w:r>
        <w:t>As this sunset clause is no longer needed it is</w:t>
      </w:r>
      <w:r w:rsidR="00AF4F39">
        <w:t> </w:t>
      </w:r>
      <w:r>
        <w:t>repealed</w:t>
      </w:r>
      <w:r w:rsidR="00D5237C">
        <w:t>.</w:t>
      </w:r>
      <w:r w:rsidR="00AF4F39">
        <w:t>  </w:t>
      </w:r>
      <w:r w:rsidR="003B6E3B" w:rsidRPr="003B6E3B">
        <w:rPr>
          <w:rStyle w:val="Referencingstyle"/>
        </w:rPr>
        <w:t xml:space="preserve">[Schedule 3, items 1 and 2, table item 6 in </w:t>
      </w:r>
      <w:r w:rsidR="00E8338B">
        <w:rPr>
          <w:rStyle w:val="Referencingstyle"/>
        </w:rPr>
        <w:t xml:space="preserve">section </w:t>
      </w:r>
      <w:r w:rsidR="00474B13">
        <w:rPr>
          <w:rStyle w:val="Referencingstyle"/>
        </w:rPr>
        <w:t xml:space="preserve">2(1) and Part 3 of Schedule 2, </w:t>
      </w:r>
      <w:r w:rsidR="003B6E3B" w:rsidRPr="003B6E3B">
        <w:rPr>
          <w:rStyle w:val="Referencingstyle"/>
        </w:rPr>
        <w:t>Clean Energy (Consequential Amendments) Act 2011]</w:t>
      </w:r>
    </w:p>
    <w:p w:rsidR="003B6E3B" w:rsidRPr="00AD3BFD" w:rsidRDefault="003B6E3B" w:rsidP="00474B13">
      <w:pPr>
        <w:pStyle w:val="Heading4"/>
        <w:rPr>
          <w:bCs/>
          <w:iCs/>
        </w:rPr>
      </w:pPr>
      <w:r>
        <w:t>Application date and transitional arrangements</w:t>
      </w:r>
    </w:p>
    <w:p w:rsidR="003B6E3B" w:rsidRPr="003B6E3B" w:rsidRDefault="003B6E3B" w:rsidP="00330CB0">
      <w:pPr>
        <w:pStyle w:val="base-text-paragraph"/>
        <w:numPr>
          <w:ilvl w:val="1"/>
          <w:numId w:val="24"/>
        </w:numPr>
      </w:pPr>
      <w:r>
        <w:t xml:space="preserve">This repeal applies to 2014-15 and later </w:t>
      </w:r>
      <w:r w:rsidR="00ED610F">
        <w:t>income</w:t>
      </w:r>
      <w:r>
        <w:t xml:space="preserve"> years</w:t>
      </w:r>
      <w:r w:rsidR="00D5237C">
        <w:t xml:space="preserve">.  </w:t>
      </w:r>
      <w:r w:rsidRPr="004742F4">
        <w:rPr>
          <w:rStyle w:val="Referencingstyle"/>
        </w:rPr>
        <w:t>[Schedule 3, item 6]</w:t>
      </w:r>
    </w:p>
    <w:p w:rsidR="003B6E3B" w:rsidRDefault="00BE02CB" w:rsidP="00330CB0">
      <w:pPr>
        <w:pStyle w:val="base-text-paragraph"/>
        <w:numPr>
          <w:ilvl w:val="1"/>
          <w:numId w:val="24"/>
        </w:numPr>
      </w:pPr>
      <w:r>
        <w:t>Taxpayers who have claimed, or who are eligible to claim, the offset for prior income years will not lose their entitlements as a result of this change</w:t>
      </w:r>
      <w:r w:rsidR="00D5237C">
        <w:t xml:space="preserve">.  </w:t>
      </w:r>
      <w:r>
        <w:t>Further, related administrative processes will continue to operate</w:t>
      </w:r>
      <w:r w:rsidR="00D5237C">
        <w:t xml:space="preserve">.  </w:t>
      </w:r>
      <w:r>
        <w:t>For example, Research Participation Certificates may still be issued in respect of income years prior to 2014-15, and the Secretary of the Department of Agriculture may revoke a Research Participation Certificate issued before or after the repeal if it is demonstrated that the certificate was issued as a result of fraud or misrepresentation</w:t>
      </w:r>
      <w:r w:rsidR="00D5237C">
        <w:t xml:space="preserve">.  </w:t>
      </w:r>
      <w:r w:rsidRPr="00FB30BC">
        <w:rPr>
          <w:rStyle w:val="Referencingstyle"/>
        </w:rPr>
        <w:t>[Schedule 3, item 7]</w:t>
      </w:r>
    </w:p>
    <w:p w:rsidR="003B6E3B" w:rsidRPr="0008538B" w:rsidRDefault="00BE02CB" w:rsidP="00330CB0">
      <w:pPr>
        <w:pStyle w:val="base-text-paragraph"/>
        <w:numPr>
          <w:ilvl w:val="1"/>
          <w:numId w:val="24"/>
        </w:numPr>
        <w:rPr>
          <w:rStyle w:val="Referencingstyle"/>
          <w:b w:val="0"/>
          <w:i w:val="0"/>
          <w:sz w:val="22"/>
        </w:rPr>
      </w:pPr>
      <w:r>
        <w:t>The Main Repeal Bill also includes a transitional provision, which ensures that the new end date for the offset (30 June 2014) is treated in the same way as the old end date for the offset (30 June 2015)</w:t>
      </w:r>
      <w:r w:rsidR="00D5237C">
        <w:t xml:space="preserve">.  </w:t>
      </w:r>
      <w:r>
        <w:t>The transitional provisions are not subject to the application provision for the repeal and so apply from the commencement of the Main Repeal Bill</w:t>
      </w:r>
      <w:r w:rsidR="00D5237C">
        <w:t xml:space="preserve">.  </w:t>
      </w:r>
      <w:r w:rsidRPr="00497D63">
        <w:rPr>
          <w:rStyle w:val="Referencingstyle"/>
        </w:rPr>
        <w:t xml:space="preserve">[Schedule </w:t>
      </w:r>
      <w:r>
        <w:rPr>
          <w:rStyle w:val="Referencingstyle"/>
        </w:rPr>
        <w:t>3</w:t>
      </w:r>
      <w:r w:rsidRPr="00497D63">
        <w:rPr>
          <w:rStyle w:val="Referencingstyle"/>
        </w:rPr>
        <w:t>, item</w:t>
      </w:r>
      <w:r>
        <w:rPr>
          <w:rStyle w:val="Referencingstyle"/>
        </w:rPr>
        <w:t>s 6 and</w:t>
      </w:r>
      <w:r w:rsidRPr="00497D63">
        <w:rPr>
          <w:rStyle w:val="Referencingstyle"/>
        </w:rPr>
        <w:t xml:space="preserve"> 7]</w:t>
      </w:r>
    </w:p>
    <w:p w:rsidR="0008538B" w:rsidRDefault="0008538B" w:rsidP="0008538B">
      <w:pPr>
        <w:pStyle w:val="Heading3"/>
      </w:pPr>
      <w:r>
        <w:t xml:space="preserve">Adjusting funding for </w:t>
      </w:r>
      <w:r w:rsidRPr="0008538B">
        <w:t>the Australian Renewable Energy Agency</w:t>
      </w:r>
    </w:p>
    <w:p w:rsidR="003F6550" w:rsidRPr="00BB434F" w:rsidRDefault="00DD4629" w:rsidP="00330CB0">
      <w:pPr>
        <w:pStyle w:val="base-text-paragraph"/>
        <w:numPr>
          <w:ilvl w:val="1"/>
          <w:numId w:val="24"/>
        </w:numPr>
        <w:rPr>
          <w:i/>
        </w:rPr>
      </w:pPr>
      <w:r w:rsidRPr="00DD4629">
        <w:t>The Main Repe</w:t>
      </w:r>
      <w:r>
        <w:t xml:space="preserve">al Bill repeals the table at </w:t>
      </w:r>
      <w:r w:rsidRPr="00DD4629">
        <w:t xml:space="preserve">section 64(1) </w:t>
      </w:r>
      <w:r>
        <w:t xml:space="preserve">of the </w:t>
      </w:r>
      <w:r w:rsidR="00E8338B">
        <w:t xml:space="preserve">ARENA Act </w:t>
      </w:r>
      <w:r w:rsidRPr="00DD4629">
        <w:t xml:space="preserve">and inserts a revised table of yearly maximum payments to </w:t>
      </w:r>
      <w:r w:rsidR="00B32BDD">
        <w:t xml:space="preserve">the </w:t>
      </w:r>
      <w:r w:rsidRPr="00DD4629">
        <w:t>ARENA</w:t>
      </w:r>
      <w:r w:rsidR="00D5237C">
        <w:t xml:space="preserve">.  </w:t>
      </w:r>
      <w:r w:rsidR="00E8338B">
        <w:rPr>
          <w:rStyle w:val="Referencingstyle"/>
        </w:rPr>
        <w:t xml:space="preserve">[Schedule 5, item 1, </w:t>
      </w:r>
      <w:r w:rsidRPr="00DD4629">
        <w:rPr>
          <w:rStyle w:val="Referencingstyle"/>
        </w:rPr>
        <w:t>section 64(1)(table), ARENA Act]</w:t>
      </w:r>
      <w:r w:rsidRPr="00DD4629">
        <w:t xml:space="preserve"> The yearly maximum payments listed in the amended table include</w:t>
      </w:r>
      <w:r w:rsidR="00BB434F">
        <w:t>:</w:t>
      </w:r>
    </w:p>
    <w:p w:rsidR="00DD4629" w:rsidRDefault="00DD4629" w:rsidP="00AF4F39">
      <w:pPr>
        <w:pStyle w:val="dotpoint"/>
      </w:pPr>
      <w:r>
        <w:t>a 2013 Budget measure to re-profile $370 million in funding for the ARENA over the forward estimates (2014-15 to 2016-17) in</w:t>
      </w:r>
      <w:r w:rsidR="008232F4">
        <w:t>to later years (2019-20 to 2021-</w:t>
      </w:r>
      <w:r>
        <w:t xml:space="preserve">22); and </w:t>
      </w:r>
    </w:p>
    <w:p w:rsidR="00DD4629" w:rsidRDefault="00DD4629" w:rsidP="00AF4F39">
      <w:pPr>
        <w:pStyle w:val="dotpoint"/>
      </w:pPr>
      <w:r>
        <w:t>a reduction in funding for the ARENA by $434.9 million over the forward estimates (2014-15 to 2016-17)</w:t>
      </w:r>
      <w:r w:rsidR="00D5237C">
        <w:t xml:space="preserve">.  </w:t>
      </w:r>
    </w:p>
    <w:p w:rsidR="003F6550" w:rsidRPr="003F6550" w:rsidRDefault="00DD4629" w:rsidP="00330CB0">
      <w:pPr>
        <w:pStyle w:val="base-text-paragraph"/>
        <w:numPr>
          <w:ilvl w:val="1"/>
          <w:numId w:val="24"/>
        </w:numPr>
      </w:pPr>
      <w:r>
        <w:t>The new table does not include the 2012-13 year, which has passed</w:t>
      </w:r>
      <w:r w:rsidR="00D5237C">
        <w:t xml:space="preserve">.  </w:t>
      </w:r>
      <w:r>
        <w:t>In relation to the amount originally specified in the ARENA Act, the unspent funds for the 2012-13 year have been carried over into the amended forward year figures, consistent with section 64(2)</w:t>
      </w:r>
      <w:r w:rsidR="008D75C7">
        <w:t xml:space="preserve"> of the ARENA Act</w:t>
      </w:r>
      <w:r w:rsidR="003F6550" w:rsidRPr="003F6550">
        <w:t>.</w:t>
      </w:r>
    </w:p>
    <w:p w:rsidR="00BB434F" w:rsidRDefault="00DD4629" w:rsidP="00330CB0">
      <w:pPr>
        <w:pStyle w:val="base-text-paragraph"/>
        <w:numPr>
          <w:ilvl w:val="1"/>
          <w:numId w:val="24"/>
        </w:numPr>
      </w:pPr>
      <w:r>
        <w:t xml:space="preserve">The Main Repeal Bill repeals </w:t>
      </w:r>
      <w:r w:rsidR="003F6550" w:rsidRPr="003F6550">
        <w:t xml:space="preserve">section 64(3) to 64(6) of the </w:t>
      </w:r>
      <w:r w:rsidR="00BB434F" w:rsidRPr="00BB434F">
        <w:t>ARENA Act</w:t>
      </w:r>
      <w:r w:rsidR="008D75C7">
        <w:t>,</w:t>
      </w:r>
      <w:r w:rsidR="003F6550" w:rsidRPr="003F6550">
        <w:rPr>
          <w:i/>
        </w:rPr>
        <w:t xml:space="preserve"> </w:t>
      </w:r>
      <w:r w:rsidR="003F6550" w:rsidRPr="003F6550">
        <w:t xml:space="preserve">as </w:t>
      </w:r>
      <w:r w:rsidR="008232F4">
        <w:t>it is</w:t>
      </w:r>
      <w:r w:rsidR="003F6550" w:rsidRPr="003F6550">
        <w:t xml:space="preserve"> now redundant</w:t>
      </w:r>
      <w:r w:rsidR="00D5237C">
        <w:t xml:space="preserve">.  </w:t>
      </w:r>
      <w:r w:rsidR="00E8338B" w:rsidRPr="00BB434F">
        <w:rPr>
          <w:rStyle w:val="Referencingstyle"/>
        </w:rPr>
        <w:t xml:space="preserve">[Schedule </w:t>
      </w:r>
      <w:r w:rsidR="00E8338B">
        <w:rPr>
          <w:rStyle w:val="Referencingstyle"/>
        </w:rPr>
        <w:t>5</w:t>
      </w:r>
      <w:r w:rsidR="00E8338B" w:rsidRPr="00BB434F">
        <w:rPr>
          <w:rStyle w:val="Referencingstyle"/>
        </w:rPr>
        <w:t>, item</w:t>
      </w:r>
      <w:r w:rsidR="00E8338B">
        <w:rPr>
          <w:rStyle w:val="Referencingstyle"/>
        </w:rPr>
        <w:t>s 2 and 3</w:t>
      </w:r>
      <w:r w:rsidR="00E8338B" w:rsidRPr="00BB434F">
        <w:rPr>
          <w:rStyle w:val="Referencingstyle"/>
        </w:rPr>
        <w:t>, section</w:t>
      </w:r>
      <w:r w:rsidR="008232F4">
        <w:rPr>
          <w:rStyle w:val="Referencingstyle"/>
        </w:rPr>
        <w:t>s</w:t>
      </w:r>
      <w:r w:rsidR="00E8338B">
        <w:rPr>
          <w:rStyle w:val="Referencingstyle"/>
        </w:rPr>
        <w:t xml:space="preserve"> </w:t>
      </w:r>
      <w:r w:rsidR="00E8338B" w:rsidRPr="00BB434F">
        <w:rPr>
          <w:rStyle w:val="Referencingstyle"/>
        </w:rPr>
        <w:t>64(3)</w:t>
      </w:r>
      <w:r w:rsidR="00E8338B">
        <w:rPr>
          <w:rStyle w:val="Referencingstyle"/>
        </w:rPr>
        <w:t>-</w:t>
      </w:r>
      <w:r w:rsidR="00E8338B" w:rsidRPr="00BB434F">
        <w:rPr>
          <w:rStyle w:val="Referencingstyle"/>
        </w:rPr>
        <w:t>(6)</w:t>
      </w:r>
      <w:r w:rsidR="00E8338B">
        <w:rPr>
          <w:rStyle w:val="Referencingstyle"/>
        </w:rPr>
        <w:t xml:space="preserve"> and 65(4)(note)</w:t>
      </w:r>
      <w:r w:rsidR="00E8338B" w:rsidRPr="00BB434F">
        <w:rPr>
          <w:rStyle w:val="Referencingstyle"/>
        </w:rPr>
        <w:t>, ARENA Act]</w:t>
      </w:r>
    </w:p>
    <w:p w:rsidR="0008538B" w:rsidRDefault="003F6550" w:rsidP="00330CB0">
      <w:pPr>
        <w:pStyle w:val="base-text-paragraph"/>
        <w:numPr>
          <w:ilvl w:val="1"/>
          <w:numId w:val="24"/>
        </w:numPr>
      </w:pPr>
      <w:r w:rsidRPr="003F6550">
        <w:t xml:space="preserve">The transfers of the credit balance of the Clean Energy Initiative Special Account and additional money from ASI Limited to </w:t>
      </w:r>
      <w:r w:rsidR="00DD4629">
        <w:t xml:space="preserve">the </w:t>
      </w:r>
      <w:r w:rsidRPr="003F6550">
        <w:t xml:space="preserve">ARENA have </w:t>
      </w:r>
      <w:r w:rsidR="00BB434F">
        <w:t>already</w:t>
      </w:r>
      <w:r w:rsidRPr="003F6550">
        <w:t xml:space="preserve"> occurred and these funds have been incorporated into the funding amounts </w:t>
      </w:r>
      <w:r w:rsidR="00BF13FD">
        <w:t>included the</w:t>
      </w:r>
      <w:r w:rsidR="003B6468">
        <w:t xml:space="preserve"> table in </w:t>
      </w:r>
      <w:r w:rsidRPr="003F6550">
        <w:t xml:space="preserve">section 64(1) of the </w:t>
      </w:r>
      <w:r w:rsidR="00BF13FD" w:rsidRPr="00BF13FD">
        <w:t>ARENA Act.</w:t>
      </w:r>
    </w:p>
    <w:p w:rsidR="00BF13FD" w:rsidRPr="003B6468" w:rsidRDefault="00BF13FD" w:rsidP="00330CB0">
      <w:pPr>
        <w:pStyle w:val="base-text-paragraph"/>
        <w:numPr>
          <w:ilvl w:val="1"/>
          <w:numId w:val="24"/>
        </w:numPr>
        <w:rPr>
          <w:rStyle w:val="Referencingstyle"/>
          <w:b w:val="0"/>
          <w:i w:val="0"/>
          <w:sz w:val="22"/>
        </w:rPr>
      </w:pPr>
      <w:r>
        <w:t xml:space="preserve">To provide clarity, the Main Repeal Bill </w:t>
      </w:r>
      <w:r w:rsidR="003B6468" w:rsidRPr="003B6468">
        <w:t xml:space="preserve">includes an application provision to ensure </w:t>
      </w:r>
      <w:r w:rsidR="00695463">
        <w:t xml:space="preserve">the </w:t>
      </w:r>
      <w:r>
        <w:t xml:space="preserve">amendments do not affect funding for </w:t>
      </w:r>
      <w:r w:rsidR="003B6468">
        <w:t xml:space="preserve">the </w:t>
      </w:r>
      <w:r>
        <w:t>ARENA prior to commencement</w:t>
      </w:r>
      <w:r w:rsidR="003B6468">
        <w:t xml:space="preserve"> of the Main Repeal Bill</w:t>
      </w:r>
      <w:r w:rsidR="00D5237C">
        <w:t xml:space="preserve">.  </w:t>
      </w:r>
      <w:r w:rsidR="003B6468">
        <w:t>F</w:t>
      </w:r>
      <w:r>
        <w:t xml:space="preserve">unding carried over from 2012-13 into 2013-14 has been factored into the amended </w:t>
      </w:r>
      <w:r w:rsidR="003B6468">
        <w:t xml:space="preserve">table in </w:t>
      </w:r>
      <w:r w:rsidRPr="003F6550">
        <w:t xml:space="preserve">section 64(1) of the </w:t>
      </w:r>
      <w:r w:rsidRPr="00BF13FD">
        <w:t>ARENA Act</w:t>
      </w:r>
      <w:r w:rsidR="00D5237C">
        <w:t xml:space="preserve">.  </w:t>
      </w:r>
      <w:r w:rsidR="00695463" w:rsidRPr="00BB434F">
        <w:rPr>
          <w:rStyle w:val="Referencingstyle"/>
        </w:rPr>
        <w:t xml:space="preserve">[Schedule </w:t>
      </w:r>
      <w:r w:rsidR="00695463">
        <w:rPr>
          <w:rStyle w:val="Referencingstyle"/>
        </w:rPr>
        <w:t>5</w:t>
      </w:r>
      <w:r w:rsidR="00695463" w:rsidRPr="00BB434F">
        <w:rPr>
          <w:rStyle w:val="Referencingstyle"/>
        </w:rPr>
        <w:t>, item</w:t>
      </w:r>
      <w:r w:rsidR="00695463">
        <w:rPr>
          <w:rStyle w:val="Referencingstyle"/>
        </w:rPr>
        <w:t xml:space="preserve"> 4</w:t>
      </w:r>
      <w:r w:rsidR="00695463" w:rsidRPr="00BB434F">
        <w:rPr>
          <w:rStyle w:val="Referencingstyle"/>
        </w:rPr>
        <w:t>]</w:t>
      </w:r>
    </w:p>
    <w:p w:rsidR="00E45636" w:rsidRDefault="003B6468" w:rsidP="00330CB0">
      <w:pPr>
        <w:pStyle w:val="base-text-paragraph"/>
        <w:numPr>
          <w:ilvl w:val="1"/>
          <w:numId w:val="24"/>
        </w:numPr>
      </w:pPr>
      <w:r>
        <w:t>T</w:t>
      </w:r>
      <w:r w:rsidRPr="003B6468">
        <w:t xml:space="preserve">he new amount specified for 2013-14 includes funds already spent by </w:t>
      </w:r>
      <w:r>
        <w:t xml:space="preserve">the </w:t>
      </w:r>
      <w:r w:rsidRPr="003B6468">
        <w:t>ARENA in 2013-14.</w:t>
      </w:r>
    </w:p>
    <w:p w:rsidR="00C15219" w:rsidRDefault="00C15219" w:rsidP="00C15219">
      <w:pPr>
        <w:pStyle w:val="base-text-paragraph"/>
        <w:numPr>
          <w:ilvl w:val="0"/>
          <w:numId w:val="0"/>
        </w:numPr>
        <w:ind w:left="1134"/>
      </w:pPr>
    </w:p>
    <w:p w:rsidR="00C15219" w:rsidRDefault="00C15219" w:rsidP="00C15219">
      <w:pPr>
        <w:pStyle w:val="base-text-paragraph"/>
        <w:numPr>
          <w:ilvl w:val="0"/>
          <w:numId w:val="0"/>
        </w:numPr>
        <w:ind w:left="1134"/>
      </w:pPr>
    </w:p>
    <w:p w:rsidR="00C15219" w:rsidRDefault="00C15219" w:rsidP="000C2E94">
      <w:pPr>
        <w:pStyle w:val="ChapterHeading"/>
        <w:numPr>
          <w:ilvl w:val="0"/>
          <w:numId w:val="20"/>
        </w:numPr>
        <w:rPr>
          <w:rStyle w:val="Font30point"/>
        </w:rPr>
        <w:sectPr w:rsidR="00C15219" w:rsidSect="00C15219">
          <w:headerReference w:type="default" r:id="rId35"/>
          <w:type w:val="oddPage"/>
          <w:pgSz w:w="11906" w:h="16838" w:code="9"/>
          <w:pgMar w:top="2466" w:right="2098" w:bottom="2466" w:left="2098" w:header="1559" w:footer="1899" w:gutter="0"/>
          <w:cols w:space="708"/>
          <w:titlePg/>
          <w:docGrid w:linePitch="360"/>
        </w:sectPr>
      </w:pPr>
    </w:p>
    <w:p w:rsidR="000C2E94" w:rsidRDefault="000C2E94" w:rsidP="000C2E94">
      <w:pPr>
        <w:pStyle w:val="ChapterHeading"/>
        <w:numPr>
          <w:ilvl w:val="0"/>
          <w:numId w:val="20"/>
        </w:numPr>
      </w:pPr>
      <w:bookmarkStart w:id="13" w:name="_Toc393138981"/>
      <w:r w:rsidRPr="0023060E">
        <w:rPr>
          <w:rStyle w:val="Font30point"/>
        </w:rPr>
        <w:t>C</w:t>
      </w:r>
      <w:r w:rsidRPr="0023060E">
        <w:rPr>
          <w:rStyle w:val="Font15point"/>
        </w:rPr>
        <w:t xml:space="preserve">hapter </w:t>
      </w:r>
      <w:r>
        <w:rPr>
          <w:rStyle w:val="Font19point"/>
        </w:rPr>
        <w:t>8</w:t>
      </w:r>
      <w:r>
        <w:tab/>
      </w:r>
      <w:r>
        <w:br/>
        <w:t>Regulation impact statement</w:t>
      </w:r>
      <w:bookmarkEnd w:id="13"/>
    </w:p>
    <w:p w:rsidR="000C2E94" w:rsidRDefault="00AD062D" w:rsidP="00AD062D">
      <w:pPr>
        <w:pStyle w:val="Heading2"/>
      </w:pPr>
      <w:r>
        <w:t>Introduction</w:t>
      </w:r>
    </w:p>
    <w:p w:rsidR="00AD062D" w:rsidRDefault="00AD062D" w:rsidP="00AD062D">
      <w:pPr>
        <w:pStyle w:val="base-text-paragraph"/>
        <w:numPr>
          <w:ilvl w:val="0"/>
          <w:numId w:val="0"/>
        </w:numPr>
        <w:ind w:left="1134"/>
      </w:pPr>
      <w:r>
        <w:t>This is a Regulation Impact Statement (RIS) for the Government’s commitment to repeal the carbon tax (the carbon pricing mechanism).</w:t>
      </w:r>
    </w:p>
    <w:p w:rsidR="00AD062D" w:rsidRDefault="00AD062D" w:rsidP="00AD062D">
      <w:pPr>
        <w:pStyle w:val="base-text-paragraph"/>
        <w:numPr>
          <w:ilvl w:val="0"/>
          <w:numId w:val="0"/>
        </w:numPr>
        <w:ind w:left="1134"/>
      </w:pPr>
      <w:r>
        <w:t>The Australian Government is committed to repealing the carbon tax to reduce households’ living costs and input costs for business.</w:t>
      </w:r>
    </w:p>
    <w:p w:rsidR="00AD062D" w:rsidRDefault="00AD062D" w:rsidP="00AD062D">
      <w:pPr>
        <w:pStyle w:val="base-text-paragraph"/>
        <w:numPr>
          <w:ilvl w:val="0"/>
          <w:numId w:val="0"/>
        </w:numPr>
        <w:ind w:left="1134"/>
      </w:pPr>
      <w:r>
        <w:t>The Australian Government is also committed to reducing Australia’s emissions of greenhouse gases (GHG) by 5 per cent below 2000 levels by 2020 but it believes there is a simpler, more practical way to achieve it than by taxing carbon.</w:t>
      </w:r>
    </w:p>
    <w:p w:rsidR="000C2E94" w:rsidRDefault="00AD062D" w:rsidP="00AD062D">
      <w:pPr>
        <w:pStyle w:val="base-text-paragraph"/>
        <w:numPr>
          <w:ilvl w:val="0"/>
          <w:numId w:val="0"/>
        </w:numPr>
        <w:ind w:left="1134"/>
      </w:pPr>
      <w:r>
        <w:t>The carbon tax is directly applied to a limited range of inputs, and is paid by a relatively small number of ‘liable entities’</w:t>
      </w:r>
      <w:r w:rsidR="00D5237C">
        <w:t xml:space="preserve">.  </w:t>
      </w:r>
      <w:r>
        <w:t>Directly, the carbon tax increases the cost of:</w:t>
      </w:r>
    </w:p>
    <w:p w:rsidR="00AD062D" w:rsidRDefault="00AD062D" w:rsidP="00AD062D">
      <w:pPr>
        <w:pStyle w:val="dotpoint"/>
      </w:pPr>
      <w:r>
        <w:t>electricity and gas;</w:t>
      </w:r>
    </w:p>
    <w:p w:rsidR="00AD062D" w:rsidRDefault="00AD062D" w:rsidP="00AD062D">
      <w:pPr>
        <w:pStyle w:val="dotpoint"/>
      </w:pPr>
      <w:r>
        <w:t>managing landfill and wastewater;</w:t>
      </w:r>
    </w:p>
    <w:p w:rsidR="00AD062D" w:rsidRDefault="00474FF7" w:rsidP="00AD062D">
      <w:pPr>
        <w:pStyle w:val="dotpoint"/>
      </w:pPr>
      <w:r>
        <w:t xml:space="preserve">taxable </w:t>
      </w:r>
      <w:r w:rsidR="00AD062D">
        <w:t>fuels for off-road use; and</w:t>
      </w:r>
    </w:p>
    <w:p w:rsidR="000C2E94" w:rsidRDefault="00AD062D" w:rsidP="00AD062D">
      <w:pPr>
        <w:pStyle w:val="dotpoint"/>
      </w:pPr>
      <w:r>
        <w:t>synthetic greenhouse gases.</w:t>
      </w:r>
    </w:p>
    <w:p w:rsidR="006115D1" w:rsidRDefault="006115D1" w:rsidP="006115D1">
      <w:pPr>
        <w:pStyle w:val="base-text-paragraph"/>
        <w:numPr>
          <w:ilvl w:val="0"/>
          <w:numId w:val="0"/>
        </w:numPr>
        <w:ind w:left="1134"/>
      </w:pPr>
      <w:r>
        <w:t>However, the importance of many of these inputs to the Australian economy means that the incidence of the tax is felt by households as well as throughout the business sectors</w:t>
      </w:r>
      <w:r w:rsidR="00D5237C">
        <w:t xml:space="preserve">.  </w:t>
      </w:r>
      <w:r>
        <w:t>As a result of the carbon tax, liable entities are required to either absorb the higher costs of production or pass them on to their customers (or, more likely a combination of both); to the extent that higher costs are passed through to customers, the prices that businesses and households pay for goods and services are indirectly increased</w:t>
      </w:r>
      <w:r w:rsidR="00D5237C">
        <w:t xml:space="preserve">.  </w:t>
      </w:r>
      <w:r>
        <w:t>As an example the regulated retail electricity prices in New South Wales were allowed to increase by an average of 8.9 per cent in 2012-13 as a result of the carbon tax (IPART 2012).</w:t>
      </w:r>
    </w:p>
    <w:p w:rsidR="006115D1" w:rsidRPr="006115D1" w:rsidRDefault="006115D1" w:rsidP="008946C8">
      <w:pPr>
        <w:pStyle w:val="base-text-paragraph"/>
        <w:numPr>
          <w:ilvl w:val="0"/>
          <w:numId w:val="0"/>
        </w:numPr>
        <w:ind w:left="1134"/>
      </w:pPr>
      <w:r>
        <w:t xml:space="preserve">As of the </w:t>
      </w:r>
      <w:r w:rsidRPr="006115D1">
        <w:rPr>
          <w:i/>
        </w:rPr>
        <w:t>Final Budget Outcome</w:t>
      </w:r>
      <w:r>
        <w:t xml:space="preserve"> 2012-13, the carbon tax is estimated to raise $6.5 billion of revenue in </w:t>
      </w:r>
      <w:r w:rsidRPr="006115D1">
        <w:t>2012-13.</w:t>
      </w:r>
      <w:r w:rsidRPr="006115D1">
        <w:rPr>
          <w:vertAlign w:val="superscript"/>
        </w:rPr>
        <w:footnoteReference w:id="1"/>
      </w:r>
    </w:p>
    <w:p w:rsidR="000C2E94" w:rsidRDefault="006115D1" w:rsidP="006115D1">
      <w:pPr>
        <w:pStyle w:val="base-text-paragraph"/>
        <w:numPr>
          <w:ilvl w:val="0"/>
          <w:numId w:val="0"/>
        </w:numPr>
        <w:ind w:left="1134"/>
      </w:pPr>
      <w:r>
        <w:t xml:space="preserve">See </w:t>
      </w:r>
      <w:r w:rsidRPr="006115D1">
        <w:rPr>
          <w:u w:val="single"/>
        </w:rPr>
        <w:t>Attachment A</w:t>
      </w:r>
      <w:r>
        <w:t xml:space="preserve"> for further detail on how the carbon tax operates.</w:t>
      </w:r>
    </w:p>
    <w:p w:rsidR="006115D1" w:rsidRDefault="006115D1" w:rsidP="006115D1">
      <w:pPr>
        <w:pStyle w:val="Heading2"/>
      </w:pPr>
      <w:r w:rsidRPr="006115D1">
        <w:t>Problem</w:t>
      </w:r>
    </w:p>
    <w:p w:rsidR="006115D1" w:rsidRDefault="006115D1" w:rsidP="006115D1">
      <w:pPr>
        <w:pStyle w:val="base-text-paragraph"/>
        <w:numPr>
          <w:ilvl w:val="0"/>
          <w:numId w:val="0"/>
        </w:numPr>
        <w:ind w:left="1134"/>
      </w:pPr>
      <w:r w:rsidRPr="006115D1">
        <w:t>The problem the Government is addressing through the repeal legislation is twofold</w:t>
      </w:r>
      <w:r w:rsidR="00D5237C">
        <w:t xml:space="preserve">.  </w:t>
      </w:r>
      <w:r w:rsidRPr="006115D1">
        <w:t>Firstly, the carbon tax increases the cost of living for the household sector</w:t>
      </w:r>
      <w:r w:rsidR="00D5237C">
        <w:t xml:space="preserve">.  </w:t>
      </w:r>
      <w:r w:rsidRPr="006115D1">
        <w:t>Secondly, it increases costs for business, both in terms of higher input costs, and the costs incurred by liable entities in complying with carbon tax obligations.</w:t>
      </w:r>
    </w:p>
    <w:p w:rsidR="006115D1" w:rsidRDefault="006115D1" w:rsidP="006115D1">
      <w:pPr>
        <w:pStyle w:val="Heading3"/>
      </w:pPr>
      <w:r>
        <w:t>Household costs of living</w:t>
      </w:r>
    </w:p>
    <w:p w:rsidR="006115D1" w:rsidRDefault="006115D1" w:rsidP="006115D1">
      <w:pPr>
        <w:pStyle w:val="base-text-paragraph"/>
        <w:numPr>
          <w:ilvl w:val="0"/>
          <w:numId w:val="0"/>
        </w:numPr>
        <w:ind w:left="1134"/>
      </w:pPr>
      <w:r>
        <w:t>Broadly, the carbon tax impacts households through increases in consumer prices</w:t>
      </w:r>
      <w:r w:rsidR="00D5237C">
        <w:t xml:space="preserve">.  </w:t>
      </w:r>
      <w:r>
        <w:t>The carbon tax has increased prices for goods and services consumed by households that are emissions-intensive in their production or supply chains.</w:t>
      </w:r>
    </w:p>
    <w:p w:rsidR="006115D1" w:rsidRDefault="006115D1" w:rsidP="006115D1">
      <w:pPr>
        <w:pStyle w:val="Heading3"/>
      </w:pPr>
      <w:r>
        <w:t>Impacts on business</w:t>
      </w:r>
    </w:p>
    <w:p w:rsidR="006115D1" w:rsidRDefault="006115D1" w:rsidP="006115D1">
      <w:pPr>
        <w:pStyle w:val="base-text-paragraph"/>
        <w:numPr>
          <w:ilvl w:val="0"/>
          <w:numId w:val="0"/>
        </w:numPr>
        <w:ind w:left="1134"/>
      </w:pPr>
      <w:r>
        <w:t>The carbon tax has two broad impacts on business costs: the impacts associated with the imposition of the tax itself; and the additional costs the liable entities face in complying with the administrative requirements associated with the carbon tax.</w:t>
      </w:r>
    </w:p>
    <w:p w:rsidR="006115D1" w:rsidRDefault="006115D1" w:rsidP="006115D1">
      <w:pPr>
        <w:pStyle w:val="Heading2"/>
      </w:pPr>
      <w:r>
        <w:t>Objectives</w:t>
      </w:r>
    </w:p>
    <w:p w:rsidR="006115D1" w:rsidRDefault="006115D1" w:rsidP="006115D1">
      <w:pPr>
        <w:pStyle w:val="base-text-paragraph"/>
        <w:numPr>
          <w:ilvl w:val="0"/>
          <w:numId w:val="0"/>
        </w:numPr>
        <w:ind w:left="1134"/>
      </w:pPr>
      <w:r>
        <w:t>The objectives of Government action in this area are to remove the carbon tax altogether to:</w:t>
      </w:r>
    </w:p>
    <w:p w:rsidR="006115D1" w:rsidRDefault="006115D1" w:rsidP="006115D1">
      <w:pPr>
        <w:pStyle w:val="dotpoint"/>
      </w:pPr>
      <w:r>
        <w:t>reduce cost of living pressures on households; and</w:t>
      </w:r>
    </w:p>
    <w:p w:rsidR="006115D1" w:rsidRDefault="006115D1" w:rsidP="006115D1">
      <w:pPr>
        <w:pStyle w:val="dotpoint"/>
      </w:pPr>
      <w:r>
        <w:t>reduce cost pressures faced by business.</w:t>
      </w:r>
    </w:p>
    <w:p w:rsidR="006115D1" w:rsidRDefault="00474FF7" w:rsidP="006115D1">
      <w:pPr>
        <w:pStyle w:val="base-text-paragraph"/>
        <w:numPr>
          <w:ilvl w:val="0"/>
          <w:numId w:val="0"/>
        </w:numPr>
        <w:ind w:left="1134"/>
      </w:pPr>
      <w:r>
        <w:t>T</w:t>
      </w:r>
      <w:r w:rsidR="00903443">
        <w:t>he Government does not propose to transition to an emissions trading scheme</w:t>
      </w:r>
      <w:r w:rsidR="00D5237C">
        <w:t xml:space="preserve">.  </w:t>
      </w:r>
      <w:r w:rsidR="006115D1">
        <w:t>The Government will implement its direct action plan to achieve its emission reduction target in the absence of the carbon tax</w:t>
      </w:r>
      <w:r w:rsidR="00D5237C">
        <w:t xml:space="preserve">.  </w:t>
      </w:r>
      <w:r w:rsidR="006115D1">
        <w:t>However the purpose of this RIS is to consider the impacts of repealing the Clean Energy Act and associated regulations</w:t>
      </w:r>
      <w:r w:rsidR="00D5237C">
        <w:t xml:space="preserve">.  </w:t>
      </w:r>
      <w:r w:rsidR="006115D1">
        <w:t>Further RISs will be prepared, as required, for the Government’s alternative emissions-reduction measures.</w:t>
      </w:r>
    </w:p>
    <w:p w:rsidR="00962A3C" w:rsidRDefault="00962A3C">
      <w:pPr>
        <w:spacing w:before="0" w:after="0"/>
        <w:rPr>
          <w:rFonts w:ascii="Helvetica" w:hAnsi="Helvetica"/>
          <w:b/>
          <w:sz w:val="26"/>
        </w:rPr>
      </w:pPr>
      <w:r>
        <w:br w:type="page"/>
      </w:r>
    </w:p>
    <w:p w:rsidR="006115D1" w:rsidRDefault="006115D1" w:rsidP="006115D1">
      <w:pPr>
        <w:pStyle w:val="Heading2"/>
      </w:pPr>
      <w:r>
        <w:t>Option: The Government’s election commitments</w:t>
      </w:r>
    </w:p>
    <w:p w:rsidR="006115D1" w:rsidRDefault="006115D1" w:rsidP="006115D1">
      <w:pPr>
        <w:pStyle w:val="base-text-paragraph"/>
        <w:numPr>
          <w:ilvl w:val="0"/>
          <w:numId w:val="0"/>
        </w:numPr>
        <w:ind w:left="1134"/>
      </w:pPr>
      <w:r>
        <w:t>The Government was elected with a commitment to abolish the carbon tax</w:t>
      </w:r>
      <w:r w:rsidR="00D5237C">
        <w:t xml:space="preserve">.  </w:t>
      </w:r>
      <w:r>
        <w:t>In practice, this involves:</w:t>
      </w:r>
    </w:p>
    <w:p w:rsidR="006115D1" w:rsidRDefault="006115D1" w:rsidP="006115D1">
      <w:pPr>
        <w:pStyle w:val="dotpoint"/>
      </w:pPr>
      <w:r>
        <w:t>the repeal of six Clean Energy Acts, the Climate Change Authority Act, the Steel Transformation Plan Act and consequential amendments to other legislation;</w:t>
      </w:r>
    </w:p>
    <w:p w:rsidR="006115D1" w:rsidRDefault="006115D1" w:rsidP="006115D1">
      <w:pPr>
        <w:pStyle w:val="dotpoint"/>
      </w:pPr>
      <w:r>
        <w:t>the extinguishment of carbon tax liabilities for approximately 370 liable entities under the carbon pricing mechanism, as well as equivalent carbon taxes on liquid fuels and synthetic greenhouse gases;</w:t>
      </w:r>
    </w:p>
    <w:p w:rsidR="006115D1" w:rsidRDefault="006115D1" w:rsidP="006115D1">
      <w:pPr>
        <w:pStyle w:val="dotpoint"/>
      </w:pPr>
      <w:r>
        <w:t>ending mandatory audit of reported emissions for large emitters;</w:t>
      </w:r>
    </w:p>
    <w:p w:rsidR="006115D1" w:rsidRDefault="006115D1" w:rsidP="006115D1">
      <w:pPr>
        <w:pStyle w:val="dotpoint"/>
      </w:pPr>
      <w:r>
        <w:t>ending the requirement for liable entities to report emissions;</w:t>
      </w:r>
    </w:p>
    <w:p w:rsidR="006115D1" w:rsidRDefault="006115D1" w:rsidP="006115D1">
      <w:pPr>
        <w:pStyle w:val="dotpoint"/>
      </w:pPr>
      <w:r>
        <w:t>ending industry support schemes related to the carbon tax; and</w:t>
      </w:r>
    </w:p>
    <w:p w:rsidR="006115D1" w:rsidRDefault="006115D1" w:rsidP="006115D1">
      <w:pPr>
        <w:pStyle w:val="dotpoint"/>
      </w:pPr>
      <w:r>
        <w:t>abolishing the Climate Change Authority.</w:t>
      </w:r>
    </w:p>
    <w:p w:rsidR="006115D1" w:rsidRDefault="006115D1" w:rsidP="006115D1">
      <w:pPr>
        <w:pStyle w:val="base-text-paragraph"/>
        <w:numPr>
          <w:ilvl w:val="0"/>
          <w:numId w:val="0"/>
        </w:numPr>
        <w:ind w:left="1134"/>
      </w:pPr>
      <w:r>
        <w:t>In addition, the Government made an election commitment to require the Australian Competition and Consumer Commission (ACCC) to monitor and enforce reasonably expected price reductions following the abolition of the carbon tax</w:t>
      </w:r>
      <w:r w:rsidR="00D5237C">
        <w:t xml:space="preserve">.  </w:t>
      </w:r>
      <w:r>
        <w:t>This will include:</w:t>
      </w:r>
    </w:p>
    <w:p w:rsidR="006115D1" w:rsidRDefault="006115D1" w:rsidP="006115D1">
      <w:pPr>
        <w:pStyle w:val="dotpoint"/>
      </w:pPr>
      <w:r>
        <w:t>changes to the Consumer and Competition Act 2010 to provide the ACCC with new powers to monitor prices and prohibit carbon-related price exploitation and misrepresentations following its repeal; and</w:t>
      </w:r>
    </w:p>
    <w:p w:rsidR="006115D1" w:rsidRDefault="006115D1" w:rsidP="006115D1">
      <w:pPr>
        <w:pStyle w:val="dotpoint"/>
      </w:pPr>
      <w:r>
        <w:t>pecuniary penalties of around $220,000 for individuals and $1.1 million for corporations that engage in carbon-related price exploitation or misrepresentations following its repeal.</w:t>
      </w:r>
    </w:p>
    <w:p w:rsidR="006115D1" w:rsidRDefault="006115D1" w:rsidP="006115D1">
      <w:pPr>
        <w:pStyle w:val="base-text-paragraph"/>
        <w:numPr>
          <w:ilvl w:val="0"/>
          <w:numId w:val="0"/>
        </w:numPr>
        <w:ind w:left="1134"/>
      </w:pPr>
      <w:r>
        <w:t>The Government also made an election commitment to discontinue, or take savings from a range of carbon-related programs.</w:t>
      </w:r>
    </w:p>
    <w:p w:rsidR="006115D1" w:rsidRDefault="006115D1" w:rsidP="006115D1">
      <w:pPr>
        <w:pStyle w:val="Heading2"/>
      </w:pPr>
      <w:r>
        <w:t>Impact Analysis</w:t>
      </w:r>
    </w:p>
    <w:p w:rsidR="006115D1" w:rsidRDefault="006115D1" w:rsidP="006115D1">
      <w:pPr>
        <w:pStyle w:val="Heading3"/>
      </w:pPr>
      <w:r>
        <w:t>Carbon abatement</w:t>
      </w:r>
    </w:p>
    <w:p w:rsidR="006115D1" w:rsidRDefault="006115D1" w:rsidP="006115D1">
      <w:pPr>
        <w:pStyle w:val="base-text-paragraph"/>
        <w:numPr>
          <w:ilvl w:val="0"/>
          <w:numId w:val="0"/>
        </w:numPr>
        <w:ind w:left="1134"/>
      </w:pPr>
      <w:r>
        <w:t>The Government remains committed to reducing GHG emissions by 5</w:t>
      </w:r>
      <w:r w:rsidR="00AF098E">
        <w:t> </w:t>
      </w:r>
      <w:r>
        <w:t>per</w:t>
      </w:r>
      <w:r w:rsidR="00AF098E">
        <w:t> </w:t>
      </w:r>
      <w:r>
        <w:t>cent below 2000 levels by 2020</w:t>
      </w:r>
      <w:r w:rsidR="00D5237C">
        <w:t xml:space="preserve">.  </w:t>
      </w:r>
      <w:r>
        <w:t>This is the same target the carbon tax was implemented to achieve</w:t>
      </w:r>
      <w:r w:rsidR="00D5237C">
        <w:t xml:space="preserve">.  </w:t>
      </w:r>
      <w:r>
        <w:t>The Government considers that its Direct Action Plan, including an Emissions Reduction Fund, is a simpler, more practical way of achieving abatement</w:t>
      </w:r>
      <w:r w:rsidR="00D5237C">
        <w:t xml:space="preserve">.  </w:t>
      </w:r>
      <w:r>
        <w:t>The Direct Action Plan is under development</w:t>
      </w:r>
      <w:r w:rsidR="00D5237C">
        <w:t xml:space="preserve">.  </w:t>
      </w:r>
      <w:r>
        <w:t>Further RISs will be prepared, as required, for various elements of the plan as they are developed</w:t>
      </w:r>
      <w:r w:rsidR="00D5237C">
        <w:t xml:space="preserve">.  </w:t>
      </w:r>
      <w:r>
        <w:t>Stakeholders will be closely engaged in this process.</w:t>
      </w:r>
    </w:p>
    <w:p w:rsidR="006115D1" w:rsidRDefault="006115D1" w:rsidP="006115D1">
      <w:pPr>
        <w:pStyle w:val="base-text-paragraph"/>
        <w:numPr>
          <w:ilvl w:val="0"/>
          <w:numId w:val="0"/>
        </w:numPr>
        <w:ind w:left="1134"/>
      </w:pPr>
      <w:r>
        <w:t>Terms of Reference for the development of a White Paper in relation to an Emissions Reduction Fund were released to assist interested parties in making submissions on the design of the Fund on 16 October 2013</w:t>
      </w:r>
      <w:r w:rsidR="00D5237C">
        <w:t xml:space="preserve">.  </w:t>
      </w:r>
      <w:r>
        <w:t>Submissions in response to the Terms of Reference will inform the development of a Green Paper setting out the Government's preferred options for the design of the Fund which will be released in December</w:t>
      </w:r>
      <w:r w:rsidR="00AF098E">
        <w:t> </w:t>
      </w:r>
      <w:r>
        <w:t>2013</w:t>
      </w:r>
      <w:r w:rsidR="00D5237C">
        <w:t xml:space="preserve">.  </w:t>
      </w:r>
      <w:r>
        <w:t>A White Paper outlining the final design of the Fund will be released in early 2014, in order to enable it to commence operations on 1</w:t>
      </w:r>
      <w:r w:rsidR="00AF098E">
        <w:t> </w:t>
      </w:r>
      <w:r>
        <w:t>July 2014.</w:t>
      </w:r>
    </w:p>
    <w:p w:rsidR="006115D1" w:rsidRDefault="006115D1" w:rsidP="006115D1">
      <w:pPr>
        <w:pStyle w:val="Heading3"/>
      </w:pPr>
      <w:r>
        <w:t>Household costs of living</w:t>
      </w:r>
    </w:p>
    <w:p w:rsidR="006115D1" w:rsidRDefault="006115D1" w:rsidP="006115D1">
      <w:pPr>
        <w:pStyle w:val="base-text-paragraph"/>
        <w:numPr>
          <w:ilvl w:val="0"/>
          <w:numId w:val="0"/>
        </w:numPr>
        <w:ind w:left="1134"/>
      </w:pPr>
      <w:r>
        <w:t>Household costs will be lower than they otherwise would be under a $25.40 carbon price</w:t>
      </w:r>
      <w:r w:rsidR="00D5237C">
        <w:t xml:space="preserve">.  </w:t>
      </w:r>
      <w:r>
        <w:t>Recent modelling by the Australian Treasury suggests that the removal of the carbon tax in 2014-15 will reduce the Consumer Price Index by around 0.7 percentage points than it otherwise would be in 2014-15</w:t>
      </w:r>
      <w:r w:rsidR="00D5237C">
        <w:t xml:space="preserve">.  </w:t>
      </w:r>
      <w:r>
        <w:t>This is based on the currently legislated fixed carbon price of $25.40 for 2014-15 and the scope intended by the former government, including fuel use by heavy on-road transport.</w:t>
      </w:r>
    </w:p>
    <w:p w:rsidR="006115D1" w:rsidRDefault="006115D1" w:rsidP="006115D1">
      <w:pPr>
        <w:pStyle w:val="base-text-paragraph"/>
        <w:numPr>
          <w:ilvl w:val="0"/>
          <w:numId w:val="0"/>
        </w:numPr>
        <w:ind w:left="1134"/>
      </w:pPr>
      <w:r>
        <w:t>Treasury modelling suggests that the removal of the carbon tax in 2014-15 will leave average costs of living across all households (based on existing expenditure patterns) around $10.50 per week (or around $550 over the year) lower than they would otherwise be in 2014-15.</w:t>
      </w:r>
    </w:p>
    <w:p w:rsidR="006115D1" w:rsidRDefault="006115D1" w:rsidP="006115D1">
      <w:pPr>
        <w:pStyle w:val="base-text-paragraph"/>
        <w:numPr>
          <w:ilvl w:val="0"/>
          <w:numId w:val="0"/>
        </w:numPr>
        <w:ind w:left="1134"/>
      </w:pPr>
      <w:r>
        <w:t>It is also estimated that retail electricity and gas prices should on average be around 9 and 7 per cent lower respectively in 2014-15 than they would otherwise be</w:t>
      </w:r>
      <w:r w:rsidR="00D5237C">
        <w:t xml:space="preserve">.  </w:t>
      </w:r>
      <w:r>
        <w:t>On this basis, household average electricity and gas bills would on average be around $3.80 per week (or around $200 over the year) and $1.40 per week (or $70 over the year) lower respectively than they would otherwise be in 2014-15 with a $25.40 carbon tax.</w:t>
      </w:r>
    </w:p>
    <w:p w:rsidR="006115D1" w:rsidRDefault="006115D1" w:rsidP="006115D1">
      <w:pPr>
        <w:pStyle w:val="base-text-paragraph"/>
        <w:numPr>
          <w:ilvl w:val="0"/>
          <w:numId w:val="0"/>
        </w:numPr>
        <w:ind w:left="1134"/>
      </w:pPr>
      <w:r>
        <w:t>The prices of other goods and services are more difficult to estimate</w:t>
      </w:r>
      <w:r w:rsidR="00D5237C">
        <w:t xml:space="preserve">.  </w:t>
      </w:r>
      <w:r w:rsidR="00962A3C">
        <w:t>A </w:t>
      </w:r>
      <w:r>
        <w:t>range of factors, including general movements in inflation and other broader economic impacts, have influenced prices over the intervening period since the carbon tax was introduced, and it is possible that prices will not, in all cases, reduce to their former levels</w:t>
      </w:r>
      <w:r w:rsidR="00D5237C">
        <w:t xml:space="preserve">.  </w:t>
      </w:r>
      <w:r>
        <w:t>However to the extent that the cost bases of goods and services are affected by the repeal of the carbon tax, and there is competitive pressure in the market to pass these cost reductions on, price reductions could reasonably be expected.</w:t>
      </w:r>
    </w:p>
    <w:p w:rsidR="006115D1" w:rsidRDefault="006115D1" w:rsidP="006115D1">
      <w:pPr>
        <w:pStyle w:val="base-text-paragraph"/>
        <w:numPr>
          <w:ilvl w:val="0"/>
          <w:numId w:val="0"/>
        </w:numPr>
        <w:ind w:left="1134"/>
      </w:pPr>
      <w:r>
        <w:t>As noted above, the ACCC will be provided additional powers to monitor and enforce reasonably expected price reductions following the abolition of the carbon tax</w:t>
      </w:r>
      <w:r w:rsidR="00D5237C">
        <w:t xml:space="preserve">.  </w:t>
      </w:r>
      <w:r>
        <w:t>This element of the repeal package is discussed in more detail later in this RIS.</w:t>
      </w:r>
    </w:p>
    <w:p w:rsidR="006115D1" w:rsidRDefault="006115D1" w:rsidP="006115D1">
      <w:pPr>
        <w:pStyle w:val="base-text-paragraph"/>
        <w:numPr>
          <w:ilvl w:val="0"/>
          <w:numId w:val="0"/>
        </w:numPr>
        <w:ind w:left="1134"/>
      </w:pPr>
      <w:r>
        <w:t>The removal of the carbon tax is likely to affect different households in different ways</w:t>
      </w:r>
      <w:r w:rsidR="00D5237C">
        <w:t xml:space="preserve">.  </w:t>
      </w:r>
      <w:r>
        <w:t>For example, low income households are currently disproportionately affected by the carbon tax as they spend, on average, a higher proportion of their disposable income on emission-intensive goods, such as electricity and gas.</w:t>
      </w:r>
    </w:p>
    <w:p w:rsidR="006115D1" w:rsidRDefault="006115D1" w:rsidP="006115D1">
      <w:pPr>
        <w:pStyle w:val="base-text-paragraph"/>
        <w:numPr>
          <w:ilvl w:val="0"/>
          <w:numId w:val="0"/>
        </w:numPr>
        <w:ind w:left="1134"/>
      </w:pPr>
      <w:r>
        <w:t>A range of measures were put in place to assist households with the cost of living pressures associated with the introduction of the carbon tax</w:t>
      </w:r>
      <w:r w:rsidR="00D5237C">
        <w:t xml:space="preserve">.  </w:t>
      </w:r>
      <w:r>
        <w:t>These measures include increases to fortnightly pension and benefit rates and income tax cuts equivalent to around $300 per annum for most taxpayers</w:t>
      </w:r>
      <w:r w:rsidR="00D5237C">
        <w:t xml:space="preserve">.  </w:t>
      </w:r>
      <w:r>
        <w:t>This assistance will continue after the repeal of the carbon tax</w:t>
      </w:r>
      <w:r w:rsidR="00D5237C">
        <w:t xml:space="preserve">.  </w:t>
      </w:r>
      <w:r>
        <w:t>However, the second round of personal income tax cuts legislated to commence in 2015-16 will no longer proceed.</w:t>
      </w:r>
    </w:p>
    <w:p w:rsidR="006115D1" w:rsidRDefault="006115D1" w:rsidP="006115D1">
      <w:pPr>
        <w:pStyle w:val="Heading3"/>
      </w:pPr>
      <w:r>
        <w:t>Impacts on business</w:t>
      </w:r>
    </w:p>
    <w:p w:rsidR="006115D1" w:rsidRDefault="006115D1" w:rsidP="006115D1">
      <w:pPr>
        <w:pStyle w:val="base-text-paragraph"/>
        <w:numPr>
          <w:ilvl w:val="0"/>
          <w:numId w:val="0"/>
        </w:numPr>
        <w:ind w:left="1134"/>
      </w:pPr>
      <w:r>
        <w:t>The primary impact of repealing the carbon tax on businesses is to reduce the cost of inputs</w:t>
      </w:r>
      <w:r w:rsidR="00D5237C">
        <w:t xml:space="preserve">.  </w:t>
      </w:r>
      <w:r>
        <w:t>While the carbon tax is directly applied to a relatively small number of activities and liable entities, the size and importance of these activities means that as these costs are passed on through the economy the carbon tax results in an increase in input costs for the majority of businesses</w:t>
      </w:r>
      <w:r w:rsidR="00D5237C">
        <w:t xml:space="preserve">.  </w:t>
      </w:r>
      <w:r>
        <w:t>The main driver of these input cost increases is the impact of the carbon tax on energy prices – primarily electricity and gas prices.</w:t>
      </w:r>
    </w:p>
    <w:p w:rsidR="006115D1" w:rsidRDefault="006115D1" w:rsidP="006115D1">
      <w:pPr>
        <w:pStyle w:val="base-text-paragraph"/>
        <w:numPr>
          <w:ilvl w:val="0"/>
          <w:numId w:val="0"/>
        </w:numPr>
        <w:ind w:left="1134"/>
      </w:pPr>
      <w:r>
        <w:t>Table 1 provides an indication of which sectors are likely to have been affected the most by the imposition of the carbon tax</w:t>
      </w:r>
      <w:r w:rsidR="00D5237C">
        <w:t xml:space="preserve">.  </w:t>
      </w:r>
      <w:r>
        <w:t>It shows the projected changes in industry gross output (a measure of economic activity) in 2020 under the carbon tax compared with a no carbon tax scenario.</w:t>
      </w:r>
    </w:p>
    <w:p w:rsidR="006115D1" w:rsidRDefault="006115D1" w:rsidP="006115D1">
      <w:pPr>
        <w:pStyle w:val="base-text-paragraph"/>
        <w:numPr>
          <w:ilvl w:val="0"/>
          <w:numId w:val="0"/>
        </w:numPr>
        <w:ind w:left="1134"/>
      </w:pPr>
      <w:r>
        <w:t>Within the services sector, the production of electricity (particularly coa</w:t>
      </w:r>
      <w:r w:rsidR="00962A3C">
        <w:t>l</w:t>
      </w:r>
      <w:r w:rsidR="00962A3C">
        <w:noBreakHyphen/>
      </w:r>
      <w:r>
        <w:t>fired electricity) was most heavily affected and should benefit most from the repeal of the carbon tax</w:t>
      </w:r>
      <w:r w:rsidR="00D5237C">
        <w:t xml:space="preserve">.  </w:t>
      </w:r>
      <w:r>
        <w:t>In the mining sector, coal mining would be the major beneficiary</w:t>
      </w:r>
      <w:r w:rsidR="00D5237C">
        <w:t xml:space="preserve">.  </w:t>
      </w:r>
      <w:r>
        <w:t>In the manufacturing sector, producers with emissions- or energy-intensive activities that were unable to access carbon tax-related assistance would be the main beneficiaries of repeal</w:t>
      </w:r>
      <w:r w:rsidR="00D5237C">
        <w:t xml:space="preserve">.  </w:t>
      </w:r>
      <w:r w:rsidR="00962A3C">
        <w:t>There </w:t>
      </w:r>
      <w:r>
        <w:t xml:space="preserve">would be minimal impact on dwelling </w:t>
      </w:r>
      <w:r w:rsidRPr="006115D1">
        <w:t>ownership</w:t>
      </w:r>
      <w:r w:rsidRPr="006115D1">
        <w:rPr>
          <w:vertAlign w:val="superscript"/>
        </w:rPr>
        <w:footnoteReference w:id="2"/>
      </w:r>
      <w:r w:rsidR="00D5237C">
        <w:t xml:space="preserve">.  </w:t>
      </w:r>
    </w:p>
    <w:p w:rsidR="00803986" w:rsidRDefault="00803986">
      <w:pPr>
        <w:spacing w:before="0" w:after="0"/>
      </w:pPr>
      <w:r>
        <w:br w:type="page"/>
      </w:r>
    </w:p>
    <w:p w:rsidR="00803986" w:rsidRPr="0031582A" w:rsidRDefault="00330CB0" w:rsidP="00330CB0">
      <w:pPr>
        <w:pStyle w:val="TableHeadingoutsidetable"/>
        <w:numPr>
          <w:ilvl w:val="0"/>
          <w:numId w:val="0"/>
        </w:numPr>
        <w:ind w:left="1134"/>
      </w:pPr>
      <w:r>
        <w:t>Table 8.1</w:t>
      </w:r>
      <w:r>
        <w:tab/>
      </w:r>
      <w:r w:rsidR="00803986" w:rsidRPr="0031582A">
        <w:t>Change in gross output in 2020 as a result of the carbon tax, compared with a ‘no carbon tax’ scenario</w:t>
      </w:r>
    </w:p>
    <w:tbl>
      <w:tblPr>
        <w:tblStyle w:val="TableGrid"/>
        <w:tblW w:w="0" w:type="auto"/>
        <w:tblInd w:w="1242" w:type="dxa"/>
        <w:tblBorders>
          <w:insideV w:val="none" w:sz="0" w:space="0" w:color="auto"/>
        </w:tblBorders>
        <w:tblLook w:val="04A0" w:firstRow="1" w:lastRow="0" w:firstColumn="1" w:lastColumn="0" w:noHBand="0" w:noVBand="1"/>
      </w:tblPr>
      <w:tblGrid>
        <w:gridCol w:w="3969"/>
        <w:gridCol w:w="2552"/>
      </w:tblGrid>
      <w:tr w:rsidR="00803986" w:rsidRPr="006A7E9F" w:rsidTr="00962A3C">
        <w:trPr>
          <w:tblHeader/>
        </w:trPr>
        <w:tc>
          <w:tcPr>
            <w:tcW w:w="3969" w:type="dxa"/>
            <w:shd w:val="pct10" w:color="auto" w:fill="auto"/>
          </w:tcPr>
          <w:p w:rsidR="00803986" w:rsidRPr="00803986" w:rsidRDefault="00803986" w:rsidP="00962A3C">
            <w:pPr>
              <w:pStyle w:val="tableheaderwithintable"/>
              <w:jc w:val="left"/>
            </w:pPr>
            <w:r w:rsidRPr="00803986">
              <w:t>Industry sector</w:t>
            </w:r>
          </w:p>
        </w:tc>
        <w:tc>
          <w:tcPr>
            <w:tcW w:w="2552" w:type="dxa"/>
            <w:shd w:val="pct10" w:color="auto" w:fill="auto"/>
          </w:tcPr>
          <w:p w:rsidR="00803986" w:rsidRPr="006A7E9F" w:rsidRDefault="00803986" w:rsidP="00962A3C">
            <w:pPr>
              <w:pStyle w:val="tableheaderwithintable"/>
              <w:jc w:val="left"/>
            </w:pPr>
            <w:r w:rsidRPr="006A7E9F">
              <w:t>Change in gross output</w:t>
            </w:r>
            <w:r w:rsidRPr="006A7E9F">
              <w:br/>
              <w:t xml:space="preserve">(per cent) </w:t>
            </w:r>
            <w:r w:rsidRPr="006A7E9F">
              <w:rPr>
                <w:vertAlign w:val="superscript"/>
              </w:rPr>
              <w:t>a</w:t>
            </w:r>
          </w:p>
        </w:tc>
      </w:tr>
      <w:tr w:rsidR="00803986" w:rsidRPr="006A7E9F" w:rsidTr="00962A3C">
        <w:tc>
          <w:tcPr>
            <w:tcW w:w="3969" w:type="dxa"/>
          </w:tcPr>
          <w:p w:rsidR="00803986" w:rsidRPr="001126E0" w:rsidRDefault="00803986" w:rsidP="001126E0">
            <w:pPr>
              <w:pStyle w:val="tabletext"/>
              <w:ind w:left="459"/>
              <w:rPr>
                <w:b/>
              </w:rPr>
            </w:pPr>
            <w:r w:rsidRPr="001126E0">
              <w:rPr>
                <w:b/>
              </w:rPr>
              <w:t>Agriculture</w:t>
            </w:r>
          </w:p>
          <w:p w:rsidR="00803986" w:rsidRPr="00FC3528" w:rsidRDefault="00803986" w:rsidP="001126E0">
            <w:pPr>
              <w:pStyle w:val="tabletext"/>
              <w:ind w:left="459"/>
            </w:pPr>
            <w:r w:rsidRPr="00FC3528">
              <w:t xml:space="preserve">  Sheep and cattle</w:t>
            </w:r>
          </w:p>
          <w:p w:rsidR="00803986" w:rsidRPr="00FC3528" w:rsidRDefault="00803986" w:rsidP="001126E0">
            <w:pPr>
              <w:pStyle w:val="tabletext"/>
              <w:ind w:left="459"/>
            </w:pPr>
            <w:r w:rsidRPr="00FC3528">
              <w:t xml:space="preserve">  Dairy cattle</w:t>
            </w:r>
          </w:p>
          <w:p w:rsidR="00803986" w:rsidRPr="00FC3528" w:rsidRDefault="00803986" w:rsidP="001126E0">
            <w:pPr>
              <w:pStyle w:val="tabletext"/>
              <w:ind w:left="459"/>
            </w:pPr>
            <w:r w:rsidRPr="00FC3528">
              <w:t xml:space="preserve">  Other animals</w:t>
            </w:r>
          </w:p>
          <w:p w:rsidR="00803986" w:rsidRPr="00FC3528" w:rsidRDefault="00803986" w:rsidP="001126E0">
            <w:pPr>
              <w:pStyle w:val="tabletext"/>
              <w:ind w:left="459"/>
            </w:pPr>
            <w:r w:rsidRPr="00FC3528">
              <w:t xml:space="preserve">  Grains</w:t>
            </w:r>
          </w:p>
          <w:p w:rsidR="00803986" w:rsidRPr="00FC3528" w:rsidRDefault="00803986" w:rsidP="001126E0">
            <w:pPr>
              <w:pStyle w:val="tabletext"/>
              <w:ind w:left="459"/>
            </w:pPr>
            <w:r w:rsidRPr="00FC3528">
              <w:t xml:space="preserve">  Other agriculture</w:t>
            </w:r>
          </w:p>
          <w:p w:rsidR="00803986" w:rsidRPr="00FC3528" w:rsidRDefault="00803986" w:rsidP="001126E0">
            <w:pPr>
              <w:pStyle w:val="tabletext"/>
              <w:ind w:left="459"/>
            </w:pPr>
            <w:r w:rsidRPr="00FC3528">
              <w:t xml:space="preserve">  Agricultural services and fisheries</w:t>
            </w:r>
          </w:p>
          <w:p w:rsidR="00803986" w:rsidRPr="00FC3528" w:rsidRDefault="00803986" w:rsidP="001126E0">
            <w:pPr>
              <w:pStyle w:val="tabletext"/>
              <w:ind w:left="459"/>
            </w:pPr>
            <w:r w:rsidRPr="00FC3528">
              <w:t xml:space="preserve">  Forestry</w:t>
            </w:r>
          </w:p>
        </w:tc>
        <w:tc>
          <w:tcPr>
            <w:tcW w:w="2552" w:type="dxa"/>
          </w:tcPr>
          <w:p w:rsidR="00803986" w:rsidRPr="001126E0" w:rsidRDefault="00803986" w:rsidP="00962A3C">
            <w:pPr>
              <w:pStyle w:val="tabletext"/>
              <w:ind w:left="459"/>
              <w:jc w:val="center"/>
              <w:rPr>
                <w:b/>
              </w:rPr>
            </w:pPr>
            <w:r w:rsidRPr="001126E0">
              <w:rPr>
                <w:b/>
              </w:rPr>
              <w:t>0.4</w:t>
            </w:r>
          </w:p>
          <w:p w:rsidR="00803986" w:rsidRPr="00FC3528" w:rsidRDefault="00803986" w:rsidP="00962A3C">
            <w:pPr>
              <w:pStyle w:val="tabletext"/>
              <w:ind w:left="459"/>
              <w:jc w:val="center"/>
            </w:pPr>
            <w:r w:rsidRPr="00FC3528">
              <w:t>0.3</w:t>
            </w:r>
          </w:p>
          <w:p w:rsidR="00803986" w:rsidRPr="00FC3528" w:rsidRDefault="00803986" w:rsidP="00962A3C">
            <w:pPr>
              <w:pStyle w:val="tabletext"/>
              <w:ind w:left="459"/>
              <w:jc w:val="center"/>
            </w:pPr>
            <w:r w:rsidRPr="00FC3528">
              <w:t>0.2</w:t>
            </w:r>
          </w:p>
          <w:p w:rsidR="00803986" w:rsidRPr="00FC3528" w:rsidRDefault="00803986" w:rsidP="00962A3C">
            <w:pPr>
              <w:pStyle w:val="tabletext"/>
              <w:ind w:left="459"/>
              <w:jc w:val="center"/>
            </w:pPr>
            <w:r w:rsidRPr="00FC3528">
              <w:t>0.4</w:t>
            </w:r>
          </w:p>
          <w:p w:rsidR="00803986" w:rsidRPr="00FC3528" w:rsidRDefault="00803986" w:rsidP="00962A3C">
            <w:pPr>
              <w:pStyle w:val="tabletext"/>
              <w:ind w:left="459"/>
              <w:jc w:val="center"/>
            </w:pPr>
            <w:r w:rsidRPr="00FC3528">
              <w:t>0.5</w:t>
            </w:r>
          </w:p>
          <w:p w:rsidR="00803986" w:rsidRPr="00FC3528" w:rsidRDefault="00803986" w:rsidP="00962A3C">
            <w:pPr>
              <w:pStyle w:val="tabletext"/>
              <w:ind w:left="459"/>
              <w:jc w:val="center"/>
            </w:pPr>
            <w:r w:rsidRPr="00FC3528">
              <w:t>0.2</w:t>
            </w:r>
          </w:p>
          <w:p w:rsidR="00803986" w:rsidRPr="00FC3528" w:rsidRDefault="00803986" w:rsidP="00962A3C">
            <w:pPr>
              <w:pStyle w:val="tabletext"/>
              <w:ind w:left="459"/>
              <w:jc w:val="center"/>
            </w:pPr>
            <w:r w:rsidRPr="00FC3528">
              <w:t>0.6</w:t>
            </w:r>
          </w:p>
          <w:p w:rsidR="00803986" w:rsidRPr="00FC3528" w:rsidRDefault="00803986" w:rsidP="00962A3C">
            <w:pPr>
              <w:pStyle w:val="tabletext"/>
              <w:ind w:left="459"/>
              <w:jc w:val="center"/>
            </w:pPr>
            <w:r w:rsidRPr="00FC3528">
              <w:t>0.3</w:t>
            </w:r>
          </w:p>
        </w:tc>
      </w:tr>
      <w:tr w:rsidR="00803986" w:rsidRPr="006A7E9F" w:rsidTr="00962A3C">
        <w:tc>
          <w:tcPr>
            <w:tcW w:w="3969" w:type="dxa"/>
          </w:tcPr>
          <w:p w:rsidR="00803986" w:rsidRPr="001126E0" w:rsidRDefault="00803986" w:rsidP="001126E0">
            <w:pPr>
              <w:pStyle w:val="tabletext"/>
              <w:ind w:left="459"/>
              <w:rPr>
                <w:b/>
              </w:rPr>
            </w:pPr>
            <w:r w:rsidRPr="001126E0">
              <w:rPr>
                <w:b/>
              </w:rPr>
              <w:t>Mining</w:t>
            </w:r>
          </w:p>
          <w:p w:rsidR="00803986" w:rsidRPr="00FC3528" w:rsidRDefault="00803986" w:rsidP="001126E0">
            <w:pPr>
              <w:pStyle w:val="tabletext"/>
              <w:ind w:left="459"/>
            </w:pPr>
            <w:r w:rsidRPr="00FC3528">
              <w:t xml:space="preserve">  Coal</w:t>
            </w:r>
          </w:p>
          <w:p w:rsidR="00803986" w:rsidRPr="00FC3528" w:rsidRDefault="00803986" w:rsidP="001126E0">
            <w:pPr>
              <w:pStyle w:val="tabletext"/>
              <w:ind w:left="459"/>
            </w:pPr>
            <w:r w:rsidRPr="00FC3528">
              <w:t xml:space="preserve">  Oil</w:t>
            </w:r>
          </w:p>
          <w:p w:rsidR="00803986" w:rsidRPr="00FC3528" w:rsidRDefault="00803986" w:rsidP="001126E0">
            <w:pPr>
              <w:pStyle w:val="tabletext"/>
              <w:ind w:left="459"/>
            </w:pPr>
            <w:r w:rsidRPr="00FC3528">
              <w:t xml:space="preserve">  Gas</w:t>
            </w:r>
          </w:p>
          <w:p w:rsidR="00803986" w:rsidRPr="00FC3528" w:rsidRDefault="00803986" w:rsidP="001126E0">
            <w:pPr>
              <w:pStyle w:val="tabletext"/>
              <w:ind w:left="459"/>
            </w:pPr>
            <w:r w:rsidRPr="00FC3528">
              <w:t xml:space="preserve">  Iron ore</w:t>
            </w:r>
          </w:p>
          <w:p w:rsidR="00803986" w:rsidRPr="00FC3528" w:rsidRDefault="00803986" w:rsidP="001126E0">
            <w:pPr>
              <w:pStyle w:val="tabletext"/>
              <w:ind w:left="459"/>
            </w:pPr>
            <w:r w:rsidRPr="00FC3528">
              <w:t xml:space="preserve">  Non-ferrous ore</w:t>
            </w:r>
          </w:p>
          <w:p w:rsidR="00803986" w:rsidRPr="00FC3528" w:rsidRDefault="00803986" w:rsidP="001126E0">
            <w:pPr>
              <w:pStyle w:val="tabletext"/>
              <w:ind w:left="459"/>
            </w:pPr>
            <w:r w:rsidRPr="00FC3528">
              <w:t xml:space="preserve">  Other</w:t>
            </w:r>
          </w:p>
        </w:tc>
        <w:tc>
          <w:tcPr>
            <w:tcW w:w="2552" w:type="dxa"/>
          </w:tcPr>
          <w:p w:rsidR="00803986" w:rsidRPr="001126E0" w:rsidRDefault="00803986" w:rsidP="00962A3C">
            <w:pPr>
              <w:pStyle w:val="tabletext"/>
              <w:ind w:left="459"/>
              <w:jc w:val="center"/>
              <w:rPr>
                <w:b/>
              </w:rPr>
            </w:pPr>
            <w:r w:rsidRPr="001126E0">
              <w:rPr>
                <w:b/>
              </w:rPr>
              <w:t>-0.9</w:t>
            </w:r>
          </w:p>
          <w:p w:rsidR="00803986" w:rsidRPr="00FC3528" w:rsidRDefault="00803986" w:rsidP="00962A3C">
            <w:pPr>
              <w:pStyle w:val="tabletext"/>
              <w:ind w:left="459"/>
              <w:jc w:val="center"/>
            </w:pPr>
            <w:r w:rsidRPr="00FC3528">
              <w:t>-2.4</w:t>
            </w:r>
          </w:p>
          <w:p w:rsidR="00803986" w:rsidRPr="00FC3528" w:rsidRDefault="00803986" w:rsidP="00962A3C">
            <w:pPr>
              <w:pStyle w:val="tabletext"/>
              <w:ind w:left="459"/>
              <w:jc w:val="center"/>
            </w:pPr>
            <w:r w:rsidRPr="00FC3528">
              <w:t>0.0</w:t>
            </w:r>
          </w:p>
          <w:p w:rsidR="00803986" w:rsidRPr="00FC3528" w:rsidRDefault="00803986" w:rsidP="00962A3C">
            <w:pPr>
              <w:pStyle w:val="tabletext"/>
              <w:ind w:left="459"/>
              <w:jc w:val="center"/>
            </w:pPr>
            <w:r w:rsidRPr="00FC3528">
              <w:t>-1.5</w:t>
            </w:r>
          </w:p>
          <w:p w:rsidR="00803986" w:rsidRPr="00FC3528" w:rsidRDefault="00803986" w:rsidP="00962A3C">
            <w:pPr>
              <w:pStyle w:val="tabletext"/>
              <w:ind w:left="459"/>
              <w:jc w:val="center"/>
            </w:pPr>
            <w:r w:rsidRPr="00FC3528">
              <w:t>0.8</w:t>
            </w:r>
          </w:p>
          <w:p w:rsidR="00803986" w:rsidRPr="00FC3528" w:rsidRDefault="00803986" w:rsidP="00962A3C">
            <w:pPr>
              <w:pStyle w:val="tabletext"/>
              <w:ind w:left="459"/>
              <w:jc w:val="center"/>
            </w:pPr>
            <w:r w:rsidRPr="00FC3528">
              <w:t>-0.9</w:t>
            </w:r>
          </w:p>
          <w:p w:rsidR="00803986" w:rsidRPr="00FC3528" w:rsidRDefault="00803986" w:rsidP="00962A3C">
            <w:pPr>
              <w:pStyle w:val="tabletext"/>
              <w:ind w:left="459"/>
              <w:jc w:val="center"/>
            </w:pPr>
            <w:r w:rsidRPr="00FC3528">
              <w:t>0.6</w:t>
            </w:r>
          </w:p>
        </w:tc>
      </w:tr>
      <w:tr w:rsidR="00803986" w:rsidRPr="006A7E9F" w:rsidTr="00962A3C">
        <w:tc>
          <w:tcPr>
            <w:tcW w:w="3969" w:type="dxa"/>
          </w:tcPr>
          <w:p w:rsidR="00803986" w:rsidRPr="001126E0" w:rsidRDefault="00803986" w:rsidP="001126E0">
            <w:pPr>
              <w:pStyle w:val="tabletext"/>
              <w:ind w:left="459"/>
              <w:rPr>
                <w:b/>
              </w:rPr>
            </w:pPr>
            <w:r w:rsidRPr="001126E0">
              <w:rPr>
                <w:b/>
              </w:rPr>
              <w:t>Manufacturing</w:t>
            </w:r>
          </w:p>
          <w:p w:rsidR="00803986" w:rsidRPr="00FC3528" w:rsidRDefault="00803986" w:rsidP="001126E0">
            <w:pPr>
              <w:pStyle w:val="tabletext"/>
              <w:ind w:left="459"/>
            </w:pPr>
            <w:r w:rsidRPr="00FC3528">
              <w:t xml:space="preserve">  Meat products</w:t>
            </w:r>
          </w:p>
          <w:p w:rsidR="00803986" w:rsidRPr="00FC3528" w:rsidRDefault="00803986" w:rsidP="001126E0">
            <w:pPr>
              <w:pStyle w:val="tabletext"/>
              <w:ind w:left="459"/>
            </w:pPr>
            <w:r w:rsidRPr="00FC3528">
              <w:t xml:space="preserve">  Other food</w:t>
            </w:r>
          </w:p>
          <w:p w:rsidR="00803986" w:rsidRPr="00FC3528" w:rsidRDefault="00803986" w:rsidP="001126E0">
            <w:pPr>
              <w:pStyle w:val="tabletext"/>
              <w:ind w:left="459"/>
            </w:pPr>
            <w:r w:rsidRPr="00FC3528">
              <w:t xml:space="preserve">  Textiles, clothing and footwear</w:t>
            </w:r>
          </w:p>
          <w:p w:rsidR="00803986" w:rsidRPr="00FC3528" w:rsidRDefault="00803986" w:rsidP="001126E0">
            <w:pPr>
              <w:pStyle w:val="tabletext"/>
              <w:ind w:left="459"/>
            </w:pPr>
            <w:r w:rsidRPr="00FC3528">
              <w:t xml:space="preserve">  Wood products</w:t>
            </w:r>
          </w:p>
          <w:p w:rsidR="00803986" w:rsidRPr="00FC3528" w:rsidRDefault="00803986" w:rsidP="001126E0">
            <w:pPr>
              <w:pStyle w:val="tabletext"/>
              <w:ind w:left="459"/>
            </w:pPr>
            <w:r w:rsidRPr="00FC3528">
              <w:t xml:space="preserve">  Paper products</w:t>
            </w:r>
          </w:p>
          <w:p w:rsidR="00803986" w:rsidRPr="00FC3528" w:rsidRDefault="00803986" w:rsidP="001126E0">
            <w:pPr>
              <w:pStyle w:val="tabletext"/>
              <w:ind w:left="459"/>
            </w:pPr>
            <w:r w:rsidRPr="00FC3528">
              <w:t xml:space="preserve">  Printing</w:t>
            </w:r>
          </w:p>
          <w:p w:rsidR="00803986" w:rsidRPr="00FC3528" w:rsidRDefault="00803986" w:rsidP="001126E0">
            <w:pPr>
              <w:pStyle w:val="tabletext"/>
              <w:ind w:left="459"/>
            </w:pPr>
            <w:r w:rsidRPr="00FC3528">
              <w:t xml:space="preserve">  Refinery</w:t>
            </w:r>
          </w:p>
          <w:p w:rsidR="00803986" w:rsidRPr="00FC3528" w:rsidRDefault="00803986" w:rsidP="001126E0">
            <w:pPr>
              <w:pStyle w:val="tabletext"/>
              <w:ind w:left="459"/>
            </w:pPr>
            <w:r w:rsidRPr="00FC3528">
              <w:t xml:space="preserve">  Chemicals</w:t>
            </w:r>
          </w:p>
          <w:p w:rsidR="00803986" w:rsidRPr="00FC3528" w:rsidRDefault="00803986" w:rsidP="001126E0">
            <w:pPr>
              <w:pStyle w:val="tabletext"/>
              <w:ind w:left="459"/>
            </w:pPr>
            <w:r w:rsidRPr="00FC3528">
              <w:t xml:space="preserve">  Rubber and plastic products</w:t>
            </w:r>
          </w:p>
          <w:p w:rsidR="00803986" w:rsidRPr="00FC3528" w:rsidRDefault="00803986" w:rsidP="001126E0">
            <w:pPr>
              <w:pStyle w:val="tabletext"/>
              <w:ind w:left="459"/>
            </w:pPr>
            <w:r w:rsidRPr="00FC3528">
              <w:t xml:space="preserve">  Non-metallic construction products</w:t>
            </w:r>
          </w:p>
          <w:p w:rsidR="00803986" w:rsidRPr="00FC3528" w:rsidRDefault="00803986" w:rsidP="001126E0">
            <w:pPr>
              <w:pStyle w:val="tabletext"/>
              <w:ind w:left="459"/>
            </w:pPr>
            <w:r w:rsidRPr="00FC3528">
              <w:t xml:space="preserve">  Cement</w:t>
            </w:r>
          </w:p>
          <w:p w:rsidR="00803986" w:rsidRPr="00FC3528" w:rsidRDefault="00803986" w:rsidP="001126E0">
            <w:pPr>
              <w:pStyle w:val="tabletext"/>
              <w:ind w:left="459"/>
            </w:pPr>
            <w:r w:rsidRPr="00FC3528">
              <w:t xml:space="preserve">  Iron and steel</w:t>
            </w:r>
          </w:p>
          <w:p w:rsidR="00803986" w:rsidRPr="00FC3528" w:rsidRDefault="00803986" w:rsidP="001126E0">
            <w:pPr>
              <w:pStyle w:val="tabletext"/>
              <w:ind w:left="459"/>
            </w:pPr>
            <w:r w:rsidRPr="00FC3528">
              <w:t xml:space="preserve">  Alumina</w:t>
            </w:r>
          </w:p>
          <w:p w:rsidR="00803986" w:rsidRPr="00FC3528" w:rsidRDefault="00803986" w:rsidP="001126E0">
            <w:pPr>
              <w:pStyle w:val="tabletext"/>
              <w:ind w:left="459"/>
            </w:pPr>
            <w:r w:rsidRPr="00FC3528">
              <w:t xml:space="preserve">  Aluminium</w:t>
            </w:r>
          </w:p>
          <w:p w:rsidR="00803986" w:rsidRPr="00FC3528" w:rsidRDefault="00803986" w:rsidP="001126E0">
            <w:pPr>
              <w:pStyle w:val="tabletext"/>
              <w:ind w:left="459"/>
            </w:pPr>
            <w:r w:rsidRPr="00FC3528">
              <w:t xml:space="preserve">  Other metals</w:t>
            </w:r>
          </w:p>
          <w:p w:rsidR="00803986" w:rsidRPr="00FC3528" w:rsidRDefault="00803986" w:rsidP="001126E0">
            <w:pPr>
              <w:pStyle w:val="tabletext"/>
              <w:ind w:left="459"/>
            </w:pPr>
            <w:r w:rsidRPr="00FC3528">
              <w:t xml:space="preserve">  Metal products</w:t>
            </w:r>
          </w:p>
          <w:p w:rsidR="00803986" w:rsidRPr="00FC3528" w:rsidRDefault="00803986" w:rsidP="001126E0">
            <w:pPr>
              <w:pStyle w:val="tabletext"/>
              <w:ind w:left="459"/>
            </w:pPr>
            <w:r w:rsidRPr="00FC3528">
              <w:t xml:space="preserve">  Motor vehicles and parts</w:t>
            </w:r>
          </w:p>
          <w:p w:rsidR="00803986" w:rsidRPr="00FC3528" w:rsidRDefault="00803986" w:rsidP="001126E0">
            <w:pPr>
              <w:pStyle w:val="tabletext"/>
              <w:ind w:left="459"/>
            </w:pPr>
            <w:r w:rsidRPr="00FC3528">
              <w:t xml:space="preserve">  Other</w:t>
            </w:r>
          </w:p>
        </w:tc>
        <w:tc>
          <w:tcPr>
            <w:tcW w:w="2552" w:type="dxa"/>
          </w:tcPr>
          <w:p w:rsidR="00803986" w:rsidRPr="001126E0" w:rsidRDefault="00803986" w:rsidP="00962A3C">
            <w:pPr>
              <w:pStyle w:val="tabletext"/>
              <w:ind w:left="459"/>
              <w:jc w:val="center"/>
              <w:rPr>
                <w:b/>
              </w:rPr>
            </w:pPr>
            <w:r w:rsidRPr="001126E0">
              <w:rPr>
                <w:b/>
              </w:rPr>
              <w:t>0.3</w:t>
            </w:r>
          </w:p>
          <w:p w:rsidR="00803986" w:rsidRPr="00FC3528" w:rsidRDefault="00803986" w:rsidP="00962A3C">
            <w:pPr>
              <w:pStyle w:val="tabletext"/>
              <w:ind w:left="459"/>
              <w:jc w:val="center"/>
            </w:pPr>
            <w:r w:rsidRPr="00FC3528">
              <w:t>0.2</w:t>
            </w:r>
          </w:p>
          <w:p w:rsidR="00803986" w:rsidRPr="00FC3528" w:rsidRDefault="00803986" w:rsidP="00962A3C">
            <w:pPr>
              <w:pStyle w:val="tabletext"/>
              <w:ind w:left="459"/>
              <w:jc w:val="center"/>
            </w:pPr>
            <w:r w:rsidRPr="00FC3528">
              <w:t>0.1</w:t>
            </w:r>
          </w:p>
          <w:p w:rsidR="00803986" w:rsidRPr="00FC3528" w:rsidRDefault="00803986" w:rsidP="00962A3C">
            <w:pPr>
              <w:pStyle w:val="tabletext"/>
              <w:ind w:left="459"/>
              <w:jc w:val="center"/>
            </w:pPr>
            <w:r w:rsidRPr="00FC3528">
              <w:t>0.7</w:t>
            </w:r>
          </w:p>
          <w:p w:rsidR="00803986" w:rsidRPr="00FC3528" w:rsidRDefault="00803986" w:rsidP="00962A3C">
            <w:pPr>
              <w:pStyle w:val="tabletext"/>
              <w:ind w:left="459"/>
              <w:jc w:val="center"/>
            </w:pPr>
            <w:r w:rsidRPr="00FC3528">
              <w:t>-0.1</w:t>
            </w:r>
          </w:p>
          <w:p w:rsidR="00803986" w:rsidRPr="00FC3528" w:rsidRDefault="00803986" w:rsidP="00962A3C">
            <w:pPr>
              <w:pStyle w:val="tabletext"/>
              <w:ind w:left="459"/>
              <w:jc w:val="center"/>
            </w:pPr>
            <w:r w:rsidRPr="00FC3528">
              <w:t>0.3</w:t>
            </w:r>
          </w:p>
          <w:p w:rsidR="00803986" w:rsidRPr="00FC3528" w:rsidRDefault="00803986" w:rsidP="00962A3C">
            <w:pPr>
              <w:pStyle w:val="tabletext"/>
              <w:ind w:left="459"/>
              <w:jc w:val="center"/>
            </w:pPr>
            <w:r w:rsidRPr="00FC3528">
              <w:t>0.0</w:t>
            </w:r>
          </w:p>
          <w:p w:rsidR="00803986" w:rsidRPr="00FC3528" w:rsidRDefault="00803986" w:rsidP="00962A3C">
            <w:pPr>
              <w:pStyle w:val="tabletext"/>
              <w:ind w:left="459"/>
              <w:jc w:val="center"/>
            </w:pPr>
            <w:r w:rsidRPr="00FC3528">
              <w:t>0.0</w:t>
            </w:r>
          </w:p>
          <w:p w:rsidR="00803986" w:rsidRPr="00FC3528" w:rsidRDefault="00803986" w:rsidP="00962A3C">
            <w:pPr>
              <w:pStyle w:val="tabletext"/>
              <w:ind w:left="459"/>
              <w:jc w:val="center"/>
            </w:pPr>
            <w:r w:rsidRPr="00FC3528">
              <w:t>1.7</w:t>
            </w:r>
          </w:p>
          <w:p w:rsidR="00803986" w:rsidRPr="00FC3528" w:rsidRDefault="00803986" w:rsidP="00962A3C">
            <w:pPr>
              <w:pStyle w:val="tabletext"/>
              <w:ind w:left="459"/>
              <w:jc w:val="center"/>
            </w:pPr>
            <w:r w:rsidRPr="00FC3528">
              <w:t>0.5</w:t>
            </w:r>
          </w:p>
          <w:p w:rsidR="00803986" w:rsidRPr="00FC3528" w:rsidRDefault="00803986" w:rsidP="00962A3C">
            <w:pPr>
              <w:pStyle w:val="tabletext"/>
              <w:ind w:left="459"/>
              <w:jc w:val="center"/>
            </w:pPr>
            <w:r w:rsidRPr="00FC3528">
              <w:t>-0.7</w:t>
            </w:r>
          </w:p>
          <w:p w:rsidR="00803986" w:rsidRPr="00FC3528" w:rsidRDefault="00803986" w:rsidP="00962A3C">
            <w:pPr>
              <w:pStyle w:val="tabletext"/>
              <w:ind w:left="459"/>
              <w:jc w:val="center"/>
            </w:pPr>
            <w:r w:rsidRPr="00FC3528">
              <w:t>-0.8</w:t>
            </w:r>
          </w:p>
          <w:p w:rsidR="00803986" w:rsidRPr="00FC3528" w:rsidRDefault="00803986" w:rsidP="00962A3C">
            <w:pPr>
              <w:pStyle w:val="tabletext"/>
              <w:ind w:left="459"/>
              <w:jc w:val="center"/>
            </w:pPr>
            <w:r w:rsidRPr="00FC3528">
              <w:t>0.9</w:t>
            </w:r>
          </w:p>
          <w:p w:rsidR="00803986" w:rsidRPr="00FC3528" w:rsidRDefault="00803986" w:rsidP="00962A3C">
            <w:pPr>
              <w:pStyle w:val="tabletext"/>
              <w:ind w:left="459"/>
              <w:jc w:val="center"/>
            </w:pPr>
            <w:r w:rsidRPr="00FC3528">
              <w:t>2.3</w:t>
            </w:r>
          </w:p>
          <w:p w:rsidR="00803986" w:rsidRPr="00FC3528" w:rsidRDefault="00803986" w:rsidP="00962A3C">
            <w:pPr>
              <w:pStyle w:val="tabletext"/>
              <w:ind w:left="459"/>
              <w:jc w:val="center"/>
            </w:pPr>
            <w:r w:rsidRPr="00FC3528">
              <w:t>0.8</w:t>
            </w:r>
          </w:p>
          <w:p w:rsidR="00803986" w:rsidRPr="00FC3528" w:rsidRDefault="00803986" w:rsidP="00962A3C">
            <w:pPr>
              <w:pStyle w:val="tabletext"/>
              <w:ind w:left="459"/>
              <w:jc w:val="center"/>
            </w:pPr>
            <w:r w:rsidRPr="00FC3528">
              <w:t>-0.3</w:t>
            </w:r>
          </w:p>
          <w:p w:rsidR="00803986" w:rsidRPr="00FC3528" w:rsidRDefault="00803986" w:rsidP="00962A3C">
            <w:pPr>
              <w:pStyle w:val="tabletext"/>
              <w:ind w:left="459"/>
              <w:jc w:val="center"/>
            </w:pPr>
            <w:r w:rsidRPr="00FC3528">
              <w:t>-0.1</w:t>
            </w:r>
          </w:p>
          <w:p w:rsidR="00803986" w:rsidRPr="00FC3528" w:rsidRDefault="00803986" w:rsidP="00962A3C">
            <w:pPr>
              <w:pStyle w:val="tabletext"/>
              <w:ind w:left="459"/>
              <w:jc w:val="center"/>
            </w:pPr>
            <w:r w:rsidRPr="00FC3528">
              <w:t>0.6</w:t>
            </w:r>
          </w:p>
          <w:p w:rsidR="00803986" w:rsidRPr="00FC3528" w:rsidRDefault="00803986" w:rsidP="00962A3C">
            <w:pPr>
              <w:pStyle w:val="tabletext"/>
              <w:ind w:left="459"/>
              <w:jc w:val="center"/>
            </w:pPr>
            <w:r w:rsidRPr="00FC3528">
              <w:t>0.2</w:t>
            </w:r>
          </w:p>
        </w:tc>
      </w:tr>
      <w:tr w:rsidR="00803986" w:rsidRPr="006A7E9F" w:rsidTr="00962A3C">
        <w:tc>
          <w:tcPr>
            <w:tcW w:w="3969" w:type="dxa"/>
          </w:tcPr>
          <w:p w:rsidR="00803986" w:rsidRPr="001126E0" w:rsidRDefault="00803986" w:rsidP="001126E0">
            <w:pPr>
              <w:pStyle w:val="tabletext"/>
              <w:ind w:left="459"/>
              <w:rPr>
                <w:b/>
              </w:rPr>
            </w:pPr>
            <w:r w:rsidRPr="001126E0">
              <w:rPr>
                <w:b/>
              </w:rPr>
              <w:t>Construction</w:t>
            </w:r>
          </w:p>
        </w:tc>
        <w:tc>
          <w:tcPr>
            <w:tcW w:w="2552" w:type="dxa"/>
          </w:tcPr>
          <w:p w:rsidR="00803986" w:rsidRDefault="00803986" w:rsidP="00962A3C">
            <w:pPr>
              <w:pStyle w:val="tabletext"/>
              <w:ind w:left="459"/>
              <w:jc w:val="center"/>
              <w:rPr>
                <w:b/>
              </w:rPr>
            </w:pPr>
            <w:r w:rsidRPr="001126E0">
              <w:rPr>
                <w:b/>
              </w:rPr>
              <w:t>-0.9</w:t>
            </w:r>
          </w:p>
          <w:p w:rsidR="001126E0" w:rsidRPr="001126E0" w:rsidRDefault="001126E0" w:rsidP="00962A3C">
            <w:pPr>
              <w:pStyle w:val="tabletext"/>
              <w:ind w:left="459"/>
              <w:jc w:val="center"/>
              <w:rPr>
                <w:b/>
              </w:rPr>
            </w:pPr>
          </w:p>
        </w:tc>
      </w:tr>
      <w:tr w:rsidR="00803986" w:rsidRPr="006A7E9F" w:rsidTr="00962A3C">
        <w:tc>
          <w:tcPr>
            <w:tcW w:w="3969" w:type="dxa"/>
          </w:tcPr>
          <w:p w:rsidR="00803986" w:rsidRPr="001126E0" w:rsidRDefault="00803986" w:rsidP="001126E0">
            <w:pPr>
              <w:pStyle w:val="tabletext"/>
              <w:ind w:left="459"/>
              <w:rPr>
                <w:b/>
              </w:rPr>
            </w:pPr>
            <w:r w:rsidRPr="001126E0">
              <w:rPr>
                <w:b/>
              </w:rPr>
              <w:t>Services</w:t>
            </w:r>
          </w:p>
          <w:p w:rsidR="00803986" w:rsidRPr="00FC3528" w:rsidRDefault="00803986" w:rsidP="001126E0">
            <w:pPr>
              <w:pStyle w:val="tabletext"/>
              <w:ind w:left="459"/>
            </w:pPr>
            <w:r w:rsidRPr="00FC3528">
              <w:t xml:space="preserve">  Electricity generation – coal fired</w:t>
            </w:r>
          </w:p>
          <w:p w:rsidR="00803986" w:rsidRPr="00FC3528" w:rsidRDefault="00803986" w:rsidP="001126E0">
            <w:pPr>
              <w:pStyle w:val="tabletext"/>
              <w:ind w:left="459"/>
            </w:pPr>
            <w:r w:rsidRPr="00FC3528">
              <w:t xml:space="preserve">  Electricity generation – gas fired</w:t>
            </w:r>
          </w:p>
          <w:p w:rsidR="00803986" w:rsidRPr="00FC3528" w:rsidRDefault="00803986" w:rsidP="001126E0">
            <w:pPr>
              <w:pStyle w:val="tabletext"/>
              <w:ind w:left="459"/>
            </w:pPr>
            <w:r w:rsidRPr="00FC3528">
              <w:t xml:space="preserve">  Electricity generation – hydro</w:t>
            </w:r>
          </w:p>
          <w:p w:rsidR="00803986" w:rsidRPr="00FC3528" w:rsidRDefault="00803986" w:rsidP="001126E0">
            <w:pPr>
              <w:pStyle w:val="tabletext"/>
              <w:ind w:left="459"/>
            </w:pPr>
            <w:r w:rsidRPr="00FC3528">
              <w:t xml:space="preserve">  Electricity generation – other</w:t>
            </w:r>
          </w:p>
          <w:p w:rsidR="00803986" w:rsidRPr="00FC3528" w:rsidRDefault="00803986" w:rsidP="001126E0">
            <w:pPr>
              <w:pStyle w:val="tabletext"/>
              <w:ind w:left="459"/>
            </w:pPr>
            <w:r w:rsidRPr="00FC3528">
              <w:t xml:space="preserve">  Electricity supply</w:t>
            </w:r>
          </w:p>
          <w:p w:rsidR="00803986" w:rsidRPr="00FC3528" w:rsidRDefault="00803986" w:rsidP="001126E0">
            <w:pPr>
              <w:pStyle w:val="tabletext"/>
              <w:ind w:left="459"/>
            </w:pPr>
            <w:r w:rsidRPr="00FC3528">
              <w:t xml:space="preserve">  Gas supply</w:t>
            </w:r>
          </w:p>
          <w:p w:rsidR="00803986" w:rsidRPr="00FC3528" w:rsidRDefault="00803986" w:rsidP="001126E0">
            <w:pPr>
              <w:pStyle w:val="tabletext"/>
              <w:ind w:left="459"/>
            </w:pPr>
            <w:r w:rsidRPr="00FC3528">
              <w:t xml:space="preserve">  Water supply</w:t>
            </w:r>
          </w:p>
          <w:p w:rsidR="00803986" w:rsidRPr="00FC3528" w:rsidRDefault="00803986" w:rsidP="001126E0">
            <w:pPr>
              <w:pStyle w:val="tabletext"/>
              <w:ind w:left="459"/>
            </w:pPr>
            <w:r w:rsidRPr="00FC3528">
              <w:t xml:space="preserve">  Trade</w:t>
            </w:r>
          </w:p>
          <w:p w:rsidR="00803986" w:rsidRPr="00FC3528" w:rsidRDefault="00803986" w:rsidP="001126E0">
            <w:pPr>
              <w:pStyle w:val="tabletext"/>
              <w:ind w:left="459"/>
            </w:pPr>
            <w:r w:rsidRPr="00FC3528">
              <w:t xml:space="preserve">  Accommodation and hotels</w:t>
            </w:r>
          </w:p>
          <w:p w:rsidR="00803986" w:rsidRPr="00FC3528" w:rsidRDefault="00803986" w:rsidP="001126E0">
            <w:pPr>
              <w:pStyle w:val="tabletext"/>
              <w:ind w:left="459"/>
            </w:pPr>
            <w:r w:rsidRPr="00FC3528">
              <w:t xml:space="preserve">  Road transport – passenger</w:t>
            </w:r>
          </w:p>
          <w:p w:rsidR="00803986" w:rsidRPr="00FC3528" w:rsidRDefault="00803986" w:rsidP="001126E0">
            <w:pPr>
              <w:pStyle w:val="tabletext"/>
              <w:ind w:left="459"/>
            </w:pPr>
            <w:r w:rsidRPr="00FC3528">
              <w:t xml:space="preserve">  Road transport – freight</w:t>
            </w:r>
          </w:p>
          <w:p w:rsidR="00803986" w:rsidRPr="00FC3528" w:rsidRDefault="00803986" w:rsidP="001126E0">
            <w:pPr>
              <w:pStyle w:val="tabletext"/>
              <w:ind w:left="459"/>
            </w:pPr>
            <w:r w:rsidRPr="00FC3528">
              <w:t xml:space="preserve">  Rail transport – passenger</w:t>
            </w:r>
          </w:p>
          <w:p w:rsidR="00803986" w:rsidRPr="00FC3528" w:rsidRDefault="00803986" w:rsidP="001126E0">
            <w:pPr>
              <w:pStyle w:val="tabletext"/>
              <w:ind w:left="459"/>
            </w:pPr>
            <w:r w:rsidRPr="00FC3528">
              <w:t xml:space="preserve">  Rail transport – freight</w:t>
            </w:r>
          </w:p>
          <w:p w:rsidR="00803986" w:rsidRPr="00FC3528" w:rsidRDefault="00803986" w:rsidP="001126E0">
            <w:pPr>
              <w:pStyle w:val="tabletext"/>
              <w:ind w:left="459"/>
            </w:pPr>
            <w:r w:rsidRPr="00FC3528">
              <w:t xml:space="preserve">  Water transport</w:t>
            </w:r>
          </w:p>
          <w:p w:rsidR="00803986" w:rsidRPr="00FC3528" w:rsidRDefault="00803986" w:rsidP="001126E0">
            <w:pPr>
              <w:pStyle w:val="tabletext"/>
              <w:ind w:left="459"/>
            </w:pPr>
            <w:r w:rsidRPr="00FC3528">
              <w:t xml:space="preserve">  Air transport</w:t>
            </w:r>
          </w:p>
          <w:p w:rsidR="00803986" w:rsidRPr="00FC3528" w:rsidRDefault="00803986" w:rsidP="001126E0">
            <w:pPr>
              <w:pStyle w:val="tabletext"/>
              <w:ind w:left="459"/>
            </w:pPr>
            <w:r w:rsidRPr="00FC3528">
              <w:t xml:space="preserve">  Communication</w:t>
            </w:r>
          </w:p>
          <w:p w:rsidR="00803986" w:rsidRPr="00FC3528" w:rsidRDefault="00803986" w:rsidP="001126E0">
            <w:pPr>
              <w:pStyle w:val="tabletext"/>
              <w:ind w:left="459"/>
            </w:pPr>
            <w:r w:rsidRPr="00FC3528">
              <w:t xml:space="preserve">  Financial</w:t>
            </w:r>
          </w:p>
          <w:p w:rsidR="00803986" w:rsidRPr="00FC3528" w:rsidRDefault="00803986" w:rsidP="001126E0">
            <w:pPr>
              <w:pStyle w:val="tabletext"/>
              <w:ind w:left="459"/>
            </w:pPr>
            <w:r w:rsidRPr="00FC3528">
              <w:t xml:space="preserve">  Business</w:t>
            </w:r>
          </w:p>
          <w:p w:rsidR="00803986" w:rsidRPr="00FC3528" w:rsidRDefault="00803986" w:rsidP="001126E0">
            <w:pPr>
              <w:pStyle w:val="tabletext"/>
              <w:ind w:left="459"/>
            </w:pPr>
            <w:r w:rsidRPr="00FC3528">
              <w:t xml:space="preserve">  Public</w:t>
            </w:r>
          </w:p>
          <w:p w:rsidR="00803986" w:rsidRPr="00FC3528" w:rsidRDefault="00803986" w:rsidP="001126E0">
            <w:pPr>
              <w:pStyle w:val="tabletext"/>
              <w:ind w:left="459"/>
            </w:pPr>
            <w:r w:rsidRPr="00FC3528">
              <w:t xml:space="preserve">  Other</w:t>
            </w:r>
          </w:p>
          <w:p w:rsidR="00803986" w:rsidRPr="00FC3528" w:rsidRDefault="00803986" w:rsidP="001126E0">
            <w:pPr>
              <w:pStyle w:val="tabletext"/>
              <w:ind w:left="459"/>
            </w:pPr>
            <w:r w:rsidRPr="00FC3528">
              <w:t>Ownership of dwellings</w:t>
            </w:r>
          </w:p>
        </w:tc>
        <w:tc>
          <w:tcPr>
            <w:tcW w:w="2552" w:type="dxa"/>
          </w:tcPr>
          <w:p w:rsidR="00803986" w:rsidRPr="00FC3528" w:rsidRDefault="00803986" w:rsidP="00962A3C">
            <w:pPr>
              <w:pStyle w:val="tabletext"/>
              <w:ind w:left="459"/>
              <w:jc w:val="center"/>
            </w:pPr>
            <w:r w:rsidRPr="00FC3528">
              <w:t>-0.3</w:t>
            </w:r>
          </w:p>
          <w:p w:rsidR="00803986" w:rsidRPr="00FC3528" w:rsidRDefault="00803986" w:rsidP="00962A3C">
            <w:pPr>
              <w:pStyle w:val="tabletext"/>
              <w:ind w:left="459"/>
              <w:jc w:val="center"/>
            </w:pPr>
            <w:r w:rsidRPr="00FC3528">
              <w:t>-9.4</w:t>
            </w:r>
          </w:p>
          <w:p w:rsidR="00803986" w:rsidRPr="00FC3528" w:rsidRDefault="00803986" w:rsidP="00962A3C">
            <w:pPr>
              <w:pStyle w:val="tabletext"/>
              <w:ind w:left="459"/>
              <w:jc w:val="center"/>
            </w:pPr>
            <w:r w:rsidRPr="00FC3528">
              <w:t>0.2</w:t>
            </w:r>
          </w:p>
          <w:p w:rsidR="00803986" w:rsidRPr="00FC3528" w:rsidRDefault="00803986" w:rsidP="00962A3C">
            <w:pPr>
              <w:pStyle w:val="tabletext"/>
              <w:ind w:left="459"/>
              <w:jc w:val="center"/>
            </w:pPr>
            <w:r w:rsidRPr="00FC3528">
              <w:t>-1.4</w:t>
            </w:r>
          </w:p>
          <w:p w:rsidR="00803986" w:rsidRPr="00FC3528" w:rsidRDefault="00803986" w:rsidP="00962A3C">
            <w:pPr>
              <w:pStyle w:val="tabletext"/>
              <w:ind w:left="459"/>
              <w:jc w:val="center"/>
            </w:pPr>
            <w:r w:rsidRPr="00FC3528">
              <w:t>21.6</w:t>
            </w:r>
          </w:p>
          <w:p w:rsidR="00803986" w:rsidRPr="00FC3528" w:rsidRDefault="00803986" w:rsidP="00962A3C">
            <w:pPr>
              <w:pStyle w:val="tabletext"/>
              <w:ind w:left="459"/>
              <w:jc w:val="center"/>
            </w:pPr>
            <w:r w:rsidRPr="00FC3528">
              <w:t>-3.2</w:t>
            </w:r>
          </w:p>
          <w:p w:rsidR="00803986" w:rsidRPr="00FC3528" w:rsidRDefault="00803986" w:rsidP="00962A3C">
            <w:pPr>
              <w:pStyle w:val="tabletext"/>
              <w:ind w:left="459"/>
              <w:jc w:val="center"/>
            </w:pPr>
            <w:r w:rsidRPr="00FC3528">
              <w:t>-1.2</w:t>
            </w:r>
          </w:p>
          <w:p w:rsidR="00803986" w:rsidRPr="00FC3528" w:rsidRDefault="00803986" w:rsidP="00962A3C">
            <w:pPr>
              <w:pStyle w:val="tabletext"/>
              <w:ind w:left="459"/>
              <w:jc w:val="center"/>
            </w:pPr>
            <w:r w:rsidRPr="00FC3528">
              <w:t>-0.3</w:t>
            </w:r>
          </w:p>
          <w:p w:rsidR="00803986" w:rsidRPr="00FC3528" w:rsidRDefault="00803986" w:rsidP="00962A3C">
            <w:pPr>
              <w:pStyle w:val="tabletext"/>
              <w:ind w:left="459"/>
              <w:jc w:val="center"/>
            </w:pPr>
            <w:r w:rsidRPr="00FC3528">
              <w:t>-0.2</w:t>
            </w:r>
          </w:p>
          <w:p w:rsidR="00803986" w:rsidRPr="00FC3528" w:rsidRDefault="00803986" w:rsidP="00962A3C">
            <w:pPr>
              <w:pStyle w:val="tabletext"/>
              <w:ind w:left="459"/>
              <w:jc w:val="center"/>
            </w:pPr>
            <w:r w:rsidRPr="00FC3528">
              <w:t>-0.4</w:t>
            </w:r>
          </w:p>
          <w:p w:rsidR="00803986" w:rsidRPr="00FC3528" w:rsidRDefault="00803986" w:rsidP="00962A3C">
            <w:pPr>
              <w:pStyle w:val="tabletext"/>
              <w:ind w:left="459"/>
              <w:jc w:val="center"/>
            </w:pPr>
            <w:r w:rsidRPr="00FC3528">
              <w:t>-0.1</w:t>
            </w:r>
          </w:p>
          <w:p w:rsidR="00803986" w:rsidRPr="00FC3528" w:rsidRDefault="00803986" w:rsidP="00962A3C">
            <w:pPr>
              <w:pStyle w:val="tabletext"/>
              <w:ind w:left="459"/>
              <w:jc w:val="center"/>
            </w:pPr>
            <w:r w:rsidRPr="00FC3528">
              <w:t>-0.2</w:t>
            </w:r>
          </w:p>
          <w:p w:rsidR="00803986" w:rsidRPr="00FC3528" w:rsidRDefault="00803986" w:rsidP="00962A3C">
            <w:pPr>
              <w:pStyle w:val="tabletext"/>
              <w:ind w:left="459"/>
              <w:jc w:val="center"/>
            </w:pPr>
            <w:r w:rsidRPr="00FC3528">
              <w:t>0.2</w:t>
            </w:r>
          </w:p>
          <w:p w:rsidR="00803986" w:rsidRPr="00FC3528" w:rsidRDefault="00803986" w:rsidP="00962A3C">
            <w:pPr>
              <w:pStyle w:val="tabletext"/>
              <w:ind w:left="459"/>
              <w:jc w:val="center"/>
            </w:pPr>
            <w:r w:rsidRPr="00FC3528">
              <w:t>-0.1</w:t>
            </w:r>
          </w:p>
          <w:p w:rsidR="00803986" w:rsidRPr="00FC3528" w:rsidRDefault="00803986" w:rsidP="00962A3C">
            <w:pPr>
              <w:pStyle w:val="tabletext"/>
              <w:ind w:left="459"/>
              <w:jc w:val="center"/>
            </w:pPr>
            <w:r w:rsidRPr="00FC3528">
              <w:t>-0.1</w:t>
            </w:r>
          </w:p>
          <w:p w:rsidR="00803986" w:rsidRPr="00FC3528" w:rsidRDefault="00803986" w:rsidP="00962A3C">
            <w:pPr>
              <w:pStyle w:val="tabletext"/>
              <w:ind w:left="459"/>
              <w:jc w:val="center"/>
            </w:pPr>
            <w:r w:rsidRPr="00FC3528">
              <w:t>-0.2</w:t>
            </w:r>
          </w:p>
          <w:p w:rsidR="00803986" w:rsidRPr="00FC3528" w:rsidRDefault="00803986" w:rsidP="00962A3C">
            <w:pPr>
              <w:pStyle w:val="tabletext"/>
              <w:ind w:left="459"/>
              <w:jc w:val="center"/>
            </w:pPr>
            <w:r w:rsidRPr="00FC3528">
              <w:t>-0.3</w:t>
            </w:r>
          </w:p>
          <w:p w:rsidR="00803986" w:rsidRPr="00FC3528" w:rsidRDefault="00803986" w:rsidP="00962A3C">
            <w:pPr>
              <w:pStyle w:val="tabletext"/>
              <w:ind w:left="459"/>
              <w:jc w:val="center"/>
            </w:pPr>
            <w:r w:rsidRPr="00FC3528">
              <w:t>-0.2</w:t>
            </w:r>
          </w:p>
          <w:p w:rsidR="00803986" w:rsidRPr="00FC3528" w:rsidRDefault="00803986" w:rsidP="00962A3C">
            <w:pPr>
              <w:pStyle w:val="tabletext"/>
              <w:ind w:left="459"/>
              <w:jc w:val="center"/>
            </w:pPr>
            <w:r w:rsidRPr="00FC3528">
              <w:t>-0.2</w:t>
            </w:r>
          </w:p>
          <w:p w:rsidR="00803986" w:rsidRPr="00FC3528" w:rsidRDefault="00803986" w:rsidP="00962A3C">
            <w:pPr>
              <w:pStyle w:val="tabletext"/>
              <w:ind w:left="459"/>
              <w:jc w:val="center"/>
            </w:pPr>
            <w:r w:rsidRPr="00FC3528">
              <w:t>0.0</w:t>
            </w:r>
          </w:p>
          <w:p w:rsidR="00803986" w:rsidRPr="00FC3528" w:rsidRDefault="00803986" w:rsidP="00962A3C">
            <w:pPr>
              <w:pStyle w:val="tabletext"/>
              <w:ind w:left="459"/>
              <w:jc w:val="center"/>
            </w:pPr>
            <w:r w:rsidRPr="00FC3528">
              <w:t>-0.4</w:t>
            </w:r>
          </w:p>
          <w:p w:rsidR="00803986" w:rsidRPr="00FC3528" w:rsidRDefault="00803986" w:rsidP="00962A3C">
            <w:pPr>
              <w:pStyle w:val="tabletext"/>
              <w:ind w:left="459"/>
              <w:jc w:val="center"/>
            </w:pPr>
            <w:r w:rsidRPr="00FC3528">
              <w:t>-0.1</w:t>
            </w:r>
          </w:p>
        </w:tc>
      </w:tr>
    </w:tbl>
    <w:p w:rsidR="00803986" w:rsidRPr="001126E0" w:rsidRDefault="00803986" w:rsidP="00803986">
      <w:pPr>
        <w:pStyle w:val="base-text-paragraph"/>
        <w:numPr>
          <w:ilvl w:val="0"/>
          <w:numId w:val="0"/>
        </w:numPr>
        <w:ind w:left="1134"/>
        <w:rPr>
          <w:sz w:val="18"/>
          <w:szCs w:val="18"/>
        </w:rPr>
      </w:pPr>
      <w:r w:rsidRPr="001126E0">
        <w:rPr>
          <w:sz w:val="18"/>
          <w:szCs w:val="18"/>
        </w:rPr>
        <w:t xml:space="preserve">Note: </w:t>
      </w:r>
      <w:r w:rsidRPr="001126E0">
        <w:rPr>
          <w:b/>
          <w:sz w:val="18"/>
          <w:szCs w:val="18"/>
        </w:rPr>
        <w:t>a</w:t>
      </w:r>
      <w:r w:rsidR="00D5237C" w:rsidRPr="001126E0">
        <w:rPr>
          <w:sz w:val="18"/>
          <w:szCs w:val="18"/>
        </w:rPr>
        <w:t xml:space="preserve">. </w:t>
      </w:r>
      <w:r w:rsidRPr="001126E0">
        <w:rPr>
          <w:sz w:val="18"/>
          <w:szCs w:val="18"/>
        </w:rPr>
        <w:t>Modelled estimates include the impact of industry and household assistance measures</w:t>
      </w:r>
      <w:r w:rsidR="00D5237C" w:rsidRPr="001126E0">
        <w:rPr>
          <w:sz w:val="18"/>
          <w:szCs w:val="18"/>
        </w:rPr>
        <w:t xml:space="preserve">.  </w:t>
      </w:r>
      <w:r w:rsidRPr="001126E0">
        <w:rPr>
          <w:i/>
          <w:sz w:val="18"/>
          <w:szCs w:val="18"/>
        </w:rPr>
        <w:t>Source: Strong growth, low pollution: modelling a carbon price – update</w:t>
      </w:r>
      <w:r w:rsidRPr="001126E0">
        <w:rPr>
          <w:sz w:val="18"/>
          <w:szCs w:val="18"/>
        </w:rPr>
        <w:t>, p</w:t>
      </w:r>
      <w:r w:rsidR="00D5237C" w:rsidRPr="001126E0">
        <w:rPr>
          <w:sz w:val="18"/>
          <w:szCs w:val="18"/>
        </w:rPr>
        <w:t xml:space="preserve">. </w:t>
      </w:r>
      <w:r w:rsidRPr="001126E0">
        <w:rPr>
          <w:sz w:val="18"/>
          <w:szCs w:val="18"/>
        </w:rPr>
        <w:t>8</w:t>
      </w:r>
    </w:p>
    <w:p w:rsidR="00803986" w:rsidRDefault="00803986" w:rsidP="00803986">
      <w:pPr>
        <w:pStyle w:val="Heading4"/>
      </w:pPr>
      <w:r>
        <w:t>Investment in emissions reduction</w:t>
      </w:r>
    </w:p>
    <w:p w:rsidR="00803986" w:rsidRDefault="00803986" w:rsidP="00803986">
      <w:pPr>
        <w:pStyle w:val="base-text-paragraph"/>
        <w:numPr>
          <w:ilvl w:val="0"/>
          <w:numId w:val="0"/>
        </w:numPr>
        <w:ind w:left="1134"/>
      </w:pPr>
      <w:r>
        <w:t>Some businesses may incur costs following the repeal of the carbon tax where they have made investments in clean technology solely on the basis of avoiding emissions liabilities</w:t>
      </w:r>
      <w:r w:rsidR="00D5237C">
        <w:t xml:space="preserve">.  </w:t>
      </w:r>
      <w:r>
        <w:t>In most cases, such investments are likely to have associated benefits, such as lower energy usage or lower waste disposal costs, as was intended</w:t>
      </w:r>
      <w:r w:rsidR="00D5237C">
        <w:t xml:space="preserve">.  </w:t>
      </w:r>
      <w:r>
        <w:t>These benefits will be ongoing</w:t>
      </w:r>
      <w:r w:rsidR="00D5237C">
        <w:t xml:space="preserve">.  </w:t>
      </w:r>
      <w:r w:rsidR="00962A3C">
        <w:t>In </w:t>
      </w:r>
      <w:r>
        <w:t>such cases, the repeal of the carbon tax is likely to extend the payback period or reduce the internal rate of return</w:t>
      </w:r>
      <w:r w:rsidR="00D5237C">
        <w:t xml:space="preserve">.  </w:t>
      </w:r>
      <w:r>
        <w:t>The risks associated with stranded investments or sunk costs were not raised as significant issues in stakeholder consultation.</w:t>
      </w:r>
    </w:p>
    <w:p w:rsidR="00803986" w:rsidRDefault="00803986" w:rsidP="00060F32">
      <w:pPr>
        <w:pStyle w:val="Heading4"/>
      </w:pPr>
      <w:r>
        <w:t>Carbon price pass-through</w:t>
      </w:r>
    </w:p>
    <w:p w:rsidR="00803986" w:rsidRDefault="00803986" w:rsidP="00060F32">
      <w:pPr>
        <w:pStyle w:val="base-text-paragraph"/>
        <w:numPr>
          <w:ilvl w:val="0"/>
          <w:numId w:val="0"/>
        </w:numPr>
        <w:ind w:left="1134"/>
      </w:pPr>
      <w:r>
        <w:t>The extent to which the carbon tax has been absorbed by businesses or has been passed on to consumers depends on the nature and structure of each market, including relative demand and supply elasticities, and the type of competition in the market.</w:t>
      </w:r>
    </w:p>
    <w:p w:rsidR="00803986" w:rsidRDefault="00803986" w:rsidP="00060F32">
      <w:pPr>
        <w:pStyle w:val="base-text-paragraph"/>
        <w:numPr>
          <w:ilvl w:val="0"/>
          <w:numId w:val="0"/>
        </w:numPr>
        <w:ind w:left="1134"/>
      </w:pPr>
      <w:r>
        <w:t>In some cases, it is likely that the carbon price would have been passed through in full (for example, in the case of synthetic greenhouse gases where a carbon-tax equivalent levy or excise was imposed).</w:t>
      </w:r>
    </w:p>
    <w:p w:rsidR="00803986" w:rsidRDefault="00803986" w:rsidP="00060F32">
      <w:pPr>
        <w:pStyle w:val="base-text-paragraph"/>
        <w:numPr>
          <w:ilvl w:val="0"/>
          <w:numId w:val="0"/>
        </w:numPr>
        <w:ind w:left="1134"/>
      </w:pPr>
      <w:r>
        <w:t xml:space="preserve">The range and complexity of sector specific factors, including commercial and contractual arrangements </w:t>
      </w:r>
      <w:r w:rsidR="00903443">
        <w:t xml:space="preserve">and the specific features at each point in any given supply chain </w:t>
      </w:r>
      <w:r>
        <w:t>mean it is not possible to say with certainty what proportion of the carbon price may have been passed through or was absorbed in any given sector</w:t>
      </w:r>
      <w:r w:rsidR="00D5237C">
        <w:t xml:space="preserve">.  </w:t>
      </w:r>
      <w:r>
        <w:t>In addition, other changes in the production cost base and general inflationary impacts since the carbon tax was introduced mean that at this stage any specific price changes that could occur are difficult to quantify</w:t>
      </w:r>
      <w:r w:rsidR="00D5237C">
        <w:t xml:space="preserve">.  </w:t>
      </w:r>
      <w:r>
        <w:t>However, as noted above, likely price changes in energy markets are more easily quantified.</w:t>
      </w:r>
    </w:p>
    <w:p w:rsidR="00903443" w:rsidRDefault="00903443" w:rsidP="00060F32">
      <w:pPr>
        <w:pStyle w:val="base-text-paragraph"/>
        <w:numPr>
          <w:ilvl w:val="0"/>
          <w:numId w:val="0"/>
        </w:numPr>
        <w:ind w:left="1134"/>
      </w:pPr>
      <w:r w:rsidRPr="00903443">
        <w:t>As such, while price reductions are expected, they may not be entirely symmetrical to price increases that occurred after the carbon tax was introduced and may not be uniform across sectors of the economy</w:t>
      </w:r>
      <w:r w:rsidR="00D5237C">
        <w:t xml:space="preserve">.  </w:t>
      </w:r>
      <w:r w:rsidR="00474FF7" w:rsidRPr="008F0022">
        <w:t>We note that the Australian Government has not collected detailed sectoral or industry-level data on price movements that specifically measure the impact of introducing the carbon tax.</w:t>
      </w:r>
    </w:p>
    <w:p w:rsidR="00803986" w:rsidRDefault="00060F32" w:rsidP="00060F32">
      <w:pPr>
        <w:pStyle w:val="Heading4"/>
      </w:pPr>
      <w:r>
        <w:t>T</w:t>
      </w:r>
      <w:r w:rsidR="00803986">
        <w:t xml:space="preserve">he ACCC’s new monitoring and enforcement powers </w:t>
      </w:r>
    </w:p>
    <w:p w:rsidR="00803986" w:rsidRDefault="00803986" w:rsidP="00060F32">
      <w:pPr>
        <w:pStyle w:val="base-text-paragraph"/>
        <w:numPr>
          <w:ilvl w:val="0"/>
          <w:numId w:val="0"/>
        </w:numPr>
        <w:ind w:left="1134"/>
      </w:pPr>
      <w:r>
        <w:t>To address potential pricing concerns, the ACCC will be provided new time-limited powers in relation to price monitoring and enforcement of carbon-specific prohibitions on price exploitation and false or misleading representations.</w:t>
      </w:r>
    </w:p>
    <w:p w:rsidR="00803986" w:rsidRDefault="00803986" w:rsidP="00060F32">
      <w:pPr>
        <w:pStyle w:val="base-text-paragraph"/>
        <w:numPr>
          <w:ilvl w:val="0"/>
          <w:numId w:val="0"/>
        </w:numPr>
        <w:ind w:left="1134"/>
      </w:pPr>
      <w:r>
        <w:t>Under its price monitoring role, the ACCC may be able to monitor the prices of regulated goods such as natural gas, electricity, synthetic greenhouse gas (SGG) and SGG equipment, goods supplied by entities that have an entry in the Liable Entities Public Information Database, and any other goods designated by regulation</w:t>
      </w:r>
      <w:r w:rsidR="00D5237C">
        <w:t xml:space="preserve">.  </w:t>
      </w:r>
    </w:p>
    <w:p w:rsidR="00803986" w:rsidRDefault="00803986" w:rsidP="00060F32">
      <w:pPr>
        <w:pStyle w:val="base-text-paragraph"/>
        <w:numPr>
          <w:ilvl w:val="0"/>
          <w:numId w:val="0"/>
        </w:numPr>
        <w:ind w:left="1134"/>
      </w:pPr>
      <w:r>
        <w:t>The ACCC will be provided with information-gathering powers allowing it to compel certain businesses to provide relevant pricing information with respect to certain key goods relating to the carbon tax repeal.</w:t>
      </w:r>
    </w:p>
    <w:p w:rsidR="00803986" w:rsidRDefault="00803986" w:rsidP="00060F32">
      <w:pPr>
        <w:pStyle w:val="base-text-paragraph"/>
        <w:numPr>
          <w:ilvl w:val="0"/>
          <w:numId w:val="0"/>
        </w:numPr>
        <w:ind w:left="1134"/>
      </w:pPr>
      <w:r>
        <w:t>The direct costs of complying with the ACCC’s price monitoring requirements cannot be easily quantified as the ACCC has the discretion to determine which businesses will be subject to price monitoring and how it will monitor</w:t>
      </w:r>
      <w:r w:rsidR="00D5237C">
        <w:t xml:space="preserve">.  </w:t>
      </w:r>
      <w:r w:rsidR="00903443">
        <w:t>T</w:t>
      </w:r>
      <w:r>
        <w:t>he vast majority of businesses in the economy will not be affected by price monitoring at all.</w:t>
      </w:r>
    </w:p>
    <w:p w:rsidR="00803986" w:rsidRDefault="00803986" w:rsidP="00060F32">
      <w:pPr>
        <w:pStyle w:val="base-text-paragraph"/>
        <w:numPr>
          <w:ilvl w:val="0"/>
          <w:numId w:val="0"/>
        </w:numPr>
        <w:ind w:left="1134"/>
      </w:pPr>
      <w:r>
        <w:t>For those affected businesses, there will be some administrative and compliance costs incurred, however these requirements should not be overly onerous or expensive as businesses would already have detailed pricing information available</w:t>
      </w:r>
      <w:r w:rsidR="00D5237C">
        <w:t xml:space="preserve">.  </w:t>
      </w:r>
      <w:r>
        <w:t>In addition, these compliance costs would not be ongoing and be limited to the duration of the ACCC’s new powers (for example, for a six month period prior to the repeal, and for one year afterwards)</w:t>
      </w:r>
      <w:r w:rsidR="00D5237C">
        <w:t xml:space="preserve">.  </w:t>
      </w:r>
    </w:p>
    <w:p w:rsidR="00903443" w:rsidRDefault="00903443" w:rsidP="00060F32">
      <w:pPr>
        <w:pStyle w:val="base-text-paragraph"/>
        <w:numPr>
          <w:ilvl w:val="0"/>
          <w:numId w:val="0"/>
        </w:numPr>
        <w:ind w:left="1134"/>
      </w:pPr>
      <w:r w:rsidRPr="00903443">
        <w:t>Where the ACCC cannot otherwise access public information, it may request primary information</w:t>
      </w:r>
      <w:r w:rsidR="00D5237C">
        <w:t xml:space="preserve">.  </w:t>
      </w:r>
      <w:r w:rsidRPr="00903443">
        <w:t>To comply with a monitoring request a business will need to provide copies of the current prices it is offering in the market</w:t>
      </w:r>
      <w:r w:rsidR="00D5237C">
        <w:t xml:space="preserve">.  </w:t>
      </w:r>
      <w:r w:rsidRPr="00903443">
        <w:t>If the request is made after the carbon tax repeal, the business may also need to explain how the carbon tax repeal has affected their input costs and how that has been reflected in its current prices</w:t>
      </w:r>
      <w:r w:rsidR="00D5237C">
        <w:t xml:space="preserve">.  </w:t>
      </w:r>
      <w:r w:rsidRPr="00903443">
        <w:t>Current price offerings will need to be compiled by the business but are not likely to require detailed searches</w:t>
      </w:r>
      <w:r w:rsidR="00D5237C">
        <w:t xml:space="preserve">.  </w:t>
      </w:r>
      <w:r w:rsidRPr="00903443">
        <w:t>For example, in the energy sector, similar information is already provided to the Energy Made Easy comparator website</w:t>
      </w:r>
      <w:r w:rsidR="00D5237C">
        <w:t xml:space="preserve">.  </w:t>
      </w:r>
      <w:r w:rsidRPr="00903443">
        <w:t>Input costs, including the carbon tax, will already be known to the business in its price setting.</w:t>
      </w:r>
    </w:p>
    <w:p w:rsidR="00803986" w:rsidRDefault="00803986" w:rsidP="00060F32">
      <w:pPr>
        <w:pStyle w:val="base-text-paragraph"/>
        <w:numPr>
          <w:ilvl w:val="0"/>
          <w:numId w:val="0"/>
        </w:numPr>
        <w:ind w:left="1134"/>
      </w:pPr>
      <w:r>
        <w:t>The ACCC will take a targeted approach to the use of its new powers</w:t>
      </w:r>
      <w:r w:rsidR="00D5237C">
        <w:t xml:space="preserve">.  </w:t>
      </w:r>
      <w:r>
        <w:t>It is likely to monitor around 500 businesses, including liable entities, plus energy retailers and synthetic greenhouse gas importers and wholesalers</w:t>
      </w:r>
      <w:r w:rsidR="00D5237C">
        <w:t xml:space="preserve">.  </w:t>
      </w:r>
      <w:r>
        <w:t>As a preliminary estimate, the estimated total compliance cost for 500 businesses is $2,320,000 per year, with an average ongoing compliance cost of $4,640 per business</w:t>
      </w:r>
      <w:r w:rsidR="00D5237C">
        <w:t xml:space="preserve">.  </w:t>
      </w:r>
      <w:r>
        <w:t xml:space="preserve"> As noted above, these compliance costs will ultimately depend on the number of businesses monitored by the ACCC and the individual costs for each business to respond to these requirements</w:t>
      </w:r>
      <w:r w:rsidR="00D5237C">
        <w:t xml:space="preserve">.  </w:t>
      </w:r>
    </w:p>
    <w:p w:rsidR="00803986" w:rsidRDefault="00803986" w:rsidP="00060F32">
      <w:pPr>
        <w:pStyle w:val="base-text-paragraph"/>
        <w:numPr>
          <w:ilvl w:val="0"/>
          <w:numId w:val="0"/>
        </w:numPr>
        <w:ind w:left="1134"/>
      </w:pPr>
      <w:r>
        <w:t>The ACCC was given a similar price monitoring role for a period of three years following the introduction of the New Tax System (NTS).</w:t>
      </w:r>
    </w:p>
    <w:p w:rsidR="00803986" w:rsidRDefault="00803986" w:rsidP="00060F32">
      <w:pPr>
        <w:pStyle w:val="base-text-paragraph"/>
        <w:numPr>
          <w:ilvl w:val="0"/>
          <w:numId w:val="0"/>
        </w:numPr>
        <w:ind w:left="1134"/>
      </w:pPr>
      <w:r>
        <w:t>Submissions by business focussing on ACCC issues suggest they are conscious of the need to pass through cost savings</w:t>
      </w:r>
      <w:r w:rsidR="00D5237C">
        <w:t xml:space="preserve">.  </w:t>
      </w:r>
      <w:r>
        <w:t>However some submissions claim there may be practical difficulties in immediately passing on savings in some sectors due to sectoral and structural complexities (such as the treatment of intermediate inputs).</w:t>
      </w:r>
    </w:p>
    <w:p w:rsidR="00803986" w:rsidRDefault="00803986" w:rsidP="00060F32">
      <w:pPr>
        <w:pStyle w:val="Heading4"/>
      </w:pPr>
      <w:r>
        <w:t>Carbon tax compliance costs</w:t>
      </w:r>
    </w:p>
    <w:p w:rsidR="00803986" w:rsidRDefault="00803986" w:rsidP="00060F32">
      <w:pPr>
        <w:pStyle w:val="base-text-paragraph"/>
        <w:numPr>
          <w:ilvl w:val="0"/>
          <w:numId w:val="0"/>
        </w:numPr>
        <w:ind w:left="1134"/>
      </w:pPr>
      <w:r>
        <w:t>The removal of the carbon tax is expected to reduce annual ongoing compliance costs for liable entities by $</w:t>
      </w:r>
      <w:r w:rsidR="00474FF7">
        <w:t>85.3</w:t>
      </w:r>
      <w:r>
        <w:t xml:space="preserve"> million per </w:t>
      </w:r>
      <w:r w:rsidR="00B72EDB" w:rsidRPr="00B72EDB">
        <w:t>annum</w:t>
      </w:r>
      <w:r w:rsidR="00B72EDB" w:rsidRPr="00B72EDB">
        <w:rPr>
          <w:vertAlign w:val="superscript"/>
        </w:rPr>
        <w:footnoteReference w:id="3"/>
      </w:r>
      <w:r w:rsidR="00D5237C">
        <w:t xml:space="preserve">.  </w:t>
      </w:r>
      <w:r w:rsidR="00962A3C">
        <w:t>The </w:t>
      </w:r>
      <w:r>
        <w:t>avoided costs fall into two categories: administrative costs (including remaining abreast of changes in carbon pricing legislation, meeting recording and reporting obligations, negotiating contracts for carbon price pass-through, and discharging emissions liabilities) and substantive costs (emissions verification costs for large emitters).</w:t>
      </w:r>
    </w:p>
    <w:p w:rsidR="00803986" w:rsidRDefault="00803986" w:rsidP="00060F32">
      <w:pPr>
        <w:pStyle w:val="base-text-paragraph"/>
        <w:numPr>
          <w:ilvl w:val="0"/>
          <w:numId w:val="0"/>
        </w:numPr>
        <w:ind w:left="1134"/>
      </w:pPr>
      <w:r>
        <w:t>All liable entities will no longer face the administrative costs associated with emissions monitoring, reporting, unit acquisition and surrendering obligations under the carbon tax</w:t>
      </w:r>
      <w:r w:rsidR="00D5237C">
        <w:t xml:space="preserve">.  </w:t>
      </w:r>
      <w:r>
        <w:t>These costs are estimated at $67.1 million per annum and are in addition to those imposed on entities under separate reporting obligations under the National Greenhouse and Energy Reporting Scheme</w:t>
      </w:r>
      <w:r w:rsidR="00D5237C">
        <w:t xml:space="preserve">.  </w:t>
      </w:r>
      <w:r>
        <w:t>This estimate is based on feedback from liable entities that the introduction of the CPM has required the equivalent of one additional F.T.E</w:t>
      </w:r>
      <w:r w:rsidR="00D5237C">
        <w:t xml:space="preserve">.  </w:t>
      </w:r>
      <w:r>
        <w:t xml:space="preserve">position to monitor, record and report emissions, to understand, and keep abreast of changes in, the legislation, and to acquit </w:t>
      </w:r>
      <w:r w:rsidR="002E6F1F" w:rsidRPr="002E6F1F">
        <w:t>emissions liabilities</w:t>
      </w:r>
      <w:r w:rsidR="002E6F1F" w:rsidRPr="002E6F1F">
        <w:rPr>
          <w:vertAlign w:val="superscript"/>
        </w:rPr>
        <w:footnoteReference w:id="4"/>
      </w:r>
      <w:r w:rsidR="00D5237C">
        <w:t xml:space="preserve">.  </w:t>
      </w:r>
      <w:r>
        <w:t xml:space="preserve">A labour rate of 1.7 times average </w:t>
      </w:r>
      <w:r w:rsidR="002E6F1F" w:rsidRPr="002E6F1F">
        <w:t>earnings</w:t>
      </w:r>
      <w:r w:rsidR="002E6F1F" w:rsidRPr="002E6F1F">
        <w:rPr>
          <w:vertAlign w:val="superscript"/>
        </w:rPr>
        <w:footnoteReference w:id="5"/>
      </w:r>
      <w:r>
        <w:t>was adopted reflecting the higher than average skills of those entrusted with these tasks (generally accounting, legal or engineering professionals), and the higher level of management oversight compared with the oversight given to emissions reporting when there were no associated financial liabilities</w:t>
      </w:r>
      <w:r w:rsidR="00D5237C">
        <w:t xml:space="preserve">.  </w:t>
      </w:r>
      <w:r>
        <w:t>(The ongoing administrative cost of separate reporting obligations under NGER legislation is estimated at between 0.5 and 0.75 F.T.E</w:t>
      </w:r>
      <w:r w:rsidR="00D5237C">
        <w:t xml:space="preserve">.  </w:t>
      </w:r>
      <w:r>
        <w:t>per reporting entity.)</w:t>
      </w:r>
    </w:p>
    <w:p w:rsidR="00803986" w:rsidRDefault="00803986" w:rsidP="00060F32">
      <w:pPr>
        <w:pStyle w:val="base-text-paragraph"/>
        <w:numPr>
          <w:ilvl w:val="0"/>
          <w:numId w:val="0"/>
        </w:numPr>
        <w:ind w:left="1134"/>
      </w:pPr>
      <w:r>
        <w:t>These estimates do not include the additional costs businesses may have incurred in managing permit obligations (for example purchasing, banking or selling) when the carbon tax moved to a flexible pricing period in 2015.</w:t>
      </w:r>
    </w:p>
    <w:p w:rsidR="00803986" w:rsidRDefault="00803986" w:rsidP="00060F32">
      <w:pPr>
        <w:pStyle w:val="base-text-paragraph"/>
        <w:numPr>
          <w:ilvl w:val="0"/>
          <w:numId w:val="0"/>
        </w:numPr>
        <w:ind w:left="1134"/>
      </w:pPr>
      <w:r>
        <w:t xml:space="preserve">These estimates were made public through the consultation process, but no substantive comments were received through formal submissions or in meetings </w:t>
      </w:r>
      <w:r w:rsidR="00474FF7">
        <w:t>with stakeholders</w:t>
      </w:r>
      <w:r>
        <w:t>.</w:t>
      </w:r>
    </w:p>
    <w:p w:rsidR="00803986" w:rsidRDefault="00803986" w:rsidP="00060F32">
      <w:pPr>
        <w:pStyle w:val="base-text-paragraph"/>
        <w:numPr>
          <w:ilvl w:val="0"/>
          <w:numId w:val="0"/>
        </w:numPr>
        <w:ind w:left="1134"/>
      </w:pPr>
      <w:r>
        <w:t>Approximately 154 large liable entities will also avoid the substantive costs associated with verifying their total emissions</w:t>
      </w:r>
      <w:r w:rsidR="00D5237C">
        <w:t xml:space="preserve">.  </w:t>
      </w:r>
      <w:r>
        <w:t>(Verification costs currently apply to entities with more than 125,000 tonnes carbon dioxide equivalent (CO</w:t>
      </w:r>
      <w:r w:rsidRPr="00B72EDB">
        <w:rPr>
          <w:vertAlign w:val="subscript"/>
        </w:rPr>
        <w:t>2</w:t>
      </w:r>
      <w:r>
        <w:t>-e) emissions per year.) The average avoided cost of emissions verification audits for large emitters is estimated at approximately $133,000 per entity per annum (an ongoing reduction in compliance costs of around $20.5 million per annum).</w:t>
      </w:r>
    </w:p>
    <w:p w:rsidR="00803986" w:rsidRDefault="00803986" w:rsidP="00803986">
      <w:pPr>
        <w:pStyle w:val="base-text-paragraph"/>
        <w:numPr>
          <w:ilvl w:val="0"/>
          <w:numId w:val="0"/>
        </w:numPr>
        <w:ind w:left="1134"/>
      </w:pPr>
      <w:r>
        <w:t xml:space="preserve">These estimates were also made public through the consultation process, but no substantive comments were received through formal submissions or in meetings </w:t>
      </w:r>
      <w:r w:rsidR="00474FF7">
        <w:t>with stakeholders</w:t>
      </w:r>
      <w:r>
        <w:t>.</w:t>
      </w:r>
    </w:p>
    <w:p w:rsidR="00B3000A" w:rsidRDefault="00B3000A">
      <w:pPr>
        <w:spacing w:before="0" w:after="0"/>
        <w:rPr>
          <w:b/>
        </w:rPr>
      </w:pPr>
      <w:r>
        <w:br w:type="page"/>
      </w:r>
    </w:p>
    <w:p w:rsidR="00803986" w:rsidRDefault="00330CB0" w:rsidP="00330CB0">
      <w:pPr>
        <w:pStyle w:val="TableHeadingoutsidetable"/>
        <w:numPr>
          <w:ilvl w:val="0"/>
          <w:numId w:val="0"/>
        </w:numPr>
        <w:ind w:left="1134"/>
      </w:pPr>
      <w:r>
        <w:t>Table 8.2</w:t>
      </w:r>
      <w:r>
        <w:tab/>
      </w:r>
      <w:r w:rsidR="00060F32" w:rsidRPr="00060F32">
        <w:t>Compliance Cost and Offset (CCO) Estimate Table</w:t>
      </w:r>
      <w:r w:rsidR="00060F32" w:rsidRPr="00060F32">
        <w:rPr>
          <w:vertAlign w:val="superscript"/>
        </w:rPr>
        <w:footnoteReference w:id="6"/>
      </w:r>
    </w:p>
    <w:tbl>
      <w:tblPr>
        <w:tblW w:w="6684" w:type="dxa"/>
        <w:tblInd w:w="1242" w:type="dxa"/>
        <w:tblCellMar>
          <w:left w:w="0" w:type="dxa"/>
          <w:right w:w="0" w:type="dxa"/>
        </w:tblCellMar>
        <w:tblLook w:val="04A0" w:firstRow="1" w:lastRow="0" w:firstColumn="1" w:lastColumn="0" w:noHBand="0" w:noVBand="1"/>
      </w:tblPr>
      <w:tblGrid>
        <w:gridCol w:w="1701"/>
        <w:gridCol w:w="1276"/>
        <w:gridCol w:w="1287"/>
        <w:gridCol w:w="1268"/>
        <w:gridCol w:w="1152"/>
      </w:tblGrid>
      <w:tr w:rsidR="00060F32" w:rsidRPr="009446F0" w:rsidTr="002E6F1F">
        <w:trPr>
          <w:trHeight w:val="300"/>
        </w:trPr>
        <w:tc>
          <w:tcPr>
            <w:tcW w:w="6684" w:type="dxa"/>
            <w:gridSpan w:val="5"/>
            <w:tcBorders>
              <w:top w:val="single" w:sz="8" w:space="0" w:color="auto"/>
              <w:left w:val="single" w:sz="8" w:space="0" w:color="auto"/>
              <w:bottom w:val="single" w:sz="4"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F32" w:rsidRPr="00060F32" w:rsidRDefault="00060F32" w:rsidP="00060F32">
            <w:pPr>
              <w:pStyle w:val="tabletext"/>
              <w:rPr>
                <w:b/>
                <w:i/>
              </w:rPr>
            </w:pPr>
            <w:r w:rsidRPr="00060F32">
              <w:rPr>
                <w:b/>
                <w:i/>
              </w:rPr>
              <w:t>Average Annual Compliance Costs (from Business as usual)</w:t>
            </w:r>
          </w:p>
        </w:tc>
      </w:tr>
      <w:tr w:rsidR="00060F32"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474FF7">
            <w:pPr>
              <w:pStyle w:val="tabletext"/>
              <w:rPr>
                <w:b/>
              </w:rPr>
            </w:pPr>
            <w:r w:rsidRPr="00B72EDB">
              <w:rPr>
                <w:b/>
              </w:rPr>
              <w:t>Sector/Cost Categories</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474FF7">
            <w:pPr>
              <w:pStyle w:val="tabletext"/>
              <w:rPr>
                <w:b/>
              </w:rPr>
            </w:pPr>
            <w:r w:rsidRPr="00B72EDB">
              <w:rPr>
                <w:b/>
              </w:rPr>
              <w:t>Business</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474FF7">
            <w:pPr>
              <w:pStyle w:val="tabletext"/>
              <w:rPr>
                <w:b/>
              </w:rPr>
            </w:pPr>
            <w:r w:rsidRPr="00B72EDB">
              <w:rPr>
                <w:b/>
              </w:rPr>
              <w:t>Not-for-profit</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474FF7">
            <w:pPr>
              <w:pStyle w:val="tabletext"/>
              <w:rPr>
                <w:b/>
              </w:rPr>
            </w:pPr>
            <w:r w:rsidRPr="00B72EDB">
              <w:rPr>
                <w:b/>
              </w:rPr>
              <w:t>Individuals</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474FF7">
            <w:pPr>
              <w:pStyle w:val="tabletext"/>
              <w:rPr>
                <w:b/>
              </w:rPr>
            </w:pPr>
            <w:r w:rsidRPr="00B72EDB">
              <w:rPr>
                <w:b/>
              </w:rPr>
              <w:t>Total by cost category</w:t>
            </w:r>
          </w:p>
        </w:tc>
      </w:tr>
      <w:tr w:rsidR="00060F32"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474FF7">
            <w:pPr>
              <w:pStyle w:val="tabletext"/>
            </w:pPr>
            <w:r w:rsidRPr="009446F0">
              <w:t>Administrative Costs</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t>-$67.1m</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rsidRPr="009446F0">
              <w:t>$</w:t>
            </w:r>
            <w:r>
              <w:t>-</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rsidRPr="009446F0">
              <w:t>$</w:t>
            </w:r>
            <w:r>
              <w:t>-</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t>-$67.1m</w:t>
            </w:r>
          </w:p>
        </w:tc>
      </w:tr>
      <w:tr w:rsidR="00060F32"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474FF7">
            <w:pPr>
              <w:pStyle w:val="tabletext"/>
            </w:pPr>
            <w:r w:rsidRPr="009446F0">
              <w:t>Substantive Compliance Costs</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t>-</w:t>
            </w:r>
            <w:r w:rsidRPr="009446F0">
              <w:t>$</w:t>
            </w:r>
            <w:r>
              <w:t>20.5m</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rsidRPr="009446F0">
              <w:t>$</w:t>
            </w:r>
            <w:r>
              <w:t>-</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rsidRPr="009446F0">
              <w:t>$</w:t>
            </w:r>
            <w:r>
              <w:t>-</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t>-$20.5m</w:t>
            </w:r>
          </w:p>
        </w:tc>
      </w:tr>
      <w:tr w:rsidR="00060F32"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474FF7">
            <w:pPr>
              <w:pStyle w:val="tabletext"/>
            </w:pPr>
            <w:r w:rsidRPr="009446F0">
              <w:t>Delay Costs</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rsidRPr="009446F0">
              <w:t>$</w:t>
            </w:r>
            <w:r>
              <w:t>-</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rsidRPr="009446F0">
              <w:t>$</w:t>
            </w:r>
            <w:r>
              <w:t>-</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rsidRPr="009446F0">
              <w:t>$</w:t>
            </w:r>
            <w:r>
              <w:t>-</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rsidRPr="009446F0">
              <w:t>$</w:t>
            </w:r>
            <w:r>
              <w:t>-</w:t>
            </w:r>
          </w:p>
        </w:tc>
      </w:tr>
      <w:tr w:rsidR="00060F32"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474FF7">
            <w:pPr>
              <w:pStyle w:val="tabletext"/>
            </w:pPr>
            <w:r w:rsidRPr="009446F0">
              <w:t>Total by Sector</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t>-$87.6m</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rsidRPr="009446F0">
              <w:t>$</w:t>
            </w:r>
            <w:r>
              <w:t>-</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rsidRPr="009446F0">
              <w:t>$</w:t>
            </w:r>
            <w:r>
              <w:t>-</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842EF2">
            <w:pPr>
              <w:pStyle w:val="tabletext"/>
              <w:jc w:val="right"/>
            </w:pPr>
            <w:r>
              <w:t>-$87.6m</w:t>
            </w:r>
          </w:p>
        </w:tc>
      </w:tr>
      <w:tr w:rsidR="00474FF7"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474FF7" w:rsidRPr="00842EF2" w:rsidRDefault="00474FF7" w:rsidP="00474FF7">
            <w:pPr>
              <w:pStyle w:val="tabletext"/>
            </w:pPr>
            <w:r w:rsidRPr="00842EF2">
              <w:rPr>
                <w:bCs/>
              </w:rPr>
              <w:t>Contingent administrative costs</w:t>
            </w:r>
            <w:r w:rsidRPr="00842EF2">
              <w:rPr>
                <w:rStyle w:val="FootnoteReference"/>
                <w:bCs/>
                <w:sz w:val="22"/>
                <w:szCs w:val="22"/>
              </w:rPr>
              <w:footnoteReference w:id="7"/>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474FF7" w:rsidRPr="00842EF2" w:rsidRDefault="00474FF7" w:rsidP="00842EF2">
            <w:pPr>
              <w:pStyle w:val="tabletext"/>
              <w:jc w:val="right"/>
            </w:pPr>
            <w:r w:rsidRPr="00842EF2">
              <w:t>$2.3m</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474FF7" w:rsidRPr="00842EF2" w:rsidRDefault="00474FF7" w:rsidP="00842EF2">
            <w:pPr>
              <w:pStyle w:val="tabletext"/>
              <w:jc w:val="right"/>
            </w:pPr>
            <w:r w:rsidRPr="00842EF2">
              <w:t>$-</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474FF7" w:rsidRPr="00842EF2" w:rsidRDefault="00474FF7" w:rsidP="00842EF2">
            <w:pPr>
              <w:pStyle w:val="tabletext"/>
              <w:jc w:val="right"/>
            </w:pPr>
            <w:r w:rsidRPr="00842EF2">
              <w:t>$-</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474FF7" w:rsidRPr="00842EF2" w:rsidRDefault="00474FF7" w:rsidP="00842EF2">
            <w:pPr>
              <w:pStyle w:val="tabletext"/>
              <w:jc w:val="right"/>
            </w:pPr>
            <w:r w:rsidRPr="00842EF2">
              <w:t>$2.3m</w:t>
            </w:r>
          </w:p>
        </w:tc>
      </w:tr>
      <w:tr w:rsidR="00474FF7" w:rsidRPr="009446F0" w:rsidTr="002E6F1F">
        <w:trPr>
          <w:trHeight w:val="300"/>
        </w:trPr>
        <w:tc>
          <w:tcPr>
            <w:tcW w:w="170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rsidR="00474FF7" w:rsidRPr="00474FF7" w:rsidRDefault="00474FF7" w:rsidP="00474FF7">
            <w:pPr>
              <w:pStyle w:val="tabletext"/>
              <w:rPr>
                <w:b/>
              </w:rPr>
            </w:pPr>
            <w:r w:rsidRPr="00474FF7">
              <w:rPr>
                <w:b/>
              </w:rPr>
              <w:t>Potential total by sector</w:t>
            </w:r>
          </w:p>
        </w:tc>
        <w:tc>
          <w:tcPr>
            <w:tcW w:w="1276"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474FF7" w:rsidRPr="00474FF7" w:rsidRDefault="00474FF7" w:rsidP="00842EF2">
            <w:pPr>
              <w:pStyle w:val="tabletext"/>
              <w:jc w:val="right"/>
              <w:rPr>
                <w:b/>
              </w:rPr>
            </w:pPr>
            <w:r w:rsidRPr="00474FF7">
              <w:rPr>
                <w:b/>
              </w:rPr>
              <w:t>-$85.3m</w:t>
            </w:r>
          </w:p>
        </w:tc>
        <w:tc>
          <w:tcPr>
            <w:tcW w:w="1287"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474FF7" w:rsidRPr="00474FF7" w:rsidRDefault="00474FF7" w:rsidP="00842EF2">
            <w:pPr>
              <w:pStyle w:val="tabletext"/>
              <w:jc w:val="right"/>
              <w:rPr>
                <w:b/>
              </w:rPr>
            </w:pPr>
            <w:r w:rsidRPr="00474FF7">
              <w:rPr>
                <w:b/>
              </w:rPr>
              <w:t>$-</w:t>
            </w:r>
          </w:p>
        </w:tc>
        <w:tc>
          <w:tcPr>
            <w:tcW w:w="1268"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474FF7" w:rsidRPr="00474FF7" w:rsidRDefault="00474FF7" w:rsidP="00842EF2">
            <w:pPr>
              <w:pStyle w:val="tabletext"/>
              <w:jc w:val="right"/>
              <w:rPr>
                <w:b/>
              </w:rPr>
            </w:pPr>
            <w:r w:rsidRPr="00474FF7">
              <w:rPr>
                <w:b/>
              </w:rPr>
              <w:t>$-</w:t>
            </w:r>
          </w:p>
        </w:tc>
        <w:tc>
          <w:tcPr>
            <w:tcW w:w="1152"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474FF7" w:rsidRPr="00474FF7" w:rsidRDefault="00474FF7" w:rsidP="00842EF2">
            <w:pPr>
              <w:pStyle w:val="tabletext"/>
              <w:jc w:val="right"/>
              <w:rPr>
                <w:b/>
              </w:rPr>
            </w:pPr>
            <w:r w:rsidRPr="00474FF7">
              <w:rPr>
                <w:b/>
              </w:rPr>
              <w:t>-$85.3m</w:t>
            </w:r>
          </w:p>
        </w:tc>
      </w:tr>
      <w:tr w:rsidR="00060F32" w:rsidRPr="009446F0" w:rsidTr="002E6F1F">
        <w:trPr>
          <w:trHeight w:val="300"/>
        </w:trPr>
        <w:tc>
          <w:tcPr>
            <w:tcW w:w="6684" w:type="dxa"/>
            <w:gridSpan w:val="5"/>
            <w:tcBorders>
              <w:top w:val="nil"/>
              <w:left w:val="single" w:sz="8" w:space="0" w:color="auto"/>
              <w:bottom w:val="single" w:sz="4"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F32" w:rsidRPr="00060F32" w:rsidRDefault="00060F32" w:rsidP="00060F32">
            <w:pPr>
              <w:pStyle w:val="tabletext"/>
              <w:rPr>
                <w:b/>
                <w:i/>
              </w:rPr>
            </w:pPr>
            <w:r w:rsidRPr="00060F32">
              <w:rPr>
                <w:b/>
                <w:i/>
              </w:rPr>
              <w:t>Annual Cost Offset</w:t>
            </w:r>
          </w:p>
        </w:tc>
      </w:tr>
      <w:tr w:rsidR="00060F32"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9446F0" w:rsidRDefault="00060F32" w:rsidP="00060F32">
            <w:pPr>
              <w:pStyle w:val="tabletext"/>
            </w:pP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060F32">
            <w:pPr>
              <w:pStyle w:val="tabletext"/>
              <w:rPr>
                <w:b/>
              </w:rPr>
            </w:pPr>
            <w:r w:rsidRPr="00B72EDB">
              <w:rPr>
                <w:b/>
              </w:rPr>
              <w:t>Agency</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060F32">
            <w:pPr>
              <w:pStyle w:val="tabletext"/>
              <w:rPr>
                <w:b/>
              </w:rPr>
            </w:pPr>
            <w:r w:rsidRPr="00B72EDB">
              <w:rPr>
                <w:b/>
              </w:rPr>
              <w:t>Within portfolio</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060F32">
            <w:pPr>
              <w:pStyle w:val="tabletext"/>
              <w:rPr>
                <w:b/>
              </w:rPr>
            </w:pPr>
            <w:r w:rsidRPr="00B72EDB">
              <w:rPr>
                <w:b/>
              </w:rPr>
              <w:t>Outside portfolio</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060F32">
            <w:pPr>
              <w:pStyle w:val="tabletext"/>
              <w:rPr>
                <w:b/>
              </w:rPr>
            </w:pPr>
            <w:r w:rsidRPr="00B72EDB">
              <w:rPr>
                <w:b/>
              </w:rPr>
              <w:t>Total</w:t>
            </w:r>
          </w:p>
        </w:tc>
      </w:tr>
      <w:tr w:rsidR="00060F32"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060F32">
            <w:pPr>
              <w:pStyle w:val="tabletext"/>
            </w:pPr>
            <w:r w:rsidRPr="00B72EDB">
              <w:t>Business</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r>
      <w:tr w:rsidR="00060F32"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060F32">
            <w:pPr>
              <w:pStyle w:val="tabletext"/>
            </w:pPr>
            <w:r w:rsidRPr="00B72EDB">
              <w:t>Not-for-profit</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r>
      <w:tr w:rsidR="00060F32"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060F32">
            <w:pPr>
              <w:pStyle w:val="tabletext"/>
            </w:pPr>
            <w:r w:rsidRPr="00B72EDB">
              <w:t>Individuals</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r>
      <w:tr w:rsidR="00060F32" w:rsidRPr="009446F0" w:rsidTr="002E6F1F">
        <w:trPr>
          <w:trHeight w:val="300"/>
        </w:trPr>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060F32">
            <w:pPr>
              <w:pStyle w:val="tabletext"/>
            </w:pPr>
            <w:r w:rsidRPr="00B72EDB">
              <w:t>Total</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2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2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c>
          <w:tcPr>
            <w:tcW w:w="11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60F32" w:rsidRPr="00B72EDB" w:rsidRDefault="00060F32" w:rsidP="00842EF2">
            <w:pPr>
              <w:pStyle w:val="tabletext"/>
              <w:jc w:val="right"/>
            </w:pPr>
            <w:r w:rsidRPr="00B72EDB">
              <w:t>$</w:t>
            </w:r>
          </w:p>
        </w:tc>
      </w:tr>
      <w:tr w:rsidR="00060F32" w:rsidRPr="009446F0" w:rsidTr="002E6F1F">
        <w:trPr>
          <w:trHeight w:val="300"/>
        </w:trPr>
        <w:tc>
          <w:tcPr>
            <w:tcW w:w="6684" w:type="dxa"/>
            <w:gridSpan w:val="5"/>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60F32" w:rsidRPr="00B72EDB" w:rsidRDefault="00060F32" w:rsidP="00060F32">
            <w:pPr>
              <w:pStyle w:val="tabletext"/>
              <w:rPr>
                <w:b/>
              </w:rPr>
            </w:pPr>
            <w:r w:rsidRPr="00B72EDB">
              <w:rPr>
                <w:b/>
              </w:rPr>
              <w:t>Proposal is cost neutral?       no</w:t>
            </w:r>
          </w:p>
          <w:p w:rsidR="00060F32" w:rsidRPr="00B72EDB" w:rsidRDefault="00060F32" w:rsidP="00060F32">
            <w:pPr>
              <w:pStyle w:val="tabletext"/>
              <w:rPr>
                <w:b/>
              </w:rPr>
            </w:pPr>
            <w:r w:rsidRPr="00B72EDB">
              <w:rPr>
                <w:b/>
              </w:rPr>
              <w:t>Proposal is deregulatory       yes</w:t>
            </w:r>
          </w:p>
          <w:p w:rsidR="00060F32" w:rsidRPr="009446F0" w:rsidRDefault="00060F32" w:rsidP="00474FF7">
            <w:pPr>
              <w:pStyle w:val="tabletext"/>
              <w:rPr>
                <w:szCs w:val="22"/>
                <w:u w:val="single"/>
              </w:rPr>
            </w:pPr>
            <w:r w:rsidRPr="00B72EDB">
              <w:rPr>
                <w:b/>
              </w:rPr>
              <w:t>Balance of cost offsets    $8</w:t>
            </w:r>
            <w:r w:rsidR="00474FF7" w:rsidRPr="00B72EDB">
              <w:rPr>
                <w:b/>
              </w:rPr>
              <w:t>5.3</w:t>
            </w:r>
            <w:r w:rsidRPr="00B72EDB">
              <w:rPr>
                <w:b/>
              </w:rPr>
              <w:t>m</w:t>
            </w:r>
          </w:p>
        </w:tc>
      </w:tr>
    </w:tbl>
    <w:p w:rsidR="00060F32" w:rsidRDefault="00060F32" w:rsidP="00060F32">
      <w:pPr>
        <w:pStyle w:val="Heading3"/>
      </w:pPr>
      <w:r>
        <w:t>Measures currently in place to address carbon tax cost pressures</w:t>
      </w:r>
    </w:p>
    <w:p w:rsidR="00060F32" w:rsidRDefault="00060F32" w:rsidP="00060F32">
      <w:pPr>
        <w:pStyle w:val="base-text-paragraph"/>
        <w:numPr>
          <w:ilvl w:val="0"/>
          <w:numId w:val="0"/>
        </w:numPr>
        <w:ind w:left="1134"/>
      </w:pPr>
      <w:r>
        <w:t>A number of Australian Government programs were put in place to address some of the cost pressures faced by households and businesses.</w:t>
      </w:r>
    </w:p>
    <w:p w:rsidR="00060F32" w:rsidRDefault="00060F32" w:rsidP="00060F32">
      <w:pPr>
        <w:pStyle w:val="base-text-paragraph"/>
        <w:numPr>
          <w:ilvl w:val="0"/>
          <w:numId w:val="0"/>
        </w:numPr>
        <w:ind w:left="1134"/>
      </w:pPr>
      <w:r>
        <w:t>For households, these measures include increases to fortnightly pension and benefit rates and income tax cuts equivalent to around $300 per annum for most taxpayers</w:t>
      </w:r>
      <w:r w:rsidR="00D5237C">
        <w:t xml:space="preserve">.  </w:t>
      </w:r>
      <w:r>
        <w:t>Assistance provided in 2013-14 will remain</w:t>
      </w:r>
      <w:r w:rsidR="00D5237C">
        <w:t xml:space="preserve">.  </w:t>
      </w:r>
      <w:r>
        <w:t>However, the second round of personal income tax cuts legislated to commence in 2015-16 will no longer proceed.</w:t>
      </w:r>
    </w:p>
    <w:p w:rsidR="00060F32" w:rsidRDefault="00060F32" w:rsidP="00060F32">
      <w:pPr>
        <w:pStyle w:val="base-text-paragraph"/>
        <w:numPr>
          <w:ilvl w:val="0"/>
          <w:numId w:val="0"/>
        </w:numPr>
        <w:ind w:left="1134"/>
      </w:pPr>
      <w:r>
        <w:t>For businesses, these measures include the Jobs and Competitiveness Program (JCP) to support emissions intensive, trade exposed industries; the Energy Security Fund to maintain secure energy supplies through supporting electricity generators that are strongly affected by a carbon tax; and targeted grants to provide transitional assistance to specific industries.</w:t>
      </w:r>
    </w:p>
    <w:p w:rsidR="00060F32" w:rsidRDefault="00060F32" w:rsidP="00060F32">
      <w:pPr>
        <w:pStyle w:val="base-text-paragraph"/>
        <w:numPr>
          <w:ilvl w:val="0"/>
          <w:numId w:val="0"/>
        </w:numPr>
        <w:ind w:left="1134"/>
      </w:pPr>
      <w:r>
        <w:t>Removing these programs will impact on a range of stakeholders and potential grant recipients</w:t>
      </w:r>
      <w:r w:rsidR="00D5237C">
        <w:t xml:space="preserve">.  </w:t>
      </w:r>
      <w:r>
        <w:t>Sectors likely to be affected are the steel industry, energy intensive manufacturing, emissions-intensive electricity generators and the land sector.</w:t>
      </w:r>
    </w:p>
    <w:p w:rsidR="00060F32" w:rsidRDefault="00060F32" w:rsidP="008946C8">
      <w:pPr>
        <w:pStyle w:val="Heading2"/>
      </w:pPr>
      <w:r>
        <w:t>Consultation</w:t>
      </w:r>
    </w:p>
    <w:p w:rsidR="00060F32" w:rsidRDefault="00060F32" w:rsidP="00060F32">
      <w:pPr>
        <w:pStyle w:val="base-text-paragraph"/>
        <w:numPr>
          <w:ilvl w:val="0"/>
          <w:numId w:val="0"/>
        </w:numPr>
        <w:ind w:left="1134"/>
      </w:pPr>
      <w:r>
        <w:t>The draft legislation to repeal the carbon tax was released for public consultation by the Government on 15 October 2013</w:t>
      </w:r>
      <w:r w:rsidR="00D5237C">
        <w:t xml:space="preserve">.  </w:t>
      </w:r>
      <w:r>
        <w:t>The consultation period closed at 5 pm on 4 November 2013.</w:t>
      </w:r>
    </w:p>
    <w:p w:rsidR="00060F32" w:rsidRDefault="00060F32" w:rsidP="00060F32">
      <w:pPr>
        <w:pStyle w:val="base-text-paragraph"/>
        <w:numPr>
          <w:ilvl w:val="0"/>
          <w:numId w:val="0"/>
        </w:numPr>
        <w:ind w:left="1134"/>
      </w:pPr>
      <w:r>
        <w:t>The Department received formal submissions and campaign e-mails during the consultation period</w:t>
      </w:r>
      <w:r w:rsidR="00D5237C">
        <w:t xml:space="preserve">.  </w:t>
      </w:r>
      <w:r>
        <w:t>Formal submissions were received from industry peak bodies and companies, legal and academic institutions, individuals and non-government organisations</w:t>
      </w:r>
    </w:p>
    <w:p w:rsidR="00060F32" w:rsidRDefault="00060F32" w:rsidP="00060F32">
      <w:pPr>
        <w:pStyle w:val="base-text-paragraph"/>
        <w:numPr>
          <w:ilvl w:val="0"/>
          <w:numId w:val="0"/>
        </w:numPr>
        <w:ind w:left="1134"/>
      </w:pPr>
      <w:r>
        <w:t>In addition, the Government held meetings or teleconferences with a range of stakeholders including:</w:t>
      </w:r>
    </w:p>
    <w:p w:rsidR="00060F32" w:rsidRDefault="00060F32" w:rsidP="00060F32">
      <w:pPr>
        <w:pStyle w:val="dotpoint"/>
      </w:pPr>
      <w:r>
        <w:t>industry peak bodies, including the Business Council of Australia (BCA), the Australian Chamber of Commerce and Industry (ACCI), the Australian Greenhouse Industry Network (AIGN) and the Australian Industry Group (AIG);</w:t>
      </w:r>
    </w:p>
    <w:p w:rsidR="00060F32" w:rsidRDefault="00060F32" w:rsidP="00060F32">
      <w:pPr>
        <w:pStyle w:val="dotpoint"/>
      </w:pPr>
      <w:r>
        <w:t>local governments through the Australian Local Government Association;</w:t>
      </w:r>
    </w:p>
    <w:p w:rsidR="00060F32" w:rsidRDefault="00060F32" w:rsidP="00060F32">
      <w:pPr>
        <w:pStyle w:val="dotpoint"/>
      </w:pPr>
      <w:r>
        <w:t>electricity suppliers, retailers and users;</w:t>
      </w:r>
    </w:p>
    <w:p w:rsidR="00060F32" w:rsidRDefault="00060F32" w:rsidP="00060F32">
      <w:pPr>
        <w:pStyle w:val="dotpoint"/>
      </w:pPr>
      <w:r>
        <w:t>state government electricity price regulators;</w:t>
      </w:r>
    </w:p>
    <w:p w:rsidR="00060F32" w:rsidRDefault="00060F32" w:rsidP="00060F32">
      <w:pPr>
        <w:pStyle w:val="dotpoint"/>
      </w:pPr>
      <w:r>
        <w:t>synthetic greenhouse gas manufacturers, importers and suppliers;</w:t>
      </w:r>
    </w:p>
    <w:p w:rsidR="00060F32" w:rsidRDefault="00060F32" w:rsidP="00060F32">
      <w:pPr>
        <w:pStyle w:val="dotpoint"/>
      </w:pPr>
      <w:r>
        <w:t>resource peak bodies and companies;</w:t>
      </w:r>
    </w:p>
    <w:p w:rsidR="00060F32" w:rsidRDefault="00060F32" w:rsidP="00060F32">
      <w:pPr>
        <w:pStyle w:val="dotpoint"/>
      </w:pPr>
      <w:r>
        <w:t>manufacturing peak bodies and companies;</w:t>
      </w:r>
    </w:p>
    <w:p w:rsidR="00060F32" w:rsidRDefault="00060F32" w:rsidP="00060F32">
      <w:pPr>
        <w:pStyle w:val="dotpoint"/>
      </w:pPr>
      <w:r>
        <w:t>natural gas suppliers, users and pipeline organisations;</w:t>
      </w:r>
    </w:p>
    <w:p w:rsidR="00060F32" w:rsidRDefault="00060F32" w:rsidP="00060F32">
      <w:pPr>
        <w:pStyle w:val="dotpoint"/>
      </w:pPr>
      <w:r>
        <w:t>landfill and recycling peak bodies;</w:t>
      </w:r>
    </w:p>
    <w:p w:rsidR="00060F32" w:rsidRDefault="00060F32" w:rsidP="00060F32">
      <w:pPr>
        <w:pStyle w:val="dotpoint"/>
      </w:pPr>
      <w:r>
        <w:t>financial peak bodies and institutions;</w:t>
      </w:r>
    </w:p>
    <w:p w:rsidR="00060F32" w:rsidRDefault="00060F32" w:rsidP="00060F32">
      <w:pPr>
        <w:pStyle w:val="dotpoint"/>
      </w:pPr>
      <w:r>
        <w:t>non-government organisations;</w:t>
      </w:r>
    </w:p>
    <w:p w:rsidR="00060F32" w:rsidRDefault="00060F32" w:rsidP="00060F32">
      <w:pPr>
        <w:pStyle w:val="dotpoint"/>
      </w:pPr>
      <w:r>
        <w:t>renewable energy organisations; and</w:t>
      </w:r>
    </w:p>
    <w:p w:rsidR="00060F32" w:rsidRDefault="00060F32" w:rsidP="00060F32">
      <w:pPr>
        <w:pStyle w:val="dotpoint"/>
      </w:pPr>
      <w:r>
        <w:t>legal experts.</w:t>
      </w:r>
    </w:p>
    <w:p w:rsidR="00060F32" w:rsidRDefault="00060F32" w:rsidP="00060F32">
      <w:pPr>
        <w:pStyle w:val="base-text-paragraph"/>
        <w:numPr>
          <w:ilvl w:val="0"/>
          <w:numId w:val="0"/>
        </w:numPr>
        <w:ind w:left="1134"/>
      </w:pPr>
      <w:r>
        <w:t>Further details are provided in Attachment B.</w:t>
      </w:r>
    </w:p>
    <w:p w:rsidR="00060F32" w:rsidRDefault="00060F32" w:rsidP="00060F32">
      <w:pPr>
        <w:pStyle w:val="base-text-paragraph"/>
        <w:numPr>
          <w:ilvl w:val="0"/>
          <w:numId w:val="0"/>
        </w:numPr>
        <w:ind w:left="1134"/>
      </w:pPr>
      <w:r>
        <w:t>With regard to the options-stage RIS, the agency has fully complied with the RIS requirements.</w:t>
      </w:r>
    </w:p>
    <w:p w:rsidR="00060F32" w:rsidRDefault="00060F32" w:rsidP="00060F32">
      <w:pPr>
        <w:pStyle w:val="dotpoint"/>
      </w:pPr>
      <w:r>
        <w:t>The options-stage RIS did not include at least three options as this is a specific election commitment.</w:t>
      </w:r>
    </w:p>
    <w:p w:rsidR="00060F32" w:rsidRDefault="00060F32" w:rsidP="00E9209B">
      <w:pPr>
        <w:pStyle w:val="dotpoint"/>
      </w:pPr>
      <w:r>
        <w:t>The options-stage RIS was certified at the secretary or deputy secretary level and provided to the OBPR before consideration by the decision-maker.</w:t>
      </w:r>
    </w:p>
    <w:p w:rsidR="00060F32" w:rsidRDefault="00060F32" w:rsidP="00E9209B">
      <w:pPr>
        <w:pStyle w:val="dotpoint"/>
      </w:pPr>
      <w:r>
        <w:t>The options-stage RIS was published following the public announcement of an initial decision to regulate.</w:t>
      </w:r>
    </w:p>
    <w:p w:rsidR="00E9209B" w:rsidRDefault="00E9209B" w:rsidP="00E9209B">
      <w:pPr>
        <w:pStyle w:val="Heading3"/>
      </w:pPr>
      <w:r>
        <w:t>Issues related to the bills</w:t>
      </w:r>
    </w:p>
    <w:p w:rsidR="00E9209B" w:rsidRDefault="00E9209B" w:rsidP="00E9209B">
      <w:pPr>
        <w:pStyle w:val="base-text-paragraph"/>
        <w:numPr>
          <w:ilvl w:val="0"/>
          <w:numId w:val="0"/>
        </w:numPr>
        <w:ind w:left="1134"/>
      </w:pPr>
      <w:r>
        <w:t>The principal concern of all business stakeholders were the consequences of delayed passage of the repeal legislation</w:t>
      </w:r>
      <w:r w:rsidR="00D5237C">
        <w:t xml:space="preserve">.  </w:t>
      </w:r>
      <w:r>
        <w:t>Several stakeholders noted that existing contractual and other commercial arrangements are likely to complicate cost pass-through arrangements if passage is delayed</w:t>
      </w:r>
      <w:r w:rsidR="00D5237C">
        <w:t xml:space="preserve">.  </w:t>
      </w:r>
      <w:r>
        <w:t>Others noted that cost reductions may not be passed through in the supply chain immediately, and in full, if passage was delayed, despite public expectations.</w:t>
      </w:r>
    </w:p>
    <w:p w:rsidR="00E9209B" w:rsidRDefault="00E9209B" w:rsidP="00E9209B">
      <w:pPr>
        <w:pStyle w:val="base-text-paragraph"/>
        <w:numPr>
          <w:ilvl w:val="0"/>
          <w:numId w:val="0"/>
        </w:numPr>
        <w:ind w:left="1134"/>
      </w:pPr>
      <w:r>
        <w:t>For example, electricity suppliers and major users raised concerns including: the practical implications of how price reductions will be passed through to consumers; how expectations about the timing of these price reductions will be managed; and how the ACCC will apply its new powers to prevent price exploitation.</w:t>
      </w:r>
    </w:p>
    <w:p w:rsidR="00E9209B" w:rsidRDefault="00E9209B" w:rsidP="00E9209B">
      <w:pPr>
        <w:pStyle w:val="base-text-paragraph"/>
        <w:numPr>
          <w:ilvl w:val="0"/>
          <w:numId w:val="0"/>
        </w:numPr>
        <w:ind w:left="1134"/>
      </w:pPr>
      <w:r>
        <w:t>The Government’s clear intention is that the carbon tax repeal legislation will be passed before 30 June 2014</w:t>
      </w:r>
      <w:r w:rsidR="00D5237C">
        <w:t xml:space="preserve">.  </w:t>
      </w:r>
      <w:r>
        <w:t>If there is a delay, the legislation will apply retrospectively from 1 July 2014</w:t>
      </w:r>
      <w:r w:rsidR="00D5237C">
        <w:t xml:space="preserve">.  </w:t>
      </w:r>
      <w:r>
        <w:t>The Government will not become involved in commercial issues between companies, including contracts.</w:t>
      </w:r>
    </w:p>
    <w:p w:rsidR="00E9209B" w:rsidRDefault="00E9209B" w:rsidP="00E9209B">
      <w:pPr>
        <w:pStyle w:val="base-text-paragraph"/>
        <w:numPr>
          <w:ilvl w:val="0"/>
          <w:numId w:val="0"/>
        </w:numPr>
        <w:ind w:left="1134"/>
      </w:pPr>
      <w:r>
        <w:t>Most business stakeholders, particularly the energy and synthetic greenhouse gas sectors, were concerned by the expanded temporary scope of the ACCC’s powers</w:t>
      </w:r>
      <w:r w:rsidR="00D5237C">
        <w:t xml:space="preserve">.  </w:t>
      </w:r>
      <w:r>
        <w:t xml:space="preserve">Several suggested that the ACCC should consider industry circumstances and the difficulty </w:t>
      </w:r>
      <w:r w:rsidR="00A67F5F">
        <w:t>in immediate and full cost pass</w:t>
      </w:r>
      <w:r w:rsidR="00A67F5F">
        <w:noBreakHyphen/>
      </w:r>
      <w:r>
        <w:t>through when determining whether price exploitation has occurred.</w:t>
      </w:r>
    </w:p>
    <w:p w:rsidR="00E9209B" w:rsidRDefault="00E9209B" w:rsidP="00E9209B">
      <w:pPr>
        <w:pStyle w:val="base-text-paragraph"/>
        <w:numPr>
          <w:ilvl w:val="0"/>
          <w:numId w:val="0"/>
        </w:numPr>
        <w:ind w:left="1134"/>
      </w:pPr>
      <w:r>
        <w:t>The Department of the Environment notes that in undertaking its price monitoring and enforcement activities, the ACCC has advised it will engage stakeholders to ensure that they understand their regulatory obligations; issue guidance material; and emphasise that its regulatory approach will be carefully considered and proportionate.</w:t>
      </w:r>
    </w:p>
    <w:p w:rsidR="00E9209B" w:rsidRDefault="00E9209B" w:rsidP="00E9209B">
      <w:pPr>
        <w:pStyle w:val="base-text-paragraph"/>
        <w:numPr>
          <w:ilvl w:val="0"/>
          <w:numId w:val="0"/>
        </w:numPr>
        <w:ind w:left="1134"/>
      </w:pPr>
      <w:r>
        <w:t xml:space="preserve">If necessary, the Treasurer has the power, </w:t>
      </w:r>
      <w:r w:rsidRPr="008946C8">
        <w:t>under section 29</w:t>
      </w:r>
      <w:r>
        <w:t xml:space="preserve"> of the </w:t>
      </w:r>
      <w:r w:rsidRPr="00E9209B">
        <w:rPr>
          <w:i/>
        </w:rPr>
        <w:t>Competition and Consumer Act 2010</w:t>
      </w:r>
      <w:r>
        <w:t xml:space="preserve"> to direct the ACCC in connection with the performance of its functions, including issuing sector-specific guidance in relation to the carbon tax repeal.</w:t>
      </w:r>
    </w:p>
    <w:p w:rsidR="00E9209B" w:rsidRDefault="00E9209B" w:rsidP="00E9209B">
      <w:pPr>
        <w:pStyle w:val="base-text-paragraph"/>
        <w:numPr>
          <w:ilvl w:val="0"/>
          <w:numId w:val="0"/>
        </w:numPr>
        <w:ind w:left="1134"/>
      </w:pPr>
      <w:r>
        <w:t>Other issues raised in submissions included:</w:t>
      </w:r>
    </w:p>
    <w:p w:rsidR="00E9209B" w:rsidRDefault="00E9209B" w:rsidP="00E9209B">
      <w:pPr>
        <w:pStyle w:val="dotpoint"/>
      </w:pPr>
      <w:r>
        <w:t>allowing imports of synthetic greenhouse gases imported before 1 July 2014 not to accrue a carbon tax liability unless sold before 1 July 2014 (Refrigerants Australia);</w:t>
      </w:r>
    </w:p>
    <w:p w:rsidR="00E9209B" w:rsidRDefault="00E9209B" w:rsidP="00E9209B">
      <w:pPr>
        <w:pStyle w:val="dotpoint2"/>
      </w:pPr>
      <w:r>
        <w:t>Consideration will be given to use of the bonded warehouse system to avoid the payment of carbon tax liabilities until SGGs are entered for domestic sale</w:t>
      </w:r>
      <w:r w:rsidR="00D5237C">
        <w:t xml:space="preserve">.  </w:t>
      </w:r>
      <w:r w:rsidR="00A67F5F">
        <w:t>This </w:t>
      </w:r>
      <w:r>
        <w:t>provision will impact on up to forty seven licensed importers.</w:t>
      </w:r>
    </w:p>
    <w:p w:rsidR="00E9209B" w:rsidRDefault="00E9209B" w:rsidP="00E9209B">
      <w:pPr>
        <w:pStyle w:val="dotpoint"/>
      </w:pPr>
      <w:r>
        <w:t>simplifying transition arrangements for holders of Financial Liability Transfer Certifica</w:t>
      </w:r>
      <w:r w:rsidR="00A67F5F">
        <w:t>tes for NGERs purposes (Baker &amp; </w:t>
      </w:r>
      <w:r>
        <w:t xml:space="preserve">McKenzie); </w:t>
      </w:r>
    </w:p>
    <w:p w:rsidR="00E9209B" w:rsidRDefault="00E9209B" w:rsidP="00E9209B">
      <w:pPr>
        <w:pStyle w:val="dotpoint2"/>
      </w:pPr>
      <w:r>
        <w:t>The Clean Energy Regulator is considering ways to streamline the transitioning of LTCs into Reporting Transfer Certificates for the purpose of future NGERs reporting.</w:t>
      </w:r>
    </w:p>
    <w:p w:rsidR="00803986" w:rsidRDefault="00E9209B" w:rsidP="00E9209B">
      <w:pPr>
        <w:pStyle w:val="base-text-paragraph"/>
        <w:numPr>
          <w:ilvl w:val="0"/>
          <w:numId w:val="0"/>
        </w:numPr>
        <w:ind w:left="1134"/>
      </w:pPr>
      <w:r>
        <w:t>During the workshops with stakeholders a number of other minor technical items were raised and discussed, including: the operation of the true-up process for the Jobs and Competitiveness Program and the process for developing the true-up process rules; the proposed approach for continuation of industry assistance, including the steel transformation plan; and the structure of the Renewable Energy Target (RET) reviews after abolition of the Climate Change Authority, and the timing, frequency and scope of RET reviews.</w:t>
      </w:r>
    </w:p>
    <w:p w:rsidR="00E9209B" w:rsidRDefault="00E9209B" w:rsidP="00E9209B">
      <w:pPr>
        <w:pStyle w:val="Heading2"/>
      </w:pPr>
      <w:r>
        <w:t>Conclusion</w:t>
      </w:r>
    </w:p>
    <w:p w:rsidR="00E9209B" w:rsidRDefault="00E9209B" w:rsidP="00E9209B">
      <w:pPr>
        <w:pStyle w:val="base-text-paragraph"/>
        <w:numPr>
          <w:ilvl w:val="0"/>
          <w:numId w:val="0"/>
        </w:numPr>
        <w:ind w:left="1134"/>
      </w:pPr>
      <w:r>
        <w:t>Repeal of the Clean Energy Act and associated regulations is expected to reduce cost of living pressures on households and cost pressures on business.</w:t>
      </w:r>
    </w:p>
    <w:p w:rsidR="00E9209B" w:rsidRDefault="00E9209B" w:rsidP="00E9209B">
      <w:pPr>
        <w:pStyle w:val="base-text-paragraph"/>
        <w:numPr>
          <w:ilvl w:val="0"/>
          <w:numId w:val="0"/>
        </w:numPr>
        <w:ind w:left="1134"/>
      </w:pPr>
      <w:r>
        <w:t>Recent modelling by the Australian Treasury suggests that the removal of the carbon tax in 2014-15 will reduce the Consumer Price Index by around 0.7 percentage points than it would otherwise be</w:t>
      </w:r>
      <w:r w:rsidR="00D5237C">
        <w:t xml:space="preserve">.  </w:t>
      </w:r>
      <w:r>
        <w:t>This is based on the currently legislated fixed carbon price of $25.40 and the scope intended by the former government, including fuel use by heavy on-road transport.</w:t>
      </w:r>
    </w:p>
    <w:p w:rsidR="00E9209B" w:rsidRDefault="00E9209B" w:rsidP="00E9209B">
      <w:pPr>
        <w:pStyle w:val="base-text-paragraph"/>
        <w:numPr>
          <w:ilvl w:val="0"/>
          <w:numId w:val="0"/>
        </w:numPr>
        <w:ind w:left="1134"/>
      </w:pPr>
      <w:r>
        <w:t>Treasury modelling also suggests that the removal of the carbon tax in 2014-15 will leave average costs of living across all households (based on existing expenditure patterns) around $10.50 per week (or around $550 over the year) lower than it would otherwise be in 2014-15.</w:t>
      </w:r>
    </w:p>
    <w:p w:rsidR="00E9209B" w:rsidRDefault="00E9209B" w:rsidP="00E9209B">
      <w:pPr>
        <w:pStyle w:val="base-text-paragraph"/>
        <w:numPr>
          <w:ilvl w:val="0"/>
          <w:numId w:val="0"/>
        </w:numPr>
        <w:ind w:left="1134"/>
      </w:pPr>
      <w:r>
        <w:t>It is also estimated that retail electricity an</w:t>
      </w:r>
      <w:r w:rsidR="00A67F5F">
        <w:t>d gas prices should be around 9 </w:t>
      </w:r>
      <w:r>
        <w:t>and 7 per cent lower respectively than they would otherwise be</w:t>
      </w:r>
      <w:r w:rsidR="00D5237C">
        <w:t xml:space="preserve">.  </w:t>
      </w:r>
      <w:r>
        <w:t>On this basis, household average electricity and gas bills would be around $3.80 per week (or around $200 over the year) and $1.40 per week (or $70 over the year) lower respectively than they would otherwise be in 2014-15 with a $25.40 carbon tax.</w:t>
      </w:r>
    </w:p>
    <w:p w:rsidR="00E9209B" w:rsidRDefault="00E9209B" w:rsidP="00E9209B">
      <w:pPr>
        <w:pStyle w:val="base-text-paragraph"/>
        <w:numPr>
          <w:ilvl w:val="0"/>
          <w:numId w:val="0"/>
        </w:numPr>
        <w:ind w:left="1134"/>
      </w:pPr>
      <w:r>
        <w:t>The prices of other goods and services are more difficult to estimate</w:t>
      </w:r>
      <w:r w:rsidR="00D5237C">
        <w:t xml:space="preserve">.  </w:t>
      </w:r>
      <w:r w:rsidR="00A67F5F">
        <w:t>A </w:t>
      </w:r>
      <w:r>
        <w:t>range of factors have influenced prices over the intervening period since the carbon tax was introduced, and it would therefore be likely that prices would not return to their former levels</w:t>
      </w:r>
      <w:r w:rsidR="00D5237C">
        <w:t xml:space="preserve">.  </w:t>
      </w:r>
      <w:r>
        <w:t>However to the extent that the cost bases of goods and services are affected by the repeal of the carbon tax, and there is competitive pressure in the market to pass these cost reductions on, price reductions could reasonably be expected.</w:t>
      </w:r>
    </w:p>
    <w:p w:rsidR="00E9209B" w:rsidRDefault="00E9209B" w:rsidP="00E9209B">
      <w:pPr>
        <w:pStyle w:val="base-text-paragraph"/>
        <w:numPr>
          <w:ilvl w:val="0"/>
          <w:numId w:val="0"/>
        </w:numPr>
        <w:ind w:left="1134"/>
      </w:pPr>
      <w:r>
        <w:t>The primary impact on business of repealing the carbon tax is to reduce the cost of inputs</w:t>
      </w:r>
      <w:r w:rsidR="00D5237C">
        <w:t xml:space="preserve">.  </w:t>
      </w:r>
      <w:r>
        <w:t>While the carbon tax is directly applied to a relatively small number of activities and liable entities, the size and importance of these activities means that as these costs are passed on through the economy the carbon tax results in an increase in input costs for the majority of businesses</w:t>
      </w:r>
      <w:r w:rsidR="00D5237C">
        <w:t xml:space="preserve">.  </w:t>
      </w:r>
      <w:r>
        <w:t>The main driver of these input cost increases is the impact of the carbon tax on energy prices – primarily electricity and gas prices</w:t>
      </w:r>
      <w:r w:rsidR="00D5237C">
        <w:t xml:space="preserve">.  </w:t>
      </w:r>
      <w:r>
        <w:t>Due to the complexity in many commercial arrangements it is difficult to provide a detailed breakdown of where producer prices could be expected to change</w:t>
      </w:r>
      <w:r w:rsidR="00D5237C">
        <w:t xml:space="preserve">.  </w:t>
      </w:r>
    </w:p>
    <w:p w:rsidR="00E9209B" w:rsidRDefault="00E9209B" w:rsidP="00E9209B">
      <w:pPr>
        <w:pStyle w:val="base-text-paragraph"/>
        <w:numPr>
          <w:ilvl w:val="0"/>
          <w:numId w:val="0"/>
        </w:numPr>
        <w:ind w:left="1134"/>
      </w:pPr>
      <w:r>
        <w:t>The removal of the carbon tax is expected to increase gross output in the mining, construction and services sectors</w:t>
      </w:r>
      <w:r w:rsidR="00D5237C">
        <w:t xml:space="preserve">.  </w:t>
      </w:r>
      <w:r>
        <w:t>Within the services sector, the production of electricity (particularly coal-fired electricity) is expected to benefit most from the repeal of the carbon tax</w:t>
      </w:r>
      <w:r w:rsidR="00D5237C">
        <w:t xml:space="preserve">.  </w:t>
      </w:r>
      <w:r>
        <w:t>In the mining sector, coal mining is expected to be the major beneficiary</w:t>
      </w:r>
      <w:r w:rsidR="00D5237C">
        <w:t xml:space="preserve">.  </w:t>
      </w:r>
      <w:r>
        <w:t>In the manufacturing sector, producers with emissions- or energy-intensive activities that were unable to access carbon tax-related assistance would be the main beneficiaries of repeal.</w:t>
      </w:r>
    </w:p>
    <w:p w:rsidR="00E9209B" w:rsidRDefault="00E9209B" w:rsidP="00E9209B">
      <w:pPr>
        <w:pStyle w:val="base-text-paragraph"/>
        <w:numPr>
          <w:ilvl w:val="0"/>
          <w:numId w:val="0"/>
        </w:numPr>
        <w:ind w:left="1134"/>
      </w:pPr>
      <w:r>
        <w:t>Business compliance costs are expected to fall by around $</w:t>
      </w:r>
      <w:r w:rsidR="00856DA9">
        <w:t>85.3</w:t>
      </w:r>
      <w:r>
        <w:t xml:space="preserve"> million per annum as a consequence of repealing the carbon tax although many businesses have concerns around the potential costs imposed by the ACCC exercising its proposed price monitoring and enforcement powers</w:t>
      </w:r>
      <w:r w:rsidR="00D5237C">
        <w:t xml:space="preserve">.  </w:t>
      </w:r>
      <w:r>
        <w:t>These estimates exclude the costs of complying with assistance arrangements, including the Jobs and Competitiveness Program, as these costs are incurred voluntarily by applicants</w:t>
      </w:r>
      <w:r w:rsidR="00D5237C">
        <w:t xml:space="preserve">.  </w:t>
      </w:r>
      <w:r>
        <w:t>The costs of complying with price monitoring arrangements are also excluded, being uncertain and non-ongoing.</w:t>
      </w:r>
    </w:p>
    <w:p w:rsidR="00E9209B" w:rsidRDefault="00E9209B" w:rsidP="00E9209B">
      <w:pPr>
        <w:pStyle w:val="base-text-paragraph"/>
        <w:numPr>
          <w:ilvl w:val="0"/>
          <w:numId w:val="0"/>
        </w:numPr>
        <w:ind w:left="1134"/>
      </w:pPr>
      <w:r>
        <w:t>The Government remains committed to reducing GHG e</w:t>
      </w:r>
      <w:r w:rsidR="00A67F5F">
        <w:t>missions by 5 per </w:t>
      </w:r>
      <w:r>
        <w:t>cent below 2000 levels by 2020</w:t>
      </w:r>
      <w:r w:rsidR="00D5237C">
        <w:t xml:space="preserve">.  </w:t>
      </w:r>
      <w:r>
        <w:t>This is the same target adopted by the carbon tax</w:t>
      </w:r>
      <w:r w:rsidR="00D5237C">
        <w:t xml:space="preserve">.  </w:t>
      </w:r>
      <w:r>
        <w:t>The Government believes its direct action plan is a simpler, less costly way of achieving abatement</w:t>
      </w:r>
      <w:r w:rsidR="00D5237C">
        <w:t xml:space="preserve">.  </w:t>
      </w:r>
      <w:r>
        <w:t>The direct action plan is under development and the details of the plan are beyond the scope of this RIS</w:t>
      </w:r>
      <w:r w:rsidR="00D5237C">
        <w:t xml:space="preserve">.  </w:t>
      </w:r>
      <w:r>
        <w:t>Further RISs will be prepared, as required, for various elements of the direct action plan.</w:t>
      </w:r>
    </w:p>
    <w:p w:rsidR="00E9209B" w:rsidRDefault="00E9209B" w:rsidP="00E9209B">
      <w:pPr>
        <w:pStyle w:val="Heading2"/>
      </w:pPr>
      <w:r>
        <w:t>Implementation and review</w:t>
      </w:r>
    </w:p>
    <w:p w:rsidR="00474FF7" w:rsidRDefault="00E9209B" w:rsidP="00E9209B">
      <w:pPr>
        <w:pStyle w:val="base-text-paragraph"/>
        <w:numPr>
          <w:ilvl w:val="0"/>
          <w:numId w:val="0"/>
        </w:numPr>
        <w:ind w:left="1134"/>
      </w:pPr>
      <w:r>
        <w:t>Legislation to repeal the Clean Energy Act and associated regulations will be introduced in November 2013</w:t>
      </w:r>
      <w:r w:rsidR="00D5237C">
        <w:t xml:space="preserve">.  </w:t>
      </w:r>
      <w:r>
        <w:t>The legislation will remove carbon tax liabilities from 30 June 2014 which, rather than a date part-way through the 2013-14 financial year, will simplify the transition for business</w:t>
      </w:r>
      <w:r w:rsidR="00D5237C">
        <w:t xml:space="preserve">.  </w:t>
      </w:r>
      <w:r>
        <w:t>This is because it avoids the need to change compliance systems and renegotiate contracts that involve carbon tax pass-through in the middle of a financial year</w:t>
      </w:r>
      <w:r w:rsidR="00D5237C">
        <w:t xml:space="preserve">.  </w:t>
      </w:r>
      <w:r>
        <w:t>It will also allow liquid fuel users to better manage their inventories during the transition period to reduce the risk of a shortage.</w:t>
      </w:r>
    </w:p>
    <w:p w:rsidR="00E9209B" w:rsidRDefault="00E9209B" w:rsidP="00E9209B">
      <w:pPr>
        <w:pStyle w:val="base-text-paragraph"/>
        <w:numPr>
          <w:ilvl w:val="0"/>
          <w:numId w:val="0"/>
        </w:numPr>
        <w:ind w:left="1134"/>
      </w:pPr>
      <w:r>
        <w:t>The ACCC will monitor and enforce reasonably expected price reductions following the abolition of the carbon tax.</w:t>
      </w:r>
    </w:p>
    <w:p w:rsidR="00E9209B" w:rsidRDefault="00E9209B" w:rsidP="00E9209B">
      <w:pPr>
        <w:pStyle w:val="dotpoint"/>
      </w:pPr>
      <w:r>
        <w:t xml:space="preserve">Amendments to the </w:t>
      </w:r>
      <w:r w:rsidRPr="00E9209B">
        <w:rPr>
          <w:i/>
        </w:rPr>
        <w:t>Consumer and Competition Act 2010</w:t>
      </w:r>
      <w:r>
        <w:t xml:space="preserve"> (</w:t>
      </w:r>
      <w:r w:rsidR="008E0018">
        <w:t>CC Act</w:t>
      </w:r>
      <w:r>
        <w:t>) will prohibit carbon-related price exploitation and misrepresentations following its repeal; and introduce pecuniary penalties of around $220,000 for individuals and $1.1 million for corporations that engage in carbon-related price exploitation or misrepresentations following its repeal.</w:t>
      </w:r>
    </w:p>
    <w:p w:rsidR="00E9209B" w:rsidRDefault="00E9209B" w:rsidP="00E9209B">
      <w:pPr>
        <w:pStyle w:val="dotpoint"/>
      </w:pPr>
      <w:r>
        <w:t>In undertaking its price monitoring and enforcement activities, the ACCC will engage stakeholders to ensure that they understand their regulatory obligations; issue guidance material; and emphasise that its regulatory approach will be carefully considered and proportionate.</w:t>
      </w:r>
    </w:p>
    <w:p w:rsidR="00E9209B" w:rsidRDefault="00E9209B" w:rsidP="00E9209B">
      <w:pPr>
        <w:pStyle w:val="dotpoint"/>
      </w:pPr>
      <w:r>
        <w:t xml:space="preserve">The Treasurer may also under section 29 of the </w:t>
      </w:r>
      <w:r w:rsidR="008E0018">
        <w:t>CC Act</w:t>
      </w:r>
      <w:r>
        <w:t xml:space="preserve"> direct the ACCC to issue sector-specific guidance where that would assist businesses in meeting their obligations under the Act.</w:t>
      </w:r>
    </w:p>
    <w:p w:rsidR="00E9209B" w:rsidRDefault="00E9209B" w:rsidP="00E9209B">
      <w:pPr>
        <w:pStyle w:val="Heading2"/>
      </w:pPr>
      <w:r>
        <w:t>RIS Attachment A: Carbon Tax Background</w:t>
      </w:r>
    </w:p>
    <w:p w:rsidR="00020BA2" w:rsidRDefault="00020BA2" w:rsidP="00020BA2">
      <w:pPr>
        <w:pStyle w:val="base-text-paragraph"/>
        <w:numPr>
          <w:ilvl w:val="0"/>
          <w:numId w:val="0"/>
        </w:numPr>
        <w:ind w:left="1134"/>
      </w:pPr>
      <w:r>
        <w:t>The carbon tax puts a price on Australia's carbon pollution, and applies directly to Australia's biggest carbon emitters (called liable entities)</w:t>
      </w:r>
      <w:r w:rsidR="00D5237C">
        <w:t xml:space="preserve">.  </w:t>
      </w:r>
      <w:r>
        <w:t>In addition, a number of businesses pay ‘effective carbon taxes’ on liquid fuels and on synthetic greenhouse gases.</w:t>
      </w:r>
    </w:p>
    <w:p w:rsidR="00020BA2" w:rsidRDefault="00020BA2" w:rsidP="00020BA2">
      <w:pPr>
        <w:pStyle w:val="base-text-paragraph"/>
        <w:numPr>
          <w:ilvl w:val="0"/>
          <w:numId w:val="0"/>
        </w:numPr>
        <w:ind w:left="1134"/>
      </w:pPr>
      <w:r>
        <w:t>Under the mechanism, liable entities must pay a tax on the carbon emissions they produce each year</w:t>
      </w:r>
      <w:r w:rsidR="00D5237C">
        <w:t xml:space="preserve">.  </w:t>
      </w:r>
      <w:r>
        <w:t>As at July 2013, there were approximately 370 liable entities, covering approximately 60 per cent of Australia's carbon emissions</w:t>
      </w:r>
      <w:r w:rsidR="00D5237C">
        <w:t xml:space="preserve">.  </w:t>
      </w:r>
      <w:r>
        <w:t>The carbon tax covers a range of large business and industrial facilities, and includes emissions from electricity generation, natural gas supply, stationary energy, landfills, wastewater, industrial processes and fugitive emissions.</w:t>
      </w:r>
    </w:p>
    <w:p w:rsidR="00020BA2" w:rsidRDefault="00020BA2" w:rsidP="00020BA2">
      <w:pPr>
        <w:pStyle w:val="Heading3"/>
      </w:pPr>
      <w:r>
        <w:t>How does it work?</w:t>
      </w:r>
    </w:p>
    <w:p w:rsidR="00020BA2" w:rsidRDefault="00020BA2" w:rsidP="00020BA2">
      <w:pPr>
        <w:pStyle w:val="base-text-paragraph"/>
        <w:numPr>
          <w:ilvl w:val="0"/>
          <w:numId w:val="0"/>
        </w:numPr>
        <w:ind w:left="1134"/>
      </w:pPr>
      <w:r>
        <w:t xml:space="preserve">Liable entities must report annually on their emissions or potential emissions under the </w:t>
      </w:r>
      <w:r w:rsidRPr="00020BA2">
        <w:rPr>
          <w:i/>
        </w:rPr>
        <w:t>National Greenhouse and Energy Reporting Act 2007</w:t>
      </w:r>
      <w:r>
        <w:t xml:space="preserve"> (NGER Act).</w:t>
      </w:r>
    </w:p>
    <w:p w:rsidR="00020BA2" w:rsidRDefault="00020BA2" w:rsidP="00020BA2">
      <w:pPr>
        <w:pStyle w:val="base-text-paragraph"/>
        <w:numPr>
          <w:ilvl w:val="0"/>
          <w:numId w:val="0"/>
        </w:numPr>
        <w:ind w:left="1134"/>
      </w:pPr>
      <w:r>
        <w:t>Under current arrangements, liable entities must surrender one carbon unit for every tonne of carbon dioxide equivalent (CO</w:t>
      </w:r>
      <w:r w:rsidRPr="00020BA2">
        <w:rPr>
          <w:vertAlign w:val="subscript"/>
        </w:rPr>
        <w:t>2</w:t>
      </w:r>
      <w:r>
        <w:t>-e) that they have produced in that year.</w:t>
      </w:r>
    </w:p>
    <w:p w:rsidR="00020BA2" w:rsidRDefault="00020BA2" w:rsidP="00020BA2">
      <w:pPr>
        <w:pStyle w:val="base-text-paragraph"/>
        <w:numPr>
          <w:ilvl w:val="0"/>
          <w:numId w:val="0"/>
        </w:numPr>
        <w:ind w:left="1134"/>
      </w:pPr>
      <w:r>
        <w:t>There are two stages to the carbon tax:</w:t>
      </w:r>
    </w:p>
    <w:p w:rsidR="00020BA2" w:rsidRDefault="00020BA2" w:rsidP="00020BA2">
      <w:pPr>
        <w:pStyle w:val="dotpoint"/>
      </w:pPr>
      <w:r>
        <w:t>Fixed price – The price of carbon units – effectively the carbon tax – is fixed for the first three years</w:t>
      </w:r>
      <w:r w:rsidR="00D5237C">
        <w:t xml:space="preserve">.  </w:t>
      </w:r>
      <w:r>
        <w:t>In 2012–13 it was $23 a tonne of carbon pollution, in 2013–14 it is $24.15 a tonne and in 2014–15 it will be $25.40 a tonne</w:t>
      </w:r>
      <w:r w:rsidR="00D5237C">
        <w:t xml:space="preserve">.  </w:t>
      </w:r>
      <w:r>
        <w:t>Liable entities can purchase units up to their emissions levels</w:t>
      </w:r>
      <w:r w:rsidR="00D5237C">
        <w:t xml:space="preserve">.  </w:t>
      </w:r>
      <w:r>
        <w:t>Purchased units cannot be traded or banked.</w:t>
      </w:r>
    </w:p>
    <w:p w:rsidR="00020BA2" w:rsidRDefault="00020BA2" w:rsidP="00020BA2">
      <w:pPr>
        <w:pStyle w:val="dotpoint"/>
      </w:pPr>
      <w:r>
        <w:t>Flexible price – From 1 July 2015 the price will be set by the market</w:t>
      </w:r>
      <w:r w:rsidR="00D5237C">
        <w:t xml:space="preserve">.  </w:t>
      </w:r>
      <w:r>
        <w:t>Most units will be auctioned by the Clean Energy Regulator – auctions are scheduled to take place before June 2014, in the lead up to the flexible price</w:t>
      </w:r>
      <w:r w:rsidR="00D5237C">
        <w:t xml:space="preserve">.  </w:t>
      </w:r>
      <w:r>
        <w:t>The number of units the Government issues each year will be limited by a pollution cap set by regulations.</w:t>
      </w:r>
    </w:p>
    <w:p w:rsidR="00020BA2" w:rsidRDefault="00020BA2" w:rsidP="00020BA2">
      <w:pPr>
        <w:pStyle w:val="base-text-paragraph"/>
        <w:numPr>
          <w:ilvl w:val="0"/>
          <w:numId w:val="0"/>
        </w:numPr>
        <w:ind w:left="1134"/>
      </w:pPr>
      <w:r>
        <w:t>If a liable entity does not surrender any or enough units, it must pay a 'unit shortfall charge':</w:t>
      </w:r>
    </w:p>
    <w:p w:rsidR="00020BA2" w:rsidRDefault="00020BA2" w:rsidP="00020BA2">
      <w:pPr>
        <w:pStyle w:val="dotpoint"/>
      </w:pPr>
      <w:r>
        <w:t>from 2012 to 2015, this charge is set at 130 per cent of the fixed price for the relevant fixed price year; and</w:t>
      </w:r>
    </w:p>
    <w:p w:rsidR="00020BA2" w:rsidRDefault="00020BA2" w:rsidP="00020BA2">
      <w:pPr>
        <w:pStyle w:val="dotpoint"/>
      </w:pPr>
      <w:r>
        <w:t>from 2015 onwards, once the carbon tax moves to the flexible price period, the unit shortfall charge will be up to 200 per cent of the benchmark average auction price for the relevant period.</w:t>
      </w:r>
    </w:p>
    <w:p w:rsidR="00020BA2" w:rsidRDefault="00020BA2" w:rsidP="00020BA2">
      <w:pPr>
        <w:pStyle w:val="base-text-paragraph"/>
        <w:numPr>
          <w:ilvl w:val="0"/>
          <w:numId w:val="0"/>
        </w:numPr>
        <w:ind w:left="1134"/>
      </w:pPr>
      <w:r>
        <w:t>The shortfall charge creates an incentive to surrender units under the mechanism rather than pay the higher shortfall charge</w:t>
      </w:r>
      <w:r w:rsidR="00D5237C">
        <w:t xml:space="preserve">.  </w:t>
      </w:r>
      <w:r>
        <w:t>The carbon tax arrangements include systems for assessing liability for emissions, meeting liability for emissions through payment and surrender processes for eligible emissions units, and relinquishing units (in certain circumstances units are returned to the Commonwealth without them being surrendered).</w:t>
      </w:r>
    </w:p>
    <w:p w:rsidR="00020BA2" w:rsidRDefault="00020BA2" w:rsidP="00020BA2">
      <w:pPr>
        <w:pStyle w:val="Heading3"/>
      </w:pPr>
      <w:r>
        <w:t>What are ‘liable entities’?</w:t>
      </w:r>
    </w:p>
    <w:p w:rsidR="00020BA2" w:rsidRDefault="00020BA2" w:rsidP="00020BA2">
      <w:pPr>
        <w:pStyle w:val="base-text-paragraph"/>
        <w:numPr>
          <w:ilvl w:val="0"/>
          <w:numId w:val="0"/>
        </w:numPr>
        <w:ind w:left="1134"/>
      </w:pPr>
      <w:r>
        <w:t>Entities are liable if they operate facilities that exceed the threshold for covered direct emissions, or if they supply or use natural gas</w:t>
      </w:r>
      <w:r w:rsidR="00D5237C">
        <w:t xml:space="preserve">.  </w:t>
      </w:r>
      <w:r>
        <w:t>The types of direct emissions covered by the carbon tax include:</w:t>
      </w:r>
    </w:p>
    <w:p w:rsidR="00020BA2" w:rsidRDefault="00020BA2" w:rsidP="00020BA2">
      <w:pPr>
        <w:pStyle w:val="dotpoint"/>
      </w:pPr>
      <w:r>
        <w:t>carbon dioxide (CO</w:t>
      </w:r>
      <w:r w:rsidRPr="00B72EDB">
        <w:rPr>
          <w:vertAlign w:val="subscript"/>
        </w:rPr>
        <w:t>2</w:t>
      </w:r>
      <w:r>
        <w:t>);</w:t>
      </w:r>
    </w:p>
    <w:p w:rsidR="00020BA2" w:rsidRDefault="00020BA2" w:rsidP="00020BA2">
      <w:pPr>
        <w:pStyle w:val="dotpoint"/>
      </w:pPr>
      <w:r>
        <w:t>methane (CH</w:t>
      </w:r>
      <w:r w:rsidRPr="00B72EDB">
        <w:rPr>
          <w:vertAlign w:val="subscript"/>
        </w:rPr>
        <w:t>4</w:t>
      </w:r>
      <w:r>
        <w:t>);</w:t>
      </w:r>
    </w:p>
    <w:p w:rsidR="00020BA2" w:rsidRDefault="00020BA2" w:rsidP="00020BA2">
      <w:pPr>
        <w:pStyle w:val="dotpoint"/>
      </w:pPr>
      <w:r>
        <w:t>nitrous oxide (N</w:t>
      </w:r>
      <w:r w:rsidRPr="00B72EDB">
        <w:rPr>
          <w:vertAlign w:val="subscript"/>
        </w:rPr>
        <w:t>2</w:t>
      </w:r>
      <w:r>
        <w:t xml:space="preserve">O); or </w:t>
      </w:r>
    </w:p>
    <w:p w:rsidR="00020BA2" w:rsidRDefault="00020BA2" w:rsidP="00020BA2">
      <w:pPr>
        <w:pStyle w:val="dotpoint"/>
      </w:pPr>
      <w:r>
        <w:t>perfluorocarbons specified in the NGER Regulations and that are attributable to aluminium production,</w:t>
      </w:r>
    </w:p>
    <w:p w:rsidR="00020BA2" w:rsidRDefault="00020BA2" w:rsidP="00020BA2">
      <w:pPr>
        <w:pStyle w:val="base-text-paragraph"/>
        <w:numPr>
          <w:ilvl w:val="0"/>
          <w:numId w:val="0"/>
        </w:numPr>
        <w:ind w:left="1134"/>
      </w:pPr>
      <w:r>
        <w:t>but do not include:</w:t>
      </w:r>
    </w:p>
    <w:p w:rsidR="00020BA2" w:rsidRDefault="00020BA2" w:rsidP="00020BA2">
      <w:pPr>
        <w:pStyle w:val="dotpoint"/>
      </w:pPr>
      <w:r>
        <w:t>agricultural emissions;</w:t>
      </w:r>
    </w:p>
    <w:p w:rsidR="00020BA2" w:rsidRDefault="00020BA2" w:rsidP="00020BA2">
      <w:pPr>
        <w:pStyle w:val="dotpoint"/>
      </w:pPr>
      <w:r>
        <w:t>fugitive emissions from decommissioned underground mines;</w:t>
      </w:r>
    </w:p>
    <w:p w:rsidR="00020BA2" w:rsidRDefault="00020BA2" w:rsidP="00020BA2">
      <w:pPr>
        <w:pStyle w:val="dotpoint"/>
      </w:pPr>
      <w:r>
        <w:t>emissions from legacy waste or closed landfill facilities;</w:t>
      </w:r>
    </w:p>
    <w:p w:rsidR="00020BA2" w:rsidRDefault="00020BA2" w:rsidP="00020BA2">
      <w:pPr>
        <w:pStyle w:val="dotpoint"/>
      </w:pPr>
      <w:r>
        <w:t>emissions of certain synthetic greenhouse gases;</w:t>
      </w:r>
    </w:p>
    <w:p w:rsidR="00020BA2" w:rsidRDefault="00020BA2" w:rsidP="00020BA2">
      <w:pPr>
        <w:pStyle w:val="dotpoint"/>
      </w:pPr>
      <w:r>
        <w:t>emissions from biomass, biofuels or biogas; or</w:t>
      </w:r>
    </w:p>
    <w:p w:rsidR="00020BA2" w:rsidRDefault="00020BA2" w:rsidP="00020BA2">
      <w:pPr>
        <w:pStyle w:val="dotpoint"/>
      </w:pPr>
      <w:r>
        <w:t xml:space="preserve">emissions from the combustion of fuels subject to duties under the </w:t>
      </w:r>
      <w:r w:rsidRPr="00020BA2">
        <w:rPr>
          <w:i/>
        </w:rPr>
        <w:t>Excise Tariff Act 1921</w:t>
      </w:r>
      <w:r>
        <w:t xml:space="preserve"> or the </w:t>
      </w:r>
      <w:r w:rsidRPr="00020BA2">
        <w:rPr>
          <w:i/>
        </w:rPr>
        <w:t>Customs Tariff Act 1995</w:t>
      </w:r>
      <w:r>
        <w:t>.</w:t>
      </w:r>
    </w:p>
    <w:p w:rsidR="00020BA2" w:rsidRDefault="00020BA2" w:rsidP="00020BA2">
      <w:pPr>
        <w:pStyle w:val="base-text-paragraph"/>
        <w:numPr>
          <w:ilvl w:val="0"/>
          <w:numId w:val="0"/>
        </w:numPr>
        <w:ind w:left="1134"/>
      </w:pPr>
      <w:r>
        <w:t>The threshold for covered scope 1 emissions is 25 000 tonnes CO</w:t>
      </w:r>
      <w:r w:rsidRPr="00020BA2">
        <w:rPr>
          <w:vertAlign w:val="subscript"/>
        </w:rPr>
        <w:t>2</w:t>
      </w:r>
      <w:r>
        <w:t>-e per year</w:t>
      </w:r>
      <w:r w:rsidR="00D5237C">
        <w:t xml:space="preserve">.  </w:t>
      </w:r>
      <w:r>
        <w:t>Information collected through national greenhouse and energy reporting provides the basis for assessing liability under the tax arrangements.</w:t>
      </w:r>
    </w:p>
    <w:p w:rsidR="00020BA2" w:rsidRDefault="00020BA2" w:rsidP="00020BA2">
      <w:pPr>
        <w:pStyle w:val="base-text-paragraph"/>
        <w:numPr>
          <w:ilvl w:val="0"/>
          <w:numId w:val="0"/>
        </w:numPr>
        <w:ind w:left="1134"/>
      </w:pPr>
      <w:r>
        <w:t>The carbon tax covers approximately 60 per cent of Australia's carbon emissions including from electricity generation, natural gas supply, stationary energy, landfills, wastewater, industrial processes and fugitive emissions; Table A1 displays the proportion of emissions by industry according to reported interim emissions numbers for 2012-13</w:t>
      </w:r>
      <w:r w:rsidR="00D5237C">
        <w:t xml:space="preserve">.  </w:t>
      </w:r>
      <w:r>
        <w:t>It should be noted that these are interim numbers and do not represent the full year’s emissions data and that, due to the effect of the industry support programs described in this RIS, do not fully reflect the relative impact of the carbon tax on the various industries.</w:t>
      </w:r>
    </w:p>
    <w:p w:rsidR="00020BA2" w:rsidRDefault="00020BA2" w:rsidP="00020BA2">
      <w:pPr>
        <w:pStyle w:val="Heading3"/>
      </w:pPr>
      <w:r>
        <w:t>Equivalent carbon taxes</w:t>
      </w:r>
    </w:p>
    <w:p w:rsidR="00020BA2" w:rsidRDefault="00020BA2" w:rsidP="00020BA2">
      <w:pPr>
        <w:pStyle w:val="base-text-paragraph"/>
        <w:numPr>
          <w:ilvl w:val="0"/>
          <w:numId w:val="0"/>
        </w:numPr>
        <w:ind w:left="1134"/>
      </w:pPr>
      <w:r>
        <w:t>In addition to the carbon tax on liable entities, a number of businesses pay an equivalent carbon tax on liquid fuels and on synthetic greenhouse gases.</w:t>
      </w:r>
    </w:p>
    <w:p w:rsidR="00020BA2" w:rsidRDefault="00020BA2" w:rsidP="00020BA2">
      <w:pPr>
        <w:pStyle w:val="dotpoint"/>
      </w:pPr>
      <w:r>
        <w:t>Some businesses effectively pay no excise or excise-equivalent customs duty (fuel tax) on the fuel they use off-road, as their ‘fuel tax’ is offset under the fuel tax credits scheme</w:t>
      </w:r>
      <w:r w:rsidR="00D5237C">
        <w:t xml:space="preserve">.  </w:t>
      </w:r>
      <w:r>
        <w:t>By reducing applicable fuel tax credits by an amount equal to the carbon tax, the Government imposes an effective carbon tax on businesses’ liquid fuel emissions through the existing fuel tax regime</w:t>
      </w:r>
      <w:r w:rsidR="00D5237C">
        <w:t xml:space="preserve">.  </w:t>
      </w:r>
      <w:r>
        <w:t>Aviation fuel that is not covered by the carbon pricing mechanism has had an increase in fuel tax representing the equivalent carbon price.</w:t>
      </w:r>
    </w:p>
    <w:p w:rsidR="00020BA2" w:rsidRDefault="00020BA2" w:rsidP="00020BA2">
      <w:pPr>
        <w:pStyle w:val="dotpoint"/>
      </w:pPr>
      <w:r>
        <w:t>Synthetic greenhouse gases are industrial chemicals used mainly as refrigerant gases in air conditioning and refrigeration equipment, but also for other purposes</w:t>
      </w:r>
      <w:r w:rsidR="00D5237C">
        <w:t xml:space="preserve">.  </w:t>
      </w:r>
      <w:r>
        <w:t>Importers of synthetic greenhouse gases, including in manufactured products, are required to pay an equivalent carbon tax based on the carbon tax and the global warming potential of each gas relative to carbon dioxide</w:t>
      </w:r>
      <w:r w:rsidR="00D5237C">
        <w:t xml:space="preserve">.  </w:t>
      </w:r>
      <w:r>
        <w:t>There are no Australian manufacturers of these gases.</w:t>
      </w:r>
    </w:p>
    <w:p w:rsidR="00020BA2" w:rsidRDefault="00330CB0" w:rsidP="00330CB0">
      <w:pPr>
        <w:pStyle w:val="TableHeadingoutsidetable"/>
        <w:numPr>
          <w:ilvl w:val="0"/>
          <w:numId w:val="0"/>
        </w:numPr>
        <w:ind w:left="1134"/>
      </w:pPr>
      <w:r>
        <w:t>Table 8.3</w:t>
      </w:r>
      <w:r>
        <w:tab/>
      </w:r>
      <w:r w:rsidR="00020BA2">
        <w:t>Reported emissions by industry</w:t>
      </w:r>
      <w:r w:rsidR="00020BA2" w:rsidRPr="00020BA2">
        <w:rPr>
          <w:vertAlign w:val="superscript"/>
        </w:rPr>
        <w:t>a</w:t>
      </w:r>
    </w:p>
    <w:tbl>
      <w:tblPr>
        <w:tblStyle w:val="TableGrid"/>
        <w:tblW w:w="0" w:type="auto"/>
        <w:tblInd w:w="1242" w:type="dxa"/>
        <w:tblLook w:val="04A0" w:firstRow="1" w:lastRow="0" w:firstColumn="1" w:lastColumn="0" w:noHBand="0" w:noVBand="1"/>
      </w:tblPr>
      <w:tblGrid>
        <w:gridCol w:w="4250"/>
        <w:gridCol w:w="2434"/>
      </w:tblGrid>
      <w:tr w:rsidR="00020BA2" w:rsidRPr="006A7E9F" w:rsidTr="00020BA2">
        <w:tc>
          <w:tcPr>
            <w:tcW w:w="4250" w:type="dxa"/>
            <w:tcBorders>
              <w:bottom w:val="single" w:sz="4" w:space="0" w:color="auto"/>
            </w:tcBorders>
            <w:shd w:val="clear" w:color="auto" w:fill="D9D9D9" w:themeFill="background1" w:themeFillShade="D9"/>
          </w:tcPr>
          <w:p w:rsidR="00020BA2" w:rsidRPr="001126E0" w:rsidRDefault="00020BA2" w:rsidP="00020BA2">
            <w:pPr>
              <w:pStyle w:val="tabletext"/>
              <w:ind w:left="0"/>
              <w:rPr>
                <w:b/>
              </w:rPr>
            </w:pPr>
          </w:p>
        </w:tc>
        <w:tc>
          <w:tcPr>
            <w:tcW w:w="2434" w:type="dxa"/>
            <w:tcBorders>
              <w:bottom w:val="single" w:sz="4" w:space="0" w:color="auto"/>
            </w:tcBorders>
            <w:shd w:val="clear" w:color="auto" w:fill="D9D9D9" w:themeFill="background1" w:themeFillShade="D9"/>
          </w:tcPr>
          <w:p w:rsidR="00020BA2" w:rsidRPr="001126E0" w:rsidRDefault="00020BA2" w:rsidP="00020BA2">
            <w:pPr>
              <w:pStyle w:val="tabletext"/>
              <w:ind w:left="54"/>
              <w:rPr>
                <w:b/>
              </w:rPr>
            </w:pPr>
            <w:r w:rsidRPr="001126E0">
              <w:rPr>
                <w:b/>
              </w:rPr>
              <w:t>Proportion of emissions</w:t>
            </w:r>
            <w:r w:rsidRPr="001126E0">
              <w:rPr>
                <w:b/>
                <w:vertAlign w:val="superscript"/>
              </w:rPr>
              <w:t>b</w:t>
            </w:r>
            <w:r w:rsidRPr="001126E0">
              <w:rPr>
                <w:b/>
              </w:rPr>
              <w:br/>
              <w:t>(per cent)</w:t>
            </w:r>
          </w:p>
        </w:tc>
      </w:tr>
      <w:tr w:rsidR="00020BA2" w:rsidRPr="006A7E9F" w:rsidTr="00020BA2">
        <w:tc>
          <w:tcPr>
            <w:tcW w:w="4250" w:type="dxa"/>
            <w:tcBorders>
              <w:bottom w:val="nil"/>
              <w:right w:val="single" w:sz="4" w:space="0" w:color="auto"/>
            </w:tcBorders>
          </w:tcPr>
          <w:p w:rsidR="00020BA2" w:rsidRPr="001126E0" w:rsidRDefault="00020BA2" w:rsidP="00020BA2">
            <w:pPr>
              <w:pStyle w:val="tabletext"/>
              <w:ind w:left="0"/>
              <w:rPr>
                <w:b/>
              </w:rPr>
            </w:pPr>
            <w:r w:rsidRPr="001126E0">
              <w:rPr>
                <w:b/>
              </w:rPr>
              <w:t>Electricity Gas, Water and Waste Services</w:t>
            </w:r>
          </w:p>
        </w:tc>
        <w:tc>
          <w:tcPr>
            <w:tcW w:w="2434" w:type="dxa"/>
            <w:tcBorders>
              <w:left w:val="single" w:sz="4" w:space="0" w:color="auto"/>
              <w:bottom w:val="nil"/>
            </w:tcBorders>
          </w:tcPr>
          <w:p w:rsidR="00020BA2" w:rsidRPr="001126E0" w:rsidRDefault="00020BA2" w:rsidP="00020BA2">
            <w:pPr>
              <w:pStyle w:val="tabletext"/>
              <w:ind w:left="54"/>
              <w:jc w:val="center"/>
              <w:rPr>
                <w:b/>
              </w:rPr>
            </w:pPr>
            <w:r w:rsidRPr="001126E0">
              <w:rPr>
                <w:b/>
              </w:rPr>
              <w:t>63.9</w:t>
            </w:r>
          </w:p>
        </w:tc>
      </w:tr>
      <w:tr w:rsidR="00020BA2" w:rsidRPr="006A7E9F" w:rsidTr="00020BA2">
        <w:tc>
          <w:tcPr>
            <w:tcW w:w="4250" w:type="dxa"/>
            <w:tcBorders>
              <w:top w:val="nil"/>
              <w:bottom w:val="nil"/>
              <w:right w:val="single" w:sz="4" w:space="0" w:color="auto"/>
            </w:tcBorders>
          </w:tcPr>
          <w:p w:rsidR="00020BA2" w:rsidRPr="00C81305" w:rsidRDefault="00020BA2" w:rsidP="00020BA2">
            <w:pPr>
              <w:pStyle w:val="tabletext"/>
              <w:ind w:left="0"/>
            </w:pPr>
            <w:r w:rsidRPr="00C81305">
              <w:t xml:space="preserve">  - Electricity generation</w:t>
            </w:r>
          </w:p>
        </w:tc>
        <w:tc>
          <w:tcPr>
            <w:tcW w:w="2434" w:type="dxa"/>
            <w:tcBorders>
              <w:top w:val="nil"/>
              <w:left w:val="single" w:sz="4" w:space="0" w:color="auto"/>
              <w:bottom w:val="nil"/>
            </w:tcBorders>
          </w:tcPr>
          <w:p w:rsidR="00020BA2" w:rsidRPr="00C81305" w:rsidRDefault="00020BA2" w:rsidP="00020BA2">
            <w:pPr>
              <w:pStyle w:val="tabletext"/>
              <w:ind w:left="54"/>
              <w:jc w:val="center"/>
            </w:pPr>
            <w:r w:rsidRPr="00C81305">
              <w:t>63.1</w:t>
            </w:r>
          </w:p>
        </w:tc>
      </w:tr>
      <w:tr w:rsidR="00020BA2" w:rsidRPr="006A7E9F" w:rsidTr="00020BA2">
        <w:tc>
          <w:tcPr>
            <w:tcW w:w="4250" w:type="dxa"/>
            <w:tcBorders>
              <w:top w:val="nil"/>
              <w:bottom w:val="single" w:sz="4" w:space="0" w:color="auto"/>
              <w:right w:val="single" w:sz="4" w:space="0" w:color="auto"/>
            </w:tcBorders>
          </w:tcPr>
          <w:p w:rsidR="00020BA2" w:rsidRPr="00C81305" w:rsidRDefault="00020BA2" w:rsidP="00020BA2">
            <w:pPr>
              <w:pStyle w:val="tabletext"/>
              <w:ind w:left="0"/>
            </w:pPr>
            <w:r w:rsidRPr="00C81305">
              <w:t xml:space="preserve">  - Gas and water supply</w:t>
            </w:r>
            <w:r w:rsidRPr="00C81305">
              <w:rPr>
                <w:vertAlign w:val="superscript"/>
              </w:rPr>
              <w:t>b</w:t>
            </w:r>
          </w:p>
        </w:tc>
        <w:tc>
          <w:tcPr>
            <w:tcW w:w="2434" w:type="dxa"/>
            <w:tcBorders>
              <w:top w:val="nil"/>
              <w:left w:val="single" w:sz="4" w:space="0" w:color="auto"/>
              <w:bottom w:val="single" w:sz="4" w:space="0" w:color="auto"/>
            </w:tcBorders>
          </w:tcPr>
          <w:p w:rsidR="00020BA2" w:rsidRPr="00C81305" w:rsidRDefault="00020BA2" w:rsidP="00020BA2">
            <w:pPr>
              <w:pStyle w:val="tabletext"/>
              <w:ind w:left="54"/>
              <w:jc w:val="center"/>
            </w:pPr>
            <w:r w:rsidRPr="00C81305">
              <w:t>0.7</w:t>
            </w:r>
          </w:p>
        </w:tc>
      </w:tr>
      <w:tr w:rsidR="00020BA2" w:rsidRPr="006A7E9F" w:rsidTr="00020BA2">
        <w:tc>
          <w:tcPr>
            <w:tcW w:w="4250" w:type="dxa"/>
            <w:tcBorders>
              <w:bottom w:val="nil"/>
            </w:tcBorders>
          </w:tcPr>
          <w:p w:rsidR="00020BA2" w:rsidRPr="001126E0" w:rsidRDefault="00020BA2" w:rsidP="00020BA2">
            <w:pPr>
              <w:pStyle w:val="tabletext"/>
              <w:ind w:left="0"/>
              <w:rPr>
                <w:b/>
              </w:rPr>
            </w:pPr>
            <w:r w:rsidRPr="001126E0">
              <w:rPr>
                <w:b/>
              </w:rPr>
              <w:t>Manufacturing</w:t>
            </w:r>
          </w:p>
        </w:tc>
        <w:tc>
          <w:tcPr>
            <w:tcW w:w="2434" w:type="dxa"/>
            <w:tcBorders>
              <w:bottom w:val="nil"/>
            </w:tcBorders>
          </w:tcPr>
          <w:p w:rsidR="00020BA2" w:rsidRPr="001126E0" w:rsidRDefault="00020BA2" w:rsidP="00020BA2">
            <w:pPr>
              <w:pStyle w:val="tabletext"/>
              <w:ind w:left="54"/>
              <w:jc w:val="center"/>
              <w:rPr>
                <w:b/>
              </w:rPr>
            </w:pPr>
            <w:r w:rsidRPr="001126E0">
              <w:rPr>
                <w:b/>
              </w:rPr>
              <w:t>16.7</w:t>
            </w:r>
          </w:p>
        </w:tc>
      </w:tr>
      <w:tr w:rsidR="00020BA2" w:rsidRPr="006A7E9F" w:rsidTr="00020BA2">
        <w:tc>
          <w:tcPr>
            <w:tcW w:w="4250" w:type="dxa"/>
            <w:tcBorders>
              <w:top w:val="nil"/>
              <w:bottom w:val="nil"/>
            </w:tcBorders>
          </w:tcPr>
          <w:p w:rsidR="00020BA2" w:rsidRPr="00C81305" w:rsidRDefault="00020BA2" w:rsidP="00020BA2">
            <w:pPr>
              <w:pStyle w:val="tabletext"/>
              <w:ind w:left="0"/>
            </w:pPr>
            <w:r w:rsidRPr="00C81305">
              <w:t xml:space="preserve">  - Basic non</w:t>
            </w:r>
            <w:r w:rsidRPr="00C81305">
              <w:rPr>
                <w:rFonts w:ascii="MS Gothic" w:eastAsia="MS Gothic" w:hAnsi="MS Gothic" w:cs="MS Gothic" w:hint="eastAsia"/>
              </w:rPr>
              <w:t>‑</w:t>
            </w:r>
            <w:r w:rsidRPr="00C81305">
              <w:t>ferrous metal manufacturing</w:t>
            </w:r>
          </w:p>
        </w:tc>
        <w:tc>
          <w:tcPr>
            <w:tcW w:w="2434" w:type="dxa"/>
            <w:tcBorders>
              <w:top w:val="nil"/>
              <w:bottom w:val="nil"/>
            </w:tcBorders>
          </w:tcPr>
          <w:p w:rsidR="00020BA2" w:rsidRPr="00C81305" w:rsidRDefault="00020BA2" w:rsidP="00020BA2">
            <w:pPr>
              <w:pStyle w:val="tabletext"/>
              <w:ind w:left="54"/>
              <w:jc w:val="center"/>
            </w:pPr>
            <w:r w:rsidRPr="00C81305">
              <w:t>5.1</w:t>
            </w:r>
          </w:p>
        </w:tc>
      </w:tr>
      <w:tr w:rsidR="00020BA2" w:rsidRPr="006A7E9F" w:rsidTr="00020BA2">
        <w:tc>
          <w:tcPr>
            <w:tcW w:w="4250" w:type="dxa"/>
            <w:tcBorders>
              <w:top w:val="nil"/>
              <w:bottom w:val="nil"/>
            </w:tcBorders>
          </w:tcPr>
          <w:p w:rsidR="00020BA2" w:rsidRPr="00C81305" w:rsidRDefault="00020BA2" w:rsidP="00020BA2">
            <w:pPr>
              <w:pStyle w:val="tabletext"/>
              <w:ind w:left="0"/>
            </w:pPr>
            <w:r w:rsidRPr="00C81305">
              <w:t xml:space="preserve">  - Basic ferrous metal manufacturing</w:t>
            </w:r>
          </w:p>
        </w:tc>
        <w:tc>
          <w:tcPr>
            <w:tcW w:w="2434" w:type="dxa"/>
            <w:tcBorders>
              <w:top w:val="nil"/>
              <w:bottom w:val="nil"/>
            </w:tcBorders>
          </w:tcPr>
          <w:p w:rsidR="00020BA2" w:rsidRPr="00C81305" w:rsidRDefault="00020BA2" w:rsidP="00020BA2">
            <w:pPr>
              <w:pStyle w:val="tabletext"/>
              <w:ind w:left="54"/>
              <w:jc w:val="center"/>
            </w:pPr>
            <w:r w:rsidRPr="00C81305">
              <w:t>3.3</w:t>
            </w:r>
          </w:p>
        </w:tc>
      </w:tr>
      <w:tr w:rsidR="00020BA2" w:rsidRPr="006A7E9F" w:rsidTr="00020BA2">
        <w:tc>
          <w:tcPr>
            <w:tcW w:w="4250" w:type="dxa"/>
            <w:tcBorders>
              <w:top w:val="nil"/>
              <w:bottom w:val="nil"/>
            </w:tcBorders>
          </w:tcPr>
          <w:p w:rsidR="00020BA2" w:rsidRPr="00C81305" w:rsidRDefault="00020BA2" w:rsidP="00020BA2">
            <w:pPr>
              <w:pStyle w:val="tabletext"/>
              <w:ind w:left="0"/>
            </w:pPr>
            <w:r w:rsidRPr="00C81305">
              <w:t xml:space="preserve">  - Cement, lime, plaster and concrete product manufacturing</w:t>
            </w:r>
          </w:p>
        </w:tc>
        <w:tc>
          <w:tcPr>
            <w:tcW w:w="2434" w:type="dxa"/>
            <w:tcBorders>
              <w:top w:val="nil"/>
              <w:bottom w:val="nil"/>
            </w:tcBorders>
          </w:tcPr>
          <w:p w:rsidR="00020BA2" w:rsidRPr="00C81305" w:rsidRDefault="00020BA2" w:rsidP="00020BA2">
            <w:pPr>
              <w:pStyle w:val="tabletext"/>
              <w:ind w:left="54"/>
              <w:jc w:val="center"/>
            </w:pPr>
            <w:r w:rsidRPr="00C81305">
              <w:t>2.5</w:t>
            </w:r>
          </w:p>
        </w:tc>
      </w:tr>
      <w:tr w:rsidR="00020BA2" w:rsidRPr="006A7E9F" w:rsidTr="00020BA2">
        <w:tc>
          <w:tcPr>
            <w:tcW w:w="4250" w:type="dxa"/>
            <w:tcBorders>
              <w:top w:val="nil"/>
              <w:bottom w:val="nil"/>
            </w:tcBorders>
          </w:tcPr>
          <w:p w:rsidR="00020BA2" w:rsidRPr="00C81305" w:rsidRDefault="00020BA2" w:rsidP="00020BA2">
            <w:pPr>
              <w:pStyle w:val="tabletext"/>
              <w:ind w:left="0"/>
            </w:pPr>
            <w:r w:rsidRPr="00C81305">
              <w:t xml:space="preserve">  - Petroleum and coal product manufacturing</w:t>
            </w:r>
          </w:p>
        </w:tc>
        <w:tc>
          <w:tcPr>
            <w:tcW w:w="2434" w:type="dxa"/>
            <w:tcBorders>
              <w:top w:val="nil"/>
              <w:bottom w:val="nil"/>
            </w:tcBorders>
          </w:tcPr>
          <w:p w:rsidR="00020BA2" w:rsidRPr="00C81305" w:rsidRDefault="00020BA2" w:rsidP="00020BA2">
            <w:pPr>
              <w:pStyle w:val="tabletext"/>
              <w:ind w:left="54"/>
              <w:jc w:val="center"/>
            </w:pPr>
            <w:r w:rsidRPr="00C81305">
              <w:t>1.8</w:t>
            </w:r>
          </w:p>
        </w:tc>
      </w:tr>
      <w:tr w:rsidR="00020BA2" w:rsidRPr="006A7E9F" w:rsidTr="00020BA2">
        <w:tc>
          <w:tcPr>
            <w:tcW w:w="4250" w:type="dxa"/>
            <w:tcBorders>
              <w:top w:val="nil"/>
              <w:bottom w:val="nil"/>
            </w:tcBorders>
          </w:tcPr>
          <w:p w:rsidR="00020BA2" w:rsidRPr="00C81305" w:rsidRDefault="00020BA2" w:rsidP="00020BA2">
            <w:pPr>
              <w:pStyle w:val="tabletext"/>
              <w:ind w:left="0"/>
            </w:pPr>
            <w:r w:rsidRPr="00C81305">
              <w:t xml:space="preserve">  - Fertiliser and pesticide manufacturing</w:t>
            </w:r>
          </w:p>
        </w:tc>
        <w:tc>
          <w:tcPr>
            <w:tcW w:w="2434" w:type="dxa"/>
            <w:tcBorders>
              <w:top w:val="nil"/>
              <w:bottom w:val="nil"/>
            </w:tcBorders>
          </w:tcPr>
          <w:p w:rsidR="00020BA2" w:rsidRPr="00C81305" w:rsidRDefault="00020BA2" w:rsidP="00020BA2">
            <w:pPr>
              <w:pStyle w:val="tabletext"/>
              <w:ind w:left="54"/>
              <w:jc w:val="center"/>
            </w:pPr>
            <w:r w:rsidRPr="00C81305">
              <w:t>1.2</w:t>
            </w:r>
          </w:p>
        </w:tc>
      </w:tr>
      <w:tr w:rsidR="00020BA2" w:rsidRPr="006A7E9F" w:rsidTr="00020BA2">
        <w:tc>
          <w:tcPr>
            <w:tcW w:w="4250" w:type="dxa"/>
            <w:tcBorders>
              <w:top w:val="nil"/>
              <w:bottom w:val="single" w:sz="4" w:space="0" w:color="auto"/>
            </w:tcBorders>
          </w:tcPr>
          <w:p w:rsidR="00020BA2" w:rsidRPr="00C81305" w:rsidRDefault="00020BA2" w:rsidP="00020BA2">
            <w:pPr>
              <w:pStyle w:val="tabletext"/>
              <w:ind w:left="0"/>
            </w:pPr>
            <w:r w:rsidRPr="00C81305">
              <w:t xml:space="preserve">  - Other manufacturing</w:t>
            </w:r>
            <w:r w:rsidRPr="00C81305">
              <w:rPr>
                <w:vertAlign w:val="superscript"/>
              </w:rPr>
              <w:t>c</w:t>
            </w:r>
          </w:p>
        </w:tc>
        <w:tc>
          <w:tcPr>
            <w:tcW w:w="2434" w:type="dxa"/>
            <w:tcBorders>
              <w:top w:val="nil"/>
              <w:bottom w:val="single" w:sz="4" w:space="0" w:color="auto"/>
            </w:tcBorders>
          </w:tcPr>
          <w:p w:rsidR="00020BA2" w:rsidRPr="00C81305" w:rsidRDefault="00020BA2" w:rsidP="00020BA2">
            <w:pPr>
              <w:pStyle w:val="tabletext"/>
              <w:ind w:left="54"/>
              <w:jc w:val="center"/>
            </w:pPr>
            <w:r w:rsidRPr="00C81305">
              <w:t>2.7</w:t>
            </w:r>
          </w:p>
        </w:tc>
      </w:tr>
      <w:tr w:rsidR="00020BA2" w:rsidRPr="006A7E9F" w:rsidTr="00020BA2">
        <w:tc>
          <w:tcPr>
            <w:tcW w:w="4250" w:type="dxa"/>
            <w:tcBorders>
              <w:bottom w:val="nil"/>
            </w:tcBorders>
          </w:tcPr>
          <w:p w:rsidR="00020BA2" w:rsidRPr="001126E0" w:rsidRDefault="00020BA2" w:rsidP="00020BA2">
            <w:pPr>
              <w:pStyle w:val="tabletext"/>
              <w:ind w:left="0"/>
              <w:rPr>
                <w:b/>
              </w:rPr>
            </w:pPr>
            <w:r w:rsidRPr="001126E0">
              <w:rPr>
                <w:b/>
              </w:rPr>
              <w:t xml:space="preserve">Mining </w:t>
            </w:r>
          </w:p>
        </w:tc>
        <w:tc>
          <w:tcPr>
            <w:tcW w:w="2434" w:type="dxa"/>
            <w:tcBorders>
              <w:bottom w:val="nil"/>
            </w:tcBorders>
          </w:tcPr>
          <w:p w:rsidR="00020BA2" w:rsidRPr="001126E0" w:rsidRDefault="00020BA2" w:rsidP="00020BA2">
            <w:pPr>
              <w:pStyle w:val="tabletext"/>
              <w:ind w:left="54"/>
              <w:jc w:val="center"/>
              <w:rPr>
                <w:b/>
              </w:rPr>
            </w:pPr>
            <w:r w:rsidRPr="001126E0">
              <w:rPr>
                <w:b/>
              </w:rPr>
              <w:t>14.7</w:t>
            </w:r>
          </w:p>
        </w:tc>
      </w:tr>
      <w:tr w:rsidR="00020BA2" w:rsidRPr="006A7E9F" w:rsidTr="00020BA2">
        <w:tc>
          <w:tcPr>
            <w:tcW w:w="4250" w:type="dxa"/>
            <w:tcBorders>
              <w:top w:val="nil"/>
              <w:bottom w:val="nil"/>
            </w:tcBorders>
          </w:tcPr>
          <w:p w:rsidR="00020BA2" w:rsidRPr="00C81305" w:rsidRDefault="00020BA2" w:rsidP="00020BA2">
            <w:pPr>
              <w:pStyle w:val="tabletext"/>
              <w:ind w:left="0"/>
            </w:pPr>
            <w:r w:rsidRPr="00C81305">
              <w:t xml:space="preserve">  - Coal mining</w:t>
            </w:r>
          </w:p>
        </w:tc>
        <w:tc>
          <w:tcPr>
            <w:tcW w:w="2434" w:type="dxa"/>
            <w:tcBorders>
              <w:top w:val="nil"/>
              <w:bottom w:val="nil"/>
            </w:tcBorders>
          </w:tcPr>
          <w:p w:rsidR="00020BA2" w:rsidRPr="00C81305" w:rsidRDefault="00020BA2" w:rsidP="00020BA2">
            <w:pPr>
              <w:pStyle w:val="tabletext"/>
              <w:ind w:left="54"/>
              <w:jc w:val="center"/>
            </w:pPr>
            <w:r w:rsidRPr="00C81305">
              <w:t>7.6</w:t>
            </w:r>
          </w:p>
        </w:tc>
      </w:tr>
      <w:tr w:rsidR="00020BA2" w:rsidRPr="006A7E9F" w:rsidTr="00020BA2">
        <w:tc>
          <w:tcPr>
            <w:tcW w:w="4250" w:type="dxa"/>
            <w:tcBorders>
              <w:top w:val="nil"/>
              <w:bottom w:val="nil"/>
            </w:tcBorders>
          </w:tcPr>
          <w:p w:rsidR="00020BA2" w:rsidRPr="00C81305" w:rsidRDefault="00020BA2" w:rsidP="00020BA2">
            <w:pPr>
              <w:pStyle w:val="tabletext"/>
              <w:ind w:left="0"/>
            </w:pPr>
            <w:r w:rsidRPr="00C81305">
              <w:t xml:space="preserve">  - Oil and gas extraction</w:t>
            </w:r>
          </w:p>
        </w:tc>
        <w:tc>
          <w:tcPr>
            <w:tcW w:w="2434" w:type="dxa"/>
            <w:tcBorders>
              <w:top w:val="nil"/>
              <w:bottom w:val="nil"/>
            </w:tcBorders>
          </w:tcPr>
          <w:p w:rsidR="00020BA2" w:rsidRPr="00C81305" w:rsidRDefault="00020BA2" w:rsidP="00020BA2">
            <w:pPr>
              <w:pStyle w:val="tabletext"/>
              <w:ind w:left="54"/>
              <w:jc w:val="center"/>
            </w:pPr>
            <w:r w:rsidRPr="00C81305">
              <w:t>6.5</w:t>
            </w:r>
          </w:p>
        </w:tc>
      </w:tr>
      <w:tr w:rsidR="00020BA2" w:rsidRPr="006A7E9F" w:rsidTr="00020BA2">
        <w:tc>
          <w:tcPr>
            <w:tcW w:w="4250" w:type="dxa"/>
            <w:tcBorders>
              <w:top w:val="nil"/>
            </w:tcBorders>
          </w:tcPr>
          <w:p w:rsidR="00020BA2" w:rsidRPr="00C81305" w:rsidRDefault="00020BA2" w:rsidP="00020BA2">
            <w:pPr>
              <w:pStyle w:val="tabletext"/>
              <w:ind w:left="0"/>
            </w:pPr>
            <w:r w:rsidRPr="00C81305">
              <w:t xml:space="preserve">  - Metal ore mining</w:t>
            </w:r>
          </w:p>
        </w:tc>
        <w:tc>
          <w:tcPr>
            <w:tcW w:w="2434" w:type="dxa"/>
            <w:tcBorders>
              <w:top w:val="nil"/>
            </w:tcBorders>
          </w:tcPr>
          <w:p w:rsidR="00020BA2" w:rsidRPr="00C81305" w:rsidRDefault="00020BA2" w:rsidP="00020BA2">
            <w:pPr>
              <w:pStyle w:val="tabletext"/>
              <w:ind w:left="54"/>
              <w:jc w:val="center"/>
            </w:pPr>
            <w:r w:rsidRPr="00C81305">
              <w:t>0.7</w:t>
            </w:r>
          </w:p>
        </w:tc>
      </w:tr>
      <w:tr w:rsidR="00020BA2" w:rsidRPr="006A7E9F" w:rsidTr="00020BA2">
        <w:tc>
          <w:tcPr>
            <w:tcW w:w="4250" w:type="dxa"/>
          </w:tcPr>
          <w:p w:rsidR="00020BA2" w:rsidRPr="001126E0" w:rsidRDefault="00020BA2" w:rsidP="00020BA2">
            <w:pPr>
              <w:pStyle w:val="tabletext"/>
              <w:ind w:left="0"/>
              <w:rPr>
                <w:b/>
              </w:rPr>
            </w:pPr>
            <w:r w:rsidRPr="001126E0">
              <w:rPr>
                <w:b/>
              </w:rPr>
              <w:t>Natural Gas Supply embodied emissions</w:t>
            </w:r>
            <w:r w:rsidRPr="001126E0">
              <w:rPr>
                <w:b/>
                <w:vertAlign w:val="superscript"/>
              </w:rPr>
              <w:t>d</w:t>
            </w:r>
          </w:p>
        </w:tc>
        <w:tc>
          <w:tcPr>
            <w:tcW w:w="2434" w:type="dxa"/>
          </w:tcPr>
          <w:p w:rsidR="00020BA2" w:rsidRPr="001126E0" w:rsidRDefault="00020BA2" w:rsidP="00020BA2">
            <w:pPr>
              <w:pStyle w:val="tabletext"/>
              <w:ind w:left="54"/>
              <w:jc w:val="center"/>
              <w:rPr>
                <w:b/>
              </w:rPr>
            </w:pPr>
            <w:r w:rsidRPr="001126E0">
              <w:rPr>
                <w:b/>
              </w:rPr>
              <w:t>4.8</w:t>
            </w:r>
          </w:p>
        </w:tc>
      </w:tr>
    </w:tbl>
    <w:p w:rsidR="00842EF2" w:rsidRDefault="00020BA2" w:rsidP="00020BA2">
      <w:pPr>
        <w:pStyle w:val="base-text-paragraph"/>
        <w:numPr>
          <w:ilvl w:val="0"/>
          <w:numId w:val="0"/>
        </w:numPr>
        <w:ind w:left="1134"/>
        <w:rPr>
          <w:sz w:val="18"/>
          <w:szCs w:val="18"/>
        </w:rPr>
      </w:pPr>
      <w:r w:rsidRPr="001126E0">
        <w:rPr>
          <w:i/>
          <w:sz w:val="18"/>
          <w:szCs w:val="18"/>
        </w:rPr>
        <w:t>Notes</w:t>
      </w:r>
      <w:r w:rsidRPr="001126E0">
        <w:rPr>
          <w:sz w:val="18"/>
          <w:szCs w:val="18"/>
        </w:rPr>
        <w:t xml:space="preserve">: </w:t>
      </w:r>
      <w:r w:rsidRPr="001126E0">
        <w:rPr>
          <w:b/>
          <w:sz w:val="18"/>
          <w:szCs w:val="18"/>
        </w:rPr>
        <w:t>a</w:t>
      </w:r>
      <w:r w:rsidR="00D5237C" w:rsidRPr="001126E0">
        <w:rPr>
          <w:sz w:val="18"/>
          <w:szCs w:val="18"/>
        </w:rPr>
        <w:t xml:space="preserve">.  </w:t>
      </w:r>
      <w:r w:rsidRPr="001126E0">
        <w:rPr>
          <w:sz w:val="18"/>
          <w:szCs w:val="18"/>
        </w:rPr>
        <w:t>Emissions are the Interim Emissions Numbers reported in June 2013</w:t>
      </w:r>
      <w:r w:rsidR="00D5237C" w:rsidRPr="001126E0">
        <w:rPr>
          <w:sz w:val="18"/>
          <w:szCs w:val="18"/>
        </w:rPr>
        <w:t xml:space="preserve">.  </w:t>
      </w:r>
      <w:r w:rsidRPr="001126E0">
        <w:rPr>
          <w:sz w:val="18"/>
          <w:szCs w:val="18"/>
        </w:rPr>
        <w:t>An Interim Emissions Number is: for a direct emitter 75 per cent of the provisional emissions numbers relating to the relevant facilities for the 2011-12 financial year, or an estimate of 75 per cent of the person's provisional emissions number relating to the relevant facilities for 2012-13; for a natural gas supplier that person's provisional emissions number in relation to the supply of natural gas/fuel for the nine months to 31 March 2013</w:t>
      </w:r>
      <w:r w:rsidR="00D5237C" w:rsidRPr="001126E0">
        <w:rPr>
          <w:sz w:val="18"/>
          <w:szCs w:val="18"/>
        </w:rPr>
        <w:t xml:space="preserve">.  </w:t>
      </w:r>
      <w:r w:rsidRPr="001126E0">
        <w:rPr>
          <w:sz w:val="18"/>
          <w:szCs w:val="18"/>
        </w:rPr>
        <w:t>Emissions from waste to landfill are not included in estimates as waste deposited prior to 2012-13 is not liable</w:t>
      </w:r>
      <w:r w:rsidR="00D5237C" w:rsidRPr="001126E0">
        <w:rPr>
          <w:sz w:val="18"/>
          <w:szCs w:val="18"/>
        </w:rPr>
        <w:t xml:space="preserve">.  </w:t>
      </w:r>
      <w:r w:rsidRPr="001126E0">
        <w:rPr>
          <w:sz w:val="18"/>
          <w:szCs w:val="18"/>
        </w:rPr>
        <w:t>Numbers may not add due to rounding</w:t>
      </w:r>
      <w:r w:rsidR="00D5237C" w:rsidRPr="001126E0">
        <w:rPr>
          <w:sz w:val="18"/>
          <w:szCs w:val="18"/>
        </w:rPr>
        <w:t xml:space="preserve">.  </w:t>
      </w:r>
    </w:p>
    <w:p w:rsidR="00842EF2" w:rsidRDefault="00020BA2" w:rsidP="00020BA2">
      <w:pPr>
        <w:pStyle w:val="base-text-paragraph"/>
        <w:numPr>
          <w:ilvl w:val="0"/>
          <w:numId w:val="0"/>
        </w:numPr>
        <w:ind w:left="1134"/>
        <w:rPr>
          <w:sz w:val="18"/>
          <w:szCs w:val="18"/>
        </w:rPr>
      </w:pPr>
      <w:r w:rsidRPr="001126E0">
        <w:rPr>
          <w:b/>
          <w:sz w:val="18"/>
          <w:szCs w:val="18"/>
        </w:rPr>
        <w:t>b</w:t>
      </w:r>
      <w:r w:rsidR="00D5237C" w:rsidRPr="001126E0">
        <w:rPr>
          <w:b/>
          <w:sz w:val="18"/>
          <w:szCs w:val="18"/>
        </w:rPr>
        <w:t>.</w:t>
      </w:r>
      <w:r w:rsidR="00D5237C" w:rsidRPr="001126E0">
        <w:rPr>
          <w:sz w:val="18"/>
          <w:szCs w:val="18"/>
        </w:rPr>
        <w:t xml:space="preserve">  </w:t>
      </w:r>
      <w:r w:rsidRPr="001126E0">
        <w:rPr>
          <w:sz w:val="18"/>
          <w:szCs w:val="18"/>
        </w:rPr>
        <w:t>Includes emissions from water supply, waste and drainage services and gas supply (both through a pipeline or mains system)</w:t>
      </w:r>
      <w:r w:rsidR="00D5237C" w:rsidRPr="001126E0">
        <w:rPr>
          <w:sz w:val="18"/>
          <w:szCs w:val="18"/>
        </w:rPr>
        <w:t xml:space="preserve">.  </w:t>
      </w:r>
    </w:p>
    <w:p w:rsidR="00842EF2" w:rsidRDefault="00020BA2" w:rsidP="00020BA2">
      <w:pPr>
        <w:pStyle w:val="base-text-paragraph"/>
        <w:numPr>
          <w:ilvl w:val="0"/>
          <w:numId w:val="0"/>
        </w:numPr>
        <w:ind w:left="1134"/>
        <w:rPr>
          <w:sz w:val="18"/>
          <w:szCs w:val="18"/>
        </w:rPr>
      </w:pPr>
      <w:r w:rsidRPr="001126E0">
        <w:rPr>
          <w:b/>
          <w:sz w:val="18"/>
          <w:szCs w:val="18"/>
        </w:rPr>
        <w:t>c</w:t>
      </w:r>
      <w:r w:rsidR="00D5237C" w:rsidRPr="001126E0">
        <w:rPr>
          <w:b/>
          <w:sz w:val="18"/>
          <w:szCs w:val="18"/>
        </w:rPr>
        <w:t>.</w:t>
      </w:r>
      <w:r w:rsidR="00D5237C" w:rsidRPr="001126E0">
        <w:rPr>
          <w:sz w:val="18"/>
          <w:szCs w:val="18"/>
        </w:rPr>
        <w:t xml:space="preserve">  </w:t>
      </w:r>
      <w:r w:rsidRPr="001126E0">
        <w:rPr>
          <w:sz w:val="18"/>
          <w:szCs w:val="18"/>
        </w:rPr>
        <w:t>Includes 14 ANZSIC subdivisions including emissions associated with agricultural manufacturing processes (e.g</w:t>
      </w:r>
      <w:r w:rsidR="00D5237C" w:rsidRPr="001126E0">
        <w:rPr>
          <w:sz w:val="18"/>
          <w:szCs w:val="18"/>
        </w:rPr>
        <w:t xml:space="preserve">.  </w:t>
      </w:r>
      <w:r w:rsidRPr="001126E0">
        <w:rPr>
          <w:sz w:val="18"/>
          <w:szCs w:val="18"/>
        </w:rPr>
        <w:t>dairy, meat and grain product manufacturing)</w:t>
      </w:r>
      <w:r w:rsidR="00D5237C" w:rsidRPr="001126E0">
        <w:rPr>
          <w:sz w:val="18"/>
          <w:szCs w:val="18"/>
        </w:rPr>
        <w:t xml:space="preserve">.  </w:t>
      </w:r>
    </w:p>
    <w:p w:rsidR="00020BA2" w:rsidRPr="001126E0" w:rsidRDefault="00020BA2" w:rsidP="00020BA2">
      <w:pPr>
        <w:pStyle w:val="base-text-paragraph"/>
        <w:numPr>
          <w:ilvl w:val="0"/>
          <w:numId w:val="0"/>
        </w:numPr>
        <w:ind w:left="1134"/>
        <w:rPr>
          <w:sz w:val="18"/>
          <w:szCs w:val="18"/>
        </w:rPr>
      </w:pPr>
      <w:r w:rsidRPr="001126E0">
        <w:rPr>
          <w:b/>
          <w:sz w:val="18"/>
          <w:szCs w:val="18"/>
        </w:rPr>
        <w:t>d</w:t>
      </w:r>
      <w:r w:rsidR="00D5237C" w:rsidRPr="001126E0">
        <w:rPr>
          <w:b/>
          <w:sz w:val="18"/>
          <w:szCs w:val="18"/>
        </w:rPr>
        <w:t>.</w:t>
      </w:r>
      <w:r w:rsidR="00D5237C" w:rsidRPr="001126E0">
        <w:rPr>
          <w:sz w:val="18"/>
          <w:szCs w:val="18"/>
        </w:rPr>
        <w:t xml:space="preserve">  </w:t>
      </w:r>
      <w:r w:rsidRPr="001126E0">
        <w:rPr>
          <w:sz w:val="18"/>
          <w:szCs w:val="18"/>
        </w:rPr>
        <w:t>Includes embodied emissions from natural gas supply</w:t>
      </w:r>
      <w:r w:rsidR="00D5237C" w:rsidRPr="001126E0">
        <w:rPr>
          <w:sz w:val="18"/>
          <w:szCs w:val="18"/>
        </w:rPr>
        <w:t xml:space="preserve">.  </w:t>
      </w:r>
      <w:r w:rsidRPr="001126E0">
        <w:rPr>
          <w:sz w:val="18"/>
          <w:szCs w:val="18"/>
        </w:rPr>
        <w:t>Excludes emissions from natural gas supplied to large gas consuming facilities, which are included in the totals for each industry sector above.</w:t>
      </w:r>
    </w:p>
    <w:p w:rsidR="00020BA2" w:rsidRPr="001126E0" w:rsidRDefault="00020BA2" w:rsidP="00020BA2">
      <w:pPr>
        <w:pStyle w:val="base-text-paragraph"/>
        <w:numPr>
          <w:ilvl w:val="0"/>
          <w:numId w:val="0"/>
        </w:numPr>
        <w:ind w:left="1134"/>
        <w:rPr>
          <w:i/>
          <w:sz w:val="18"/>
          <w:szCs w:val="18"/>
        </w:rPr>
      </w:pPr>
      <w:r w:rsidRPr="001126E0">
        <w:rPr>
          <w:i/>
          <w:sz w:val="18"/>
          <w:szCs w:val="18"/>
        </w:rPr>
        <w:t>Source: Clean Energy Regulator, unpublished.</w:t>
      </w:r>
    </w:p>
    <w:p w:rsidR="00B3000A" w:rsidRDefault="00B3000A" w:rsidP="00B3000A">
      <w:pPr>
        <w:pStyle w:val="Heading2"/>
      </w:pPr>
      <w:r>
        <w:t>RIS Attachment B: List of Stakeholders consulted</w:t>
      </w:r>
    </w:p>
    <w:p w:rsidR="00B3000A" w:rsidRDefault="00B3000A" w:rsidP="00B3000A">
      <w:pPr>
        <w:pStyle w:val="Heading3"/>
      </w:pPr>
      <w:r>
        <w:t>Carbon Tax Repeal Stakeholder Engagement</w:t>
      </w:r>
    </w:p>
    <w:p w:rsidR="00B3000A" w:rsidRPr="001126E0" w:rsidRDefault="00B3000A" w:rsidP="00B3000A">
      <w:pPr>
        <w:pStyle w:val="base-text-paragraph"/>
        <w:numPr>
          <w:ilvl w:val="0"/>
          <w:numId w:val="0"/>
        </w:numPr>
        <w:ind w:left="1134"/>
        <w:rPr>
          <w:b/>
        </w:rPr>
      </w:pPr>
      <w:r w:rsidRPr="001126E0">
        <w:rPr>
          <w:b/>
        </w:rPr>
        <w:t xml:space="preserve">Summary of stakeholder engagement (as at </w:t>
      </w:r>
      <w:r w:rsidR="00474FF7" w:rsidRPr="001126E0">
        <w:rPr>
          <w:b/>
        </w:rPr>
        <w:t>5:00</w:t>
      </w:r>
      <w:r w:rsidRPr="001126E0">
        <w:rPr>
          <w:b/>
        </w:rPr>
        <w:t xml:space="preserve"> pm on Thursday, 7</w:t>
      </w:r>
      <w:r w:rsidR="00474FF7" w:rsidRPr="001126E0">
        <w:rPr>
          <w:b/>
        </w:rPr>
        <w:t> </w:t>
      </w:r>
      <w:r w:rsidRPr="001126E0">
        <w:rPr>
          <w:b/>
        </w:rPr>
        <w:t>November 2013):</w:t>
      </w:r>
    </w:p>
    <w:tbl>
      <w:tblPr>
        <w:tblW w:w="0" w:type="auto"/>
        <w:tblInd w:w="1242" w:type="dxa"/>
        <w:tblCellMar>
          <w:left w:w="0" w:type="dxa"/>
          <w:right w:w="0" w:type="dxa"/>
        </w:tblCellMar>
        <w:tblLook w:val="04A0" w:firstRow="1" w:lastRow="0" w:firstColumn="1" w:lastColumn="0" w:noHBand="0" w:noVBand="1"/>
      </w:tblPr>
      <w:tblGrid>
        <w:gridCol w:w="2268"/>
        <w:gridCol w:w="4416"/>
      </w:tblGrid>
      <w:tr w:rsidR="00B3000A" w:rsidRPr="00900697" w:rsidTr="00B3000A">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3000A" w:rsidRPr="00490DAC" w:rsidRDefault="00B3000A" w:rsidP="00B3000A">
            <w:pPr>
              <w:pStyle w:val="tabletext"/>
              <w:rPr>
                <w:b/>
                <w:i/>
              </w:rPr>
            </w:pPr>
            <w:r w:rsidRPr="00490DAC">
              <w:rPr>
                <w:b/>
                <w:i/>
              </w:rPr>
              <w:t>Total number of meetings or teleconferences:</w:t>
            </w:r>
          </w:p>
        </w:tc>
        <w:tc>
          <w:tcPr>
            <w:tcW w:w="441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3000A" w:rsidRPr="00DC354D" w:rsidRDefault="00B3000A" w:rsidP="00B3000A">
            <w:pPr>
              <w:pStyle w:val="tabletext"/>
              <w:rPr>
                <w:bCs/>
                <w:highlight w:val="yellow"/>
              </w:rPr>
            </w:pPr>
            <w:r w:rsidRPr="00063420">
              <w:rPr>
                <w:bCs/>
              </w:rPr>
              <w:t>42</w:t>
            </w:r>
          </w:p>
        </w:tc>
      </w:tr>
      <w:tr w:rsidR="00B3000A" w:rsidRPr="00900697" w:rsidTr="00B3000A">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3000A" w:rsidRPr="00490DAC" w:rsidRDefault="00B3000A" w:rsidP="00B3000A">
            <w:pPr>
              <w:pStyle w:val="tabletext"/>
              <w:rPr>
                <w:b/>
                <w:i/>
              </w:rPr>
            </w:pPr>
            <w:r w:rsidRPr="00490DAC">
              <w:rPr>
                <w:b/>
                <w:i/>
              </w:rPr>
              <w:t>Submissions or emails addressing content of bills received:</w:t>
            </w:r>
          </w:p>
        </w:tc>
        <w:tc>
          <w:tcPr>
            <w:tcW w:w="4416" w:type="dxa"/>
            <w:tcBorders>
              <w:top w:val="nil"/>
              <w:left w:val="nil"/>
              <w:bottom w:val="single" w:sz="8" w:space="0" w:color="000000"/>
              <w:right w:val="single" w:sz="8" w:space="0" w:color="000000"/>
            </w:tcBorders>
            <w:tcMar>
              <w:top w:w="0" w:type="dxa"/>
              <w:left w:w="108" w:type="dxa"/>
              <w:bottom w:w="0" w:type="dxa"/>
              <w:right w:w="108" w:type="dxa"/>
            </w:tcMar>
            <w:hideMark/>
          </w:tcPr>
          <w:p w:rsidR="00B3000A" w:rsidRDefault="00B3000A" w:rsidP="00B3000A">
            <w:pPr>
              <w:pStyle w:val="tabletext"/>
              <w:rPr>
                <w:bCs/>
              </w:rPr>
            </w:pPr>
            <w:r w:rsidRPr="00337DE1">
              <w:rPr>
                <w:bCs/>
              </w:rPr>
              <w:t>8</w:t>
            </w:r>
            <w:r w:rsidR="009828E7">
              <w:rPr>
                <w:bCs/>
              </w:rPr>
              <w:t>2</w:t>
            </w:r>
            <w:r w:rsidRPr="00337DE1">
              <w:rPr>
                <w:bCs/>
              </w:rPr>
              <w:t xml:space="preserve"> submissions from industry peak bodies and companies</w:t>
            </w:r>
          </w:p>
          <w:p w:rsidR="009828E7" w:rsidRPr="00337DE1" w:rsidRDefault="009828E7" w:rsidP="00B3000A">
            <w:pPr>
              <w:pStyle w:val="tabletext"/>
              <w:rPr>
                <w:bCs/>
              </w:rPr>
            </w:pPr>
            <w:r w:rsidRPr="009828E7">
              <w:rPr>
                <w:bCs/>
              </w:rPr>
              <w:t>8 submissions from state and local governments</w:t>
            </w:r>
          </w:p>
          <w:p w:rsidR="00B3000A" w:rsidRPr="00337DE1" w:rsidRDefault="00B3000A" w:rsidP="00B3000A">
            <w:pPr>
              <w:pStyle w:val="tabletext"/>
              <w:rPr>
                <w:bCs/>
              </w:rPr>
            </w:pPr>
            <w:r w:rsidRPr="00337DE1">
              <w:rPr>
                <w:bCs/>
              </w:rPr>
              <w:t>1</w:t>
            </w:r>
            <w:r w:rsidR="009828E7">
              <w:rPr>
                <w:bCs/>
              </w:rPr>
              <w:t>0</w:t>
            </w:r>
            <w:r w:rsidRPr="00337DE1">
              <w:rPr>
                <w:bCs/>
              </w:rPr>
              <w:t xml:space="preserve"> submissions from legal and academic institutions</w:t>
            </w:r>
          </w:p>
          <w:p w:rsidR="00B3000A" w:rsidRPr="00337DE1" w:rsidRDefault="009828E7" w:rsidP="00B3000A">
            <w:pPr>
              <w:pStyle w:val="tabletext"/>
              <w:rPr>
                <w:bCs/>
              </w:rPr>
            </w:pPr>
            <w:r w:rsidRPr="00337DE1">
              <w:rPr>
                <w:bCs/>
              </w:rPr>
              <w:t>1</w:t>
            </w:r>
            <w:r>
              <w:rPr>
                <w:bCs/>
              </w:rPr>
              <w:t>42</w:t>
            </w:r>
            <w:r w:rsidRPr="00337DE1">
              <w:rPr>
                <w:bCs/>
              </w:rPr>
              <w:t xml:space="preserve"> </w:t>
            </w:r>
            <w:r w:rsidR="00B3000A" w:rsidRPr="00337DE1">
              <w:rPr>
                <w:bCs/>
              </w:rPr>
              <w:t>submissions from individuals</w:t>
            </w:r>
          </w:p>
          <w:p w:rsidR="00B3000A" w:rsidRPr="00337DE1" w:rsidRDefault="009828E7" w:rsidP="00B3000A">
            <w:pPr>
              <w:pStyle w:val="tabletext"/>
              <w:rPr>
                <w:bCs/>
              </w:rPr>
            </w:pPr>
            <w:r>
              <w:rPr>
                <w:bCs/>
              </w:rPr>
              <w:t>28</w:t>
            </w:r>
            <w:r w:rsidRPr="00337DE1">
              <w:rPr>
                <w:bCs/>
              </w:rPr>
              <w:t xml:space="preserve"> </w:t>
            </w:r>
            <w:r w:rsidR="00B3000A" w:rsidRPr="00337DE1">
              <w:rPr>
                <w:bCs/>
              </w:rPr>
              <w:t>submissions from non-government organisations</w:t>
            </w:r>
          </w:p>
          <w:p w:rsidR="00B3000A" w:rsidRPr="00DC354D" w:rsidRDefault="009828E7" w:rsidP="00B3000A">
            <w:pPr>
              <w:pStyle w:val="tabletext"/>
              <w:rPr>
                <w:bCs/>
                <w:highlight w:val="yellow"/>
              </w:rPr>
            </w:pPr>
            <w:r>
              <w:rPr>
                <w:bCs/>
              </w:rPr>
              <w:t>720</w:t>
            </w:r>
            <w:r w:rsidRPr="00337DE1">
              <w:rPr>
                <w:bCs/>
              </w:rPr>
              <w:t xml:space="preserve"> </w:t>
            </w:r>
            <w:r w:rsidR="00B3000A" w:rsidRPr="00337DE1">
              <w:rPr>
                <w:bCs/>
              </w:rPr>
              <w:t xml:space="preserve">emails as part of the Australian Ethical Investment Campaign </w:t>
            </w:r>
          </w:p>
        </w:tc>
      </w:tr>
    </w:tbl>
    <w:p w:rsidR="00AF098E" w:rsidRDefault="00AF098E" w:rsidP="00B3000A">
      <w:pPr>
        <w:pStyle w:val="base-text-paragraph"/>
        <w:numPr>
          <w:ilvl w:val="0"/>
          <w:numId w:val="0"/>
        </w:numPr>
        <w:ind w:left="1134"/>
      </w:pPr>
    </w:p>
    <w:p w:rsidR="00AF098E" w:rsidRDefault="00AF098E">
      <w:pPr>
        <w:spacing w:before="0" w:after="0"/>
      </w:pPr>
      <w:r>
        <w:br w:type="page"/>
      </w:r>
    </w:p>
    <w:p w:rsidR="00B3000A" w:rsidRPr="001126E0" w:rsidRDefault="00B3000A" w:rsidP="00B3000A">
      <w:pPr>
        <w:pStyle w:val="base-text-paragraph"/>
        <w:numPr>
          <w:ilvl w:val="0"/>
          <w:numId w:val="0"/>
        </w:numPr>
        <w:ind w:left="1134"/>
        <w:rPr>
          <w:b/>
        </w:rPr>
      </w:pPr>
      <w:r w:rsidRPr="001126E0">
        <w:rPr>
          <w:b/>
        </w:rPr>
        <w:t xml:space="preserve">Summary of stakeholder meetings and teleconferences (as at </w:t>
      </w:r>
      <w:r w:rsidR="009828E7" w:rsidRPr="001126E0">
        <w:rPr>
          <w:b/>
        </w:rPr>
        <w:t xml:space="preserve">5:00 </w:t>
      </w:r>
      <w:r w:rsidRPr="001126E0">
        <w:rPr>
          <w:b/>
        </w:rPr>
        <w:t>pm on Thursday, 7 November 2013):</w:t>
      </w:r>
    </w:p>
    <w:tbl>
      <w:tblPr>
        <w:tblW w:w="6663" w:type="dxa"/>
        <w:tblInd w:w="1242" w:type="dxa"/>
        <w:tblLook w:val="04A0" w:firstRow="1" w:lastRow="0" w:firstColumn="1" w:lastColumn="0" w:noHBand="0" w:noVBand="1"/>
      </w:tblPr>
      <w:tblGrid>
        <w:gridCol w:w="2268"/>
        <w:gridCol w:w="4395"/>
      </w:tblGrid>
      <w:tr w:rsidR="00B3000A" w:rsidRPr="004A5E3F" w:rsidTr="00B3000A">
        <w:trPr>
          <w:cantSplit/>
          <w:trHeight w:val="290"/>
          <w:tblHead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B3000A" w:rsidRPr="00490DAC" w:rsidRDefault="00B3000A" w:rsidP="00B3000A">
            <w:pPr>
              <w:pStyle w:val="tabletext"/>
              <w:rPr>
                <w:b/>
                <w:i/>
              </w:rPr>
            </w:pPr>
            <w:r w:rsidRPr="00490DAC">
              <w:rPr>
                <w:b/>
                <w:i/>
              </w:rPr>
              <w:t>Date</w:t>
            </w:r>
          </w:p>
        </w:tc>
        <w:tc>
          <w:tcPr>
            <w:tcW w:w="4395" w:type="dxa"/>
            <w:tcBorders>
              <w:top w:val="single" w:sz="4" w:space="0" w:color="auto"/>
              <w:left w:val="nil"/>
              <w:bottom w:val="single" w:sz="4" w:space="0" w:color="auto"/>
              <w:right w:val="single" w:sz="4" w:space="0" w:color="auto"/>
            </w:tcBorders>
            <w:shd w:val="clear" w:color="auto" w:fill="D9D9D9" w:themeFill="background1" w:themeFillShade="D9"/>
            <w:hideMark/>
          </w:tcPr>
          <w:p w:rsidR="00B3000A" w:rsidRPr="00490DAC" w:rsidRDefault="00B3000A" w:rsidP="00B3000A">
            <w:pPr>
              <w:pStyle w:val="tabletext"/>
              <w:rPr>
                <w:b/>
                <w:i/>
              </w:rPr>
            </w:pPr>
            <w:r w:rsidRPr="00490DAC">
              <w:rPr>
                <w:b/>
                <w:i/>
              </w:rPr>
              <w:t>Participants</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11 Oct</w:t>
            </w:r>
            <w:r w:rsidR="001126E0">
              <w:t>ober</w:t>
            </w:r>
          </w:p>
        </w:tc>
        <w:tc>
          <w:tcPr>
            <w:tcW w:w="4395" w:type="dxa"/>
            <w:tcBorders>
              <w:top w:val="nil"/>
              <w:left w:val="nil"/>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Energy Suppliers Association of Australia (ESAA)</w:t>
            </w:r>
          </w:p>
        </w:tc>
      </w:tr>
      <w:tr w:rsidR="00B3000A" w:rsidRPr="004A5E3F" w:rsidTr="00B3000A">
        <w:trPr>
          <w:cantSplit/>
          <w:trHeight w:val="393"/>
        </w:trPr>
        <w:tc>
          <w:tcPr>
            <w:tcW w:w="2268" w:type="dxa"/>
            <w:tcBorders>
              <w:top w:val="nil"/>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15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noWrap/>
          </w:tcPr>
          <w:p w:rsidR="00B3000A" w:rsidRPr="004A5E3F" w:rsidRDefault="00B3000A" w:rsidP="00B3000A">
            <w:pPr>
              <w:pStyle w:val="tabletext"/>
            </w:pPr>
            <w:r w:rsidRPr="004A5E3F">
              <w:t>Carbon Markets Institute</w:t>
            </w:r>
          </w:p>
        </w:tc>
      </w:tr>
      <w:tr w:rsidR="00B3000A" w:rsidRPr="004A5E3F" w:rsidTr="00B3000A">
        <w:trPr>
          <w:cantSplit/>
          <w:trHeight w:val="393"/>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16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ESAA and Energy Network Association of Australia (ENAA)</w:t>
            </w:r>
          </w:p>
        </w:tc>
      </w:tr>
      <w:tr w:rsidR="00B3000A" w:rsidRPr="004A5E3F" w:rsidTr="00B3000A">
        <w:trPr>
          <w:cantSplit/>
          <w:trHeight w:val="413"/>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16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Origin Energy</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17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Energy Retailers Association of Australia (ERAA), Energy Users Association of Australia (EUAA), National Generators Forum and ESAA</w:t>
            </w:r>
          </w:p>
        </w:tc>
      </w:tr>
      <w:tr w:rsidR="00B3000A" w:rsidRPr="004A5E3F" w:rsidTr="00B3000A">
        <w:trPr>
          <w:cantSplit/>
          <w:trHeight w:val="112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17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Synthetic Greenhouse Gases Roundtable</w:t>
            </w:r>
          </w:p>
          <w:p w:rsidR="00B3000A" w:rsidRPr="004A5E3F" w:rsidRDefault="00B3000A" w:rsidP="00B3000A">
            <w:pPr>
              <w:pStyle w:val="tabletext"/>
            </w:pPr>
            <w:r w:rsidRPr="004A5E3F">
              <w:t xml:space="preserve">ABB, Actrol, A-Gas, Air conditioning and Heating (AIRAH), Air Conditioning and Mechanical Contractors' Association (AMCA), Air Conditioning and Refrigeration Equipment Manufacturers Association (AREMA), ARKEMA, Australian Airports Association (AAA), Australian Federation of International Forwarders (AFIF), Australian Industry Group (AIG), Australian Institute of Refrigeration, Australian Refrigeration Association (ARA), </w:t>
            </w:r>
            <w:r w:rsidRPr="00AE7DFC">
              <w:rPr>
                <w:bCs/>
              </w:rPr>
              <w:t xml:space="preserve">Automotive Air-conditioning, </w:t>
            </w:r>
            <w:r w:rsidRPr="00AE7DFC">
              <w:t>BOC, Consumer Electronics Suppliers' Association (CESA), Customs Brokers &amp; Forwarders Council of Australia (CBFCA), Du Pont</w:t>
            </w:r>
            <w:r w:rsidR="00D5237C">
              <w:t xml:space="preserve">, </w:t>
            </w:r>
            <w:r w:rsidRPr="00AE7DFC">
              <w:rPr>
                <w:bCs/>
              </w:rPr>
              <w:t>Electrical and Cooling Technicians of Australia (</w:t>
            </w:r>
            <w:r w:rsidRPr="00AE7DFC">
              <w:t xml:space="preserve">AAECTA), Federal Chamber of Automotive Industries (FCAI), Fire Protection Association of Australia (FPAA), Ford, Heatcraft, Holden, Institute of Automotive Mechanical Engineers (IAME), </w:t>
            </w:r>
            <w:r w:rsidRPr="00AE7DFC">
              <w:rPr>
                <w:bCs/>
              </w:rPr>
              <w:t xml:space="preserve">National Electrical and Communications Association </w:t>
            </w:r>
            <w:r w:rsidRPr="00AE7DFC">
              <w:t>(NECA), Plastics and Chemicals Industry Association (PACIA), Refrigerant Reclaim Australia, Refrigerants Australia, Refrigeration</w:t>
            </w:r>
            <w:r w:rsidRPr="004A5E3F">
              <w:t xml:space="preserve"> and Air Conditioning Contractors Association (RACCA), Schneider Electric, Siemens, Solvents Australia, Toyota and</w:t>
            </w:r>
          </w:p>
          <w:p w:rsidR="00B3000A" w:rsidRPr="004A5E3F" w:rsidRDefault="00B3000A" w:rsidP="00B3000A">
            <w:pPr>
              <w:pStyle w:val="tabletext"/>
            </w:pPr>
            <w:r w:rsidRPr="004A5E3F">
              <w:t xml:space="preserve">Victorian Automobile Chamber of Commerce (VACC), </w:t>
            </w:r>
          </w:p>
        </w:tc>
      </w:tr>
      <w:tr w:rsidR="00B3000A" w:rsidRPr="004A5E3F" w:rsidTr="00B3000A">
        <w:trPr>
          <w:cantSplit/>
          <w:trHeight w:val="84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18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Australian Industry Group</w:t>
            </w:r>
          </w:p>
          <w:p w:rsidR="00B3000A" w:rsidRPr="004A5E3F" w:rsidRDefault="00B3000A" w:rsidP="00B3000A">
            <w:pPr>
              <w:pStyle w:val="tabletext"/>
            </w:pPr>
            <w:r w:rsidRPr="004A5E3F">
              <w:t>ABB, AGL, Alcoa, Alstom, Amcor, Arrium (Onesteel), B&amp;R Enclosures, Bluescope, Checkpoint Systems, CSR, Dow, ERM Power, GDF Suez, Incitec Pivot, Murray Goulburn, Orica, Pacific Hydro, Qenos, Rio Tinto, Schneider Electric, Veolia and Wilson Transformer</w:t>
            </w:r>
          </w:p>
        </w:tc>
      </w:tr>
      <w:tr w:rsidR="00B3000A" w:rsidRPr="004A5E3F" w:rsidTr="00B3000A">
        <w:trPr>
          <w:cantSplit/>
          <w:trHeight w:val="112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18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 xml:space="preserve">Business Council of Australia </w:t>
            </w:r>
          </w:p>
          <w:p w:rsidR="00B3000A" w:rsidRPr="004A5E3F" w:rsidRDefault="00B3000A" w:rsidP="00B3000A">
            <w:pPr>
              <w:pStyle w:val="tabletext"/>
            </w:pPr>
            <w:r w:rsidRPr="004A5E3F">
              <w:t>Adelaide Brighton, AGL Energy, Alcoa, ANZ, APA Group, BP, BG Group, BHP, Brickworks, Energy Australia, General Electric (GE), GDF Suez, Incitec Pivot, Leighton Holdings, Lend Lease, Macquarie Group, Norton Rose Fulbright, Origin Energy, Parsons Brinckerhoff</w:t>
            </w:r>
            <w:r w:rsidRPr="00AE7DFC">
              <w:t xml:space="preserve">, </w:t>
            </w:r>
            <w:r w:rsidRPr="00AE7DFC">
              <w:rPr>
                <w:bCs/>
              </w:rPr>
              <w:t>PricewaterhouseCoopers Australia</w:t>
            </w:r>
            <w:r w:rsidRPr="004A5E3F">
              <w:t xml:space="preserve"> (PwC), Rio Tinto, Santos, Shell, Transurban Group and Westpac</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21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Dampier-Bunbury Pipeline (DBP)</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21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Australian Energy Market Operator (AEMO)</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21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ESAA</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21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International Emissions Trading Association</w:t>
            </w:r>
          </w:p>
          <w:p w:rsidR="00B3000A" w:rsidRPr="004A5E3F" w:rsidRDefault="00B3000A" w:rsidP="00B3000A">
            <w:pPr>
              <w:pStyle w:val="tabletext"/>
            </w:pPr>
            <w:r w:rsidRPr="004A5E3F">
              <w:t>Baker &amp; McKenzie, BG, BP, Chevron, Climate Friendly</w:t>
            </w:r>
            <w:r w:rsidR="00D5237C">
              <w:t xml:space="preserve">, </w:t>
            </w:r>
            <w:r w:rsidRPr="004A5E3F">
              <w:t>Energy Australia, Norton Rose, Rio Tinto and Shell</w:t>
            </w:r>
          </w:p>
        </w:tc>
      </w:tr>
      <w:tr w:rsidR="00B3000A" w:rsidRPr="004A5E3F" w:rsidTr="00B3000A">
        <w:trPr>
          <w:cantSplit/>
          <w:trHeight w:val="1501"/>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22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Australian Financial Markets Association</w:t>
            </w:r>
          </w:p>
          <w:p w:rsidR="00B3000A" w:rsidRPr="004A5E3F" w:rsidRDefault="00B3000A" w:rsidP="00B3000A">
            <w:pPr>
              <w:pStyle w:val="tabletext"/>
            </w:pPr>
            <w:r w:rsidRPr="004A5E3F">
              <w:t xml:space="preserve">AGL Energy, Alinta Energy, AMP, ANZ, Ashurst, Australian Energy Market Operator (AEMO), Baker &amp; Mackenzie, Clayton </w:t>
            </w:r>
            <w:r w:rsidRPr="00AE7DFC">
              <w:t xml:space="preserve">Utz, </w:t>
            </w:r>
            <w:r w:rsidRPr="00AE7DFC">
              <w:rPr>
                <w:bCs/>
              </w:rPr>
              <w:t>Clean Energy Regulator</w:t>
            </w:r>
            <w:r w:rsidRPr="00AE7DFC">
              <w:t xml:space="preserve"> (CER), Commonwealth Bank, Del</w:t>
            </w:r>
            <w:r w:rsidRPr="004A5E3F">
              <w:t xml:space="preserve">ta Electricity, Deutsche Bank, Energy Developments, </w:t>
            </w:r>
          </w:p>
          <w:p w:rsidR="00B3000A" w:rsidRPr="004A5E3F" w:rsidRDefault="00B3000A" w:rsidP="00B3000A">
            <w:pPr>
              <w:pStyle w:val="tabletext"/>
            </w:pPr>
            <w:r w:rsidRPr="004A5E3F">
              <w:t>EnergyAustralia, ERM Power, Financial and Energy Exchange, GDF Suez, Hydro Tasmania, ICAP, Infigen, InterGen, Johnson Winter &amp; Slattery, K&amp;L Gates, King &amp; Wood Mallesons, Macquarie Generation, NAB, Nextgen, Norton Rose Fulbright, Origin Energy, Snowy Hydro and Westpac</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22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Energy Retailers Association of Australia (ERAA)</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22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Fuel industry stakeholders including Association of Mining &amp; Exploration Companies (AMEC) and Caltex (arranged by ATO)</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22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Fuel industry stakeholders including the Australian Institute of Petroleum, Caltex, Exxon Mobil, Shell, and Woodside (arranged by ATO)</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23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tcPr>
          <w:p w:rsidR="00B3000A" w:rsidRPr="004A5E3F" w:rsidRDefault="00B3000A" w:rsidP="00B3000A">
            <w:pPr>
              <w:pStyle w:val="tabletext"/>
            </w:pPr>
            <w:r w:rsidRPr="004A5E3F">
              <w:t>Aviation fuel stakeholders including Caltex, Qantas and Shell (arranged by ATO)</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23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Australian Industry Greenhouse Network</w:t>
            </w:r>
          </w:p>
          <w:p w:rsidR="00B3000A" w:rsidRPr="004A5E3F" w:rsidRDefault="00B3000A" w:rsidP="00B3000A">
            <w:pPr>
              <w:pStyle w:val="tabletext"/>
            </w:pPr>
            <w:r w:rsidRPr="004A5E3F">
              <w:t xml:space="preserve">AI Group, Australian Aluminium Council, Australian Food &amp; Grocery Council, </w:t>
            </w:r>
          </w:p>
          <w:p w:rsidR="00B3000A" w:rsidRPr="004A5E3F" w:rsidRDefault="00B3000A" w:rsidP="00B3000A">
            <w:pPr>
              <w:pStyle w:val="tabletext"/>
            </w:pPr>
            <w:r w:rsidRPr="004A5E3F">
              <w:t xml:space="preserve">Australian Institute of Petroleum, Australian Pipeline Industry Association (APIA), </w:t>
            </w:r>
          </w:p>
          <w:p w:rsidR="00B3000A" w:rsidRPr="004A5E3F" w:rsidRDefault="00B3000A" w:rsidP="00B3000A">
            <w:pPr>
              <w:pStyle w:val="tabletext"/>
            </w:pPr>
            <w:r w:rsidRPr="004A5E3F">
              <w:t xml:space="preserve">Australian Plastics &amp; Chemicals Industries Association, Australian Sugar Milling Council, BP, Business Council of Australia (BCA), Caltex, Cement Industry Federation, Chevron, CSR, Dampier-Bunbury Pipeline (DBP), Exxon, Minerals Council of Australia, National Generators Forum, Origin, Rio Tinto, Santos, Shell, Wesfarmers, </w:t>
            </w:r>
          </w:p>
        </w:tc>
      </w:tr>
      <w:tr w:rsidR="00B3000A" w:rsidRPr="004A5E3F" w:rsidTr="00B3000A">
        <w:trPr>
          <w:cantSplit/>
          <w:trHeight w:val="667"/>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23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Legal experts (Sydney)</w:t>
            </w:r>
          </w:p>
          <w:p w:rsidR="00B3000A" w:rsidRPr="004A5E3F" w:rsidRDefault="00B3000A" w:rsidP="00B3000A">
            <w:pPr>
              <w:pStyle w:val="tabletext"/>
            </w:pPr>
            <w:r w:rsidRPr="004A5E3F">
              <w:t>Ashurst, Baker &amp; McKenzie, Clayton Utz, Dr Damien Lockie (Victorian Bar), Hunt &amp; Hunt, Johnson Winter &amp; Slattery, K&amp;L Gates, the Law Council of Australia’s Climate Change Law Committee and Sparke Helmore</w:t>
            </w:r>
          </w:p>
        </w:tc>
      </w:tr>
      <w:tr w:rsidR="00B3000A" w:rsidRPr="004A5E3F" w:rsidTr="00B3000A">
        <w:trPr>
          <w:cantSplit/>
          <w:trHeight w:val="56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24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Legal experts (Melbourne)</w:t>
            </w:r>
          </w:p>
          <w:p w:rsidR="00B3000A" w:rsidRPr="004A5E3F" w:rsidRDefault="00B3000A" w:rsidP="00B3000A">
            <w:pPr>
              <w:pStyle w:val="tabletext"/>
            </w:pPr>
            <w:r w:rsidRPr="004A5E3F">
              <w:t>Allens, Ashurst, King &amp; Wood Mallesons, Minter Ellison and Norton Rose</w:t>
            </w:r>
          </w:p>
        </w:tc>
      </w:tr>
      <w:tr w:rsidR="00B3000A" w:rsidRPr="004A5E3F" w:rsidTr="00B3000A">
        <w:trPr>
          <w:cantSplit/>
          <w:trHeight w:val="387"/>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24 Oct</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Waste sector</w:t>
            </w:r>
          </w:p>
          <w:p w:rsidR="00B3000A" w:rsidRPr="004A5E3F" w:rsidRDefault="00B3000A" w:rsidP="00B3000A">
            <w:pPr>
              <w:pStyle w:val="tabletext"/>
            </w:pPr>
            <w:r w:rsidRPr="004A5E3F">
              <w:t>Australian Landfill Operators Association, Australian Local Government Association (ALGA) and Waste Management Association of Australia</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24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BlueScope Steel</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24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 xml:space="preserve">Minerals Council of Australia </w:t>
            </w:r>
          </w:p>
          <w:p w:rsidR="00B3000A" w:rsidRPr="004A5E3F" w:rsidRDefault="00B3000A" w:rsidP="00B3000A">
            <w:pPr>
              <w:pStyle w:val="tabletext"/>
            </w:pPr>
            <w:r w:rsidRPr="004A5E3F">
              <w:t>Downer EDI, Glencore and Rio Tinto</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25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Australian Aluminium Council</w:t>
            </w:r>
          </w:p>
          <w:p w:rsidR="00B3000A" w:rsidRPr="004A5E3F" w:rsidRDefault="00B3000A" w:rsidP="00B3000A">
            <w:pPr>
              <w:pStyle w:val="tabletext"/>
            </w:pPr>
            <w:r w:rsidRPr="004A5E3F">
              <w:t>Alcoa, Rio Tinto and others</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25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Energy Australia</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28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Gas Energy Australia and members</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28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Energy Users Association of Australia (EUAA) and members</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28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Cement Industry Federation</w:t>
            </w:r>
          </w:p>
        </w:tc>
      </w:tr>
      <w:tr w:rsidR="00B3000A" w:rsidRPr="004A5E3F" w:rsidTr="00B3000A">
        <w:trPr>
          <w:cantSplit/>
          <w:trHeight w:val="290"/>
        </w:trPr>
        <w:tc>
          <w:tcPr>
            <w:tcW w:w="2268" w:type="dxa"/>
            <w:tcBorders>
              <w:top w:val="nil"/>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28 </w:t>
            </w:r>
            <w:r w:rsidR="001126E0" w:rsidRPr="004A5E3F">
              <w:t>Oct</w:t>
            </w:r>
            <w:r w:rsidR="001126E0">
              <w:t>ober</w:t>
            </w:r>
          </w:p>
        </w:tc>
        <w:tc>
          <w:tcPr>
            <w:tcW w:w="4395" w:type="dxa"/>
            <w:tcBorders>
              <w:top w:val="nil"/>
              <w:left w:val="nil"/>
              <w:bottom w:val="single" w:sz="4" w:space="0" w:color="auto"/>
              <w:right w:val="single" w:sz="4" w:space="0" w:color="auto"/>
            </w:tcBorders>
            <w:shd w:val="clear" w:color="auto" w:fill="auto"/>
          </w:tcPr>
          <w:p w:rsidR="00B3000A" w:rsidRPr="004A5E3F" w:rsidRDefault="00B3000A" w:rsidP="00B3000A">
            <w:pPr>
              <w:pStyle w:val="tabletext"/>
            </w:pPr>
            <w:r w:rsidRPr="004A5E3F">
              <w:t>Tasmanian Regulation Authority</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3000A" w:rsidRPr="004A5E3F" w:rsidRDefault="00B3000A" w:rsidP="00B3000A">
            <w:pPr>
              <w:pStyle w:val="tabletext"/>
            </w:pPr>
            <w:r w:rsidRPr="004A5E3F">
              <w:t xml:space="preserve">29 </w:t>
            </w:r>
            <w:r w:rsidR="001126E0" w:rsidRPr="004A5E3F">
              <w:t>Oct</w:t>
            </w:r>
            <w:r w:rsidR="001126E0">
              <w:t>ober</w:t>
            </w:r>
          </w:p>
        </w:tc>
        <w:tc>
          <w:tcPr>
            <w:tcW w:w="4395" w:type="dxa"/>
            <w:tcBorders>
              <w:top w:val="single" w:sz="4" w:space="0" w:color="auto"/>
              <w:left w:val="nil"/>
              <w:bottom w:val="single" w:sz="4" w:space="0" w:color="auto"/>
              <w:right w:val="single" w:sz="4" w:space="0" w:color="auto"/>
            </w:tcBorders>
            <w:shd w:val="clear" w:color="auto" w:fill="auto"/>
            <w:hideMark/>
          </w:tcPr>
          <w:p w:rsidR="00B3000A" w:rsidRPr="004A5E3F" w:rsidRDefault="00B3000A" w:rsidP="00B3000A">
            <w:pPr>
              <w:pStyle w:val="tabletext"/>
            </w:pPr>
            <w:r w:rsidRPr="004A5E3F">
              <w:t>AGL</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29 </w:t>
            </w:r>
            <w:r w:rsidR="001126E0" w:rsidRPr="004A5E3F">
              <w:t>Oct</w:t>
            </w:r>
            <w:r w:rsidR="001126E0">
              <w:t>ober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WA Economic Regulatory Authority</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30 </w:t>
            </w:r>
            <w:r w:rsidR="001126E0" w:rsidRPr="004A5E3F">
              <w:t>Oct</w:t>
            </w:r>
            <w:r w:rsidR="001126E0">
              <w:t>ober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Clean Energy Council</w:t>
            </w:r>
          </w:p>
          <w:p w:rsidR="00B3000A" w:rsidRPr="004A5E3F" w:rsidRDefault="00B3000A" w:rsidP="00B3000A">
            <w:pPr>
              <w:pStyle w:val="tabletext"/>
            </w:pPr>
            <w:r w:rsidRPr="004A5E3F">
              <w:t>Acciona</w:t>
            </w:r>
            <w:r w:rsidRPr="00AE7DFC">
              <w:t>, En</w:t>
            </w:r>
            <w:r w:rsidRPr="00AE7DFC">
              <w:rPr>
                <w:bCs/>
              </w:rPr>
              <w:t>ergy Developments Limited</w:t>
            </w:r>
            <w:r w:rsidRPr="00AE7DFC">
              <w:t xml:space="preserve"> (EDL</w:t>
            </w:r>
            <w:r w:rsidRPr="004A5E3F">
              <w:t>), Finlaysons, Hydro Tasmania, Infigen, Marchment Hill, Pacific Hydro and Rheem</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30 </w:t>
            </w:r>
            <w:r w:rsidR="001126E0" w:rsidRPr="004A5E3F">
              <w:t>Oct</w:t>
            </w:r>
            <w:r w:rsidR="001126E0">
              <w:t>ober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Ergon</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30 </w:t>
            </w:r>
            <w:r w:rsidR="001126E0" w:rsidRPr="004A5E3F">
              <w:t>Oct</w:t>
            </w:r>
            <w:r w:rsidR="001126E0">
              <w:t>ober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 xml:space="preserve">Non-government organisations </w:t>
            </w:r>
          </w:p>
          <w:p w:rsidR="00B3000A" w:rsidRPr="004A5E3F" w:rsidRDefault="00B3000A" w:rsidP="00B3000A">
            <w:pPr>
              <w:pStyle w:val="tabletext"/>
            </w:pPr>
            <w:r w:rsidRPr="004A5E3F">
              <w:t xml:space="preserve">Australian Conservation </w:t>
            </w:r>
            <w:r w:rsidRPr="00AE7DFC">
              <w:t xml:space="preserve">Foundation, </w:t>
            </w:r>
            <w:r w:rsidRPr="00AE7DFC">
              <w:rPr>
                <w:bCs/>
              </w:rPr>
              <w:t>Australian Council of Trade Unions</w:t>
            </w:r>
            <w:r w:rsidRPr="00AE7DFC">
              <w:t xml:space="preserve"> (ACTU), Australian Youth Climate Coalition, </w:t>
            </w:r>
            <w:r w:rsidRPr="00AE7DFC">
              <w:rPr>
                <w:bCs/>
              </w:rPr>
              <w:t>Climate Action Network Australia</w:t>
            </w:r>
            <w:r w:rsidRPr="00AE7DFC">
              <w:t xml:space="preserve"> (CANA), ClimateWorks, Climate</w:t>
            </w:r>
            <w:r w:rsidRPr="004A5E3F">
              <w:t xml:space="preserve"> Institute, Grattan Institute UnitingJustice and World Wildlife Fund (WWF), </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30 </w:t>
            </w:r>
            <w:r w:rsidR="001126E0" w:rsidRPr="004A5E3F">
              <w:t>Oct</w:t>
            </w:r>
            <w:r w:rsidR="001126E0">
              <w:t>ober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Australian Slag Association</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30 </w:t>
            </w:r>
            <w:r w:rsidR="001126E0" w:rsidRPr="004A5E3F">
              <w:t>Oct</w:t>
            </w:r>
            <w:r w:rsidR="001126E0">
              <w:t>ober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Australian Pipeline Industry Association</w:t>
            </w:r>
          </w:p>
          <w:p w:rsidR="00B3000A" w:rsidRPr="004A5E3F" w:rsidRDefault="00B3000A" w:rsidP="00B3000A">
            <w:pPr>
              <w:pStyle w:val="tabletext"/>
            </w:pPr>
            <w:r w:rsidRPr="004A5E3F">
              <w:t>APA, Dampier-Bunbury Pipeline, Epic Energy and SEAGAS,</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30 </w:t>
            </w:r>
            <w:r w:rsidR="001126E0" w:rsidRPr="004A5E3F">
              <w:t>Oct</w:t>
            </w:r>
            <w:r w:rsidR="001126E0">
              <w:t>ober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ACT Independent Competition &amp; Regulatory Commission</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31 </w:t>
            </w:r>
            <w:r w:rsidR="001126E0" w:rsidRPr="004A5E3F">
              <w:t>Oct</w:t>
            </w:r>
            <w:r w:rsidR="001126E0">
              <w:t>ober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NSW Independent Pricing and Regulatory Authority</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 xml:space="preserve">31 </w:t>
            </w:r>
            <w:r w:rsidR="001126E0" w:rsidRPr="004A5E3F">
              <w:t>Oct</w:t>
            </w:r>
            <w:r w:rsidR="001126E0">
              <w:t>ober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EUAA and members</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4 Nov</w:t>
            </w:r>
            <w:r w:rsidR="001126E0">
              <w:t>ember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Synergy</w:t>
            </w:r>
          </w:p>
        </w:tc>
      </w:tr>
      <w:tr w:rsidR="00B3000A" w:rsidRPr="004A5E3F" w:rsidTr="00B3000A">
        <w:trPr>
          <w:cantSplit/>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3000A" w:rsidRPr="004A5E3F" w:rsidRDefault="00B3000A" w:rsidP="00B3000A">
            <w:pPr>
              <w:pStyle w:val="tabletext"/>
            </w:pPr>
            <w:r w:rsidRPr="004A5E3F">
              <w:t>6 Nov</w:t>
            </w:r>
            <w:r w:rsidR="001126E0">
              <w:t>ember</w:t>
            </w:r>
          </w:p>
        </w:tc>
        <w:tc>
          <w:tcPr>
            <w:tcW w:w="4395" w:type="dxa"/>
            <w:tcBorders>
              <w:top w:val="single" w:sz="4" w:space="0" w:color="auto"/>
              <w:left w:val="nil"/>
              <w:bottom w:val="single" w:sz="4" w:space="0" w:color="auto"/>
              <w:right w:val="single" w:sz="4" w:space="0" w:color="auto"/>
            </w:tcBorders>
            <w:shd w:val="clear" w:color="auto" w:fill="auto"/>
          </w:tcPr>
          <w:p w:rsidR="00B3000A" w:rsidRPr="004A5E3F" w:rsidRDefault="00B3000A" w:rsidP="00B3000A">
            <w:pPr>
              <w:pStyle w:val="tabletext"/>
            </w:pPr>
            <w:r w:rsidRPr="004A5E3F">
              <w:t>Queensland Competition Authority</w:t>
            </w:r>
            <w:r>
              <w:t>; Glencore</w:t>
            </w:r>
          </w:p>
        </w:tc>
      </w:tr>
    </w:tbl>
    <w:p w:rsidR="00B3000A" w:rsidRDefault="00B3000A" w:rsidP="00B3000A">
      <w:pPr>
        <w:pStyle w:val="base-text-paragraph"/>
        <w:numPr>
          <w:ilvl w:val="0"/>
          <w:numId w:val="0"/>
        </w:numPr>
        <w:ind w:left="1134"/>
        <w:rPr>
          <w:b/>
        </w:rPr>
      </w:pPr>
    </w:p>
    <w:p w:rsidR="00B3000A" w:rsidRDefault="00B3000A" w:rsidP="00B3000A">
      <w:pPr>
        <w:pStyle w:val="base-text-paragraph"/>
        <w:numPr>
          <w:ilvl w:val="0"/>
          <w:numId w:val="0"/>
        </w:numPr>
        <w:ind w:left="1134"/>
        <w:rPr>
          <w:b/>
        </w:rPr>
      </w:pPr>
    </w:p>
    <w:p w:rsidR="00B3000A" w:rsidRDefault="00B3000A" w:rsidP="00B3000A">
      <w:pPr>
        <w:pStyle w:val="Heading2"/>
      </w:pPr>
      <w:r>
        <w:t>RIS References</w:t>
      </w:r>
    </w:p>
    <w:p w:rsidR="00B3000A" w:rsidRPr="00490DAC" w:rsidRDefault="00B3000A" w:rsidP="00B3000A">
      <w:pPr>
        <w:pStyle w:val="base-text-paragraph"/>
        <w:numPr>
          <w:ilvl w:val="0"/>
          <w:numId w:val="0"/>
        </w:numPr>
        <w:ind w:left="1134"/>
      </w:pPr>
      <w:r w:rsidRPr="00490DAC">
        <w:t>Australian Government 2011a</w:t>
      </w:r>
      <w:r w:rsidRPr="00490DAC">
        <w:rPr>
          <w:i/>
        </w:rPr>
        <w:t>, Strong growth, low pollution: modelling a carbon price</w:t>
      </w:r>
      <w:r w:rsidRPr="00490DAC">
        <w:t xml:space="preserve"> (</w:t>
      </w:r>
      <w:hyperlink r:id="rId36" w:history="1">
        <w:r w:rsidRPr="00490DAC">
          <w:rPr>
            <w:rStyle w:val="Hyperlink"/>
          </w:rPr>
          <w:t>http://carbonpricemodelling.treasury.gov.au/carbonpricemodelling/content/report/downloads/Modelling_Report_Consolidated_update.pdf</w:t>
        </w:r>
      </w:hyperlink>
      <w:r w:rsidRPr="00490DAC">
        <w:t>).</w:t>
      </w:r>
    </w:p>
    <w:p w:rsidR="00B3000A" w:rsidRPr="00490DAC" w:rsidRDefault="00B3000A" w:rsidP="00B3000A">
      <w:pPr>
        <w:pStyle w:val="base-text-paragraph"/>
        <w:numPr>
          <w:ilvl w:val="0"/>
          <w:numId w:val="0"/>
        </w:numPr>
        <w:ind w:left="1134"/>
      </w:pPr>
      <w:r w:rsidRPr="00490DAC">
        <w:t xml:space="preserve">Australian Government 2011b, </w:t>
      </w:r>
      <w:r w:rsidRPr="00490DAC">
        <w:rPr>
          <w:i/>
        </w:rPr>
        <w:t>Strong growth, low pollution: modelling a carbon price – update</w:t>
      </w:r>
      <w:r w:rsidRPr="00490DAC">
        <w:t>, (</w:t>
      </w:r>
      <w:hyperlink r:id="rId37" w:history="1">
        <w:r w:rsidRPr="00490DAC">
          <w:rPr>
            <w:rStyle w:val="Hyperlink"/>
          </w:rPr>
          <w:t>http://carbonpricemodelling.treasury.gov.au/</w:t>
        </w:r>
      </w:hyperlink>
      <w:r w:rsidRPr="00490DAC">
        <w:t>carbonpricemodelling/content/update/downloads/Modelling_update.pdf).</w:t>
      </w:r>
    </w:p>
    <w:p w:rsidR="00B3000A" w:rsidRPr="00490DAC" w:rsidRDefault="00B3000A" w:rsidP="00B3000A">
      <w:pPr>
        <w:pStyle w:val="base-text-paragraph"/>
        <w:numPr>
          <w:ilvl w:val="0"/>
          <w:numId w:val="0"/>
        </w:numPr>
        <w:ind w:left="1134"/>
      </w:pPr>
      <w:r w:rsidRPr="00490DAC">
        <w:t xml:space="preserve">Australian Government 2013, </w:t>
      </w:r>
      <w:r w:rsidRPr="00490DAC">
        <w:rPr>
          <w:i/>
        </w:rPr>
        <w:t>Portfolio Budget Statements 2013-14 – Industry, Innovation, Climate Change, Science, Research and Tertiary Education Portfolio</w:t>
      </w:r>
      <w:r w:rsidRPr="00490DAC">
        <w:t>.</w:t>
      </w:r>
    </w:p>
    <w:p w:rsidR="00B3000A" w:rsidRDefault="00B3000A" w:rsidP="00B3000A">
      <w:pPr>
        <w:pStyle w:val="base-text-paragraph"/>
        <w:numPr>
          <w:ilvl w:val="0"/>
          <w:numId w:val="0"/>
        </w:numPr>
        <w:ind w:left="1134"/>
      </w:pPr>
      <w:r w:rsidRPr="00490DAC">
        <w:t xml:space="preserve">IPART (Independent Pricing and Regulatory Tribunal), 2012, </w:t>
      </w:r>
      <w:r w:rsidRPr="00490DAC">
        <w:rPr>
          <w:i/>
        </w:rPr>
        <w:t>Final Report – Changes in regulated electricity retail prices from 1 July 2012.</w:t>
      </w:r>
    </w:p>
    <w:p w:rsidR="000C2E94" w:rsidRPr="0023060E" w:rsidRDefault="000C2E94" w:rsidP="00020BA2">
      <w:pPr>
        <w:pStyle w:val="Hiddentext"/>
        <w:ind w:firstLine="720"/>
      </w:pPr>
      <w:r>
        <w:t>Do not remove section break.</w:t>
      </w:r>
    </w:p>
    <w:p w:rsidR="00AA1734" w:rsidRDefault="00EA0FD6" w:rsidP="001126E0">
      <w:pPr>
        <w:pStyle w:val="Hiddentext"/>
      </w:pPr>
      <w:r>
        <w:t>Do not remove section break.</w:t>
      </w:r>
    </w:p>
    <w:p w:rsidR="00AA1734" w:rsidRDefault="00AA1734" w:rsidP="00372296">
      <w:pPr>
        <w:sectPr w:rsidR="00AA1734" w:rsidSect="00372296">
          <w:headerReference w:type="even" r:id="rId38"/>
          <w:headerReference w:type="default" r:id="rId39"/>
          <w:footerReference w:type="even" r:id="rId40"/>
          <w:footerReference w:type="default" r:id="rId41"/>
          <w:footerReference w:type="first" r:id="rId42"/>
          <w:type w:val="oddPage"/>
          <w:pgSz w:w="11906" w:h="16838" w:code="9"/>
          <w:pgMar w:top="2466" w:right="2098" w:bottom="2466" w:left="2098" w:header="1559" w:footer="1899" w:gutter="0"/>
          <w:cols w:space="708"/>
          <w:titlePg/>
          <w:docGrid w:linePitch="360"/>
        </w:sectPr>
      </w:pPr>
    </w:p>
    <w:p w:rsidR="0082054F" w:rsidRDefault="0082054F" w:rsidP="0082054F">
      <w:pPr>
        <w:pStyle w:val="Chapterheadingsubdocument"/>
      </w:pPr>
      <w:bookmarkStart w:id="14" w:name="_Toc393138982"/>
      <w:r w:rsidRPr="009E453A">
        <w:rPr>
          <w:rStyle w:val="Font30point"/>
        </w:rPr>
        <w:t>I</w:t>
      </w:r>
      <w:r>
        <w:t>ndex</w:t>
      </w:r>
      <w:bookmarkEnd w:id="14"/>
    </w:p>
    <w:p w:rsidR="007343D5" w:rsidRDefault="007343D5" w:rsidP="007343D5">
      <w:pPr>
        <w:pStyle w:val="Heading2with18pointafter"/>
      </w:pPr>
      <w:r>
        <w:t xml:space="preserve">Main Repeal Bill: Preliminaries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550D5E" w:rsidTr="00FA5430">
        <w:trPr>
          <w:tblHeader/>
        </w:trPr>
        <w:tc>
          <w:tcPr>
            <w:tcW w:w="5760" w:type="dxa"/>
            <w:tcBorders>
              <w:top w:val="single" w:sz="4" w:space="0" w:color="auto"/>
              <w:left w:val="single" w:sz="4" w:space="0" w:color="auto"/>
              <w:bottom w:val="single" w:sz="4" w:space="0" w:color="auto"/>
              <w:right w:val="single" w:sz="4" w:space="0" w:color="auto"/>
            </w:tcBorders>
            <w:hideMark/>
          </w:tcPr>
          <w:p w:rsidR="00550D5E" w:rsidRDefault="00550D5E" w:rsidP="00FA5430">
            <w:pPr>
              <w:pStyle w:val="tableheaderwithintable"/>
              <w:rPr>
                <w:lang w:val="en-US" w:eastAsia="en-US"/>
              </w:rPr>
            </w:pPr>
            <w:r>
              <w:rPr>
                <w:lang w:val="en-US" w:eastAsia="en-US"/>
              </w:rPr>
              <w:t>Bill reference</w:t>
            </w:r>
          </w:p>
        </w:tc>
        <w:tc>
          <w:tcPr>
            <w:tcW w:w="1980" w:type="dxa"/>
            <w:tcBorders>
              <w:top w:val="single" w:sz="4" w:space="0" w:color="auto"/>
              <w:left w:val="single" w:sz="4" w:space="0" w:color="auto"/>
              <w:bottom w:val="single" w:sz="4" w:space="0" w:color="auto"/>
              <w:right w:val="single" w:sz="4" w:space="0" w:color="auto"/>
            </w:tcBorders>
            <w:hideMark/>
          </w:tcPr>
          <w:p w:rsidR="00550D5E" w:rsidRDefault="00550D5E" w:rsidP="00FA5430">
            <w:pPr>
              <w:pStyle w:val="tableheaderwithintable"/>
              <w:rPr>
                <w:lang w:val="en-US" w:eastAsia="en-US"/>
              </w:rPr>
            </w:pPr>
            <w:r>
              <w:rPr>
                <w:lang w:val="en-US" w:eastAsia="en-US"/>
              </w:rPr>
              <w:t>Paragraph number</w:t>
            </w:r>
          </w:p>
        </w:tc>
      </w:tr>
      <w:tr w:rsidR="00494EE6" w:rsidRPr="00231CBA" w:rsidTr="00603011">
        <w:trPr>
          <w:tblHeader/>
        </w:trPr>
        <w:tc>
          <w:tcPr>
            <w:tcW w:w="5760" w:type="dxa"/>
          </w:tcPr>
          <w:p w:rsidR="00494EE6" w:rsidRDefault="00494EE6" w:rsidP="00C15219">
            <w:pPr>
              <w:pStyle w:val="tabletext"/>
            </w:pPr>
            <w:r>
              <w:t>Clause 1</w:t>
            </w:r>
          </w:p>
        </w:tc>
        <w:tc>
          <w:tcPr>
            <w:tcW w:w="1980" w:type="dxa"/>
          </w:tcPr>
          <w:p w:rsidR="00494EE6" w:rsidRDefault="00494EE6" w:rsidP="00C15219">
            <w:pPr>
              <w:pStyle w:val="tabletext"/>
            </w:pPr>
            <w:r>
              <w:t>1.13</w:t>
            </w:r>
          </w:p>
        </w:tc>
      </w:tr>
      <w:tr w:rsidR="00494EE6" w:rsidRPr="00231CBA" w:rsidTr="00603011">
        <w:trPr>
          <w:tblHeader/>
        </w:trPr>
        <w:tc>
          <w:tcPr>
            <w:tcW w:w="5760" w:type="dxa"/>
          </w:tcPr>
          <w:p w:rsidR="00494EE6" w:rsidRDefault="00494EE6" w:rsidP="00C15219">
            <w:pPr>
              <w:pStyle w:val="tabletext"/>
            </w:pPr>
            <w:r>
              <w:t>Clause 2</w:t>
            </w:r>
          </w:p>
        </w:tc>
        <w:tc>
          <w:tcPr>
            <w:tcW w:w="1980" w:type="dxa"/>
          </w:tcPr>
          <w:p w:rsidR="00494EE6" w:rsidRDefault="00494EE6" w:rsidP="00C15219">
            <w:pPr>
              <w:pStyle w:val="tabletext"/>
            </w:pPr>
            <w:r>
              <w:t>2.35, 2.46, 2.62</w:t>
            </w:r>
          </w:p>
        </w:tc>
      </w:tr>
      <w:tr w:rsidR="00494EE6" w:rsidRPr="00231CBA" w:rsidTr="00603011">
        <w:trPr>
          <w:tblHeader/>
        </w:trPr>
        <w:tc>
          <w:tcPr>
            <w:tcW w:w="5760" w:type="dxa"/>
          </w:tcPr>
          <w:p w:rsidR="00494EE6" w:rsidRDefault="00494EE6" w:rsidP="00C15219">
            <w:pPr>
              <w:pStyle w:val="tabletext"/>
            </w:pPr>
            <w:r>
              <w:t>Clause 2, table item 1</w:t>
            </w:r>
          </w:p>
        </w:tc>
        <w:tc>
          <w:tcPr>
            <w:tcW w:w="1980" w:type="dxa"/>
          </w:tcPr>
          <w:p w:rsidR="00494EE6" w:rsidRDefault="00494EE6" w:rsidP="00C15219">
            <w:pPr>
              <w:pStyle w:val="tabletext"/>
            </w:pPr>
            <w:r>
              <w:t>1.15</w:t>
            </w:r>
          </w:p>
        </w:tc>
      </w:tr>
      <w:tr w:rsidR="00494EE6" w:rsidRPr="00231CBA" w:rsidTr="00603011">
        <w:trPr>
          <w:tblHeader/>
        </w:trPr>
        <w:tc>
          <w:tcPr>
            <w:tcW w:w="5760" w:type="dxa"/>
          </w:tcPr>
          <w:p w:rsidR="00494EE6" w:rsidRDefault="00494EE6" w:rsidP="00C15219">
            <w:pPr>
              <w:pStyle w:val="tabletext"/>
            </w:pPr>
            <w:r>
              <w:t>Clause 3</w:t>
            </w:r>
          </w:p>
        </w:tc>
        <w:tc>
          <w:tcPr>
            <w:tcW w:w="1980" w:type="dxa"/>
          </w:tcPr>
          <w:p w:rsidR="00494EE6" w:rsidRDefault="00494EE6" w:rsidP="00C15219">
            <w:pPr>
              <w:pStyle w:val="tabletext"/>
            </w:pPr>
            <w:r>
              <w:t>1.14</w:t>
            </w:r>
          </w:p>
        </w:tc>
      </w:tr>
    </w:tbl>
    <w:p w:rsidR="0082054F" w:rsidRDefault="007343D5" w:rsidP="0082054F">
      <w:pPr>
        <w:pStyle w:val="Heading2with18pointafter"/>
        <w:rPr>
          <w:noProof/>
        </w:rPr>
      </w:pPr>
      <w:r>
        <w:rPr>
          <w:noProof/>
        </w:rPr>
        <w:t>Main Repeal Bill Schedule 1:  Repeal of the carbon tax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F254AF" w:rsidRPr="00442FB9" w:rsidTr="00F254AF">
        <w:trPr>
          <w:tblHeader/>
        </w:trPr>
        <w:tc>
          <w:tcPr>
            <w:tcW w:w="5760" w:type="dxa"/>
          </w:tcPr>
          <w:p w:rsidR="00F254AF" w:rsidRPr="00231CBA" w:rsidRDefault="00F254AF" w:rsidP="00F254AF">
            <w:pPr>
              <w:pStyle w:val="tableheaderwithintable"/>
            </w:pPr>
            <w:r w:rsidRPr="00231CBA">
              <w:t>Bill reference</w:t>
            </w:r>
          </w:p>
        </w:tc>
        <w:tc>
          <w:tcPr>
            <w:tcW w:w="1980" w:type="dxa"/>
          </w:tcPr>
          <w:p w:rsidR="00F254AF" w:rsidRPr="00231CBA" w:rsidRDefault="00F254AF" w:rsidP="00F254AF">
            <w:pPr>
              <w:pStyle w:val="tableheaderwithintable"/>
            </w:pPr>
            <w:r w:rsidRPr="00231CBA">
              <w:t>Paragraph number</w:t>
            </w:r>
          </w:p>
        </w:tc>
      </w:tr>
      <w:tr w:rsidR="00F254AF" w:rsidRPr="00231CBA" w:rsidTr="00F254AF">
        <w:trPr>
          <w:tblHeader/>
        </w:trPr>
        <w:tc>
          <w:tcPr>
            <w:tcW w:w="5760" w:type="dxa"/>
          </w:tcPr>
          <w:p w:rsidR="00F254AF" w:rsidRPr="00231CBA" w:rsidRDefault="00F254AF" w:rsidP="00F254AF">
            <w:pPr>
              <w:pStyle w:val="tabletext"/>
            </w:pPr>
            <w:r>
              <w:t>Items 1 to 6</w:t>
            </w:r>
          </w:p>
        </w:tc>
        <w:tc>
          <w:tcPr>
            <w:tcW w:w="1980" w:type="dxa"/>
          </w:tcPr>
          <w:p w:rsidR="00F254AF" w:rsidRPr="00231CBA" w:rsidRDefault="00F254AF" w:rsidP="00F254AF">
            <w:pPr>
              <w:pStyle w:val="tabletext"/>
            </w:pPr>
            <w:r>
              <w:t>1.17</w:t>
            </w:r>
          </w:p>
        </w:tc>
      </w:tr>
      <w:tr w:rsidR="00F254AF" w:rsidRPr="00231CBA" w:rsidTr="00F254AF">
        <w:trPr>
          <w:tblHeader/>
        </w:trPr>
        <w:tc>
          <w:tcPr>
            <w:tcW w:w="5760" w:type="dxa"/>
          </w:tcPr>
          <w:p w:rsidR="00F254AF" w:rsidRDefault="00F254AF" w:rsidP="00F254AF">
            <w:pPr>
              <w:pStyle w:val="tabletext"/>
            </w:pPr>
            <w:r>
              <w:t>Items 7, 8 and 9, section 195-1, GST Act</w:t>
            </w:r>
          </w:p>
        </w:tc>
        <w:tc>
          <w:tcPr>
            <w:tcW w:w="1980" w:type="dxa"/>
          </w:tcPr>
          <w:p w:rsidR="00F254AF" w:rsidRDefault="00F254AF" w:rsidP="00F254AF">
            <w:pPr>
              <w:pStyle w:val="tabletext"/>
            </w:pPr>
            <w:r>
              <w:t>3.9</w:t>
            </w:r>
          </w:p>
        </w:tc>
      </w:tr>
      <w:tr w:rsidR="00F254AF" w:rsidRPr="00231CBA" w:rsidTr="00F254AF">
        <w:trPr>
          <w:tblHeader/>
        </w:trPr>
        <w:tc>
          <w:tcPr>
            <w:tcW w:w="5760" w:type="dxa"/>
          </w:tcPr>
          <w:p w:rsidR="00F254AF" w:rsidRDefault="00F254AF" w:rsidP="00F254AF">
            <w:pPr>
              <w:pStyle w:val="tabletext"/>
            </w:pPr>
            <w:r>
              <w:t>Items 7, 8, 9 and 19, section 195-1, GST Act and section 4, ANREU Act</w:t>
            </w:r>
          </w:p>
        </w:tc>
        <w:tc>
          <w:tcPr>
            <w:tcW w:w="1980" w:type="dxa"/>
          </w:tcPr>
          <w:p w:rsidR="00F254AF" w:rsidRDefault="00F254AF" w:rsidP="00F254AF">
            <w:pPr>
              <w:pStyle w:val="tabletext"/>
            </w:pPr>
            <w:r>
              <w:t>3.10</w:t>
            </w:r>
          </w:p>
        </w:tc>
      </w:tr>
      <w:tr w:rsidR="00F254AF" w:rsidRPr="00231CBA" w:rsidTr="00F254AF">
        <w:trPr>
          <w:tblHeader/>
        </w:trPr>
        <w:tc>
          <w:tcPr>
            <w:tcW w:w="5760" w:type="dxa"/>
          </w:tcPr>
          <w:p w:rsidR="00F254AF" w:rsidRDefault="00F254AF" w:rsidP="00F254AF">
            <w:pPr>
              <w:pStyle w:val="tabletext"/>
            </w:pPr>
            <w:r>
              <w:t>Items 10 to 12, sections 5 and 6(2) (paragraph (baa) and (d) in table item 33), Anti-Money Laundering Act</w:t>
            </w:r>
          </w:p>
        </w:tc>
        <w:tc>
          <w:tcPr>
            <w:tcW w:w="1980" w:type="dxa"/>
          </w:tcPr>
          <w:p w:rsidR="00F254AF" w:rsidRDefault="00F254AF" w:rsidP="00F254AF">
            <w:pPr>
              <w:pStyle w:val="tabletext"/>
            </w:pPr>
            <w:r>
              <w:t>2.61</w:t>
            </w:r>
          </w:p>
        </w:tc>
      </w:tr>
      <w:tr w:rsidR="00F254AF" w:rsidRPr="00231CBA" w:rsidTr="00F254AF">
        <w:trPr>
          <w:tblHeader/>
        </w:trPr>
        <w:tc>
          <w:tcPr>
            <w:tcW w:w="5760" w:type="dxa"/>
          </w:tcPr>
          <w:p w:rsidR="00F254AF" w:rsidRDefault="00F254AF" w:rsidP="00F254AF">
            <w:pPr>
              <w:pStyle w:val="tabletext"/>
            </w:pPr>
            <w:r>
              <w:t>Items 13, 25, 31, 38 to 39, 41, 45, 55, 58 to 60, 64, 71, 72, 78, 79, 80, 82, sections 3, 4, 9(4)(a), 11(5)(b), 15(2)(aa) 26(3)(a)(ia), 27(3B)(c), 28A(1)(aa), 28B(1)(aa), 28D(5)(ii), 61A and 64, ANREU Act</w:t>
            </w:r>
          </w:p>
        </w:tc>
        <w:tc>
          <w:tcPr>
            <w:tcW w:w="1980" w:type="dxa"/>
          </w:tcPr>
          <w:p w:rsidR="00F254AF" w:rsidRDefault="00F254AF" w:rsidP="00F254AF">
            <w:pPr>
              <w:pStyle w:val="tabletext"/>
            </w:pPr>
            <w:r>
              <w:t>2.34</w:t>
            </w:r>
          </w:p>
        </w:tc>
      </w:tr>
      <w:tr w:rsidR="00F254AF" w:rsidRPr="00231CBA" w:rsidTr="00F254AF">
        <w:trPr>
          <w:tblHeader/>
        </w:trPr>
        <w:tc>
          <w:tcPr>
            <w:tcW w:w="5760" w:type="dxa"/>
          </w:tcPr>
          <w:p w:rsidR="00F254AF" w:rsidRDefault="00F254AF" w:rsidP="00F254AF">
            <w:pPr>
              <w:pStyle w:val="tabletext"/>
            </w:pPr>
            <w:r>
              <w:t>Items 13, 15, 16, 22, 25, 26, 29, 31, 37, 40, 48, 51, 54, 58 to 59, 63, 67 to 70, 72 and 73, sections 3, 4, 14A, 17(1A), 19(3B), 22(4B), 27(3B), 28A(4)(aa), 28B(11)</w:t>
            </w:r>
            <w:r w:rsidR="00D5237C">
              <w:t xml:space="preserve">, </w:t>
            </w:r>
            <w:r>
              <w:t>28C(17)(aa), 28D(5)(b) and 28D(16(aa), ANREU Act</w:t>
            </w:r>
          </w:p>
        </w:tc>
        <w:tc>
          <w:tcPr>
            <w:tcW w:w="1980" w:type="dxa"/>
          </w:tcPr>
          <w:p w:rsidR="00F254AF" w:rsidRDefault="00F254AF" w:rsidP="00F254AF">
            <w:pPr>
              <w:pStyle w:val="tabletext"/>
            </w:pPr>
            <w:r>
              <w:t>2.37</w:t>
            </w:r>
          </w:p>
        </w:tc>
      </w:tr>
      <w:tr w:rsidR="00F254AF" w:rsidRPr="00231CBA" w:rsidTr="00F254AF">
        <w:trPr>
          <w:tblHeader/>
        </w:trPr>
        <w:tc>
          <w:tcPr>
            <w:tcW w:w="5760" w:type="dxa"/>
          </w:tcPr>
          <w:p w:rsidR="00F254AF" w:rsidRDefault="00F254AF" w:rsidP="00F254AF">
            <w:pPr>
              <w:pStyle w:val="tabletext"/>
            </w:pPr>
            <w:r>
              <w:t>Items 13, 18-19, 23, 32 to 34, 38, 42 to 44, 46 to 47, 52 to 53, 56 to 57, 61 to 62, 65 to 66, 68 to 69, 75 to 76, 79, 81, 87 to 89, sections 3, 4, 9(4)(a), 15(2)(d), 16(2)(b)(ii), 16(5), 16(7)(b), 21, 22(4A)(a), 26(3)(iii), 28A(1), 28B(1), 28B(11), 58, 63 to 63G, 64 and 82, ANREU Act</w:t>
            </w:r>
          </w:p>
        </w:tc>
        <w:tc>
          <w:tcPr>
            <w:tcW w:w="1980" w:type="dxa"/>
          </w:tcPr>
          <w:p w:rsidR="00F254AF" w:rsidRDefault="00F254AF" w:rsidP="00F254AF">
            <w:pPr>
              <w:pStyle w:val="tabletext"/>
            </w:pPr>
            <w:r>
              <w:t>2.38</w:t>
            </w:r>
          </w:p>
        </w:tc>
      </w:tr>
      <w:tr w:rsidR="00F254AF" w:rsidRPr="00231CBA" w:rsidTr="00F254AF">
        <w:trPr>
          <w:tblHeader/>
        </w:trPr>
        <w:tc>
          <w:tcPr>
            <w:tcW w:w="5760" w:type="dxa"/>
          </w:tcPr>
          <w:p w:rsidR="00F254AF" w:rsidRDefault="00F254AF" w:rsidP="00F254AF">
            <w:pPr>
              <w:pStyle w:val="tabletext"/>
            </w:pPr>
            <w:r>
              <w:t>Items 14, 17, 20, 21, 24, 27 to 29, 83 to 86 and 90 to 91, sections 4, 48A, 66, 79(1), 82 and 86A and Parts 6A and 6B, ANREU Act</w:t>
            </w:r>
          </w:p>
        </w:tc>
        <w:tc>
          <w:tcPr>
            <w:tcW w:w="1980" w:type="dxa"/>
          </w:tcPr>
          <w:p w:rsidR="00F254AF" w:rsidRDefault="00F254AF" w:rsidP="00F254AF">
            <w:pPr>
              <w:pStyle w:val="tabletext"/>
            </w:pPr>
            <w:r>
              <w:t>2.41</w:t>
            </w:r>
          </w:p>
        </w:tc>
      </w:tr>
      <w:tr w:rsidR="00F254AF" w:rsidRPr="00231CBA" w:rsidTr="00F254AF">
        <w:trPr>
          <w:tblHeader/>
        </w:trPr>
        <w:tc>
          <w:tcPr>
            <w:tcW w:w="5760" w:type="dxa"/>
          </w:tcPr>
          <w:p w:rsidR="00F254AF" w:rsidRDefault="00F254AF" w:rsidP="00F254AF">
            <w:pPr>
              <w:pStyle w:val="tabletext"/>
            </w:pPr>
            <w:r>
              <w:t>Item 30, section 4, ANREU Act</w:t>
            </w:r>
          </w:p>
        </w:tc>
        <w:tc>
          <w:tcPr>
            <w:tcW w:w="1980" w:type="dxa"/>
          </w:tcPr>
          <w:p w:rsidR="00F254AF" w:rsidRDefault="00F254AF" w:rsidP="00F254AF">
            <w:pPr>
              <w:pStyle w:val="tabletext"/>
            </w:pPr>
            <w:r>
              <w:t>2.38</w:t>
            </w:r>
          </w:p>
        </w:tc>
      </w:tr>
      <w:tr w:rsidR="00F254AF" w:rsidRPr="00231CBA" w:rsidTr="00F254AF">
        <w:trPr>
          <w:tblHeader/>
        </w:trPr>
        <w:tc>
          <w:tcPr>
            <w:tcW w:w="5760" w:type="dxa"/>
          </w:tcPr>
          <w:p w:rsidR="00F254AF" w:rsidRDefault="00951DB6" w:rsidP="00951DB6">
            <w:pPr>
              <w:pStyle w:val="tabletext"/>
            </w:pPr>
            <w:r>
              <w:t xml:space="preserve">Item 35 </w:t>
            </w:r>
            <w:r w:rsidRPr="00951DB6">
              <w:t>and 84, sections 4 and Parts 6A and 6B, ANREU Act</w:t>
            </w:r>
          </w:p>
        </w:tc>
        <w:tc>
          <w:tcPr>
            <w:tcW w:w="1980" w:type="dxa"/>
          </w:tcPr>
          <w:p w:rsidR="00F254AF" w:rsidRDefault="00F254AF" w:rsidP="00F254AF">
            <w:pPr>
              <w:pStyle w:val="tabletext"/>
            </w:pPr>
            <w:r>
              <w:t>2.42</w:t>
            </w:r>
          </w:p>
        </w:tc>
      </w:tr>
      <w:tr w:rsidR="00F254AF" w:rsidRPr="00231CBA" w:rsidTr="00F254AF">
        <w:trPr>
          <w:tblHeader/>
        </w:trPr>
        <w:tc>
          <w:tcPr>
            <w:tcW w:w="5760" w:type="dxa"/>
          </w:tcPr>
          <w:p w:rsidR="00F254AF" w:rsidRDefault="00F254AF" w:rsidP="00F254AF">
            <w:pPr>
              <w:pStyle w:val="tabletext"/>
            </w:pPr>
            <w:r>
              <w:t>Items 36 and 49</w:t>
            </w:r>
            <w:r w:rsidR="00D5237C">
              <w:t xml:space="preserve">, </w:t>
            </w:r>
            <w:r>
              <w:t>sections 4, 17(3) and 50 to 53, ANREU Act</w:t>
            </w:r>
          </w:p>
        </w:tc>
        <w:tc>
          <w:tcPr>
            <w:tcW w:w="1980" w:type="dxa"/>
          </w:tcPr>
          <w:p w:rsidR="00F254AF" w:rsidRDefault="00F254AF" w:rsidP="00F254AF">
            <w:pPr>
              <w:pStyle w:val="tabletext"/>
            </w:pPr>
            <w:r>
              <w:t>2.40</w:t>
            </w:r>
          </w:p>
        </w:tc>
      </w:tr>
      <w:tr w:rsidR="006F4087" w:rsidRPr="00231CBA" w:rsidTr="00F254AF">
        <w:trPr>
          <w:tblHeader/>
        </w:trPr>
        <w:tc>
          <w:tcPr>
            <w:tcW w:w="5760" w:type="dxa"/>
          </w:tcPr>
          <w:p w:rsidR="006F4087" w:rsidRPr="00231CBA" w:rsidRDefault="006F4087" w:rsidP="00474FF7">
            <w:pPr>
              <w:pStyle w:val="tableheaderwithintable"/>
            </w:pPr>
            <w:r w:rsidRPr="00231CBA">
              <w:t>Bill reference</w:t>
            </w:r>
          </w:p>
        </w:tc>
        <w:tc>
          <w:tcPr>
            <w:tcW w:w="1980" w:type="dxa"/>
          </w:tcPr>
          <w:p w:rsidR="006F4087" w:rsidRPr="00231CBA" w:rsidRDefault="006F4087" w:rsidP="00474FF7">
            <w:pPr>
              <w:pStyle w:val="tableheaderwithintable"/>
            </w:pPr>
            <w:r w:rsidRPr="00231CBA">
              <w:t>Paragraph number</w:t>
            </w:r>
          </w:p>
        </w:tc>
      </w:tr>
      <w:tr w:rsidR="00F254AF" w:rsidRPr="00231CBA" w:rsidTr="00F254AF">
        <w:trPr>
          <w:tblHeader/>
        </w:trPr>
        <w:tc>
          <w:tcPr>
            <w:tcW w:w="5760" w:type="dxa"/>
          </w:tcPr>
          <w:p w:rsidR="00F254AF" w:rsidRDefault="00F254AF" w:rsidP="00F254AF">
            <w:pPr>
              <w:pStyle w:val="tabletext"/>
            </w:pPr>
            <w:r>
              <w:t>Item 74, Part 4 ANREU Act</w:t>
            </w:r>
          </w:p>
        </w:tc>
        <w:tc>
          <w:tcPr>
            <w:tcW w:w="1980" w:type="dxa"/>
          </w:tcPr>
          <w:p w:rsidR="00F254AF" w:rsidRDefault="00F254AF" w:rsidP="00F254AF">
            <w:pPr>
              <w:pStyle w:val="tabletext"/>
            </w:pPr>
            <w:r>
              <w:t>2.39</w:t>
            </w:r>
          </w:p>
        </w:tc>
      </w:tr>
      <w:tr w:rsidR="00F254AF" w:rsidRPr="00231CBA" w:rsidTr="00F254AF">
        <w:trPr>
          <w:tblHeader/>
        </w:trPr>
        <w:tc>
          <w:tcPr>
            <w:tcW w:w="5760" w:type="dxa"/>
          </w:tcPr>
          <w:p w:rsidR="00F254AF" w:rsidRDefault="00F254AF" w:rsidP="00F254AF">
            <w:pPr>
              <w:pStyle w:val="tabletext"/>
            </w:pPr>
            <w:r>
              <w:t>Items 92 and 93</w:t>
            </w:r>
            <w:r w:rsidR="00D5237C">
              <w:t xml:space="preserve">, </w:t>
            </w:r>
            <w:r>
              <w:t>sections 12BAA(7)(ka) and 12BAB(1)(g), ASIC Act</w:t>
            </w:r>
          </w:p>
        </w:tc>
        <w:tc>
          <w:tcPr>
            <w:tcW w:w="1980" w:type="dxa"/>
          </w:tcPr>
          <w:p w:rsidR="00F254AF" w:rsidRDefault="00F254AF" w:rsidP="00F254AF">
            <w:pPr>
              <w:pStyle w:val="tabletext"/>
            </w:pPr>
            <w:r>
              <w:t>2.49</w:t>
            </w:r>
          </w:p>
        </w:tc>
      </w:tr>
      <w:tr w:rsidR="00F254AF" w:rsidRPr="00231CBA" w:rsidTr="00F254AF">
        <w:trPr>
          <w:tblHeader/>
        </w:trPr>
        <w:tc>
          <w:tcPr>
            <w:tcW w:w="5760" w:type="dxa"/>
          </w:tcPr>
          <w:p w:rsidR="00F254AF" w:rsidRDefault="00F254AF" w:rsidP="00F254AF">
            <w:pPr>
              <w:pStyle w:val="tabletext"/>
            </w:pPr>
            <w:r>
              <w:t>Item 94, Part 20, ASIC Act</w:t>
            </w:r>
          </w:p>
        </w:tc>
        <w:tc>
          <w:tcPr>
            <w:tcW w:w="1980" w:type="dxa"/>
          </w:tcPr>
          <w:p w:rsidR="00F254AF" w:rsidRDefault="00F254AF" w:rsidP="00F254AF">
            <w:pPr>
              <w:pStyle w:val="tabletext"/>
            </w:pPr>
            <w:r>
              <w:t>2.50</w:t>
            </w:r>
          </w:p>
        </w:tc>
      </w:tr>
      <w:tr w:rsidR="00F254AF" w:rsidRPr="00231CBA" w:rsidTr="00F254AF">
        <w:trPr>
          <w:tblHeader/>
        </w:trPr>
        <w:tc>
          <w:tcPr>
            <w:tcW w:w="5760" w:type="dxa"/>
          </w:tcPr>
          <w:p w:rsidR="00F254AF" w:rsidRDefault="00F254AF" w:rsidP="00F254AF">
            <w:pPr>
              <w:pStyle w:val="tabletext"/>
            </w:pPr>
            <w:r>
              <w:t>Item 94, section 295, ASIC Act</w:t>
            </w:r>
          </w:p>
        </w:tc>
        <w:tc>
          <w:tcPr>
            <w:tcW w:w="1980" w:type="dxa"/>
          </w:tcPr>
          <w:p w:rsidR="00F254AF" w:rsidRDefault="00F254AF" w:rsidP="00F254AF">
            <w:pPr>
              <w:pStyle w:val="tabletext"/>
            </w:pPr>
            <w:r>
              <w:t>2.51</w:t>
            </w:r>
          </w:p>
        </w:tc>
      </w:tr>
      <w:tr w:rsidR="00F254AF" w:rsidRPr="00231CBA" w:rsidTr="00F254AF">
        <w:trPr>
          <w:tblHeader/>
        </w:trPr>
        <w:tc>
          <w:tcPr>
            <w:tcW w:w="5760" w:type="dxa"/>
          </w:tcPr>
          <w:p w:rsidR="00F254AF" w:rsidRDefault="00F254AF" w:rsidP="00F254AF">
            <w:pPr>
              <w:pStyle w:val="tabletext"/>
            </w:pPr>
            <w:r>
              <w:t>Item 94</w:t>
            </w:r>
            <w:r w:rsidR="00D5237C">
              <w:t xml:space="preserve">, </w:t>
            </w:r>
            <w:r>
              <w:t>section 296, ASIC Act</w:t>
            </w:r>
          </w:p>
        </w:tc>
        <w:tc>
          <w:tcPr>
            <w:tcW w:w="1980" w:type="dxa"/>
          </w:tcPr>
          <w:p w:rsidR="00F254AF" w:rsidRDefault="00F254AF" w:rsidP="00F254AF">
            <w:pPr>
              <w:pStyle w:val="tabletext"/>
            </w:pPr>
            <w:r>
              <w:t>2.52</w:t>
            </w:r>
          </w:p>
        </w:tc>
      </w:tr>
      <w:tr w:rsidR="00F254AF" w:rsidRPr="00231CBA" w:rsidTr="00F254AF">
        <w:trPr>
          <w:tblHeader/>
        </w:trPr>
        <w:tc>
          <w:tcPr>
            <w:tcW w:w="5760" w:type="dxa"/>
          </w:tcPr>
          <w:p w:rsidR="00F254AF" w:rsidRDefault="00F254AF" w:rsidP="00F254AF">
            <w:pPr>
              <w:pStyle w:val="tabletext"/>
            </w:pPr>
            <w:r>
              <w:t>Item 95 and 101, sections 3 and 4, Regulator Act</w:t>
            </w:r>
          </w:p>
        </w:tc>
        <w:tc>
          <w:tcPr>
            <w:tcW w:w="1980" w:type="dxa"/>
          </w:tcPr>
          <w:p w:rsidR="00F254AF" w:rsidRDefault="00F254AF" w:rsidP="00F254AF">
            <w:pPr>
              <w:pStyle w:val="tabletext"/>
            </w:pPr>
            <w:r>
              <w:t>2.45</w:t>
            </w:r>
          </w:p>
        </w:tc>
      </w:tr>
      <w:tr w:rsidR="00F254AF" w:rsidRPr="00231CBA" w:rsidTr="00F254AF">
        <w:trPr>
          <w:tblHeader/>
        </w:trPr>
        <w:tc>
          <w:tcPr>
            <w:tcW w:w="5760" w:type="dxa"/>
          </w:tcPr>
          <w:p w:rsidR="00F254AF" w:rsidRDefault="00F254AF" w:rsidP="00F254AF">
            <w:pPr>
              <w:pStyle w:val="tabletext"/>
            </w:pPr>
            <w:r>
              <w:t>Item 95, sections 3, 4 and 41(3)(a)</w:t>
            </w:r>
            <w:r w:rsidR="00D5237C">
              <w:t xml:space="preserve">, </w:t>
            </w:r>
            <w:r>
              <w:t>Regulator Act</w:t>
            </w:r>
          </w:p>
        </w:tc>
        <w:tc>
          <w:tcPr>
            <w:tcW w:w="1980" w:type="dxa"/>
          </w:tcPr>
          <w:p w:rsidR="00F254AF" w:rsidRDefault="00F254AF" w:rsidP="00F254AF">
            <w:pPr>
              <w:pStyle w:val="tabletext"/>
            </w:pPr>
            <w:r>
              <w:t>2.44</w:t>
            </w:r>
          </w:p>
        </w:tc>
      </w:tr>
      <w:tr w:rsidR="00F254AF" w:rsidRPr="00231CBA" w:rsidTr="00F254AF">
        <w:trPr>
          <w:tblHeader/>
        </w:trPr>
        <w:tc>
          <w:tcPr>
            <w:tcW w:w="5760" w:type="dxa"/>
          </w:tcPr>
          <w:p w:rsidR="00F254AF" w:rsidRDefault="00F254AF" w:rsidP="00F254AF">
            <w:pPr>
              <w:pStyle w:val="tabletext"/>
            </w:pPr>
            <w:r>
              <w:t>Items 96, 98, 99 and  100, section 4, Regulator Act</w:t>
            </w:r>
          </w:p>
        </w:tc>
        <w:tc>
          <w:tcPr>
            <w:tcW w:w="1980" w:type="dxa"/>
          </w:tcPr>
          <w:p w:rsidR="00F254AF" w:rsidRDefault="00F254AF" w:rsidP="00F254AF">
            <w:pPr>
              <w:pStyle w:val="tabletext"/>
            </w:pPr>
            <w:r>
              <w:t>2.48</w:t>
            </w:r>
          </w:p>
        </w:tc>
      </w:tr>
      <w:tr w:rsidR="00F254AF" w:rsidRPr="00231CBA" w:rsidTr="00F254AF">
        <w:trPr>
          <w:tblHeader/>
        </w:trPr>
        <w:tc>
          <w:tcPr>
            <w:tcW w:w="5760" w:type="dxa"/>
          </w:tcPr>
          <w:p w:rsidR="00F254AF" w:rsidRDefault="00F254AF" w:rsidP="00F254AF">
            <w:pPr>
              <w:pStyle w:val="tabletext"/>
            </w:pPr>
            <w:r>
              <w:t>Item 97, section 4, Regulator Act</w:t>
            </w:r>
          </w:p>
        </w:tc>
        <w:tc>
          <w:tcPr>
            <w:tcW w:w="1980" w:type="dxa"/>
          </w:tcPr>
          <w:p w:rsidR="00F254AF" w:rsidRDefault="00F254AF" w:rsidP="00F254AF">
            <w:pPr>
              <w:pStyle w:val="tabletext"/>
            </w:pPr>
            <w:r>
              <w:t>2.44</w:t>
            </w:r>
          </w:p>
        </w:tc>
      </w:tr>
      <w:tr w:rsidR="00F254AF" w:rsidRPr="00231CBA" w:rsidTr="00F254AF">
        <w:trPr>
          <w:tblHeader/>
        </w:trPr>
        <w:tc>
          <w:tcPr>
            <w:tcW w:w="5760" w:type="dxa"/>
          </w:tcPr>
          <w:p w:rsidR="00F254AF" w:rsidRDefault="00F254AF" w:rsidP="00F254AF">
            <w:pPr>
              <w:pStyle w:val="tabletext"/>
            </w:pPr>
            <w:r>
              <w:t>Items 102 and 104, sections 4 and 49(1)(z), Regulator Act</w:t>
            </w:r>
          </w:p>
        </w:tc>
        <w:tc>
          <w:tcPr>
            <w:tcW w:w="1980" w:type="dxa"/>
          </w:tcPr>
          <w:p w:rsidR="00F254AF" w:rsidRDefault="00F254AF" w:rsidP="00F254AF">
            <w:pPr>
              <w:pStyle w:val="tabletext"/>
            </w:pPr>
            <w:r>
              <w:t>2.48</w:t>
            </w:r>
          </w:p>
        </w:tc>
      </w:tr>
      <w:tr w:rsidR="00F254AF" w:rsidRPr="00231CBA" w:rsidTr="00F254AF">
        <w:trPr>
          <w:tblHeader/>
        </w:trPr>
        <w:tc>
          <w:tcPr>
            <w:tcW w:w="5760" w:type="dxa"/>
          </w:tcPr>
          <w:p w:rsidR="00F254AF" w:rsidRDefault="00F254AF" w:rsidP="00F254AF">
            <w:pPr>
              <w:pStyle w:val="tabletext"/>
            </w:pPr>
            <w:r>
              <w:t>Item 103, section 41(3)(a), Regulator Act</w:t>
            </w:r>
          </w:p>
        </w:tc>
        <w:tc>
          <w:tcPr>
            <w:tcW w:w="1980" w:type="dxa"/>
          </w:tcPr>
          <w:p w:rsidR="00F254AF" w:rsidRDefault="00F254AF" w:rsidP="00F254AF">
            <w:pPr>
              <w:pStyle w:val="tabletext"/>
            </w:pPr>
            <w:r>
              <w:t>2.48</w:t>
            </w:r>
          </w:p>
        </w:tc>
      </w:tr>
      <w:tr w:rsidR="00F254AF" w:rsidRPr="00231CBA" w:rsidTr="00F254AF">
        <w:trPr>
          <w:tblHeader/>
        </w:trPr>
        <w:tc>
          <w:tcPr>
            <w:tcW w:w="5760" w:type="dxa"/>
          </w:tcPr>
          <w:p w:rsidR="00F254AF" w:rsidRDefault="00F254AF" w:rsidP="00F254AF">
            <w:pPr>
              <w:pStyle w:val="tabletext"/>
            </w:pPr>
            <w:r>
              <w:t>Items 105 and 106</w:t>
            </w:r>
            <w:r w:rsidR="00D5237C">
              <w:t xml:space="preserve">, </w:t>
            </w:r>
            <w:r>
              <w:t>sections 9 and 764A(1)(kaa), Corporations Act</w:t>
            </w:r>
          </w:p>
        </w:tc>
        <w:tc>
          <w:tcPr>
            <w:tcW w:w="1980" w:type="dxa"/>
          </w:tcPr>
          <w:p w:rsidR="00F254AF" w:rsidRDefault="00F254AF" w:rsidP="00F254AF">
            <w:pPr>
              <w:pStyle w:val="tabletext"/>
            </w:pPr>
            <w:r>
              <w:t>2.53</w:t>
            </w:r>
          </w:p>
        </w:tc>
      </w:tr>
      <w:tr w:rsidR="00F254AF" w:rsidRPr="00231CBA" w:rsidTr="00F254AF">
        <w:trPr>
          <w:tblHeader/>
        </w:trPr>
        <w:tc>
          <w:tcPr>
            <w:tcW w:w="5760" w:type="dxa"/>
          </w:tcPr>
          <w:p w:rsidR="00F254AF" w:rsidRDefault="00F254AF" w:rsidP="00F254AF">
            <w:pPr>
              <w:pStyle w:val="tabletext"/>
            </w:pPr>
            <w:r>
              <w:t>Item 107, section 1544, Corporations Act</w:t>
            </w:r>
          </w:p>
        </w:tc>
        <w:tc>
          <w:tcPr>
            <w:tcW w:w="1980" w:type="dxa"/>
          </w:tcPr>
          <w:p w:rsidR="00F254AF" w:rsidRDefault="00F254AF" w:rsidP="00F254AF">
            <w:pPr>
              <w:pStyle w:val="tabletext"/>
            </w:pPr>
            <w:r>
              <w:t>2.57</w:t>
            </w:r>
          </w:p>
        </w:tc>
      </w:tr>
      <w:tr w:rsidR="00F254AF" w:rsidRPr="00231CBA" w:rsidTr="00F254AF">
        <w:trPr>
          <w:tblHeader/>
        </w:trPr>
        <w:tc>
          <w:tcPr>
            <w:tcW w:w="5760" w:type="dxa"/>
          </w:tcPr>
          <w:p w:rsidR="00F254AF" w:rsidRDefault="00F254AF" w:rsidP="00F254AF">
            <w:pPr>
              <w:pStyle w:val="tabletext"/>
            </w:pPr>
            <w:r>
              <w:t>Item 107, sections 1545 and 1546, Corporations Act</w:t>
            </w:r>
          </w:p>
        </w:tc>
        <w:tc>
          <w:tcPr>
            <w:tcW w:w="1980" w:type="dxa"/>
          </w:tcPr>
          <w:p w:rsidR="00F254AF" w:rsidRDefault="00F254AF" w:rsidP="00F254AF">
            <w:pPr>
              <w:pStyle w:val="tabletext"/>
            </w:pPr>
            <w:r>
              <w:t>2.58</w:t>
            </w:r>
          </w:p>
        </w:tc>
      </w:tr>
      <w:tr w:rsidR="00F254AF" w:rsidRPr="00231CBA" w:rsidTr="00F254AF">
        <w:trPr>
          <w:tblHeader/>
        </w:trPr>
        <w:tc>
          <w:tcPr>
            <w:tcW w:w="5760" w:type="dxa"/>
          </w:tcPr>
          <w:p w:rsidR="00F254AF" w:rsidRDefault="00F254AF" w:rsidP="00F254AF">
            <w:pPr>
              <w:pStyle w:val="tabletext"/>
            </w:pPr>
            <w:r>
              <w:t>Item 107</w:t>
            </w:r>
            <w:r w:rsidR="00D5237C">
              <w:t xml:space="preserve">, </w:t>
            </w:r>
            <w:r>
              <w:t>Part 10.23, Corporations Act</w:t>
            </w:r>
          </w:p>
        </w:tc>
        <w:tc>
          <w:tcPr>
            <w:tcW w:w="1980" w:type="dxa"/>
          </w:tcPr>
          <w:p w:rsidR="00F254AF" w:rsidRDefault="00F254AF" w:rsidP="00F254AF">
            <w:pPr>
              <w:pStyle w:val="tabletext"/>
            </w:pPr>
            <w:r>
              <w:t>2.54</w:t>
            </w:r>
          </w:p>
        </w:tc>
      </w:tr>
      <w:tr w:rsidR="00F254AF" w:rsidRPr="00231CBA" w:rsidTr="00F254AF">
        <w:trPr>
          <w:tblHeader/>
        </w:trPr>
        <w:tc>
          <w:tcPr>
            <w:tcW w:w="5760" w:type="dxa"/>
          </w:tcPr>
          <w:p w:rsidR="00F254AF" w:rsidRDefault="00F254AF" w:rsidP="00F254AF">
            <w:pPr>
              <w:pStyle w:val="tabletext"/>
            </w:pPr>
            <w:r>
              <w:t>Item 107, section 1542, Corporations Act</w:t>
            </w:r>
          </w:p>
        </w:tc>
        <w:tc>
          <w:tcPr>
            <w:tcW w:w="1980" w:type="dxa"/>
          </w:tcPr>
          <w:p w:rsidR="00F254AF" w:rsidRDefault="00F254AF" w:rsidP="00F254AF">
            <w:pPr>
              <w:pStyle w:val="tabletext"/>
            </w:pPr>
            <w:r>
              <w:t>2.55</w:t>
            </w:r>
          </w:p>
        </w:tc>
      </w:tr>
      <w:tr w:rsidR="00F254AF" w:rsidRPr="00231CBA" w:rsidTr="00F254AF">
        <w:trPr>
          <w:tblHeader/>
        </w:trPr>
        <w:tc>
          <w:tcPr>
            <w:tcW w:w="5760" w:type="dxa"/>
          </w:tcPr>
          <w:p w:rsidR="00F254AF" w:rsidRDefault="00F254AF" w:rsidP="00F254AF">
            <w:pPr>
              <w:pStyle w:val="tabletext"/>
            </w:pPr>
            <w:r>
              <w:t>Item 107</w:t>
            </w:r>
            <w:r w:rsidR="00D5237C">
              <w:t xml:space="preserve">, </w:t>
            </w:r>
            <w:r>
              <w:t>section 1543, Corporations Act</w:t>
            </w:r>
          </w:p>
        </w:tc>
        <w:tc>
          <w:tcPr>
            <w:tcW w:w="1980" w:type="dxa"/>
          </w:tcPr>
          <w:p w:rsidR="00F254AF" w:rsidRDefault="00F254AF" w:rsidP="00F254AF">
            <w:pPr>
              <w:pStyle w:val="tabletext"/>
            </w:pPr>
            <w:r>
              <w:t>2.56</w:t>
            </w:r>
          </w:p>
        </w:tc>
      </w:tr>
      <w:tr w:rsidR="00F254AF" w:rsidRPr="00231CBA" w:rsidTr="00F254AF">
        <w:trPr>
          <w:tblHeader/>
        </w:trPr>
        <w:tc>
          <w:tcPr>
            <w:tcW w:w="5760" w:type="dxa"/>
          </w:tcPr>
          <w:p w:rsidR="00F254AF" w:rsidRDefault="00F254AF" w:rsidP="00F254AF">
            <w:pPr>
              <w:pStyle w:val="tabletext"/>
            </w:pPr>
            <w:r>
              <w:t>Items 108, 109, 110, 122, 135, 136, 138, 143, 147, 152 and 155, sections 2-1, 40-5, 43-5 and 110-5, Fuel Tax Act; item 12(2A), Schedule 3, Fuel Tax (Consequential and Transitional Provisions) Act 2006</w:t>
            </w:r>
          </w:p>
        </w:tc>
        <w:tc>
          <w:tcPr>
            <w:tcW w:w="1980" w:type="dxa"/>
          </w:tcPr>
          <w:p w:rsidR="00F254AF" w:rsidRDefault="00F254AF" w:rsidP="00F254AF">
            <w:pPr>
              <w:pStyle w:val="tabletext"/>
            </w:pPr>
            <w:r>
              <w:t>5.10</w:t>
            </w:r>
          </w:p>
        </w:tc>
      </w:tr>
      <w:tr w:rsidR="00F254AF" w:rsidRPr="00231CBA" w:rsidTr="00F254AF">
        <w:trPr>
          <w:tblHeader/>
        </w:trPr>
        <w:tc>
          <w:tcPr>
            <w:tcW w:w="5760" w:type="dxa"/>
          </w:tcPr>
          <w:p w:rsidR="00F254AF" w:rsidRDefault="00F254AF" w:rsidP="00F254AF">
            <w:pPr>
              <w:pStyle w:val="tabletext"/>
            </w:pPr>
            <w:r>
              <w:t>Items 108, 110, 111, 112, 115, 116, 120, 124, 125 and 138</w:t>
            </w:r>
            <w:r w:rsidR="00D5237C">
              <w:t xml:space="preserve">, </w:t>
            </w:r>
            <w:r>
              <w:t>sections 2-1, 40-5, 41-1, 41-5(3)(b), 41-30, 43-1, 43-10 and 110-5, Fuel Tax Act</w:t>
            </w:r>
          </w:p>
        </w:tc>
        <w:tc>
          <w:tcPr>
            <w:tcW w:w="1980" w:type="dxa"/>
          </w:tcPr>
          <w:p w:rsidR="00F254AF" w:rsidRDefault="00F254AF" w:rsidP="00F254AF">
            <w:pPr>
              <w:pStyle w:val="tabletext"/>
            </w:pPr>
            <w:r>
              <w:t>5.20</w:t>
            </w:r>
          </w:p>
        </w:tc>
      </w:tr>
      <w:tr w:rsidR="00F254AF" w:rsidRPr="00231CBA" w:rsidTr="00F254AF">
        <w:trPr>
          <w:tblHeader/>
        </w:trPr>
        <w:tc>
          <w:tcPr>
            <w:tcW w:w="5760" w:type="dxa"/>
          </w:tcPr>
          <w:p w:rsidR="00F254AF" w:rsidRDefault="00F254AF" w:rsidP="00F254AF">
            <w:pPr>
              <w:pStyle w:val="tabletext"/>
            </w:pPr>
            <w:r>
              <w:t>Items 113, 114, 118, 127 to 134, 137, 139 to 142, 144 to 146, 148 to 151, 153 and 154, sections 41-15(1), 41-25(2)(a)(ii), 41-35 and 110-5 and Subdivision 43-B, Fuel Tax Act</w:t>
            </w:r>
          </w:p>
        </w:tc>
        <w:tc>
          <w:tcPr>
            <w:tcW w:w="1980" w:type="dxa"/>
          </w:tcPr>
          <w:p w:rsidR="00F254AF" w:rsidRDefault="00F254AF" w:rsidP="00F254AF">
            <w:pPr>
              <w:pStyle w:val="tabletext"/>
            </w:pPr>
            <w:r>
              <w:t>5.23</w:t>
            </w:r>
          </w:p>
        </w:tc>
      </w:tr>
      <w:tr w:rsidR="00F254AF" w:rsidRPr="00231CBA" w:rsidTr="00F254AF">
        <w:trPr>
          <w:tblHeader/>
        </w:trPr>
        <w:tc>
          <w:tcPr>
            <w:tcW w:w="5760" w:type="dxa"/>
          </w:tcPr>
          <w:p w:rsidR="00F254AF" w:rsidRDefault="00F254AF" w:rsidP="00F254AF">
            <w:pPr>
              <w:pStyle w:val="tabletext"/>
            </w:pPr>
            <w:r>
              <w:t>Items 117 and 126, sections 41-30(2) and 43-11, Fuel Tax Act</w:t>
            </w:r>
          </w:p>
        </w:tc>
        <w:tc>
          <w:tcPr>
            <w:tcW w:w="1980" w:type="dxa"/>
          </w:tcPr>
          <w:p w:rsidR="00F254AF" w:rsidRDefault="00F254AF" w:rsidP="00F254AF">
            <w:pPr>
              <w:pStyle w:val="tabletext"/>
            </w:pPr>
            <w:r>
              <w:t>5.19</w:t>
            </w:r>
          </w:p>
        </w:tc>
      </w:tr>
      <w:tr w:rsidR="00F254AF" w:rsidRPr="00231CBA" w:rsidTr="00F254AF">
        <w:trPr>
          <w:tblHeader/>
        </w:trPr>
        <w:tc>
          <w:tcPr>
            <w:tcW w:w="5760" w:type="dxa"/>
          </w:tcPr>
          <w:p w:rsidR="00F254AF" w:rsidRDefault="00F254AF" w:rsidP="00F254AF">
            <w:pPr>
              <w:pStyle w:val="tabletext"/>
            </w:pPr>
            <w:r>
              <w:t>Item 119, Division 42A</w:t>
            </w:r>
            <w:r w:rsidR="00D5237C">
              <w:t xml:space="preserve">, </w:t>
            </w:r>
            <w:r>
              <w:t>Fuel Tax Act</w:t>
            </w:r>
          </w:p>
        </w:tc>
        <w:tc>
          <w:tcPr>
            <w:tcW w:w="1980" w:type="dxa"/>
          </w:tcPr>
          <w:p w:rsidR="00F254AF" w:rsidRDefault="00F254AF" w:rsidP="00F254AF">
            <w:pPr>
              <w:pStyle w:val="tabletext"/>
            </w:pPr>
            <w:r>
              <w:t>5.22</w:t>
            </w:r>
          </w:p>
        </w:tc>
      </w:tr>
      <w:tr w:rsidR="00F254AF" w:rsidRPr="00231CBA" w:rsidTr="00F254AF">
        <w:trPr>
          <w:tblHeader/>
        </w:trPr>
        <w:tc>
          <w:tcPr>
            <w:tcW w:w="5760" w:type="dxa"/>
          </w:tcPr>
          <w:p w:rsidR="00F254AF" w:rsidRDefault="00F254AF" w:rsidP="00F254AF">
            <w:pPr>
              <w:pStyle w:val="tabletext"/>
            </w:pPr>
            <w:r>
              <w:t>Items 121, 122 and 123</w:t>
            </w:r>
            <w:r w:rsidR="00D5237C">
              <w:t xml:space="preserve">, </w:t>
            </w:r>
            <w:r>
              <w:t>sections 43-5 and 43-8, Fuel Tax Act</w:t>
            </w:r>
          </w:p>
        </w:tc>
        <w:tc>
          <w:tcPr>
            <w:tcW w:w="1980" w:type="dxa"/>
          </w:tcPr>
          <w:p w:rsidR="00F254AF" w:rsidRDefault="00F254AF" w:rsidP="00F254AF">
            <w:pPr>
              <w:pStyle w:val="tabletext"/>
            </w:pPr>
            <w:r>
              <w:t>5.9</w:t>
            </w:r>
          </w:p>
        </w:tc>
      </w:tr>
      <w:tr w:rsidR="00F254AF" w:rsidRPr="00231CBA" w:rsidTr="00F254AF">
        <w:trPr>
          <w:tblHeader/>
        </w:trPr>
        <w:tc>
          <w:tcPr>
            <w:tcW w:w="5760" w:type="dxa"/>
          </w:tcPr>
          <w:p w:rsidR="00F254AF" w:rsidRDefault="00F254AF" w:rsidP="00F254AF">
            <w:pPr>
              <w:pStyle w:val="tabletext"/>
            </w:pPr>
            <w:r>
              <w:t>Item 156, section 12-5, ITAA 1997</w:t>
            </w:r>
          </w:p>
        </w:tc>
        <w:tc>
          <w:tcPr>
            <w:tcW w:w="1980" w:type="dxa"/>
          </w:tcPr>
          <w:p w:rsidR="00F254AF" w:rsidRDefault="00F254AF" w:rsidP="00F254AF">
            <w:pPr>
              <w:pStyle w:val="tabletext"/>
            </w:pPr>
            <w:r>
              <w:t>3.15</w:t>
            </w:r>
          </w:p>
        </w:tc>
      </w:tr>
      <w:tr w:rsidR="00F254AF" w:rsidRPr="00231CBA" w:rsidTr="00F254AF">
        <w:trPr>
          <w:tblHeader/>
        </w:trPr>
        <w:tc>
          <w:tcPr>
            <w:tcW w:w="5760" w:type="dxa"/>
          </w:tcPr>
          <w:p w:rsidR="00F254AF" w:rsidRDefault="00F254AF" w:rsidP="00F254AF">
            <w:pPr>
              <w:pStyle w:val="tabletext"/>
            </w:pPr>
            <w:r>
              <w:t>Item 157, section 26-18</w:t>
            </w:r>
            <w:r w:rsidR="00D5237C">
              <w:t xml:space="preserve">, </w:t>
            </w:r>
            <w:r>
              <w:t xml:space="preserve">ITAA 1997 </w:t>
            </w:r>
          </w:p>
        </w:tc>
        <w:tc>
          <w:tcPr>
            <w:tcW w:w="1980" w:type="dxa"/>
          </w:tcPr>
          <w:p w:rsidR="00F254AF" w:rsidRDefault="00F254AF" w:rsidP="00F254AF">
            <w:pPr>
              <w:pStyle w:val="tabletext"/>
            </w:pPr>
            <w:r>
              <w:t>3.15</w:t>
            </w:r>
          </w:p>
        </w:tc>
      </w:tr>
      <w:tr w:rsidR="006F4087" w:rsidRPr="00231CBA" w:rsidTr="00F254AF">
        <w:trPr>
          <w:tblHeader/>
        </w:trPr>
        <w:tc>
          <w:tcPr>
            <w:tcW w:w="5760" w:type="dxa"/>
          </w:tcPr>
          <w:p w:rsidR="006F4087" w:rsidRPr="00231CBA" w:rsidRDefault="006F4087" w:rsidP="00474FF7">
            <w:pPr>
              <w:pStyle w:val="tableheaderwithintable"/>
            </w:pPr>
            <w:r w:rsidRPr="00231CBA">
              <w:t>Bill reference</w:t>
            </w:r>
          </w:p>
        </w:tc>
        <w:tc>
          <w:tcPr>
            <w:tcW w:w="1980" w:type="dxa"/>
          </w:tcPr>
          <w:p w:rsidR="006F4087" w:rsidRPr="00231CBA" w:rsidRDefault="006F4087" w:rsidP="00474FF7">
            <w:pPr>
              <w:pStyle w:val="tableheaderwithintable"/>
            </w:pPr>
            <w:r w:rsidRPr="00231CBA">
              <w:t>Paragraph number</w:t>
            </w:r>
          </w:p>
        </w:tc>
      </w:tr>
      <w:tr w:rsidR="00F254AF" w:rsidRPr="00231CBA" w:rsidTr="00F254AF">
        <w:trPr>
          <w:tblHeader/>
        </w:trPr>
        <w:tc>
          <w:tcPr>
            <w:tcW w:w="5760" w:type="dxa"/>
          </w:tcPr>
          <w:p w:rsidR="00F254AF" w:rsidRDefault="00F254AF" w:rsidP="00F254AF">
            <w:pPr>
              <w:pStyle w:val="tabletext"/>
            </w:pPr>
            <w:r>
              <w:t>Items 158 to 195 (excluding 179), sections 104</w:t>
            </w:r>
            <w:r>
              <w:noBreakHyphen/>
              <w:t>5, 104</w:t>
            </w:r>
            <w:r>
              <w:noBreakHyphen/>
              <w:t>205(1)(a)(i) to (iv), 112</w:t>
            </w:r>
            <w:r>
              <w:noBreakHyphen/>
              <w:t>97, 118</w:t>
            </w:r>
            <w:r>
              <w:noBreakHyphen/>
              <w:t>15(2), 420</w:t>
            </w:r>
            <w:r>
              <w:noBreakHyphen/>
              <w:t>10(a) and (c), 420</w:t>
            </w:r>
            <w:r>
              <w:noBreakHyphen/>
              <w:t>15(1) (note), 420</w:t>
            </w:r>
            <w:r>
              <w:noBreakHyphen/>
              <w:t>15(3)</w:t>
            </w:r>
            <w:r w:rsidR="00D5237C">
              <w:t xml:space="preserve">, </w:t>
            </w:r>
            <w:r>
              <w:t>420</w:t>
            </w:r>
            <w:r>
              <w:noBreakHyphen/>
              <w:t>20(3), 420</w:t>
            </w:r>
            <w:r>
              <w:noBreakHyphen/>
              <w:t>21(1)(a)(i)-(iv), 420</w:t>
            </w:r>
            <w:r>
              <w:noBreakHyphen/>
              <w:t>21(1) (example), 420</w:t>
            </w:r>
            <w:r>
              <w:noBreakHyphen/>
              <w:t>21(2)(a)(i)-(iv), 420</w:t>
            </w:r>
            <w:r>
              <w:noBreakHyphen/>
              <w:t>35(b)(i) and (ii), 420</w:t>
            </w:r>
            <w:r>
              <w:noBreakHyphen/>
              <w:t>35 (example), 420</w:t>
            </w:r>
            <w:r>
              <w:noBreakHyphen/>
              <w:t>51(1) and (2), 420</w:t>
            </w:r>
            <w:r>
              <w:noBreakHyphen/>
              <w:t>52(a)(i), 420</w:t>
            </w:r>
            <w:r>
              <w:noBreakHyphen/>
              <w:t>52(b), 420</w:t>
            </w:r>
            <w:r>
              <w:noBreakHyphen/>
              <w:t>55(6), 420</w:t>
            </w:r>
            <w:r>
              <w:noBreakHyphen/>
              <w:t>57(9), 420</w:t>
            </w:r>
            <w:r>
              <w:noBreakHyphen/>
              <w:t>58, 420</w:t>
            </w:r>
            <w:r>
              <w:noBreakHyphen/>
              <w:t>60(1), (2) and (4), 420</w:t>
            </w:r>
            <w:r>
              <w:noBreakHyphen/>
              <w:t>65(3), 420</w:t>
            </w:r>
            <w:r>
              <w:noBreakHyphen/>
              <w:t>70(3) and 995</w:t>
            </w:r>
            <w:r>
              <w:noBreakHyphen/>
              <w:t>1(1), ITAA 1997</w:t>
            </w:r>
          </w:p>
        </w:tc>
        <w:tc>
          <w:tcPr>
            <w:tcW w:w="1980" w:type="dxa"/>
          </w:tcPr>
          <w:p w:rsidR="00F254AF" w:rsidRDefault="00F254AF" w:rsidP="00F254AF">
            <w:pPr>
              <w:pStyle w:val="tabletext"/>
            </w:pPr>
            <w:r>
              <w:t>3.6</w:t>
            </w:r>
          </w:p>
        </w:tc>
      </w:tr>
      <w:tr w:rsidR="00F254AF" w:rsidRPr="00231CBA" w:rsidTr="00F254AF">
        <w:trPr>
          <w:tblHeader/>
        </w:trPr>
        <w:tc>
          <w:tcPr>
            <w:tcW w:w="5760" w:type="dxa"/>
          </w:tcPr>
          <w:p w:rsidR="00F254AF" w:rsidRDefault="00F254AF" w:rsidP="00F254AF">
            <w:pPr>
              <w:pStyle w:val="tabletext"/>
            </w:pPr>
            <w:r>
              <w:t>Item 179, section 420</w:t>
            </w:r>
            <w:r>
              <w:noBreakHyphen/>
              <w:t>43, ITAA 1997</w:t>
            </w:r>
          </w:p>
        </w:tc>
        <w:tc>
          <w:tcPr>
            <w:tcW w:w="1980" w:type="dxa"/>
          </w:tcPr>
          <w:p w:rsidR="00F254AF" w:rsidRDefault="00F254AF" w:rsidP="00F254AF">
            <w:pPr>
              <w:pStyle w:val="tabletext"/>
            </w:pPr>
            <w:r>
              <w:t>3.16</w:t>
            </w:r>
          </w:p>
        </w:tc>
      </w:tr>
      <w:tr w:rsidR="00F254AF" w:rsidRPr="00231CBA" w:rsidTr="00F254AF">
        <w:trPr>
          <w:tblHeader/>
        </w:trPr>
        <w:tc>
          <w:tcPr>
            <w:tcW w:w="5760" w:type="dxa"/>
          </w:tcPr>
          <w:p w:rsidR="00F254AF" w:rsidRDefault="00F254AF" w:rsidP="00F254AF">
            <w:pPr>
              <w:pStyle w:val="tabletext"/>
            </w:pPr>
            <w:r>
              <w:t>Items 196 to 198, section 3, NGER Act</w:t>
            </w:r>
          </w:p>
        </w:tc>
        <w:tc>
          <w:tcPr>
            <w:tcW w:w="1980" w:type="dxa"/>
          </w:tcPr>
          <w:p w:rsidR="00F254AF" w:rsidRDefault="00F254AF" w:rsidP="00F254AF">
            <w:pPr>
              <w:pStyle w:val="tabletext"/>
            </w:pPr>
            <w:r>
              <w:t>2.30</w:t>
            </w:r>
          </w:p>
        </w:tc>
      </w:tr>
      <w:tr w:rsidR="00F254AF" w:rsidRPr="00231CBA" w:rsidTr="00F254AF">
        <w:trPr>
          <w:tblHeader/>
        </w:trPr>
        <w:tc>
          <w:tcPr>
            <w:tcW w:w="5760" w:type="dxa"/>
          </w:tcPr>
          <w:p w:rsidR="00F254AF" w:rsidRDefault="00F254AF" w:rsidP="00F254AF">
            <w:pPr>
              <w:pStyle w:val="tabletext"/>
            </w:pPr>
            <w:r>
              <w:t>Items 199 to 200, sections 4(1) to (2), NGER Act</w:t>
            </w:r>
          </w:p>
        </w:tc>
        <w:tc>
          <w:tcPr>
            <w:tcW w:w="1980" w:type="dxa"/>
          </w:tcPr>
          <w:p w:rsidR="00F254AF" w:rsidRDefault="00F254AF" w:rsidP="00F254AF">
            <w:pPr>
              <w:pStyle w:val="tabletext"/>
            </w:pPr>
            <w:r>
              <w:t>2.32</w:t>
            </w:r>
          </w:p>
        </w:tc>
      </w:tr>
      <w:tr w:rsidR="00F254AF" w:rsidRPr="00231CBA" w:rsidTr="00F254AF">
        <w:trPr>
          <w:tblHeader/>
        </w:trPr>
        <w:tc>
          <w:tcPr>
            <w:tcW w:w="5760" w:type="dxa"/>
          </w:tcPr>
          <w:p w:rsidR="00F254AF" w:rsidRDefault="00F254AF" w:rsidP="00F254AF">
            <w:pPr>
              <w:pStyle w:val="tabletext"/>
            </w:pPr>
            <w:r>
              <w:t>Items 199, 233, 235, 236, 239, 240, 242, 245, 254, sections 4(1), 7A(1), 8(1), 9(1), 10(1), 10(3), 11(1), 11(3) and 11A(2), NGER Act</w:t>
            </w:r>
          </w:p>
        </w:tc>
        <w:tc>
          <w:tcPr>
            <w:tcW w:w="1980" w:type="dxa"/>
          </w:tcPr>
          <w:p w:rsidR="00F254AF" w:rsidRDefault="00F254AF" w:rsidP="00F254AF">
            <w:pPr>
              <w:pStyle w:val="tabletext"/>
            </w:pPr>
            <w:r>
              <w:t>2.31</w:t>
            </w:r>
          </w:p>
        </w:tc>
      </w:tr>
      <w:tr w:rsidR="00F254AF" w:rsidRPr="00231CBA" w:rsidTr="00F254AF">
        <w:trPr>
          <w:tblHeader/>
        </w:trPr>
        <w:tc>
          <w:tcPr>
            <w:tcW w:w="5760" w:type="dxa"/>
          </w:tcPr>
          <w:p w:rsidR="00F254AF" w:rsidRDefault="00F254AF" w:rsidP="00F254AF">
            <w:pPr>
              <w:pStyle w:val="tabletext"/>
            </w:pPr>
            <w:r>
              <w:t>Items 201 to 203, section 5, NGER Act</w:t>
            </w:r>
          </w:p>
        </w:tc>
        <w:tc>
          <w:tcPr>
            <w:tcW w:w="1980" w:type="dxa"/>
          </w:tcPr>
          <w:p w:rsidR="00F254AF" w:rsidRDefault="00F254AF" w:rsidP="00F254AF">
            <w:pPr>
              <w:pStyle w:val="tabletext"/>
            </w:pPr>
            <w:r>
              <w:t>2.33</w:t>
            </w:r>
          </w:p>
        </w:tc>
      </w:tr>
      <w:tr w:rsidR="00F254AF" w:rsidRPr="00231CBA" w:rsidTr="00F254AF">
        <w:trPr>
          <w:tblHeader/>
        </w:trPr>
        <w:tc>
          <w:tcPr>
            <w:tcW w:w="5760" w:type="dxa"/>
          </w:tcPr>
          <w:p w:rsidR="00F254AF" w:rsidRDefault="00F254AF" w:rsidP="00F254AF">
            <w:pPr>
              <w:pStyle w:val="tabletext"/>
            </w:pPr>
            <w:r>
              <w:t>Items 204, 211 and 212, section 7, NGER Act</w:t>
            </w:r>
          </w:p>
        </w:tc>
        <w:tc>
          <w:tcPr>
            <w:tcW w:w="1980" w:type="dxa"/>
          </w:tcPr>
          <w:p w:rsidR="00F254AF" w:rsidRDefault="00F254AF" w:rsidP="00F254AF">
            <w:pPr>
              <w:pStyle w:val="tabletext"/>
            </w:pPr>
            <w:r>
              <w:t>2.27</w:t>
            </w:r>
          </w:p>
        </w:tc>
      </w:tr>
      <w:tr w:rsidR="00F254AF" w:rsidRPr="00231CBA" w:rsidTr="00F254AF">
        <w:trPr>
          <w:tblHeader/>
        </w:trPr>
        <w:tc>
          <w:tcPr>
            <w:tcW w:w="5760" w:type="dxa"/>
          </w:tcPr>
          <w:p w:rsidR="00F254AF" w:rsidRDefault="00F254AF" w:rsidP="00F254AF">
            <w:pPr>
              <w:pStyle w:val="tabletext"/>
            </w:pPr>
            <w:r>
              <w:t>Items 205, 207, 249, 260 and 268, section 7, NGER Act</w:t>
            </w:r>
          </w:p>
        </w:tc>
        <w:tc>
          <w:tcPr>
            <w:tcW w:w="1980" w:type="dxa"/>
          </w:tcPr>
          <w:p w:rsidR="00F254AF" w:rsidRDefault="00F254AF" w:rsidP="00F254AF">
            <w:pPr>
              <w:pStyle w:val="tabletext"/>
            </w:pPr>
            <w:r>
              <w:t>2.28</w:t>
            </w:r>
          </w:p>
        </w:tc>
      </w:tr>
      <w:tr w:rsidR="00F254AF" w:rsidRPr="00231CBA" w:rsidTr="00F254AF">
        <w:trPr>
          <w:tblHeader/>
        </w:trPr>
        <w:tc>
          <w:tcPr>
            <w:tcW w:w="5760" w:type="dxa"/>
          </w:tcPr>
          <w:p w:rsidR="00F254AF" w:rsidRDefault="00F254AF" w:rsidP="00F254AF">
            <w:pPr>
              <w:pStyle w:val="tabletext"/>
            </w:pPr>
            <w:r>
              <w:t>Items 206, 208 to 210, 213, 215 to 220, 222 to 232, 234, 238 and 241, sections 7, 7B and 7C, NGER Act</w:t>
            </w:r>
          </w:p>
        </w:tc>
        <w:tc>
          <w:tcPr>
            <w:tcW w:w="1980" w:type="dxa"/>
          </w:tcPr>
          <w:p w:rsidR="00F254AF" w:rsidRDefault="00F254AF" w:rsidP="00F254AF">
            <w:pPr>
              <w:pStyle w:val="tabletext"/>
            </w:pPr>
            <w:r>
              <w:t>2.29</w:t>
            </w:r>
          </w:p>
        </w:tc>
      </w:tr>
      <w:tr w:rsidR="00F254AF" w:rsidRPr="00231CBA" w:rsidTr="00F254AF">
        <w:trPr>
          <w:tblHeader/>
        </w:trPr>
        <w:tc>
          <w:tcPr>
            <w:tcW w:w="5760" w:type="dxa"/>
          </w:tcPr>
          <w:p w:rsidR="00F254AF" w:rsidRDefault="00F254AF" w:rsidP="00F254AF">
            <w:pPr>
              <w:pStyle w:val="tabletext"/>
            </w:pPr>
            <w:r>
              <w:t>Item 214, section 7, NGER Act</w:t>
            </w:r>
          </w:p>
        </w:tc>
        <w:tc>
          <w:tcPr>
            <w:tcW w:w="1980" w:type="dxa"/>
          </w:tcPr>
          <w:p w:rsidR="00F254AF" w:rsidRDefault="00F254AF" w:rsidP="00F254AF">
            <w:pPr>
              <w:pStyle w:val="tabletext"/>
            </w:pPr>
            <w:r>
              <w:t>2.16</w:t>
            </w:r>
          </w:p>
        </w:tc>
      </w:tr>
      <w:tr w:rsidR="00F254AF" w:rsidRPr="00231CBA" w:rsidTr="00F254AF">
        <w:trPr>
          <w:tblHeader/>
        </w:trPr>
        <w:tc>
          <w:tcPr>
            <w:tcW w:w="5760" w:type="dxa"/>
          </w:tcPr>
          <w:p w:rsidR="00F254AF" w:rsidRDefault="00F254AF" w:rsidP="00F254AF">
            <w:pPr>
              <w:pStyle w:val="tabletext"/>
            </w:pPr>
            <w:r>
              <w:t>Item 220, section 7, NGER Act</w:t>
            </w:r>
          </w:p>
        </w:tc>
        <w:tc>
          <w:tcPr>
            <w:tcW w:w="1980" w:type="dxa"/>
          </w:tcPr>
          <w:p w:rsidR="00F254AF" w:rsidRDefault="00F254AF" w:rsidP="00F254AF">
            <w:pPr>
              <w:pStyle w:val="tabletext"/>
            </w:pPr>
            <w:r>
              <w:t>2.19</w:t>
            </w:r>
          </w:p>
        </w:tc>
      </w:tr>
      <w:tr w:rsidR="00F254AF" w:rsidRPr="00231CBA" w:rsidTr="00F254AF">
        <w:trPr>
          <w:tblHeader/>
        </w:trPr>
        <w:tc>
          <w:tcPr>
            <w:tcW w:w="5760" w:type="dxa"/>
          </w:tcPr>
          <w:p w:rsidR="00F254AF" w:rsidRDefault="00F254AF" w:rsidP="00F254AF">
            <w:pPr>
              <w:pStyle w:val="tabletext"/>
            </w:pPr>
            <w:r>
              <w:t>Items 221, 247, 281 and 307, sections 7, 11(4), 11C and 56(aab), (aa), (ga) and (gb), NGER Act</w:t>
            </w:r>
          </w:p>
        </w:tc>
        <w:tc>
          <w:tcPr>
            <w:tcW w:w="1980" w:type="dxa"/>
          </w:tcPr>
          <w:p w:rsidR="00F254AF" w:rsidRDefault="00F254AF" w:rsidP="00F254AF">
            <w:pPr>
              <w:pStyle w:val="tabletext"/>
            </w:pPr>
            <w:r>
              <w:t>2.25</w:t>
            </w:r>
          </w:p>
        </w:tc>
      </w:tr>
      <w:tr w:rsidR="00F254AF" w:rsidRPr="00231CBA" w:rsidTr="00F254AF">
        <w:trPr>
          <w:tblHeader/>
        </w:trPr>
        <w:tc>
          <w:tcPr>
            <w:tcW w:w="5760" w:type="dxa"/>
          </w:tcPr>
          <w:p w:rsidR="00F254AF" w:rsidRDefault="00F254AF" w:rsidP="00F254AF">
            <w:pPr>
              <w:pStyle w:val="tabletext"/>
            </w:pPr>
            <w:r>
              <w:t>Items 224, 243, 246, 248, 250, 251, 253, 255 to 258, 261 to 266, 269, 272, 276, 278 to 279 and 286, sections 7, 11(1), 11A, 11B and 13(2) and (3), NGER Act</w:t>
            </w:r>
          </w:p>
        </w:tc>
        <w:tc>
          <w:tcPr>
            <w:tcW w:w="1980" w:type="dxa"/>
          </w:tcPr>
          <w:p w:rsidR="00F254AF" w:rsidRDefault="00F254AF" w:rsidP="00F254AF">
            <w:pPr>
              <w:pStyle w:val="tabletext"/>
            </w:pPr>
            <w:r>
              <w:t>2.17</w:t>
            </w:r>
          </w:p>
        </w:tc>
      </w:tr>
      <w:tr w:rsidR="00F254AF" w:rsidRPr="00231CBA" w:rsidTr="00F254AF">
        <w:trPr>
          <w:tblHeader/>
        </w:trPr>
        <w:tc>
          <w:tcPr>
            <w:tcW w:w="5760" w:type="dxa"/>
          </w:tcPr>
          <w:p w:rsidR="00F254AF" w:rsidRDefault="00F254AF" w:rsidP="00F254AF">
            <w:pPr>
              <w:pStyle w:val="tabletext"/>
            </w:pPr>
            <w:r>
              <w:t>Items 237, 244, 252, 259, 280 and 305-309, sections 7, 54A, 55A, 56(j) and 56(k)-(l), NGER Act</w:t>
            </w:r>
          </w:p>
        </w:tc>
        <w:tc>
          <w:tcPr>
            <w:tcW w:w="1980" w:type="dxa"/>
          </w:tcPr>
          <w:p w:rsidR="00F254AF" w:rsidRDefault="00F254AF" w:rsidP="00F254AF">
            <w:pPr>
              <w:pStyle w:val="tabletext"/>
            </w:pPr>
            <w:r>
              <w:t>2.20</w:t>
            </w:r>
          </w:p>
        </w:tc>
      </w:tr>
      <w:tr w:rsidR="00F254AF" w:rsidRPr="00231CBA" w:rsidTr="00F254AF">
        <w:trPr>
          <w:tblHeader/>
        </w:trPr>
        <w:tc>
          <w:tcPr>
            <w:tcW w:w="5760" w:type="dxa"/>
          </w:tcPr>
          <w:p w:rsidR="00F254AF" w:rsidRDefault="00F254AF" w:rsidP="00F254AF">
            <w:pPr>
              <w:pStyle w:val="tabletext"/>
            </w:pPr>
            <w:r>
              <w:t>Item 267, section 11B(7), NGER Act</w:t>
            </w:r>
          </w:p>
        </w:tc>
        <w:tc>
          <w:tcPr>
            <w:tcW w:w="1980" w:type="dxa"/>
          </w:tcPr>
          <w:p w:rsidR="00F254AF" w:rsidRDefault="00F254AF" w:rsidP="00F254AF">
            <w:pPr>
              <w:pStyle w:val="tabletext"/>
            </w:pPr>
            <w:r>
              <w:t>2.24</w:t>
            </w:r>
          </w:p>
        </w:tc>
      </w:tr>
      <w:tr w:rsidR="00F254AF" w:rsidRPr="00231CBA" w:rsidTr="00F254AF">
        <w:trPr>
          <w:tblHeader/>
        </w:trPr>
        <w:tc>
          <w:tcPr>
            <w:tcW w:w="5760" w:type="dxa"/>
          </w:tcPr>
          <w:p w:rsidR="00F254AF" w:rsidRDefault="00F254AF" w:rsidP="00F254AF">
            <w:pPr>
              <w:pStyle w:val="tabletext"/>
            </w:pPr>
            <w:r>
              <w:t>Items 270 to 277, sections 11B(15)-(19) and  11B(15)(b)-(c) and 11B(17)(b)-(c), NGER Act</w:t>
            </w:r>
          </w:p>
        </w:tc>
        <w:tc>
          <w:tcPr>
            <w:tcW w:w="1980" w:type="dxa"/>
          </w:tcPr>
          <w:p w:rsidR="00F254AF" w:rsidRDefault="00F254AF" w:rsidP="00F254AF">
            <w:pPr>
              <w:pStyle w:val="tabletext"/>
            </w:pPr>
            <w:r>
              <w:t>2.24</w:t>
            </w:r>
          </w:p>
        </w:tc>
      </w:tr>
      <w:tr w:rsidR="00F254AF" w:rsidRPr="00231CBA" w:rsidTr="00F254AF">
        <w:trPr>
          <w:tblHeader/>
        </w:trPr>
        <w:tc>
          <w:tcPr>
            <w:tcW w:w="5760" w:type="dxa"/>
          </w:tcPr>
          <w:p w:rsidR="00F254AF" w:rsidRDefault="00F254AF" w:rsidP="00F254AF">
            <w:pPr>
              <w:pStyle w:val="tabletext"/>
            </w:pPr>
            <w:r>
              <w:t>Items 282 to 284, sections 11D(1)(c), (e)-(f) and (i)-(j), NGER Act</w:t>
            </w:r>
          </w:p>
        </w:tc>
        <w:tc>
          <w:tcPr>
            <w:tcW w:w="1980" w:type="dxa"/>
          </w:tcPr>
          <w:p w:rsidR="00F254AF" w:rsidRDefault="00F254AF" w:rsidP="00F254AF">
            <w:pPr>
              <w:pStyle w:val="tabletext"/>
            </w:pPr>
            <w:r>
              <w:t>2.26</w:t>
            </w:r>
          </w:p>
        </w:tc>
      </w:tr>
      <w:tr w:rsidR="00F254AF" w:rsidRPr="00231CBA" w:rsidTr="00F254AF">
        <w:trPr>
          <w:tblHeader/>
        </w:trPr>
        <w:tc>
          <w:tcPr>
            <w:tcW w:w="5760" w:type="dxa"/>
          </w:tcPr>
          <w:p w:rsidR="00F254AF" w:rsidRDefault="00F254AF" w:rsidP="00F254AF">
            <w:pPr>
              <w:pStyle w:val="tabletext"/>
            </w:pPr>
            <w:r>
              <w:t xml:space="preserve"> items 287, 292 to 295 and 298 to 304, sections 13(4), 19(1)(note 4), 22(1)(a)-(b) and 22(2)(a)-(b), Parts 3A and 3D, sections 24(1AD), (1AE)(a), (1H), (1J), (8), 25(1) and 30(2A), NGER Act</w:t>
            </w:r>
          </w:p>
        </w:tc>
        <w:tc>
          <w:tcPr>
            <w:tcW w:w="1980" w:type="dxa"/>
          </w:tcPr>
          <w:p w:rsidR="00F254AF" w:rsidRDefault="00F254AF" w:rsidP="00F254AF">
            <w:pPr>
              <w:pStyle w:val="tabletext"/>
            </w:pPr>
            <w:r>
              <w:t>2.10</w:t>
            </w:r>
          </w:p>
        </w:tc>
      </w:tr>
      <w:tr w:rsidR="00F254AF" w:rsidRPr="00231CBA" w:rsidTr="00F254AF">
        <w:trPr>
          <w:tblHeader/>
        </w:trPr>
        <w:tc>
          <w:tcPr>
            <w:tcW w:w="5760" w:type="dxa"/>
          </w:tcPr>
          <w:p w:rsidR="00F254AF" w:rsidRDefault="00F254AF" w:rsidP="00F254AF">
            <w:pPr>
              <w:pStyle w:val="tabletext"/>
            </w:pPr>
            <w:r>
              <w:t xml:space="preserve"> items 288 to 291 and 303, sections 15A, 15AA, 18A, 18B(3)(b) and 25(1), NGER Act</w:t>
            </w:r>
          </w:p>
        </w:tc>
        <w:tc>
          <w:tcPr>
            <w:tcW w:w="1980" w:type="dxa"/>
          </w:tcPr>
          <w:p w:rsidR="00F254AF" w:rsidRDefault="00F254AF" w:rsidP="00F254AF">
            <w:pPr>
              <w:pStyle w:val="tabletext"/>
            </w:pPr>
            <w:r>
              <w:t>2.9</w:t>
            </w:r>
          </w:p>
        </w:tc>
      </w:tr>
      <w:tr w:rsidR="00F254AF" w:rsidRPr="00231CBA" w:rsidTr="00F254AF">
        <w:trPr>
          <w:tblHeader/>
        </w:trPr>
        <w:tc>
          <w:tcPr>
            <w:tcW w:w="5760" w:type="dxa"/>
          </w:tcPr>
          <w:p w:rsidR="00F254AF" w:rsidRDefault="00F254AF" w:rsidP="00F254AF">
            <w:pPr>
              <w:pStyle w:val="tabletext"/>
            </w:pPr>
            <w:r>
              <w:t xml:space="preserve"> items 293 to 295, section 22(1)(a)-(b), 22(2)(a)-(b) and Parts 3A and 3D, NGER Act</w:t>
            </w:r>
          </w:p>
        </w:tc>
        <w:tc>
          <w:tcPr>
            <w:tcW w:w="1980" w:type="dxa"/>
          </w:tcPr>
          <w:p w:rsidR="00F254AF" w:rsidRDefault="00F254AF" w:rsidP="00F254AF">
            <w:pPr>
              <w:pStyle w:val="tabletext"/>
            </w:pPr>
            <w:r>
              <w:t>2.8</w:t>
            </w:r>
          </w:p>
        </w:tc>
      </w:tr>
      <w:tr w:rsidR="00F254AF" w:rsidRPr="00231CBA" w:rsidTr="00F254AF">
        <w:trPr>
          <w:tblHeader/>
        </w:trPr>
        <w:tc>
          <w:tcPr>
            <w:tcW w:w="5760" w:type="dxa"/>
          </w:tcPr>
          <w:p w:rsidR="00F254AF" w:rsidRDefault="00F254AF" w:rsidP="00F254AF">
            <w:pPr>
              <w:pStyle w:val="tabletext"/>
            </w:pPr>
            <w:r>
              <w:t>Item 296, section 22X(1)(a), NGER Act</w:t>
            </w:r>
          </w:p>
        </w:tc>
        <w:tc>
          <w:tcPr>
            <w:tcW w:w="1980" w:type="dxa"/>
          </w:tcPr>
          <w:p w:rsidR="00F254AF" w:rsidRDefault="00F254AF" w:rsidP="00F254AF">
            <w:pPr>
              <w:pStyle w:val="tabletext"/>
            </w:pPr>
            <w:r>
              <w:t>2.22</w:t>
            </w:r>
          </w:p>
        </w:tc>
      </w:tr>
      <w:tr w:rsidR="00F254AF" w:rsidRPr="00231CBA" w:rsidTr="00F254AF">
        <w:trPr>
          <w:tblHeader/>
        </w:trPr>
        <w:tc>
          <w:tcPr>
            <w:tcW w:w="5760" w:type="dxa"/>
          </w:tcPr>
          <w:p w:rsidR="00F254AF" w:rsidRDefault="00F254AF" w:rsidP="00F254AF">
            <w:pPr>
              <w:pStyle w:val="tabletext"/>
            </w:pPr>
            <w:r>
              <w:t>Items 297 and 303, sections 24(1AA) and 25(1), NGER Act</w:t>
            </w:r>
          </w:p>
        </w:tc>
        <w:tc>
          <w:tcPr>
            <w:tcW w:w="1980" w:type="dxa"/>
          </w:tcPr>
          <w:p w:rsidR="00F254AF" w:rsidRDefault="00F254AF" w:rsidP="00F254AF">
            <w:pPr>
              <w:pStyle w:val="tabletext"/>
            </w:pPr>
            <w:r>
              <w:t>2.12</w:t>
            </w:r>
          </w:p>
        </w:tc>
      </w:tr>
      <w:tr w:rsidR="00884AE2" w:rsidRPr="00231CBA" w:rsidTr="005D4671">
        <w:trPr>
          <w:tblHeader/>
        </w:trPr>
        <w:tc>
          <w:tcPr>
            <w:tcW w:w="5760" w:type="dxa"/>
          </w:tcPr>
          <w:p w:rsidR="00884AE2" w:rsidRDefault="00884AE2" w:rsidP="005D4671">
            <w:pPr>
              <w:pStyle w:val="tabletext"/>
            </w:pPr>
            <w:r>
              <w:t>Item 310, section 74AA, NGER Act</w:t>
            </w:r>
          </w:p>
        </w:tc>
        <w:tc>
          <w:tcPr>
            <w:tcW w:w="1980" w:type="dxa"/>
          </w:tcPr>
          <w:p w:rsidR="00884AE2" w:rsidRDefault="00884AE2" w:rsidP="005D4671">
            <w:pPr>
              <w:pStyle w:val="tabletext"/>
            </w:pPr>
            <w:r>
              <w:t>2.11</w:t>
            </w:r>
          </w:p>
        </w:tc>
      </w:tr>
      <w:tr w:rsidR="006F4087" w:rsidRPr="00231CBA" w:rsidTr="00F254AF">
        <w:trPr>
          <w:tblHeader/>
        </w:trPr>
        <w:tc>
          <w:tcPr>
            <w:tcW w:w="5760" w:type="dxa"/>
          </w:tcPr>
          <w:p w:rsidR="006F4087" w:rsidRPr="00231CBA" w:rsidRDefault="006F4087" w:rsidP="00474FF7">
            <w:pPr>
              <w:pStyle w:val="tableheaderwithintable"/>
            </w:pPr>
            <w:r w:rsidRPr="00231CBA">
              <w:t>Bill reference</w:t>
            </w:r>
          </w:p>
        </w:tc>
        <w:tc>
          <w:tcPr>
            <w:tcW w:w="1980" w:type="dxa"/>
          </w:tcPr>
          <w:p w:rsidR="006F4087" w:rsidRPr="00231CBA" w:rsidRDefault="006F4087" w:rsidP="00474FF7">
            <w:pPr>
              <w:pStyle w:val="tableheaderwithintable"/>
            </w:pPr>
            <w:r w:rsidRPr="00231CBA">
              <w:t>Paragraph number</w:t>
            </w:r>
          </w:p>
        </w:tc>
      </w:tr>
      <w:tr w:rsidR="00F254AF" w:rsidRPr="00231CBA" w:rsidTr="00F254AF">
        <w:trPr>
          <w:tblHeader/>
        </w:trPr>
        <w:tc>
          <w:tcPr>
            <w:tcW w:w="5760" w:type="dxa"/>
          </w:tcPr>
          <w:p w:rsidR="00F254AF" w:rsidRDefault="00F254AF" w:rsidP="00F254AF">
            <w:pPr>
              <w:pStyle w:val="tabletext"/>
            </w:pPr>
            <w:r>
              <w:t>Items 311 and 312, sections 74B(1) and 74C(1), NGER Act</w:t>
            </w:r>
          </w:p>
        </w:tc>
        <w:tc>
          <w:tcPr>
            <w:tcW w:w="1980" w:type="dxa"/>
          </w:tcPr>
          <w:p w:rsidR="00F254AF" w:rsidRDefault="00F254AF" w:rsidP="00F254AF">
            <w:pPr>
              <w:pStyle w:val="tabletext"/>
            </w:pPr>
            <w:r>
              <w:t>2.21</w:t>
            </w:r>
          </w:p>
        </w:tc>
      </w:tr>
      <w:tr w:rsidR="00F254AF" w:rsidRPr="00231CBA" w:rsidTr="00F254AF">
        <w:trPr>
          <w:tblHeader/>
        </w:trPr>
        <w:tc>
          <w:tcPr>
            <w:tcW w:w="5760" w:type="dxa"/>
          </w:tcPr>
          <w:p w:rsidR="00F254AF" w:rsidRDefault="00F254AF" w:rsidP="00F254AF">
            <w:pPr>
              <w:pStyle w:val="tabletext"/>
            </w:pPr>
            <w:r>
              <w:t>Items 313 to 314, section 65D, Ozone Management Act</w:t>
            </w:r>
          </w:p>
        </w:tc>
        <w:tc>
          <w:tcPr>
            <w:tcW w:w="1980" w:type="dxa"/>
          </w:tcPr>
          <w:p w:rsidR="00F254AF" w:rsidRDefault="00F254AF" w:rsidP="00F254AF">
            <w:pPr>
              <w:pStyle w:val="tabletext"/>
            </w:pPr>
            <w:r>
              <w:t>6.14</w:t>
            </w:r>
          </w:p>
        </w:tc>
      </w:tr>
      <w:tr w:rsidR="00F254AF" w:rsidRPr="00231CBA" w:rsidTr="00F254AF">
        <w:trPr>
          <w:tblHeader/>
        </w:trPr>
        <w:tc>
          <w:tcPr>
            <w:tcW w:w="5760" w:type="dxa"/>
          </w:tcPr>
          <w:p w:rsidR="00F254AF" w:rsidRDefault="00F254AF" w:rsidP="00F254AF">
            <w:pPr>
              <w:pStyle w:val="tabletext"/>
            </w:pPr>
            <w:r>
              <w:t>Item 315, sections 69AAto 69AD, Ozone Management Act</w:t>
            </w:r>
          </w:p>
        </w:tc>
        <w:tc>
          <w:tcPr>
            <w:tcW w:w="1980" w:type="dxa"/>
          </w:tcPr>
          <w:p w:rsidR="00F254AF" w:rsidRDefault="00F254AF" w:rsidP="00F254AF">
            <w:pPr>
              <w:pStyle w:val="tabletext"/>
            </w:pPr>
            <w:r>
              <w:t>6.16</w:t>
            </w:r>
          </w:p>
        </w:tc>
      </w:tr>
      <w:tr w:rsidR="00F254AF" w:rsidRPr="00231CBA" w:rsidTr="00F254AF">
        <w:trPr>
          <w:tblHeader/>
        </w:trPr>
        <w:tc>
          <w:tcPr>
            <w:tcW w:w="5760" w:type="dxa"/>
          </w:tcPr>
          <w:p w:rsidR="00F254AF" w:rsidRDefault="00F254AF" w:rsidP="00F254AF">
            <w:pPr>
              <w:pStyle w:val="tabletext"/>
            </w:pPr>
            <w:r>
              <w:t>Items 316 and 317, section 28(1)(b)(iii) and 28(1)(c), PRRTA Act</w:t>
            </w:r>
          </w:p>
        </w:tc>
        <w:tc>
          <w:tcPr>
            <w:tcW w:w="1980" w:type="dxa"/>
          </w:tcPr>
          <w:p w:rsidR="00F254AF" w:rsidRDefault="00F254AF" w:rsidP="00F254AF">
            <w:pPr>
              <w:pStyle w:val="tabletext"/>
            </w:pPr>
            <w:r>
              <w:t>3.11</w:t>
            </w:r>
          </w:p>
        </w:tc>
      </w:tr>
      <w:tr w:rsidR="00F254AF" w:rsidRPr="00231CBA" w:rsidTr="00F254AF">
        <w:trPr>
          <w:tblHeader/>
        </w:trPr>
        <w:tc>
          <w:tcPr>
            <w:tcW w:w="5760" w:type="dxa"/>
          </w:tcPr>
          <w:p w:rsidR="00F254AF" w:rsidRDefault="00F254AF" w:rsidP="00F254AF">
            <w:pPr>
              <w:pStyle w:val="tabletext"/>
            </w:pPr>
            <w:r>
              <w:t>Item 318, section 44(1)(ia), PRRTA Act</w:t>
            </w:r>
          </w:p>
        </w:tc>
        <w:tc>
          <w:tcPr>
            <w:tcW w:w="1980" w:type="dxa"/>
          </w:tcPr>
          <w:p w:rsidR="00F254AF" w:rsidRDefault="00F254AF" w:rsidP="00F254AF">
            <w:pPr>
              <w:pStyle w:val="tabletext"/>
            </w:pPr>
            <w:r>
              <w:t>3.15</w:t>
            </w:r>
          </w:p>
        </w:tc>
      </w:tr>
      <w:tr w:rsidR="00F254AF" w:rsidRPr="00231CBA" w:rsidTr="00F254AF">
        <w:trPr>
          <w:tblHeader/>
        </w:trPr>
        <w:tc>
          <w:tcPr>
            <w:tcW w:w="5760" w:type="dxa"/>
          </w:tcPr>
          <w:p w:rsidR="00F254AF" w:rsidRDefault="00F254AF" w:rsidP="00F254AF">
            <w:pPr>
              <w:pStyle w:val="tabletext"/>
            </w:pPr>
            <w:r>
              <w:t>Items 319 and 340, section 355</w:t>
            </w:r>
            <w:r>
              <w:noBreakHyphen/>
              <w:t>65(7) (table item 3), TAA 1953</w:t>
            </w:r>
          </w:p>
        </w:tc>
        <w:tc>
          <w:tcPr>
            <w:tcW w:w="1980" w:type="dxa"/>
          </w:tcPr>
          <w:p w:rsidR="00F254AF" w:rsidRDefault="00F254AF" w:rsidP="00F254AF">
            <w:pPr>
              <w:pStyle w:val="tabletext"/>
            </w:pPr>
            <w:r>
              <w:t>3.18</w:t>
            </w:r>
          </w:p>
        </w:tc>
      </w:tr>
      <w:tr w:rsidR="00F254AF" w:rsidRPr="00231CBA" w:rsidTr="00F254AF">
        <w:trPr>
          <w:tblHeader/>
        </w:trPr>
        <w:tc>
          <w:tcPr>
            <w:tcW w:w="5760" w:type="dxa"/>
          </w:tcPr>
          <w:p w:rsidR="00F254AF" w:rsidRDefault="00F254AF" w:rsidP="00F254AF">
            <w:pPr>
              <w:pStyle w:val="tabletext"/>
            </w:pPr>
            <w:r>
              <w:t>Item 320</w:t>
            </w:r>
          </w:p>
        </w:tc>
        <w:tc>
          <w:tcPr>
            <w:tcW w:w="1980" w:type="dxa"/>
          </w:tcPr>
          <w:p w:rsidR="00F254AF" w:rsidRDefault="00F254AF" w:rsidP="00F254AF">
            <w:pPr>
              <w:pStyle w:val="tabletext"/>
            </w:pPr>
            <w:r>
              <w:t>1.20</w:t>
            </w:r>
          </w:p>
        </w:tc>
      </w:tr>
      <w:tr w:rsidR="00F254AF" w:rsidRPr="00231CBA" w:rsidTr="00F254AF">
        <w:trPr>
          <w:tblHeader/>
        </w:trPr>
        <w:tc>
          <w:tcPr>
            <w:tcW w:w="5760" w:type="dxa"/>
          </w:tcPr>
          <w:p w:rsidR="00F254AF" w:rsidRDefault="00F254AF" w:rsidP="00F254AF">
            <w:pPr>
              <w:pStyle w:val="tabletext"/>
            </w:pPr>
            <w:r>
              <w:t>Item 321</w:t>
            </w:r>
          </w:p>
        </w:tc>
        <w:tc>
          <w:tcPr>
            <w:tcW w:w="1980" w:type="dxa"/>
          </w:tcPr>
          <w:p w:rsidR="00F254AF" w:rsidRDefault="00F254AF" w:rsidP="00F254AF">
            <w:pPr>
              <w:pStyle w:val="tabletext"/>
            </w:pPr>
            <w:r>
              <w:t>1.33</w:t>
            </w:r>
          </w:p>
        </w:tc>
      </w:tr>
      <w:tr w:rsidR="00F254AF" w:rsidRPr="00231CBA" w:rsidTr="00F254AF">
        <w:trPr>
          <w:tblHeader/>
        </w:trPr>
        <w:tc>
          <w:tcPr>
            <w:tcW w:w="5760" w:type="dxa"/>
          </w:tcPr>
          <w:p w:rsidR="00F254AF" w:rsidRDefault="00F254AF" w:rsidP="00F254AF">
            <w:pPr>
              <w:pStyle w:val="tabletext"/>
            </w:pPr>
            <w:r>
              <w:t>Items 322, 323, 330, 336(2) and 339(1)</w:t>
            </w:r>
          </w:p>
        </w:tc>
        <w:tc>
          <w:tcPr>
            <w:tcW w:w="1980" w:type="dxa"/>
          </w:tcPr>
          <w:p w:rsidR="00F254AF" w:rsidRDefault="00F254AF" w:rsidP="00F254AF">
            <w:pPr>
              <w:pStyle w:val="tabletext"/>
            </w:pPr>
            <w:r>
              <w:t>3.12</w:t>
            </w:r>
          </w:p>
        </w:tc>
      </w:tr>
      <w:tr w:rsidR="00F254AF" w:rsidRPr="00231CBA" w:rsidTr="00F254AF">
        <w:trPr>
          <w:tblHeader/>
        </w:trPr>
        <w:tc>
          <w:tcPr>
            <w:tcW w:w="5760" w:type="dxa"/>
          </w:tcPr>
          <w:p w:rsidR="00F254AF" w:rsidRDefault="00F254AF" w:rsidP="00F254AF">
            <w:pPr>
              <w:pStyle w:val="tabletext"/>
            </w:pPr>
            <w:r>
              <w:t>Item 322</w:t>
            </w:r>
          </w:p>
        </w:tc>
        <w:tc>
          <w:tcPr>
            <w:tcW w:w="1980" w:type="dxa"/>
          </w:tcPr>
          <w:p w:rsidR="00F254AF" w:rsidRDefault="00F254AF" w:rsidP="00F254AF">
            <w:pPr>
              <w:pStyle w:val="tabletext"/>
            </w:pPr>
            <w:r>
              <w:t>1.33, 1.34</w:t>
            </w:r>
          </w:p>
        </w:tc>
      </w:tr>
      <w:tr w:rsidR="00E514D2" w:rsidRPr="00231CBA" w:rsidTr="00C15219">
        <w:trPr>
          <w:tblHeader/>
        </w:trPr>
        <w:tc>
          <w:tcPr>
            <w:tcW w:w="5760" w:type="dxa"/>
          </w:tcPr>
          <w:p w:rsidR="00E514D2" w:rsidRDefault="00E514D2" w:rsidP="00C15219">
            <w:pPr>
              <w:pStyle w:val="tabletext"/>
            </w:pPr>
            <w:r>
              <w:t>Item 323</w:t>
            </w:r>
          </w:p>
        </w:tc>
        <w:tc>
          <w:tcPr>
            <w:tcW w:w="1980" w:type="dxa"/>
          </w:tcPr>
          <w:p w:rsidR="00E514D2" w:rsidRDefault="00E514D2" w:rsidP="00C15219">
            <w:pPr>
              <w:pStyle w:val="tabletext"/>
            </w:pPr>
            <w:r>
              <w:t>1.19, 1.23</w:t>
            </w:r>
          </w:p>
        </w:tc>
      </w:tr>
      <w:tr w:rsidR="00494EE6" w:rsidRPr="00231CBA" w:rsidTr="00C15219">
        <w:trPr>
          <w:tblHeader/>
        </w:trPr>
        <w:tc>
          <w:tcPr>
            <w:tcW w:w="5760" w:type="dxa"/>
          </w:tcPr>
          <w:p w:rsidR="00494EE6" w:rsidRDefault="00494EE6" w:rsidP="00C15219">
            <w:pPr>
              <w:pStyle w:val="tabletext"/>
            </w:pPr>
            <w:r>
              <w:t>Item 323, table items 1, 27, 40 and 48A</w:t>
            </w:r>
          </w:p>
        </w:tc>
        <w:tc>
          <w:tcPr>
            <w:tcW w:w="1980" w:type="dxa"/>
          </w:tcPr>
          <w:p w:rsidR="00494EE6" w:rsidRDefault="00494EE6" w:rsidP="00C15219">
            <w:pPr>
              <w:pStyle w:val="tabletext"/>
            </w:pPr>
            <w:r>
              <w:t>1.40</w:t>
            </w:r>
          </w:p>
        </w:tc>
      </w:tr>
      <w:tr w:rsidR="00494EE6" w:rsidRPr="00231CBA" w:rsidTr="00C15219">
        <w:trPr>
          <w:tblHeader/>
        </w:trPr>
        <w:tc>
          <w:tcPr>
            <w:tcW w:w="5760" w:type="dxa"/>
          </w:tcPr>
          <w:p w:rsidR="00494EE6" w:rsidRDefault="00494EE6" w:rsidP="00C15219">
            <w:pPr>
              <w:pStyle w:val="tabletext"/>
            </w:pPr>
            <w:r>
              <w:t>Item 323, table items 2, 5 to 6</w:t>
            </w:r>
          </w:p>
        </w:tc>
        <w:tc>
          <w:tcPr>
            <w:tcW w:w="1980" w:type="dxa"/>
          </w:tcPr>
          <w:p w:rsidR="00494EE6" w:rsidRDefault="00494EE6" w:rsidP="00C15219">
            <w:pPr>
              <w:pStyle w:val="tabletext"/>
            </w:pPr>
            <w:r>
              <w:t>1.39</w:t>
            </w:r>
          </w:p>
        </w:tc>
      </w:tr>
      <w:tr w:rsidR="00884AE2" w:rsidRPr="00231CBA" w:rsidTr="005D4671">
        <w:trPr>
          <w:tblHeader/>
        </w:trPr>
        <w:tc>
          <w:tcPr>
            <w:tcW w:w="5760" w:type="dxa"/>
          </w:tcPr>
          <w:p w:rsidR="00884AE2" w:rsidRDefault="00884AE2" w:rsidP="005D4671">
            <w:pPr>
              <w:pStyle w:val="tabletext"/>
            </w:pPr>
            <w:r>
              <w:t>Item 323, table item 3</w:t>
            </w:r>
          </w:p>
        </w:tc>
        <w:tc>
          <w:tcPr>
            <w:tcW w:w="1980" w:type="dxa"/>
          </w:tcPr>
          <w:p w:rsidR="00884AE2" w:rsidRDefault="00884AE2" w:rsidP="005D4671">
            <w:pPr>
              <w:pStyle w:val="tabletext"/>
            </w:pPr>
            <w:r>
              <w:t>1.47, 1.49</w:t>
            </w:r>
          </w:p>
        </w:tc>
      </w:tr>
      <w:tr w:rsidR="00E514D2" w:rsidRPr="00231CBA" w:rsidTr="00C15219">
        <w:trPr>
          <w:tblHeader/>
        </w:trPr>
        <w:tc>
          <w:tcPr>
            <w:tcW w:w="5760" w:type="dxa"/>
          </w:tcPr>
          <w:p w:rsidR="00E514D2" w:rsidRDefault="00E514D2" w:rsidP="00C15219">
            <w:pPr>
              <w:pStyle w:val="tabletext"/>
            </w:pPr>
            <w:r>
              <w:t>Item 323, table items 3 and 4</w:t>
            </w:r>
          </w:p>
        </w:tc>
        <w:tc>
          <w:tcPr>
            <w:tcW w:w="1980" w:type="dxa"/>
          </w:tcPr>
          <w:p w:rsidR="00E514D2" w:rsidRDefault="00E514D2" w:rsidP="00C15219">
            <w:pPr>
              <w:pStyle w:val="tabletext"/>
            </w:pPr>
            <w:r>
              <w:t>1.21</w:t>
            </w:r>
          </w:p>
        </w:tc>
      </w:tr>
      <w:tr w:rsidR="00494EE6" w:rsidRPr="00231CBA" w:rsidTr="00C15219">
        <w:trPr>
          <w:tblHeader/>
        </w:trPr>
        <w:tc>
          <w:tcPr>
            <w:tcW w:w="5760" w:type="dxa"/>
          </w:tcPr>
          <w:p w:rsidR="00494EE6" w:rsidRDefault="00494EE6" w:rsidP="00C15219">
            <w:pPr>
              <w:pStyle w:val="tabletext"/>
            </w:pPr>
            <w:r>
              <w:t>Item 323, table item 8</w:t>
            </w:r>
          </w:p>
        </w:tc>
        <w:tc>
          <w:tcPr>
            <w:tcW w:w="1980" w:type="dxa"/>
          </w:tcPr>
          <w:p w:rsidR="00494EE6" w:rsidRDefault="00494EE6" w:rsidP="00C15219">
            <w:pPr>
              <w:pStyle w:val="tabletext"/>
            </w:pPr>
            <w:r>
              <w:t>1.39</w:t>
            </w:r>
          </w:p>
        </w:tc>
      </w:tr>
      <w:tr w:rsidR="00E514D2" w:rsidRPr="00231CBA" w:rsidTr="00C15219">
        <w:trPr>
          <w:tblHeader/>
        </w:trPr>
        <w:tc>
          <w:tcPr>
            <w:tcW w:w="5760" w:type="dxa"/>
          </w:tcPr>
          <w:p w:rsidR="00E514D2" w:rsidRDefault="00E514D2" w:rsidP="00C15219">
            <w:pPr>
              <w:pStyle w:val="tabletext"/>
            </w:pPr>
            <w:r>
              <w:t>Item 323, table items 7, 28, 29 and 41</w:t>
            </w:r>
          </w:p>
        </w:tc>
        <w:tc>
          <w:tcPr>
            <w:tcW w:w="1980" w:type="dxa"/>
          </w:tcPr>
          <w:p w:rsidR="00E514D2" w:rsidRDefault="00E514D2" w:rsidP="00C15219">
            <w:pPr>
              <w:pStyle w:val="tabletext"/>
            </w:pPr>
            <w:r>
              <w:t>1.21</w:t>
            </w:r>
          </w:p>
        </w:tc>
      </w:tr>
      <w:tr w:rsidR="00494EE6" w:rsidRPr="00231CBA" w:rsidTr="00C15219">
        <w:trPr>
          <w:tblHeader/>
        </w:trPr>
        <w:tc>
          <w:tcPr>
            <w:tcW w:w="5760" w:type="dxa"/>
          </w:tcPr>
          <w:p w:rsidR="00494EE6" w:rsidRDefault="00494EE6" w:rsidP="00C15219">
            <w:pPr>
              <w:pStyle w:val="tabletext"/>
            </w:pPr>
            <w:r>
              <w:t>Item 323, table item 9</w:t>
            </w:r>
          </w:p>
        </w:tc>
        <w:tc>
          <w:tcPr>
            <w:tcW w:w="1980" w:type="dxa"/>
          </w:tcPr>
          <w:p w:rsidR="00494EE6" w:rsidRDefault="00494EE6" w:rsidP="00C15219">
            <w:pPr>
              <w:pStyle w:val="tabletext"/>
            </w:pPr>
            <w:r>
              <w:t>1.40</w:t>
            </w:r>
          </w:p>
        </w:tc>
      </w:tr>
      <w:tr w:rsidR="00E514D2" w:rsidRPr="00231CBA" w:rsidTr="00C15219">
        <w:trPr>
          <w:tblHeader/>
        </w:trPr>
        <w:tc>
          <w:tcPr>
            <w:tcW w:w="5760" w:type="dxa"/>
          </w:tcPr>
          <w:p w:rsidR="00E514D2" w:rsidRDefault="00E514D2" w:rsidP="00C15219">
            <w:pPr>
              <w:pStyle w:val="tabletext"/>
            </w:pPr>
            <w:r>
              <w:t>Item 323, table items 10 to 11</w:t>
            </w:r>
          </w:p>
        </w:tc>
        <w:tc>
          <w:tcPr>
            <w:tcW w:w="1980" w:type="dxa"/>
          </w:tcPr>
          <w:p w:rsidR="00E514D2" w:rsidRDefault="00E514D2" w:rsidP="00C15219">
            <w:pPr>
              <w:pStyle w:val="tabletext"/>
            </w:pPr>
            <w:r>
              <w:t>1.37</w:t>
            </w:r>
          </w:p>
        </w:tc>
      </w:tr>
      <w:tr w:rsidR="00E514D2" w:rsidRPr="00231CBA" w:rsidTr="00C15219">
        <w:trPr>
          <w:tblHeader/>
        </w:trPr>
        <w:tc>
          <w:tcPr>
            <w:tcW w:w="5760" w:type="dxa"/>
          </w:tcPr>
          <w:p w:rsidR="00E514D2" w:rsidRDefault="00E514D2" w:rsidP="00884AE2">
            <w:pPr>
              <w:pStyle w:val="tabletext"/>
            </w:pPr>
            <w:r>
              <w:t xml:space="preserve">Item 323, table item 11 </w:t>
            </w:r>
          </w:p>
        </w:tc>
        <w:tc>
          <w:tcPr>
            <w:tcW w:w="1980" w:type="dxa"/>
          </w:tcPr>
          <w:p w:rsidR="00E514D2" w:rsidRDefault="00E514D2" w:rsidP="00C15219">
            <w:pPr>
              <w:pStyle w:val="tabletext"/>
            </w:pPr>
            <w:r>
              <w:t>1.36</w:t>
            </w:r>
          </w:p>
        </w:tc>
      </w:tr>
      <w:tr w:rsidR="00E514D2" w:rsidRPr="00231CBA" w:rsidTr="00C15219">
        <w:trPr>
          <w:tblHeader/>
        </w:trPr>
        <w:tc>
          <w:tcPr>
            <w:tcW w:w="5760" w:type="dxa"/>
          </w:tcPr>
          <w:p w:rsidR="00E514D2" w:rsidRDefault="00E514D2" w:rsidP="00C15219">
            <w:pPr>
              <w:pStyle w:val="tabletext"/>
            </w:pPr>
            <w:r>
              <w:t>Item 323, table items 12 to15</w:t>
            </w:r>
          </w:p>
        </w:tc>
        <w:tc>
          <w:tcPr>
            <w:tcW w:w="1980" w:type="dxa"/>
          </w:tcPr>
          <w:p w:rsidR="00E514D2" w:rsidRDefault="00E514D2" w:rsidP="00C15219">
            <w:pPr>
              <w:pStyle w:val="tabletext"/>
            </w:pPr>
            <w:r>
              <w:t>1.38</w:t>
            </w:r>
          </w:p>
        </w:tc>
      </w:tr>
      <w:tr w:rsidR="00E514D2" w:rsidRPr="00231CBA" w:rsidTr="00C15219">
        <w:trPr>
          <w:tblHeader/>
        </w:trPr>
        <w:tc>
          <w:tcPr>
            <w:tcW w:w="5760" w:type="dxa"/>
          </w:tcPr>
          <w:p w:rsidR="00E514D2" w:rsidRDefault="00E514D2" w:rsidP="00C15219">
            <w:pPr>
              <w:pStyle w:val="tabletext"/>
            </w:pPr>
            <w:r>
              <w:t>Item 323, table item 16</w:t>
            </w:r>
          </w:p>
        </w:tc>
        <w:tc>
          <w:tcPr>
            <w:tcW w:w="1980" w:type="dxa"/>
          </w:tcPr>
          <w:p w:rsidR="00E514D2" w:rsidRDefault="00E514D2" w:rsidP="00C15219">
            <w:pPr>
              <w:pStyle w:val="tabletext"/>
            </w:pPr>
            <w:r>
              <w:t>1.36</w:t>
            </w:r>
          </w:p>
        </w:tc>
      </w:tr>
      <w:tr w:rsidR="00E514D2" w:rsidRPr="00231CBA" w:rsidTr="00C15219">
        <w:trPr>
          <w:tblHeader/>
        </w:trPr>
        <w:tc>
          <w:tcPr>
            <w:tcW w:w="5760" w:type="dxa"/>
          </w:tcPr>
          <w:p w:rsidR="00E514D2" w:rsidRDefault="00E514D2" w:rsidP="00C15219">
            <w:pPr>
              <w:pStyle w:val="tabletext"/>
            </w:pPr>
            <w:r>
              <w:t>Item 323, table items 19 and 21</w:t>
            </w:r>
          </w:p>
        </w:tc>
        <w:tc>
          <w:tcPr>
            <w:tcW w:w="1980" w:type="dxa"/>
          </w:tcPr>
          <w:p w:rsidR="00E514D2" w:rsidRDefault="00E514D2" w:rsidP="00C15219">
            <w:pPr>
              <w:pStyle w:val="tabletext"/>
            </w:pPr>
            <w:r>
              <w:t>1.36</w:t>
            </w:r>
          </w:p>
        </w:tc>
      </w:tr>
      <w:tr w:rsidR="00F254AF" w:rsidRPr="00231CBA" w:rsidTr="00F254AF">
        <w:trPr>
          <w:tblHeader/>
        </w:trPr>
        <w:tc>
          <w:tcPr>
            <w:tcW w:w="5760" w:type="dxa"/>
          </w:tcPr>
          <w:p w:rsidR="00F254AF" w:rsidRDefault="00F254AF" w:rsidP="00F254AF">
            <w:pPr>
              <w:pStyle w:val="tabletext"/>
            </w:pPr>
            <w:r>
              <w:t>Item 323, table items 20 and 22</w:t>
            </w:r>
          </w:p>
        </w:tc>
        <w:tc>
          <w:tcPr>
            <w:tcW w:w="1980" w:type="dxa"/>
          </w:tcPr>
          <w:p w:rsidR="00F254AF" w:rsidRDefault="00F254AF" w:rsidP="00F254AF">
            <w:pPr>
              <w:pStyle w:val="tabletext"/>
            </w:pPr>
            <w:r>
              <w:t>1.37</w:t>
            </w:r>
          </w:p>
        </w:tc>
      </w:tr>
      <w:tr w:rsidR="00F254AF" w:rsidRPr="00231CBA" w:rsidTr="00F254AF">
        <w:trPr>
          <w:tblHeader/>
        </w:trPr>
        <w:tc>
          <w:tcPr>
            <w:tcW w:w="5760" w:type="dxa"/>
          </w:tcPr>
          <w:p w:rsidR="00F254AF" w:rsidRDefault="00F254AF" w:rsidP="00F254AF">
            <w:pPr>
              <w:pStyle w:val="tabletext"/>
            </w:pPr>
            <w:r>
              <w:t>Item 323, table items 24 to 26</w:t>
            </w:r>
          </w:p>
        </w:tc>
        <w:tc>
          <w:tcPr>
            <w:tcW w:w="1980" w:type="dxa"/>
          </w:tcPr>
          <w:p w:rsidR="00F254AF" w:rsidRDefault="00F254AF" w:rsidP="00F254AF">
            <w:pPr>
              <w:pStyle w:val="tabletext"/>
            </w:pPr>
            <w:r>
              <w:t>1.37</w:t>
            </w:r>
          </w:p>
        </w:tc>
      </w:tr>
      <w:tr w:rsidR="00E514D2" w:rsidRPr="00231CBA" w:rsidTr="00C15219">
        <w:trPr>
          <w:tblHeader/>
        </w:trPr>
        <w:tc>
          <w:tcPr>
            <w:tcW w:w="5760" w:type="dxa"/>
          </w:tcPr>
          <w:p w:rsidR="00E514D2" w:rsidRDefault="00E514D2" w:rsidP="00C15219">
            <w:pPr>
              <w:pStyle w:val="tabletext"/>
            </w:pPr>
            <w:r>
              <w:t>Item 323, table item 26</w:t>
            </w:r>
          </w:p>
        </w:tc>
        <w:tc>
          <w:tcPr>
            <w:tcW w:w="1980" w:type="dxa"/>
          </w:tcPr>
          <w:p w:rsidR="00E514D2" w:rsidRDefault="00E514D2" w:rsidP="00C15219">
            <w:pPr>
              <w:pStyle w:val="tabletext"/>
            </w:pPr>
            <w:r>
              <w:t>1.36</w:t>
            </w:r>
          </w:p>
        </w:tc>
      </w:tr>
      <w:tr w:rsidR="00E514D2" w:rsidRPr="00231CBA" w:rsidTr="00C15219">
        <w:trPr>
          <w:tblHeader/>
        </w:trPr>
        <w:tc>
          <w:tcPr>
            <w:tcW w:w="5760" w:type="dxa"/>
          </w:tcPr>
          <w:p w:rsidR="00E514D2" w:rsidRDefault="00E514D2" w:rsidP="00C15219">
            <w:pPr>
              <w:pStyle w:val="tabletext"/>
            </w:pPr>
            <w:r>
              <w:t>Item 323, table items 30 to 37</w:t>
            </w:r>
          </w:p>
        </w:tc>
        <w:tc>
          <w:tcPr>
            <w:tcW w:w="1980" w:type="dxa"/>
          </w:tcPr>
          <w:p w:rsidR="00E514D2" w:rsidRDefault="00E514D2" w:rsidP="00C15219">
            <w:pPr>
              <w:pStyle w:val="tabletext"/>
            </w:pPr>
            <w:r>
              <w:t>1.39</w:t>
            </w:r>
          </w:p>
        </w:tc>
      </w:tr>
      <w:tr w:rsidR="00E514D2" w:rsidRPr="00231CBA" w:rsidTr="00C15219">
        <w:trPr>
          <w:tblHeader/>
        </w:trPr>
        <w:tc>
          <w:tcPr>
            <w:tcW w:w="5760" w:type="dxa"/>
          </w:tcPr>
          <w:p w:rsidR="00E514D2" w:rsidRDefault="00E514D2" w:rsidP="00C15219">
            <w:pPr>
              <w:pStyle w:val="tabletext"/>
            </w:pPr>
            <w:r>
              <w:t>Item 323, table items 37 and 39</w:t>
            </w:r>
          </w:p>
        </w:tc>
        <w:tc>
          <w:tcPr>
            <w:tcW w:w="1980" w:type="dxa"/>
          </w:tcPr>
          <w:p w:rsidR="00E514D2" w:rsidRDefault="00E514D2" w:rsidP="00C15219">
            <w:pPr>
              <w:pStyle w:val="tabletext"/>
            </w:pPr>
            <w:r>
              <w:t>1.39</w:t>
            </w:r>
          </w:p>
        </w:tc>
      </w:tr>
      <w:tr w:rsidR="00E514D2" w:rsidRPr="00231CBA" w:rsidTr="00C15219">
        <w:trPr>
          <w:tblHeader/>
        </w:trPr>
        <w:tc>
          <w:tcPr>
            <w:tcW w:w="5760" w:type="dxa"/>
          </w:tcPr>
          <w:p w:rsidR="00E514D2" w:rsidRDefault="00E514D2" w:rsidP="00C15219">
            <w:pPr>
              <w:pStyle w:val="tabletext"/>
            </w:pPr>
            <w:r>
              <w:t>Item 323, table items 42 to 43, 45 to 47, 64 to 65</w:t>
            </w:r>
          </w:p>
        </w:tc>
        <w:tc>
          <w:tcPr>
            <w:tcW w:w="1980" w:type="dxa"/>
          </w:tcPr>
          <w:p w:rsidR="00E514D2" w:rsidRDefault="00E514D2" w:rsidP="00C15219">
            <w:pPr>
              <w:pStyle w:val="tabletext"/>
            </w:pPr>
            <w:r>
              <w:t>1.39</w:t>
            </w:r>
          </w:p>
        </w:tc>
      </w:tr>
      <w:tr w:rsidR="00E514D2" w:rsidRPr="00231CBA" w:rsidTr="00C15219">
        <w:trPr>
          <w:tblHeader/>
        </w:trPr>
        <w:tc>
          <w:tcPr>
            <w:tcW w:w="5760" w:type="dxa"/>
          </w:tcPr>
          <w:p w:rsidR="00E514D2" w:rsidRDefault="00E514D2" w:rsidP="00C15219">
            <w:pPr>
              <w:pStyle w:val="tabletext"/>
            </w:pPr>
            <w:r>
              <w:t>Item 323, table item 44</w:t>
            </w:r>
          </w:p>
        </w:tc>
        <w:tc>
          <w:tcPr>
            <w:tcW w:w="1980" w:type="dxa"/>
          </w:tcPr>
          <w:p w:rsidR="00E514D2" w:rsidRDefault="00E514D2" w:rsidP="00C15219">
            <w:pPr>
              <w:pStyle w:val="tabletext"/>
            </w:pPr>
            <w:r>
              <w:t>1.25</w:t>
            </w:r>
          </w:p>
        </w:tc>
      </w:tr>
      <w:tr w:rsidR="00F254AF" w:rsidRPr="00231CBA" w:rsidTr="00F254AF">
        <w:trPr>
          <w:tblHeader/>
        </w:trPr>
        <w:tc>
          <w:tcPr>
            <w:tcW w:w="5760" w:type="dxa"/>
          </w:tcPr>
          <w:p w:rsidR="00F254AF" w:rsidRDefault="00F254AF" w:rsidP="00F254AF">
            <w:pPr>
              <w:pStyle w:val="tabletext"/>
            </w:pPr>
            <w:r>
              <w:t>Item 323, table item 58</w:t>
            </w:r>
          </w:p>
        </w:tc>
        <w:tc>
          <w:tcPr>
            <w:tcW w:w="1980" w:type="dxa"/>
          </w:tcPr>
          <w:p w:rsidR="00F254AF" w:rsidRDefault="00F254AF" w:rsidP="00F254AF">
            <w:pPr>
              <w:pStyle w:val="tabletext"/>
            </w:pPr>
            <w:r>
              <w:t>1.38</w:t>
            </w:r>
          </w:p>
        </w:tc>
      </w:tr>
      <w:tr w:rsidR="00F254AF" w:rsidRPr="00231CBA" w:rsidTr="00F254AF">
        <w:trPr>
          <w:tblHeader/>
        </w:trPr>
        <w:tc>
          <w:tcPr>
            <w:tcW w:w="5760" w:type="dxa"/>
          </w:tcPr>
          <w:p w:rsidR="00F254AF" w:rsidRDefault="00F254AF" w:rsidP="00F254AF">
            <w:pPr>
              <w:pStyle w:val="tabletext"/>
            </w:pPr>
            <w:r>
              <w:t>Item 323, table items 59, 61 to 63</w:t>
            </w:r>
          </w:p>
        </w:tc>
        <w:tc>
          <w:tcPr>
            <w:tcW w:w="1980" w:type="dxa"/>
          </w:tcPr>
          <w:p w:rsidR="00F254AF" w:rsidRDefault="00F254AF" w:rsidP="00F254AF">
            <w:pPr>
              <w:pStyle w:val="tabletext"/>
            </w:pPr>
            <w:r>
              <w:t>1.39</w:t>
            </w:r>
          </w:p>
        </w:tc>
      </w:tr>
      <w:tr w:rsidR="00F254AF" w:rsidRPr="00231CBA" w:rsidTr="00F254AF">
        <w:trPr>
          <w:tblHeader/>
        </w:trPr>
        <w:tc>
          <w:tcPr>
            <w:tcW w:w="5760" w:type="dxa"/>
          </w:tcPr>
          <w:p w:rsidR="00F254AF" w:rsidRDefault="00F254AF" w:rsidP="00F254AF">
            <w:pPr>
              <w:pStyle w:val="tabletext"/>
            </w:pPr>
            <w:r>
              <w:t>Item 323, table item 60</w:t>
            </w:r>
          </w:p>
        </w:tc>
        <w:tc>
          <w:tcPr>
            <w:tcW w:w="1980" w:type="dxa"/>
          </w:tcPr>
          <w:p w:rsidR="00F254AF" w:rsidRDefault="00F254AF" w:rsidP="00F254AF">
            <w:pPr>
              <w:pStyle w:val="tabletext"/>
            </w:pPr>
            <w:r>
              <w:t>1.39</w:t>
            </w:r>
          </w:p>
        </w:tc>
      </w:tr>
      <w:tr w:rsidR="00F254AF" w:rsidRPr="00231CBA" w:rsidTr="00F254AF">
        <w:trPr>
          <w:tblHeader/>
        </w:trPr>
        <w:tc>
          <w:tcPr>
            <w:tcW w:w="5760" w:type="dxa"/>
          </w:tcPr>
          <w:p w:rsidR="00F254AF" w:rsidRDefault="00F254AF" w:rsidP="00F254AF">
            <w:pPr>
              <w:pStyle w:val="tabletext"/>
            </w:pPr>
            <w:r>
              <w:t>Item 323, table items 67 to 68</w:t>
            </w:r>
          </w:p>
        </w:tc>
        <w:tc>
          <w:tcPr>
            <w:tcW w:w="1980" w:type="dxa"/>
          </w:tcPr>
          <w:p w:rsidR="00F254AF" w:rsidRDefault="00F254AF" w:rsidP="00F254AF">
            <w:pPr>
              <w:pStyle w:val="tabletext"/>
            </w:pPr>
            <w:r>
              <w:t>1.40</w:t>
            </w:r>
          </w:p>
        </w:tc>
      </w:tr>
      <w:tr w:rsidR="00F254AF" w:rsidRPr="00231CBA" w:rsidTr="00F254AF">
        <w:trPr>
          <w:tblHeader/>
        </w:trPr>
        <w:tc>
          <w:tcPr>
            <w:tcW w:w="5760" w:type="dxa"/>
          </w:tcPr>
          <w:p w:rsidR="00F254AF" w:rsidRDefault="00F254AF" w:rsidP="00F254AF">
            <w:pPr>
              <w:pStyle w:val="tabletext"/>
            </w:pPr>
            <w:r>
              <w:t>Item 323, table items 70 to 72</w:t>
            </w:r>
          </w:p>
        </w:tc>
        <w:tc>
          <w:tcPr>
            <w:tcW w:w="1980" w:type="dxa"/>
          </w:tcPr>
          <w:p w:rsidR="00F254AF" w:rsidRDefault="00F254AF" w:rsidP="00F254AF">
            <w:pPr>
              <w:pStyle w:val="tabletext"/>
            </w:pPr>
            <w:r>
              <w:t>1.40</w:t>
            </w:r>
          </w:p>
        </w:tc>
      </w:tr>
      <w:tr w:rsidR="00F254AF" w:rsidRPr="00231CBA" w:rsidTr="00F254AF">
        <w:trPr>
          <w:tblHeader/>
        </w:trPr>
        <w:tc>
          <w:tcPr>
            <w:tcW w:w="5760" w:type="dxa"/>
          </w:tcPr>
          <w:p w:rsidR="00F254AF" w:rsidRDefault="00F254AF" w:rsidP="00F254AF">
            <w:pPr>
              <w:pStyle w:val="tabletext"/>
            </w:pPr>
            <w:r>
              <w:t>Item 323, table item 69</w:t>
            </w:r>
          </w:p>
        </w:tc>
        <w:tc>
          <w:tcPr>
            <w:tcW w:w="1980" w:type="dxa"/>
          </w:tcPr>
          <w:p w:rsidR="00F254AF" w:rsidRDefault="00F254AF" w:rsidP="00F254AF">
            <w:pPr>
              <w:pStyle w:val="tabletext"/>
            </w:pPr>
            <w:r>
              <w:t>1.43</w:t>
            </w:r>
          </w:p>
        </w:tc>
      </w:tr>
      <w:tr w:rsidR="006F4087" w:rsidRPr="00231CBA" w:rsidTr="00C15219">
        <w:trPr>
          <w:tblHeader/>
        </w:trPr>
        <w:tc>
          <w:tcPr>
            <w:tcW w:w="5760" w:type="dxa"/>
          </w:tcPr>
          <w:p w:rsidR="006F4087" w:rsidRPr="00231CBA" w:rsidRDefault="006F4087" w:rsidP="00474FF7">
            <w:pPr>
              <w:pStyle w:val="tableheaderwithintable"/>
            </w:pPr>
            <w:r w:rsidRPr="00231CBA">
              <w:t>Bill reference</w:t>
            </w:r>
          </w:p>
        </w:tc>
        <w:tc>
          <w:tcPr>
            <w:tcW w:w="1980" w:type="dxa"/>
          </w:tcPr>
          <w:p w:rsidR="006F4087" w:rsidRPr="00231CBA" w:rsidRDefault="006F4087" w:rsidP="00474FF7">
            <w:pPr>
              <w:pStyle w:val="tableheaderwithintable"/>
            </w:pPr>
            <w:r w:rsidRPr="00231CBA">
              <w:t>Paragraph number</w:t>
            </w:r>
          </w:p>
        </w:tc>
      </w:tr>
      <w:tr w:rsidR="00E514D2" w:rsidRPr="00231CBA" w:rsidTr="00C15219">
        <w:trPr>
          <w:tblHeader/>
        </w:trPr>
        <w:tc>
          <w:tcPr>
            <w:tcW w:w="5760" w:type="dxa"/>
          </w:tcPr>
          <w:p w:rsidR="00E514D2" w:rsidRDefault="00E514D2" w:rsidP="00C15219">
            <w:pPr>
              <w:pStyle w:val="tabletext"/>
            </w:pPr>
            <w:r>
              <w:t>Item 323(3) and (4)</w:t>
            </w:r>
          </w:p>
        </w:tc>
        <w:tc>
          <w:tcPr>
            <w:tcW w:w="1980" w:type="dxa"/>
          </w:tcPr>
          <w:p w:rsidR="00E514D2" w:rsidRDefault="00E514D2" w:rsidP="00C15219">
            <w:pPr>
              <w:pStyle w:val="tabletext"/>
            </w:pPr>
            <w:r>
              <w:t>1.40</w:t>
            </w:r>
          </w:p>
        </w:tc>
      </w:tr>
      <w:tr w:rsidR="00E514D2" w:rsidRPr="00231CBA" w:rsidTr="00C15219">
        <w:trPr>
          <w:tblHeader/>
        </w:trPr>
        <w:tc>
          <w:tcPr>
            <w:tcW w:w="5760" w:type="dxa"/>
          </w:tcPr>
          <w:p w:rsidR="00E514D2" w:rsidRDefault="00E514D2" w:rsidP="00C15219">
            <w:pPr>
              <w:pStyle w:val="tabletext"/>
            </w:pPr>
            <w:r>
              <w:t>Item 324(1) and (3)</w:t>
            </w:r>
          </w:p>
        </w:tc>
        <w:tc>
          <w:tcPr>
            <w:tcW w:w="1980" w:type="dxa"/>
          </w:tcPr>
          <w:p w:rsidR="00E514D2" w:rsidRDefault="00E514D2" w:rsidP="00C15219">
            <w:pPr>
              <w:pStyle w:val="tabletext"/>
            </w:pPr>
            <w:r>
              <w:t>1.22</w:t>
            </w:r>
          </w:p>
        </w:tc>
      </w:tr>
      <w:tr w:rsidR="00F254AF" w:rsidRPr="00231CBA" w:rsidTr="00F254AF">
        <w:trPr>
          <w:tblHeader/>
        </w:trPr>
        <w:tc>
          <w:tcPr>
            <w:tcW w:w="5760" w:type="dxa"/>
          </w:tcPr>
          <w:p w:rsidR="00F254AF" w:rsidRDefault="00F254AF" w:rsidP="00F254AF">
            <w:pPr>
              <w:pStyle w:val="tabletext"/>
            </w:pPr>
            <w:r>
              <w:t>Item 324(2)</w:t>
            </w:r>
          </w:p>
        </w:tc>
        <w:tc>
          <w:tcPr>
            <w:tcW w:w="1980" w:type="dxa"/>
          </w:tcPr>
          <w:p w:rsidR="00F254AF" w:rsidRDefault="00F254AF" w:rsidP="00F254AF">
            <w:pPr>
              <w:pStyle w:val="tabletext"/>
            </w:pPr>
            <w:r>
              <w:t>1.29</w:t>
            </w:r>
          </w:p>
        </w:tc>
      </w:tr>
      <w:tr w:rsidR="00F254AF" w:rsidRPr="00231CBA" w:rsidTr="00F254AF">
        <w:trPr>
          <w:tblHeader/>
        </w:trPr>
        <w:tc>
          <w:tcPr>
            <w:tcW w:w="5760" w:type="dxa"/>
          </w:tcPr>
          <w:p w:rsidR="00F254AF" w:rsidRDefault="00F254AF" w:rsidP="00F254AF">
            <w:pPr>
              <w:pStyle w:val="tabletext"/>
            </w:pPr>
            <w:r>
              <w:t>Item 325</w:t>
            </w:r>
          </w:p>
        </w:tc>
        <w:tc>
          <w:tcPr>
            <w:tcW w:w="1980" w:type="dxa"/>
          </w:tcPr>
          <w:p w:rsidR="00F254AF" w:rsidRDefault="00F254AF" w:rsidP="00F254AF">
            <w:pPr>
              <w:pStyle w:val="tabletext"/>
            </w:pPr>
            <w:r>
              <w:t>1.32</w:t>
            </w:r>
          </w:p>
        </w:tc>
      </w:tr>
      <w:tr w:rsidR="00F254AF" w:rsidRPr="00231CBA" w:rsidTr="00F254AF">
        <w:trPr>
          <w:tblHeader/>
        </w:trPr>
        <w:tc>
          <w:tcPr>
            <w:tcW w:w="5760" w:type="dxa"/>
          </w:tcPr>
          <w:p w:rsidR="00F254AF" w:rsidRDefault="00F254AF" w:rsidP="00F254AF">
            <w:pPr>
              <w:pStyle w:val="tabletext"/>
            </w:pPr>
            <w:r>
              <w:t>Item 327</w:t>
            </w:r>
          </w:p>
        </w:tc>
        <w:tc>
          <w:tcPr>
            <w:tcW w:w="1980" w:type="dxa"/>
          </w:tcPr>
          <w:p w:rsidR="00F254AF" w:rsidRDefault="00F254AF" w:rsidP="00F254AF">
            <w:pPr>
              <w:pStyle w:val="tabletext"/>
            </w:pPr>
            <w:r>
              <w:t>1.32</w:t>
            </w:r>
          </w:p>
        </w:tc>
      </w:tr>
      <w:tr w:rsidR="00F254AF" w:rsidRPr="00231CBA" w:rsidTr="00F254AF">
        <w:trPr>
          <w:tblHeader/>
        </w:trPr>
        <w:tc>
          <w:tcPr>
            <w:tcW w:w="5760" w:type="dxa"/>
          </w:tcPr>
          <w:p w:rsidR="00F254AF" w:rsidRDefault="00884AE2" w:rsidP="00F254AF">
            <w:pPr>
              <w:pStyle w:val="tabletext"/>
            </w:pPr>
            <w:r>
              <w:t>Item 328(4</w:t>
            </w:r>
            <w:r w:rsidR="00F254AF">
              <w:t>)</w:t>
            </w:r>
          </w:p>
        </w:tc>
        <w:tc>
          <w:tcPr>
            <w:tcW w:w="1980" w:type="dxa"/>
          </w:tcPr>
          <w:p w:rsidR="00F254AF" w:rsidRDefault="00F254AF" w:rsidP="00F254AF">
            <w:pPr>
              <w:pStyle w:val="tabletext"/>
            </w:pPr>
            <w:r>
              <w:t>1.26</w:t>
            </w:r>
          </w:p>
        </w:tc>
      </w:tr>
      <w:tr w:rsidR="00F254AF" w:rsidRPr="00231CBA" w:rsidTr="00F254AF">
        <w:trPr>
          <w:tblHeader/>
        </w:trPr>
        <w:tc>
          <w:tcPr>
            <w:tcW w:w="5760" w:type="dxa"/>
          </w:tcPr>
          <w:p w:rsidR="00F254AF" w:rsidRDefault="00F254AF" w:rsidP="00F254AF">
            <w:pPr>
              <w:pStyle w:val="tabletext"/>
            </w:pPr>
            <w:r>
              <w:t>Item 328</w:t>
            </w:r>
          </w:p>
        </w:tc>
        <w:tc>
          <w:tcPr>
            <w:tcW w:w="1980" w:type="dxa"/>
          </w:tcPr>
          <w:p w:rsidR="00F254AF" w:rsidRDefault="00F254AF" w:rsidP="00F254AF">
            <w:pPr>
              <w:pStyle w:val="tabletext"/>
            </w:pPr>
            <w:r>
              <w:t>1.25</w:t>
            </w:r>
          </w:p>
        </w:tc>
      </w:tr>
      <w:tr w:rsidR="00F254AF" w:rsidRPr="00231CBA" w:rsidTr="00F254AF">
        <w:trPr>
          <w:tblHeader/>
        </w:trPr>
        <w:tc>
          <w:tcPr>
            <w:tcW w:w="5760" w:type="dxa"/>
          </w:tcPr>
          <w:p w:rsidR="00F254AF" w:rsidRDefault="00F254AF" w:rsidP="00F254AF">
            <w:pPr>
              <w:pStyle w:val="tabletext"/>
            </w:pPr>
            <w:r>
              <w:t>Item 329</w:t>
            </w:r>
          </w:p>
        </w:tc>
        <w:tc>
          <w:tcPr>
            <w:tcW w:w="1980" w:type="dxa"/>
          </w:tcPr>
          <w:p w:rsidR="00F254AF" w:rsidRDefault="00F254AF" w:rsidP="00F254AF">
            <w:pPr>
              <w:pStyle w:val="tabletext"/>
            </w:pPr>
            <w:r>
              <w:t>1.36</w:t>
            </w:r>
          </w:p>
        </w:tc>
      </w:tr>
      <w:tr w:rsidR="00F254AF" w:rsidRPr="00231CBA" w:rsidTr="00F254AF">
        <w:trPr>
          <w:tblHeader/>
        </w:trPr>
        <w:tc>
          <w:tcPr>
            <w:tcW w:w="5760" w:type="dxa"/>
          </w:tcPr>
          <w:p w:rsidR="00F254AF" w:rsidRDefault="00F254AF" w:rsidP="00F254AF">
            <w:pPr>
              <w:pStyle w:val="tabletext"/>
            </w:pPr>
            <w:r>
              <w:t>Item 331, sections 5 and 6(2) (paragraph (baa) and (d) in table item 33), Anti-Money Laundering Act</w:t>
            </w:r>
          </w:p>
        </w:tc>
        <w:tc>
          <w:tcPr>
            <w:tcW w:w="1980" w:type="dxa"/>
          </w:tcPr>
          <w:p w:rsidR="00F254AF" w:rsidRDefault="00F254AF" w:rsidP="00F254AF">
            <w:pPr>
              <w:pStyle w:val="tabletext"/>
            </w:pPr>
            <w:r>
              <w:t>2.62</w:t>
            </w:r>
          </w:p>
        </w:tc>
      </w:tr>
      <w:tr w:rsidR="00F254AF" w:rsidRPr="00231CBA" w:rsidTr="00F254AF">
        <w:trPr>
          <w:tblHeader/>
        </w:trPr>
        <w:tc>
          <w:tcPr>
            <w:tcW w:w="5760" w:type="dxa"/>
          </w:tcPr>
          <w:p w:rsidR="00F254AF" w:rsidRDefault="00F254AF" w:rsidP="00F254AF">
            <w:pPr>
              <w:pStyle w:val="tabletext"/>
            </w:pPr>
            <w:r>
              <w:t>Item 332</w:t>
            </w:r>
          </w:p>
        </w:tc>
        <w:tc>
          <w:tcPr>
            <w:tcW w:w="1980" w:type="dxa"/>
          </w:tcPr>
          <w:p w:rsidR="00F254AF" w:rsidRDefault="00F254AF" w:rsidP="00F254AF">
            <w:pPr>
              <w:pStyle w:val="tabletext"/>
            </w:pPr>
            <w:r>
              <w:t>2.36</w:t>
            </w:r>
          </w:p>
        </w:tc>
      </w:tr>
      <w:tr w:rsidR="00F254AF" w:rsidRPr="00231CBA" w:rsidTr="00F254AF">
        <w:trPr>
          <w:tblHeader/>
        </w:trPr>
        <w:tc>
          <w:tcPr>
            <w:tcW w:w="5760" w:type="dxa"/>
          </w:tcPr>
          <w:p w:rsidR="00F254AF" w:rsidRDefault="00F254AF" w:rsidP="00F254AF">
            <w:pPr>
              <w:pStyle w:val="tabletext"/>
            </w:pPr>
            <w:r>
              <w:t>Item 333</w:t>
            </w:r>
          </w:p>
        </w:tc>
        <w:tc>
          <w:tcPr>
            <w:tcW w:w="1980" w:type="dxa"/>
          </w:tcPr>
          <w:p w:rsidR="00F254AF" w:rsidRDefault="00F254AF" w:rsidP="00F254AF">
            <w:pPr>
              <w:pStyle w:val="tabletext"/>
            </w:pPr>
            <w:r>
              <w:t>2.47</w:t>
            </w:r>
          </w:p>
        </w:tc>
      </w:tr>
      <w:tr w:rsidR="00F254AF" w:rsidRPr="00231CBA" w:rsidTr="00F254AF">
        <w:trPr>
          <w:tblHeader/>
        </w:trPr>
        <w:tc>
          <w:tcPr>
            <w:tcW w:w="5760" w:type="dxa"/>
          </w:tcPr>
          <w:p w:rsidR="00F254AF" w:rsidRDefault="00F254AF" w:rsidP="00F254AF">
            <w:pPr>
              <w:pStyle w:val="tabletext"/>
            </w:pPr>
            <w:r>
              <w:t>Items 334 and 335</w:t>
            </w:r>
          </w:p>
        </w:tc>
        <w:tc>
          <w:tcPr>
            <w:tcW w:w="1980" w:type="dxa"/>
          </w:tcPr>
          <w:p w:rsidR="00F254AF" w:rsidRDefault="00F254AF" w:rsidP="00F254AF">
            <w:pPr>
              <w:pStyle w:val="tabletext"/>
            </w:pPr>
            <w:r>
              <w:t>5.24</w:t>
            </w:r>
          </w:p>
        </w:tc>
      </w:tr>
      <w:tr w:rsidR="00F254AF" w:rsidRPr="00231CBA" w:rsidTr="00F254AF">
        <w:trPr>
          <w:tblHeader/>
        </w:trPr>
        <w:tc>
          <w:tcPr>
            <w:tcW w:w="5760" w:type="dxa"/>
          </w:tcPr>
          <w:p w:rsidR="00F254AF" w:rsidRDefault="00F254AF" w:rsidP="00F254AF">
            <w:pPr>
              <w:pStyle w:val="tabletext"/>
            </w:pPr>
            <w:r>
              <w:t>Item 336(1)</w:t>
            </w:r>
          </w:p>
        </w:tc>
        <w:tc>
          <w:tcPr>
            <w:tcW w:w="1980" w:type="dxa"/>
          </w:tcPr>
          <w:p w:rsidR="00F254AF" w:rsidRDefault="00F254AF" w:rsidP="00F254AF">
            <w:pPr>
              <w:pStyle w:val="tabletext"/>
            </w:pPr>
            <w:r>
              <w:t>3.15</w:t>
            </w:r>
          </w:p>
        </w:tc>
      </w:tr>
      <w:tr w:rsidR="00F254AF" w:rsidRPr="00231CBA" w:rsidTr="00F254AF">
        <w:trPr>
          <w:tblHeader/>
        </w:trPr>
        <w:tc>
          <w:tcPr>
            <w:tcW w:w="5760" w:type="dxa"/>
          </w:tcPr>
          <w:p w:rsidR="00F254AF" w:rsidRDefault="00F254AF" w:rsidP="00F254AF">
            <w:pPr>
              <w:pStyle w:val="tabletext"/>
            </w:pPr>
            <w:r>
              <w:t>Item 337</w:t>
            </w:r>
          </w:p>
        </w:tc>
        <w:tc>
          <w:tcPr>
            <w:tcW w:w="1980" w:type="dxa"/>
          </w:tcPr>
          <w:p w:rsidR="00F254AF" w:rsidRDefault="00F254AF" w:rsidP="00F254AF">
            <w:pPr>
              <w:pStyle w:val="tabletext"/>
            </w:pPr>
            <w:r>
              <w:t>2.11, 2.13, 2.14</w:t>
            </w:r>
          </w:p>
        </w:tc>
      </w:tr>
      <w:tr w:rsidR="00F254AF" w:rsidRPr="00231CBA" w:rsidTr="00F254AF">
        <w:trPr>
          <w:tblHeader/>
        </w:trPr>
        <w:tc>
          <w:tcPr>
            <w:tcW w:w="5760" w:type="dxa"/>
          </w:tcPr>
          <w:p w:rsidR="00F254AF" w:rsidRDefault="00F254AF" w:rsidP="00F254AF">
            <w:pPr>
              <w:pStyle w:val="tabletext"/>
            </w:pPr>
            <w:r>
              <w:t>Item 338(1), section 65C, Ozone Management Act</w:t>
            </w:r>
          </w:p>
        </w:tc>
        <w:tc>
          <w:tcPr>
            <w:tcW w:w="1980" w:type="dxa"/>
          </w:tcPr>
          <w:p w:rsidR="00F254AF" w:rsidRDefault="00F254AF" w:rsidP="00F254AF">
            <w:pPr>
              <w:pStyle w:val="tabletext"/>
            </w:pPr>
            <w:r>
              <w:t>6.14</w:t>
            </w:r>
          </w:p>
        </w:tc>
      </w:tr>
      <w:tr w:rsidR="00F254AF" w:rsidRPr="00231CBA" w:rsidTr="00F254AF">
        <w:trPr>
          <w:tblHeader/>
        </w:trPr>
        <w:tc>
          <w:tcPr>
            <w:tcW w:w="5760" w:type="dxa"/>
          </w:tcPr>
          <w:p w:rsidR="00F254AF" w:rsidRDefault="00F254AF" w:rsidP="00F254AF">
            <w:pPr>
              <w:pStyle w:val="tabletext"/>
            </w:pPr>
            <w:r>
              <w:t>Item 338(2), sections 69AA to 69AD, Ozone Management Act</w:t>
            </w:r>
          </w:p>
        </w:tc>
        <w:tc>
          <w:tcPr>
            <w:tcW w:w="1980" w:type="dxa"/>
          </w:tcPr>
          <w:p w:rsidR="00F254AF" w:rsidRDefault="00F254AF" w:rsidP="00F254AF">
            <w:pPr>
              <w:pStyle w:val="tabletext"/>
            </w:pPr>
            <w:r>
              <w:t>6.17</w:t>
            </w:r>
          </w:p>
        </w:tc>
      </w:tr>
      <w:tr w:rsidR="00F254AF" w:rsidRPr="00231CBA" w:rsidTr="00F254AF">
        <w:trPr>
          <w:tblHeader/>
        </w:trPr>
        <w:tc>
          <w:tcPr>
            <w:tcW w:w="5760" w:type="dxa"/>
          </w:tcPr>
          <w:p w:rsidR="00F254AF" w:rsidRDefault="00F254AF" w:rsidP="00F254AF">
            <w:pPr>
              <w:pStyle w:val="tabletext"/>
            </w:pPr>
            <w:r>
              <w:t>Item 339(2)</w:t>
            </w:r>
          </w:p>
        </w:tc>
        <w:tc>
          <w:tcPr>
            <w:tcW w:w="1980" w:type="dxa"/>
          </w:tcPr>
          <w:p w:rsidR="00F254AF" w:rsidRDefault="00F254AF" w:rsidP="00F254AF">
            <w:pPr>
              <w:pStyle w:val="tabletext"/>
            </w:pPr>
            <w:r>
              <w:t>3.15</w:t>
            </w:r>
          </w:p>
        </w:tc>
      </w:tr>
      <w:tr w:rsidR="00F254AF" w:rsidRPr="00231CBA" w:rsidTr="00F254AF">
        <w:trPr>
          <w:tblHeader/>
        </w:trPr>
        <w:tc>
          <w:tcPr>
            <w:tcW w:w="5760" w:type="dxa"/>
          </w:tcPr>
          <w:p w:rsidR="00F254AF" w:rsidRDefault="00F254AF" w:rsidP="00F254AF">
            <w:pPr>
              <w:pStyle w:val="tabletext"/>
            </w:pPr>
            <w:r>
              <w:t>Items 340 and 358A</w:t>
            </w:r>
          </w:p>
        </w:tc>
        <w:tc>
          <w:tcPr>
            <w:tcW w:w="1980" w:type="dxa"/>
          </w:tcPr>
          <w:p w:rsidR="00F254AF" w:rsidRDefault="00F254AF" w:rsidP="00F254AF">
            <w:pPr>
              <w:pStyle w:val="tabletext"/>
            </w:pPr>
            <w:r>
              <w:t>3.19</w:t>
            </w:r>
          </w:p>
        </w:tc>
      </w:tr>
      <w:tr w:rsidR="00F254AF" w:rsidRPr="00231CBA" w:rsidTr="00F254AF">
        <w:trPr>
          <w:tblHeader/>
        </w:trPr>
        <w:tc>
          <w:tcPr>
            <w:tcW w:w="5760" w:type="dxa"/>
          </w:tcPr>
          <w:p w:rsidR="00F254AF" w:rsidRDefault="00F254AF" w:rsidP="00F254AF">
            <w:pPr>
              <w:pStyle w:val="tabletext"/>
            </w:pPr>
            <w:r>
              <w:t>Item 342</w:t>
            </w:r>
          </w:p>
        </w:tc>
        <w:tc>
          <w:tcPr>
            <w:tcW w:w="1980" w:type="dxa"/>
          </w:tcPr>
          <w:p w:rsidR="00F254AF" w:rsidRDefault="00F254AF" w:rsidP="00F254AF">
            <w:pPr>
              <w:pStyle w:val="tabletext"/>
            </w:pPr>
            <w:r>
              <w:t>1.44</w:t>
            </w:r>
          </w:p>
        </w:tc>
      </w:tr>
      <w:tr w:rsidR="00F254AF" w:rsidRPr="00231CBA" w:rsidTr="00F254AF">
        <w:trPr>
          <w:tblHeader/>
        </w:trPr>
        <w:tc>
          <w:tcPr>
            <w:tcW w:w="5760" w:type="dxa"/>
          </w:tcPr>
          <w:p w:rsidR="00F254AF" w:rsidRDefault="00F254AF" w:rsidP="00F254AF">
            <w:pPr>
              <w:pStyle w:val="tabletext"/>
            </w:pPr>
            <w:r>
              <w:t>Item 343A</w:t>
            </w:r>
          </w:p>
        </w:tc>
        <w:tc>
          <w:tcPr>
            <w:tcW w:w="1980" w:type="dxa"/>
          </w:tcPr>
          <w:p w:rsidR="00F254AF" w:rsidRDefault="00F254AF" w:rsidP="00F254AF">
            <w:pPr>
              <w:pStyle w:val="tabletext"/>
            </w:pPr>
            <w:r>
              <w:t>1.30</w:t>
            </w:r>
          </w:p>
        </w:tc>
      </w:tr>
      <w:tr w:rsidR="00F254AF" w:rsidRPr="00231CBA" w:rsidTr="00F254AF">
        <w:trPr>
          <w:tblHeader/>
        </w:trPr>
        <w:tc>
          <w:tcPr>
            <w:tcW w:w="5760" w:type="dxa"/>
          </w:tcPr>
          <w:p w:rsidR="00F254AF" w:rsidRDefault="00F254AF" w:rsidP="00F254AF">
            <w:pPr>
              <w:pStyle w:val="tabletext"/>
            </w:pPr>
            <w:r>
              <w:t>Item 343</w:t>
            </w:r>
          </w:p>
        </w:tc>
        <w:tc>
          <w:tcPr>
            <w:tcW w:w="1980" w:type="dxa"/>
          </w:tcPr>
          <w:p w:rsidR="00F254AF" w:rsidRDefault="00F254AF" w:rsidP="00F254AF">
            <w:pPr>
              <w:pStyle w:val="tabletext"/>
            </w:pPr>
            <w:r>
              <w:t>1.27</w:t>
            </w:r>
          </w:p>
        </w:tc>
      </w:tr>
      <w:tr w:rsidR="00F254AF" w:rsidRPr="00231CBA" w:rsidTr="00F254AF">
        <w:trPr>
          <w:tblHeader/>
        </w:trPr>
        <w:tc>
          <w:tcPr>
            <w:tcW w:w="5760" w:type="dxa"/>
          </w:tcPr>
          <w:p w:rsidR="00F254AF" w:rsidRDefault="00F254AF" w:rsidP="00F254AF">
            <w:pPr>
              <w:pStyle w:val="tabletext"/>
            </w:pPr>
            <w:r>
              <w:t>Items 344 and 345</w:t>
            </w:r>
          </w:p>
        </w:tc>
        <w:tc>
          <w:tcPr>
            <w:tcW w:w="1980" w:type="dxa"/>
          </w:tcPr>
          <w:p w:rsidR="00F254AF" w:rsidRDefault="00F254AF" w:rsidP="00F254AF">
            <w:pPr>
              <w:pStyle w:val="tabletext"/>
            </w:pPr>
            <w:r>
              <w:t>1.42</w:t>
            </w:r>
          </w:p>
        </w:tc>
      </w:tr>
      <w:tr w:rsidR="00F254AF" w:rsidRPr="00231CBA" w:rsidTr="00F254AF">
        <w:trPr>
          <w:tblHeader/>
        </w:trPr>
        <w:tc>
          <w:tcPr>
            <w:tcW w:w="5760" w:type="dxa"/>
          </w:tcPr>
          <w:p w:rsidR="00F254AF" w:rsidRDefault="00F254AF" w:rsidP="00F254AF">
            <w:pPr>
              <w:pStyle w:val="tabletext"/>
            </w:pPr>
            <w:r>
              <w:t>Item 345C</w:t>
            </w:r>
          </w:p>
        </w:tc>
        <w:tc>
          <w:tcPr>
            <w:tcW w:w="1980" w:type="dxa"/>
          </w:tcPr>
          <w:p w:rsidR="00F254AF" w:rsidRDefault="00F254AF" w:rsidP="00F254AF">
            <w:pPr>
              <w:pStyle w:val="tabletext"/>
            </w:pPr>
            <w:r>
              <w:t>1.40</w:t>
            </w:r>
          </w:p>
        </w:tc>
      </w:tr>
      <w:tr w:rsidR="00F254AF" w:rsidRPr="00231CBA" w:rsidTr="00F254AF">
        <w:trPr>
          <w:tblHeader/>
        </w:trPr>
        <w:tc>
          <w:tcPr>
            <w:tcW w:w="5760" w:type="dxa"/>
          </w:tcPr>
          <w:p w:rsidR="00F254AF" w:rsidRDefault="00F254AF" w:rsidP="00F254AF">
            <w:pPr>
              <w:pStyle w:val="tabletext"/>
            </w:pPr>
            <w:r>
              <w:t>Item 345A</w:t>
            </w:r>
          </w:p>
        </w:tc>
        <w:tc>
          <w:tcPr>
            <w:tcW w:w="1980" w:type="dxa"/>
          </w:tcPr>
          <w:p w:rsidR="00F254AF" w:rsidRDefault="00F254AF" w:rsidP="00F254AF">
            <w:pPr>
              <w:pStyle w:val="tabletext"/>
            </w:pPr>
            <w:r>
              <w:t>1.41</w:t>
            </w:r>
          </w:p>
        </w:tc>
      </w:tr>
      <w:tr w:rsidR="00F254AF" w:rsidRPr="00231CBA" w:rsidTr="00F254AF">
        <w:trPr>
          <w:tblHeader/>
        </w:trPr>
        <w:tc>
          <w:tcPr>
            <w:tcW w:w="5760" w:type="dxa"/>
          </w:tcPr>
          <w:p w:rsidR="00F254AF" w:rsidRDefault="00F254AF" w:rsidP="00F254AF">
            <w:pPr>
              <w:pStyle w:val="tabletext"/>
            </w:pPr>
            <w:r>
              <w:t>Item 345B</w:t>
            </w:r>
          </w:p>
        </w:tc>
        <w:tc>
          <w:tcPr>
            <w:tcW w:w="1980" w:type="dxa"/>
          </w:tcPr>
          <w:p w:rsidR="00F254AF" w:rsidRDefault="00F254AF" w:rsidP="00F254AF">
            <w:pPr>
              <w:pStyle w:val="tabletext"/>
            </w:pPr>
            <w:r>
              <w:t>1.41</w:t>
            </w:r>
          </w:p>
        </w:tc>
      </w:tr>
      <w:tr w:rsidR="00F254AF" w:rsidRPr="00231CBA" w:rsidTr="00F254AF">
        <w:trPr>
          <w:tblHeader/>
        </w:trPr>
        <w:tc>
          <w:tcPr>
            <w:tcW w:w="5760" w:type="dxa"/>
          </w:tcPr>
          <w:p w:rsidR="00F254AF" w:rsidRDefault="00F254AF" w:rsidP="00F254AF">
            <w:pPr>
              <w:pStyle w:val="tabletext"/>
            </w:pPr>
            <w:r>
              <w:t>Item 345D</w:t>
            </w:r>
          </w:p>
        </w:tc>
        <w:tc>
          <w:tcPr>
            <w:tcW w:w="1980" w:type="dxa"/>
          </w:tcPr>
          <w:p w:rsidR="00F254AF" w:rsidRDefault="00F254AF" w:rsidP="00F254AF">
            <w:pPr>
              <w:pStyle w:val="tabletext"/>
            </w:pPr>
            <w:r>
              <w:t>1.45</w:t>
            </w:r>
          </w:p>
        </w:tc>
      </w:tr>
      <w:tr w:rsidR="00F254AF" w:rsidRPr="00231CBA" w:rsidTr="00F254AF">
        <w:trPr>
          <w:tblHeader/>
        </w:trPr>
        <w:tc>
          <w:tcPr>
            <w:tcW w:w="5760" w:type="dxa"/>
          </w:tcPr>
          <w:p w:rsidR="00F254AF" w:rsidRDefault="00F254AF" w:rsidP="00F254AF">
            <w:pPr>
              <w:pStyle w:val="tabletext"/>
            </w:pPr>
            <w:r>
              <w:t>Item 346</w:t>
            </w:r>
          </w:p>
        </w:tc>
        <w:tc>
          <w:tcPr>
            <w:tcW w:w="1980" w:type="dxa"/>
          </w:tcPr>
          <w:p w:rsidR="00F254AF" w:rsidRDefault="00F254AF" w:rsidP="00F254AF">
            <w:pPr>
              <w:pStyle w:val="tabletext"/>
            </w:pPr>
            <w:r>
              <w:t>1.60</w:t>
            </w:r>
          </w:p>
        </w:tc>
      </w:tr>
      <w:tr w:rsidR="00F254AF" w:rsidRPr="00231CBA" w:rsidTr="00F254AF">
        <w:trPr>
          <w:tblHeader/>
        </w:trPr>
        <w:tc>
          <w:tcPr>
            <w:tcW w:w="5760" w:type="dxa"/>
          </w:tcPr>
          <w:p w:rsidR="00F254AF" w:rsidRDefault="00F254AF" w:rsidP="00F254AF">
            <w:pPr>
              <w:pStyle w:val="tabletext"/>
            </w:pPr>
            <w:r>
              <w:t>Item 347</w:t>
            </w:r>
          </w:p>
        </w:tc>
        <w:tc>
          <w:tcPr>
            <w:tcW w:w="1980" w:type="dxa"/>
          </w:tcPr>
          <w:p w:rsidR="00F254AF" w:rsidRDefault="00F254AF" w:rsidP="00F254AF">
            <w:pPr>
              <w:pStyle w:val="tabletext"/>
            </w:pPr>
            <w:r>
              <w:t>1.62, 1.63</w:t>
            </w:r>
          </w:p>
        </w:tc>
      </w:tr>
      <w:tr w:rsidR="00F254AF" w:rsidRPr="00231CBA" w:rsidTr="00F254AF">
        <w:trPr>
          <w:tblHeader/>
        </w:trPr>
        <w:tc>
          <w:tcPr>
            <w:tcW w:w="5760" w:type="dxa"/>
          </w:tcPr>
          <w:p w:rsidR="00F254AF" w:rsidRDefault="00F254AF" w:rsidP="00F254AF">
            <w:pPr>
              <w:pStyle w:val="tabletext"/>
            </w:pPr>
            <w:r>
              <w:t>Items 348-350</w:t>
            </w:r>
          </w:p>
        </w:tc>
        <w:tc>
          <w:tcPr>
            <w:tcW w:w="1980" w:type="dxa"/>
          </w:tcPr>
          <w:p w:rsidR="00F254AF" w:rsidRDefault="00F254AF" w:rsidP="00F254AF">
            <w:pPr>
              <w:pStyle w:val="tabletext"/>
            </w:pPr>
            <w:r>
              <w:t>1.62</w:t>
            </w:r>
          </w:p>
        </w:tc>
      </w:tr>
      <w:tr w:rsidR="00F254AF" w:rsidRPr="00231CBA" w:rsidTr="00F254AF">
        <w:trPr>
          <w:tblHeader/>
        </w:trPr>
        <w:tc>
          <w:tcPr>
            <w:tcW w:w="5760" w:type="dxa"/>
          </w:tcPr>
          <w:p w:rsidR="00F254AF" w:rsidRDefault="00F254AF" w:rsidP="00F254AF">
            <w:pPr>
              <w:pStyle w:val="tabletext"/>
            </w:pPr>
            <w:r>
              <w:t>Item 351</w:t>
            </w:r>
          </w:p>
        </w:tc>
        <w:tc>
          <w:tcPr>
            <w:tcW w:w="1980" w:type="dxa"/>
          </w:tcPr>
          <w:p w:rsidR="00F254AF" w:rsidRDefault="00F254AF" w:rsidP="00F254AF">
            <w:pPr>
              <w:pStyle w:val="tabletext"/>
            </w:pPr>
            <w:r>
              <w:t>1.51</w:t>
            </w:r>
          </w:p>
        </w:tc>
      </w:tr>
      <w:tr w:rsidR="00F254AF" w:rsidRPr="00231CBA" w:rsidTr="00F254AF">
        <w:trPr>
          <w:tblHeader/>
        </w:trPr>
        <w:tc>
          <w:tcPr>
            <w:tcW w:w="5760" w:type="dxa"/>
          </w:tcPr>
          <w:p w:rsidR="00F254AF" w:rsidRDefault="00F254AF" w:rsidP="00F254AF">
            <w:pPr>
              <w:pStyle w:val="tabletext"/>
            </w:pPr>
            <w:r>
              <w:t>Item 352 and 353</w:t>
            </w:r>
          </w:p>
        </w:tc>
        <w:tc>
          <w:tcPr>
            <w:tcW w:w="1980" w:type="dxa"/>
          </w:tcPr>
          <w:p w:rsidR="00F254AF" w:rsidRDefault="00F254AF" w:rsidP="00F254AF">
            <w:pPr>
              <w:pStyle w:val="tabletext"/>
            </w:pPr>
            <w:r>
              <w:t>1.52</w:t>
            </w:r>
          </w:p>
        </w:tc>
      </w:tr>
      <w:tr w:rsidR="00F254AF" w:rsidRPr="00231CBA" w:rsidTr="00F254AF">
        <w:trPr>
          <w:tblHeader/>
        </w:trPr>
        <w:tc>
          <w:tcPr>
            <w:tcW w:w="5760" w:type="dxa"/>
          </w:tcPr>
          <w:p w:rsidR="00F254AF" w:rsidRDefault="00F254AF" w:rsidP="00F254AF">
            <w:pPr>
              <w:pStyle w:val="tabletext"/>
            </w:pPr>
            <w:r>
              <w:t>Item 354 and  item 355</w:t>
            </w:r>
          </w:p>
        </w:tc>
        <w:tc>
          <w:tcPr>
            <w:tcW w:w="1980" w:type="dxa"/>
          </w:tcPr>
          <w:p w:rsidR="00F254AF" w:rsidRDefault="00F254AF" w:rsidP="00F254AF">
            <w:pPr>
              <w:pStyle w:val="tabletext"/>
            </w:pPr>
            <w:r>
              <w:t>1.53</w:t>
            </w:r>
          </w:p>
        </w:tc>
      </w:tr>
      <w:tr w:rsidR="00F254AF" w:rsidRPr="00231CBA" w:rsidTr="00F254AF">
        <w:trPr>
          <w:tblHeader/>
        </w:trPr>
        <w:tc>
          <w:tcPr>
            <w:tcW w:w="5760" w:type="dxa"/>
          </w:tcPr>
          <w:p w:rsidR="00F254AF" w:rsidRDefault="00F254AF" w:rsidP="00F254AF">
            <w:pPr>
              <w:pStyle w:val="tabletext"/>
            </w:pPr>
            <w:r>
              <w:t>Items 356 to 358</w:t>
            </w:r>
          </w:p>
        </w:tc>
        <w:tc>
          <w:tcPr>
            <w:tcW w:w="1980" w:type="dxa"/>
          </w:tcPr>
          <w:p w:rsidR="00F254AF" w:rsidRDefault="00F254AF" w:rsidP="00F254AF">
            <w:pPr>
              <w:pStyle w:val="tabletext"/>
            </w:pPr>
            <w:r>
              <w:t>1.56</w:t>
            </w:r>
          </w:p>
        </w:tc>
      </w:tr>
      <w:tr w:rsidR="00F254AF" w:rsidRPr="00231CBA" w:rsidTr="00F254AF">
        <w:trPr>
          <w:tblHeader/>
        </w:trPr>
        <w:tc>
          <w:tcPr>
            <w:tcW w:w="5760" w:type="dxa"/>
          </w:tcPr>
          <w:p w:rsidR="00F254AF" w:rsidRDefault="00F254AF" w:rsidP="00F254AF">
            <w:pPr>
              <w:pStyle w:val="tabletext"/>
            </w:pPr>
            <w:r>
              <w:t>Item 358A</w:t>
            </w:r>
          </w:p>
        </w:tc>
        <w:tc>
          <w:tcPr>
            <w:tcW w:w="1980" w:type="dxa"/>
          </w:tcPr>
          <w:p w:rsidR="00F254AF" w:rsidRDefault="00F254AF" w:rsidP="00F254AF">
            <w:pPr>
              <w:pStyle w:val="tabletext"/>
            </w:pPr>
            <w:r>
              <w:t>1.57</w:t>
            </w:r>
          </w:p>
        </w:tc>
      </w:tr>
      <w:tr w:rsidR="00F254AF" w:rsidRPr="00231CBA" w:rsidTr="00F254AF">
        <w:trPr>
          <w:tblHeader/>
        </w:trPr>
        <w:tc>
          <w:tcPr>
            <w:tcW w:w="5760" w:type="dxa"/>
          </w:tcPr>
          <w:p w:rsidR="00F254AF" w:rsidRDefault="00F254AF" w:rsidP="00F254AF">
            <w:pPr>
              <w:pStyle w:val="tabletext"/>
            </w:pPr>
            <w:r>
              <w:t>Item 359</w:t>
            </w:r>
          </w:p>
        </w:tc>
        <w:tc>
          <w:tcPr>
            <w:tcW w:w="1980" w:type="dxa"/>
          </w:tcPr>
          <w:p w:rsidR="00F254AF" w:rsidRDefault="00F254AF" w:rsidP="00F254AF">
            <w:pPr>
              <w:pStyle w:val="tabletext"/>
            </w:pPr>
            <w:r>
              <w:t>1.58</w:t>
            </w:r>
          </w:p>
        </w:tc>
      </w:tr>
    </w:tbl>
    <w:p w:rsidR="00AE2F29" w:rsidRDefault="00550D5E" w:rsidP="00AE2F29">
      <w:pPr>
        <w:pStyle w:val="Heading2with18pointafter"/>
        <w:rPr>
          <w:noProof/>
        </w:rPr>
      </w:pPr>
      <w:r>
        <w:t xml:space="preserve">Main Repeal Bill Schedule 2:  </w:t>
      </w:r>
      <w:r w:rsidR="00FF6DD8">
        <w:rPr>
          <w:noProof/>
        </w:rPr>
        <w:t>Carbon tax price reduction obligation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FF6DD8" w:rsidRPr="00442FB9" w:rsidTr="00DA6673">
        <w:trPr>
          <w:tblHeader/>
        </w:trPr>
        <w:tc>
          <w:tcPr>
            <w:tcW w:w="5760" w:type="dxa"/>
          </w:tcPr>
          <w:p w:rsidR="00FF6DD8" w:rsidRPr="00442FB9" w:rsidRDefault="00FF6DD8" w:rsidP="00DA6673">
            <w:pPr>
              <w:pStyle w:val="tableheaderwithintable"/>
              <w:rPr>
                <w:lang w:val="en-US" w:eastAsia="en-US"/>
              </w:rPr>
            </w:pPr>
            <w:r w:rsidRPr="00442FB9">
              <w:rPr>
                <w:lang w:val="en-US" w:eastAsia="en-US"/>
              </w:rPr>
              <w:t>Bill reference</w:t>
            </w:r>
          </w:p>
        </w:tc>
        <w:tc>
          <w:tcPr>
            <w:tcW w:w="1980" w:type="dxa"/>
          </w:tcPr>
          <w:p w:rsidR="00FF6DD8" w:rsidRPr="00442FB9" w:rsidRDefault="00FF6DD8" w:rsidP="00DA6673">
            <w:pPr>
              <w:pStyle w:val="tableheaderwithintable"/>
              <w:rPr>
                <w:lang w:val="en-US" w:eastAsia="en-US"/>
              </w:rPr>
            </w:pPr>
            <w:r w:rsidRPr="00442FB9">
              <w:rPr>
                <w:lang w:val="en-US" w:eastAsia="en-US"/>
              </w:rPr>
              <w:t>Paragraph number</w:t>
            </w:r>
          </w:p>
        </w:tc>
      </w:tr>
      <w:tr w:rsidR="00FF6DD8" w:rsidRPr="00231CBA" w:rsidTr="00DA6673">
        <w:trPr>
          <w:tblHeader/>
        </w:trPr>
        <w:tc>
          <w:tcPr>
            <w:tcW w:w="5760" w:type="dxa"/>
          </w:tcPr>
          <w:p w:rsidR="00FF6DD8" w:rsidRPr="00231CBA" w:rsidRDefault="00FF6DD8" w:rsidP="00DA6673">
            <w:pPr>
              <w:pStyle w:val="tabletext"/>
            </w:pPr>
            <w:r>
              <w:t>Item 1, section 2B(1), CC Act</w:t>
            </w:r>
          </w:p>
        </w:tc>
        <w:tc>
          <w:tcPr>
            <w:tcW w:w="1980" w:type="dxa"/>
          </w:tcPr>
          <w:p w:rsidR="00FF6DD8" w:rsidRPr="00231CBA" w:rsidRDefault="00FF6DD8" w:rsidP="00DA6673">
            <w:pPr>
              <w:pStyle w:val="tabletext"/>
            </w:pPr>
            <w:r>
              <w:t>4.13</w:t>
            </w:r>
          </w:p>
        </w:tc>
      </w:tr>
      <w:tr w:rsidR="00FF6DD8" w:rsidRPr="00231CBA" w:rsidTr="00DA6673">
        <w:trPr>
          <w:tblHeader/>
        </w:trPr>
        <w:tc>
          <w:tcPr>
            <w:tcW w:w="5760" w:type="dxa"/>
          </w:tcPr>
          <w:p w:rsidR="00FF6DD8" w:rsidRDefault="00FF6DD8" w:rsidP="00DA6673">
            <w:pPr>
              <w:pStyle w:val="tabletext"/>
            </w:pPr>
            <w:r>
              <w:t>Item 2, section 6(2)(b), CC Act</w:t>
            </w:r>
          </w:p>
        </w:tc>
        <w:tc>
          <w:tcPr>
            <w:tcW w:w="1980" w:type="dxa"/>
          </w:tcPr>
          <w:p w:rsidR="00FF6DD8" w:rsidRDefault="00FF6DD8" w:rsidP="00DA6673">
            <w:pPr>
              <w:pStyle w:val="tabletext"/>
            </w:pPr>
            <w:r>
              <w:t>4.14</w:t>
            </w:r>
          </w:p>
        </w:tc>
      </w:tr>
      <w:tr w:rsidR="00FF6DD8" w:rsidRPr="00231CBA" w:rsidTr="00DA6673">
        <w:trPr>
          <w:tblHeader/>
        </w:trPr>
        <w:tc>
          <w:tcPr>
            <w:tcW w:w="5760" w:type="dxa"/>
          </w:tcPr>
          <w:p w:rsidR="00FF6DD8" w:rsidRDefault="00FF6DD8" w:rsidP="00DA6673">
            <w:pPr>
              <w:pStyle w:val="tabletext"/>
            </w:pPr>
            <w:r>
              <w:t>Item 3, section 60B(1), CC Act</w:t>
            </w:r>
          </w:p>
        </w:tc>
        <w:tc>
          <w:tcPr>
            <w:tcW w:w="1980" w:type="dxa"/>
          </w:tcPr>
          <w:p w:rsidR="00FF6DD8" w:rsidRDefault="00FF6DD8" w:rsidP="00DA6673">
            <w:pPr>
              <w:pStyle w:val="tabletext"/>
            </w:pPr>
            <w:r>
              <w:t>4.24</w:t>
            </w:r>
          </w:p>
        </w:tc>
      </w:tr>
      <w:tr w:rsidR="00FF6DD8" w:rsidRPr="00231CBA" w:rsidTr="00DA6673">
        <w:trPr>
          <w:tblHeader/>
        </w:trPr>
        <w:tc>
          <w:tcPr>
            <w:tcW w:w="5760" w:type="dxa"/>
          </w:tcPr>
          <w:p w:rsidR="00FF6DD8" w:rsidRDefault="00FF6DD8" w:rsidP="00DA6673">
            <w:pPr>
              <w:pStyle w:val="tabletext"/>
            </w:pPr>
            <w:r>
              <w:t>Item 3, section 60C, CC Act</w:t>
            </w:r>
          </w:p>
        </w:tc>
        <w:tc>
          <w:tcPr>
            <w:tcW w:w="1980" w:type="dxa"/>
          </w:tcPr>
          <w:p w:rsidR="00FF6DD8" w:rsidRDefault="00FF6DD8" w:rsidP="00DA6673">
            <w:pPr>
              <w:pStyle w:val="tabletext"/>
            </w:pPr>
            <w:r>
              <w:t>4.26</w:t>
            </w:r>
          </w:p>
        </w:tc>
      </w:tr>
      <w:tr w:rsidR="00FF6DD8" w:rsidRPr="00231CBA" w:rsidTr="00DA6673">
        <w:trPr>
          <w:tblHeader/>
        </w:trPr>
        <w:tc>
          <w:tcPr>
            <w:tcW w:w="5760" w:type="dxa"/>
          </w:tcPr>
          <w:p w:rsidR="00FF6DD8" w:rsidRDefault="00FF6DD8" w:rsidP="00DA6673">
            <w:pPr>
              <w:pStyle w:val="tabletext"/>
            </w:pPr>
            <w:r>
              <w:t>Item 3, section 60C(2), CC Act</w:t>
            </w:r>
          </w:p>
        </w:tc>
        <w:tc>
          <w:tcPr>
            <w:tcW w:w="1980" w:type="dxa"/>
          </w:tcPr>
          <w:p w:rsidR="00FF6DD8" w:rsidRDefault="00FF6DD8" w:rsidP="00DA6673">
            <w:pPr>
              <w:pStyle w:val="tabletext"/>
            </w:pPr>
            <w:r>
              <w:t>4.26</w:t>
            </w:r>
          </w:p>
        </w:tc>
      </w:tr>
      <w:tr w:rsidR="00FF6DD8" w:rsidRPr="00231CBA" w:rsidTr="00DA6673">
        <w:trPr>
          <w:tblHeader/>
        </w:trPr>
        <w:tc>
          <w:tcPr>
            <w:tcW w:w="5760" w:type="dxa"/>
          </w:tcPr>
          <w:p w:rsidR="00FF6DD8" w:rsidRDefault="00FF6DD8" w:rsidP="00DA6673">
            <w:pPr>
              <w:pStyle w:val="tabletext"/>
            </w:pPr>
            <w:r>
              <w:t>Item 3, section 60C(2), CC Act</w:t>
            </w:r>
          </w:p>
        </w:tc>
        <w:tc>
          <w:tcPr>
            <w:tcW w:w="1980" w:type="dxa"/>
          </w:tcPr>
          <w:p w:rsidR="00FF6DD8" w:rsidRDefault="00FF6DD8" w:rsidP="00DA6673">
            <w:pPr>
              <w:pStyle w:val="tabletext"/>
            </w:pPr>
            <w:r>
              <w:t>4.27</w:t>
            </w:r>
          </w:p>
        </w:tc>
      </w:tr>
      <w:tr w:rsidR="00FF6DD8" w:rsidRPr="00231CBA" w:rsidTr="00DA6673">
        <w:trPr>
          <w:tblHeader/>
        </w:trPr>
        <w:tc>
          <w:tcPr>
            <w:tcW w:w="5760" w:type="dxa"/>
          </w:tcPr>
          <w:p w:rsidR="00FF6DD8" w:rsidRDefault="00FF6DD8" w:rsidP="00DA6673">
            <w:pPr>
              <w:pStyle w:val="tabletext"/>
            </w:pPr>
            <w:r>
              <w:t>Item 3, section 60D, CC Act</w:t>
            </w:r>
          </w:p>
        </w:tc>
        <w:tc>
          <w:tcPr>
            <w:tcW w:w="1980" w:type="dxa"/>
          </w:tcPr>
          <w:p w:rsidR="00FF6DD8" w:rsidRDefault="00FF6DD8" w:rsidP="00DA6673">
            <w:pPr>
              <w:pStyle w:val="tabletext"/>
            </w:pPr>
            <w:r>
              <w:t>4.32</w:t>
            </w:r>
          </w:p>
        </w:tc>
      </w:tr>
      <w:tr w:rsidR="00FF6DD8" w:rsidRPr="00231CBA" w:rsidTr="00DA6673">
        <w:trPr>
          <w:tblHeader/>
        </w:trPr>
        <w:tc>
          <w:tcPr>
            <w:tcW w:w="5760" w:type="dxa"/>
          </w:tcPr>
          <w:p w:rsidR="00FF6DD8" w:rsidRDefault="00FF6DD8" w:rsidP="00DA6673">
            <w:pPr>
              <w:pStyle w:val="tabletext"/>
            </w:pPr>
            <w:r>
              <w:t>Item 3, section 60D(3) and (4), CC Act</w:t>
            </w:r>
          </w:p>
        </w:tc>
        <w:tc>
          <w:tcPr>
            <w:tcW w:w="1980" w:type="dxa"/>
          </w:tcPr>
          <w:p w:rsidR="00FF6DD8" w:rsidRDefault="00FF6DD8" w:rsidP="00DA6673">
            <w:pPr>
              <w:pStyle w:val="tabletext"/>
            </w:pPr>
            <w:r>
              <w:t>4.33</w:t>
            </w:r>
          </w:p>
        </w:tc>
      </w:tr>
      <w:tr w:rsidR="00FF6DD8" w:rsidRPr="00231CBA" w:rsidTr="00DA6673">
        <w:trPr>
          <w:tblHeader/>
        </w:trPr>
        <w:tc>
          <w:tcPr>
            <w:tcW w:w="5760" w:type="dxa"/>
          </w:tcPr>
          <w:p w:rsidR="00FF6DD8" w:rsidRDefault="00FF6DD8" w:rsidP="00DA6673">
            <w:pPr>
              <w:pStyle w:val="tabletext"/>
            </w:pPr>
            <w:r>
              <w:t>Item 3, section 60E, CC Act</w:t>
            </w:r>
          </w:p>
        </w:tc>
        <w:tc>
          <w:tcPr>
            <w:tcW w:w="1980" w:type="dxa"/>
          </w:tcPr>
          <w:p w:rsidR="00FF6DD8" w:rsidRDefault="00FF6DD8" w:rsidP="00DA6673">
            <w:pPr>
              <w:pStyle w:val="tabletext"/>
            </w:pPr>
            <w:r>
              <w:t>4.34</w:t>
            </w:r>
          </w:p>
        </w:tc>
      </w:tr>
      <w:tr w:rsidR="00FF6DD8" w:rsidRPr="00231CBA" w:rsidTr="00DA6673">
        <w:trPr>
          <w:tblHeader/>
        </w:trPr>
        <w:tc>
          <w:tcPr>
            <w:tcW w:w="5760" w:type="dxa"/>
          </w:tcPr>
          <w:p w:rsidR="00FF6DD8" w:rsidRDefault="00FF6DD8" w:rsidP="00DA6673">
            <w:pPr>
              <w:pStyle w:val="tabletext"/>
            </w:pPr>
            <w:r>
              <w:t>Item 3, section 60E(4) CC Act</w:t>
            </w:r>
          </w:p>
        </w:tc>
        <w:tc>
          <w:tcPr>
            <w:tcW w:w="1980" w:type="dxa"/>
          </w:tcPr>
          <w:p w:rsidR="00FF6DD8" w:rsidRDefault="00FF6DD8" w:rsidP="00DA6673">
            <w:pPr>
              <w:pStyle w:val="tabletext"/>
            </w:pPr>
            <w:r>
              <w:t>4.35</w:t>
            </w:r>
          </w:p>
        </w:tc>
      </w:tr>
      <w:tr w:rsidR="00FF6DD8" w:rsidRPr="00231CBA" w:rsidTr="00DA6673">
        <w:trPr>
          <w:tblHeader/>
        </w:trPr>
        <w:tc>
          <w:tcPr>
            <w:tcW w:w="5760" w:type="dxa"/>
          </w:tcPr>
          <w:p w:rsidR="00FF6DD8" w:rsidRDefault="00FF6DD8" w:rsidP="00DA6673">
            <w:pPr>
              <w:pStyle w:val="tabletext"/>
            </w:pPr>
            <w:r>
              <w:t>Item 3, section 60J(2), CC Act</w:t>
            </w:r>
          </w:p>
        </w:tc>
        <w:tc>
          <w:tcPr>
            <w:tcW w:w="1980" w:type="dxa"/>
          </w:tcPr>
          <w:p w:rsidR="00FF6DD8" w:rsidRDefault="00FF6DD8" w:rsidP="00DA6673">
            <w:pPr>
              <w:pStyle w:val="tabletext"/>
            </w:pPr>
            <w:r>
              <w:t>4.35</w:t>
            </w:r>
          </w:p>
        </w:tc>
      </w:tr>
      <w:tr w:rsidR="00FF6DD8" w:rsidRPr="00231CBA" w:rsidTr="00DA6673">
        <w:trPr>
          <w:tblHeader/>
        </w:trPr>
        <w:tc>
          <w:tcPr>
            <w:tcW w:w="5760" w:type="dxa"/>
          </w:tcPr>
          <w:p w:rsidR="00FF6DD8" w:rsidRDefault="00FF6DD8" w:rsidP="00DA6673">
            <w:pPr>
              <w:pStyle w:val="tabletext"/>
            </w:pPr>
            <w:r>
              <w:t>Item 3, section 60F, CC Act</w:t>
            </w:r>
          </w:p>
        </w:tc>
        <w:tc>
          <w:tcPr>
            <w:tcW w:w="1980" w:type="dxa"/>
          </w:tcPr>
          <w:p w:rsidR="00FF6DD8" w:rsidRDefault="00FF6DD8" w:rsidP="00DA6673">
            <w:pPr>
              <w:pStyle w:val="tabletext"/>
            </w:pPr>
            <w:r>
              <w:t>4.36</w:t>
            </w:r>
          </w:p>
        </w:tc>
      </w:tr>
      <w:tr w:rsidR="00FF6DD8" w:rsidRPr="00231CBA" w:rsidTr="00DA6673">
        <w:trPr>
          <w:tblHeader/>
        </w:trPr>
        <w:tc>
          <w:tcPr>
            <w:tcW w:w="5760" w:type="dxa"/>
          </w:tcPr>
          <w:p w:rsidR="00FF6DD8" w:rsidRDefault="00FF6DD8" w:rsidP="00DA6673">
            <w:pPr>
              <w:pStyle w:val="tabletext"/>
            </w:pPr>
            <w:r>
              <w:t>Item 3, section 60CA, CC Act</w:t>
            </w:r>
          </w:p>
        </w:tc>
        <w:tc>
          <w:tcPr>
            <w:tcW w:w="1980" w:type="dxa"/>
          </w:tcPr>
          <w:p w:rsidR="00FF6DD8" w:rsidRDefault="00FF6DD8" w:rsidP="00DA6673">
            <w:pPr>
              <w:pStyle w:val="tabletext"/>
            </w:pPr>
            <w:r>
              <w:t>4.38</w:t>
            </w:r>
          </w:p>
        </w:tc>
      </w:tr>
      <w:tr w:rsidR="00FF6DD8" w:rsidRPr="00231CBA" w:rsidTr="00DA6673">
        <w:trPr>
          <w:tblHeader/>
        </w:trPr>
        <w:tc>
          <w:tcPr>
            <w:tcW w:w="5760" w:type="dxa"/>
          </w:tcPr>
          <w:p w:rsidR="00FF6DD8" w:rsidRDefault="00FF6DD8" w:rsidP="00DA6673">
            <w:pPr>
              <w:pStyle w:val="tabletext"/>
            </w:pPr>
            <w:r>
              <w:t>Item 3, section 60CA(2), CC Act</w:t>
            </w:r>
          </w:p>
        </w:tc>
        <w:tc>
          <w:tcPr>
            <w:tcW w:w="1980" w:type="dxa"/>
          </w:tcPr>
          <w:p w:rsidR="00FF6DD8" w:rsidRDefault="00FF6DD8" w:rsidP="00DA6673">
            <w:pPr>
              <w:pStyle w:val="tabletext"/>
            </w:pPr>
            <w:r>
              <w:t>4.40</w:t>
            </w:r>
          </w:p>
        </w:tc>
      </w:tr>
      <w:tr w:rsidR="00FF6DD8" w:rsidRPr="00231CBA" w:rsidTr="00DA6673">
        <w:trPr>
          <w:tblHeader/>
        </w:trPr>
        <w:tc>
          <w:tcPr>
            <w:tcW w:w="5760" w:type="dxa"/>
          </w:tcPr>
          <w:p w:rsidR="00FF6DD8" w:rsidRDefault="00FF6DD8" w:rsidP="00DA6673">
            <w:pPr>
              <w:pStyle w:val="tabletext"/>
            </w:pPr>
            <w:r>
              <w:t>Item 3, section 60CA(3), CC Act</w:t>
            </w:r>
          </w:p>
        </w:tc>
        <w:tc>
          <w:tcPr>
            <w:tcW w:w="1980" w:type="dxa"/>
          </w:tcPr>
          <w:p w:rsidR="00FF6DD8" w:rsidRDefault="00FF6DD8" w:rsidP="00DA6673">
            <w:pPr>
              <w:pStyle w:val="tabletext"/>
            </w:pPr>
            <w:r>
              <w:t>4.40</w:t>
            </w:r>
          </w:p>
        </w:tc>
      </w:tr>
      <w:tr w:rsidR="00FF6DD8" w:rsidRPr="00231CBA" w:rsidTr="00DA6673">
        <w:trPr>
          <w:tblHeader/>
        </w:trPr>
        <w:tc>
          <w:tcPr>
            <w:tcW w:w="5760" w:type="dxa"/>
          </w:tcPr>
          <w:p w:rsidR="00FF6DD8" w:rsidRDefault="00FF6DD8" w:rsidP="00DA6673">
            <w:pPr>
              <w:pStyle w:val="tabletext"/>
            </w:pPr>
            <w:r>
              <w:t>Item 3, section 60CA(4), CC Act</w:t>
            </w:r>
          </w:p>
        </w:tc>
        <w:tc>
          <w:tcPr>
            <w:tcW w:w="1980" w:type="dxa"/>
          </w:tcPr>
          <w:p w:rsidR="00FF6DD8" w:rsidRDefault="00FF6DD8" w:rsidP="00DA6673">
            <w:pPr>
              <w:pStyle w:val="tabletext"/>
            </w:pPr>
            <w:r>
              <w:t>4.40</w:t>
            </w:r>
          </w:p>
        </w:tc>
      </w:tr>
      <w:tr w:rsidR="00FF6DD8" w:rsidRPr="00231CBA" w:rsidTr="00DA6673">
        <w:trPr>
          <w:tblHeader/>
        </w:trPr>
        <w:tc>
          <w:tcPr>
            <w:tcW w:w="5760" w:type="dxa"/>
          </w:tcPr>
          <w:p w:rsidR="00FF6DD8" w:rsidRDefault="00FF6DD8" w:rsidP="00DA6673">
            <w:pPr>
              <w:pStyle w:val="tabletext"/>
            </w:pPr>
            <w:r>
              <w:t>Item 3, section 60CA(5), CC Act</w:t>
            </w:r>
          </w:p>
        </w:tc>
        <w:tc>
          <w:tcPr>
            <w:tcW w:w="1980" w:type="dxa"/>
          </w:tcPr>
          <w:p w:rsidR="00FF6DD8" w:rsidRDefault="00FF6DD8" w:rsidP="00DA6673">
            <w:pPr>
              <w:pStyle w:val="tabletext"/>
            </w:pPr>
            <w:r>
              <w:t>4.41</w:t>
            </w:r>
          </w:p>
        </w:tc>
      </w:tr>
      <w:tr w:rsidR="00FF6DD8" w:rsidRPr="00231CBA" w:rsidTr="00DA6673">
        <w:trPr>
          <w:tblHeader/>
        </w:trPr>
        <w:tc>
          <w:tcPr>
            <w:tcW w:w="5760" w:type="dxa"/>
          </w:tcPr>
          <w:p w:rsidR="00FF6DD8" w:rsidRDefault="00FF6DD8" w:rsidP="00DA6673">
            <w:pPr>
              <w:pStyle w:val="tabletext"/>
            </w:pPr>
            <w:r>
              <w:t>Item 3, Division 2A, CC Act</w:t>
            </w:r>
          </w:p>
        </w:tc>
        <w:tc>
          <w:tcPr>
            <w:tcW w:w="1980" w:type="dxa"/>
          </w:tcPr>
          <w:p w:rsidR="00FF6DD8" w:rsidRDefault="00FF6DD8" w:rsidP="00DA6673">
            <w:pPr>
              <w:pStyle w:val="tabletext"/>
            </w:pPr>
            <w:r>
              <w:t>4.43</w:t>
            </w:r>
          </w:p>
        </w:tc>
      </w:tr>
      <w:tr w:rsidR="00FF6DD8" w:rsidRPr="00231CBA" w:rsidTr="00DA6673">
        <w:trPr>
          <w:tblHeader/>
        </w:trPr>
        <w:tc>
          <w:tcPr>
            <w:tcW w:w="5760" w:type="dxa"/>
          </w:tcPr>
          <w:p w:rsidR="00FF6DD8" w:rsidRDefault="00FF6DD8" w:rsidP="00DA6673">
            <w:pPr>
              <w:pStyle w:val="tabletext"/>
            </w:pPr>
            <w:r>
              <w:t>Item 3, section 60FA, CC Act</w:t>
            </w:r>
          </w:p>
        </w:tc>
        <w:tc>
          <w:tcPr>
            <w:tcW w:w="1980" w:type="dxa"/>
          </w:tcPr>
          <w:p w:rsidR="00FF6DD8" w:rsidRDefault="00FF6DD8" w:rsidP="00DA6673">
            <w:pPr>
              <w:pStyle w:val="tabletext"/>
            </w:pPr>
            <w:r>
              <w:t>4.45</w:t>
            </w:r>
          </w:p>
        </w:tc>
      </w:tr>
      <w:tr w:rsidR="00FF6DD8" w:rsidRPr="00231CBA" w:rsidTr="00DA6673">
        <w:trPr>
          <w:tblHeader/>
        </w:trPr>
        <w:tc>
          <w:tcPr>
            <w:tcW w:w="5760" w:type="dxa"/>
          </w:tcPr>
          <w:p w:rsidR="00FF6DD8" w:rsidRDefault="00FF6DD8" w:rsidP="00DA6673">
            <w:pPr>
              <w:pStyle w:val="tabletext"/>
            </w:pPr>
            <w:r>
              <w:t>Item 3, section 60A, CC Act</w:t>
            </w:r>
          </w:p>
        </w:tc>
        <w:tc>
          <w:tcPr>
            <w:tcW w:w="1980" w:type="dxa"/>
          </w:tcPr>
          <w:p w:rsidR="00FF6DD8" w:rsidRDefault="00FF6DD8" w:rsidP="00DA6673">
            <w:pPr>
              <w:pStyle w:val="tabletext"/>
            </w:pPr>
            <w:r>
              <w:t>4.46, 4.48, 4.49</w:t>
            </w:r>
          </w:p>
        </w:tc>
      </w:tr>
      <w:tr w:rsidR="00FF6DD8" w:rsidRPr="00231CBA" w:rsidTr="00DA6673">
        <w:trPr>
          <w:tblHeader/>
        </w:trPr>
        <w:tc>
          <w:tcPr>
            <w:tcW w:w="5760" w:type="dxa"/>
          </w:tcPr>
          <w:p w:rsidR="00FF6DD8" w:rsidRDefault="00FF6DD8" w:rsidP="00DA6673">
            <w:pPr>
              <w:pStyle w:val="tabletext"/>
            </w:pPr>
            <w:r>
              <w:t>Item 3, section 60FA(1)and 60FA(2), CC Act</w:t>
            </w:r>
          </w:p>
        </w:tc>
        <w:tc>
          <w:tcPr>
            <w:tcW w:w="1980" w:type="dxa"/>
          </w:tcPr>
          <w:p w:rsidR="00FF6DD8" w:rsidRDefault="00FF6DD8" w:rsidP="00DA6673">
            <w:pPr>
              <w:pStyle w:val="tabletext"/>
            </w:pPr>
            <w:r>
              <w:t>4.49</w:t>
            </w:r>
          </w:p>
        </w:tc>
      </w:tr>
      <w:tr w:rsidR="00FF6DD8" w:rsidRPr="00231CBA" w:rsidTr="00DA6673">
        <w:trPr>
          <w:tblHeader/>
        </w:trPr>
        <w:tc>
          <w:tcPr>
            <w:tcW w:w="5760" w:type="dxa"/>
          </w:tcPr>
          <w:p w:rsidR="00FF6DD8" w:rsidRDefault="00FF6DD8" w:rsidP="00DA6673">
            <w:pPr>
              <w:pStyle w:val="tabletext"/>
            </w:pPr>
            <w:r>
              <w:t>Item 3, section 60FA(2), CC Act</w:t>
            </w:r>
          </w:p>
        </w:tc>
        <w:tc>
          <w:tcPr>
            <w:tcW w:w="1980" w:type="dxa"/>
          </w:tcPr>
          <w:p w:rsidR="00FF6DD8" w:rsidRDefault="00FF6DD8" w:rsidP="00DA6673">
            <w:pPr>
              <w:pStyle w:val="tabletext"/>
            </w:pPr>
            <w:r>
              <w:t>4.51, 4.54, 4.57, 4.61, 4.62, 4.63</w:t>
            </w:r>
          </w:p>
        </w:tc>
      </w:tr>
      <w:tr w:rsidR="00FF6DD8" w:rsidRPr="00231CBA" w:rsidTr="00DA6673">
        <w:trPr>
          <w:tblHeader/>
        </w:trPr>
        <w:tc>
          <w:tcPr>
            <w:tcW w:w="5760" w:type="dxa"/>
          </w:tcPr>
          <w:p w:rsidR="00FF6DD8" w:rsidRDefault="00FF6DD8" w:rsidP="00DA6673">
            <w:pPr>
              <w:pStyle w:val="tabletext"/>
            </w:pPr>
            <w:r>
              <w:t>Item 3, sections 60FA(2), 60FA(4)</w:t>
            </w:r>
          </w:p>
        </w:tc>
        <w:tc>
          <w:tcPr>
            <w:tcW w:w="1980" w:type="dxa"/>
          </w:tcPr>
          <w:p w:rsidR="00FF6DD8" w:rsidRDefault="00FF6DD8" w:rsidP="00DA6673">
            <w:pPr>
              <w:pStyle w:val="tabletext"/>
            </w:pPr>
            <w:r>
              <w:t>4.55</w:t>
            </w:r>
          </w:p>
        </w:tc>
      </w:tr>
      <w:tr w:rsidR="00FF6DD8" w:rsidRPr="00231CBA" w:rsidTr="00DA6673">
        <w:trPr>
          <w:tblHeader/>
        </w:trPr>
        <w:tc>
          <w:tcPr>
            <w:tcW w:w="5760" w:type="dxa"/>
          </w:tcPr>
          <w:p w:rsidR="00FF6DD8" w:rsidRDefault="00FF6DD8" w:rsidP="00DA6673">
            <w:pPr>
              <w:pStyle w:val="tabletext"/>
            </w:pPr>
            <w:r>
              <w:t>Item 3, section 60FB, CC Act</w:t>
            </w:r>
          </w:p>
        </w:tc>
        <w:tc>
          <w:tcPr>
            <w:tcW w:w="1980" w:type="dxa"/>
          </w:tcPr>
          <w:p w:rsidR="00FF6DD8" w:rsidRDefault="00FF6DD8" w:rsidP="00DA6673">
            <w:pPr>
              <w:pStyle w:val="tabletext"/>
            </w:pPr>
            <w:r>
              <w:t>4.55</w:t>
            </w:r>
          </w:p>
        </w:tc>
      </w:tr>
      <w:tr w:rsidR="00FF6DD8" w:rsidRPr="00231CBA" w:rsidTr="00DA6673">
        <w:trPr>
          <w:tblHeader/>
        </w:trPr>
        <w:tc>
          <w:tcPr>
            <w:tcW w:w="5760" w:type="dxa"/>
          </w:tcPr>
          <w:p w:rsidR="00FF6DD8" w:rsidRDefault="00FF6DD8" w:rsidP="00DA6673">
            <w:pPr>
              <w:pStyle w:val="tabletext"/>
            </w:pPr>
            <w:r>
              <w:t>Item 3, sections 60FB(1), 60FB(2) [Schedule 2, item 3, section 60FC(2), CC Act</w:t>
            </w:r>
          </w:p>
        </w:tc>
        <w:tc>
          <w:tcPr>
            <w:tcW w:w="1980" w:type="dxa"/>
          </w:tcPr>
          <w:p w:rsidR="00FF6DD8" w:rsidRDefault="00FF6DD8" w:rsidP="00DA6673">
            <w:pPr>
              <w:pStyle w:val="tabletext"/>
            </w:pPr>
            <w:r>
              <w:t>4.56</w:t>
            </w:r>
          </w:p>
        </w:tc>
      </w:tr>
      <w:tr w:rsidR="00FF6DD8" w:rsidRPr="00231CBA" w:rsidTr="00DA6673">
        <w:trPr>
          <w:tblHeader/>
        </w:trPr>
        <w:tc>
          <w:tcPr>
            <w:tcW w:w="5760" w:type="dxa"/>
          </w:tcPr>
          <w:p w:rsidR="00FF6DD8" w:rsidRDefault="00FF6DD8" w:rsidP="00DA6673">
            <w:pPr>
              <w:pStyle w:val="tabletext"/>
            </w:pPr>
            <w:r>
              <w:t>Item 3, section 60FC(1), CC Act</w:t>
            </w:r>
          </w:p>
        </w:tc>
        <w:tc>
          <w:tcPr>
            <w:tcW w:w="1980" w:type="dxa"/>
          </w:tcPr>
          <w:p w:rsidR="00FF6DD8" w:rsidRDefault="00FF6DD8" w:rsidP="00DA6673">
            <w:pPr>
              <w:pStyle w:val="tabletext"/>
            </w:pPr>
            <w:r>
              <w:t>4.58</w:t>
            </w:r>
          </w:p>
        </w:tc>
      </w:tr>
      <w:tr w:rsidR="00FF6DD8" w:rsidRPr="00231CBA" w:rsidTr="00DA6673">
        <w:trPr>
          <w:tblHeader/>
        </w:trPr>
        <w:tc>
          <w:tcPr>
            <w:tcW w:w="5760" w:type="dxa"/>
          </w:tcPr>
          <w:p w:rsidR="00FF6DD8" w:rsidRDefault="00FF6DD8" w:rsidP="00DA6673">
            <w:pPr>
              <w:pStyle w:val="tabletext"/>
            </w:pPr>
            <w:r>
              <w:t>Item 3, section 60FA(2)</w:t>
            </w:r>
          </w:p>
        </w:tc>
        <w:tc>
          <w:tcPr>
            <w:tcW w:w="1980" w:type="dxa"/>
          </w:tcPr>
          <w:p w:rsidR="00FF6DD8" w:rsidRDefault="00FF6DD8" w:rsidP="00DA6673">
            <w:pPr>
              <w:pStyle w:val="tabletext"/>
            </w:pPr>
            <w:r>
              <w:t>4.59</w:t>
            </w:r>
          </w:p>
        </w:tc>
      </w:tr>
      <w:tr w:rsidR="00FF6DD8" w:rsidRPr="00231CBA" w:rsidTr="00DA6673">
        <w:trPr>
          <w:tblHeader/>
        </w:trPr>
        <w:tc>
          <w:tcPr>
            <w:tcW w:w="5760" w:type="dxa"/>
          </w:tcPr>
          <w:p w:rsidR="00FF6DD8" w:rsidRDefault="00FF6DD8" w:rsidP="00DA6673">
            <w:pPr>
              <w:pStyle w:val="tabletext"/>
            </w:pPr>
            <w:r>
              <w:t>Item 3, section 60FC(2), CC Act</w:t>
            </w:r>
          </w:p>
        </w:tc>
        <w:tc>
          <w:tcPr>
            <w:tcW w:w="1980" w:type="dxa"/>
          </w:tcPr>
          <w:p w:rsidR="00FF6DD8" w:rsidRDefault="00FF6DD8" w:rsidP="00DA6673">
            <w:pPr>
              <w:pStyle w:val="tabletext"/>
            </w:pPr>
            <w:r>
              <w:t>4.59</w:t>
            </w:r>
          </w:p>
        </w:tc>
      </w:tr>
      <w:tr w:rsidR="00FF6DD8" w:rsidRPr="00231CBA" w:rsidTr="00DA6673">
        <w:trPr>
          <w:tblHeader/>
        </w:trPr>
        <w:tc>
          <w:tcPr>
            <w:tcW w:w="5760" w:type="dxa"/>
          </w:tcPr>
          <w:p w:rsidR="00FF6DD8" w:rsidRDefault="00FF6DD8" w:rsidP="00DA6673">
            <w:pPr>
              <w:pStyle w:val="tabletext"/>
            </w:pPr>
            <w:r>
              <w:t>Item 3, sections  60FC(3), 60FC(4), CC Act</w:t>
            </w:r>
          </w:p>
        </w:tc>
        <w:tc>
          <w:tcPr>
            <w:tcW w:w="1980" w:type="dxa"/>
          </w:tcPr>
          <w:p w:rsidR="00FF6DD8" w:rsidRDefault="00FF6DD8" w:rsidP="00DA6673">
            <w:pPr>
              <w:pStyle w:val="tabletext"/>
            </w:pPr>
            <w:r>
              <w:t>4.61</w:t>
            </w:r>
          </w:p>
        </w:tc>
      </w:tr>
      <w:tr w:rsidR="00FF6DD8" w:rsidRPr="00231CBA" w:rsidTr="00DA6673">
        <w:trPr>
          <w:tblHeader/>
        </w:trPr>
        <w:tc>
          <w:tcPr>
            <w:tcW w:w="5760" w:type="dxa"/>
          </w:tcPr>
          <w:p w:rsidR="00FF6DD8" w:rsidRDefault="00FF6DD8" w:rsidP="00DA6673">
            <w:pPr>
              <w:pStyle w:val="tabletext"/>
            </w:pPr>
            <w:r>
              <w:t>Item 3, section 60FC(3), CC Act</w:t>
            </w:r>
          </w:p>
        </w:tc>
        <w:tc>
          <w:tcPr>
            <w:tcW w:w="1980" w:type="dxa"/>
          </w:tcPr>
          <w:p w:rsidR="00FF6DD8" w:rsidRDefault="00FF6DD8" w:rsidP="00DA6673">
            <w:pPr>
              <w:pStyle w:val="tabletext"/>
            </w:pPr>
            <w:r>
              <w:t>4.62</w:t>
            </w:r>
          </w:p>
        </w:tc>
      </w:tr>
      <w:tr w:rsidR="00FF6DD8" w:rsidRPr="00231CBA" w:rsidTr="00DA6673">
        <w:trPr>
          <w:tblHeader/>
        </w:trPr>
        <w:tc>
          <w:tcPr>
            <w:tcW w:w="5760" w:type="dxa"/>
          </w:tcPr>
          <w:p w:rsidR="00FF6DD8" w:rsidRDefault="00FF6DD8" w:rsidP="00DA6673">
            <w:pPr>
              <w:pStyle w:val="tabletext"/>
            </w:pPr>
            <w:r>
              <w:t>Item 3, section 60FC(5), CC Act</w:t>
            </w:r>
          </w:p>
        </w:tc>
        <w:tc>
          <w:tcPr>
            <w:tcW w:w="1980" w:type="dxa"/>
          </w:tcPr>
          <w:p w:rsidR="00FF6DD8" w:rsidRDefault="00FF6DD8" w:rsidP="00DA6673">
            <w:pPr>
              <w:pStyle w:val="tabletext"/>
            </w:pPr>
            <w:r>
              <w:t>4.63</w:t>
            </w:r>
          </w:p>
        </w:tc>
      </w:tr>
      <w:tr w:rsidR="00FF6DD8" w:rsidRPr="00231CBA" w:rsidTr="00DA6673">
        <w:trPr>
          <w:tblHeader/>
        </w:trPr>
        <w:tc>
          <w:tcPr>
            <w:tcW w:w="5760" w:type="dxa"/>
          </w:tcPr>
          <w:p w:rsidR="00FF6DD8" w:rsidRDefault="00FF6DD8" w:rsidP="00DA6673">
            <w:pPr>
              <w:pStyle w:val="tabletext"/>
            </w:pPr>
            <w:r>
              <w:t>Item 3, sections 60FA(2) CC Act</w:t>
            </w:r>
          </w:p>
        </w:tc>
        <w:tc>
          <w:tcPr>
            <w:tcW w:w="1980" w:type="dxa"/>
          </w:tcPr>
          <w:p w:rsidR="00FF6DD8" w:rsidRDefault="00FF6DD8" w:rsidP="00DA6673">
            <w:pPr>
              <w:pStyle w:val="tabletext"/>
            </w:pPr>
            <w:r>
              <w:t>4.64</w:t>
            </w:r>
          </w:p>
        </w:tc>
      </w:tr>
      <w:tr w:rsidR="00FF6DD8" w:rsidRPr="00231CBA" w:rsidTr="00DA6673">
        <w:trPr>
          <w:tblHeader/>
        </w:trPr>
        <w:tc>
          <w:tcPr>
            <w:tcW w:w="5760" w:type="dxa"/>
          </w:tcPr>
          <w:p w:rsidR="00FF6DD8" w:rsidRDefault="00FF6DD8" w:rsidP="00DA6673">
            <w:pPr>
              <w:pStyle w:val="tabletext"/>
            </w:pPr>
            <w:r>
              <w:t>Item 3, section 60FC(6), CC Act</w:t>
            </w:r>
          </w:p>
        </w:tc>
        <w:tc>
          <w:tcPr>
            <w:tcW w:w="1980" w:type="dxa"/>
          </w:tcPr>
          <w:p w:rsidR="00FF6DD8" w:rsidRDefault="00FF6DD8" w:rsidP="00DA6673">
            <w:pPr>
              <w:pStyle w:val="tabletext"/>
            </w:pPr>
            <w:r>
              <w:t>4.64</w:t>
            </w:r>
          </w:p>
        </w:tc>
      </w:tr>
      <w:tr w:rsidR="00FF6DD8" w:rsidRPr="00231CBA" w:rsidTr="00DA6673">
        <w:trPr>
          <w:tblHeader/>
        </w:trPr>
        <w:tc>
          <w:tcPr>
            <w:tcW w:w="5760" w:type="dxa"/>
          </w:tcPr>
          <w:p w:rsidR="00FF6DD8" w:rsidRDefault="00FF6DD8" w:rsidP="00DA6673">
            <w:pPr>
              <w:pStyle w:val="tabletext"/>
            </w:pPr>
            <w:r>
              <w:t>Item 3, sections 60FA(2) and 60FA(5), CC Act</w:t>
            </w:r>
          </w:p>
        </w:tc>
        <w:tc>
          <w:tcPr>
            <w:tcW w:w="1980" w:type="dxa"/>
          </w:tcPr>
          <w:p w:rsidR="00FF6DD8" w:rsidRDefault="00FF6DD8" w:rsidP="00DA6673">
            <w:pPr>
              <w:pStyle w:val="tabletext"/>
            </w:pPr>
            <w:r>
              <w:t>4.66</w:t>
            </w:r>
          </w:p>
        </w:tc>
      </w:tr>
      <w:tr w:rsidR="00FF6DD8" w:rsidRPr="00231CBA" w:rsidTr="00DA6673">
        <w:trPr>
          <w:tblHeader/>
        </w:trPr>
        <w:tc>
          <w:tcPr>
            <w:tcW w:w="5760" w:type="dxa"/>
          </w:tcPr>
          <w:p w:rsidR="00FF6DD8" w:rsidRDefault="00FF6DD8" w:rsidP="00DA6673">
            <w:pPr>
              <w:pStyle w:val="tabletext"/>
            </w:pPr>
            <w:r>
              <w:t>Item 3, section 60FD(1), CC Act</w:t>
            </w:r>
          </w:p>
        </w:tc>
        <w:tc>
          <w:tcPr>
            <w:tcW w:w="1980" w:type="dxa"/>
          </w:tcPr>
          <w:p w:rsidR="00FF6DD8" w:rsidRDefault="00FF6DD8" w:rsidP="00DA6673">
            <w:pPr>
              <w:pStyle w:val="tabletext"/>
            </w:pPr>
            <w:r>
              <w:t>4.67</w:t>
            </w:r>
          </w:p>
        </w:tc>
      </w:tr>
      <w:tr w:rsidR="00FF6DD8" w:rsidRPr="00231CBA" w:rsidTr="00DA6673">
        <w:trPr>
          <w:tblHeader/>
        </w:trPr>
        <w:tc>
          <w:tcPr>
            <w:tcW w:w="5760" w:type="dxa"/>
          </w:tcPr>
          <w:p w:rsidR="00FF6DD8" w:rsidRDefault="00FF6DD8" w:rsidP="00DA6673">
            <w:pPr>
              <w:pStyle w:val="tabletext"/>
            </w:pPr>
            <w:r>
              <w:t>Item 3, section 60FD(2), CC Act</w:t>
            </w:r>
          </w:p>
        </w:tc>
        <w:tc>
          <w:tcPr>
            <w:tcW w:w="1980" w:type="dxa"/>
          </w:tcPr>
          <w:p w:rsidR="00FF6DD8" w:rsidRDefault="00FF6DD8" w:rsidP="00DA6673">
            <w:pPr>
              <w:pStyle w:val="tabletext"/>
            </w:pPr>
            <w:r>
              <w:t>4.69, 4.70</w:t>
            </w:r>
          </w:p>
        </w:tc>
      </w:tr>
      <w:tr w:rsidR="00FF6DD8" w:rsidRPr="00231CBA" w:rsidTr="00DA6673">
        <w:trPr>
          <w:tblHeader/>
        </w:trPr>
        <w:tc>
          <w:tcPr>
            <w:tcW w:w="5760" w:type="dxa"/>
          </w:tcPr>
          <w:p w:rsidR="00FF6DD8" w:rsidRDefault="00FF6DD8" w:rsidP="00DA6673">
            <w:pPr>
              <w:pStyle w:val="tabletext"/>
            </w:pPr>
            <w:r>
              <w:t>Item 3, section 60FD(4), CC Act</w:t>
            </w:r>
          </w:p>
        </w:tc>
        <w:tc>
          <w:tcPr>
            <w:tcW w:w="1980" w:type="dxa"/>
          </w:tcPr>
          <w:p w:rsidR="00FF6DD8" w:rsidRDefault="00FF6DD8" w:rsidP="00DA6673">
            <w:pPr>
              <w:pStyle w:val="tabletext"/>
            </w:pPr>
            <w:r>
              <w:t>4.71</w:t>
            </w:r>
          </w:p>
        </w:tc>
      </w:tr>
      <w:tr w:rsidR="00FF6DD8" w:rsidRPr="00231CBA" w:rsidTr="00DA6673">
        <w:trPr>
          <w:tblHeader/>
        </w:trPr>
        <w:tc>
          <w:tcPr>
            <w:tcW w:w="5760" w:type="dxa"/>
          </w:tcPr>
          <w:p w:rsidR="00FF6DD8" w:rsidRDefault="00FF6DD8" w:rsidP="00DA6673">
            <w:pPr>
              <w:pStyle w:val="tabletext"/>
            </w:pPr>
            <w:r>
              <w:t>Item 3, sections 60FD(5), 60FD(6), CC Act</w:t>
            </w:r>
          </w:p>
        </w:tc>
        <w:tc>
          <w:tcPr>
            <w:tcW w:w="1980" w:type="dxa"/>
          </w:tcPr>
          <w:p w:rsidR="00FF6DD8" w:rsidRDefault="00FF6DD8" w:rsidP="00DA6673">
            <w:pPr>
              <w:pStyle w:val="tabletext"/>
            </w:pPr>
            <w:r>
              <w:t>4.72</w:t>
            </w:r>
          </w:p>
        </w:tc>
      </w:tr>
      <w:tr w:rsidR="00FF6DD8" w:rsidRPr="00231CBA" w:rsidTr="00DA6673">
        <w:trPr>
          <w:tblHeader/>
        </w:trPr>
        <w:tc>
          <w:tcPr>
            <w:tcW w:w="5760" w:type="dxa"/>
          </w:tcPr>
          <w:p w:rsidR="00FF6DD8" w:rsidRDefault="00FF6DD8" w:rsidP="00DA6673">
            <w:pPr>
              <w:pStyle w:val="tabletext"/>
            </w:pPr>
            <w:r>
              <w:t>Item 3, section 60FD(5), CC Act</w:t>
            </w:r>
          </w:p>
        </w:tc>
        <w:tc>
          <w:tcPr>
            <w:tcW w:w="1980" w:type="dxa"/>
          </w:tcPr>
          <w:p w:rsidR="00FF6DD8" w:rsidRDefault="00FF6DD8" w:rsidP="00DA6673">
            <w:pPr>
              <w:pStyle w:val="tabletext"/>
            </w:pPr>
            <w:r>
              <w:t>4.73</w:t>
            </w:r>
          </w:p>
        </w:tc>
      </w:tr>
      <w:tr w:rsidR="00FF6DD8" w:rsidRPr="00231CBA" w:rsidTr="00DA6673">
        <w:trPr>
          <w:tblHeader/>
        </w:trPr>
        <w:tc>
          <w:tcPr>
            <w:tcW w:w="5760" w:type="dxa"/>
          </w:tcPr>
          <w:p w:rsidR="00FF6DD8" w:rsidRDefault="00FF6DD8" w:rsidP="00DA6673">
            <w:pPr>
              <w:pStyle w:val="tabletext"/>
            </w:pPr>
            <w:r>
              <w:t>Item 3, sections 60FC(5) and 60FC(7), CC Act</w:t>
            </w:r>
          </w:p>
        </w:tc>
        <w:tc>
          <w:tcPr>
            <w:tcW w:w="1980" w:type="dxa"/>
          </w:tcPr>
          <w:p w:rsidR="00FF6DD8" w:rsidRDefault="00FF6DD8" w:rsidP="00DA6673">
            <w:pPr>
              <w:pStyle w:val="tabletext"/>
            </w:pPr>
            <w:r>
              <w:t>4.74</w:t>
            </w:r>
          </w:p>
        </w:tc>
      </w:tr>
      <w:tr w:rsidR="00FF6DD8" w:rsidRPr="00231CBA" w:rsidTr="00DA6673">
        <w:trPr>
          <w:tblHeader/>
        </w:trPr>
        <w:tc>
          <w:tcPr>
            <w:tcW w:w="5760" w:type="dxa"/>
          </w:tcPr>
          <w:p w:rsidR="00FF6DD8" w:rsidRDefault="00FF6DD8" w:rsidP="00DA6673">
            <w:pPr>
              <w:pStyle w:val="tabletext"/>
            </w:pPr>
            <w:r>
              <w:t>Item 3, section 60FD(8), CC Act</w:t>
            </w:r>
          </w:p>
        </w:tc>
        <w:tc>
          <w:tcPr>
            <w:tcW w:w="1980" w:type="dxa"/>
          </w:tcPr>
          <w:p w:rsidR="00FF6DD8" w:rsidRDefault="00FF6DD8" w:rsidP="00DA6673">
            <w:pPr>
              <w:pStyle w:val="tabletext"/>
            </w:pPr>
            <w:r>
              <w:t>4.75</w:t>
            </w:r>
          </w:p>
        </w:tc>
      </w:tr>
      <w:tr w:rsidR="00FF6DD8" w:rsidRPr="00231CBA" w:rsidTr="00DA6673">
        <w:trPr>
          <w:tblHeader/>
        </w:trPr>
        <w:tc>
          <w:tcPr>
            <w:tcW w:w="5760" w:type="dxa"/>
          </w:tcPr>
          <w:p w:rsidR="00FF6DD8" w:rsidRDefault="00FF6DD8" w:rsidP="00DA6673">
            <w:pPr>
              <w:pStyle w:val="tabletext"/>
            </w:pPr>
            <w:r>
              <w:t>Item 3, sections 60FD(9) and 60FD(10), CC Act</w:t>
            </w:r>
          </w:p>
        </w:tc>
        <w:tc>
          <w:tcPr>
            <w:tcW w:w="1980" w:type="dxa"/>
          </w:tcPr>
          <w:p w:rsidR="00FF6DD8" w:rsidRDefault="00FF6DD8" w:rsidP="00DA6673">
            <w:pPr>
              <w:pStyle w:val="tabletext"/>
            </w:pPr>
            <w:r>
              <w:t>4.76</w:t>
            </w:r>
          </w:p>
        </w:tc>
      </w:tr>
      <w:tr w:rsidR="00FF6DD8" w:rsidRPr="00231CBA" w:rsidTr="00DA6673">
        <w:trPr>
          <w:tblHeader/>
        </w:trPr>
        <w:tc>
          <w:tcPr>
            <w:tcW w:w="5760" w:type="dxa"/>
          </w:tcPr>
          <w:p w:rsidR="00FF6DD8" w:rsidRDefault="00FF6DD8" w:rsidP="00DA6673">
            <w:pPr>
              <w:pStyle w:val="tabletext"/>
            </w:pPr>
            <w:r>
              <w:t>Item 3, section 60FD(11), CC Act</w:t>
            </w:r>
          </w:p>
        </w:tc>
        <w:tc>
          <w:tcPr>
            <w:tcW w:w="1980" w:type="dxa"/>
          </w:tcPr>
          <w:p w:rsidR="00FF6DD8" w:rsidRDefault="00FF6DD8" w:rsidP="00DA6673">
            <w:pPr>
              <w:pStyle w:val="tabletext"/>
            </w:pPr>
            <w:r>
              <w:t>4.78</w:t>
            </w:r>
          </w:p>
        </w:tc>
      </w:tr>
      <w:tr w:rsidR="00FF6DD8" w:rsidRPr="00231CBA" w:rsidTr="00DA6673">
        <w:trPr>
          <w:tblHeader/>
        </w:trPr>
        <w:tc>
          <w:tcPr>
            <w:tcW w:w="5760" w:type="dxa"/>
          </w:tcPr>
          <w:p w:rsidR="00FF6DD8" w:rsidRDefault="00FF6DD8" w:rsidP="00DA6673">
            <w:pPr>
              <w:pStyle w:val="tabletext"/>
            </w:pPr>
            <w:r>
              <w:t>Item 3, Division 2C, CC Act</w:t>
            </w:r>
          </w:p>
        </w:tc>
        <w:tc>
          <w:tcPr>
            <w:tcW w:w="1980" w:type="dxa"/>
          </w:tcPr>
          <w:p w:rsidR="00FF6DD8" w:rsidRDefault="00FF6DD8" w:rsidP="00DA6673">
            <w:pPr>
              <w:pStyle w:val="tabletext"/>
            </w:pPr>
            <w:r>
              <w:t>4.79</w:t>
            </w:r>
          </w:p>
        </w:tc>
      </w:tr>
      <w:tr w:rsidR="00FF6DD8" w:rsidRPr="00231CBA" w:rsidTr="00DA6673">
        <w:trPr>
          <w:tblHeader/>
        </w:trPr>
        <w:tc>
          <w:tcPr>
            <w:tcW w:w="5760" w:type="dxa"/>
          </w:tcPr>
          <w:p w:rsidR="00FF6DD8" w:rsidRDefault="00FF6DD8" w:rsidP="00DA6673">
            <w:pPr>
              <w:pStyle w:val="tabletext"/>
            </w:pPr>
            <w:r>
              <w:t>Item 3, section 60FE(1), CC Act</w:t>
            </w:r>
          </w:p>
        </w:tc>
        <w:tc>
          <w:tcPr>
            <w:tcW w:w="1980" w:type="dxa"/>
          </w:tcPr>
          <w:p w:rsidR="00FF6DD8" w:rsidRDefault="00FF6DD8" w:rsidP="00DA6673">
            <w:pPr>
              <w:pStyle w:val="tabletext"/>
            </w:pPr>
            <w:r>
              <w:t>4.80</w:t>
            </w:r>
          </w:p>
        </w:tc>
      </w:tr>
      <w:tr w:rsidR="00FF6DD8" w:rsidRPr="00231CBA" w:rsidTr="00DA6673">
        <w:trPr>
          <w:tblHeader/>
        </w:trPr>
        <w:tc>
          <w:tcPr>
            <w:tcW w:w="5760" w:type="dxa"/>
          </w:tcPr>
          <w:p w:rsidR="00FF6DD8" w:rsidRDefault="00FF6DD8" w:rsidP="00DA6673">
            <w:pPr>
              <w:pStyle w:val="tabletext"/>
            </w:pPr>
            <w:r>
              <w:t>Item 3, section 60FE(2), CC Act</w:t>
            </w:r>
          </w:p>
        </w:tc>
        <w:tc>
          <w:tcPr>
            <w:tcW w:w="1980" w:type="dxa"/>
          </w:tcPr>
          <w:p w:rsidR="00FF6DD8" w:rsidRDefault="00FF6DD8" w:rsidP="00DA6673">
            <w:pPr>
              <w:pStyle w:val="tabletext"/>
            </w:pPr>
            <w:r>
              <w:t>4.81</w:t>
            </w:r>
          </w:p>
        </w:tc>
      </w:tr>
      <w:tr w:rsidR="00FF6DD8" w:rsidRPr="00231CBA" w:rsidTr="00DA6673">
        <w:trPr>
          <w:tblHeader/>
        </w:trPr>
        <w:tc>
          <w:tcPr>
            <w:tcW w:w="5760" w:type="dxa"/>
          </w:tcPr>
          <w:p w:rsidR="00FF6DD8" w:rsidRDefault="00FF6DD8" w:rsidP="00DA6673">
            <w:pPr>
              <w:pStyle w:val="tabletext"/>
            </w:pPr>
            <w:r>
              <w:t>Item 3, section 60FE(3), CC Act</w:t>
            </w:r>
          </w:p>
        </w:tc>
        <w:tc>
          <w:tcPr>
            <w:tcW w:w="1980" w:type="dxa"/>
          </w:tcPr>
          <w:p w:rsidR="00FF6DD8" w:rsidRDefault="00FF6DD8" w:rsidP="00DA6673">
            <w:pPr>
              <w:pStyle w:val="tabletext"/>
            </w:pPr>
            <w:r>
              <w:t>4.83</w:t>
            </w:r>
          </w:p>
        </w:tc>
      </w:tr>
      <w:tr w:rsidR="00FF6DD8" w:rsidRPr="00231CBA" w:rsidTr="00DA6673">
        <w:trPr>
          <w:tblHeader/>
        </w:trPr>
        <w:tc>
          <w:tcPr>
            <w:tcW w:w="5760" w:type="dxa"/>
          </w:tcPr>
          <w:p w:rsidR="00FF6DD8" w:rsidRDefault="00FF6DD8" w:rsidP="00DA6673">
            <w:pPr>
              <w:pStyle w:val="tabletext"/>
            </w:pPr>
            <w:r>
              <w:t>Item 3, sections 60FE(4), 60FE(5), CC Act</w:t>
            </w:r>
          </w:p>
        </w:tc>
        <w:tc>
          <w:tcPr>
            <w:tcW w:w="1980" w:type="dxa"/>
          </w:tcPr>
          <w:p w:rsidR="00FF6DD8" w:rsidRDefault="00FF6DD8" w:rsidP="00DA6673">
            <w:pPr>
              <w:pStyle w:val="tabletext"/>
            </w:pPr>
            <w:r>
              <w:t>4.85</w:t>
            </w:r>
          </w:p>
        </w:tc>
      </w:tr>
      <w:tr w:rsidR="00FF6DD8" w:rsidRPr="00231CBA" w:rsidTr="00DA6673">
        <w:trPr>
          <w:tblHeader/>
        </w:trPr>
        <w:tc>
          <w:tcPr>
            <w:tcW w:w="5760" w:type="dxa"/>
          </w:tcPr>
          <w:p w:rsidR="00FF6DD8" w:rsidRDefault="00FF6DD8" w:rsidP="00DA6673">
            <w:pPr>
              <w:pStyle w:val="tabletext"/>
            </w:pPr>
            <w:r>
              <w:t>Item 3, section 60FE(4), CC Act</w:t>
            </w:r>
          </w:p>
        </w:tc>
        <w:tc>
          <w:tcPr>
            <w:tcW w:w="1980" w:type="dxa"/>
          </w:tcPr>
          <w:p w:rsidR="00FF6DD8" w:rsidRDefault="00FF6DD8" w:rsidP="00DA6673">
            <w:pPr>
              <w:pStyle w:val="tabletext"/>
            </w:pPr>
            <w:r>
              <w:t>4.86</w:t>
            </w:r>
          </w:p>
        </w:tc>
      </w:tr>
      <w:tr w:rsidR="00FF6DD8" w:rsidRPr="00231CBA" w:rsidTr="00DA6673">
        <w:trPr>
          <w:tblHeader/>
        </w:trPr>
        <w:tc>
          <w:tcPr>
            <w:tcW w:w="5760" w:type="dxa"/>
          </w:tcPr>
          <w:p w:rsidR="00FF6DD8" w:rsidRDefault="00FF6DD8" w:rsidP="00DA6673">
            <w:pPr>
              <w:pStyle w:val="tabletext"/>
            </w:pPr>
            <w:r>
              <w:t>Item 3, sections 60FE(5), and 60FE(6), CC Act</w:t>
            </w:r>
          </w:p>
        </w:tc>
        <w:tc>
          <w:tcPr>
            <w:tcW w:w="1980" w:type="dxa"/>
          </w:tcPr>
          <w:p w:rsidR="00FF6DD8" w:rsidRDefault="00FF6DD8" w:rsidP="00DA6673">
            <w:pPr>
              <w:pStyle w:val="tabletext"/>
            </w:pPr>
            <w:r>
              <w:t>4.87</w:t>
            </w:r>
          </w:p>
        </w:tc>
      </w:tr>
      <w:tr w:rsidR="00FF6DD8" w:rsidRPr="00231CBA" w:rsidTr="00DA6673">
        <w:trPr>
          <w:tblHeader/>
        </w:trPr>
        <w:tc>
          <w:tcPr>
            <w:tcW w:w="5760" w:type="dxa"/>
          </w:tcPr>
          <w:p w:rsidR="00FF6DD8" w:rsidRDefault="00FF6DD8" w:rsidP="00DA6673">
            <w:pPr>
              <w:pStyle w:val="tabletext"/>
            </w:pPr>
            <w:r>
              <w:t>Item 3, section 60FE(8), CC Act</w:t>
            </w:r>
          </w:p>
        </w:tc>
        <w:tc>
          <w:tcPr>
            <w:tcW w:w="1980" w:type="dxa"/>
          </w:tcPr>
          <w:p w:rsidR="00FF6DD8" w:rsidRDefault="00FF6DD8" w:rsidP="00DA6673">
            <w:pPr>
              <w:pStyle w:val="tabletext"/>
            </w:pPr>
            <w:r>
              <w:t>4.88</w:t>
            </w:r>
          </w:p>
        </w:tc>
      </w:tr>
      <w:tr w:rsidR="00FF6DD8" w:rsidRPr="00231CBA" w:rsidTr="00DA6673">
        <w:trPr>
          <w:tblHeader/>
        </w:trPr>
        <w:tc>
          <w:tcPr>
            <w:tcW w:w="5760" w:type="dxa"/>
          </w:tcPr>
          <w:p w:rsidR="00FF6DD8" w:rsidRDefault="00FF6DD8" w:rsidP="00DA6673">
            <w:pPr>
              <w:pStyle w:val="tabletext"/>
            </w:pPr>
            <w:r>
              <w:t>Item 3, section 60G(1), 60G(3), 60G(6) and 60G (8), CC Act</w:t>
            </w:r>
          </w:p>
        </w:tc>
        <w:tc>
          <w:tcPr>
            <w:tcW w:w="1980" w:type="dxa"/>
          </w:tcPr>
          <w:p w:rsidR="00FF6DD8" w:rsidRDefault="00FF6DD8" w:rsidP="00DA6673">
            <w:pPr>
              <w:pStyle w:val="tabletext"/>
            </w:pPr>
            <w:r>
              <w:t>4.91</w:t>
            </w:r>
          </w:p>
        </w:tc>
      </w:tr>
      <w:tr w:rsidR="00FF6DD8" w:rsidRPr="00231CBA" w:rsidTr="00DA6673">
        <w:trPr>
          <w:tblHeader/>
        </w:trPr>
        <w:tc>
          <w:tcPr>
            <w:tcW w:w="5760" w:type="dxa"/>
          </w:tcPr>
          <w:p w:rsidR="00FF6DD8" w:rsidRDefault="00FF6DD8" w:rsidP="00DA6673">
            <w:pPr>
              <w:pStyle w:val="tabletext"/>
            </w:pPr>
            <w:r>
              <w:t>Item 3, section 60G(2), 60G (4), 60G (7), and 60G(9), CC Act</w:t>
            </w:r>
          </w:p>
        </w:tc>
        <w:tc>
          <w:tcPr>
            <w:tcW w:w="1980" w:type="dxa"/>
          </w:tcPr>
          <w:p w:rsidR="00FF6DD8" w:rsidRDefault="00FF6DD8" w:rsidP="00DA6673">
            <w:pPr>
              <w:pStyle w:val="tabletext"/>
            </w:pPr>
            <w:r>
              <w:t>4.92</w:t>
            </w:r>
          </w:p>
        </w:tc>
      </w:tr>
      <w:tr w:rsidR="00FF6DD8" w:rsidRPr="00231CBA" w:rsidTr="00DA6673">
        <w:trPr>
          <w:tblHeader/>
        </w:trPr>
        <w:tc>
          <w:tcPr>
            <w:tcW w:w="5760" w:type="dxa"/>
          </w:tcPr>
          <w:p w:rsidR="00FF6DD8" w:rsidRDefault="00FF6DD8" w:rsidP="00DA6673">
            <w:pPr>
              <w:pStyle w:val="tabletext"/>
            </w:pPr>
            <w:r>
              <w:t>Item 3, section 60G(5), CC Act</w:t>
            </w:r>
          </w:p>
        </w:tc>
        <w:tc>
          <w:tcPr>
            <w:tcW w:w="1980" w:type="dxa"/>
          </w:tcPr>
          <w:p w:rsidR="00FF6DD8" w:rsidRDefault="00FF6DD8" w:rsidP="00DA6673">
            <w:pPr>
              <w:pStyle w:val="tabletext"/>
            </w:pPr>
            <w:r>
              <w:t>4.93</w:t>
            </w:r>
          </w:p>
        </w:tc>
      </w:tr>
      <w:tr w:rsidR="00FF6DD8" w:rsidRPr="00231CBA" w:rsidTr="00DA6673">
        <w:trPr>
          <w:tblHeader/>
        </w:trPr>
        <w:tc>
          <w:tcPr>
            <w:tcW w:w="5760" w:type="dxa"/>
          </w:tcPr>
          <w:p w:rsidR="00FF6DD8" w:rsidRDefault="00FF6DD8" w:rsidP="00DA6673">
            <w:pPr>
              <w:pStyle w:val="tabletext"/>
            </w:pPr>
            <w:r>
              <w:t>Item 3, section 60G(11), CC Act</w:t>
            </w:r>
          </w:p>
        </w:tc>
        <w:tc>
          <w:tcPr>
            <w:tcW w:w="1980" w:type="dxa"/>
          </w:tcPr>
          <w:p w:rsidR="00FF6DD8" w:rsidRDefault="00FF6DD8" w:rsidP="00DA6673">
            <w:pPr>
              <w:pStyle w:val="tabletext"/>
            </w:pPr>
            <w:r>
              <w:t>4.94</w:t>
            </w:r>
          </w:p>
        </w:tc>
      </w:tr>
      <w:tr w:rsidR="00FF6DD8" w:rsidRPr="00231CBA" w:rsidTr="00DA6673">
        <w:trPr>
          <w:tblHeader/>
        </w:trPr>
        <w:tc>
          <w:tcPr>
            <w:tcW w:w="5760" w:type="dxa"/>
          </w:tcPr>
          <w:p w:rsidR="00FF6DD8" w:rsidRDefault="00FF6DD8" w:rsidP="00DA6673">
            <w:pPr>
              <w:pStyle w:val="tabletext"/>
            </w:pPr>
            <w:r>
              <w:t>Item 3, section 60G(11), CC Act</w:t>
            </w:r>
          </w:p>
        </w:tc>
        <w:tc>
          <w:tcPr>
            <w:tcW w:w="1980" w:type="dxa"/>
          </w:tcPr>
          <w:p w:rsidR="00FF6DD8" w:rsidRDefault="00FF6DD8" w:rsidP="00DA6673">
            <w:pPr>
              <w:pStyle w:val="tabletext"/>
            </w:pPr>
            <w:r>
              <w:t>4.95</w:t>
            </w:r>
          </w:p>
        </w:tc>
      </w:tr>
      <w:tr w:rsidR="00FF6DD8" w:rsidRPr="00231CBA" w:rsidTr="00DA6673">
        <w:trPr>
          <w:tblHeader/>
        </w:trPr>
        <w:tc>
          <w:tcPr>
            <w:tcW w:w="5760" w:type="dxa"/>
          </w:tcPr>
          <w:p w:rsidR="00FF6DD8" w:rsidRDefault="00FF6DD8" w:rsidP="00DA6673">
            <w:pPr>
              <w:pStyle w:val="tabletext"/>
            </w:pPr>
            <w:r>
              <w:t>Item 3, section 60G(12), CC Act</w:t>
            </w:r>
          </w:p>
        </w:tc>
        <w:tc>
          <w:tcPr>
            <w:tcW w:w="1980" w:type="dxa"/>
          </w:tcPr>
          <w:p w:rsidR="00FF6DD8" w:rsidRDefault="00FF6DD8" w:rsidP="00DA6673">
            <w:pPr>
              <w:pStyle w:val="tabletext"/>
            </w:pPr>
            <w:r>
              <w:t>4.96</w:t>
            </w:r>
          </w:p>
        </w:tc>
      </w:tr>
      <w:tr w:rsidR="00FF6DD8" w:rsidRPr="00231CBA" w:rsidTr="00DA6673">
        <w:trPr>
          <w:tblHeader/>
        </w:trPr>
        <w:tc>
          <w:tcPr>
            <w:tcW w:w="5760" w:type="dxa"/>
          </w:tcPr>
          <w:p w:rsidR="00FF6DD8" w:rsidRDefault="00FF6DD8" w:rsidP="00DA6673">
            <w:pPr>
              <w:pStyle w:val="tabletext"/>
            </w:pPr>
            <w:r>
              <w:t>Item 3, section 60G(1)-(4), 60G(6)-(9) and 60G (13), CC Act</w:t>
            </w:r>
          </w:p>
        </w:tc>
        <w:tc>
          <w:tcPr>
            <w:tcW w:w="1980" w:type="dxa"/>
          </w:tcPr>
          <w:p w:rsidR="00FF6DD8" w:rsidRDefault="00FF6DD8" w:rsidP="00DA6673">
            <w:pPr>
              <w:pStyle w:val="tabletext"/>
            </w:pPr>
            <w:r>
              <w:t>4.97</w:t>
            </w:r>
          </w:p>
        </w:tc>
      </w:tr>
      <w:tr w:rsidR="00FF6DD8" w:rsidRPr="00231CBA" w:rsidTr="00DA6673">
        <w:trPr>
          <w:tblHeader/>
        </w:trPr>
        <w:tc>
          <w:tcPr>
            <w:tcW w:w="5760" w:type="dxa"/>
          </w:tcPr>
          <w:p w:rsidR="00FF6DD8" w:rsidRDefault="00FF6DD8" w:rsidP="00DA6673">
            <w:pPr>
              <w:pStyle w:val="tabletext"/>
            </w:pPr>
            <w:r>
              <w:t>Item 3, section 60G (10), CC Act</w:t>
            </w:r>
          </w:p>
        </w:tc>
        <w:tc>
          <w:tcPr>
            <w:tcW w:w="1980" w:type="dxa"/>
          </w:tcPr>
          <w:p w:rsidR="00FF6DD8" w:rsidRDefault="00FF6DD8" w:rsidP="00DA6673">
            <w:pPr>
              <w:pStyle w:val="tabletext"/>
            </w:pPr>
            <w:r>
              <w:t>4.98</w:t>
            </w:r>
          </w:p>
        </w:tc>
      </w:tr>
      <w:tr w:rsidR="00FF6DD8" w:rsidRPr="00231CBA" w:rsidTr="00DA6673">
        <w:trPr>
          <w:tblHeader/>
        </w:trPr>
        <w:tc>
          <w:tcPr>
            <w:tcW w:w="5760" w:type="dxa"/>
          </w:tcPr>
          <w:p w:rsidR="00FF6DD8" w:rsidRDefault="00FF6DD8" w:rsidP="00DA6673">
            <w:pPr>
              <w:pStyle w:val="tabletext"/>
            </w:pPr>
            <w:r>
              <w:t>Item 3, section 60H, CC Act</w:t>
            </w:r>
          </w:p>
        </w:tc>
        <w:tc>
          <w:tcPr>
            <w:tcW w:w="1980" w:type="dxa"/>
          </w:tcPr>
          <w:p w:rsidR="00FF6DD8" w:rsidRDefault="00FF6DD8" w:rsidP="00DA6673">
            <w:pPr>
              <w:pStyle w:val="tabletext"/>
            </w:pPr>
            <w:r>
              <w:t>4.99, 4.100, 4.103</w:t>
            </w:r>
          </w:p>
        </w:tc>
      </w:tr>
      <w:tr w:rsidR="00FF6DD8" w:rsidRPr="00231CBA" w:rsidTr="00DA6673">
        <w:trPr>
          <w:tblHeader/>
        </w:trPr>
        <w:tc>
          <w:tcPr>
            <w:tcW w:w="5760" w:type="dxa"/>
          </w:tcPr>
          <w:p w:rsidR="00FF6DD8" w:rsidRDefault="00FF6DD8" w:rsidP="00DA6673">
            <w:pPr>
              <w:pStyle w:val="tabletext"/>
            </w:pPr>
            <w:r>
              <w:t>Item 3, section 60H(2), CC Act</w:t>
            </w:r>
          </w:p>
        </w:tc>
        <w:tc>
          <w:tcPr>
            <w:tcW w:w="1980" w:type="dxa"/>
          </w:tcPr>
          <w:p w:rsidR="00FF6DD8" w:rsidRDefault="00FF6DD8" w:rsidP="00DA6673">
            <w:pPr>
              <w:pStyle w:val="tabletext"/>
            </w:pPr>
            <w:r>
              <w:t>4.101</w:t>
            </w:r>
          </w:p>
        </w:tc>
      </w:tr>
      <w:tr w:rsidR="00FF6DD8" w:rsidRPr="00231CBA" w:rsidTr="00DA6673">
        <w:trPr>
          <w:tblHeader/>
        </w:trPr>
        <w:tc>
          <w:tcPr>
            <w:tcW w:w="5760" w:type="dxa"/>
          </w:tcPr>
          <w:p w:rsidR="00FF6DD8" w:rsidRDefault="00FF6DD8" w:rsidP="00DA6673">
            <w:pPr>
              <w:pStyle w:val="tabletext"/>
            </w:pPr>
            <w:r>
              <w:t>Item 3, section 60H(6)</w:t>
            </w:r>
          </w:p>
        </w:tc>
        <w:tc>
          <w:tcPr>
            <w:tcW w:w="1980" w:type="dxa"/>
          </w:tcPr>
          <w:p w:rsidR="00FF6DD8" w:rsidRDefault="00FF6DD8" w:rsidP="00DA6673">
            <w:pPr>
              <w:pStyle w:val="tabletext"/>
            </w:pPr>
            <w:r>
              <w:t>4.104</w:t>
            </w:r>
          </w:p>
        </w:tc>
      </w:tr>
      <w:tr w:rsidR="00FF6DD8" w:rsidRPr="00231CBA" w:rsidTr="00DA6673">
        <w:trPr>
          <w:tblHeader/>
        </w:trPr>
        <w:tc>
          <w:tcPr>
            <w:tcW w:w="5760" w:type="dxa"/>
          </w:tcPr>
          <w:p w:rsidR="00FF6DD8" w:rsidRDefault="00FF6DD8" w:rsidP="00DA6673">
            <w:pPr>
              <w:pStyle w:val="tabletext"/>
            </w:pPr>
            <w:r>
              <w:t>Item 3, section 60J, CC Act</w:t>
            </w:r>
          </w:p>
        </w:tc>
        <w:tc>
          <w:tcPr>
            <w:tcW w:w="1980" w:type="dxa"/>
          </w:tcPr>
          <w:p w:rsidR="00FF6DD8" w:rsidRDefault="00FF6DD8" w:rsidP="00DA6673">
            <w:pPr>
              <w:pStyle w:val="tabletext"/>
            </w:pPr>
            <w:r>
              <w:t>4.105</w:t>
            </w:r>
          </w:p>
        </w:tc>
      </w:tr>
      <w:tr w:rsidR="00FF6DD8" w:rsidRPr="00231CBA" w:rsidTr="00DA6673">
        <w:trPr>
          <w:tblHeader/>
        </w:trPr>
        <w:tc>
          <w:tcPr>
            <w:tcW w:w="5760" w:type="dxa"/>
          </w:tcPr>
          <w:p w:rsidR="00FF6DD8" w:rsidRDefault="00FF6DD8" w:rsidP="00DA6673">
            <w:pPr>
              <w:pStyle w:val="tabletext"/>
            </w:pPr>
            <w:r>
              <w:t>Item 3, section 60K, CC Act</w:t>
            </w:r>
          </w:p>
        </w:tc>
        <w:tc>
          <w:tcPr>
            <w:tcW w:w="1980" w:type="dxa"/>
          </w:tcPr>
          <w:p w:rsidR="00FF6DD8" w:rsidRDefault="00FF6DD8" w:rsidP="00DA6673">
            <w:pPr>
              <w:pStyle w:val="tabletext"/>
            </w:pPr>
            <w:r>
              <w:t>4.106</w:t>
            </w:r>
          </w:p>
        </w:tc>
      </w:tr>
      <w:tr w:rsidR="00FF6DD8" w:rsidRPr="00231CBA" w:rsidTr="00DA6673">
        <w:trPr>
          <w:tblHeader/>
        </w:trPr>
        <w:tc>
          <w:tcPr>
            <w:tcW w:w="5760" w:type="dxa"/>
          </w:tcPr>
          <w:p w:rsidR="00FF6DD8" w:rsidRDefault="00FF6DD8" w:rsidP="00DA6673">
            <w:pPr>
              <w:pStyle w:val="tabletext"/>
            </w:pPr>
            <w:r>
              <w:t>Item 3, Division 5, CC Act</w:t>
            </w:r>
          </w:p>
        </w:tc>
        <w:tc>
          <w:tcPr>
            <w:tcW w:w="1980" w:type="dxa"/>
          </w:tcPr>
          <w:p w:rsidR="00FF6DD8" w:rsidRDefault="00FF6DD8" w:rsidP="00DA6673">
            <w:pPr>
              <w:pStyle w:val="tabletext"/>
            </w:pPr>
            <w:r>
              <w:t>4.109, 4.110</w:t>
            </w:r>
          </w:p>
        </w:tc>
      </w:tr>
      <w:tr w:rsidR="00FF6DD8" w:rsidRPr="00231CBA" w:rsidTr="00DA6673">
        <w:trPr>
          <w:tblHeader/>
        </w:trPr>
        <w:tc>
          <w:tcPr>
            <w:tcW w:w="5760" w:type="dxa"/>
          </w:tcPr>
          <w:p w:rsidR="00FF6DD8" w:rsidRDefault="00FF6DD8" w:rsidP="00DA6673">
            <w:pPr>
              <w:pStyle w:val="tabletext"/>
            </w:pPr>
            <w:r>
              <w:t>Item 3, section 60L, CC Act</w:t>
            </w:r>
          </w:p>
        </w:tc>
        <w:tc>
          <w:tcPr>
            <w:tcW w:w="1980" w:type="dxa"/>
          </w:tcPr>
          <w:p w:rsidR="00FF6DD8" w:rsidRDefault="00FF6DD8" w:rsidP="00DA6673">
            <w:pPr>
              <w:pStyle w:val="tabletext"/>
            </w:pPr>
            <w:r>
              <w:t>4.111</w:t>
            </w:r>
          </w:p>
        </w:tc>
      </w:tr>
      <w:tr w:rsidR="00FF6DD8" w:rsidRPr="00231CBA" w:rsidTr="00DA6673">
        <w:trPr>
          <w:tblHeader/>
        </w:trPr>
        <w:tc>
          <w:tcPr>
            <w:tcW w:w="5760" w:type="dxa"/>
          </w:tcPr>
          <w:p w:rsidR="00FF6DD8" w:rsidRDefault="00FF6DD8" w:rsidP="00DA6673">
            <w:pPr>
              <w:pStyle w:val="tabletext"/>
            </w:pPr>
            <w:r>
              <w:t>Item 3, section 60L(5), CC Act</w:t>
            </w:r>
          </w:p>
        </w:tc>
        <w:tc>
          <w:tcPr>
            <w:tcW w:w="1980" w:type="dxa"/>
          </w:tcPr>
          <w:p w:rsidR="00FF6DD8" w:rsidRDefault="00FF6DD8" w:rsidP="00DA6673">
            <w:pPr>
              <w:pStyle w:val="tabletext"/>
            </w:pPr>
            <w:r>
              <w:t>4.112</w:t>
            </w:r>
          </w:p>
        </w:tc>
      </w:tr>
      <w:tr w:rsidR="00FF6DD8" w:rsidRPr="00231CBA" w:rsidTr="00DA6673">
        <w:trPr>
          <w:tblHeader/>
        </w:trPr>
        <w:tc>
          <w:tcPr>
            <w:tcW w:w="5760" w:type="dxa"/>
          </w:tcPr>
          <w:p w:rsidR="00FF6DD8" w:rsidRDefault="00FF6DD8" w:rsidP="00DA6673">
            <w:pPr>
              <w:pStyle w:val="tabletext"/>
            </w:pPr>
            <w:r>
              <w:t>Item 3, section 60M(1), CC Act</w:t>
            </w:r>
          </w:p>
        </w:tc>
        <w:tc>
          <w:tcPr>
            <w:tcW w:w="1980" w:type="dxa"/>
          </w:tcPr>
          <w:p w:rsidR="00FF6DD8" w:rsidRDefault="00FF6DD8" w:rsidP="00DA6673">
            <w:pPr>
              <w:pStyle w:val="tabletext"/>
            </w:pPr>
            <w:r>
              <w:t>4.115</w:t>
            </w:r>
          </w:p>
        </w:tc>
      </w:tr>
      <w:tr w:rsidR="00FF6DD8" w:rsidRPr="00231CBA" w:rsidTr="00DA6673">
        <w:trPr>
          <w:tblHeader/>
        </w:trPr>
        <w:tc>
          <w:tcPr>
            <w:tcW w:w="5760" w:type="dxa"/>
          </w:tcPr>
          <w:p w:rsidR="00FF6DD8" w:rsidRDefault="00FF6DD8" w:rsidP="00DA6673">
            <w:pPr>
              <w:pStyle w:val="tabletext"/>
            </w:pPr>
            <w:r>
              <w:t>Item 3, section 60N, CC Act</w:t>
            </w:r>
          </w:p>
        </w:tc>
        <w:tc>
          <w:tcPr>
            <w:tcW w:w="1980" w:type="dxa"/>
          </w:tcPr>
          <w:p w:rsidR="00FF6DD8" w:rsidRDefault="00FF6DD8" w:rsidP="00DA6673">
            <w:pPr>
              <w:pStyle w:val="tabletext"/>
            </w:pPr>
            <w:r>
              <w:t>4.118</w:t>
            </w:r>
          </w:p>
        </w:tc>
      </w:tr>
      <w:tr w:rsidR="00FF6DD8" w:rsidRPr="00231CBA" w:rsidTr="00DA6673">
        <w:trPr>
          <w:tblHeader/>
        </w:trPr>
        <w:tc>
          <w:tcPr>
            <w:tcW w:w="5760" w:type="dxa"/>
          </w:tcPr>
          <w:p w:rsidR="00FF6DD8" w:rsidRDefault="00FF6DD8" w:rsidP="00DA6673">
            <w:pPr>
              <w:pStyle w:val="tabletext"/>
            </w:pPr>
            <w:r>
              <w:t>Item 3, section 60P, CC Act</w:t>
            </w:r>
          </w:p>
        </w:tc>
        <w:tc>
          <w:tcPr>
            <w:tcW w:w="1980" w:type="dxa"/>
          </w:tcPr>
          <w:p w:rsidR="00FF6DD8" w:rsidRDefault="00FF6DD8" w:rsidP="00DA6673">
            <w:pPr>
              <w:pStyle w:val="tabletext"/>
            </w:pPr>
            <w:r>
              <w:t>4.119</w:t>
            </w:r>
          </w:p>
        </w:tc>
      </w:tr>
      <w:tr w:rsidR="00FF6DD8" w:rsidRPr="00231CBA" w:rsidTr="00DA6673">
        <w:trPr>
          <w:tblHeader/>
        </w:trPr>
        <w:tc>
          <w:tcPr>
            <w:tcW w:w="5760" w:type="dxa"/>
          </w:tcPr>
          <w:p w:rsidR="00FF6DD8" w:rsidRDefault="00FF6DD8" w:rsidP="00DA6673">
            <w:pPr>
              <w:pStyle w:val="tabletext"/>
            </w:pPr>
            <w:r>
              <w:t>Item 3, section 60P, CC Act</w:t>
            </w:r>
          </w:p>
        </w:tc>
        <w:tc>
          <w:tcPr>
            <w:tcW w:w="1980" w:type="dxa"/>
          </w:tcPr>
          <w:p w:rsidR="00FF6DD8" w:rsidRDefault="00FF6DD8" w:rsidP="00DA6673">
            <w:pPr>
              <w:pStyle w:val="tabletext"/>
            </w:pPr>
            <w:r>
              <w:t>4.120</w:t>
            </w:r>
          </w:p>
        </w:tc>
      </w:tr>
      <w:tr w:rsidR="00FF6DD8" w:rsidRPr="00231CBA" w:rsidTr="00DA6673">
        <w:trPr>
          <w:tblHeader/>
        </w:trPr>
        <w:tc>
          <w:tcPr>
            <w:tcW w:w="5760" w:type="dxa"/>
          </w:tcPr>
          <w:p w:rsidR="00FF6DD8" w:rsidRDefault="00FF6DD8" w:rsidP="00DA6673">
            <w:pPr>
              <w:pStyle w:val="tabletext"/>
            </w:pPr>
            <w:r>
              <w:t>Item 3, section 60Q, CC Act</w:t>
            </w:r>
          </w:p>
        </w:tc>
        <w:tc>
          <w:tcPr>
            <w:tcW w:w="1980" w:type="dxa"/>
          </w:tcPr>
          <w:p w:rsidR="00FF6DD8" w:rsidRDefault="00FF6DD8" w:rsidP="00DA6673">
            <w:pPr>
              <w:pStyle w:val="tabletext"/>
            </w:pPr>
            <w:r>
              <w:t>4.121</w:t>
            </w:r>
          </w:p>
        </w:tc>
      </w:tr>
      <w:tr w:rsidR="00FF6DD8" w:rsidRPr="00231CBA" w:rsidTr="00DA6673">
        <w:trPr>
          <w:tblHeader/>
        </w:trPr>
        <w:tc>
          <w:tcPr>
            <w:tcW w:w="5760" w:type="dxa"/>
          </w:tcPr>
          <w:p w:rsidR="00FF6DD8" w:rsidRDefault="00FF6DD8" w:rsidP="00DA6673">
            <w:pPr>
              <w:pStyle w:val="tabletext"/>
            </w:pPr>
            <w:r>
              <w:t>Item 3, Division 2B and 2C, CC Act</w:t>
            </w:r>
          </w:p>
        </w:tc>
        <w:tc>
          <w:tcPr>
            <w:tcW w:w="1980" w:type="dxa"/>
          </w:tcPr>
          <w:p w:rsidR="00FF6DD8" w:rsidRDefault="00FF6DD8" w:rsidP="00DA6673">
            <w:pPr>
              <w:pStyle w:val="tabletext"/>
            </w:pPr>
            <w:r>
              <w:t>4.12</w:t>
            </w:r>
          </w:p>
        </w:tc>
      </w:tr>
      <w:tr w:rsidR="00FF6DD8" w:rsidRPr="00231CBA" w:rsidTr="00DA6673">
        <w:trPr>
          <w:tblHeader/>
        </w:trPr>
        <w:tc>
          <w:tcPr>
            <w:tcW w:w="5760" w:type="dxa"/>
          </w:tcPr>
          <w:p w:rsidR="00FF6DD8" w:rsidRDefault="00FF6DD8" w:rsidP="00DA6673">
            <w:pPr>
              <w:pStyle w:val="tabletext"/>
            </w:pPr>
            <w:r>
              <w:t>Item 3, section 60G, CC Act</w:t>
            </w:r>
          </w:p>
        </w:tc>
        <w:tc>
          <w:tcPr>
            <w:tcW w:w="1980" w:type="dxa"/>
          </w:tcPr>
          <w:p w:rsidR="00FF6DD8" w:rsidRDefault="00FF6DD8" w:rsidP="00DA6673">
            <w:pPr>
              <w:pStyle w:val="tabletext"/>
            </w:pPr>
            <w:r>
              <w:t>4.12, 4.91</w:t>
            </w:r>
          </w:p>
        </w:tc>
      </w:tr>
      <w:tr w:rsidR="00FF6DD8" w:rsidRPr="00231CBA" w:rsidTr="00DA6673">
        <w:trPr>
          <w:tblHeader/>
        </w:trPr>
        <w:tc>
          <w:tcPr>
            <w:tcW w:w="5760" w:type="dxa"/>
          </w:tcPr>
          <w:p w:rsidR="00FF6DD8" w:rsidRDefault="00FF6DD8" w:rsidP="00DA6673">
            <w:pPr>
              <w:pStyle w:val="tabletext"/>
            </w:pPr>
            <w:r>
              <w:t>Item 3, Division 1, CC Act</w:t>
            </w:r>
          </w:p>
        </w:tc>
        <w:tc>
          <w:tcPr>
            <w:tcW w:w="1980" w:type="dxa"/>
          </w:tcPr>
          <w:p w:rsidR="00FF6DD8" w:rsidRDefault="00FF6DD8" w:rsidP="00DA6673">
            <w:pPr>
              <w:pStyle w:val="tabletext"/>
            </w:pPr>
            <w:r>
              <w:t>4.12</w:t>
            </w:r>
          </w:p>
        </w:tc>
      </w:tr>
      <w:tr w:rsidR="00FF6DD8" w:rsidRPr="00231CBA" w:rsidTr="00DA6673">
        <w:trPr>
          <w:tblHeader/>
        </w:trPr>
        <w:tc>
          <w:tcPr>
            <w:tcW w:w="5760" w:type="dxa"/>
          </w:tcPr>
          <w:p w:rsidR="00FF6DD8" w:rsidRDefault="00FF6DD8" w:rsidP="00DA6673">
            <w:pPr>
              <w:pStyle w:val="tabletext"/>
            </w:pPr>
            <w:r>
              <w:t>Item 3, Division 2A, CC Act</w:t>
            </w:r>
          </w:p>
        </w:tc>
        <w:tc>
          <w:tcPr>
            <w:tcW w:w="1980" w:type="dxa"/>
          </w:tcPr>
          <w:p w:rsidR="00FF6DD8" w:rsidRDefault="00FF6DD8" w:rsidP="00DA6673">
            <w:pPr>
              <w:pStyle w:val="tabletext"/>
            </w:pPr>
            <w:r>
              <w:t>4.12</w:t>
            </w:r>
          </w:p>
        </w:tc>
      </w:tr>
      <w:tr w:rsidR="00FF6DD8" w:rsidRPr="00231CBA" w:rsidTr="00DA6673">
        <w:trPr>
          <w:tblHeader/>
        </w:trPr>
        <w:tc>
          <w:tcPr>
            <w:tcW w:w="5760" w:type="dxa"/>
          </w:tcPr>
          <w:p w:rsidR="00FF6DD8" w:rsidRDefault="00FF6DD8" w:rsidP="00DA6673">
            <w:pPr>
              <w:pStyle w:val="tabletext"/>
            </w:pPr>
            <w:r>
              <w:t>Item 3, section 60A, CC Act</w:t>
            </w:r>
          </w:p>
        </w:tc>
        <w:tc>
          <w:tcPr>
            <w:tcW w:w="1980" w:type="dxa"/>
          </w:tcPr>
          <w:p w:rsidR="00FF6DD8" w:rsidRDefault="00FF6DD8" w:rsidP="00DA6673">
            <w:pPr>
              <w:pStyle w:val="tabletext"/>
            </w:pPr>
            <w:r>
              <w:t>4.15, 4.22, 4.23, 4.24, 4.25, 4.49, 4.52</w:t>
            </w:r>
          </w:p>
        </w:tc>
      </w:tr>
      <w:tr w:rsidR="00FF6DD8" w:rsidRPr="00231CBA" w:rsidTr="00DA6673">
        <w:trPr>
          <w:tblHeader/>
        </w:trPr>
        <w:tc>
          <w:tcPr>
            <w:tcW w:w="5760" w:type="dxa"/>
          </w:tcPr>
          <w:p w:rsidR="00FF6DD8" w:rsidRDefault="00FF6DD8" w:rsidP="00DA6673">
            <w:pPr>
              <w:pStyle w:val="tabletext"/>
            </w:pPr>
            <w:r>
              <w:t>Item 3, section 60, CC Act</w:t>
            </w:r>
          </w:p>
        </w:tc>
        <w:tc>
          <w:tcPr>
            <w:tcW w:w="1980" w:type="dxa"/>
          </w:tcPr>
          <w:p w:rsidR="00FF6DD8" w:rsidRDefault="00FF6DD8" w:rsidP="00DA6673">
            <w:pPr>
              <w:pStyle w:val="tabletext"/>
            </w:pPr>
            <w:r>
              <w:t>4.16, 4.17</w:t>
            </w:r>
          </w:p>
        </w:tc>
      </w:tr>
      <w:tr w:rsidR="00FF6DD8" w:rsidRPr="00231CBA" w:rsidTr="00DA6673">
        <w:trPr>
          <w:tblHeader/>
        </w:trPr>
        <w:tc>
          <w:tcPr>
            <w:tcW w:w="5760" w:type="dxa"/>
          </w:tcPr>
          <w:p w:rsidR="00FF6DD8" w:rsidRDefault="00FF6DD8" w:rsidP="00DA6673">
            <w:pPr>
              <w:pStyle w:val="tabletext"/>
            </w:pPr>
            <w:r>
              <w:t>Item 3, section 60AA, CC Act</w:t>
            </w:r>
          </w:p>
        </w:tc>
        <w:tc>
          <w:tcPr>
            <w:tcW w:w="1980" w:type="dxa"/>
          </w:tcPr>
          <w:p w:rsidR="00FF6DD8" w:rsidRDefault="00FF6DD8" w:rsidP="00DA6673">
            <w:pPr>
              <w:pStyle w:val="tabletext"/>
            </w:pPr>
            <w:r>
              <w:t>4.18</w:t>
            </w:r>
          </w:p>
        </w:tc>
      </w:tr>
      <w:tr w:rsidR="00FF6DD8" w:rsidRPr="00231CBA" w:rsidTr="00DA6673">
        <w:trPr>
          <w:tblHeader/>
        </w:trPr>
        <w:tc>
          <w:tcPr>
            <w:tcW w:w="5760" w:type="dxa"/>
          </w:tcPr>
          <w:p w:rsidR="00FF6DD8" w:rsidRDefault="00FF6DD8" w:rsidP="00DA6673">
            <w:pPr>
              <w:pStyle w:val="tabletext"/>
            </w:pPr>
            <w:r>
              <w:t>Item 3, section 60AA(1), CC Act</w:t>
            </w:r>
          </w:p>
        </w:tc>
        <w:tc>
          <w:tcPr>
            <w:tcW w:w="1980" w:type="dxa"/>
          </w:tcPr>
          <w:p w:rsidR="00FF6DD8" w:rsidRDefault="00FF6DD8" w:rsidP="00DA6673">
            <w:pPr>
              <w:pStyle w:val="tabletext"/>
            </w:pPr>
            <w:r>
              <w:t>4.18</w:t>
            </w:r>
          </w:p>
        </w:tc>
      </w:tr>
      <w:tr w:rsidR="00FF6DD8" w:rsidRPr="00231CBA" w:rsidTr="00DA6673">
        <w:trPr>
          <w:tblHeader/>
        </w:trPr>
        <w:tc>
          <w:tcPr>
            <w:tcW w:w="5760" w:type="dxa"/>
          </w:tcPr>
          <w:p w:rsidR="00FF6DD8" w:rsidRDefault="00FF6DD8" w:rsidP="00DA6673">
            <w:pPr>
              <w:pStyle w:val="tabletext"/>
            </w:pPr>
            <w:r>
              <w:t>Item3, section 60AA(2), CC Act</w:t>
            </w:r>
          </w:p>
        </w:tc>
        <w:tc>
          <w:tcPr>
            <w:tcW w:w="1980" w:type="dxa"/>
          </w:tcPr>
          <w:p w:rsidR="00FF6DD8" w:rsidRDefault="00FF6DD8" w:rsidP="00DA6673">
            <w:pPr>
              <w:pStyle w:val="tabletext"/>
            </w:pPr>
            <w:r>
              <w:t>4.19</w:t>
            </w:r>
          </w:p>
        </w:tc>
      </w:tr>
      <w:tr w:rsidR="00FF6DD8" w:rsidRPr="00231CBA" w:rsidTr="00DA6673">
        <w:trPr>
          <w:tblHeader/>
        </w:trPr>
        <w:tc>
          <w:tcPr>
            <w:tcW w:w="5760" w:type="dxa"/>
          </w:tcPr>
          <w:p w:rsidR="00FF6DD8" w:rsidRDefault="00FF6DD8" w:rsidP="00DA6673">
            <w:pPr>
              <w:pStyle w:val="tabletext"/>
            </w:pPr>
            <w:r>
              <w:t>Item 3, Part V, CC Act</w:t>
            </w:r>
          </w:p>
        </w:tc>
        <w:tc>
          <w:tcPr>
            <w:tcW w:w="1980" w:type="dxa"/>
          </w:tcPr>
          <w:p w:rsidR="00FF6DD8" w:rsidRDefault="00FF6DD8" w:rsidP="00DA6673">
            <w:pPr>
              <w:pStyle w:val="tabletext"/>
            </w:pPr>
            <w:r>
              <w:t>4.21</w:t>
            </w:r>
          </w:p>
        </w:tc>
      </w:tr>
      <w:tr w:rsidR="00FF6DD8" w:rsidRPr="00231CBA" w:rsidTr="00DA6673">
        <w:trPr>
          <w:tblHeader/>
        </w:trPr>
        <w:tc>
          <w:tcPr>
            <w:tcW w:w="5760" w:type="dxa"/>
          </w:tcPr>
          <w:p w:rsidR="00FF6DD8" w:rsidRDefault="00FF6DD8" w:rsidP="00DA6673">
            <w:pPr>
              <w:pStyle w:val="tabletext"/>
            </w:pPr>
            <w:r>
              <w:t>Item 3, section 60B, CC Act</w:t>
            </w:r>
          </w:p>
        </w:tc>
        <w:tc>
          <w:tcPr>
            <w:tcW w:w="1980" w:type="dxa"/>
          </w:tcPr>
          <w:p w:rsidR="00FF6DD8" w:rsidRDefault="00FF6DD8" w:rsidP="00DA6673">
            <w:pPr>
              <w:pStyle w:val="tabletext"/>
            </w:pPr>
            <w:r>
              <w:t>4.24</w:t>
            </w:r>
          </w:p>
        </w:tc>
      </w:tr>
      <w:tr w:rsidR="00FF6DD8" w:rsidRPr="00231CBA" w:rsidTr="00DA6673">
        <w:trPr>
          <w:tblHeader/>
        </w:trPr>
        <w:tc>
          <w:tcPr>
            <w:tcW w:w="5760" w:type="dxa"/>
          </w:tcPr>
          <w:p w:rsidR="00FF6DD8" w:rsidRDefault="00FF6DD8" w:rsidP="00DA6673">
            <w:pPr>
              <w:pStyle w:val="tabletext"/>
            </w:pPr>
            <w:r>
              <w:t>Item 4, section 75B(1), CC Act</w:t>
            </w:r>
          </w:p>
        </w:tc>
        <w:tc>
          <w:tcPr>
            <w:tcW w:w="1980" w:type="dxa"/>
          </w:tcPr>
          <w:p w:rsidR="00FF6DD8" w:rsidRDefault="00FF6DD8" w:rsidP="00DA6673">
            <w:pPr>
              <w:pStyle w:val="tabletext"/>
            </w:pPr>
            <w:r>
              <w:t>4.122</w:t>
            </w:r>
          </w:p>
        </w:tc>
      </w:tr>
      <w:tr w:rsidR="00FF6DD8" w:rsidRPr="00231CBA" w:rsidTr="00DA6673">
        <w:trPr>
          <w:tblHeader/>
        </w:trPr>
        <w:tc>
          <w:tcPr>
            <w:tcW w:w="5760" w:type="dxa"/>
          </w:tcPr>
          <w:p w:rsidR="00FF6DD8" w:rsidRDefault="00FF6DD8" w:rsidP="00DA6673">
            <w:pPr>
              <w:pStyle w:val="tabletext"/>
            </w:pPr>
            <w:r>
              <w:t>Items 5, section 76(1)(a)(i), CC Act</w:t>
            </w:r>
          </w:p>
        </w:tc>
        <w:tc>
          <w:tcPr>
            <w:tcW w:w="1980" w:type="dxa"/>
          </w:tcPr>
          <w:p w:rsidR="00FF6DD8" w:rsidRDefault="00FF6DD8" w:rsidP="00DA6673">
            <w:pPr>
              <w:pStyle w:val="tabletext"/>
            </w:pPr>
            <w:r>
              <w:t>4.29, 4.108, 4.123</w:t>
            </w:r>
          </w:p>
        </w:tc>
      </w:tr>
      <w:tr w:rsidR="00FF6DD8" w:rsidRPr="00231CBA" w:rsidTr="00DA6673">
        <w:trPr>
          <w:tblHeader/>
        </w:trPr>
        <w:tc>
          <w:tcPr>
            <w:tcW w:w="5760" w:type="dxa"/>
          </w:tcPr>
          <w:p w:rsidR="00FF6DD8" w:rsidRDefault="00FF6DD8" w:rsidP="00DA6673">
            <w:pPr>
              <w:pStyle w:val="tabletext"/>
            </w:pPr>
            <w:r>
              <w:t>Item 6, section 76(1A)(b), CC Act</w:t>
            </w:r>
          </w:p>
        </w:tc>
        <w:tc>
          <w:tcPr>
            <w:tcW w:w="1980" w:type="dxa"/>
          </w:tcPr>
          <w:p w:rsidR="00FF6DD8" w:rsidRDefault="00FF6DD8" w:rsidP="00DA6673">
            <w:pPr>
              <w:pStyle w:val="tabletext"/>
            </w:pPr>
            <w:r>
              <w:t>4.29, 4.123</w:t>
            </w:r>
          </w:p>
        </w:tc>
      </w:tr>
      <w:tr w:rsidR="00FF6DD8" w:rsidRPr="00231CBA" w:rsidTr="00DA6673">
        <w:trPr>
          <w:tblHeader/>
        </w:trPr>
        <w:tc>
          <w:tcPr>
            <w:tcW w:w="5760" w:type="dxa"/>
          </w:tcPr>
          <w:p w:rsidR="00FF6DD8" w:rsidRDefault="00FF6DD8" w:rsidP="00DA6673">
            <w:pPr>
              <w:pStyle w:val="tabletext"/>
            </w:pPr>
            <w:r>
              <w:t>Item 6, section 76(1A)(b) ,CC Act</w:t>
            </w:r>
          </w:p>
        </w:tc>
        <w:tc>
          <w:tcPr>
            <w:tcW w:w="1980" w:type="dxa"/>
          </w:tcPr>
          <w:p w:rsidR="00FF6DD8" w:rsidRDefault="00FF6DD8" w:rsidP="00DA6673">
            <w:pPr>
              <w:pStyle w:val="tabletext"/>
            </w:pPr>
            <w:r>
              <w:t>4.108</w:t>
            </w:r>
          </w:p>
        </w:tc>
      </w:tr>
      <w:tr w:rsidR="00FF6DD8" w:rsidRPr="00231CBA" w:rsidTr="00DA6673">
        <w:trPr>
          <w:tblHeader/>
        </w:trPr>
        <w:tc>
          <w:tcPr>
            <w:tcW w:w="5760" w:type="dxa"/>
          </w:tcPr>
          <w:p w:rsidR="00FF6DD8" w:rsidRDefault="00FF6DD8" w:rsidP="00DA6673">
            <w:pPr>
              <w:pStyle w:val="tabletext"/>
            </w:pPr>
            <w:r>
              <w:t>Item 7, section 76(1B)(a), CC Act</w:t>
            </w:r>
          </w:p>
        </w:tc>
        <w:tc>
          <w:tcPr>
            <w:tcW w:w="1980" w:type="dxa"/>
          </w:tcPr>
          <w:p w:rsidR="00FF6DD8" w:rsidRDefault="00FF6DD8" w:rsidP="00DA6673">
            <w:pPr>
              <w:pStyle w:val="tabletext"/>
            </w:pPr>
            <w:r>
              <w:t>4.123</w:t>
            </w:r>
          </w:p>
        </w:tc>
      </w:tr>
      <w:tr w:rsidR="00FF6DD8" w:rsidRPr="00231CBA" w:rsidTr="00DA6673">
        <w:trPr>
          <w:tblHeader/>
        </w:trPr>
        <w:tc>
          <w:tcPr>
            <w:tcW w:w="5760" w:type="dxa"/>
          </w:tcPr>
          <w:p w:rsidR="00FF6DD8" w:rsidRDefault="00FF6DD8" w:rsidP="00DA6673">
            <w:pPr>
              <w:pStyle w:val="tabletext"/>
            </w:pPr>
            <w:r>
              <w:t>Item 7, section 76(1B)(a), CC Act</w:t>
            </w:r>
          </w:p>
        </w:tc>
        <w:tc>
          <w:tcPr>
            <w:tcW w:w="1980" w:type="dxa"/>
          </w:tcPr>
          <w:p w:rsidR="00FF6DD8" w:rsidRDefault="00FF6DD8" w:rsidP="00DA6673">
            <w:pPr>
              <w:pStyle w:val="tabletext"/>
            </w:pPr>
            <w:r>
              <w:t>4.29, 4.108</w:t>
            </w:r>
          </w:p>
        </w:tc>
      </w:tr>
      <w:tr w:rsidR="00FF6DD8" w:rsidRPr="00231CBA" w:rsidTr="00DA6673">
        <w:trPr>
          <w:tblHeader/>
        </w:trPr>
        <w:tc>
          <w:tcPr>
            <w:tcW w:w="5760" w:type="dxa"/>
          </w:tcPr>
          <w:p w:rsidR="00FF6DD8" w:rsidRDefault="00FF6DD8" w:rsidP="00DA6673">
            <w:pPr>
              <w:pStyle w:val="tabletext"/>
            </w:pPr>
            <w:r>
              <w:t>Item 8, section 77A, CC Act</w:t>
            </w:r>
          </w:p>
        </w:tc>
        <w:tc>
          <w:tcPr>
            <w:tcW w:w="1980" w:type="dxa"/>
          </w:tcPr>
          <w:p w:rsidR="00FF6DD8" w:rsidRDefault="00FF6DD8" w:rsidP="00DA6673">
            <w:pPr>
              <w:pStyle w:val="tabletext"/>
            </w:pPr>
            <w:r>
              <w:t>4.125</w:t>
            </w:r>
          </w:p>
        </w:tc>
      </w:tr>
      <w:tr w:rsidR="00FF6DD8" w:rsidRPr="00231CBA" w:rsidTr="00DA6673">
        <w:trPr>
          <w:tblHeader/>
        </w:trPr>
        <w:tc>
          <w:tcPr>
            <w:tcW w:w="5760" w:type="dxa"/>
          </w:tcPr>
          <w:p w:rsidR="00FF6DD8" w:rsidRDefault="00FF6DD8" w:rsidP="00DA6673">
            <w:pPr>
              <w:pStyle w:val="tabletext"/>
            </w:pPr>
            <w:r>
              <w:t>Item 9, section 80(1), CC Act</w:t>
            </w:r>
          </w:p>
        </w:tc>
        <w:tc>
          <w:tcPr>
            <w:tcW w:w="1980" w:type="dxa"/>
          </w:tcPr>
          <w:p w:rsidR="00FF6DD8" w:rsidRDefault="00FF6DD8" w:rsidP="00DA6673">
            <w:pPr>
              <w:pStyle w:val="tabletext"/>
            </w:pPr>
            <w:r>
              <w:t>4.126</w:t>
            </w:r>
          </w:p>
        </w:tc>
      </w:tr>
      <w:tr w:rsidR="00FF6DD8" w:rsidRPr="00231CBA" w:rsidTr="00DA6673">
        <w:trPr>
          <w:tblHeader/>
        </w:trPr>
        <w:tc>
          <w:tcPr>
            <w:tcW w:w="5760" w:type="dxa"/>
          </w:tcPr>
          <w:p w:rsidR="00FF6DD8" w:rsidRDefault="00FF6DD8" w:rsidP="00DA6673">
            <w:pPr>
              <w:pStyle w:val="tabletext"/>
            </w:pPr>
            <w:r>
              <w:t>Item 10, section 80(1A), CC Act</w:t>
            </w:r>
          </w:p>
        </w:tc>
        <w:tc>
          <w:tcPr>
            <w:tcW w:w="1980" w:type="dxa"/>
          </w:tcPr>
          <w:p w:rsidR="00FF6DD8" w:rsidRDefault="00FF6DD8" w:rsidP="00DA6673">
            <w:pPr>
              <w:pStyle w:val="tabletext"/>
            </w:pPr>
            <w:r>
              <w:t>4.127</w:t>
            </w:r>
          </w:p>
        </w:tc>
      </w:tr>
      <w:tr w:rsidR="00FF6DD8" w:rsidRPr="00231CBA" w:rsidTr="00DA6673">
        <w:trPr>
          <w:tblHeader/>
        </w:trPr>
        <w:tc>
          <w:tcPr>
            <w:tcW w:w="5760" w:type="dxa"/>
          </w:tcPr>
          <w:p w:rsidR="00FF6DD8" w:rsidRDefault="00FF6DD8" w:rsidP="00DA6673">
            <w:pPr>
              <w:pStyle w:val="tabletext"/>
            </w:pPr>
            <w:r>
              <w:t>Item 11, section 80A, CC Act</w:t>
            </w:r>
          </w:p>
        </w:tc>
        <w:tc>
          <w:tcPr>
            <w:tcW w:w="1980" w:type="dxa"/>
          </w:tcPr>
          <w:p w:rsidR="00FF6DD8" w:rsidRDefault="00FF6DD8" w:rsidP="00DA6673">
            <w:pPr>
              <w:pStyle w:val="tabletext"/>
            </w:pPr>
            <w:r>
              <w:t>4.128</w:t>
            </w:r>
          </w:p>
        </w:tc>
      </w:tr>
      <w:tr w:rsidR="00FF6DD8" w:rsidRPr="00231CBA" w:rsidTr="00DA6673">
        <w:trPr>
          <w:tblHeader/>
        </w:trPr>
        <w:tc>
          <w:tcPr>
            <w:tcW w:w="5760" w:type="dxa"/>
          </w:tcPr>
          <w:p w:rsidR="00FF6DD8" w:rsidRDefault="00FF6DD8" w:rsidP="00DA6673">
            <w:pPr>
              <w:pStyle w:val="tabletext"/>
            </w:pPr>
            <w:r>
              <w:t>Item 12, section 82(1), CC Act</w:t>
            </w:r>
          </w:p>
        </w:tc>
        <w:tc>
          <w:tcPr>
            <w:tcW w:w="1980" w:type="dxa"/>
          </w:tcPr>
          <w:p w:rsidR="00FF6DD8" w:rsidRDefault="00FF6DD8" w:rsidP="00DA6673">
            <w:pPr>
              <w:pStyle w:val="tabletext"/>
            </w:pPr>
            <w:r>
              <w:t>4.130</w:t>
            </w:r>
          </w:p>
        </w:tc>
      </w:tr>
      <w:tr w:rsidR="00FF6DD8" w:rsidRPr="00231CBA" w:rsidTr="00DA6673">
        <w:trPr>
          <w:tblHeader/>
        </w:trPr>
        <w:tc>
          <w:tcPr>
            <w:tcW w:w="5760" w:type="dxa"/>
          </w:tcPr>
          <w:p w:rsidR="00FF6DD8" w:rsidRDefault="00FF6DD8" w:rsidP="00DA6673">
            <w:pPr>
              <w:pStyle w:val="tabletext"/>
            </w:pPr>
            <w:r>
              <w:t>Item 13, section 83, CC Act</w:t>
            </w:r>
          </w:p>
        </w:tc>
        <w:tc>
          <w:tcPr>
            <w:tcW w:w="1980" w:type="dxa"/>
          </w:tcPr>
          <w:p w:rsidR="00FF6DD8" w:rsidRDefault="00FF6DD8" w:rsidP="00DA6673">
            <w:pPr>
              <w:pStyle w:val="tabletext"/>
            </w:pPr>
            <w:r>
              <w:t>4.131</w:t>
            </w:r>
          </w:p>
        </w:tc>
      </w:tr>
      <w:tr w:rsidR="00FF6DD8" w:rsidRPr="00231CBA" w:rsidTr="00DA6673">
        <w:trPr>
          <w:tblHeader/>
        </w:trPr>
        <w:tc>
          <w:tcPr>
            <w:tcW w:w="5760" w:type="dxa"/>
          </w:tcPr>
          <w:p w:rsidR="00FF6DD8" w:rsidRDefault="00FF6DD8" w:rsidP="00DA6673">
            <w:pPr>
              <w:pStyle w:val="tabletext"/>
            </w:pPr>
            <w:r>
              <w:t>Item 14, section 84(3), CC Act</w:t>
            </w:r>
          </w:p>
        </w:tc>
        <w:tc>
          <w:tcPr>
            <w:tcW w:w="1980" w:type="dxa"/>
          </w:tcPr>
          <w:p w:rsidR="00FF6DD8" w:rsidRDefault="00FF6DD8" w:rsidP="00DA6673">
            <w:pPr>
              <w:pStyle w:val="tabletext"/>
            </w:pPr>
            <w:r>
              <w:t>4.133</w:t>
            </w:r>
          </w:p>
        </w:tc>
      </w:tr>
      <w:tr w:rsidR="00FF6DD8" w:rsidRPr="00231CBA" w:rsidTr="00DA6673">
        <w:trPr>
          <w:tblHeader/>
        </w:trPr>
        <w:tc>
          <w:tcPr>
            <w:tcW w:w="5760" w:type="dxa"/>
          </w:tcPr>
          <w:p w:rsidR="00FF6DD8" w:rsidRDefault="00FF6DD8" w:rsidP="00DA6673">
            <w:pPr>
              <w:pStyle w:val="tabletext"/>
            </w:pPr>
            <w:r>
              <w:t>Item 14, section 84(1), CC Act</w:t>
            </w:r>
          </w:p>
        </w:tc>
        <w:tc>
          <w:tcPr>
            <w:tcW w:w="1980" w:type="dxa"/>
          </w:tcPr>
          <w:p w:rsidR="00FF6DD8" w:rsidRDefault="00FF6DD8" w:rsidP="00DA6673">
            <w:pPr>
              <w:pStyle w:val="tabletext"/>
            </w:pPr>
            <w:r>
              <w:t>4.132</w:t>
            </w:r>
          </w:p>
        </w:tc>
      </w:tr>
      <w:tr w:rsidR="00FF6DD8" w:rsidRPr="00231CBA" w:rsidTr="00DA6673">
        <w:trPr>
          <w:tblHeader/>
        </w:trPr>
        <w:tc>
          <w:tcPr>
            <w:tcW w:w="5760" w:type="dxa"/>
          </w:tcPr>
          <w:p w:rsidR="00FF6DD8" w:rsidRDefault="00FF6DD8" w:rsidP="00DA6673">
            <w:pPr>
              <w:pStyle w:val="tabletext"/>
            </w:pPr>
            <w:r>
              <w:t>Item 15, section 85(a), CC Act</w:t>
            </w:r>
          </w:p>
        </w:tc>
        <w:tc>
          <w:tcPr>
            <w:tcW w:w="1980" w:type="dxa"/>
          </w:tcPr>
          <w:p w:rsidR="00FF6DD8" w:rsidRDefault="00FF6DD8" w:rsidP="00DA6673">
            <w:pPr>
              <w:pStyle w:val="tabletext"/>
            </w:pPr>
            <w:r>
              <w:t>4.134</w:t>
            </w:r>
          </w:p>
        </w:tc>
      </w:tr>
      <w:tr w:rsidR="00FF6DD8" w:rsidRPr="00231CBA" w:rsidTr="00DA6673">
        <w:trPr>
          <w:tblHeader/>
        </w:trPr>
        <w:tc>
          <w:tcPr>
            <w:tcW w:w="5760" w:type="dxa"/>
          </w:tcPr>
          <w:p w:rsidR="00FF6DD8" w:rsidRDefault="00FF6DD8" w:rsidP="00DA6673">
            <w:pPr>
              <w:pStyle w:val="tabletext"/>
            </w:pPr>
            <w:r>
              <w:t>Items 16, 17 and 18, section 86C, CC Act</w:t>
            </w:r>
          </w:p>
        </w:tc>
        <w:tc>
          <w:tcPr>
            <w:tcW w:w="1980" w:type="dxa"/>
          </w:tcPr>
          <w:p w:rsidR="00FF6DD8" w:rsidRDefault="00FF6DD8" w:rsidP="00DA6673">
            <w:pPr>
              <w:pStyle w:val="tabletext"/>
            </w:pPr>
            <w:r>
              <w:t>4.135</w:t>
            </w:r>
          </w:p>
        </w:tc>
      </w:tr>
      <w:tr w:rsidR="00FF6DD8" w:rsidRPr="00231CBA" w:rsidTr="00DA6673">
        <w:trPr>
          <w:tblHeader/>
        </w:trPr>
        <w:tc>
          <w:tcPr>
            <w:tcW w:w="5760" w:type="dxa"/>
          </w:tcPr>
          <w:p w:rsidR="00FF6DD8" w:rsidRDefault="00FF6DD8" w:rsidP="00DA6673">
            <w:pPr>
              <w:pStyle w:val="tabletext"/>
            </w:pPr>
            <w:r>
              <w:t>Items 19 to 23, section 87, CC Act</w:t>
            </w:r>
          </w:p>
        </w:tc>
        <w:tc>
          <w:tcPr>
            <w:tcW w:w="1980" w:type="dxa"/>
          </w:tcPr>
          <w:p w:rsidR="00FF6DD8" w:rsidRDefault="00FF6DD8" w:rsidP="00DA6673">
            <w:pPr>
              <w:pStyle w:val="tabletext"/>
            </w:pPr>
            <w:r>
              <w:t>4.136</w:t>
            </w:r>
          </w:p>
        </w:tc>
      </w:tr>
      <w:tr w:rsidR="00FF6DD8" w:rsidRPr="00231CBA" w:rsidTr="00DA6673">
        <w:trPr>
          <w:tblHeader/>
        </w:trPr>
        <w:tc>
          <w:tcPr>
            <w:tcW w:w="5760" w:type="dxa"/>
          </w:tcPr>
          <w:p w:rsidR="00FF6DD8" w:rsidRDefault="00FF6DD8" w:rsidP="00DA6673">
            <w:pPr>
              <w:pStyle w:val="tabletext"/>
            </w:pPr>
            <w:r>
              <w:t>Items 24 and 25, section 155AAA, CC Act</w:t>
            </w:r>
          </w:p>
        </w:tc>
        <w:tc>
          <w:tcPr>
            <w:tcW w:w="1980" w:type="dxa"/>
          </w:tcPr>
          <w:p w:rsidR="00FF6DD8" w:rsidRDefault="00FF6DD8" w:rsidP="00DA6673">
            <w:pPr>
              <w:pStyle w:val="tabletext"/>
            </w:pPr>
            <w:r>
              <w:t>4.137</w:t>
            </w:r>
          </w:p>
        </w:tc>
      </w:tr>
      <w:tr w:rsidR="00FF6DD8" w:rsidRPr="00231CBA" w:rsidTr="00DA6673">
        <w:trPr>
          <w:tblHeader/>
        </w:trPr>
        <w:tc>
          <w:tcPr>
            <w:tcW w:w="5760" w:type="dxa"/>
          </w:tcPr>
          <w:p w:rsidR="00FF6DD8" w:rsidRDefault="00FF6DD8" w:rsidP="00DA6673">
            <w:pPr>
              <w:pStyle w:val="tabletext"/>
            </w:pPr>
            <w:r>
              <w:t>Item 25, section 155AAA, CC Act</w:t>
            </w:r>
          </w:p>
        </w:tc>
        <w:tc>
          <w:tcPr>
            <w:tcW w:w="1980" w:type="dxa"/>
          </w:tcPr>
          <w:p w:rsidR="00FF6DD8" w:rsidRDefault="00FF6DD8" w:rsidP="00DA6673">
            <w:pPr>
              <w:pStyle w:val="tabletext"/>
            </w:pPr>
            <w:r>
              <w:t>4.89</w:t>
            </w:r>
          </w:p>
        </w:tc>
      </w:tr>
      <w:tr w:rsidR="00FF6DD8" w:rsidRPr="00231CBA" w:rsidTr="00DA6673">
        <w:trPr>
          <w:tblHeader/>
        </w:trPr>
        <w:tc>
          <w:tcPr>
            <w:tcW w:w="5760" w:type="dxa"/>
          </w:tcPr>
          <w:p w:rsidR="00FF6DD8" w:rsidRDefault="00FF6DD8" w:rsidP="00DA6673">
            <w:pPr>
              <w:pStyle w:val="tabletext"/>
            </w:pPr>
            <w:r>
              <w:t>Item 26, section 163A, CC Act</w:t>
            </w:r>
          </w:p>
        </w:tc>
        <w:tc>
          <w:tcPr>
            <w:tcW w:w="1980" w:type="dxa"/>
          </w:tcPr>
          <w:p w:rsidR="00FF6DD8" w:rsidRDefault="00FF6DD8" w:rsidP="00DA6673">
            <w:pPr>
              <w:pStyle w:val="tabletext"/>
            </w:pPr>
            <w:r>
              <w:t>4.138</w:t>
            </w:r>
          </w:p>
        </w:tc>
      </w:tr>
    </w:tbl>
    <w:p w:rsidR="00550D5E" w:rsidRPr="00550D5E" w:rsidRDefault="00550D5E" w:rsidP="00550D5E"/>
    <w:p w:rsidR="00AE2F29" w:rsidRDefault="00550D5E" w:rsidP="00AE2F29">
      <w:pPr>
        <w:pStyle w:val="Heading2with18pointafter"/>
        <w:rPr>
          <w:noProof/>
        </w:rPr>
      </w:pPr>
      <w:r>
        <w:t xml:space="preserve">Main Repeal Bill Schedule 3:  </w:t>
      </w:r>
      <w:r>
        <w:rPr>
          <w:noProof/>
        </w:rPr>
        <w:t>Repeal of tax offset for conservation tillage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F254AF" w:rsidRPr="00442FB9" w:rsidTr="00F254AF">
        <w:trPr>
          <w:tblHeader/>
        </w:trPr>
        <w:tc>
          <w:tcPr>
            <w:tcW w:w="5760" w:type="dxa"/>
          </w:tcPr>
          <w:p w:rsidR="00F254AF" w:rsidRPr="00442FB9" w:rsidRDefault="00F254AF" w:rsidP="00F254AF">
            <w:pPr>
              <w:pStyle w:val="tableheaderwithintable"/>
              <w:rPr>
                <w:lang w:val="en-US" w:eastAsia="en-US"/>
              </w:rPr>
            </w:pPr>
            <w:r w:rsidRPr="00442FB9">
              <w:rPr>
                <w:lang w:val="en-US" w:eastAsia="en-US"/>
              </w:rPr>
              <w:t>Bill reference</w:t>
            </w:r>
          </w:p>
        </w:tc>
        <w:tc>
          <w:tcPr>
            <w:tcW w:w="1980" w:type="dxa"/>
          </w:tcPr>
          <w:p w:rsidR="00F254AF" w:rsidRPr="00442FB9" w:rsidRDefault="00F254AF" w:rsidP="00F254AF">
            <w:pPr>
              <w:pStyle w:val="tableheaderwithintable"/>
              <w:rPr>
                <w:lang w:val="en-US" w:eastAsia="en-US"/>
              </w:rPr>
            </w:pPr>
            <w:r w:rsidRPr="00442FB9">
              <w:rPr>
                <w:lang w:val="en-US" w:eastAsia="en-US"/>
              </w:rPr>
              <w:t>Paragraph number</w:t>
            </w:r>
          </w:p>
        </w:tc>
      </w:tr>
      <w:tr w:rsidR="00F254AF" w:rsidRPr="00442FB9" w:rsidTr="00F254AF">
        <w:trPr>
          <w:tblHeader/>
        </w:trPr>
        <w:tc>
          <w:tcPr>
            <w:tcW w:w="5760" w:type="dxa"/>
          </w:tcPr>
          <w:p w:rsidR="00F254AF" w:rsidRPr="00442FB9" w:rsidRDefault="00F254AF" w:rsidP="00F254AF">
            <w:pPr>
              <w:pStyle w:val="tabletext"/>
              <w:rPr>
                <w:lang w:val="en-US" w:eastAsia="en-US"/>
              </w:rPr>
            </w:pPr>
            <w:r>
              <w:rPr>
                <w:lang w:val="en-US" w:eastAsia="en-US"/>
              </w:rPr>
              <w:t>Items 1 and 2, table item 6 in section 2(1) and Part 3 of Schedule 2, Clean Energy (Consequential Amendments) Act 2011</w:t>
            </w:r>
          </w:p>
        </w:tc>
        <w:tc>
          <w:tcPr>
            <w:tcW w:w="1980" w:type="dxa"/>
          </w:tcPr>
          <w:p w:rsidR="00F254AF" w:rsidRPr="00442FB9" w:rsidRDefault="00F254AF" w:rsidP="00F254AF">
            <w:pPr>
              <w:pStyle w:val="tabletext"/>
              <w:rPr>
                <w:lang w:val="en-US" w:eastAsia="en-US"/>
              </w:rPr>
            </w:pPr>
            <w:r>
              <w:rPr>
                <w:lang w:val="en-US" w:eastAsia="en-US"/>
              </w:rPr>
              <w:t>7.15</w:t>
            </w:r>
          </w:p>
        </w:tc>
      </w:tr>
      <w:tr w:rsidR="00F254AF" w:rsidRPr="00442FB9" w:rsidTr="00F254AF">
        <w:trPr>
          <w:tblHeader/>
        </w:trPr>
        <w:tc>
          <w:tcPr>
            <w:tcW w:w="5760" w:type="dxa"/>
          </w:tcPr>
          <w:p w:rsidR="00F254AF" w:rsidRDefault="00F254AF" w:rsidP="00F254AF">
            <w:pPr>
              <w:pStyle w:val="tabletext"/>
              <w:rPr>
                <w:lang w:val="en-US" w:eastAsia="en-US"/>
              </w:rPr>
            </w:pPr>
            <w:r>
              <w:rPr>
                <w:lang w:val="en-US" w:eastAsia="en-US"/>
              </w:rPr>
              <w:t>Items 3 and 5, table item 24 in sections 67-23 and section 995-1(1), ITAA 1997</w:t>
            </w:r>
          </w:p>
        </w:tc>
        <w:tc>
          <w:tcPr>
            <w:tcW w:w="1980" w:type="dxa"/>
          </w:tcPr>
          <w:p w:rsidR="00F254AF" w:rsidRDefault="00F254AF" w:rsidP="00F254AF">
            <w:pPr>
              <w:pStyle w:val="tabletext"/>
              <w:rPr>
                <w:lang w:val="en-US" w:eastAsia="en-US"/>
              </w:rPr>
            </w:pPr>
            <w:r>
              <w:rPr>
                <w:lang w:val="en-US" w:eastAsia="en-US"/>
              </w:rPr>
              <w:t>7.14</w:t>
            </w:r>
          </w:p>
        </w:tc>
      </w:tr>
      <w:tr w:rsidR="00F254AF" w:rsidRPr="00442FB9" w:rsidTr="00F254AF">
        <w:trPr>
          <w:tblHeader/>
        </w:trPr>
        <w:tc>
          <w:tcPr>
            <w:tcW w:w="5760" w:type="dxa"/>
          </w:tcPr>
          <w:p w:rsidR="00F254AF" w:rsidRDefault="00F254AF" w:rsidP="00F254AF">
            <w:pPr>
              <w:pStyle w:val="tabletext"/>
              <w:rPr>
                <w:lang w:val="en-US" w:eastAsia="en-US"/>
              </w:rPr>
            </w:pPr>
            <w:r>
              <w:rPr>
                <w:lang w:val="en-US" w:eastAsia="en-US"/>
              </w:rPr>
              <w:t>Item 4, Subdivision 385-J, ITAA 1997</w:t>
            </w:r>
          </w:p>
        </w:tc>
        <w:tc>
          <w:tcPr>
            <w:tcW w:w="1980" w:type="dxa"/>
          </w:tcPr>
          <w:p w:rsidR="00F254AF" w:rsidRDefault="00F254AF" w:rsidP="00F254AF">
            <w:pPr>
              <w:pStyle w:val="tabletext"/>
              <w:rPr>
                <w:lang w:val="en-US" w:eastAsia="en-US"/>
              </w:rPr>
            </w:pPr>
            <w:r>
              <w:rPr>
                <w:lang w:val="en-US" w:eastAsia="en-US"/>
              </w:rPr>
              <w:t>7.13</w:t>
            </w:r>
          </w:p>
        </w:tc>
      </w:tr>
      <w:tr w:rsidR="00F254AF" w:rsidRPr="00442FB9" w:rsidTr="00F254AF">
        <w:trPr>
          <w:tblHeader/>
        </w:trPr>
        <w:tc>
          <w:tcPr>
            <w:tcW w:w="5760" w:type="dxa"/>
          </w:tcPr>
          <w:p w:rsidR="00F254AF" w:rsidRDefault="00F254AF" w:rsidP="00F254AF">
            <w:pPr>
              <w:pStyle w:val="tabletext"/>
              <w:rPr>
                <w:lang w:val="en-US" w:eastAsia="en-US"/>
              </w:rPr>
            </w:pPr>
            <w:r>
              <w:rPr>
                <w:lang w:val="en-US" w:eastAsia="en-US"/>
              </w:rPr>
              <w:t>Item 6</w:t>
            </w:r>
          </w:p>
        </w:tc>
        <w:tc>
          <w:tcPr>
            <w:tcW w:w="1980" w:type="dxa"/>
          </w:tcPr>
          <w:p w:rsidR="00F254AF" w:rsidRDefault="00F254AF" w:rsidP="00F254AF">
            <w:pPr>
              <w:pStyle w:val="tabletext"/>
              <w:rPr>
                <w:lang w:val="en-US" w:eastAsia="en-US"/>
              </w:rPr>
            </w:pPr>
            <w:r>
              <w:rPr>
                <w:lang w:val="en-US" w:eastAsia="en-US"/>
              </w:rPr>
              <w:t>7.16</w:t>
            </w:r>
          </w:p>
        </w:tc>
      </w:tr>
      <w:tr w:rsidR="00F254AF" w:rsidRPr="00442FB9" w:rsidTr="00F254AF">
        <w:trPr>
          <w:tblHeader/>
        </w:trPr>
        <w:tc>
          <w:tcPr>
            <w:tcW w:w="5760" w:type="dxa"/>
          </w:tcPr>
          <w:p w:rsidR="00F254AF" w:rsidRDefault="00F254AF" w:rsidP="00F254AF">
            <w:pPr>
              <w:pStyle w:val="tabletext"/>
              <w:rPr>
                <w:lang w:val="en-US" w:eastAsia="en-US"/>
              </w:rPr>
            </w:pPr>
            <w:r>
              <w:rPr>
                <w:lang w:val="en-US" w:eastAsia="en-US"/>
              </w:rPr>
              <w:t>Items 6 and 7</w:t>
            </w:r>
          </w:p>
        </w:tc>
        <w:tc>
          <w:tcPr>
            <w:tcW w:w="1980" w:type="dxa"/>
          </w:tcPr>
          <w:p w:rsidR="00F254AF" w:rsidRDefault="00F254AF" w:rsidP="00F254AF">
            <w:pPr>
              <w:pStyle w:val="tabletext"/>
              <w:rPr>
                <w:lang w:val="en-US" w:eastAsia="en-US"/>
              </w:rPr>
            </w:pPr>
            <w:r>
              <w:rPr>
                <w:lang w:val="en-US" w:eastAsia="en-US"/>
              </w:rPr>
              <w:t>7.18</w:t>
            </w:r>
          </w:p>
        </w:tc>
      </w:tr>
      <w:tr w:rsidR="00F254AF" w:rsidRPr="00442FB9" w:rsidTr="00F254AF">
        <w:trPr>
          <w:tblHeader/>
        </w:trPr>
        <w:tc>
          <w:tcPr>
            <w:tcW w:w="5760" w:type="dxa"/>
          </w:tcPr>
          <w:p w:rsidR="00F254AF" w:rsidRDefault="00F254AF" w:rsidP="00F254AF">
            <w:pPr>
              <w:pStyle w:val="tabletext"/>
              <w:rPr>
                <w:lang w:val="en-US" w:eastAsia="en-US"/>
              </w:rPr>
            </w:pPr>
            <w:r>
              <w:rPr>
                <w:lang w:val="en-US" w:eastAsia="en-US"/>
              </w:rPr>
              <w:t>Item 7</w:t>
            </w:r>
          </w:p>
        </w:tc>
        <w:tc>
          <w:tcPr>
            <w:tcW w:w="1980" w:type="dxa"/>
          </w:tcPr>
          <w:p w:rsidR="00F254AF" w:rsidRDefault="00F254AF" w:rsidP="00F254AF">
            <w:pPr>
              <w:pStyle w:val="tabletext"/>
              <w:rPr>
                <w:lang w:val="en-US" w:eastAsia="en-US"/>
              </w:rPr>
            </w:pPr>
            <w:r>
              <w:rPr>
                <w:lang w:val="en-US" w:eastAsia="en-US"/>
              </w:rPr>
              <w:t>7.17</w:t>
            </w:r>
          </w:p>
        </w:tc>
      </w:tr>
    </w:tbl>
    <w:p w:rsidR="00550D5E" w:rsidRPr="00550D5E" w:rsidRDefault="00550D5E" w:rsidP="00550D5E"/>
    <w:p w:rsidR="00AE2F29" w:rsidRDefault="00550D5E" w:rsidP="00AE2F29">
      <w:pPr>
        <w:pStyle w:val="Heading2with18pointafter"/>
        <w:rPr>
          <w:noProof/>
        </w:rPr>
      </w:pPr>
      <w:r>
        <w:t xml:space="preserve">Main Repeal Bill Schedule 4:  </w:t>
      </w:r>
      <w:r>
        <w:rPr>
          <w:noProof/>
        </w:rPr>
        <w:t>Repeal of the Steel Transformation Plan Act 2011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F254AF" w:rsidRPr="00442FB9" w:rsidTr="00F254AF">
        <w:trPr>
          <w:tblHeader/>
        </w:trPr>
        <w:tc>
          <w:tcPr>
            <w:tcW w:w="5760" w:type="dxa"/>
          </w:tcPr>
          <w:p w:rsidR="00F254AF" w:rsidRPr="00442FB9" w:rsidRDefault="00F254AF" w:rsidP="00F254AF">
            <w:pPr>
              <w:pStyle w:val="tableheaderwithintable"/>
              <w:rPr>
                <w:lang w:val="en-US" w:eastAsia="en-US"/>
              </w:rPr>
            </w:pPr>
            <w:r w:rsidRPr="00442FB9">
              <w:rPr>
                <w:lang w:val="en-US" w:eastAsia="en-US"/>
              </w:rPr>
              <w:t>Bill reference</w:t>
            </w:r>
          </w:p>
        </w:tc>
        <w:tc>
          <w:tcPr>
            <w:tcW w:w="1980" w:type="dxa"/>
          </w:tcPr>
          <w:p w:rsidR="00F254AF" w:rsidRPr="00442FB9" w:rsidRDefault="00F254AF" w:rsidP="00F254AF">
            <w:pPr>
              <w:pStyle w:val="tableheaderwithintable"/>
              <w:rPr>
                <w:lang w:val="en-US" w:eastAsia="en-US"/>
              </w:rPr>
            </w:pPr>
            <w:r w:rsidRPr="00442FB9">
              <w:rPr>
                <w:lang w:val="en-US" w:eastAsia="en-US"/>
              </w:rPr>
              <w:t>Paragraph number</w:t>
            </w:r>
          </w:p>
        </w:tc>
      </w:tr>
      <w:tr w:rsidR="00F254AF" w:rsidRPr="00442FB9" w:rsidTr="00F254AF">
        <w:trPr>
          <w:tblHeader/>
        </w:trPr>
        <w:tc>
          <w:tcPr>
            <w:tcW w:w="5760" w:type="dxa"/>
          </w:tcPr>
          <w:p w:rsidR="00F254AF" w:rsidRPr="00442FB9" w:rsidRDefault="00F254AF" w:rsidP="00F254AF">
            <w:pPr>
              <w:pStyle w:val="tabletext"/>
              <w:rPr>
                <w:lang w:val="en-US" w:eastAsia="en-US"/>
              </w:rPr>
            </w:pPr>
            <w:r>
              <w:rPr>
                <w:lang w:val="en-US" w:eastAsia="en-US"/>
              </w:rPr>
              <w:t>Item 1</w:t>
            </w:r>
          </w:p>
        </w:tc>
        <w:tc>
          <w:tcPr>
            <w:tcW w:w="1980" w:type="dxa"/>
          </w:tcPr>
          <w:p w:rsidR="00F254AF" w:rsidRPr="00442FB9" w:rsidRDefault="00F254AF" w:rsidP="00F254AF">
            <w:pPr>
              <w:pStyle w:val="tabletext"/>
              <w:rPr>
                <w:lang w:val="en-US" w:eastAsia="en-US"/>
              </w:rPr>
            </w:pPr>
            <w:r>
              <w:rPr>
                <w:lang w:val="en-US" w:eastAsia="en-US"/>
              </w:rPr>
              <w:t>7.9</w:t>
            </w:r>
          </w:p>
        </w:tc>
      </w:tr>
      <w:tr w:rsidR="00F254AF" w:rsidRPr="00442FB9" w:rsidTr="00F254AF">
        <w:trPr>
          <w:tblHeader/>
        </w:trPr>
        <w:tc>
          <w:tcPr>
            <w:tcW w:w="5760" w:type="dxa"/>
          </w:tcPr>
          <w:p w:rsidR="00F254AF" w:rsidRDefault="00EF237D" w:rsidP="00EF237D">
            <w:pPr>
              <w:pStyle w:val="tabletext"/>
              <w:rPr>
                <w:lang w:val="en-US" w:eastAsia="en-US"/>
              </w:rPr>
            </w:pPr>
            <w:r>
              <w:rPr>
                <w:lang w:val="en-US" w:eastAsia="en-US"/>
              </w:rPr>
              <w:t>Item 2</w:t>
            </w:r>
            <w:r w:rsidR="006F4087">
              <w:rPr>
                <w:lang w:val="en-US" w:eastAsia="en-US"/>
              </w:rPr>
              <w:t>,</w:t>
            </w:r>
            <w:r w:rsidR="00F254AF">
              <w:rPr>
                <w:lang w:val="en-US" w:eastAsia="en-US"/>
              </w:rPr>
              <w:t xml:space="preserve"> 1(a), (b) and (c) </w:t>
            </w:r>
          </w:p>
        </w:tc>
        <w:tc>
          <w:tcPr>
            <w:tcW w:w="1980" w:type="dxa"/>
          </w:tcPr>
          <w:p w:rsidR="00F254AF" w:rsidRDefault="00F254AF" w:rsidP="00F254AF">
            <w:pPr>
              <w:pStyle w:val="tabletext"/>
              <w:rPr>
                <w:lang w:val="en-US" w:eastAsia="en-US"/>
              </w:rPr>
            </w:pPr>
            <w:r>
              <w:rPr>
                <w:lang w:val="en-US" w:eastAsia="en-US"/>
              </w:rPr>
              <w:t>7.10</w:t>
            </w:r>
          </w:p>
        </w:tc>
      </w:tr>
      <w:tr w:rsidR="00F254AF" w:rsidRPr="00442FB9" w:rsidTr="00F254AF">
        <w:trPr>
          <w:tblHeader/>
        </w:trPr>
        <w:tc>
          <w:tcPr>
            <w:tcW w:w="5760" w:type="dxa"/>
          </w:tcPr>
          <w:p w:rsidR="00F254AF" w:rsidRDefault="00EF237D" w:rsidP="00EF237D">
            <w:pPr>
              <w:pStyle w:val="tabletext"/>
              <w:rPr>
                <w:lang w:val="en-US" w:eastAsia="en-US"/>
              </w:rPr>
            </w:pPr>
            <w:r>
              <w:rPr>
                <w:lang w:val="en-US" w:eastAsia="en-US"/>
              </w:rPr>
              <w:t>Item 2</w:t>
            </w:r>
            <w:r w:rsidR="006F4087">
              <w:rPr>
                <w:lang w:val="en-US" w:eastAsia="en-US"/>
              </w:rPr>
              <w:t>,</w:t>
            </w:r>
            <w:r>
              <w:rPr>
                <w:lang w:val="en-US" w:eastAsia="en-US"/>
              </w:rPr>
              <w:t xml:space="preserve"> </w:t>
            </w:r>
            <w:r w:rsidR="00F254AF">
              <w:rPr>
                <w:lang w:val="en-US" w:eastAsia="en-US"/>
              </w:rPr>
              <w:t xml:space="preserve">1(d) </w:t>
            </w:r>
          </w:p>
        </w:tc>
        <w:tc>
          <w:tcPr>
            <w:tcW w:w="1980" w:type="dxa"/>
          </w:tcPr>
          <w:p w:rsidR="00F254AF" w:rsidRDefault="00F254AF" w:rsidP="00F254AF">
            <w:pPr>
              <w:pStyle w:val="tabletext"/>
              <w:rPr>
                <w:lang w:val="en-US" w:eastAsia="en-US"/>
              </w:rPr>
            </w:pPr>
            <w:r>
              <w:rPr>
                <w:lang w:val="en-US" w:eastAsia="en-US"/>
              </w:rPr>
              <w:t>7.11</w:t>
            </w:r>
          </w:p>
        </w:tc>
      </w:tr>
      <w:tr w:rsidR="00F254AF" w:rsidRPr="00442FB9" w:rsidTr="00F254AF">
        <w:trPr>
          <w:tblHeader/>
        </w:trPr>
        <w:tc>
          <w:tcPr>
            <w:tcW w:w="5760" w:type="dxa"/>
          </w:tcPr>
          <w:p w:rsidR="00F254AF" w:rsidRDefault="006F4087" w:rsidP="006F4087">
            <w:pPr>
              <w:pStyle w:val="tabletext"/>
              <w:rPr>
                <w:lang w:val="en-US" w:eastAsia="en-US"/>
              </w:rPr>
            </w:pPr>
            <w:r>
              <w:rPr>
                <w:lang w:val="en-US" w:eastAsia="en-US"/>
              </w:rPr>
              <w:t xml:space="preserve">Item 2, </w:t>
            </w:r>
            <w:r w:rsidR="00F254AF">
              <w:rPr>
                <w:lang w:val="en-US" w:eastAsia="en-US"/>
              </w:rPr>
              <w:t>2</w:t>
            </w:r>
          </w:p>
        </w:tc>
        <w:tc>
          <w:tcPr>
            <w:tcW w:w="1980" w:type="dxa"/>
          </w:tcPr>
          <w:p w:rsidR="00F254AF" w:rsidRDefault="00F254AF" w:rsidP="00F254AF">
            <w:pPr>
              <w:pStyle w:val="tabletext"/>
              <w:rPr>
                <w:lang w:val="en-US" w:eastAsia="en-US"/>
              </w:rPr>
            </w:pPr>
            <w:r>
              <w:rPr>
                <w:lang w:val="en-US" w:eastAsia="en-US"/>
              </w:rPr>
              <w:t>7.12</w:t>
            </w:r>
          </w:p>
        </w:tc>
      </w:tr>
    </w:tbl>
    <w:p w:rsidR="00AE2F29" w:rsidRDefault="00550D5E" w:rsidP="00AE2F29">
      <w:pPr>
        <w:pStyle w:val="Heading2with18pointafter"/>
        <w:rPr>
          <w:noProof/>
        </w:rPr>
      </w:pPr>
      <w:r>
        <w:t xml:space="preserve">Main Repeal Bill Schedule 5:  </w:t>
      </w:r>
      <w:r>
        <w:rPr>
          <w:noProof/>
        </w:rPr>
        <w:t>Australian Renewable Energy Agency’s finances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715F32" w:rsidRPr="00442FB9" w:rsidTr="00C15219">
        <w:trPr>
          <w:tblHeader/>
        </w:trPr>
        <w:tc>
          <w:tcPr>
            <w:tcW w:w="5760" w:type="dxa"/>
          </w:tcPr>
          <w:p w:rsidR="00715F32" w:rsidRPr="00442FB9" w:rsidRDefault="00715F32" w:rsidP="00C15219">
            <w:pPr>
              <w:pStyle w:val="tableheaderwithintable"/>
              <w:rPr>
                <w:lang w:val="en-US" w:eastAsia="en-US"/>
              </w:rPr>
            </w:pPr>
            <w:r w:rsidRPr="00442FB9">
              <w:rPr>
                <w:lang w:val="en-US" w:eastAsia="en-US"/>
              </w:rPr>
              <w:t>Bill reference</w:t>
            </w:r>
          </w:p>
        </w:tc>
        <w:tc>
          <w:tcPr>
            <w:tcW w:w="1980" w:type="dxa"/>
          </w:tcPr>
          <w:p w:rsidR="00715F32" w:rsidRPr="00442FB9" w:rsidRDefault="00715F32" w:rsidP="00C15219">
            <w:pPr>
              <w:pStyle w:val="tableheaderwithintable"/>
              <w:rPr>
                <w:lang w:val="en-US" w:eastAsia="en-US"/>
              </w:rPr>
            </w:pPr>
            <w:r w:rsidRPr="00442FB9">
              <w:rPr>
                <w:lang w:val="en-US" w:eastAsia="en-US"/>
              </w:rPr>
              <w:t>Paragraph number</w:t>
            </w:r>
          </w:p>
        </w:tc>
      </w:tr>
      <w:tr w:rsidR="00715F32" w:rsidRPr="00442FB9" w:rsidTr="00C15219">
        <w:trPr>
          <w:tblHeader/>
        </w:trPr>
        <w:tc>
          <w:tcPr>
            <w:tcW w:w="5760" w:type="dxa"/>
          </w:tcPr>
          <w:p w:rsidR="00715F32" w:rsidRPr="00442FB9" w:rsidRDefault="00715F32" w:rsidP="00C15219">
            <w:pPr>
              <w:pStyle w:val="tabletext"/>
              <w:rPr>
                <w:lang w:val="en-US" w:eastAsia="en-US"/>
              </w:rPr>
            </w:pPr>
            <w:r>
              <w:rPr>
                <w:lang w:val="en-US" w:eastAsia="en-US"/>
              </w:rPr>
              <w:t>Item 1, section 64(1)(table), ARENA Act</w:t>
            </w:r>
          </w:p>
        </w:tc>
        <w:tc>
          <w:tcPr>
            <w:tcW w:w="1980" w:type="dxa"/>
          </w:tcPr>
          <w:p w:rsidR="00715F32" w:rsidRPr="00442FB9" w:rsidRDefault="00715F32" w:rsidP="00C15219">
            <w:pPr>
              <w:pStyle w:val="tabletext"/>
              <w:rPr>
                <w:lang w:val="en-US" w:eastAsia="en-US"/>
              </w:rPr>
            </w:pPr>
            <w:r>
              <w:rPr>
                <w:lang w:val="en-US" w:eastAsia="en-US"/>
              </w:rPr>
              <w:t>7.19</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Items 2 and 3, sections 64(3)-(6) and 65(4)(note), ARENA Act</w:t>
            </w:r>
          </w:p>
        </w:tc>
        <w:tc>
          <w:tcPr>
            <w:tcW w:w="1980" w:type="dxa"/>
          </w:tcPr>
          <w:p w:rsidR="00715F32" w:rsidRDefault="00715F32" w:rsidP="00C15219">
            <w:pPr>
              <w:pStyle w:val="tabletext"/>
              <w:rPr>
                <w:lang w:val="en-US" w:eastAsia="en-US"/>
              </w:rPr>
            </w:pPr>
            <w:r>
              <w:rPr>
                <w:lang w:val="en-US" w:eastAsia="en-US"/>
              </w:rPr>
              <w:t>7.21</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Item 4</w:t>
            </w:r>
          </w:p>
        </w:tc>
        <w:tc>
          <w:tcPr>
            <w:tcW w:w="1980" w:type="dxa"/>
          </w:tcPr>
          <w:p w:rsidR="00715F32" w:rsidRDefault="00715F32" w:rsidP="00C15219">
            <w:pPr>
              <w:pStyle w:val="tabletext"/>
              <w:rPr>
                <w:lang w:val="en-US" w:eastAsia="en-US"/>
              </w:rPr>
            </w:pPr>
            <w:r>
              <w:rPr>
                <w:lang w:val="en-US" w:eastAsia="en-US"/>
              </w:rPr>
              <w:t>7.23</w:t>
            </w:r>
          </w:p>
        </w:tc>
      </w:tr>
    </w:tbl>
    <w:p w:rsidR="00550D5E" w:rsidRDefault="00550D5E" w:rsidP="00550D5E">
      <w:pPr>
        <w:pStyle w:val="Heading2with18pointafter"/>
      </w:pPr>
      <w:r>
        <w:t>True</w:t>
      </w:r>
      <w:r>
        <w:noBreakHyphen/>
        <w:t>up Shortfall Levy (General) Bill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715F32" w:rsidRPr="00442FB9" w:rsidTr="00C15219">
        <w:trPr>
          <w:tblHeader/>
        </w:trPr>
        <w:tc>
          <w:tcPr>
            <w:tcW w:w="5760" w:type="dxa"/>
          </w:tcPr>
          <w:p w:rsidR="00715F32" w:rsidRPr="00442FB9" w:rsidRDefault="00715F32" w:rsidP="00C15219">
            <w:pPr>
              <w:pStyle w:val="tableheaderwithintable"/>
              <w:rPr>
                <w:lang w:val="en-US" w:eastAsia="en-US"/>
              </w:rPr>
            </w:pPr>
            <w:r w:rsidRPr="00442FB9">
              <w:rPr>
                <w:lang w:val="en-US" w:eastAsia="en-US"/>
              </w:rPr>
              <w:t>Bill reference</w:t>
            </w:r>
          </w:p>
        </w:tc>
        <w:tc>
          <w:tcPr>
            <w:tcW w:w="1980" w:type="dxa"/>
          </w:tcPr>
          <w:p w:rsidR="00715F32" w:rsidRPr="00442FB9" w:rsidRDefault="00715F32" w:rsidP="00C15219">
            <w:pPr>
              <w:pStyle w:val="tableheaderwithintable"/>
              <w:rPr>
                <w:lang w:val="en-US" w:eastAsia="en-US"/>
              </w:rPr>
            </w:pPr>
            <w:r w:rsidRPr="00442FB9">
              <w:rPr>
                <w:lang w:val="en-US" w:eastAsia="en-US"/>
              </w:rPr>
              <w:t>Paragraph number</w:t>
            </w:r>
          </w:p>
        </w:tc>
      </w:tr>
      <w:tr w:rsidR="00715F32" w:rsidRPr="00442FB9" w:rsidTr="00C15219">
        <w:trPr>
          <w:tblHeader/>
        </w:trPr>
        <w:tc>
          <w:tcPr>
            <w:tcW w:w="5760" w:type="dxa"/>
          </w:tcPr>
          <w:p w:rsidR="00715F32" w:rsidRPr="00442FB9" w:rsidRDefault="00715F32" w:rsidP="00C15219">
            <w:pPr>
              <w:pStyle w:val="tabletext"/>
              <w:rPr>
                <w:lang w:val="en-US" w:eastAsia="en-US"/>
              </w:rPr>
            </w:pPr>
            <w:r>
              <w:rPr>
                <w:lang w:val="en-US" w:eastAsia="en-US"/>
              </w:rPr>
              <w:t>Clause 1</w:t>
            </w:r>
          </w:p>
        </w:tc>
        <w:tc>
          <w:tcPr>
            <w:tcW w:w="1980" w:type="dxa"/>
          </w:tcPr>
          <w:p w:rsidR="00715F32" w:rsidRPr="00442FB9" w:rsidRDefault="00715F32" w:rsidP="00C15219">
            <w:pPr>
              <w:pStyle w:val="tabletext"/>
              <w:rPr>
                <w:lang w:val="en-US" w:eastAsia="en-US"/>
              </w:rPr>
            </w:pPr>
            <w:r>
              <w:rPr>
                <w:lang w:val="en-US" w:eastAsia="en-US"/>
              </w:rPr>
              <w:t>1.55</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 2</w:t>
            </w:r>
          </w:p>
        </w:tc>
        <w:tc>
          <w:tcPr>
            <w:tcW w:w="1980" w:type="dxa"/>
          </w:tcPr>
          <w:p w:rsidR="00715F32" w:rsidRDefault="00715F32" w:rsidP="00C15219">
            <w:pPr>
              <w:pStyle w:val="tabletext"/>
              <w:rPr>
                <w:lang w:val="en-US" w:eastAsia="en-US"/>
              </w:rPr>
            </w:pPr>
            <w:r>
              <w:rPr>
                <w:lang w:val="en-US" w:eastAsia="en-US"/>
              </w:rPr>
              <w:t>1.59</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 3</w:t>
            </w:r>
          </w:p>
        </w:tc>
        <w:tc>
          <w:tcPr>
            <w:tcW w:w="1980" w:type="dxa"/>
          </w:tcPr>
          <w:p w:rsidR="00715F32" w:rsidRDefault="00715F32" w:rsidP="00C15219">
            <w:pPr>
              <w:pStyle w:val="tabletext"/>
              <w:rPr>
                <w:lang w:val="en-US" w:eastAsia="en-US"/>
              </w:rPr>
            </w:pPr>
            <w:r>
              <w:rPr>
                <w:lang w:val="en-US" w:eastAsia="en-US"/>
              </w:rPr>
              <w:t>1.61</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 4</w:t>
            </w:r>
          </w:p>
        </w:tc>
        <w:tc>
          <w:tcPr>
            <w:tcW w:w="1980" w:type="dxa"/>
          </w:tcPr>
          <w:p w:rsidR="00715F32" w:rsidRDefault="00715F32" w:rsidP="00C15219">
            <w:pPr>
              <w:pStyle w:val="tabletext"/>
              <w:rPr>
                <w:lang w:val="en-US" w:eastAsia="en-US"/>
              </w:rPr>
            </w:pPr>
            <w:r>
              <w:rPr>
                <w:lang w:val="en-US" w:eastAsia="en-US"/>
              </w:rPr>
              <w:t>1.63</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Clauses 4 and 9</w:t>
            </w:r>
          </w:p>
        </w:tc>
        <w:tc>
          <w:tcPr>
            <w:tcW w:w="1980" w:type="dxa"/>
          </w:tcPr>
          <w:p w:rsidR="00715F32" w:rsidRDefault="00715F32" w:rsidP="00C15219">
            <w:pPr>
              <w:pStyle w:val="tabletext"/>
              <w:rPr>
                <w:lang w:val="en-US" w:eastAsia="en-US"/>
              </w:rPr>
            </w:pPr>
            <w:r>
              <w:rPr>
                <w:lang w:val="en-US" w:eastAsia="en-US"/>
              </w:rPr>
              <w:t>1.62</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Clauses 5 to 7</w:t>
            </w:r>
          </w:p>
        </w:tc>
        <w:tc>
          <w:tcPr>
            <w:tcW w:w="1980" w:type="dxa"/>
          </w:tcPr>
          <w:p w:rsidR="00715F32" w:rsidRDefault="00715F32" w:rsidP="00C15219">
            <w:pPr>
              <w:pStyle w:val="tabletext"/>
              <w:rPr>
                <w:lang w:val="en-US" w:eastAsia="en-US"/>
              </w:rPr>
            </w:pPr>
            <w:r>
              <w:rPr>
                <w:lang w:val="en-US" w:eastAsia="en-US"/>
              </w:rPr>
              <w:t>1.62</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 8</w:t>
            </w:r>
          </w:p>
        </w:tc>
        <w:tc>
          <w:tcPr>
            <w:tcW w:w="1980" w:type="dxa"/>
          </w:tcPr>
          <w:p w:rsidR="00715F32" w:rsidRDefault="00715F32" w:rsidP="00C15219">
            <w:pPr>
              <w:pStyle w:val="tabletext"/>
              <w:rPr>
                <w:lang w:val="en-US" w:eastAsia="en-US"/>
              </w:rPr>
            </w:pPr>
            <w:r>
              <w:rPr>
                <w:lang w:val="en-US" w:eastAsia="en-US"/>
              </w:rPr>
              <w:t>1.55</w:t>
            </w:r>
          </w:p>
        </w:tc>
      </w:tr>
    </w:tbl>
    <w:p w:rsidR="00D33893" w:rsidRDefault="00D33893" w:rsidP="00550D5E">
      <w:pPr>
        <w:pStyle w:val="Heading2with18pointafter"/>
      </w:pPr>
    </w:p>
    <w:p w:rsidR="00D33893" w:rsidRDefault="00D33893">
      <w:pPr>
        <w:spacing w:before="0" w:after="0"/>
        <w:rPr>
          <w:rFonts w:ascii="Helvetica" w:hAnsi="Helvetica"/>
          <w:b/>
          <w:sz w:val="26"/>
        </w:rPr>
      </w:pPr>
      <w:r>
        <w:br w:type="page"/>
      </w:r>
    </w:p>
    <w:p w:rsidR="00550D5E" w:rsidRDefault="00550D5E" w:rsidP="00550D5E">
      <w:pPr>
        <w:pStyle w:val="Heading2with18pointafter"/>
      </w:pPr>
      <w:r>
        <w:t>True</w:t>
      </w:r>
      <w:r>
        <w:noBreakHyphen/>
        <w:t>up Shortfall Levy (</w:t>
      </w:r>
      <w:r w:rsidR="004067EC">
        <w:t>Excise</w:t>
      </w:r>
      <w:r>
        <w:t>) Bill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715F32" w:rsidRPr="00442FB9" w:rsidTr="00C15219">
        <w:trPr>
          <w:tblHeader/>
        </w:trPr>
        <w:tc>
          <w:tcPr>
            <w:tcW w:w="5760" w:type="dxa"/>
          </w:tcPr>
          <w:p w:rsidR="00715F32" w:rsidRPr="00442FB9" w:rsidRDefault="00715F32" w:rsidP="00C15219">
            <w:pPr>
              <w:pStyle w:val="tableheaderwithintable"/>
              <w:rPr>
                <w:lang w:val="en-US" w:eastAsia="en-US"/>
              </w:rPr>
            </w:pPr>
            <w:r w:rsidRPr="00442FB9">
              <w:rPr>
                <w:lang w:val="en-US" w:eastAsia="en-US"/>
              </w:rPr>
              <w:t>Bill reference</w:t>
            </w:r>
          </w:p>
        </w:tc>
        <w:tc>
          <w:tcPr>
            <w:tcW w:w="1980" w:type="dxa"/>
          </w:tcPr>
          <w:p w:rsidR="00715F32" w:rsidRPr="00442FB9" w:rsidRDefault="00715F32" w:rsidP="00C15219">
            <w:pPr>
              <w:pStyle w:val="tableheaderwithintable"/>
              <w:rPr>
                <w:lang w:val="en-US" w:eastAsia="en-US"/>
              </w:rPr>
            </w:pPr>
            <w:r w:rsidRPr="00442FB9">
              <w:rPr>
                <w:lang w:val="en-US" w:eastAsia="en-US"/>
              </w:rPr>
              <w:t>Paragraph number</w:t>
            </w:r>
          </w:p>
        </w:tc>
      </w:tr>
      <w:tr w:rsidR="00715F32" w:rsidRPr="00442FB9" w:rsidTr="00C15219">
        <w:trPr>
          <w:tblHeader/>
        </w:trPr>
        <w:tc>
          <w:tcPr>
            <w:tcW w:w="5760" w:type="dxa"/>
          </w:tcPr>
          <w:p w:rsidR="00715F32" w:rsidRPr="00442FB9" w:rsidRDefault="00715F32" w:rsidP="00C15219">
            <w:pPr>
              <w:pStyle w:val="tabletext"/>
              <w:rPr>
                <w:lang w:val="en-US" w:eastAsia="en-US"/>
              </w:rPr>
            </w:pPr>
            <w:r>
              <w:rPr>
                <w:lang w:val="en-US" w:eastAsia="en-US"/>
              </w:rPr>
              <w:t>Clause 1</w:t>
            </w:r>
          </w:p>
        </w:tc>
        <w:tc>
          <w:tcPr>
            <w:tcW w:w="1980" w:type="dxa"/>
          </w:tcPr>
          <w:p w:rsidR="00715F32" w:rsidRPr="00442FB9" w:rsidRDefault="00715F32" w:rsidP="00C15219">
            <w:pPr>
              <w:pStyle w:val="tabletext"/>
              <w:rPr>
                <w:lang w:val="en-US" w:eastAsia="en-US"/>
              </w:rPr>
            </w:pPr>
            <w:r>
              <w:rPr>
                <w:lang w:val="en-US" w:eastAsia="en-US"/>
              </w:rPr>
              <w:t>1.55</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 2</w:t>
            </w:r>
          </w:p>
        </w:tc>
        <w:tc>
          <w:tcPr>
            <w:tcW w:w="1980" w:type="dxa"/>
          </w:tcPr>
          <w:p w:rsidR="00715F32" w:rsidRDefault="00715F32" w:rsidP="00C15219">
            <w:pPr>
              <w:pStyle w:val="tabletext"/>
              <w:rPr>
                <w:lang w:val="en-US" w:eastAsia="en-US"/>
              </w:rPr>
            </w:pPr>
            <w:r>
              <w:rPr>
                <w:lang w:val="en-US" w:eastAsia="en-US"/>
              </w:rPr>
              <w:t>1.59</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 3</w:t>
            </w:r>
          </w:p>
        </w:tc>
        <w:tc>
          <w:tcPr>
            <w:tcW w:w="1980" w:type="dxa"/>
          </w:tcPr>
          <w:p w:rsidR="00715F32" w:rsidRDefault="00715F32" w:rsidP="00C15219">
            <w:pPr>
              <w:pStyle w:val="tabletext"/>
              <w:rPr>
                <w:lang w:val="en-US" w:eastAsia="en-US"/>
              </w:rPr>
            </w:pPr>
            <w:r>
              <w:rPr>
                <w:lang w:val="en-US" w:eastAsia="en-US"/>
              </w:rPr>
              <w:t>1.61</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 4</w:t>
            </w:r>
          </w:p>
        </w:tc>
        <w:tc>
          <w:tcPr>
            <w:tcW w:w="1980" w:type="dxa"/>
          </w:tcPr>
          <w:p w:rsidR="00715F32" w:rsidRDefault="00715F32" w:rsidP="00C15219">
            <w:pPr>
              <w:pStyle w:val="tabletext"/>
              <w:rPr>
                <w:lang w:val="en-US" w:eastAsia="en-US"/>
              </w:rPr>
            </w:pPr>
            <w:r>
              <w:rPr>
                <w:lang w:val="en-US" w:eastAsia="en-US"/>
              </w:rPr>
              <w:t>1.63</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Clauses 4 and 9</w:t>
            </w:r>
          </w:p>
        </w:tc>
        <w:tc>
          <w:tcPr>
            <w:tcW w:w="1980" w:type="dxa"/>
          </w:tcPr>
          <w:p w:rsidR="00715F32" w:rsidRDefault="00715F32" w:rsidP="00C15219">
            <w:pPr>
              <w:pStyle w:val="tabletext"/>
              <w:rPr>
                <w:lang w:val="en-US" w:eastAsia="en-US"/>
              </w:rPr>
            </w:pPr>
            <w:r>
              <w:rPr>
                <w:lang w:val="en-US" w:eastAsia="en-US"/>
              </w:rPr>
              <w:t>1.62</w:t>
            </w:r>
          </w:p>
        </w:tc>
      </w:tr>
      <w:tr w:rsidR="00715F32" w:rsidRPr="00442FB9" w:rsidTr="00C15219">
        <w:trPr>
          <w:tblHeader/>
        </w:trPr>
        <w:tc>
          <w:tcPr>
            <w:tcW w:w="5760" w:type="dxa"/>
          </w:tcPr>
          <w:p w:rsidR="00715F32" w:rsidRDefault="00494EE6" w:rsidP="00C15219">
            <w:pPr>
              <w:pStyle w:val="tabletext"/>
              <w:rPr>
                <w:lang w:val="en-US" w:eastAsia="en-US"/>
              </w:rPr>
            </w:pPr>
            <w:r>
              <w:rPr>
                <w:lang w:val="en-US" w:eastAsia="en-US"/>
              </w:rPr>
              <w:t>C</w:t>
            </w:r>
            <w:r w:rsidR="00715F32">
              <w:rPr>
                <w:lang w:val="en-US" w:eastAsia="en-US"/>
              </w:rPr>
              <w:t>lauses 5 to 7</w:t>
            </w:r>
          </w:p>
        </w:tc>
        <w:tc>
          <w:tcPr>
            <w:tcW w:w="1980" w:type="dxa"/>
          </w:tcPr>
          <w:p w:rsidR="00715F32" w:rsidRDefault="00715F32" w:rsidP="00C15219">
            <w:pPr>
              <w:pStyle w:val="tabletext"/>
              <w:rPr>
                <w:lang w:val="en-US" w:eastAsia="en-US"/>
              </w:rPr>
            </w:pPr>
            <w:r>
              <w:rPr>
                <w:lang w:val="en-US" w:eastAsia="en-US"/>
              </w:rPr>
              <w:t>1.62</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Clause 8</w:t>
            </w:r>
          </w:p>
        </w:tc>
        <w:tc>
          <w:tcPr>
            <w:tcW w:w="1980" w:type="dxa"/>
          </w:tcPr>
          <w:p w:rsidR="00715F32" w:rsidRDefault="00715F32" w:rsidP="00C15219">
            <w:pPr>
              <w:pStyle w:val="tabletext"/>
              <w:rPr>
                <w:lang w:val="en-US" w:eastAsia="en-US"/>
              </w:rPr>
            </w:pPr>
            <w:r>
              <w:rPr>
                <w:lang w:val="en-US" w:eastAsia="en-US"/>
              </w:rPr>
              <w:t>1.55</w:t>
            </w:r>
          </w:p>
        </w:tc>
      </w:tr>
    </w:tbl>
    <w:p w:rsidR="00550D5E" w:rsidRDefault="00550D5E" w:rsidP="00550D5E">
      <w:pPr>
        <w:pStyle w:val="Heading2with18pointafter"/>
      </w:pPr>
      <w:r>
        <w:t xml:space="preserve">Customs Tariff Amendment Bill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715F32" w:rsidRPr="00442FB9" w:rsidTr="00C15219">
        <w:trPr>
          <w:tblHeader/>
        </w:trPr>
        <w:tc>
          <w:tcPr>
            <w:tcW w:w="5760" w:type="dxa"/>
          </w:tcPr>
          <w:p w:rsidR="00715F32" w:rsidRPr="00442FB9" w:rsidRDefault="00715F32" w:rsidP="00C15219">
            <w:pPr>
              <w:pStyle w:val="tableheaderwithintable"/>
              <w:rPr>
                <w:lang w:val="en-US" w:eastAsia="en-US"/>
              </w:rPr>
            </w:pPr>
            <w:r w:rsidRPr="00442FB9">
              <w:rPr>
                <w:lang w:val="en-US" w:eastAsia="en-US"/>
              </w:rPr>
              <w:t>Bill reference</w:t>
            </w:r>
          </w:p>
        </w:tc>
        <w:tc>
          <w:tcPr>
            <w:tcW w:w="1980" w:type="dxa"/>
          </w:tcPr>
          <w:p w:rsidR="00715F32" w:rsidRPr="00442FB9" w:rsidRDefault="00715F32" w:rsidP="00C15219">
            <w:pPr>
              <w:pStyle w:val="tableheaderwithintable"/>
              <w:rPr>
                <w:lang w:val="en-US" w:eastAsia="en-US"/>
              </w:rPr>
            </w:pPr>
            <w:r w:rsidRPr="00442FB9">
              <w:rPr>
                <w:lang w:val="en-US" w:eastAsia="en-US"/>
              </w:rPr>
              <w:t>Paragraph number</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1</w:t>
            </w:r>
          </w:p>
        </w:tc>
        <w:tc>
          <w:tcPr>
            <w:tcW w:w="1980" w:type="dxa"/>
          </w:tcPr>
          <w:p w:rsidR="00494EE6" w:rsidRDefault="00494EE6" w:rsidP="00C15219">
            <w:pPr>
              <w:pStyle w:val="tabletext"/>
              <w:rPr>
                <w:lang w:val="en-US" w:eastAsia="en-US"/>
              </w:rPr>
            </w:pPr>
            <w:r>
              <w:rPr>
                <w:lang w:val="en-US" w:eastAsia="en-US"/>
              </w:rPr>
              <w:t>5.11</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2</w:t>
            </w:r>
          </w:p>
        </w:tc>
        <w:tc>
          <w:tcPr>
            <w:tcW w:w="1980" w:type="dxa"/>
          </w:tcPr>
          <w:p w:rsidR="00494EE6" w:rsidRDefault="00494EE6" w:rsidP="00C15219">
            <w:pPr>
              <w:pStyle w:val="tabletext"/>
              <w:rPr>
                <w:lang w:val="en-US" w:eastAsia="en-US"/>
              </w:rPr>
            </w:pPr>
            <w:r>
              <w:rPr>
                <w:lang w:val="en-US" w:eastAsia="en-US"/>
              </w:rPr>
              <w:t>5.13</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3</w:t>
            </w:r>
          </w:p>
        </w:tc>
        <w:tc>
          <w:tcPr>
            <w:tcW w:w="1980" w:type="dxa"/>
          </w:tcPr>
          <w:p w:rsidR="00494EE6" w:rsidRDefault="00494EE6" w:rsidP="00C15219">
            <w:pPr>
              <w:pStyle w:val="tabletext"/>
              <w:rPr>
                <w:lang w:val="en-US" w:eastAsia="en-US"/>
              </w:rPr>
            </w:pPr>
            <w:r>
              <w:rPr>
                <w:lang w:val="en-US" w:eastAsia="en-US"/>
              </w:rPr>
              <w:t>5.12</w:t>
            </w:r>
          </w:p>
        </w:tc>
      </w:tr>
      <w:tr w:rsidR="00715F32" w:rsidRPr="00442FB9" w:rsidTr="00C15219">
        <w:trPr>
          <w:tblHeader/>
        </w:trPr>
        <w:tc>
          <w:tcPr>
            <w:tcW w:w="5760" w:type="dxa"/>
          </w:tcPr>
          <w:p w:rsidR="00715F32" w:rsidRPr="00442FB9" w:rsidRDefault="00715F32" w:rsidP="00C15219">
            <w:pPr>
              <w:pStyle w:val="tabletext"/>
              <w:rPr>
                <w:lang w:val="en-US" w:eastAsia="en-US"/>
              </w:rPr>
            </w:pPr>
            <w:r>
              <w:rPr>
                <w:lang w:val="en-US" w:eastAsia="en-US"/>
              </w:rPr>
              <w:t>Item 1, section 19A, Customs Tariff Act 1995</w:t>
            </w:r>
          </w:p>
        </w:tc>
        <w:tc>
          <w:tcPr>
            <w:tcW w:w="1980" w:type="dxa"/>
          </w:tcPr>
          <w:p w:rsidR="00715F32" w:rsidRPr="00442FB9" w:rsidRDefault="00715F32" w:rsidP="00C15219">
            <w:pPr>
              <w:pStyle w:val="tabletext"/>
              <w:rPr>
                <w:lang w:val="en-US" w:eastAsia="en-US"/>
              </w:rPr>
            </w:pPr>
            <w:r>
              <w:rPr>
                <w:lang w:val="en-US" w:eastAsia="en-US"/>
              </w:rPr>
              <w:t>5.17</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Items 2 to 37, Schedule 3 (subheadings 2710.12.61, 2710.19.40, 2710.91.40, 2710.91.61, 2710.99.40 and 2710.99.61, column 3), Schedule 5 (cells at table items 60, 66, 76, 80, 88 and 92, column 3), Schedule 6 (cells at table item 63, 69, 79, 83, 91 and 95, column 3), Schedule 7 (cells at table item 62, 68, 78, 82, 90 and 94, column 3), Schedule 8 (cells at table item 68,74, 84, 88, 96 and 100, column 3), Schedule 9 (cells at table item 67, 74, 85, 89, 99 and 103, column 3), Customs Tariff Act 1995</w:t>
            </w:r>
          </w:p>
        </w:tc>
        <w:tc>
          <w:tcPr>
            <w:tcW w:w="1980" w:type="dxa"/>
          </w:tcPr>
          <w:p w:rsidR="00715F32" w:rsidRDefault="00715F32" w:rsidP="00C15219">
            <w:pPr>
              <w:pStyle w:val="tabletext"/>
              <w:rPr>
                <w:lang w:val="en-US" w:eastAsia="en-US"/>
              </w:rPr>
            </w:pPr>
            <w:r>
              <w:rPr>
                <w:lang w:val="en-US" w:eastAsia="en-US"/>
              </w:rPr>
              <w:t>5.16</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Item 38</w:t>
            </w:r>
          </w:p>
        </w:tc>
        <w:tc>
          <w:tcPr>
            <w:tcW w:w="1980" w:type="dxa"/>
          </w:tcPr>
          <w:p w:rsidR="00715F32" w:rsidRDefault="00715F32" w:rsidP="00C15219">
            <w:pPr>
              <w:pStyle w:val="tabletext"/>
              <w:rPr>
                <w:lang w:val="en-US" w:eastAsia="en-US"/>
              </w:rPr>
            </w:pPr>
            <w:r>
              <w:rPr>
                <w:lang w:val="en-US" w:eastAsia="en-US"/>
              </w:rPr>
              <w:t>5.27</w:t>
            </w:r>
          </w:p>
        </w:tc>
      </w:tr>
    </w:tbl>
    <w:p w:rsidR="006F4087" w:rsidRDefault="006F4087" w:rsidP="00550D5E">
      <w:pPr>
        <w:pStyle w:val="Heading2with18pointafter"/>
        <w:tabs>
          <w:tab w:val="right" w:pos="7710"/>
        </w:tabs>
      </w:pPr>
    </w:p>
    <w:p w:rsidR="006F4087" w:rsidRDefault="006F4087">
      <w:pPr>
        <w:spacing w:before="0" w:after="0"/>
        <w:rPr>
          <w:rFonts w:ascii="Helvetica" w:hAnsi="Helvetica"/>
          <w:b/>
          <w:sz w:val="26"/>
        </w:rPr>
      </w:pPr>
      <w:r>
        <w:br w:type="page"/>
      </w:r>
    </w:p>
    <w:p w:rsidR="00550D5E" w:rsidRDefault="00550D5E" w:rsidP="00550D5E">
      <w:pPr>
        <w:pStyle w:val="Heading2with18pointafter"/>
        <w:tabs>
          <w:tab w:val="right" w:pos="7710"/>
        </w:tabs>
      </w:pPr>
      <w:r>
        <w:t xml:space="preserve">Excise Amendment Bill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715F32" w:rsidRPr="00442FB9" w:rsidTr="00C15219">
        <w:trPr>
          <w:tblHeader/>
        </w:trPr>
        <w:tc>
          <w:tcPr>
            <w:tcW w:w="5760" w:type="dxa"/>
          </w:tcPr>
          <w:p w:rsidR="00715F32" w:rsidRPr="00442FB9" w:rsidRDefault="00715F32" w:rsidP="00C15219">
            <w:pPr>
              <w:pStyle w:val="tableheaderwithintable"/>
              <w:rPr>
                <w:lang w:val="en-US" w:eastAsia="en-US"/>
              </w:rPr>
            </w:pPr>
            <w:r w:rsidRPr="00442FB9">
              <w:rPr>
                <w:lang w:val="en-US" w:eastAsia="en-US"/>
              </w:rPr>
              <w:t>Bill reference</w:t>
            </w:r>
          </w:p>
        </w:tc>
        <w:tc>
          <w:tcPr>
            <w:tcW w:w="1980" w:type="dxa"/>
          </w:tcPr>
          <w:p w:rsidR="00715F32" w:rsidRPr="00442FB9" w:rsidRDefault="00715F32" w:rsidP="00C15219">
            <w:pPr>
              <w:pStyle w:val="tableheaderwithintable"/>
              <w:rPr>
                <w:lang w:val="en-US" w:eastAsia="en-US"/>
              </w:rPr>
            </w:pPr>
            <w:r w:rsidRPr="00442FB9">
              <w:rPr>
                <w:lang w:val="en-US" w:eastAsia="en-US"/>
              </w:rPr>
              <w:t>Paragraph number</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1</w:t>
            </w:r>
          </w:p>
        </w:tc>
        <w:tc>
          <w:tcPr>
            <w:tcW w:w="1980" w:type="dxa"/>
          </w:tcPr>
          <w:p w:rsidR="00494EE6" w:rsidRDefault="00494EE6" w:rsidP="00C15219">
            <w:pPr>
              <w:pStyle w:val="tabletext"/>
              <w:rPr>
                <w:lang w:val="en-US" w:eastAsia="en-US"/>
              </w:rPr>
            </w:pPr>
            <w:r>
              <w:rPr>
                <w:lang w:val="en-US" w:eastAsia="en-US"/>
              </w:rPr>
              <w:t>5.11</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2</w:t>
            </w:r>
          </w:p>
        </w:tc>
        <w:tc>
          <w:tcPr>
            <w:tcW w:w="1980" w:type="dxa"/>
          </w:tcPr>
          <w:p w:rsidR="00494EE6" w:rsidRDefault="00494EE6" w:rsidP="00C15219">
            <w:pPr>
              <w:pStyle w:val="tabletext"/>
              <w:rPr>
                <w:lang w:val="en-US" w:eastAsia="en-US"/>
              </w:rPr>
            </w:pPr>
            <w:r>
              <w:rPr>
                <w:lang w:val="en-US" w:eastAsia="en-US"/>
              </w:rPr>
              <w:t>5.13</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3</w:t>
            </w:r>
          </w:p>
        </w:tc>
        <w:tc>
          <w:tcPr>
            <w:tcW w:w="1980" w:type="dxa"/>
          </w:tcPr>
          <w:p w:rsidR="00494EE6" w:rsidRDefault="00494EE6" w:rsidP="00C15219">
            <w:pPr>
              <w:pStyle w:val="tabletext"/>
              <w:rPr>
                <w:lang w:val="en-US" w:eastAsia="en-US"/>
              </w:rPr>
            </w:pPr>
            <w:r>
              <w:rPr>
                <w:lang w:val="en-US" w:eastAsia="en-US"/>
              </w:rPr>
              <w:t>5.12</w:t>
            </w:r>
          </w:p>
        </w:tc>
      </w:tr>
      <w:tr w:rsidR="00715F32" w:rsidRPr="00442FB9" w:rsidTr="00C15219">
        <w:trPr>
          <w:tblHeader/>
        </w:trPr>
        <w:tc>
          <w:tcPr>
            <w:tcW w:w="5760" w:type="dxa"/>
          </w:tcPr>
          <w:p w:rsidR="00715F32" w:rsidRPr="00442FB9" w:rsidRDefault="00715F32" w:rsidP="00C15219">
            <w:pPr>
              <w:pStyle w:val="tabletext"/>
              <w:rPr>
                <w:lang w:val="en-US" w:eastAsia="en-US"/>
              </w:rPr>
            </w:pPr>
            <w:r>
              <w:rPr>
                <w:lang w:val="en-US" w:eastAsia="en-US"/>
              </w:rPr>
              <w:t>Items 1 to 5</w:t>
            </w:r>
            <w:r w:rsidR="00D5237C">
              <w:rPr>
                <w:lang w:val="en-US" w:eastAsia="en-US"/>
              </w:rPr>
              <w:t xml:space="preserve">, </w:t>
            </w:r>
            <w:r>
              <w:rPr>
                <w:lang w:val="en-US" w:eastAsia="en-US"/>
              </w:rPr>
              <w:t>sections 3(1) and 5(1) and sections 6FA, 6FB and 6FC, Excise Tariff Act 1921, Schedule (note 2 to Schedule heading and table heading) Excise Tariff Act 1921</w:t>
            </w:r>
          </w:p>
        </w:tc>
        <w:tc>
          <w:tcPr>
            <w:tcW w:w="1980" w:type="dxa"/>
          </w:tcPr>
          <w:p w:rsidR="00715F32" w:rsidRPr="00442FB9" w:rsidRDefault="00715F32" w:rsidP="00C15219">
            <w:pPr>
              <w:pStyle w:val="tabletext"/>
              <w:rPr>
                <w:lang w:val="en-US" w:eastAsia="en-US"/>
              </w:rPr>
            </w:pPr>
            <w:r>
              <w:rPr>
                <w:lang w:val="en-US" w:eastAsia="en-US"/>
              </w:rPr>
              <w:t>5.17</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Items 6 and 7, Schedule (cell at table subitem 10.6 and 10.17, column headed “Rate of Duty”), Excise Tariff Act 1921</w:t>
            </w:r>
          </w:p>
        </w:tc>
        <w:tc>
          <w:tcPr>
            <w:tcW w:w="1980" w:type="dxa"/>
          </w:tcPr>
          <w:p w:rsidR="00715F32" w:rsidRDefault="00715F32" w:rsidP="00C15219">
            <w:pPr>
              <w:pStyle w:val="tabletext"/>
              <w:rPr>
                <w:lang w:val="en-US" w:eastAsia="en-US"/>
              </w:rPr>
            </w:pPr>
            <w:r>
              <w:rPr>
                <w:lang w:val="en-US" w:eastAsia="en-US"/>
              </w:rPr>
              <w:t>5.16</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Item 8</w:t>
            </w:r>
          </w:p>
        </w:tc>
        <w:tc>
          <w:tcPr>
            <w:tcW w:w="1980" w:type="dxa"/>
          </w:tcPr>
          <w:p w:rsidR="00715F32" w:rsidRDefault="00715F32" w:rsidP="00C15219">
            <w:pPr>
              <w:pStyle w:val="tabletext"/>
              <w:rPr>
                <w:lang w:val="en-US" w:eastAsia="en-US"/>
              </w:rPr>
            </w:pPr>
            <w:r>
              <w:rPr>
                <w:lang w:val="en-US" w:eastAsia="en-US"/>
              </w:rPr>
              <w:t>5.26</w:t>
            </w:r>
          </w:p>
        </w:tc>
      </w:tr>
    </w:tbl>
    <w:p w:rsidR="00550D5E" w:rsidRDefault="00550D5E" w:rsidP="00550D5E">
      <w:pPr>
        <w:pStyle w:val="Heading2with18pointafter"/>
      </w:pPr>
      <w:r>
        <w:t xml:space="preserve">Ozone Import Amendment Bill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715F32" w:rsidRPr="00442FB9" w:rsidTr="00C15219">
        <w:trPr>
          <w:tblHeader/>
        </w:trPr>
        <w:tc>
          <w:tcPr>
            <w:tcW w:w="5760" w:type="dxa"/>
          </w:tcPr>
          <w:p w:rsidR="00715F32" w:rsidRPr="00442FB9" w:rsidRDefault="00715F32" w:rsidP="00C15219">
            <w:pPr>
              <w:pStyle w:val="tableheaderwithintable"/>
              <w:rPr>
                <w:lang w:val="en-US" w:eastAsia="en-US"/>
              </w:rPr>
            </w:pPr>
            <w:r w:rsidRPr="00442FB9">
              <w:rPr>
                <w:lang w:val="en-US" w:eastAsia="en-US"/>
              </w:rPr>
              <w:t>Bill reference</w:t>
            </w:r>
          </w:p>
        </w:tc>
        <w:tc>
          <w:tcPr>
            <w:tcW w:w="1980" w:type="dxa"/>
          </w:tcPr>
          <w:p w:rsidR="00715F32" w:rsidRPr="00442FB9" w:rsidRDefault="00715F32" w:rsidP="00C15219">
            <w:pPr>
              <w:pStyle w:val="tableheaderwithintable"/>
              <w:rPr>
                <w:lang w:val="en-US" w:eastAsia="en-US"/>
              </w:rPr>
            </w:pPr>
            <w:r w:rsidRPr="00442FB9">
              <w:rPr>
                <w:lang w:val="en-US" w:eastAsia="en-US"/>
              </w:rPr>
              <w:t>Paragraph number</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1</w:t>
            </w:r>
          </w:p>
        </w:tc>
        <w:tc>
          <w:tcPr>
            <w:tcW w:w="1980" w:type="dxa"/>
          </w:tcPr>
          <w:p w:rsidR="00494EE6" w:rsidRDefault="00494EE6" w:rsidP="00C15219">
            <w:pPr>
              <w:pStyle w:val="tabletext"/>
              <w:rPr>
                <w:lang w:val="en-US" w:eastAsia="en-US"/>
              </w:rPr>
            </w:pPr>
            <w:r>
              <w:rPr>
                <w:lang w:val="en-US" w:eastAsia="en-US"/>
              </w:rPr>
              <w:t>6.5</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2</w:t>
            </w:r>
          </w:p>
        </w:tc>
        <w:tc>
          <w:tcPr>
            <w:tcW w:w="1980" w:type="dxa"/>
          </w:tcPr>
          <w:p w:rsidR="00494EE6" w:rsidRDefault="00494EE6" w:rsidP="00C15219">
            <w:pPr>
              <w:pStyle w:val="tabletext"/>
              <w:rPr>
                <w:lang w:val="en-US" w:eastAsia="en-US"/>
              </w:rPr>
            </w:pPr>
            <w:r>
              <w:rPr>
                <w:lang w:val="en-US" w:eastAsia="en-US"/>
              </w:rPr>
              <w:t>6.7</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3</w:t>
            </w:r>
          </w:p>
        </w:tc>
        <w:tc>
          <w:tcPr>
            <w:tcW w:w="1980" w:type="dxa"/>
          </w:tcPr>
          <w:p w:rsidR="00494EE6" w:rsidRDefault="00494EE6" w:rsidP="00C15219">
            <w:pPr>
              <w:pStyle w:val="tabletext"/>
              <w:rPr>
                <w:lang w:val="en-US" w:eastAsia="en-US"/>
              </w:rPr>
            </w:pPr>
            <w:r>
              <w:rPr>
                <w:lang w:val="en-US" w:eastAsia="en-US"/>
              </w:rPr>
              <w:t>6.6</w:t>
            </w:r>
          </w:p>
        </w:tc>
      </w:tr>
      <w:tr w:rsidR="00715F32" w:rsidRPr="00442FB9" w:rsidTr="00C15219">
        <w:trPr>
          <w:tblHeader/>
        </w:trPr>
        <w:tc>
          <w:tcPr>
            <w:tcW w:w="5760" w:type="dxa"/>
          </w:tcPr>
          <w:p w:rsidR="00715F32" w:rsidRPr="00442FB9" w:rsidRDefault="00715F32" w:rsidP="00C15219">
            <w:pPr>
              <w:pStyle w:val="tabletext"/>
              <w:rPr>
                <w:lang w:val="en-US" w:eastAsia="en-US"/>
              </w:rPr>
            </w:pPr>
            <w:r>
              <w:rPr>
                <w:lang w:val="en-US" w:eastAsia="en-US"/>
              </w:rPr>
              <w:t xml:space="preserve">Items 1 to 9, 13 to 14, sections 2A, 2B, 3A and 4A, Ozone (Import Levy) Act </w:t>
            </w:r>
          </w:p>
        </w:tc>
        <w:tc>
          <w:tcPr>
            <w:tcW w:w="1980" w:type="dxa"/>
          </w:tcPr>
          <w:p w:rsidR="00715F32" w:rsidRPr="00442FB9" w:rsidRDefault="00715F32" w:rsidP="00C15219">
            <w:pPr>
              <w:pStyle w:val="tabletext"/>
              <w:rPr>
                <w:lang w:val="en-US" w:eastAsia="en-US"/>
              </w:rPr>
            </w:pPr>
            <w:r>
              <w:rPr>
                <w:lang w:val="en-US" w:eastAsia="en-US"/>
              </w:rPr>
              <w:t>6.8</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 xml:space="preserve">Items 9 and 13, sections 3A and 4A, Ozone (Import Levy) Act </w:t>
            </w:r>
          </w:p>
        </w:tc>
        <w:tc>
          <w:tcPr>
            <w:tcW w:w="1980" w:type="dxa"/>
          </w:tcPr>
          <w:p w:rsidR="00715F32" w:rsidRDefault="00715F32" w:rsidP="00C15219">
            <w:pPr>
              <w:pStyle w:val="tabletext"/>
              <w:rPr>
                <w:lang w:val="en-US" w:eastAsia="en-US"/>
              </w:rPr>
            </w:pPr>
            <w:r>
              <w:rPr>
                <w:lang w:val="en-US" w:eastAsia="en-US"/>
              </w:rPr>
              <w:t>6.10</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Items 10 to 12</w:t>
            </w:r>
            <w:r w:rsidR="00D5237C">
              <w:rPr>
                <w:lang w:val="en-US" w:eastAsia="en-US"/>
              </w:rPr>
              <w:t xml:space="preserve">, </w:t>
            </w:r>
            <w:r>
              <w:rPr>
                <w:lang w:val="en-US" w:eastAsia="en-US"/>
              </w:rPr>
              <w:t xml:space="preserve">section 3A, Ozone (Import Levy) Act </w:t>
            </w:r>
          </w:p>
        </w:tc>
        <w:tc>
          <w:tcPr>
            <w:tcW w:w="1980" w:type="dxa"/>
          </w:tcPr>
          <w:p w:rsidR="00715F32" w:rsidRDefault="00715F32" w:rsidP="00C15219">
            <w:pPr>
              <w:pStyle w:val="tabletext"/>
              <w:rPr>
                <w:lang w:val="en-US" w:eastAsia="en-US"/>
              </w:rPr>
            </w:pPr>
            <w:r>
              <w:rPr>
                <w:lang w:val="en-US" w:eastAsia="en-US"/>
              </w:rPr>
              <w:t>6.12</w:t>
            </w:r>
          </w:p>
        </w:tc>
      </w:tr>
    </w:tbl>
    <w:p w:rsidR="00550D5E" w:rsidRDefault="00550D5E" w:rsidP="00550D5E">
      <w:pPr>
        <w:pStyle w:val="Heading2with18pointafter"/>
      </w:pPr>
      <w:r>
        <w:t xml:space="preserve">Ozone Manufacture Amendment Bill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980"/>
      </w:tblGrid>
      <w:tr w:rsidR="00715F32" w:rsidRPr="00442FB9" w:rsidTr="00C15219">
        <w:trPr>
          <w:tblHeader/>
        </w:trPr>
        <w:tc>
          <w:tcPr>
            <w:tcW w:w="5760" w:type="dxa"/>
          </w:tcPr>
          <w:p w:rsidR="00715F32" w:rsidRPr="00442FB9" w:rsidRDefault="00715F32" w:rsidP="00C15219">
            <w:pPr>
              <w:pStyle w:val="tableheaderwithintable"/>
              <w:rPr>
                <w:lang w:val="en-US" w:eastAsia="en-US"/>
              </w:rPr>
            </w:pPr>
            <w:r w:rsidRPr="00442FB9">
              <w:rPr>
                <w:lang w:val="en-US" w:eastAsia="en-US"/>
              </w:rPr>
              <w:t>Bill reference</w:t>
            </w:r>
          </w:p>
        </w:tc>
        <w:tc>
          <w:tcPr>
            <w:tcW w:w="1980" w:type="dxa"/>
          </w:tcPr>
          <w:p w:rsidR="00715F32" w:rsidRPr="00442FB9" w:rsidRDefault="00715F32" w:rsidP="00C15219">
            <w:pPr>
              <w:pStyle w:val="tableheaderwithintable"/>
              <w:rPr>
                <w:lang w:val="en-US" w:eastAsia="en-US"/>
              </w:rPr>
            </w:pPr>
            <w:r w:rsidRPr="00442FB9">
              <w:rPr>
                <w:lang w:val="en-US" w:eastAsia="en-US"/>
              </w:rPr>
              <w:t>Paragraph number</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1</w:t>
            </w:r>
          </w:p>
        </w:tc>
        <w:tc>
          <w:tcPr>
            <w:tcW w:w="1980" w:type="dxa"/>
          </w:tcPr>
          <w:p w:rsidR="00494EE6" w:rsidRDefault="00494EE6" w:rsidP="00C15219">
            <w:pPr>
              <w:pStyle w:val="tabletext"/>
              <w:rPr>
                <w:lang w:val="en-US" w:eastAsia="en-US"/>
              </w:rPr>
            </w:pPr>
            <w:r>
              <w:rPr>
                <w:lang w:val="en-US" w:eastAsia="en-US"/>
              </w:rPr>
              <w:t>6.5</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2</w:t>
            </w:r>
          </w:p>
        </w:tc>
        <w:tc>
          <w:tcPr>
            <w:tcW w:w="1980" w:type="dxa"/>
          </w:tcPr>
          <w:p w:rsidR="00494EE6" w:rsidRDefault="00494EE6" w:rsidP="00C15219">
            <w:pPr>
              <w:pStyle w:val="tabletext"/>
              <w:rPr>
                <w:lang w:val="en-US" w:eastAsia="en-US"/>
              </w:rPr>
            </w:pPr>
            <w:r>
              <w:rPr>
                <w:lang w:val="en-US" w:eastAsia="en-US"/>
              </w:rPr>
              <w:t>6.7</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Clause 3</w:t>
            </w:r>
          </w:p>
        </w:tc>
        <w:tc>
          <w:tcPr>
            <w:tcW w:w="1980" w:type="dxa"/>
          </w:tcPr>
          <w:p w:rsidR="00494EE6" w:rsidRDefault="00494EE6" w:rsidP="00C15219">
            <w:pPr>
              <w:pStyle w:val="tabletext"/>
              <w:rPr>
                <w:lang w:val="en-US" w:eastAsia="en-US"/>
              </w:rPr>
            </w:pPr>
            <w:r>
              <w:rPr>
                <w:lang w:val="en-US" w:eastAsia="en-US"/>
              </w:rPr>
              <w:t>6.6</w:t>
            </w:r>
          </w:p>
        </w:tc>
      </w:tr>
      <w:tr w:rsidR="006F4087" w:rsidRPr="00442FB9" w:rsidTr="00474FF7">
        <w:trPr>
          <w:tblHeader/>
        </w:trPr>
        <w:tc>
          <w:tcPr>
            <w:tcW w:w="5760" w:type="dxa"/>
          </w:tcPr>
          <w:p w:rsidR="006F4087" w:rsidRPr="00442FB9" w:rsidRDefault="006F4087" w:rsidP="00474FF7">
            <w:pPr>
              <w:pStyle w:val="tabletext"/>
              <w:rPr>
                <w:lang w:val="en-US" w:eastAsia="en-US"/>
              </w:rPr>
            </w:pPr>
            <w:r>
              <w:rPr>
                <w:lang w:val="en-US" w:eastAsia="en-US"/>
              </w:rPr>
              <w:t>Items 1 to 9 and 13, sections 2A, 2B and 3A, Ozone (Manufacture Levy) Act</w:t>
            </w:r>
          </w:p>
        </w:tc>
        <w:tc>
          <w:tcPr>
            <w:tcW w:w="1980" w:type="dxa"/>
          </w:tcPr>
          <w:p w:rsidR="006F4087" w:rsidRPr="00442FB9" w:rsidRDefault="006F4087" w:rsidP="00474FF7">
            <w:pPr>
              <w:pStyle w:val="tabletext"/>
              <w:rPr>
                <w:lang w:val="en-US" w:eastAsia="en-US"/>
              </w:rPr>
            </w:pPr>
            <w:r>
              <w:rPr>
                <w:lang w:val="en-US" w:eastAsia="en-US"/>
              </w:rPr>
              <w:t>6.8</w:t>
            </w:r>
          </w:p>
        </w:tc>
      </w:tr>
      <w:tr w:rsidR="00494EE6" w:rsidRPr="00442FB9" w:rsidTr="00C15219">
        <w:trPr>
          <w:tblHeader/>
        </w:trPr>
        <w:tc>
          <w:tcPr>
            <w:tcW w:w="5760" w:type="dxa"/>
          </w:tcPr>
          <w:p w:rsidR="00494EE6" w:rsidRDefault="00494EE6" w:rsidP="00C15219">
            <w:pPr>
              <w:pStyle w:val="tabletext"/>
              <w:rPr>
                <w:lang w:val="en-US" w:eastAsia="en-US"/>
              </w:rPr>
            </w:pPr>
            <w:r>
              <w:rPr>
                <w:lang w:val="en-US" w:eastAsia="en-US"/>
              </w:rPr>
              <w:t>Item 9, section 3A, Ozone (Manufacture Levy) Act</w:t>
            </w:r>
          </w:p>
        </w:tc>
        <w:tc>
          <w:tcPr>
            <w:tcW w:w="1980" w:type="dxa"/>
          </w:tcPr>
          <w:p w:rsidR="00494EE6" w:rsidRDefault="00494EE6" w:rsidP="00C15219">
            <w:pPr>
              <w:pStyle w:val="tabletext"/>
              <w:rPr>
                <w:lang w:val="en-US" w:eastAsia="en-US"/>
              </w:rPr>
            </w:pPr>
            <w:r>
              <w:rPr>
                <w:lang w:val="en-US" w:eastAsia="en-US"/>
              </w:rPr>
              <w:t>6.10</w:t>
            </w:r>
          </w:p>
        </w:tc>
      </w:tr>
      <w:tr w:rsidR="00715F32" w:rsidRPr="00442FB9" w:rsidTr="00C15219">
        <w:trPr>
          <w:tblHeader/>
        </w:trPr>
        <w:tc>
          <w:tcPr>
            <w:tcW w:w="5760" w:type="dxa"/>
          </w:tcPr>
          <w:p w:rsidR="00715F32" w:rsidRDefault="00715F32" w:rsidP="00C15219">
            <w:pPr>
              <w:pStyle w:val="tabletext"/>
              <w:rPr>
                <w:lang w:val="en-US" w:eastAsia="en-US"/>
              </w:rPr>
            </w:pPr>
            <w:r>
              <w:rPr>
                <w:lang w:val="en-US" w:eastAsia="en-US"/>
              </w:rPr>
              <w:t>Items 10 to 12, section 3A, Ozone (Manufacture Levy) Act</w:t>
            </w:r>
          </w:p>
        </w:tc>
        <w:tc>
          <w:tcPr>
            <w:tcW w:w="1980" w:type="dxa"/>
          </w:tcPr>
          <w:p w:rsidR="00715F32" w:rsidRDefault="00715F32" w:rsidP="00C15219">
            <w:pPr>
              <w:pStyle w:val="tabletext"/>
              <w:rPr>
                <w:lang w:val="en-US" w:eastAsia="en-US"/>
              </w:rPr>
            </w:pPr>
            <w:r>
              <w:rPr>
                <w:lang w:val="en-US" w:eastAsia="en-US"/>
              </w:rPr>
              <w:t>6.12</w:t>
            </w:r>
          </w:p>
        </w:tc>
      </w:tr>
    </w:tbl>
    <w:p w:rsidR="00A37D2E" w:rsidRDefault="00550D5E" w:rsidP="002F17D1">
      <w:pPr>
        <w:pStyle w:val="Hiddentext"/>
      </w:pPr>
      <w:r>
        <w:t>Do not remove section break.</w:t>
      </w:r>
      <w:bookmarkEnd w:id="9"/>
      <w:r w:rsidR="006F4087">
        <w:t xml:space="preserve"> </w:t>
      </w:r>
      <w:r w:rsidR="002F17D1">
        <w:t>Do not remove section break.</w:t>
      </w:r>
    </w:p>
    <w:p w:rsidR="007D4E04" w:rsidRPr="00F4555D" w:rsidRDefault="007D4E04" w:rsidP="002F17D1">
      <w:pPr>
        <w:pStyle w:val="Hiddentext"/>
      </w:pPr>
      <w:r>
        <w:t>Do not remove section break.</w:t>
      </w:r>
    </w:p>
    <w:sectPr w:rsidR="007D4E04" w:rsidRPr="00F4555D" w:rsidSect="00AA1734">
      <w:headerReference w:type="default" r:id="rId43"/>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BE8" w:rsidRDefault="00A06BE8">
      <w:r>
        <w:separator/>
      </w:r>
    </w:p>
  </w:endnote>
  <w:endnote w:type="continuationSeparator" w:id="0">
    <w:p w:rsidR="00A06BE8" w:rsidRDefault="00A0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1F33AC" w:rsidP="00C85947">
    <w:pPr>
      <w:pStyle w:val="leftfooter"/>
    </w:pPr>
    <w:r>
      <w:fldChar w:fldCharType="begin"/>
    </w:r>
    <w:r>
      <w:instrText xml:space="preserve"> PAGE   \* MERGEFORMAT </w:instrText>
    </w:r>
    <w:r>
      <w:fldChar w:fldCharType="separate"/>
    </w:r>
    <w:r w:rsidR="00DA6673">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1F33AC" w:rsidP="00372296">
    <w:pPr>
      <w:pStyle w:val="rightfooter"/>
    </w:pPr>
    <w:r>
      <w:fldChar w:fldCharType="begin"/>
    </w:r>
    <w:r>
      <w:instrText xml:space="preserve"> PAGE   \* MERGEFORMAT </w:instrText>
    </w:r>
    <w:r>
      <w:fldChar w:fldCharType="separate"/>
    </w:r>
    <w:r w:rsidR="008E057E">
      <w:rPr>
        <w:noProof/>
      </w:rPr>
      <w:t>127</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1F33AC" w:rsidP="00372296">
    <w:pPr>
      <w:pStyle w:val="rightfooter"/>
    </w:pPr>
    <w:r>
      <w:fldChar w:fldCharType="begin"/>
    </w:r>
    <w:r>
      <w:instrText xml:space="preserve"> PAGE  \* Arabic  \* MERGEFORMAT </w:instrText>
    </w:r>
    <w:r>
      <w:fldChar w:fldCharType="separate"/>
    </w:r>
    <w:r w:rsidR="008E057E">
      <w:rPr>
        <w:noProof/>
      </w:rPr>
      <w:t>117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1F33AC" w:rsidP="00C85947">
    <w:pPr>
      <w:pStyle w:val="rightfooter"/>
    </w:pPr>
    <w:r>
      <w:fldChar w:fldCharType="begin"/>
    </w:r>
    <w:r>
      <w:instrText xml:space="preserve"> PAGE   \* MERGEFORMAT </w:instrText>
    </w:r>
    <w:r>
      <w:fldChar w:fldCharType="separate"/>
    </w:r>
    <w:r w:rsidR="00DA6673">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1F33AC" w:rsidP="00C85947">
    <w:pPr>
      <w:pStyle w:val="leftfooter"/>
    </w:pPr>
    <w:r>
      <w:fldChar w:fldCharType="begin"/>
    </w:r>
    <w:r>
      <w:instrText xml:space="preserve"> PAGE   \* MERGEFORMAT </w:instrText>
    </w:r>
    <w:r>
      <w:fldChar w:fldCharType="separate"/>
    </w:r>
    <w:r w:rsidR="00DA6673">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1F33AC" w:rsidP="00C85947">
    <w:pPr>
      <w:pStyle w:val="rightfooter"/>
    </w:pPr>
    <w:r>
      <w:fldChar w:fldCharType="begin"/>
    </w:r>
    <w:r>
      <w:instrText xml:space="preserve"> PAGE   \* MERGEFORMAT </w:instrText>
    </w:r>
    <w:r>
      <w:fldChar w:fldCharType="separate"/>
    </w:r>
    <w:r w:rsidR="00DA6673">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Pr="00B2068E" w:rsidRDefault="00DA6673" w:rsidP="00C8594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1F33AC" w:rsidP="00C85947">
    <w:pPr>
      <w:pStyle w:val="leftfooter"/>
    </w:pPr>
    <w:r>
      <w:fldChar w:fldCharType="begin"/>
    </w:r>
    <w:r>
      <w:instrText xml:space="preserve"> PAGE   \* MERGEFORMAT </w:instrText>
    </w:r>
    <w:r>
      <w:fldChar w:fldCharType="separate"/>
    </w:r>
    <w:r w:rsidR="008E057E">
      <w:rPr>
        <w:noProof/>
      </w:rPr>
      <w:t>90</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1F33AC" w:rsidP="00C85947">
    <w:pPr>
      <w:pStyle w:val="rightfooter"/>
    </w:pPr>
    <w:r>
      <w:fldChar w:fldCharType="begin"/>
    </w:r>
    <w:r>
      <w:instrText xml:space="preserve"> PAGE   \* MERGEFORMAT </w:instrText>
    </w:r>
    <w:r>
      <w:fldChar w:fldCharType="separate"/>
    </w:r>
    <w:r w:rsidR="008E057E">
      <w:rPr>
        <w:noProof/>
      </w:rPr>
      <w:t>91</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1F33AC" w:rsidP="00C85947">
    <w:pPr>
      <w:pStyle w:val="rightfooter"/>
    </w:pPr>
    <w:r>
      <w:fldChar w:fldCharType="begin"/>
    </w:r>
    <w:r>
      <w:instrText xml:space="preserve"> PAGE  \* Arabic  \* MERGEFORMAT </w:instrText>
    </w:r>
    <w:r>
      <w:fldChar w:fldCharType="separate"/>
    </w:r>
    <w:r w:rsidR="008E057E">
      <w:rPr>
        <w:noProof/>
      </w:rPr>
      <w:t>87</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1F33AC" w:rsidP="00372296">
    <w:pPr>
      <w:pStyle w:val="leftfooter"/>
    </w:pPr>
    <w:r>
      <w:fldChar w:fldCharType="begin"/>
    </w:r>
    <w:r>
      <w:instrText xml:space="preserve"> PAGE   \* MERGEFORMAT </w:instrText>
    </w:r>
    <w:r>
      <w:fldChar w:fldCharType="separate"/>
    </w:r>
    <w:r w:rsidR="008E057E">
      <w:rPr>
        <w:noProof/>
      </w:rPr>
      <w:t>128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BE8" w:rsidRDefault="00A06BE8">
      <w:r>
        <w:separator/>
      </w:r>
    </w:p>
  </w:footnote>
  <w:footnote w:type="continuationSeparator" w:id="0">
    <w:p w:rsidR="00A06BE8" w:rsidRDefault="00A06BE8">
      <w:r>
        <w:continuationSeparator/>
      </w:r>
    </w:p>
  </w:footnote>
  <w:footnote w:id="1">
    <w:p w:rsidR="00DA6673" w:rsidRPr="006115D1" w:rsidRDefault="00DA6673" w:rsidP="006115D1">
      <w:pPr>
        <w:pStyle w:val="FootnoteText"/>
      </w:pPr>
      <w:r>
        <w:rPr>
          <w:rStyle w:val="FootnoteReference"/>
        </w:rPr>
        <w:footnoteRef/>
      </w:r>
      <w:r>
        <w:t xml:space="preserve"> </w:t>
      </w:r>
      <w:r>
        <w:tab/>
      </w:r>
      <w:r w:rsidRPr="006115D1">
        <w:t>This estimate is considered preliminary as certain emitters are not required to report in interim emissions reports, and emitters may base their interim report on the previous year’s emissions. Information on actual 2012-13 emissions will become available following the final emissions reporting in October 2013. This estimate</w:t>
      </w:r>
      <w:r w:rsidRPr="006115D1">
        <w:rPr>
          <w:sz w:val="22"/>
        </w:rPr>
        <w:t xml:space="preserve"> </w:t>
      </w:r>
      <w:r w:rsidRPr="006115D1">
        <w:t xml:space="preserve">does not include the equivalent carbon taxes on liquid fuels or synthetic greenhouse gases. </w:t>
      </w:r>
    </w:p>
  </w:footnote>
  <w:footnote w:id="2">
    <w:p w:rsidR="00DA6673" w:rsidRDefault="00DA6673" w:rsidP="006115D1">
      <w:pPr>
        <w:pStyle w:val="FootnoteText"/>
      </w:pPr>
      <w:r>
        <w:rPr>
          <w:rStyle w:val="FootnoteReference"/>
        </w:rPr>
        <w:footnoteRef/>
      </w:r>
      <w:r>
        <w:t xml:space="preserve">  </w:t>
      </w:r>
      <w:r>
        <w:tab/>
        <w:t xml:space="preserve">While modelling undertaken for the Strong Growth, Low Pollution update report provides a robust picture of the Clean Energy Package at an aggregate industry and macroeconomic level, it does not capture the impacts of those programs and measures that had not been finalised at the time the modelling task was undertaken in September 2011. While impacts on the CPI were estimated, changes in producer prices were not. Similarly impacts on investment and capital stock were estimated at the national level. For more details see </w:t>
      </w:r>
      <w:hyperlink r:id="rId1" w:history="1">
        <w:r w:rsidRPr="00795C00">
          <w:rPr>
            <w:rStyle w:val="Hyperlink"/>
          </w:rPr>
          <w:t>http://carbonpricemodelling.treasury.gov.au/carbonpricemodelling/content/update/Modelling_update.asp</w:t>
        </w:r>
      </w:hyperlink>
      <w:r>
        <w:t xml:space="preserve">. </w:t>
      </w:r>
    </w:p>
  </w:footnote>
  <w:footnote w:id="3">
    <w:p w:rsidR="00DA6673" w:rsidRDefault="00DA6673" w:rsidP="00B72EDB">
      <w:pPr>
        <w:pStyle w:val="FootnoteText"/>
      </w:pPr>
      <w:r>
        <w:rPr>
          <w:rStyle w:val="FootnoteReference"/>
        </w:rPr>
        <w:footnoteRef/>
      </w:r>
      <w:r>
        <w:t xml:space="preserve"> </w:t>
      </w:r>
      <w:r>
        <w:tab/>
        <w:t>These estimates exclude the costs of complying with assistance arrangements, including the Jobs and Competitiveness Program, which were included in the total figure of $94.8 million set out in the earlier Options Stage RIS, as these costs are incurred voluntarily by applicants. They include the costs of complying with price monitoring arrangements which, as noted above, are uncertain but non-ongoing.</w:t>
      </w:r>
    </w:p>
  </w:footnote>
  <w:footnote w:id="4">
    <w:p w:rsidR="00DA6673" w:rsidRPr="005A44EF" w:rsidRDefault="00DA6673" w:rsidP="002E6F1F">
      <w:pPr>
        <w:pStyle w:val="FootnoteText"/>
      </w:pPr>
      <w:r>
        <w:rPr>
          <w:rStyle w:val="FootnoteReference"/>
        </w:rPr>
        <w:footnoteRef/>
      </w:r>
      <w:r>
        <w:t xml:space="preserve">  </w:t>
      </w:r>
      <w:r>
        <w:tab/>
      </w:r>
      <w:r w:rsidRPr="005A44EF">
        <w:t xml:space="preserve">In keeping with the Victorian approach to measuring compliance costs and </w:t>
      </w:r>
      <w:r>
        <w:t>the methodology used in the Business Cost Calculator, t</w:t>
      </w:r>
      <w:r w:rsidRPr="005A44EF">
        <w:t xml:space="preserve">he cost categories used to analyse </w:t>
      </w:r>
      <w:r>
        <w:t>a</w:t>
      </w:r>
      <w:r w:rsidRPr="005A44EF">
        <w:t>dministrative costs included: education/capacity building; enforcement; monitoring/record keeping; reporting/notification; and internal assurance (sub-set of reporting/notification).</w:t>
      </w:r>
      <w:r>
        <w:t xml:space="preserve"> The costs of external assurance/verification are discussed later in the RIS.</w:t>
      </w:r>
    </w:p>
  </w:footnote>
  <w:footnote w:id="5">
    <w:p w:rsidR="00DA6673" w:rsidRDefault="00DA6673" w:rsidP="002E6F1F">
      <w:pPr>
        <w:pStyle w:val="FootnoteText"/>
      </w:pPr>
      <w:r>
        <w:rPr>
          <w:rStyle w:val="FootnoteReference"/>
        </w:rPr>
        <w:footnoteRef/>
      </w:r>
      <w:r>
        <w:t xml:space="preserve"> </w:t>
      </w:r>
      <w:r>
        <w:tab/>
        <w:t>Source: ABS Cat. No. 6302.0 – Average Weekly Earnings, Australia, May 2013.</w:t>
      </w:r>
    </w:p>
  </w:footnote>
  <w:footnote w:id="6">
    <w:p w:rsidR="00DA6673" w:rsidRDefault="00DA6673" w:rsidP="00060F32">
      <w:pPr>
        <w:pStyle w:val="FootnoteText"/>
      </w:pPr>
      <w:r>
        <w:rPr>
          <w:rStyle w:val="FootnoteReference"/>
        </w:rPr>
        <w:footnoteRef/>
      </w:r>
      <w:r>
        <w:t xml:space="preserve"> </w:t>
      </w:r>
      <w:r>
        <w:tab/>
        <w:t>These estimates exclude the costs of complying with assistance arrangements, including the Jobs and Competitiveness Program, as these costs are incurred voluntarily by applicants. They include the costs of complying with price monitoring arrangements which, as noted above, are uncertain but non-ongoing.</w:t>
      </w:r>
    </w:p>
  </w:footnote>
  <w:footnote w:id="7">
    <w:p w:rsidR="00DA6673" w:rsidRDefault="00DA6673">
      <w:pPr>
        <w:pStyle w:val="FootnoteText"/>
      </w:pPr>
      <w:r>
        <w:rPr>
          <w:rStyle w:val="FootnoteReference"/>
        </w:rPr>
        <w:footnoteRef/>
      </w:r>
      <w:r>
        <w:t xml:space="preserve"> </w:t>
      </w:r>
      <w:r>
        <w:tab/>
        <w:t xml:space="preserve">Contingent administrative costs are those that would only be incurred if a business was subject to an ACCC price monitoring notice.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7C3C51" w:rsidP="00C85947">
    <w:pPr>
      <w:pStyle w:val="leftheader"/>
    </w:pPr>
    <w:r>
      <w:fldChar w:fldCharType="begin"/>
    </w:r>
    <w:r w:rsidR="00DA6673">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DA6673" w:rsidP="000C2E94">
    <w:pPr>
      <w:pStyle w:val="rightheader"/>
    </w:pPr>
    <w:r>
      <w:t xml:space="preserve">Chapter 1: </w:t>
    </w:r>
    <w:r w:rsidRPr="00B3000A">
      <w:t>Repeal of the carbon tax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DA6673" w:rsidP="000C2E94">
    <w:pPr>
      <w:pStyle w:val="rightheader"/>
    </w:pPr>
    <w:r>
      <w:t xml:space="preserve">Chapter 2: Consequential amendments concerning </w:t>
    </w:r>
    <w:r>
      <w:br/>
      <w:t>emissions and energy reporting, carbon units</w:t>
    </w:r>
    <w:r w:rsidRPr="00085BF0">
      <w:t xml:space="preserve"> </w:t>
    </w:r>
    <w:r>
      <w:br/>
    </w:r>
    <w:r w:rsidRPr="00085BF0">
      <w:t>and the Clean Energy Regulator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DA6673" w:rsidP="000C2E94">
    <w:pPr>
      <w:pStyle w:val="rightheader"/>
    </w:pPr>
    <w:r>
      <w:t>Chapter 3: C</w:t>
    </w:r>
    <w:r w:rsidRPr="00834309">
      <w:t xml:space="preserve">onsequential </w:t>
    </w:r>
    <w:r>
      <w:t xml:space="preserve">taxation </w:t>
    </w:r>
    <w:r w:rsidRPr="00834309">
      <w:t>amendments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EE" w:rsidRDefault="00DA6673" w:rsidP="00D367EE">
    <w:pPr>
      <w:pStyle w:val="rightheader"/>
      <w:spacing w:before="0" w:after="0"/>
    </w:pPr>
    <w:r>
      <w:t xml:space="preserve">Chapter 4: </w:t>
    </w:r>
    <w:r w:rsidR="00D367EE">
      <w:t xml:space="preserve">Amendments to the </w:t>
    </w:r>
  </w:p>
  <w:p w:rsidR="00D367EE" w:rsidRDefault="00D367EE" w:rsidP="00D367EE">
    <w:pPr>
      <w:pStyle w:val="rightheader"/>
      <w:spacing w:before="0" w:after="0"/>
    </w:pPr>
    <w:r w:rsidRPr="000F0298">
      <w:t>Competition and Consumer Act 2010</w:t>
    </w:r>
    <w:r>
      <w:t xml:space="preserve"> </w:t>
    </w:r>
  </w:p>
  <w:p w:rsidR="00DA6673" w:rsidRDefault="00D367EE" w:rsidP="00D367EE">
    <w:pPr>
      <w:pStyle w:val="rightheader"/>
      <w:spacing w:before="0" w:after="0"/>
    </w:pPr>
    <w:r w:rsidRPr="004E558C">
      <w:t>– ensuring cost savings are passed on to customers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DA6673" w:rsidP="000C2E94">
    <w:pPr>
      <w:pStyle w:val="rightheader"/>
    </w:pPr>
    <w:r>
      <w:t>Chapter 5: Removal of equivalent carbon price from taxable fuels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DA6673" w:rsidP="000C2E94">
    <w:pPr>
      <w:pStyle w:val="rightheader"/>
    </w:pPr>
    <w:r>
      <w:t>Chapter 6: Removal of equivalent carbon price from s</w:t>
    </w:r>
    <w:r w:rsidRPr="002C3AB6">
      <w:t xml:space="preserve">ynthetic </w:t>
    </w:r>
    <w:r>
      <w:t>g</w:t>
    </w:r>
    <w:r w:rsidRPr="002C3AB6">
      <w:t xml:space="preserve">reenhouse </w:t>
    </w:r>
    <w:r>
      <w:t>g</w:t>
    </w:r>
    <w:r w:rsidRPr="002C3AB6">
      <w:t>ases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DA6673" w:rsidP="000C2E94">
    <w:pPr>
      <w:pStyle w:val="rightheader"/>
    </w:pPr>
    <w:r>
      <w:t xml:space="preserve">Chapter 7: </w:t>
    </w:r>
    <w:r w:rsidRPr="00C15219">
      <w:t xml:space="preserve"> </w:t>
    </w:r>
    <w:r>
      <w:t>Specific repeal issues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DA6673" w:rsidP="00372296">
    <w:pPr>
      <w:pStyle w:val="leftheader"/>
    </w:pPr>
    <w:r w:rsidRPr="00F3622B">
      <w:t>Carbon Tax Repeal Bills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DA6673" w:rsidP="00C92370">
    <w:pPr>
      <w:pStyle w:val="rightheader"/>
    </w:pPr>
    <w:r>
      <w:t>Chapter 8: Regulation impact statement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DA6673" w:rsidP="00C92370">
    <w:pPr>
      <w:pStyle w:val="rightheader"/>
    </w:pPr>
    <w:r>
      <w:t>Index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7C3C51" w:rsidP="00C85947">
    <w:pPr>
      <w:pStyle w:val="rightheader"/>
    </w:pPr>
    <w:r>
      <w:fldChar w:fldCharType="begin"/>
    </w:r>
    <w:r w:rsidR="00DA6673">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7C3C51" w:rsidP="00C85947">
    <w:pPr>
      <w:pStyle w:val="leftheader"/>
    </w:pPr>
    <w:r>
      <w:fldChar w:fldCharType="begin"/>
    </w:r>
    <w:r w:rsidR="00DA6673">
      <w:instrText xml:space="preserve"> macrobutton nomacro [Click here and insert the name of the Bill] </w:instrTex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7C3C51" w:rsidP="00C85947">
    <w:pPr>
      <w:pStyle w:val="rightheader"/>
    </w:pPr>
    <w:r>
      <w:fldChar w:fldCharType="begin"/>
    </w:r>
    <w:r w:rsidR="00DA6673">
      <w:instrText xml:space="preserve"> macrobutton nomacro [Click here and enter the name of the Chapter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DA667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DA6673" w:rsidP="00E032CB">
    <w:pPr>
      <w:pStyle w:val="leftheader"/>
      <w:spacing w:before="0" w:after="0"/>
    </w:pPr>
    <w:r>
      <w:t>Carbon Tax Repeal Bills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DA6673" w:rsidP="00C85947">
    <w:pPr>
      <w:pStyle w:val="rightheader"/>
    </w:pPr>
    <w:r>
      <w:t>Glossary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DA6673" w:rsidP="000C2E94">
    <w:pPr>
      <w:pStyle w:val="rightheader"/>
    </w:pPr>
    <w:r w:rsidRPr="0046570C">
      <w:t>General outline and statements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73" w:rsidRDefault="00DA6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5C067F"/>
    <w:multiLevelType w:val="multilevel"/>
    <w:tmpl w:val="AC6C5D0E"/>
    <w:lvl w:ilvl="0">
      <w:start w:val="1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BEB4EC5"/>
    <w:multiLevelType w:val="multilevel"/>
    <w:tmpl w:val="6D98FC9A"/>
    <w:numStyleLink w:val="TableDotPointList"/>
  </w:abstractNum>
  <w:abstractNum w:abstractNumId="14">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nsid w:val="3D714D4B"/>
    <w:multiLevelType w:val="multilevel"/>
    <w:tmpl w:val="484032EC"/>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suff w:val="space"/>
      <w:lvlText w:val="Diagram %1.%3"/>
      <w:lvlJc w:val="left"/>
      <w:pPr>
        <w:ind w:left="1134" w:firstLine="0"/>
      </w:pPr>
      <w:rPr>
        <w:rFonts w:hint="default"/>
      </w:rPr>
    </w:lvl>
    <w:lvl w:ilvl="3">
      <w:start w:val="1"/>
      <w:numFmt w:val="decimal"/>
      <w:suff w:val="space"/>
      <w:lvlText w:val="Example %1.%4"/>
      <w:lvlJc w:val="left"/>
      <w:pPr>
        <w:ind w:left="1134" w:firstLine="0"/>
      </w:pPr>
      <w:rPr>
        <w:rFonts w:hint="default"/>
      </w:rPr>
    </w:lvl>
    <w:lvl w:ilvl="4">
      <w:start w:val="1"/>
      <w:numFmt w:val="decimal"/>
      <w:suff w:val="space"/>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F950960"/>
    <w:multiLevelType w:val="multilevel"/>
    <w:tmpl w:val="D706BA9E"/>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407229D3"/>
    <w:multiLevelType w:val="multilevel"/>
    <w:tmpl w:val="B51EB574"/>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478D416D"/>
    <w:multiLevelType w:val="multilevel"/>
    <w:tmpl w:val="469EAFC0"/>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8445844"/>
    <w:multiLevelType w:val="multilevel"/>
    <w:tmpl w:val="B51EB574"/>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70E3595"/>
    <w:multiLevelType w:val="multilevel"/>
    <w:tmpl w:val="B51EB574"/>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nsid w:val="7B263A7A"/>
    <w:multiLevelType w:val="multilevel"/>
    <w:tmpl w:val="D172A106"/>
    <w:name w:val="StandardBulletedList"/>
    <w:lvl w:ilvl="0">
      <w:start w:val="1"/>
      <w:numFmt w:val="bullet"/>
      <w:pStyle w:val="Bullet"/>
      <w:lvlText w:val="•"/>
      <w:lvlJc w:val="left"/>
      <w:pPr>
        <w:tabs>
          <w:tab w:val="num" w:pos="1654"/>
        </w:tabs>
        <w:ind w:left="1654" w:hanging="520"/>
      </w:pPr>
      <w:rPr>
        <w:rFonts w:ascii="Times New Roman" w:hAnsi="Times New Roman" w:cs="Times New Roman"/>
      </w:rPr>
    </w:lvl>
    <w:lvl w:ilvl="1">
      <w:start w:val="1"/>
      <w:numFmt w:val="bullet"/>
      <w:pStyle w:val="Dash"/>
      <w:lvlText w:val="–"/>
      <w:lvlJc w:val="left"/>
      <w:pPr>
        <w:tabs>
          <w:tab w:val="num" w:pos="2174"/>
        </w:tabs>
        <w:ind w:left="2174" w:hanging="520"/>
      </w:pPr>
      <w:rPr>
        <w:rFonts w:ascii="Times New Roman" w:hAnsi="Times New Roman" w:cs="Times New Roman"/>
      </w:rPr>
    </w:lvl>
    <w:lvl w:ilvl="2">
      <w:start w:val="1"/>
      <w:numFmt w:val="bullet"/>
      <w:pStyle w:val="DoubleDot"/>
      <w:lvlText w:val=":"/>
      <w:lvlJc w:val="left"/>
      <w:pPr>
        <w:tabs>
          <w:tab w:val="num" w:pos="2694"/>
        </w:tabs>
        <w:ind w:left="2694" w:hanging="520"/>
      </w:pPr>
      <w:rPr>
        <w:rFonts w:ascii="Times New Roman" w:hAnsi="Times New Roman" w:cs="Times New Roman"/>
      </w:rPr>
    </w:lvl>
    <w:lvl w:ilvl="3">
      <w:start w:val="1"/>
      <w:numFmt w:val="decimal"/>
      <w:lvlText w:val="(%4)"/>
      <w:lvlJc w:val="left"/>
      <w:pPr>
        <w:ind w:left="4014" w:hanging="360"/>
      </w:pPr>
    </w:lvl>
    <w:lvl w:ilvl="4">
      <w:start w:val="1"/>
      <w:numFmt w:val="lowerLetter"/>
      <w:lvlText w:val="(%5)"/>
      <w:lvlJc w:val="left"/>
      <w:pPr>
        <w:ind w:left="4374" w:hanging="360"/>
      </w:pPr>
    </w:lvl>
    <w:lvl w:ilvl="5">
      <w:start w:val="1"/>
      <w:numFmt w:val="lowerRoman"/>
      <w:lvlText w:val="(%6)"/>
      <w:lvlJc w:val="left"/>
      <w:pPr>
        <w:ind w:left="4734" w:hanging="360"/>
      </w:pPr>
    </w:lvl>
    <w:lvl w:ilvl="6">
      <w:start w:val="1"/>
      <w:numFmt w:val="decimal"/>
      <w:lvlText w:val="%7."/>
      <w:lvlJc w:val="left"/>
      <w:pPr>
        <w:ind w:left="5094" w:hanging="360"/>
      </w:pPr>
    </w:lvl>
    <w:lvl w:ilvl="7">
      <w:start w:val="1"/>
      <w:numFmt w:val="lowerLetter"/>
      <w:lvlText w:val="%8."/>
      <w:lvlJc w:val="left"/>
      <w:pPr>
        <w:ind w:left="5454" w:hanging="360"/>
      </w:pPr>
    </w:lvl>
    <w:lvl w:ilvl="8">
      <w:start w:val="1"/>
      <w:numFmt w:val="lowerRoman"/>
      <w:lvlText w:val="%9."/>
      <w:lvlJc w:val="left"/>
      <w:pPr>
        <w:ind w:left="5814" w:hanging="360"/>
      </w:pPr>
    </w:lvl>
  </w:abstractNum>
  <w:abstractNum w:abstractNumId="25">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7CAC208D"/>
    <w:multiLevelType w:val="multilevel"/>
    <w:tmpl w:val="3C3C1DB8"/>
    <w:name w:val="ChapterList"/>
    <w:lvl w:ilvl="0">
      <w:start w:val="1"/>
      <w:numFmt w:val="decimal"/>
      <w:pStyle w:val="ChapterHeading"/>
      <w:lvlText w:val="Chapter %1"/>
      <w:lvlJc w:val="left"/>
      <w:pPr>
        <w:tabs>
          <w:tab w:val="num" w:pos="3119"/>
        </w:tabs>
        <w:ind w:left="1985" w:firstLine="0"/>
      </w:pPr>
      <w:rPr>
        <w:rFonts w:hint="default"/>
      </w:rPr>
    </w:lvl>
    <w:lvl w:ilvl="1">
      <w:start w:val="1"/>
      <w:numFmt w:val="decimal"/>
      <w:pStyle w:val="base-text-paragraph"/>
      <w:lvlText w:val="%1.%2"/>
      <w:lvlJc w:val="left"/>
      <w:pPr>
        <w:tabs>
          <w:tab w:val="num" w:pos="1985"/>
        </w:tabs>
        <w:ind w:left="1134"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Diagram"/>
      <w:suff w:val="space"/>
      <w:lvlText w:val="Diagram %1.%3"/>
      <w:lvlJc w:val="left"/>
      <w:pPr>
        <w:ind w:left="1134" w:firstLine="0"/>
      </w:pPr>
      <w:rPr>
        <w:rFonts w:hint="default"/>
      </w:rPr>
    </w:lvl>
    <w:lvl w:ilvl="3">
      <w:start w:val="1"/>
      <w:numFmt w:val="decimal"/>
      <w:pStyle w:val="ExampleHeading"/>
      <w:suff w:val="space"/>
      <w:lvlText w:val="Example %1.%4"/>
      <w:lvlJc w:val="left"/>
      <w:pPr>
        <w:ind w:left="1134" w:firstLine="0"/>
      </w:pPr>
      <w:rPr>
        <w:rFonts w:hint="default"/>
      </w:rPr>
    </w:lvl>
    <w:lvl w:ilvl="4">
      <w:start w:val="1"/>
      <w:numFmt w:val="decimal"/>
      <w:pStyle w:val="TableHeadingoutsidetable"/>
      <w:suff w:val="space"/>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F0B2102"/>
    <w:multiLevelType w:val="multilevel"/>
    <w:tmpl w:val="B51EB574"/>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2"/>
  </w:num>
  <w:num w:numId="13">
    <w:abstractNumId w:val="25"/>
  </w:num>
  <w:num w:numId="14">
    <w:abstractNumId w:val="16"/>
  </w:num>
  <w:num w:numId="15">
    <w:abstractNumId w:val="19"/>
  </w:num>
  <w:num w:numId="16">
    <w:abstractNumId w:val="20"/>
  </w:num>
  <w:num w:numId="17">
    <w:abstractNumId w:val="11"/>
  </w:num>
  <w:num w:numId="18">
    <w:abstractNumId w:val="13"/>
  </w:num>
  <w:num w:numId="19">
    <w:abstractNumId w:val="26"/>
  </w:num>
  <w:num w:numId="20">
    <w:abstractNumId w:val="18"/>
  </w:num>
  <w:num w:numId="21">
    <w:abstractNumId w:val="24"/>
  </w:num>
  <w:num w:numId="22">
    <w:abstractNumId w:val="21"/>
  </w:num>
  <w:num w:numId="23">
    <w:abstractNumId w:val="10"/>
  </w:num>
  <w:num w:numId="24">
    <w:abstractNumId w:val="27"/>
  </w:num>
  <w:num w:numId="25">
    <w:abstractNumId w:val="23"/>
  </w:num>
  <w:num w:numId="26">
    <w:abstractNumId w:val="26"/>
  </w:num>
  <w:num w:numId="27">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CC"/>
    <w:rsid w:val="0000090E"/>
    <w:rsid w:val="0000682F"/>
    <w:rsid w:val="000103E7"/>
    <w:rsid w:val="00010A66"/>
    <w:rsid w:val="00012F66"/>
    <w:rsid w:val="000135D3"/>
    <w:rsid w:val="000173C8"/>
    <w:rsid w:val="00017BDD"/>
    <w:rsid w:val="00020071"/>
    <w:rsid w:val="00020156"/>
    <w:rsid w:val="00020BA2"/>
    <w:rsid w:val="00021F7F"/>
    <w:rsid w:val="00026B00"/>
    <w:rsid w:val="00030B38"/>
    <w:rsid w:val="00030E0E"/>
    <w:rsid w:val="00030E4C"/>
    <w:rsid w:val="0003187A"/>
    <w:rsid w:val="00031FCE"/>
    <w:rsid w:val="0003305A"/>
    <w:rsid w:val="00033E1E"/>
    <w:rsid w:val="00034BE8"/>
    <w:rsid w:val="00036ACF"/>
    <w:rsid w:val="00045030"/>
    <w:rsid w:val="00045A18"/>
    <w:rsid w:val="00046811"/>
    <w:rsid w:val="00047723"/>
    <w:rsid w:val="000478A5"/>
    <w:rsid w:val="00053260"/>
    <w:rsid w:val="00055A2D"/>
    <w:rsid w:val="00055EB8"/>
    <w:rsid w:val="0005600E"/>
    <w:rsid w:val="00057B34"/>
    <w:rsid w:val="00060F32"/>
    <w:rsid w:val="00061F5F"/>
    <w:rsid w:val="00063C80"/>
    <w:rsid w:val="00064F62"/>
    <w:rsid w:val="0006580A"/>
    <w:rsid w:val="00067E1D"/>
    <w:rsid w:val="00071C2A"/>
    <w:rsid w:val="000725C0"/>
    <w:rsid w:val="0007350A"/>
    <w:rsid w:val="00075250"/>
    <w:rsid w:val="00076543"/>
    <w:rsid w:val="0007756A"/>
    <w:rsid w:val="00077D9C"/>
    <w:rsid w:val="00081F57"/>
    <w:rsid w:val="00082C55"/>
    <w:rsid w:val="00082E38"/>
    <w:rsid w:val="000835C7"/>
    <w:rsid w:val="000841D0"/>
    <w:rsid w:val="0008538B"/>
    <w:rsid w:val="00085BF0"/>
    <w:rsid w:val="00085C5D"/>
    <w:rsid w:val="00085F27"/>
    <w:rsid w:val="0009055D"/>
    <w:rsid w:val="0009149A"/>
    <w:rsid w:val="00094C9F"/>
    <w:rsid w:val="000960B7"/>
    <w:rsid w:val="000A0CE2"/>
    <w:rsid w:val="000A0D0D"/>
    <w:rsid w:val="000A2094"/>
    <w:rsid w:val="000A3EE2"/>
    <w:rsid w:val="000A4195"/>
    <w:rsid w:val="000A5B26"/>
    <w:rsid w:val="000A617C"/>
    <w:rsid w:val="000A6298"/>
    <w:rsid w:val="000A6DBE"/>
    <w:rsid w:val="000A6F45"/>
    <w:rsid w:val="000B1A0E"/>
    <w:rsid w:val="000B3052"/>
    <w:rsid w:val="000B466D"/>
    <w:rsid w:val="000B5E9A"/>
    <w:rsid w:val="000B6E22"/>
    <w:rsid w:val="000B7FBA"/>
    <w:rsid w:val="000C06D9"/>
    <w:rsid w:val="000C2E94"/>
    <w:rsid w:val="000C3F86"/>
    <w:rsid w:val="000D14E4"/>
    <w:rsid w:val="000D1CAB"/>
    <w:rsid w:val="000D1CBF"/>
    <w:rsid w:val="000D35DE"/>
    <w:rsid w:val="000D625E"/>
    <w:rsid w:val="000E089D"/>
    <w:rsid w:val="000E33E6"/>
    <w:rsid w:val="000E5B9A"/>
    <w:rsid w:val="000E5C88"/>
    <w:rsid w:val="000F0298"/>
    <w:rsid w:val="000F1652"/>
    <w:rsid w:val="000F2A49"/>
    <w:rsid w:val="000F6023"/>
    <w:rsid w:val="001007DA"/>
    <w:rsid w:val="00103D28"/>
    <w:rsid w:val="001052A2"/>
    <w:rsid w:val="00105E8D"/>
    <w:rsid w:val="00107EB1"/>
    <w:rsid w:val="001114E6"/>
    <w:rsid w:val="001126E0"/>
    <w:rsid w:val="00117C47"/>
    <w:rsid w:val="00120D4F"/>
    <w:rsid w:val="00121EB0"/>
    <w:rsid w:val="00123D96"/>
    <w:rsid w:val="001243AA"/>
    <w:rsid w:val="00130E44"/>
    <w:rsid w:val="00131E0C"/>
    <w:rsid w:val="00133346"/>
    <w:rsid w:val="0013784C"/>
    <w:rsid w:val="00142FB8"/>
    <w:rsid w:val="00146D5A"/>
    <w:rsid w:val="00150422"/>
    <w:rsid w:val="00152F92"/>
    <w:rsid w:val="001538D4"/>
    <w:rsid w:val="00153A68"/>
    <w:rsid w:val="001601D0"/>
    <w:rsid w:val="001617BD"/>
    <w:rsid w:val="00161F47"/>
    <w:rsid w:val="00162DEE"/>
    <w:rsid w:val="00163C07"/>
    <w:rsid w:val="00166953"/>
    <w:rsid w:val="00174A29"/>
    <w:rsid w:val="00174D94"/>
    <w:rsid w:val="0018062A"/>
    <w:rsid w:val="00184B5E"/>
    <w:rsid w:val="0018650F"/>
    <w:rsid w:val="00194975"/>
    <w:rsid w:val="00194FF4"/>
    <w:rsid w:val="0019592F"/>
    <w:rsid w:val="00196E2B"/>
    <w:rsid w:val="001978A9"/>
    <w:rsid w:val="001A4893"/>
    <w:rsid w:val="001A71A1"/>
    <w:rsid w:val="001A7CB3"/>
    <w:rsid w:val="001B0ED4"/>
    <w:rsid w:val="001B3D85"/>
    <w:rsid w:val="001B5580"/>
    <w:rsid w:val="001B575C"/>
    <w:rsid w:val="001B6475"/>
    <w:rsid w:val="001B7AEB"/>
    <w:rsid w:val="001C074E"/>
    <w:rsid w:val="001C3A3C"/>
    <w:rsid w:val="001C41E1"/>
    <w:rsid w:val="001C4F46"/>
    <w:rsid w:val="001D3E9A"/>
    <w:rsid w:val="001D425C"/>
    <w:rsid w:val="001E077E"/>
    <w:rsid w:val="001E091C"/>
    <w:rsid w:val="001E3334"/>
    <w:rsid w:val="001E4851"/>
    <w:rsid w:val="001E58D6"/>
    <w:rsid w:val="001E5E07"/>
    <w:rsid w:val="001E5F94"/>
    <w:rsid w:val="001E5FCB"/>
    <w:rsid w:val="001E6545"/>
    <w:rsid w:val="001F163E"/>
    <w:rsid w:val="001F2F53"/>
    <w:rsid w:val="001F31A7"/>
    <w:rsid w:val="001F33AC"/>
    <w:rsid w:val="001F7FEC"/>
    <w:rsid w:val="00200E96"/>
    <w:rsid w:val="00201B36"/>
    <w:rsid w:val="00201FB1"/>
    <w:rsid w:val="00202BE6"/>
    <w:rsid w:val="00213C7C"/>
    <w:rsid w:val="00216ED9"/>
    <w:rsid w:val="00217C8D"/>
    <w:rsid w:val="00220D6C"/>
    <w:rsid w:val="00221758"/>
    <w:rsid w:val="00221A20"/>
    <w:rsid w:val="002227FB"/>
    <w:rsid w:val="00222A85"/>
    <w:rsid w:val="00222D57"/>
    <w:rsid w:val="002232B8"/>
    <w:rsid w:val="0022579E"/>
    <w:rsid w:val="00230380"/>
    <w:rsid w:val="00231942"/>
    <w:rsid w:val="00231CBA"/>
    <w:rsid w:val="00232AAF"/>
    <w:rsid w:val="00235553"/>
    <w:rsid w:val="00236A1C"/>
    <w:rsid w:val="00242327"/>
    <w:rsid w:val="002460A3"/>
    <w:rsid w:val="00246E65"/>
    <w:rsid w:val="00247A31"/>
    <w:rsid w:val="002506D2"/>
    <w:rsid w:val="00253886"/>
    <w:rsid w:val="00254624"/>
    <w:rsid w:val="002547EB"/>
    <w:rsid w:val="00254FBB"/>
    <w:rsid w:val="00256CD4"/>
    <w:rsid w:val="002640A5"/>
    <w:rsid w:val="00264263"/>
    <w:rsid w:val="00264D12"/>
    <w:rsid w:val="00266048"/>
    <w:rsid w:val="002664D4"/>
    <w:rsid w:val="002674FB"/>
    <w:rsid w:val="00267F11"/>
    <w:rsid w:val="00272FD3"/>
    <w:rsid w:val="00273044"/>
    <w:rsid w:val="00273472"/>
    <w:rsid w:val="0027473B"/>
    <w:rsid w:val="00277178"/>
    <w:rsid w:val="00277B7B"/>
    <w:rsid w:val="002857E2"/>
    <w:rsid w:val="00286AFB"/>
    <w:rsid w:val="00286C8F"/>
    <w:rsid w:val="002A42FE"/>
    <w:rsid w:val="002A4F1C"/>
    <w:rsid w:val="002A6304"/>
    <w:rsid w:val="002A64A2"/>
    <w:rsid w:val="002B184F"/>
    <w:rsid w:val="002C0611"/>
    <w:rsid w:val="002C3AB6"/>
    <w:rsid w:val="002C43E8"/>
    <w:rsid w:val="002C47C1"/>
    <w:rsid w:val="002C6AF8"/>
    <w:rsid w:val="002D2436"/>
    <w:rsid w:val="002D3FF0"/>
    <w:rsid w:val="002D52F3"/>
    <w:rsid w:val="002D6555"/>
    <w:rsid w:val="002D7725"/>
    <w:rsid w:val="002D7F76"/>
    <w:rsid w:val="002E0BB2"/>
    <w:rsid w:val="002E6F1F"/>
    <w:rsid w:val="002F137F"/>
    <w:rsid w:val="002F1577"/>
    <w:rsid w:val="002F17D1"/>
    <w:rsid w:val="002F2244"/>
    <w:rsid w:val="002F3991"/>
    <w:rsid w:val="002F4854"/>
    <w:rsid w:val="002F75B0"/>
    <w:rsid w:val="002F7A98"/>
    <w:rsid w:val="002F7D3B"/>
    <w:rsid w:val="00307F7B"/>
    <w:rsid w:val="00310730"/>
    <w:rsid w:val="00312742"/>
    <w:rsid w:val="00312B80"/>
    <w:rsid w:val="00313FE8"/>
    <w:rsid w:val="003151F1"/>
    <w:rsid w:val="003215B4"/>
    <w:rsid w:val="00321F80"/>
    <w:rsid w:val="003259F9"/>
    <w:rsid w:val="0032750E"/>
    <w:rsid w:val="003308B4"/>
    <w:rsid w:val="00330CB0"/>
    <w:rsid w:val="00332B56"/>
    <w:rsid w:val="00341A39"/>
    <w:rsid w:val="0034424B"/>
    <w:rsid w:val="00344453"/>
    <w:rsid w:val="0034480B"/>
    <w:rsid w:val="0034557B"/>
    <w:rsid w:val="00345CCB"/>
    <w:rsid w:val="00346366"/>
    <w:rsid w:val="00346BEB"/>
    <w:rsid w:val="00346ECC"/>
    <w:rsid w:val="003503E4"/>
    <w:rsid w:val="003505E3"/>
    <w:rsid w:val="00352B06"/>
    <w:rsid w:val="00353A8B"/>
    <w:rsid w:val="00357FD6"/>
    <w:rsid w:val="003609ED"/>
    <w:rsid w:val="00361657"/>
    <w:rsid w:val="0036250A"/>
    <w:rsid w:val="00370AE1"/>
    <w:rsid w:val="00370CF4"/>
    <w:rsid w:val="003719A4"/>
    <w:rsid w:val="00372296"/>
    <w:rsid w:val="0037577C"/>
    <w:rsid w:val="00376FAF"/>
    <w:rsid w:val="00377CD4"/>
    <w:rsid w:val="00382FC2"/>
    <w:rsid w:val="00384242"/>
    <w:rsid w:val="00384CE5"/>
    <w:rsid w:val="00386F1F"/>
    <w:rsid w:val="00387BAB"/>
    <w:rsid w:val="003913CC"/>
    <w:rsid w:val="003929D6"/>
    <w:rsid w:val="0039350D"/>
    <w:rsid w:val="0039400F"/>
    <w:rsid w:val="003958BB"/>
    <w:rsid w:val="003972BC"/>
    <w:rsid w:val="003A249D"/>
    <w:rsid w:val="003A2A8C"/>
    <w:rsid w:val="003A311E"/>
    <w:rsid w:val="003A4738"/>
    <w:rsid w:val="003A4BBD"/>
    <w:rsid w:val="003A5D7E"/>
    <w:rsid w:val="003A7024"/>
    <w:rsid w:val="003B172B"/>
    <w:rsid w:val="003B1F57"/>
    <w:rsid w:val="003B200E"/>
    <w:rsid w:val="003B2C77"/>
    <w:rsid w:val="003B308D"/>
    <w:rsid w:val="003B550D"/>
    <w:rsid w:val="003B6468"/>
    <w:rsid w:val="003B6E3B"/>
    <w:rsid w:val="003C1301"/>
    <w:rsid w:val="003C3BC5"/>
    <w:rsid w:val="003C4B34"/>
    <w:rsid w:val="003C5487"/>
    <w:rsid w:val="003C5BA3"/>
    <w:rsid w:val="003C79FD"/>
    <w:rsid w:val="003C7B40"/>
    <w:rsid w:val="003C7DAB"/>
    <w:rsid w:val="003D0956"/>
    <w:rsid w:val="003D1341"/>
    <w:rsid w:val="003D232A"/>
    <w:rsid w:val="003D2BA7"/>
    <w:rsid w:val="003D42E9"/>
    <w:rsid w:val="003D6FD9"/>
    <w:rsid w:val="003D7BE6"/>
    <w:rsid w:val="003D7F02"/>
    <w:rsid w:val="003E0FED"/>
    <w:rsid w:val="003E2A3A"/>
    <w:rsid w:val="003E64F8"/>
    <w:rsid w:val="003E68F7"/>
    <w:rsid w:val="003E7425"/>
    <w:rsid w:val="003E79D2"/>
    <w:rsid w:val="003E7AD0"/>
    <w:rsid w:val="003F096C"/>
    <w:rsid w:val="003F17AB"/>
    <w:rsid w:val="003F6550"/>
    <w:rsid w:val="004007FF"/>
    <w:rsid w:val="00405B46"/>
    <w:rsid w:val="004067EC"/>
    <w:rsid w:val="00410D98"/>
    <w:rsid w:val="0041269E"/>
    <w:rsid w:val="004136E7"/>
    <w:rsid w:val="0041400A"/>
    <w:rsid w:val="00414BFA"/>
    <w:rsid w:val="00415C91"/>
    <w:rsid w:val="004313DD"/>
    <w:rsid w:val="004319AB"/>
    <w:rsid w:val="0043200B"/>
    <w:rsid w:val="0043366C"/>
    <w:rsid w:val="00433B1D"/>
    <w:rsid w:val="004348D8"/>
    <w:rsid w:val="00435C1E"/>
    <w:rsid w:val="00436054"/>
    <w:rsid w:val="00436C76"/>
    <w:rsid w:val="00436F84"/>
    <w:rsid w:val="00437B82"/>
    <w:rsid w:val="004406C2"/>
    <w:rsid w:val="00440A01"/>
    <w:rsid w:val="00441D38"/>
    <w:rsid w:val="00442562"/>
    <w:rsid w:val="00442FB9"/>
    <w:rsid w:val="0044391B"/>
    <w:rsid w:val="00453679"/>
    <w:rsid w:val="00456B0A"/>
    <w:rsid w:val="00456DB6"/>
    <w:rsid w:val="00456FD9"/>
    <w:rsid w:val="004571FF"/>
    <w:rsid w:val="00457BC3"/>
    <w:rsid w:val="00460019"/>
    <w:rsid w:val="0046019B"/>
    <w:rsid w:val="00461138"/>
    <w:rsid w:val="0046570C"/>
    <w:rsid w:val="00465A34"/>
    <w:rsid w:val="004710EB"/>
    <w:rsid w:val="004710F4"/>
    <w:rsid w:val="00471C6A"/>
    <w:rsid w:val="00472E5C"/>
    <w:rsid w:val="004742F4"/>
    <w:rsid w:val="00474B13"/>
    <w:rsid w:val="00474FF7"/>
    <w:rsid w:val="004751FB"/>
    <w:rsid w:val="00475D9F"/>
    <w:rsid w:val="00480116"/>
    <w:rsid w:val="004819A4"/>
    <w:rsid w:val="00482DBA"/>
    <w:rsid w:val="004836D2"/>
    <w:rsid w:val="00483D50"/>
    <w:rsid w:val="00490DAC"/>
    <w:rsid w:val="00493093"/>
    <w:rsid w:val="00494EE6"/>
    <w:rsid w:val="00495F2E"/>
    <w:rsid w:val="00496582"/>
    <w:rsid w:val="004A4A20"/>
    <w:rsid w:val="004A4A54"/>
    <w:rsid w:val="004A6C31"/>
    <w:rsid w:val="004B04A0"/>
    <w:rsid w:val="004B0750"/>
    <w:rsid w:val="004B117E"/>
    <w:rsid w:val="004B33A1"/>
    <w:rsid w:val="004B3E4E"/>
    <w:rsid w:val="004B40A1"/>
    <w:rsid w:val="004B56B0"/>
    <w:rsid w:val="004B6749"/>
    <w:rsid w:val="004B755A"/>
    <w:rsid w:val="004B7D2C"/>
    <w:rsid w:val="004C07E5"/>
    <w:rsid w:val="004C1410"/>
    <w:rsid w:val="004C1468"/>
    <w:rsid w:val="004C1A2E"/>
    <w:rsid w:val="004C28CC"/>
    <w:rsid w:val="004C7572"/>
    <w:rsid w:val="004D24A9"/>
    <w:rsid w:val="004D2B9C"/>
    <w:rsid w:val="004D3FD5"/>
    <w:rsid w:val="004D6B85"/>
    <w:rsid w:val="004E161F"/>
    <w:rsid w:val="004E391F"/>
    <w:rsid w:val="004E558C"/>
    <w:rsid w:val="004E65EE"/>
    <w:rsid w:val="004E7203"/>
    <w:rsid w:val="004F08CD"/>
    <w:rsid w:val="004F3ECD"/>
    <w:rsid w:val="004F46CB"/>
    <w:rsid w:val="00502315"/>
    <w:rsid w:val="00502551"/>
    <w:rsid w:val="005034D0"/>
    <w:rsid w:val="00503E2A"/>
    <w:rsid w:val="00504EE2"/>
    <w:rsid w:val="005050BD"/>
    <w:rsid w:val="005057F0"/>
    <w:rsid w:val="00505E94"/>
    <w:rsid w:val="0050652E"/>
    <w:rsid w:val="0050698B"/>
    <w:rsid w:val="00507B9F"/>
    <w:rsid w:val="00510017"/>
    <w:rsid w:val="00511931"/>
    <w:rsid w:val="0051267F"/>
    <w:rsid w:val="00512B8D"/>
    <w:rsid w:val="005133E3"/>
    <w:rsid w:val="00513E2F"/>
    <w:rsid w:val="00515E69"/>
    <w:rsid w:val="005177DF"/>
    <w:rsid w:val="00517C5E"/>
    <w:rsid w:val="005234C6"/>
    <w:rsid w:val="00523617"/>
    <w:rsid w:val="005264AB"/>
    <w:rsid w:val="0053191B"/>
    <w:rsid w:val="005332D4"/>
    <w:rsid w:val="00534A22"/>
    <w:rsid w:val="00536186"/>
    <w:rsid w:val="005366A9"/>
    <w:rsid w:val="005408E6"/>
    <w:rsid w:val="00542193"/>
    <w:rsid w:val="0054284D"/>
    <w:rsid w:val="00543EBC"/>
    <w:rsid w:val="00545655"/>
    <w:rsid w:val="00545964"/>
    <w:rsid w:val="005505F0"/>
    <w:rsid w:val="00550994"/>
    <w:rsid w:val="00550D5E"/>
    <w:rsid w:val="00552929"/>
    <w:rsid w:val="00553508"/>
    <w:rsid w:val="00554E35"/>
    <w:rsid w:val="00555D38"/>
    <w:rsid w:val="00557A74"/>
    <w:rsid w:val="00560B9A"/>
    <w:rsid w:val="00561767"/>
    <w:rsid w:val="00571135"/>
    <w:rsid w:val="005716D9"/>
    <w:rsid w:val="00572EA4"/>
    <w:rsid w:val="00574AD9"/>
    <w:rsid w:val="00580C19"/>
    <w:rsid w:val="00582FE9"/>
    <w:rsid w:val="00583819"/>
    <w:rsid w:val="00584B43"/>
    <w:rsid w:val="00587C8E"/>
    <w:rsid w:val="00590E61"/>
    <w:rsid w:val="00593100"/>
    <w:rsid w:val="00595865"/>
    <w:rsid w:val="005A084C"/>
    <w:rsid w:val="005A18D1"/>
    <w:rsid w:val="005A259C"/>
    <w:rsid w:val="005A48D2"/>
    <w:rsid w:val="005A5BB3"/>
    <w:rsid w:val="005A6DDE"/>
    <w:rsid w:val="005A6F13"/>
    <w:rsid w:val="005A76CC"/>
    <w:rsid w:val="005B546F"/>
    <w:rsid w:val="005B638D"/>
    <w:rsid w:val="005B7641"/>
    <w:rsid w:val="005C0475"/>
    <w:rsid w:val="005C0729"/>
    <w:rsid w:val="005C21F0"/>
    <w:rsid w:val="005C2B1A"/>
    <w:rsid w:val="005C3C6E"/>
    <w:rsid w:val="005C4232"/>
    <w:rsid w:val="005C6FB4"/>
    <w:rsid w:val="005D0F90"/>
    <w:rsid w:val="005D1820"/>
    <w:rsid w:val="005D19A0"/>
    <w:rsid w:val="005D1F6D"/>
    <w:rsid w:val="005D4671"/>
    <w:rsid w:val="005D4986"/>
    <w:rsid w:val="005D56BB"/>
    <w:rsid w:val="005D654A"/>
    <w:rsid w:val="005E0A59"/>
    <w:rsid w:val="005E46B9"/>
    <w:rsid w:val="005E5B0B"/>
    <w:rsid w:val="005E77E1"/>
    <w:rsid w:val="005F273B"/>
    <w:rsid w:val="005F3051"/>
    <w:rsid w:val="005F3911"/>
    <w:rsid w:val="005F4256"/>
    <w:rsid w:val="005F432F"/>
    <w:rsid w:val="00600E55"/>
    <w:rsid w:val="00603011"/>
    <w:rsid w:val="00605CE5"/>
    <w:rsid w:val="006071CA"/>
    <w:rsid w:val="006071E9"/>
    <w:rsid w:val="00607480"/>
    <w:rsid w:val="00607977"/>
    <w:rsid w:val="00607A8C"/>
    <w:rsid w:val="006115D1"/>
    <w:rsid w:val="0061265D"/>
    <w:rsid w:val="00614AD8"/>
    <w:rsid w:val="00616E11"/>
    <w:rsid w:val="00620341"/>
    <w:rsid w:val="006212A3"/>
    <w:rsid w:val="00622A76"/>
    <w:rsid w:val="00622B79"/>
    <w:rsid w:val="00624525"/>
    <w:rsid w:val="006322FE"/>
    <w:rsid w:val="00633097"/>
    <w:rsid w:val="006364D3"/>
    <w:rsid w:val="00637219"/>
    <w:rsid w:val="006412C3"/>
    <w:rsid w:val="006443CF"/>
    <w:rsid w:val="00644F78"/>
    <w:rsid w:val="00653859"/>
    <w:rsid w:val="00653DA2"/>
    <w:rsid w:val="00655AE6"/>
    <w:rsid w:val="006560B3"/>
    <w:rsid w:val="00656E09"/>
    <w:rsid w:val="00660DAB"/>
    <w:rsid w:val="00662579"/>
    <w:rsid w:val="006655F9"/>
    <w:rsid w:val="006712FD"/>
    <w:rsid w:val="00676AC8"/>
    <w:rsid w:val="006774B3"/>
    <w:rsid w:val="00677F96"/>
    <w:rsid w:val="00680EA6"/>
    <w:rsid w:val="00681987"/>
    <w:rsid w:val="006822A1"/>
    <w:rsid w:val="00685971"/>
    <w:rsid w:val="00685FB4"/>
    <w:rsid w:val="0069045A"/>
    <w:rsid w:val="006907C4"/>
    <w:rsid w:val="00691C66"/>
    <w:rsid w:val="00691D93"/>
    <w:rsid w:val="00695463"/>
    <w:rsid w:val="00696A5E"/>
    <w:rsid w:val="00696F12"/>
    <w:rsid w:val="0069741F"/>
    <w:rsid w:val="00697C8E"/>
    <w:rsid w:val="006A0613"/>
    <w:rsid w:val="006A26F8"/>
    <w:rsid w:val="006A27D0"/>
    <w:rsid w:val="006A4C6A"/>
    <w:rsid w:val="006A51F6"/>
    <w:rsid w:val="006A6C85"/>
    <w:rsid w:val="006A6F74"/>
    <w:rsid w:val="006A76E8"/>
    <w:rsid w:val="006B27E3"/>
    <w:rsid w:val="006B3FC3"/>
    <w:rsid w:val="006B5C41"/>
    <w:rsid w:val="006B6DC3"/>
    <w:rsid w:val="006C0744"/>
    <w:rsid w:val="006C1170"/>
    <w:rsid w:val="006C1369"/>
    <w:rsid w:val="006C3CEB"/>
    <w:rsid w:val="006C5D8C"/>
    <w:rsid w:val="006D4184"/>
    <w:rsid w:val="006D583D"/>
    <w:rsid w:val="006E01A2"/>
    <w:rsid w:val="006E08FB"/>
    <w:rsid w:val="006E747E"/>
    <w:rsid w:val="006F03BD"/>
    <w:rsid w:val="006F27DB"/>
    <w:rsid w:val="006F3469"/>
    <w:rsid w:val="006F3C62"/>
    <w:rsid w:val="006F4087"/>
    <w:rsid w:val="006F7AFB"/>
    <w:rsid w:val="006F7E6F"/>
    <w:rsid w:val="007001D0"/>
    <w:rsid w:val="00703290"/>
    <w:rsid w:val="00703C25"/>
    <w:rsid w:val="007060E3"/>
    <w:rsid w:val="0070616F"/>
    <w:rsid w:val="00707536"/>
    <w:rsid w:val="00707D39"/>
    <w:rsid w:val="00711C3E"/>
    <w:rsid w:val="007155B4"/>
    <w:rsid w:val="00715F32"/>
    <w:rsid w:val="007206FD"/>
    <w:rsid w:val="0072130E"/>
    <w:rsid w:val="00721CE7"/>
    <w:rsid w:val="00722802"/>
    <w:rsid w:val="00722C82"/>
    <w:rsid w:val="00723CA6"/>
    <w:rsid w:val="0072542B"/>
    <w:rsid w:val="00725B4F"/>
    <w:rsid w:val="00726B53"/>
    <w:rsid w:val="00727C0F"/>
    <w:rsid w:val="007329C5"/>
    <w:rsid w:val="00733E39"/>
    <w:rsid w:val="007343D5"/>
    <w:rsid w:val="007343E0"/>
    <w:rsid w:val="00735093"/>
    <w:rsid w:val="00736790"/>
    <w:rsid w:val="00737367"/>
    <w:rsid w:val="00742B27"/>
    <w:rsid w:val="0074455E"/>
    <w:rsid w:val="007454F8"/>
    <w:rsid w:val="00746239"/>
    <w:rsid w:val="00752D72"/>
    <w:rsid w:val="00753239"/>
    <w:rsid w:val="00756A81"/>
    <w:rsid w:val="007571BE"/>
    <w:rsid w:val="00757415"/>
    <w:rsid w:val="0075773A"/>
    <w:rsid w:val="00762330"/>
    <w:rsid w:val="007652BC"/>
    <w:rsid w:val="0076569A"/>
    <w:rsid w:val="007676F1"/>
    <w:rsid w:val="007709A2"/>
    <w:rsid w:val="00771557"/>
    <w:rsid w:val="00771C16"/>
    <w:rsid w:val="007738CB"/>
    <w:rsid w:val="00774214"/>
    <w:rsid w:val="0077740A"/>
    <w:rsid w:val="007843CB"/>
    <w:rsid w:val="00784484"/>
    <w:rsid w:val="007845A6"/>
    <w:rsid w:val="00786642"/>
    <w:rsid w:val="007871CD"/>
    <w:rsid w:val="007871D1"/>
    <w:rsid w:val="00790795"/>
    <w:rsid w:val="00792387"/>
    <w:rsid w:val="00792F5A"/>
    <w:rsid w:val="00793F75"/>
    <w:rsid w:val="007959ED"/>
    <w:rsid w:val="007A1BCB"/>
    <w:rsid w:val="007A2A15"/>
    <w:rsid w:val="007A2A3F"/>
    <w:rsid w:val="007A47F7"/>
    <w:rsid w:val="007A486B"/>
    <w:rsid w:val="007A4C99"/>
    <w:rsid w:val="007A5092"/>
    <w:rsid w:val="007A517F"/>
    <w:rsid w:val="007A53EA"/>
    <w:rsid w:val="007B01FE"/>
    <w:rsid w:val="007B091B"/>
    <w:rsid w:val="007B0FC2"/>
    <w:rsid w:val="007B23EE"/>
    <w:rsid w:val="007B3633"/>
    <w:rsid w:val="007B3F1D"/>
    <w:rsid w:val="007B5409"/>
    <w:rsid w:val="007B6C11"/>
    <w:rsid w:val="007B74D2"/>
    <w:rsid w:val="007C0C90"/>
    <w:rsid w:val="007C1E27"/>
    <w:rsid w:val="007C3C09"/>
    <w:rsid w:val="007C3C51"/>
    <w:rsid w:val="007D1821"/>
    <w:rsid w:val="007D4E04"/>
    <w:rsid w:val="007D5FB2"/>
    <w:rsid w:val="007D60B4"/>
    <w:rsid w:val="007D68DA"/>
    <w:rsid w:val="007E25E0"/>
    <w:rsid w:val="007E2949"/>
    <w:rsid w:val="007E3C31"/>
    <w:rsid w:val="007E4F7D"/>
    <w:rsid w:val="007E603B"/>
    <w:rsid w:val="007F174F"/>
    <w:rsid w:val="007F21B5"/>
    <w:rsid w:val="007F6C69"/>
    <w:rsid w:val="00802755"/>
    <w:rsid w:val="00802B7E"/>
    <w:rsid w:val="008035BE"/>
    <w:rsid w:val="00803986"/>
    <w:rsid w:val="00807064"/>
    <w:rsid w:val="00807CF7"/>
    <w:rsid w:val="00810FF1"/>
    <w:rsid w:val="00811A36"/>
    <w:rsid w:val="00811ED3"/>
    <w:rsid w:val="00812093"/>
    <w:rsid w:val="00813210"/>
    <w:rsid w:val="008139D7"/>
    <w:rsid w:val="008147F1"/>
    <w:rsid w:val="008153C9"/>
    <w:rsid w:val="0082054F"/>
    <w:rsid w:val="008212B5"/>
    <w:rsid w:val="00821379"/>
    <w:rsid w:val="008232F4"/>
    <w:rsid w:val="00827930"/>
    <w:rsid w:val="00830A28"/>
    <w:rsid w:val="00830D66"/>
    <w:rsid w:val="00831E3D"/>
    <w:rsid w:val="008324FD"/>
    <w:rsid w:val="00832743"/>
    <w:rsid w:val="00834163"/>
    <w:rsid w:val="00834309"/>
    <w:rsid w:val="00835001"/>
    <w:rsid w:val="0083767C"/>
    <w:rsid w:val="00837752"/>
    <w:rsid w:val="008400EF"/>
    <w:rsid w:val="008418C4"/>
    <w:rsid w:val="00842EF2"/>
    <w:rsid w:val="00843D64"/>
    <w:rsid w:val="00844687"/>
    <w:rsid w:val="00845B91"/>
    <w:rsid w:val="00847CE9"/>
    <w:rsid w:val="00850049"/>
    <w:rsid w:val="00851528"/>
    <w:rsid w:val="00851713"/>
    <w:rsid w:val="00852239"/>
    <w:rsid w:val="00853859"/>
    <w:rsid w:val="00854588"/>
    <w:rsid w:val="00854F01"/>
    <w:rsid w:val="008551E9"/>
    <w:rsid w:val="00855D43"/>
    <w:rsid w:val="00855D57"/>
    <w:rsid w:val="00856DA9"/>
    <w:rsid w:val="00857F02"/>
    <w:rsid w:val="0086507C"/>
    <w:rsid w:val="00867854"/>
    <w:rsid w:val="00867F0F"/>
    <w:rsid w:val="008704B3"/>
    <w:rsid w:val="00872108"/>
    <w:rsid w:val="008752F1"/>
    <w:rsid w:val="00875D4A"/>
    <w:rsid w:val="00875E45"/>
    <w:rsid w:val="00884AE2"/>
    <w:rsid w:val="00884F2D"/>
    <w:rsid w:val="00885060"/>
    <w:rsid w:val="00885BE8"/>
    <w:rsid w:val="00890245"/>
    <w:rsid w:val="0089116B"/>
    <w:rsid w:val="0089155A"/>
    <w:rsid w:val="008946C8"/>
    <w:rsid w:val="0089643B"/>
    <w:rsid w:val="008A1996"/>
    <w:rsid w:val="008A491D"/>
    <w:rsid w:val="008A6925"/>
    <w:rsid w:val="008B0747"/>
    <w:rsid w:val="008B095D"/>
    <w:rsid w:val="008B282A"/>
    <w:rsid w:val="008B3BBF"/>
    <w:rsid w:val="008B56B5"/>
    <w:rsid w:val="008C01BD"/>
    <w:rsid w:val="008C2B29"/>
    <w:rsid w:val="008C359D"/>
    <w:rsid w:val="008C51F4"/>
    <w:rsid w:val="008D001F"/>
    <w:rsid w:val="008D00CF"/>
    <w:rsid w:val="008D0AE4"/>
    <w:rsid w:val="008D2D55"/>
    <w:rsid w:val="008D3BF6"/>
    <w:rsid w:val="008D4534"/>
    <w:rsid w:val="008D4CEE"/>
    <w:rsid w:val="008D75C7"/>
    <w:rsid w:val="008D75E9"/>
    <w:rsid w:val="008D7D38"/>
    <w:rsid w:val="008E0018"/>
    <w:rsid w:val="008E057E"/>
    <w:rsid w:val="008E1EF9"/>
    <w:rsid w:val="008E2C0E"/>
    <w:rsid w:val="008F1A67"/>
    <w:rsid w:val="008F43A1"/>
    <w:rsid w:val="008F5515"/>
    <w:rsid w:val="008F6B7C"/>
    <w:rsid w:val="00901ED2"/>
    <w:rsid w:val="00903443"/>
    <w:rsid w:val="00906B78"/>
    <w:rsid w:val="0091121A"/>
    <w:rsid w:val="009126C7"/>
    <w:rsid w:val="009154A7"/>
    <w:rsid w:val="00916A78"/>
    <w:rsid w:val="00916BB7"/>
    <w:rsid w:val="00917D72"/>
    <w:rsid w:val="00917DED"/>
    <w:rsid w:val="00920640"/>
    <w:rsid w:val="00922787"/>
    <w:rsid w:val="00922D82"/>
    <w:rsid w:val="009232A2"/>
    <w:rsid w:val="00924DA9"/>
    <w:rsid w:val="00925532"/>
    <w:rsid w:val="00926E36"/>
    <w:rsid w:val="00930F53"/>
    <w:rsid w:val="00931938"/>
    <w:rsid w:val="009321C3"/>
    <w:rsid w:val="00933AA2"/>
    <w:rsid w:val="00935C6B"/>
    <w:rsid w:val="00936004"/>
    <w:rsid w:val="009360D9"/>
    <w:rsid w:val="00937B71"/>
    <w:rsid w:val="009429CC"/>
    <w:rsid w:val="009438B8"/>
    <w:rsid w:val="009451A6"/>
    <w:rsid w:val="00946518"/>
    <w:rsid w:val="00951DB6"/>
    <w:rsid w:val="0095290C"/>
    <w:rsid w:val="009530DE"/>
    <w:rsid w:val="00953F17"/>
    <w:rsid w:val="00961035"/>
    <w:rsid w:val="00961241"/>
    <w:rsid w:val="009615B2"/>
    <w:rsid w:val="00961F2F"/>
    <w:rsid w:val="00962A3C"/>
    <w:rsid w:val="00962D2F"/>
    <w:rsid w:val="009637AB"/>
    <w:rsid w:val="0096411E"/>
    <w:rsid w:val="00964A03"/>
    <w:rsid w:val="00972B09"/>
    <w:rsid w:val="00973550"/>
    <w:rsid w:val="009759C8"/>
    <w:rsid w:val="0097631B"/>
    <w:rsid w:val="00981867"/>
    <w:rsid w:val="009828E7"/>
    <w:rsid w:val="00982CD5"/>
    <w:rsid w:val="00984BB9"/>
    <w:rsid w:val="0098537F"/>
    <w:rsid w:val="00987A08"/>
    <w:rsid w:val="009901C8"/>
    <w:rsid w:val="00990CDA"/>
    <w:rsid w:val="00995331"/>
    <w:rsid w:val="009977B4"/>
    <w:rsid w:val="00997812"/>
    <w:rsid w:val="009A0AB3"/>
    <w:rsid w:val="009A1208"/>
    <w:rsid w:val="009A18A4"/>
    <w:rsid w:val="009A2B11"/>
    <w:rsid w:val="009A449F"/>
    <w:rsid w:val="009A7D4E"/>
    <w:rsid w:val="009B2AD6"/>
    <w:rsid w:val="009B38A8"/>
    <w:rsid w:val="009B6327"/>
    <w:rsid w:val="009C1A3F"/>
    <w:rsid w:val="009C2625"/>
    <w:rsid w:val="009C380E"/>
    <w:rsid w:val="009D3158"/>
    <w:rsid w:val="009D4E4C"/>
    <w:rsid w:val="009E3D35"/>
    <w:rsid w:val="009E4152"/>
    <w:rsid w:val="009E5A36"/>
    <w:rsid w:val="009E6C76"/>
    <w:rsid w:val="009E6D12"/>
    <w:rsid w:val="009E7382"/>
    <w:rsid w:val="009E773C"/>
    <w:rsid w:val="009E7BDF"/>
    <w:rsid w:val="009F0446"/>
    <w:rsid w:val="009F0FC1"/>
    <w:rsid w:val="009F5236"/>
    <w:rsid w:val="009F73D7"/>
    <w:rsid w:val="00A02E26"/>
    <w:rsid w:val="00A03836"/>
    <w:rsid w:val="00A0603D"/>
    <w:rsid w:val="00A06BE8"/>
    <w:rsid w:val="00A07253"/>
    <w:rsid w:val="00A207EC"/>
    <w:rsid w:val="00A22118"/>
    <w:rsid w:val="00A227A7"/>
    <w:rsid w:val="00A22C72"/>
    <w:rsid w:val="00A22F31"/>
    <w:rsid w:val="00A262D9"/>
    <w:rsid w:val="00A26E36"/>
    <w:rsid w:val="00A27B94"/>
    <w:rsid w:val="00A32143"/>
    <w:rsid w:val="00A332EA"/>
    <w:rsid w:val="00A3592E"/>
    <w:rsid w:val="00A37D2E"/>
    <w:rsid w:val="00A37F77"/>
    <w:rsid w:val="00A43175"/>
    <w:rsid w:val="00A44E9C"/>
    <w:rsid w:val="00A45748"/>
    <w:rsid w:val="00A45C79"/>
    <w:rsid w:val="00A4665D"/>
    <w:rsid w:val="00A516CB"/>
    <w:rsid w:val="00A53EB2"/>
    <w:rsid w:val="00A575AE"/>
    <w:rsid w:val="00A57641"/>
    <w:rsid w:val="00A57F4F"/>
    <w:rsid w:val="00A6062A"/>
    <w:rsid w:val="00A61253"/>
    <w:rsid w:val="00A65D09"/>
    <w:rsid w:val="00A67F5F"/>
    <w:rsid w:val="00A71EBD"/>
    <w:rsid w:val="00A722B0"/>
    <w:rsid w:val="00A746F9"/>
    <w:rsid w:val="00A77692"/>
    <w:rsid w:val="00A80975"/>
    <w:rsid w:val="00A827DB"/>
    <w:rsid w:val="00A83401"/>
    <w:rsid w:val="00A834B8"/>
    <w:rsid w:val="00A86F1A"/>
    <w:rsid w:val="00A916F4"/>
    <w:rsid w:val="00A9227E"/>
    <w:rsid w:val="00A9275F"/>
    <w:rsid w:val="00A93921"/>
    <w:rsid w:val="00A9527C"/>
    <w:rsid w:val="00A9616B"/>
    <w:rsid w:val="00A96322"/>
    <w:rsid w:val="00AA09A3"/>
    <w:rsid w:val="00AA1734"/>
    <w:rsid w:val="00AA20C9"/>
    <w:rsid w:val="00AA2141"/>
    <w:rsid w:val="00AA4282"/>
    <w:rsid w:val="00AA50D8"/>
    <w:rsid w:val="00AA7849"/>
    <w:rsid w:val="00AB1CA5"/>
    <w:rsid w:val="00AB3D5C"/>
    <w:rsid w:val="00AB4EC7"/>
    <w:rsid w:val="00AB5F1F"/>
    <w:rsid w:val="00AC0812"/>
    <w:rsid w:val="00AD062D"/>
    <w:rsid w:val="00AD141F"/>
    <w:rsid w:val="00AD1AAD"/>
    <w:rsid w:val="00AD49F7"/>
    <w:rsid w:val="00AD4ABE"/>
    <w:rsid w:val="00AD5871"/>
    <w:rsid w:val="00AD6DC4"/>
    <w:rsid w:val="00AD6E17"/>
    <w:rsid w:val="00AD7D53"/>
    <w:rsid w:val="00AE0ABC"/>
    <w:rsid w:val="00AE23F9"/>
    <w:rsid w:val="00AE2F29"/>
    <w:rsid w:val="00AE3CC8"/>
    <w:rsid w:val="00AE44C9"/>
    <w:rsid w:val="00AE4701"/>
    <w:rsid w:val="00AE4C46"/>
    <w:rsid w:val="00AE5BE7"/>
    <w:rsid w:val="00AE5FBD"/>
    <w:rsid w:val="00AE6B36"/>
    <w:rsid w:val="00AE7B73"/>
    <w:rsid w:val="00AE7F74"/>
    <w:rsid w:val="00AF098E"/>
    <w:rsid w:val="00AF0EB2"/>
    <w:rsid w:val="00AF2250"/>
    <w:rsid w:val="00AF3340"/>
    <w:rsid w:val="00AF390D"/>
    <w:rsid w:val="00AF4A02"/>
    <w:rsid w:val="00AF4F39"/>
    <w:rsid w:val="00AF53B2"/>
    <w:rsid w:val="00AF6E0F"/>
    <w:rsid w:val="00AF7661"/>
    <w:rsid w:val="00B0015D"/>
    <w:rsid w:val="00B00C37"/>
    <w:rsid w:val="00B01351"/>
    <w:rsid w:val="00B014F9"/>
    <w:rsid w:val="00B02708"/>
    <w:rsid w:val="00B05195"/>
    <w:rsid w:val="00B05C4E"/>
    <w:rsid w:val="00B0613B"/>
    <w:rsid w:val="00B07898"/>
    <w:rsid w:val="00B07DDE"/>
    <w:rsid w:val="00B10556"/>
    <w:rsid w:val="00B10C33"/>
    <w:rsid w:val="00B11A3B"/>
    <w:rsid w:val="00B14C26"/>
    <w:rsid w:val="00B16577"/>
    <w:rsid w:val="00B1659C"/>
    <w:rsid w:val="00B17828"/>
    <w:rsid w:val="00B23A52"/>
    <w:rsid w:val="00B3000A"/>
    <w:rsid w:val="00B301E2"/>
    <w:rsid w:val="00B32BDD"/>
    <w:rsid w:val="00B34A60"/>
    <w:rsid w:val="00B35780"/>
    <w:rsid w:val="00B40F9E"/>
    <w:rsid w:val="00B42433"/>
    <w:rsid w:val="00B43295"/>
    <w:rsid w:val="00B45A28"/>
    <w:rsid w:val="00B4681A"/>
    <w:rsid w:val="00B479C3"/>
    <w:rsid w:val="00B56824"/>
    <w:rsid w:val="00B610E5"/>
    <w:rsid w:val="00B64794"/>
    <w:rsid w:val="00B65464"/>
    <w:rsid w:val="00B654ED"/>
    <w:rsid w:val="00B670F7"/>
    <w:rsid w:val="00B67600"/>
    <w:rsid w:val="00B6793C"/>
    <w:rsid w:val="00B679A7"/>
    <w:rsid w:val="00B725B1"/>
    <w:rsid w:val="00B72EDB"/>
    <w:rsid w:val="00B73022"/>
    <w:rsid w:val="00B732A4"/>
    <w:rsid w:val="00B7388C"/>
    <w:rsid w:val="00B7408F"/>
    <w:rsid w:val="00B75D9B"/>
    <w:rsid w:val="00B771DA"/>
    <w:rsid w:val="00B807FC"/>
    <w:rsid w:val="00B82880"/>
    <w:rsid w:val="00B85BF2"/>
    <w:rsid w:val="00B85C7E"/>
    <w:rsid w:val="00B9211D"/>
    <w:rsid w:val="00B92B67"/>
    <w:rsid w:val="00B93631"/>
    <w:rsid w:val="00B93F17"/>
    <w:rsid w:val="00B94132"/>
    <w:rsid w:val="00B94871"/>
    <w:rsid w:val="00B94FB4"/>
    <w:rsid w:val="00BA0829"/>
    <w:rsid w:val="00BA1BB3"/>
    <w:rsid w:val="00BA2235"/>
    <w:rsid w:val="00BA2903"/>
    <w:rsid w:val="00BA528A"/>
    <w:rsid w:val="00BA5EE8"/>
    <w:rsid w:val="00BB434F"/>
    <w:rsid w:val="00BB7CB3"/>
    <w:rsid w:val="00BC076B"/>
    <w:rsid w:val="00BC0BB1"/>
    <w:rsid w:val="00BC36C3"/>
    <w:rsid w:val="00BC3877"/>
    <w:rsid w:val="00BC3DB1"/>
    <w:rsid w:val="00BD0684"/>
    <w:rsid w:val="00BD2532"/>
    <w:rsid w:val="00BD681A"/>
    <w:rsid w:val="00BD79C7"/>
    <w:rsid w:val="00BE02CB"/>
    <w:rsid w:val="00BE3C3B"/>
    <w:rsid w:val="00BE4CCF"/>
    <w:rsid w:val="00BE5DC9"/>
    <w:rsid w:val="00BE681A"/>
    <w:rsid w:val="00BE6B24"/>
    <w:rsid w:val="00BE6E1A"/>
    <w:rsid w:val="00BE720F"/>
    <w:rsid w:val="00BE7C23"/>
    <w:rsid w:val="00BE7F87"/>
    <w:rsid w:val="00BF13FD"/>
    <w:rsid w:val="00BF1C59"/>
    <w:rsid w:val="00BF2379"/>
    <w:rsid w:val="00C00FF5"/>
    <w:rsid w:val="00C03AF3"/>
    <w:rsid w:val="00C0431E"/>
    <w:rsid w:val="00C048AA"/>
    <w:rsid w:val="00C06AAF"/>
    <w:rsid w:val="00C10C7A"/>
    <w:rsid w:val="00C13607"/>
    <w:rsid w:val="00C15219"/>
    <w:rsid w:val="00C17AC6"/>
    <w:rsid w:val="00C20220"/>
    <w:rsid w:val="00C26607"/>
    <w:rsid w:val="00C26CB0"/>
    <w:rsid w:val="00C26E8D"/>
    <w:rsid w:val="00C2714C"/>
    <w:rsid w:val="00C27414"/>
    <w:rsid w:val="00C30F7F"/>
    <w:rsid w:val="00C34F25"/>
    <w:rsid w:val="00C37E30"/>
    <w:rsid w:val="00C40302"/>
    <w:rsid w:val="00C43A14"/>
    <w:rsid w:val="00C43A40"/>
    <w:rsid w:val="00C46F29"/>
    <w:rsid w:val="00C47F55"/>
    <w:rsid w:val="00C5260F"/>
    <w:rsid w:val="00C547E8"/>
    <w:rsid w:val="00C55CFF"/>
    <w:rsid w:val="00C55D39"/>
    <w:rsid w:val="00C56103"/>
    <w:rsid w:val="00C5621E"/>
    <w:rsid w:val="00C56676"/>
    <w:rsid w:val="00C62B06"/>
    <w:rsid w:val="00C643DF"/>
    <w:rsid w:val="00C66BBB"/>
    <w:rsid w:val="00C67A46"/>
    <w:rsid w:val="00C744BC"/>
    <w:rsid w:val="00C75EA8"/>
    <w:rsid w:val="00C8464A"/>
    <w:rsid w:val="00C85947"/>
    <w:rsid w:val="00C8648B"/>
    <w:rsid w:val="00C90ACA"/>
    <w:rsid w:val="00C90CF1"/>
    <w:rsid w:val="00C92370"/>
    <w:rsid w:val="00C95CCE"/>
    <w:rsid w:val="00C95DD6"/>
    <w:rsid w:val="00C967D4"/>
    <w:rsid w:val="00C96859"/>
    <w:rsid w:val="00C96E8F"/>
    <w:rsid w:val="00CA3444"/>
    <w:rsid w:val="00CA45C2"/>
    <w:rsid w:val="00CA4FAD"/>
    <w:rsid w:val="00CA5F63"/>
    <w:rsid w:val="00CA6D76"/>
    <w:rsid w:val="00CB007F"/>
    <w:rsid w:val="00CB1557"/>
    <w:rsid w:val="00CB2FB7"/>
    <w:rsid w:val="00CB6473"/>
    <w:rsid w:val="00CB7CA2"/>
    <w:rsid w:val="00CC0736"/>
    <w:rsid w:val="00CC09C5"/>
    <w:rsid w:val="00CC1FA3"/>
    <w:rsid w:val="00CC50C1"/>
    <w:rsid w:val="00CC5A10"/>
    <w:rsid w:val="00CC7279"/>
    <w:rsid w:val="00CD1FA8"/>
    <w:rsid w:val="00CD2C9D"/>
    <w:rsid w:val="00CD749F"/>
    <w:rsid w:val="00CE1CB4"/>
    <w:rsid w:val="00CE2F67"/>
    <w:rsid w:val="00CE31CC"/>
    <w:rsid w:val="00CE4136"/>
    <w:rsid w:val="00CE4B52"/>
    <w:rsid w:val="00CE5590"/>
    <w:rsid w:val="00CE578A"/>
    <w:rsid w:val="00CE5ECD"/>
    <w:rsid w:val="00CF23FA"/>
    <w:rsid w:val="00CF3913"/>
    <w:rsid w:val="00CF5226"/>
    <w:rsid w:val="00CF5E2A"/>
    <w:rsid w:val="00CF5EE9"/>
    <w:rsid w:val="00CF670E"/>
    <w:rsid w:val="00CF6FBA"/>
    <w:rsid w:val="00D01826"/>
    <w:rsid w:val="00D01E95"/>
    <w:rsid w:val="00D04DAB"/>
    <w:rsid w:val="00D0723A"/>
    <w:rsid w:val="00D138F5"/>
    <w:rsid w:val="00D1478C"/>
    <w:rsid w:val="00D15430"/>
    <w:rsid w:val="00D164DC"/>
    <w:rsid w:val="00D212B3"/>
    <w:rsid w:val="00D22699"/>
    <w:rsid w:val="00D24816"/>
    <w:rsid w:val="00D271A0"/>
    <w:rsid w:val="00D302DA"/>
    <w:rsid w:val="00D30376"/>
    <w:rsid w:val="00D31A26"/>
    <w:rsid w:val="00D31C7C"/>
    <w:rsid w:val="00D33893"/>
    <w:rsid w:val="00D363E1"/>
    <w:rsid w:val="00D3652F"/>
    <w:rsid w:val="00D36722"/>
    <w:rsid w:val="00D367EE"/>
    <w:rsid w:val="00D36F90"/>
    <w:rsid w:val="00D372B4"/>
    <w:rsid w:val="00D377B9"/>
    <w:rsid w:val="00D4010A"/>
    <w:rsid w:val="00D4029F"/>
    <w:rsid w:val="00D43269"/>
    <w:rsid w:val="00D522E9"/>
    <w:rsid w:val="00D5237C"/>
    <w:rsid w:val="00D56657"/>
    <w:rsid w:val="00D56A95"/>
    <w:rsid w:val="00D56E64"/>
    <w:rsid w:val="00D6350B"/>
    <w:rsid w:val="00D65CBB"/>
    <w:rsid w:val="00D668C5"/>
    <w:rsid w:val="00D72747"/>
    <w:rsid w:val="00D727EB"/>
    <w:rsid w:val="00D72E04"/>
    <w:rsid w:val="00D73285"/>
    <w:rsid w:val="00D74C82"/>
    <w:rsid w:val="00D81AFD"/>
    <w:rsid w:val="00D829EC"/>
    <w:rsid w:val="00D8350E"/>
    <w:rsid w:val="00D85B38"/>
    <w:rsid w:val="00D86294"/>
    <w:rsid w:val="00D90D9C"/>
    <w:rsid w:val="00D91F7B"/>
    <w:rsid w:val="00D93072"/>
    <w:rsid w:val="00D9330A"/>
    <w:rsid w:val="00D93B30"/>
    <w:rsid w:val="00D93DFC"/>
    <w:rsid w:val="00D95DF9"/>
    <w:rsid w:val="00D96188"/>
    <w:rsid w:val="00D963F2"/>
    <w:rsid w:val="00DA0562"/>
    <w:rsid w:val="00DA0FFB"/>
    <w:rsid w:val="00DA45EF"/>
    <w:rsid w:val="00DA6673"/>
    <w:rsid w:val="00DA72C6"/>
    <w:rsid w:val="00DA7624"/>
    <w:rsid w:val="00DB1F26"/>
    <w:rsid w:val="00DB36FF"/>
    <w:rsid w:val="00DB4076"/>
    <w:rsid w:val="00DB4BC7"/>
    <w:rsid w:val="00DB630E"/>
    <w:rsid w:val="00DB6BE3"/>
    <w:rsid w:val="00DC7372"/>
    <w:rsid w:val="00DC74B9"/>
    <w:rsid w:val="00DD1D54"/>
    <w:rsid w:val="00DD2EC4"/>
    <w:rsid w:val="00DD3DAF"/>
    <w:rsid w:val="00DD4629"/>
    <w:rsid w:val="00DD4AB1"/>
    <w:rsid w:val="00DD6306"/>
    <w:rsid w:val="00DD6601"/>
    <w:rsid w:val="00DE2E40"/>
    <w:rsid w:val="00DE4DA9"/>
    <w:rsid w:val="00DF26F7"/>
    <w:rsid w:val="00DF35CF"/>
    <w:rsid w:val="00DF441E"/>
    <w:rsid w:val="00DF5081"/>
    <w:rsid w:val="00DF6C83"/>
    <w:rsid w:val="00DF7D4F"/>
    <w:rsid w:val="00E01A29"/>
    <w:rsid w:val="00E032CB"/>
    <w:rsid w:val="00E03B25"/>
    <w:rsid w:val="00E0509E"/>
    <w:rsid w:val="00E061BF"/>
    <w:rsid w:val="00E10BE5"/>
    <w:rsid w:val="00E110EE"/>
    <w:rsid w:val="00E1110F"/>
    <w:rsid w:val="00E112A7"/>
    <w:rsid w:val="00E11BC5"/>
    <w:rsid w:val="00E125FA"/>
    <w:rsid w:val="00E14017"/>
    <w:rsid w:val="00E14D84"/>
    <w:rsid w:val="00E2061C"/>
    <w:rsid w:val="00E21517"/>
    <w:rsid w:val="00E25A43"/>
    <w:rsid w:val="00E266DF"/>
    <w:rsid w:val="00E27593"/>
    <w:rsid w:val="00E311A6"/>
    <w:rsid w:val="00E31654"/>
    <w:rsid w:val="00E31B34"/>
    <w:rsid w:val="00E33734"/>
    <w:rsid w:val="00E34015"/>
    <w:rsid w:val="00E3436E"/>
    <w:rsid w:val="00E34DAD"/>
    <w:rsid w:val="00E3764C"/>
    <w:rsid w:val="00E41DB5"/>
    <w:rsid w:val="00E43223"/>
    <w:rsid w:val="00E440DB"/>
    <w:rsid w:val="00E45636"/>
    <w:rsid w:val="00E46B75"/>
    <w:rsid w:val="00E47707"/>
    <w:rsid w:val="00E47DF5"/>
    <w:rsid w:val="00E509B6"/>
    <w:rsid w:val="00E514D2"/>
    <w:rsid w:val="00E54185"/>
    <w:rsid w:val="00E552C1"/>
    <w:rsid w:val="00E55AC4"/>
    <w:rsid w:val="00E560B6"/>
    <w:rsid w:val="00E56715"/>
    <w:rsid w:val="00E60B6A"/>
    <w:rsid w:val="00E6106B"/>
    <w:rsid w:val="00E620C8"/>
    <w:rsid w:val="00E62C7A"/>
    <w:rsid w:val="00E65F8C"/>
    <w:rsid w:val="00E661A2"/>
    <w:rsid w:val="00E74133"/>
    <w:rsid w:val="00E74BDE"/>
    <w:rsid w:val="00E7643A"/>
    <w:rsid w:val="00E77212"/>
    <w:rsid w:val="00E80C57"/>
    <w:rsid w:val="00E80EDC"/>
    <w:rsid w:val="00E8174A"/>
    <w:rsid w:val="00E81DB1"/>
    <w:rsid w:val="00E82A0F"/>
    <w:rsid w:val="00E8338B"/>
    <w:rsid w:val="00E84B43"/>
    <w:rsid w:val="00E85785"/>
    <w:rsid w:val="00E87729"/>
    <w:rsid w:val="00E90114"/>
    <w:rsid w:val="00E90B47"/>
    <w:rsid w:val="00E91A7C"/>
    <w:rsid w:val="00E9209B"/>
    <w:rsid w:val="00EA0FD6"/>
    <w:rsid w:val="00EA20FC"/>
    <w:rsid w:val="00EA23AC"/>
    <w:rsid w:val="00EA53BB"/>
    <w:rsid w:val="00EA605C"/>
    <w:rsid w:val="00EA6DFE"/>
    <w:rsid w:val="00EA7A45"/>
    <w:rsid w:val="00EB21F1"/>
    <w:rsid w:val="00EB3186"/>
    <w:rsid w:val="00EB45AA"/>
    <w:rsid w:val="00EB69C9"/>
    <w:rsid w:val="00EB74E3"/>
    <w:rsid w:val="00EC0599"/>
    <w:rsid w:val="00EC4284"/>
    <w:rsid w:val="00ED0204"/>
    <w:rsid w:val="00ED1568"/>
    <w:rsid w:val="00ED2A51"/>
    <w:rsid w:val="00ED4131"/>
    <w:rsid w:val="00ED50A3"/>
    <w:rsid w:val="00ED610F"/>
    <w:rsid w:val="00ED6C36"/>
    <w:rsid w:val="00EE34DF"/>
    <w:rsid w:val="00EE35A0"/>
    <w:rsid w:val="00EE451A"/>
    <w:rsid w:val="00EE77AC"/>
    <w:rsid w:val="00EE7884"/>
    <w:rsid w:val="00EF0516"/>
    <w:rsid w:val="00EF237D"/>
    <w:rsid w:val="00EF34B9"/>
    <w:rsid w:val="00EF4C79"/>
    <w:rsid w:val="00EF521D"/>
    <w:rsid w:val="00EF62BB"/>
    <w:rsid w:val="00EF6F3E"/>
    <w:rsid w:val="00EF789C"/>
    <w:rsid w:val="00F002FB"/>
    <w:rsid w:val="00F041CA"/>
    <w:rsid w:val="00F043C5"/>
    <w:rsid w:val="00F04440"/>
    <w:rsid w:val="00F05754"/>
    <w:rsid w:val="00F05E91"/>
    <w:rsid w:val="00F112FD"/>
    <w:rsid w:val="00F11652"/>
    <w:rsid w:val="00F1509B"/>
    <w:rsid w:val="00F17295"/>
    <w:rsid w:val="00F17492"/>
    <w:rsid w:val="00F22465"/>
    <w:rsid w:val="00F233FE"/>
    <w:rsid w:val="00F254AF"/>
    <w:rsid w:val="00F30FC1"/>
    <w:rsid w:val="00F312E7"/>
    <w:rsid w:val="00F31860"/>
    <w:rsid w:val="00F3309B"/>
    <w:rsid w:val="00F3622B"/>
    <w:rsid w:val="00F3643B"/>
    <w:rsid w:val="00F37EAD"/>
    <w:rsid w:val="00F40005"/>
    <w:rsid w:val="00F41000"/>
    <w:rsid w:val="00F4121E"/>
    <w:rsid w:val="00F42AD2"/>
    <w:rsid w:val="00F435F8"/>
    <w:rsid w:val="00F43D71"/>
    <w:rsid w:val="00F45153"/>
    <w:rsid w:val="00F4555D"/>
    <w:rsid w:val="00F466A7"/>
    <w:rsid w:val="00F474C8"/>
    <w:rsid w:val="00F51C14"/>
    <w:rsid w:val="00F52579"/>
    <w:rsid w:val="00F54D6D"/>
    <w:rsid w:val="00F605D2"/>
    <w:rsid w:val="00F60936"/>
    <w:rsid w:val="00F64118"/>
    <w:rsid w:val="00F716DB"/>
    <w:rsid w:val="00F71D2F"/>
    <w:rsid w:val="00F746F5"/>
    <w:rsid w:val="00F74C80"/>
    <w:rsid w:val="00F76E29"/>
    <w:rsid w:val="00F771EC"/>
    <w:rsid w:val="00F82689"/>
    <w:rsid w:val="00F853D1"/>
    <w:rsid w:val="00F864CE"/>
    <w:rsid w:val="00F87253"/>
    <w:rsid w:val="00F92DC1"/>
    <w:rsid w:val="00F92FE2"/>
    <w:rsid w:val="00F948C3"/>
    <w:rsid w:val="00F95B90"/>
    <w:rsid w:val="00FA129E"/>
    <w:rsid w:val="00FA1C53"/>
    <w:rsid w:val="00FA3792"/>
    <w:rsid w:val="00FA3FE2"/>
    <w:rsid w:val="00FA5430"/>
    <w:rsid w:val="00FA6921"/>
    <w:rsid w:val="00FA7449"/>
    <w:rsid w:val="00FA7FCC"/>
    <w:rsid w:val="00FB0F57"/>
    <w:rsid w:val="00FB19AD"/>
    <w:rsid w:val="00FB30BC"/>
    <w:rsid w:val="00FB473F"/>
    <w:rsid w:val="00FB53AE"/>
    <w:rsid w:val="00FB7AE6"/>
    <w:rsid w:val="00FC0ED8"/>
    <w:rsid w:val="00FC2985"/>
    <w:rsid w:val="00FC604E"/>
    <w:rsid w:val="00FC7D9A"/>
    <w:rsid w:val="00FD0084"/>
    <w:rsid w:val="00FD0C32"/>
    <w:rsid w:val="00FD2B28"/>
    <w:rsid w:val="00FD367D"/>
    <w:rsid w:val="00FD3B44"/>
    <w:rsid w:val="00FD3B55"/>
    <w:rsid w:val="00FD4B5C"/>
    <w:rsid w:val="00FE2ED4"/>
    <w:rsid w:val="00FF019F"/>
    <w:rsid w:val="00FF0AAF"/>
    <w:rsid w:val="00FF2B34"/>
    <w:rsid w:val="00FF3321"/>
    <w:rsid w:val="00FF6DD8"/>
    <w:rsid w:val="00FF70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0D1CBF"/>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link w:val="Heading4Char"/>
    <w:qFormat/>
    <w:rsid w:val="00231CBA"/>
    <w:pPr>
      <w:spacing w:before="120"/>
      <w:ind w:left="1134"/>
      <w:outlineLvl w:val="3"/>
    </w:pPr>
    <w:rPr>
      <w:rFonts w:ascii="Times New Roman" w:hAnsi="Times New Roman"/>
      <w:i/>
    </w:rPr>
  </w:style>
  <w:style w:type="paragraph" w:styleId="Heading5">
    <w:name w:val="heading 5"/>
    <w:basedOn w:val="Heading4"/>
    <w:next w:val="Normal"/>
    <w:qFormat/>
    <w:rsid w:val="00231CBA"/>
    <w:pPr>
      <w:spacing w:after="60"/>
      <w:outlineLvl w:val="4"/>
    </w:pPr>
    <w:rPr>
      <w:b w:val="0"/>
      <w:bCs/>
      <w:iCs/>
      <w:szCs w:val="26"/>
    </w:rPr>
  </w:style>
  <w:style w:type="paragraph" w:styleId="Heading6">
    <w:name w:val="heading 6"/>
    <w:basedOn w:val="Heading5"/>
    <w:next w:val="Normal"/>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uiPriority w:val="99"/>
    <w:rsid w:val="009615B2"/>
    <w:pPr>
      <w:numPr>
        <w:numId w:val="19"/>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uiPriority w:val="99"/>
    <w:rsid w:val="009615B2"/>
    <w:pPr>
      <w:numPr>
        <w:ilvl w:val="4"/>
        <w:numId w:val="19"/>
      </w:numPr>
    </w:pPr>
    <w:rPr>
      <w:i w:val="0"/>
    </w:rPr>
  </w:style>
  <w:style w:type="paragraph" w:customStyle="1" w:styleId="base-text-paragraph">
    <w:name w:val="base-text-paragraph"/>
    <w:basedOn w:val="Normal"/>
    <w:link w:val="base-text-paragraphChar"/>
    <w:rsid w:val="009615B2"/>
    <w:pPr>
      <w:numPr>
        <w:ilvl w:val="1"/>
        <w:numId w:val="19"/>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uiPriority w:val="99"/>
    <w:rsid w:val="009615B2"/>
    <w:pPr>
      <w:keepNext/>
      <w:numPr>
        <w:ilvl w:val="3"/>
        <w:numId w:val="19"/>
      </w:numPr>
    </w:pPr>
    <w:rPr>
      <w:b/>
    </w:rPr>
  </w:style>
  <w:style w:type="paragraph" w:customStyle="1" w:styleId="Diagram">
    <w:name w:val="Diagram"/>
    <w:basedOn w:val="Normal"/>
    <w:next w:val="base-text-paragraphnonumbers"/>
    <w:uiPriority w:val="99"/>
    <w:rsid w:val="009615B2"/>
    <w:pPr>
      <w:keepNext/>
      <w:numPr>
        <w:ilvl w:val="2"/>
        <w:numId w:val="19"/>
      </w:numPr>
      <w:spacing w:before="0" w:after="0"/>
    </w:pPr>
    <w:rPr>
      <w:b/>
    </w:rPr>
  </w:style>
  <w:style w:type="paragraph" w:customStyle="1" w:styleId="dotpoint">
    <w:name w:val="dot point"/>
    <w:basedOn w:val="Normal"/>
    <w:link w:val="dotpointChar"/>
    <w:rsid w:val="008C51F4"/>
    <w:pPr>
      <w:numPr>
        <w:numId w:val="15"/>
      </w:numPr>
    </w:pPr>
  </w:style>
  <w:style w:type="paragraph" w:customStyle="1" w:styleId="dotpoint2">
    <w:name w:val="dot point 2"/>
    <w:basedOn w:val="Normal"/>
    <w:rsid w:val="008C51F4"/>
    <w:pPr>
      <w:numPr>
        <w:ilvl w:val="1"/>
        <w:numId w:val="15"/>
      </w:numPr>
    </w:pPr>
  </w:style>
  <w:style w:type="paragraph" w:customStyle="1" w:styleId="exampledotpoint1">
    <w:name w:val="example dot point 1"/>
    <w:basedOn w:val="exampletext"/>
    <w:rsid w:val="008C51F4"/>
    <w:pPr>
      <w:numPr>
        <w:numId w:val="16"/>
      </w:numPr>
    </w:pPr>
  </w:style>
  <w:style w:type="paragraph" w:customStyle="1" w:styleId="exampledotpoint2">
    <w:name w:val="example dot point 2"/>
    <w:basedOn w:val="exampletext"/>
    <w:rsid w:val="008C51F4"/>
    <w:pPr>
      <w:numPr>
        <w:ilvl w:val="1"/>
        <w:numId w:val="16"/>
      </w:numPr>
    </w:pPr>
  </w:style>
  <w:style w:type="paragraph" w:customStyle="1" w:styleId="tabletext">
    <w:name w:val="table text"/>
    <w:basedOn w:val="Normal"/>
    <w:link w:val="tabletextChar"/>
    <w:rsid w:val="00832743"/>
    <w:pPr>
      <w:spacing w:before="40" w:after="40"/>
    </w:pPr>
    <w:rPr>
      <w:sz w:val="20"/>
    </w:rPr>
  </w:style>
  <w:style w:type="paragraph" w:customStyle="1" w:styleId="tabledotpoint">
    <w:name w:val="table dot point"/>
    <w:basedOn w:val="tabletext"/>
    <w:rsid w:val="00A37F77"/>
    <w:pPr>
      <w:numPr>
        <w:numId w:val="18"/>
      </w:numPr>
    </w:pPr>
  </w:style>
  <w:style w:type="paragraph" w:customStyle="1" w:styleId="tabledotpoint2">
    <w:name w:val="table dot point 2"/>
    <w:basedOn w:val="tabletext"/>
    <w:rsid w:val="00A37F77"/>
    <w:pPr>
      <w:numPr>
        <w:ilvl w:val="1"/>
        <w:numId w:val="18"/>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1"/>
      </w:numPr>
    </w:pPr>
  </w:style>
  <w:style w:type="numbering" w:styleId="1ai">
    <w:name w:val="Outline List 1"/>
    <w:basedOn w:val="NoList"/>
    <w:semiHidden/>
    <w:rsid w:val="003D6FD9"/>
    <w:pPr>
      <w:numPr>
        <w:numId w:val="12"/>
      </w:numPr>
    </w:pPr>
  </w:style>
  <w:style w:type="numbering" w:styleId="ArticleSection">
    <w:name w:val="Outline List 3"/>
    <w:basedOn w:val="NoList"/>
    <w:semiHidden/>
    <w:rsid w:val="003D6FD9"/>
    <w:pPr>
      <w:numPr>
        <w:numId w:val="13"/>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1"/>
      </w:numPr>
    </w:pPr>
  </w:style>
  <w:style w:type="paragraph" w:styleId="ListBullet2">
    <w:name w:val="List Bullet 2"/>
    <w:basedOn w:val="Normal"/>
    <w:semiHidden/>
    <w:rsid w:val="003D6FD9"/>
    <w:pPr>
      <w:numPr>
        <w:numId w:val="2"/>
      </w:numPr>
    </w:pPr>
  </w:style>
  <w:style w:type="paragraph" w:styleId="ListBullet3">
    <w:name w:val="List Bullet 3"/>
    <w:basedOn w:val="Normal"/>
    <w:semiHidden/>
    <w:rsid w:val="003D6FD9"/>
    <w:pPr>
      <w:numPr>
        <w:numId w:val="3"/>
      </w:numPr>
    </w:pPr>
  </w:style>
  <w:style w:type="paragraph" w:styleId="ListBullet4">
    <w:name w:val="List Bullet 4"/>
    <w:basedOn w:val="Normal"/>
    <w:semiHidden/>
    <w:rsid w:val="003D6FD9"/>
    <w:pPr>
      <w:numPr>
        <w:numId w:val="4"/>
      </w:numPr>
    </w:pPr>
  </w:style>
  <w:style w:type="paragraph" w:styleId="ListBullet5">
    <w:name w:val="List Bullet 5"/>
    <w:basedOn w:val="Normal"/>
    <w:semiHidden/>
    <w:rsid w:val="003D6FD9"/>
    <w:pPr>
      <w:numPr>
        <w:numId w:val="5"/>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6"/>
      </w:numPr>
    </w:pPr>
  </w:style>
  <w:style w:type="paragraph" w:styleId="ListNumber2">
    <w:name w:val="List Number 2"/>
    <w:basedOn w:val="Normal"/>
    <w:semiHidden/>
    <w:rsid w:val="003D6FD9"/>
    <w:pPr>
      <w:numPr>
        <w:numId w:val="7"/>
      </w:numPr>
    </w:pPr>
  </w:style>
  <w:style w:type="paragraph" w:styleId="ListNumber3">
    <w:name w:val="List Number 3"/>
    <w:basedOn w:val="Normal"/>
    <w:semiHidden/>
    <w:rsid w:val="003D6FD9"/>
    <w:pPr>
      <w:numPr>
        <w:numId w:val="8"/>
      </w:numPr>
    </w:pPr>
  </w:style>
  <w:style w:type="paragraph" w:styleId="ListNumber4">
    <w:name w:val="List Number 4"/>
    <w:basedOn w:val="Normal"/>
    <w:semiHidden/>
    <w:rsid w:val="003D6FD9"/>
    <w:pPr>
      <w:numPr>
        <w:numId w:val="9"/>
      </w:numPr>
    </w:pPr>
  </w:style>
  <w:style w:type="paragraph" w:styleId="ListNumber5">
    <w:name w:val="List Number 5"/>
    <w:basedOn w:val="Normal"/>
    <w:semiHidden/>
    <w:rsid w:val="003D6FD9"/>
    <w:pPr>
      <w:numPr>
        <w:numId w:val="10"/>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character" w:customStyle="1" w:styleId="Font15point">
    <w:name w:val="Font 15 point"/>
    <w:basedOn w:val="DefaultParagraphFont"/>
    <w:rsid w:val="00B654ED"/>
    <w:rPr>
      <w:sz w:val="30"/>
    </w:rPr>
  </w:style>
  <w:style w:type="character" w:customStyle="1" w:styleId="Font30point">
    <w:name w:val="Font 30 point"/>
    <w:basedOn w:val="DefaultParagraphFont"/>
    <w:rsid w:val="00B654ED"/>
    <w:rPr>
      <w:sz w:val="60"/>
    </w:rPr>
  </w:style>
  <w:style w:type="paragraph" w:customStyle="1" w:styleId="Glossarytabletext">
    <w:name w:val="Glossary table text"/>
    <w:basedOn w:val="Normal"/>
    <w:rsid w:val="00123D96"/>
    <w:pPr>
      <w:spacing w:before="60" w:after="60"/>
    </w:pPr>
    <w:rPr>
      <w:sz w:val="20"/>
    </w:rPr>
  </w:style>
  <w:style w:type="character" w:customStyle="1" w:styleId="Font19point">
    <w:name w:val="Font 19 point"/>
    <w:basedOn w:val="DefaultParagraphFont"/>
    <w:rsid w:val="00FD4B5C"/>
    <w:rPr>
      <w:sz w:val="38"/>
    </w:rPr>
  </w:style>
  <w:style w:type="character" w:customStyle="1" w:styleId="base-text-paragraphChar">
    <w:name w:val="base-text-paragraph Char"/>
    <w:basedOn w:val="DefaultParagraphFont"/>
    <w:link w:val="base-text-paragraph"/>
    <w:rsid w:val="009615B2"/>
    <w:rPr>
      <w:sz w:val="22"/>
    </w:rPr>
  </w:style>
  <w:style w:type="paragraph" w:styleId="FootnoteText">
    <w:name w:val="footnote text"/>
    <w:basedOn w:val="Normal"/>
    <w:link w:val="FootnoteTextChar"/>
    <w:uiPriority w:val="99"/>
    <w:rsid w:val="00034BE8"/>
    <w:pPr>
      <w:tabs>
        <w:tab w:val="left" w:pos="284"/>
      </w:tabs>
      <w:spacing w:before="0" w:after="0"/>
      <w:ind w:left="284" w:hanging="284"/>
    </w:pPr>
    <w:rPr>
      <w:sz w:val="20"/>
    </w:rPr>
  </w:style>
  <w:style w:type="numbering" w:customStyle="1" w:styleId="ChapterList">
    <w:name w:val="ChapterList"/>
    <w:uiPriority w:val="99"/>
    <w:rsid w:val="009615B2"/>
    <w:pPr>
      <w:numPr>
        <w:numId w:val="14"/>
      </w:numPr>
    </w:pPr>
  </w:style>
  <w:style w:type="paragraph" w:styleId="ListParagraph">
    <w:name w:val="List Paragraph"/>
    <w:basedOn w:val="Normal"/>
    <w:link w:val="ListParagraphChar"/>
    <w:uiPriority w:val="34"/>
    <w:qFormat/>
    <w:rsid w:val="00D963F2"/>
    <w:pPr>
      <w:ind w:left="720"/>
      <w:contextualSpacing/>
    </w:pPr>
  </w:style>
  <w:style w:type="numbering" w:customStyle="1" w:styleId="DotPointList">
    <w:name w:val="Dot Point List"/>
    <w:uiPriority w:val="99"/>
    <w:rsid w:val="008C51F4"/>
    <w:pPr>
      <w:numPr>
        <w:numId w:val="15"/>
      </w:numPr>
    </w:pPr>
  </w:style>
  <w:style w:type="numbering" w:customStyle="1" w:styleId="ExampleDotPointList">
    <w:name w:val="Example Dot Point List"/>
    <w:uiPriority w:val="99"/>
    <w:rsid w:val="008C51F4"/>
    <w:pPr>
      <w:numPr>
        <w:numId w:val="16"/>
      </w:numPr>
    </w:pPr>
  </w:style>
  <w:style w:type="numbering" w:customStyle="1" w:styleId="TableDotPointList">
    <w:name w:val="Table Dot Point List"/>
    <w:uiPriority w:val="99"/>
    <w:rsid w:val="00A37F77"/>
    <w:pPr>
      <w:numPr>
        <w:numId w:val="17"/>
      </w:numPr>
    </w:pPr>
  </w:style>
  <w:style w:type="paragraph" w:styleId="BalloonText">
    <w:name w:val="Balloon Text"/>
    <w:basedOn w:val="Normal"/>
    <w:link w:val="BalloonTextChar"/>
    <w:rsid w:val="00C85947"/>
    <w:pPr>
      <w:spacing w:before="0" w:after="0"/>
    </w:pPr>
    <w:rPr>
      <w:rFonts w:ascii="Tahoma" w:hAnsi="Tahoma" w:cs="Tahoma"/>
      <w:sz w:val="16"/>
      <w:szCs w:val="16"/>
    </w:rPr>
  </w:style>
  <w:style w:type="character" w:customStyle="1" w:styleId="BalloonTextChar">
    <w:name w:val="Balloon Text Char"/>
    <w:basedOn w:val="DefaultParagraphFont"/>
    <w:link w:val="BalloonText"/>
    <w:rsid w:val="00C85947"/>
    <w:rPr>
      <w:rFonts w:ascii="Tahoma" w:hAnsi="Tahoma" w:cs="Tahoma"/>
      <w:sz w:val="16"/>
      <w:szCs w:val="16"/>
    </w:rPr>
  </w:style>
  <w:style w:type="character" w:styleId="FootnoteReference">
    <w:name w:val="footnote reference"/>
    <w:basedOn w:val="DefaultParagraphFont"/>
    <w:uiPriority w:val="99"/>
    <w:rsid w:val="00B670F7"/>
    <w:rPr>
      <w:vertAlign w:val="superscript"/>
    </w:rPr>
  </w:style>
  <w:style w:type="character" w:customStyle="1" w:styleId="ListParagraphChar">
    <w:name w:val="List Paragraph Char"/>
    <w:basedOn w:val="DefaultParagraphFont"/>
    <w:link w:val="ListParagraph"/>
    <w:uiPriority w:val="34"/>
    <w:rsid w:val="0041269E"/>
    <w:rPr>
      <w:sz w:val="22"/>
    </w:rPr>
  </w:style>
  <w:style w:type="character" w:styleId="Hyperlink">
    <w:name w:val="Hyperlink"/>
    <w:basedOn w:val="DefaultParagraphFont"/>
    <w:rsid w:val="00222A85"/>
    <w:rPr>
      <w:color w:val="0000FF"/>
      <w:u w:val="single"/>
    </w:rPr>
  </w:style>
  <w:style w:type="character" w:styleId="CommentReference">
    <w:name w:val="annotation reference"/>
    <w:basedOn w:val="DefaultParagraphFont"/>
    <w:uiPriority w:val="99"/>
    <w:rsid w:val="00EA7A45"/>
    <w:rPr>
      <w:sz w:val="16"/>
      <w:szCs w:val="16"/>
    </w:rPr>
  </w:style>
  <w:style w:type="paragraph" w:styleId="CommentText">
    <w:name w:val="annotation text"/>
    <w:basedOn w:val="Normal"/>
    <w:link w:val="CommentTextChar"/>
    <w:uiPriority w:val="99"/>
    <w:rsid w:val="00EA7A45"/>
    <w:rPr>
      <w:sz w:val="20"/>
    </w:rPr>
  </w:style>
  <w:style w:type="character" w:customStyle="1" w:styleId="CommentTextChar">
    <w:name w:val="Comment Text Char"/>
    <w:basedOn w:val="DefaultParagraphFont"/>
    <w:link w:val="CommentText"/>
    <w:uiPriority w:val="99"/>
    <w:rsid w:val="00EA7A45"/>
  </w:style>
  <w:style w:type="paragraph" w:styleId="CommentSubject">
    <w:name w:val="annotation subject"/>
    <w:basedOn w:val="CommentText"/>
    <w:next w:val="CommentText"/>
    <w:link w:val="CommentSubjectChar"/>
    <w:rsid w:val="00EA7A45"/>
    <w:rPr>
      <w:b/>
      <w:bCs/>
    </w:rPr>
  </w:style>
  <w:style w:type="character" w:customStyle="1" w:styleId="CommentSubjectChar">
    <w:name w:val="Comment Subject Char"/>
    <w:basedOn w:val="CommentTextChar"/>
    <w:link w:val="CommentSubject"/>
    <w:rsid w:val="00EA7A45"/>
    <w:rPr>
      <w:b/>
      <w:bCs/>
    </w:rPr>
  </w:style>
  <w:style w:type="character" w:customStyle="1" w:styleId="Heading3Char">
    <w:name w:val="Heading 3 Char"/>
    <w:basedOn w:val="DefaultParagraphFont"/>
    <w:link w:val="Heading3"/>
    <w:uiPriority w:val="99"/>
    <w:rsid w:val="00990CDA"/>
    <w:rPr>
      <w:rFonts w:ascii="Helvetica" w:hAnsi="Helvetica"/>
      <w:b/>
      <w:sz w:val="22"/>
    </w:rPr>
  </w:style>
  <w:style w:type="paragraph" w:customStyle="1" w:styleId="Bullet">
    <w:name w:val="Bullet"/>
    <w:aliases w:val="b"/>
    <w:basedOn w:val="Normal"/>
    <w:link w:val="BulletChar"/>
    <w:rsid w:val="00F4555D"/>
    <w:pPr>
      <w:numPr>
        <w:numId w:val="21"/>
      </w:numPr>
    </w:pPr>
    <w:rPr>
      <w:b/>
    </w:rPr>
  </w:style>
  <w:style w:type="character" w:customStyle="1" w:styleId="BulletChar">
    <w:name w:val="Bullet Char"/>
    <w:link w:val="Bullet"/>
    <w:rsid w:val="00F4555D"/>
    <w:rPr>
      <w:b/>
      <w:sz w:val="22"/>
    </w:rPr>
  </w:style>
  <w:style w:type="paragraph" w:customStyle="1" w:styleId="Dash">
    <w:name w:val="Dash"/>
    <w:basedOn w:val="Normal"/>
    <w:rsid w:val="00F4555D"/>
    <w:pPr>
      <w:numPr>
        <w:ilvl w:val="1"/>
        <w:numId w:val="21"/>
      </w:numPr>
    </w:pPr>
    <w:rPr>
      <w:b/>
    </w:rPr>
  </w:style>
  <w:style w:type="paragraph" w:customStyle="1" w:styleId="DoubleDot">
    <w:name w:val="Double Dot"/>
    <w:basedOn w:val="Normal"/>
    <w:rsid w:val="00F4555D"/>
    <w:pPr>
      <w:numPr>
        <w:ilvl w:val="2"/>
        <w:numId w:val="21"/>
      </w:numPr>
    </w:pPr>
    <w:rPr>
      <w:b/>
    </w:rPr>
  </w:style>
  <w:style w:type="character" w:customStyle="1" w:styleId="dotpointChar">
    <w:name w:val="dot point Char"/>
    <w:link w:val="dotpoint"/>
    <w:rsid w:val="001B7AEB"/>
    <w:rPr>
      <w:sz w:val="22"/>
    </w:rPr>
  </w:style>
  <w:style w:type="character" w:customStyle="1" w:styleId="tabletextChar">
    <w:name w:val="table text Char"/>
    <w:link w:val="tabletext"/>
    <w:rsid w:val="004348D8"/>
  </w:style>
  <w:style w:type="table" w:customStyle="1" w:styleId="TableGrid10">
    <w:name w:val="Table Grid1"/>
    <w:basedOn w:val="TableNormal"/>
    <w:next w:val="TableGrid"/>
    <w:rsid w:val="0004681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45030"/>
    <w:rPr>
      <w:sz w:val="22"/>
    </w:rPr>
  </w:style>
  <w:style w:type="paragraph" w:customStyle="1" w:styleId="TableBody-L">
    <w:name w:val="TableBody-L"/>
    <w:basedOn w:val="Normal"/>
    <w:rsid w:val="00382FC2"/>
    <w:pPr>
      <w:autoSpaceDE w:val="0"/>
      <w:autoSpaceDN w:val="0"/>
      <w:adjustRightInd w:val="0"/>
      <w:spacing w:before="0" w:after="0"/>
    </w:pPr>
    <w:rPr>
      <w:color w:val="000000"/>
      <w:sz w:val="20"/>
      <w:szCs w:val="26"/>
    </w:rPr>
  </w:style>
  <w:style w:type="paragraph" w:customStyle="1" w:styleId="TableHeader-LChar">
    <w:name w:val="TableHeader-L Char"/>
    <w:basedOn w:val="Normal"/>
    <w:link w:val="TableHeader-LCharChar"/>
    <w:rsid w:val="00382FC2"/>
    <w:pPr>
      <w:autoSpaceDE w:val="0"/>
      <w:autoSpaceDN w:val="0"/>
      <w:adjustRightInd w:val="0"/>
      <w:spacing w:before="0" w:after="0"/>
    </w:pPr>
    <w:rPr>
      <w:b/>
      <w:color w:val="000000"/>
      <w:sz w:val="20"/>
      <w:szCs w:val="26"/>
    </w:rPr>
  </w:style>
  <w:style w:type="character" w:customStyle="1" w:styleId="TableHeader-LCharChar">
    <w:name w:val="TableHeader-L Char Char"/>
    <w:basedOn w:val="DefaultParagraphFont"/>
    <w:link w:val="TableHeader-LChar"/>
    <w:rsid w:val="00382FC2"/>
    <w:rPr>
      <w:b/>
      <w:color w:val="000000"/>
      <w:szCs w:val="26"/>
    </w:rPr>
  </w:style>
  <w:style w:type="paragraph" w:customStyle="1" w:styleId="Financialtable">
    <w:name w:val="Financial table"/>
    <w:basedOn w:val="Normal"/>
    <w:link w:val="FinancialtableChar"/>
    <w:uiPriority w:val="1"/>
    <w:qFormat/>
    <w:rsid w:val="00382FC2"/>
    <w:pPr>
      <w:tabs>
        <w:tab w:val="left" w:pos="284"/>
      </w:tabs>
      <w:spacing w:before="40" w:after="40"/>
      <w:jc w:val="right"/>
    </w:pPr>
    <w:rPr>
      <w:rFonts w:ascii="Calibri" w:eastAsia="Calibri" w:hAnsi="Calibri"/>
      <w:sz w:val="18"/>
      <w:szCs w:val="18"/>
      <w:lang w:eastAsia="en-US"/>
    </w:rPr>
  </w:style>
  <w:style w:type="character" w:customStyle="1" w:styleId="FinancialtableChar">
    <w:name w:val="Financial table Char"/>
    <w:basedOn w:val="DefaultParagraphFont"/>
    <w:link w:val="Financialtable"/>
    <w:uiPriority w:val="1"/>
    <w:rsid w:val="00382FC2"/>
    <w:rPr>
      <w:rFonts w:ascii="Calibri" w:eastAsia="Calibri" w:hAnsi="Calibri"/>
      <w:sz w:val="18"/>
      <w:szCs w:val="18"/>
      <w:lang w:eastAsia="en-US"/>
    </w:rPr>
  </w:style>
  <w:style w:type="table" w:customStyle="1" w:styleId="TableGrid20">
    <w:name w:val="Table Grid2"/>
    <w:basedOn w:val="TableNormal"/>
    <w:next w:val="TableGrid"/>
    <w:uiPriority w:val="59"/>
    <w:rsid w:val="006322F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DD4AB1"/>
    <w:rPr>
      <w:b/>
      <w:i/>
      <w:sz w:val="22"/>
    </w:rPr>
  </w:style>
  <w:style w:type="paragraph" w:customStyle="1" w:styleId="CABNETParagraphAtt">
    <w:name w:val="CABNET Paragraph Att"/>
    <w:basedOn w:val="Normal"/>
    <w:link w:val="CABNETParagraphAttChar"/>
    <w:qFormat/>
    <w:rsid w:val="00803986"/>
    <w:rPr>
      <w:rFonts w:ascii="Verdana" w:hAnsi="Verdana"/>
      <w:szCs w:val="24"/>
    </w:rPr>
  </w:style>
  <w:style w:type="character" w:customStyle="1" w:styleId="CABNETParagraphAttChar">
    <w:name w:val="CABNET Paragraph Att Char"/>
    <w:basedOn w:val="DefaultParagraphFont"/>
    <w:link w:val="CABNETParagraphAtt"/>
    <w:rsid w:val="00803986"/>
    <w:rPr>
      <w:rFonts w:ascii="Verdana" w:hAnsi="Verdana"/>
      <w:sz w:val="22"/>
      <w:szCs w:val="24"/>
    </w:rPr>
  </w:style>
  <w:style w:type="character" w:customStyle="1" w:styleId="FootnoteTextChar">
    <w:name w:val="Footnote Text Char"/>
    <w:basedOn w:val="DefaultParagraphFont"/>
    <w:link w:val="FootnoteText"/>
    <w:uiPriority w:val="99"/>
    <w:rsid w:val="00474FF7"/>
  </w:style>
  <w:style w:type="character" w:customStyle="1" w:styleId="CharDivText">
    <w:name w:val="CharDivText"/>
    <w:basedOn w:val="DefaultParagraphFont"/>
    <w:uiPriority w:val="1"/>
    <w:qFormat/>
    <w:rsid w:val="00DB4BC7"/>
  </w:style>
  <w:style w:type="character" w:customStyle="1" w:styleId="CharAmSchText">
    <w:name w:val="CharAmSchText"/>
    <w:basedOn w:val="DefaultParagraphFont"/>
    <w:uiPriority w:val="1"/>
    <w:qFormat/>
    <w:rsid w:val="00AB5F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0D1CBF"/>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link w:val="Heading3Char"/>
    <w:qFormat/>
    <w:rsid w:val="00DA72C6"/>
    <w:pPr>
      <w:spacing w:before="240"/>
      <w:outlineLvl w:val="2"/>
    </w:pPr>
    <w:rPr>
      <w:sz w:val="22"/>
    </w:rPr>
  </w:style>
  <w:style w:type="paragraph" w:styleId="Heading4">
    <w:name w:val="heading 4"/>
    <w:basedOn w:val="Heading3"/>
    <w:next w:val="base-text-paragraph"/>
    <w:link w:val="Heading4Char"/>
    <w:qFormat/>
    <w:rsid w:val="00231CBA"/>
    <w:pPr>
      <w:spacing w:before="120"/>
      <w:ind w:left="1134"/>
      <w:outlineLvl w:val="3"/>
    </w:pPr>
    <w:rPr>
      <w:rFonts w:ascii="Times New Roman" w:hAnsi="Times New Roman"/>
      <w:i/>
    </w:rPr>
  </w:style>
  <w:style w:type="paragraph" w:styleId="Heading5">
    <w:name w:val="heading 5"/>
    <w:basedOn w:val="Heading4"/>
    <w:next w:val="Normal"/>
    <w:qFormat/>
    <w:rsid w:val="00231CBA"/>
    <w:pPr>
      <w:spacing w:after="60"/>
      <w:outlineLvl w:val="4"/>
    </w:pPr>
    <w:rPr>
      <w:b w:val="0"/>
      <w:bCs/>
      <w:iCs/>
      <w:szCs w:val="26"/>
    </w:rPr>
  </w:style>
  <w:style w:type="paragraph" w:styleId="Heading6">
    <w:name w:val="heading 6"/>
    <w:basedOn w:val="Heading5"/>
    <w:next w:val="Normal"/>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uiPriority w:val="99"/>
    <w:rsid w:val="009615B2"/>
    <w:pPr>
      <w:numPr>
        <w:numId w:val="19"/>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uiPriority w:val="99"/>
    <w:rsid w:val="009615B2"/>
    <w:pPr>
      <w:numPr>
        <w:ilvl w:val="4"/>
        <w:numId w:val="19"/>
      </w:numPr>
    </w:pPr>
    <w:rPr>
      <w:i w:val="0"/>
    </w:rPr>
  </w:style>
  <w:style w:type="paragraph" w:customStyle="1" w:styleId="base-text-paragraph">
    <w:name w:val="base-text-paragraph"/>
    <w:basedOn w:val="Normal"/>
    <w:link w:val="base-text-paragraphChar"/>
    <w:rsid w:val="009615B2"/>
    <w:pPr>
      <w:numPr>
        <w:ilvl w:val="1"/>
        <w:numId w:val="19"/>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uiPriority w:val="99"/>
    <w:rsid w:val="009615B2"/>
    <w:pPr>
      <w:keepNext/>
      <w:numPr>
        <w:ilvl w:val="3"/>
        <w:numId w:val="19"/>
      </w:numPr>
    </w:pPr>
    <w:rPr>
      <w:b/>
    </w:rPr>
  </w:style>
  <w:style w:type="paragraph" w:customStyle="1" w:styleId="Diagram">
    <w:name w:val="Diagram"/>
    <w:basedOn w:val="Normal"/>
    <w:next w:val="base-text-paragraphnonumbers"/>
    <w:uiPriority w:val="99"/>
    <w:rsid w:val="009615B2"/>
    <w:pPr>
      <w:keepNext/>
      <w:numPr>
        <w:ilvl w:val="2"/>
        <w:numId w:val="19"/>
      </w:numPr>
      <w:spacing w:before="0" w:after="0"/>
    </w:pPr>
    <w:rPr>
      <w:b/>
    </w:rPr>
  </w:style>
  <w:style w:type="paragraph" w:customStyle="1" w:styleId="dotpoint">
    <w:name w:val="dot point"/>
    <w:basedOn w:val="Normal"/>
    <w:link w:val="dotpointChar"/>
    <w:rsid w:val="008C51F4"/>
    <w:pPr>
      <w:numPr>
        <w:numId w:val="15"/>
      </w:numPr>
    </w:pPr>
  </w:style>
  <w:style w:type="paragraph" w:customStyle="1" w:styleId="dotpoint2">
    <w:name w:val="dot point 2"/>
    <w:basedOn w:val="Normal"/>
    <w:rsid w:val="008C51F4"/>
    <w:pPr>
      <w:numPr>
        <w:ilvl w:val="1"/>
        <w:numId w:val="15"/>
      </w:numPr>
    </w:pPr>
  </w:style>
  <w:style w:type="paragraph" w:customStyle="1" w:styleId="exampledotpoint1">
    <w:name w:val="example dot point 1"/>
    <w:basedOn w:val="exampletext"/>
    <w:rsid w:val="008C51F4"/>
    <w:pPr>
      <w:numPr>
        <w:numId w:val="16"/>
      </w:numPr>
    </w:pPr>
  </w:style>
  <w:style w:type="paragraph" w:customStyle="1" w:styleId="exampledotpoint2">
    <w:name w:val="example dot point 2"/>
    <w:basedOn w:val="exampletext"/>
    <w:rsid w:val="008C51F4"/>
    <w:pPr>
      <w:numPr>
        <w:ilvl w:val="1"/>
        <w:numId w:val="16"/>
      </w:numPr>
    </w:pPr>
  </w:style>
  <w:style w:type="paragraph" w:customStyle="1" w:styleId="tabletext">
    <w:name w:val="table text"/>
    <w:basedOn w:val="Normal"/>
    <w:link w:val="tabletextChar"/>
    <w:rsid w:val="00832743"/>
    <w:pPr>
      <w:spacing w:before="40" w:after="40"/>
    </w:pPr>
    <w:rPr>
      <w:sz w:val="20"/>
    </w:rPr>
  </w:style>
  <w:style w:type="paragraph" w:customStyle="1" w:styleId="tabledotpoint">
    <w:name w:val="table dot point"/>
    <w:basedOn w:val="tabletext"/>
    <w:rsid w:val="00A37F77"/>
    <w:pPr>
      <w:numPr>
        <w:numId w:val="18"/>
      </w:numPr>
    </w:pPr>
  </w:style>
  <w:style w:type="paragraph" w:customStyle="1" w:styleId="tabledotpoint2">
    <w:name w:val="table dot point 2"/>
    <w:basedOn w:val="tabletext"/>
    <w:rsid w:val="00A37F77"/>
    <w:pPr>
      <w:numPr>
        <w:ilvl w:val="1"/>
        <w:numId w:val="18"/>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1"/>
      </w:numPr>
    </w:pPr>
  </w:style>
  <w:style w:type="numbering" w:styleId="1ai">
    <w:name w:val="Outline List 1"/>
    <w:basedOn w:val="NoList"/>
    <w:semiHidden/>
    <w:rsid w:val="003D6FD9"/>
    <w:pPr>
      <w:numPr>
        <w:numId w:val="12"/>
      </w:numPr>
    </w:pPr>
  </w:style>
  <w:style w:type="numbering" w:styleId="ArticleSection">
    <w:name w:val="Outline List 3"/>
    <w:basedOn w:val="NoList"/>
    <w:semiHidden/>
    <w:rsid w:val="003D6FD9"/>
    <w:pPr>
      <w:numPr>
        <w:numId w:val="13"/>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1"/>
      </w:numPr>
    </w:pPr>
  </w:style>
  <w:style w:type="paragraph" w:styleId="ListBullet2">
    <w:name w:val="List Bullet 2"/>
    <w:basedOn w:val="Normal"/>
    <w:semiHidden/>
    <w:rsid w:val="003D6FD9"/>
    <w:pPr>
      <w:numPr>
        <w:numId w:val="2"/>
      </w:numPr>
    </w:pPr>
  </w:style>
  <w:style w:type="paragraph" w:styleId="ListBullet3">
    <w:name w:val="List Bullet 3"/>
    <w:basedOn w:val="Normal"/>
    <w:semiHidden/>
    <w:rsid w:val="003D6FD9"/>
    <w:pPr>
      <w:numPr>
        <w:numId w:val="3"/>
      </w:numPr>
    </w:pPr>
  </w:style>
  <w:style w:type="paragraph" w:styleId="ListBullet4">
    <w:name w:val="List Bullet 4"/>
    <w:basedOn w:val="Normal"/>
    <w:semiHidden/>
    <w:rsid w:val="003D6FD9"/>
    <w:pPr>
      <w:numPr>
        <w:numId w:val="4"/>
      </w:numPr>
    </w:pPr>
  </w:style>
  <w:style w:type="paragraph" w:styleId="ListBullet5">
    <w:name w:val="List Bullet 5"/>
    <w:basedOn w:val="Normal"/>
    <w:semiHidden/>
    <w:rsid w:val="003D6FD9"/>
    <w:pPr>
      <w:numPr>
        <w:numId w:val="5"/>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6"/>
      </w:numPr>
    </w:pPr>
  </w:style>
  <w:style w:type="paragraph" w:styleId="ListNumber2">
    <w:name w:val="List Number 2"/>
    <w:basedOn w:val="Normal"/>
    <w:semiHidden/>
    <w:rsid w:val="003D6FD9"/>
    <w:pPr>
      <w:numPr>
        <w:numId w:val="7"/>
      </w:numPr>
    </w:pPr>
  </w:style>
  <w:style w:type="paragraph" w:styleId="ListNumber3">
    <w:name w:val="List Number 3"/>
    <w:basedOn w:val="Normal"/>
    <w:semiHidden/>
    <w:rsid w:val="003D6FD9"/>
    <w:pPr>
      <w:numPr>
        <w:numId w:val="8"/>
      </w:numPr>
    </w:pPr>
  </w:style>
  <w:style w:type="paragraph" w:styleId="ListNumber4">
    <w:name w:val="List Number 4"/>
    <w:basedOn w:val="Normal"/>
    <w:semiHidden/>
    <w:rsid w:val="003D6FD9"/>
    <w:pPr>
      <w:numPr>
        <w:numId w:val="9"/>
      </w:numPr>
    </w:pPr>
  </w:style>
  <w:style w:type="paragraph" w:styleId="ListNumber5">
    <w:name w:val="List Number 5"/>
    <w:basedOn w:val="Normal"/>
    <w:semiHidden/>
    <w:rsid w:val="003D6FD9"/>
    <w:pPr>
      <w:numPr>
        <w:numId w:val="10"/>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character" w:customStyle="1" w:styleId="Font15point">
    <w:name w:val="Font 15 point"/>
    <w:basedOn w:val="DefaultParagraphFont"/>
    <w:rsid w:val="00B654ED"/>
    <w:rPr>
      <w:sz w:val="30"/>
    </w:rPr>
  </w:style>
  <w:style w:type="character" w:customStyle="1" w:styleId="Font30point">
    <w:name w:val="Font 30 point"/>
    <w:basedOn w:val="DefaultParagraphFont"/>
    <w:rsid w:val="00B654ED"/>
    <w:rPr>
      <w:sz w:val="60"/>
    </w:rPr>
  </w:style>
  <w:style w:type="paragraph" w:customStyle="1" w:styleId="Glossarytabletext">
    <w:name w:val="Glossary table text"/>
    <w:basedOn w:val="Normal"/>
    <w:rsid w:val="00123D96"/>
    <w:pPr>
      <w:spacing w:before="60" w:after="60"/>
    </w:pPr>
    <w:rPr>
      <w:sz w:val="20"/>
    </w:rPr>
  </w:style>
  <w:style w:type="character" w:customStyle="1" w:styleId="Font19point">
    <w:name w:val="Font 19 point"/>
    <w:basedOn w:val="DefaultParagraphFont"/>
    <w:rsid w:val="00FD4B5C"/>
    <w:rPr>
      <w:sz w:val="38"/>
    </w:rPr>
  </w:style>
  <w:style w:type="character" w:customStyle="1" w:styleId="base-text-paragraphChar">
    <w:name w:val="base-text-paragraph Char"/>
    <w:basedOn w:val="DefaultParagraphFont"/>
    <w:link w:val="base-text-paragraph"/>
    <w:rsid w:val="009615B2"/>
    <w:rPr>
      <w:sz w:val="22"/>
    </w:rPr>
  </w:style>
  <w:style w:type="paragraph" w:styleId="FootnoteText">
    <w:name w:val="footnote text"/>
    <w:basedOn w:val="Normal"/>
    <w:link w:val="FootnoteTextChar"/>
    <w:uiPriority w:val="99"/>
    <w:rsid w:val="00034BE8"/>
    <w:pPr>
      <w:tabs>
        <w:tab w:val="left" w:pos="284"/>
      </w:tabs>
      <w:spacing w:before="0" w:after="0"/>
      <w:ind w:left="284" w:hanging="284"/>
    </w:pPr>
    <w:rPr>
      <w:sz w:val="20"/>
    </w:rPr>
  </w:style>
  <w:style w:type="numbering" w:customStyle="1" w:styleId="ChapterList">
    <w:name w:val="ChapterList"/>
    <w:uiPriority w:val="99"/>
    <w:rsid w:val="009615B2"/>
    <w:pPr>
      <w:numPr>
        <w:numId w:val="14"/>
      </w:numPr>
    </w:pPr>
  </w:style>
  <w:style w:type="paragraph" w:styleId="ListParagraph">
    <w:name w:val="List Paragraph"/>
    <w:basedOn w:val="Normal"/>
    <w:link w:val="ListParagraphChar"/>
    <w:uiPriority w:val="34"/>
    <w:qFormat/>
    <w:rsid w:val="00D963F2"/>
    <w:pPr>
      <w:ind w:left="720"/>
      <w:contextualSpacing/>
    </w:pPr>
  </w:style>
  <w:style w:type="numbering" w:customStyle="1" w:styleId="DotPointList">
    <w:name w:val="Dot Point List"/>
    <w:uiPriority w:val="99"/>
    <w:rsid w:val="008C51F4"/>
    <w:pPr>
      <w:numPr>
        <w:numId w:val="15"/>
      </w:numPr>
    </w:pPr>
  </w:style>
  <w:style w:type="numbering" w:customStyle="1" w:styleId="ExampleDotPointList">
    <w:name w:val="Example Dot Point List"/>
    <w:uiPriority w:val="99"/>
    <w:rsid w:val="008C51F4"/>
    <w:pPr>
      <w:numPr>
        <w:numId w:val="16"/>
      </w:numPr>
    </w:pPr>
  </w:style>
  <w:style w:type="numbering" w:customStyle="1" w:styleId="TableDotPointList">
    <w:name w:val="Table Dot Point List"/>
    <w:uiPriority w:val="99"/>
    <w:rsid w:val="00A37F77"/>
    <w:pPr>
      <w:numPr>
        <w:numId w:val="17"/>
      </w:numPr>
    </w:pPr>
  </w:style>
  <w:style w:type="paragraph" w:styleId="BalloonText">
    <w:name w:val="Balloon Text"/>
    <w:basedOn w:val="Normal"/>
    <w:link w:val="BalloonTextChar"/>
    <w:rsid w:val="00C85947"/>
    <w:pPr>
      <w:spacing w:before="0" w:after="0"/>
    </w:pPr>
    <w:rPr>
      <w:rFonts w:ascii="Tahoma" w:hAnsi="Tahoma" w:cs="Tahoma"/>
      <w:sz w:val="16"/>
      <w:szCs w:val="16"/>
    </w:rPr>
  </w:style>
  <w:style w:type="character" w:customStyle="1" w:styleId="BalloonTextChar">
    <w:name w:val="Balloon Text Char"/>
    <w:basedOn w:val="DefaultParagraphFont"/>
    <w:link w:val="BalloonText"/>
    <w:rsid w:val="00C85947"/>
    <w:rPr>
      <w:rFonts w:ascii="Tahoma" w:hAnsi="Tahoma" w:cs="Tahoma"/>
      <w:sz w:val="16"/>
      <w:szCs w:val="16"/>
    </w:rPr>
  </w:style>
  <w:style w:type="character" w:styleId="FootnoteReference">
    <w:name w:val="footnote reference"/>
    <w:basedOn w:val="DefaultParagraphFont"/>
    <w:uiPriority w:val="99"/>
    <w:rsid w:val="00B670F7"/>
    <w:rPr>
      <w:vertAlign w:val="superscript"/>
    </w:rPr>
  </w:style>
  <w:style w:type="character" w:customStyle="1" w:styleId="ListParagraphChar">
    <w:name w:val="List Paragraph Char"/>
    <w:basedOn w:val="DefaultParagraphFont"/>
    <w:link w:val="ListParagraph"/>
    <w:uiPriority w:val="34"/>
    <w:rsid w:val="0041269E"/>
    <w:rPr>
      <w:sz w:val="22"/>
    </w:rPr>
  </w:style>
  <w:style w:type="character" w:styleId="Hyperlink">
    <w:name w:val="Hyperlink"/>
    <w:basedOn w:val="DefaultParagraphFont"/>
    <w:rsid w:val="00222A85"/>
    <w:rPr>
      <w:color w:val="0000FF"/>
      <w:u w:val="single"/>
    </w:rPr>
  </w:style>
  <w:style w:type="character" w:styleId="CommentReference">
    <w:name w:val="annotation reference"/>
    <w:basedOn w:val="DefaultParagraphFont"/>
    <w:uiPriority w:val="99"/>
    <w:rsid w:val="00EA7A45"/>
    <w:rPr>
      <w:sz w:val="16"/>
      <w:szCs w:val="16"/>
    </w:rPr>
  </w:style>
  <w:style w:type="paragraph" w:styleId="CommentText">
    <w:name w:val="annotation text"/>
    <w:basedOn w:val="Normal"/>
    <w:link w:val="CommentTextChar"/>
    <w:uiPriority w:val="99"/>
    <w:rsid w:val="00EA7A45"/>
    <w:rPr>
      <w:sz w:val="20"/>
    </w:rPr>
  </w:style>
  <w:style w:type="character" w:customStyle="1" w:styleId="CommentTextChar">
    <w:name w:val="Comment Text Char"/>
    <w:basedOn w:val="DefaultParagraphFont"/>
    <w:link w:val="CommentText"/>
    <w:uiPriority w:val="99"/>
    <w:rsid w:val="00EA7A45"/>
  </w:style>
  <w:style w:type="paragraph" w:styleId="CommentSubject">
    <w:name w:val="annotation subject"/>
    <w:basedOn w:val="CommentText"/>
    <w:next w:val="CommentText"/>
    <w:link w:val="CommentSubjectChar"/>
    <w:rsid w:val="00EA7A45"/>
    <w:rPr>
      <w:b/>
      <w:bCs/>
    </w:rPr>
  </w:style>
  <w:style w:type="character" w:customStyle="1" w:styleId="CommentSubjectChar">
    <w:name w:val="Comment Subject Char"/>
    <w:basedOn w:val="CommentTextChar"/>
    <w:link w:val="CommentSubject"/>
    <w:rsid w:val="00EA7A45"/>
    <w:rPr>
      <w:b/>
      <w:bCs/>
    </w:rPr>
  </w:style>
  <w:style w:type="character" w:customStyle="1" w:styleId="Heading3Char">
    <w:name w:val="Heading 3 Char"/>
    <w:basedOn w:val="DefaultParagraphFont"/>
    <w:link w:val="Heading3"/>
    <w:uiPriority w:val="99"/>
    <w:rsid w:val="00990CDA"/>
    <w:rPr>
      <w:rFonts w:ascii="Helvetica" w:hAnsi="Helvetica"/>
      <w:b/>
      <w:sz w:val="22"/>
    </w:rPr>
  </w:style>
  <w:style w:type="paragraph" w:customStyle="1" w:styleId="Bullet">
    <w:name w:val="Bullet"/>
    <w:aliases w:val="b"/>
    <w:basedOn w:val="Normal"/>
    <w:link w:val="BulletChar"/>
    <w:rsid w:val="00F4555D"/>
    <w:pPr>
      <w:numPr>
        <w:numId w:val="21"/>
      </w:numPr>
    </w:pPr>
    <w:rPr>
      <w:b/>
    </w:rPr>
  </w:style>
  <w:style w:type="character" w:customStyle="1" w:styleId="BulletChar">
    <w:name w:val="Bullet Char"/>
    <w:link w:val="Bullet"/>
    <w:rsid w:val="00F4555D"/>
    <w:rPr>
      <w:b/>
      <w:sz w:val="22"/>
    </w:rPr>
  </w:style>
  <w:style w:type="paragraph" w:customStyle="1" w:styleId="Dash">
    <w:name w:val="Dash"/>
    <w:basedOn w:val="Normal"/>
    <w:rsid w:val="00F4555D"/>
    <w:pPr>
      <w:numPr>
        <w:ilvl w:val="1"/>
        <w:numId w:val="21"/>
      </w:numPr>
    </w:pPr>
    <w:rPr>
      <w:b/>
    </w:rPr>
  </w:style>
  <w:style w:type="paragraph" w:customStyle="1" w:styleId="DoubleDot">
    <w:name w:val="Double Dot"/>
    <w:basedOn w:val="Normal"/>
    <w:rsid w:val="00F4555D"/>
    <w:pPr>
      <w:numPr>
        <w:ilvl w:val="2"/>
        <w:numId w:val="21"/>
      </w:numPr>
    </w:pPr>
    <w:rPr>
      <w:b/>
    </w:rPr>
  </w:style>
  <w:style w:type="character" w:customStyle="1" w:styleId="dotpointChar">
    <w:name w:val="dot point Char"/>
    <w:link w:val="dotpoint"/>
    <w:rsid w:val="001B7AEB"/>
    <w:rPr>
      <w:sz w:val="22"/>
    </w:rPr>
  </w:style>
  <w:style w:type="character" w:customStyle="1" w:styleId="tabletextChar">
    <w:name w:val="table text Char"/>
    <w:link w:val="tabletext"/>
    <w:rsid w:val="004348D8"/>
  </w:style>
  <w:style w:type="table" w:customStyle="1" w:styleId="TableGrid10">
    <w:name w:val="Table Grid1"/>
    <w:basedOn w:val="TableNormal"/>
    <w:next w:val="TableGrid"/>
    <w:rsid w:val="0004681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45030"/>
    <w:rPr>
      <w:sz w:val="22"/>
    </w:rPr>
  </w:style>
  <w:style w:type="paragraph" w:customStyle="1" w:styleId="TableBody-L">
    <w:name w:val="TableBody-L"/>
    <w:basedOn w:val="Normal"/>
    <w:rsid w:val="00382FC2"/>
    <w:pPr>
      <w:autoSpaceDE w:val="0"/>
      <w:autoSpaceDN w:val="0"/>
      <w:adjustRightInd w:val="0"/>
      <w:spacing w:before="0" w:after="0"/>
    </w:pPr>
    <w:rPr>
      <w:color w:val="000000"/>
      <w:sz w:val="20"/>
      <w:szCs w:val="26"/>
    </w:rPr>
  </w:style>
  <w:style w:type="paragraph" w:customStyle="1" w:styleId="TableHeader-LChar">
    <w:name w:val="TableHeader-L Char"/>
    <w:basedOn w:val="Normal"/>
    <w:link w:val="TableHeader-LCharChar"/>
    <w:rsid w:val="00382FC2"/>
    <w:pPr>
      <w:autoSpaceDE w:val="0"/>
      <w:autoSpaceDN w:val="0"/>
      <w:adjustRightInd w:val="0"/>
      <w:spacing w:before="0" w:after="0"/>
    </w:pPr>
    <w:rPr>
      <w:b/>
      <w:color w:val="000000"/>
      <w:sz w:val="20"/>
      <w:szCs w:val="26"/>
    </w:rPr>
  </w:style>
  <w:style w:type="character" w:customStyle="1" w:styleId="TableHeader-LCharChar">
    <w:name w:val="TableHeader-L Char Char"/>
    <w:basedOn w:val="DefaultParagraphFont"/>
    <w:link w:val="TableHeader-LChar"/>
    <w:rsid w:val="00382FC2"/>
    <w:rPr>
      <w:b/>
      <w:color w:val="000000"/>
      <w:szCs w:val="26"/>
    </w:rPr>
  </w:style>
  <w:style w:type="paragraph" w:customStyle="1" w:styleId="Financialtable">
    <w:name w:val="Financial table"/>
    <w:basedOn w:val="Normal"/>
    <w:link w:val="FinancialtableChar"/>
    <w:uiPriority w:val="1"/>
    <w:qFormat/>
    <w:rsid w:val="00382FC2"/>
    <w:pPr>
      <w:tabs>
        <w:tab w:val="left" w:pos="284"/>
      </w:tabs>
      <w:spacing w:before="40" w:after="40"/>
      <w:jc w:val="right"/>
    </w:pPr>
    <w:rPr>
      <w:rFonts w:ascii="Calibri" w:eastAsia="Calibri" w:hAnsi="Calibri"/>
      <w:sz w:val="18"/>
      <w:szCs w:val="18"/>
      <w:lang w:eastAsia="en-US"/>
    </w:rPr>
  </w:style>
  <w:style w:type="character" w:customStyle="1" w:styleId="FinancialtableChar">
    <w:name w:val="Financial table Char"/>
    <w:basedOn w:val="DefaultParagraphFont"/>
    <w:link w:val="Financialtable"/>
    <w:uiPriority w:val="1"/>
    <w:rsid w:val="00382FC2"/>
    <w:rPr>
      <w:rFonts w:ascii="Calibri" w:eastAsia="Calibri" w:hAnsi="Calibri"/>
      <w:sz w:val="18"/>
      <w:szCs w:val="18"/>
      <w:lang w:eastAsia="en-US"/>
    </w:rPr>
  </w:style>
  <w:style w:type="table" w:customStyle="1" w:styleId="TableGrid20">
    <w:name w:val="Table Grid2"/>
    <w:basedOn w:val="TableNormal"/>
    <w:next w:val="TableGrid"/>
    <w:uiPriority w:val="59"/>
    <w:rsid w:val="006322F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DD4AB1"/>
    <w:rPr>
      <w:b/>
      <w:i/>
      <w:sz w:val="22"/>
    </w:rPr>
  </w:style>
  <w:style w:type="paragraph" w:customStyle="1" w:styleId="CABNETParagraphAtt">
    <w:name w:val="CABNET Paragraph Att"/>
    <w:basedOn w:val="Normal"/>
    <w:link w:val="CABNETParagraphAttChar"/>
    <w:qFormat/>
    <w:rsid w:val="00803986"/>
    <w:rPr>
      <w:rFonts w:ascii="Verdana" w:hAnsi="Verdana"/>
      <w:szCs w:val="24"/>
    </w:rPr>
  </w:style>
  <w:style w:type="character" w:customStyle="1" w:styleId="CABNETParagraphAttChar">
    <w:name w:val="CABNET Paragraph Att Char"/>
    <w:basedOn w:val="DefaultParagraphFont"/>
    <w:link w:val="CABNETParagraphAtt"/>
    <w:rsid w:val="00803986"/>
    <w:rPr>
      <w:rFonts w:ascii="Verdana" w:hAnsi="Verdana"/>
      <w:sz w:val="22"/>
      <w:szCs w:val="24"/>
    </w:rPr>
  </w:style>
  <w:style w:type="character" w:customStyle="1" w:styleId="FootnoteTextChar">
    <w:name w:val="Footnote Text Char"/>
    <w:basedOn w:val="DefaultParagraphFont"/>
    <w:link w:val="FootnoteText"/>
    <w:uiPriority w:val="99"/>
    <w:rsid w:val="00474FF7"/>
  </w:style>
  <w:style w:type="character" w:customStyle="1" w:styleId="CharDivText">
    <w:name w:val="CharDivText"/>
    <w:basedOn w:val="DefaultParagraphFont"/>
    <w:uiPriority w:val="1"/>
    <w:qFormat/>
    <w:rsid w:val="00DB4BC7"/>
  </w:style>
  <w:style w:type="character" w:customStyle="1" w:styleId="CharAmSchText">
    <w:name w:val="CharAmSchText"/>
    <w:basedOn w:val="DefaultParagraphFont"/>
    <w:uiPriority w:val="1"/>
    <w:qFormat/>
    <w:rsid w:val="00AB5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1300">
      <w:bodyDiv w:val="1"/>
      <w:marLeft w:val="0"/>
      <w:marRight w:val="0"/>
      <w:marTop w:val="0"/>
      <w:marBottom w:val="0"/>
      <w:divBdr>
        <w:top w:val="none" w:sz="0" w:space="0" w:color="auto"/>
        <w:left w:val="none" w:sz="0" w:space="0" w:color="auto"/>
        <w:bottom w:val="none" w:sz="0" w:space="0" w:color="auto"/>
        <w:right w:val="none" w:sz="0" w:space="0" w:color="auto"/>
      </w:divBdr>
    </w:div>
    <w:div w:id="164326915">
      <w:bodyDiv w:val="1"/>
      <w:marLeft w:val="0"/>
      <w:marRight w:val="0"/>
      <w:marTop w:val="0"/>
      <w:marBottom w:val="0"/>
      <w:divBdr>
        <w:top w:val="none" w:sz="0" w:space="0" w:color="auto"/>
        <w:left w:val="none" w:sz="0" w:space="0" w:color="auto"/>
        <w:bottom w:val="none" w:sz="0" w:space="0" w:color="auto"/>
        <w:right w:val="none" w:sz="0" w:space="0" w:color="auto"/>
      </w:divBdr>
    </w:div>
    <w:div w:id="212666092">
      <w:bodyDiv w:val="1"/>
      <w:marLeft w:val="0"/>
      <w:marRight w:val="0"/>
      <w:marTop w:val="0"/>
      <w:marBottom w:val="0"/>
      <w:divBdr>
        <w:top w:val="none" w:sz="0" w:space="0" w:color="auto"/>
        <w:left w:val="none" w:sz="0" w:space="0" w:color="auto"/>
        <w:bottom w:val="none" w:sz="0" w:space="0" w:color="auto"/>
        <w:right w:val="none" w:sz="0" w:space="0" w:color="auto"/>
      </w:divBdr>
    </w:div>
    <w:div w:id="231164816">
      <w:bodyDiv w:val="1"/>
      <w:marLeft w:val="0"/>
      <w:marRight w:val="0"/>
      <w:marTop w:val="0"/>
      <w:marBottom w:val="0"/>
      <w:divBdr>
        <w:top w:val="none" w:sz="0" w:space="0" w:color="auto"/>
        <w:left w:val="none" w:sz="0" w:space="0" w:color="auto"/>
        <w:bottom w:val="none" w:sz="0" w:space="0" w:color="auto"/>
        <w:right w:val="none" w:sz="0" w:space="0" w:color="auto"/>
      </w:divBdr>
    </w:div>
    <w:div w:id="359937019">
      <w:bodyDiv w:val="1"/>
      <w:marLeft w:val="0"/>
      <w:marRight w:val="0"/>
      <w:marTop w:val="0"/>
      <w:marBottom w:val="0"/>
      <w:divBdr>
        <w:top w:val="none" w:sz="0" w:space="0" w:color="auto"/>
        <w:left w:val="none" w:sz="0" w:space="0" w:color="auto"/>
        <w:bottom w:val="none" w:sz="0" w:space="0" w:color="auto"/>
        <w:right w:val="none" w:sz="0" w:space="0" w:color="auto"/>
      </w:divBdr>
    </w:div>
    <w:div w:id="367527746">
      <w:bodyDiv w:val="1"/>
      <w:marLeft w:val="0"/>
      <w:marRight w:val="0"/>
      <w:marTop w:val="0"/>
      <w:marBottom w:val="0"/>
      <w:divBdr>
        <w:top w:val="none" w:sz="0" w:space="0" w:color="auto"/>
        <w:left w:val="none" w:sz="0" w:space="0" w:color="auto"/>
        <w:bottom w:val="none" w:sz="0" w:space="0" w:color="auto"/>
        <w:right w:val="none" w:sz="0" w:space="0" w:color="auto"/>
      </w:divBdr>
    </w:div>
    <w:div w:id="536964373">
      <w:bodyDiv w:val="1"/>
      <w:marLeft w:val="0"/>
      <w:marRight w:val="0"/>
      <w:marTop w:val="0"/>
      <w:marBottom w:val="0"/>
      <w:divBdr>
        <w:top w:val="none" w:sz="0" w:space="0" w:color="auto"/>
        <w:left w:val="none" w:sz="0" w:space="0" w:color="auto"/>
        <w:bottom w:val="none" w:sz="0" w:space="0" w:color="auto"/>
        <w:right w:val="none" w:sz="0" w:space="0" w:color="auto"/>
      </w:divBdr>
    </w:div>
    <w:div w:id="1062024198">
      <w:bodyDiv w:val="1"/>
      <w:marLeft w:val="0"/>
      <w:marRight w:val="0"/>
      <w:marTop w:val="0"/>
      <w:marBottom w:val="0"/>
      <w:divBdr>
        <w:top w:val="none" w:sz="0" w:space="0" w:color="auto"/>
        <w:left w:val="none" w:sz="0" w:space="0" w:color="auto"/>
        <w:bottom w:val="none" w:sz="0" w:space="0" w:color="auto"/>
        <w:right w:val="none" w:sz="0" w:space="0" w:color="auto"/>
      </w:divBdr>
    </w:div>
    <w:div w:id="1210797070">
      <w:bodyDiv w:val="1"/>
      <w:marLeft w:val="0"/>
      <w:marRight w:val="0"/>
      <w:marTop w:val="0"/>
      <w:marBottom w:val="0"/>
      <w:divBdr>
        <w:top w:val="none" w:sz="0" w:space="0" w:color="auto"/>
        <w:left w:val="none" w:sz="0" w:space="0" w:color="auto"/>
        <w:bottom w:val="none" w:sz="0" w:space="0" w:color="auto"/>
        <w:right w:val="none" w:sz="0" w:space="0" w:color="auto"/>
      </w:divBdr>
    </w:div>
    <w:div w:id="1218785689">
      <w:bodyDiv w:val="1"/>
      <w:marLeft w:val="0"/>
      <w:marRight w:val="0"/>
      <w:marTop w:val="0"/>
      <w:marBottom w:val="0"/>
      <w:divBdr>
        <w:top w:val="none" w:sz="0" w:space="0" w:color="auto"/>
        <w:left w:val="none" w:sz="0" w:space="0" w:color="auto"/>
        <w:bottom w:val="none" w:sz="0" w:space="0" w:color="auto"/>
        <w:right w:val="none" w:sz="0" w:space="0" w:color="auto"/>
      </w:divBdr>
    </w:div>
    <w:div w:id="1232764855">
      <w:bodyDiv w:val="1"/>
      <w:marLeft w:val="0"/>
      <w:marRight w:val="0"/>
      <w:marTop w:val="0"/>
      <w:marBottom w:val="0"/>
      <w:divBdr>
        <w:top w:val="none" w:sz="0" w:space="0" w:color="auto"/>
        <w:left w:val="none" w:sz="0" w:space="0" w:color="auto"/>
        <w:bottom w:val="none" w:sz="0" w:space="0" w:color="auto"/>
        <w:right w:val="none" w:sz="0" w:space="0" w:color="auto"/>
      </w:divBdr>
    </w:div>
    <w:div w:id="1288924372">
      <w:bodyDiv w:val="1"/>
      <w:marLeft w:val="0"/>
      <w:marRight w:val="0"/>
      <w:marTop w:val="0"/>
      <w:marBottom w:val="0"/>
      <w:divBdr>
        <w:top w:val="none" w:sz="0" w:space="0" w:color="auto"/>
        <w:left w:val="none" w:sz="0" w:space="0" w:color="auto"/>
        <w:bottom w:val="none" w:sz="0" w:space="0" w:color="auto"/>
        <w:right w:val="none" w:sz="0" w:space="0" w:color="auto"/>
      </w:divBdr>
    </w:div>
    <w:div w:id="1319772849">
      <w:bodyDiv w:val="1"/>
      <w:marLeft w:val="0"/>
      <w:marRight w:val="0"/>
      <w:marTop w:val="0"/>
      <w:marBottom w:val="0"/>
      <w:divBdr>
        <w:top w:val="none" w:sz="0" w:space="0" w:color="auto"/>
        <w:left w:val="none" w:sz="0" w:space="0" w:color="auto"/>
        <w:bottom w:val="none" w:sz="0" w:space="0" w:color="auto"/>
        <w:right w:val="none" w:sz="0" w:space="0" w:color="auto"/>
      </w:divBdr>
    </w:div>
    <w:div w:id="1326856198">
      <w:bodyDiv w:val="1"/>
      <w:marLeft w:val="0"/>
      <w:marRight w:val="0"/>
      <w:marTop w:val="0"/>
      <w:marBottom w:val="0"/>
      <w:divBdr>
        <w:top w:val="none" w:sz="0" w:space="0" w:color="auto"/>
        <w:left w:val="none" w:sz="0" w:space="0" w:color="auto"/>
        <w:bottom w:val="none" w:sz="0" w:space="0" w:color="auto"/>
        <w:right w:val="none" w:sz="0" w:space="0" w:color="auto"/>
      </w:divBdr>
    </w:div>
    <w:div w:id="1474714717">
      <w:bodyDiv w:val="1"/>
      <w:marLeft w:val="0"/>
      <w:marRight w:val="0"/>
      <w:marTop w:val="0"/>
      <w:marBottom w:val="0"/>
      <w:divBdr>
        <w:top w:val="none" w:sz="0" w:space="0" w:color="auto"/>
        <w:left w:val="none" w:sz="0" w:space="0" w:color="auto"/>
        <w:bottom w:val="none" w:sz="0" w:space="0" w:color="auto"/>
        <w:right w:val="none" w:sz="0" w:space="0" w:color="auto"/>
      </w:divBdr>
    </w:div>
    <w:div w:id="1516769405">
      <w:bodyDiv w:val="1"/>
      <w:marLeft w:val="0"/>
      <w:marRight w:val="0"/>
      <w:marTop w:val="0"/>
      <w:marBottom w:val="0"/>
      <w:divBdr>
        <w:top w:val="none" w:sz="0" w:space="0" w:color="auto"/>
        <w:left w:val="none" w:sz="0" w:space="0" w:color="auto"/>
        <w:bottom w:val="none" w:sz="0" w:space="0" w:color="auto"/>
        <w:right w:val="none" w:sz="0" w:space="0" w:color="auto"/>
      </w:divBdr>
    </w:div>
    <w:div w:id="1542087596">
      <w:bodyDiv w:val="1"/>
      <w:marLeft w:val="0"/>
      <w:marRight w:val="0"/>
      <w:marTop w:val="0"/>
      <w:marBottom w:val="0"/>
      <w:divBdr>
        <w:top w:val="none" w:sz="0" w:space="0" w:color="auto"/>
        <w:left w:val="none" w:sz="0" w:space="0" w:color="auto"/>
        <w:bottom w:val="none" w:sz="0" w:space="0" w:color="auto"/>
        <w:right w:val="none" w:sz="0" w:space="0" w:color="auto"/>
      </w:divBdr>
    </w:div>
    <w:div w:id="1726369072">
      <w:bodyDiv w:val="1"/>
      <w:marLeft w:val="0"/>
      <w:marRight w:val="0"/>
      <w:marTop w:val="0"/>
      <w:marBottom w:val="0"/>
      <w:divBdr>
        <w:top w:val="none" w:sz="0" w:space="0" w:color="auto"/>
        <w:left w:val="none" w:sz="0" w:space="0" w:color="auto"/>
        <w:bottom w:val="none" w:sz="0" w:space="0" w:color="auto"/>
        <w:right w:val="none" w:sz="0" w:space="0" w:color="auto"/>
      </w:divBdr>
    </w:div>
    <w:div w:id="1778720325">
      <w:bodyDiv w:val="1"/>
      <w:marLeft w:val="0"/>
      <w:marRight w:val="0"/>
      <w:marTop w:val="0"/>
      <w:marBottom w:val="0"/>
      <w:divBdr>
        <w:top w:val="none" w:sz="0" w:space="0" w:color="auto"/>
        <w:left w:val="none" w:sz="0" w:space="0" w:color="auto"/>
        <w:bottom w:val="none" w:sz="0" w:space="0" w:color="auto"/>
        <w:right w:val="none" w:sz="0" w:space="0" w:color="auto"/>
      </w:divBdr>
    </w:div>
    <w:div w:id="1803033757">
      <w:bodyDiv w:val="1"/>
      <w:marLeft w:val="0"/>
      <w:marRight w:val="0"/>
      <w:marTop w:val="0"/>
      <w:marBottom w:val="0"/>
      <w:divBdr>
        <w:top w:val="none" w:sz="0" w:space="0" w:color="auto"/>
        <w:left w:val="none" w:sz="0" w:space="0" w:color="auto"/>
        <w:bottom w:val="none" w:sz="0" w:space="0" w:color="auto"/>
        <w:right w:val="none" w:sz="0" w:space="0" w:color="auto"/>
      </w:divBdr>
    </w:div>
    <w:div w:id="1827472923">
      <w:bodyDiv w:val="1"/>
      <w:marLeft w:val="0"/>
      <w:marRight w:val="0"/>
      <w:marTop w:val="0"/>
      <w:marBottom w:val="0"/>
      <w:divBdr>
        <w:top w:val="none" w:sz="0" w:space="0" w:color="auto"/>
        <w:left w:val="none" w:sz="0" w:space="0" w:color="auto"/>
        <w:bottom w:val="none" w:sz="0" w:space="0" w:color="auto"/>
        <w:right w:val="none" w:sz="0" w:space="0" w:color="auto"/>
      </w:divBdr>
    </w:div>
    <w:div w:id="1863082673">
      <w:bodyDiv w:val="1"/>
      <w:marLeft w:val="0"/>
      <w:marRight w:val="0"/>
      <w:marTop w:val="0"/>
      <w:marBottom w:val="0"/>
      <w:divBdr>
        <w:top w:val="none" w:sz="0" w:space="0" w:color="auto"/>
        <w:left w:val="none" w:sz="0" w:space="0" w:color="auto"/>
        <w:bottom w:val="none" w:sz="0" w:space="0" w:color="auto"/>
        <w:right w:val="none" w:sz="0" w:space="0" w:color="auto"/>
      </w:divBdr>
    </w:div>
    <w:div w:id="1869442819">
      <w:bodyDiv w:val="1"/>
      <w:marLeft w:val="0"/>
      <w:marRight w:val="0"/>
      <w:marTop w:val="0"/>
      <w:marBottom w:val="0"/>
      <w:divBdr>
        <w:top w:val="none" w:sz="0" w:space="0" w:color="auto"/>
        <w:left w:val="none" w:sz="0" w:space="0" w:color="auto"/>
        <w:bottom w:val="none" w:sz="0" w:space="0" w:color="auto"/>
        <w:right w:val="none" w:sz="0" w:space="0" w:color="auto"/>
      </w:divBdr>
    </w:div>
    <w:div w:id="1888370975">
      <w:bodyDiv w:val="1"/>
      <w:marLeft w:val="0"/>
      <w:marRight w:val="0"/>
      <w:marTop w:val="0"/>
      <w:marBottom w:val="0"/>
      <w:divBdr>
        <w:top w:val="none" w:sz="0" w:space="0" w:color="auto"/>
        <w:left w:val="none" w:sz="0" w:space="0" w:color="auto"/>
        <w:bottom w:val="none" w:sz="0" w:space="0" w:color="auto"/>
        <w:right w:val="none" w:sz="0" w:space="0" w:color="auto"/>
      </w:divBdr>
    </w:div>
    <w:div w:id="1939170699">
      <w:bodyDiv w:val="1"/>
      <w:marLeft w:val="0"/>
      <w:marRight w:val="0"/>
      <w:marTop w:val="0"/>
      <w:marBottom w:val="0"/>
      <w:divBdr>
        <w:top w:val="none" w:sz="0" w:space="0" w:color="auto"/>
        <w:left w:val="none" w:sz="0" w:space="0" w:color="auto"/>
        <w:bottom w:val="none" w:sz="0" w:space="0" w:color="auto"/>
        <w:right w:val="none" w:sz="0" w:space="0" w:color="auto"/>
      </w:divBdr>
    </w:div>
    <w:div w:id="1954820953">
      <w:bodyDiv w:val="1"/>
      <w:marLeft w:val="0"/>
      <w:marRight w:val="0"/>
      <w:marTop w:val="0"/>
      <w:marBottom w:val="0"/>
      <w:divBdr>
        <w:top w:val="none" w:sz="0" w:space="0" w:color="auto"/>
        <w:left w:val="none" w:sz="0" w:space="0" w:color="auto"/>
        <w:bottom w:val="none" w:sz="0" w:space="0" w:color="auto"/>
        <w:right w:val="none" w:sz="0" w:space="0" w:color="auto"/>
      </w:divBdr>
    </w:div>
    <w:div w:id="1973710235">
      <w:bodyDiv w:val="1"/>
      <w:marLeft w:val="0"/>
      <w:marRight w:val="0"/>
      <w:marTop w:val="0"/>
      <w:marBottom w:val="0"/>
      <w:divBdr>
        <w:top w:val="none" w:sz="0" w:space="0" w:color="auto"/>
        <w:left w:val="none" w:sz="0" w:space="0" w:color="auto"/>
        <w:bottom w:val="none" w:sz="0" w:space="0" w:color="auto"/>
        <w:right w:val="none" w:sz="0" w:space="0" w:color="auto"/>
      </w:divBdr>
    </w:div>
    <w:div w:id="2016958893">
      <w:bodyDiv w:val="1"/>
      <w:marLeft w:val="0"/>
      <w:marRight w:val="0"/>
      <w:marTop w:val="0"/>
      <w:marBottom w:val="0"/>
      <w:divBdr>
        <w:top w:val="none" w:sz="0" w:space="0" w:color="auto"/>
        <w:left w:val="none" w:sz="0" w:space="0" w:color="auto"/>
        <w:bottom w:val="none" w:sz="0" w:space="0" w:color="auto"/>
        <w:right w:val="none" w:sz="0" w:space="0" w:color="auto"/>
      </w:divBdr>
    </w:div>
    <w:div w:id="2021465387">
      <w:bodyDiv w:val="1"/>
      <w:marLeft w:val="0"/>
      <w:marRight w:val="0"/>
      <w:marTop w:val="0"/>
      <w:marBottom w:val="0"/>
      <w:divBdr>
        <w:top w:val="none" w:sz="0" w:space="0" w:color="auto"/>
        <w:left w:val="none" w:sz="0" w:space="0" w:color="auto"/>
        <w:bottom w:val="none" w:sz="0" w:space="0" w:color="auto"/>
        <w:right w:val="none" w:sz="0" w:space="0" w:color="auto"/>
      </w:divBdr>
    </w:div>
    <w:div w:id="204894658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header" Target="header1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5.xml"/><Relationship Id="rId42" Type="http://schemas.openxmlformats.org/officeDocument/2006/relationships/footer" Target="footer1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3.xml"/><Relationship Id="rId37" Type="http://schemas.openxmlformats.org/officeDocument/2006/relationships/hyperlink" Target="http://carbonpricemodelling.treasury.gov.au/" TargetMode="External"/><Relationship Id="rId40" Type="http://schemas.openxmlformats.org/officeDocument/2006/relationships/footer" Target="footer9.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yperlink" Target="http://carbonpricemodelling.treasury.gov.au/carbonpricemodelling/content/report/downloads/Modelling_Report_Consolidated_update.pdf"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19.xml"/></Relationships>
</file>

<file path=word/_rels/footnotes.xml.rels><?xml version="1.0" encoding="UTF-8" standalone="yes"?>
<Relationships xmlns="http://schemas.openxmlformats.org/package/2006/relationships"><Relationship Id="rId1" Type="http://schemas.openxmlformats.org/officeDocument/2006/relationships/hyperlink" Target="http://carbonpricemodelling.treasury.gov.au/carbonpricemodelling/content/update/Modelling_updat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D97BB6856BA888489E093CFDF8F3303F" ma:contentTypeVersion="5" ma:contentTypeDescription="If you are creating a Word, PowerPoint or Excel document use the options available in the drop down list; for all other documents leave the content type as General Content." ma:contentTypeScope="" ma:versionID="3cf30b1350d743484623a027d1cb397c">
  <xsd:schema xmlns:xsd="http://www.w3.org/2001/XMLSchema" xmlns:xs="http://www.w3.org/2001/XMLSchema" xmlns:p="http://schemas.microsoft.com/office/2006/metadata/properties" xmlns:ns2="378b04f6-f261-4499-b462-41ddd755ff66" targetNamespace="http://schemas.microsoft.com/office/2006/metadata/properties" ma:root="true" ma:fieldsID="5a77130d46d0b9f2e1e396ca2583d828"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78b04f6-f261-4499-b462-41ddd755ff66" xsi:nil="true"/>
    <_dlc_DocIdUrl xmlns="378b04f6-f261-4499-b462-41ddd755ff66">
      <Url xsi:nil="true"/>
      <Description xsi:nil="true"/>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A4607-44B0-4ABC-A0F4-80F3C937C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05AD7-818C-4FEC-AE3A-7C9A84EC4747}">
  <ds:schemaRefs>
    <ds:schemaRef ds:uri="http://schemas.microsoft.com/sharepoint/v3/contenttype/forms"/>
  </ds:schemaRefs>
</ds:datastoreItem>
</file>

<file path=customXml/itemProps3.xml><?xml version="1.0" encoding="utf-8"?>
<ds:datastoreItem xmlns:ds="http://schemas.openxmlformats.org/officeDocument/2006/customXml" ds:itemID="{3272AFDE-EBCD-4BD1-B600-D083B5E8A53D}">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378b04f6-f261-4499-b462-41ddd755ff66"/>
    <ds:schemaRef ds:uri="http://purl.org/dc/dcmitype/"/>
  </ds:schemaRefs>
</ds:datastoreItem>
</file>

<file path=customXml/itemProps4.xml><?xml version="1.0" encoding="utf-8"?>
<ds:datastoreItem xmlns:ds="http://schemas.openxmlformats.org/officeDocument/2006/customXml" ds:itemID="{BAAC07B3-C7AD-4335-929F-D9475AC0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132</Pages>
  <Words>51531</Words>
  <Characters>212824</Characters>
  <Application>Microsoft Office Word</Application>
  <DocSecurity>4</DocSecurity>
  <Lines>19347</Lines>
  <Paragraphs>18882</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245473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Pryor</dc:creator>
  <cp:lastModifiedBy>van Meurs, Tina</cp:lastModifiedBy>
  <cp:revision>2</cp:revision>
  <cp:lastPrinted>2014-07-14T11:51:00Z</cp:lastPrinted>
  <dcterms:created xsi:type="dcterms:W3CDTF">2014-07-16T05:40:00Z</dcterms:created>
  <dcterms:modified xsi:type="dcterms:W3CDTF">2014-07-16T05:40:00Z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b0f424fa-d6f1-4b72-b6e5-5d933b314464</vt:lpwstr>
  </property>
  <property fmtid="{D5CDD505-2E9C-101B-9397-08002B2CF9AE}" pid="3" name="ContentTypeId">
    <vt:lpwstr>0x010100E726210826AA43828690450C811EB923009CA11FFD1E014DF4B1FA162D0F61129800D97BB6856BA888489E093CFDF8F3303F</vt:lpwstr>
  </property>
  <property fmtid="{D5CDD505-2E9C-101B-9397-08002B2CF9AE}" pid="4" name="_NewReviewCycle">
    <vt:lpwstr/>
  </property>
</Properties>
</file>