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3CB7A" w14:textId="77777777" w:rsidR="00D86E5E" w:rsidRDefault="001824FE" w:rsidP="00D86E5E">
      <w:pPr>
        <w:pStyle w:val="Baseparagraphcentred"/>
      </w:pPr>
      <w:bookmarkStart w:id="0" w:name="_GoBack"/>
      <w:bookmarkEnd w:id="0"/>
      <w:r>
        <w:t>2013</w:t>
      </w:r>
      <w:r w:rsidR="00F644CF">
        <w:noBreakHyphen/>
      </w:r>
      <w:r w:rsidR="00074D5E">
        <w:t>2014</w:t>
      </w:r>
      <w:r w:rsidR="009B57EB">
        <w:noBreakHyphen/>
      </w:r>
      <w:r w:rsidR="00CB7C01">
        <w:t>2015</w:t>
      </w:r>
    </w:p>
    <w:p w14:paraId="1E11DD44" w14:textId="77777777" w:rsidR="00D86E5E" w:rsidRDefault="00D86E5E" w:rsidP="00D86E5E">
      <w:pPr>
        <w:pStyle w:val="Baseparagraphcentred"/>
      </w:pPr>
    </w:p>
    <w:p w14:paraId="2E623A4B" w14:textId="77777777" w:rsidR="00D86E5E" w:rsidRDefault="002449F2" w:rsidP="00D86E5E">
      <w:pPr>
        <w:pStyle w:val="Baseparagraphcentred"/>
      </w:pPr>
      <w:r w:rsidRPr="002449F2">
        <w:t>THE PARLIAMENT OF THE COMMONWEALTH OF AUSTRALIA</w:t>
      </w:r>
    </w:p>
    <w:p w14:paraId="096318C1" w14:textId="77777777" w:rsidR="00D86E5E" w:rsidRDefault="00D86E5E" w:rsidP="00D86E5E">
      <w:pPr>
        <w:pStyle w:val="Baseparagraphcentred"/>
      </w:pPr>
    </w:p>
    <w:p w14:paraId="39B95EDC" w14:textId="77777777" w:rsidR="00D86E5E" w:rsidRDefault="00D86E5E" w:rsidP="00D86E5E">
      <w:pPr>
        <w:pStyle w:val="Baseparagraphcentred"/>
      </w:pPr>
    </w:p>
    <w:p w14:paraId="1778E0FC" w14:textId="77777777" w:rsidR="00CB7C01" w:rsidRDefault="002449F2" w:rsidP="00D86E5E">
      <w:pPr>
        <w:pStyle w:val="Baseparagraphcentred"/>
      </w:pPr>
      <w:r w:rsidRPr="002449F2">
        <w:t>HOUSE OF REPRESENTATIVES</w:t>
      </w:r>
    </w:p>
    <w:p w14:paraId="135BECD4" w14:textId="0468825B" w:rsidR="00CB7C01" w:rsidRDefault="00CB7C01" w:rsidP="00D86E5E">
      <w:pPr>
        <w:pStyle w:val="Baseparagraphcentred"/>
      </w:pPr>
    </w:p>
    <w:p w14:paraId="3C342CC5" w14:textId="77777777" w:rsidR="00D86E5E" w:rsidRDefault="00D86E5E" w:rsidP="00D86E5E">
      <w:pPr>
        <w:pStyle w:val="Baseparagraphcentred"/>
      </w:pPr>
    </w:p>
    <w:p w14:paraId="38A649B9" w14:textId="77777777" w:rsidR="00D86E5E" w:rsidRDefault="00D86E5E" w:rsidP="00D86E5E">
      <w:pPr>
        <w:pStyle w:val="BillName"/>
      </w:pPr>
      <w:r>
        <w:t xml:space="preserve">Private Health Insurance (Prudential Supervision) </w:t>
      </w:r>
      <w:r w:rsidR="004149AF">
        <w:t xml:space="preserve">bill </w:t>
      </w:r>
      <w:r>
        <w:t>2015</w:t>
      </w:r>
      <w:r w:rsidR="001C5147">
        <w:br/>
        <w:t xml:space="preserve">PRIVATE HEALTH INSURANCE (PRUDENTIAL SUPERVISION) (cONSEQUENTIAL AMENDMENTS AND TRANSITIONAL </w:t>
      </w:r>
      <w:r w:rsidR="00B70F49">
        <w:t>PROVISIONS) bILL </w:t>
      </w:r>
      <w:r w:rsidR="001C5147">
        <w:t>2015</w:t>
      </w:r>
      <w:r w:rsidR="001C5147">
        <w:br/>
        <w:t>pRIVATE HEALTH INSURANCE SUPERVISORY LEVY IMPOSITION BILL</w:t>
      </w:r>
      <w:r w:rsidR="00F90D26">
        <w:t> </w:t>
      </w:r>
      <w:r w:rsidR="001C5147">
        <w:t>2015</w:t>
      </w:r>
      <w:r w:rsidR="001C5147">
        <w:br/>
        <w:t>PRIVATE HEALTH INSURANCE (RISK EQUALISATION LEVY) AMENDMENT BILL 2015</w:t>
      </w:r>
      <w:r w:rsidR="001C5147">
        <w:br/>
        <w:t>PRIVATE HEALTH INSURANCE (COLLAPSED INSURER LEVY) aMENDMENT BILL 2015</w:t>
      </w:r>
    </w:p>
    <w:p w14:paraId="5E6714F9" w14:textId="77777777" w:rsidR="00D86E5E" w:rsidRDefault="00D86E5E" w:rsidP="00D86E5E">
      <w:pPr>
        <w:pStyle w:val="Baseparagraphcentred"/>
      </w:pPr>
    </w:p>
    <w:p w14:paraId="339C7B56" w14:textId="77777777" w:rsidR="00D86E5E" w:rsidRDefault="00F644CF" w:rsidP="003925E3">
      <w:pPr>
        <w:pStyle w:val="Baseparagraphcentred"/>
        <w:tabs>
          <w:tab w:val="left" w:pos="5054"/>
        </w:tabs>
        <w:jc w:val="left"/>
      </w:pPr>
      <w:r>
        <w:tab/>
      </w:r>
    </w:p>
    <w:p w14:paraId="153454C8" w14:textId="77777777" w:rsidR="00D86E5E" w:rsidRDefault="00D86E5E" w:rsidP="00D86E5E">
      <w:pPr>
        <w:pStyle w:val="Baseparagraphcentred"/>
      </w:pPr>
      <w:r>
        <w:t xml:space="preserve">EXPLANATORY </w:t>
      </w:r>
      <w:r w:rsidR="00F47778">
        <w:t>M</w:t>
      </w:r>
      <w:r w:rsidR="00B70F49">
        <w:t>EMORANDUM</w:t>
      </w:r>
    </w:p>
    <w:p w14:paraId="13A53B86" w14:textId="77777777" w:rsidR="00D86E5E" w:rsidRDefault="00D86E5E" w:rsidP="00D86E5E">
      <w:pPr>
        <w:pStyle w:val="Baseparagraphcentred"/>
      </w:pPr>
    </w:p>
    <w:p w14:paraId="44E9465E" w14:textId="77777777" w:rsidR="00052F6B" w:rsidRDefault="00052F6B" w:rsidP="00D86E5E">
      <w:pPr>
        <w:pStyle w:val="Baseparagraphcentred"/>
      </w:pPr>
    </w:p>
    <w:p w14:paraId="443D50F3" w14:textId="77777777" w:rsidR="00D86E5E" w:rsidRDefault="00D86E5E" w:rsidP="003925E3">
      <w:pPr>
        <w:jc w:val="center"/>
      </w:pPr>
      <w:r>
        <w:t>(Circulated by the authority of the</w:t>
      </w:r>
      <w:r>
        <w:br/>
      </w:r>
      <w:r w:rsidR="00CB7C01">
        <w:t xml:space="preserve">Treasurer, the Hon </w:t>
      </w:r>
      <w:r w:rsidR="00E9202F">
        <w:t>J. B. Hockey</w:t>
      </w:r>
      <w:r w:rsidR="00F30F48">
        <w:t xml:space="preserve"> MP</w:t>
      </w:r>
      <w:r>
        <w:t>)</w:t>
      </w:r>
    </w:p>
    <w:p w14:paraId="59C7D09B" w14:textId="77777777" w:rsidR="009577A9" w:rsidRDefault="009577A9" w:rsidP="000573B9">
      <w:pPr>
        <w:sectPr w:rsidR="009577A9" w:rsidSect="000573B9">
          <w:headerReference w:type="even" r:id="rId13"/>
          <w:headerReference w:type="default" r:id="rId14"/>
          <w:footerReference w:type="even" r:id="rId15"/>
          <w:footerReference w:type="default" r:id="rId16"/>
          <w:type w:val="oddPage"/>
          <w:pgSz w:w="11906" w:h="16838" w:code="9"/>
          <w:pgMar w:top="2466" w:right="2098" w:bottom="2466" w:left="2098" w:header="1559" w:footer="1899" w:gutter="0"/>
          <w:cols w:space="708"/>
          <w:titlePg/>
          <w:docGrid w:linePitch="360"/>
        </w:sectPr>
      </w:pPr>
    </w:p>
    <w:p w14:paraId="619ABDEC" w14:textId="77777777" w:rsidR="00B70F49" w:rsidRDefault="009577A9" w:rsidP="00B70F49">
      <w:pPr>
        <w:pStyle w:val="TOCHeading"/>
        <w:rPr>
          <w:noProof/>
        </w:rPr>
      </w:pPr>
      <w:r w:rsidRPr="003E0794">
        <w:lastRenderedPageBreak/>
        <w:t>Table of contents</w:t>
      </w:r>
      <w:r>
        <w:rPr>
          <w:b w:val="0"/>
          <w:sz w:val="24"/>
        </w:rPr>
        <w:fldChar w:fldCharType="begin"/>
      </w:r>
      <w:r>
        <w:instrText xml:space="preserve"> TOC \t "Chapter Heading,1,Chapter heading subdocument,2" </w:instrText>
      </w:r>
      <w:r>
        <w:rPr>
          <w:b w:val="0"/>
          <w:sz w:val="24"/>
        </w:rPr>
        <w:fldChar w:fldCharType="separate"/>
      </w:r>
    </w:p>
    <w:p w14:paraId="0874EAFE" w14:textId="77777777" w:rsidR="00B70F49" w:rsidRDefault="00B70F49" w:rsidP="00B70F49">
      <w:pPr>
        <w:pStyle w:val="TOC2"/>
        <w:keepNext w:val="0"/>
        <w:widowControl w:val="0"/>
        <w:spacing w:before="120"/>
        <w:rPr>
          <w:rFonts w:asciiTheme="minorHAnsi" w:eastAsiaTheme="minorEastAsia" w:hAnsiTheme="minorHAnsi" w:cstheme="minorBidi"/>
          <w:sz w:val="22"/>
          <w:szCs w:val="22"/>
        </w:rPr>
      </w:pPr>
      <w:r>
        <w:t>Glossary</w:t>
      </w:r>
      <w:r>
        <w:tab/>
      </w:r>
      <w:r>
        <w:fldChar w:fldCharType="begin"/>
      </w:r>
      <w:r>
        <w:instrText xml:space="preserve"> PAGEREF _Toc418249755 \h </w:instrText>
      </w:r>
      <w:r>
        <w:fldChar w:fldCharType="separate"/>
      </w:r>
      <w:r w:rsidR="001F27D4">
        <w:t>5</w:t>
      </w:r>
      <w:r>
        <w:fldChar w:fldCharType="end"/>
      </w:r>
    </w:p>
    <w:p w14:paraId="0867C71A" w14:textId="77777777" w:rsidR="00B70F49" w:rsidRDefault="00B70F49" w:rsidP="00B70F49">
      <w:pPr>
        <w:pStyle w:val="TOC2"/>
        <w:keepNext w:val="0"/>
        <w:widowControl w:val="0"/>
        <w:spacing w:before="120"/>
        <w:rPr>
          <w:rFonts w:asciiTheme="minorHAnsi" w:eastAsiaTheme="minorEastAsia" w:hAnsiTheme="minorHAnsi" w:cstheme="minorBidi"/>
          <w:sz w:val="22"/>
          <w:szCs w:val="22"/>
        </w:rPr>
      </w:pPr>
      <w:r>
        <w:t>General outline and financial impact</w:t>
      </w:r>
      <w:r>
        <w:tab/>
      </w:r>
      <w:r>
        <w:fldChar w:fldCharType="begin"/>
      </w:r>
      <w:r>
        <w:instrText xml:space="preserve"> PAGEREF _Toc418249756 \h </w:instrText>
      </w:r>
      <w:r>
        <w:fldChar w:fldCharType="separate"/>
      </w:r>
      <w:r w:rsidR="001F27D4">
        <w:t>7</w:t>
      </w:r>
      <w:r>
        <w:fldChar w:fldCharType="end"/>
      </w:r>
    </w:p>
    <w:p w14:paraId="104DE619"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General Introduction</w:t>
      </w:r>
      <w:r>
        <w:rPr>
          <w:noProof/>
        </w:rPr>
        <w:tab/>
      </w:r>
      <w:r>
        <w:rPr>
          <w:noProof/>
        </w:rPr>
        <w:fldChar w:fldCharType="begin"/>
      </w:r>
      <w:r>
        <w:rPr>
          <w:noProof/>
        </w:rPr>
        <w:instrText xml:space="preserve"> PAGEREF _Toc418249757 \h </w:instrText>
      </w:r>
      <w:r>
        <w:rPr>
          <w:noProof/>
        </w:rPr>
      </w:r>
      <w:r>
        <w:rPr>
          <w:noProof/>
        </w:rPr>
        <w:fldChar w:fldCharType="separate"/>
      </w:r>
      <w:r w:rsidR="001F27D4">
        <w:rPr>
          <w:noProof/>
        </w:rPr>
        <w:t>9</w:t>
      </w:r>
      <w:r>
        <w:rPr>
          <w:noProof/>
        </w:rPr>
        <w:fldChar w:fldCharType="end"/>
      </w:r>
    </w:p>
    <w:p w14:paraId="178102A9"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_Toc418249758 \h </w:instrText>
      </w:r>
      <w:r>
        <w:rPr>
          <w:noProof/>
        </w:rPr>
      </w:r>
      <w:r>
        <w:rPr>
          <w:noProof/>
        </w:rPr>
        <w:fldChar w:fldCharType="separate"/>
      </w:r>
      <w:r w:rsidR="001F27D4">
        <w:rPr>
          <w:noProof/>
        </w:rPr>
        <w:t>15</w:t>
      </w:r>
      <w:r>
        <w:rPr>
          <w:noProof/>
        </w:rPr>
        <w:fldChar w:fldCharType="end"/>
      </w:r>
    </w:p>
    <w:p w14:paraId="4B4FBC00"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Registration of private health insurers</w:t>
      </w:r>
      <w:r>
        <w:rPr>
          <w:noProof/>
        </w:rPr>
        <w:tab/>
      </w:r>
      <w:r>
        <w:rPr>
          <w:noProof/>
        </w:rPr>
        <w:fldChar w:fldCharType="begin"/>
      </w:r>
      <w:r>
        <w:rPr>
          <w:noProof/>
        </w:rPr>
        <w:instrText xml:space="preserve"> PAGEREF _Toc418249759 \h </w:instrText>
      </w:r>
      <w:r>
        <w:rPr>
          <w:noProof/>
        </w:rPr>
      </w:r>
      <w:r>
        <w:rPr>
          <w:noProof/>
        </w:rPr>
        <w:fldChar w:fldCharType="separate"/>
      </w:r>
      <w:r w:rsidR="001F27D4">
        <w:rPr>
          <w:noProof/>
        </w:rPr>
        <w:t>19</w:t>
      </w:r>
      <w:r>
        <w:rPr>
          <w:noProof/>
        </w:rPr>
        <w:fldChar w:fldCharType="end"/>
      </w:r>
    </w:p>
    <w:p w14:paraId="4CEC2517"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Health benefits funds</w:t>
      </w:r>
      <w:r>
        <w:rPr>
          <w:noProof/>
        </w:rPr>
        <w:tab/>
      </w:r>
      <w:r>
        <w:rPr>
          <w:noProof/>
        </w:rPr>
        <w:fldChar w:fldCharType="begin"/>
      </w:r>
      <w:r>
        <w:rPr>
          <w:noProof/>
        </w:rPr>
        <w:instrText xml:space="preserve"> PAGEREF _Toc418249760 \h </w:instrText>
      </w:r>
      <w:r>
        <w:rPr>
          <w:noProof/>
        </w:rPr>
      </w:r>
      <w:r>
        <w:rPr>
          <w:noProof/>
        </w:rPr>
        <w:fldChar w:fldCharType="separate"/>
      </w:r>
      <w:r w:rsidR="001F27D4">
        <w:rPr>
          <w:noProof/>
        </w:rPr>
        <w:t>29</w:t>
      </w:r>
      <w:r>
        <w:rPr>
          <w:noProof/>
        </w:rPr>
        <w:fldChar w:fldCharType="end"/>
      </w:r>
    </w:p>
    <w:p w14:paraId="1A57BC13"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Prudential standards and directions</w:t>
      </w:r>
      <w:r>
        <w:rPr>
          <w:noProof/>
        </w:rPr>
        <w:tab/>
      </w:r>
      <w:r>
        <w:rPr>
          <w:noProof/>
        </w:rPr>
        <w:fldChar w:fldCharType="begin"/>
      </w:r>
      <w:r>
        <w:rPr>
          <w:noProof/>
        </w:rPr>
        <w:instrText xml:space="preserve"> PAGEREF _Toc418249761 \h </w:instrText>
      </w:r>
      <w:r>
        <w:rPr>
          <w:noProof/>
        </w:rPr>
      </w:r>
      <w:r>
        <w:rPr>
          <w:noProof/>
        </w:rPr>
        <w:fldChar w:fldCharType="separate"/>
      </w:r>
      <w:r w:rsidR="001F27D4">
        <w:rPr>
          <w:noProof/>
        </w:rPr>
        <w:t>65</w:t>
      </w:r>
      <w:r>
        <w:rPr>
          <w:noProof/>
        </w:rPr>
        <w:fldChar w:fldCharType="end"/>
      </w:r>
    </w:p>
    <w:p w14:paraId="32D6DAC7"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Other obligations of private health insurers</w:t>
      </w:r>
      <w:r>
        <w:rPr>
          <w:noProof/>
        </w:rPr>
        <w:tab/>
      </w:r>
      <w:r>
        <w:rPr>
          <w:noProof/>
        </w:rPr>
        <w:fldChar w:fldCharType="begin"/>
      </w:r>
      <w:r>
        <w:rPr>
          <w:noProof/>
        </w:rPr>
        <w:instrText xml:space="preserve"> PAGEREF _Toc418249762 \h </w:instrText>
      </w:r>
      <w:r>
        <w:rPr>
          <w:noProof/>
        </w:rPr>
      </w:r>
      <w:r>
        <w:rPr>
          <w:noProof/>
        </w:rPr>
        <w:fldChar w:fldCharType="separate"/>
      </w:r>
      <w:r w:rsidR="001F27D4">
        <w:rPr>
          <w:noProof/>
        </w:rPr>
        <w:t>79</w:t>
      </w:r>
      <w:r>
        <w:rPr>
          <w:noProof/>
        </w:rPr>
        <w:fldChar w:fldCharType="end"/>
      </w:r>
    </w:p>
    <w:p w14:paraId="7793CEC5"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Monitoring and investigation</w:t>
      </w:r>
      <w:r>
        <w:rPr>
          <w:noProof/>
        </w:rPr>
        <w:tab/>
      </w:r>
      <w:r>
        <w:rPr>
          <w:noProof/>
        </w:rPr>
        <w:fldChar w:fldCharType="begin"/>
      </w:r>
      <w:r>
        <w:rPr>
          <w:noProof/>
        </w:rPr>
        <w:instrText xml:space="preserve"> PAGEREF _Toc418249763 \h </w:instrText>
      </w:r>
      <w:r>
        <w:rPr>
          <w:noProof/>
        </w:rPr>
      </w:r>
      <w:r>
        <w:rPr>
          <w:noProof/>
        </w:rPr>
        <w:fldChar w:fldCharType="separate"/>
      </w:r>
      <w:r w:rsidR="001F27D4">
        <w:rPr>
          <w:noProof/>
        </w:rPr>
        <w:t>95</w:t>
      </w:r>
      <w:r>
        <w:rPr>
          <w:noProof/>
        </w:rPr>
        <w:fldChar w:fldCharType="end"/>
      </w:r>
    </w:p>
    <w:p w14:paraId="7C704A88"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Enforceable undertakings</w:t>
      </w:r>
      <w:r>
        <w:rPr>
          <w:noProof/>
        </w:rPr>
        <w:tab/>
      </w:r>
      <w:r>
        <w:rPr>
          <w:noProof/>
        </w:rPr>
        <w:fldChar w:fldCharType="begin"/>
      </w:r>
      <w:r>
        <w:rPr>
          <w:noProof/>
        </w:rPr>
        <w:instrText xml:space="preserve"> PAGEREF _Toc418249764 \h </w:instrText>
      </w:r>
      <w:r>
        <w:rPr>
          <w:noProof/>
        </w:rPr>
      </w:r>
      <w:r>
        <w:rPr>
          <w:noProof/>
        </w:rPr>
        <w:fldChar w:fldCharType="separate"/>
      </w:r>
      <w:r w:rsidR="001F27D4">
        <w:rPr>
          <w:noProof/>
        </w:rPr>
        <w:t>107</w:t>
      </w:r>
      <w:r>
        <w:rPr>
          <w:noProof/>
        </w:rPr>
        <w:fldChar w:fldCharType="end"/>
      </w:r>
    </w:p>
    <w:p w14:paraId="7AE8440E"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Remedies in the Federal Court</w:t>
      </w:r>
      <w:r>
        <w:rPr>
          <w:noProof/>
        </w:rPr>
        <w:tab/>
      </w:r>
      <w:r>
        <w:rPr>
          <w:noProof/>
        </w:rPr>
        <w:fldChar w:fldCharType="begin"/>
      </w:r>
      <w:r>
        <w:rPr>
          <w:noProof/>
        </w:rPr>
        <w:instrText xml:space="preserve"> PAGEREF _Toc418249765 \h </w:instrText>
      </w:r>
      <w:r>
        <w:rPr>
          <w:noProof/>
        </w:rPr>
      </w:r>
      <w:r>
        <w:rPr>
          <w:noProof/>
        </w:rPr>
        <w:fldChar w:fldCharType="separate"/>
      </w:r>
      <w:r w:rsidR="001F27D4">
        <w:rPr>
          <w:noProof/>
        </w:rPr>
        <w:t>109</w:t>
      </w:r>
      <w:r>
        <w:rPr>
          <w:noProof/>
        </w:rPr>
        <w:fldChar w:fldCharType="end"/>
      </w:r>
    </w:p>
    <w:p w14:paraId="3B87C8A5"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_Toc418249766 \h </w:instrText>
      </w:r>
      <w:r>
        <w:rPr>
          <w:noProof/>
        </w:rPr>
      </w:r>
      <w:r>
        <w:rPr>
          <w:noProof/>
        </w:rPr>
        <w:fldChar w:fldCharType="separate"/>
      </w:r>
      <w:r w:rsidR="001F27D4">
        <w:rPr>
          <w:noProof/>
        </w:rPr>
        <w:t>117</w:t>
      </w:r>
      <w:r>
        <w:rPr>
          <w:noProof/>
        </w:rPr>
        <w:fldChar w:fldCharType="end"/>
      </w:r>
    </w:p>
    <w:p w14:paraId="632929A5"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Consequential Amendments and Transitional Provisions</w:t>
      </w:r>
      <w:r>
        <w:rPr>
          <w:noProof/>
        </w:rPr>
        <w:tab/>
      </w:r>
      <w:r>
        <w:rPr>
          <w:noProof/>
        </w:rPr>
        <w:fldChar w:fldCharType="begin"/>
      </w:r>
      <w:r>
        <w:rPr>
          <w:noProof/>
        </w:rPr>
        <w:instrText xml:space="preserve"> PAGEREF _Toc418249767 \h </w:instrText>
      </w:r>
      <w:r>
        <w:rPr>
          <w:noProof/>
        </w:rPr>
      </w:r>
      <w:r>
        <w:rPr>
          <w:noProof/>
        </w:rPr>
        <w:fldChar w:fldCharType="separate"/>
      </w:r>
      <w:r w:rsidR="001F27D4">
        <w:rPr>
          <w:noProof/>
        </w:rPr>
        <w:t>125</w:t>
      </w:r>
      <w:r>
        <w:rPr>
          <w:noProof/>
        </w:rPr>
        <w:fldChar w:fldCharType="end"/>
      </w:r>
    </w:p>
    <w:p w14:paraId="3D2F98A0"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12</w:t>
      </w:r>
      <w:r>
        <w:rPr>
          <w:rFonts w:asciiTheme="minorHAnsi" w:eastAsiaTheme="minorEastAsia" w:hAnsiTheme="minorHAnsi" w:cstheme="minorBidi"/>
          <w:noProof/>
          <w:sz w:val="22"/>
          <w:szCs w:val="22"/>
        </w:rPr>
        <w:tab/>
      </w:r>
      <w:r>
        <w:rPr>
          <w:noProof/>
        </w:rPr>
        <w:t>Private Health Insurance Supervisory Levy</w:t>
      </w:r>
      <w:r>
        <w:rPr>
          <w:noProof/>
        </w:rPr>
        <w:tab/>
      </w:r>
      <w:r>
        <w:rPr>
          <w:noProof/>
        </w:rPr>
        <w:fldChar w:fldCharType="begin"/>
      </w:r>
      <w:r>
        <w:rPr>
          <w:noProof/>
        </w:rPr>
        <w:instrText xml:space="preserve"> PAGEREF _Toc418249768 \h </w:instrText>
      </w:r>
      <w:r>
        <w:rPr>
          <w:noProof/>
        </w:rPr>
      </w:r>
      <w:r>
        <w:rPr>
          <w:noProof/>
        </w:rPr>
        <w:fldChar w:fldCharType="separate"/>
      </w:r>
      <w:r w:rsidR="001F27D4">
        <w:rPr>
          <w:noProof/>
        </w:rPr>
        <w:t>193</w:t>
      </w:r>
      <w:r>
        <w:rPr>
          <w:noProof/>
        </w:rPr>
        <w:fldChar w:fldCharType="end"/>
      </w:r>
    </w:p>
    <w:p w14:paraId="65FF0B5D"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13</w:t>
      </w:r>
      <w:r>
        <w:rPr>
          <w:rFonts w:asciiTheme="minorHAnsi" w:eastAsiaTheme="minorEastAsia" w:hAnsiTheme="minorHAnsi" w:cstheme="minorBidi"/>
          <w:noProof/>
          <w:sz w:val="22"/>
          <w:szCs w:val="22"/>
        </w:rPr>
        <w:tab/>
      </w:r>
      <w:r>
        <w:rPr>
          <w:noProof/>
        </w:rPr>
        <w:t>Private Health Insurance Risk Equalisation Levy</w:t>
      </w:r>
      <w:r>
        <w:rPr>
          <w:noProof/>
        </w:rPr>
        <w:tab/>
      </w:r>
      <w:r>
        <w:rPr>
          <w:noProof/>
        </w:rPr>
        <w:fldChar w:fldCharType="begin"/>
      </w:r>
      <w:r>
        <w:rPr>
          <w:noProof/>
        </w:rPr>
        <w:instrText xml:space="preserve"> PAGEREF _Toc418249769 \h </w:instrText>
      </w:r>
      <w:r>
        <w:rPr>
          <w:noProof/>
        </w:rPr>
      </w:r>
      <w:r>
        <w:rPr>
          <w:noProof/>
        </w:rPr>
        <w:fldChar w:fldCharType="separate"/>
      </w:r>
      <w:r w:rsidR="001F27D4">
        <w:rPr>
          <w:noProof/>
        </w:rPr>
        <w:t>199</w:t>
      </w:r>
      <w:r>
        <w:rPr>
          <w:noProof/>
        </w:rPr>
        <w:fldChar w:fldCharType="end"/>
      </w:r>
    </w:p>
    <w:p w14:paraId="0463D571" w14:textId="77777777" w:rsidR="00B70F49" w:rsidRDefault="00B70F49" w:rsidP="00B70F49">
      <w:pPr>
        <w:pStyle w:val="TOC1"/>
        <w:keepNext w:val="0"/>
        <w:widowControl w:val="0"/>
        <w:spacing w:before="120"/>
        <w:rPr>
          <w:rFonts w:asciiTheme="minorHAnsi" w:eastAsiaTheme="minorEastAsia" w:hAnsiTheme="minorHAnsi" w:cstheme="minorBidi"/>
          <w:noProof/>
          <w:sz w:val="22"/>
          <w:szCs w:val="22"/>
        </w:rPr>
      </w:pPr>
      <w:r>
        <w:rPr>
          <w:noProof/>
        </w:rPr>
        <w:t>Chapter 14</w:t>
      </w:r>
      <w:r>
        <w:rPr>
          <w:rFonts w:asciiTheme="minorHAnsi" w:eastAsiaTheme="minorEastAsia" w:hAnsiTheme="minorHAnsi" w:cstheme="minorBidi"/>
          <w:noProof/>
          <w:sz w:val="22"/>
          <w:szCs w:val="22"/>
        </w:rPr>
        <w:tab/>
      </w:r>
      <w:r>
        <w:rPr>
          <w:noProof/>
        </w:rPr>
        <w:t>Private Health Insurance Collapsed Insurer Levy</w:t>
      </w:r>
      <w:r>
        <w:rPr>
          <w:noProof/>
        </w:rPr>
        <w:tab/>
      </w:r>
      <w:r>
        <w:rPr>
          <w:noProof/>
        </w:rPr>
        <w:fldChar w:fldCharType="begin"/>
      </w:r>
      <w:r>
        <w:rPr>
          <w:noProof/>
        </w:rPr>
        <w:instrText xml:space="preserve"> PAGEREF _Toc418249770 \h </w:instrText>
      </w:r>
      <w:r>
        <w:rPr>
          <w:noProof/>
        </w:rPr>
      </w:r>
      <w:r>
        <w:rPr>
          <w:noProof/>
        </w:rPr>
        <w:fldChar w:fldCharType="separate"/>
      </w:r>
      <w:r w:rsidR="001F27D4">
        <w:rPr>
          <w:noProof/>
        </w:rPr>
        <w:t>205</w:t>
      </w:r>
      <w:r>
        <w:rPr>
          <w:noProof/>
        </w:rPr>
        <w:fldChar w:fldCharType="end"/>
      </w:r>
    </w:p>
    <w:p w14:paraId="04FFFDB0" w14:textId="77777777" w:rsidR="00B70F49" w:rsidRDefault="00B70F49" w:rsidP="00B70F49">
      <w:pPr>
        <w:pStyle w:val="TOC1"/>
        <w:keepNext w:val="0"/>
        <w:widowControl w:val="0"/>
        <w:spacing w:before="120"/>
        <w:rPr>
          <w:noProof/>
        </w:rPr>
      </w:pPr>
      <w:r>
        <w:rPr>
          <w:noProof/>
        </w:rPr>
        <w:t>Chapter 15</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_Toc418249771 \h </w:instrText>
      </w:r>
      <w:r>
        <w:rPr>
          <w:noProof/>
        </w:rPr>
      </w:r>
      <w:r>
        <w:rPr>
          <w:noProof/>
        </w:rPr>
        <w:fldChar w:fldCharType="separate"/>
      </w:r>
      <w:r w:rsidR="001F27D4">
        <w:rPr>
          <w:noProof/>
        </w:rPr>
        <w:t>209</w:t>
      </w:r>
      <w:r>
        <w:rPr>
          <w:noProof/>
        </w:rPr>
        <w:fldChar w:fldCharType="end"/>
      </w:r>
    </w:p>
    <w:p w14:paraId="6BB3EDCD" w14:textId="77777777" w:rsidR="00F90D26" w:rsidRPr="00F90D26" w:rsidRDefault="00F90D26" w:rsidP="00F90D26">
      <w:pPr>
        <w:pStyle w:val="TOC2"/>
        <w:rPr>
          <w:rFonts w:eastAsiaTheme="minorEastAsia"/>
        </w:rPr>
      </w:pPr>
      <w:r>
        <w:rPr>
          <w:rFonts w:eastAsiaTheme="minorEastAsia"/>
        </w:rPr>
        <w:t xml:space="preserve">Index </w:t>
      </w:r>
      <w:r>
        <w:rPr>
          <w:rFonts w:eastAsiaTheme="minorEastAsia"/>
        </w:rPr>
        <w:tab/>
        <w:t>211</w:t>
      </w:r>
    </w:p>
    <w:p w14:paraId="70B6B965" w14:textId="77777777" w:rsidR="00D86E5E" w:rsidRDefault="009577A9" w:rsidP="00CB15B1">
      <w:pPr>
        <w:pStyle w:val="base-text-paragraphnonumbers"/>
      </w:pPr>
      <w:r>
        <w:rPr>
          <w:b/>
          <w:bCs/>
          <w:noProof/>
          <w:lang w:val="en-US"/>
        </w:rPr>
        <w:fldChar w:fldCharType="end"/>
      </w:r>
    </w:p>
    <w:p w14:paraId="49601FAD" w14:textId="77777777" w:rsidR="00D86E5E" w:rsidRDefault="00D86E5E" w:rsidP="00D86E5E">
      <w:pPr>
        <w:pStyle w:val="base-text-paragraphnonumbers"/>
        <w:sectPr w:rsidR="00D86E5E" w:rsidSect="00D86E5E">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466" w:right="2098" w:bottom="2466" w:left="2098" w:header="1559" w:footer="1899" w:gutter="0"/>
          <w:cols w:space="708"/>
          <w:titlePg/>
          <w:docGrid w:linePitch="360"/>
        </w:sectPr>
      </w:pPr>
    </w:p>
    <w:p w14:paraId="07AC0E7C" w14:textId="77777777" w:rsidR="00D86E5E" w:rsidRPr="00D67ADC" w:rsidRDefault="00D86E5E" w:rsidP="00D86E5E">
      <w:pPr>
        <w:pStyle w:val="Chapterheadingsubdocument"/>
      </w:pPr>
      <w:bookmarkStart w:id="1" w:name="_Toc406581427"/>
      <w:bookmarkStart w:id="2" w:name="_Toc406752073"/>
      <w:bookmarkStart w:id="3" w:name="_Toc406757004"/>
      <w:bookmarkStart w:id="4" w:name="_Toc406760717"/>
      <w:bookmarkStart w:id="5" w:name="_Toc407026915"/>
      <w:bookmarkStart w:id="6" w:name="_Toc416957152"/>
      <w:bookmarkStart w:id="7" w:name="_Toc418177758"/>
      <w:bookmarkStart w:id="8" w:name="_Toc418178553"/>
      <w:bookmarkStart w:id="9" w:name="_Toc418249755"/>
      <w:r w:rsidRPr="00D67ADC">
        <w:lastRenderedPageBreak/>
        <w:t>Glossary</w:t>
      </w:r>
      <w:bookmarkEnd w:id="1"/>
      <w:bookmarkEnd w:id="2"/>
      <w:bookmarkEnd w:id="3"/>
      <w:bookmarkEnd w:id="4"/>
      <w:bookmarkEnd w:id="5"/>
      <w:bookmarkEnd w:id="6"/>
      <w:bookmarkEnd w:id="7"/>
      <w:bookmarkEnd w:id="8"/>
      <w:bookmarkEnd w:id="9"/>
    </w:p>
    <w:p w14:paraId="6EB46E54" w14:textId="77777777" w:rsidR="00D86E5E" w:rsidRDefault="00D86E5E" w:rsidP="00D86E5E">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D86E5E" w:rsidRPr="00123D96" w14:paraId="51E6BEDF" w14:textId="77777777" w:rsidTr="00EB37E9">
        <w:trPr>
          <w:tblHeader/>
        </w:trPr>
        <w:tc>
          <w:tcPr>
            <w:tcW w:w="2721" w:type="dxa"/>
          </w:tcPr>
          <w:p w14:paraId="1AF99111" w14:textId="77777777" w:rsidR="00D86E5E" w:rsidRPr="00123D96" w:rsidRDefault="00D86E5E" w:rsidP="00D86E5E">
            <w:pPr>
              <w:pStyle w:val="tableheaderwithintable"/>
            </w:pPr>
            <w:r w:rsidRPr="00123D96">
              <w:t>Abbreviation</w:t>
            </w:r>
          </w:p>
        </w:tc>
        <w:tc>
          <w:tcPr>
            <w:tcW w:w="3885" w:type="dxa"/>
          </w:tcPr>
          <w:p w14:paraId="733EF916" w14:textId="77777777" w:rsidR="00D86E5E" w:rsidRPr="00123D96" w:rsidRDefault="00D86E5E" w:rsidP="00D86E5E">
            <w:pPr>
              <w:pStyle w:val="tableheaderwithintable"/>
            </w:pPr>
            <w:r w:rsidRPr="00123D96">
              <w:t>Definition</w:t>
            </w:r>
          </w:p>
        </w:tc>
      </w:tr>
      <w:tr w:rsidR="006C3A61" w:rsidRPr="002C43E8" w14:paraId="64965B4A" w14:textId="77777777" w:rsidTr="00D86E5E">
        <w:tc>
          <w:tcPr>
            <w:tcW w:w="2721" w:type="dxa"/>
          </w:tcPr>
          <w:p w14:paraId="1C3550D9" w14:textId="77777777" w:rsidR="006C3A61" w:rsidRPr="002C43E8" w:rsidRDefault="006C3A61" w:rsidP="00D86E5E">
            <w:pPr>
              <w:pStyle w:val="Glossarytabletext"/>
              <w:rPr>
                <w:lang w:val="en-US" w:eastAsia="en-US"/>
              </w:rPr>
            </w:pPr>
            <w:r w:rsidRPr="00D86E5E">
              <w:rPr>
                <w:lang w:val="en-US" w:eastAsia="en-US"/>
              </w:rPr>
              <w:t>AAT</w:t>
            </w:r>
          </w:p>
        </w:tc>
        <w:tc>
          <w:tcPr>
            <w:tcW w:w="3885" w:type="dxa"/>
          </w:tcPr>
          <w:p w14:paraId="446B5485" w14:textId="77777777" w:rsidR="006C3A61" w:rsidRPr="002C43E8" w:rsidRDefault="006C3A61" w:rsidP="00D86E5E">
            <w:pPr>
              <w:pStyle w:val="Glossarytabletext"/>
              <w:rPr>
                <w:lang w:val="en-US" w:eastAsia="en-US"/>
              </w:rPr>
            </w:pPr>
            <w:r w:rsidRPr="00D86E5E">
              <w:rPr>
                <w:lang w:val="en-US" w:eastAsia="en-US"/>
              </w:rPr>
              <w:t>Administrative Appeals Tribunal</w:t>
            </w:r>
          </w:p>
        </w:tc>
      </w:tr>
      <w:tr w:rsidR="006C3A61" w:rsidRPr="002C43E8" w14:paraId="77CB4169" w14:textId="77777777" w:rsidTr="00D86E5E">
        <w:tc>
          <w:tcPr>
            <w:tcW w:w="2721" w:type="dxa"/>
          </w:tcPr>
          <w:p w14:paraId="77391214" w14:textId="77777777" w:rsidR="006C3A61" w:rsidRPr="002C43E8" w:rsidRDefault="006C3A61" w:rsidP="00D86E5E">
            <w:pPr>
              <w:pStyle w:val="Glossarytabletext"/>
              <w:rPr>
                <w:lang w:val="en-US" w:eastAsia="en-US"/>
              </w:rPr>
            </w:pPr>
            <w:r w:rsidRPr="00D86E5E">
              <w:rPr>
                <w:lang w:val="en-US" w:eastAsia="en-US"/>
              </w:rPr>
              <w:t>ADI</w:t>
            </w:r>
          </w:p>
        </w:tc>
        <w:tc>
          <w:tcPr>
            <w:tcW w:w="3885" w:type="dxa"/>
          </w:tcPr>
          <w:p w14:paraId="63776E31" w14:textId="77777777" w:rsidR="006C3A61" w:rsidRPr="002C43E8" w:rsidRDefault="006C3A61" w:rsidP="00D86E5E">
            <w:pPr>
              <w:pStyle w:val="Glossarytabletext"/>
              <w:rPr>
                <w:lang w:val="en-US" w:eastAsia="en-US"/>
              </w:rPr>
            </w:pPr>
            <w:r w:rsidRPr="00D86E5E">
              <w:rPr>
                <w:lang w:val="en-US" w:eastAsia="en-US"/>
              </w:rPr>
              <w:t xml:space="preserve">Authorised deposit-taking institution within the meaning of the </w:t>
            </w:r>
            <w:r w:rsidRPr="00D86E5E">
              <w:rPr>
                <w:i/>
                <w:lang w:val="en-US" w:eastAsia="en-US"/>
              </w:rPr>
              <w:t>Banking Act 1959</w:t>
            </w:r>
          </w:p>
        </w:tc>
      </w:tr>
      <w:tr w:rsidR="006C3A61" w:rsidRPr="002C43E8" w14:paraId="2EDAA74C" w14:textId="77777777" w:rsidTr="00D86E5E">
        <w:tc>
          <w:tcPr>
            <w:tcW w:w="2721" w:type="dxa"/>
          </w:tcPr>
          <w:p w14:paraId="4B9963C3" w14:textId="77777777" w:rsidR="006C3A61" w:rsidRPr="002C43E8" w:rsidRDefault="006C3A61" w:rsidP="00D86E5E">
            <w:pPr>
              <w:pStyle w:val="Glossarytabletext"/>
              <w:rPr>
                <w:lang w:val="en-US" w:eastAsia="en-US"/>
              </w:rPr>
            </w:pPr>
            <w:r>
              <w:rPr>
                <w:lang w:val="en-US" w:eastAsia="en-US"/>
              </w:rPr>
              <w:t>APRA</w:t>
            </w:r>
          </w:p>
        </w:tc>
        <w:tc>
          <w:tcPr>
            <w:tcW w:w="3885" w:type="dxa"/>
          </w:tcPr>
          <w:p w14:paraId="56950B2D" w14:textId="77777777" w:rsidR="006C3A61" w:rsidRPr="002C43E8" w:rsidRDefault="006C3A61" w:rsidP="00D86E5E">
            <w:pPr>
              <w:pStyle w:val="Glossarytabletext"/>
              <w:rPr>
                <w:lang w:val="en-US" w:eastAsia="en-US"/>
              </w:rPr>
            </w:pPr>
            <w:r w:rsidRPr="00D86E5E">
              <w:rPr>
                <w:lang w:val="en-US" w:eastAsia="en-US"/>
              </w:rPr>
              <w:t>Australian Prudential Regulation Authority</w:t>
            </w:r>
          </w:p>
        </w:tc>
      </w:tr>
      <w:tr w:rsidR="006C3A61" w:rsidRPr="002C43E8" w14:paraId="28370B22" w14:textId="77777777" w:rsidTr="00D86E5E">
        <w:tc>
          <w:tcPr>
            <w:tcW w:w="2721" w:type="dxa"/>
          </w:tcPr>
          <w:p w14:paraId="1550E24F" w14:textId="77777777" w:rsidR="006C3A61" w:rsidRDefault="006C3A61" w:rsidP="00D86E5E">
            <w:pPr>
              <w:pStyle w:val="Glossarytabletext"/>
              <w:rPr>
                <w:lang w:val="en-US" w:eastAsia="en-US"/>
              </w:rPr>
            </w:pPr>
            <w:r>
              <w:rPr>
                <w:lang w:val="en-US" w:eastAsia="en-US"/>
              </w:rPr>
              <w:t>APRA Act</w:t>
            </w:r>
          </w:p>
        </w:tc>
        <w:tc>
          <w:tcPr>
            <w:tcW w:w="3885" w:type="dxa"/>
          </w:tcPr>
          <w:p w14:paraId="5B06A00D" w14:textId="77777777" w:rsidR="006C3A61" w:rsidRPr="006C3D7A" w:rsidRDefault="006C3A61" w:rsidP="00D86E5E">
            <w:pPr>
              <w:pStyle w:val="Glossarytabletext"/>
              <w:rPr>
                <w:i/>
                <w:lang w:val="en-US" w:eastAsia="en-US"/>
              </w:rPr>
            </w:pPr>
            <w:r w:rsidRPr="006C3D7A">
              <w:rPr>
                <w:i/>
                <w:lang w:val="en-US" w:eastAsia="en-US"/>
              </w:rPr>
              <w:t>Australian Prudential Regulation Authority Act 1998</w:t>
            </w:r>
          </w:p>
        </w:tc>
      </w:tr>
      <w:tr w:rsidR="006C3A61" w:rsidRPr="002C43E8" w14:paraId="04602D25" w14:textId="77777777" w:rsidTr="00D86E5E">
        <w:tc>
          <w:tcPr>
            <w:tcW w:w="2721" w:type="dxa"/>
          </w:tcPr>
          <w:p w14:paraId="62B2ED38" w14:textId="77777777" w:rsidR="006C3A61" w:rsidRDefault="006C3A61" w:rsidP="00D86E5E">
            <w:pPr>
              <w:pStyle w:val="Glossarytabletext"/>
            </w:pPr>
            <w:r w:rsidRPr="00A76AA9">
              <w:t>Collapsed Insurer Levy Act</w:t>
            </w:r>
          </w:p>
        </w:tc>
        <w:tc>
          <w:tcPr>
            <w:tcW w:w="3885" w:type="dxa"/>
          </w:tcPr>
          <w:p w14:paraId="05435D55" w14:textId="77777777" w:rsidR="006C3A61" w:rsidRDefault="006C3A61" w:rsidP="00E93D04">
            <w:pPr>
              <w:pStyle w:val="Glossarytabletext"/>
            </w:pPr>
            <w:r w:rsidRPr="00153868">
              <w:rPr>
                <w:i/>
              </w:rPr>
              <w:t>Private Health Insurance (Collapsed Insurer Levy) Act 2003</w:t>
            </w:r>
            <w:r>
              <w:rPr>
                <w:i/>
              </w:rPr>
              <w:t xml:space="preserve"> </w:t>
            </w:r>
          </w:p>
        </w:tc>
      </w:tr>
      <w:tr w:rsidR="006C3A61" w:rsidRPr="002C43E8" w14:paraId="0947617B" w14:textId="77777777" w:rsidTr="00D86E5E">
        <w:tc>
          <w:tcPr>
            <w:tcW w:w="2721" w:type="dxa"/>
          </w:tcPr>
          <w:p w14:paraId="78B09ECF" w14:textId="77777777" w:rsidR="006C3A61" w:rsidRDefault="006C3A61" w:rsidP="00D86E5E">
            <w:pPr>
              <w:pStyle w:val="Glossarytabletext"/>
              <w:rPr>
                <w:lang w:val="en-US" w:eastAsia="en-US"/>
              </w:rPr>
            </w:pPr>
            <w:r>
              <w:t>Collapsed Insurer Levy</w:t>
            </w:r>
            <w:r w:rsidRPr="0057003C">
              <w:t xml:space="preserve"> Amendment Bill</w:t>
            </w:r>
          </w:p>
        </w:tc>
        <w:tc>
          <w:tcPr>
            <w:tcW w:w="3885" w:type="dxa"/>
          </w:tcPr>
          <w:p w14:paraId="2AC95826" w14:textId="77777777" w:rsidR="006C3A61" w:rsidRDefault="006C3A61" w:rsidP="0081006B">
            <w:pPr>
              <w:pStyle w:val="Glossarytabletext"/>
              <w:rPr>
                <w:i/>
              </w:rPr>
            </w:pPr>
            <w:r w:rsidRPr="0057003C">
              <w:t xml:space="preserve">Private Health Insurance (Collapsed Insurer Levy) Amendment Bill 2015 </w:t>
            </w:r>
          </w:p>
        </w:tc>
      </w:tr>
      <w:tr w:rsidR="006C3A61" w:rsidRPr="002C43E8" w14:paraId="407BD95D" w14:textId="77777777" w:rsidTr="00D86E5E">
        <w:tc>
          <w:tcPr>
            <w:tcW w:w="2721" w:type="dxa"/>
          </w:tcPr>
          <w:p w14:paraId="12735D97" w14:textId="77777777" w:rsidR="006C3A61" w:rsidRDefault="006C3A61" w:rsidP="00D86E5E">
            <w:pPr>
              <w:pStyle w:val="Glossarytabletext"/>
              <w:rPr>
                <w:lang w:val="en-US" w:eastAsia="en-US"/>
              </w:rPr>
            </w:pPr>
            <w:r>
              <w:rPr>
                <w:lang w:val="en-US" w:eastAsia="en-US"/>
              </w:rPr>
              <w:t>Consequential Amendments and Transitional Provisions Bill</w:t>
            </w:r>
          </w:p>
        </w:tc>
        <w:tc>
          <w:tcPr>
            <w:tcW w:w="3885" w:type="dxa"/>
          </w:tcPr>
          <w:p w14:paraId="6EDA1C48" w14:textId="77777777" w:rsidR="006C3A61" w:rsidRPr="007B401A" w:rsidRDefault="006C3A61" w:rsidP="00D86E5E">
            <w:pPr>
              <w:pStyle w:val="Glossarytabletext"/>
              <w:rPr>
                <w:lang w:val="en-US" w:eastAsia="en-US"/>
              </w:rPr>
            </w:pPr>
            <w:r w:rsidRPr="003925E3">
              <w:rPr>
                <w:lang w:val="en-US" w:eastAsia="en-US"/>
              </w:rPr>
              <w:t>Private Health Insurance (</w:t>
            </w:r>
            <w:r w:rsidRPr="007B401A">
              <w:rPr>
                <w:lang w:val="en-US" w:eastAsia="en-US"/>
              </w:rPr>
              <w:t>Prudential Supervision) (Consequential Amendments and Transitional Provisions) Bill 2015</w:t>
            </w:r>
          </w:p>
        </w:tc>
      </w:tr>
      <w:tr w:rsidR="006C3A61" w:rsidRPr="002C43E8" w14:paraId="5287ACED" w14:textId="77777777" w:rsidTr="00D86E5E">
        <w:tc>
          <w:tcPr>
            <w:tcW w:w="2721" w:type="dxa"/>
          </w:tcPr>
          <w:p w14:paraId="6A4E8B24" w14:textId="77777777" w:rsidR="006C3A61" w:rsidRDefault="006C3A61" w:rsidP="00D86E5E">
            <w:pPr>
              <w:pStyle w:val="Glossarytabletext"/>
              <w:rPr>
                <w:lang w:val="en-US" w:eastAsia="en-US"/>
              </w:rPr>
            </w:pPr>
            <w:r>
              <w:rPr>
                <w:lang w:val="en-US" w:eastAsia="en-US"/>
              </w:rPr>
              <w:t>Corporations Act</w:t>
            </w:r>
          </w:p>
        </w:tc>
        <w:tc>
          <w:tcPr>
            <w:tcW w:w="3885" w:type="dxa"/>
          </w:tcPr>
          <w:p w14:paraId="623CD36B" w14:textId="77777777" w:rsidR="006C3A61" w:rsidRPr="00A95B86" w:rsidRDefault="006C3A61" w:rsidP="00D86E5E">
            <w:pPr>
              <w:pStyle w:val="Glossarytabletext"/>
              <w:rPr>
                <w:i/>
                <w:lang w:val="en-US" w:eastAsia="en-US"/>
              </w:rPr>
            </w:pPr>
            <w:r w:rsidRPr="00A95B86">
              <w:rPr>
                <w:i/>
                <w:lang w:val="en-US" w:eastAsia="en-US"/>
              </w:rPr>
              <w:t>Corporations Act 2001</w:t>
            </w:r>
          </w:p>
        </w:tc>
      </w:tr>
      <w:tr w:rsidR="006C3A61" w:rsidRPr="002C43E8" w14:paraId="6D865B74" w14:textId="77777777" w:rsidTr="00D86E5E">
        <w:tc>
          <w:tcPr>
            <w:tcW w:w="2721" w:type="dxa"/>
          </w:tcPr>
          <w:p w14:paraId="3A01E002" w14:textId="77777777" w:rsidR="006C3A61" w:rsidRDefault="006C3A61" w:rsidP="00D86E5E">
            <w:pPr>
              <w:pStyle w:val="Glossarytabletext"/>
              <w:rPr>
                <w:lang w:val="en-US" w:eastAsia="en-US"/>
              </w:rPr>
            </w:pPr>
            <w:r>
              <w:t>CRC</w:t>
            </w:r>
          </w:p>
        </w:tc>
        <w:tc>
          <w:tcPr>
            <w:tcW w:w="3885" w:type="dxa"/>
          </w:tcPr>
          <w:p w14:paraId="74FB7362" w14:textId="77777777" w:rsidR="006C3A61" w:rsidRDefault="006C3A61" w:rsidP="00D86E5E">
            <w:pPr>
              <w:pStyle w:val="Glossarytabletext"/>
              <w:rPr>
                <w:i/>
              </w:rPr>
            </w:pPr>
            <w:r>
              <w:t>Convention on the Rights of the Child</w:t>
            </w:r>
          </w:p>
        </w:tc>
      </w:tr>
      <w:tr w:rsidR="006C3A61" w:rsidRPr="002C43E8" w14:paraId="4329D744" w14:textId="77777777" w:rsidTr="00D86E5E">
        <w:tc>
          <w:tcPr>
            <w:tcW w:w="2721" w:type="dxa"/>
          </w:tcPr>
          <w:p w14:paraId="566F5DDC" w14:textId="77777777" w:rsidR="006C3A61" w:rsidRDefault="006C3A61" w:rsidP="00D86E5E">
            <w:pPr>
              <w:pStyle w:val="Glossarytabletext"/>
              <w:rPr>
                <w:lang w:val="en-US" w:eastAsia="en-US"/>
              </w:rPr>
            </w:pPr>
            <w:r>
              <w:rPr>
                <w:lang w:val="en-US" w:eastAsia="en-US"/>
              </w:rPr>
              <w:t>Criminal Code</w:t>
            </w:r>
          </w:p>
        </w:tc>
        <w:tc>
          <w:tcPr>
            <w:tcW w:w="3885" w:type="dxa"/>
          </w:tcPr>
          <w:p w14:paraId="0970B058" w14:textId="77777777" w:rsidR="006C3A61" w:rsidRPr="00A95B86" w:rsidRDefault="006C3A61" w:rsidP="00D86E5E">
            <w:pPr>
              <w:pStyle w:val="Glossarytabletext"/>
              <w:rPr>
                <w:i/>
                <w:lang w:val="en-US" w:eastAsia="en-US"/>
              </w:rPr>
            </w:pPr>
            <w:r>
              <w:rPr>
                <w:i/>
                <w:lang w:val="en-US" w:eastAsia="en-US"/>
              </w:rPr>
              <w:t xml:space="preserve">Criminal Code Act 1995 </w:t>
            </w:r>
          </w:p>
        </w:tc>
      </w:tr>
      <w:tr w:rsidR="00430E33" w:rsidRPr="002C43E8" w14:paraId="1A59672C" w14:textId="77777777" w:rsidTr="00D86E5E">
        <w:tc>
          <w:tcPr>
            <w:tcW w:w="2721" w:type="dxa"/>
          </w:tcPr>
          <w:p w14:paraId="3734277E" w14:textId="77777777" w:rsidR="00430E33" w:rsidRDefault="00430E33" w:rsidP="00D86E5E">
            <w:pPr>
              <w:pStyle w:val="Glossarytabletext"/>
            </w:pPr>
            <w:r>
              <w:t>Crimes Act</w:t>
            </w:r>
          </w:p>
        </w:tc>
        <w:tc>
          <w:tcPr>
            <w:tcW w:w="3885" w:type="dxa"/>
          </w:tcPr>
          <w:p w14:paraId="66DBD3CE" w14:textId="77777777" w:rsidR="00430E33" w:rsidRPr="00430E33" w:rsidRDefault="00430E33" w:rsidP="00D86E5E">
            <w:pPr>
              <w:pStyle w:val="Glossarytabletext"/>
              <w:rPr>
                <w:i/>
              </w:rPr>
            </w:pPr>
            <w:r w:rsidRPr="00430E33">
              <w:rPr>
                <w:i/>
              </w:rPr>
              <w:t>Crimes Act 1914</w:t>
            </w:r>
          </w:p>
        </w:tc>
      </w:tr>
      <w:tr w:rsidR="006C3A61" w:rsidRPr="002C43E8" w14:paraId="6E119654" w14:textId="77777777" w:rsidTr="00D86E5E">
        <w:tc>
          <w:tcPr>
            <w:tcW w:w="2721" w:type="dxa"/>
          </w:tcPr>
          <w:p w14:paraId="72D7B496" w14:textId="77777777" w:rsidR="006C3A61" w:rsidRDefault="006C3A61" w:rsidP="00D86E5E">
            <w:pPr>
              <w:pStyle w:val="Glossarytabletext"/>
              <w:rPr>
                <w:lang w:val="en-US" w:eastAsia="en-US"/>
              </w:rPr>
            </w:pPr>
            <w:r>
              <w:t>CRPD</w:t>
            </w:r>
          </w:p>
        </w:tc>
        <w:tc>
          <w:tcPr>
            <w:tcW w:w="3885" w:type="dxa"/>
          </w:tcPr>
          <w:p w14:paraId="5837C1C5" w14:textId="77777777" w:rsidR="006C3A61" w:rsidRDefault="006C3A61" w:rsidP="00D86E5E">
            <w:pPr>
              <w:pStyle w:val="Glossarytabletext"/>
              <w:rPr>
                <w:i/>
              </w:rPr>
            </w:pPr>
            <w:r>
              <w:t>Convention on the Rights of Persons with Disabilities</w:t>
            </w:r>
          </w:p>
        </w:tc>
      </w:tr>
      <w:tr w:rsidR="006C3A61" w:rsidRPr="002C43E8" w14:paraId="04924FCB" w14:textId="77777777" w:rsidTr="00D86E5E">
        <w:tc>
          <w:tcPr>
            <w:tcW w:w="2721" w:type="dxa"/>
          </w:tcPr>
          <w:p w14:paraId="33C106B5" w14:textId="77777777" w:rsidR="006C3A61" w:rsidRDefault="006C3A61" w:rsidP="00D86E5E">
            <w:pPr>
              <w:pStyle w:val="Glossarytabletext"/>
              <w:rPr>
                <w:lang w:val="en-US" w:eastAsia="en-US"/>
              </w:rPr>
            </w:pPr>
            <w:r>
              <w:rPr>
                <w:lang w:val="en-US" w:eastAsia="en-US"/>
              </w:rPr>
              <w:t>FISLC Act</w:t>
            </w:r>
          </w:p>
        </w:tc>
        <w:tc>
          <w:tcPr>
            <w:tcW w:w="3885" w:type="dxa"/>
          </w:tcPr>
          <w:p w14:paraId="0F2B20B4" w14:textId="77777777" w:rsidR="006C3A61" w:rsidRPr="0071546A" w:rsidRDefault="006C3A61" w:rsidP="00D86E5E">
            <w:pPr>
              <w:pStyle w:val="Glossarytabletext"/>
              <w:rPr>
                <w:i/>
              </w:rPr>
            </w:pPr>
            <w:r>
              <w:rPr>
                <w:i/>
              </w:rPr>
              <w:t>Financial Institutions Supervisory Levies Collection Act 1998</w:t>
            </w:r>
          </w:p>
        </w:tc>
      </w:tr>
      <w:tr w:rsidR="006C3A61" w:rsidRPr="002C43E8" w14:paraId="7CB063D7" w14:textId="77777777" w:rsidTr="00D86E5E">
        <w:tc>
          <w:tcPr>
            <w:tcW w:w="2721" w:type="dxa"/>
          </w:tcPr>
          <w:p w14:paraId="7C0BCD46" w14:textId="77777777" w:rsidR="006C3A61" w:rsidRDefault="006C3A61" w:rsidP="00D86E5E">
            <w:pPr>
              <w:pStyle w:val="Glossarytabletext"/>
              <w:rPr>
                <w:lang w:val="en-US" w:eastAsia="en-US"/>
              </w:rPr>
            </w:pPr>
            <w:r>
              <w:rPr>
                <w:lang w:val="en-US" w:eastAsia="en-US"/>
              </w:rPr>
              <w:t>FS(CoD) Act</w:t>
            </w:r>
          </w:p>
        </w:tc>
        <w:tc>
          <w:tcPr>
            <w:tcW w:w="3885" w:type="dxa"/>
          </w:tcPr>
          <w:p w14:paraId="6BCEEEE9" w14:textId="77777777" w:rsidR="006C3A61" w:rsidRDefault="006C3A61" w:rsidP="00D86E5E">
            <w:pPr>
              <w:pStyle w:val="Glossarytabletext"/>
              <w:rPr>
                <w:lang w:val="en-US" w:eastAsia="en-US"/>
              </w:rPr>
            </w:pPr>
            <w:r w:rsidRPr="0071546A">
              <w:rPr>
                <w:i/>
              </w:rPr>
              <w:t>Financial Sector (Collection of Data) Act</w:t>
            </w:r>
            <w:r>
              <w:rPr>
                <w:i/>
              </w:rPr>
              <w:t> </w:t>
            </w:r>
            <w:r w:rsidRPr="0071546A">
              <w:rPr>
                <w:i/>
              </w:rPr>
              <w:t>2001</w:t>
            </w:r>
          </w:p>
        </w:tc>
      </w:tr>
      <w:tr w:rsidR="006C3A61" w:rsidRPr="002C43E8" w14:paraId="025979B7" w14:textId="77777777" w:rsidTr="00D86E5E">
        <w:tc>
          <w:tcPr>
            <w:tcW w:w="2721" w:type="dxa"/>
          </w:tcPr>
          <w:p w14:paraId="15F33169" w14:textId="77777777" w:rsidR="006C3A61" w:rsidRDefault="006C3A61" w:rsidP="008A7CC5">
            <w:pPr>
              <w:pStyle w:val="Glossarytabletext"/>
              <w:rPr>
                <w:lang w:val="en-US" w:eastAsia="en-US"/>
              </w:rPr>
            </w:pPr>
            <w:r>
              <w:t>ICCPR</w:t>
            </w:r>
          </w:p>
        </w:tc>
        <w:tc>
          <w:tcPr>
            <w:tcW w:w="3885" w:type="dxa"/>
          </w:tcPr>
          <w:p w14:paraId="2DBB37D4" w14:textId="77777777" w:rsidR="006C3A61" w:rsidRDefault="006C3A61" w:rsidP="00D86E5E">
            <w:pPr>
              <w:pStyle w:val="Glossarytabletext"/>
              <w:rPr>
                <w:lang w:val="en-US" w:eastAsia="en-US"/>
              </w:rPr>
            </w:pPr>
            <w:r>
              <w:t>International Covenant on Civil and Political Rights</w:t>
            </w:r>
          </w:p>
        </w:tc>
      </w:tr>
      <w:tr w:rsidR="006C3A61" w:rsidRPr="002C43E8" w14:paraId="6EBF04E4" w14:textId="77777777" w:rsidTr="00D86E5E">
        <w:tc>
          <w:tcPr>
            <w:tcW w:w="2721" w:type="dxa"/>
          </w:tcPr>
          <w:p w14:paraId="3D9F0FB6" w14:textId="77777777" w:rsidR="006C3A61" w:rsidRDefault="006C3A61" w:rsidP="00D86E5E">
            <w:pPr>
              <w:pStyle w:val="Glossarytabletext"/>
              <w:rPr>
                <w:lang w:val="en-US" w:eastAsia="en-US"/>
              </w:rPr>
            </w:pPr>
            <w:r>
              <w:rPr>
                <w:lang w:val="en-US" w:eastAsia="en-US"/>
              </w:rPr>
              <w:t>Insurer</w:t>
            </w:r>
          </w:p>
        </w:tc>
        <w:tc>
          <w:tcPr>
            <w:tcW w:w="3885" w:type="dxa"/>
          </w:tcPr>
          <w:p w14:paraId="1A2A95BC" w14:textId="77777777" w:rsidR="006C3A61" w:rsidRPr="006C3D7A" w:rsidRDefault="006C3A61" w:rsidP="00D86E5E">
            <w:pPr>
              <w:pStyle w:val="Glossarytabletext"/>
              <w:rPr>
                <w:i/>
                <w:lang w:val="en-US" w:eastAsia="en-US"/>
              </w:rPr>
            </w:pPr>
            <w:r>
              <w:rPr>
                <w:lang w:val="en-US" w:eastAsia="en-US"/>
              </w:rPr>
              <w:t>Registered Private Health Insurer</w:t>
            </w:r>
          </w:p>
        </w:tc>
      </w:tr>
      <w:tr w:rsidR="006C3A61" w:rsidRPr="002C43E8" w14:paraId="591D0A7D" w14:textId="77777777" w:rsidTr="00D86E5E">
        <w:tc>
          <w:tcPr>
            <w:tcW w:w="2721" w:type="dxa"/>
          </w:tcPr>
          <w:p w14:paraId="312B967D" w14:textId="77777777" w:rsidR="006C3A61" w:rsidRDefault="006C3A61" w:rsidP="00D86E5E">
            <w:pPr>
              <w:pStyle w:val="Glossarytabletext"/>
              <w:rPr>
                <w:lang w:val="en-US" w:eastAsia="en-US"/>
              </w:rPr>
            </w:pPr>
            <w:r>
              <w:rPr>
                <w:lang w:val="en-US" w:eastAsia="en-US"/>
              </w:rPr>
              <w:t>ITAA 1997</w:t>
            </w:r>
          </w:p>
        </w:tc>
        <w:tc>
          <w:tcPr>
            <w:tcW w:w="3885" w:type="dxa"/>
          </w:tcPr>
          <w:p w14:paraId="70391665" w14:textId="77777777" w:rsidR="006C3A61" w:rsidRPr="006C3D7A" w:rsidRDefault="006C3A61" w:rsidP="00D86E5E">
            <w:pPr>
              <w:pStyle w:val="Glossarytabletext"/>
              <w:rPr>
                <w:i/>
                <w:lang w:val="en-US" w:eastAsia="en-US"/>
              </w:rPr>
            </w:pPr>
            <w:r>
              <w:rPr>
                <w:i/>
                <w:lang w:val="en-US" w:eastAsia="en-US"/>
              </w:rPr>
              <w:t>Income Tax Assessment Act 1997</w:t>
            </w:r>
          </w:p>
        </w:tc>
      </w:tr>
      <w:tr w:rsidR="006C3A61" w:rsidRPr="002C43E8" w14:paraId="540F1B72" w14:textId="77777777" w:rsidTr="00D86E5E">
        <w:tc>
          <w:tcPr>
            <w:tcW w:w="2721" w:type="dxa"/>
          </w:tcPr>
          <w:p w14:paraId="4A284988" w14:textId="77777777" w:rsidR="006C3A61" w:rsidRDefault="006C3A61" w:rsidP="00D86E5E">
            <w:pPr>
              <w:pStyle w:val="Glossarytabletext"/>
              <w:rPr>
                <w:lang w:val="en-US" w:eastAsia="en-US"/>
              </w:rPr>
            </w:pPr>
            <w:r>
              <w:rPr>
                <w:lang w:val="en-US" w:eastAsia="en-US"/>
              </w:rPr>
              <w:t>Legislative Instruments Act</w:t>
            </w:r>
          </w:p>
        </w:tc>
        <w:tc>
          <w:tcPr>
            <w:tcW w:w="3885" w:type="dxa"/>
          </w:tcPr>
          <w:p w14:paraId="0699C45F" w14:textId="77777777" w:rsidR="006C3A61" w:rsidRPr="006C3D7A" w:rsidRDefault="006C3A61" w:rsidP="00D86E5E">
            <w:pPr>
              <w:pStyle w:val="Glossarytabletext"/>
              <w:rPr>
                <w:i/>
                <w:lang w:val="en-US" w:eastAsia="en-US"/>
              </w:rPr>
            </w:pPr>
            <w:r>
              <w:rPr>
                <w:i/>
                <w:lang w:val="en-US" w:eastAsia="en-US"/>
              </w:rPr>
              <w:t>Legislative Instruments Act 2003</w:t>
            </w:r>
          </w:p>
        </w:tc>
      </w:tr>
      <w:tr w:rsidR="006C3A61" w:rsidRPr="002C43E8" w14:paraId="5C21E06D" w14:textId="77777777" w:rsidTr="00D86E5E">
        <w:tc>
          <w:tcPr>
            <w:tcW w:w="2721" w:type="dxa"/>
          </w:tcPr>
          <w:p w14:paraId="629CC153" w14:textId="77777777" w:rsidR="006C3A61" w:rsidRDefault="006C3A61" w:rsidP="00D86E5E">
            <w:pPr>
              <w:pStyle w:val="Glossarytabletext"/>
              <w:rPr>
                <w:lang w:val="en-US" w:eastAsia="en-US"/>
              </w:rPr>
            </w:pPr>
            <w:r>
              <w:rPr>
                <w:lang w:val="en-US" w:eastAsia="en-US"/>
              </w:rPr>
              <w:t>Life Insurance Act</w:t>
            </w:r>
          </w:p>
        </w:tc>
        <w:tc>
          <w:tcPr>
            <w:tcW w:w="3885" w:type="dxa"/>
          </w:tcPr>
          <w:p w14:paraId="32B16FFC" w14:textId="77777777" w:rsidR="006C3A61" w:rsidRPr="00C04AA9" w:rsidRDefault="006C3A61" w:rsidP="00D86E5E">
            <w:pPr>
              <w:pStyle w:val="Glossarytabletext"/>
              <w:rPr>
                <w:i/>
              </w:rPr>
            </w:pPr>
            <w:r w:rsidRPr="006C3D7A">
              <w:rPr>
                <w:i/>
                <w:lang w:val="en-US" w:eastAsia="en-US"/>
              </w:rPr>
              <w:t>Life Insurance Act 1995</w:t>
            </w:r>
          </w:p>
        </w:tc>
      </w:tr>
      <w:tr w:rsidR="006C3A61" w:rsidRPr="002C43E8" w14:paraId="2DBE8A59" w14:textId="77777777" w:rsidTr="00D86E5E">
        <w:tc>
          <w:tcPr>
            <w:tcW w:w="2721" w:type="dxa"/>
          </w:tcPr>
          <w:p w14:paraId="1AAB9330" w14:textId="77777777" w:rsidR="006C3A61" w:rsidRDefault="006C3A61" w:rsidP="00D86E5E">
            <w:pPr>
              <w:pStyle w:val="Glossarytabletext"/>
              <w:rPr>
                <w:lang w:val="en-US" w:eastAsia="en-US"/>
              </w:rPr>
            </w:pPr>
            <w:r>
              <w:rPr>
                <w:lang w:val="en-US" w:eastAsia="en-US"/>
              </w:rPr>
              <w:t>PHI Act</w:t>
            </w:r>
          </w:p>
        </w:tc>
        <w:tc>
          <w:tcPr>
            <w:tcW w:w="3885" w:type="dxa"/>
          </w:tcPr>
          <w:p w14:paraId="433A46E5" w14:textId="77777777" w:rsidR="006C3A61" w:rsidRPr="006D4186" w:rsidRDefault="006C3A61" w:rsidP="00D86E5E">
            <w:pPr>
              <w:pStyle w:val="Glossarytabletext"/>
              <w:rPr>
                <w:i/>
                <w:lang w:val="en-US" w:eastAsia="en-US"/>
              </w:rPr>
            </w:pPr>
            <w:r w:rsidRPr="006D4186">
              <w:rPr>
                <w:i/>
                <w:lang w:val="en-US" w:eastAsia="en-US"/>
              </w:rPr>
              <w:t>Private Health Insurance Act</w:t>
            </w:r>
            <w:r>
              <w:rPr>
                <w:i/>
                <w:lang w:val="en-US" w:eastAsia="en-US"/>
              </w:rPr>
              <w:t xml:space="preserve"> 2007</w:t>
            </w:r>
          </w:p>
        </w:tc>
      </w:tr>
      <w:tr w:rsidR="006C3A61" w:rsidRPr="002C43E8" w14:paraId="1D9F1105" w14:textId="77777777" w:rsidTr="00D86E5E">
        <w:tc>
          <w:tcPr>
            <w:tcW w:w="2721" w:type="dxa"/>
          </w:tcPr>
          <w:p w14:paraId="01CE32EE" w14:textId="77777777" w:rsidR="006C3A61" w:rsidRDefault="006C3A61" w:rsidP="00056CA0">
            <w:pPr>
              <w:pStyle w:val="Glossarytabletext"/>
              <w:keepNext/>
              <w:keepLines/>
            </w:pPr>
            <w:r>
              <w:rPr>
                <w:lang w:val="en-US" w:eastAsia="en-US"/>
              </w:rPr>
              <w:t>Prudential Supervision Bill</w:t>
            </w:r>
          </w:p>
        </w:tc>
        <w:tc>
          <w:tcPr>
            <w:tcW w:w="3885" w:type="dxa"/>
          </w:tcPr>
          <w:p w14:paraId="5E848995" w14:textId="77777777" w:rsidR="006C3A61" w:rsidRPr="00056CA0" w:rsidRDefault="006C3A61" w:rsidP="00056CA0">
            <w:pPr>
              <w:pStyle w:val="Glossarytabletext"/>
              <w:keepNext/>
              <w:keepLines/>
            </w:pPr>
            <w:r w:rsidRPr="00056CA0">
              <w:rPr>
                <w:lang w:val="en-US" w:eastAsia="en-US"/>
              </w:rPr>
              <w:t xml:space="preserve">Private Health Insurance (Prudential Supervision) </w:t>
            </w:r>
            <w:r w:rsidRPr="00056CA0" w:rsidDel="00E9202F">
              <w:rPr>
                <w:lang w:val="en-US" w:eastAsia="en-US"/>
              </w:rPr>
              <w:t xml:space="preserve">Act </w:t>
            </w:r>
            <w:r w:rsidRPr="00056CA0">
              <w:rPr>
                <w:lang w:val="en-US" w:eastAsia="en-US"/>
              </w:rPr>
              <w:t>Bill 2015</w:t>
            </w:r>
          </w:p>
        </w:tc>
      </w:tr>
      <w:tr w:rsidR="006C3A61" w:rsidRPr="002C43E8" w14:paraId="637C5843" w14:textId="77777777" w:rsidTr="00D86E5E">
        <w:tc>
          <w:tcPr>
            <w:tcW w:w="2721" w:type="dxa"/>
          </w:tcPr>
          <w:p w14:paraId="7A5CA8E8" w14:textId="77777777" w:rsidR="006C3A61" w:rsidRDefault="006C3A61" w:rsidP="00D86E5E">
            <w:pPr>
              <w:pStyle w:val="Glossarytabletext"/>
              <w:rPr>
                <w:lang w:val="en-US" w:eastAsia="en-US"/>
              </w:rPr>
            </w:pPr>
            <w:r>
              <w:t>Regulatory Powers Act</w:t>
            </w:r>
          </w:p>
        </w:tc>
        <w:tc>
          <w:tcPr>
            <w:tcW w:w="3885" w:type="dxa"/>
          </w:tcPr>
          <w:p w14:paraId="4FC8C00B" w14:textId="77777777" w:rsidR="006C3A61" w:rsidRPr="00073868" w:rsidRDefault="006C3A61" w:rsidP="00D86E5E">
            <w:pPr>
              <w:pStyle w:val="Glossarytabletext"/>
              <w:rPr>
                <w:i/>
                <w:lang w:val="en-US" w:eastAsia="en-US"/>
              </w:rPr>
            </w:pPr>
            <w:r w:rsidRPr="006C3D7A">
              <w:rPr>
                <w:i/>
              </w:rPr>
              <w:t xml:space="preserve">Regulatory Powers </w:t>
            </w:r>
            <w:r>
              <w:rPr>
                <w:i/>
              </w:rPr>
              <w:t xml:space="preserve">(Standard Provisions) </w:t>
            </w:r>
            <w:r w:rsidRPr="006C3D7A">
              <w:rPr>
                <w:i/>
              </w:rPr>
              <w:t>Act</w:t>
            </w:r>
            <w:r>
              <w:rPr>
                <w:i/>
              </w:rPr>
              <w:t xml:space="preserve"> 2014</w:t>
            </w:r>
          </w:p>
        </w:tc>
      </w:tr>
      <w:tr w:rsidR="006C3A61" w:rsidRPr="002C43E8" w14:paraId="3209CCE2" w14:textId="77777777" w:rsidTr="00D86E5E">
        <w:tc>
          <w:tcPr>
            <w:tcW w:w="2721" w:type="dxa"/>
          </w:tcPr>
          <w:p w14:paraId="3452DC41" w14:textId="77777777" w:rsidR="006C3A61" w:rsidRDefault="006C3A61" w:rsidP="000F6584">
            <w:pPr>
              <w:pStyle w:val="Glossarytabletext"/>
              <w:keepNext/>
              <w:keepLines/>
            </w:pPr>
            <w:r w:rsidRPr="004B26EC">
              <w:t>Risk Equalisation Levy Act</w:t>
            </w:r>
          </w:p>
        </w:tc>
        <w:tc>
          <w:tcPr>
            <w:tcW w:w="3885" w:type="dxa"/>
          </w:tcPr>
          <w:p w14:paraId="69D88240" w14:textId="77777777" w:rsidR="006C3A61" w:rsidRPr="000F6584" w:rsidRDefault="006C3A61" w:rsidP="0069201B">
            <w:pPr>
              <w:pStyle w:val="Glossarytabletext"/>
              <w:keepNext/>
              <w:keepLines/>
            </w:pPr>
            <w:r w:rsidRPr="00A76AA9">
              <w:rPr>
                <w:i/>
              </w:rPr>
              <w:t>Private Health Insurance (Risk Equalisation Levy) Act 2003</w:t>
            </w:r>
          </w:p>
        </w:tc>
      </w:tr>
      <w:tr w:rsidR="006C3A61" w:rsidRPr="002C43E8" w14:paraId="456DD67F" w14:textId="77777777" w:rsidTr="00D86E5E">
        <w:tc>
          <w:tcPr>
            <w:tcW w:w="2721" w:type="dxa"/>
          </w:tcPr>
          <w:p w14:paraId="3D05C8B4" w14:textId="77777777" w:rsidR="006C3A61" w:rsidRDefault="006C3A61" w:rsidP="00056CA0">
            <w:pPr>
              <w:pStyle w:val="Glossarytabletext"/>
              <w:keepNext/>
              <w:keepLines/>
            </w:pPr>
            <w:r>
              <w:t>Risk Equalisation Levy</w:t>
            </w:r>
            <w:r w:rsidRPr="004C2C59">
              <w:t xml:space="preserve"> Amendment Bill</w:t>
            </w:r>
          </w:p>
        </w:tc>
        <w:tc>
          <w:tcPr>
            <w:tcW w:w="3885" w:type="dxa"/>
          </w:tcPr>
          <w:p w14:paraId="21F169A0" w14:textId="77777777" w:rsidR="006C3A61" w:rsidRPr="00056CA0" w:rsidRDefault="006C3A61" w:rsidP="00056CA0">
            <w:pPr>
              <w:pStyle w:val="Glossarytabletext"/>
              <w:keepNext/>
              <w:keepLines/>
            </w:pPr>
            <w:r w:rsidRPr="00056CA0">
              <w:t>Private Health Insurance (Risk Equalisation Levy) Amendment Bill 2015</w:t>
            </w:r>
          </w:p>
        </w:tc>
      </w:tr>
      <w:tr w:rsidR="006C3A61" w:rsidRPr="002C43E8" w14:paraId="7648F326" w14:textId="77777777" w:rsidTr="00D86E5E">
        <w:tc>
          <w:tcPr>
            <w:tcW w:w="2721" w:type="dxa"/>
          </w:tcPr>
          <w:p w14:paraId="21CAA8E5" w14:textId="77777777" w:rsidR="006C3A61" w:rsidRDefault="006C3A61" w:rsidP="00EB37E9">
            <w:pPr>
              <w:pStyle w:val="Glossarytabletext"/>
              <w:keepNext/>
              <w:keepLines/>
            </w:pPr>
            <w:r>
              <w:t>SIS Act</w:t>
            </w:r>
          </w:p>
        </w:tc>
        <w:tc>
          <w:tcPr>
            <w:tcW w:w="3885" w:type="dxa"/>
          </w:tcPr>
          <w:p w14:paraId="76BE1C19" w14:textId="77777777" w:rsidR="006C3A61" w:rsidRPr="00073868" w:rsidRDefault="006C3A61" w:rsidP="00EB37E9">
            <w:pPr>
              <w:pStyle w:val="Glossarytabletext"/>
              <w:keepNext/>
              <w:keepLines/>
              <w:rPr>
                <w:i/>
              </w:rPr>
            </w:pPr>
            <w:r w:rsidRPr="00D83FDE">
              <w:rPr>
                <w:i/>
              </w:rPr>
              <w:t>Superannua</w:t>
            </w:r>
            <w:r>
              <w:rPr>
                <w:i/>
              </w:rPr>
              <w:t>tion Industry (Supervision) Act </w:t>
            </w:r>
            <w:r w:rsidRPr="00D83FDE">
              <w:rPr>
                <w:i/>
              </w:rPr>
              <w:t>1993</w:t>
            </w:r>
          </w:p>
        </w:tc>
      </w:tr>
      <w:tr w:rsidR="006C3A61" w:rsidRPr="002C43E8" w14:paraId="50E5A130" w14:textId="77777777" w:rsidTr="00D86E5E">
        <w:tc>
          <w:tcPr>
            <w:tcW w:w="2721" w:type="dxa"/>
          </w:tcPr>
          <w:p w14:paraId="67A4F39C" w14:textId="77777777" w:rsidR="006C3A61" w:rsidRDefault="006C3A61" w:rsidP="00EB37E9">
            <w:pPr>
              <w:pStyle w:val="Glossarytabletext"/>
              <w:keepNext/>
              <w:keepLines/>
            </w:pPr>
            <w:r>
              <w:t>SISs</w:t>
            </w:r>
          </w:p>
        </w:tc>
        <w:tc>
          <w:tcPr>
            <w:tcW w:w="3885" w:type="dxa"/>
          </w:tcPr>
          <w:p w14:paraId="3E229CC9" w14:textId="77777777" w:rsidR="006C3A61" w:rsidRPr="00D83FDE" w:rsidRDefault="006C3A61" w:rsidP="00EB37E9">
            <w:pPr>
              <w:pStyle w:val="Glossarytabletext"/>
              <w:keepNext/>
              <w:keepLines/>
              <w:rPr>
                <w:i/>
              </w:rPr>
            </w:pPr>
            <w:r>
              <w:t>Standard Information Statements</w:t>
            </w:r>
          </w:p>
        </w:tc>
      </w:tr>
      <w:tr w:rsidR="006C3A61" w:rsidRPr="002C43E8" w14:paraId="632DF9F6" w14:textId="77777777" w:rsidTr="00D86E5E">
        <w:tc>
          <w:tcPr>
            <w:tcW w:w="2721" w:type="dxa"/>
          </w:tcPr>
          <w:p w14:paraId="146583EF" w14:textId="77777777" w:rsidR="006C3A61" w:rsidRPr="002C43E8" w:rsidRDefault="006C3A61" w:rsidP="00D86E5E">
            <w:pPr>
              <w:pStyle w:val="Glossarytabletext"/>
              <w:rPr>
                <w:lang w:val="en-US" w:eastAsia="en-US"/>
              </w:rPr>
            </w:pPr>
            <w:r>
              <w:rPr>
                <w:lang w:val="en-US" w:eastAsia="en-US"/>
              </w:rPr>
              <w:t>SRC Act</w:t>
            </w:r>
          </w:p>
        </w:tc>
        <w:tc>
          <w:tcPr>
            <w:tcW w:w="3885" w:type="dxa"/>
          </w:tcPr>
          <w:p w14:paraId="158324F8" w14:textId="77777777" w:rsidR="006C3A61" w:rsidRPr="00C44882" w:rsidRDefault="006C3A61" w:rsidP="00C44882">
            <w:pPr>
              <w:pStyle w:val="Glossarytabletext"/>
              <w:rPr>
                <w:i/>
                <w:lang w:val="en-US" w:eastAsia="en-US"/>
              </w:rPr>
            </w:pPr>
            <w:r w:rsidRPr="00F43CB2">
              <w:rPr>
                <w:i/>
              </w:rPr>
              <w:t>Safety, Reha</w:t>
            </w:r>
            <w:r>
              <w:rPr>
                <w:i/>
              </w:rPr>
              <w:t>bilitation and Compensation Act </w:t>
            </w:r>
            <w:r w:rsidRPr="00F43CB2">
              <w:rPr>
                <w:i/>
              </w:rPr>
              <w:t>19</w:t>
            </w:r>
            <w:r w:rsidRPr="00D54048">
              <w:rPr>
                <w:i/>
              </w:rPr>
              <w:t xml:space="preserve">98 </w:t>
            </w:r>
          </w:p>
        </w:tc>
      </w:tr>
      <w:tr w:rsidR="006C3A61" w:rsidRPr="002C43E8" w14:paraId="0F861A3D" w14:textId="77777777" w:rsidTr="00D86E5E">
        <w:tc>
          <w:tcPr>
            <w:tcW w:w="2721" w:type="dxa"/>
          </w:tcPr>
          <w:p w14:paraId="75DB3139" w14:textId="77777777" w:rsidR="006C3A61" w:rsidRDefault="006C3A61" w:rsidP="00056CA0">
            <w:pPr>
              <w:pStyle w:val="Glossarytabletext"/>
              <w:tabs>
                <w:tab w:val="center" w:pos="1252"/>
              </w:tabs>
              <w:rPr>
                <w:lang w:val="en-US" w:eastAsia="en-US"/>
              </w:rPr>
            </w:pPr>
            <w:r w:rsidRPr="00A16811">
              <w:t>Supervisory Levy Imposition Bill</w:t>
            </w:r>
          </w:p>
        </w:tc>
        <w:tc>
          <w:tcPr>
            <w:tcW w:w="3885" w:type="dxa"/>
          </w:tcPr>
          <w:p w14:paraId="74FC5642" w14:textId="77777777" w:rsidR="006C3A61" w:rsidRPr="00AA75ED" w:rsidRDefault="006C3A61" w:rsidP="00C44882">
            <w:pPr>
              <w:pStyle w:val="Glossarytabletext"/>
            </w:pPr>
            <w:r w:rsidRPr="00056CA0">
              <w:t>Private Health Insurance Supervisory Levy Imposition Bill 2015</w:t>
            </w:r>
          </w:p>
        </w:tc>
      </w:tr>
      <w:tr w:rsidR="006C3A61" w:rsidRPr="002C43E8" w14:paraId="53170AE5" w14:textId="77777777" w:rsidTr="00D86E5E">
        <w:tc>
          <w:tcPr>
            <w:tcW w:w="2721" w:type="dxa"/>
          </w:tcPr>
          <w:p w14:paraId="26A95E2B" w14:textId="77777777" w:rsidR="006C3A61" w:rsidRDefault="006C3A61" w:rsidP="008A7CC5">
            <w:pPr>
              <w:pStyle w:val="Glossarytabletext"/>
              <w:rPr>
                <w:lang w:val="en-US" w:eastAsia="en-US"/>
              </w:rPr>
            </w:pPr>
            <w:r>
              <w:t>the Committee</w:t>
            </w:r>
          </w:p>
        </w:tc>
        <w:tc>
          <w:tcPr>
            <w:tcW w:w="3885" w:type="dxa"/>
          </w:tcPr>
          <w:p w14:paraId="4A8E6073" w14:textId="77777777" w:rsidR="006C3A61" w:rsidRPr="00D86E5E" w:rsidRDefault="006C3A61" w:rsidP="008A7CC5">
            <w:pPr>
              <w:pStyle w:val="Glossarytabletext"/>
              <w:rPr>
                <w:lang w:val="en-US" w:eastAsia="en-US"/>
              </w:rPr>
            </w:pPr>
            <w:r w:rsidRPr="00E9202F">
              <w:t>The United Nations Committee on Economic, Social and Cultural Rights</w:t>
            </w:r>
          </w:p>
        </w:tc>
      </w:tr>
      <w:tr w:rsidR="006C3A61" w:rsidRPr="002C43E8" w14:paraId="67667145" w14:textId="77777777" w:rsidTr="00D86E5E">
        <w:tc>
          <w:tcPr>
            <w:tcW w:w="2721" w:type="dxa"/>
          </w:tcPr>
          <w:p w14:paraId="3609DB58" w14:textId="77777777" w:rsidR="006C3A61" w:rsidRDefault="006C3A61" w:rsidP="00D86E5E">
            <w:pPr>
              <w:pStyle w:val="Glossarytabletext"/>
              <w:rPr>
                <w:lang w:val="en-US" w:eastAsia="en-US"/>
              </w:rPr>
            </w:pPr>
            <w:r>
              <w:rPr>
                <w:lang w:val="en-US" w:eastAsia="en-US"/>
              </w:rPr>
              <w:t>the Council</w:t>
            </w:r>
          </w:p>
        </w:tc>
        <w:tc>
          <w:tcPr>
            <w:tcW w:w="3885" w:type="dxa"/>
          </w:tcPr>
          <w:p w14:paraId="333084E1" w14:textId="77777777" w:rsidR="006C3A61" w:rsidRPr="005A53DA" w:rsidRDefault="006C3A61" w:rsidP="00C44882">
            <w:pPr>
              <w:pStyle w:val="Glossarytabletext"/>
              <w:rPr>
                <w:i/>
              </w:rPr>
            </w:pPr>
            <w:r w:rsidRPr="00D86E5E">
              <w:rPr>
                <w:lang w:val="en-US" w:eastAsia="en-US"/>
              </w:rPr>
              <w:t>Private Health Insurance Administration Council</w:t>
            </w:r>
          </w:p>
        </w:tc>
      </w:tr>
    </w:tbl>
    <w:p w14:paraId="30F144F3" w14:textId="77777777" w:rsidR="008A7CC5" w:rsidRDefault="008A7CC5" w:rsidP="008A7CC5">
      <w:pPr>
        <w:sectPr w:rsidR="008A7CC5" w:rsidSect="00D86E5E">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cols w:space="708"/>
          <w:titlePg/>
          <w:docGrid w:linePitch="360"/>
        </w:sectPr>
      </w:pPr>
    </w:p>
    <w:p w14:paraId="32EEE769" w14:textId="77777777" w:rsidR="00215291" w:rsidRPr="00D67ADC" w:rsidRDefault="00215291" w:rsidP="00C95BB8">
      <w:pPr>
        <w:pStyle w:val="Chapterheadingsubdocument"/>
      </w:pPr>
      <w:bookmarkStart w:id="10" w:name="_Toc418177759"/>
      <w:bookmarkStart w:id="11" w:name="_Toc418249756"/>
      <w:r w:rsidRPr="00D67ADC">
        <w:t>General outline and financial impact</w:t>
      </w:r>
      <w:bookmarkEnd w:id="10"/>
      <w:bookmarkEnd w:id="11"/>
    </w:p>
    <w:p w14:paraId="1230656A" w14:textId="77777777" w:rsidR="00215291" w:rsidRDefault="002105AA" w:rsidP="00C95BB8">
      <w:pPr>
        <w:pStyle w:val="Heading2"/>
      </w:pPr>
      <w:r>
        <w:t>General outline and financial impact</w:t>
      </w:r>
    </w:p>
    <w:p w14:paraId="65AF44CF" w14:textId="77777777" w:rsidR="00B230CA" w:rsidRDefault="00B230CA" w:rsidP="00B230CA">
      <w:pPr>
        <w:pStyle w:val="base-text-paragraphnonumbers"/>
      </w:pPr>
      <w:r>
        <w:t xml:space="preserve">The Private Health Insurance (Prudential Supervision) Bill 2015 </w:t>
      </w:r>
      <w:r w:rsidR="005D6095">
        <w:t>(</w:t>
      </w:r>
      <w:r w:rsidR="00E9202F">
        <w:t>Prudential Supervision Bill</w:t>
      </w:r>
      <w:r w:rsidR="005D6095">
        <w:t xml:space="preserve">) </w:t>
      </w:r>
      <w:r>
        <w:t>creates a regime for the prudential regulation of private health insurers by the Australian Prudential Regulation Authority (APRA).</w:t>
      </w:r>
    </w:p>
    <w:p w14:paraId="0FEFA6F9" w14:textId="77777777" w:rsidR="00B230CA" w:rsidRDefault="00B230CA" w:rsidP="00B230CA">
      <w:pPr>
        <w:pStyle w:val="base-text-paragraphnonumbers"/>
      </w:pPr>
      <w:r>
        <w:t xml:space="preserve">The Private Health Insurance (Prudential Supervision) (Consequential Amendments and Transitional Provisions) Bill 2015 </w:t>
      </w:r>
      <w:r w:rsidR="00F433D5">
        <w:t xml:space="preserve">(Consequential Amendments and Transitional Provisions Bill) </w:t>
      </w:r>
      <w:r>
        <w:t xml:space="preserve">makes consequential amendments to relevant legislation including the repeal of the provisions relating to the formation of the Private Health Insurance Administration Council (the Council) in the </w:t>
      </w:r>
      <w:r w:rsidRPr="00F3720D">
        <w:rPr>
          <w:i/>
        </w:rPr>
        <w:t>Private Health Insurance Act 2007</w:t>
      </w:r>
      <w:r w:rsidR="006E2BF3">
        <w:t xml:space="preserve"> (PHI </w:t>
      </w:r>
      <w:r w:rsidR="00F3720D">
        <w:t>Act)</w:t>
      </w:r>
      <w:r>
        <w:t xml:space="preserve">. It also provides for necessary transitional arrangements to facilitate the transfer of the </w:t>
      </w:r>
      <w:r w:rsidR="00276616">
        <w:t xml:space="preserve">Private Health Insurance Administration </w:t>
      </w:r>
      <w:r>
        <w:t xml:space="preserve">Council’s </w:t>
      </w:r>
      <w:r w:rsidR="00276616">
        <w:t xml:space="preserve">(the Council) </w:t>
      </w:r>
      <w:r>
        <w:t>prudential functions to APRA from 1</w:t>
      </w:r>
      <w:r w:rsidR="00CB15B1">
        <w:t> </w:t>
      </w:r>
      <w:r>
        <w:t>July</w:t>
      </w:r>
      <w:r w:rsidR="00CB15B1">
        <w:t> </w:t>
      </w:r>
      <w:r>
        <w:t>2015.</w:t>
      </w:r>
    </w:p>
    <w:p w14:paraId="77E555E7" w14:textId="77777777" w:rsidR="00215291" w:rsidRDefault="00001B9D" w:rsidP="00B230CA">
      <w:pPr>
        <w:pStyle w:val="base-text-paragraphnonumbers"/>
      </w:pPr>
      <w:r w:rsidRPr="009258D8">
        <w:t>The</w:t>
      </w:r>
      <w:r>
        <w:t xml:space="preserve"> Private Health Insurance Supervisory Levy Imposition Bill 2015 (Supervisory Levy Imposition Bill), the Private Health Insurance (Risk Equalisation Levy) Amendment Bill 2015 (Risk Equalisation Levy Bill) and the Private Health Insurance (Collapsed Insurer Levy) Amendment Bill</w:t>
      </w:r>
      <w:r w:rsidRPr="009258D8">
        <w:t xml:space="preserve"> </w:t>
      </w:r>
      <w:r>
        <w:t xml:space="preserve">2015 </w:t>
      </w:r>
      <w:r w:rsidR="00D913B1">
        <w:t>(Collapsed Insurer Levy</w:t>
      </w:r>
      <w:r w:rsidR="00D913B1" w:rsidRPr="0057003C">
        <w:t xml:space="preserve"> Amendment Bill</w:t>
      </w:r>
      <w:r w:rsidR="00D913B1">
        <w:t>)</w:t>
      </w:r>
      <w:r w:rsidR="00D913B1" w:rsidRPr="009258D8">
        <w:t xml:space="preserve"> </w:t>
      </w:r>
      <w:r w:rsidRPr="009258D8">
        <w:t xml:space="preserve">provide for the continued imposition of </w:t>
      </w:r>
      <w:r w:rsidR="00B230CA">
        <w:t>levies upon the private health insurance industry to fund APRA’s su</w:t>
      </w:r>
      <w:r w:rsidR="00DA3F49">
        <w:t>pervision of the industry, the R</w:t>
      </w:r>
      <w:r w:rsidR="00B230CA">
        <w:t xml:space="preserve">isk </w:t>
      </w:r>
      <w:r w:rsidR="00DA3F49">
        <w:t>E</w:t>
      </w:r>
      <w:r w:rsidR="00B230CA">
        <w:t xml:space="preserve">qualisation </w:t>
      </w:r>
      <w:r w:rsidR="00DA3F49">
        <w:t>T</w:t>
      </w:r>
      <w:r w:rsidR="00B230CA">
        <w:t>rust fund and a levy to fund should there be a collapsed insurer.</w:t>
      </w:r>
    </w:p>
    <w:p w14:paraId="341D68A5" w14:textId="77777777" w:rsidR="00215291" w:rsidRDefault="00215291" w:rsidP="00C95BB8">
      <w:pPr>
        <w:pStyle w:val="base-text-paragraphnonumbers"/>
      </w:pPr>
      <w:r w:rsidRPr="0088195E">
        <w:rPr>
          <w:rStyle w:val="BoldItalic"/>
        </w:rPr>
        <w:t>Date of effect</w:t>
      </w:r>
      <w:r w:rsidRPr="00266048">
        <w:rPr>
          <w:rStyle w:val="base-text-paragraphChar"/>
        </w:rPr>
        <w:t xml:space="preserve">:  </w:t>
      </w:r>
      <w:r w:rsidR="005D6095">
        <w:rPr>
          <w:rStyle w:val="base-text-paragraphChar"/>
        </w:rPr>
        <w:t xml:space="preserve">The </w:t>
      </w:r>
      <w:r w:rsidR="00E9202F">
        <w:rPr>
          <w:rStyle w:val="base-text-paragraphChar"/>
        </w:rPr>
        <w:t>Prudential Supervision Bill</w:t>
      </w:r>
      <w:r w:rsidR="005D6095">
        <w:rPr>
          <w:rStyle w:val="base-text-paragraphChar"/>
        </w:rPr>
        <w:t xml:space="preserve"> comes into effect on </w:t>
      </w:r>
      <w:r w:rsidR="00464CEE" w:rsidRPr="00F23E51">
        <w:t>1</w:t>
      </w:r>
      <w:r w:rsidR="001C6564" w:rsidRPr="00F23E51">
        <w:t> </w:t>
      </w:r>
      <w:r w:rsidR="00464CEE" w:rsidRPr="00F23E51">
        <w:t>July 2015</w:t>
      </w:r>
      <w:r w:rsidR="00FA0A3B" w:rsidRPr="00F23E51">
        <w:t xml:space="preserve"> or, if the Bill does not rec</w:t>
      </w:r>
      <w:r w:rsidR="006E2BF3">
        <w:t>eive Royal Assent before 1 July </w:t>
      </w:r>
      <w:r w:rsidR="00FA0A3B" w:rsidRPr="00F23E51">
        <w:t>2015, on a date fixed by proclamation</w:t>
      </w:r>
      <w:r w:rsidR="005D6095">
        <w:t>. The</w:t>
      </w:r>
      <w:r w:rsidR="001C6564">
        <w:t xml:space="preserve"> Consequential Amendments and Transiti</w:t>
      </w:r>
      <w:r w:rsidR="004B023F">
        <w:t>onal Provisions Bill has multiple</w:t>
      </w:r>
      <w:r w:rsidR="001C6564">
        <w:t xml:space="preserve"> commencement dates, some provisions commence on Royal Assent</w:t>
      </w:r>
      <w:r w:rsidR="00B050F5">
        <w:t xml:space="preserve"> or the day after</w:t>
      </w:r>
      <w:r w:rsidR="001C6564">
        <w:t>, others com</w:t>
      </w:r>
      <w:r w:rsidR="003712E8">
        <w:t xml:space="preserve">mence at the same time or immediately after the commencement of the </w:t>
      </w:r>
      <w:r w:rsidR="00E9202F">
        <w:t>Prudential Supervision Bill</w:t>
      </w:r>
      <w:r w:rsidR="003712E8">
        <w:t xml:space="preserve">. </w:t>
      </w:r>
    </w:p>
    <w:p w14:paraId="674440CE" w14:textId="77777777" w:rsidR="00215291" w:rsidRDefault="00215291" w:rsidP="00C95BB8">
      <w:pPr>
        <w:pStyle w:val="base-text-paragraphnonumbers"/>
      </w:pPr>
      <w:r w:rsidRPr="0088195E">
        <w:rPr>
          <w:rStyle w:val="BoldItalic"/>
        </w:rPr>
        <w:t>Proposal announced</w:t>
      </w:r>
      <w:r w:rsidRPr="00266048">
        <w:rPr>
          <w:rStyle w:val="base-text-paragraphChar"/>
        </w:rPr>
        <w:t xml:space="preserve">: </w:t>
      </w:r>
      <w:r w:rsidR="005D6095">
        <w:rPr>
          <w:rStyle w:val="base-text-paragraphChar"/>
        </w:rPr>
        <w:t>The proposal was announced as part of the</w:t>
      </w:r>
      <w:r w:rsidRPr="00266048">
        <w:rPr>
          <w:rStyle w:val="base-text-paragraphChar"/>
        </w:rPr>
        <w:t xml:space="preserve"> </w:t>
      </w:r>
      <w:r w:rsidR="00F433D5">
        <w:rPr>
          <w:rStyle w:val="base-text-paragraphChar"/>
        </w:rPr>
        <w:t>2014</w:t>
      </w:r>
      <w:r w:rsidR="00F433D5">
        <w:rPr>
          <w:rStyle w:val="base-text-paragraphChar"/>
        </w:rPr>
        <w:noBreakHyphen/>
      </w:r>
      <w:r w:rsidR="00F433D5" w:rsidRPr="00F433D5">
        <w:rPr>
          <w:rStyle w:val="base-text-paragraphChar"/>
        </w:rPr>
        <w:t>15</w:t>
      </w:r>
      <w:r w:rsidR="00F433D5">
        <w:rPr>
          <w:rStyle w:val="base-text-paragraphChar"/>
        </w:rPr>
        <w:t> </w:t>
      </w:r>
      <w:r w:rsidR="005D6095">
        <w:t>Budget.</w:t>
      </w:r>
    </w:p>
    <w:p w14:paraId="407707E3" w14:textId="53BB364C" w:rsidR="00215291" w:rsidRDefault="00215291" w:rsidP="00C95BB8">
      <w:pPr>
        <w:pStyle w:val="base-text-paragraphnonumbers"/>
      </w:pPr>
      <w:r w:rsidRPr="0088195E">
        <w:rPr>
          <w:rStyle w:val="BoldItalic"/>
        </w:rPr>
        <w:t>Financial impact</w:t>
      </w:r>
      <w:r w:rsidR="00CD2D14">
        <w:rPr>
          <w:rStyle w:val="base-text-paragraphChar"/>
        </w:rPr>
        <w:t xml:space="preserve">: </w:t>
      </w:r>
      <w:r w:rsidR="005D6095">
        <w:t>Nil</w:t>
      </w:r>
    </w:p>
    <w:p w14:paraId="31765C44" w14:textId="6B2F9B9F" w:rsidR="00215291" w:rsidRDefault="00215291" w:rsidP="00D44BA5">
      <w:pPr>
        <w:pStyle w:val="base-text-paragraphnonumbers"/>
        <w:keepNext/>
        <w:keepLines/>
      </w:pPr>
      <w:r>
        <w:rPr>
          <w:rStyle w:val="BoldItalic"/>
        </w:rPr>
        <w:t>Human rights implications</w:t>
      </w:r>
      <w:r w:rsidRPr="00D93657">
        <w:t>:</w:t>
      </w:r>
      <w:r>
        <w:t xml:space="preserve">  </w:t>
      </w:r>
      <w:r w:rsidR="00464CEE">
        <w:t>These</w:t>
      </w:r>
      <w:r w:rsidRPr="00D93657">
        <w:t xml:space="preserve"> </w:t>
      </w:r>
      <w:r w:rsidR="00264FD3" w:rsidRPr="00264FD3">
        <w:t>Bill</w:t>
      </w:r>
      <w:r w:rsidR="00264FD3">
        <w:t>s</w:t>
      </w:r>
      <w:r w:rsidR="00264FD3" w:rsidRPr="00264FD3">
        <w:t xml:space="preserve"> </w:t>
      </w:r>
      <w:r w:rsidR="00264FD3">
        <w:t>are</w:t>
      </w:r>
      <w:r w:rsidR="00264FD3" w:rsidRPr="00264FD3">
        <w:t xml:space="preserve"> compatible with </w:t>
      </w:r>
      <w:r w:rsidRPr="00D93657">
        <w:t>human rights</w:t>
      </w:r>
      <w:r w:rsidR="00264FD3">
        <w:t>. To the extent that they</w:t>
      </w:r>
      <w:r w:rsidR="00264FD3" w:rsidRPr="00264FD3">
        <w:t xml:space="preserve"> may limit human rights, those limitations are reasonable, necessary and proportionate.</w:t>
      </w:r>
      <w:r w:rsidRPr="00D93657">
        <w:t xml:space="preserve"> See </w:t>
      </w:r>
      <w:r w:rsidRPr="00480C91">
        <w:rPr>
          <w:i/>
        </w:rPr>
        <w:t>Statement of Compatibility with Human Rights</w:t>
      </w:r>
      <w:r>
        <w:t xml:space="preserve"> — Chapter </w:t>
      </w:r>
      <w:r w:rsidR="00264FD3">
        <w:t>1</w:t>
      </w:r>
      <w:r w:rsidR="003A3835">
        <w:t>5</w:t>
      </w:r>
      <w:r w:rsidR="00264FD3">
        <w:t>.</w:t>
      </w:r>
    </w:p>
    <w:p w14:paraId="24BE7D83" w14:textId="4C3FCC27" w:rsidR="00215291" w:rsidRDefault="00215291" w:rsidP="00C95BB8">
      <w:pPr>
        <w:pStyle w:val="base-text-paragraphnonumbers"/>
      </w:pPr>
      <w:r w:rsidRPr="0088195E">
        <w:rPr>
          <w:rStyle w:val="BoldItalic"/>
        </w:rPr>
        <w:t>Compliance cost impact</w:t>
      </w:r>
      <w:r w:rsidR="00CD2D14">
        <w:rPr>
          <w:rStyle w:val="base-text-paragraphChar"/>
        </w:rPr>
        <w:t xml:space="preserve">: </w:t>
      </w:r>
      <w:r w:rsidR="00B230CA">
        <w:t xml:space="preserve">Nil, no compliance cost assessment. </w:t>
      </w:r>
    </w:p>
    <w:p w14:paraId="3AE1D824" w14:textId="77777777" w:rsidR="00215291" w:rsidRDefault="00215291" w:rsidP="00C95BB8">
      <w:pPr>
        <w:pStyle w:val="Heading2"/>
      </w:pPr>
      <w:r>
        <w:t>Summary of regulation impact statement</w:t>
      </w:r>
    </w:p>
    <w:p w14:paraId="052DB6D9" w14:textId="77777777" w:rsidR="00F3720D" w:rsidRDefault="00F3720D" w:rsidP="00264FD3">
      <w:pPr>
        <w:pStyle w:val="base-text-paragraphnonumbers"/>
      </w:pPr>
      <w:r>
        <w:t xml:space="preserve">As the policy involves a machinery of government change, the Office of Best Practice Regulation considered that a Regulation Impact Statement was not required. </w:t>
      </w:r>
    </w:p>
    <w:p w14:paraId="402EA20C" w14:textId="77777777" w:rsidR="008A7CC5" w:rsidRDefault="00F3720D" w:rsidP="00264FD3">
      <w:pPr>
        <w:pStyle w:val="base-text-paragraphnonumbers"/>
        <w:sectPr w:rsidR="008A7CC5" w:rsidSect="00D86E5E">
          <w:headerReference w:type="even" r:id="rId28"/>
          <w:headerReference w:type="default" r:id="rId29"/>
          <w:footerReference w:type="even" r:id="rId30"/>
          <w:footerReference w:type="default" r:id="rId31"/>
          <w:footerReference w:type="first" r:id="rId32"/>
          <w:type w:val="oddPage"/>
          <w:pgSz w:w="11906" w:h="16838" w:code="9"/>
          <w:pgMar w:top="2466" w:right="2098" w:bottom="2466" w:left="2098" w:header="1559" w:footer="1899" w:gutter="0"/>
          <w:cols w:space="708"/>
          <w:titlePg/>
          <w:docGrid w:linePitch="360"/>
        </w:sectPr>
      </w:pPr>
      <w:r>
        <w:t xml:space="preserve">The measure will not change the regulatory costs on business, community organisations or individuals and the compliance costs under the </w:t>
      </w:r>
      <w:r w:rsidR="00264FD3">
        <w:t>package</w:t>
      </w:r>
      <w:r>
        <w:t xml:space="preserve"> are substantively the same as the costs under the </w:t>
      </w:r>
      <w:r w:rsidR="00264FD3">
        <w:t>PHI Act</w:t>
      </w:r>
      <w:r>
        <w:t xml:space="preserve">. </w:t>
      </w:r>
    </w:p>
    <w:p w14:paraId="580B6F57" w14:textId="77777777" w:rsidR="00D86E5E" w:rsidRPr="00F51A71" w:rsidRDefault="00D86E5E" w:rsidP="00A03E30">
      <w:pPr>
        <w:pStyle w:val="ChapterHeading"/>
        <w:tabs>
          <w:tab w:val="num" w:pos="360"/>
        </w:tabs>
      </w:pPr>
      <w:bookmarkStart w:id="12" w:name="_Toc406579110"/>
      <w:bookmarkStart w:id="13" w:name="_Toc406579560"/>
      <w:bookmarkStart w:id="14" w:name="_Toc406580552"/>
      <w:bookmarkStart w:id="15" w:name="_Toc406581428"/>
      <w:bookmarkStart w:id="16" w:name="_Toc406602279"/>
      <w:bookmarkStart w:id="17" w:name="_Toc406748631"/>
      <w:bookmarkStart w:id="18" w:name="_Toc406748857"/>
      <w:bookmarkStart w:id="19" w:name="_Toc406748904"/>
      <w:bookmarkStart w:id="20" w:name="_Toc406749483"/>
      <w:bookmarkStart w:id="21" w:name="_Toc406750690"/>
      <w:bookmarkStart w:id="22" w:name="_Toc406751285"/>
      <w:bookmarkStart w:id="23" w:name="_Toc406751797"/>
      <w:bookmarkStart w:id="24" w:name="_Toc406751999"/>
      <w:bookmarkStart w:id="25" w:name="_Toc406752074"/>
      <w:bookmarkStart w:id="26" w:name="_Toc40675236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51A71">
        <w:br/>
      </w:r>
      <w:bookmarkStart w:id="27" w:name="_Toc406581429"/>
      <w:bookmarkStart w:id="28" w:name="_Toc406752075"/>
      <w:bookmarkStart w:id="29" w:name="_Toc406757005"/>
      <w:bookmarkStart w:id="30" w:name="_Toc406760718"/>
      <w:bookmarkStart w:id="31" w:name="_Toc407026916"/>
      <w:bookmarkStart w:id="32" w:name="_Toc416957153"/>
      <w:bookmarkStart w:id="33" w:name="_Toc418177760"/>
      <w:bookmarkStart w:id="34" w:name="_Toc418249757"/>
      <w:r>
        <w:t xml:space="preserve">General </w:t>
      </w:r>
      <w:r w:rsidR="005310DA">
        <w:t>i</w:t>
      </w:r>
      <w:r>
        <w:t>ntroduction</w:t>
      </w:r>
      <w:bookmarkEnd w:id="27"/>
      <w:bookmarkEnd w:id="28"/>
      <w:bookmarkEnd w:id="29"/>
      <w:bookmarkEnd w:id="30"/>
      <w:bookmarkEnd w:id="31"/>
      <w:bookmarkEnd w:id="32"/>
      <w:bookmarkEnd w:id="33"/>
      <w:bookmarkEnd w:id="34"/>
    </w:p>
    <w:p w14:paraId="49BB334C" w14:textId="77777777" w:rsidR="00D86E5E" w:rsidRDefault="00F30F9E" w:rsidP="003C5C88">
      <w:pPr>
        <w:pStyle w:val="Heading2"/>
      </w:pPr>
      <w:r>
        <w:t>Context of amendments</w:t>
      </w:r>
    </w:p>
    <w:p w14:paraId="2DABCA85" w14:textId="77777777" w:rsidR="00F30F9E" w:rsidRDefault="00F30F9E" w:rsidP="000F194A">
      <w:pPr>
        <w:pStyle w:val="base-text-paragraph"/>
      </w:pPr>
      <w:r>
        <w:t xml:space="preserve">The </w:t>
      </w:r>
      <w:r w:rsidR="00E11EF2" w:rsidRPr="00545D79">
        <w:t>Council</w:t>
      </w:r>
      <w:r>
        <w:t xml:space="preserve"> is the prudential regulator of the private health insurance industry in Australia.  </w:t>
      </w:r>
      <w:r w:rsidRPr="00F30F9E">
        <w:t xml:space="preserve">It was first established in 1989, under the </w:t>
      </w:r>
      <w:r w:rsidRPr="00F30F9E">
        <w:rPr>
          <w:i/>
        </w:rPr>
        <w:t>National</w:t>
      </w:r>
      <w:r w:rsidR="00E664CE">
        <w:rPr>
          <w:i/>
        </w:rPr>
        <w:t> </w:t>
      </w:r>
      <w:r w:rsidRPr="00F30F9E">
        <w:rPr>
          <w:i/>
        </w:rPr>
        <w:t>Health</w:t>
      </w:r>
      <w:r w:rsidR="00E664CE">
        <w:rPr>
          <w:i/>
        </w:rPr>
        <w:t> </w:t>
      </w:r>
      <w:r w:rsidRPr="00F30F9E">
        <w:rPr>
          <w:i/>
        </w:rPr>
        <w:t>Act</w:t>
      </w:r>
      <w:r w:rsidR="00E664CE">
        <w:rPr>
          <w:i/>
        </w:rPr>
        <w:t> </w:t>
      </w:r>
      <w:r w:rsidRPr="00F30F9E">
        <w:rPr>
          <w:i/>
        </w:rPr>
        <w:t>1953</w:t>
      </w:r>
      <w:r w:rsidRPr="00F30F9E">
        <w:t xml:space="preserve"> and continues </w:t>
      </w:r>
      <w:r>
        <w:t xml:space="preserve">its operations </w:t>
      </w:r>
      <w:r w:rsidRPr="00F30F9E">
        <w:t xml:space="preserve">under the </w:t>
      </w:r>
      <w:r w:rsidR="006E2BF3">
        <w:t>PHI Act</w:t>
      </w:r>
      <w:r>
        <w:t xml:space="preserve">.  </w:t>
      </w:r>
    </w:p>
    <w:p w14:paraId="328516FA" w14:textId="77777777" w:rsidR="005036E6" w:rsidRDefault="00AC6B82" w:rsidP="000F194A">
      <w:pPr>
        <w:pStyle w:val="base-text-paragraph"/>
      </w:pPr>
      <w:r>
        <w:t>The Council</w:t>
      </w:r>
      <w:r w:rsidR="005036E6">
        <w:t xml:space="preserve"> is responsible for monitoring the prudential performance of registered private health insurers.  </w:t>
      </w:r>
      <w:r>
        <w:t>The Council’s</w:t>
      </w:r>
      <w:r w:rsidR="005036E6">
        <w:t xml:space="preserve"> role includes:</w:t>
      </w:r>
    </w:p>
    <w:p w14:paraId="36CF3350" w14:textId="77777777" w:rsidR="005036E6" w:rsidRDefault="005036E6" w:rsidP="002E146C">
      <w:pPr>
        <w:pStyle w:val="dotpoint"/>
      </w:pPr>
      <w:r>
        <w:t>registration of private health insurers;</w:t>
      </w:r>
    </w:p>
    <w:p w14:paraId="45F04A45" w14:textId="77777777" w:rsidR="005036E6" w:rsidRDefault="005036E6" w:rsidP="00603C07">
      <w:pPr>
        <w:pStyle w:val="dotpoint"/>
      </w:pPr>
      <w:r w:rsidRPr="005036E6">
        <w:t xml:space="preserve">developing </w:t>
      </w:r>
      <w:r>
        <w:t xml:space="preserve">solvency, </w:t>
      </w:r>
      <w:r w:rsidRPr="005036E6">
        <w:t xml:space="preserve">capital adequacy </w:t>
      </w:r>
      <w:r>
        <w:t xml:space="preserve">and other prudential </w:t>
      </w:r>
      <w:r w:rsidRPr="005036E6">
        <w:t>standards for the industry</w:t>
      </w:r>
      <w:r>
        <w:t>;</w:t>
      </w:r>
    </w:p>
    <w:p w14:paraId="2E5E1A79" w14:textId="77777777" w:rsidR="005036E6" w:rsidRDefault="005036E6" w:rsidP="00603C07">
      <w:pPr>
        <w:pStyle w:val="dotpoint"/>
      </w:pPr>
      <w:r>
        <w:t>publishing circulars, statistics and reports on insurer activities and performance; and</w:t>
      </w:r>
    </w:p>
    <w:p w14:paraId="6B2A72E4" w14:textId="77777777" w:rsidR="005036E6" w:rsidRDefault="005036E6" w:rsidP="00603C07">
      <w:pPr>
        <w:pStyle w:val="dotpoint"/>
      </w:pPr>
      <w:r>
        <w:t xml:space="preserve">administering the Risk Equalisation Trust Fund. </w:t>
      </w:r>
    </w:p>
    <w:p w14:paraId="568673FC" w14:textId="77777777" w:rsidR="00D86E5E" w:rsidRDefault="005036E6" w:rsidP="000F194A">
      <w:pPr>
        <w:pStyle w:val="base-text-paragraph"/>
      </w:pPr>
      <w:r>
        <w:t xml:space="preserve">As part of the </w:t>
      </w:r>
      <w:r w:rsidRPr="005036E6">
        <w:rPr>
          <w:i/>
        </w:rPr>
        <w:t>Smaller Government – additional reductions in the number of Australian Government bodies</w:t>
      </w:r>
      <w:r>
        <w:t xml:space="preserve"> initiative announced as part of the 2014-15 Budget, </w:t>
      </w:r>
      <w:r w:rsidR="00AC6B82">
        <w:t>the Council</w:t>
      </w:r>
      <w:r>
        <w:t xml:space="preserve"> will cease as a separate body, </w:t>
      </w:r>
      <w:r w:rsidR="009D4F54">
        <w:t xml:space="preserve">and </w:t>
      </w:r>
      <w:r>
        <w:t xml:space="preserve">its prudential supervisory functions </w:t>
      </w:r>
      <w:r w:rsidR="009D4F54">
        <w:t>will</w:t>
      </w:r>
      <w:r>
        <w:t xml:space="preserve"> be transferred to </w:t>
      </w:r>
      <w:r w:rsidR="00230530">
        <w:t>APRA</w:t>
      </w:r>
      <w:r>
        <w:t>.</w:t>
      </w:r>
      <w:r w:rsidR="004F2E7D">
        <w:t xml:space="preserve">  </w:t>
      </w:r>
    </w:p>
    <w:p w14:paraId="7F1C7EC2" w14:textId="77777777" w:rsidR="003D28E6" w:rsidRDefault="0009059E" w:rsidP="000F194A">
      <w:pPr>
        <w:pStyle w:val="base-text-paragraph"/>
      </w:pPr>
      <w:r>
        <w:t xml:space="preserve">The </w:t>
      </w:r>
      <w:r w:rsidR="00EC1BA7" w:rsidRPr="00EC1BA7">
        <w:rPr>
          <w:i/>
        </w:rPr>
        <w:t>S</w:t>
      </w:r>
      <w:r w:rsidRPr="00EC1BA7">
        <w:rPr>
          <w:i/>
        </w:rPr>
        <w:t xml:space="preserve">maller </w:t>
      </w:r>
      <w:r w:rsidR="00EC1BA7">
        <w:rPr>
          <w:i/>
        </w:rPr>
        <w:t>G</w:t>
      </w:r>
      <w:r w:rsidRPr="00EC1BA7">
        <w:rPr>
          <w:i/>
        </w:rPr>
        <w:t xml:space="preserve">overnment </w:t>
      </w:r>
      <w:r w:rsidR="00EC1BA7" w:rsidRPr="00EC1BA7">
        <w:rPr>
          <w:i/>
        </w:rPr>
        <w:t>Reform Agenda</w:t>
      </w:r>
      <w:r>
        <w:t xml:space="preserve"> will s</w:t>
      </w:r>
      <w:r w:rsidR="003D28E6">
        <w:t xml:space="preserve">treamline government </w:t>
      </w:r>
      <w:r>
        <w:t xml:space="preserve">bodies </w:t>
      </w:r>
      <w:r w:rsidR="003D28E6">
        <w:t>and reduce duplication</w:t>
      </w:r>
      <w:r>
        <w:t xml:space="preserve"> </w:t>
      </w:r>
      <w:r w:rsidR="00EC1BA7">
        <w:t xml:space="preserve">of Government agencies </w:t>
      </w:r>
      <w:r>
        <w:t>as</w:t>
      </w:r>
      <w:r w:rsidR="003D28E6">
        <w:t xml:space="preserve"> statutory bodies </w:t>
      </w:r>
      <w:r>
        <w:t>will be</w:t>
      </w:r>
      <w:r w:rsidR="003D28E6">
        <w:t xml:space="preserve"> abolished and rationalised where activities are no longer needed or can be managed within existing departmental resources. The abolition and merger of statutory bodies, including the Council, is expected to improve coordination and accountability and reduce the costs associated with separate governance arrangements.</w:t>
      </w:r>
    </w:p>
    <w:p w14:paraId="0337CE1E" w14:textId="77777777" w:rsidR="00FB2AFA" w:rsidRDefault="00FB2AFA" w:rsidP="00FB2AFA">
      <w:pPr>
        <w:pStyle w:val="Heading2"/>
      </w:pPr>
      <w:r>
        <w:t>Summary of new law</w:t>
      </w:r>
    </w:p>
    <w:p w14:paraId="0EEB0F45" w14:textId="77777777" w:rsidR="000F360F" w:rsidRDefault="000F360F" w:rsidP="000F194A">
      <w:pPr>
        <w:pStyle w:val="base-text-paragraph"/>
      </w:pPr>
      <w:r>
        <w:t>The transfer of the Council’s prudential supervisory functions will be given effect by th</w:t>
      </w:r>
      <w:r w:rsidR="00FA0A3B">
        <w:t>is</w:t>
      </w:r>
      <w:r>
        <w:t xml:space="preserve"> </w:t>
      </w:r>
      <w:r w:rsidR="00FA0A3B">
        <w:t xml:space="preserve">package of </w:t>
      </w:r>
      <w:r w:rsidR="00460EB3">
        <w:t>B</w:t>
      </w:r>
      <w:r w:rsidR="00FA0A3B">
        <w:t>ills,</w:t>
      </w:r>
      <w:r>
        <w:t xml:space="preserve"> which </w:t>
      </w:r>
      <w:r w:rsidR="00EC1BA7">
        <w:t>transfers the</w:t>
      </w:r>
      <w:r>
        <w:t xml:space="preserve"> regime for the prudential regulation of private health insurers to be administered by APRA.</w:t>
      </w:r>
    </w:p>
    <w:p w14:paraId="6AB590A6" w14:textId="77777777" w:rsidR="000F360F" w:rsidRDefault="008968D7" w:rsidP="000F194A">
      <w:pPr>
        <w:pStyle w:val="base-text-paragraph"/>
      </w:pPr>
      <w:r>
        <w:t>The</w:t>
      </w:r>
      <w:r w:rsidR="00FA0A3B">
        <w:t xml:space="preserve"> package of </w:t>
      </w:r>
      <w:r w:rsidR="00460EB3">
        <w:t>B</w:t>
      </w:r>
      <w:r w:rsidR="00FA0A3B">
        <w:t>ills</w:t>
      </w:r>
      <w:r>
        <w:t xml:space="preserve"> replicates </w:t>
      </w:r>
      <w:r w:rsidR="006D64D6">
        <w:t>elements of</w:t>
      </w:r>
      <w:r>
        <w:t xml:space="preserve"> the regime currently set out in the PHI Act with some modifications</w:t>
      </w:r>
      <w:r w:rsidR="00FF52EB">
        <w:t xml:space="preserve"> to</w:t>
      </w:r>
      <w:r>
        <w:t xml:space="preserve"> </w:t>
      </w:r>
      <w:r w:rsidR="006D64D6">
        <w:t xml:space="preserve">harmonise certain provisions with other legislation administered by APRA, </w:t>
      </w:r>
      <w:r>
        <w:t xml:space="preserve">reduce duplication, </w:t>
      </w:r>
      <w:r w:rsidR="006D64D6">
        <w:t>update investigation powers to bring them more into line with th</w:t>
      </w:r>
      <w:r w:rsidR="0090225E">
        <w:t>e</w:t>
      </w:r>
      <w:r w:rsidR="006D64D6">
        <w:t xml:space="preserve"> </w:t>
      </w:r>
      <w:r w:rsidR="006D64D6" w:rsidRPr="006C3D7A">
        <w:rPr>
          <w:i/>
        </w:rPr>
        <w:t>Regulatory Powers (Standard Provisions) Act</w:t>
      </w:r>
      <w:r w:rsidR="00134057">
        <w:rPr>
          <w:i/>
        </w:rPr>
        <w:t> </w:t>
      </w:r>
      <w:r w:rsidR="006D64D6" w:rsidRPr="006C3D7A">
        <w:rPr>
          <w:i/>
        </w:rPr>
        <w:t>2014</w:t>
      </w:r>
      <w:r w:rsidR="006D64D6">
        <w:t xml:space="preserve"> </w:t>
      </w:r>
      <w:r w:rsidR="00EE0968">
        <w:t xml:space="preserve">(Regulatory Powers Act) </w:t>
      </w:r>
      <w:r>
        <w:t>and allow the regime to operate more efficiently.</w:t>
      </w:r>
      <w:r w:rsidR="000F360F" w:rsidRPr="000F360F">
        <w:t xml:space="preserve"> </w:t>
      </w:r>
    </w:p>
    <w:p w14:paraId="527B2531" w14:textId="77777777" w:rsidR="000E58C0" w:rsidRDefault="000E58C0" w:rsidP="000F194A">
      <w:pPr>
        <w:pStyle w:val="base-text-paragraph"/>
      </w:pPr>
      <w:r>
        <w:t>Opportunities to harmonise legislation and eliminate duplication within the private health insurance regulatory framework is consistent with the Government’s deregulation agenda.</w:t>
      </w:r>
    </w:p>
    <w:p w14:paraId="594EB06D" w14:textId="77777777" w:rsidR="000F360F" w:rsidRDefault="000F360F" w:rsidP="00115FBF">
      <w:pPr>
        <w:pStyle w:val="base-text-paragraph"/>
        <w:tabs>
          <w:tab w:val="clear" w:pos="1985"/>
          <w:tab w:val="num" w:pos="1986"/>
        </w:tabs>
      </w:pPr>
      <w:r>
        <w:t>The</w:t>
      </w:r>
      <w:r w:rsidDel="00222F12">
        <w:t xml:space="preserve"> </w:t>
      </w:r>
      <w:r w:rsidR="006B1151">
        <w:t>amendments</w:t>
      </w:r>
      <w:r>
        <w:t xml:space="preserve"> will have effect</w:t>
      </w:r>
      <w:r w:rsidR="008F4CCC">
        <w:t xml:space="preserve"> from 1 July 2015 (if th</w:t>
      </w:r>
      <w:r w:rsidR="00EC1BA7">
        <w:t>e</w:t>
      </w:r>
      <w:r w:rsidR="008F4CCC">
        <w:t xml:space="preserve"> </w:t>
      </w:r>
      <w:r w:rsidR="00115FBF" w:rsidRPr="00115FBF">
        <w:t>Prudential Supervision Bill</w:t>
      </w:r>
      <w:r w:rsidR="006B1151">
        <w:t xml:space="preserve"> </w:t>
      </w:r>
      <w:r w:rsidR="008F4CCC">
        <w:t>receives Royal Assent before 1 July 2015) or a single day to be fixed by proclamation (if th</w:t>
      </w:r>
      <w:r w:rsidR="00EC1BA7">
        <w:t>e</w:t>
      </w:r>
      <w:r w:rsidR="008F4CCC">
        <w:t xml:space="preserve"> </w:t>
      </w:r>
      <w:r w:rsidR="00115FBF" w:rsidRPr="00115FBF">
        <w:t>Prudential Supervision Bill</w:t>
      </w:r>
      <w:r w:rsidR="00115FBF" w:rsidRPr="00115FBF" w:rsidDel="005310DA">
        <w:t xml:space="preserve"> </w:t>
      </w:r>
      <w:r w:rsidR="008F4CCC">
        <w:t>receives Royal Assent on or after 1 July 2015).</w:t>
      </w:r>
    </w:p>
    <w:p w14:paraId="3AD32774" w14:textId="77777777" w:rsidR="00EE02D3" w:rsidRDefault="00EE02D3" w:rsidP="000F194A">
      <w:pPr>
        <w:pStyle w:val="base-text-paragraph"/>
      </w:pPr>
      <w:r>
        <w:t>The Consequential Amendment</w:t>
      </w:r>
      <w:r w:rsidR="00361322">
        <w:t>s</w:t>
      </w:r>
      <w:r>
        <w:t xml:space="preserve"> and Transitional Provisions Bill includes amendments to: </w:t>
      </w:r>
    </w:p>
    <w:p w14:paraId="519D6F85" w14:textId="77777777" w:rsidR="00EE02D3" w:rsidRDefault="00EE02D3" w:rsidP="00153868">
      <w:pPr>
        <w:pStyle w:val="dotpoint"/>
      </w:pPr>
      <w:r>
        <w:t xml:space="preserve">the </w:t>
      </w:r>
      <w:r w:rsidRPr="00EE02D3">
        <w:rPr>
          <w:i/>
        </w:rPr>
        <w:t>Australian Prudential Regulation Authority Act 1998</w:t>
      </w:r>
      <w:r>
        <w:t xml:space="preserve"> (APRA Act) to provide for matters relating to secrecy of information concerning private health insurers, and to provide for the administration of industry levies; </w:t>
      </w:r>
    </w:p>
    <w:p w14:paraId="1FCC2E1D" w14:textId="77777777" w:rsidR="00D265D3" w:rsidRDefault="00D265D3" w:rsidP="00D265D3">
      <w:pPr>
        <w:pStyle w:val="dotpoint"/>
      </w:pPr>
      <w:r>
        <w:t xml:space="preserve">the </w:t>
      </w:r>
      <w:r w:rsidRPr="00EE02D3">
        <w:rPr>
          <w:i/>
        </w:rPr>
        <w:t>Financial Institutions Supervisory Levies Collection Act 1998</w:t>
      </w:r>
      <w:r w:rsidR="0057003C">
        <w:t xml:space="preserve"> </w:t>
      </w:r>
      <w:r w:rsidR="005A53DA">
        <w:t>(</w:t>
      </w:r>
      <w:r w:rsidR="00A866AA">
        <w:t>FISLC</w:t>
      </w:r>
      <w:r w:rsidR="005A53DA">
        <w:t xml:space="preserve"> Act) </w:t>
      </w:r>
      <w:r>
        <w:t>to cater for the collection of private health insurance supervisory levy and the collection of collapsed insurance levy;</w:t>
      </w:r>
    </w:p>
    <w:p w14:paraId="7711DE7B" w14:textId="77777777" w:rsidR="00EE02D3" w:rsidRDefault="00EE02D3" w:rsidP="00153868">
      <w:pPr>
        <w:pStyle w:val="dotpoint"/>
      </w:pPr>
      <w:r>
        <w:t xml:space="preserve">the </w:t>
      </w:r>
      <w:r w:rsidRPr="00EE02D3">
        <w:rPr>
          <w:i/>
        </w:rPr>
        <w:t>Financial Sector (Collection of Data) Act 2001</w:t>
      </w:r>
      <w:r>
        <w:t xml:space="preserve"> </w:t>
      </w:r>
      <w:r w:rsidR="005A53DA">
        <w:t xml:space="preserve">(FS(CoD) Act) </w:t>
      </w:r>
      <w:r>
        <w:t xml:space="preserve">to facilitate the collection of data relating to private health insurers </w:t>
      </w:r>
      <w:r w:rsidR="00361322">
        <w:t xml:space="preserve">by </w:t>
      </w:r>
      <w:r>
        <w:t>APRA;</w:t>
      </w:r>
    </w:p>
    <w:p w14:paraId="03910D9F" w14:textId="77777777" w:rsidR="00D265D3" w:rsidRDefault="00D265D3" w:rsidP="00F23E51">
      <w:pPr>
        <w:pStyle w:val="dotpoint"/>
        <w:keepNext/>
        <w:keepLines/>
        <w:ind w:left="2269" w:hanging="284"/>
      </w:pPr>
      <w:r>
        <w:t xml:space="preserve">the </w:t>
      </w:r>
      <w:r>
        <w:rPr>
          <w:i/>
        </w:rPr>
        <w:t>Income Tax Assessment Act 1997</w:t>
      </w:r>
      <w:r w:rsidR="00B74C65">
        <w:t xml:space="preserve"> </w:t>
      </w:r>
      <w:r w:rsidR="00477CBC">
        <w:t xml:space="preserve">(ITAA 1997) </w:t>
      </w:r>
      <w:r w:rsidR="00B74C65">
        <w:t xml:space="preserve">to </w:t>
      </w:r>
      <w:r w:rsidR="002C7DC3">
        <w:t xml:space="preserve">update or replace references to the </w:t>
      </w:r>
      <w:r w:rsidR="00FA0A3B">
        <w:t>PHI Act;</w:t>
      </w:r>
    </w:p>
    <w:p w14:paraId="6EC446D4" w14:textId="77777777" w:rsidR="005A53DA" w:rsidRPr="00153868" w:rsidRDefault="005A53DA">
      <w:pPr>
        <w:pStyle w:val="dotpoint"/>
      </w:pPr>
      <w:r>
        <w:t xml:space="preserve">the </w:t>
      </w:r>
      <w:r>
        <w:rPr>
          <w:i/>
        </w:rPr>
        <w:t>Life Insurance Act 1995</w:t>
      </w:r>
      <w:r w:rsidR="00B74C65">
        <w:rPr>
          <w:i/>
        </w:rPr>
        <w:t xml:space="preserve"> </w:t>
      </w:r>
      <w:r w:rsidR="00C91013">
        <w:t>(Life Insurance Act)</w:t>
      </w:r>
      <w:r w:rsidR="00B74C65">
        <w:t xml:space="preserve"> to </w:t>
      </w:r>
      <w:r w:rsidR="003016D3">
        <w:t>replace a reference to the PHI Act</w:t>
      </w:r>
      <w:r>
        <w:rPr>
          <w:i/>
        </w:rPr>
        <w:t>;</w:t>
      </w:r>
    </w:p>
    <w:p w14:paraId="7ADE2A73" w14:textId="77777777" w:rsidR="00E112DA" w:rsidRPr="0034184E" w:rsidRDefault="00D265D3" w:rsidP="00E112DA">
      <w:pPr>
        <w:pStyle w:val="dotpoint"/>
      </w:pPr>
      <w:r>
        <w:t xml:space="preserve">the </w:t>
      </w:r>
      <w:r w:rsidRPr="00E112DA">
        <w:rPr>
          <w:i/>
        </w:rPr>
        <w:t>Medibank Private Sale Act 2006</w:t>
      </w:r>
      <w:r w:rsidR="00743A06">
        <w:t xml:space="preserve"> </w:t>
      </w:r>
      <w:r w:rsidR="00C91013">
        <w:t xml:space="preserve">(Medibank Private Sale Act) </w:t>
      </w:r>
      <w:r w:rsidR="00743A06">
        <w:t xml:space="preserve">to </w:t>
      </w:r>
      <w:r w:rsidR="00E112DA">
        <w:t xml:space="preserve">include references to the </w:t>
      </w:r>
      <w:r w:rsidR="00E9202F">
        <w:t>Prudential Supervision Bill</w:t>
      </w:r>
      <w:r w:rsidR="00E112DA">
        <w:t xml:space="preserve"> in certain provisions that currently refer to the PHI Act</w:t>
      </w:r>
      <w:r w:rsidR="00E112DA" w:rsidRPr="0034184E">
        <w:t>;</w:t>
      </w:r>
    </w:p>
    <w:p w14:paraId="380F6C4C" w14:textId="77777777" w:rsidR="00D265D3" w:rsidRPr="00153868" w:rsidRDefault="00D265D3">
      <w:pPr>
        <w:pStyle w:val="dotpoint"/>
      </w:pPr>
      <w:r>
        <w:t xml:space="preserve">the </w:t>
      </w:r>
      <w:r>
        <w:rPr>
          <w:i/>
        </w:rPr>
        <w:t>Ombudsman Act 1976</w:t>
      </w:r>
      <w:r w:rsidR="00743A06">
        <w:t xml:space="preserve"> to </w:t>
      </w:r>
      <w:r w:rsidR="0057003C">
        <w:t>enable the sharing of information with APRA</w:t>
      </w:r>
      <w:r w:rsidRPr="00153868">
        <w:t>; and</w:t>
      </w:r>
    </w:p>
    <w:p w14:paraId="42BA7674" w14:textId="77777777" w:rsidR="00EE02D3" w:rsidRPr="008F726E" w:rsidRDefault="00D265D3">
      <w:pPr>
        <w:pStyle w:val="dotpoint"/>
      </w:pPr>
      <w:r>
        <w:t>the PHI Act to remove the prudential supervision powers, remove references to the Council and to repeal the p</w:t>
      </w:r>
      <w:r w:rsidR="00743A06">
        <w:t>rovisions creating the Council.</w:t>
      </w:r>
    </w:p>
    <w:p w14:paraId="065F07A0" w14:textId="77777777" w:rsidR="00EE02D3" w:rsidRDefault="00EE02D3" w:rsidP="000F194A">
      <w:pPr>
        <w:pStyle w:val="base-text-paragraph"/>
      </w:pPr>
      <w:r>
        <w:t xml:space="preserve">A number of transitional provisions have been provided for relating to the repeal of the provisions establishing the Council and the transfer of functions to APRA. Such transitional provisions will ensure that legal actions taken prior to the transfer day, such as the registration of private health insurers, and other processes, such as legal proceedings, will continue under the </w:t>
      </w:r>
      <w:r w:rsidR="00E9202F">
        <w:t>Prudential Supervision Bill</w:t>
      </w:r>
      <w:r>
        <w:t>.  Finally, the</w:t>
      </w:r>
      <w:r w:rsidR="0057003C">
        <w:t>re are</w:t>
      </w:r>
      <w:r>
        <w:t xml:space="preserve"> machinery transitional provisions for the transfer of </w:t>
      </w:r>
      <w:r w:rsidR="00743A06">
        <w:t>the Council</w:t>
      </w:r>
      <w:r>
        <w:t xml:space="preserve"> staff, assets, liabilities and records from the Council to APRA.</w:t>
      </w:r>
    </w:p>
    <w:p w14:paraId="06B4438B" w14:textId="77777777" w:rsidR="0057003C" w:rsidRPr="0057003C" w:rsidRDefault="0057003C" w:rsidP="000F194A">
      <w:pPr>
        <w:pStyle w:val="base-text-paragraph"/>
      </w:pPr>
      <w:r w:rsidRPr="0057003C">
        <w:t xml:space="preserve">The </w:t>
      </w:r>
      <w:r w:rsidR="00895A95">
        <w:t>Risk Equalisation Levy</w:t>
      </w:r>
      <w:r w:rsidR="00895A95" w:rsidRPr="004C2C59">
        <w:t xml:space="preserve"> Amendment Bill</w:t>
      </w:r>
      <w:r w:rsidR="00895A95" w:rsidRPr="0057003C">
        <w:t xml:space="preserve"> </w:t>
      </w:r>
      <w:r w:rsidRPr="0057003C">
        <w:t xml:space="preserve">amends the </w:t>
      </w:r>
      <w:r w:rsidRPr="00153868">
        <w:rPr>
          <w:i/>
        </w:rPr>
        <w:t>Private Health Insurance (Risk Equalisation Levy) Act 2003</w:t>
      </w:r>
      <w:r w:rsidR="00895A95">
        <w:rPr>
          <w:i/>
        </w:rPr>
        <w:t xml:space="preserve"> </w:t>
      </w:r>
      <w:r w:rsidR="00895A95" w:rsidRPr="00FA0A3B">
        <w:t>(Risk Equalisation Levy Act)</w:t>
      </w:r>
      <w:r w:rsidRPr="0057003C">
        <w:t xml:space="preserve">, and the </w:t>
      </w:r>
      <w:r w:rsidR="0081006B">
        <w:t>Collapsed Insurer Levy</w:t>
      </w:r>
      <w:r w:rsidR="0081006B" w:rsidRPr="0057003C">
        <w:t xml:space="preserve"> Amendment Bill</w:t>
      </w:r>
      <w:r w:rsidR="0081006B">
        <w:t xml:space="preserve"> </w:t>
      </w:r>
      <w:r w:rsidRPr="0057003C">
        <w:t xml:space="preserve">amends the </w:t>
      </w:r>
      <w:r w:rsidRPr="00153868">
        <w:rPr>
          <w:i/>
        </w:rPr>
        <w:t>Private Health Insurance (Collapsed Insurer Levy) Act 2003</w:t>
      </w:r>
      <w:r w:rsidR="00E93D04">
        <w:rPr>
          <w:i/>
        </w:rPr>
        <w:t xml:space="preserve"> </w:t>
      </w:r>
      <w:r w:rsidR="00E93D04" w:rsidRPr="00FA0A3B">
        <w:t>(Collapsed Insurer Levy Act)</w:t>
      </w:r>
      <w:r w:rsidRPr="00E93D04">
        <w:t>,</w:t>
      </w:r>
      <w:r w:rsidRPr="0057003C">
        <w:t xml:space="preserve"> to replace references to </w:t>
      </w:r>
      <w:r>
        <w:t>the Council</w:t>
      </w:r>
      <w:r w:rsidRPr="0057003C">
        <w:t xml:space="preserve"> with references to APRA. Both of these Bills also repeal redundant provisions. </w:t>
      </w:r>
      <w:r>
        <w:t xml:space="preserve">The </w:t>
      </w:r>
      <w:r w:rsidRPr="00153868">
        <w:rPr>
          <w:i/>
        </w:rPr>
        <w:t>Private</w:t>
      </w:r>
      <w:r w:rsidRPr="0057003C">
        <w:rPr>
          <w:i/>
        </w:rPr>
        <w:t xml:space="preserve"> Health Insurance (Council Administration Levy) Act 2003</w:t>
      </w:r>
      <w:r>
        <w:t xml:space="preserve"> is being repealed as it is redundant and the </w:t>
      </w:r>
      <w:r w:rsidR="006E2BF3">
        <w:t xml:space="preserve">Supervisory Levy </w:t>
      </w:r>
      <w:r w:rsidR="00623BDF">
        <w:t xml:space="preserve">Imposition </w:t>
      </w:r>
      <w:r w:rsidR="006E2BF3">
        <w:t xml:space="preserve">Bill </w:t>
      </w:r>
      <w:r w:rsidR="008F1EF7">
        <w:t>is being introduced</w:t>
      </w:r>
      <w:r>
        <w:t>.</w:t>
      </w:r>
    </w:p>
    <w:p w14:paraId="4C8FEABC" w14:textId="77777777" w:rsidR="00FB2AFA" w:rsidRPr="008F726E" w:rsidRDefault="000F360F" w:rsidP="00FA0A3B">
      <w:pPr>
        <w:pStyle w:val="base-text-paragraph"/>
        <w:keepNext/>
        <w:keepLines/>
      </w:pPr>
      <w:r>
        <w:t>The PHI Act will retain provisions relating to private health insurance polic</w:t>
      </w:r>
      <w:r w:rsidR="00B54FF9">
        <w:t>ies</w:t>
      </w:r>
      <w:r>
        <w:t xml:space="preserve"> such as the establishment and administration of the premiums reduction scheme (the Private Health Insurance Rebate) and lifetime health cover and the rules for complying health insurance products (including the community rating principle).  Enforcement provisions relevant for these provisions and certain reporting provisions required to support these obligations will also be retained in the PHI Act.  </w:t>
      </w:r>
    </w:p>
    <w:p w14:paraId="482D13D3" w14:textId="77777777" w:rsidR="00FB2AFA" w:rsidRDefault="00FB2AFA" w:rsidP="006C3D7A">
      <w:pPr>
        <w:pStyle w:val="Heading2with18pointafter"/>
        <w:spacing w:before="60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B2AFA" w:rsidRPr="004666B8" w14:paraId="48C39BEA" w14:textId="77777777" w:rsidTr="00276616">
        <w:trPr>
          <w:tblHeader/>
        </w:trPr>
        <w:tc>
          <w:tcPr>
            <w:tcW w:w="3275" w:type="dxa"/>
          </w:tcPr>
          <w:p w14:paraId="045E6437" w14:textId="77777777" w:rsidR="00FB2AFA" w:rsidRPr="004666B8" w:rsidRDefault="00FB2AFA" w:rsidP="002B0725">
            <w:pPr>
              <w:pStyle w:val="tableheaderwithintable"/>
              <w:rPr>
                <w:lang w:val="en-US" w:eastAsia="en-US"/>
              </w:rPr>
            </w:pPr>
            <w:r w:rsidRPr="004666B8">
              <w:rPr>
                <w:lang w:val="en-US" w:eastAsia="en-US"/>
              </w:rPr>
              <w:t>New law</w:t>
            </w:r>
          </w:p>
        </w:tc>
        <w:tc>
          <w:tcPr>
            <w:tcW w:w="3276" w:type="dxa"/>
          </w:tcPr>
          <w:p w14:paraId="34374E4C" w14:textId="77777777" w:rsidR="00FB2AFA" w:rsidRPr="004666B8" w:rsidRDefault="00FB2AFA" w:rsidP="002B0725">
            <w:pPr>
              <w:pStyle w:val="tableheaderwithintable"/>
              <w:rPr>
                <w:lang w:val="en-US" w:eastAsia="en-US"/>
              </w:rPr>
            </w:pPr>
            <w:r w:rsidRPr="004666B8">
              <w:rPr>
                <w:lang w:val="en-US" w:eastAsia="en-US"/>
              </w:rPr>
              <w:t>Current law</w:t>
            </w:r>
          </w:p>
        </w:tc>
      </w:tr>
      <w:tr w:rsidR="00FB2AFA" w:rsidRPr="004666B8" w14:paraId="6DA95BC2" w14:textId="77777777" w:rsidTr="002B0725">
        <w:tc>
          <w:tcPr>
            <w:tcW w:w="3275" w:type="dxa"/>
          </w:tcPr>
          <w:p w14:paraId="134145D7" w14:textId="77777777" w:rsidR="00FB2AFA" w:rsidRPr="004666B8" w:rsidRDefault="0044462B" w:rsidP="00153868">
            <w:pPr>
              <w:pStyle w:val="tabletext"/>
              <w:rPr>
                <w:lang w:val="en-US" w:eastAsia="en-US"/>
              </w:rPr>
            </w:pPr>
            <w:r>
              <w:rPr>
                <w:lang w:val="en-US" w:eastAsia="en-US"/>
              </w:rPr>
              <w:t>Establish</w:t>
            </w:r>
            <w:r w:rsidR="00FB2AFA">
              <w:rPr>
                <w:lang w:val="en-US" w:eastAsia="en-US"/>
              </w:rPr>
              <w:t xml:space="preserve"> </w:t>
            </w:r>
            <w:r w:rsidR="002537F3">
              <w:rPr>
                <w:lang w:val="en-US" w:eastAsia="en-US"/>
              </w:rPr>
              <w:t>APRA as the prudential regulator of the private health insurance industry.</w:t>
            </w:r>
          </w:p>
        </w:tc>
        <w:tc>
          <w:tcPr>
            <w:tcW w:w="3276" w:type="dxa"/>
          </w:tcPr>
          <w:p w14:paraId="4A20F6D0" w14:textId="77777777" w:rsidR="00F1701D" w:rsidRPr="004666B8" w:rsidRDefault="003C55E7">
            <w:pPr>
              <w:pStyle w:val="tabletext"/>
              <w:rPr>
                <w:lang w:val="en-US" w:eastAsia="en-US"/>
              </w:rPr>
            </w:pPr>
            <w:r>
              <w:rPr>
                <w:lang w:val="en-US" w:eastAsia="en-US"/>
              </w:rPr>
              <w:t>T</w:t>
            </w:r>
            <w:r w:rsidR="00FB2AFA">
              <w:rPr>
                <w:lang w:val="en-US" w:eastAsia="en-US"/>
              </w:rPr>
              <w:t xml:space="preserve">he </w:t>
            </w:r>
            <w:r w:rsidR="00AC6B82">
              <w:rPr>
                <w:lang w:val="en-US" w:eastAsia="en-US"/>
              </w:rPr>
              <w:t>Council</w:t>
            </w:r>
            <w:r w:rsidR="00FB2AFA">
              <w:rPr>
                <w:lang w:val="en-US" w:eastAsia="en-US"/>
              </w:rPr>
              <w:t xml:space="preserve"> </w:t>
            </w:r>
            <w:r w:rsidR="0044462B">
              <w:rPr>
                <w:lang w:val="en-US" w:eastAsia="en-US"/>
              </w:rPr>
              <w:t>is</w:t>
            </w:r>
            <w:r w:rsidR="00FB2AFA">
              <w:rPr>
                <w:lang w:val="en-US" w:eastAsia="en-US"/>
              </w:rPr>
              <w:t xml:space="preserve"> the prudential regulator for the private health insurance </w:t>
            </w:r>
            <w:r>
              <w:rPr>
                <w:lang w:val="en-US" w:eastAsia="en-US"/>
              </w:rPr>
              <w:t>industry</w:t>
            </w:r>
            <w:r w:rsidR="00FB2AFA" w:rsidDel="0044462B">
              <w:rPr>
                <w:lang w:val="en-US" w:eastAsia="en-US"/>
              </w:rPr>
              <w:t>.</w:t>
            </w:r>
            <w:r w:rsidR="00FB2AFA">
              <w:rPr>
                <w:lang w:val="en-US" w:eastAsia="en-US"/>
              </w:rPr>
              <w:t xml:space="preserve"> </w:t>
            </w:r>
          </w:p>
        </w:tc>
      </w:tr>
      <w:tr w:rsidR="0044462B" w:rsidRPr="004666B8" w14:paraId="2B511060" w14:textId="77777777" w:rsidTr="002B0725">
        <w:tc>
          <w:tcPr>
            <w:tcW w:w="3275" w:type="dxa"/>
          </w:tcPr>
          <w:p w14:paraId="15320549" w14:textId="77777777" w:rsidR="008F1EF7" w:rsidRDefault="008F1EF7" w:rsidP="0044462B">
            <w:pPr>
              <w:pStyle w:val="tabletext"/>
              <w:rPr>
                <w:lang w:val="en-US" w:eastAsia="en-US"/>
              </w:rPr>
            </w:pPr>
            <w:r>
              <w:rPr>
                <w:lang w:val="en-US" w:eastAsia="en-US"/>
              </w:rPr>
              <w:t xml:space="preserve">The main provisions of the </w:t>
            </w:r>
            <w:r w:rsidR="00E9202F">
              <w:rPr>
                <w:lang w:val="en-US" w:eastAsia="en-US"/>
              </w:rPr>
              <w:t>Prudential Supervision Bill</w:t>
            </w:r>
            <w:r>
              <w:rPr>
                <w:lang w:val="en-US" w:eastAsia="en-US"/>
              </w:rPr>
              <w:t>:</w:t>
            </w:r>
          </w:p>
          <w:p w14:paraId="3B0172E6" w14:textId="77777777" w:rsidR="0044462B" w:rsidRPr="00AC2784" w:rsidRDefault="008F1EF7" w:rsidP="0044462B">
            <w:pPr>
              <w:pStyle w:val="tabledotpoint"/>
              <w:rPr>
                <w:lang w:val="en-US" w:eastAsia="en-US"/>
              </w:rPr>
            </w:pPr>
            <w:r w:rsidRPr="008F1EF7">
              <w:rPr>
                <w:lang w:val="en-US" w:eastAsia="en-US"/>
              </w:rPr>
              <w:t xml:space="preserve">provide for </w:t>
            </w:r>
            <w:r w:rsidR="0044462B" w:rsidRPr="00AC2784">
              <w:rPr>
                <w:lang w:val="en-US" w:eastAsia="en-US"/>
              </w:rPr>
              <w:t>r</w:t>
            </w:r>
            <w:r w:rsidR="00207AD4" w:rsidRPr="008F1EF7">
              <w:rPr>
                <w:lang w:val="en-US" w:eastAsia="en-US"/>
              </w:rPr>
              <w:t>egist</w:t>
            </w:r>
            <w:r>
              <w:rPr>
                <w:lang w:val="en-US" w:eastAsia="en-US"/>
              </w:rPr>
              <w:t>ration of</w:t>
            </w:r>
            <w:r w:rsidR="0044462B" w:rsidRPr="00AC2784">
              <w:rPr>
                <w:lang w:val="en-US" w:eastAsia="en-US"/>
              </w:rPr>
              <w:t xml:space="preserve"> private health insurers and pr</w:t>
            </w:r>
            <w:r w:rsidR="00B74C65" w:rsidRPr="00AC2784">
              <w:rPr>
                <w:lang w:val="en-US" w:eastAsia="en-US"/>
              </w:rPr>
              <w:t>ohibit</w:t>
            </w:r>
            <w:r w:rsidR="0044462B" w:rsidRPr="00AC2784">
              <w:rPr>
                <w:lang w:val="en-US" w:eastAsia="en-US"/>
              </w:rPr>
              <w:t xml:space="preserve"> entities</w:t>
            </w:r>
            <w:r w:rsidR="00B74C65" w:rsidRPr="00AC2784">
              <w:rPr>
                <w:lang w:val="en-US" w:eastAsia="en-US"/>
              </w:rPr>
              <w:t>,</w:t>
            </w:r>
            <w:r w:rsidR="0044462B" w:rsidRPr="00AC2784">
              <w:rPr>
                <w:lang w:val="en-US" w:eastAsia="en-US"/>
              </w:rPr>
              <w:t xml:space="preserve"> </w:t>
            </w:r>
            <w:r w:rsidR="0006005E" w:rsidRPr="00AC2784">
              <w:rPr>
                <w:lang w:val="en-US" w:eastAsia="en-US"/>
              </w:rPr>
              <w:t xml:space="preserve">that are </w:t>
            </w:r>
            <w:r w:rsidR="0044462B" w:rsidRPr="00AC2784">
              <w:rPr>
                <w:lang w:val="en-US" w:eastAsia="en-US"/>
              </w:rPr>
              <w:t>not registered</w:t>
            </w:r>
            <w:r w:rsidR="00B74C65" w:rsidRPr="00AC2784">
              <w:rPr>
                <w:lang w:val="en-US" w:eastAsia="en-US"/>
              </w:rPr>
              <w:t>,</w:t>
            </w:r>
            <w:r w:rsidR="0044462B" w:rsidRPr="00AC2784">
              <w:rPr>
                <w:lang w:val="en-US" w:eastAsia="en-US"/>
              </w:rPr>
              <w:t xml:space="preserve"> from carrying on a health related business (Part 2);</w:t>
            </w:r>
          </w:p>
          <w:p w14:paraId="41A1AFEE" w14:textId="77777777" w:rsidR="0044462B" w:rsidRPr="00AC2784" w:rsidRDefault="0044462B" w:rsidP="0044462B">
            <w:pPr>
              <w:pStyle w:val="tabledotpoint"/>
              <w:rPr>
                <w:lang w:val="en-US" w:eastAsia="en-US"/>
              </w:rPr>
            </w:pPr>
            <w:r w:rsidRPr="00AC2784">
              <w:rPr>
                <w:lang w:val="en-US" w:eastAsia="en-US"/>
              </w:rPr>
              <w:t>require private health insurers to have health benefits</w:t>
            </w:r>
            <w:r w:rsidR="00207AD4" w:rsidRPr="00AC2784">
              <w:rPr>
                <w:lang w:val="en-US" w:eastAsia="en-US"/>
              </w:rPr>
              <w:t xml:space="preserve"> funds, </w:t>
            </w:r>
            <w:r w:rsidR="008F1EF7">
              <w:rPr>
                <w:lang w:val="en-US" w:eastAsia="en-US"/>
              </w:rPr>
              <w:t xml:space="preserve">and </w:t>
            </w:r>
            <w:r w:rsidR="0006005E" w:rsidRPr="00AC2784">
              <w:rPr>
                <w:lang w:val="en-US" w:eastAsia="en-US"/>
              </w:rPr>
              <w:t>outlin</w:t>
            </w:r>
            <w:r w:rsidR="008F1EF7">
              <w:rPr>
                <w:lang w:val="en-US" w:eastAsia="en-US"/>
              </w:rPr>
              <w:t>e</w:t>
            </w:r>
            <w:r w:rsidR="00207AD4" w:rsidRPr="00AC2784">
              <w:rPr>
                <w:lang w:val="en-US" w:eastAsia="en-US"/>
              </w:rPr>
              <w:t xml:space="preserve"> </w:t>
            </w:r>
            <w:r w:rsidRPr="00AC2784">
              <w:rPr>
                <w:lang w:val="en-US" w:eastAsia="en-US"/>
              </w:rPr>
              <w:t>obligations relating to  the operation of such funds (Part 3, Divisions 2 and 3);</w:t>
            </w:r>
          </w:p>
          <w:p w14:paraId="72E71726" w14:textId="77777777" w:rsidR="0044462B" w:rsidRPr="00AC2784" w:rsidRDefault="008F1EF7" w:rsidP="0044462B">
            <w:pPr>
              <w:pStyle w:val="tabledotpoint"/>
              <w:rPr>
                <w:lang w:val="en-US" w:eastAsia="en-US"/>
              </w:rPr>
            </w:pPr>
            <w:r>
              <w:rPr>
                <w:lang w:val="en-US" w:eastAsia="en-US"/>
              </w:rPr>
              <w:t xml:space="preserve">provide for APRA to </w:t>
            </w:r>
            <w:r w:rsidR="00B74C65" w:rsidRPr="00AC2784">
              <w:rPr>
                <w:lang w:val="en-US" w:eastAsia="en-US"/>
              </w:rPr>
              <w:t xml:space="preserve">approve </w:t>
            </w:r>
            <w:r w:rsidR="0044462B" w:rsidRPr="00AC2784">
              <w:rPr>
                <w:lang w:val="en-US" w:eastAsia="en-US"/>
              </w:rPr>
              <w:t>restructure</w:t>
            </w:r>
            <w:r w:rsidR="00B74C65" w:rsidRPr="00AC2784">
              <w:rPr>
                <w:lang w:val="en-US" w:eastAsia="en-US"/>
              </w:rPr>
              <w:t>s</w:t>
            </w:r>
            <w:r w:rsidR="0044462B" w:rsidRPr="00AC2784">
              <w:rPr>
                <w:lang w:val="en-US" w:eastAsia="en-US"/>
              </w:rPr>
              <w:t>, merger</w:t>
            </w:r>
            <w:r w:rsidR="00B74C65" w:rsidRPr="00AC2784">
              <w:rPr>
                <w:lang w:val="en-US" w:eastAsia="en-US"/>
              </w:rPr>
              <w:t>s</w:t>
            </w:r>
            <w:r w:rsidR="0044462B" w:rsidRPr="00AC2784">
              <w:rPr>
                <w:lang w:val="en-US" w:eastAsia="en-US"/>
              </w:rPr>
              <w:t>, acquisition and termination of health benefits funds (Part 3, Divisions 4 and 5);</w:t>
            </w:r>
          </w:p>
          <w:p w14:paraId="266FF6E8" w14:textId="77777777" w:rsidR="0044462B" w:rsidRPr="00AC2784" w:rsidRDefault="008F1EF7" w:rsidP="0044462B">
            <w:pPr>
              <w:pStyle w:val="tabledotpoint"/>
              <w:rPr>
                <w:lang w:val="en-US" w:eastAsia="en-US"/>
              </w:rPr>
            </w:pPr>
            <w:r>
              <w:rPr>
                <w:lang w:val="en-US" w:eastAsia="en-US"/>
              </w:rPr>
              <w:t xml:space="preserve">give APRA power to </w:t>
            </w:r>
            <w:r w:rsidR="0044462B" w:rsidRPr="00AC2784">
              <w:rPr>
                <w:lang w:val="en-US" w:eastAsia="en-US"/>
              </w:rPr>
              <w:t xml:space="preserve">appoint an external manager of a health benefit fund and </w:t>
            </w:r>
            <w:r w:rsidR="0006005E" w:rsidRPr="00AC2784">
              <w:rPr>
                <w:lang w:val="en-US" w:eastAsia="en-US"/>
              </w:rPr>
              <w:t xml:space="preserve">outline </w:t>
            </w:r>
            <w:r w:rsidR="0044462B" w:rsidRPr="00AC2784">
              <w:rPr>
                <w:lang w:val="en-US" w:eastAsia="en-US"/>
              </w:rPr>
              <w:t>the powers and duties of external managers and terminating managers (Part 3, Divisions 6, 7 and 8);</w:t>
            </w:r>
          </w:p>
          <w:p w14:paraId="305FDD8D" w14:textId="77777777" w:rsidR="0044462B" w:rsidRPr="00AC2784" w:rsidRDefault="00D406BE" w:rsidP="0044462B">
            <w:pPr>
              <w:pStyle w:val="tabledotpoint"/>
              <w:keepNext/>
              <w:keepLines/>
              <w:rPr>
                <w:lang w:val="en-US" w:eastAsia="en-US"/>
              </w:rPr>
            </w:pPr>
            <w:r w:rsidRPr="00AC2784">
              <w:rPr>
                <w:lang w:val="en-US" w:eastAsia="en-US"/>
              </w:rPr>
              <w:t xml:space="preserve">outline </w:t>
            </w:r>
            <w:r w:rsidR="0044462B" w:rsidRPr="00AC2784">
              <w:rPr>
                <w:lang w:val="en-US" w:eastAsia="en-US"/>
              </w:rPr>
              <w:t>duties and liabilities of directors (Part 3, Division 9);</w:t>
            </w:r>
          </w:p>
          <w:p w14:paraId="68C337B2" w14:textId="77777777" w:rsidR="0044462B" w:rsidRPr="00AC2784" w:rsidRDefault="008F1EF7" w:rsidP="0044462B">
            <w:pPr>
              <w:pStyle w:val="tabledotpoint"/>
              <w:keepNext/>
              <w:keepLines/>
              <w:rPr>
                <w:lang w:val="en-US" w:eastAsia="en-US"/>
              </w:rPr>
            </w:pPr>
            <w:r>
              <w:rPr>
                <w:lang w:val="en-US" w:eastAsia="en-US"/>
              </w:rPr>
              <w:t xml:space="preserve">allow APRA to </w:t>
            </w:r>
            <w:r w:rsidR="0044462B" w:rsidRPr="00AC2784">
              <w:rPr>
                <w:lang w:val="en-US" w:eastAsia="en-US"/>
              </w:rPr>
              <w:t xml:space="preserve">establish prudential standards </w:t>
            </w:r>
            <w:r w:rsidR="0006005E" w:rsidRPr="00AC2784">
              <w:rPr>
                <w:lang w:val="en-US" w:eastAsia="en-US"/>
              </w:rPr>
              <w:t>and exercise powers under the standards, a</w:t>
            </w:r>
            <w:r w:rsidR="0044462B" w:rsidRPr="00AC2784">
              <w:rPr>
                <w:lang w:val="en-US" w:eastAsia="en-US"/>
              </w:rPr>
              <w:t>nd</w:t>
            </w:r>
            <w:r w:rsidR="0006005E" w:rsidRPr="00AC2784">
              <w:rPr>
                <w:lang w:val="en-US" w:eastAsia="en-US"/>
              </w:rPr>
              <w:t xml:space="preserve"> give</w:t>
            </w:r>
            <w:r w:rsidR="0044462B" w:rsidRPr="00AC2784">
              <w:rPr>
                <w:lang w:val="en-US" w:eastAsia="en-US"/>
              </w:rPr>
              <w:t xml:space="preserve"> directions and require health benefits funds to comply with such standards and directions (Part 4);</w:t>
            </w:r>
          </w:p>
          <w:p w14:paraId="243CA0D3" w14:textId="77777777" w:rsidR="0044462B" w:rsidRPr="00AC2784" w:rsidRDefault="0006005E" w:rsidP="0044462B">
            <w:pPr>
              <w:pStyle w:val="tabledotpoint"/>
              <w:rPr>
                <w:lang w:val="en-US" w:eastAsia="en-US"/>
              </w:rPr>
            </w:pPr>
            <w:r w:rsidRPr="00AC2784">
              <w:rPr>
                <w:lang w:val="en-US" w:eastAsia="en-US"/>
              </w:rPr>
              <w:t xml:space="preserve">outline </w:t>
            </w:r>
            <w:r w:rsidR="0044462B" w:rsidRPr="00AC2784">
              <w:rPr>
                <w:lang w:val="en-US" w:eastAsia="en-US"/>
              </w:rPr>
              <w:t>obligations of private health insurers such as the appointment of actuaries and reporting and notification requirements (Part 5, Divisions 2, 3 and 4);</w:t>
            </w:r>
          </w:p>
          <w:p w14:paraId="44F28D7A" w14:textId="77777777" w:rsidR="0044462B" w:rsidRPr="00AC2784" w:rsidRDefault="008F1EF7" w:rsidP="0044462B">
            <w:pPr>
              <w:pStyle w:val="tabledotpoint"/>
              <w:rPr>
                <w:lang w:val="en-US" w:eastAsia="en-US"/>
              </w:rPr>
            </w:pPr>
            <w:r>
              <w:rPr>
                <w:lang w:val="en-US" w:eastAsia="en-US"/>
              </w:rPr>
              <w:t xml:space="preserve">provide for the monitoring and investigation of </w:t>
            </w:r>
            <w:r w:rsidR="0044462B" w:rsidRPr="00AC2784">
              <w:rPr>
                <w:lang w:val="en-US" w:eastAsia="en-US"/>
              </w:rPr>
              <w:t>private health insurers (Part 6);</w:t>
            </w:r>
          </w:p>
          <w:p w14:paraId="282A5E75" w14:textId="77777777" w:rsidR="0044462B" w:rsidRPr="00AC2784" w:rsidRDefault="008F1EF7" w:rsidP="002043F0">
            <w:pPr>
              <w:pStyle w:val="tabledotpoint"/>
              <w:rPr>
                <w:lang w:val="en-US" w:eastAsia="en-US"/>
              </w:rPr>
            </w:pPr>
            <w:r>
              <w:rPr>
                <w:lang w:val="en-US" w:eastAsia="en-US"/>
              </w:rPr>
              <w:t>provide that APRA can obtain an enforceable undertaking from a person in connection with a matter in relation to which APRA has a power or function under the Act or the risk equali</w:t>
            </w:r>
            <w:r w:rsidR="00ED52FE">
              <w:rPr>
                <w:lang w:val="en-US" w:eastAsia="en-US"/>
              </w:rPr>
              <w:t>s</w:t>
            </w:r>
            <w:r>
              <w:rPr>
                <w:lang w:val="en-US" w:eastAsia="en-US"/>
              </w:rPr>
              <w:t>ation legislation</w:t>
            </w:r>
            <w:r w:rsidR="0044462B" w:rsidRPr="00AC2784">
              <w:rPr>
                <w:lang w:val="en-US" w:eastAsia="en-US"/>
              </w:rPr>
              <w:t xml:space="preserve"> (Part 7);</w:t>
            </w:r>
          </w:p>
          <w:p w14:paraId="7C767FDF" w14:textId="77777777" w:rsidR="0044462B" w:rsidRPr="00AC2784" w:rsidRDefault="008F1EF7" w:rsidP="00207AD4">
            <w:pPr>
              <w:pStyle w:val="tabledotpoint"/>
              <w:rPr>
                <w:lang w:val="en-US" w:eastAsia="en-US"/>
              </w:rPr>
            </w:pPr>
            <w:r>
              <w:rPr>
                <w:lang w:val="en-US" w:eastAsia="en-US"/>
              </w:rPr>
              <w:t xml:space="preserve">provide that APRA may </w:t>
            </w:r>
            <w:r w:rsidR="0044462B" w:rsidRPr="00AC2784">
              <w:rPr>
                <w:lang w:val="en-US" w:eastAsia="en-US"/>
              </w:rPr>
              <w:t xml:space="preserve">seek remedies for a contravention </w:t>
            </w:r>
            <w:r w:rsidR="00B674DC">
              <w:rPr>
                <w:lang w:val="en-US" w:eastAsia="en-US"/>
              </w:rPr>
              <w:t>of</w:t>
            </w:r>
            <w:r w:rsidR="00B674DC" w:rsidRPr="00AC2784">
              <w:rPr>
                <w:lang w:val="en-US" w:eastAsia="en-US"/>
              </w:rPr>
              <w:t xml:space="preserve"> </w:t>
            </w:r>
            <w:r w:rsidR="0044462B" w:rsidRPr="00AC2784">
              <w:rPr>
                <w:lang w:val="en-US" w:eastAsia="en-US"/>
              </w:rPr>
              <w:t>an enforceable obligation (Part</w:t>
            </w:r>
            <w:r w:rsidR="00D406BE" w:rsidRPr="00AC2784">
              <w:rPr>
                <w:lang w:val="en-US" w:eastAsia="en-US"/>
              </w:rPr>
              <w:t> </w:t>
            </w:r>
            <w:r w:rsidR="0044462B" w:rsidRPr="00AC2784">
              <w:rPr>
                <w:lang w:val="en-US" w:eastAsia="en-US"/>
              </w:rPr>
              <w:t>8);</w:t>
            </w:r>
          </w:p>
          <w:p w14:paraId="69149841" w14:textId="77777777" w:rsidR="0044462B" w:rsidRPr="00AC2784" w:rsidRDefault="00D406BE" w:rsidP="0044462B">
            <w:pPr>
              <w:pStyle w:val="tabledotpoint"/>
              <w:rPr>
                <w:lang w:val="en-US" w:eastAsia="en-US"/>
              </w:rPr>
            </w:pPr>
            <w:r w:rsidRPr="00AC2784">
              <w:rPr>
                <w:lang w:val="en-US" w:eastAsia="en-US"/>
              </w:rPr>
              <w:t xml:space="preserve">provide for a </w:t>
            </w:r>
            <w:r w:rsidR="0044462B" w:rsidRPr="00AC2784">
              <w:rPr>
                <w:lang w:val="en-US" w:eastAsia="en-US"/>
              </w:rPr>
              <w:t>review of APRA’s decisions by the Administrative Appeals Tribunal (AAT) (Part 9); and</w:t>
            </w:r>
          </w:p>
          <w:p w14:paraId="5621D466" w14:textId="77777777" w:rsidR="0044462B" w:rsidRPr="00AC2784" w:rsidRDefault="008F1EF7" w:rsidP="00153868">
            <w:pPr>
              <w:pStyle w:val="tabledotpoint"/>
              <w:rPr>
                <w:lang w:val="en-US" w:eastAsia="en-US"/>
              </w:rPr>
            </w:pPr>
            <w:r>
              <w:rPr>
                <w:lang w:val="en-US" w:eastAsia="en-US"/>
              </w:rPr>
              <w:t>set out matters in relation to</w:t>
            </w:r>
            <w:r w:rsidR="0044462B" w:rsidRPr="00AC2784">
              <w:rPr>
                <w:lang w:val="en-US" w:eastAsia="en-US"/>
              </w:rPr>
              <w:t xml:space="preserve"> approvals</w:t>
            </w:r>
            <w:r>
              <w:rPr>
                <w:lang w:val="en-US" w:eastAsia="en-US"/>
              </w:rPr>
              <w:t>,</w:t>
            </w:r>
            <w:r w:rsidR="0044462B" w:rsidRPr="00AC2784">
              <w:rPr>
                <w:lang w:val="en-US" w:eastAsia="en-US"/>
              </w:rPr>
              <w:t xml:space="preserve"> determinations and rules (Part 9).</w:t>
            </w:r>
            <w:r w:rsidR="0064710C">
              <w:rPr>
                <w:lang w:val="en-US" w:eastAsia="en-US"/>
              </w:rPr>
              <w:t xml:space="preserve">                                                 </w:t>
            </w:r>
          </w:p>
        </w:tc>
        <w:tc>
          <w:tcPr>
            <w:tcW w:w="3276" w:type="dxa"/>
          </w:tcPr>
          <w:p w14:paraId="6ADE1E46" w14:textId="77777777" w:rsidR="0044462B" w:rsidRPr="00AC2784" w:rsidRDefault="0044462B" w:rsidP="0044462B">
            <w:pPr>
              <w:pStyle w:val="tabletext"/>
              <w:rPr>
                <w:lang w:val="en-US" w:eastAsia="en-US"/>
              </w:rPr>
            </w:pPr>
            <w:r w:rsidRPr="00AC2784">
              <w:rPr>
                <w:lang w:val="en-US" w:eastAsia="en-US"/>
              </w:rPr>
              <w:t xml:space="preserve">The main provisions in the PHI Act that relate to the Council and its supervisory role include the: </w:t>
            </w:r>
          </w:p>
          <w:p w14:paraId="663C5FBC" w14:textId="77777777" w:rsidR="0044462B" w:rsidRPr="00AC2784" w:rsidRDefault="0044462B" w:rsidP="0044462B">
            <w:pPr>
              <w:pStyle w:val="tabledotpoint"/>
              <w:rPr>
                <w:lang w:val="en-US" w:eastAsia="en-US"/>
              </w:rPr>
            </w:pPr>
            <w:r w:rsidRPr="00AC2784">
              <w:rPr>
                <w:lang w:val="en-US" w:eastAsia="en-US"/>
              </w:rPr>
              <w:t>registration of private health insurers and the prevention of entities not registered from carrying on a health insurance business (Parts 4-2 and 4-3);</w:t>
            </w:r>
          </w:p>
          <w:p w14:paraId="35319653" w14:textId="77777777" w:rsidR="00AB43F3" w:rsidRDefault="00AB43F3" w:rsidP="00AB43F3">
            <w:pPr>
              <w:pStyle w:val="tabledotpoint"/>
              <w:rPr>
                <w:lang w:val="en-US" w:eastAsia="en-US"/>
              </w:rPr>
            </w:pPr>
            <w:r w:rsidRPr="00AB43F3">
              <w:rPr>
                <w:lang w:val="en-US" w:eastAsia="en-US"/>
              </w:rPr>
              <w:t>prevention of private health insurers from offering or advertising health insurance business other than as a complying health insurance product (Part 3-3</w:t>
            </w:r>
            <w:r w:rsidR="001B7B00">
              <w:rPr>
                <w:lang w:val="en-US" w:eastAsia="en-US"/>
              </w:rPr>
              <w:t>);</w:t>
            </w:r>
          </w:p>
          <w:p w14:paraId="4A60BEA0" w14:textId="77777777" w:rsidR="0044462B" w:rsidRPr="00AC2784" w:rsidRDefault="0044462B" w:rsidP="0044462B">
            <w:pPr>
              <w:pStyle w:val="tabledotpoint"/>
              <w:rPr>
                <w:lang w:val="en-US" w:eastAsia="en-US"/>
              </w:rPr>
            </w:pPr>
            <w:r w:rsidRPr="00AC2784">
              <w:rPr>
                <w:lang w:val="en-US" w:eastAsia="en-US"/>
              </w:rPr>
              <w:t xml:space="preserve">requirement for private health insurers to have health benefits funds and obligations relating to  the operation of such funds (Part 4-4); </w:t>
            </w:r>
          </w:p>
          <w:p w14:paraId="7C7DDD1C" w14:textId="77777777" w:rsidR="0044462B" w:rsidRPr="00AC2784" w:rsidRDefault="0044462B" w:rsidP="0044462B">
            <w:pPr>
              <w:pStyle w:val="tabledotpoint"/>
              <w:rPr>
                <w:lang w:val="en-US" w:eastAsia="en-US"/>
              </w:rPr>
            </w:pPr>
            <w:r w:rsidRPr="00AC2784">
              <w:rPr>
                <w:lang w:val="en-US" w:eastAsia="en-US"/>
              </w:rPr>
              <w:t>establishment of solvency and capital adequacy standards and directions by the Council and the requirement for health benefits funds to comply with such st</w:t>
            </w:r>
            <w:r w:rsidR="00705087">
              <w:rPr>
                <w:lang w:val="en-US" w:eastAsia="en-US"/>
              </w:rPr>
              <w:t>andards and directions (Part 4</w:t>
            </w:r>
            <w:r w:rsidR="00705087">
              <w:rPr>
                <w:lang w:val="en-US" w:eastAsia="en-US"/>
              </w:rPr>
              <w:noBreakHyphen/>
              <w:t>5</w:t>
            </w:r>
            <w:r w:rsidRPr="00AC2784">
              <w:rPr>
                <w:lang w:val="en-US" w:eastAsia="en-US"/>
              </w:rPr>
              <w:t>);</w:t>
            </w:r>
          </w:p>
          <w:p w14:paraId="039864FA" w14:textId="77777777" w:rsidR="0044462B" w:rsidRPr="00AC2784" w:rsidRDefault="0044462B" w:rsidP="004D3FEE">
            <w:pPr>
              <w:pStyle w:val="tabledotpoint"/>
              <w:keepNext/>
              <w:keepLines/>
              <w:rPr>
                <w:lang w:val="en-US" w:eastAsia="en-US"/>
              </w:rPr>
            </w:pPr>
            <w:r w:rsidRPr="00AC2784">
              <w:rPr>
                <w:lang w:val="en-US" w:eastAsia="en-US"/>
              </w:rPr>
              <w:t>establishment of prudential standards</w:t>
            </w:r>
            <w:r w:rsidR="009B6F3A">
              <w:rPr>
                <w:lang w:val="en-US" w:eastAsia="en-US"/>
              </w:rPr>
              <w:t xml:space="preserve"> and directions</w:t>
            </w:r>
            <w:r w:rsidRPr="00AC2784">
              <w:rPr>
                <w:lang w:val="en-US" w:eastAsia="en-US"/>
              </w:rPr>
              <w:t xml:space="preserve"> for private health insurers and the requirement for insurers to comply with such standards</w:t>
            </w:r>
            <w:r w:rsidR="009B6F3A">
              <w:rPr>
                <w:lang w:val="en-US" w:eastAsia="en-US"/>
              </w:rPr>
              <w:t xml:space="preserve"> and directions</w:t>
            </w:r>
            <w:r w:rsidRPr="00AC2784">
              <w:rPr>
                <w:lang w:val="en-US" w:eastAsia="en-US"/>
              </w:rPr>
              <w:t xml:space="preserve"> (Part 4-4);</w:t>
            </w:r>
          </w:p>
          <w:p w14:paraId="08666A38" w14:textId="77777777" w:rsidR="0044462B" w:rsidRPr="00AC2784" w:rsidRDefault="0044462B" w:rsidP="0044462B">
            <w:pPr>
              <w:pStyle w:val="tabledotpoint"/>
              <w:rPr>
                <w:lang w:val="en-US" w:eastAsia="en-US"/>
              </w:rPr>
            </w:pPr>
            <w:r w:rsidRPr="00AC2784">
              <w:rPr>
                <w:lang w:val="en-US" w:eastAsia="en-US"/>
              </w:rPr>
              <w:t>restructure, merger, acquisition and termination of health benefit funds (Part 4</w:t>
            </w:r>
            <w:r w:rsidRPr="00AC2784">
              <w:rPr>
                <w:lang w:val="en-US" w:eastAsia="en-US"/>
              </w:rPr>
              <w:noBreakHyphen/>
              <w:t>4 and 6-5);</w:t>
            </w:r>
          </w:p>
          <w:p w14:paraId="5C059DF0" w14:textId="77777777" w:rsidR="00A73A97" w:rsidRPr="00A73A97" w:rsidRDefault="00A73A97" w:rsidP="00A73A97">
            <w:pPr>
              <w:pStyle w:val="tabledotpoint"/>
              <w:rPr>
                <w:lang w:val="en-US" w:eastAsia="en-US"/>
              </w:rPr>
            </w:pPr>
            <w:r w:rsidRPr="00A73A97">
              <w:rPr>
                <w:lang w:val="en-US" w:eastAsia="en-US"/>
              </w:rPr>
              <w:t>outline of duties and liabilities of directors (Part 4-4);</w:t>
            </w:r>
          </w:p>
          <w:p w14:paraId="5E88F7D9" w14:textId="77777777" w:rsidR="0044462B" w:rsidRPr="00AC2784" w:rsidRDefault="0044462B" w:rsidP="0044462B">
            <w:pPr>
              <w:pStyle w:val="tabledotpoint"/>
              <w:rPr>
                <w:lang w:val="en-US" w:eastAsia="en-US"/>
              </w:rPr>
            </w:pPr>
            <w:r w:rsidRPr="00AC2784">
              <w:rPr>
                <w:lang w:val="en-US" w:eastAsia="en-US"/>
              </w:rPr>
              <w:t>obligations of private health insurers such as the appointment of actuaries and reporting and notification requirements (Part 4</w:t>
            </w:r>
            <w:r w:rsidRPr="00AC2784">
              <w:rPr>
                <w:lang w:val="en-US" w:eastAsia="en-US"/>
              </w:rPr>
              <w:noBreakHyphen/>
              <w:t>5);</w:t>
            </w:r>
          </w:p>
          <w:p w14:paraId="47991CBE" w14:textId="77777777" w:rsidR="0044462B" w:rsidRPr="00AC2784" w:rsidRDefault="00B674DC" w:rsidP="002043F0">
            <w:pPr>
              <w:pStyle w:val="tabledotpoint"/>
              <w:rPr>
                <w:lang w:val="en-US" w:eastAsia="en-US"/>
              </w:rPr>
            </w:pPr>
            <w:r>
              <w:rPr>
                <w:lang w:val="en-US" w:eastAsia="en-US"/>
              </w:rPr>
              <w:t>t</w:t>
            </w:r>
            <w:r w:rsidR="0044462B" w:rsidRPr="00AC2784">
              <w:rPr>
                <w:lang w:val="en-US" w:eastAsia="en-US"/>
              </w:rPr>
              <w:t xml:space="preserve">he Council’s ability to supervise compliance by private health insurers with their obligations </w:t>
            </w:r>
            <w:r w:rsidR="009B6F3A">
              <w:rPr>
                <w:lang w:val="en-US" w:eastAsia="en-US"/>
              </w:rPr>
              <w:t xml:space="preserve">with respect to matters regulated by the Council </w:t>
            </w:r>
            <w:r w:rsidR="00ED52FE">
              <w:rPr>
                <w:lang w:val="en-US" w:eastAsia="en-US"/>
              </w:rPr>
              <w:t>(‘Council</w:t>
            </w:r>
            <w:r w:rsidR="00ED52FE">
              <w:rPr>
                <w:lang w:val="en-US" w:eastAsia="en-US"/>
              </w:rPr>
              <w:noBreakHyphen/>
            </w:r>
            <w:r w:rsidR="0044462B" w:rsidRPr="00AC2784">
              <w:rPr>
                <w:lang w:val="en-US" w:eastAsia="en-US"/>
              </w:rPr>
              <w:t xml:space="preserve">supervised obligations’) (Parts 5-2 and 5-3); </w:t>
            </w:r>
          </w:p>
          <w:p w14:paraId="57F087DA" w14:textId="77777777" w:rsidR="0044462B" w:rsidRPr="00AC2784" w:rsidRDefault="00B674DC" w:rsidP="00207AD4">
            <w:pPr>
              <w:pStyle w:val="tabledotpoint"/>
              <w:rPr>
                <w:lang w:val="en-US" w:eastAsia="en-US"/>
              </w:rPr>
            </w:pPr>
            <w:r>
              <w:rPr>
                <w:lang w:val="en-US" w:eastAsia="en-US"/>
              </w:rPr>
              <w:t>t</w:t>
            </w:r>
            <w:r w:rsidR="0044462B" w:rsidRPr="00AC2784">
              <w:rPr>
                <w:lang w:val="en-US" w:eastAsia="en-US"/>
              </w:rPr>
              <w:t xml:space="preserve">he Council’s general enforcement powers </w:t>
            </w:r>
            <w:r w:rsidR="00B54FF9" w:rsidRPr="00AC2784">
              <w:rPr>
                <w:lang w:val="en-US" w:eastAsia="en-US"/>
              </w:rPr>
              <w:t>including the ability to seek remedies for a contravention of a Council</w:t>
            </w:r>
            <w:r w:rsidR="00B54FF9" w:rsidRPr="00AC2784">
              <w:rPr>
                <w:lang w:val="en-US" w:eastAsia="en-US"/>
              </w:rPr>
              <w:noBreakHyphen/>
              <w:t xml:space="preserve">supervised obligation </w:t>
            </w:r>
            <w:r w:rsidR="0044462B" w:rsidRPr="00AC2784">
              <w:rPr>
                <w:lang w:val="en-US" w:eastAsia="en-US"/>
              </w:rPr>
              <w:t>(Part 5-2);</w:t>
            </w:r>
          </w:p>
          <w:p w14:paraId="4198A670" w14:textId="77777777" w:rsidR="0044462B" w:rsidRPr="00AC2784" w:rsidRDefault="0044462B" w:rsidP="0044462B">
            <w:pPr>
              <w:pStyle w:val="tabledotpoint"/>
              <w:rPr>
                <w:lang w:val="en-US" w:eastAsia="en-US"/>
              </w:rPr>
            </w:pPr>
            <w:r w:rsidRPr="00AC2784">
              <w:rPr>
                <w:lang w:val="en-US" w:eastAsia="en-US"/>
              </w:rPr>
              <w:t>appoint</w:t>
            </w:r>
            <w:r w:rsidR="009A68DC">
              <w:rPr>
                <w:lang w:val="en-US" w:eastAsia="en-US"/>
              </w:rPr>
              <w:t>ment of</w:t>
            </w:r>
            <w:r w:rsidRPr="00AC2784">
              <w:rPr>
                <w:lang w:val="en-US" w:eastAsia="en-US"/>
              </w:rPr>
              <w:t xml:space="preserve"> an external manager of a health benefit</w:t>
            </w:r>
            <w:r w:rsidR="00406184">
              <w:rPr>
                <w:lang w:val="en-US" w:eastAsia="en-US"/>
              </w:rPr>
              <w:t>s</w:t>
            </w:r>
            <w:r w:rsidRPr="00AC2784">
              <w:rPr>
                <w:lang w:val="en-US" w:eastAsia="en-US"/>
              </w:rPr>
              <w:t xml:space="preserve"> fund and the powers and duties of external managers (Parts 5-3 and 6-5); </w:t>
            </w:r>
          </w:p>
          <w:p w14:paraId="1835F447" w14:textId="77777777" w:rsidR="0044462B" w:rsidRPr="00AC2784" w:rsidRDefault="0044462B" w:rsidP="0044462B">
            <w:pPr>
              <w:pStyle w:val="tabledotpoint"/>
              <w:rPr>
                <w:lang w:val="en-US" w:eastAsia="en-US"/>
              </w:rPr>
            </w:pPr>
            <w:r w:rsidRPr="00AC2784">
              <w:rPr>
                <w:lang w:val="en-US" w:eastAsia="en-US"/>
              </w:rPr>
              <w:t>continuation, purpose, functions and administration of the Council (</w:t>
            </w:r>
            <w:r w:rsidR="00B54FF9" w:rsidRPr="00AC2784">
              <w:rPr>
                <w:lang w:val="en-US" w:eastAsia="en-US"/>
              </w:rPr>
              <w:t>Part</w:t>
            </w:r>
            <w:r w:rsidRPr="00AC2784">
              <w:rPr>
                <w:lang w:val="en-US" w:eastAsia="en-US"/>
              </w:rPr>
              <w:t xml:space="preserve"> 6</w:t>
            </w:r>
            <w:r w:rsidR="00B54FF9" w:rsidRPr="00AC2784">
              <w:rPr>
                <w:lang w:val="en-US" w:eastAsia="en-US"/>
              </w:rPr>
              <w:t>-3</w:t>
            </w:r>
            <w:r w:rsidRPr="00AC2784">
              <w:rPr>
                <w:lang w:val="en-US" w:eastAsia="en-US"/>
              </w:rPr>
              <w:t xml:space="preserve">); </w:t>
            </w:r>
          </w:p>
          <w:p w14:paraId="68E8F63F" w14:textId="77777777" w:rsidR="0044462B" w:rsidRPr="00AC2784" w:rsidRDefault="0044462B" w:rsidP="0044462B">
            <w:pPr>
              <w:pStyle w:val="tabledotpoint"/>
              <w:rPr>
                <w:lang w:val="en-US" w:eastAsia="en-US"/>
              </w:rPr>
            </w:pPr>
            <w:r w:rsidRPr="00AC2784">
              <w:rPr>
                <w:lang w:val="en-US" w:eastAsia="en-US"/>
              </w:rPr>
              <w:t>review of the Council’s decisions by the AAT (Part 6-9); and</w:t>
            </w:r>
          </w:p>
          <w:p w14:paraId="4C3BC067" w14:textId="77777777" w:rsidR="0044462B" w:rsidRPr="00AC2784" w:rsidRDefault="0044462B" w:rsidP="00153868">
            <w:pPr>
              <w:pStyle w:val="tabledotpoint"/>
              <w:rPr>
                <w:lang w:val="en-US" w:eastAsia="en-US"/>
              </w:rPr>
            </w:pPr>
            <w:r w:rsidRPr="00AC2784">
              <w:rPr>
                <w:lang w:val="en-US" w:eastAsia="en-US"/>
              </w:rPr>
              <w:t xml:space="preserve">ability of the Council to make </w:t>
            </w:r>
            <w:r w:rsidR="009A68DC">
              <w:rPr>
                <w:lang w:val="en-US" w:eastAsia="en-US"/>
              </w:rPr>
              <w:t xml:space="preserve">certain </w:t>
            </w:r>
            <w:r w:rsidRPr="00AC2784">
              <w:rPr>
                <w:lang w:val="en-US" w:eastAsia="en-US"/>
              </w:rPr>
              <w:t>Private Health Insurance Rules, via legislative instrument (Part 6</w:t>
            </w:r>
            <w:r w:rsidRPr="00AC2784">
              <w:rPr>
                <w:lang w:val="en-US" w:eastAsia="en-US"/>
              </w:rPr>
              <w:noBreakHyphen/>
              <w:t>10).</w:t>
            </w:r>
          </w:p>
        </w:tc>
      </w:tr>
    </w:tbl>
    <w:p w14:paraId="5FEE0E5C" w14:textId="77777777" w:rsidR="00D86E5E" w:rsidRDefault="00D86E5E" w:rsidP="00D86E5E">
      <w:pPr>
        <w:pStyle w:val="Hiddentext"/>
      </w:pPr>
    </w:p>
    <w:p w14:paraId="7970A59F" w14:textId="77777777" w:rsidR="00D86E5E" w:rsidRDefault="00D86E5E" w:rsidP="00D86E5E">
      <w:pPr>
        <w:sectPr w:rsidR="00D86E5E" w:rsidSect="00D86E5E">
          <w:headerReference w:type="even" r:id="rId33"/>
          <w:headerReference w:type="default" r:id="rId34"/>
          <w:footerReference w:type="even" r:id="rId35"/>
          <w:footerReference w:type="default" r:id="rId36"/>
          <w:footerReference w:type="first" r:id="rId37"/>
          <w:type w:val="oddPage"/>
          <w:pgSz w:w="11906" w:h="16838" w:code="9"/>
          <w:pgMar w:top="2466" w:right="2098" w:bottom="2466" w:left="2098" w:header="1559" w:footer="1899" w:gutter="0"/>
          <w:cols w:space="708"/>
          <w:titlePg/>
          <w:docGrid w:linePitch="360"/>
        </w:sectPr>
      </w:pPr>
    </w:p>
    <w:p w14:paraId="718ECEDA" w14:textId="77777777" w:rsidR="00D86E5E" w:rsidRPr="00F51A71" w:rsidRDefault="00A6587B" w:rsidP="00A03E30">
      <w:pPr>
        <w:pStyle w:val="ChapterHeading"/>
        <w:tabs>
          <w:tab w:val="num" w:pos="360"/>
        </w:tabs>
      </w:pPr>
      <w:r>
        <w:br/>
      </w:r>
      <w:bookmarkStart w:id="35" w:name="_Toc406581430"/>
      <w:bookmarkStart w:id="36" w:name="_Toc406752076"/>
      <w:bookmarkStart w:id="37" w:name="_Toc406757006"/>
      <w:bookmarkStart w:id="38" w:name="_Toc406760719"/>
      <w:bookmarkStart w:id="39" w:name="_Toc407026917"/>
      <w:bookmarkStart w:id="40" w:name="_Toc416957154"/>
      <w:bookmarkStart w:id="41" w:name="_Toc418177761"/>
      <w:bookmarkStart w:id="42" w:name="_Toc418249758"/>
      <w:r w:rsidR="00566C33">
        <w:t>Introduction</w:t>
      </w:r>
      <w:bookmarkEnd w:id="35"/>
      <w:bookmarkEnd w:id="36"/>
      <w:bookmarkEnd w:id="37"/>
      <w:bookmarkEnd w:id="38"/>
      <w:bookmarkEnd w:id="39"/>
      <w:bookmarkEnd w:id="40"/>
      <w:bookmarkEnd w:id="41"/>
      <w:bookmarkEnd w:id="42"/>
    </w:p>
    <w:p w14:paraId="0EA27869" w14:textId="77777777" w:rsidR="00D86E5E" w:rsidRPr="00C04AA9" w:rsidRDefault="00D86E5E" w:rsidP="00D86E5E">
      <w:pPr>
        <w:pStyle w:val="Heading2"/>
      </w:pPr>
      <w:r w:rsidRPr="00C04AA9">
        <w:t>Outline of chapter</w:t>
      </w:r>
    </w:p>
    <w:p w14:paraId="09F20753" w14:textId="77777777" w:rsidR="00D86E5E" w:rsidRPr="006C3D7A" w:rsidRDefault="00566C33" w:rsidP="000F194A">
      <w:pPr>
        <w:pStyle w:val="base-text-paragraph"/>
      </w:pPr>
      <w:r w:rsidRPr="00E92D59">
        <w:t xml:space="preserve">Part 1 </w:t>
      </w:r>
      <w:r w:rsidR="00D86E5E" w:rsidRPr="006C3D7A">
        <w:t>deals with the preliminary provisions.  This includes:</w:t>
      </w:r>
    </w:p>
    <w:p w14:paraId="250FB0F4" w14:textId="77777777" w:rsidR="00D86E5E" w:rsidRPr="006C3D7A" w:rsidRDefault="00D86E5E" w:rsidP="00603C07">
      <w:pPr>
        <w:pStyle w:val="dotpoint"/>
      </w:pPr>
      <w:r w:rsidRPr="006C3D7A">
        <w:t>the short title and commencement;</w:t>
      </w:r>
    </w:p>
    <w:p w14:paraId="66044426" w14:textId="77777777" w:rsidR="00D86E5E" w:rsidRPr="006C3D7A" w:rsidRDefault="00D86E5E" w:rsidP="006F3DFF">
      <w:pPr>
        <w:pStyle w:val="dotpoint"/>
      </w:pPr>
      <w:r w:rsidRPr="006C3D7A">
        <w:t>an outline</w:t>
      </w:r>
      <w:r w:rsidR="00222F12">
        <w:t xml:space="preserve"> of the </w:t>
      </w:r>
      <w:r w:rsidR="006F3DFF" w:rsidRPr="006F3DFF">
        <w:t>Prudential Supervision Bill</w:t>
      </w:r>
      <w:r w:rsidRPr="006C3D7A">
        <w:t>;</w:t>
      </w:r>
    </w:p>
    <w:p w14:paraId="4CB758E5" w14:textId="77777777" w:rsidR="00D86E5E" w:rsidRPr="006C3D7A" w:rsidRDefault="00D86E5E" w:rsidP="00603C07">
      <w:pPr>
        <w:pStyle w:val="dotpoint"/>
      </w:pPr>
      <w:r w:rsidRPr="006C3D7A">
        <w:t>the definition of terms used;</w:t>
      </w:r>
      <w:r w:rsidR="009D4F54" w:rsidRPr="006C3D7A">
        <w:t xml:space="preserve"> and</w:t>
      </w:r>
    </w:p>
    <w:p w14:paraId="30DA2308" w14:textId="77777777" w:rsidR="00D86E5E" w:rsidRDefault="00D86E5E" w:rsidP="00603C07">
      <w:pPr>
        <w:pStyle w:val="dotpoint"/>
      </w:pPr>
      <w:r w:rsidRPr="006C3D7A">
        <w:t>the constitutional basis an</w:t>
      </w:r>
      <w:r w:rsidR="0098423B">
        <w:t>d</w:t>
      </w:r>
      <w:r w:rsidRPr="006C3D7A">
        <w:t xml:space="preserve"> application.</w:t>
      </w:r>
    </w:p>
    <w:p w14:paraId="3B7EBB94" w14:textId="77777777" w:rsidR="00B76610" w:rsidRDefault="00B76610" w:rsidP="00276616">
      <w:pPr>
        <w:pStyle w:val="base-text-paragraph"/>
      </w:pPr>
      <w:r>
        <w:t xml:space="preserve">Unless otherwise stated, all references in this Chapter relate to the </w:t>
      </w:r>
      <w:r>
        <w:rPr>
          <w:rStyle w:val="Referencingstyle"/>
          <w:b w:val="0"/>
          <w:i w:val="0"/>
          <w:sz w:val="22"/>
        </w:rPr>
        <w:t>Prudential Supervision Bill.</w:t>
      </w:r>
    </w:p>
    <w:p w14:paraId="07EEF629" w14:textId="77777777" w:rsidR="00D86E5E" w:rsidRDefault="00D86E5E" w:rsidP="006133DE">
      <w:pPr>
        <w:pStyle w:val="Heading2"/>
      </w:pPr>
      <w:r w:rsidRPr="00C04AA9">
        <w:t>Detailed explanation of new law</w:t>
      </w:r>
    </w:p>
    <w:p w14:paraId="75662AC1" w14:textId="77777777" w:rsidR="000E304C" w:rsidRDefault="000E304C" w:rsidP="003C5C88">
      <w:pPr>
        <w:pStyle w:val="Heading3"/>
      </w:pPr>
      <w:r>
        <w:t>Part 1 – Introduction</w:t>
      </w:r>
    </w:p>
    <w:p w14:paraId="6B83203A" w14:textId="77777777" w:rsidR="00D86E5E" w:rsidRDefault="00D86E5E" w:rsidP="003C5C88">
      <w:pPr>
        <w:pStyle w:val="Heading4"/>
      </w:pPr>
      <w:r>
        <w:t>Division 1 - Preliminary</w:t>
      </w:r>
    </w:p>
    <w:p w14:paraId="2078437D" w14:textId="77777777" w:rsidR="00D86E5E" w:rsidRDefault="00D33066" w:rsidP="003C5C88">
      <w:pPr>
        <w:pStyle w:val="Heading5"/>
      </w:pPr>
      <w:r>
        <w:t>Short title</w:t>
      </w:r>
    </w:p>
    <w:p w14:paraId="40C1D3F9" w14:textId="77777777" w:rsidR="00D33066" w:rsidRDefault="001809DD" w:rsidP="000F194A">
      <w:pPr>
        <w:pStyle w:val="base-text-paragraph"/>
      </w:pPr>
      <w:r>
        <w:t>T</w:t>
      </w:r>
      <w:r w:rsidR="00046B67">
        <w:t>his</w:t>
      </w:r>
      <w:r w:rsidR="009F4510">
        <w:t xml:space="preserve"> </w:t>
      </w:r>
      <w:r w:rsidR="00A26722">
        <w:t xml:space="preserve">Bill </w:t>
      </w:r>
      <w:r w:rsidR="009F4510">
        <w:t xml:space="preserve">may be cited as the </w:t>
      </w:r>
      <w:r w:rsidR="009F4510" w:rsidRPr="000F194A">
        <w:t xml:space="preserve">Private Health Insurance (Prudential Supervision) </w:t>
      </w:r>
      <w:r w:rsidR="00A26722">
        <w:t>Bill</w:t>
      </w:r>
      <w:r w:rsidR="00A26722" w:rsidRPr="000F194A">
        <w:t xml:space="preserve"> </w:t>
      </w:r>
      <w:r w:rsidR="009F4510" w:rsidRPr="000F194A">
        <w:t>2015</w:t>
      </w:r>
      <w:r w:rsidR="00310967">
        <w:t>.</w:t>
      </w:r>
      <w:r w:rsidR="009F4510">
        <w:t xml:space="preserve"> </w:t>
      </w:r>
      <w:r w:rsidR="009F4510" w:rsidRPr="009F4510">
        <w:rPr>
          <w:rStyle w:val="Referencingstyle"/>
        </w:rPr>
        <w:t>[Part 1, Division 1, section 1]</w:t>
      </w:r>
    </w:p>
    <w:p w14:paraId="66EDCED2" w14:textId="77777777" w:rsidR="00D33066" w:rsidRDefault="0017086F" w:rsidP="000E304C">
      <w:pPr>
        <w:pStyle w:val="Heading5"/>
      </w:pPr>
      <w:r>
        <w:t>Commencement</w:t>
      </w:r>
    </w:p>
    <w:p w14:paraId="4C24468C" w14:textId="77777777" w:rsidR="00D86E5E" w:rsidRPr="00154E1F" w:rsidRDefault="00CB775A" w:rsidP="000F194A">
      <w:pPr>
        <w:pStyle w:val="base-text-paragraph"/>
        <w:rPr>
          <w:rStyle w:val="Referencingstyle"/>
          <w:b w:val="0"/>
          <w:i w:val="0"/>
          <w:sz w:val="22"/>
        </w:rPr>
      </w:pPr>
      <w:r>
        <w:t xml:space="preserve">The </w:t>
      </w:r>
      <w:r w:rsidR="009B5BD2">
        <w:t>Prudential Supervision</w:t>
      </w:r>
      <w:r>
        <w:t xml:space="preserve"> </w:t>
      </w:r>
      <w:r w:rsidR="00BB05F4">
        <w:t>Bill</w:t>
      </w:r>
      <w:r>
        <w:t xml:space="preserve"> </w:t>
      </w:r>
      <w:r w:rsidR="00D406BE">
        <w:t>commence</w:t>
      </w:r>
      <w:r w:rsidR="009B5BD2">
        <w:t>s</w:t>
      </w:r>
      <w:r w:rsidR="00D406BE">
        <w:t xml:space="preserve"> from 1 July 2015 (if the </w:t>
      </w:r>
      <w:r w:rsidR="006B1151">
        <w:t>Bill</w:t>
      </w:r>
      <w:r w:rsidR="00D406BE">
        <w:t xml:space="preserve"> receives Royal Assent before 1 July 2015) or a single day to be fixed by proclamation (if the </w:t>
      </w:r>
      <w:r w:rsidR="006B1151">
        <w:t>Bill</w:t>
      </w:r>
      <w:r w:rsidR="00D406BE">
        <w:t xml:space="preserve"> receives Royal </w:t>
      </w:r>
      <w:r w:rsidR="00D75234">
        <w:t>Assent on or after 1</w:t>
      </w:r>
      <w:r w:rsidR="00CC2DF5">
        <w:t> </w:t>
      </w:r>
      <w:r w:rsidR="00D75234">
        <w:t>July</w:t>
      </w:r>
      <w:r w:rsidR="00CC2DF5">
        <w:t> </w:t>
      </w:r>
      <w:r w:rsidR="00D75234">
        <w:t>2015)</w:t>
      </w:r>
      <w:r w:rsidR="00055C49">
        <w:t>.</w:t>
      </w:r>
      <w:r w:rsidR="00D406BE" w:rsidRPr="00E92D59">
        <w:rPr>
          <w:rStyle w:val="Referencingstyle"/>
        </w:rPr>
        <w:t xml:space="preserve"> </w:t>
      </w:r>
      <w:r w:rsidR="00D86E5E" w:rsidRPr="00E92D59">
        <w:rPr>
          <w:rStyle w:val="Referencingstyle"/>
        </w:rPr>
        <w:t>[Part 1, Division</w:t>
      </w:r>
      <w:r w:rsidR="008F0708">
        <w:rPr>
          <w:rStyle w:val="Referencingstyle"/>
        </w:rPr>
        <w:t> </w:t>
      </w:r>
      <w:r w:rsidR="00D86E5E" w:rsidRPr="00E92D59">
        <w:rPr>
          <w:rStyle w:val="Referencingstyle"/>
        </w:rPr>
        <w:t xml:space="preserve">1, </w:t>
      </w:r>
      <w:r w:rsidR="0017086F" w:rsidRPr="00E92D59">
        <w:rPr>
          <w:rStyle w:val="Referencingstyle"/>
        </w:rPr>
        <w:t xml:space="preserve">section </w:t>
      </w:r>
      <w:r w:rsidR="00D86E5E" w:rsidRPr="00E92D59">
        <w:rPr>
          <w:rStyle w:val="Referencingstyle"/>
        </w:rPr>
        <w:t>2]</w:t>
      </w:r>
    </w:p>
    <w:p w14:paraId="26B35728" w14:textId="77777777" w:rsidR="00154E1F" w:rsidRPr="00E92D59" w:rsidRDefault="00154E1F" w:rsidP="000F194A">
      <w:pPr>
        <w:pStyle w:val="base-text-paragraph"/>
      </w:pPr>
      <w:r>
        <w:t xml:space="preserve">If the </w:t>
      </w:r>
      <w:r w:rsidR="009B5BD2">
        <w:t xml:space="preserve">Prudential Supervision </w:t>
      </w:r>
      <w:r w:rsidR="006B1151">
        <w:t>Bill</w:t>
      </w:r>
      <w:r>
        <w:t xml:space="preserve"> </w:t>
      </w:r>
      <w:r w:rsidR="00857575">
        <w:t>does not commence by</w:t>
      </w:r>
      <w:r>
        <w:t xml:space="preserve"> 1</w:t>
      </w:r>
      <w:r w:rsidR="00857575">
        <w:t> </w:t>
      </w:r>
      <w:r>
        <w:t>July</w:t>
      </w:r>
      <w:r w:rsidR="00857575">
        <w:t> </w:t>
      </w:r>
      <w:r>
        <w:t xml:space="preserve">2015 and </w:t>
      </w:r>
      <w:r w:rsidR="00FF6A53">
        <w:t xml:space="preserve">if </w:t>
      </w:r>
      <w:r w:rsidR="009B5BD2">
        <w:t xml:space="preserve">the Bill </w:t>
      </w:r>
      <w:r w:rsidR="00FF6A53">
        <w:t>do</w:t>
      </w:r>
      <w:r w:rsidR="009B5BD2">
        <w:t>es</w:t>
      </w:r>
      <w:r w:rsidR="00FF6A53">
        <w:t xml:space="preserve"> not commence within the period of six months </w:t>
      </w:r>
      <w:r w:rsidR="00857575">
        <w:t>of</w:t>
      </w:r>
      <w:r w:rsidR="009B5BD2">
        <w:t xml:space="preserve"> Royal Assent,</w:t>
      </w:r>
      <w:r w:rsidR="00FF6A53">
        <w:t xml:space="preserve"> the </w:t>
      </w:r>
      <w:r w:rsidR="006B1151">
        <w:t>Bill</w:t>
      </w:r>
      <w:r w:rsidR="00FF6A53">
        <w:t xml:space="preserve"> commence</w:t>
      </w:r>
      <w:r w:rsidR="009B5BD2">
        <w:t>s</w:t>
      </w:r>
      <w:r w:rsidR="00FF6A53">
        <w:t xml:space="preserve"> on the day after the end of that period.</w:t>
      </w:r>
    </w:p>
    <w:p w14:paraId="49235B65" w14:textId="77777777" w:rsidR="00D86E5E" w:rsidRPr="00E92D59" w:rsidRDefault="0017086F" w:rsidP="000E304C">
      <w:pPr>
        <w:pStyle w:val="Heading5"/>
      </w:pPr>
      <w:r w:rsidRPr="00E92D59">
        <w:t xml:space="preserve">Simplified outline of this </w:t>
      </w:r>
      <w:r w:rsidR="006B1151">
        <w:t>Bill</w:t>
      </w:r>
    </w:p>
    <w:p w14:paraId="6C75FE91" w14:textId="77777777" w:rsidR="000E2BDC" w:rsidRPr="000E2BDC" w:rsidRDefault="000E2BDC" w:rsidP="000F194A">
      <w:pPr>
        <w:pStyle w:val="base-text-paragraph"/>
      </w:pPr>
      <w:r w:rsidRPr="000E2BDC">
        <w:t>Only a private health insurer may carry on health insurance business. A private health insurer is a company that is registered under Part 2.</w:t>
      </w:r>
      <w:r>
        <w:t xml:space="preserve"> </w:t>
      </w:r>
      <w:r w:rsidRPr="00C04AA9">
        <w:rPr>
          <w:rStyle w:val="Referencingstyle"/>
        </w:rPr>
        <w:t>[Part</w:t>
      </w:r>
      <w:r>
        <w:rPr>
          <w:rStyle w:val="Referencingstyle"/>
        </w:rPr>
        <w:t> </w:t>
      </w:r>
      <w:r w:rsidRPr="00C04AA9">
        <w:rPr>
          <w:rStyle w:val="Referencingstyle"/>
        </w:rPr>
        <w:t>1, Division 1, section 3]</w:t>
      </w:r>
    </w:p>
    <w:p w14:paraId="05B3E875" w14:textId="77777777" w:rsidR="000E2BDC" w:rsidRPr="000E2BDC" w:rsidRDefault="000E2BDC" w:rsidP="000F194A">
      <w:pPr>
        <w:pStyle w:val="base-text-paragraph"/>
      </w:pPr>
      <w:r w:rsidRPr="000E2BDC">
        <w:t>A private health insurer must have at least one health benefits fund. There are regimes governing:</w:t>
      </w:r>
    </w:p>
    <w:p w14:paraId="61E973A5" w14:textId="77777777" w:rsidR="000E2BDC" w:rsidRPr="000E2BDC" w:rsidRDefault="000E2BDC">
      <w:pPr>
        <w:pStyle w:val="dotpoint"/>
      </w:pPr>
      <w:r w:rsidRPr="000E2BDC">
        <w:t>how health benefits funds are operated;</w:t>
      </w:r>
    </w:p>
    <w:p w14:paraId="5406620C" w14:textId="77777777" w:rsidR="000E2BDC" w:rsidRPr="000E2BDC" w:rsidRDefault="000E2BDC">
      <w:pPr>
        <w:pStyle w:val="dotpoint"/>
      </w:pPr>
      <w:r w:rsidRPr="000E2BDC">
        <w:t>changing the health benefits fund to which a policy of insurance is referable;</w:t>
      </w:r>
    </w:p>
    <w:p w14:paraId="13EC4FC9" w14:textId="77777777" w:rsidR="000E2BDC" w:rsidRPr="000E2BDC" w:rsidRDefault="000E2BDC">
      <w:pPr>
        <w:pStyle w:val="dotpoint"/>
      </w:pPr>
      <w:r w:rsidRPr="000E2BDC">
        <w:t>terminating health benefits funds; and</w:t>
      </w:r>
    </w:p>
    <w:p w14:paraId="6BBD9B4C" w14:textId="77777777" w:rsidR="000E2BDC" w:rsidRPr="000E2BDC" w:rsidRDefault="000E2BDC">
      <w:pPr>
        <w:pStyle w:val="dotpoint"/>
      </w:pPr>
      <w:r w:rsidRPr="000E2BDC">
        <w:t>external management of health benefits funds.</w:t>
      </w:r>
      <w:r>
        <w:t xml:space="preserve"> </w:t>
      </w:r>
      <w:r w:rsidRPr="00C04AA9">
        <w:rPr>
          <w:rStyle w:val="Referencingstyle"/>
        </w:rPr>
        <w:t>[Part</w:t>
      </w:r>
      <w:r>
        <w:rPr>
          <w:rStyle w:val="Referencingstyle"/>
        </w:rPr>
        <w:t> </w:t>
      </w:r>
      <w:r w:rsidRPr="00C04AA9">
        <w:rPr>
          <w:rStyle w:val="Referencingstyle"/>
        </w:rPr>
        <w:t>1, Division</w:t>
      </w:r>
      <w:r w:rsidR="006A0118">
        <w:rPr>
          <w:rStyle w:val="Referencingstyle"/>
        </w:rPr>
        <w:t> </w:t>
      </w:r>
      <w:r w:rsidRPr="00C04AA9">
        <w:rPr>
          <w:rStyle w:val="Referencingstyle"/>
        </w:rPr>
        <w:t>1, section 3]</w:t>
      </w:r>
    </w:p>
    <w:p w14:paraId="63FBA52C" w14:textId="77777777" w:rsidR="000E2BDC" w:rsidRPr="000E2BDC" w:rsidRDefault="000E2BDC" w:rsidP="000F194A">
      <w:pPr>
        <w:pStyle w:val="base-text-paragraph"/>
      </w:pPr>
      <w:r w:rsidRPr="000E2BDC">
        <w:t xml:space="preserve">Private health insurers must comply with prudential standards made by APRA, and </w:t>
      </w:r>
      <w:r w:rsidR="006A0118">
        <w:t xml:space="preserve">(in an enforcement context, usually where a significant prudential concern exists) </w:t>
      </w:r>
      <w:r w:rsidRPr="000E2BDC">
        <w:t>with directions given by APRA.</w:t>
      </w:r>
      <w:r>
        <w:t xml:space="preserve"> </w:t>
      </w:r>
      <w:r w:rsidRPr="000E2BDC">
        <w:t>Private health insurers and their appointed actuaries also have various other obligations.</w:t>
      </w:r>
      <w:r>
        <w:t xml:space="preserve"> </w:t>
      </w:r>
      <w:r w:rsidRPr="000E2BDC">
        <w:t>APRA has monitoring and investigative powers in relation to private health insurers.</w:t>
      </w:r>
      <w:r>
        <w:t xml:space="preserve"> </w:t>
      </w:r>
      <w:r w:rsidRPr="000E2BDC">
        <w:t>APRA may accept enforceable undertakings, and may seek remedies in the Federal Court in relation to contraventions of enforceable obligations.</w:t>
      </w:r>
      <w:r>
        <w:t xml:space="preserve"> </w:t>
      </w:r>
      <w:r w:rsidRPr="00C04AA9">
        <w:rPr>
          <w:rStyle w:val="Referencingstyle"/>
        </w:rPr>
        <w:t>[Part</w:t>
      </w:r>
      <w:r>
        <w:rPr>
          <w:rStyle w:val="Referencingstyle"/>
        </w:rPr>
        <w:t> </w:t>
      </w:r>
      <w:r w:rsidRPr="00C04AA9">
        <w:rPr>
          <w:rStyle w:val="Referencingstyle"/>
        </w:rPr>
        <w:t>1, Division 1, section 3]</w:t>
      </w:r>
    </w:p>
    <w:p w14:paraId="47FC7ED9" w14:textId="77777777" w:rsidR="0017086F" w:rsidRPr="006C3D7A" w:rsidRDefault="000E2BDC" w:rsidP="000F194A">
      <w:pPr>
        <w:pStyle w:val="base-text-paragraph"/>
      </w:pPr>
      <w:r w:rsidRPr="000E2BDC">
        <w:t xml:space="preserve">The </w:t>
      </w:r>
      <w:r>
        <w:t>PHI Act</w:t>
      </w:r>
      <w:r w:rsidRPr="000E2BDC">
        <w:t xml:space="preserve"> defines the key concepts of health insurance business and health benefits funds as well as other concepts that relate to health benefits funds. That Act also sets out rules governing private health insurance products and provides incentives to encourage people to have private health insurance.</w:t>
      </w:r>
      <w:r w:rsidR="009851D3" w:rsidRPr="006C3D7A">
        <w:t xml:space="preserve"> </w:t>
      </w:r>
      <w:r w:rsidR="009851D3" w:rsidRPr="00C04AA9">
        <w:rPr>
          <w:rStyle w:val="Referencingstyle"/>
        </w:rPr>
        <w:t>[Part</w:t>
      </w:r>
      <w:r w:rsidR="008F0708">
        <w:rPr>
          <w:rStyle w:val="Referencingstyle"/>
        </w:rPr>
        <w:t> </w:t>
      </w:r>
      <w:r w:rsidR="009851D3" w:rsidRPr="00C04AA9">
        <w:rPr>
          <w:rStyle w:val="Referencingstyle"/>
        </w:rPr>
        <w:t>1, Division 1, section 3]</w:t>
      </w:r>
    </w:p>
    <w:p w14:paraId="3C9B19F5" w14:textId="77777777" w:rsidR="0017086F" w:rsidRPr="00E92D59" w:rsidRDefault="00E92D59" w:rsidP="000E304C">
      <w:pPr>
        <w:pStyle w:val="Heading5"/>
      </w:pPr>
      <w:r w:rsidRPr="00C04AA9">
        <w:t>I</w:t>
      </w:r>
      <w:r w:rsidRPr="00E92D59">
        <w:t>nterpretation</w:t>
      </w:r>
    </w:p>
    <w:p w14:paraId="253F9EA7" w14:textId="77777777" w:rsidR="009851D3" w:rsidRDefault="00D86E5E" w:rsidP="000F194A">
      <w:pPr>
        <w:pStyle w:val="base-text-paragraph"/>
      </w:pPr>
      <w:r w:rsidRPr="00E92D59">
        <w:t xml:space="preserve">The dictionary provides definitions of terms used in </w:t>
      </w:r>
      <w:r w:rsidR="00CC2DF5">
        <w:t>th</w:t>
      </w:r>
      <w:r w:rsidR="00BA2F77">
        <w:t>e Prudential Supervision Bill</w:t>
      </w:r>
      <w:r w:rsidR="00A66514">
        <w:t>.</w:t>
      </w:r>
      <w:r>
        <w:t xml:space="preserve"> In some cases, the definitions are signposts to other provisions within the </w:t>
      </w:r>
      <w:r w:rsidR="0023493D">
        <w:t>Bill</w:t>
      </w:r>
      <w:r>
        <w:t xml:space="preserve"> or refer to definitions of terms in other Acts in which the meaning of the term is </w:t>
      </w:r>
      <w:r w:rsidR="009851D3">
        <w:t xml:space="preserve">given.  </w:t>
      </w:r>
      <w:r w:rsidR="009851D3" w:rsidRPr="00D86E5E">
        <w:rPr>
          <w:rStyle w:val="Referencingstyle"/>
        </w:rPr>
        <w:t xml:space="preserve">[Part 1, Division 1, </w:t>
      </w:r>
      <w:r w:rsidR="009851D3">
        <w:rPr>
          <w:rStyle w:val="Referencingstyle"/>
        </w:rPr>
        <w:t>section 4]</w:t>
      </w:r>
    </w:p>
    <w:p w14:paraId="14B62D8F" w14:textId="77777777" w:rsidR="009851D3" w:rsidRDefault="009851D3" w:rsidP="001A57F7">
      <w:pPr>
        <w:pStyle w:val="Heading5"/>
      </w:pPr>
      <w:r>
        <w:t xml:space="preserve">General administration of the </w:t>
      </w:r>
      <w:r w:rsidR="00A66514">
        <w:t>Bill</w:t>
      </w:r>
    </w:p>
    <w:p w14:paraId="2BFE85F7" w14:textId="77777777" w:rsidR="00D86E5E" w:rsidRDefault="005D4055" w:rsidP="000F194A">
      <w:pPr>
        <w:pStyle w:val="base-text-paragraph"/>
      </w:pPr>
      <w:r>
        <w:t xml:space="preserve">APRA </w:t>
      </w:r>
      <w:r w:rsidR="00FF52EB">
        <w:t xml:space="preserve">will have </w:t>
      </w:r>
      <w:r>
        <w:t xml:space="preserve">responsibility for the general administration of the </w:t>
      </w:r>
      <w:r w:rsidR="00A66514">
        <w:t>Bill</w:t>
      </w:r>
      <w:r>
        <w:t xml:space="preserve">.  </w:t>
      </w:r>
      <w:r w:rsidRPr="001A57F7">
        <w:rPr>
          <w:rStyle w:val="Referencingstyle"/>
        </w:rPr>
        <w:t>[Part 1, Division 1, section 5]</w:t>
      </w:r>
    </w:p>
    <w:p w14:paraId="5E66255A" w14:textId="77777777" w:rsidR="00D86E5E" w:rsidRDefault="00D86E5E" w:rsidP="00055C49">
      <w:pPr>
        <w:pStyle w:val="Heading4"/>
        <w:tabs>
          <w:tab w:val="right" w:pos="7710"/>
        </w:tabs>
      </w:pPr>
      <w:r>
        <w:t>Division 2 - Constitutional matters</w:t>
      </w:r>
      <w:r w:rsidR="00055C49">
        <w:tab/>
      </w:r>
    </w:p>
    <w:p w14:paraId="0FB3D89F" w14:textId="77777777" w:rsidR="00D86E5E" w:rsidRDefault="00D86E5E" w:rsidP="000F194A">
      <w:pPr>
        <w:pStyle w:val="base-text-paragraph"/>
      </w:pPr>
      <w:r>
        <w:t xml:space="preserve">Division 2 </w:t>
      </w:r>
      <w:r w:rsidR="004E45FC">
        <w:t>relates to</w:t>
      </w:r>
      <w:r>
        <w:t xml:space="preserve"> the constitutional basis of the </w:t>
      </w:r>
      <w:r w:rsidR="00A66514">
        <w:t xml:space="preserve">Bill </w:t>
      </w:r>
      <w:r>
        <w:t xml:space="preserve">and the </w:t>
      </w:r>
      <w:r w:rsidR="00A66514">
        <w:t xml:space="preserve">Bill’s </w:t>
      </w:r>
      <w:r>
        <w:t>application.</w:t>
      </w:r>
      <w:r w:rsidR="004A6431">
        <w:t xml:space="preserve">  </w:t>
      </w:r>
      <w:r w:rsidR="004A6431" w:rsidRPr="004A6431">
        <w:t xml:space="preserve">The division is based on </w:t>
      </w:r>
      <w:r w:rsidR="00E32E0B" w:rsidRPr="004A6431">
        <w:t xml:space="preserve">Division 5 </w:t>
      </w:r>
      <w:r w:rsidR="00E32E0B">
        <w:t xml:space="preserve">of </w:t>
      </w:r>
      <w:r w:rsidR="004A6431" w:rsidRPr="004A6431">
        <w:t>Part</w:t>
      </w:r>
      <w:r w:rsidR="00E32E0B">
        <w:t> </w:t>
      </w:r>
      <w:r w:rsidR="004A6431" w:rsidRPr="004A6431">
        <w:t>1-1 of the PHI Act.</w:t>
      </w:r>
    </w:p>
    <w:p w14:paraId="018A06F6" w14:textId="77777777" w:rsidR="003F613B" w:rsidRDefault="00A66514" w:rsidP="003F613B">
      <w:pPr>
        <w:pStyle w:val="Heading5"/>
      </w:pPr>
      <w:r>
        <w:t>Bill</w:t>
      </w:r>
      <w:r w:rsidR="003F613B">
        <w:t xml:space="preserve"> binds the Crown</w:t>
      </w:r>
    </w:p>
    <w:p w14:paraId="2739AB83" w14:textId="77777777" w:rsidR="003F613B" w:rsidRPr="003F613B" w:rsidRDefault="003F613B" w:rsidP="000F194A">
      <w:pPr>
        <w:pStyle w:val="base-text-paragraph"/>
      </w:pPr>
      <w:r>
        <w:t xml:space="preserve">The </w:t>
      </w:r>
      <w:r w:rsidR="00A66514">
        <w:t xml:space="preserve">Bill </w:t>
      </w:r>
      <w:r>
        <w:t>binds the Crown in each of its capacities</w:t>
      </w:r>
      <w:r w:rsidR="00CB775A">
        <w:t>. This section is subject to section 7</w:t>
      </w:r>
      <w:r w:rsidR="00055C49">
        <w:t>.</w:t>
      </w:r>
      <w:r>
        <w:t xml:space="preserve"> </w:t>
      </w:r>
      <w:r>
        <w:rPr>
          <w:rStyle w:val="Referencingstyle"/>
        </w:rPr>
        <w:t>[Part 1, Division </w:t>
      </w:r>
      <w:r w:rsidRPr="00D86E5E">
        <w:rPr>
          <w:rStyle w:val="Referencingstyle"/>
        </w:rPr>
        <w:t xml:space="preserve">2, section </w:t>
      </w:r>
      <w:r>
        <w:rPr>
          <w:rStyle w:val="Referencingstyle"/>
        </w:rPr>
        <w:t>6</w:t>
      </w:r>
      <w:r w:rsidRPr="00D86E5E">
        <w:rPr>
          <w:rStyle w:val="Referencingstyle"/>
        </w:rPr>
        <w:t>]</w:t>
      </w:r>
    </w:p>
    <w:p w14:paraId="6A759781" w14:textId="77777777" w:rsidR="0017086F" w:rsidRDefault="0088534B" w:rsidP="006133DE">
      <w:pPr>
        <w:pStyle w:val="Heading5"/>
      </w:pPr>
      <w:r>
        <w:t>Bill</w:t>
      </w:r>
      <w:r w:rsidR="0017086F">
        <w:t xml:space="preserve"> not to apply to State insurance within that State</w:t>
      </w:r>
    </w:p>
    <w:p w14:paraId="3C42302E" w14:textId="77777777" w:rsidR="00D86E5E" w:rsidRDefault="00BC7001" w:rsidP="00BA2F77">
      <w:pPr>
        <w:pStyle w:val="base-text-paragraph"/>
        <w:tabs>
          <w:tab w:val="clear" w:pos="1985"/>
          <w:tab w:val="num" w:pos="1986"/>
        </w:tabs>
      </w:pPr>
      <w:r>
        <w:t>T</w:t>
      </w:r>
      <w:r w:rsidR="0017086F">
        <w:t>he</w:t>
      </w:r>
      <w:r w:rsidR="00D86E5E">
        <w:t xml:space="preserve"> </w:t>
      </w:r>
      <w:r w:rsidR="00BA2F77" w:rsidRPr="00BA2F77">
        <w:t>Prudential Supervision Bill</w:t>
      </w:r>
      <w:r w:rsidR="00A66514">
        <w:t xml:space="preserve"> </w:t>
      </w:r>
      <w:r w:rsidR="00D86E5E">
        <w:t>does not apply to State insurance that does not extend beyond that State</w:t>
      </w:r>
      <w:r w:rsidR="00055C49">
        <w:t>.</w:t>
      </w:r>
      <w:r w:rsidR="00D86E5E">
        <w:t xml:space="preserve"> </w:t>
      </w:r>
      <w:r w:rsidR="00D86E5E" w:rsidRPr="00D86E5E">
        <w:rPr>
          <w:rStyle w:val="Referencingstyle"/>
        </w:rPr>
        <w:t xml:space="preserve">[Part 1, Division 2, section </w:t>
      </w:r>
      <w:r>
        <w:rPr>
          <w:rStyle w:val="Referencingstyle"/>
        </w:rPr>
        <w:t>7</w:t>
      </w:r>
      <w:r w:rsidR="00D86E5E" w:rsidRPr="00D86E5E">
        <w:rPr>
          <w:rStyle w:val="Referencingstyle"/>
        </w:rPr>
        <w:t>]</w:t>
      </w:r>
    </w:p>
    <w:p w14:paraId="523F1DB1" w14:textId="77777777" w:rsidR="0017086F" w:rsidRDefault="0017086F" w:rsidP="006133DE">
      <w:pPr>
        <w:pStyle w:val="Heading5"/>
      </w:pPr>
      <w:r>
        <w:t>Compensation for acquisition of property</w:t>
      </w:r>
    </w:p>
    <w:p w14:paraId="5A62E5FE" w14:textId="77777777" w:rsidR="00D86E5E" w:rsidRPr="00BA2F77" w:rsidRDefault="00BC7001" w:rsidP="00BA2F77">
      <w:pPr>
        <w:pStyle w:val="base-text-paragraph"/>
        <w:tabs>
          <w:tab w:val="clear" w:pos="1985"/>
          <w:tab w:val="num" w:pos="1986"/>
        </w:tabs>
        <w:rPr>
          <w:rStyle w:val="Referencingstyle"/>
          <w:b w:val="0"/>
          <w:i w:val="0"/>
          <w:sz w:val="22"/>
        </w:rPr>
      </w:pPr>
      <w:r>
        <w:t>If</w:t>
      </w:r>
      <w:r w:rsidR="00582854">
        <w:t xml:space="preserve"> the operation of the </w:t>
      </w:r>
      <w:r w:rsidR="00BA2F77" w:rsidRPr="00BA2F77">
        <w:t xml:space="preserve">Prudential Supervision Bill </w:t>
      </w:r>
      <w:r w:rsidR="00582854">
        <w:t>would result in an unjust acquisition of property for a person otherwise than on just terms</w:t>
      </w:r>
      <w:r w:rsidR="0017086F">
        <w:t xml:space="preserve"> (within the meaning of paragraph 51(</w:t>
      </w:r>
      <w:r w:rsidR="00CB775A">
        <w:t>x</w:t>
      </w:r>
      <w:r w:rsidR="0017086F">
        <w:t xml:space="preserve">xxi) of the Constitution) the Commonwealth is liable to pay a reasonable amount </w:t>
      </w:r>
      <w:r w:rsidR="0088534B">
        <w:t xml:space="preserve">of compensation to the person. </w:t>
      </w:r>
      <w:r w:rsidR="0017086F">
        <w:t>If agreement cannot be reach</w:t>
      </w:r>
      <w:r w:rsidR="003F613B">
        <w:t>ed</w:t>
      </w:r>
      <w:r w:rsidR="0017086F">
        <w:t xml:space="preserve"> on the amount of compensation, the person may take action in the Federal Court</w:t>
      </w:r>
      <w:r w:rsidR="00055C49">
        <w:t>.</w:t>
      </w:r>
      <w:r w:rsidR="00582854">
        <w:t xml:space="preserve"> </w:t>
      </w:r>
      <w:r w:rsidR="00D86E5E" w:rsidRPr="00D86E5E">
        <w:rPr>
          <w:rStyle w:val="Referencingstyle"/>
        </w:rPr>
        <w:t xml:space="preserve">[Part 1, Division 2, section </w:t>
      </w:r>
      <w:r>
        <w:rPr>
          <w:rStyle w:val="Referencingstyle"/>
        </w:rPr>
        <w:t>8</w:t>
      </w:r>
      <w:r w:rsidR="00D86E5E" w:rsidRPr="00D86E5E">
        <w:rPr>
          <w:rStyle w:val="Referencingstyle"/>
        </w:rPr>
        <w:t>]</w:t>
      </w:r>
    </w:p>
    <w:p w14:paraId="1F1E212F" w14:textId="77777777" w:rsidR="000E2BDC" w:rsidRDefault="000E2BDC" w:rsidP="006F4BA9">
      <w:pPr>
        <w:pStyle w:val="Heading5"/>
        <w:rPr>
          <w:rStyle w:val="Referencingstyle"/>
          <w:b w:val="0"/>
          <w:sz w:val="22"/>
        </w:rPr>
      </w:pPr>
      <w:r>
        <w:rPr>
          <w:rStyle w:val="Referencingstyle"/>
          <w:b w:val="0"/>
          <w:i/>
          <w:sz w:val="22"/>
        </w:rPr>
        <w:t>Legal professional privilege</w:t>
      </w:r>
    </w:p>
    <w:p w14:paraId="61EBCEBB" w14:textId="77777777" w:rsidR="00566C33" w:rsidRDefault="000E2BDC" w:rsidP="000F194A">
      <w:pPr>
        <w:pStyle w:val="base-text-paragraph"/>
      </w:pPr>
      <w:r>
        <w:t>There is no specific reference to legal professional p</w:t>
      </w:r>
      <w:r w:rsidR="0088534B">
        <w:t xml:space="preserve">rivilege applying to this Bill, </w:t>
      </w:r>
      <w:r w:rsidR="00F555C4">
        <w:t>and therefore the</w:t>
      </w:r>
      <w:r w:rsidDel="00F555C4">
        <w:t xml:space="preserve"> </w:t>
      </w:r>
      <w:r>
        <w:t xml:space="preserve">common law </w:t>
      </w:r>
      <w:r w:rsidR="00F555C4">
        <w:t xml:space="preserve">principle </w:t>
      </w:r>
      <w:r>
        <w:t>of legal professional privilege will apply.</w:t>
      </w:r>
    </w:p>
    <w:p w14:paraId="2E66C0CA" w14:textId="77777777" w:rsidR="00017E99" w:rsidRDefault="00017E99" w:rsidP="00017E99">
      <w:pPr>
        <w:pStyle w:val="Hiddentext"/>
      </w:pPr>
    </w:p>
    <w:p w14:paraId="79873CC8" w14:textId="77777777" w:rsidR="00017E99" w:rsidRDefault="00017E99" w:rsidP="00017E99">
      <w:pPr>
        <w:sectPr w:rsidR="00017E99" w:rsidSect="00D86E5E">
          <w:headerReference w:type="even" r:id="rId38"/>
          <w:headerReference w:type="default" r:id="rId39"/>
          <w:footerReference w:type="even" r:id="rId40"/>
          <w:footerReference w:type="default" r:id="rId41"/>
          <w:footerReference w:type="first" r:id="rId42"/>
          <w:type w:val="oddPage"/>
          <w:pgSz w:w="11906" w:h="16838" w:code="9"/>
          <w:pgMar w:top="2466" w:right="2098" w:bottom="2466" w:left="2098" w:header="1559" w:footer="1899" w:gutter="0"/>
          <w:cols w:space="708"/>
          <w:titlePg/>
          <w:docGrid w:linePitch="360"/>
        </w:sectPr>
      </w:pPr>
    </w:p>
    <w:p w14:paraId="5433CC5A" w14:textId="77777777" w:rsidR="00566C33" w:rsidRPr="00F51A71" w:rsidRDefault="00566C33" w:rsidP="00DD7789">
      <w:pPr>
        <w:pStyle w:val="ChapterHeading"/>
        <w:numPr>
          <w:ilvl w:val="0"/>
          <w:numId w:val="105"/>
        </w:numPr>
        <w:tabs>
          <w:tab w:val="clear" w:pos="1134"/>
          <w:tab w:val="num" w:pos="360"/>
        </w:tabs>
      </w:pPr>
      <w:r w:rsidRPr="00F51A71">
        <w:br/>
      </w:r>
      <w:bookmarkStart w:id="43" w:name="_Toc406581431"/>
      <w:bookmarkStart w:id="44" w:name="_Toc406752077"/>
      <w:bookmarkStart w:id="45" w:name="_Toc406757007"/>
      <w:bookmarkStart w:id="46" w:name="_Toc406760720"/>
      <w:bookmarkStart w:id="47" w:name="_Toc407026918"/>
      <w:bookmarkStart w:id="48" w:name="_Toc416957155"/>
      <w:bookmarkStart w:id="49" w:name="_Toc418177762"/>
      <w:bookmarkStart w:id="50" w:name="_Toc418249759"/>
      <w:r>
        <w:t>Registration of private health insurers</w:t>
      </w:r>
      <w:bookmarkEnd w:id="43"/>
      <w:bookmarkEnd w:id="44"/>
      <w:bookmarkEnd w:id="45"/>
      <w:bookmarkEnd w:id="46"/>
      <w:bookmarkEnd w:id="47"/>
      <w:bookmarkEnd w:id="48"/>
      <w:bookmarkEnd w:id="49"/>
      <w:bookmarkEnd w:id="50"/>
    </w:p>
    <w:p w14:paraId="623370BC" w14:textId="77777777" w:rsidR="00566C33" w:rsidRDefault="00566C33" w:rsidP="00881C4D">
      <w:pPr>
        <w:pStyle w:val="Heading2"/>
      </w:pPr>
      <w:r>
        <w:t>Outline of chapter</w:t>
      </w:r>
    </w:p>
    <w:p w14:paraId="6A78C68B" w14:textId="77777777" w:rsidR="00C66773" w:rsidRDefault="007F153F" w:rsidP="000F194A">
      <w:pPr>
        <w:pStyle w:val="base-text-paragraph"/>
      </w:pPr>
      <w:r>
        <w:t xml:space="preserve">Part 2 provides </w:t>
      </w:r>
      <w:r w:rsidR="002A4029">
        <w:t>a</w:t>
      </w:r>
      <w:r>
        <w:t xml:space="preserve"> registration</w:t>
      </w:r>
      <w:r w:rsidR="002A4029">
        <w:t xml:space="preserve"> regime for private health insurers administered by APRA. </w:t>
      </w:r>
      <w:r>
        <w:t xml:space="preserve"> </w:t>
      </w:r>
      <w:r w:rsidR="00C66773">
        <w:t>It includes:</w:t>
      </w:r>
    </w:p>
    <w:p w14:paraId="3665B211" w14:textId="77777777" w:rsidR="00C66773" w:rsidRDefault="00C66773" w:rsidP="006C3D7A">
      <w:pPr>
        <w:pStyle w:val="dotpoint"/>
      </w:pPr>
      <w:r>
        <w:t>a prohibition on carrying on health insurance business without being registered</w:t>
      </w:r>
      <w:r w:rsidR="006C200C">
        <w:t xml:space="preserve"> and the availability of injunctions to enforce breaches of this prohibition</w:t>
      </w:r>
      <w:r>
        <w:t>;</w:t>
      </w:r>
    </w:p>
    <w:p w14:paraId="766CFB68" w14:textId="77777777" w:rsidR="00C66773" w:rsidRDefault="00C66773" w:rsidP="006C3D7A">
      <w:pPr>
        <w:pStyle w:val="dotpoint"/>
      </w:pPr>
      <w:r>
        <w:t>arrangements for applying for registration</w:t>
      </w:r>
      <w:r w:rsidR="00B54FF9">
        <w:t>,</w:t>
      </w:r>
      <w:r w:rsidDel="00B54FF9">
        <w:t xml:space="preserve"> </w:t>
      </w:r>
      <w:r>
        <w:t>changes in registration status</w:t>
      </w:r>
      <w:r w:rsidR="00B54FF9">
        <w:t xml:space="preserve"> and cancellation of registration</w:t>
      </w:r>
      <w:r>
        <w:t>;</w:t>
      </w:r>
      <w:r w:rsidR="00E32E0B" w:rsidRPr="00E32E0B">
        <w:t xml:space="preserve"> </w:t>
      </w:r>
      <w:r w:rsidR="00E32E0B">
        <w:t>and</w:t>
      </w:r>
    </w:p>
    <w:p w14:paraId="4DF5BEB0" w14:textId="77777777" w:rsidR="00C66773" w:rsidRDefault="00C66773" w:rsidP="006C3D7A">
      <w:pPr>
        <w:pStyle w:val="dotpoint"/>
      </w:pPr>
      <w:r>
        <w:t>APRA</w:t>
      </w:r>
      <w:r w:rsidR="00E92D59">
        <w:t>’</w:t>
      </w:r>
      <w:r>
        <w:t>s powers to grant or refuse application</w:t>
      </w:r>
      <w:r w:rsidR="00E92D59">
        <w:t>s</w:t>
      </w:r>
      <w:r>
        <w:t xml:space="preserve"> and cancel a privat</w:t>
      </w:r>
      <w:r w:rsidR="00E32E0B">
        <w:t>e health insurer's registration.</w:t>
      </w:r>
      <w:r>
        <w:t xml:space="preserve"> </w:t>
      </w:r>
    </w:p>
    <w:p w14:paraId="67A15428" w14:textId="77777777" w:rsidR="00B76610" w:rsidRDefault="00B76610" w:rsidP="00276616">
      <w:pPr>
        <w:pStyle w:val="base-text-paragraph"/>
      </w:pPr>
      <w:r>
        <w:t xml:space="preserve">Unless otherwise stated, all references in this Chapter relate to the </w:t>
      </w:r>
      <w:r>
        <w:rPr>
          <w:rStyle w:val="Referencingstyle"/>
          <w:b w:val="0"/>
          <w:i w:val="0"/>
          <w:sz w:val="22"/>
        </w:rPr>
        <w:t>Prudential Supervision Bill.</w:t>
      </w:r>
    </w:p>
    <w:p w14:paraId="332663CA" w14:textId="77777777" w:rsidR="00566C33" w:rsidRDefault="00566C33" w:rsidP="00881C4D">
      <w:pPr>
        <w:pStyle w:val="Heading2"/>
      </w:pPr>
      <w:r>
        <w:t>Summary of new law</w:t>
      </w:r>
    </w:p>
    <w:p w14:paraId="62CF0D61" w14:textId="77777777" w:rsidR="00566C33" w:rsidRPr="008F726E" w:rsidRDefault="004A6431" w:rsidP="000F194A">
      <w:pPr>
        <w:pStyle w:val="base-text-paragraph"/>
      </w:pPr>
      <w:r>
        <w:t>Part 2 is</w:t>
      </w:r>
      <w:r w:rsidRPr="004A6431">
        <w:t xml:space="preserve"> largely based on the existing registration provisions</w:t>
      </w:r>
      <w:r w:rsidR="00B54FF9">
        <w:t xml:space="preserve"> currently provided</w:t>
      </w:r>
      <w:r w:rsidRPr="004A6431">
        <w:t xml:space="preserve"> in Parts 4-2 and 4-3 of the PHI Act, with some modifications to simplify the provisions relating to APRA’s decision whether or not to register an applicant and bring about consistency with other legislation administered by APRA.</w:t>
      </w:r>
    </w:p>
    <w:p w14:paraId="3C4129A4" w14:textId="77777777" w:rsidR="00566C33" w:rsidRDefault="00566C33" w:rsidP="00881C4D">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566C33" w:rsidRPr="004666B8" w14:paraId="4AD31CB1" w14:textId="77777777" w:rsidTr="00276616">
        <w:trPr>
          <w:tblHeader/>
        </w:trPr>
        <w:tc>
          <w:tcPr>
            <w:tcW w:w="3275" w:type="dxa"/>
          </w:tcPr>
          <w:p w14:paraId="2AE74588" w14:textId="77777777" w:rsidR="00566C33" w:rsidRPr="004666B8" w:rsidRDefault="00566C33" w:rsidP="00881C4D">
            <w:pPr>
              <w:pStyle w:val="tableheaderwithintable"/>
              <w:rPr>
                <w:lang w:val="en-US" w:eastAsia="en-US"/>
              </w:rPr>
            </w:pPr>
            <w:r w:rsidRPr="004666B8">
              <w:rPr>
                <w:lang w:val="en-US" w:eastAsia="en-US"/>
              </w:rPr>
              <w:t>New law</w:t>
            </w:r>
          </w:p>
        </w:tc>
        <w:tc>
          <w:tcPr>
            <w:tcW w:w="3276" w:type="dxa"/>
          </w:tcPr>
          <w:p w14:paraId="05633ACA" w14:textId="77777777" w:rsidR="00566C33" w:rsidRPr="004666B8" w:rsidRDefault="00566C33" w:rsidP="00881C4D">
            <w:pPr>
              <w:pStyle w:val="tableheaderwithintable"/>
              <w:rPr>
                <w:lang w:val="en-US" w:eastAsia="en-US"/>
              </w:rPr>
            </w:pPr>
            <w:r w:rsidRPr="004666B8">
              <w:rPr>
                <w:lang w:val="en-US" w:eastAsia="en-US"/>
              </w:rPr>
              <w:t>Current law</w:t>
            </w:r>
          </w:p>
        </w:tc>
      </w:tr>
      <w:tr w:rsidR="00566C33" w:rsidRPr="004666B8" w14:paraId="010EE229" w14:textId="77777777" w:rsidTr="00881C4D">
        <w:tc>
          <w:tcPr>
            <w:tcW w:w="3275" w:type="dxa"/>
          </w:tcPr>
          <w:p w14:paraId="20008CD1" w14:textId="77777777" w:rsidR="00566C33" w:rsidRPr="004666B8" w:rsidRDefault="0027333F" w:rsidP="0027333F">
            <w:pPr>
              <w:pStyle w:val="tabletext"/>
              <w:rPr>
                <w:lang w:val="en-US" w:eastAsia="en-US"/>
              </w:rPr>
            </w:pPr>
            <w:r>
              <w:rPr>
                <w:lang w:val="en-US" w:eastAsia="en-US"/>
              </w:rPr>
              <w:t xml:space="preserve">The new law mirrors the current law. </w:t>
            </w:r>
          </w:p>
        </w:tc>
        <w:tc>
          <w:tcPr>
            <w:tcW w:w="3276" w:type="dxa"/>
          </w:tcPr>
          <w:p w14:paraId="5026F196" w14:textId="77777777" w:rsidR="00566C33" w:rsidRPr="004666B8" w:rsidRDefault="0027333F" w:rsidP="0027333F">
            <w:pPr>
              <w:pStyle w:val="tabletext"/>
              <w:rPr>
                <w:lang w:val="en-US" w:eastAsia="en-US"/>
              </w:rPr>
            </w:pPr>
            <w:r>
              <w:rPr>
                <w:lang w:val="en-US" w:eastAsia="en-US"/>
              </w:rPr>
              <w:t>There is a p</w:t>
            </w:r>
            <w:r w:rsidR="006C200C">
              <w:rPr>
                <w:lang w:val="en-US" w:eastAsia="en-US"/>
              </w:rPr>
              <w:t xml:space="preserve">rohibition against carrying on health insurance business without registration </w:t>
            </w:r>
            <w:r w:rsidR="00A664A7">
              <w:rPr>
                <w:lang w:val="en-US" w:eastAsia="en-US"/>
              </w:rPr>
              <w:t>and injuncti</w:t>
            </w:r>
            <w:r>
              <w:rPr>
                <w:lang w:val="en-US" w:eastAsia="en-US"/>
              </w:rPr>
              <w:t>ons to enforce this prohibition.</w:t>
            </w:r>
          </w:p>
        </w:tc>
      </w:tr>
      <w:tr w:rsidR="006849AF" w:rsidRPr="004666B8" w14:paraId="54D887FE" w14:textId="77777777" w:rsidTr="00881C4D">
        <w:tc>
          <w:tcPr>
            <w:tcW w:w="3275" w:type="dxa"/>
          </w:tcPr>
          <w:p w14:paraId="3306EA21" w14:textId="77777777" w:rsidR="006849AF" w:rsidRDefault="00FF0210" w:rsidP="0041213C">
            <w:pPr>
              <w:pStyle w:val="tabletext"/>
              <w:keepNext/>
              <w:keepLines/>
              <w:rPr>
                <w:lang w:val="en-US" w:eastAsia="en-US"/>
              </w:rPr>
            </w:pPr>
            <w:r>
              <w:rPr>
                <w:lang w:val="en-US" w:eastAsia="en-US"/>
              </w:rPr>
              <w:t xml:space="preserve">Certain </w:t>
            </w:r>
            <w:r w:rsidR="00A664A7">
              <w:rPr>
                <w:lang w:val="en-US" w:eastAsia="en-US"/>
              </w:rPr>
              <w:t>bod</w:t>
            </w:r>
            <w:r>
              <w:rPr>
                <w:lang w:val="en-US" w:eastAsia="en-US"/>
              </w:rPr>
              <w:t>ies</w:t>
            </w:r>
            <w:r w:rsidR="00A664A7">
              <w:rPr>
                <w:lang w:val="en-US" w:eastAsia="en-US"/>
              </w:rPr>
              <w:t xml:space="preserve"> may a</w:t>
            </w:r>
            <w:r w:rsidR="006C200C">
              <w:rPr>
                <w:lang w:val="en-US" w:eastAsia="en-US"/>
              </w:rPr>
              <w:t xml:space="preserve">pply </w:t>
            </w:r>
            <w:r w:rsidR="00A664A7">
              <w:rPr>
                <w:lang w:val="en-US" w:eastAsia="en-US"/>
              </w:rPr>
              <w:t xml:space="preserve">to APRA </w:t>
            </w:r>
            <w:r w:rsidR="006C200C">
              <w:rPr>
                <w:lang w:val="en-US" w:eastAsia="en-US"/>
              </w:rPr>
              <w:t xml:space="preserve">for registration </w:t>
            </w:r>
            <w:r w:rsidR="00A664A7">
              <w:rPr>
                <w:lang w:val="en-US" w:eastAsia="en-US"/>
              </w:rPr>
              <w:t xml:space="preserve">as a private health insurer </w:t>
            </w:r>
            <w:r w:rsidR="006C200C">
              <w:rPr>
                <w:lang w:val="en-US" w:eastAsia="en-US"/>
              </w:rPr>
              <w:t>(section 12)</w:t>
            </w:r>
            <w:r w:rsidR="006302B5">
              <w:rPr>
                <w:lang w:val="en-US" w:eastAsia="en-US"/>
              </w:rPr>
              <w:t>.</w:t>
            </w:r>
          </w:p>
        </w:tc>
        <w:tc>
          <w:tcPr>
            <w:tcW w:w="3276" w:type="dxa"/>
          </w:tcPr>
          <w:p w14:paraId="2B50C66A" w14:textId="77777777" w:rsidR="006849AF" w:rsidRDefault="00FF0210" w:rsidP="0041213C">
            <w:pPr>
              <w:pStyle w:val="tabletext"/>
              <w:keepNext/>
              <w:keepLines/>
              <w:rPr>
                <w:lang w:val="en-US" w:eastAsia="en-US"/>
              </w:rPr>
            </w:pPr>
            <w:r>
              <w:rPr>
                <w:lang w:val="en-US" w:eastAsia="en-US"/>
              </w:rPr>
              <w:t xml:space="preserve">Certain </w:t>
            </w:r>
            <w:r w:rsidR="00A664A7">
              <w:rPr>
                <w:lang w:val="en-US" w:eastAsia="en-US"/>
              </w:rPr>
              <w:t>bod</w:t>
            </w:r>
            <w:r>
              <w:rPr>
                <w:lang w:val="en-US" w:eastAsia="en-US"/>
              </w:rPr>
              <w:t>ies</w:t>
            </w:r>
            <w:r w:rsidR="00A664A7">
              <w:rPr>
                <w:lang w:val="en-US" w:eastAsia="en-US"/>
              </w:rPr>
              <w:t xml:space="preserve"> may a</w:t>
            </w:r>
            <w:r w:rsidR="006C200C">
              <w:rPr>
                <w:lang w:val="en-US" w:eastAsia="en-US"/>
              </w:rPr>
              <w:t xml:space="preserve">pply </w:t>
            </w:r>
            <w:r w:rsidR="00A664A7">
              <w:rPr>
                <w:lang w:val="en-US" w:eastAsia="en-US"/>
              </w:rPr>
              <w:t>to the Council</w:t>
            </w:r>
            <w:r w:rsidR="006C200C">
              <w:rPr>
                <w:lang w:val="en-US" w:eastAsia="en-US"/>
              </w:rPr>
              <w:t xml:space="preserve"> for registration </w:t>
            </w:r>
            <w:r w:rsidR="00A664A7">
              <w:rPr>
                <w:lang w:val="en-US" w:eastAsia="en-US"/>
              </w:rPr>
              <w:t>as a private health insurer</w:t>
            </w:r>
            <w:r w:rsidR="006C200C">
              <w:rPr>
                <w:lang w:val="en-US" w:eastAsia="en-US"/>
              </w:rPr>
              <w:t xml:space="preserve"> (section</w:t>
            </w:r>
            <w:r w:rsidR="009B57EB">
              <w:rPr>
                <w:lang w:val="en-US" w:eastAsia="en-US"/>
              </w:rPr>
              <w:t> </w:t>
            </w:r>
            <w:r w:rsidR="006C200C">
              <w:rPr>
                <w:lang w:val="en-US" w:eastAsia="en-US"/>
              </w:rPr>
              <w:t>126-10 of the PHI Act)</w:t>
            </w:r>
            <w:r w:rsidR="006302B5">
              <w:rPr>
                <w:lang w:val="en-US" w:eastAsia="en-US"/>
              </w:rPr>
              <w:t>.</w:t>
            </w:r>
          </w:p>
        </w:tc>
      </w:tr>
      <w:tr w:rsidR="006C200C" w:rsidRPr="004666B8" w14:paraId="2EAA0270" w14:textId="77777777" w:rsidTr="00881C4D">
        <w:tc>
          <w:tcPr>
            <w:tcW w:w="3275" w:type="dxa"/>
          </w:tcPr>
          <w:p w14:paraId="11E5F54E" w14:textId="77777777" w:rsidR="006C200C" w:rsidRDefault="0027333F" w:rsidP="00276616">
            <w:pPr>
              <w:pStyle w:val="tabletext"/>
              <w:keepNext/>
              <w:keepLines/>
              <w:rPr>
                <w:lang w:val="en-US" w:eastAsia="en-US"/>
              </w:rPr>
            </w:pPr>
            <w:r>
              <w:rPr>
                <w:lang w:val="en-US" w:eastAsia="en-US"/>
              </w:rPr>
              <w:t xml:space="preserve">The new law mirrors the current law. </w:t>
            </w:r>
          </w:p>
        </w:tc>
        <w:tc>
          <w:tcPr>
            <w:tcW w:w="3276" w:type="dxa"/>
          </w:tcPr>
          <w:p w14:paraId="3E005AD9" w14:textId="77777777" w:rsidR="006C200C" w:rsidRDefault="00C949CB" w:rsidP="00276616">
            <w:pPr>
              <w:pStyle w:val="tabletext"/>
              <w:keepNext/>
              <w:keepLines/>
              <w:rPr>
                <w:lang w:val="en-US" w:eastAsia="en-US"/>
              </w:rPr>
            </w:pPr>
            <w:r w:rsidRPr="00C949CB">
              <w:rPr>
                <w:lang w:val="en-US" w:eastAsia="en-US"/>
              </w:rPr>
              <w:t>Arrangements for applying for registration and changes in registration status</w:t>
            </w:r>
            <w:r>
              <w:rPr>
                <w:lang w:val="en-US" w:eastAsia="en-US"/>
              </w:rPr>
              <w:t xml:space="preserve"> </w:t>
            </w:r>
            <w:r w:rsidR="00FF0210">
              <w:rPr>
                <w:lang w:val="en-US" w:eastAsia="en-US"/>
              </w:rPr>
              <w:t>and the Council’s</w:t>
            </w:r>
            <w:r w:rsidR="00FF0210" w:rsidRPr="00F12D6C">
              <w:rPr>
                <w:lang w:val="en-US" w:eastAsia="en-US"/>
              </w:rPr>
              <w:t xml:space="preserve"> powers to grant or refuse </w:t>
            </w:r>
            <w:r w:rsidR="00FF0210">
              <w:rPr>
                <w:lang w:val="en-US" w:eastAsia="en-US"/>
              </w:rPr>
              <w:t xml:space="preserve">an </w:t>
            </w:r>
            <w:r w:rsidR="00FF0210" w:rsidRPr="00F12D6C">
              <w:rPr>
                <w:lang w:val="en-US" w:eastAsia="en-US"/>
              </w:rPr>
              <w:t>application and cancel a private health insurer's registration</w:t>
            </w:r>
            <w:r>
              <w:rPr>
                <w:lang w:val="en-US" w:eastAsia="en-US"/>
              </w:rPr>
              <w:t xml:space="preserve"> </w:t>
            </w:r>
          </w:p>
        </w:tc>
      </w:tr>
    </w:tbl>
    <w:p w14:paraId="4B2C40BA" w14:textId="77777777" w:rsidR="00566C33" w:rsidRDefault="00566C33" w:rsidP="00881C4D">
      <w:pPr>
        <w:pStyle w:val="Heading2"/>
      </w:pPr>
      <w:r>
        <w:t>Detailed explanation of new law</w:t>
      </w:r>
    </w:p>
    <w:p w14:paraId="7BBC08B1" w14:textId="77777777" w:rsidR="006133DE" w:rsidRDefault="006133DE" w:rsidP="001A57F7">
      <w:pPr>
        <w:pStyle w:val="Hiddentext"/>
        <w:rPr>
          <w:rFonts w:ascii="Helvetica" w:hAnsi="Helvetica"/>
          <w:b/>
          <w:vanish w:val="0"/>
        </w:rPr>
      </w:pPr>
      <w:r w:rsidRPr="006F4BA9">
        <w:rPr>
          <w:rFonts w:ascii="Helvetica" w:hAnsi="Helvetica"/>
          <w:b/>
          <w:vanish w:val="0"/>
        </w:rPr>
        <w:t>Part 2 – Registration of private health insurers</w:t>
      </w:r>
    </w:p>
    <w:p w14:paraId="77A6686E" w14:textId="77777777" w:rsidR="006133DE" w:rsidRPr="00E92D59" w:rsidRDefault="006133DE" w:rsidP="006133DE">
      <w:pPr>
        <w:pStyle w:val="Heading4"/>
      </w:pPr>
      <w:r w:rsidRPr="00E92D59">
        <w:t xml:space="preserve">Division 1 </w:t>
      </w:r>
      <w:r w:rsidRPr="00E92D59">
        <w:noBreakHyphen/>
        <w:t xml:space="preserve"> </w:t>
      </w:r>
      <w:r w:rsidR="00EB3A68" w:rsidRPr="00E92D59">
        <w:t>Introduction</w:t>
      </w:r>
    </w:p>
    <w:p w14:paraId="46014729" w14:textId="77777777" w:rsidR="00EB3A68" w:rsidRPr="00E92D59" w:rsidRDefault="00EB3A68" w:rsidP="001A57F7">
      <w:pPr>
        <w:pStyle w:val="Heading5"/>
      </w:pPr>
      <w:r w:rsidRPr="00E92D59">
        <w:t>Simplified outline of this Part</w:t>
      </w:r>
    </w:p>
    <w:p w14:paraId="3A13CBD5" w14:textId="77777777" w:rsidR="00751F26" w:rsidRDefault="00751F26" w:rsidP="000F194A">
      <w:pPr>
        <w:pStyle w:val="base-text-paragraph"/>
      </w:pPr>
      <w:r>
        <w:t>Only a private health insurer may carry on health insurance business. A private health insurer is a company that is registered under this Part. Part 4</w:t>
      </w:r>
      <w:r>
        <w:noBreakHyphen/>
        <w:t xml:space="preserve">2 of the PHI Act defines the concept of health insurance business. </w:t>
      </w:r>
      <w:r w:rsidRPr="00C04AA9">
        <w:rPr>
          <w:rStyle w:val="Referencingstyle"/>
        </w:rPr>
        <w:t>[Part 2, Division 1, section 9</w:t>
      </w:r>
      <w:r w:rsidRPr="00E92D59">
        <w:rPr>
          <w:rStyle w:val="Referencingstyle"/>
        </w:rPr>
        <w:t>]</w:t>
      </w:r>
    </w:p>
    <w:p w14:paraId="247F7F59" w14:textId="77777777" w:rsidR="00751F26" w:rsidRDefault="00751F26" w:rsidP="000F194A">
      <w:pPr>
        <w:pStyle w:val="base-text-paragraph"/>
      </w:pPr>
      <w:r>
        <w:t xml:space="preserve">There are </w:t>
      </w:r>
      <w:r w:rsidR="009C05F9">
        <w:t>two</w:t>
      </w:r>
      <w:r>
        <w:t xml:space="preserve"> kinds of special status that some private health insurers may have. They are:</w:t>
      </w:r>
    </w:p>
    <w:p w14:paraId="4A45526C" w14:textId="77777777" w:rsidR="00751F26" w:rsidRDefault="00751F26" w:rsidP="00751F26">
      <w:pPr>
        <w:pStyle w:val="dotpoint"/>
      </w:pPr>
      <w:r>
        <w:t>a for profit insurer; and</w:t>
      </w:r>
    </w:p>
    <w:p w14:paraId="6077D1F3" w14:textId="77777777" w:rsidR="006133DE" w:rsidRPr="006C3D7A" w:rsidRDefault="00751F26" w:rsidP="00751F26">
      <w:pPr>
        <w:pStyle w:val="dotpoint"/>
      </w:pPr>
      <w:r>
        <w:t>a restricted access insurer.</w:t>
      </w:r>
      <w:r w:rsidR="00E92D59" w:rsidRPr="006C3D7A">
        <w:t xml:space="preserve"> </w:t>
      </w:r>
      <w:r w:rsidR="008B498F" w:rsidRPr="00C04AA9">
        <w:rPr>
          <w:rStyle w:val="Referencingstyle"/>
        </w:rPr>
        <w:t>[Part 2, Division 1, section 9</w:t>
      </w:r>
      <w:r w:rsidR="00EB3A68" w:rsidRPr="00E92D59">
        <w:rPr>
          <w:rStyle w:val="Referencingstyle"/>
        </w:rPr>
        <w:t>]</w:t>
      </w:r>
    </w:p>
    <w:p w14:paraId="6FBE3383" w14:textId="77777777" w:rsidR="006133DE" w:rsidRPr="00C04AA9" w:rsidRDefault="006133DE" w:rsidP="006133DE">
      <w:pPr>
        <w:pStyle w:val="Heading4"/>
      </w:pPr>
      <w:r w:rsidRPr="00C04AA9">
        <w:t xml:space="preserve">Division 2 </w:t>
      </w:r>
      <w:r w:rsidRPr="00C04AA9">
        <w:noBreakHyphen/>
        <w:t xml:space="preserve"> Prohibition of carrying on health insurance business without registration</w:t>
      </w:r>
    </w:p>
    <w:p w14:paraId="6ECB196E" w14:textId="77777777" w:rsidR="006133DE" w:rsidRDefault="006133DE" w:rsidP="006133DE">
      <w:pPr>
        <w:pStyle w:val="Heading5"/>
      </w:pPr>
      <w:r w:rsidRPr="00E92D59">
        <w:t xml:space="preserve">Carrying on </w:t>
      </w:r>
      <w:r w:rsidR="00B54FF9">
        <w:t xml:space="preserve">health insurance </w:t>
      </w:r>
      <w:r w:rsidRPr="00E92D59">
        <w:t>business without</w:t>
      </w:r>
      <w:r>
        <w:t xml:space="preserve"> registration</w:t>
      </w:r>
    </w:p>
    <w:p w14:paraId="009B8015" w14:textId="77777777" w:rsidR="006133DE" w:rsidRPr="00B54FF9" w:rsidRDefault="006133DE" w:rsidP="000F194A">
      <w:pPr>
        <w:pStyle w:val="base-text-paragraph"/>
        <w:rPr>
          <w:rStyle w:val="Referencingstyle"/>
          <w:b w:val="0"/>
          <w:i w:val="0"/>
          <w:sz w:val="22"/>
        </w:rPr>
      </w:pPr>
      <w:r>
        <w:t xml:space="preserve">It is an offence </w:t>
      </w:r>
      <w:r w:rsidR="00B54FF9">
        <w:t>for a person</w:t>
      </w:r>
      <w:r w:rsidR="004A6431">
        <w:t xml:space="preserve"> </w:t>
      </w:r>
      <w:r>
        <w:t>to carry on a health insurance business without being registered.</w:t>
      </w:r>
      <w:r w:rsidR="00B54FF9">
        <w:t xml:space="preserve"> The penalty for this offence is two years imprisonment or 120 penalty units, or both</w:t>
      </w:r>
      <w:r w:rsidR="00751F26">
        <w:t>.</w:t>
      </w:r>
      <w:r>
        <w:t xml:space="preserve"> </w:t>
      </w:r>
      <w:r w:rsidRPr="00582854">
        <w:rPr>
          <w:rStyle w:val="Referencingstyle"/>
        </w:rPr>
        <w:t>[Part 2, Division 2, s</w:t>
      </w:r>
      <w:r w:rsidR="00A37496">
        <w:rPr>
          <w:rStyle w:val="Referencingstyle"/>
        </w:rPr>
        <w:t>ubs</w:t>
      </w:r>
      <w:r w:rsidRPr="00582854">
        <w:rPr>
          <w:rStyle w:val="Referencingstyle"/>
        </w:rPr>
        <w:t xml:space="preserve">ection </w:t>
      </w:r>
      <w:r w:rsidR="00BC7001">
        <w:rPr>
          <w:rStyle w:val="Referencingstyle"/>
        </w:rPr>
        <w:t>10</w:t>
      </w:r>
      <w:r w:rsidR="00A37496">
        <w:rPr>
          <w:rStyle w:val="Referencingstyle"/>
        </w:rPr>
        <w:t>(1)</w:t>
      </w:r>
      <w:r w:rsidRPr="00582854">
        <w:rPr>
          <w:rStyle w:val="Referencingstyle"/>
        </w:rPr>
        <w:t>]</w:t>
      </w:r>
    </w:p>
    <w:p w14:paraId="688D677D" w14:textId="77777777" w:rsidR="00B54FF9" w:rsidRDefault="00B54FF9" w:rsidP="007E0B53">
      <w:pPr>
        <w:pStyle w:val="base-text-paragraph"/>
        <w:keepNext/>
        <w:keepLines/>
      </w:pPr>
      <w:r>
        <w:t>The penalty for such an offence has been i</w:t>
      </w:r>
      <w:r w:rsidR="00222912">
        <w:t>ncreased from 40 </w:t>
      </w:r>
      <w:r>
        <w:t xml:space="preserve">penalty units under </w:t>
      </w:r>
      <w:r w:rsidR="00FA0A3B">
        <w:t>sub</w:t>
      </w:r>
      <w:r>
        <w:t xml:space="preserve">section 118-1(1) of the PHI Act, to two years imprisonment or 120 penalty units, or both. </w:t>
      </w:r>
      <w:r w:rsidR="00751F26">
        <w:t xml:space="preserve">The increase in penalty is to deter people from operating private health insurance businesses without registration and to allow APRA to regulate private health insurance businesses (unregistered private health insurers would not be regulated by APRA). </w:t>
      </w:r>
    </w:p>
    <w:p w14:paraId="13C819A7" w14:textId="77777777" w:rsidR="00B54FF9" w:rsidRPr="00CF4BC4" w:rsidRDefault="00B54FF9" w:rsidP="000F194A">
      <w:pPr>
        <w:pStyle w:val="base-text-paragraph"/>
        <w:rPr>
          <w:rStyle w:val="Referencingstyle"/>
          <w:b w:val="0"/>
          <w:i w:val="0"/>
          <w:sz w:val="22"/>
          <w:szCs w:val="22"/>
        </w:rPr>
      </w:pPr>
      <w:r w:rsidRPr="00B944AF">
        <w:t>A note is inserted beneath subsection 10(1)</w:t>
      </w:r>
      <w:r>
        <w:t xml:space="preserve"> to clarify that if</w:t>
      </w:r>
      <w:r w:rsidRPr="00B944AF">
        <w:t xml:space="preserve"> a body corporate</w:t>
      </w:r>
      <w:r>
        <w:t xml:space="preserve"> is</w:t>
      </w:r>
      <w:r w:rsidRPr="00B944AF">
        <w:t xml:space="preserve"> convicted of an offence under subsection 10(1)</w:t>
      </w:r>
      <w:r>
        <w:t>, it</w:t>
      </w:r>
      <w:r w:rsidRPr="00B944AF">
        <w:t xml:space="preserve"> may be subject to a </w:t>
      </w:r>
      <w:r w:rsidR="00CF4BC4">
        <w:t xml:space="preserve">penalty of </w:t>
      </w:r>
      <w:r w:rsidRPr="00B944AF">
        <w:t xml:space="preserve">up to </w:t>
      </w:r>
      <w:r w:rsidR="00751F26">
        <w:t>five</w:t>
      </w:r>
      <w:r w:rsidRPr="00B944AF">
        <w:t xml:space="preserve"> times the penalty stated </w:t>
      </w:r>
      <w:r>
        <w:t xml:space="preserve">in </w:t>
      </w:r>
      <w:r w:rsidR="00CF4BC4">
        <w:t>subsection 10(1)</w:t>
      </w:r>
      <w:r>
        <w:t xml:space="preserve">. This is </w:t>
      </w:r>
      <w:r w:rsidRPr="00B944AF">
        <w:t>i</w:t>
      </w:r>
      <w:r w:rsidR="00CF4BC4">
        <w:t xml:space="preserve">mposed by </w:t>
      </w:r>
      <w:r w:rsidRPr="00B944AF">
        <w:t xml:space="preserve">subsection 4B(3) of the </w:t>
      </w:r>
      <w:r w:rsidRPr="000A1ECD">
        <w:rPr>
          <w:i/>
        </w:rPr>
        <w:t>Crimes</w:t>
      </w:r>
      <w:r w:rsidR="001235B8">
        <w:rPr>
          <w:i/>
        </w:rPr>
        <w:t> </w:t>
      </w:r>
      <w:r w:rsidRPr="000A1ECD">
        <w:rPr>
          <w:i/>
        </w:rPr>
        <w:t>Act</w:t>
      </w:r>
      <w:r w:rsidR="001235B8">
        <w:rPr>
          <w:i/>
        </w:rPr>
        <w:t> </w:t>
      </w:r>
      <w:r w:rsidRPr="000A1ECD">
        <w:rPr>
          <w:i/>
        </w:rPr>
        <w:t>1914</w:t>
      </w:r>
      <w:r w:rsidR="00430E33">
        <w:rPr>
          <w:i/>
        </w:rPr>
        <w:t xml:space="preserve"> </w:t>
      </w:r>
      <w:r w:rsidR="00430E33">
        <w:t>(Crimes Act)</w:t>
      </w:r>
      <w:r w:rsidR="00CF4BC4">
        <w:t xml:space="preserve">, as the offence can apply to a natural person or a body corporate. </w:t>
      </w:r>
      <w:r w:rsidR="006F690D">
        <w:t>This note has been inserted for every offence provision</w:t>
      </w:r>
      <w:r w:rsidR="001235B8">
        <w:t xml:space="preserve"> to assist the reader</w:t>
      </w:r>
      <w:r w:rsidR="006F690D">
        <w:t xml:space="preserve">. </w:t>
      </w:r>
      <w:r w:rsidR="000A1ECD" w:rsidRPr="000A1ECD">
        <w:t xml:space="preserve">Whilst it may appear that some offences only apply to body corporates or natural persons, the operation of Part 2.4 of the </w:t>
      </w:r>
      <w:r w:rsidR="000A1ECD" w:rsidRPr="00303B85">
        <w:rPr>
          <w:i/>
        </w:rPr>
        <w:t>Criminal Code</w:t>
      </w:r>
      <w:r w:rsidR="00303B85">
        <w:rPr>
          <w:i/>
        </w:rPr>
        <w:t xml:space="preserve"> Act</w:t>
      </w:r>
      <w:r w:rsidR="00303B85" w:rsidRPr="00303B85">
        <w:rPr>
          <w:i/>
        </w:rPr>
        <w:t xml:space="preserve"> 1995</w:t>
      </w:r>
      <w:r w:rsidR="000A1ECD" w:rsidRPr="000A1ECD">
        <w:t xml:space="preserve"> </w:t>
      </w:r>
      <w:r w:rsidR="00007607">
        <w:t>(Criminal Code</w:t>
      </w:r>
      <w:r w:rsidR="00303B85">
        <w:t>)</w:t>
      </w:r>
      <w:r w:rsidR="000A1ECD" w:rsidRPr="000A1ECD">
        <w:t xml:space="preserve"> </w:t>
      </w:r>
      <w:r w:rsidR="000A1ECD">
        <w:t xml:space="preserve">applies </w:t>
      </w:r>
      <w:r w:rsidR="000A1ECD" w:rsidRPr="000A1ECD">
        <w:t xml:space="preserve">where a person aids, abets, counsels or procures the commission of an offence, </w:t>
      </w:r>
      <w:r w:rsidR="00F555C4">
        <w:t>the</w:t>
      </w:r>
      <w:r w:rsidR="000A1ECD" w:rsidRPr="000A1ECD">
        <w:t xml:space="preserve"> offence provision can apply to that person whether they are a natural person or a body corporate.</w:t>
      </w:r>
      <w:r w:rsidR="00CF4BC4">
        <w:t xml:space="preserve"> </w:t>
      </w:r>
      <w:r w:rsidRPr="007425EA">
        <w:rPr>
          <w:rStyle w:val="Referencingstyle"/>
        </w:rPr>
        <w:t>[Part 2, Division 2, subsection 10(1)]</w:t>
      </w:r>
    </w:p>
    <w:p w14:paraId="7E8CE88A" w14:textId="77777777" w:rsidR="007425EA" w:rsidRPr="00CF4BC4" w:rsidRDefault="007425EA" w:rsidP="000F194A">
      <w:pPr>
        <w:pStyle w:val="base-text-paragraph"/>
        <w:rPr>
          <w:rStyle w:val="Referencingstyle"/>
          <w:b w:val="0"/>
          <w:i w:val="0"/>
          <w:sz w:val="22"/>
          <w:szCs w:val="22"/>
        </w:rPr>
      </w:pPr>
      <w:r>
        <w:t xml:space="preserve">If a person commits such an offence, the offence period is from the first day the offence and each day thereafter (including the day of conviction or later day). </w:t>
      </w:r>
      <w:r w:rsidRPr="007425EA">
        <w:rPr>
          <w:rStyle w:val="Referencingstyle"/>
        </w:rPr>
        <w:t>[Part 2, Division 2, subsection 10(2)]</w:t>
      </w:r>
    </w:p>
    <w:p w14:paraId="7EC20445" w14:textId="77777777" w:rsidR="00222912" w:rsidRPr="00CE09F7" w:rsidRDefault="00CE09F7" w:rsidP="000C7931">
      <w:pPr>
        <w:pStyle w:val="base-text-paragraph"/>
        <w:tabs>
          <w:tab w:val="clear" w:pos="1985"/>
          <w:tab w:val="num" w:pos="1986"/>
        </w:tabs>
      </w:pPr>
      <w:r w:rsidRPr="00CE09F7">
        <w:t xml:space="preserve">All offences in the </w:t>
      </w:r>
      <w:r w:rsidR="00002205">
        <w:t>(Prudential Supervision</w:t>
      </w:r>
      <w:r w:rsidR="00002205" w:rsidRPr="000C7931">
        <w:t xml:space="preserve"> Bill</w:t>
      </w:r>
      <w:r w:rsidR="00002205">
        <w:t>)</w:t>
      </w:r>
      <w:r w:rsidR="00002205" w:rsidRPr="00CE09F7" w:rsidDel="000C7931">
        <w:t xml:space="preserve"> </w:t>
      </w:r>
      <w:r w:rsidR="00222912" w:rsidRPr="00CE09F7">
        <w:t>will be fault liability offences</w:t>
      </w:r>
      <w:r w:rsidR="00185555">
        <w:t>. T</w:t>
      </w:r>
      <w:r w:rsidRPr="00CE09F7">
        <w:t>herefore</w:t>
      </w:r>
      <w:r w:rsidR="00222912" w:rsidRPr="00CE09F7">
        <w:t xml:space="preserve"> </w:t>
      </w:r>
      <w:r w:rsidR="006A0118">
        <w:t xml:space="preserve">a relevant fault element </w:t>
      </w:r>
      <w:r w:rsidR="004061D5">
        <w:t xml:space="preserve">(such as </w:t>
      </w:r>
      <w:r w:rsidR="004061D5" w:rsidRPr="00CE09F7">
        <w:t>intention</w:t>
      </w:r>
      <w:r w:rsidR="004061D5">
        <w:t>, knowledge or recklessness,</w:t>
      </w:r>
      <w:r w:rsidR="004061D5" w:rsidRPr="00CE09F7">
        <w:t xml:space="preserve"> </w:t>
      </w:r>
      <w:r w:rsidR="004061D5">
        <w:t>depending on the operation of the</w:t>
      </w:r>
      <w:r w:rsidR="006A0118">
        <w:t xml:space="preserve"> </w:t>
      </w:r>
      <w:r w:rsidR="004061D5">
        <w:t xml:space="preserve">Criminal Code), </w:t>
      </w:r>
      <w:r w:rsidR="00222912" w:rsidRPr="00CE09F7">
        <w:t>is required to commit the offence and this is also a requirement for prosecution.</w:t>
      </w:r>
    </w:p>
    <w:p w14:paraId="742ABAEE" w14:textId="77777777" w:rsidR="006133DE" w:rsidRDefault="006133DE" w:rsidP="006133DE">
      <w:pPr>
        <w:pStyle w:val="Heading5"/>
      </w:pPr>
      <w:r>
        <w:t>Injunctions</w:t>
      </w:r>
    </w:p>
    <w:p w14:paraId="26524402" w14:textId="77777777" w:rsidR="006133DE" w:rsidRDefault="006133DE" w:rsidP="00002205">
      <w:pPr>
        <w:pStyle w:val="base-text-paragraph"/>
        <w:tabs>
          <w:tab w:val="clear" w:pos="1985"/>
          <w:tab w:val="num" w:pos="1986"/>
        </w:tabs>
      </w:pPr>
      <w:r>
        <w:t xml:space="preserve">If the Federal Court is satisfied </w:t>
      </w:r>
      <w:r w:rsidR="007425EA">
        <w:t xml:space="preserve">that </w:t>
      </w:r>
      <w:r>
        <w:t xml:space="preserve">a person has, or will, </w:t>
      </w:r>
      <w:r w:rsidR="007425EA">
        <w:t xml:space="preserve">carry on health insurance business without registration under section 10 of the </w:t>
      </w:r>
      <w:r w:rsidR="00002205" w:rsidRPr="00002205">
        <w:t>Prudential Supervision Bill</w:t>
      </w:r>
      <w:r w:rsidR="007425EA">
        <w:t>,</w:t>
      </w:r>
      <w:r>
        <w:t xml:space="preserve"> it may, on the application of APRA</w:t>
      </w:r>
      <w:r w:rsidR="007425EA">
        <w:t>,</w:t>
      </w:r>
      <w:r>
        <w:t xml:space="preserve"> grant an injunction. </w:t>
      </w:r>
      <w:r w:rsidRPr="00A516E0">
        <w:rPr>
          <w:rStyle w:val="Referencingstyle"/>
        </w:rPr>
        <w:t xml:space="preserve"> [Part 2, Division 2, s</w:t>
      </w:r>
      <w:r w:rsidR="00DD3FCF">
        <w:rPr>
          <w:rStyle w:val="Referencingstyle"/>
        </w:rPr>
        <w:t>ubs</w:t>
      </w:r>
      <w:r w:rsidRPr="00A516E0">
        <w:rPr>
          <w:rStyle w:val="Referencingstyle"/>
        </w:rPr>
        <w:t xml:space="preserve">ection </w:t>
      </w:r>
      <w:r w:rsidR="00A37496">
        <w:rPr>
          <w:rStyle w:val="Referencingstyle"/>
        </w:rPr>
        <w:t>11</w:t>
      </w:r>
      <w:r w:rsidR="00DD3FCF">
        <w:rPr>
          <w:rStyle w:val="Referencingstyle"/>
        </w:rPr>
        <w:t>(1)</w:t>
      </w:r>
      <w:r w:rsidRPr="00A516E0">
        <w:rPr>
          <w:rStyle w:val="Referencingstyle"/>
        </w:rPr>
        <w:t>]</w:t>
      </w:r>
    </w:p>
    <w:p w14:paraId="3D07CAD5" w14:textId="77777777" w:rsidR="006133DE" w:rsidRDefault="006133DE" w:rsidP="000F194A">
      <w:pPr>
        <w:pStyle w:val="base-text-paragraph"/>
      </w:pPr>
      <w:r>
        <w:t>Pending the determination of APRA’s application, the Federal Court may grant an interim injunction</w:t>
      </w:r>
      <w:r w:rsidR="007425EA">
        <w:t xml:space="preserve"> to stop or prevent the possible of</w:t>
      </w:r>
      <w:r w:rsidR="00751F26">
        <w:t>fence in section 10</w:t>
      </w:r>
      <w:r w:rsidR="00DD3FCF">
        <w:t>, but must not require the applicant to give an undertaking as to damage</w:t>
      </w:r>
      <w:r w:rsidR="008B0CAF">
        <w:t>s</w:t>
      </w:r>
      <w:r w:rsidR="00DD3FCF">
        <w:t xml:space="preserve"> as a condition of granting the interim injunction.</w:t>
      </w:r>
      <w:r>
        <w:t xml:space="preserve">  </w:t>
      </w:r>
      <w:r w:rsidRPr="00A516E0">
        <w:rPr>
          <w:rStyle w:val="Referencingstyle"/>
        </w:rPr>
        <w:t>[Part 2, Division 2, subsection</w:t>
      </w:r>
      <w:r w:rsidR="00DD3FCF">
        <w:rPr>
          <w:rStyle w:val="Referencingstyle"/>
        </w:rPr>
        <w:t>s</w:t>
      </w:r>
      <w:r w:rsidRPr="00A516E0">
        <w:rPr>
          <w:rStyle w:val="Referencingstyle"/>
        </w:rPr>
        <w:t xml:space="preserve"> 11(2)</w:t>
      </w:r>
      <w:r w:rsidR="00DD3FCF">
        <w:rPr>
          <w:rStyle w:val="Referencingstyle"/>
        </w:rPr>
        <w:t xml:space="preserve"> and (3)</w:t>
      </w:r>
      <w:r w:rsidRPr="00A516E0">
        <w:rPr>
          <w:rStyle w:val="Referencingstyle"/>
        </w:rPr>
        <w:t>]</w:t>
      </w:r>
    </w:p>
    <w:p w14:paraId="6EFD1981" w14:textId="77777777" w:rsidR="006133DE" w:rsidRDefault="006133DE" w:rsidP="000F194A">
      <w:pPr>
        <w:pStyle w:val="base-text-paragraph"/>
      </w:pPr>
      <w:r>
        <w:t>The Federal Court may discharge or vary an injunction</w:t>
      </w:r>
      <w:r w:rsidR="007425EA">
        <w:t xml:space="preserve"> </w:t>
      </w:r>
      <w:r w:rsidR="008B0CAF">
        <w:t xml:space="preserve">granted </w:t>
      </w:r>
      <w:r w:rsidR="007425EA">
        <w:t xml:space="preserve">under </w:t>
      </w:r>
      <w:r w:rsidR="00751F26">
        <w:t>subsection 1</w:t>
      </w:r>
      <w:r w:rsidR="008B0CAF">
        <w:t xml:space="preserve">1(1) or </w:t>
      </w:r>
      <w:r w:rsidR="00751F26">
        <w:t>(2)</w:t>
      </w:r>
      <w:r>
        <w:t xml:space="preserve">. </w:t>
      </w:r>
      <w:r w:rsidRPr="00A516E0">
        <w:rPr>
          <w:rStyle w:val="Referencingstyle"/>
        </w:rPr>
        <w:t>[Part 2, Division 2, subsection 11(4)]</w:t>
      </w:r>
      <w:r w:rsidR="00A37496">
        <w:rPr>
          <w:rStyle w:val="Referencingstyle"/>
        </w:rPr>
        <w:t xml:space="preserve"> </w:t>
      </w:r>
    </w:p>
    <w:p w14:paraId="7EC858AE" w14:textId="77777777" w:rsidR="006133DE" w:rsidRDefault="006133DE" w:rsidP="000F194A">
      <w:pPr>
        <w:pStyle w:val="base-text-paragraph"/>
      </w:pPr>
      <w:r>
        <w:t xml:space="preserve">The Federal Court's </w:t>
      </w:r>
      <w:r w:rsidR="008B0CAF">
        <w:t>power to grant an</w:t>
      </w:r>
      <w:r>
        <w:t xml:space="preserve"> injunction </w:t>
      </w:r>
      <w:r w:rsidR="007425EA">
        <w:t>to restrain a person from engaging in conduct</w:t>
      </w:r>
      <w:r>
        <w:t xml:space="preserve"> may be exercised whether or not it appears that the person intends to engage in, continue to engage in</w:t>
      </w:r>
      <w:r w:rsidR="007425EA">
        <w:t xml:space="preserve"> or</w:t>
      </w:r>
      <w:r>
        <w:t xml:space="preserve"> has previously engaged in </w:t>
      </w:r>
      <w:r w:rsidR="007425EA">
        <w:t>such</w:t>
      </w:r>
      <w:r>
        <w:t xml:space="preserve"> conduct. </w:t>
      </w:r>
      <w:r w:rsidRPr="00D23E36">
        <w:rPr>
          <w:rStyle w:val="Referencingstyle"/>
        </w:rPr>
        <w:t>[Part 2, Division</w:t>
      </w:r>
      <w:r w:rsidR="00E76BBE">
        <w:rPr>
          <w:rStyle w:val="Referencingstyle"/>
        </w:rPr>
        <w:t> </w:t>
      </w:r>
      <w:r w:rsidRPr="00D23E36">
        <w:rPr>
          <w:rStyle w:val="Referencingstyle"/>
        </w:rPr>
        <w:t xml:space="preserve">2, </w:t>
      </w:r>
      <w:r>
        <w:rPr>
          <w:rStyle w:val="Referencingstyle"/>
        </w:rPr>
        <w:t>subsection</w:t>
      </w:r>
      <w:r w:rsidRPr="00D23E36">
        <w:rPr>
          <w:rStyle w:val="Referencingstyle"/>
        </w:rPr>
        <w:t xml:space="preserve"> </w:t>
      </w:r>
      <w:r>
        <w:rPr>
          <w:rStyle w:val="Referencingstyle"/>
        </w:rPr>
        <w:t>11</w:t>
      </w:r>
      <w:r w:rsidR="00A37496">
        <w:rPr>
          <w:rStyle w:val="Referencingstyle"/>
        </w:rPr>
        <w:t>(</w:t>
      </w:r>
      <w:r>
        <w:rPr>
          <w:rStyle w:val="Referencingstyle"/>
        </w:rPr>
        <w:t>5)</w:t>
      </w:r>
      <w:r w:rsidRPr="00D23E36">
        <w:rPr>
          <w:rStyle w:val="Referencingstyle"/>
        </w:rPr>
        <w:t>]</w:t>
      </w:r>
    </w:p>
    <w:p w14:paraId="66FEFDED" w14:textId="77777777" w:rsidR="006133DE" w:rsidRPr="007425EA" w:rsidRDefault="006133DE" w:rsidP="000F194A">
      <w:pPr>
        <w:pStyle w:val="base-text-paragraph"/>
        <w:rPr>
          <w:rStyle w:val="Referencingstyle"/>
          <w:b w:val="0"/>
          <w:i w:val="0"/>
          <w:sz w:val="22"/>
        </w:rPr>
      </w:pPr>
      <w:r>
        <w:t xml:space="preserve">The </w:t>
      </w:r>
      <w:r w:rsidR="007425EA">
        <w:t>Federal C</w:t>
      </w:r>
      <w:r>
        <w:t xml:space="preserve">ourt </w:t>
      </w:r>
      <w:r w:rsidR="007425EA">
        <w:t>is able to</w:t>
      </w:r>
      <w:r>
        <w:t xml:space="preserve"> grant an injunction </w:t>
      </w:r>
      <w:r w:rsidR="008B0CAF">
        <w:t xml:space="preserve">requiring a person to do an act or thing </w:t>
      </w:r>
      <w:r>
        <w:t xml:space="preserve">whether or not </w:t>
      </w:r>
      <w:r w:rsidR="008B0CAF">
        <w:t>it appears to the Court that</w:t>
      </w:r>
      <w:r>
        <w:t xml:space="preserve"> the person intends to refuse</w:t>
      </w:r>
      <w:r w:rsidR="007425EA">
        <w:t>,</w:t>
      </w:r>
      <w:r>
        <w:t xml:space="preserve"> fail again or continue to fail or refuse to do the act or thing</w:t>
      </w:r>
      <w:r w:rsidR="007425EA">
        <w:t>. This includes</w:t>
      </w:r>
      <w:r>
        <w:t xml:space="preserve"> whether the person has previously refused to fail to do the act or thing.  </w:t>
      </w:r>
      <w:r w:rsidRPr="00D23E36">
        <w:rPr>
          <w:rStyle w:val="Referencingstyle"/>
        </w:rPr>
        <w:t>[Part 2, Division</w:t>
      </w:r>
      <w:r w:rsidR="007425EA">
        <w:rPr>
          <w:rStyle w:val="Referencingstyle"/>
        </w:rPr>
        <w:t> </w:t>
      </w:r>
      <w:r w:rsidRPr="00D23E36">
        <w:rPr>
          <w:rStyle w:val="Referencingstyle"/>
        </w:rPr>
        <w:t>2, subsection 11(6)]</w:t>
      </w:r>
    </w:p>
    <w:p w14:paraId="5F604A88" w14:textId="77777777" w:rsidR="006133DE" w:rsidRDefault="006133DE" w:rsidP="006133DE">
      <w:pPr>
        <w:pStyle w:val="Heading4"/>
      </w:pPr>
      <w:r>
        <w:t>Division 3 - Registration</w:t>
      </w:r>
    </w:p>
    <w:p w14:paraId="0C1830A8" w14:textId="77777777" w:rsidR="006133DE" w:rsidRDefault="006133DE" w:rsidP="006133DE">
      <w:pPr>
        <w:pStyle w:val="Heading5"/>
      </w:pPr>
      <w:r>
        <w:t>Applying for registration</w:t>
      </w:r>
    </w:p>
    <w:p w14:paraId="170F4A11" w14:textId="77777777" w:rsidR="006133DE" w:rsidRDefault="006133DE" w:rsidP="000F194A">
      <w:pPr>
        <w:pStyle w:val="base-text-paragraph"/>
      </w:pPr>
      <w:r>
        <w:t xml:space="preserve">A company within the meaning of the </w:t>
      </w:r>
      <w:r w:rsidR="00D93CFB" w:rsidRPr="00823ADE">
        <w:rPr>
          <w:i/>
        </w:rPr>
        <w:t>Corporations Act</w:t>
      </w:r>
      <w:r w:rsidR="00823ADE" w:rsidRPr="00823ADE">
        <w:rPr>
          <w:i/>
        </w:rPr>
        <w:t xml:space="preserve"> 2001</w:t>
      </w:r>
      <w:r w:rsidR="00823ADE">
        <w:t xml:space="preserve"> (Corporations Act)</w:t>
      </w:r>
      <w:r w:rsidRPr="00A97F0C">
        <w:t>, which is</w:t>
      </w:r>
      <w:r>
        <w:t xml:space="preserve"> also a constitutional </w:t>
      </w:r>
      <w:r w:rsidR="004A6431">
        <w:t>corporation</w:t>
      </w:r>
      <w:r>
        <w:t xml:space="preserve">, may apply to APRA for registration as a </w:t>
      </w:r>
      <w:r w:rsidR="007425EA">
        <w:t xml:space="preserve">registered </w:t>
      </w:r>
      <w:r>
        <w:t xml:space="preserve">private health insurer.  </w:t>
      </w:r>
      <w:r w:rsidRPr="003D0D92">
        <w:rPr>
          <w:rStyle w:val="Referencingstyle"/>
        </w:rPr>
        <w:t>[Part 2, Division</w:t>
      </w:r>
      <w:r w:rsidR="00A37496">
        <w:rPr>
          <w:rStyle w:val="Referencingstyle"/>
        </w:rPr>
        <w:t> </w:t>
      </w:r>
      <w:r w:rsidRPr="003D0D92">
        <w:rPr>
          <w:rStyle w:val="Referencingstyle"/>
        </w:rPr>
        <w:t>3,</w:t>
      </w:r>
      <w:r w:rsidR="00055C49">
        <w:rPr>
          <w:rStyle w:val="Referencingstyle"/>
        </w:rPr>
        <w:t xml:space="preserve"> </w:t>
      </w:r>
      <w:r w:rsidR="000F772C">
        <w:rPr>
          <w:rStyle w:val="Referencingstyle"/>
        </w:rPr>
        <w:t>sub</w:t>
      </w:r>
      <w:r w:rsidRPr="003D0D92">
        <w:rPr>
          <w:rStyle w:val="Referencingstyle"/>
        </w:rPr>
        <w:t>section 12</w:t>
      </w:r>
      <w:r w:rsidR="00DD3FCF">
        <w:rPr>
          <w:rStyle w:val="Referencingstyle"/>
        </w:rPr>
        <w:t>(1)</w:t>
      </w:r>
      <w:r w:rsidRPr="003D0D92">
        <w:rPr>
          <w:rStyle w:val="Referencingstyle"/>
        </w:rPr>
        <w:t>]</w:t>
      </w:r>
    </w:p>
    <w:p w14:paraId="40992805" w14:textId="77777777" w:rsidR="006133DE" w:rsidRPr="001235B8" w:rsidRDefault="006133DE" w:rsidP="000F194A">
      <w:pPr>
        <w:pStyle w:val="base-text-paragraph"/>
        <w:rPr>
          <w:rStyle w:val="Referencingstyle"/>
          <w:b w:val="0"/>
          <w:i w:val="0"/>
          <w:sz w:val="22"/>
        </w:rPr>
      </w:pPr>
      <w:r>
        <w:t>The application must be in the approved form</w:t>
      </w:r>
      <w:r w:rsidR="007425EA">
        <w:t xml:space="preserve"> and</w:t>
      </w:r>
      <w:r>
        <w:t xml:space="preserve"> accompanied by a copy of the applicant’s proposed business rules</w:t>
      </w:r>
      <w:r w:rsidR="007425EA">
        <w:t>. Additionally,</w:t>
      </w:r>
      <w:r>
        <w:t xml:space="preserve"> the</w:t>
      </w:r>
      <w:r w:rsidR="007425EA">
        <w:t xml:space="preserve"> application must state </w:t>
      </w:r>
      <w:r w:rsidR="00C8539A">
        <w:t>that</w:t>
      </w:r>
      <w:r w:rsidR="007425EA">
        <w:t xml:space="preserve"> the</w:t>
      </w:r>
      <w:r>
        <w:t xml:space="preserve"> applicant is seeking to be registered as a for profit or restricted access insurer</w:t>
      </w:r>
      <w:r w:rsidR="00C8539A">
        <w:t>, if that is what the applicant is seeking</w:t>
      </w:r>
      <w:r w:rsidR="00823ADE">
        <w:t xml:space="preserve">. </w:t>
      </w:r>
      <w:r w:rsidRPr="00D23E36">
        <w:rPr>
          <w:rStyle w:val="Referencingstyle"/>
        </w:rPr>
        <w:t>[Part 2, Division 3, subsection 12(2)]</w:t>
      </w:r>
    </w:p>
    <w:p w14:paraId="4EA12A59" w14:textId="77777777" w:rsidR="007425EA" w:rsidRPr="00BE25E2" w:rsidRDefault="007425EA" w:rsidP="000F194A">
      <w:pPr>
        <w:pStyle w:val="base-text-paragraph"/>
      </w:pPr>
      <w:r w:rsidRPr="00BE25E2">
        <w:t>Sect</w:t>
      </w:r>
      <w:r>
        <w:t>ion 12 is based on section 126-10 of the PHI Act</w:t>
      </w:r>
      <w:r w:rsidR="00AC2784">
        <w:t>.  H</w:t>
      </w:r>
      <w:r>
        <w:t>owever insurers will no longer be obligated to provide their proposed fund rules to the Secretar</w:t>
      </w:r>
      <w:r w:rsidR="00002205">
        <w:t xml:space="preserve">y of the Department of Health. </w:t>
      </w:r>
      <w:r>
        <w:t xml:space="preserve">Fund rules will be provided </w:t>
      </w:r>
      <w:r w:rsidR="00C8539A">
        <w:t>by</w:t>
      </w:r>
      <w:r>
        <w:t xml:space="preserve"> </w:t>
      </w:r>
      <w:r w:rsidR="00D21979">
        <w:t xml:space="preserve">APRA </w:t>
      </w:r>
      <w:r>
        <w:t>to the Department of Health through an inter-departmental administrative arrangement.</w:t>
      </w:r>
    </w:p>
    <w:p w14:paraId="17E26CB4" w14:textId="77777777" w:rsidR="006133DE" w:rsidRDefault="006133DE" w:rsidP="006133DE">
      <w:pPr>
        <w:pStyle w:val="Heading5"/>
      </w:pPr>
      <w:r>
        <w:t>Requiring further information</w:t>
      </w:r>
    </w:p>
    <w:p w14:paraId="6470FD18" w14:textId="77777777" w:rsidR="006133DE" w:rsidRPr="007425EA" w:rsidRDefault="006133DE" w:rsidP="000F194A">
      <w:pPr>
        <w:pStyle w:val="base-text-paragraph"/>
        <w:rPr>
          <w:rStyle w:val="Referencingstyle"/>
          <w:b w:val="0"/>
          <w:i w:val="0"/>
          <w:sz w:val="22"/>
        </w:rPr>
      </w:pPr>
      <w:r>
        <w:t xml:space="preserve">APRA may give an applicant written notice requiring them </w:t>
      </w:r>
      <w:r w:rsidR="007425EA">
        <w:t xml:space="preserve">to provide </w:t>
      </w:r>
      <w:r>
        <w:t xml:space="preserve">further information relating to </w:t>
      </w:r>
      <w:r w:rsidR="007425EA">
        <w:t>their</w:t>
      </w:r>
      <w:r>
        <w:t xml:space="preserve"> application</w:t>
      </w:r>
      <w:r w:rsidR="007425EA">
        <w:t xml:space="preserve"> within 90 days of the </w:t>
      </w:r>
      <w:r w:rsidR="00C10CDD">
        <w:t xml:space="preserve">making of the </w:t>
      </w:r>
      <w:r w:rsidR="007425EA">
        <w:t>application</w:t>
      </w:r>
      <w:r>
        <w:t xml:space="preserve">.  </w:t>
      </w:r>
      <w:r w:rsidRPr="00752D2A">
        <w:rPr>
          <w:rStyle w:val="Referencingstyle"/>
        </w:rPr>
        <w:t>[Part 2, Division 3, section 1</w:t>
      </w:r>
      <w:r w:rsidR="00B00199">
        <w:rPr>
          <w:rStyle w:val="Referencingstyle"/>
        </w:rPr>
        <w:t>3</w:t>
      </w:r>
      <w:r w:rsidRPr="00752D2A">
        <w:rPr>
          <w:rStyle w:val="Referencingstyle"/>
        </w:rPr>
        <w:t>]</w:t>
      </w:r>
    </w:p>
    <w:p w14:paraId="5DAA7B67" w14:textId="77777777" w:rsidR="00B00199" w:rsidRDefault="00B00199" w:rsidP="001A57F7">
      <w:pPr>
        <w:pStyle w:val="Heading5"/>
      </w:pPr>
      <w:r>
        <w:t>Criteria for registration</w:t>
      </w:r>
    </w:p>
    <w:p w14:paraId="704CF7A8" w14:textId="77777777" w:rsidR="00B00199" w:rsidRDefault="00B00199" w:rsidP="000F194A">
      <w:pPr>
        <w:pStyle w:val="base-text-paragraph"/>
        <w:rPr>
          <w:rStyle w:val="Referencingstyle"/>
        </w:rPr>
      </w:pPr>
      <w:r>
        <w:t>APRA may make rules setting out criteria for registration</w:t>
      </w:r>
      <w:r w:rsidR="005A014F">
        <w:t xml:space="preserve"> as a private health insurer</w:t>
      </w:r>
      <w:r>
        <w:t xml:space="preserve">.  </w:t>
      </w:r>
      <w:r w:rsidRPr="001A57F7">
        <w:rPr>
          <w:rStyle w:val="Referencingstyle"/>
        </w:rPr>
        <w:t>[</w:t>
      </w:r>
      <w:r>
        <w:rPr>
          <w:rStyle w:val="Referencingstyle"/>
        </w:rPr>
        <w:t>Part</w:t>
      </w:r>
      <w:r w:rsidR="00DD3FCF">
        <w:rPr>
          <w:rStyle w:val="Referencingstyle"/>
        </w:rPr>
        <w:t> </w:t>
      </w:r>
      <w:r w:rsidRPr="001A57F7">
        <w:rPr>
          <w:rStyle w:val="Referencingstyle"/>
        </w:rPr>
        <w:t>2, Division 3, section 14]</w:t>
      </w:r>
    </w:p>
    <w:p w14:paraId="53C5CEAF" w14:textId="77777777" w:rsidR="005A014F" w:rsidRPr="00364BCC" w:rsidRDefault="005A014F" w:rsidP="000F194A">
      <w:pPr>
        <w:pStyle w:val="base-text-paragraph"/>
        <w:rPr>
          <w:rStyle w:val="Referencingstyle"/>
        </w:rPr>
      </w:pPr>
      <w:r w:rsidRPr="00DD2CD9">
        <w:t xml:space="preserve">Section 14 is based on </w:t>
      </w:r>
      <w:r w:rsidR="00C10CDD">
        <w:t>sub</w:t>
      </w:r>
      <w:r w:rsidRPr="00DD2CD9">
        <w:t>section 12(1B) of</w:t>
      </w:r>
      <w:r w:rsidRPr="00364BCC">
        <w:t xml:space="preserve"> the </w:t>
      </w:r>
      <w:r w:rsidR="00602695">
        <w:rPr>
          <w:i/>
        </w:rPr>
        <w:t>Insurance </w:t>
      </w:r>
      <w:r w:rsidR="00002205">
        <w:rPr>
          <w:i/>
        </w:rPr>
        <w:t>Act </w:t>
      </w:r>
      <w:r w:rsidRPr="005A014F">
        <w:rPr>
          <w:i/>
        </w:rPr>
        <w:t>1973</w:t>
      </w:r>
      <w:r w:rsidRPr="00364BCC">
        <w:t xml:space="preserve"> and </w:t>
      </w:r>
      <w:r w:rsidRPr="00C85607">
        <w:t xml:space="preserve">is similar to a number of provisions in current Acts administered by APRA (for example, </w:t>
      </w:r>
      <w:r w:rsidR="00C10CDD">
        <w:t>sub</w:t>
      </w:r>
      <w:r w:rsidRPr="00C85607">
        <w:t xml:space="preserve">section 9(2A) of the </w:t>
      </w:r>
      <w:r w:rsidRPr="005A014F">
        <w:rPr>
          <w:i/>
        </w:rPr>
        <w:t>Banking Act</w:t>
      </w:r>
      <w:r w:rsidR="00002205">
        <w:t> </w:t>
      </w:r>
      <w:r w:rsidRPr="005A014F">
        <w:rPr>
          <w:i/>
        </w:rPr>
        <w:t>1959</w:t>
      </w:r>
      <w:r>
        <w:t>)</w:t>
      </w:r>
      <w:r w:rsidR="0068008C">
        <w:t>. As</w:t>
      </w:r>
      <w:r w:rsidRPr="00C85607">
        <w:t xml:space="preserve"> is </w:t>
      </w:r>
      <w:r w:rsidR="00D21979">
        <w:t xml:space="preserve">the case under other APRA administered Acts, </w:t>
      </w:r>
      <w:r w:rsidRPr="00C85607">
        <w:t xml:space="preserve">the criteria will be </w:t>
      </w:r>
      <w:r w:rsidR="00D21979">
        <w:t xml:space="preserve">matters to which APRA have regard, rather than </w:t>
      </w:r>
      <w:r w:rsidRPr="00C85607">
        <w:t xml:space="preserve">a </w:t>
      </w:r>
      <w:r w:rsidR="00D21979">
        <w:t>check list of preconditions that automatically determine whether an application will be granted or refused</w:t>
      </w:r>
      <w:r w:rsidRPr="00C85607">
        <w:t xml:space="preserve">. </w:t>
      </w:r>
    </w:p>
    <w:p w14:paraId="6696E3B7" w14:textId="77777777" w:rsidR="00B00199" w:rsidRDefault="00B00199" w:rsidP="001A57F7">
      <w:pPr>
        <w:pStyle w:val="Heading5"/>
      </w:pPr>
      <w:r>
        <w:t>Deciding the application</w:t>
      </w:r>
    </w:p>
    <w:p w14:paraId="45AAE302" w14:textId="77777777" w:rsidR="006133DE" w:rsidRDefault="006133DE" w:rsidP="000F194A">
      <w:pPr>
        <w:pStyle w:val="base-text-paragraph"/>
      </w:pPr>
      <w:r>
        <w:t>APRA may grant the application</w:t>
      </w:r>
      <w:r w:rsidR="00AE583D">
        <w:t xml:space="preserve"> to be registered as a private health insurer</w:t>
      </w:r>
      <w:r>
        <w:t xml:space="preserve">, subject to any terms and conditions it </w:t>
      </w:r>
      <w:r w:rsidR="00AE583D">
        <w:t>deems appropriate</w:t>
      </w:r>
      <w:r>
        <w:t xml:space="preserve">.  </w:t>
      </w:r>
      <w:r w:rsidRPr="00752D2A">
        <w:rPr>
          <w:rStyle w:val="Referencingstyle"/>
        </w:rPr>
        <w:t>[Part 2, Division 3, subsection 1</w:t>
      </w:r>
      <w:r w:rsidR="00B00199">
        <w:rPr>
          <w:rStyle w:val="Referencingstyle"/>
        </w:rPr>
        <w:t>5</w:t>
      </w:r>
      <w:r w:rsidRPr="00752D2A">
        <w:rPr>
          <w:rStyle w:val="Referencingstyle"/>
        </w:rPr>
        <w:t>(1)]</w:t>
      </w:r>
    </w:p>
    <w:p w14:paraId="47D3A369" w14:textId="77777777" w:rsidR="00B00199" w:rsidRDefault="006133DE" w:rsidP="000F194A">
      <w:pPr>
        <w:pStyle w:val="base-text-paragraph"/>
      </w:pPr>
      <w:r>
        <w:t xml:space="preserve">A decision to refuse or to apply terms and conditions is reviewable under section </w:t>
      </w:r>
      <w:r w:rsidR="00B00199">
        <w:t>1</w:t>
      </w:r>
      <w:r w:rsidR="000323F6">
        <w:t>6</w:t>
      </w:r>
      <w:r w:rsidR="00FF2EE2">
        <w:t>8</w:t>
      </w:r>
      <w:r w:rsidR="00B00199">
        <w:t xml:space="preserve">. </w:t>
      </w:r>
    </w:p>
    <w:p w14:paraId="1D30CB43" w14:textId="77777777" w:rsidR="006133DE" w:rsidRDefault="006133DE" w:rsidP="000F194A">
      <w:pPr>
        <w:pStyle w:val="base-text-paragraph"/>
      </w:pPr>
      <w:r>
        <w:t>If APRA grants the application then:</w:t>
      </w:r>
    </w:p>
    <w:p w14:paraId="73F29431" w14:textId="77777777" w:rsidR="006133DE" w:rsidRDefault="006133DE" w:rsidP="006133DE">
      <w:pPr>
        <w:pStyle w:val="dotpoint"/>
      </w:pPr>
      <w:r>
        <w:t xml:space="preserve">the applicant is taken to have been registered as a private health insurer from the date specified </w:t>
      </w:r>
      <w:r w:rsidR="009C783F">
        <w:t>in the instrument granting the application</w:t>
      </w:r>
      <w:r>
        <w:t xml:space="preserve">; and </w:t>
      </w:r>
    </w:p>
    <w:p w14:paraId="3C2C0740" w14:textId="77777777" w:rsidR="006133DE" w:rsidRDefault="006133DE" w:rsidP="006133DE">
      <w:pPr>
        <w:pStyle w:val="dotpoint"/>
      </w:pPr>
      <w:r>
        <w:t>if the registration is subject to terms and conditions, those are taken to have applied from the date on which the ap</w:t>
      </w:r>
      <w:r w:rsidR="00FF2EE2">
        <w:t>plicant is notified</w:t>
      </w:r>
      <w:r w:rsidR="009C783F">
        <w:t xml:space="preserve"> of the granting of the application</w:t>
      </w:r>
      <w:r>
        <w:t>; and</w:t>
      </w:r>
    </w:p>
    <w:p w14:paraId="001EE803" w14:textId="77777777" w:rsidR="006133DE" w:rsidRDefault="006133DE" w:rsidP="006133DE">
      <w:pPr>
        <w:pStyle w:val="dotpoint"/>
      </w:pPr>
      <w:r>
        <w:t>if the applicant sought registration as a for profit insurer it is taken to be registered as such; and</w:t>
      </w:r>
    </w:p>
    <w:p w14:paraId="3CB772B0" w14:textId="77777777" w:rsidR="006133DE" w:rsidRPr="00AE583D" w:rsidRDefault="006133DE" w:rsidP="006133DE">
      <w:pPr>
        <w:pStyle w:val="dotpoint"/>
        <w:rPr>
          <w:rStyle w:val="Referencingstyle"/>
          <w:b w:val="0"/>
          <w:i w:val="0"/>
          <w:sz w:val="22"/>
        </w:rPr>
      </w:pPr>
      <w:r>
        <w:t xml:space="preserve">if the applicant sought registration as a restricted access insurer </w:t>
      </w:r>
      <w:r w:rsidR="00F80FB1">
        <w:t xml:space="preserve">and its constitution or rules satisfy subsection 15(3), </w:t>
      </w:r>
      <w:r>
        <w:t>it is taken to be registered as such.</w:t>
      </w:r>
      <w:r>
        <w:rPr>
          <w:rStyle w:val="Referencingstyle"/>
        </w:rPr>
        <w:t xml:space="preserve"> </w:t>
      </w:r>
      <w:r w:rsidR="00002205">
        <w:rPr>
          <w:rStyle w:val="Referencingstyle"/>
        </w:rPr>
        <w:t>[Part 2, Division 3, subsection </w:t>
      </w:r>
      <w:r w:rsidR="002D2DDA">
        <w:rPr>
          <w:rStyle w:val="Referencingstyle"/>
        </w:rPr>
        <w:t>15</w:t>
      </w:r>
      <w:r w:rsidRPr="00712731">
        <w:rPr>
          <w:rStyle w:val="Referencingstyle"/>
        </w:rPr>
        <w:t>(</w:t>
      </w:r>
      <w:r w:rsidR="001C6014">
        <w:rPr>
          <w:rStyle w:val="Referencingstyle"/>
        </w:rPr>
        <w:t>2</w:t>
      </w:r>
      <w:r w:rsidRPr="00712731">
        <w:rPr>
          <w:rStyle w:val="Referencingstyle"/>
        </w:rPr>
        <w:t>)]</w:t>
      </w:r>
    </w:p>
    <w:p w14:paraId="64B79B3C" w14:textId="77777777" w:rsidR="008425CB" w:rsidRPr="00E51351" w:rsidRDefault="001235B8" w:rsidP="000F194A">
      <w:pPr>
        <w:pStyle w:val="base-text-paragraph"/>
      </w:pPr>
      <w:r>
        <w:t>T</w:t>
      </w:r>
      <w:r w:rsidR="00E51351" w:rsidRPr="00E51351">
        <w:t>he Consequential Amendments and Transitional Provisions Bill provides that</w:t>
      </w:r>
      <w:r w:rsidR="008425CB" w:rsidRPr="00E51351">
        <w:t xml:space="preserve"> </w:t>
      </w:r>
      <w:r w:rsidR="00F80FB1">
        <w:t xml:space="preserve">after </w:t>
      </w:r>
      <w:r w:rsidR="008425CB" w:rsidRPr="00E51351">
        <w:t xml:space="preserve">the transition time, private health insurers may request APRA to amend or revoke one or more terms and conditions imposed upon existing registrations. </w:t>
      </w:r>
      <w:r w:rsidR="0068008C">
        <w:t xml:space="preserve">The purpose of this is to allow APRA to ‘clean up’ obviously redundant or out-of-date conditions. </w:t>
      </w:r>
      <w:r w:rsidR="008425CB" w:rsidRPr="00E51351">
        <w:t xml:space="preserve">Requests must be made in writing. </w:t>
      </w:r>
      <w:r w:rsidR="008425CB" w:rsidRPr="00E51351">
        <w:rPr>
          <w:rStyle w:val="Referencingstyle"/>
        </w:rPr>
        <w:t>[</w:t>
      </w:r>
      <w:r w:rsidR="00E51351" w:rsidRPr="00E51351">
        <w:rPr>
          <w:rStyle w:val="Referencingstyle"/>
        </w:rPr>
        <w:t xml:space="preserve">Schedule 2, </w:t>
      </w:r>
      <w:r w:rsidR="008425CB" w:rsidRPr="00E51351">
        <w:rPr>
          <w:rStyle w:val="Referencingstyle"/>
        </w:rPr>
        <w:t xml:space="preserve">Part 2, </w:t>
      </w:r>
      <w:r w:rsidR="00E51351" w:rsidRPr="00E51351">
        <w:rPr>
          <w:rStyle w:val="Referencingstyle"/>
        </w:rPr>
        <w:t>subitem 3(3)</w:t>
      </w:r>
      <w:r w:rsidR="00602695">
        <w:rPr>
          <w:rStyle w:val="Referencingstyle"/>
        </w:rPr>
        <w:t xml:space="preserve"> </w:t>
      </w:r>
      <w:r w:rsidR="00F23E51">
        <w:rPr>
          <w:rStyle w:val="Referencingstyle"/>
        </w:rPr>
        <w:t>of the Consequential Amendments and Transitional Provisions Bill</w:t>
      </w:r>
      <w:r w:rsidR="008425CB" w:rsidRPr="00E51351">
        <w:rPr>
          <w:rStyle w:val="Referencingstyle"/>
        </w:rPr>
        <w:t>]</w:t>
      </w:r>
    </w:p>
    <w:p w14:paraId="72CB3817" w14:textId="77777777" w:rsidR="006133DE" w:rsidRDefault="00AE583D" w:rsidP="000F194A">
      <w:pPr>
        <w:pStyle w:val="base-text-paragraph"/>
      </w:pPr>
      <w:r w:rsidRPr="00B944AF">
        <w:t>Subsection</w:t>
      </w:r>
      <w:r>
        <w:t xml:space="preserve"> 15</w:t>
      </w:r>
      <w:r w:rsidRPr="00B944AF">
        <w:t>(3) applies to restricted access insurers only.</w:t>
      </w:r>
      <w:r>
        <w:t xml:space="preserve"> </w:t>
      </w:r>
      <w:r w:rsidR="006133DE">
        <w:t>An applicant</w:t>
      </w:r>
      <w:r w:rsidR="00C657F6">
        <w:t>’s constitution or business rules satisfy subsection</w:t>
      </w:r>
      <w:r w:rsidR="007019F1">
        <w:t> </w:t>
      </w:r>
      <w:r>
        <w:t>15</w:t>
      </w:r>
      <w:r w:rsidR="00C657F6">
        <w:t>(3) if they</w:t>
      </w:r>
      <w:r w:rsidR="006133DE">
        <w:t>:</w:t>
      </w:r>
    </w:p>
    <w:p w14:paraId="7933CEC0" w14:textId="77777777" w:rsidR="006133DE" w:rsidRDefault="006133DE" w:rsidP="006133DE">
      <w:pPr>
        <w:pStyle w:val="dotpoint"/>
      </w:pPr>
      <w:r>
        <w:t>describe the restricted access group the insurer’s complying health insurance products are, or will be, available to;</w:t>
      </w:r>
    </w:p>
    <w:p w14:paraId="538F9A74" w14:textId="77777777" w:rsidR="006133DE" w:rsidRDefault="006133DE" w:rsidP="006133DE">
      <w:pPr>
        <w:pStyle w:val="dotpoint"/>
      </w:pPr>
      <w:r>
        <w:t>prohibit the insurer issuing such a product to anyone outside of the group; and</w:t>
      </w:r>
    </w:p>
    <w:p w14:paraId="472533F9" w14:textId="77777777" w:rsidR="006133DE" w:rsidRPr="00271204" w:rsidRDefault="006133DE" w:rsidP="006133DE">
      <w:pPr>
        <w:pStyle w:val="dotpoint"/>
        <w:rPr>
          <w:rStyle w:val="Referencingstyle"/>
          <w:b w:val="0"/>
          <w:i w:val="0"/>
          <w:sz w:val="22"/>
        </w:rPr>
      </w:pPr>
      <w:r>
        <w:t xml:space="preserve">prohibit the insurer ceasing to insure a person because they no longer belong to the group.  </w:t>
      </w:r>
      <w:r w:rsidRPr="00712731">
        <w:rPr>
          <w:rStyle w:val="Referencingstyle"/>
        </w:rPr>
        <w:t>[Part 2, Division 3, subsection</w:t>
      </w:r>
      <w:r w:rsidR="00005D2A">
        <w:rPr>
          <w:rStyle w:val="Referencingstyle"/>
        </w:rPr>
        <w:t> </w:t>
      </w:r>
      <w:r w:rsidRPr="00712731">
        <w:rPr>
          <w:rStyle w:val="Referencingstyle"/>
        </w:rPr>
        <w:t>1</w:t>
      </w:r>
      <w:r w:rsidR="00870E99">
        <w:rPr>
          <w:rStyle w:val="Referencingstyle"/>
        </w:rPr>
        <w:t>5</w:t>
      </w:r>
      <w:r w:rsidRPr="00712731">
        <w:rPr>
          <w:rStyle w:val="Referencingstyle"/>
        </w:rPr>
        <w:t>(</w:t>
      </w:r>
      <w:r w:rsidR="001C6014">
        <w:rPr>
          <w:rStyle w:val="Referencingstyle"/>
        </w:rPr>
        <w:t>3</w:t>
      </w:r>
      <w:r>
        <w:rPr>
          <w:rStyle w:val="Referencingstyle"/>
        </w:rPr>
        <w:t>)</w:t>
      </w:r>
      <w:r w:rsidRPr="00712731">
        <w:rPr>
          <w:rStyle w:val="Referencingstyle"/>
        </w:rPr>
        <w:t>]</w:t>
      </w:r>
    </w:p>
    <w:p w14:paraId="7947BD82" w14:textId="77777777" w:rsidR="00AE583D" w:rsidRPr="00364BCC" w:rsidRDefault="00AE583D" w:rsidP="000F194A">
      <w:pPr>
        <w:pStyle w:val="base-text-paragraph"/>
      </w:pPr>
      <w:r w:rsidRPr="00602D19">
        <w:t>An insurer’s registration status as being</w:t>
      </w:r>
      <w:r>
        <w:t xml:space="preserve">, </w:t>
      </w:r>
      <w:r w:rsidRPr="00602D19">
        <w:t>or not being</w:t>
      </w:r>
      <w:r>
        <w:t>,</w:t>
      </w:r>
      <w:r w:rsidRPr="00602D19">
        <w:t xml:space="preserve"> a for profit insurer or a restricted access insurer may change after the insurer’s initial </w:t>
      </w:r>
      <w:r w:rsidRPr="00DD2CD9">
        <w:t xml:space="preserve">registration, but only as provided for in section </w:t>
      </w:r>
      <w:r w:rsidRPr="00364BCC">
        <w:t>19.</w:t>
      </w:r>
    </w:p>
    <w:p w14:paraId="503E0D33" w14:textId="77777777" w:rsidR="00AE583D" w:rsidRDefault="00AE583D" w:rsidP="000F194A">
      <w:pPr>
        <w:pStyle w:val="base-text-paragraph"/>
      </w:pPr>
      <w:r w:rsidRPr="00C85607">
        <w:t>Subsection 15(3) is intended to act as a precondition that the initial constitution or rules must satisfy in order for the insurer to be registered as a restricted access insurer.</w:t>
      </w:r>
      <w:r>
        <w:t xml:space="preserve"> </w:t>
      </w:r>
      <w:r w:rsidRPr="00C85607">
        <w:t xml:space="preserve">It is not intended to have the effect that, if the insurer ceases to have such provisions in its constitution or rules, it will automatically cease to be registered as a restricted access insurer. </w:t>
      </w:r>
      <w:r>
        <w:t xml:space="preserve"> </w:t>
      </w:r>
      <w:r w:rsidRPr="00C85607">
        <w:t xml:space="preserve">The insurer’s actual </w:t>
      </w:r>
      <w:r w:rsidR="0068008C">
        <w:t>registration</w:t>
      </w:r>
      <w:r w:rsidRPr="00C85607">
        <w:t xml:space="preserve"> status will only change if and when its status is changed under section 1</w:t>
      </w:r>
      <w:r w:rsidR="00FF2EE2">
        <w:t>9</w:t>
      </w:r>
      <w:r w:rsidRPr="00364BCC">
        <w:t xml:space="preserve">. </w:t>
      </w:r>
    </w:p>
    <w:p w14:paraId="778D49CC" w14:textId="77777777" w:rsidR="00AE583D" w:rsidRDefault="00AE583D" w:rsidP="000F194A">
      <w:pPr>
        <w:pStyle w:val="base-text-paragraph"/>
      </w:pPr>
      <w:r w:rsidRPr="00C85607">
        <w:t xml:space="preserve">If a restricted access insurer ceases to adequately comply with subsection 15(3), a direction will be able to </w:t>
      </w:r>
      <w:r w:rsidR="00407052">
        <w:t xml:space="preserve">be </w:t>
      </w:r>
      <w:r w:rsidRPr="00C85607">
        <w:t xml:space="preserve">given under </w:t>
      </w:r>
      <w:r w:rsidRPr="00FF2EE2">
        <w:t>s</w:t>
      </w:r>
      <w:r w:rsidR="00FF2EE2" w:rsidRPr="00FF2EE2">
        <w:t>ection</w:t>
      </w:r>
      <w:r w:rsidR="00FF2EE2">
        <w:t> </w:t>
      </w:r>
      <w:r w:rsidR="0087098A">
        <w:t>200-1 of the PHI Act</w:t>
      </w:r>
      <w:r w:rsidRPr="00C85607">
        <w:t xml:space="preserve"> to modify its constitution or rules in order to comply with subsection 15(3)</w:t>
      </w:r>
      <w:r w:rsidRPr="00DD2CD9">
        <w:t>.</w:t>
      </w:r>
    </w:p>
    <w:p w14:paraId="02550303" w14:textId="77777777" w:rsidR="00AE583D" w:rsidRPr="00C85607" w:rsidRDefault="00AE583D" w:rsidP="000F194A">
      <w:pPr>
        <w:pStyle w:val="base-text-paragraph"/>
      </w:pPr>
      <w:r w:rsidRPr="00C85607">
        <w:t xml:space="preserve">The requirements for what an insurer has to do if it changes, or proposes to change, its rules will continue </w:t>
      </w:r>
      <w:r w:rsidR="007B74D5">
        <w:t>to be dealt with under sections </w:t>
      </w:r>
      <w:r w:rsidRPr="00C85607">
        <w:t>169</w:t>
      </w:r>
      <w:r w:rsidRPr="00C85607">
        <w:noBreakHyphen/>
        <w:t>10, 93</w:t>
      </w:r>
      <w:r w:rsidRPr="00C85607">
        <w:noBreakHyphen/>
        <w:t>20 and 93</w:t>
      </w:r>
      <w:r w:rsidRPr="00C85607">
        <w:noBreakHyphen/>
        <w:t>25</w:t>
      </w:r>
      <w:r w:rsidRPr="00DD2CD9">
        <w:t xml:space="preserve"> of the PHI Act.</w:t>
      </w:r>
    </w:p>
    <w:p w14:paraId="12612CC9" w14:textId="77777777" w:rsidR="006133DE" w:rsidRDefault="006133DE" w:rsidP="000F194A">
      <w:pPr>
        <w:pStyle w:val="base-text-paragraph"/>
      </w:pPr>
      <w:r>
        <w:t xml:space="preserve">A </w:t>
      </w:r>
      <w:r w:rsidRPr="00AE583D">
        <w:rPr>
          <w:b/>
          <w:i/>
        </w:rPr>
        <w:t>restricted access group</w:t>
      </w:r>
      <w:r>
        <w:t xml:space="preserve"> is defined as a group of people belonging to a particular group due to being:</w:t>
      </w:r>
    </w:p>
    <w:p w14:paraId="34FFD252" w14:textId="77777777" w:rsidR="006133DE" w:rsidRDefault="006133DE" w:rsidP="006133DE">
      <w:pPr>
        <w:pStyle w:val="dotpoint"/>
      </w:pPr>
      <w:r>
        <w:t>employed in a particular profession, trade</w:t>
      </w:r>
      <w:r w:rsidR="00F84883">
        <w:t>,</w:t>
      </w:r>
      <w:r>
        <w:t xml:space="preserve"> industry or calling;</w:t>
      </w:r>
      <w:r w:rsidR="00F84883">
        <w:t xml:space="preserve"> or</w:t>
      </w:r>
    </w:p>
    <w:p w14:paraId="55346037" w14:textId="77777777" w:rsidR="006133DE" w:rsidRDefault="006133DE" w:rsidP="006133DE">
      <w:pPr>
        <w:pStyle w:val="dotpoint"/>
      </w:pPr>
      <w:r>
        <w:t>employed by a particular employer or employer belonging to a particular class of employer</w:t>
      </w:r>
      <w:r w:rsidR="00F84883">
        <w:t>s</w:t>
      </w:r>
      <w:r>
        <w:t>;</w:t>
      </w:r>
      <w:r w:rsidR="00F84883">
        <w:t xml:space="preserve"> or</w:t>
      </w:r>
    </w:p>
    <w:p w14:paraId="555C024F" w14:textId="77777777" w:rsidR="006133DE" w:rsidRDefault="006133DE" w:rsidP="006133DE">
      <w:pPr>
        <w:pStyle w:val="dotpoint"/>
      </w:pPr>
      <w:r>
        <w:t>a past or present member of:</w:t>
      </w:r>
    </w:p>
    <w:p w14:paraId="45D172DB" w14:textId="77777777" w:rsidR="006133DE" w:rsidRDefault="006133DE" w:rsidP="006133DE">
      <w:pPr>
        <w:pStyle w:val="dotpoint2"/>
      </w:pPr>
      <w:r>
        <w:t xml:space="preserve">a particular profession, professional association or union; </w:t>
      </w:r>
      <w:r w:rsidR="00C657F6">
        <w:t>or</w:t>
      </w:r>
    </w:p>
    <w:p w14:paraId="0F301374" w14:textId="77777777" w:rsidR="006133DE" w:rsidRDefault="006133DE" w:rsidP="006133DE">
      <w:pPr>
        <w:pStyle w:val="dotpoint2"/>
      </w:pPr>
      <w:r>
        <w:t>the Defence Force (or part of the Defence Force);</w:t>
      </w:r>
      <w:r w:rsidR="00C657F6">
        <w:t xml:space="preserve"> or</w:t>
      </w:r>
    </w:p>
    <w:p w14:paraId="4266FF17" w14:textId="77777777" w:rsidR="00C657F6" w:rsidRDefault="006133DE" w:rsidP="006C3D7A">
      <w:pPr>
        <w:pStyle w:val="dotpoint"/>
      </w:pPr>
      <w:r>
        <w:t>currently or previously part of any group described in APRA</w:t>
      </w:r>
      <w:r w:rsidRPr="0064670F">
        <w:t xml:space="preserve"> </w:t>
      </w:r>
      <w:r>
        <w:t>rules</w:t>
      </w:r>
      <w:r w:rsidR="00F84883">
        <w:t xml:space="preserve"> made for the purpose of paragraph 4(e</w:t>
      </w:r>
      <w:r w:rsidR="00736A76">
        <w:t>)</w:t>
      </w:r>
      <w:r w:rsidR="00C657F6">
        <w:t>. These rules may describe a group as having one or more classes of people (whether or not they are described by reference to matters referred to in paragraphs 4(a) to (d)</w:t>
      </w:r>
      <w:r w:rsidR="00736A76">
        <w:t>)</w:t>
      </w:r>
      <w:r w:rsidR="00C657F6">
        <w:t>.</w:t>
      </w:r>
      <w:r w:rsidR="00C657F6" w:rsidRPr="00C657F6">
        <w:rPr>
          <w:rStyle w:val="Referencingstyle"/>
        </w:rPr>
        <w:t xml:space="preserve"> </w:t>
      </w:r>
      <w:r w:rsidR="00C657F6" w:rsidRPr="00B55A60">
        <w:rPr>
          <w:rStyle w:val="Referencingstyle"/>
        </w:rPr>
        <w:t>[Part 2, Division 3, subsection</w:t>
      </w:r>
      <w:r w:rsidR="00C657F6">
        <w:rPr>
          <w:rStyle w:val="Referencingstyle"/>
        </w:rPr>
        <w:t>s</w:t>
      </w:r>
      <w:r w:rsidR="00C657F6" w:rsidRPr="00B55A60">
        <w:rPr>
          <w:rStyle w:val="Referencingstyle"/>
        </w:rPr>
        <w:t xml:space="preserve"> </w:t>
      </w:r>
      <w:r w:rsidR="00C657F6">
        <w:rPr>
          <w:rStyle w:val="Referencingstyle"/>
        </w:rPr>
        <w:t>15(4) and (5)]</w:t>
      </w:r>
    </w:p>
    <w:p w14:paraId="0454E6CE" w14:textId="77777777" w:rsidR="006133DE" w:rsidRDefault="006133DE" w:rsidP="000F194A">
      <w:pPr>
        <w:pStyle w:val="base-text-paragraph"/>
      </w:pPr>
      <w:r>
        <w:t>A partner or dependent children of a person who belongs to such a group is also considered as belonging to the group.</w:t>
      </w:r>
      <w:r w:rsidR="009347FF">
        <w:t xml:space="preserve"> </w:t>
      </w:r>
      <w:r w:rsidR="009347FF" w:rsidRPr="00B55A60">
        <w:rPr>
          <w:rStyle w:val="Referencingstyle"/>
        </w:rPr>
        <w:t>[Part 2, Division 3,</w:t>
      </w:r>
      <w:r w:rsidR="00AE583D" w:rsidRPr="00B55A60">
        <w:rPr>
          <w:rStyle w:val="Referencingstyle"/>
        </w:rPr>
        <w:t xml:space="preserve"> subsection </w:t>
      </w:r>
      <w:r w:rsidR="009347FF">
        <w:rPr>
          <w:rStyle w:val="Referencingstyle"/>
        </w:rPr>
        <w:t>15(4)]</w:t>
      </w:r>
    </w:p>
    <w:p w14:paraId="48273152" w14:textId="77777777" w:rsidR="00AE583D" w:rsidRDefault="00AE583D" w:rsidP="000F194A">
      <w:pPr>
        <w:pStyle w:val="base-text-paragraph"/>
      </w:pPr>
      <w:r>
        <w:t xml:space="preserve">Section 15 is based on an amalgamation of section 126-20 of the PHI Act and sections 12 and 13 of the </w:t>
      </w:r>
      <w:r w:rsidRPr="009347FF">
        <w:rPr>
          <w:i/>
        </w:rPr>
        <w:t>Insurance Act 1973</w:t>
      </w:r>
      <w:r w:rsidRPr="005F67B0">
        <w:t>.</w:t>
      </w:r>
      <w:r>
        <w:t xml:space="preserve"> There has been no change to the definition of a restricted access group.</w:t>
      </w:r>
    </w:p>
    <w:p w14:paraId="229BF161" w14:textId="77777777" w:rsidR="006133DE" w:rsidRDefault="006133DE" w:rsidP="006133DE">
      <w:pPr>
        <w:pStyle w:val="Heading5"/>
      </w:pPr>
      <w:r>
        <w:t>Notifying the decision</w:t>
      </w:r>
    </w:p>
    <w:p w14:paraId="5387E0DE" w14:textId="77777777" w:rsidR="006133DE" w:rsidRDefault="006133DE" w:rsidP="000F194A">
      <w:pPr>
        <w:pStyle w:val="base-text-paragraph"/>
      </w:pPr>
      <w:r>
        <w:t>If APRA grants the application</w:t>
      </w:r>
      <w:r w:rsidR="00AE583D">
        <w:t xml:space="preserve"> for registration as a private health insurer</w:t>
      </w:r>
      <w:r>
        <w:t>, it must:</w:t>
      </w:r>
    </w:p>
    <w:p w14:paraId="1ECA7B31" w14:textId="77777777" w:rsidR="006133DE" w:rsidRDefault="006133DE" w:rsidP="006133DE">
      <w:pPr>
        <w:pStyle w:val="dotpoint"/>
      </w:pPr>
      <w:r>
        <w:t>notify the applicant in writing</w:t>
      </w:r>
      <w:r w:rsidR="00736A76">
        <w:t xml:space="preserve"> of the grant</w:t>
      </w:r>
      <w:r w:rsidR="00AE583D">
        <w:t>, including</w:t>
      </w:r>
      <w:r w:rsidDel="00AE583D">
        <w:t xml:space="preserve"> </w:t>
      </w:r>
      <w:r>
        <w:t>any terms and conditions to which it is subject; and</w:t>
      </w:r>
    </w:p>
    <w:p w14:paraId="58E4D8C5" w14:textId="77777777" w:rsidR="006133DE" w:rsidRDefault="006133DE" w:rsidP="006133DE">
      <w:pPr>
        <w:pStyle w:val="dotpoint"/>
      </w:pPr>
      <w:r w:rsidRPr="001A57F7">
        <w:t>publish details of the grant in the Gazette within one month</w:t>
      </w:r>
      <w:r w:rsidR="00AE583D">
        <w:t xml:space="preserve"> of granting the registration</w:t>
      </w:r>
      <w:r w:rsidRPr="00F57A3F">
        <w:t>.</w:t>
      </w:r>
      <w:r w:rsidR="00637C0C">
        <w:t xml:space="preserve"> </w:t>
      </w:r>
      <w:r w:rsidRPr="00752D2A">
        <w:rPr>
          <w:rStyle w:val="Referencingstyle"/>
        </w:rPr>
        <w:t>[Part 2, Division 3, subsection 1</w:t>
      </w:r>
      <w:r w:rsidR="00A36B55">
        <w:rPr>
          <w:rStyle w:val="Referencingstyle"/>
        </w:rPr>
        <w:t>6</w:t>
      </w:r>
      <w:r w:rsidRPr="00752D2A">
        <w:rPr>
          <w:rStyle w:val="Referencingstyle"/>
        </w:rPr>
        <w:t>(1)]</w:t>
      </w:r>
    </w:p>
    <w:p w14:paraId="5E5CF2D4" w14:textId="77777777" w:rsidR="006133DE" w:rsidRPr="00AE583D" w:rsidRDefault="006133DE" w:rsidP="000F194A">
      <w:pPr>
        <w:pStyle w:val="base-text-paragraph"/>
        <w:rPr>
          <w:rStyle w:val="Referencingstyle"/>
          <w:b w:val="0"/>
          <w:i w:val="0"/>
          <w:sz w:val="22"/>
        </w:rPr>
      </w:pPr>
      <w:r>
        <w:t>If APRA refuses the application, it must</w:t>
      </w:r>
      <w:r w:rsidR="00A36B55">
        <w:t xml:space="preserve"> </w:t>
      </w:r>
      <w:r>
        <w:t xml:space="preserve">notify the applicant </w:t>
      </w:r>
      <w:r w:rsidR="00A36B55">
        <w:t xml:space="preserve">of this </w:t>
      </w:r>
      <w:r>
        <w:t>in writing</w:t>
      </w:r>
      <w:r w:rsidR="00A36B55">
        <w:t>.</w:t>
      </w:r>
      <w:r w:rsidR="00A36B55" w:rsidRPr="00044988">
        <w:rPr>
          <w:rStyle w:val="Referencingstyle"/>
        </w:rPr>
        <w:t xml:space="preserve"> </w:t>
      </w:r>
      <w:r w:rsidR="00A36B55" w:rsidRPr="00752D2A">
        <w:rPr>
          <w:rStyle w:val="Referencingstyle"/>
        </w:rPr>
        <w:t>[Part 2, Division 3, subsection 1</w:t>
      </w:r>
      <w:r w:rsidR="00A36B55">
        <w:rPr>
          <w:rStyle w:val="Referencingstyle"/>
        </w:rPr>
        <w:t>6(2</w:t>
      </w:r>
      <w:r w:rsidR="00A36B55" w:rsidRPr="00752D2A">
        <w:rPr>
          <w:rStyle w:val="Referencingstyle"/>
        </w:rPr>
        <w:t>)]</w:t>
      </w:r>
    </w:p>
    <w:p w14:paraId="2EDC931F" w14:textId="77777777" w:rsidR="006133DE" w:rsidRDefault="006133DE" w:rsidP="006133DE">
      <w:pPr>
        <w:pStyle w:val="Heading5"/>
      </w:pPr>
      <w:r>
        <w:t>APRA can be taken to refuse application</w:t>
      </w:r>
    </w:p>
    <w:p w14:paraId="5F04D983" w14:textId="77777777" w:rsidR="006133DE" w:rsidRDefault="006133DE" w:rsidP="000F194A">
      <w:pPr>
        <w:pStyle w:val="base-text-paragraph"/>
      </w:pPr>
      <w:r>
        <w:t xml:space="preserve">APRA is taken to have refused the application for </w:t>
      </w:r>
      <w:r w:rsidR="00AE583D">
        <w:t xml:space="preserve">registration as a private health insurer </w:t>
      </w:r>
      <w:r w:rsidR="0068008C">
        <w:t xml:space="preserve">(allowing merits review under section 168, if requested) </w:t>
      </w:r>
      <w:r>
        <w:t>if it does not notify the applicant of its decision by the lat</w:t>
      </w:r>
      <w:r w:rsidR="00AE583D">
        <w:t>er</w:t>
      </w:r>
      <w:r>
        <w:t xml:space="preserve"> of:</w:t>
      </w:r>
    </w:p>
    <w:p w14:paraId="58195AD8" w14:textId="77777777" w:rsidR="006133DE" w:rsidRDefault="006133DE" w:rsidP="006133DE">
      <w:pPr>
        <w:pStyle w:val="dotpoint"/>
      </w:pPr>
      <w:r>
        <w:t xml:space="preserve">90 days after the application was made; or </w:t>
      </w:r>
    </w:p>
    <w:p w14:paraId="5FBEEBA8" w14:textId="77777777" w:rsidR="006133DE" w:rsidRPr="00AE583D" w:rsidRDefault="006133DE" w:rsidP="006133DE">
      <w:pPr>
        <w:pStyle w:val="dotpoint"/>
        <w:rPr>
          <w:rStyle w:val="Referencingstyle"/>
          <w:b w:val="0"/>
          <w:i w:val="0"/>
          <w:sz w:val="22"/>
        </w:rPr>
      </w:pPr>
      <w:r>
        <w:t xml:space="preserve">90 days after further information was provided to APRA under section </w:t>
      </w:r>
      <w:r w:rsidR="00C523E6">
        <w:t>13</w:t>
      </w:r>
      <w:r w:rsidR="00637C0C">
        <w:t xml:space="preserve">. </w:t>
      </w:r>
      <w:r w:rsidRPr="00752D2A">
        <w:rPr>
          <w:rStyle w:val="Referencingstyle"/>
        </w:rPr>
        <w:t xml:space="preserve">[Part 2, </w:t>
      </w:r>
      <w:r>
        <w:rPr>
          <w:rStyle w:val="Referencingstyle"/>
        </w:rPr>
        <w:t>Division 3, section 1</w:t>
      </w:r>
      <w:r w:rsidR="00C523E6">
        <w:rPr>
          <w:rStyle w:val="Referencingstyle"/>
        </w:rPr>
        <w:t>7</w:t>
      </w:r>
      <w:r w:rsidRPr="00752D2A">
        <w:rPr>
          <w:rStyle w:val="Referencingstyle"/>
        </w:rPr>
        <w:t>]</w:t>
      </w:r>
    </w:p>
    <w:p w14:paraId="3A63680B" w14:textId="77777777" w:rsidR="006133DE" w:rsidRDefault="006133DE" w:rsidP="006133DE">
      <w:pPr>
        <w:pStyle w:val="Heading5"/>
      </w:pPr>
      <w:r>
        <w:t xml:space="preserve">APRA to </w:t>
      </w:r>
      <w:r w:rsidR="00003CD4">
        <w:t>ensure that up-to-date record of information about private health insurers is publicly available</w:t>
      </w:r>
      <w:r>
        <w:t>.</w:t>
      </w:r>
    </w:p>
    <w:p w14:paraId="129B49F0" w14:textId="77777777" w:rsidR="006133DE" w:rsidRPr="00B81F25" w:rsidRDefault="006133DE" w:rsidP="000F194A">
      <w:pPr>
        <w:pStyle w:val="base-text-paragraph"/>
        <w:rPr>
          <w:rStyle w:val="Referencingstyle"/>
          <w:b w:val="0"/>
          <w:i w:val="0"/>
          <w:sz w:val="22"/>
        </w:rPr>
      </w:pPr>
      <w:r>
        <w:t xml:space="preserve">APRA must </w:t>
      </w:r>
      <w:r w:rsidR="00CE6944">
        <w:t>publish</w:t>
      </w:r>
      <w:r>
        <w:t xml:space="preserve"> on its website an up</w:t>
      </w:r>
      <w:r w:rsidR="00FA7B71">
        <w:t>-</w:t>
      </w:r>
      <w:r>
        <w:t>to</w:t>
      </w:r>
      <w:r w:rsidR="00FA7B71">
        <w:t>-</w:t>
      </w:r>
      <w:r>
        <w:t>date rec</w:t>
      </w:r>
      <w:r w:rsidR="00637C0C">
        <w:t>ord of private health insurers.</w:t>
      </w:r>
      <w:r>
        <w:t xml:space="preserve"> The records must contain the insurer’s </w:t>
      </w:r>
      <w:r w:rsidR="00B81F25">
        <w:t xml:space="preserve">name, registration </w:t>
      </w:r>
      <w:r w:rsidDel="00B81F25">
        <w:t>s</w:t>
      </w:r>
      <w:r>
        <w:t xml:space="preserve">tatus, </w:t>
      </w:r>
      <w:r w:rsidR="00B81F25">
        <w:t>which States and Territories it operates in and contact details such as address, telephone number and website.</w:t>
      </w:r>
      <w:r>
        <w:t xml:space="preserve">  </w:t>
      </w:r>
      <w:r w:rsidRPr="00752D2A">
        <w:rPr>
          <w:rStyle w:val="Referencingstyle"/>
        </w:rPr>
        <w:t xml:space="preserve">[Part 2, </w:t>
      </w:r>
      <w:r>
        <w:rPr>
          <w:rStyle w:val="Referencingstyle"/>
        </w:rPr>
        <w:t>Division 3, section 1</w:t>
      </w:r>
      <w:r w:rsidR="008C005E">
        <w:rPr>
          <w:rStyle w:val="Referencingstyle"/>
        </w:rPr>
        <w:t>8</w:t>
      </w:r>
      <w:r w:rsidRPr="00752D2A">
        <w:rPr>
          <w:rStyle w:val="Referencingstyle"/>
        </w:rPr>
        <w:t>]</w:t>
      </w:r>
    </w:p>
    <w:p w14:paraId="6A702ACA" w14:textId="77777777" w:rsidR="006133DE" w:rsidRDefault="006133DE" w:rsidP="006133DE">
      <w:pPr>
        <w:pStyle w:val="Heading5"/>
      </w:pPr>
      <w:r>
        <w:t>Changing registration status</w:t>
      </w:r>
    </w:p>
    <w:p w14:paraId="6C2686D5" w14:textId="77777777" w:rsidR="008C005E" w:rsidRPr="00411FE5" w:rsidRDefault="008C005E" w:rsidP="007E0B53">
      <w:pPr>
        <w:pStyle w:val="Heading6"/>
        <w:keepLines/>
      </w:pPr>
      <w:r>
        <w:t>For profit insurer</w:t>
      </w:r>
    </w:p>
    <w:p w14:paraId="1D0F9876" w14:textId="77777777" w:rsidR="006133DE" w:rsidRPr="00CF073F" w:rsidRDefault="006133DE" w:rsidP="007E0B53">
      <w:pPr>
        <w:pStyle w:val="base-text-paragraph"/>
        <w:keepNext/>
        <w:keepLines/>
      </w:pPr>
      <w:r>
        <w:t>P</w:t>
      </w:r>
      <w:r w:rsidRPr="00CF073F">
        <w:t>rivate he</w:t>
      </w:r>
      <w:r>
        <w:t xml:space="preserve">alth insurers may, by notifying APRA </w:t>
      </w:r>
      <w:r w:rsidRPr="00CF073F">
        <w:t>in the approved form, change their status from for profit insurer to not fo</w:t>
      </w:r>
      <w:r>
        <w:t xml:space="preserve">r profit insurer or, with the approval of APRA under section </w:t>
      </w:r>
      <w:r w:rsidR="008C005E">
        <w:t>20</w:t>
      </w:r>
      <w:r>
        <w:t>, from not</w:t>
      </w:r>
      <w:r w:rsidR="00055C49">
        <w:t xml:space="preserve"> </w:t>
      </w:r>
      <w:r>
        <w:t>for</w:t>
      </w:r>
      <w:r w:rsidR="00055C49">
        <w:t xml:space="preserve"> </w:t>
      </w:r>
      <w:r w:rsidR="00637C0C">
        <w:t xml:space="preserve">profit to for profit. </w:t>
      </w:r>
      <w:r w:rsidRPr="00CF073F">
        <w:rPr>
          <w:rStyle w:val="Referencingstyle"/>
        </w:rPr>
        <w:t>[Part 2, Division 3</w:t>
      </w:r>
      <w:r>
        <w:rPr>
          <w:rStyle w:val="Referencingstyle"/>
        </w:rPr>
        <w:t>,</w:t>
      </w:r>
      <w:r w:rsidRPr="00CF073F">
        <w:rPr>
          <w:rStyle w:val="Referencingstyle"/>
        </w:rPr>
        <w:t xml:space="preserve"> subsections </w:t>
      </w:r>
      <w:r w:rsidR="008C005E">
        <w:rPr>
          <w:rStyle w:val="Referencingstyle"/>
        </w:rPr>
        <w:t>19(</w:t>
      </w:r>
      <w:r w:rsidRPr="00CF073F">
        <w:rPr>
          <w:rStyle w:val="Referencingstyle"/>
        </w:rPr>
        <w:t>1</w:t>
      </w:r>
      <w:r>
        <w:rPr>
          <w:rStyle w:val="Referencingstyle"/>
        </w:rPr>
        <w:t>)</w:t>
      </w:r>
      <w:r w:rsidRPr="00CF073F">
        <w:rPr>
          <w:rStyle w:val="Referencingstyle"/>
        </w:rPr>
        <w:t xml:space="preserve"> and</w:t>
      </w:r>
      <w:r>
        <w:rPr>
          <w:rStyle w:val="Referencingstyle"/>
        </w:rPr>
        <w:t xml:space="preserve"> </w:t>
      </w:r>
      <w:r w:rsidRPr="00CF073F">
        <w:rPr>
          <w:rStyle w:val="Referencingstyle"/>
        </w:rPr>
        <w:t>(2)]</w:t>
      </w:r>
    </w:p>
    <w:p w14:paraId="7A589CBD" w14:textId="77777777" w:rsidR="008C005E" w:rsidRDefault="008C005E" w:rsidP="001A57F7">
      <w:pPr>
        <w:pStyle w:val="Heading6"/>
      </w:pPr>
      <w:r>
        <w:t>Restricted access insurer</w:t>
      </w:r>
    </w:p>
    <w:p w14:paraId="3481EF81" w14:textId="77777777" w:rsidR="006133DE" w:rsidRPr="00CF073F" w:rsidRDefault="006133DE" w:rsidP="000F194A">
      <w:pPr>
        <w:pStyle w:val="base-text-paragraph"/>
      </w:pPr>
      <w:r>
        <w:t>P</w:t>
      </w:r>
      <w:r w:rsidRPr="00CF073F">
        <w:t>rivate health insurers</w:t>
      </w:r>
      <w:r>
        <w:t xml:space="preserve"> may</w:t>
      </w:r>
      <w:r w:rsidRPr="00CF073F">
        <w:t xml:space="preserve">, by notifying </w:t>
      </w:r>
      <w:r>
        <w:t>APRA</w:t>
      </w:r>
      <w:r w:rsidRPr="00CF073F">
        <w:t xml:space="preserve"> in the approved form, change their status from restricted access insurer </w:t>
      </w:r>
      <w:r>
        <w:t xml:space="preserve">to other insurer or change their status to restricted access insurer (subject to compliance with </w:t>
      </w:r>
      <w:r w:rsidR="009B57EB">
        <w:t xml:space="preserve">subsection </w:t>
      </w:r>
      <w:r>
        <w:t>1</w:t>
      </w:r>
      <w:r w:rsidR="008C005E">
        <w:t>5(</w:t>
      </w:r>
      <w:r w:rsidR="00FA7B71">
        <w:t>3</w:t>
      </w:r>
      <w:r w:rsidR="008C005E">
        <w:t>)</w:t>
      </w:r>
      <w:r w:rsidR="00D642F3">
        <w:t>)</w:t>
      </w:r>
      <w:r w:rsidR="00637C0C">
        <w:t>.</w:t>
      </w:r>
      <w:r w:rsidRPr="006119CE">
        <w:rPr>
          <w:rStyle w:val="Referencingstyle"/>
        </w:rPr>
        <w:t xml:space="preserve"> [Part 2, Division 3, subsection</w:t>
      </w:r>
      <w:r w:rsidR="00FA7B71">
        <w:rPr>
          <w:rStyle w:val="Referencingstyle"/>
        </w:rPr>
        <w:t>s</w:t>
      </w:r>
      <w:r w:rsidRPr="006119CE">
        <w:rPr>
          <w:rStyle w:val="Referencingstyle"/>
        </w:rPr>
        <w:t xml:space="preserve"> 1</w:t>
      </w:r>
      <w:r w:rsidR="008C005E">
        <w:rPr>
          <w:rStyle w:val="Referencingstyle"/>
        </w:rPr>
        <w:t>9</w:t>
      </w:r>
      <w:r w:rsidRPr="006119CE">
        <w:rPr>
          <w:rStyle w:val="Referencingstyle"/>
        </w:rPr>
        <w:t>(4) and (5)]</w:t>
      </w:r>
    </w:p>
    <w:p w14:paraId="77CDF09E" w14:textId="77777777" w:rsidR="006133DE" w:rsidRPr="00CF073F" w:rsidRDefault="006133DE" w:rsidP="000F194A">
      <w:pPr>
        <w:pStyle w:val="base-text-paragraph"/>
      </w:pPr>
      <w:r>
        <w:t xml:space="preserve">APRA must </w:t>
      </w:r>
      <w:r w:rsidRPr="00CF073F">
        <w:t xml:space="preserve">notify changes of </w:t>
      </w:r>
      <w:r w:rsidR="00B81F25">
        <w:t>for profit or not</w:t>
      </w:r>
      <w:r w:rsidR="00055C49">
        <w:t xml:space="preserve"> </w:t>
      </w:r>
      <w:r w:rsidR="00B81F25">
        <w:t>for</w:t>
      </w:r>
      <w:r w:rsidR="00055C49">
        <w:t xml:space="preserve"> </w:t>
      </w:r>
      <w:r w:rsidR="00B81F25">
        <w:t xml:space="preserve">profit </w:t>
      </w:r>
      <w:r w:rsidRPr="00CF073F">
        <w:t xml:space="preserve">status to the </w:t>
      </w:r>
      <w:r>
        <w:t xml:space="preserve">Health </w:t>
      </w:r>
      <w:r w:rsidRPr="00CF073F">
        <w:t>Secretary</w:t>
      </w:r>
      <w:r>
        <w:t xml:space="preserve">, </w:t>
      </w:r>
      <w:r w:rsidRPr="00CF073F">
        <w:t>the Private Health Insurance Ombudsman and the Commissioner of Taxation.</w:t>
      </w:r>
      <w:r w:rsidR="00637C0C">
        <w:t xml:space="preserve"> </w:t>
      </w:r>
      <w:r w:rsidR="00D642F3">
        <w:t>Changes</w:t>
      </w:r>
      <w:r w:rsidR="00B81F25">
        <w:t xml:space="preserve"> of restricted access registration </w:t>
      </w:r>
      <w:r w:rsidR="00D642F3">
        <w:t xml:space="preserve">should also be notified </w:t>
      </w:r>
      <w:r w:rsidR="00B81F25">
        <w:t xml:space="preserve">to the </w:t>
      </w:r>
      <w:r w:rsidR="00D642F3">
        <w:t>H</w:t>
      </w:r>
      <w:r w:rsidR="00B81F25">
        <w:t xml:space="preserve">ealth Secretary and the Private Health </w:t>
      </w:r>
      <w:r w:rsidR="008A1EB4">
        <w:t>I</w:t>
      </w:r>
      <w:r w:rsidR="00B81F25">
        <w:t>nsurance Ombudsman</w:t>
      </w:r>
      <w:r w:rsidR="00D642F3">
        <w:t>.</w:t>
      </w:r>
      <w:r w:rsidR="00637C0C">
        <w:t xml:space="preserve"> </w:t>
      </w:r>
      <w:r w:rsidRPr="006119CE">
        <w:rPr>
          <w:rStyle w:val="Referencingstyle"/>
        </w:rPr>
        <w:t>[Part 2, Division 3, subsection</w:t>
      </w:r>
      <w:r w:rsidR="000F772C">
        <w:rPr>
          <w:rStyle w:val="Referencingstyle"/>
        </w:rPr>
        <w:t>s</w:t>
      </w:r>
      <w:r w:rsidRPr="006119CE">
        <w:rPr>
          <w:rStyle w:val="Referencingstyle"/>
        </w:rPr>
        <w:t xml:space="preserve"> 1</w:t>
      </w:r>
      <w:r w:rsidR="008C005E">
        <w:rPr>
          <w:rStyle w:val="Referencingstyle"/>
        </w:rPr>
        <w:t>9</w:t>
      </w:r>
      <w:r w:rsidRPr="006119CE">
        <w:rPr>
          <w:rStyle w:val="Referencingstyle"/>
        </w:rPr>
        <w:t>(3) and (6)]</w:t>
      </w:r>
    </w:p>
    <w:p w14:paraId="3294C58D" w14:textId="77777777" w:rsidR="006133DE" w:rsidRDefault="006133DE" w:rsidP="006133DE">
      <w:pPr>
        <w:pStyle w:val="Heading5"/>
      </w:pPr>
      <w:r>
        <w:t>Conversion to for profit status</w:t>
      </w:r>
    </w:p>
    <w:p w14:paraId="106B7849" w14:textId="77777777" w:rsidR="006133DE" w:rsidRDefault="006133DE" w:rsidP="000F194A">
      <w:pPr>
        <w:pStyle w:val="base-text-paragraph"/>
      </w:pPr>
      <w:r>
        <w:t>A private health insurer may apply to APRA for approval to conve</w:t>
      </w:r>
      <w:r w:rsidR="00637C0C">
        <w:t xml:space="preserve">rt to for profit status. </w:t>
      </w:r>
      <w:r>
        <w:t xml:space="preserve">The application must be made in the approved form and </w:t>
      </w:r>
      <w:r w:rsidR="00003CD4">
        <w:t>be</w:t>
      </w:r>
      <w:r>
        <w:t xml:space="preserve"> given to APRA least 90 days before the proposed date of effect. </w:t>
      </w:r>
      <w:r w:rsidRPr="002D6E9D">
        <w:rPr>
          <w:rStyle w:val="Referencingstyle"/>
        </w:rPr>
        <w:t>[Part</w:t>
      </w:r>
      <w:r>
        <w:rPr>
          <w:rStyle w:val="Referencingstyle"/>
        </w:rPr>
        <w:t> </w:t>
      </w:r>
      <w:r w:rsidRPr="002D6E9D">
        <w:rPr>
          <w:rStyle w:val="Referencingstyle"/>
        </w:rPr>
        <w:t>2,</w:t>
      </w:r>
      <w:r>
        <w:rPr>
          <w:rStyle w:val="Referencingstyle"/>
        </w:rPr>
        <w:t> </w:t>
      </w:r>
      <w:r w:rsidRPr="002D6E9D">
        <w:rPr>
          <w:rStyle w:val="Referencingstyle"/>
        </w:rPr>
        <w:t>Division 3, subsection</w:t>
      </w:r>
      <w:r>
        <w:rPr>
          <w:rStyle w:val="Referencingstyle"/>
        </w:rPr>
        <w:t>s</w:t>
      </w:r>
      <w:r w:rsidRPr="002D6E9D">
        <w:rPr>
          <w:rStyle w:val="Referencingstyle"/>
        </w:rPr>
        <w:t xml:space="preserve"> </w:t>
      </w:r>
      <w:r w:rsidR="002E4B80">
        <w:rPr>
          <w:rStyle w:val="Referencingstyle"/>
        </w:rPr>
        <w:t>20</w:t>
      </w:r>
      <w:r w:rsidRPr="002D6E9D">
        <w:rPr>
          <w:rStyle w:val="Referencingstyle"/>
        </w:rPr>
        <w:t>(1) and (2)]</w:t>
      </w:r>
      <w:r>
        <w:t xml:space="preserve">  </w:t>
      </w:r>
    </w:p>
    <w:p w14:paraId="05F235A1" w14:textId="77777777" w:rsidR="00B81F25" w:rsidRDefault="006133DE" w:rsidP="000F194A">
      <w:pPr>
        <w:pStyle w:val="base-text-paragraph"/>
        <w:rPr>
          <w:rStyle w:val="Referencingstyle"/>
          <w:b w:val="0"/>
          <w:i w:val="0"/>
          <w:sz w:val="22"/>
        </w:rPr>
      </w:pPr>
      <w:r>
        <w:t xml:space="preserve">APRA must approve the application within 30 days </w:t>
      </w:r>
      <w:r w:rsidR="00B81F25">
        <w:t xml:space="preserve">after the application was made </w:t>
      </w:r>
      <w:r>
        <w:t xml:space="preserve">if it is satisfied that the </w:t>
      </w:r>
      <w:r w:rsidR="004A6431">
        <w:t xml:space="preserve">application has been made in the approved form and the </w:t>
      </w:r>
      <w:r>
        <w:t xml:space="preserve">conversion scheme does not in substance involve </w:t>
      </w:r>
      <w:r w:rsidR="008A1EB4">
        <w:t>the</w:t>
      </w:r>
      <w:r>
        <w:t xml:space="preserve"> demutualisation of the insurer</w:t>
      </w:r>
      <w:r w:rsidR="00D642F3">
        <w:t>.</w:t>
      </w:r>
      <w:r>
        <w:t xml:space="preserve"> </w:t>
      </w:r>
      <w:r w:rsidRPr="002D6E9D">
        <w:rPr>
          <w:rStyle w:val="Referencingstyle"/>
        </w:rPr>
        <w:t xml:space="preserve">[Part 2, Division 3, </w:t>
      </w:r>
      <w:r w:rsidR="009B57EB">
        <w:rPr>
          <w:rStyle w:val="Referencingstyle"/>
        </w:rPr>
        <w:t>sub</w:t>
      </w:r>
      <w:r>
        <w:rPr>
          <w:rStyle w:val="Referencingstyle"/>
        </w:rPr>
        <w:t xml:space="preserve">section </w:t>
      </w:r>
      <w:r w:rsidR="002E4B80">
        <w:rPr>
          <w:rStyle w:val="Referencingstyle"/>
        </w:rPr>
        <w:t>20</w:t>
      </w:r>
      <w:r>
        <w:rPr>
          <w:rStyle w:val="Referencingstyle"/>
        </w:rPr>
        <w:t>(3)</w:t>
      </w:r>
      <w:r w:rsidRPr="002D6E9D">
        <w:rPr>
          <w:rStyle w:val="Referencingstyle"/>
        </w:rPr>
        <w:t>]</w:t>
      </w:r>
    </w:p>
    <w:p w14:paraId="3800224D" w14:textId="77777777" w:rsidR="004A6431" w:rsidRDefault="004A6431" w:rsidP="000F194A">
      <w:pPr>
        <w:pStyle w:val="base-text-paragraph"/>
      </w:pPr>
      <w:r>
        <w:rPr>
          <w:rStyle w:val="Referencingstyle"/>
          <w:b w:val="0"/>
          <w:i w:val="0"/>
          <w:sz w:val="22"/>
        </w:rPr>
        <w:t xml:space="preserve">If the scheme </w:t>
      </w:r>
      <w:r>
        <w:t xml:space="preserve">does in substance involve </w:t>
      </w:r>
      <w:r w:rsidR="008A1EB4">
        <w:t>the</w:t>
      </w:r>
      <w:r>
        <w:t xml:space="preserve"> demutualisation </w:t>
      </w:r>
      <w:r w:rsidR="008A1EB4">
        <w:t xml:space="preserve">of the insurer </w:t>
      </w:r>
      <w:r>
        <w:t xml:space="preserve">then the processes in subsections </w:t>
      </w:r>
      <w:r w:rsidR="00B81F25">
        <w:t>20</w:t>
      </w:r>
      <w:r>
        <w:t xml:space="preserve">(4) and (5) will apply.  </w:t>
      </w:r>
    </w:p>
    <w:p w14:paraId="7830C261" w14:textId="77777777" w:rsidR="006133DE" w:rsidRDefault="006133DE" w:rsidP="000F194A">
      <w:pPr>
        <w:pStyle w:val="base-text-paragraph"/>
      </w:pPr>
      <w:r>
        <w:t>APRA rules may set out criteria for deciding if an application to convert to for profit status does not involve demutualisation</w:t>
      </w:r>
      <w:r w:rsidR="008A1EB4">
        <w:t xml:space="preserve"> of the insurer</w:t>
      </w:r>
      <w:r w:rsidR="00637C0C">
        <w:t xml:space="preserve">. </w:t>
      </w:r>
      <w:r w:rsidRPr="00A32F6B">
        <w:rPr>
          <w:rStyle w:val="Referencingstyle"/>
        </w:rPr>
        <w:t>[Part</w:t>
      </w:r>
      <w:r>
        <w:rPr>
          <w:rStyle w:val="Referencingstyle"/>
        </w:rPr>
        <w:t> </w:t>
      </w:r>
      <w:r w:rsidRPr="00A32F6B">
        <w:rPr>
          <w:rStyle w:val="Referencingstyle"/>
        </w:rPr>
        <w:t>2,</w:t>
      </w:r>
      <w:r>
        <w:rPr>
          <w:rStyle w:val="Referencingstyle"/>
        </w:rPr>
        <w:t> </w:t>
      </w:r>
      <w:r w:rsidRPr="00A32F6B">
        <w:rPr>
          <w:rStyle w:val="Referencingstyle"/>
        </w:rPr>
        <w:t xml:space="preserve">Division 3, subsection </w:t>
      </w:r>
      <w:r w:rsidR="00CE7D10">
        <w:rPr>
          <w:rStyle w:val="Referencingstyle"/>
        </w:rPr>
        <w:t>20</w:t>
      </w:r>
      <w:r w:rsidRPr="00A32F6B">
        <w:rPr>
          <w:rStyle w:val="Referencingstyle"/>
        </w:rPr>
        <w:t>(6)]</w:t>
      </w:r>
    </w:p>
    <w:p w14:paraId="019DFE59" w14:textId="77777777" w:rsidR="006133DE" w:rsidRDefault="006133DE" w:rsidP="000F194A">
      <w:pPr>
        <w:pStyle w:val="base-text-paragraph"/>
      </w:pPr>
      <w:r>
        <w:t>If an application to convert to for</w:t>
      </w:r>
      <w:r w:rsidR="00DC2F4F">
        <w:t xml:space="preserve"> </w:t>
      </w:r>
      <w:r>
        <w:t xml:space="preserve">profit status is not approved through the operation of subsection </w:t>
      </w:r>
      <w:r w:rsidR="003610F3">
        <w:t>20</w:t>
      </w:r>
      <w:r>
        <w:t xml:space="preserve">(3), the application must be advertised publicly at least 45 days before the proposed date of effect.  </w:t>
      </w:r>
      <w:r w:rsidRPr="001E1690">
        <w:rPr>
          <w:rStyle w:val="Referencingstyle"/>
        </w:rPr>
        <w:t xml:space="preserve">[Part 2, Division 3, paragraph </w:t>
      </w:r>
      <w:r w:rsidR="003610F3">
        <w:rPr>
          <w:rStyle w:val="Referencingstyle"/>
        </w:rPr>
        <w:t>20</w:t>
      </w:r>
      <w:r w:rsidRPr="001E1690">
        <w:rPr>
          <w:rStyle w:val="Referencingstyle"/>
        </w:rPr>
        <w:t>(4)(a)]</w:t>
      </w:r>
      <w:r>
        <w:t xml:space="preserve"> </w:t>
      </w:r>
    </w:p>
    <w:p w14:paraId="25336098" w14:textId="77777777" w:rsidR="006133DE" w:rsidRDefault="006133DE" w:rsidP="000F194A">
      <w:pPr>
        <w:pStyle w:val="base-text-paragraph"/>
      </w:pPr>
      <w:r>
        <w:t xml:space="preserve">APRA may seek further information on the application within 90 days of it being made.  </w:t>
      </w:r>
      <w:r w:rsidRPr="001E1690">
        <w:rPr>
          <w:rStyle w:val="Referencingstyle"/>
        </w:rPr>
        <w:t xml:space="preserve">[Part 2, Division 3, paragraph </w:t>
      </w:r>
      <w:r w:rsidR="003610F3">
        <w:rPr>
          <w:rStyle w:val="Referencingstyle"/>
        </w:rPr>
        <w:t>20</w:t>
      </w:r>
      <w:r w:rsidRPr="001E1690">
        <w:rPr>
          <w:rStyle w:val="Referencingstyle"/>
        </w:rPr>
        <w:t>(4)(</w:t>
      </w:r>
      <w:r>
        <w:rPr>
          <w:rStyle w:val="Referencingstyle"/>
        </w:rPr>
        <w:t>b</w:t>
      </w:r>
      <w:r w:rsidRPr="001E1690">
        <w:rPr>
          <w:rStyle w:val="Referencingstyle"/>
        </w:rPr>
        <w:t>)]</w:t>
      </w:r>
    </w:p>
    <w:p w14:paraId="3F0D6CE7" w14:textId="77777777" w:rsidR="006133DE" w:rsidRDefault="006133DE" w:rsidP="000F194A">
      <w:pPr>
        <w:pStyle w:val="base-text-paragraph"/>
      </w:pPr>
      <w:r>
        <w:t>Providing that the insurer has complied with subsection (2) and paragraph (4)(b), APRA must approve the application if satisfied that the conversion scheme:</w:t>
      </w:r>
    </w:p>
    <w:p w14:paraId="0117BC6A" w14:textId="77777777" w:rsidR="006133DE" w:rsidRDefault="006133DE" w:rsidP="006133DE">
      <w:pPr>
        <w:pStyle w:val="dotpoint"/>
      </w:pPr>
      <w:r>
        <w:t>would not result in a financial benefit to a person (including a natural person and a corporate person) who is not a policy holder or not insured through a health benefits fund conducted by the insurer; and</w:t>
      </w:r>
    </w:p>
    <w:p w14:paraId="06A3EC41" w14:textId="77777777" w:rsidR="006133DE" w:rsidRDefault="006133DE" w:rsidP="006133DE">
      <w:pPr>
        <w:pStyle w:val="dotpoint"/>
      </w:pPr>
      <w:r>
        <w:t xml:space="preserve">would not result in an inequitable distribution of financial benefits between policy holders and persons insured through a health benefits fund conducted by the insurer.  </w:t>
      </w:r>
      <w:r w:rsidRPr="00A32F6B">
        <w:rPr>
          <w:rStyle w:val="Referencingstyle"/>
        </w:rPr>
        <w:t xml:space="preserve">[Part 2, Division 3, </w:t>
      </w:r>
      <w:r>
        <w:rPr>
          <w:rStyle w:val="Referencingstyle"/>
        </w:rPr>
        <w:t xml:space="preserve">subsection </w:t>
      </w:r>
      <w:r w:rsidR="00CE7D10">
        <w:rPr>
          <w:rStyle w:val="Referencingstyle"/>
        </w:rPr>
        <w:t>20</w:t>
      </w:r>
      <w:r>
        <w:rPr>
          <w:rStyle w:val="Referencingstyle"/>
        </w:rPr>
        <w:t>(5)</w:t>
      </w:r>
      <w:r w:rsidRPr="00A32F6B">
        <w:rPr>
          <w:rStyle w:val="Referencingstyle"/>
        </w:rPr>
        <w:t>]</w:t>
      </w:r>
    </w:p>
    <w:p w14:paraId="59AB2080" w14:textId="77777777" w:rsidR="006133DE" w:rsidRPr="009916E0" w:rsidRDefault="006133DE" w:rsidP="009916E0">
      <w:pPr>
        <w:pStyle w:val="base-text-paragraph"/>
        <w:tabs>
          <w:tab w:val="clear" w:pos="1985"/>
          <w:tab w:val="num" w:pos="1986"/>
        </w:tabs>
        <w:rPr>
          <w:rStyle w:val="Referencingstyle"/>
          <w:b w:val="0"/>
          <w:i w:val="0"/>
          <w:sz w:val="22"/>
        </w:rPr>
      </w:pPr>
      <w:r>
        <w:t>APRA must provide written notice to the insurer on the outcome of the application</w:t>
      </w:r>
      <w:r w:rsidR="00B81F25">
        <w:t>, however, this approval is not a legislative instrument</w:t>
      </w:r>
      <w:r w:rsidDel="00B81F25">
        <w:t>.</w:t>
      </w:r>
      <w:r>
        <w:t xml:space="preserve"> </w:t>
      </w:r>
      <w:r w:rsidR="009964CD">
        <w:t xml:space="preserve">The </w:t>
      </w:r>
      <w:r w:rsidR="009964CD" w:rsidRPr="009964CD">
        <w:t xml:space="preserve">statement </w:t>
      </w:r>
      <w:r w:rsidR="009964CD">
        <w:t xml:space="preserve">that the approval is not a legislative instrument </w:t>
      </w:r>
      <w:r w:rsidR="009964CD" w:rsidRPr="009964CD">
        <w:t xml:space="preserve">is included to assist readers, as the instrument is not a legislative instrument </w:t>
      </w:r>
      <w:r w:rsidR="00F555C4">
        <w:t>under general principles</w:t>
      </w:r>
      <w:r w:rsidR="009916E0">
        <w:t xml:space="preserve">, </w:t>
      </w:r>
      <w:r w:rsidR="009916E0" w:rsidRPr="009916E0">
        <w:t>therefore does not constitute a substantive exemption from the definition of a legislative instrument</w:t>
      </w:r>
      <w:r w:rsidR="00007607">
        <w:t xml:space="preserve"> in the </w:t>
      </w:r>
      <w:r w:rsidR="00731FA5">
        <w:rPr>
          <w:i/>
          <w:lang w:val="en-US" w:eastAsia="en-US"/>
        </w:rPr>
        <w:t>Legislative Instruments Act 2003</w:t>
      </w:r>
      <w:r w:rsidR="00A104D1">
        <w:rPr>
          <w:i/>
          <w:lang w:val="en-US" w:eastAsia="en-US"/>
        </w:rPr>
        <w:t xml:space="preserve"> </w:t>
      </w:r>
      <w:r w:rsidR="00A104D1">
        <w:rPr>
          <w:lang w:val="en-US" w:eastAsia="en-US"/>
        </w:rPr>
        <w:t>(</w:t>
      </w:r>
      <w:r w:rsidR="00007607" w:rsidRPr="00731FA5">
        <w:t>L</w:t>
      </w:r>
      <w:r w:rsidR="00007607">
        <w:t>egislative Instruments Act</w:t>
      </w:r>
      <w:r w:rsidR="00A104D1">
        <w:t>)</w:t>
      </w:r>
      <w:r w:rsidR="009916E0" w:rsidRPr="009916E0">
        <w:t>, but is a statement of the ‘status quo’</w:t>
      </w:r>
      <w:r w:rsidR="009916E0">
        <w:t>.</w:t>
      </w:r>
      <w:r w:rsidR="009964CD" w:rsidRPr="009964CD">
        <w:t xml:space="preserve"> </w:t>
      </w:r>
      <w:r w:rsidRPr="00A32F6B">
        <w:rPr>
          <w:rStyle w:val="Referencingstyle"/>
        </w:rPr>
        <w:t xml:space="preserve">[Part 2, Division 3, </w:t>
      </w:r>
      <w:r>
        <w:rPr>
          <w:rStyle w:val="Referencingstyle"/>
        </w:rPr>
        <w:t xml:space="preserve">subsection </w:t>
      </w:r>
      <w:r w:rsidR="00CE7D10">
        <w:rPr>
          <w:rStyle w:val="Referencingstyle"/>
        </w:rPr>
        <w:t>20</w:t>
      </w:r>
      <w:r>
        <w:rPr>
          <w:rStyle w:val="Referencingstyle"/>
        </w:rPr>
        <w:t>(7)</w:t>
      </w:r>
      <w:r w:rsidRPr="00A32F6B">
        <w:rPr>
          <w:rStyle w:val="Referencingstyle"/>
        </w:rPr>
        <w:t>]</w:t>
      </w:r>
    </w:p>
    <w:p w14:paraId="150ABE41" w14:textId="77777777" w:rsidR="00B81F25" w:rsidRPr="00B81F25" w:rsidRDefault="00B81F25" w:rsidP="000F194A">
      <w:pPr>
        <w:pStyle w:val="base-text-paragraph"/>
        <w:rPr>
          <w:rStyle w:val="Referencingstyle"/>
        </w:rPr>
      </w:pPr>
      <w:r w:rsidRPr="00602D19">
        <w:t xml:space="preserve">APRA </w:t>
      </w:r>
      <w:r>
        <w:t xml:space="preserve">is required to </w:t>
      </w:r>
      <w:r w:rsidRPr="00602D19">
        <w:t>notify the insurer</w:t>
      </w:r>
      <w:r>
        <w:t xml:space="preserve"> of its decision </w:t>
      </w:r>
      <w:r w:rsidRPr="00602D19">
        <w:t>in writing</w:t>
      </w:r>
      <w:r>
        <w:t xml:space="preserve"> as currently required under subsection 126-</w:t>
      </w:r>
      <w:r w:rsidR="00E0165D">
        <w:t>42</w:t>
      </w:r>
      <w:r>
        <w:t>(7) of the PHI Act</w:t>
      </w:r>
      <w:r w:rsidRPr="00602D19">
        <w:t>.</w:t>
      </w:r>
      <w:r>
        <w:t xml:space="preserve">  </w:t>
      </w:r>
      <w:r w:rsidRPr="00B81F25">
        <w:rPr>
          <w:rStyle w:val="Referencingstyle"/>
        </w:rPr>
        <w:t>[Part 2, Division 3, subsection 20(8)]</w:t>
      </w:r>
    </w:p>
    <w:p w14:paraId="58317F7B" w14:textId="77777777" w:rsidR="00B81F25" w:rsidRDefault="00B81F25" w:rsidP="000F194A">
      <w:pPr>
        <w:pStyle w:val="base-text-paragraph"/>
      </w:pPr>
      <w:r w:rsidRPr="00602D19">
        <w:t>Refusals of applications are reviewable under section 16</w:t>
      </w:r>
      <w:r w:rsidR="0006208B">
        <w:t>8</w:t>
      </w:r>
      <w:r>
        <w:t>.</w:t>
      </w:r>
    </w:p>
    <w:p w14:paraId="7DF4708A" w14:textId="77777777" w:rsidR="00DC2F4F" w:rsidRDefault="00DC2F4F" w:rsidP="00DC2F4F">
      <w:pPr>
        <w:pStyle w:val="ExampleHeading"/>
        <w:rPr>
          <w:rStyle w:val="Referencingstyle"/>
          <w:b/>
          <w:i w:val="0"/>
          <w:sz w:val="22"/>
        </w:rPr>
      </w:pPr>
    </w:p>
    <w:p w14:paraId="258E5CB0" w14:textId="77777777" w:rsidR="00DC2F4F" w:rsidRPr="00DC2F4F" w:rsidRDefault="00DC2F4F" w:rsidP="00DC2F4F">
      <w:pPr>
        <w:pStyle w:val="exampletext"/>
      </w:pPr>
      <w:r w:rsidRPr="00013BFE">
        <w:t>CALM Health Insurance applies to APRA to change its status to for profit from 7 October.  To do so, CALM Health Insurance provides APRA with the approved form on 3 July – more than 90 days in advance of when the conversion is to take effect. In considering the application, APRA sought further information from CALM Health Insurance as to whether the conversion sche</w:t>
      </w:r>
      <w:r w:rsidR="00731FA5">
        <w:t xml:space="preserve">me involved a demutualisation. </w:t>
      </w:r>
      <w:r w:rsidRPr="00013BFE">
        <w:t>After considering the infor</w:t>
      </w:r>
      <w:r w:rsidR="00EA25BB" w:rsidRPr="00013BFE">
        <w:t xml:space="preserve">mation, APRA </w:t>
      </w:r>
      <w:r w:rsidR="0068008C">
        <w:t xml:space="preserve">is satisfied that it is not a demutualisation, </w:t>
      </w:r>
      <w:r w:rsidR="00EA25BB" w:rsidRPr="00013BFE">
        <w:t>approve</w:t>
      </w:r>
      <w:r w:rsidR="0068008C">
        <w:t>s</w:t>
      </w:r>
      <w:r w:rsidR="00EA25BB" w:rsidRPr="00013BFE">
        <w:t xml:space="preserve"> the conversion</w:t>
      </w:r>
      <w:r w:rsidRPr="00013BFE">
        <w:t xml:space="preserve"> and notif</w:t>
      </w:r>
      <w:r w:rsidR="0068008C">
        <w:t>ies</w:t>
      </w:r>
      <w:r w:rsidRPr="00013BFE">
        <w:t xml:space="preserve"> CALM Health Insurance</w:t>
      </w:r>
      <w:r w:rsidR="00EA25BB" w:rsidRPr="00013BFE">
        <w:t xml:space="preserve"> in writing within 30 days of lodgement</w:t>
      </w:r>
      <w:r w:rsidRPr="00013BFE">
        <w:t>.</w:t>
      </w:r>
    </w:p>
    <w:p w14:paraId="61869DD5" w14:textId="77777777" w:rsidR="00CE7D10" w:rsidRDefault="00CE7D10" w:rsidP="00CE7D10">
      <w:pPr>
        <w:pStyle w:val="Heading5"/>
      </w:pPr>
      <w:r>
        <w:t>Cancellation of registration</w:t>
      </w:r>
    </w:p>
    <w:p w14:paraId="0461E2AD" w14:textId="77777777" w:rsidR="00B81F25" w:rsidRDefault="006133DE" w:rsidP="000F194A">
      <w:pPr>
        <w:pStyle w:val="base-text-paragraph"/>
      </w:pPr>
      <w:r w:rsidRPr="00A32F6B">
        <w:t>APRA must cancel the registration of a private health insurer if</w:t>
      </w:r>
      <w:r w:rsidR="00B81F25">
        <w:t>:</w:t>
      </w:r>
    </w:p>
    <w:p w14:paraId="3A41C8B6" w14:textId="77777777" w:rsidR="00B81F25" w:rsidRDefault="006133DE">
      <w:pPr>
        <w:pStyle w:val="dotpoint"/>
      </w:pPr>
      <w:r w:rsidRPr="00A32F6B">
        <w:t>it has not conducted health insurance business for 12 months</w:t>
      </w:r>
      <w:r w:rsidR="00B81F25">
        <w:t>;</w:t>
      </w:r>
    </w:p>
    <w:p w14:paraId="08BDBAFF" w14:textId="77777777" w:rsidR="00B81F25" w:rsidRDefault="006133DE">
      <w:pPr>
        <w:pStyle w:val="dotpoint"/>
      </w:pPr>
      <w:r w:rsidRPr="00A32F6B">
        <w:t>its health benefits funds have bee</w:t>
      </w:r>
      <w:r>
        <w:t>n terminated under Division</w:t>
      </w:r>
      <w:r w:rsidR="00B81F25">
        <w:t> 5 of Part 3;</w:t>
      </w:r>
      <w:r>
        <w:t xml:space="preserve"> or </w:t>
      </w:r>
    </w:p>
    <w:p w14:paraId="71BB8A0C" w14:textId="77777777" w:rsidR="006133DE" w:rsidRPr="00B81F25" w:rsidRDefault="006133DE">
      <w:pPr>
        <w:pStyle w:val="dotpoint"/>
        <w:rPr>
          <w:rStyle w:val="Referencingstyle"/>
        </w:rPr>
      </w:pPr>
      <w:r>
        <w:t xml:space="preserve">the insurer is no longer a company within the meaning of the </w:t>
      </w:r>
      <w:r w:rsidRPr="001A57F7">
        <w:t>Corporations Act</w:t>
      </w:r>
      <w:r w:rsidR="00731FA5">
        <w:t xml:space="preserve">. </w:t>
      </w:r>
      <w:r w:rsidRPr="00B81F25">
        <w:rPr>
          <w:rStyle w:val="Referencingstyle"/>
        </w:rPr>
        <w:t xml:space="preserve">[Part 2, Division 3, subsection </w:t>
      </w:r>
      <w:r w:rsidR="00411FE5" w:rsidRPr="00B81F25">
        <w:rPr>
          <w:rStyle w:val="Referencingstyle"/>
        </w:rPr>
        <w:t>21</w:t>
      </w:r>
      <w:r w:rsidRPr="00B81F25">
        <w:rPr>
          <w:rStyle w:val="Referencingstyle"/>
        </w:rPr>
        <w:t>(1)]</w:t>
      </w:r>
    </w:p>
    <w:p w14:paraId="42ABDE27" w14:textId="77777777" w:rsidR="006133DE" w:rsidRPr="001662CA" w:rsidRDefault="006133DE" w:rsidP="000F194A">
      <w:pPr>
        <w:pStyle w:val="base-text-paragraph"/>
        <w:rPr>
          <w:rStyle w:val="Referencingstyle"/>
          <w:b w:val="0"/>
          <w:i w:val="0"/>
          <w:sz w:val="22"/>
        </w:rPr>
      </w:pPr>
      <w:r>
        <w:t>APRA</w:t>
      </w:r>
      <w:r w:rsidRPr="00A32F6B">
        <w:t xml:space="preserve"> must notify the insurer in writing of the cancellation</w:t>
      </w:r>
      <w:r w:rsidR="00411FE5">
        <w:t xml:space="preserve"> </w:t>
      </w:r>
      <w:r w:rsidRPr="00A32F6B">
        <w:t>and publish in the Gazett</w:t>
      </w:r>
      <w:r>
        <w:t xml:space="preserve">e a notification </w:t>
      </w:r>
      <w:r w:rsidR="0068008C">
        <w:t xml:space="preserve">of the cancellation </w:t>
      </w:r>
      <w:r>
        <w:t xml:space="preserve">within </w:t>
      </w:r>
      <w:r w:rsidR="00B81F25">
        <w:t>one</w:t>
      </w:r>
      <w:r>
        <w:t xml:space="preserve"> month.  </w:t>
      </w:r>
      <w:r w:rsidRPr="00FE59CC">
        <w:rPr>
          <w:rStyle w:val="Referencingstyle"/>
        </w:rPr>
        <w:t xml:space="preserve">[Part 2, Division 3, subsection </w:t>
      </w:r>
      <w:r w:rsidR="00411FE5">
        <w:rPr>
          <w:rStyle w:val="Referencingstyle"/>
        </w:rPr>
        <w:t>21</w:t>
      </w:r>
      <w:r w:rsidRPr="00FE59CC">
        <w:rPr>
          <w:rStyle w:val="Referencingstyle"/>
        </w:rPr>
        <w:t>(2)]</w:t>
      </w:r>
    </w:p>
    <w:p w14:paraId="5676584E" w14:textId="77777777" w:rsidR="00B81F25" w:rsidRPr="006F4BA9" w:rsidRDefault="00B81F25" w:rsidP="000F194A">
      <w:pPr>
        <w:pStyle w:val="base-text-paragraph"/>
      </w:pPr>
      <w:r>
        <w:t xml:space="preserve">APRA will advise the Department of Health of any cancellation of registration through an inter-departmental administrative arrangement. </w:t>
      </w:r>
    </w:p>
    <w:p w14:paraId="152695E2" w14:textId="77777777" w:rsidR="00D86E5E" w:rsidRDefault="00D86E5E" w:rsidP="00D86E5E">
      <w:pPr>
        <w:pStyle w:val="Hiddentext"/>
      </w:pPr>
    </w:p>
    <w:p w14:paraId="4F00A39F" w14:textId="77777777" w:rsidR="00D86E5E" w:rsidRDefault="00D86E5E" w:rsidP="00D86E5E">
      <w:pPr>
        <w:sectPr w:rsidR="00D86E5E" w:rsidSect="00D86E5E">
          <w:headerReference w:type="even" r:id="rId43"/>
          <w:headerReference w:type="default" r:id="rId44"/>
          <w:footerReference w:type="even" r:id="rId45"/>
          <w:footerReference w:type="default" r:id="rId46"/>
          <w:footerReference w:type="first" r:id="rId47"/>
          <w:type w:val="oddPage"/>
          <w:pgSz w:w="11906" w:h="16838" w:code="9"/>
          <w:pgMar w:top="2466" w:right="2098" w:bottom="2466" w:left="2098" w:header="1559" w:footer="1899" w:gutter="0"/>
          <w:cols w:space="708"/>
          <w:titlePg/>
          <w:docGrid w:linePitch="360"/>
        </w:sectPr>
      </w:pPr>
    </w:p>
    <w:p w14:paraId="6691DDA1" w14:textId="77777777" w:rsidR="00D86E5E" w:rsidRPr="00F51A71" w:rsidRDefault="00D86E5E" w:rsidP="00A03E30">
      <w:pPr>
        <w:pStyle w:val="ChapterHeading"/>
        <w:tabs>
          <w:tab w:val="num" w:pos="360"/>
        </w:tabs>
      </w:pPr>
      <w:bookmarkStart w:id="51" w:name="_Toc406751289"/>
      <w:bookmarkStart w:id="52" w:name="_Toc406751801"/>
      <w:bookmarkStart w:id="53" w:name="_Toc406752003"/>
      <w:bookmarkStart w:id="54" w:name="_Toc406752078"/>
      <w:bookmarkStart w:id="55" w:name="_Toc406752370"/>
      <w:bookmarkStart w:id="56" w:name="_Toc406751290"/>
      <w:bookmarkStart w:id="57" w:name="_Toc406751802"/>
      <w:bookmarkStart w:id="58" w:name="_Toc406752004"/>
      <w:bookmarkStart w:id="59" w:name="_Toc406752079"/>
      <w:bookmarkStart w:id="60" w:name="_Toc406752371"/>
      <w:bookmarkStart w:id="61" w:name="_Toc406580556"/>
      <w:bookmarkStart w:id="62" w:name="_Toc406581432"/>
      <w:bookmarkStart w:id="63" w:name="_Toc406602283"/>
      <w:bookmarkStart w:id="64" w:name="_Toc406748635"/>
      <w:bookmarkStart w:id="65" w:name="_Toc406748861"/>
      <w:bookmarkStart w:id="66" w:name="_Toc406748908"/>
      <w:bookmarkStart w:id="67" w:name="_Toc406749487"/>
      <w:bookmarkStart w:id="68" w:name="_Toc406750694"/>
      <w:bookmarkStart w:id="69" w:name="_Toc406751291"/>
      <w:bookmarkStart w:id="70" w:name="_Toc406751803"/>
      <w:bookmarkStart w:id="71" w:name="_Toc406752005"/>
      <w:bookmarkStart w:id="72" w:name="_Toc406752080"/>
      <w:bookmarkStart w:id="73" w:name="_Toc40675237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51A71">
        <w:br/>
      </w:r>
      <w:bookmarkStart w:id="74" w:name="_Toc406581433"/>
      <w:bookmarkStart w:id="75" w:name="_Toc406752081"/>
      <w:bookmarkStart w:id="76" w:name="_Toc406757008"/>
      <w:bookmarkStart w:id="77" w:name="_Toc406760721"/>
      <w:bookmarkStart w:id="78" w:name="_Toc407026919"/>
      <w:bookmarkStart w:id="79" w:name="_Toc416957156"/>
      <w:bookmarkStart w:id="80" w:name="_Toc418177763"/>
      <w:bookmarkStart w:id="81" w:name="_Toc418249760"/>
      <w:r w:rsidR="00363543">
        <w:t>Health benefits funds</w:t>
      </w:r>
      <w:bookmarkEnd w:id="74"/>
      <w:bookmarkEnd w:id="75"/>
      <w:bookmarkEnd w:id="76"/>
      <w:bookmarkEnd w:id="77"/>
      <w:bookmarkEnd w:id="78"/>
      <w:bookmarkEnd w:id="79"/>
      <w:bookmarkEnd w:id="80"/>
      <w:bookmarkEnd w:id="81"/>
    </w:p>
    <w:p w14:paraId="04F065A6" w14:textId="77777777" w:rsidR="00D86E5E" w:rsidRDefault="00D86E5E" w:rsidP="00D86E5E">
      <w:pPr>
        <w:pStyle w:val="Heading2"/>
      </w:pPr>
      <w:r>
        <w:t>Outline of chapter</w:t>
      </w:r>
    </w:p>
    <w:p w14:paraId="157843F6" w14:textId="77777777" w:rsidR="00D86E5E" w:rsidRDefault="00F12D6C" w:rsidP="000F194A">
      <w:pPr>
        <w:pStyle w:val="base-text-paragraph"/>
      </w:pPr>
      <w:r>
        <w:t>Part 3</w:t>
      </w:r>
      <w:r w:rsidR="00A5795C">
        <w:t xml:space="preserve"> </w:t>
      </w:r>
      <w:r w:rsidR="00831A26">
        <w:t xml:space="preserve">relates to health benefits funds. It </w:t>
      </w:r>
      <w:r w:rsidR="00E85803">
        <w:t>provides for the</w:t>
      </w:r>
      <w:r w:rsidR="00831A26">
        <w:t>:</w:t>
      </w:r>
    </w:p>
    <w:p w14:paraId="41D3DFC0" w14:textId="77777777" w:rsidR="00831A26" w:rsidRDefault="00E85803" w:rsidP="006C3D7A">
      <w:pPr>
        <w:pStyle w:val="dotpoint"/>
      </w:pPr>
      <w:r>
        <w:t>establishment and operation of health benefits funds;</w:t>
      </w:r>
    </w:p>
    <w:p w14:paraId="783BA91B" w14:textId="77777777" w:rsidR="00E85803" w:rsidRDefault="00E85803" w:rsidP="006C3D7A">
      <w:pPr>
        <w:pStyle w:val="dotpoint"/>
      </w:pPr>
      <w:r>
        <w:t xml:space="preserve">restructure, merger and acquisition of health benefits funds; </w:t>
      </w:r>
    </w:p>
    <w:p w14:paraId="23D36147" w14:textId="77777777" w:rsidR="00E85803" w:rsidRDefault="00E85803" w:rsidP="006C3D7A">
      <w:pPr>
        <w:pStyle w:val="dotpoint"/>
      </w:pPr>
      <w:r>
        <w:t>termination and external management of he</w:t>
      </w:r>
      <w:r w:rsidR="00023410">
        <w:t>a</w:t>
      </w:r>
      <w:r>
        <w:t>lth benefits funds</w:t>
      </w:r>
      <w:r w:rsidR="006709E0">
        <w:t>; and</w:t>
      </w:r>
    </w:p>
    <w:p w14:paraId="7F47ACFE" w14:textId="77777777" w:rsidR="006709E0" w:rsidRDefault="006709E0" w:rsidP="006C3D7A">
      <w:pPr>
        <w:pStyle w:val="dotpoint"/>
      </w:pPr>
      <w:r>
        <w:t>APRA’s ability to give notices to directors and remedies for non-compliance.</w:t>
      </w:r>
    </w:p>
    <w:p w14:paraId="7BC4820F" w14:textId="77777777" w:rsidR="00B76610" w:rsidRDefault="00B76610" w:rsidP="00276616">
      <w:pPr>
        <w:pStyle w:val="base-text-paragraph"/>
      </w:pPr>
      <w:r>
        <w:t xml:space="preserve">Unless otherwise stated, all references in this Chapter relate to the </w:t>
      </w:r>
      <w:r>
        <w:rPr>
          <w:rStyle w:val="Referencingstyle"/>
          <w:b w:val="0"/>
          <w:i w:val="0"/>
          <w:sz w:val="22"/>
        </w:rPr>
        <w:t>Prudential Supervision Bill.</w:t>
      </w:r>
    </w:p>
    <w:p w14:paraId="3CBE67F8" w14:textId="77777777" w:rsidR="00D86E5E" w:rsidRDefault="00D86E5E" w:rsidP="00D86E5E">
      <w:pPr>
        <w:pStyle w:val="Heading2"/>
      </w:pPr>
      <w:r>
        <w:t>Summary of new law</w:t>
      </w:r>
    </w:p>
    <w:p w14:paraId="6FA76BEF" w14:textId="77777777" w:rsidR="000D1149" w:rsidRDefault="00737CE9" w:rsidP="0016013C">
      <w:pPr>
        <w:pStyle w:val="base-text-paragraph"/>
        <w:tabs>
          <w:tab w:val="clear" w:pos="1985"/>
          <w:tab w:val="num" w:pos="1986"/>
        </w:tabs>
      </w:pPr>
      <w:r>
        <w:t>Divisions 2</w:t>
      </w:r>
      <w:r w:rsidR="00311731">
        <w:t xml:space="preserve"> (requirement to have at least one health benefits fund)</w:t>
      </w:r>
      <w:r>
        <w:t>, 3</w:t>
      </w:r>
      <w:r w:rsidR="00311731">
        <w:t xml:space="preserve"> (operating of health benefits funds)</w:t>
      </w:r>
      <w:r>
        <w:t xml:space="preserve">, </w:t>
      </w:r>
      <w:r w:rsidR="00C8313C">
        <w:t>4</w:t>
      </w:r>
      <w:r w:rsidR="00311731">
        <w:t xml:space="preserve"> (restructure, merger and acquisition of health benefits funds)</w:t>
      </w:r>
      <w:r w:rsidR="00C8313C">
        <w:t xml:space="preserve">, </w:t>
      </w:r>
      <w:r>
        <w:t xml:space="preserve">5 </w:t>
      </w:r>
      <w:r w:rsidR="00311731">
        <w:t xml:space="preserve">(termination of health benefits funds) </w:t>
      </w:r>
      <w:r w:rsidR="00C8313C">
        <w:t xml:space="preserve">and 9 </w:t>
      </w:r>
      <w:r w:rsidR="00311731">
        <w:t xml:space="preserve">(duties and liabilities of directors) </w:t>
      </w:r>
      <w:r>
        <w:t xml:space="preserve">of </w:t>
      </w:r>
      <w:r w:rsidR="00C10393">
        <w:t xml:space="preserve">Part 3 </w:t>
      </w:r>
      <w:r>
        <w:t>are</w:t>
      </w:r>
      <w:r w:rsidR="00F26DCE" w:rsidRPr="00F26DCE">
        <w:t xml:space="preserve"> based on Part</w:t>
      </w:r>
      <w:r w:rsidR="0016013C">
        <w:t> </w:t>
      </w:r>
      <w:r w:rsidR="00F26DCE" w:rsidRPr="00F26DCE">
        <w:t>4-4 of the PHI Act. However, the</w:t>
      </w:r>
      <w:r w:rsidR="005E0E86">
        <w:t xml:space="preserve"> </w:t>
      </w:r>
      <w:r w:rsidR="0016013C">
        <w:rPr>
          <w:lang w:val="en-US" w:eastAsia="en-US"/>
        </w:rPr>
        <w:t xml:space="preserve">Prudential Supervision </w:t>
      </w:r>
      <w:r w:rsidR="005E0E86" w:rsidDel="0016013C">
        <w:rPr>
          <w:lang w:val="en-US" w:eastAsia="en-US"/>
        </w:rPr>
        <w:t>Bill</w:t>
      </w:r>
      <w:r w:rsidR="005E0E86">
        <w:t xml:space="preserve"> does not include</w:t>
      </w:r>
      <w:r w:rsidR="00F26DCE" w:rsidRPr="00F26DCE">
        <w:t xml:space="preserve"> the special provisions for solvency standards and directions (currently in Division 140 of the PHI Act) and capital standards and directions (currently in Division 143 of the PHI Act) as these will be absorbed in APRA’s general prudential standard-making and directions powers in Divisions 2 and 3 </w:t>
      </w:r>
      <w:r w:rsidR="007019F1">
        <w:t>of Part 4</w:t>
      </w:r>
      <w:r w:rsidR="00F26DCE" w:rsidRPr="00F26DCE">
        <w:t xml:space="preserve">.  </w:t>
      </w:r>
    </w:p>
    <w:p w14:paraId="04E49DAC" w14:textId="77777777" w:rsidR="00737CE9" w:rsidRDefault="00737CE9" w:rsidP="000F194A">
      <w:pPr>
        <w:pStyle w:val="base-text-paragraph"/>
      </w:pPr>
      <w:r>
        <w:t xml:space="preserve">Divisions </w:t>
      </w:r>
      <w:r w:rsidR="005E0E86">
        <w:t>6 (external management of health benefits funds), 7</w:t>
      </w:r>
      <w:r w:rsidR="0016013C">
        <w:t> </w:t>
      </w:r>
      <w:r w:rsidR="005E0E86">
        <w:t>(court-ordered terminating management of health benefits funds), and 8</w:t>
      </w:r>
      <w:r w:rsidR="0098423B">
        <w:t> </w:t>
      </w:r>
      <w:r w:rsidR="005E0E86">
        <w:t>(general provisions relating to external and terminating management)</w:t>
      </w:r>
      <w:r>
        <w:t xml:space="preserve"> are based on </w:t>
      </w:r>
      <w:r w:rsidR="00C8313C">
        <w:t xml:space="preserve">provisions in </w:t>
      </w:r>
      <w:r>
        <w:t xml:space="preserve">Parts </w:t>
      </w:r>
      <w:r w:rsidR="00C8313C">
        <w:t>4-4 and 5</w:t>
      </w:r>
      <w:r w:rsidR="00C8313C">
        <w:noBreakHyphen/>
      </w:r>
      <w:r>
        <w:t xml:space="preserve">3 </w:t>
      </w:r>
      <w:r w:rsidR="00C8313C">
        <w:t xml:space="preserve">of the PHI Act. </w:t>
      </w:r>
      <w:r w:rsidR="0016013C">
        <w:t>The</w:t>
      </w:r>
      <w:r w:rsidR="00CD504F">
        <w:t xml:space="preserve"> </w:t>
      </w:r>
      <w:r w:rsidR="00CD504F">
        <w:rPr>
          <w:lang w:val="en-US" w:eastAsia="en-US"/>
        </w:rPr>
        <w:t>Prudential Supervision Bill</w:t>
      </w:r>
      <w:r w:rsidR="00E040F5">
        <w:t xml:space="preserve"> will simplify </w:t>
      </w:r>
      <w:r w:rsidR="007C7D89">
        <w:t>the legislative regime by co</w:t>
      </w:r>
      <w:r w:rsidR="007C7D89">
        <w:noBreakHyphen/>
      </w:r>
      <w:r w:rsidR="00E040F5">
        <w:t>locat</w:t>
      </w:r>
      <w:r w:rsidR="007C7D89">
        <w:t>ing into Part 3 all the</w:t>
      </w:r>
      <w:r w:rsidR="00C8313C">
        <w:t xml:space="preserve"> provisions relating to the operation, merger and acquisition, external management and termination of health benefits funds </w:t>
      </w:r>
      <w:r w:rsidR="00E040F5">
        <w:t xml:space="preserve">that </w:t>
      </w:r>
      <w:r w:rsidR="00C8313C">
        <w:t xml:space="preserve">are </w:t>
      </w:r>
      <w:r w:rsidR="0068008C">
        <w:t xml:space="preserve">currently </w:t>
      </w:r>
      <w:r w:rsidR="00C8313C">
        <w:t xml:space="preserve">located in </w:t>
      </w:r>
      <w:r w:rsidR="0068008C">
        <w:t>different</w:t>
      </w:r>
      <w:r w:rsidR="00C8313C">
        <w:t xml:space="preserve"> parts of </w:t>
      </w:r>
      <w:r w:rsidR="00E040F5">
        <w:t>the PHI Act</w:t>
      </w:r>
      <w:r w:rsidR="00C8313C">
        <w:t xml:space="preserve">. </w:t>
      </w:r>
    </w:p>
    <w:p w14:paraId="51818E0C" w14:textId="77777777" w:rsidR="00D86E5E" w:rsidRDefault="00D86E5E" w:rsidP="00C27D0D">
      <w:pPr>
        <w:pStyle w:val="Heading2with18pointafter"/>
        <w:spacing w:before="24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86E5E" w:rsidRPr="004666B8" w14:paraId="7CE5587C" w14:textId="77777777" w:rsidTr="00D86E5E">
        <w:tc>
          <w:tcPr>
            <w:tcW w:w="3275" w:type="dxa"/>
          </w:tcPr>
          <w:p w14:paraId="723355E5" w14:textId="77777777" w:rsidR="00D86E5E" w:rsidRPr="004666B8" w:rsidRDefault="00D86E5E" w:rsidP="00D86E5E">
            <w:pPr>
              <w:pStyle w:val="tableheaderwithintable"/>
              <w:rPr>
                <w:lang w:val="en-US" w:eastAsia="en-US"/>
              </w:rPr>
            </w:pPr>
            <w:r w:rsidRPr="004666B8">
              <w:rPr>
                <w:lang w:val="en-US" w:eastAsia="en-US"/>
              </w:rPr>
              <w:t>New law</w:t>
            </w:r>
          </w:p>
        </w:tc>
        <w:tc>
          <w:tcPr>
            <w:tcW w:w="3276" w:type="dxa"/>
          </w:tcPr>
          <w:p w14:paraId="367335D7" w14:textId="77777777" w:rsidR="00D86E5E" w:rsidRPr="004666B8" w:rsidRDefault="00D86E5E" w:rsidP="00D86E5E">
            <w:pPr>
              <w:pStyle w:val="tableheaderwithintable"/>
              <w:rPr>
                <w:lang w:val="en-US" w:eastAsia="en-US"/>
              </w:rPr>
            </w:pPr>
            <w:r w:rsidRPr="004666B8">
              <w:rPr>
                <w:lang w:val="en-US" w:eastAsia="en-US"/>
              </w:rPr>
              <w:t>Current law</w:t>
            </w:r>
          </w:p>
        </w:tc>
      </w:tr>
      <w:tr w:rsidR="00BC50D1" w:rsidRPr="004666B8" w14:paraId="3107F2CB" w14:textId="77777777" w:rsidTr="00BC50D1">
        <w:tc>
          <w:tcPr>
            <w:tcW w:w="6551" w:type="dxa"/>
            <w:gridSpan w:val="2"/>
          </w:tcPr>
          <w:p w14:paraId="05809605" w14:textId="77777777" w:rsidR="00BC50D1" w:rsidRPr="00BC50D1" w:rsidRDefault="00BC50D1" w:rsidP="00BC50D1">
            <w:pPr>
              <w:pStyle w:val="tabletext"/>
              <w:jc w:val="center"/>
              <w:rPr>
                <w:b/>
                <w:u w:val="single"/>
                <w:lang w:val="en-US" w:eastAsia="en-US"/>
              </w:rPr>
            </w:pPr>
            <w:r w:rsidRPr="00BC50D1">
              <w:rPr>
                <w:b/>
                <w:u w:val="single"/>
                <w:lang w:val="en-US" w:eastAsia="en-US"/>
              </w:rPr>
              <w:t>Establishment and operation of health benefits funds</w:t>
            </w:r>
          </w:p>
        </w:tc>
      </w:tr>
      <w:tr w:rsidR="000D6AAC" w:rsidRPr="004666B8" w14:paraId="269ECE1F" w14:textId="77777777" w:rsidTr="00D86E5E">
        <w:tc>
          <w:tcPr>
            <w:tcW w:w="3275" w:type="dxa"/>
          </w:tcPr>
          <w:p w14:paraId="18FA1956" w14:textId="77777777" w:rsidR="000D6AAC" w:rsidRDefault="00FE6AA9">
            <w:pPr>
              <w:pStyle w:val="tabletext"/>
              <w:rPr>
                <w:lang w:val="en-US" w:eastAsia="en-US"/>
              </w:rPr>
            </w:pPr>
            <w:r>
              <w:rPr>
                <w:lang w:val="en-US" w:eastAsia="en-US"/>
              </w:rPr>
              <w:t>The new l</w:t>
            </w:r>
            <w:r w:rsidR="00A61B43">
              <w:rPr>
                <w:lang w:val="en-US" w:eastAsia="en-US"/>
              </w:rPr>
              <w:t>aw substantively mirrors the current</w:t>
            </w:r>
            <w:r>
              <w:rPr>
                <w:lang w:val="en-US" w:eastAsia="en-US"/>
              </w:rPr>
              <w:t xml:space="preserve"> law. </w:t>
            </w:r>
            <w:r w:rsidR="00526FC8" w:rsidRPr="00526FC8">
              <w:rPr>
                <w:lang w:val="en-US" w:eastAsia="en-US"/>
              </w:rPr>
              <w:t>Insurers are required to set up health benefits funds. The assets of the fund are kept separate</w:t>
            </w:r>
            <w:r w:rsidR="00C27C59">
              <w:rPr>
                <w:lang w:val="en-US" w:eastAsia="en-US"/>
              </w:rPr>
              <w:t xml:space="preserve"> from those of the insurer</w:t>
            </w:r>
            <w:r w:rsidR="00526FC8" w:rsidRPr="00526FC8">
              <w:rPr>
                <w:lang w:val="en-US" w:eastAsia="en-US"/>
              </w:rPr>
              <w:t>.</w:t>
            </w:r>
            <w:r w:rsidR="00526FC8">
              <w:rPr>
                <w:lang w:val="en-US" w:eastAsia="en-US"/>
              </w:rPr>
              <w:t xml:space="preserve"> </w:t>
            </w:r>
            <w:r w:rsidR="00E61718">
              <w:rPr>
                <w:lang w:val="en-US" w:eastAsia="en-US"/>
              </w:rPr>
              <w:t xml:space="preserve">APRA rules govern the </w:t>
            </w:r>
            <w:r>
              <w:rPr>
                <w:lang w:val="en-US" w:eastAsia="en-US"/>
              </w:rPr>
              <w:t>operation of health benefits funds.</w:t>
            </w:r>
          </w:p>
        </w:tc>
        <w:tc>
          <w:tcPr>
            <w:tcW w:w="3276" w:type="dxa"/>
          </w:tcPr>
          <w:p w14:paraId="4DAAA593" w14:textId="77777777" w:rsidR="000D6AAC" w:rsidRDefault="00FF144D" w:rsidP="00D86E5E">
            <w:pPr>
              <w:pStyle w:val="tabletext"/>
              <w:rPr>
                <w:lang w:val="en-US" w:eastAsia="en-US"/>
              </w:rPr>
            </w:pPr>
            <w:r>
              <w:rPr>
                <w:lang w:val="en-US" w:eastAsia="en-US"/>
              </w:rPr>
              <w:t>Insurers are required to set up health</w:t>
            </w:r>
            <w:r w:rsidR="0060589D">
              <w:rPr>
                <w:lang w:val="en-US" w:eastAsia="en-US"/>
              </w:rPr>
              <w:t xml:space="preserve"> benefits funds. The assets of the fund are</w:t>
            </w:r>
            <w:r w:rsidR="00E61718">
              <w:rPr>
                <w:lang w:val="en-US" w:eastAsia="en-US"/>
              </w:rPr>
              <w:t xml:space="preserve"> kept separate</w:t>
            </w:r>
            <w:r w:rsidR="00C27C59">
              <w:rPr>
                <w:lang w:val="en-US" w:eastAsia="en-US"/>
              </w:rPr>
              <w:t xml:space="preserve"> </w:t>
            </w:r>
            <w:r w:rsidR="00C27C59" w:rsidRPr="00C27C59">
              <w:rPr>
                <w:lang w:val="en-US" w:eastAsia="en-US"/>
              </w:rPr>
              <w:t>from those of the insurer</w:t>
            </w:r>
            <w:r w:rsidR="00E61718">
              <w:rPr>
                <w:lang w:val="en-US" w:eastAsia="en-US"/>
              </w:rPr>
              <w:t>.</w:t>
            </w:r>
            <w:r w:rsidR="00FE6AA9">
              <w:rPr>
                <w:lang w:val="en-US" w:eastAsia="en-US"/>
              </w:rPr>
              <w:t xml:space="preserve"> The operation of health benefits funds are governed by the Private Health Insurance (Health Benefits Fund Administration</w:t>
            </w:r>
            <w:r w:rsidR="00DA68DE">
              <w:rPr>
                <w:lang w:val="en-US" w:eastAsia="en-US"/>
              </w:rPr>
              <w:t>) Rules.</w:t>
            </w:r>
          </w:p>
        </w:tc>
      </w:tr>
      <w:tr w:rsidR="000D6AAC" w:rsidRPr="004666B8" w14:paraId="4AE0A591" w14:textId="77777777" w:rsidTr="000D6AAC">
        <w:tc>
          <w:tcPr>
            <w:tcW w:w="6551" w:type="dxa"/>
            <w:gridSpan w:val="2"/>
          </w:tcPr>
          <w:p w14:paraId="35564D4F" w14:textId="77777777" w:rsidR="000D6AAC" w:rsidRPr="000D6AAC" w:rsidRDefault="000D6AAC" w:rsidP="000D6AAC">
            <w:pPr>
              <w:pStyle w:val="tabletext"/>
              <w:jc w:val="center"/>
              <w:rPr>
                <w:b/>
                <w:u w:val="single"/>
                <w:lang w:val="en-US" w:eastAsia="en-US"/>
              </w:rPr>
            </w:pPr>
            <w:r w:rsidRPr="000D6AAC">
              <w:rPr>
                <w:b/>
                <w:u w:val="single"/>
                <w:lang w:val="en-US" w:eastAsia="en-US"/>
              </w:rPr>
              <w:t>Restructure, merger and acquisition of health benefits funds</w:t>
            </w:r>
          </w:p>
        </w:tc>
      </w:tr>
      <w:tr w:rsidR="00023410" w:rsidRPr="004666B8" w14:paraId="56F5C08C" w14:textId="77777777" w:rsidTr="00D86E5E">
        <w:tc>
          <w:tcPr>
            <w:tcW w:w="3275" w:type="dxa"/>
          </w:tcPr>
          <w:p w14:paraId="273C8BA9" w14:textId="77777777" w:rsidR="00023410" w:rsidRDefault="00DA68DE" w:rsidP="00A61B43">
            <w:pPr>
              <w:pStyle w:val="tabletext"/>
              <w:rPr>
                <w:lang w:val="en-US" w:eastAsia="en-US"/>
              </w:rPr>
            </w:pPr>
            <w:r w:rsidRPr="00DA68DE">
              <w:rPr>
                <w:lang w:val="en-US" w:eastAsia="en-US"/>
              </w:rPr>
              <w:t>The new law substantively mirrors the</w:t>
            </w:r>
            <w:r w:rsidR="00A61B43">
              <w:rPr>
                <w:lang w:val="en-US" w:eastAsia="en-US"/>
              </w:rPr>
              <w:t xml:space="preserve"> current</w:t>
            </w:r>
            <w:r w:rsidRPr="00DA68DE">
              <w:rPr>
                <w:lang w:val="en-US" w:eastAsia="en-US"/>
              </w:rPr>
              <w:t xml:space="preserve"> law</w:t>
            </w:r>
            <w:r w:rsidR="00B97F1D">
              <w:rPr>
                <w:lang w:val="en-US" w:eastAsia="en-US"/>
              </w:rPr>
              <w:t>.</w:t>
            </w:r>
            <w:r w:rsidRPr="00DA68DE">
              <w:rPr>
                <w:lang w:val="en-US" w:eastAsia="en-US"/>
              </w:rPr>
              <w:t xml:space="preserve"> </w:t>
            </w:r>
            <w:r w:rsidR="00710CD5">
              <w:rPr>
                <w:lang w:val="en-US" w:eastAsia="en-US"/>
              </w:rPr>
              <w:t xml:space="preserve">Insurers </w:t>
            </w:r>
            <w:r w:rsidR="006A0C6B">
              <w:rPr>
                <w:lang w:val="en-US" w:eastAsia="en-US"/>
              </w:rPr>
              <w:t>must apply to</w:t>
            </w:r>
            <w:r w:rsidR="00710CD5">
              <w:rPr>
                <w:lang w:val="en-US" w:eastAsia="en-US"/>
              </w:rPr>
              <w:t xml:space="preserve"> APRA</w:t>
            </w:r>
            <w:r w:rsidR="006A0C6B">
              <w:rPr>
                <w:lang w:val="en-US" w:eastAsia="en-US"/>
              </w:rPr>
              <w:t xml:space="preserve"> for approval restructure, merger or acquisition</w:t>
            </w:r>
            <w:r w:rsidR="00C27C59">
              <w:rPr>
                <w:lang w:val="en-US" w:eastAsia="en-US"/>
              </w:rPr>
              <w:t xml:space="preserve"> of a fund</w:t>
            </w:r>
            <w:r w:rsidR="006A0C6B">
              <w:rPr>
                <w:lang w:val="en-US" w:eastAsia="en-US"/>
              </w:rPr>
              <w:t xml:space="preserve">. </w:t>
            </w:r>
            <w:r>
              <w:rPr>
                <w:lang w:val="en-US" w:eastAsia="en-US"/>
              </w:rPr>
              <w:t xml:space="preserve">A </w:t>
            </w:r>
            <w:r w:rsidRPr="00DA68DE">
              <w:rPr>
                <w:lang w:val="en-US" w:eastAsia="en-US"/>
              </w:rPr>
              <w:t>restructure, merger or acquisition</w:t>
            </w:r>
            <w:r>
              <w:rPr>
                <w:lang w:val="en-US" w:eastAsia="en-US"/>
              </w:rPr>
              <w:t xml:space="preserve"> must be in the interests of policy holders. APRA rules may govern a </w:t>
            </w:r>
            <w:r w:rsidRPr="00DA68DE">
              <w:rPr>
                <w:lang w:val="en-US" w:eastAsia="en-US"/>
              </w:rPr>
              <w:t>restructure, merger or acquisition</w:t>
            </w:r>
          </w:p>
        </w:tc>
        <w:tc>
          <w:tcPr>
            <w:tcW w:w="3276" w:type="dxa"/>
          </w:tcPr>
          <w:p w14:paraId="58C6A005" w14:textId="77777777" w:rsidR="00023410" w:rsidRDefault="00DA68DE" w:rsidP="00115FBF">
            <w:pPr>
              <w:pStyle w:val="tabletext"/>
              <w:rPr>
                <w:lang w:val="en-US" w:eastAsia="en-US"/>
              </w:rPr>
            </w:pPr>
            <w:r>
              <w:rPr>
                <w:lang w:val="en-US" w:eastAsia="en-US"/>
              </w:rPr>
              <w:t>Insurers must apply to the Council</w:t>
            </w:r>
            <w:r w:rsidR="006A0C6B" w:rsidRPr="006A0C6B">
              <w:rPr>
                <w:lang w:val="en-US" w:eastAsia="en-US"/>
              </w:rPr>
              <w:t xml:space="preserve"> for approval restructure</w:t>
            </w:r>
            <w:r>
              <w:rPr>
                <w:lang w:val="en-US" w:eastAsia="en-US"/>
              </w:rPr>
              <w:t xml:space="preserve"> of a fund</w:t>
            </w:r>
            <w:r w:rsidR="006A0C6B" w:rsidRPr="006A0C6B">
              <w:rPr>
                <w:lang w:val="en-US" w:eastAsia="en-US"/>
              </w:rPr>
              <w:t>, merger</w:t>
            </w:r>
            <w:r>
              <w:rPr>
                <w:lang w:val="en-US" w:eastAsia="en-US"/>
              </w:rPr>
              <w:t xml:space="preserve"> of a fund with another health benefits fund</w:t>
            </w:r>
            <w:r w:rsidR="006A0C6B" w:rsidRPr="006A0C6B">
              <w:rPr>
                <w:lang w:val="en-US" w:eastAsia="en-US"/>
              </w:rPr>
              <w:t xml:space="preserve"> or acquisition</w:t>
            </w:r>
            <w:r w:rsidR="00C27C59">
              <w:rPr>
                <w:lang w:val="en-US" w:eastAsia="en-US"/>
              </w:rPr>
              <w:t xml:space="preserve"> of a fund</w:t>
            </w:r>
            <w:r w:rsidR="006A0C6B" w:rsidRPr="006A0C6B">
              <w:rPr>
                <w:lang w:val="en-US" w:eastAsia="en-US"/>
              </w:rPr>
              <w:t>.</w:t>
            </w:r>
            <w:r>
              <w:rPr>
                <w:lang w:val="en-US" w:eastAsia="en-US"/>
              </w:rPr>
              <w:t xml:space="preserve"> </w:t>
            </w:r>
            <w:r w:rsidRPr="00DA68DE">
              <w:rPr>
                <w:lang w:val="en-US" w:eastAsia="en-US"/>
              </w:rPr>
              <w:t>Private Health Insurance (Health Benefits Fund Administration) Rules</w:t>
            </w:r>
            <w:r>
              <w:rPr>
                <w:lang w:val="en-US" w:eastAsia="en-US"/>
              </w:rPr>
              <w:t xml:space="preserve"> may govern a </w:t>
            </w:r>
            <w:r w:rsidRPr="00DA68DE">
              <w:rPr>
                <w:lang w:val="en-US" w:eastAsia="en-US"/>
              </w:rPr>
              <w:t>restructure, merger or acquisition</w:t>
            </w:r>
            <w:r>
              <w:rPr>
                <w:lang w:val="en-US" w:eastAsia="en-US"/>
              </w:rPr>
              <w:t>.</w:t>
            </w:r>
          </w:p>
        </w:tc>
      </w:tr>
      <w:tr w:rsidR="00B97F1D" w:rsidRPr="004666B8" w14:paraId="747A67B8" w14:textId="77777777" w:rsidTr="00006DD7">
        <w:tc>
          <w:tcPr>
            <w:tcW w:w="6551" w:type="dxa"/>
            <w:gridSpan w:val="2"/>
          </w:tcPr>
          <w:p w14:paraId="2CE8A7CE" w14:textId="77777777" w:rsidR="00B97F1D" w:rsidRPr="00B97F1D" w:rsidRDefault="00B97F1D" w:rsidP="00B97F1D">
            <w:pPr>
              <w:pStyle w:val="tabletext"/>
              <w:jc w:val="center"/>
              <w:rPr>
                <w:b/>
                <w:u w:val="single"/>
                <w:lang w:val="en-US" w:eastAsia="en-US"/>
              </w:rPr>
            </w:pPr>
            <w:r w:rsidRPr="00B97F1D">
              <w:rPr>
                <w:b/>
                <w:u w:val="single"/>
                <w:lang w:val="en-US" w:eastAsia="en-US"/>
              </w:rPr>
              <w:t>Termination and external management of health benefits funds</w:t>
            </w:r>
          </w:p>
        </w:tc>
      </w:tr>
      <w:tr w:rsidR="00023410" w:rsidRPr="004666B8" w14:paraId="302040EE" w14:textId="77777777" w:rsidTr="00D86E5E">
        <w:tc>
          <w:tcPr>
            <w:tcW w:w="3275" w:type="dxa"/>
          </w:tcPr>
          <w:p w14:paraId="16E9EE8A" w14:textId="77777777" w:rsidR="00023410" w:rsidRDefault="00B97F1D" w:rsidP="00A61B43">
            <w:pPr>
              <w:pStyle w:val="tabletext"/>
              <w:rPr>
                <w:lang w:val="en-US" w:eastAsia="en-US"/>
              </w:rPr>
            </w:pPr>
            <w:r w:rsidRPr="00B97F1D">
              <w:rPr>
                <w:lang w:val="en-US" w:eastAsia="en-US"/>
              </w:rPr>
              <w:t xml:space="preserve">The new law substantively mirrors the </w:t>
            </w:r>
            <w:r w:rsidR="00A61B43">
              <w:rPr>
                <w:lang w:val="en-US" w:eastAsia="en-US"/>
              </w:rPr>
              <w:t>current</w:t>
            </w:r>
            <w:r w:rsidRPr="00B97F1D">
              <w:rPr>
                <w:lang w:val="en-US" w:eastAsia="en-US"/>
              </w:rPr>
              <w:t xml:space="preserve"> law.</w:t>
            </w:r>
            <w:r>
              <w:rPr>
                <w:lang w:val="en-US" w:eastAsia="en-US"/>
              </w:rPr>
              <w:t xml:space="preserve"> Insurers </w:t>
            </w:r>
            <w:r w:rsidR="00C1082D">
              <w:rPr>
                <w:lang w:val="en-US" w:eastAsia="en-US"/>
              </w:rPr>
              <w:t>may</w:t>
            </w:r>
            <w:r>
              <w:rPr>
                <w:lang w:val="en-US" w:eastAsia="en-US"/>
              </w:rPr>
              <w:t xml:space="preserve"> apply to APRA for termination of a health benefits fund (</w:t>
            </w:r>
            <w:r w:rsidR="00C1082D">
              <w:rPr>
                <w:lang w:val="en-US" w:eastAsia="en-US"/>
              </w:rPr>
              <w:t xml:space="preserve">additionally </w:t>
            </w:r>
            <w:r>
              <w:rPr>
                <w:lang w:val="en-US" w:eastAsia="en-US"/>
              </w:rPr>
              <w:t>the Federal Court can order the appointment of a terminating manager).</w:t>
            </w:r>
            <w:r w:rsidR="00C1082D">
              <w:rPr>
                <w:lang w:val="en-US" w:eastAsia="en-US"/>
              </w:rPr>
              <w:t xml:space="preserve"> </w:t>
            </w:r>
            <w:r w:rsidR="00BA56ED">
              <w:rPr>
                <w:lang w:val="en-US" w:eastAsia="en-US"/>
              </w:rPr>
              <w:t xml:space="preserve">APRA can appoint an external manager in certain circumstances. </w:t>
            </w:r>
            <w:r w:rsidR="00C1082D">
              <w:rPr>
                <w:lang w:val="en-US" w:eastAsia="en-US"/>
              </w:rPr>
              <w:t xml:space="preserve">The </w:t>
            </w:r>
            <w:r w:rsidR="00BA56ED">
              <w:rPr>
                <w:lang w:val="en-US" w:eastAsia="en-US"/>
              </w:rPr>
              <w:t xml:space="preserve">termination/external management </w:t>
            </w:r>
            <w:r w:rsidR="00C1082D">
              <w:rPr>
                <w:lang w:val="en-US" w:eastAsia="en-US"/>
              </w:rPr>
              <w:t>must be conducted in accordance</w:t>
            </w:r>
            <w:r w:rsidR="00CD504F">
              <w:rPr>
                <w:lang w:val="en-US" w:eastAsia="en-US"/>
              </w:rPr>
              <w:t xml:space="preserve"> with</w:t>
            </w:r>
            <w:r w:rsidR="00C1082D">
              <w:rPr>
                <w:lang w:val="en-US" w:eastAsia="en-US"/>
              </w:rPr>
              <w:t xml:space="preserve"> the Act, rather than any other state or federal law. </w:t>
            </w:r>
            <w:r w:rsidR="00350C27">
              <w:rPr>
                <w:lang w:val="en-US" w:eastAsia="en-US"/>
              </w:rPr>
              <w:t>Officers are liable for losses caused by contraventions of the Act.</w:t>
            </w:r>
            <w:r w:rsidR="00BA56ED">
              <w:rPr>
                <w:lang w:val="en-US" w:eastAsia="en-US"/>
              </w:rPr>
              <w:t xml:space="preserve"> </w:t>
            </w:r>
          </w:p>
        </w:tc>
        <w:tc>
          <w:tcPr>
            <w:tcW w:w="3276" w:type="dxa"/>
          </w:tcPr>
          <w:p w14:paraId="2770DECE" w14:textId="77777777" w:rsidR="00023410" w:rsidRPr="00023410" w:rsidRDefault="00C1082D" w:rsidP="00BA56ED">
            <w:pPr>
              <w:pStyle w:val="tabletext"/>
              <w:rPr>
                <w:lang w:val="en-US" w:eastAsia="en-US"/>
              </w:rPr>
            </w:pPr>
            <w:r w:rsidRPr="00C1082D">
              <w:rPr>
                <w:lang w:val="en-US" w:eastAsia="en-US"/>
              </w:rPr>
              <w:t>Insurers may apply to</w:t>
            </w:r>
            <w:r>
              <w:rPr>
                <w:lang w:val="en-US" w:eastAsia="en-US"/>
              </w:rPr>
              <w:t xml:space="preserve"> the Council </w:t>
            </w:r>
            <w:r w:rsidRPr="00C1082D">
              <w:rPr>
                <w:lang w:val="en-US" w:eastAsia="en-US"/>
              </w:rPr>
              <w:t>for termination of a health benefits fund</w:t>
            </w:r>
            <w:r w:rsidR="00350C27">
              <w:rPr>
                <w:lang w:val="en-US" w:eastAsia="en-US"/>
              </w:rPr>
              <w:t xml:space="preserve">. </w:t>
            </w:r>
            <w:r w:rsidR="00BA56ED">
              <w:rPr>
                <w:lang w:val="en-US" w:eastAsia="en-US"/>
              </w:rPr>
              <w:t xml:space="preserve">The Council can </w:t>
            </w:r>
            <w:r w:rsidR="00BA56ED" w:rsidRPr="00BA56ED">
              <w:rPr>
                <w:lang w:val="en-US" w:eastAsia="en-US"/>
              </w:rPr>
              <w:t xml:space="preserve">appoint an external manager in certain circumstances. </w:t>
            </w:r>
            <w:r w:rsidR="002F1B55" w:rsidRPr="002F1B55">
              <w:rPr>
                <w:lang w:val="en-US" w:eastAsia="en-US"/>
              </w:rPr>
              <w:t xml:space="preserve">The </w:t>
            </w:r>
            <w:r w:rsidR="00BA56ED">
              <w:rPr>
                <w:lang w:val="en-US" w:eastAsia="en-US"/>
              </w:rPr>
              <w:t>external management</w:t>
            </w:r>
            <w:r w:rsidR="00C27C59">
              <w:rPr>
                <w:lang w:val="en-US" w:eastAsia="en-US"/>
              </w:rPr>
              <w:t xml:space="preserve"> must b</w:t>
            </w:r>
            <w:r w:rsidR="002F1B55" w:rsidRPr="002F1B55">
              <w:rPr>
                <w:lang w:val="en-US" w:eastAsia="en-US"/>
              </w:rPr>
              <w:t xml:space="preserve">e conducted in accordance </w:t>
            </w:r>
            <w:r w:rsidR="00CD504F">
              <w:rPr>
                <w:lang w:val="en-US" w:eastAsia="en-US"/>
              </w:rPr>
              <w:t xml:space="preserve">with </w:t>
            </w:r>
            <w:r w:rsidR="002F1B55" w:rsidRPr="002F1B55">
              <w:rPr>
                <w:lang w:val="en-US" w:eastAsia="en-US"/>
              </w:rPr>
              <w:t xml:space="preserve">the </w:t>
            </w:r>
            <w:r w:rsidR="00B77C52">
              <w:rPr>
                <w:lang w:val="en-US" w:eastAsia="en-US"/>
              </w:rPr>
              <w:t>PHI</w:t>
            </w:r>
            <w:r w:rsidR="00C341C2">
              <w:rPr>
                <w:lang w:val="en-US" w:eastAsia="en-US"/>
              </w:rPr>
              <w:t> </w:t>
            </w:r>
            <w:r w:rsidR="002F1B55" w:rsidRPr="002F1B55">
              <w:rPr>
                <w:lang w:val="en-US" w:eastAsia="en-US"/>
              </w:rPr>
              <w:t>Act, rather than any other state or federal law</w:t>
            </w:r>
            <w:r w:rsidR="00BA56ED">
              <w:rPr>
                <w:lang w:val="en-US" w:eastAsia="en-US"/>
              </w:rPr>
              <w:t xml:space="preserve">. </w:t>
            </w:r>
            <w:r w:rsidR="00350C27" w:rsidRPr="00350C27">
              <w:rPr>
                <w:lang w:val="en-US" w:eastAsia="en-US"/>
              </w:rPr>
              <w:t>Officers are liable for losses caused by contraventions of the Act.</w:t>
            </w:r>
          </w:p>
        </w:tc>
      </w:tr>
      <w:tr w:rsidR="000D6AAC" w:rsidRPr="004666B8" w14:paraId="0605651E" w14:textId="77777777" w:rsidTr="000D6AAC">
        <w:tc>
          <w:tcPr>
            <w:tcW w:w="6551" w:type="dxa"/>
            <w:gridSpan w:val="2"/>
          </w:tcPr>
          <w:p w14:paraId="6067B7DC" w14:textId="77777777" w:rsidR="000D6AAC" w:rsidRPr="000D6AAC" w:rsidRDefault="000D6AAC" w:rsidP="000D6AAC">
            <w:pPr>
              <w:pStyle w:val="tabletext"/>
              <w:jc w:val="center"/>
              <w:rPr>
                <w:b/>
                <w:u w:val="single"/>
              </w:rPr>
            </w:pPr>
            <w:r w:rsidRPr="000D6AAC">
              <w:rPr>
                <w:b/>
                <w:u w:val="single"/>
              </w:rPr>
              <w:t>Notices and Remedies for non-compliance</w:t>
            </w:r>
          </w:p>
        </w:tc>
      </w:tr>
      <w:tr w:rsidR="006709E0" w:rsidRPr="004666B8" w14:paraId="30DAE54F" w14:textId="77777777" w:rsidTr="00D86E5E">
        <w:tc>
          <w:tcPr>
            <w:tcW w:w="3275" w:type="dxa"/>
          </w:tcPr>
          <w:p w14:paraId="1804DC7C" w14:textId="77777777" w:rsidR="006709E0" w:rsidRDefault="00A61B43" w:rsidP="00A61B43">
            <w:pPr>
              <w:pStyle w:val="tabletext"/>
              <w:rPr>
                <w:lang w:val="en-US" w:eastAsia="en-US"/>
              </w:rPr>
            </w:pPr>
            <w:r w:rsidRPr="00A61B43">
              <w:t>The new law substantively mirrors the</w:t>
            </w:r>
            <w:r>
              <w:t xml:space="preserve"> current</w:t>
            </w:r>
            <w:r w:rsidRPr="00A61B43">
              <w:t xml:space="preserve"> law. </w:t>
            </w:r>
            <w:r w:rsidR="006709E0">
              <w:t>APRA</w:t>
            </w:r>
            <w:r w:rsidR="008F5FD1">
              <w:t xml:space="preserve"> </w:t>
            </w:r>
            <w:r w:rsidR="008F5FD1" w:rsidRPr="008F5FD1">
              <w:t>can issue the insurer a notice to remedy a contravention</w:t>
            </w:r>
            <w:r w:rsidR="008F5FD1">
              <w:t xml:space="preserve"> of the Act</w:t>
            </w:r>
            <w:r w:rsidR="008F5FD1" w:rsidRPr="008F5FD1">
              <w:t>. Directors are liable for losses caused by a failure to remedy a contravention.</w:t>
            </w:r>
          </w:p>
        </w:tc>
        <w:tc>
          <w:tcPr>
            <w:tcW w:w="3276" w:type="dxa"/>
          </w:tcPr>
          <w:p w14:paraId="0D8B3773" w14:textId="77777777" w:rsidR="006709E0" w:rsidRPr="006709E0" w:rsidRDefault="00542957">
            <w:pPr>
              <w:pStyle w:val="tabletext"/>
              <w:rPr>
                <w:lang w:val="en-US" w:eastAsia="en-US"/>
              </w:rPr>
            </w:pPr>
            <w:r>
              <w:t>The Council can issue the insurer a notice to remedy a contravention</w:t>
            </w:r>
            <w:r w:rsidR="008F5FD1">
              <w:t xml:space="preserve"> of the Act</w:t>
            </w:r>
            <w:r w:rsidR="00B66B66">
              <w:t xml:space="preserve">. Directors are liable for losses caused by a failure to remedy a contravention. </w:t>
            </w:r>
          </w:p>
        </w:tc>
      </w:tr>
    </w:tbl>
    <w:p w14:paraId="589BD9D2" w14:textId="77777777" w:rsidR="00D86E5E" w:rsidRDefault="00D86E5E" w:rsidP="00D86E5E">
      <w:pPr>
        <w:pStyle w:val="Heading2"/>
      </w:pPr>
      <w:r>
        <w:t>Detailed explanation of new law</w:t>
      </w:r>
    </w:p>
    <w:p w14:paraId="6E002A1F" w14:textId="77777777" w:rsidR="00D86E5E" w:rsidRPr="00CD5264" w:rsidRDefault="00FE59CC" w:rsidP="00FE59CC">
      <w:pPr>
        <w:pStyle w:val="Heading3"/>
      </w:pPr>
      <w:r>
        <w:t xml:space="preserve">Division 1 </w:t>
      </w:r>
      <w:r w:rsidRPr="00C04AA9">
        <w:t xml:space="preserve">– </w:t>
      </w:r>
      <w:r w:rsidR="00A6587B" w:rsidRPr="00CD5264">
        <w:t>Introduction</w:t>
      </w:r>
    </w:p>
    <w:p w14:paraId="175CE97D" w14:textId="77777777" w:rsidR="00FE59CC" w:rsidRPr="00CD5264" w:rsidRDefault="00FE59CC" w:rsidP="00FE59CC">
      <w:pPr>
        <w:pStyle w:val="Heading4"/>
      </w:pPr>
      <w:r w:rsidRPr="00CD5264">
        <w:t>Simplified outline</w:t>
      </w:r>
      <w:r w:rsidR="00E76BBE" w:rsidRPr="00CD5264">
        <w:t xml:space="preserve"> of this Part</w:t>
      </w:r>
    </w:p>
    <w:p w14:paraId="62762E8F" w14:textId="77777777" w:rsidR="007C7616" w:rsidRPr="007C7616" w:rsidRDefault="007C7616" w:rsidP="000F194A">
      <w:pPr>
        <w:pStyle w:val="base-text-paragraph"/>
      </w:pPr>
      <w:r w:rsidRPr="007C7616">
        <w:t xml:space="preserve">A private health insurer must have at </w:t>
      </w:r>
      <w:r w:rsidRPr="0010401F">
        <w:t>least one health benefits fund.</w:t>
      </w:r>
      <w:r>
        <w:rPr>
          <w:b/>
          <w:i/>
        </w:rPr>
        <w:t xml:space="preserve"> </w:t>
      </w:r>
      <w:r w:rsidRPr="007C7616">
        <w:t>Part 4</w:t>
      </w:r>
      <w:r>
        <w:noBreakHyphen/>
      </w:r>
      <w:r w:rsidRPr="007C7616">
        <w:t xml:space="preserve">4 of the </w:t>
      </w:r>
      <w:r>
        <w:t>PHI Act</w:t>
      </w:r>
      <w:r w:rsidRPr="007C7616">
        <w:t xml:space="preserve"> defines the concept of a health benefits fund as well as other key concepts related to health benefits funds.</w:t>
      </w:r>
      <w:r w:rsidR="00E83238">
        <w:t xml:space="preserve"> </w:t>
      </w:r>
      <w:r w:rsidR="00E83238" w:rsidRPr="00926AF8">
        <w:rPr>
          <w:rStyle w:val="Referencingstyle"/>
        </w:rPr>
        <w:t xml:space="preserve">[Part 3, Division </w:t>
      </w:r>
      <w:r w:rsidR="00E83238">
        <w:rPr>
          <w:rStyle w:val="Referencingstyle"/>
        </w:rPr>
        <w:t>2, section 22</w:t>
      </w:r>
      <w:r w:rsidR="00E83238" w:rsidRPr="00926AF8">
        <w:rPr>
          <w:rStyle w:val="Referencingstyle"/>
        </w:rPr>
        <w:t>]</w:t>
      </w:r>
    </w:p>
    <w:p w14:paraId="6AE50F18" w14:textId="77777777" w:rsidR="007C7616" w:rsidRPr="007C7616" w:rsidRDefault="007C7616" w:rsidP="000F194A">
      <w:pPr>
        <w:pStyle w:val="base-text-paragraph"/>
      </w:pPr>
      <w:r w:rsidRPr="007C7616">
        <w:t>There are regimes governing:</w:t>
      </w:r>
    </w:p>
    <w:p w14:paraId="7081022E" w14:textId="77777777" w:rsidR="007C7616" w:rsidRPr="007C7616" w:rsidRDefault="007C7616" w:rsidP="007C7616">
      <w:pPr>
        <w:pStyle w:val="dotpoint"/>
      </w:pPr>
      <w:r w:rsidRPr="007C7616">
        <w:t>how health benefits funds are operated; and</w:t>
      </w:r>
    </w:p>
    <w:p w14:paraId="203D7F4C" w14:textId="77777777" w:rsidR="007C7616" w:rsidRPr="007C7616" w:rsidRDefault="007C7616" w:rsidP="007C7616">
      <w:pPr>
        <w:pStyle w:val="dotpoint"/>
      </w:pPr>
      <w:r w:rsidRPr="007C7616">
        <w:t>changing the health benefits fund to which a policy of insurance is referable; and</w:t>
      </w:r>
    </w:p>
    <w:p w14:paraId="72493F54" w14:textId="77777777" w:rsidR="007C7616" w:rsidRPr="007C7616" w:rsidRDefault="007C7616" w:rsidP="007C7616">
      <w:pPr>
        <w:pStyle w:val="dotpoint"/>
      </w:pPr>
      <w:r w:rsidRPr="007C7616">
        <w:t>terminating health benefits funds; and</w:t>
      </w:r>
    </w:p>
    <w:p w14:paraId="7F0F669C" w14:textId="77777777" w:rsidR="007C7616" w:rsidRPr="007C7616" w:rsidRDefault="007C7616" w:rsidP="007C7616">
      <w:pPr>
        <w:pStyle w:val="dotpoint"/>
      </w:pPr>
      <w:r w:rsidRPr="007C7616">
        <w:t>external management of health benefits funds.</w:t>
      </w:r>
      <w:r w:rsidR="00E83238">
        <w:t xml:space="preserve"> </w:t>
      </w:r>
      <w:r w:rsidR="00CD504F">
        <w:rPr>
          <w:rStyle w:val="Referencingstyle"/>
        </w:rPr>
        <w:t>[Part 3, Division </w:t>
      </w:r>
      <w:r w:rsidR="00E83238">
        <w:rPr>
          <w:rStyle w:val="Referencingstyle"/>
        </w:rPr>
        <w:t>2, section 22</w:t>
      </w:r>
      <w:r w:rsidR="00E83238" w:rsidRPr="00926AF8">
        <w:rPr>
          <w:rStyle w:val="Referencingstyle"/>
        </w:rPr>
        <w:t>]</w:t>
      </w:r>
    </w:p>
    <w:p w14:paraId="0CE05A7F" w14:textId="77777777" w:rsidR="007C7616" w:rsidRPr="007C7616" w:rsidRDefault="007C7616" w:rsidP="000F194A">
      <w:pPr>
        <w:pStyle w:val="base-text-paragraph"/>
      </w:pPr>
      <w:r w:rsidRPr="007C7616">
        <w:t>APRA may require private health insurers to remedy contraventions of this Part.</w:t>
      </w:r>
      <w:r w:rsidR="00E83238">
        <w:t xml:space="preserve"> </w:t>
      </w:r>
      <w:r w:rsidR="00E83238" w:rsidRPr="00926AF8">
        <w:rPr>
          <w:rStyle w:val="Referencingstyle"/>
        </w:rPr>
        <w:t xml:space="preserve">[Part 3, Division </w:t>
      </w:r>
      <w:r w:rsidR="00E83238">
        <w:rPr>
          <w:rStyle w:val="Referencingstyle"/>
        </w:rPr>
        <w:t>2, section 22</w:t>
      </w:r>
      <w:r w:rsidR="00E83238" w:rsidRPr="00926AF8">
        <w:rPr>
          <w:rStyle w:val="Referencingstyle"/>
        </w:rPr>
        <w:t>]</w:t>
      </w:r>
    </w:p>
    <w:p w14:paraId="15FC7C4D" w14:textId="77777777" w:rsidR="00FE59CC" w:rsidRPr="00CD5264" w:rsidRDefault="00FE59CC" w:rsidP="00FE59CC">
      <w:pPr>
        <w:pStyle w:val="Heading3"/>
      </w:pPr>
      <w:r w:rsidRPr="00CD5264">
        <w:t xml:space="preserve">Division </w:t>
      </w:r>
      <w:r w:rsidR="00081293" w:rsidRPr="00CD5264">
        <w:t xml:space="preserve">2 </w:t>
      </w:r>
      <w:r w:rsidRPr="00CD5264">
        <w:t xml:space="preserve">– The requirement to </w:t>
      </w:r>
      <w:r w:rsidR="004C5BE7">
        <w:t>have</w:t>
      </w:r>
      <w:r w:rsidRPr="00CD5264">
        <w:t xml:space="preserve"> health benefit</w:t>
      </w:r>
      <w:r w:rsidR="0079304F" w:rsidRPr="00CD5264">
        <w:t>s</w:t>
      </w:r>
      <w:r w:rsidRPr="00CD5264">
        <w:t xml:space="preserve"> fund</w:t>
      </w:r>
      <w:r w:rsidR="004C5BE7">
        <w:t>s</w:t>
      </w:r>
    </w:p>
    <w:p w14:paraId="1239585D" w14:textId="77777777" w:rsidR="00FE59CC" w:rsidRPr="00CD5264" w:rsidRDefault="00FE59CC" w:rsidP="00926AF8">
      <w:pPr>
        <w:pStyle w:val="Heading4"/>
      </w:pPr>
      <w:r w:rsidRPr="00CD5264">
        <w:t>Private health insurers must have health benefit</w:t>
      </w:r>
      <w:r w:rsidR="0045317B" w:rsidRPr="00CD5264">
        <w:t>s</w:t>
      </w:r>
      <w:r w:rsidRPr="00CD5264">
        <w:t xml:space="preserve"> funds</w:t>
      </w:r>
    </w:p>
    <w:p w14:paraId="3CFF98B7" w14:textId="77777777" w:rsidR="00160414" w:rsidRDefault="00926AF8" w:rsidP="000F194A">
      <w:pPr>
        <w:pStyle w:val="base-text-paragraph"/>
      </w:pPr>
      <w:r w:rsidRPr="00CD5264">
        <w:t>A</w:t>
      </w:r>
      <w:r w:rsidR="00FE59CC" w:rsidRPr="00CD5264">
        <w:t xml:space="preserve"> private health insurer</w:t>
      </w:r>
      <w:r w:rsidR="00FE59CC">
        <w:t xml:space="preserve"> </w:t>
      </w:r>
      <w:r>
        <w:t xml:space="preserve">is required to have </w:t>
      </w:r>
      <w:r w:rsidR="00FE59CC">
        <w:t>at least one health benefits fund at all times,</w:t>
      </w:r>
      <w:r>
        <w:t xml:space="preserve"> in respect of</w:t>
      </w:r>
      <w:r w:rsidR="00160414">
        <w:t>:</w:t>
      </w:r>
    </w:p>
    <w:p w14:paraId="34926F69" w14:textId="77777777" w:rsidR="00160414" w:rsidRDefault="00926AF8" w:rsidP="006D4186">
      <w:pPr>
        <w:pStyle w:val="dotpoint"/>
      </w:pPr>
      <w:r>
        <w:t>its health insurance business</w:t>
      </w:r>
      <w:r w:rsidR="00160414">
        <w:t>;</w:t>
      </w:r>
      <w:r>
        <w:t xml:space="preserve"> or </w:t>
      </w:r>
    </w:p>
    <w:p w14:paraId="70C8DB32" w14:textId="77777777" w:rsidR="00926AF8" w:rsidRDefault="00160414" w:rsidP="006D4186">
      <w:pPr>
        <w:pStyle w:val="dotpoint"/>
      </w:pPr>
      <w:r>
        <w:t xml:space="preserve">its health insurance business and some or all of its </w:t>
      </w:r>
      <w:r w:rsidR="00926AF8">
        <w:t>health</w:t>
      </w:r>
      <w:r w:rsidR="00114E34">
        <w:noBreakHyphen/>
      </w:r>
      <w:r w:rsidR="00926AF8">
        <w:t xml:space="preserve">related businesses.  </w:t>
      </w:r>
      <w:r w:rsidR="00926AF8" w:rsidRPr="00926AF8">
        <w:rPr>
          <w:rStyle w:val="Referencingstyle"/>
        </w:rPr>
        <w:t xml:space="preserve">[Part 3, Division </w:t>
      </w:r>
      <w:r w:rsidR="00081293">
        <w:rPr>
          <w:rStyle w:val="Referencingstyle"/>
        </w:rPr>
        <w:t>2</w:t>
      </w:r>
      <w:r w:rsidR="00926AF8" w:rsidRPr="00926AF8">
        <w:rPr>
          <w:rStyle w:val="Referencingstyle"/>
        </w:rPr>
        <w:t>, subsection</w:t>
      </w:r>
      <w:r w:rsidR="00081293">
        <w:rPr>
          <w:rStyle w:val="Referencingstyle"/>
        </w:rPr>
        <w:t xml:space="preserve"> 23</w:t>
      </w:r>
      <w:r w:rsidR="00926AF8" w:rsidRPr="00926AF8">
        <w:rPr>
          <w:rStyle w:val="Referencingstyle"/>
        </w:rPr>
        <w:t>(1)]</w:t>
      </w:r>
      <w:r w:rsidR="00FE59CC">
        <w:t xml:space="preserve"> </w:t>
      </w:r>
    </w:p>
    <w:p w14:paraId="648DF503" w14:textId="77777777" w:rsidR="00C509FA" w:rsidRPr="001A57F7" w:rsidRDefault="00B01B3C" w:rsidP="000F194A">
      <w:pPr>
        <w:pStyle w:val="base-text-paragraph"/>
      </w:pPr>
      <w:r>
        <w:t xml:space="preserve">Section 4 defines </w:t>
      </w:r>
      <w:r w:rsidR="00C509FA" w:rsidRPr="001A57F7">
        <w:t>health benefit fund, health insurance business and health-related busi</w:t>
      </w:r>
      <w:r>
        <w:t>ness as having the same meaning as in the PHI Act.</w:t>
      </w:r>
    </w:p>
    <w:p w14:paraId="34FD6B01" w14:textId="77777777" w:rsidR="00352B98" w:rsidRDefault="00926AF8" w:rsidP="000F194A">
      <w:pPr>
        <w:pStyle w:val="base-text-paragraph"/>
      </w:pPr>
      <w:r>
        <w:t xml:space="preserve">A private health insurer may have multiple health benefits funds, but no </w:t>
      </w:r>
      <w:r w:rsidR="00FE59CC">
        <w:t xml:space="preserve">more than </w:t>
      </w:r>
      <w:r>
        <w:t xml:space="preserve">one </w:t>
      </w:r>
      <w:r w:rsidR="00FE59CC">
        <w:t>in respect of a risk equalisation jurisdiction</w:t>
      </w:r>
      <w:r w:rsidR="005E0E86">
        <w:t>, subject to certain exceptions</w:t>
      </w:r>
      <w:r w:rsidR="002B16A9">
        <w:t>.</w:t>
      </w:r>
      <w:r>
        <w:t xml:space="preserve"> </w:t>
      </w:r>
      <w:r w:rsidRPr="00926AF8">
        <w:rPr>
          <w:rStyle w:val="Referencingstyle"/>
        </w:rPr>
        <w:t xml:space="preserve">[Part 3, Division </w:t>
      </w:r>
      <w:r w:rsidR="00F82D1C">
        <w:rPr>
          <w:rStyle w:val="Referencingstyle"/>
        </w:rPr>
        <w:t>2</w:t>
      </w:r>
      <w:r w:rsidRPr="00926AF8">
        <w:rPr>
          <w:rStyle w:val="Referencingstyle"/>
        </w:rPr>
        <w:t>, subsection</w:t>
      </w:r>
      <w:r w:rsidR="00352B98">
        <w:rPr>
          <w:rStyle w:val="Referencingstyle"/>
        </w:rPr>
        <w:t> </w:t>
      </w:r>
      <w:r w:rsidR="00AD681E">
        <w:rPr>
          <w:rStyle w:val="Referencingstyle"/>
        </w:rPr>
        <w:t>23</w:t>
      </w:r>
      <w:r w:rsidRPr="00926AF8">
        <w:rPr>
          <w:rStyle w:val="Referencingstyle"/>
        </w:rPr>
        <w:t>(</w:t>
      </w:r>
      <w:r>
        <w:rPr>
          <w:rStyle w:val="Referencingstyle"/>
        </w:rPr>
        <w:t>2</w:t>
      </w:r>
      <w:r w:rsidRPr="00926AF8">
        <w:rPr>
          <w:rStyle w:val="Referencingstyle"/>
        </w:rPr>
        <w:t>)]</w:t>
      </w:r>
      <w:r w:rsidR="00C509FA">
        <w:t xml:space="preserve"> </w:t>
      </w:r>
      <w:r w:rsidR="00F82D1C">
        <w:t xml:space="preserve"> </w:t>
      </w:r>
    </w:p>
    <w:p w14:paraId="78FEC2F4" w14:textId="77777777" w:rsidR="00FE59CC" w:rsidRDefault="00CD504F" w:rsidP="00813AEA">
      <w:pPr>
        <w:pStyle w:val="base-text-paragraph"/>
        <w:keepNext/>
        <w:keepLines/>
      </w:pPr>
      <w:r>
        <w:t>Section 4 provides that ‘</w:t>
      </w:r>
      <w:r w:rsidR="0068008C">
        <w:t>risk equalisation jurisdiction</w:t>
      </w:r>
      <w:r>
        <w:t>’</w:t>
      </w:r>
      <w:r w:rsidR="0068008C">
        <w:t xml:space="preserve"> has the meaning in the PHI Act.  Section 131-20 of the PHI Act, as inserted by item 45 of Part 1 of Schedule 1 to the</w:t>
      </w:r>
      <w:r w:rsidR="00342B87">
        <w:t xml:space="preserve"> </w:t>
      </w:r>
      <w:r w:rsidRPr="007B401A">
        <w:rPr>
          <w:lang w:val="en-US" w:eastAsia="en-US"/>
        </w:rPr>
        <w:t>Consequential Amendments and Transitional Provisions Bill</w:t>
      </w:r>
      <w:r w:rsidR="0068008C">
        <w:t>,</w:t>
      </w:r>
      <w:r w:rsidR="00CD5264">
        <w:t xml:space="preserve"> p</w:t>
      </w:r>
      <w:r w:rsidR="00C509FA">
        <w:t xml:space="preserve">rovides that an area is a risk equalisation jurisdiction if </w:t>
      </w:r>
      <w:r w:rsidR="00BC212E">
        <w:t xml:space="preserve">the Private Health Insurance (Health Benefits Fund Policy) Rules </w:t>
      </w:r>
      <w:r w:rsidR="00C509FA">
        <w:t>so provide.</w:t>
      </w:r>
      <w:r w:rsidR="00926AF8">
        <w:t xml:space="preserve"> </w:t>
      </w:r>
      <w:r w:rsidR="00E37CDB" w:rsidRPr="00E37CDB">
        <w:t xml:space="preserve">Those rules will continue to be made by the Health Minister under the PHI Act.  </w:t>
      </w:r>
    </w:p>
    <w:p w14:paraId="6089F051" w14:textId="77777777" w:rsidR="00FE59CC" w:rsidRDefault="00926AF8" w:rsidP="000F194A">
      <w:pPr>
        <w:pStyle w:val="base-text-paragraph"/>
      </w:pPr>
      <w:r>
        <w:t>An ex</w:t>
      </w:r>
      <w:r w:rsidR="005E0E86">
        <w:t>c</w:t>
      </w:r>
      <w:r>
        <w:t xml:space="preserve">eption to subsection </w:t>
      </w:r>
      <w:r w:rsidR="00F82D1C">
        <w:t>23</w:t>
      </w:r>
      <w:r>
        <w:t>(2) is provided i</w:t>
      </w:r>
      <w:r w:rsidR="00FE59CC">
        <w:t>f each fund in a risk equalisation jurisdiction (</w:t>
      </w:r>
      <w:r w:rsidR="005E0E86">
        <w:t xml:space="preserve">or each fund </w:t>
      </w:r>
      <w:r w:rsidR="00FE59CC">
        <w:t>other than a</w:t>
      </w:r>
      <w:r w:rsidR="0068008C">
        <w:t xml:space="preserve"> single</w:t>
      </w:r>
      <w:r w:rsidR="00FE59CC">
        <w:t xml:space="preserve"> fund established through a restructure under </w:t>
      </w:r>
      <w:r w:rsidR="00FE59CC" w:rsidRPr="001A57F7">
        <w:t>Division 4</w:t>
      </w:r>
      <w:r w:rsidR="00FE59CC">
        <w:t xml:space="preserve">) is a fund that existed </w:t>
      </w:r>
      <w:r>
        <w:t>on 1</w:t>
      </w:r>
      <w:r w:rsidR="00E83238">
        <w:t> </w:t>
      </w:r>
      <w:r>
        <w:t>April</w:t>
      </w:r>
      <w:r w:rsidR="00E83238">
        <w:t> </w:t>
      </w:r>
      <w:r>
        <w:t>2007</w:t>
      </w:r>
      <w:r w:rsidR="00FE59CC">
        <w:t xml:space="preserve"> and was conducted by a registered organi</w:t>
      </w:r>
      <w:r w:rsidR="00E83238">
        <w:t>s</w:t>
      </w:r>
      <w:r w:rsidR="00FE59CC">
        <w:t xml:space="preserve">ation under the </w:t>
      </w:r>
      <w:r w:rsidR="00FE59CC" w:rsidRPr="00926AF8">
        <w:rPr>
          <w:i/>
        </w:rPr>
        <w:t>National Health Act 1953</w:t>
      </w:r>
      <w:r w:rsidR="009C570E">
        <w:t xml:space="preserve">. </w:t>
      </w:r>
      <w:r w:rsidR="005E0E86">
        <w:t>This exception grandfathers certain pre</w:t>
      </w:r>
      <w:r w:rsidR="00E83238">
        <w:noBreakHyphen/>
      </w:r>
      <w:r w:rsidR="005E0E86">
        <w:t>PHI</w:t>
      </w:r>
      <w:r w:rsidR="00E83238">
        <w:t> </w:t>
      </w:r>
      <w:r w:rsidR="005E0E86">
        <w:t>Act arrangements, including where there has been a subsequent restructure under Division 4</w:t>
      </w:r>
      <w:r w:rsidR="00FE59CC">
        <w:t>.</w:t>
      </w:r>
      <w:r w:rsidR="00595D12">
        <w:t xml:space="preserve"> </w:t>
      </w:r>
      <w:r w:rsidRPr="00926AF8">
        <w:rPr>
          <w:rStyle w:val="Referencingstyle"/>
        </w:rPr>
        <w:t xml:space="preserve">[Part 3, Division </w:t>
      </w:r>
      <w:r w:rsidR="00F82D1C">
        <w:rPr>
          <w:rStyle w:val="Referencingstyle"/>
        </w:rPr>
        <w:t>2</w:t>
      </w:r>
      <w:r w:rsidRPr="00926AF8">
        <w:rPr>
          <w:rStyle w:val="Referencingstyle"/>
        </w:rPr>
        <w:t xml:space="preserve">, subsection </w:t>
      </w:r>
      <w:r w:rsidR="00F82D1C">
        <w:rPr>
          <w:rStyle w:val="Referencingstyle"/>
        </w:rPr>
        <w:t>23</w:t>
      </w:r>
      <w:r w:rsidRPr="00926AF8">
        <w:rPr>
          <w:rStyle w:val="Referencingstyle"/>
        </w:rPr>
        <w:t xml:space="preserve">(3)]   </w:t>
      </w:r>
    </w:p>
    <w:p w14:paraId="26D54000" w14:textId="77777777" w:rsidR="00FE59CC" w:rsidRDefault="00926AF8" w:rsidP="000F194A">
      <w:pPr>
        <w:pStyle w:val="base-text-paragraph"/>
      </w:pPr>
      <w:r>
        <w:t>A</w:t>
      </w:r>
      <w:r w:rsidR="005E0E86">
        <w:t>dditional exceptions</w:t>
      </w:r>
      <w:r>
        <w:t xml:space="preserve"> to </w:t>
      </w:r>
      <w:r w:rsidRPr="00926AF8">
        <w:t xml:space="preserve">subsection </w:t>
      </w:r>
      <w:r w:rsidR="00F82D1C">
        <w:t>23</w:t>
      </w:r>
      <w:r w:rsidRPr="00926AF8">
        <w:t xml:space="preserve">(2) </w:t>
      </w:r>
      <w:r w:rsidR="00401EC2">
        <w:t xml:space="preserve">may be </w:t>
      </w:r>
      <w:r w:rsidR="00FE59CC">
        <w:t xml:space="preserve">specified in the </w:t>
      </w:r>
      <w:r w:rsidR="00FE59CC" w:rsidRPr="001A57F7">
        <w:t>Private Health Insurance (Health Benefits Fund Policy) Rules.</w:t>
      </w:r>
      <w:r w:rsidR="00C509FA" w:rsidRPr="001A57F7">
        <w:t xml:space="preserve"> </w:t>
      </w:r>
      <w:r w:rsidR="00743F00">
        <w:t xml:space="preserve"> </w:t>
      </w:r>
      <w:r w:rsidR="00BC1EDE" w:rsidRPr="00BC1EDE">
        <w:rPr>
          <w:rStyle w:val="Referencingstyle"/>
        </w:rPr>
        <w:t xml:space="preserve">[Part 3, </w:t>
      </w:r>
      <w:r w:rsidR="00BC1EDE">
        <w:rPr>
          <w:rStyle w:val="Referencingstyle"/>
        </w:rPr>
        <w:t xml:space="preserve">Division </w:t>
      </w:r>
      <w:r w:rsidR="00F82D1C">
        <w:rPr>
          <w:rStyle w:val="Referencingstyle"/>
        </w:rPr>
        <w:t>2</w:t>
      </w:r>
      <w:r w:rsidR="00BC1EDE">
        <w:rPr>
          <w:rStyle w:val="Referencingstyle"/>
        </w:rPr>
        <w:t xml:space="preserve">, subsection </w:t>
      </w:r>
      <w:r w:rsidR="00F82D1C">
        <w:rPr>
          <w:rStyle w:val="Referencingstyle"/>
        </w:rPr>
        <w:t>23</w:t>
      </w:r>
      <w:r w:rsidR="00BC1EDE">
        <w:rPr>
          <w:rStyle w:val="Referencingstyle"/>
        </w:rPr>
        <w:t>(4</w:t>
      </w:r>
      <w:r w:rsidR="00BC1EDE" w:rsidRPr="00BC1EDE">
        <w:rPr>
          <w:rStyle w:val="Referencingstyle"/>
        </w:rPr>
        <w:t>)]</w:t>
      </w:r>
      <w:r w:rsidR="00BC1EDE" w:rsidRPr="00BC1EDE">
        <w:t xml:space="preserve">   </w:t>
      </w:r>
    </w:p>
    <w:p w14:paraId="5E04FB0B" w14:textId="77777777" w:rsidR="00FE59CC" w:rsidRDefault="00FE59CC" w:rsidP="00763C6A">
      <w:pPr>
        <w:pStyle w:val="Heading4"/>
      </w:pPr>
      <w:r>
        <w:t xml:space="preserve">Notifying </w:t>
      </w:r>
      <w:r w:rsidR="00763C6A">
        <w:t>APRA</w:t>
      </w:r>
      <w:r>
        <w:t xml:space="preserve"> when health benefits funds are established</w:t>
      </w:r>
    </w:p>
    <w:p w14:paraId="001FB3EF" w14:textId="77777777" w:rsidR="00FE59CC" w:rsidRDefault="00763C6A" w:rsidP="000F194A">
      <w:pPr>
        <w:pStyle w:val="base-text-paragraph"/>
      </w:pPr>
      <w:r>
        <w:t>A</w:t>
      </w:r>
      <w:r w:rsidR="00FE59CC">
        <w:t xml:space="preserve"> private health insurer establishing a health benefits fund </w:t>
      </w:r>
      <w:r w:rsidR="00BC1EDE">
        <w:t>must</w:t>
      </w:r>
      <w:r w:rsidR="00FE59CC">
        <w:t xml:space="preserve"> notify </w:t>
      </w:r>
      <w:r w:rsidR="00BC1EDE">
        <w:t>APRA</w:t>
      </w:r>
      <w:r w:rsidR="00FE59CC">
        <w:t xml:space="preserve">, in the approved form, of the date of the establishment of the fund and anything else specified in the </w:t>
      </w:r>
      <w:r w:rsidR="00BC1EDE">
        <w:t>APRA rules</w:t>
      </w:r>
      <w:r w:rsidR="00FE59CC">
        <w:t xml:space="preserve">, unless the fund is established under </w:t>
      </w:r>
      <w:r w:rsidR="00FE59CC" w:rsidRPr="001A57F7">
        <w:t>Division 4</w:t>
      </w:r>
      <w:r w:rsidR="00FE59CC">
        <w:t>.</w:t>
      </w:r>
      <w:r w:rsidR="00BC1EDE">
        <w:t xml:space="preserve">  </w:t>
      </w:r>
      <w:r w:rsidR="00BC1EDE">
        <w:rPr>
          <w:rStyle w:val="Referencingstyle"/>
        </w:rPr>
        <w:t xml:space="preserve">[Part 3, Division </w:t>
      </w:r>
      <w:r w:rsidR="00F82D1C">
        <w:rPr>
          <w:rStyle w:val="Referencingstyle"/>
        </w:rPr>
        <w:t>2</w:t>
      </w:r>
      <w:r w:rsidR="00BC1EDE">
        <w:rPr>
          <w:rStyle w:val="Referencingstyle"/>
        </w:rPr>
        <w:t xml:space="preserve">, </w:t>
      </w:r>
      <w:r w:rsidR="00BC1EDE" w:rsidRPr="00BC1EDE">
        <w:rPr>
          <w:rStyle w:val="Referencingstyle"/>
        </w:rPr>
        <w:t xml:space="preserve">section </w:t>
      </w:r>
      <w:r w:rsidR="00087174">
        <w:rPr>
          <w:rStyle w:val="Referencingstyle"/>
        </w:rPr>
        <w:t>24</w:t>
      </w:r>
      <w:r w:rsidR="00BC1EDE" w:rsidRPr="00BC1EDE">
        <w:rPr>
          <w:rStyle w:val="Referencingstyle"/>
        </w:rPr>
        <w:t>]</w:t>
      </w:r>
      <w:r w:rsidR="00BC1EDE" w:rsidRPr="00BC1EDE">
        <w:t xml:space="preserve">   </w:t>
      </w:r>
    </w:p>
    <w:p w14:paraId="5B46909E" w14:textId="77777777" w:rsidR="00FE59CC" w:rsidRDefault="00FE59CC" w:rsidP="00BC1EDE">
      <w:pPr>
        <w:pStyle w:val="Heading4"/>
      </w:pPr>
      <w:r>
        <w:t>Inclusion of health-related businesses in health benefits funds</w:t>
      </w:r>
    </w:p>
    <w:p w14:paraId="3D26F177" w14:textId="77777777" w:rsidR="00FE59CC" w:rsidRDefault="00707E1A" w:rsidP="000F194A">
      <w:pPr>
        <w:pStyle w:val="base-text-paragraph"/>
      </w:pPr>
      <w:r>
        <w:t>If a private health insurer has a health benefits fund for its health insurance business and health-related business, t</w:t>
      </w:r>
      <w:r w:rsidR="00C509FA">
        <w:t xml:space="preserve">he </w:t>
      </w:r>
      <w:r w:rsidR="00C509FA" w:rsidRPr="00C509FA">
        <w:t xml:space="preserve">dominant purpose of </w:t>
      </w:r>
      <w:r>
        <w:t>the</w:t>
      </w:r>
      <w:r w:rsidR="00C509FA" w:rsidRPr="00C509FA">
        <w:t xml:space="preserve"> fund </w:t>
      </w:r>
      <w:r>
        <w:t>must relate to the</w:t>
      </w:r>
      <w:r w:rsidR="00C509FA" w:rsidRPr="00C509FA">
        <w:t xml:space="preserve"> health insurance business.</w:t>
      </w:r>
      <w:r w:rsidR="00BC1EDE">
        <w:t xml:space="preserve">  </w:t>
      </w:r>
      <w:r w:rsidR="00BC1EDE" w:rsidRPr="00BC1EDE">
        <w:rPr>
          <w:rStyle w:val="Referencingstyle"/>
        </w:rPr>
        <w:t xml:space="preserve">[Part 3, Division </w:t>
      </w:r>
      <w:r w:rsidR="00087174">
        <w:rPr>
          <w:rStyle w:val="Referencingstyle"/>
        </w:rPr>
        <w:t>2</w:t>
      </w:r>
      <w:r w:rsidR="00BC1EDE" w:rsidRPr="00BC1EDE">
        <w:rPr>
          <w:rStyle w:val="Referencingstyle"/>
        </w:rPr>
        <w:t xml:space="preserve">, subsection </w:t>
      </w:r>
      <w:r w:rsidR="00087174">
        <w:rPr>
          <w:rStyle w:val="Referencingstyle"/>
        </w:rPr>
        <w:t>25</w:t>
      </w:r>
      <w:r w:rsidR="00BC1EDE" w:rsidRPr="00BC1EDE">
        <w:rPr>
          <w:rStyle w:val="Referencingstyle"/>
        </w:rPr>
        <w:t>(1)]</w:t>
      </w:r>
      <w:r w:rsidR="00BC1EDE" w:rsidRPr="00BC1EDE">
        <w:t xml:space="preserve">   </w:t>
      </w:r>
    </w:p>
    <w:p w14:paraId="1A0A31F5" w14:textId="77777777" w:rsidR="00675DFB" w:rsidRDefault="00BC1EDE" w:rsidP="000F194A">
      <w:pPr>
        <w:pStyle w:val="base-text-paragraph"/>
      </w:pPr>
      <w:r>
        <w:t>If APRA</w:t>
      </w:r>
      <w:r w:rsidR="00FE59CC">
        <w:t xml:space="preserve"> is satisfied that an insurer is contravening sub</w:t>
      </w:r>
      <w:r>
        <w:t>section</w:t>
      </w:r>
      <w:r w:rsidR="009B57EB">
        <w:t> </w:t>
      </w:r>
      <w:r w:rsidR="00BE3E90">
        <w:t>25</w:t>
      </w:r>
      <w:r>
        <w:t xml:space="preserve">(1), </w:t>
      </w:r>
      <w:r w:rsidR="00B80A0C">
        <w:t>APRA</w:t>
      </w:r>
      <w:r>
        <w:t xml:space="preserve"> may </w:t>
      </w:r>
      <w:r w:rsidR="00FE59CC">
        <w:t>direct the insurer to divest the fund of health</w:t>
      </w:r>
      <w:r w:rsidR="009B57EB">
        <w:noBreakHyphen/>
      </w:r>
      <w:r w:rsidR="00FE59CC">
        <w:t xml:space="preserve">related business to the extent </w:t>
      </w:r>
      <w:r w:rsidR="00B80A0C">
        <w:t xml:space="preserve">that APRA considers </w:t>
      </w:r>
      <w:r w:rsidR="00FE59CC">
        <w:t xml:space="preserve">necessary to ensure compliance with </w:t>
      </w:r>
      <w:r>
        <w:t>the subsection</w:t>
      </w:r>
      <w:r w:rsidR="00FE59CC">
        <w:t>.</w:t>
      </w:r>
      <w:r w:rsidR="00675DFB">
        <w:t xml:space="preserve">  </w:t>
      </w:r>
      <w:r w:rsidR="00675DFB" w:rsidRPr="001A57F7">
        <w:rPr>
          <w:rStyle w:val="Referencingstyle"/>
        </w:rPr>
        <w:t>[Part 3, Division 2, subsection 25(2)]</w:t>
      </w:r>
      <w:r w:rsidR="00675DFB" w:rsidRPr="00675DFB">
        <w:t xml:space="preserve">   </w:t>
      </w:r>
      <w:r w:rsidR="00675DFB">
        <w:t xml:space="preserve">  </w:t>
      </w:r>
    </w:p>
    <w:p w14:paraId="142B41AC" w14:textId="77777777" w:rsidR="00FE59CC" w:rsidRDefault="00675DFB" w:rsidP="000F194A">
      <w:pPr>
        <w:pStyle w:val="base-text-paragraph"/>
      </w:pPr>
      <w:r w:rsidRPr="00675DFB">
        <w:t xml:space="preserve">APRA may also vary or revoke such a direction. </w:t>
      </w:r>
      <w:r>
        <w:t xml:space="preserve">A revoked direction will cease to have any effect. </w:t>
      </w:r>
      <w:r w:rsidRPr="00675DFB">
        <w:t xml:space="preserve"> </w:t>
      </w:r>
      <w:r w:rsidR="00BC1EDE" w:rsidRPr="00BC1EDE">
        <w:rPr>
          <w:rStyle w:val="Referencingstyle"/>
        </w:rPr>
        <w:t xml:space="preserve">[Part 3, Division </w:t>
      </w:r>
      <w:r w:rsidR="00BE3E90">
        <w:rPr>
          <w:rStyle w:val="Referencingstyle"/>
        </w:rPr>
        <w:t>2</w:t>
      </w:r>
      <w:r w:rsidR="00BC1EDE" w:rsidRPr="00BC1EDE">
        <w:rPr>
          <w:rStyle w:val="Referencingstyle"/>
        </w:rPr>
        <w:t>, subsection</w:t>
      </w:r>
      <w:r>
        <w:rPr>
          <w:rStyle w:val="Referencingstyle"/>
        </w:rPr>
        <w:t>s</w:t>
      </w:r>
      <w:r w:rsidR="00794055">
        <w:rPr>
          <w:rStyle w:val="Referencingstyle"/>
        </w:rPr>
        <w:t> </w:t>
      </w:r>
      <w:r w:rsidR="00BE3E90">
        <w:rPr>
          <w:rStyle w:val="Referencingstyle"/>
        </w:rPr>
        <w:t>25</w:t>
      </w:r>
      <w:r w:rsidR="00BC1EDE" w:rsidRPr="00BC1EDE">
        <w:rPr>
          <w:rStyle w:val="Referencingstyle"/>
        </w:rPr>
        <w:t>(</w:t>
      </w:r>
      <w:r>
        <w:rPr>
          <w:rStyle w:val="Referencingstyle"/>
        </w:rPr>
        <w:t>3</w:t>
      </w:r>
      <w:r w:rsidR="00BC1EDE" w:rsidRPr="00BC1EDE">
        <w:rPr>
          <w:rStyle w:val="Referencingstyle"/>
        </w:rPr>
        <w:t>)</w:t>
      </w:r>
      <w:r w:rsidR="00794055">
        <w:rPr>
          <w:rStyle w:val="Referencingstyle"/>
        </w:rPr>
        <w:t> </w:t>
      </w:r>
      <w:r>
        <w:rPr>
          <w:rStyle w:val="Referencingstyle"/>
        </w:rPr>
        <w:t>and</w:t>
      </w:r>
      <w:r w:rsidR="00794055">
        <w:rPr>
          <w:rStyle w:val="Referencingstyle"/>
        </w:rPr>
        <w:t> </w:t>
      </w:r>
      <w:r>
        <w:rPr>
          <w:rStyle w:val="Referencingstyle"/>
        </w:rPr>
        <w:t>(4)</w:t>
      </w:r>
      <w:r w:rsidR="00BC1EDE" w:rsidRPr="00BC1EDE">
        <w:rPr>
          <w:rStyle w:val="Referencingstyle"/>
        </w:rPr>
        <w:t>]</w:t>
      </w:r>
      <w:r w:rsidR="00BC1EDE" w:rsidRPr="00BC1EDE">
        <w:t xml:space="preserve">   </w:t>
      </w:r>
    </w:p>
    <w:p w14:paraId="5A8329C4" w14:textId="77777777" w:rsidR="004C69A1" w:rsidRPr="004C69A1" w:rsidRDefault="00B80A0C" w:rsidP="00595D12">
      <w:pPr>
        <w:pStyle w:val="base-text-paragraph"/>
        <w:keepNext/>
        <w:keepLines/>
      </w:pPr>
      <w:r>
        <w:t>Sections 9</w:t>
      </w:r>
      <w:r w:rsidR="00E83238">
        <w:t>8</w:t>
      </w:r>
      <w:r>
        <w:t xml:space="preserve"> (power to comply with a direction), 10</w:t>
      </w:r>
      <w:r w:rsidR="00E83238">
        <w:t>1</w:t>
      </w:r>
      <w:r>
        <w:t xml:space="preserve"> (direction not a ground for denying an obligation), 10</w:t>
      </w:r>
      <w:r w:rsidR="00E83238">
        <w:t>2</w:t>
      </w:r>
      <w:r>
        <w:t xml:space="preserve"> (supply of information about directions) and 10</w:t>
      </w:r>
      <w:r w:rsidR="00E83238">
        <w:t>3</w:t>
      </w:r>
      <w:r>
        <w:t xml:space="preserve"> (secrecy requirements) apply to directions given under subsection </w:t>
      </w:r>
      <w:r w:rsidR="004C69A1">
        <w:t xml:space="preserve">25(2).  </w:t>
      </w:r>
      <w:r w:rsidR="004C69A1">
        <w:rPr>
          <w:rStyle w:val="Referencingstyle"/>
        </w:rPr>
        <w:t>[Part </w:t>
      </w:r>
      <w:r w:rsidR="004C69A1" w:rsidRPr="001A57F7">
        <w:rPr>
          <w:rStyle w:val="Referencingstyle"/>
        </w:rPr>
        <w:t xml:space="preserve">3, Division 2, subsection 25(5)]   </w:t>
      </w:r>
    </w:p>
    <w:p w14:paraId="74E62C93" w14:textId="77777777" w:rsidR="00BC1EDE" w:rsidRDefault="00BC1EDE" w:rsidP="00BC1EDE">
      <w:pPr>
        <w:pStyle w:val="Heading3"/>
      </w:pPr>
      <w:r>
        <w:t>Division 3 – The operation of health benefit</w:t>
      </w:r>
      <w:r w:rsidR="00E35050">
        <w:t>s</w:t>
      </w:r>
      <w:r>
        <w:t xml:space="preserve"> funds</w:t>
      </w:r>
    </w:p>
    <w:p w14:paraId="3D490494" w14:textId="77777777" w:rsidR="00BC1EDE" w:rsidRDefault="00BC1EDE" w:rsidP="00BC1EDE">
      <w:pPr>
        <w:pStyle w:val="Heading4"/>
      </w:pPr>
      <w:r>
        <w:t>Assets of health benefit funds</w:t>
      </w:r>
      <w:r w:rsidR="00743F00">
        <w:t xml:space="preserve"> to be kept separate from other assets</w:t>
      </w:r>
    </w:p>
    <w:p w14:paraId="3541814D" w14:textId="77777777" w:rsidR="00BC1EDE" w:rsidRDefault="00BC1EDE" w:rsidP="000F194A">
      <w:pPr>
        <w:pStyle w:val="base-text-paragraph"/>
      </w:pPr>
      <w:r>
        <w:t xml:space="preserve">A private health insurer must keep the assets of a health benefits fund distinct and separate from the assets of other health benefits funds and other assets of the insurer, and maintain a separate </w:t>
      </w:r>
      <w:r w:rsidR="00E37CDB">
        <w:t>authorised deposit</w:t>
      </w:r>
      <w:r w:rsidR="0075488C">
        <w:noBreakHyphen/>
      </w:r>
      <w:r w:rsidR="00E37CDB">
        <w:t>taking institution (</w:t>
      </w:r>
      <w:r w:rsidR="00595D12">
        <w:t>ADI</w:t>
      </w:r>
      <w:r w:rsidR="00E37CDB">
        <w:t>)</w:t>
      </w:r>
      <w:r w:rsidR="00E37CDB" w:rsidRPr="001A57F7">
        <w:t xml:space="preserve"> </w:t>
      </w:r>
      <w:r w:rsidRPr="001A57F7">
        <w:t>account</w:t>
      </w:r>
      <w:r>
        <w:t xml:space="preserve"> </w:t>
      </w:r>
      <w:r w:rsidR="00595D12">
        <w:t xml:space="preserve">for each health benefits fund. </w:t>
      </w:r>
      <w:r w:rsidRPr="00886C2B">
        <w:rPr>
          <w:rStyle w:val="Referencingstyle"/>
        </w:rPr>
        <w:t>[Part 3, Division 3, subsection</w:t>
      </w:r>
      <w:r w:rsidR="00886C2B" w:rsidRPr="00886C2B">
        <w:rPr>
          <w:rStyle w:val="Referencingstyle"/>
        </w:rPr>
        <w:t>s</w:t>
      </w:r>
      <w:r w:rsidRPr="00886C2B">
        <w:rPr>
          <w:rStyle w:val="Referencingstyle"/>
        </w:rPr>
        <w:t xml:space="preserve"> </w:t>
      </w:r>
      <w:r w:rsidR="00533AB6">
        <w:rPr>
          <w:rStyle w:val="Referencingstyle"/>
        </w:rPr>
        <w:t>26</w:t>
      </w:r>
      <w:r w:rsidR="00886C2B" w:rsidRPr="00886C2B">
        <w:rPr>
          <w:rStyle w:val="Referencingstyle"/>
        </w:rPr>
        <w:t xml:space="preserve">(1) and </w:t>
      </w:r>
      <w:r w:rsidRPr="00886C2B">
        <w:rPr>
          <w:rStyle w:val="Referencingstyle"/>
        </w:rPr>
        <w:t xml:space="preserve">(2)]   </w:t>
      </w:r>
    </w:p>
    <w:p w14:paraId="2D0A3127" w14:textId="77777777" w:rsidR="00743F00" w:rsidRDefault="00743F00" w:rsidP="006C3D7A">
      <w:pPr>
        <w:pStyle w:val="Heading4"/>
      </w:pPr>
      <w:r>
        <w:t>What are the assets of a health benefits fund</w:t>
      </w:r>
    </w:p>
    <w:p w14:paraId="7B0C7843" w14:textId="77777777" w:rsidR="00BC1EDE" w:rsidRDefault="00886C2B" w:rsidP="000F194A">
      <w:pPr>
        <w:pStyle w:val="base-text-paragraph"/>
      </w:pPr>
      <w:r>
        <w:t>T</w:t>
      </w:r>
      <w:r w:rsidR="00BC1EDE">
        <w:t xml:space="preserve">he </w:t>
      </w:r>
      <w:r w:rsidR="00BC1EDE" w:rsidRPr="00886C2B">
        <w:rPr>
          <w:b/>
          <w:i/>
        </w:rPr>
        <w:t>assets</w:t>
      </w:r>
      <w:r w:rsidR="00BC1EDE">
        <w:t xml:space="preserve"> of a health benefits fund </w:t>
      </w:r>
      <w:r>
        <w:t>are</w:t>
      </w:r>
      <w:r w:rsidR="00BC1EDE">
        <w:t>:</w:t>
      </w:r>
    </w:p>
    <w:p w14:paraId="286E8D0A" w14:textId="77777777" w:rsidR="00BC1EDE" w:rsidRDefault="00BC1EDE" w:rsidP="00886C2B">
      <w:pPr>
        <w:pStyle w:val="dotpoint"/>
      </w:pPr>
      <w:r>
        <w:t xml:space="preserve">the balance of money credited to the fund under </w:t>
      </w:r>
      <w:r w:rsidR="00886C2B" w:rsidRPr="001A57F7">
        <w:t>section</w:t>
      </w:r>
      <w:r w:rsidRPr="001A57F7">
        <w:t xml:space="preserve"> </w:t>
      </w:r>
      <w:r w:rsidR="00533AB6" w:rsidRPr="001A57F7">
        <w:t>27</w:t>
      </w:r>
      <w:r w:rsidR="00B80A0C">
        <w:t xml:space="preserve"> (payments to health benefits funds)</w:t>
      </w:r>
      <w:r>
        <w:t xml:space="preserve">; </w:t>
      </w:r>
    </w:p>
    <w:p w14:paraId="34258549" w14:textId="77777777" w:rsidR="00BC1EDE" w:rsidRDefault="00BC1EDE" w:rsidP="00886C2B">
      <w:pPr>
        <w:pStyle w:val="dotpoint"/>
      </w:pPr>
      <w:r>
        <w:t xml:space="preserve">assets of the insurer obtained as a result of the expenditure or application of money credited to the fund; </w:t>
      </w:r>
    </w:p>
    <w:p w14:paraId="1E771465" w14:textId="77777777" w:rsidR="00BC1EDE" w:rsidRDefault="00BC1EDE" w:rsidP="00886C2B">
      <w:pPr>
        <w:pStyle w:val="dotpoint"/>
      </w:pPr>
      <w:r>
        <w:t xml:space="preserve">investments held by the insurer as a result of the expenditure or application of money credited to the fund; </w:t>
      </w:r>
      <w:r w:rsidR="00707E1A">
        <w:t>and</w:t>
      </w:r>
    </w:p>
    <w:p w14:paraId="5956161F" w14:textId="77777777" w:rsidR="00BC1EDE" w:rsidRDefault="00BC1EDE" w:rsidP="00886C2B">
      <w:pPr>
        <w:pStyle w:val="dotpoint"/>
      </w:pPr>
      <w:r>
        <w:t>other money, assets or investments of the insurer transferred to the fund.</w:t>
      </w:r>
      <w:r w:rsidR="00595D12">
        <w:t xml:space="preserve"> </w:t>
      </w:r>
      <w:r w:rsidR="00886C2B" w:rsidRPr="00886C2B">
        <w:rPr>
          <w:rStyle w:val="Referencingstyle"/>
        </w:rPr>
        <w:t xml:space="preserve">[Part 3, Division 3, subsection </w:t>
      </w:r>
      <w:r w:rsidR="00533AB6">
        <w:rPr>
          <w:rStyle w:val="Referencingstyle"/>
        </w:rPr>
        <w:t>26</w:t>
      </w:r>
      <w:r w:rsidR="00886C2B" w:rsidRPr="00886C2B">
        <w:rPr>
          <w:rStyle w:val="Referencingstyle"/>
        </w:rPr>
        <w:t xml:space="preserve">(3)]     </w:t>
      </w:r>
    </w:p>
    <w:p w14:paraId="569B7C47" w14:textId="77777777" w:rsidR="00BC1EDE" w:rsidRPr="001662CA" w:rsidRDefault="00886C2B" w:rsidP="000F194A">
      <w:pPr>
        <w:pStyle w:val="base-text-paragraph"/>
        <w:rPr>
          <w:rStyle w:val="Referencingstyle"/>
          <w:b w:val="0"/>
          <w:i w:val="0"/>
          <w:sz w:val="22"/>
        </w:rPr>
      </w:pPr>
      <w:r>
        <w:t>A</w:t>
      </w:r>
      <w:r w:rsidR="00BC1EDE">
        <w:t>ssets or investments obtained by the application of assets</w:t>
      </w:r>
      <w:r>
        <w:t xml:space="preserve"> </w:t>
      </w:r>
      <w:r w:rsidR="00BC1EDE">
        <w:t>of a fund are themselves assets of the fund.</w:t>
      </w:r>
      <w:r w:rsidR="00595D12">
        <w:t xml:space="preserve"> </w:t>
      </w:r>
      <w:r w:rsidRPr="00886C2B">
        <w:rPr>
          <w:rStyle w:val="Referencingstyle"/>
        </w:rPr>
        <w:t xml:space="preserve">[Part 3, Division 3, subsection </w:t>
      </w:r>
      <w:r w:rsidR="00533AB6">
        <w:rPr>
          <w:rStyle w:val="Referencingstyle"/>
        </w:rPr>
        <w:t>26</w:t>
      </w:r>
      <w:r w:rsidRPr="00886C2B">
        <w:rPr>
          <w:rStyle w:val="Referencingstyle"/>
        </w:rPr>
        <w:t xml:space="preserve">(4)] </w:t>
      </w:r>
      <w:r w:rsidRPr="001662CA">
        <w:rPr>
          <w:rStyle w:val="Referencingstyle"/>
          <w:b w:val="0"/>
          <w:i w:val="0"/>
          <w:sz w:val="22"/>
        </w:rPr>
        <w:t xml:space="preserve"> </w:t>
      </w:r>
    </w:p>
    <w:p w14:paraId="25FB818B" w14:textId="77777777" w:rsidR="00AC4269" w:rsidRDefault="00AC4269" w:rsidP="000F194A">
      <w:pPr>
        <w:pStyle w:val="base-text-paragraph"/>
      </w:pPr>
      <w:r>
        <w:t>T</w:t>
      </w:r>
      <w:r w:rsidRPr="00886C2B">
        <w:t xml:space="preserve">he definition of assets of a health benefits fund </w:t>
      </w:r>
      <w:r>
        <w:t>i</w:t>
      </w:r>
      <w:r w:rsidRPr="00886C2B">
        <w:t>nclude</w:t>
      </w:r>
      <w:r w:rsidR="00E37CDB">
        <w:t>s</w:t>
      </w:r>
      <w:r w:rsidRPr="00886C2B">
        <w:t xml:space="preserve"> assets that are transferred into</w:t>
      </w:r>
      <w:r w:rsidR="00E37CDB">
        <w:t>, and excludes assets transferred</w:t>
      </w:r>
      <w:r w:rsidRPr="00886C2B">
        <w:t xml:space="preserve"> out of</w:t>
      </w:r>
      <w:r w:rsidR="00E37CDB">
        <w:t>,</w:t>
      </w:r>
      <w:r w:rsidRPr="00886C2B">
        <w:t xml:space="preserve"> the fund as the result of </w:t>
      </w:r>
      <w:r w:rsidR="00B80A0C">
        <w:t>a restructure or arrangement approved under</w:t>
      </w:r>
      <w:r w:rsidRPr="00886C2B">
        <w:t xml:space="preserve"> </w:t>
      </w:r>
      <w:r w:rsidRPr="00533AB6">
        <w:t xml:space="preserve">Division </w:t>
      </w:r>
      <w:r w:rsidRPr="001A57F7">
        <w:t>4</w:t>
      </w:r>
      <w:r w:rsidRPr="00886C2B">
        <w:t>.</w:t>
      </w:r>
      <w:r>
        <w:t xml:space="preserve"> </w:t>
      </w:r>
      <w:r w:rsidRPr="000A2C0C">
        <w:rPr>
          <w:rStyle w:val="Referencingstyle"/>
        </w:rPr>
        <w:t>[Part</w:t>
      </w:r>
      <w:r w:rsidR="00E83238">
        <w:rPr>
          <w:rStyle w:val="Referencingstyle"/>
        </w:rPr>
        <w:t> </w:t>
      </w:r>
      <w:r w:rsidRPr="000A2C0C">
        <w:rPr>
          <w:rStyle w:val="Referencingstyle"/>
        </w:rPr>
        <w:t xml:space="preserve">3, Division 3, subsection </w:t>
      </w:r>
      <w:r w:rsidR="00533AB6">
        <w:rPr>
          <w:rStyle w:val="Referencingstyle"/>
        </w:rPr>
        <w:t>26</w:t>
      </w:r>
      <w:r w:rsidRPr="000A2C0C">
        <w:rPr>
          <w:rStyle w:val="Referencingstyle"/>
        </w:rPr>
        <w:t>(</w:t>
      </w:r>
      <w:r w:rsidR="00533AB6">
        <w:rPr>
          <w:rStyle w:val="Referencingstyle"/>
        </w:rPr>
        <w:t>5</w:t>
      </w:r>
      <w:r w:rsidRPr="000A2C0C">
        <w:rPr>
          <w:rStyle w:val="Referencingstyle"/>
        </w:rPr>
        <w:t>)]</w:t>
      </w:r>
      <w:r w:rsidRPr="000A2C0C">
        <w:t xml:space="preserve">  </w:t>
      </w:r>
      <w:r>
        <w:t xml:space="preserve">  </w:t>
      </w:r>
    </w:p>
    <w:p w14:paraId="3CA56B7E" w14:textId="77777777" w:rsidR="00BC1EDE" w:rsidRDefault="00886C2B" w:rsidP="000F194A">
      <w:pPr>
        <w:pStyle w:val="base-text-paragraph"/>
      </w:pPr>
      <w:r>
        <w:t>A</w:t>
      </w:r>
      <w:r w:rsidR="00BC1EDE">
        <w:t>ssets or investments obtained by the expenditure or application of assets of the fund are not assets of the fund if the insurer conducting the fund is registered as a</w:t>
      </w:r>
      <w:r w:rsidR="00707E1A">
        <w:t xml:space="preserve"> </w:t>
      </w:r>
      <w:r w:rsidR="00BC1EDE">
        <w:t>for profit insurer and the expenditure or application was not done for the purposes of the fund.  This allows for profit insurers to draw money from the fund for other purposes, such as investment elsewhere or return to shareholders</w:t>
      </w:r>
      <w:r w:rsidR="009E659A">
        <w:t xml:space="preserve"> (subject to other relevant provisions</w:t>
      </w:r>
      <w:r w:rsidR="002D2261">
        <w:t xml:space="preserve">, </w:t>
      </w:r>
      <w:r w:rsidR="00B80A0C">
        <w:t xml:space="preserve">including </w:t>
      </w:r>
      <w:r w:rsidR="002D2261">
        <w:t>prudential standard</w:t>
      </w:r>
      <w:r w:rsidR="00CC3E6E">
        <w:t>s</w:t>
      </w:r>
      <w:r w:rsidR="00E37CDB">
        <w:t>)</w:t>
      </w:r>
      <w:r w:rsidR="00BC1EDE">
        <w:t>.</w:t>
      </w:r>
      <w:r>
        <w:t xml:space="preserve"> </w:t>
      </w:r>
      <w:r w:rsidR="000A2C0C" w:rsidRPr="000A2C0C">
        <w:rPr>
          <w:rStyle w:val="Referencingstyle"/>
        </w:rPr>
        <w:t>[Part 3, Division 3, subsection</w:t>
      </w:r>
      <w:r w:rsidR="00E802B5">
        <w:rPr>
          <w:rStyle w:val="Referencingstyle"/>
        </w:rPr>
        <w:t> </w:t>
      </w:r>
      <w:r w:rsidR="00533AB6">
        <w:rPr>
          <w:rStyle w:val="Referencingstyle"/>
        </w:rPr>
        <w:t>26(6</w:t>
      </w:r>
      <w:r w:rsidR="000A2C0C" w:rsidRPr="000A2C0C">
        <w:rPr>
          <w:rStyle w:val="Referencingstyle"/>
        </w:rPr>
        <w:t>)]</w:t>
      </w:r>
      <w:r w:rsidR="000A2C0C" w:rsidRPr="000A2C0C">
        <w:t xml:space="preserve">  </w:t>
      </w:r>
    </w:p>
    <w:p w14:paraId="31198AE1" w14:textId="77777777" w:rsidR="00743F00" w:rsidRDefault="00743F00" w:rsidP="006C3D7A">
      <w:pPr>
        <w:pStyle w:val="Heading4"/>
      </w:pPr>
      <w:r>
        <w:t>Th</w:t>
      </w:r>
      <w:r w:rsidR="00595D12">
        <w:t xml:space="preserve">e </w:t>
      </w:r>
      <w:r w:rsidR="00595D12">
        <w:rPr>
          <w:lang w:val="en-US" w:eastAsia="en-US"/>
        </w:rPr>
        <w:t>Bill</w:t>
      </w:r>
      <w:r w:rsidR="00595D12" w:rsidDel="00595D12">
        <w:t xml:space="preserve"> </w:t>
      </w:r>
      <w:r>
        <w:t>does not have effect of making insurer etc. a trustee of assets of a health benefits fund</w:t>
      </w:r>
    </w:p>
    <w:p w14:paraId="3BF1A5DE" w14:textId="77777777" w:rsidR="00BC1EDE" w:rsidRDefault="000A2C0C" w:rsidP="00595D12">
      <w:pPr>
        <w:pStyle w:val="base-text-paragraph"/>
        <w:tabs>
          <w:tab w:val="clear" w:pos="1985"/>
          <w:tab w:val="num" w:pos="1986"/>
        </w:tabs>
      </w:pPr>
      <w:r>
        <w:t>For the avoidance of doubt, it is clarified that</w:t>
      </w:r>
      <w:r w:rsidR="00BC1EDE">
        <w:t xml:space="preserve"> nothing in the </w:t>
      </w:r>
      <w:r w:rsidR="00595D12" w:rsidRPr="00595D12">
        <w:t xml:space="preserve">Prudential Supervision </w:t>
      </w:r>
      <w:r w:rsidR="0023493D" w:rsidDel="00595D12">
        <w:t>Bill</w:t>
      </w:r>
      <w:r w:rsidR="00BC1EDE">
        <w:t xml:space="preserve"> is intended to make an insurer or its directors</w:t>
      </w:r>
      <w:r w:rsidR="00707E1A">
        <w:t xml:space="preserve"> a</w:t>
      </w:r>
      <w:r w:rsidR="00BC1EDE">
        <w:t xml:space="preserve"> trustee</w:t>
      </w:r>
      <w:r w:rsidR="004C4DCF">
        <w:t xml:space="preserve"> or trustees of the assets</w:t>
      </w:r>
      <w:r w:rsidR="00BC1EDE">
        <w:t xml:space="preserve"> of a health benefits fund of the insurer.</w:t>
      </w:r>
      <w:r>
        <w:t xml:space="preserve">  </w:t>
      </w:r>
      <w:r w:rsidRPr="000A2C0C">
        <w:rPr>
          <w:rStyle w:val="Referencingstyle"/>
        </w:rPr>
        <w:t>[Part 3, Division 3, subsection</w:t>
      </w:r>
      <w:r w:rsidR="00B44D69">
        <w:rPr>
          <w:rStyle w:val="Referencingstyle"/>
        </w:rPr>
        <w:t> </w:t>
      </w:r>
      <w:r w:rsidR="00533AB6">
        <w:rPr>
          <w:rStyle w:val="Referencingstyle"/>
        </w:rPr>
        <w:t>26</w:t>
      </w:r>
      <w:r w:rsidR="002D2261">
        <w:rPr>
          <w:rStyle w:val="Referencingstyle"/>
        </w:rPr>
        <w:t>(</w:t>
      </w:r>
      <w:r w:rsidR="00533AB6">
        <w:rPr>
          <w:rStyle w:val="Referencingstyle"/>
        </w:rPr>
        <w:t>7</w:t>
      </w:r>
      <w:r w:rsidRPr="000A2C0C">
        <w:rPr>
          <w:rStyle w:val="Referencingstyle"/>
        </w:rPr>
        <w:t>)]</w:t>
      </w:r>
      <w:r w:rsidRPr="000A2C0C">
        <w:t xml:space="preserve">  </w:t>
      </w:r>
    </w:p>
    <w:p w14:paraId="4074FE1B" w14:textId="77777777" w:rsidR="00BC1EDE" w:rsidRDefault="00BC1EDE" w:rsidP="00AC4269">
      <w:pPr>
        <w:pStyle w:val="Heading4"/>
      </w:pPr>
      <w:r>
        <w:t>Payments to health benefits funds</w:t>
      </w:r>
    </w:p>
    <w:p w14:paraId="63451E15" w14:textId="77777777" w:rsidR="00BC1EDE" w:rsidRDefault="00AC4269" w:rsidP="000F194A">
      <w:pPr>
        <w:pStyle w:val="base-text-paragraph"/>
      </w:pPr>
      <w:r>
        <w:t>A</w:t>
      </w:r>
      <w:r w:rsidR="00BC1EDE">
        <w:t xml:space="preserve"> private health insurer </w:t>
      </w:r>
      <w:r>
        <w:t>is required to</w:t>
      </w:r>
      <w:r w:rsidR="00BC1EDE">
        <w:t xml:space="preserve"> credit to a health benefits fund particular amounts, including premiums payable </w:t>
      </w:r>
      <w:r w:rsidR="00B80A0C">
        <w:t>under</w:t>
      </w:r>
      <w:r w:rsidR="00BC1EDE">
        <w:t xml:space="preserve"> policies referable to the fund and income from investme</w:t>
      </w:r>
      <w:r>
        <w:t xml:space="preserve">nts of the assets of the fund.  </w:t>
      </w:r>
      <w:r w:rsidRPr="00AC4269">
        <w:rPr>
          <w:rStyle w:val="Referencingstyle"/>
        </w:rPr>
        <w:t xml:space="preserve">[Part 3, Division 3, subsection </w:t>
      </w:r>
      <w:r w:rsidR="002D2261">
        <w:rPr>
          <w:rStyle w:val="Referencingstyle"/>
        </w:rPr>
        <w:t>27</w:t>
      </w:r>
      <w:r w:rsidRPr="00AC4269">
        <w:rPr>
          <w:rStyle w:val="Referencingstyle"/>
        </w:rPr>
        <w:t xml:space="preserve">(1)]  </w:t>
      </w:r>
    </w:p>
    <w:p w14:paraId="6DA00862" w14:textId="77777777" w:rsidR="00BC1EDE" w:rsidRDefault="000C410C" w:rsidP="000F194A">
      <w:pPr>
        <w:pStyle w:val="base-text-paragraph"/>
      </w:pPr>
      <w:r>
        <w:t>A</w:t>
      </w:r>
      <w:r w:rsidRPr="000C410C">
        <w:t xml:space="preserve"> private health insurer </w:t>
      </w:r>
      <w:r>
        <w:t>may</w:t>
      </w:r>
      <w:r w:rsidRPr="000C410C">
        <w:t xml:space="preserve"> make a capital payment to a health benefits fund, being an amount that is not required</w:t>
      </w:r>
      <w:r w:rsidR="00183B10">
        <w:t>, under subsection 27(1),</w:t>
      </w:r>
      <w:r w:rsidRPr="000C410C">
        <w:t xml:space="preserve"> to be paid to the fund. Assets of another health benefits fund cannot be credited to a fund without </w:t>
      </w:r>
      <w:r w:rsidR="004C4DCF">
        <w:t>APRA</w:t>
      </w:r>
      <w:r w:rsidR="004C4DCF" w:rsidRPr="000C410C">
        <w:t xml:space="preserve">’s </w:t>
      </w:r>
      <w:r w:rsidRPr="000C410C">
        <w:t>written approval.</w:t>
      </w:r>
      <w:r>
        <w:t xml:space="preserve"> </w:t>
      </w:r>
      <w:r w:rsidR="004B0792">
        <w:t>A</w:t>
      </w:r>
      <w:r w:rsidR="004B0792" w:rsidRPr="004B0792">
        <w:t xml:space="preserve">pprovals under </w:t>
      </w:r>
      <w:r w:rsidR="004B0792">
        <w:t>section 27</w:t>
      </w:r>
      <w:r w:rsidR="004B0792" w:rsidRPr="004B0792">
        <w:t xml:space="preserve"> are only ever given on a case by case basis and standing approvals are not given. </w:t>
      </w:r>
      <w:r w:rsidR="004B0792">
        <w:t>Therefore, a</w:t>
      </w:r>
      <w:r w:rsidR="004B0792" w:rsidRPr="004B0792">
        <w:t xml:space="preserve">n approval would not be a legislative instrument on general principles. The statement </w:t>
      </w:r>
      <w:r w:rsidR="004B0792">
        <w:t xml:space="preserve">that an approval is not a legislative instrument </w:t>
      </w:r>
      <w:r w:rsidR="004B0792" w:rsidRPr="004B0792">
        <w:t xml:space="preserve">in subsection </w:t>
      </w:r>
      <w:r w:rsidR="004B0792">
        <w:t>27</w:t>
      </w:r>
      <w:r w:rsidR="004B0792" w:rsidRPr="004B0792">
        <w:t>(4) therefore does not constitute a substantive exemption</w:t>
      </w:r>
      <w:r w:rsidR="004B0792">
        <w:t xml:space="preserve"> from the definition of a legislative instrument</w:t>
      </w:r>
      <w:r w:rsidR="00007607">
        <w:t xml:space="preserve"> in the Legislative Instruments Act</w:t>
      </w:r>
      <w:r w:rsidR="004B0792" w:rsidRPr="004B0792">
        <w:t xml:space="preserve">, </w:t>
      </w:r>
      <w:r w:rsidR="004B0792">
        <w:t>bu</w:t>
      </w:r>
      <w:r w:rsidR="004B0792" w:rsidRPr="004B0792">
        <w:t xml:space="preserve">t is a statement of the </w:t>
      </w:r>
      <w:r w:rsidR="00DC102B">
        <w:t>‘</w:t>
      </w:r>
      <w:r w:rsidR="004B0792" w:rsidRPr="004B0792">
        <w:t xml:space="preserve">status </w:t>
      </w:r>
      <w:r w:rsidR="00DC102B">
        <w:t>quo’</w:t>
      </w:r>
      <w:r w:rsidR="00DC4493">
        <w:t>.</w:t>
      </w:r>
      <w:r w:rsidR="009D258A">
        <w:t xml:space="preserve"> </w:t>
      </w:r>
      <w:r w:rsidR="00B80A0C">
        <w:t>A refusal to approve the crediting of an amount to a fund is a reviewable decision under section 16</w:t>
      </w:r>
      <w:r w:rsidR="00657552">
        <w:t>8</w:t>
      </w:r>
      <w:r w:rsidR="00B80A0C">
        <w:t>.</w:t>
      </w:r>
      <w:r>
        <w:t xml:space="preserve"> </w:t>
      </w:r>
      <w:r w:rsidRPr="000C410C">
        <w:rPr>
          <w:rStyle w:val="Referencingstyle"/>
        </w:rPr>
        <w:t xml:space="preserve">[Part 3, </w:t>
      </w:r>
      <w:r>
        <w:rPr>
          <w:rStyle w:val="Referencingstyle"/>
        </w:rPr>
        <w:t xml:space="preserve">Division 3, subsections </w:t>
      </w:r>
      <w:r w:rsidR="002D2261">
        <w:rPr>
          <w:rStyle w:val="Referencingstyle"/>
        </w:rPr>
        <w:t>27</w:t>
      </w:r>
      <w:r>
        <w:rPr>
          <w:rStyle w:val="Referencingstyle"/>
        </w:rPr>
        <w:t>(2</w:t>
      </w:r>
      <w:r w:rsidRPr="000C410C">
        <w:rPr>
          <w:rStyle w:val="Referencingstyle"/>
        </w:rPr>
        <w:t>)</w:t>
      </w:r>
      <w:r w:rsidR="00817CD2">
        <w:rPr>
          <w:rStyle w:val="Referencingstyle"/>
        </w:rPr>
        <w:t>,</w:t>
      </w:r>
      <w:r>
        <w:rPr>
          <w:rStyle w:val="Referencingstyle"/>
        </w:rPr>
        <w:t xml:space="preserve"> (3)</w:t>
      </w:r>
      <w:r w:rsidR="00817CD2">
        <w:rPr>
          <w:rStyle w:val="Referencingstyle"/>
        </w:rPr>
        <w:t xml:space="preserve"> and (4</w:t>
      </w:r>
      <w:r>
        <w:rPr>
          <w:rStyle w:val="Referencingstyle"/>
        </w:rPr>
        <w:t>)</w:t>
      </w:r>
      <w:r w:rsidRPr="000C410C">
        <w:rPr>
          <w:rStyle w:val="Referencingstyle"/>
        </w:rPr>
        <w:t xml:space="preserve">]  </w:t>
      </w:r>
    </w:p>
    <w:p w14:paraId="2F6E8200" w14:textId="77777777" w:rsidR="00BC1EDE" w:rsidRDefault="00BC1EDE" w:rsidP="000C410C">
      <w:pPr>
        <w:pStyle w:val="Heading4"/>
      </w:pPr>
      <w:r>
        <w:t>Expenditure and application of health benefits funds</w:t>
      </w:r>
    </w:p>
    <w:p w14:paraId="3D7E1124" w14:textId="77777777" w:rsidR="00BC1EDE" w:rsidRDefault="002D2261" w:rsidP="000F194A">
      <w:pPr>
        <w:pStyle w:val="base-text-paragraph"/>
      </w:pPr>
      <w:r>
        <w:t>A</w:t>
      </w:r>
      <w:r w:rsidR="00BC1EDE">
        <w:t xml:space="preserve"> private health insurer must not apply or deal with the assets of a health benefits fund except in accordance with Division</w:t>
      </w:r>
      <w:r w:rsidR="004C4DCF">
        <w:t xml:space="preserve"> 3</w:t>
      </w:r>
      <w:r w:rsidR="00B80A0C">
        <w:t>.</w:t>
      </w:r>
      <w:r w:rsidR="00BC1EDE">
        <w:t xml:space="preserve"> </w:t>
      </w:r>
      <w:r w:rsidR="001662CA">
        <w:t>S</w:t>
      </w:r>
      <w:r w:rsidR="00BC1EDE">
        <w:t>ub</w:t>
      </w:r>
      <w:r w:rsidR="004A6FBF">
        <w:t>section</w:t>
      </w:r>
      <w:r w:rsidR="001662CA">
        <w:t> </w:t>
      </w:r>
      <w:r w:rsidR="005B2EE0">
        <w:t>28</w:t>
      </w:r>
      <w:r w:rsidR="00BC1EDE">
        <w:t xml:space="preserve">(2) </w:t>
      </w:r>
      <w:r w:rsidR="00B80A0C">
        <w:t>provides that the assets of a fund must not be applied for a purpose other than</w:t>
      </w:r>
      <w:r w:rsidR="00BC1EDE">
        <w:t>:</w:t>
      </w:r>
    </w:p>
    <w:p w14:paraId="2864756F" w14:textId="77777777" w:rsidR="00BC1EDE" w:rsidRDefault="00BC1EDE" w:rsidP="000C410C">
      <w:pPr>
        <w:pStyle w:val="dotpoint"/>
      </w:pPr>
      <w:r>
        <w:t>meeting liabilities or expenses incurred for the purpose of the business of the fund; or</w:t>
      </w:r>
    </w:p>
    <w:p w14:paraId="30F9F79F" w14:textId="77777777" w:rsidR="00BC1EDE" w:rsidRDefault="00BC1EDE" w:rsidP="000C410C">
      <w:pPr>
        <w:pStyle w:val="dotpoint"/>
      </w:pPr>
      <w:r>
        <w:t>making investments under</w:t>
      </w:r>
      <w:r w:rsidR="000C410C">
        <w:t xml:space="preserve"> section</w:t>
      </w:r>
      <w:r w:rsidR="005B2EE0">
        <w:t xml:space="preserve"> 30</w:t>
      </w:r>
      <w:r w:rsidR="00B80A0C">
        <w:t xml:space="preserve"> (which relates to the investment of health benefits funds)</w:t>
      </w:r>
      <w:r>
        <w:t xml:space="preserve">; or </w:t>
      </w:r>
    </w:p>
    <w:p w14:paraId="009D4F81" w14:textId="77777777" w:rsidR="009E659A" w:rsidRDefault="00BC1EDE" w:rsidP="00CB4A49">
      <w:pPr>
        <w:pStyle w:val="dotpoint"/>
      </w:pPr>
      <w:r>
        <w:t>a distribution when a fund i</w:t>
      </w:r>
      <w:r w:rsidR="00CB4A49">
        <w:t xml:space="preserve">s terminated under </w:t>
      </w:r>
      <w:r w:rsidR="00CB4A49" w:rsidRPr="001A57F7">
        <w:t xml:space="preserve">Division </w:t>
      </w:r>
      <w:r w:rsidR="005B2EE0" w:rsidRPr="001A57F7">
        <w:t>5</w:t>
      </w:r>
      <w:r w:rsidR="009E659A">
        <w:t>; or</w:t>
      </w:r>
    </w:p>
    <w:p w14:paraId="2DFFB8F1" w14:textId="77777777" w:rsidR="00BC1EDE" w:rsidRDefault="009E659A" w:rsidP="00CB4A49">
      <w:pPr>
        <w:pStyle w:val="dotpoint"/>
      </w:pPr>
      <w:r>
        <w:t xml:space="preserve">a purpose specified in the </w:t>
      </w:r>
      <w:r w:rsidRPr="001A57F7">
        <w:t>APRA rules</w:t>
      </w:r>
      <w:r w:rsidR="00657552">
        <w:t>.</w:t>
      </w:r>
      <w:r w:rsidR="00CB4A49">
        <w:t xml:space="preserve"> </w:t>
      </w:r>
      <w:r w:rsidR="00CB4A49" w:rsidRPr="00CB4A49">
        <w:rPr>
          <w:rStyle w:val="Referencingstyle"/>
        </w:rPr>
        <w:t>[Part 3, Division 3, s</w:t>
      </w:r>
      <w:r w:rsidR="005B2EE0">
        <w:rPr>
          <w:rStyle w:val="Referencingstyle"/>
        </w:rPr>
        <w:t>ubs</w:t>
      </w:r>
      <w:r w:rsidR="00CB4A49" w:rsidRPr="00CB4A49">
        <w:rPr>
          <w:rStyle w:val="Referencingstyle"/>
        </w:rPr>
        <w:t>ection</w:t>
      </w:r>
      <w:r w:rsidR="005B2EE0">
        <w:rPr>
          <w:rStyle w:val="Referencingstyle"/>
        </w:rPr>
        <w:t>s</w:t>
      </w:r>
      <w:r w:rsidR="00CB4A49" w:rsidRPr="00CB4A49">
        <w:rPr>
          <w:rStyle w:val="Referencingstyle"/>
        </w:rPr>
        <w:t xml:space="preserve"> </w:t>
      </w:r>
      <w:r w:rsidR="005B2EE0">
        <w:rPr>
          <w:rStyle w:val="Referencingstyle"/>
        </w:rPr>
        <w:t>28(1) and 2)</w:t>
      </w:r>
      <w:r w:rsidR="00CB4A49" w:rsidRPr="00CB4A49">
        <w:rPr>
          <w:rStyle w:val="Referencingstyle"/>
        </w:rPr>
        <w:t>]</w:t>
      </w:r>
      <w:r w:rsidR="00CB4A49" w:rsidRPr="00CB4A49">
        <w:t xml:space="preserve">  </w:t>
      </w:r>
    </w:p>
    <w:p w14:paraId="4666CE6B" w14:textId="77777777" w:rsidR="004A6FBF" w:rsidRDefault="004A6FBF" w:rsidP="000F194A">
      <w:pPr>
        <w:pStyle w:val="base-text-paragraph"/>
      </w:pPr>
      <w:r>
        <w:t>An</w:t>
      </w:r>
      <w:r w:rsidR="00BC1EDE">
        <w:t xml:space="preserve"> insurer </w:t>
      </w:r>
      <w:r w:rsidR="00CA7F8F">
        <w:t>is prohibited from</w:t>
      </w:r>
      <w:r>
        <w:t xml:space="preserve"> </w:t>
      </w:r>
      <w:r w:rsidR="00BC1EDE">
        <w:t>mortgag</w:t>
      </w:r>
      <w:r w:rsidR="00CA7F8F">
        <w:t>ing</w:t>
      </w:r>
      <w:r w:rsidR="00BC1EDE">
        <w:t xml:space="preserve"> or charg</w:t>
      </w:r>
      <w:r w:rsidR="00CA7F8F">
        <w:t>ing</w:t>
      </w:r>
      <w:r w:rsidR="00BC1EDE">
        <w:t xml:space="preserve"> the assets of a fund except to secure a</w:t>
      </w:r>
      <w:r w:rsidR="005203F7">
        <w:t>n</w:t>
      </w:r>
      <w:r w:rsidR="00BC1EDE">
        <w:t xml:space="preserve"> overdraft </w:t>
      </w:r>
      <w:r w:rsidR="00CC213E">
        <w:t>from</w:t>
      </w:r>
      <w:r w:rsidR="005203F7">
        <w:t xml:space="preserve"> an ADI</w:t>
      </w:r>
      <w:r w:rsidR="00BC1EDE">
        <w:t xml:space="preserve"> or for purposes specified in the </w:t>
      </w:r>
      <w:r>
        <w:t>AP</w:t>
      </w:r>
      <w:r w:rsidR="00CA7F8F">
        <w:t>R</w:t>
      </w:r>
      <w:r>
        <w:t xml:space="preserve">A rules.  </w:t>
      </w:r>
      <w:r w:rsidRPr="004A6FBF">
        <w:rPr>
          <w:rStyle w:val="Referencingstyle"/>
        </w:rPr>
        <w:t xml:space="preserve">[Part 3, Division 3, subsection </w:t>
      </w:r>
      <w:r w:rsidR="005B2EE0">
        <w:rPr>
          <w:rStyle w:val="Referencingstyle"/>
        </w:rPr>
        <w:t>28</w:t>
      </w:r>
      <w:r w:rsidR="004724FE">
        <w:rPr>
          <w:rStyle w:val="Referencingstyle"/>
        </w:rPr>
        <w:t>(</w:t>
      </w:r>
      <w:r w:rsidRPr="004A6FBF">
        <w:rPr>
          <w:rStyle w:val="Referencingstyle"/>
        </w:rPr>
        <w:t xml:space="preserve">3)]  </w:t>
      </w:r>
    </w:p>
    <w:p w14:paraId="7109AE2E" w14:textId="77777777" w:rsidR="00BC1EDE" w:rsidRDefault="00CA7F8F" w:rsidP="000F194A">
      <w:pPr>
        <w:pStyle w:val="base-text-paragraph"/>
      </w:pPr>
      <w:r>
        <w:t xml:space="preserve"> A</w:t>
      </w:r>
      <w:r w:rsidR="00BC1EDE">
        <w:t xml:space="preserve">n insurer </w:t>
      </w:r>
      <w:r>
        <w:t xml:space="preserve">is prohibited from </w:t>
      </w:r>
      <w:r w:rsidR="00BC1EDE">
        <w:t xml:space="preserve">borrowing money for the business of a fund except in accordance with the </w:t>
      </w:r>
      <w:r>
        <w:t>APRA r</w:t>
      </w:r>
      <w:r w:rsidR="00BC1EDE">
        <w:t>ules.</w:t>
      </w:r>
      <w:r>
        <w:t xml:space="preserve"> </w:t>
      </w:r>
      <w:r w:rsidRPr="00CA7F8F">
        <w:rPr>
          <w:rStyle w:val="Referencingstyle"/>
        </w:rPr>
        <w:t>[Part 3, Division 3, s</w:t>
      </w:r>
      <w:r>
        <w:rPr>
          <w:rStyle w:val="Referencingstyle"/>
        </w:rPr>
        <w:t xml:space="preserve">ubsection </w:t>
      </w:r>
      <w:r w:rsidR="004724FE">
        <w:rPr>
          <w:rStyle w:val="Referencingstyle"/>
        </w:rPr>
        <w:t>28</w:t>
      </w:r>
      <w:r w:rsidRPr="00CA7F8F">
        <w:rPr>
          <w:rStyle w:val="Referencingstyle"/>
        </w:rPr>
        <w:t>(4)]</w:t>
      </w:r>
      <w:r w:rsidRPr="00CA7F8F">
        <w:t xml:space="preserve">  </w:t>
      </w:r>
    </w:p>
    <w:p w14:paraId="1B6C1200" w14:textId="77777777" w:rsidR="00BC1EDE" w:rsidRDefault="00CA7F8F" w:rsidP="000F194A">
      <w:pPr>
        <w:pStyle w:val="base-text-paragraph"/>
      </w:pPr>
      <w:r>
        <w:t xml:space="preserve">Subsection </w:t>
      </w:r>
      <w:r w:rsidR="00D73258">
        <w:t>28</w:t>
      </w:r>
      <w:r>
        <w:t>(2)</w:t>
      </w:r>
      <w:r w:rsidR="005203F7">
        <w:t>, which imposes limits on the application of assets of a health benefits fund,</w:t>
      </w:r>
      <w:r w:rsidR="00BC1EDE">
        <w:t xml:space="preserve"> does not apply to an insurer registered as a for profit insurer, which may apply the assets of a fund for any purpose not inconsistent with</w:t>
      </w:r>
      <w:r w:rsidR="00D73258">
        <w:t xml:space="preserve"> prudential standards or a direction</w:t>
      </w:r>
      <w:r w:rsidR="005203F7">
        <w:t xml:space="preserve"> under section 9</w:t>
      </w:r>
      <w:r w:rsidR="00CC213E">
        <w:t>6</w:t>
      </w:r>
      <w:r w:rsidR="00D73258">
        <w:t xml:space="preserve">. </w:t>
      </w:r>
      <w:r w:rsidRPr="00CA7F8F">
        <w:rPr>
          <w:rStyle w:val="Referencingstyle"/>
        </w:rPr>
        <w:t>[Part 3, Division 3, subsection</w:t>
      </w:r>
      <w:r w:rsidR="00D73258">
        <w:rPr>
          <w:rStyle w:val="Referencingstyle"/>
        </w:rPr>
        <w:t xml:space="preserve"> 28</w:t>
      </w:r>
      <w:r w:rsidRPr="00CA7F8F">
        <w:rPr>
          <w:rStyle w:val="Referencingstyle"/>
        </w:rPr>
        <w:t xml:space="preserve">(5)]  </w:t>
      </w:r>
    </w:p>
    <w:p w14:paraId="1BFB4412" w14:textId="77777777" w:rsidR="00BC1EDE" w:rsidRDefault="00CA7F8F" w:rsidP="000F194A">
      <w:pPr>
        <w:pStyle w:val="base-text-paragraph"/>
      </w:pPr>
      <w:r>
        <w:t xml:space="preserve">Section </w:t>
      </w:r>
      <w:r w:rsidR="00D73258">
        <w:t>28</w:t>
      </w:r>
      <w:r w:rsidR="00BC1EDE">
        <w:t xml:space="preserve"> does not apply to the transfer of assets from one health benefits fund to another under </w:t>
      </w:r>
      <w:r w:rsidR="00BC1EDE" w:rsidRPr="001A57F7">
        <w:t>Division 4</w:t>
      </w:r>
      <w:r w:rsidR="00BC1EDE">
        <w:t xml:space="preserve"> or a divestiture of assets directed by </w:t>
      </w:r>
      <w:r>
        <w:t>APRA</w:t>
      </w:r>
      <w:r w:rsidR="00BC1EDE">
        <w:t xml:space="preserve"> under </w:t>
      </w:r>
      <w:r>
        <w:t>subsection</w:t>
      </w:r>
      <w:r w:rsidR="00D73258">
        <w:t xml:space="preserve"> 25(2).</w:t>
      </w:r>
      <w:r w:rsidR="00595D12">
        <w:t xml:space="preserve"> </w:t>
      </w:r>
      <w:r w:rsidRPr="00CA7F8F">
        <w:rPr>
          <w:rStyle w:val="Referencingstyle"/>
        </w:rPr>
        <w:t>[Part 3, Division 3, subsection</w:t>
      </w:r>
      <w:r w:rsidR="00B44D69">
        <w:rPr>
          <w:rStyle w:val="Referencingstyle"/>
        </w:rPr>
        <w:t> </w:t>
      </w:r>
      <w:r w:rsidR="00D73258">
        <w:rPr>
          <w:rStyle w:val="Referencingstyle"/>
        </w:rPr>
        <w:t>28(</w:t>
      </w:r>
      <w:r w:rsidRPr="00CA7F8F">
        <w:rPr>
          <w:rStyle w:val="Referencingstyle"/>
        </w:rPr>
        <w:t>6)]</w:t>
      </w:r>
      <w:r w:rsidRPr="00CA7F8F">
        <w:t xml:space="preserve">  </w:t>
      </w:r>
    </w:p>
    <w:p w14:paraId="116F379D" w14:textId="77777777" w:rsidR="00BC1EDE" w:rsidRDefault="00BC1EDE" w:rsidP="00811513">
      <w:pPr>
        <w:pStyle w:val="Heading4"/>
      </w:pPr>
      <w:r>
        <w:t>Effect of non-compliance with section</w:t>
      </w:r>
      <w:r w:rsidR="009700DF">
        <w:t xml:space="preserve"> 28</w:t>
      </w:r>
    </w:p>
    <w:p w14:paraId="72B54A0A" w14:textId="77777777" w:rsidR="0089692A" w:rsidRPr="0089692A" w:rsidRDefault="0089692A" w:rsidP="0089692A">
      <w:pPr>
        <w:pStyle w:val="Heading5"/>
      </w:pPr>
      <w:r>
        <w:t>General principle</w:t>
      </w:r>
    </w:p>
    <w:p w14:paraId="2FE650D4" w14:textId="77777777" w:rsidR="00BC1EDE" w:rsidRDefault="0095558C" w:rsidP="000F194A">
      <w:pPr>
        <w:pStyle w:val="base-text-paragraph"/>
      </w:pPr>
      <w:r>
        <w:t>There is a general principle that a</w:t>
      </w:r>
      <w:r w:rsidR="00BC1EDE">
        <w:t xml:space="preserve"> transaction entered into in contravention of </w:t>
      </w:r>
      <w:r w:rsidR="009700DF">
        <w:t>section 28</w:t>
      </w:r>
      <w:r w:rsidR="00BC1EDE">
        <w:t xml:space="preserve"> is of no effect unless either:</w:t>
      </w:r>
    </w:p>
    <w:p w14:paraId="31B79DC6" w14:textId="77777777" w:rsidR="00BC1EDE" w:rsidRDefault="00BC1EDE" w:rsidP="0095558C">
      <w:pPr>
        <w:pStyle w:val="dotpoint"/>
      </w:pPr>
      <w:r>
        <w:t>the Federal Court has made an order under sub</w:t>
      </w:r>
      <w:r w:rsidR="0095558C">
        <w:t xml:space="preserve">section </w:t>
      </w:r>
      <w:r w:rsidR="009700DF">
        <w:t>2</w:t>
      </w:r>
      <w:r w:rsidR="005203F7">
        <w:t>9</w:t>
      </w:r>
      <w:r>
        <w:t xml:space="preserve">(2); or </w:t>
      </w:r>
    </w:p>
    <w:p w14:paraId="6C2C76B7" w14:textId="77777777" w:rsidR="00BC1EDE" w:rsidRDefault="00BC1EDE" w:rsidP="0097060C">
      <w:pPr>
        <w:pStyle w:val="dotpoint"/>
      </w:pPr>
      <w:r>
        <w:t xml:space="preserve">it is </w:t>
      </w:r>
      <w:r w:rsidR="00132413">
        <w:t>included in</w:t>
      </w:r>
      <w:r>
        <w:t xml:space="preserve"> a class of transactions specified in the </w:t>
      </w:r>
      <w:r w:rsidR="0095558C">
        <w:t>APRA rules</w:t>
      </w:r>
      <w:r w:rsidR="005203F7">
        <w:t xml:space="preserve"> (subject to any court orders under subsection 29(6) – see below)</w:t>
      </w:r>
      <w:r>
        <w:t>.</w:t>
      </w:r>
      <w:r w:rsidR="0097060C">
        <w:t xml:space="preserve">  </w:t>
      </w:r>
      <w:r w:rsidR="0097060C" w:rsidRPr="0097060C">
        <w:rPr>
          <w:rStyle w:val="Referencingstyle"/>
        </w:rPr>
        <w:t xml:space="preserve">[Part 3, Division 3, subsection </w:t>
      </w:r>
      <w:r w:rsidR="009700DF">
        <w:rPr>
          <w:rStyle w:val="Referencingstyle"/>
        </w:rPr>
        <w:t>29</w:t>
      </w:r>
      <w:r w:rsidR="0097060C" w:rsidRPr="0097060C">
        <w:rPr>
          <w:rStyle w:val="Referencingstyle"/>
        </w:rPr>
        <w:t xml:space="preserve">(1)]  </w:t>
      </w:r>
    </w:p>
    <w:p w14:paraId="00D336C2" w14:textId="77777777" w:rsidR="0089692A" w:rsidRDefault="0089692A" w:rsidP="0089692A">
      <w:pPr>
        <w:pStyle w:val="Heading5"/>
      </w:pPr>
      <w:r>
        <w:t>Order declaring the transaction to be effective</w:t>
      </w:r>
    </w:p>
    <w:p w14:paraId="41E84FB9" w14:textId="77777777" w:rsidR="00BC1EDE" w:rsidRDefault="0097060C" w:rsidP="000F194A">
      <w:pPr>
        <w:pStyle w:val="base-text-paragraph"/>
      </w:pPr>
      <w:r>
        <w:t>The</w:t>
      </w:r>
      <w:r w:rsidR="00BC1EDE">
        <w:t xml:space="preserve"> Federal Court, on application by a party to the transaction, </w:t>
      </w:r>
      <w:r w:rsidR="00132413">
        <w:t xml:space="preserve">may make an order </w:t>
      </w:r>
      <w:r w:rsidR="00BC1EDE">
        <w:t>declar</w:t>
      </w:r>
      <w:r w:rsidR="00132413">
        <w:t>ing the transaction</w:t>
      </w:r>
      <w:r w:rsidR="00BC1EDE">
        <w:t xml:space="preserve"> to be effective</w:t>
      </w:r>
      <w:r w:rsidR="00132413">
        <w:t xml:space="preserve">, provided </w:t>
      </w:r>
      <w:r w:rsidR="00BC1EDE">
        <w:t xml:space="preserve">the </w:t>
      </w:r>
      <w:r w:rsidR="009D4F54">
        <w:t>Federal</w:t>
      </w:r>
      <w:r w:rsidR="00BC1EDE">
        <w:t xml:space="preserve"> Court is satisfied that the applicant entered into the transaction in good faith and without knowledge of the contravention.</w:t>
      </w:r>
      <w:r>
        <w:t xml:space="preserve"> </w:t>
      </w:r>
      <w:r w:rsidRPr="0097060C">
        <w:rPr>
          <w:rStyle w:val="Referencingstyle"/>
        </w:rPr>
        <w:t xml:space="preserve">[Part 3, Division 3, subsections </w:t>
      </w:r>
      <w:r w:rsidR="009700DF">
        <w:rPr>
          <w:rStyle w:val="Referencingstyle"/>
        </w:rPr>
        <w:t>29</w:t>
      </w:r>
      <w:r w:rsidRPr="0097060C">
        <w:rPr>
          <w:rStyle w:val="Referencingstyle"/>
        </w:rPr>
        <w:t xml:space="preserve">(2) and (3)]  </w:t>
      </w:r>
    </w:p>
    <w:p w14:paraId="08473C3C" w14:textId="77777777" w:rsidR="00BC1EDE" w:rsidRPr="0089692A" w:rsidRDefault="0097060C" w:rsidP="000F194A">
      <w:pPr>
        <w:pStyle w:val="base-text-paragraph"/>
        <w:rPr>
          <w:rStyle w:val="Referencingstyle"/>
          <w:b w:val="0"/>
          <w:i w:val="0"/>
          <w:sz w:val="22"/>
        </w:rPr>
      </w:pPr>
      <w:r>
        <w:t>The Federal</w:t>
      </w:r>
      <w:r w:rsidR="00BC1EDE">
        <w:t xml:space="preserve"> Court in deciding on an application may have regard to any hardship that would be caused to the applicant if the order was not made, and may have regard to other matters.</w:t>
      </w:r>
      <w:r>
        <w:t xml:space="preserve">  </w:t>
      </w:r>
      <w:r w:rsidRPr="0089692A">
        <w:rPr>
          <w:rStyle w:val="Referencingstyle"/>
        </w:rPr>
        <w:t xml:space="preserve">[Part 3, Division 3, subsections </w:t>
      </w:r>
      <w:r w:rsidR="009700DF">
        <w:rPr>
          <w:rStyle w:val="Referencingstyle"/>
        </w:rPr>
        <w:t>29</w:t>
      </w:r>
      <w:r w:rsidRPr="0089692A">
        <w:rPr>
          <w:rStyle w:val="Referencingstyle"/>
        </w:rPr>
        <w:t xml:space="preserve">(4) and (5)]  </w:t>
      </w:r>
    </w:p>
    <w:p w14:paraId="2FDE8870" w14:textId="77777777" w:rsidR="0089692A" w:rsidRDefault="0089692A" w:rsidP="0089692A">
      <w:pPr>
        <w:pStyle w:val="Heading5"/>
      </w:pPr>
      <w:r>
        <w:t>Order declaring the transaction to be of no effect</w:t>
      </w:r>
    </w:p>
    <w:p w14:paraId="072504D6" w14:textId="77777777" w:rsidR="0089692A" w:rsidRDefault="0089692A" w:rsidP="000F194A">
      <w:pPr>
        <w:pStyle w:val="base-text-paragraph"/>
      </w:pPr>
      <w:r>
        <w:t>The</w:t>
      </w:r>
      <w:r w:rsidR="00BC1EDE">
        <w:t xml:space="preserve"> Federal Court, on application by </w:t>
      </w:r>
      <w:r>
        <w:t>APRA</w:t>
      </w:r>
      <w:r w:rsidR="00BC1EDE">
        <w:t xml:space="preserve">, </w:t>
      </w:r>
      <w:r>
        <w:t>may</w:t>
      </w:r>
      <w:r w:rsidR="00BC1EDE">
        <w:t xml:space="preserve"> declare that a transaction that contravened</w:t>
      </w:r>
      <w:r w:rsidR="00327B61">
        <w:t xml:space="preserve"> section 28 </w:t>
      </w:r>
      <w:r w:rsidR="00BC1EDE">
        <w:t xml:space="preserve">but was included in </w:t>
      </w:r>
      <w:r w:rsidR="00327B61">
        <w:t>APRA r</w:t>
      </w:r>
      <w:r w:rsidR="00BC1EDE">
        <w:t xml:space="preserve">ules made under </w:t>
      </w:r>
      <w:r w:rsidR="00327B61">
        <w:t>paragrap</w:t>
      </w:r>
      <w:r w:rsidR="00D204E6">
        <w:t>h</w:t>
      </w:r>
      <w:r w:rsidR="00327B61">
        <w:t xml:space="preserve"> 29(1)(b)</w:t>
      </w:r>
      <w:r>
        <w:t xml:space="preserve"> is of no effect. </w:t>
      </w:r>
      <w:r w:rsidR="00F23E51">
        <w:t xml:space="preserve"> </w:t>
      </w:r>
      <w:r w:rsidRPr="0089692A">
        <w:rPr>
          <w:rStyle w:val="Referencingstyle"/>
        </w:rPr>
        <w:t>[Part 3, Division 3, subsection</w:t>
      </w:r>
      <w:r w:rsidR="00325FFD">
        <w:rPr>
          <w:rStyle w:val="Referencingstyle"/>
        </w:rPr>
        <w:t> </w:t>
      </w:r>
      <w:r w:rsidR="00327B61">
        <w:rPr>
          <w:rStyle w:val="Referencingstyle"/>
        </w:rPr>
        <w:t>29</w:t>
      </w:r>
      <w:r w:rsidRPr="0089692A">
        <w:rPr>
          <w:rStyle w:val="Referencingstyle"/>
        </w:rPr>
        <w:t xml:space="preserve">(6)]  </w:t>
      </w:r>
    </w:p>
    <w:p w14:paraId="3237388B" w14:textId="77777777" w:rsidR="00BC1EDE" w:rsidRDefault="0089692A" w:rsidP="000F194A">
      <w:pPr>
        <w:pStyle w:val="base-text-paragraph"/>
      </w:pPr>
      <w:r>
        <w:t>T</w:t>
      </w:r>
      <w:r w:rsidR="00BC1EDE">
        <w:t xml:space="preserve">he </w:t>
      </w:r>
      <w:r>
        <w:t xml:space="preserve">Federal </w:t>
      </w:r>
      <w:r w:rsidR="00BC1EDE">
        <w:t>Court may not make an order under sub</w:t>
      </w:r>
      <w:r>
        <w:t>section</w:t>
      </w:r>
      <w:r w:rsidR="0075488C">
        <w:t> </w:t>
      </w:r>
      <w:r w:rsidR="00325FFD">
        <w:t>29</w:t>
      </w:r>
      <w:r w:rsidR="00BC1EDE">
        <w:t>(6) if it is satisfied that the effect of the order would be to cause hardship to a person who entered into the transaction in good faith and without knowledge of the contravention.</w:t>
      </w:r>
      <w:r>
        <w:t xml:space="preserve">  </w:t>
      </w:r>
      <w:r w:rsidR="00455514" w:rsidRPr="00455514">
        <w:rPr>
          <w:rStyle w:val="Referencingstyle"/>
        </w:rPr>
        <w:t>[Part 3, Division 3, subsection</w:t>
      </w:r>
      <w:r w:rsidR="0075488C">
        <w:rPr>
          <w:rStyle w:val="Referencingstyle"/>
        </w:rPr>
        <w:t> </w:t>
      </w:r>
      <w:r w:rsidR="00327B61">
        <w:rPr>
          <w:rStyle w:val="Referencingstyle"/>
        </w:rPr>
        <w:t>29</w:t>
      </w:r>
      <w:r w:rsidR="00455514" w:rsidRPr="00455514">
        <w:rPr>
          <w:rStyle w:val="Referencingstyle"/>
        </w:rPr>
        <w:t xml:space="preserve">(7)]  </w:t>
      </w:r>
    </w:p>
    <w:p w14:paraId="0B810C2F" w14:textId="77777777" w:rsidR="00BC1EDE" w:rsidRDefault="00BC1EDE" w:rsidP="00455514">
      <w:pPr>
        <w:pStyle w:val="Heading4"/>
      </w:pPr>
      <w:r>
        <w:t>Investment of health benefits funds</w:t>
      </w:r>
    </w:p>
    <w:p w14:paraId="70BD18D3" w14:textId="77777777" w:rsidR="00455514" w:rsidRPr="00455514" w:rsidRDefault="00455514" w:rsidP="000F194A">
      <w:pPr>
        <w:pStyle w:val="base-text-paragraph"/>
      </w:pPr>
      <w:r>
        <w:t>A private health insurer is allowed to</w:t>
      </w:r>
      <w:r w:rsidR="00BC1EDE">
        <w:t xml:space="preserve"> invest assets of a health benefits fund in any way likely to further the bus</w:t>
      </w:r>
      <w:r>
        <w:t xml:space="preserve">iness of the fund.  However, </w:t>
      </w:r>
      <w:r w:rsidR="00BC1EDE">
        <w:t xml:space="preserve">nothing in the </w:t>
      </w:r>
      <w:r w:rsidR="00595D12">
        <w:rPr>
          <w:lang w:val="en-US" w:eastAsia="en-US"/>
        </w:rPr>
        <w:t>Prudential Supervision Bill</w:t>
      </w:r>
      <w:r w:rsidR="00BC1EDE">
        <w:t xml:space="preserve"> authorises a private health insurer </w:t>
      </w:r>
      <w:r w:rsidR="00132413">
        <w:t>to make</w:t>
      </w:r>
      <w:r w:rsidR="00BC1EDE">
        <w:t xml:space="preserve"> an investment it would otherwise be prohibited from making or w</w:t>
      </w:r>
      <w:r>
        <w:t>ou</w:t>
      </w:r>
      <w:r w:rsidR="00595D12">
        <w:t xml:space="preserve">ld not have the power to make. </w:t>
      </w:r>
      <w:r>
        <w:t>A</w:t>
      </w:r>
      <w:r w:rsidR="00BC1EDE">
        <w:t xml:space="preserve">n insurer must not make or retain an investment prohibited by </w:t>
      </w:r>
      <w:r>
        <w:t>APRA r</w:t>
      </w:r>
      <w:r w:rsidR="00BC1EDE">
        <w:t>ules.</w:t>
      </w:r>
      <w:r w:rsidR="00595D12">
        <w:t xml:space="preserve"> </w:t>
      </w:r>
      <w:r w:rsidRPr="00455514">
        <w:rPr>
          <w:rStyle w:val="Referencingstyle"/>
        </w:rPr>
        <w:t>[Part 3, Division 3, subsection</w:t>
      </w:r>
      <w:r w:rsidR="00B44D69">
        <w:rPr>
          <w:rStyle w:val="Referencingstyle"/>
        </w:rPr>
        <w:t>s 30(1) and </w:t>
      </w:r>
      <w:r w:rsidRPr="00455514">
        <w:rPr>
          <w:rStyle w:val="Referencingstyle"/>
        </w:rPr>
        <w:t xml:space="preserve">(2)]  </w:t>
      </w:r>
    </w:p>
    <w:p w14:paraId="216E47DF" w14:textId="77777777" w:rsidR="00D1764C" w:rsidRPr="00D1764C" w:rsidRDefault="00455514" w:rsidP="000F194A">
      <w:pPr>
        <w:pStyle w:val="base-text-paragraph"/>
      </w:pPr>
      <w:r>
        <w:t>A</w:t>
      </w:r>
      <w:r w:rsidR="00BC1EDE">
        <w:t xml:space="preserve"> transaction is not ineffective </w:t>
      </w:r>
      <w:r w:rsidR="00183B10">
        <w:t>merely</w:t>
      </w:r>
      <w:r w:rsidR="00BC1EDE">
        <w:t xml:space="preserve"> because it contravenes paragraph</w:t>
      </w:r>
      <w:r w:rsidR="0075488C">
        <w:t> </w:t>
      </w:r>
      <w:r w:rsidR="00E93284">
        <w:t>30(2)(c)</w:t>
      </w:r>
      <w:r w:rsidR="005203F7">
        <w:t xml:space="preserve"> (relating to investments prohibited by the APRA rules)</w:t>
      </w:r>
      <w:r w:rsidR="00E93284">
        <w:t>.</w:t>
      </w:r>
      <w:r w:rsidR="00595D12">
        <w:t xml:space="preserve"> </w:t>
      </w:r>
      <w:r w:rsidR="00D1764C" w:rsidRPr="00D1764C">
        <w:rPr>
          <w:rStyle w:val="Referencingstyle"/>
        </w:rPr>
        <w:t xml:space="preserve">[Part 3, Division 3, subsection </w:t>
      </w:r>
      <w:r w:rsidR="00E93284">
        <w:rPr>
          <w:rStyle w:val="Referencingstyle"/>
        </w:rPr>
        <w:t>30</w:t>
      </w:r>
      <w:r w:rsidR="00D1764C" w:rsidRPr="00D1764C">
        <w:rPr>
          <w:rStyle w:val="Referencingstyle"/>
        </w:rPr>
        <w:t>(3)]</w:t>
      </w:r>
      <w:r w:rsidR="00D1764C" w:rsidRPr="00D1764C">
        <w:t xml:space="preserve">  </w:t>
      </w:r>
    </w:p>
    <w:p w14:paraId="1EC7FB2C" w14:textId="77777777" w:rsidR="0075369D" w:rsidRDefault="0075369D" w:rsidP="0075369D">
      <w:pPr>
        <w:pStyle w:val="Heading3"/>
      </w:pPr>
      <w:r>
        <w:t>Division 4 – Restructure, merger and acquisition of health benefits funds</w:t>
      </w:r>
    </w:p>
    <w:p w14:paraId="78FB938F" w14:textId="77777777" w:rsidR="00BC1EDE" w:rsidRDefault="00BC1EDE" w:rsidP="00455514">
      <w:pPr>
        <w:pStyle w:val="Heading4"/>
      </w:pPr>
      <w:r>
        <w:t>Restriction on restructure, merger, acquisition or termination of health benefits funds</w:t>
      </w:r>
    </w:p>
    <w:p w14:paraId="6658C736" w14:textId="77777777" w:rsidR="00D1764C" w:rsidRPr="006C3D7A" w:rsidRDefault="00455514" w:rsidP="000F194A">
      <w:pPr>
        <w:pStyle w:val="base-text-paragraph"/>
      </w:pPr>
      <w:r>
        <w:t>A</w:t>
      </w:r>
      <w:r w:rsidR="00BC1EDE">
        <w:t xml:space="preserve"> </w:t>
      </w:r>
      <w:r w:rsidR="00BC1EDE" w:rsidRPr="00C04AA9">
        <w:t>private health insurer must not</w:t>
      </w:r>
      <w:r w:rsidR="0075369D">
        <w:t xml:space="preserve"> </w:t>
      </w:r>
      <w:r w:rsidR="00BC1EDE" w:rsidRPr="006C3D7A">
        <w:t>change the health benefits fund to which a policy is referable except under Division 4</w:t>
      </w:r>
      <w:r w:rsidR="005203F7">
        <w:t>. Division 4 governs the restructure of funds (transferring policies between health benefits funds of the one insurer) and merger or acquisition of funds (transferring groups of policies between two or more insurers).</w:t>
      </w:r>
      <w:r w:rsidR="00595D12">
        <w:t xml:space="preserve"> </w:t>
      </w:r>
      <w:r w:rsidR="00D1764C" w:rsidRPr="006C3D7A">
        <w:rPr>
          <w:rStyle w:val="Referencingstyle"/>
        </w:rPr>
        <w:t>[Part 3, Division 3, subsection</w:t>
      </w:r>
      <w:r w:rsidR="00114E34" w:rsidRPr="006C3D7A">
        <w:rPr>
          <w:rStyle w:val="Referencingstyle"/>
        </w:rPr>
        <w:t> </w:t>
      </w:r>
      <w:r w:rsidR="00E93284" w:rsidRPr="006C3D7A">
        <w:rPr>
          <w:rStyle w:val="Referencingstyle"/>
        </w:rPr>
        <w:t>31</w:t>
      </w:r>
      <w:r w:rsidR="00D1764C" w:rsidRPr="006C3D7A">
        <w:rPr>
          <w:rStyle w:val="Referencingstyle"/>
        </w:rPr>
        <w:t>(</w:t>
      </w:r>
      <w:r w:rsidR="00CA6666" w:rsidRPr="006C3D7A">
        <w:rPr>
          <w:rStyle w:val="Referencingstyle"/>
        </w:rPr>
        <w:t>1</w:t>
      </w:r>
      <w:r w:rsidR="00D1764C" w:rsidRPr="006C3D7A">
        <w:rPr>
          <w:rStyle w:val="Referencingstyle"/>
        </w:rPr>
        <w:t>)]</w:t>
      </w:r>
      <w:r w:rsidR="00D1764C" w:rsidRPr="006C3D7A">
        <w:t xml:space="preserve">  </w:t>
      </w:r>
    </w:p>
    <w:p w14:paraId="76DF62F7" w14:textId="77777777" w:rsidR="0075369D" w:rsidRDefault="0075369D" w:rsidP="006C3D7A">
      <w:pPr>
        <w:pStyle w:val="Heading5"/>
      </w:pPr>
      <w:r>
        <w:t>When an insurer may restructure its health benefits funds</w:t>
      </w:r>
    </w:p>
    <w:p w14:paraId="72E4A3B3" w14:textId="77777777" w:rsidR="000D17C5" w:rsidRDefault="000D17C5" w:rsidP="000F194A">
      <w:pPr>
        <w:pStyle w:val="base-text-paragraph"/>
      </w:pPr>
      <w:r>
        <w:t xml:space="preserve">A private health insurer is allowed to restructure its health benefits funds </w:t>
      </w:r>
      <w:r w:rsidR="004A13C5">
        <w:t>so that</w:t>
      </w:r>
      <w:r>
        <w:t xml:space="preserve"> insurance policies that are referable to a </w:t>
      </w:r>
      <w:r w:rsidR="00012989">
        <w:t xml:space="preserve">health benefits </w:t>
      </w:r>
      <w:r>
        <w:t>fund</w:t>
      </w:r>
      <w:r w:rsidR="00012989">
        <w:t xml:space="preserve"> (a </w:t>
      </w:r>
      <w:r w:rsidR="00012989" w:rsidRPr="00012989">
        <w:rPr>
          <w:b/>
          <w:i/>
        </w:rPr>
        <w:t>transferring fund</w:t>
      </w:r>
      <w:r w:rsidR="00012989">
        <w:t>)</w:t>
      </w:r>
      <w:r>
        <w:t xml:space="preserve"> </w:t>
      </w:r>
      <w:r w:rsidR="004A13C5">
        <w:t>become</w:t>
      </w:r>
      <w:r>
        <w:t xml:space="preserve"> referable to </w:t>
      </w:r>
      <w:r w:rsidR="004A13C5">
        <w:t xml:space="preserve">one or more other </w:t>
      </w:r>
      <w:r w:rsidR="00012989">
        <w:t xml:space="preserve">health benefits </w:t>
      </w:r>
      <w:r>
        <w:t>fund</w:t>
      </w:r>
      <w:r w:rsidR="004A13C5">
        <w:t>s</w:t>
      </w:r>
      <w:r>
        <w:t xml:space="preserve"> (</w:t>
      </w:r>
      <w:r w:rsidR="00012989" w:rsidRPr="00012989">
        <w:rPr>
          <w:b/>
          <w:i/>
        </w:rPr>
        <w:t>receiving funds</w:t>
      </w:r>
      <w:r w:rsidR="00012989">
        <w:t xml:space="preserve">) </w:t>
      </w:r>
      <w:r w:rsidR="004A13C5">
        <w:t>of the insurer</w:t>
      </w:r>
      <w:r w:rsidR="00012989">
        <w:t xml:space="preserve"> (</w:t>
      </w:r>
      <w:r>
        <w:t xml:space="preserve">whether existing or proposed) </w:t>
      </w:r>
      <w:r w:rsidR="00012989">
        <w:t>if</w:t>
      </w:r>
      <w:r>
        <w:t>:</w:t>
      </w:r>
    </w:p>
    <w:p w14:paraId="4869018A" w14:textId="77777777" w:rsidR="000828D2" w:rsidRDefault="000828D2" w:rsidP="000828D2">
      <w:pPr>
        <w:pStyle w:val="dotpoint"/>
      </w:pPr>
      <w:r w:rsidRPr="000828D2">
        <w:t xml:space="preserve">the effect of a restructure is </w:t>
      </w:r>
      <w:r w:rsidR="004A13C5">
        <w:t>that</w:t>
      </w:r>
      <w:r w:rsidRPr="000828D2">
        <w:t xml:space="preserve"> </w:t>
      </w:r>
      <w:r w:rsidR="004A13C5">
        <w:t xml:space="preserve">all </w:t>
      </w:r>
      <w:r w:rsidRPr="000828D2">
        <w:t xml:space="preserve">insurance policies relating to </w:t>
      </w:r>
      <w:r w:rsidR="004A13C5">
        <w:t xml:space="preserve">one or more </w:t>
      </w:r>
      <w:r w:rsidRPr="000828D2">
        <w:t xml:space="preserve">policy groups </w:t>
      </w:r>
      <w:r w:rsidR="005203F7">
        <w:t>(groups comprising policy</w:t>
      </w:r>
      <w:r w:rsidR="001235B8">
        <w:t xml:space="preserve"> </w:t>
      </w:r>
      <w:r w:rsidR="005203F7">
        <w:t>holders from the same risk equalisation jurisdiction)</w:t>
      </w:r>
      <w:r w:rsidRPr="000828D2">
        <w:t xml:space="preserve"> </w:t>
      </w:r>
      <w:r w:rsidR="004A13C5">
        <w:t xml:space="preserve">of the transferring health benefits fund </w:t>
      </w:r>
      <w:r w:rsidRPr="000828D2">
        <w:t xml:space="preserve">become referable to </w:t>
      </w:r>
      <w:r>
        <w:t xml:space="preserve">the </w:t>
      </w:r>
      <w:r w:rsidR="004A13C5">
        <w:t>receiving</w:t>
      </w:r>
      <w:r w:rsidR="004A13C5" w:rsidRPr="000828D2">
        <w:t xml:space="preserve"> </w:t>
      </w:r>
      <w:r w:rsidRPr="000828D2">
        <w:t>f</w:t>
      </w:r>
      <w:r>
        <w:t>und</w:t>
      </w:r>
      <w:r w:rsidR="004A13C5">
        <w:t>(s)</w:t>
      </w:r>
      <w:r w:rsidRPr="000828D2">
        <w:t>;</w:t>
      </w:r>
    </w:p>
    <w:p w14:paraId="7F6CDA2E" w14:textId="77777777" w:rsidR="000D17C5" w:rsidRDefault="000D17C5" w:rsidP="000D17C5">
      <w:pPr>
        <w:pStyle w:val="dotpoint"/>
      </w:pPr>
      <w:r>
        <w:t>the insurer applies in writing</w:t>
      </w:r>
      <w:r w:rsidR="00622068">
        <w:t>,</w:t>
      </w:r>
      <w:r>
        <w:t xml:space="preserve"> in the approve</w:t>
      </w:r>
      <w:r w:rsidR="000828D2">
        <w:t>d form</w:t>
      </w:r>
      <w:r w:rsidR="00622068">
        <w:t>,</w:t>
      </w:r>
      <w:r w:rsidR="000828D2">
        <w:t xml:space="preserve"> to APRA for approval;</w:t>
      </w:r>
    </w:p>
    <w:p w14:paraId="0DFB08C1" w14:textId="77777777" w:rsidR="000D17C5" w:rsidRDefault="000D17C5" w:rsidP="000D17C5">
      <w:pPr>
        <w:pStyle w:val="dotpoint"/>
      </w:pPr>
      <w:r>
        <w:t xml:space="preserve">APRA approves the restructure in writing; and </w:t>
      </w:r>
    </w:p>
    <w:p w14:paraId="728B9945" w14:textId="77777777" w:rsidR="000D17C5" w:rsidRDefault="000D17C5" w:rsidP="000D17C5">
      <w:pPr>
        <w:pStyle w:val="dotpoint"/>
      </w:pPr>
      <w:r>
        <w:t xml:space="preserve">the insurer complies with any requirements imposed in the </w:t>
      </w:r>
      <w:r w:rsidR="008F54ED" w:rsidRPr="001A57F7">
        <w:t xml:space="preserve">APRA </w:t>
      </w:r>
      <w:r w:rsidR="00EB205D" w:rsidRPr="001A57F7">
        <w:t>r</w:t>
      </w:r>
      <w:r w:rsidR="008F54ED" w:rsidRPr="001A57F7">
        <w:t>ules</w:t>
      </w:r>
      <w:r w:rsidR="008F54ED">
        <w:t xml:space="preserve"> </w:t>
      </w:r>
      <w:r>
        <w:t>in relation to the restructure.</w:t>
      </w:r>
      <w:r w:rsidR="008F54ED">
        <w:t xml:space="preserve">  </w:t>
      </w:r>
      <w:r w:rsidR="008F54ED" w:rsidRPr="008F54ED">
        <w:rPr>
          <w:rStyle w:val="Referencingstyle"/>
        </w:rPr>
        <w:t xml:space="preserve">[Part 3, Division </w:t>
      </w:r>
      <w:r w:rsidR="00EB205D">
        <w:rPr>
          <w:rStyle w:val="Referencingstyle"/>
        </w:rPr>
        <w:t>4</w:t>
      </w:r>
      <w:r w:rsidR="008F54ED" w:rsidRPr="008F54ED">
        <w:rPr>
          <w:rStyle w:val="Referencingstyle"/>
        </w:rPr>
        <w:t>, s</w:t>
      </w:r>
      <w:r w:rsidR="00EB205D">
        <w:rPr>
          <w:rStyle w:val="Referencingstyle"/>
        </w:rPr>
        <w:t>ubs</w:t>
      </w:r>
      <w:r w:rsidR="008F54ED" w:rsidRPr="008F54ED">
        <w:rPr>
          <w:rStyle w:val="Referencingstyle"/>
        </w:rPr>
        <w:t xml:space="preserve">ection </w:t>
      </w:r>
      <w:r w:rsidR="0075369D">
        <w:rPr>
          <w:rStyle w:val="Referencingstyle"/>
        </w:rPr>
        <w:t>32</w:t>
      </w:r>
      <w:r w:rsidR="00EB205D">
        <w:rPr>
          <w:rStyle w:val="Referencingstyle"/>
        </w:rPr>
        <w:t>(1)</w:t>
      </w:r>
      <w:r w:rsidR="008F54ED" w:rsidRPr="008F54ED">
        <w:rPr>
          <w:rStyle w:val="Referencingstyle"/>
        </w:rPr>
        <w:t>]</w:t>
      </w:r>
    </w:p>
    <w:p w14:paraId="7083DF01" w14:textId="77777777" w:rsidR="0075369D" w:rsidRDefault="0075369D" w:rsidP="006C3D7A">
      <w:pPr>
        <w:pStyle w:val="Heading5"/>
      </w:pPr>
      <w:r>
        <w:t>How APRA decides whether to approve the restructure</w:t>
      </w:r>
    </w:p>
    <w:p w14:paraId="0E0F1BC8" w14:textId="77777777" w:rsidR="00CB0B54" w:rsidRDefault="008F54ED" w:rsidP="000F194A">
      <w:pPr>
        <w:pStyle w:val="base-text-paragraph"/>
      </w:pPr>
      <w:r>
        <w:t>APRA must</w:t>
      </w:r>
      <w:r w:rsidR="000D17C5">
        <w:t xml:space="preserve"> approve the restructure</w:t>
      </w:r>
      <w:r w:rsidR="0075369D">
        <w:t xml:space="preserve"> if i</w:t>
      </w:r>
      <w:r w:rsidR="004A13C5">
        <w:t xml:space="preserve">t is </w:t>
      </w:r>
      <w:r w:rsidR="000D17C5">
        <w:t>satisfied</w:t>
      </w:r>
      <w:r w:rsidR="00CB0B54">
        <w:t>:</w:t>
      </w:r>
    </w:p>
    <w:p w14:paraId="74A98937" w14:textId="77777777" w:rsidR="000828D2" w:rsidRDefault="000D17C5" w:rsidP="006C5889">
      <w:pPr>
        <w:pStyle w:val="dotpoint"/>
      </w:pPr>
      <w:r>
        <w:t xml:space="preserve">that the proposed division of assets and liabilities between the </w:t>
      </w:r>
      <w:r w:rsidR="000828D2">
        <w:t xml:space="preserve">transferring and receiving funds </w:t>
      </w:r>
      <w:r>
        <w:t xml:space="preserve">is </w:t>
      </w:r>
      <w:r w:rsidR="00CB0B54">
        <w:t xml:space="preserve">a </w:t>
      </w:r>
      <w:r>
        <w:t xml:space="preserve">reasonable </w:t>
      </w:r>
      <w:r w:rsidR="00CB0B54">
        <w:t xml:space="preserve">estimate </w:t>
      </w:r>
      <w:r w:rsidR="000828D2">
        <w:t>of the net asset position of the transferring fund</w:t>
      </w:r>
      <w:r w:rsidR="005203F7">
        <w:t xml:space="preserve"> (‘net asset position’ is defined in section 4, subject to a modification described below that applies where not all policy groups are transferred)</w:t>
      </w:r>
      <w:r w:rsidR="000828D2">
        <w:t>; and</w:t>
      </w:r>
    </w:p>
    <w:p w14:paraId="270200B6" w14:textId="77777777" w:rsidR="006C5889" w:rsidRDefault="006C5889" w:rsidP="006C5889">
      <w:pPr>
        <w:pStyle w:val="dotpoint"/>
      </w:pPr>
      <w:r>
        <w:t>the assets and liabilities would be fairly distributed amongst those funds</w:t>
      </w:r>
      <w:r w:rsidR="00622068" w:rsidRPr="00622068">
        <w:t xml:space="preserve"> </w:t>
      </w:r>
      <w:r w:rsidR="00622068">
        <w:t xml:space="preserve">if there </w:t>
      </w:r>
      <w:r w:rsidR="005203F7">
        <w:t>is</w:t>
      </w:r>
      <w:r w:rsidR="00622068">
        <w:t xml:space="preserve"> more than one receiving fund; and</w:t>
      </w:r>
    </w:p>
    <w:p w14:paraId="12E2182B" w14:textId="77777777" w:rsidR="008F54ED" w:rsidRDefault="000D17C5" w:rsidP="006C5889">
      <w:pPr>
        <w:pStyle w:val="dotpoint"/>
      </w:pPr>
      <w:r>
        <w:t xml:space="preserve">the restructure will not result in a breach of </w:t>
      </w:r>
      <w:r w:rsidR="00F20D33">
        <w:t xml:space="preserve">prudential </w:t>
      </w:r>
      <w:r w:rsidR="00361EF7">
        <w:t>stand</w:t>
      </w:r>
      <w:r w:rsidR="00F20D33">
        <w:t>ards</w:t>
      </w:r>
      <w:r w:rsidR="00CB0B54">
        <w:t xml:space="preserve">.  </w:t>
      </w:r>
      <w:r w:rsidR="00CB0B54" w:rsidRPr="00CB0B54">
        <w:rPr>
          <w:rStyle w:val="Referencingstyle"/>
        </w:rPr>
        <w:t>[Part 3, Division 4, subsection</w:t>
      </w:r>
      <w:r w:rsidR="00114E34">
        <w:rPr>
          <w:rStyle w:val="Referencingstyle"/>
        </w:rPr>
        <w:t> </w:t>
      </w:r>
      <w:r w:rsidR="0075369D">
        <w:rPr>
          <w:rStyle w:val="Referencingstyle"/>
        </w:rPr>
        <w:t>32</w:t>
      </w:r>
      <w:r w:rsidR="00A55059">
        <w:rPr>
          <w:rStyle w:val="Referencingstyle"/>
        </w:rPr>
        <w:t>(2)</w:t>
      </w:r>
      <w:r w:rsidR="00CB0B54" w:rsidRPr="00CB0B54">
        <w:rPr>
          <w:rStyle w:val="Referencingstyle"/>
        </w:rPr>
        <w:t>]</w:t>
      </w:r>
    </w:p>
    <w:p w14:paraId="06C5D921" w14:textId="77777777" w:rsidR="006C5889" w:rsidRDefault="006C5889" w:rsidP="000F194A">
      <w:pPr>
        <w:pStyle w:val="base-text-paragraph"/>
      </w:pPr>
      <w:r>
        <w:t xml:space="preserve">In working out the net asset position of the transferring fund, </w:t>
      </w:r>
      <w:r w:rsidR="004A13C5">
        <w:t xml:space="preserve">it will be necessary to </w:t>
      </w:r>
      <w:r>
        <w:t>disregard the net asset position of the transferring fund to the extent that it relates to insurance policies that do not belong to a policy group</w:t>
      </w:r>
      <w:r w:rsidR="00B54775">
        <w:t>(s) being transferred.</w:t>
      </w:r>
      <w:r>
        <w:t xml:space="preserve">  </w:t>
      </w:r>
      <w:r w:rsidRPr="006C5889">
        <w:rPr>
          <w:rStyle w:val="Referencingstyle"/>
        </w:rPr>
        <w:t xml:space="preserve">[Part 3, Division 4, subsection </w:t>
      </w:r>
      <w:r w:rsidR="0075369D">
        <w:rPr>
          <w:rStyle w:val="Referencingstyle"/>
        </w:rPr>
        <w:t>32</w:t>
      </w:r>
      <w:r w:rsidR="00CA3CAD">
        <w:rPr>
          <w:rStyle w:val="Referencingstyle"/>
        </w:rPr>
        <w:t>(</w:t>
      </w:r>
      <w:r w:rsidR="00F20D33">
        <w:rPr>
          <w:rStyle w:val="Referencingstyle"/>
        </w:rPr>
        <w:t>3</w:t>
      </w:r>
      <w:r w:rsidRPr="006C5889">
        <w:rPr>
          <w:rStyle w:val="Referencingstyle"/>
        </w:rPr>
        <w:t>)]</w:t>
      </w:r>
    </w:p>
    <w:p w14:paraId="6F27809B" w14:textId="77777777" w:rsidR="000D17C5" w:rsidRDefault="000D17C5" w:rsidP="000F194A">
      <w:pPr>
        <w:pStyle w:val="base-text-paragraph"/>
      </w:pPr>
      <w:r>
        <w:t xml:space="preserve">However, </w:t>
      </w:r>
      <w:r w:rsidR="008F54ED">
        <w:t>APRA</w:t>
      </w:r>
      <w:r>
        <w:t xml:space="preserve"> cannot approve the restructure if it considers that it would result in unfairness to either the policy holders of a fund existing before the restructure or a fund as it would exist after the restructure, or if the insurer is being wound up when the application is made.  </w:t>
      </w:r>
      <w:r w:rsidR="009D258A">
        <w:t>An approval is not a legislative instrument as it would only be given on a case by case basis, there</w:t>
      </w:r>
      <w:r w:rsidR="00C91615">
        <w:t>fore</w:t>
      </w:r>
      <w:r w:rsidR="009D258A">
        <w:t xml:space="preserve"> t</w:t>
      </w:r>
      <w:r w:rsidR="009D258A" w:rsidRPr="009D258A">
        <w:t xml:space="preserve">he statement in subsection </w:t>
      </w:r>
      <w:r w:rsidR="009D258A">
        <w:t>32</w:t>
      </w:r>
      <w:r w:rsidR="009D258A" w:rsidRPr="009D258A">
        <w:t xml:space="preserve">(6) does not constitute a substantive exemption, </w:t>
      </w:r>
      <w:r w:rsidR="009D258A">
        <w:t>but</w:t>
      </w:r>
      <w:r w:rsidR="009D258A" w:rsidRPr="009D258A">
        <w:t xml:space="preserve"> is a statement of the </w:t>
      </w:r>
      <w:r w:rsidR="00DC102B">
        <w:t>‘</w:t>
      </w:r>
      <w:r w:rsidR="009D258A" w:rsidRPr="009D258A">
        <w:t xml:space="preserve">status </w:t>
      </w:r>
      <w:r w:rsidR="00DC102B">
        <w:t>quo’</w:t>
      </w:r>
      <w:r w:rsidR="008D5EB8">
        <w:t>.</w:t>
      </w:r>
      <w:r w:rsidR="009D258A">
        <w:t xml:space="preserve"> </w:t>
      </w:r>
      <w:r>
        <w:t xml:space="preserve">A refusal to approve a restructure is reviewable under </w:t>
      </w:r>
      <w:r w:rsidR="00602695">
        <w:t>section </w:t>
      </w:r>
      <w:r w:rsidR="0090225E">
        <w:t>16</w:t>
      </w:r>
      <w:r w:rsidR="00012989">
        <w:t>8</w:t>
      </w:r>
      <w:r w:rsidR="006C5889">
        <w:t xml:space="preserve">. </w:t>
      </w:r>
      <w:r w:rsidR="00B16A79" w:rsidRPr="00B16A79">
        <w:rPr>
          <w:rStyle w:val="Referencingstyle"/>
        </w:rPr>
        <w:t xml:space="preserve">[Part 3, Division 4, </w:t>
      </w:r>
      <w:r w:rsidR="00B16A79">
        <w:rPr>
          <w:rStyle w:val="Referencingstyle"/>
        </w:rPr>
        <w:t>s</w:t>
      </w:r>
      <w:r w:rsidR="00B16A79" w:rsidRPr="00B16A79">
        <w:rPr>
          <w:rStyle w:val="Referencingstyle"/>
        </w:rPr>
        <w:t>ubsection</w:t>
      </w:r>
      <w:r w:rsidR="00183B10">
        <w:rPr>
          <w:rStyle w:val="Referencingstyle"/>
        </w:rPr>
        <w:t>s</w:t>
      </w:r>
      <w:r w:rsidR="00B16A79" w:rsidRPr="00B16A79">
        <w:rPr>
          <w:rStyle w:val="Referencingstyle"/>
        </w:rPr>
        <w:t xml:space="preserve"> </w:t>
      </w:r>
      <w:r w:rsidR="0075369D">
        <w:rPr>
          <w:rStyle w:val="Referencingstyle"/>
        </w:rPr>
        <w:t>32</w:t>
      </w:r>
      <w:r w:rsidR="00F20D33">
        <w:rPr>
          <w:rStyle w:val="Referencingstyle"/>
        </w:rPr>
        <w:t>(4</w:t>
      </w:r>
      <w:r w:rsidR="00B16A79" w:rsidRPr="00B16A79">
        <w:rPr>
          <w:rStyle w:val="Referencingstyle"/>
        </w:rPr>
        <w:t>)</w:t>
      </w:r>
      <w:r w:rsidR="00183B10">
        <w:rPr>
          <w:rStyle w:val="Referencingstyle"/>
        </w:rPr>
        <w:t xml:space="preserve"> and (6</w:t>
      </w:r>
      <w:r w:rsidR="00B16A79" w:rsidRPr="00B16A79">
        <w:rPr>
          <w:rStyle w:val="Referencingstyle"/>
        </w:rPr>
        <w:t>)]</w:t>
      </w:r>
    </w:p>
    <w:p w14:paraId="597DAE4C" w14:textId="77777777" w:rsidR="0075369D" w:rsidRDefault="0075369D" w:rsidP="007E0B53">
      <w:pPr>
        <w:pStyle w:val="Heading5"/>
        <w:keepLines/>
      </w:pPr>
      <w:r>
        <w:t>APRA rules may provide for various matters</w:t>
      </w:r>
    </w:p>
    <w:p w14:paraId="45947A57" w14:textId="77777777" w:rsidR="00B16A79" w:rsidRDefault="00B16A79" w:rsidP="007E0B53">
      <w:pPr>
        <w:pStyle w:val="base-text-paragraph"/>
        <w:keepNext/>
        <w:keepLines/>
      </w:pPr>
      <w:r w:rsidRPr="001A57F7">
        <w:t>APRA r</w:t>
      </w:r>
      <w:r w:rsidR="000D17C5" w:rsidRPr="001A57F7">
        <w:t>ules</w:t>
      </w:r>
      <w:r w:rsidR="000D17C5">
        <w:t xml:space="preserve"> may provide for</w:t>
      </w:r>
      <w:r>
        <w:t>:</w:t>
      </w:r>
    </w:p>
    <w:p w14:paraId="6C26488D" w14:textId="77777777" w:rsidR="00B16A79" w:rsidRDefault="0075369D" w:rsidP="007E0B53">
      <w:pPr>
        <w:pStyle w:val="dotpoint"/>
        <w:keepNext/>
        <w:keepLines/>
      </w:pPr>
      <w:r>
        <w:t xml:space="preserve">criteria for </w:t>
      </w:r>
      <w:r w:rsidR="000D17C5">
        <w:t xml:space="preserve">approving or refusing to approve applications under </w:t>
      </w:r>
      <w:r w:rsidR="000D17C5" w:rsidRPr="00F20D33">
        <w:t>sub</w:t>
      </w:r>
      <w:r w:rsidR="00B16A79" w:rsidRPr="001A57F7">
        <w:t>section</w:t>
      </w:r>
      <w:r w:rsidR="000D17C5" w:rsidRPr="001A57F7">
        <w:t xml:space="preserve"> </w:t>
      </w:r>
      <w:r w:rsidRPr="001A57F7">
        <w:t>3</w:t>
      </w:r>
      <w:r>
        <w:t>2</w:t>
      </w:r>
      <w:r w:rsidR="000D17C5" w:rsidRPr="001A57F7">
        <w:t>(1)</w:t>
      </w:r>
      <w:r w:rsidR="00622068" w:rsidRPr="001A57F7">
        <w:t>;</w:t>
      </w:r>
    </w:p>
    <w:p w14:paraId="13BA271C" w14:textId="77777777" w:rsidR="00B16A79" w:rsidRDefault="00B16A79" w:rsidP="007E0B53">
      <w:pPr>
        <w:pStyle w:val="dotpoint"/>
        <w:keepNext/>
        <w:keepLines/>
      </w:pPr>
      <w:r>
        <w:t xml:space="preserve">calculating reasonable estimates </w:t>
      </w:r>
      <w:r w:rsidR="00183B10">
        <w:t xml:space="preserve">of the net asset position </w:t>
      </w:r>
      <w:r>
        <w:t xml:space="preserve">referred to in </w:t>
      </w:r>
      <w:r w:rsidRPr="00F20D33">
        <w:t>paragraph</w:t>
      </w:r>
      <w:r w:rsidR="00966E89">
        <w:t> </w:t>
      </w:r>
      <w:r w:rsidR="0075369D" w:rsidRPr="001A57F7">
        <w:t>3</w:t>
      </w:r>
      <w:r w:rsidR="0075369D">
        <w:t>2</w:t>
      </w:r>
      <w:r w:rsidRPr="001A57F7">
        <w:t>(2)(a)</w:t>
      </w:r>
      <w:r w:rsidR="00622068">
        <w:t>;</w:t>
      </w:r>
    </w:p>
    <w:p w14:paraId="677B2793" w14:textId="77777777" w:rsidR="00B16A79" w:rsidRDefault="00B16A79" w:rsidP="00B16A79">
      <w:pPr>
        <w:pStyle w:val="dotpoint"/>
      </w:pPr>
      <w:r>
        <w:t xml:space="preserve">criteria for deciding whether assets and liabilities would be fairly distributed for the purposes of </w:t>
      </w:r>
      <w:r w:rsidRPr="00F20D33">
        <w:t xml:space="preserve">paragraph </w:t>
      </w:r>
      <w:r w:rsidR="0075369D" w:rsidRPr="001A57F7">
        <w:t>3</w:t>
      </w:r>
      <w:r w:rsidR="0075369D">
        <w:t>2</w:t>
      </w:r>
      <w:r w:rsidRPr="001A57F7">
        <w:t>(2)(</w:t>
      </w:r>
      <w:r w:rsidR="00F20D33" w:rsidRPr="001A57F7">
        <w:t>b</w:t>
      </w:r>
      <w:r w:rsidRPr="001A57F7">
        <w:t>);</w:t>
      </w:r>
    </w:p>
    <w:p w14:paraId="7AAA1A66" w14:textId="77777777" w:rsidR="00B16A79" w:rsidRDefault="000D17C5" w:rsidP="00B16A79">
      <w:pPr>
        <w:pStyle w:val="dotpoint"/>
      </w:pPr>
      <w:r>
        <w:t xml:space="preserve">requirements to notify people of </w:t>
      </w:r>
      <w:r w:rsidR="00595D12">
        <w:t>the outcomes of applications;</w:t>
      </w:r>
    </w:p>
    <w:p w14:paraId="6AC3BFC0" w14:textId="77777777" w:rsidR="00B16A79" w:rsidRDefault="000D17C5" w:rsidP="00B16A79">
      <w:pPr>
        <w:pStyle w:val="dotpoint"/>
      </w:pPr>
      <w:r>
        <w:t>a number of administrative matters</w:t>
      </w:r>
      <w:r w:rsidR="005203F7">
        <w:t xml:space="preserve"> connected with how the restructure is to proceed</w:t>
      </w:r>
      <w:r w:rsidR="00114E34">
        <w:t>;</w:t>
      </w:r>
      <w:r>
        <w:t xml:space="preserve"> and </w:t>
      </w:r>
    </w:p>
    <w:p w14:paraId="72A01CF6" w14:textId="77777777" w:rsidR="000D17C5" w:rsidRDefault="000D17C5" w:rsidP="00B16A79">
      <w:pPr>
        <w:pStyle w:val="dotpoint"/>
      </w:pPr>
      <w:r>
        <w:t xml:space="preserve">requirements for insurers to provide information to </w:t>
      </w:r>
      <w:r w:rsidR="00B16A79">
        <w:t xml:space="preserve">APRA </w:t>
      </w:r>
      <w:r>
        <w:t xml:space="preserve">following restructures. </w:t>
      </w:r>
      <w:r w:rsidR="00B16A79" w:rsidRPr="00B16A79">
        <w:rPr>
          <w:rStyle w:val="Referencingstyle"/>
        </w:rPr>
        <w:t xml:space="preserve">[Part 3, </w:t>
      </w:r>
      <w:r w:rsidR="00E82FB1">
        <w:rPr>
          <w:rStyle w:val="Referencingstyle"/>
        </w:rPr>
        <w:t>D</w:t>
      </w:r>
      <w:r w:rsidR="00B16A79" w:rsidRPr="00B16A79">
        <w:rPr>
          <w:rStyle w:val="Referencingstyle"/>
        </w:rPr>
        <w:t xml:space="preserve">ivision 4, </w:t>
      </w:r>
      <w:r w:rsidR="00B16A79">
        <w:rPr>
          <w:rStyle w:val="Referencingstyle"/>
        </w:rPr>
        <w:t>s</w:t>
      </w:r>
      <w:r w:rsidR="00B16A79" w:rsidRPr="00B16A79">
        <w:rPr>
          <w:rStyle w:val="Referencingstyle"/>
        </w:rPr>
        <w:t xml:space="preserve">ubsection </w:t>
      </w:r>
      <w:r w:rsidR="0075369D" w:rsidRPr="00F20D33">
        <w:rPr>
          <w:rStyle w:val="Referencingstyle"/>
        </w:rPr>
        <w:t>3</w:t>
      </w:r>
      <w:r w:rsidR="0075369D">
        <w:rPr>
          <w:rStyle w:val="Referencingstyle"/>
        </w:rPr>
        <w:t>2</w:t>
      </w:r>
      <w:r w:rsidR="00B16A79" w:rsidRPr="00B16A79">
        <w:rPr>
          <w:rStyle w:val="Referencingstyle"/>
        </w:rPr>
        <w:t>(</w:t>
      </w:r>
      <w:r w:rsidR="00F20D33" w:rsidRPr="00F20D33">
        <w:rPr>
          <w:rStyle w:val="Referencingstyle"/>
        </w:rPr>
        <w:t>5</w:t>
      </w:r>
      <w:r w:rsidR="00B16A79" w:rsidRPr="00B16A79">
        <w:rPr>
          <w:rStyle w:val="Referencingstyle"/>
        </w:rPr>
        <w:t>)]</w:t>
      </w:r>
    </w:p>
    <w:p w14:paraId="0383FF02" w14:textId="77777777" w:rsidR="0075369D" w:rsidRDefault="0075369D" w:rsidP="006C3D7A">
      <w:pPr>
        <w:pStyle w:val="Heading5"/>
      </w:pPr>
      <w:r>
        <w:t>Definitions</w:t>
      </w:r>
    </w:p>
    <w:p w14:paraId="79DAAA18" w14:textId="77777777" w:rsidR="00B16A79" w:rsidRDefault="00B16A79" w:rsidP="000F194A">
      <w:pPr>
        <w:pStyle w:val="base-text-paragraph"/>
      </w:pPr>
      <w:r>
        <w:t xml:space="preserve">A </w:t>
      </w:r>
      <w:r w:rsidRPr="00B16A79">
        <w:rPr>
          <w:b/>
          <w:i/>
        </w:rPr>
        <w:t>p</w:t>
      </w:r>
      <w:r w:rsidR="000D17C5" w:rsidRPr="00B16A79">
        <w:rPr>
          <w:b/>
          <w:i/>
        </w:rPr>
        <w:t>olicy group</w:t>
      </w:r>
      <w:r w:rsidR="000D17C5">
        <w:t xml:space="preserve"> </w:t>
      </w:r>
      <w:r>
        <w:t xml:space="preserve">is defined </w:t>
      </w:r>
      <w:r w:rsidR="000D17C5">
        <w:t>as all the insurance policies that are referable to the fund and whose policy holders have addresses located in the same</w:t>
      </w:r>
      <w:r>
        <w:t xml:space="preserve"> risk equalisation jurisdiction.</w:t>
      </w:r>
      <w:r w:rsidR="00E82FB1">
        <w:t xml:space="preserve"> </w:t>
      </w:r>
      <w:r w:rsidR="00506591">
        <w:t>APRA rules may provide for a definition where policy holders’ addresses are not in the same risk equalisation jurisdiction.</w:t>
      </w:r>
      <w:r w:rsidR="00E82FB1">
        <w:t xml:space="preserve">  </w:t>
      </w:r>
      <w:r w:rsidR="00E82FB1" w:rsidRPr="00E82FB1">
        <w:rPr>
          <w:rStyle w:val="Referencingstyle"/>
        </w:rPr>
        <w:t xml:space="preserve">[Part 3, Division </w:t>
      </w:r>
      <w:r w:rsidR="00F20D33">
        <w:rPr>
          <w:rStyle w:val="Referencingstyle"/>
        </w:rPr>
        <w:t>4</w:t>
      </w:r>
      <w:r w:rsidR="00E82FB1" w:rsidRPr="00E82FB1">
        <w:rPr>
          <w:rStyle w:val="Referencingstyle"/>
        </w:rPr>
        <w:t xml:space="preserve">, subsection </w:t>
      </w:r>
      <w:r w:rsidR="0075369D">
        <w:rPr>
          <w:rStyle w:val="Referencingstyle"/>
        </w:rPr>
        <w:t>32</w:t>
      </w:r>
      <w:r w:rsidR="00E82FB1" w:rsidRPr="00E82FB1">
        <w:rPr>
          <w:rStyle w:val="Referencingstyle"/>
        </w:rPr>
        <w:t>(</w:t>
      </w:r>
      <w:r w:rsidR="00012989">
        <w:rPr>
          <w:rStyle w:val="Referencingstyle"/>
        </w:rPr>
        <w:t>7</w:t>
      </w:r>
      <w:r w:rsidR="00E82FB1" w:rsidRPr="00E82FB1">
        <w:rPr>
          <w:rStyle w:val="Referencingstyle"/>
        </w:rPr>
        <w:t>)]</w:t>
      </w:r>
    </w:p>
    <w:p w14:paraId="54BC47AA" w14:textId="77777777" w:rsidR="000D17C5" w:rsidRDefault="000D17C5" w:rsidP="00CB0B54">
      <w:pPr>
        <w:pStyle w:val="Heading4"/>
      </w:pPr>
      <w:r>
        <w:t>Merger and acquisition of health benefits funds</w:t>
      </w:r>
    </w:p>
    <w:p w14:paraId="561622CB" w14:textId="77777777" w:rsidR="00791981" w:rsidRDefault="00791981" w:rsidP="006C3D7A">
      <w:pPr>
        <w:pStyle w:val="Heading5"/>
      </w:pPr>
      <w:r>
        <w:t>When an arrangement may be entered into</w:t>
      </w:r>
    </w:p>
    <w:p w14:paraId="2A419E03" w14:textId="77777777" w:rsidR="000D17C5" w:rsidRDefault="00B54775" w:rsidP="000F194A">
      <w:pPr>
        <w:pStyle w:val="base-text-paragraph"/>
      </w:pPr>
      <w:r>
        <w:t xml:space="preserve">A private health insurer </w:t>
      </w:r>
      <w:r w:rsidR="00E77DCC">
        <w:t xml:space="preserve">(the </w:t>
      </w:r>
      <w:r w:rsidR="00E77DCC" w:rsidRPr="00E77DCC">
        <w:rPr>
          <w:b/>
          <w:i/>
        </w:rPr>
        <w:t>transferee insurer</w:t>
      </w:r>
      <w:r w:rsidR="00E77DCC">
        <w:t xml:space="preserve">) </w:t>
      </w:r>
      <w:r>
        <w:t xml:space="preserve">may enter into an agreement with one or more </w:t>
      </w:r>
      <w:r w:rsidR="00E77DCC">
        <w:t xml:space="preserve">other </w:t>
      </w:r>
      <w:r w:rsidR="000D17C5">
        <w:t xml:space="preserve">private health insurers </w:t>
      </w:r>
      <w:r w:rsidR="00E77DCC">
        <w:t>(</w:t>
      </w:r>
      <w:r w:rsidR="00E77DCC" w:rsidRPr="00E77DCC">
        <w:rPr>
          <w:b/>
          <w:i/>
        </w:rPr>
        <w:t>transferor insurers</w:t>
      </w:r>
      <w:r w:rsidR="00E77DCC">
        <w:t xml:space="preserve">) </w:t>
      </w:r>
      <w:r>
        <w:t xml:space="preserve">under which all the insurance policies referable to a health benefits fund, or referable to one or more policy groups of </w:t>
      </w:r>
      <w:r w:rsidR="005203F7">
        <w:t>a</w:t>
      </w:r>
      <w:r>
        <w:t xml:space="preserve"> fund</w:t>
      </w:r>
      <w:r w:rsidR="005203F7">
        <w:t>,</w:t>
      </w:r>
      <w:r>
        <w:t xml:space="preserve"> of the transferor insurer, are transferred to one or more transferee insurers. </w:t>
      </w:r>
      <w:r w:rsidR="00E82FB1" w:rsidRPr="00E82FB1">
        <w:rPr>
          <w:rStyle w:val="Referencingstyle"/>
        </w:rPr>
        <w:t>[Part</w:t>
      </w:r>
      <w:r w:rsidR="006956D2">
        <w:rPr>
          <w:rStyle w:val="Referencingstyle"/>
        </w:rPr>
        <w:t> </w:t>
      </w:r>
      <w:r w:rsidR="00E82FB1" w:rsidRPr="00E82FB1">
        <w:rPr>
          <w:rStyle w:val="Referencingstyle"/>
        </w:rPr>
        <w:t xml:space="preserve">3, Division </w:t>
      </w:r>
      <w:r w:rsidR="00A55671">
        <w:rPr>
          <w:rStyle w:val="Referencingstyle"/>
        </w:rPr>
        <w:t>4</w:t>
      </w:r>
      <w:r w:rsidR="00E82FB1" w:rsidRPr="00E82FB1">
        <w:rPr>
          <w:rStyle w:val="Referencingstyle"/>
        </w:rPr>
        <w:t>, subsection</w:t>
      </w:r>
      <w:r w:rsidR="00A55671">
        <w:rPr>
          <w:rStyle w:val="Referencingstyle"/>
        </w:rPr>
        <w:t xml:space="preserve"> </w:t>
      </w:r>
      <w:r w:rsidR="00791981">
        <w:rPr>
          <w:rStyle w:val="Referencingstyle"/>
        </w:rPr>
        <w:t>33</w:t>
      </w:r>
      <w:r w:rsidR="00E82FB1" w:rsidRPr="00E82FB1">
        <w:rPr>
          <w:rStyle w:val="Referencingstyle"/>
        </w:rPr>
        <w:t>(1)]</w:t>
      </w:r>
    </w:p>
    <w:p w14:paraId="3257B1E2" w14:textId="77777777" w:rsidR="00190BE6" w:rsidRPr="00190BE6" w:rsidRDefault="00E82FB1" w:rsidP="000F194A">
      <w:pPr>
        <w:pStyle w:val="base-text-paragraph"/>
      </w:pPr>
      <w:r>
        <w:t>A</w:t>
      </w:r>
      <w:r w:rsidR="00190BE6">
        <w:t xml:space="preserve"> </w:t>
      </w:r>
      <w:r w:rsidR="000D17C5">
        <w:t>transfer under sub</w:t>
      </w:r>
      <w:r>
        <w:t>section</w:t>
      </w:r>
      <w:r w:rsidR="000D17C5">
        <w:t xml:space="preserve"> </w:t>
      </w:r>
      <w:r w:rsidR="00791981" w:rsidRPr="001A57F7">
        <w:t>3</w:t>
      </w:r>
      <w:r w:rsidR="00791981">
        <w:t>3</w:t>
      </w:r>
      <w:r w:rsidR="000D17C5" w:rsidRPr="001A57F7">
        <w:t>(1)</w:t>
      </w:r>
      <w:r w:rsidR="000D17C5">
        <w:t xml:space="preserve"> cannot take place without</w:t>
      </w:r>
      <w:r w:rsidR="00190BE6">
        <w:t>:</w:t>
      </w:r>
    </w:p>
    <w:p w14:paraId="694FE7F1" w14:textId="77777777" w:rsidR="00190BE6" w:rsidRPr="00190BE6" w:rsidRDefault="00190BE6" w:rsidP="00190BE6">
      <w:pPr>
        <w:pStyle w:val="dotpoint"/>
        <w:rPr>
          <w:b/>
          <w:i/>
          <w:sz w:val="18"/>
        </w:rPr>
      </w:pPr>
      <w:r>
        <w:t>the insurers jointly applying, in the approved form, to APRA for approval;</w:t>
      </w:r>
    </w:p>
    <w:p w14:paraId="3981F546" w14:textId="77777777" w:rsidR="00190BE6" w:rsidRPr="00190BE6" w:rsidRDefault="00190BE6" w:rsidP="00190BE6">
      <w:pPr>
        <w:pStyle w:val="dotpoint"/>
        <w:rPr>
          <w:b/>
          <w:i/>
          <w:sz w:val="18"/>
        </w:rPr>
      </w:pPr>
      <w:r>
        <w:t xml:space="preserve">APRA’s </w:t>
      </w:r>
      <w:r w:rsidR="000D17C5">
        <w:t>written approval</w:t>
      </w:r>
      <w:r>
        <w:t>;</w:t>
      </w:r>
      <w:r w:rsidR="00114012">
        <w:t xml:space="preserve"> and</w:t>
      </w:r>
    </w:p>
    <w:p w14:paraId="49AB4769" w14:textId="77777777" w:rsidR="000D17C5" w:rsidRDefault="00114012" w:rsidP="00190BE6">
      <w:pPr>
        <w:pStyle w:val="dotpoint"/>
        <w:rPr>
          <w:rStyle w:val="Referencingstyle"/>
        </w:rPr>
      </w:pPr>
      <w:r>
        <w:t>t</w:t>
      </w:r>
      <w:r w:rsidR="00190BE6">
        <w:t xml:space="preserve">he insurers complying with any </w:t>
      </w:r>
      <w:r w:rsidR="0010165D">
        <w:t xml:space="preserve">relevant </w:t>
      </w:r>
      <w:r w:rsidR="00190BE6">
        <w:t>requirements in APRA rules.</w:t>
      </w:r>
      <w:r w:rsidR="00E82FB1">
        <w:t xml:space="preserve">  </w:t>
      </w:r>
      <w:r w:rsidR="00E82FB1" w:rsidRPr="00E82FB1">
        <w:rPr>
          <w:rStyle w:val="Referencingstyle"/>
        </w:rPr>
        <w:t xml:space="preserve">[Part 3, Division </w:t>
      </w:r>
      <w:r w:rsidR="00A55671">
        <w:rPr>
          <w:rStyle w:val="Referencingstyle"/>
        </w:rPr>
        <w:t>4</w:t>
      </w:r>
      <w:r w:rsidR="00E82FB1" w:rsidRPr="00E82FB1">
        <w:rPr>
          <w:rStyle w:val="Referencingstyle"/>
        </w:rPr>
        <w:t xml:space="preserve">, subsection </w:t>
      </w:r>
      <w:r w:rsidR="00791981">
        <w:rPr>
          <w:rStyle w:val="Referencingstyle"/>
        </w:rPr>
        <w:t>33</w:t>
      </w:r>
      <w:r w:rsidR="00A55671">
        <w:rPr>
          <w:rStyle w:val="Referencingstyle"/>
        </w:rPr>
        <w:t>(</w:t>
      </w:r>
      <w:r w:rsidR="00E82FB1" w:rsidRPr="00E82FB1">
        <w:rPr>
          <w:rStyle w:val="Referencingstyle"/>
        </w:rPr>
        <w:t>2)]</w:t>
      </w:r>
    </w:p>
    <w:p w14:paraId="4ADF5DD6" w14:textId="77777777" w:rsidR="00791981" w:rsidRPr="006C3D7A" w:rsidRDefault="00791981" w:rsidP="006C3D7A">
      <w:pPr>
        <w:pStyle w:val="Heading5"/>
      </w:pPr>
      <w:r w:rsidRPr="006C3D7A">
        <w:t>How APRA decides whether to approve the arrangement</w:t>
      </w:r>
    </w:p>
    <w:p w14:paraId="761FBAA6" w14:textId="77777777" w:rsidR="00114012" w:rsidRDefault="00E82FB1" w:rsidP="000F194A">
      <w:pPr>
        <w:pStyle w:val="base-text-paragraph"/>
      </w:pPr>
      <w:r>
        <w:t>APRA</w:t>
      </w:r>
      <w:r w:rsidR="000D17C5">
        <w:t xml:space="preserve"> </w:t>
      </w:r>
      <w:r w:rsidR="00132413">
        <w:t>must</w:t>
      </w:r>
      <w:r w:rsidR="000D17C5">
        <w:t xml:space="preserve"> approve the transfer if</w:t>
      </w:r>
      <w:r w:rsidR="00114012">
        <w:t xml:space="preserve"> it is satisfied that:</w:t>
      </w:r>
    </w:p>
    <w:p w14:paraId="3A485F53" w14:textId="77777777" w:rsidR="00114012" w:rsidRDefault="000D17C5" w:rsidP="00E82FB1">
      <w:pPr>
        <w:pStyle w:val="dotpoint"/>
      </w:pPr>
      <w:r>
        <w:t>the allocation of assets and liabilities to any new health benefits fund is</w:t>
      </w:r>
      <w:r w:rsidR="00114012">
        <w:t xml:space="preserve"> a</w:t>
      </w:r>
      <w:r>
        <w:t xml:space="preserve"> reasonable</w:t>
      </w:r>
      <w:r w:rsidR="00114012">
        <w:t xml:space="preserve"> estimate of the net asset position of the fund (or funds)</w:t>
      </w:r>
      <w:r w:rsidR="00A62834">
        <w:t xml:space="preserve"> (again, the concept of the net asset position is modified when not all policy groups are being transferred – see below</w:t>
      </w:r>
      <w:r w:rsidR="00114012">
        <w:t xml:space="preserve">); </w:t>
      </w:r>
    </w:p>
    <w:p w14:paraId="057DD816" w14:textId="77777777" w:rsidR="00114012" w:rsidRDefault="00114012" w:rsidP="00E82FB1">
      <w:pPr>
        <w:pStyle w:val="dotpoint"/>
      </w:pPr>
      <w:r>
        <w:t xml:space="preserve">if there would be multiple receiving funds, that the distribution of assets and liabilities would be fairly distributed between those funds; </w:t>
      </w:r>
    </w:p>
    <w:p w14:paraId="47D76ACE" w14:textId="77777777" w:rsidR="00132413" w:rsidRDefault="00132413" w:rsidP="00132413">
      <w:pPr>
        <w:pStyle w:val="dotpoint"/>
      </w:pPr>
      <w:r w:rsidRPr="00132413">
        <w:t xml:space="preserve">if all the insurance policies that are referable to the transferring fund are transferred, the net asset position of the transferring fund after the arrangement takes effect </w:t>
      </w:r>
      <w:r>
        <w:t>will not be greater than zero; and</w:t>
      </w:r>
    </w:p>
    <w:p w14:paraId="2E293E20" w14:textId="77777777" w:rsidR="000D17C5" w:rsidRDefault="00237638" w:rsidP="00E82FB1">
      <w:pPr>
        <w:pStyle w:val="dotpoint"/>
      </w:pPr>
      <w:r>
        <w:t>the transfer will not result in a breach of a prudential standard.</w:t>
      </w:r>
      <w:r w:rsidR="00E82FB1">
        <w:t xml:space="preserve"> </w:t>
      </w:r>
      <w:r w:rsidR="00E82FB1" w:rsidRPr="00E82FB1">
        <w:rPr>
          <w:rStyle w:val="Referencingstyle"/>
        </w:rPr>
        <w:t xml:space="preserve">[Part 3, Division </w:t>
      </w:r>
      <w:r w:rsidR="00A55671">
        <w:rPr>
          <w:rStyle w:val="Referencingstyle"/>
        </w:rPr>
        <w:t>4</w:t>
      </w:r>
      <w:r w:rsidR="00E82FB1" w:rsidRPr="00E82FB1">
        <w:rPr>
          <w:rStyle w:val="Referencingstyle"/>
        </w:rPr>
        <w:t xml:space="preserve">, subsection </w:t>
      </w:r>
      <w:r w:rsidR="00791981">
        <w:rPr>
          <w:rStyle w:val="Referencingstyle"/>
        </w:rPr>
        <w:t>33</w:t>
      </w:r>
      <w:r w:rsidR="00E82FB1" w:rsidRPr="00E82FB1">
        <w:rPr>
          <w:rStyle w:val="Referencingstyle"/>
        </w:rPr>
        <w:t>(3)]</w:t>
      </w:r>
    </w:p>
    <w:p w14:paraId="7F410A91" w14:textId="77777777" w:rsidR="000D17C5" w:rsidRDefault="000D17C5" w:rsidP="000F194A">
      <w:pPr>
        <w:pStyle w:val="base-text-paragraph"/>
      </w:pPr>
      <w:r>
        <w:t xml:space="preserve">A refusal to approve a transfer is reviewable under </w:t>
      </w:r>
      <w:r w:rsidR="00190BE6" w:rsidRPr="001A57F7">
        <w:t xml:space="preserve">section </w:t>
      </w:r>
      <w:r w:rsidR="00E77DCC">
        <w:t>168</w:t>
      </w:r>
      <w:r>
        <w:t>.</w:t>
      </w:r>
      <w:r w:rsidR="006B20A8">
        <w:t xml:space="preserve"> It is not a legislative instrument, as decisions are made on a case by case basis. Therefore the statement in section 33(8) is not a substantive exemption</w:t>
      </w:r>
      <w:r w:rsidR="00007607">
        <w:t xml:space="preserve"> from the Legislative Instruments Act</w:t>
      </w:r>
      <w:r w:rsidR="006B20A8">
        <w:t>, but a statement of the ‘status quo’.</w:t>
      </w:r>
    </w:p>
    <w:p w14:paraId="7D3F5EAC" w14:textId="6591D665" w:rsidR="00237638" w:rsidRDefault="00237638" w:rsidP="000F194A">
      <w:pPr>
        <w:pStyle w:val="base-text-paragraph"/>
      </w:pPr>
      <w:r w:rsidRPr="00237638">
        <w:t xml:space="preserve">In working out the net assets position of the transferring fund, </w:t>
      </w:r>
      <w:r w:rsidR="00B54775">
        <w:t xml:space="preserve">it will be necessary to </w:t>
      </w:r>
      <w:r w:rsidRPr="00237638">
        <w:t xml:space="preserve">disregard the net asset position of the transferring fund to the extent that it relates to insurance policies that do not belong to a policy group </w:t>
      </w:r>
      <w:r w:rsidR="000B5DF1">
        <w:t xml:space="preserve">transferred to the receiving </w:t>
      </w:r>
      <w:r w:rsidR="00B54775">
        <w:t>fund(s)</w:t>
      </w:r>
      <w:r w:rsidRPr="00237638">
        <w:t>.</w:t>
      </w:r>
      <w:r w:rsidR="00CD2D14">
        <w:t xml:space="preserve"> </w:t>
      </w:r>
      <w:r w:rsidRPr="00237638">
        <w:rPr>
          <w:rStyle w:val="Referencingstyle"/>
        </w:rPr>
        <w:t xml:space="preserve">[Part 3, Division </w:t>
      </w:r>
      <w:r w:rsidR="00A55671">
        <w:rPr>
          <w:rStyle w:val="Referencingstyle"/>
        </w:rPr>
        <w:t>4</w:t>
      </w:r>
      <w:r w:rsidRPr="00237638">
        <w:rPr>
          <w:rStyle w:val="Referencingstyle"/>
        </w:rPr>
        <w:t xml:space="preserve">, subsection </w:t>
      </w:r>
      <w:r w:rsidR="00791981">
        <w:rPr>
          <w:rStyle w:val="Referencingstyle"/>
        </w:rPr>
        <w:t>33</w:t>
      </w:r>
      <w:r w:rsidRPr="00237638">
        <w:rPr>
          <w:rStyle w:val="Referencingstyle"/>
        </w:rPr>
        <w:t>(4)]</w:t>
      </w:r>
    </w:p>
    <w:p w14:paraId="031FF263" w14:textId="77777777" w:rsidR="00791981" w:rsidRDefault="00791981" w:rsidP="006C3D7A">
      <w:pPr>
        <w:pStyle w:val="Heading5"/>
      </w:pPr>
      <w:r>
        <w:t>APRA rules may provide for various matters</w:t>
      </w:r>
    </w:p>
    <w:p w14:paraId="7BA263DA" w14:textId="77777777" w:rsidR="00237638" w:rsidRDefault="00237638" w:rsidP="000F194A">
      <w:pPr>
        <w:pStyle w:val="base-text-paragraph"/>
      </w:pPr>
      <w:r>
        <w:t>APRA r</w:t>
      </w:r>
      <w:r w:rsidR="000D17C5">
        <w:t>ules may provide for</w:t>
      </w:r>
      <w:r>
        <w:t>:</w:t>
      </w:r>
    </w:p>
    <w:p w14:paraId="1FDDA2A1" w14:textId="77777777" w:rsidR="00237638" w:rsidRDefault="000D17C5" w:rsidP="00237638">
      <w:pPr>
        <w:pStyle w:val="dotpoint"/>
      </w:pPr>
      <w:r>
        <w:t xml:space="preserve">criteria for approving or refusing to approve applications under </w:t>
      </w:r>
      <w:r w:rsidR="00237638" w:rsidRPr="001A57F7">
        <w:t>s</w:t>
      </w:r>
      <w:r w:rsidR="00F725C5">
        <w:t>ubs</w:t>
      </w:r>
      <w:r w:rsidR="00237638" w:rsidRPr="001A57F7">
        <w:t>ection</w:t>
      </w:r>
      <w:r w:rsidRPr="001A57F7">
        <w:t xml:space="preserve"> </w:t>
      </w:r>
      <w:r w:rsidR="00E42CF6" w:rsidRPr="001A57F7">
        <w:t>3</w:t>
      </w:r>
      <w:r w:rsidR="00E42CF6">
        <w:t>3</w:t>
      </w:r>
      <w:r w:rsidR="00F725C5">
        <w:t>(2)</w:t>
      </w:r>
      <w:r w:rsidR="00A55671">
        <w:t>;</w:t>
      </w:r>
      <w:r>
        <w:t xml:space="preserve"> </w:t>
      </w:r>
    </w:p>
    <w:p w14:paraId="14B4AB6B" w14:textId="77777777" w:rsidR="00237638" w:rsidRDefault="00237638" w:rsidP="00237638">
      <w:pPr>
        <w:pStyle w:val="dotpoint"/>
      </w:pPr>
      <w:r>
        <w:t xml:space="preserve">calculating reasonable estimates referred to in </w:t>
      </w:r>
      <w:r w:rsidRPr="001A57F7">
        <w:t>paragraph</w:t>
      </w:r>
      <w:r w:rsidR="005058B7">
        <w:t> </w:t>
      </w:r>
      <w:r w:rsidR="00791981" w:rsidRPr="001A57F7">
        <w:t>3</w:t>
      </w:r>
      <w:r w:rsidR="00791981">
        <w:t>3</w:t>
      </w:r>
      <w:r w:rsidRPr="001A57F7">
        <w:t>(3)(a)</w:t>
      </w:r>
      <w:r>
        <w:t>;</w:t>
      </w:r>
    </w:p>
    <w:p w14:paraId="7220F2CC" w14:textId="77777777" w:rsidR="00237638" w:rsidRDefault="00237638" w:rsidP="00237638">
      <w:pPr>
        <w:pStyle w:val="dotpoint"/>
      </w:pPr>
      <w:r>
        <w:t xml:space="preserve">criteria for </w:t>
      </w:r>
      <w:r w:rsidR="005F7B1E">
        <w:t>deciding</w:t>
      </w:r>
      <w:r>
        <w:t xml:space="preserve"> </w:t>
      </w:r>
      <w:r w:rsidR="005F7B1E">
        <w:t>whether</w:t>
      </w:r>
      <w:r>
        <w:t xml:space="preserve"> assets and liabilities would be fairly distributed f</w:t>
      </w:r>
      <w:r w:rsidR="00147439">
        <w:t>o</w:t>
      </w:r>
      <w:r>
        <w:t xml:space="preserve">r the purposes of </w:t>
      </w:r>
      <w:r w:rsidRPr="001A57F7">
        <w:t xml:space="preserve">paragraph </w:t>
      </w:r>
      <w:r w:rsidR="00791981" w:rsidRPr="001A57F7">
        <w:t>3</w:t>
      </w:r>
      <w:r w:rsidR="00791981">
        <w:t>3</w:t>
      </w:r>
      <w:r w:rsidR="00A55671" w:rsidRPr="001A57F7">
        <w:t>(</w:t>
      </w:r>
      <w:r w:rsidRPr="001A57F7">
        <w:t>3)(b)</w:t>
      </w:r>
      <w:r>
        <w:t>;</w:t>
      </w:r>
    </w:p>
    <w:p w14:paraId="750F6E86" w14:textId="77777777" w:rsidR="00237638" w:rsidRDefault="000D17C5" w:rsidP="00237638">
      <w:pPr>
        <w:pStyle w:val="dotpoint"/>
      </w:pPr>
      <w:r>
        <w:t>requirements to notify people of the outcomes of applications</w:t>
      </w:r>
      <w:r w:rsidR="00147439">
        <w:t xml:space="preserve">; </w:t>
      </w:r>
    </w:p>
    <w:p w14:paraId="6C0FF29A" w14:textId="77777777" w:rsidR="005F7B1E" w:rsidRDefault="000D17C5" w:rsidP="00237638">
      <w:pPr>
        <w:pStyle w:val="dotpoint"/>
      </w:pPr>
      <w:r>
        <w:t>a number of administrative matters</w:t>
      </w:r>
      <w:r w:rsidR="00A62834">
        <w:t xml:space="preserve"> connected with the arrangement</w:t>
      </w:r>
      <w:r w:rsidR="00147439">
        <w:t>;</w:t>
      </w:r>
    </w:p>
    <w:p w14:paraId="3ADAFBC0" w14:textId="26DABD14" w:rsidR="000D17C5" w:rsidRDefault="000D17C5" w:rsidP="00237638">
      <w:pPr>
        <w:pStyle w:val="dotpoint"/>
      </w:pPr>
      <w:r>
        <w:t xml:space="preserve">requirements for insurers to provide information to </w:t>
      </w:r>
      <w:r w:rsidR="00E82FB1">
        <w:t>APRA</w:t>
      </w:r>
      <w:r>
        <w:t xml:space="preserve"> following transfers. </w:t>
      </w:r>
      <w:r w:rsidR="00E82FB1" w:rsidRPr="00E82FB1">
        <w:rPr>
          <w:rStyle w:val="Referencingstyle"/>
        </w:rPr>
        <w:t xml:space="preserve">[Part 3, Division </w:t>
      </w:r>
      <w:r w:rsidR="00A55671">
        <w:rPr>
          <w:rStyle w:val="Referencingstyle"/>
        </w:rPr>
        <w:t>4</w:t>
      </w:r>
      <w:r w:rsidR="00E82FB1" w:rsidRPr="00E82FB1">
        <w:rPr>
          <w:rStyle w:val="Referencingstyle"/>
        </w:rPr>
        <w:t xml:space="preserve">, subsection </w:t>
      </w:r>
      <w:r w:rsidR="00A55671">
        <w:rPr>
          <w:rStyle w:val="Referencingstyle"/>
        </w:rPr>
        <w:t>3</w:t>
      </w:r>
      <w:r w:rsidR="00791981">
        <w:rPr>
          <w:rStyle w:val="Referencingstyle"/>
        </w:rPr>
        <w:t>3(</w:t>
      </w:r>
      <w:r w:rsidR="005F7B1E">
        <w:rPr>
          <w:rStyle w:val="Referencingstyle"/>
        </w:rPr>
        <w:t>5</w:t>
      </w:r>
      <w:r w:rsidR="00E82FB1" w:rsidRPr="00E82FB1">
        <w:rPr>
          <w:rStyle w:val="Referencingstyle"/>
        </w:rPr>
        <w:t>)]</w:t>
      </w:r>
    </w:p>
    <w:p w14:paraId="7DF8CDB0" w14:textId="77777777" w:rsidR="00791981" w:rsidRDefault="00791981" w:rsidP="006C3D7A">
      <w:pPr>
        <w:pStyle w:val="Heading5"/>
      </w:pPr>
      <w:r>
        <w:t>Notice to be given if arrangement takes effect</w:t>
      </w:r>
    </w:p>
    <w:p w14:paraId="4CF7CA14" w14:textId="77777777" w:rsidR="000D17C5" w:rsidRPr="00E82FB1" w:rsidRDefault="00E82FB1" w:rsidP="000F194A">
      <w:pPr>
        <w:pStyle w:val="base-text-paragraph"/>
        <w:rPr>
          <w:rStyle w:val="Referencingstyle"/>
          <w:b w:val="0"/>
          <w:i w:val="0"/>
          <w:sz w:val="22"/>
        </w:rPr>
      </w:pPr>
      <w:r>
        <w:t>T</w:t>
      </w:r>
      <w:r w:rsidR="000D17C5">
        <w:t xml:space="preserve">he transferee insurer </w:t>
      </w:r>
      <w:r>
        <w:t xml:space="preserve">must </w:t>
      </w:r>
      <w:r w:rsidR="000D17C5">
        <w:t xml:space="preserve">notify </w:t>
      </w:r>
      <w:r>
        <w:t>APRA</w:t>
      </w:r>
      <w:r w:rsidR="000D17C5">
        <w:t xml:space="preserve"> within 28 days after the transfer takes place, in a notice complying with any </w:t>
      </w:r>
      <w:r w:rsidR="009B5A24">
        <w:t xml:space="preserve">relevant </w:t>
      </w:r>
      <w:r w:rsidR="000D17C5">
        <w:t xml:space="preserve">requirements in the </w:t>
      </w:r>
      <w:r w:rsidRPr="001A57F7">
        <w:t>APRA r</w:t>
      </w:r>
      <w:r w:rsidR="000D17C5" w:rsidRPr="001A57F7">
        <w:t>ules</w:t>
      </w:r>
      <w:r w:rsidR="000D17C5">
        <w:t>.</w:t>
      </w:r>
      <w:r>
        <w:t xml:space="preserve">  </w:t>
      </w:r>
      <w:r w:rsidRPr="00E82FB1">
        <w:rPr>
          <w:rStyle w:val="Referencingstyle"/>
        </w:rPr>
        <w:t xml:space="preserve">[Part 3, Division </w:t>
      </w:r>
      <w:r w:rsidR="00B711BF">
        <w:rPr>
          <w:rStyle w:val="Referencingstyle"/>
        </w:rPr>
        <w:t>4</w:t>
      </w:r>
      <w:r w:rsidRPr="00E82FB1">
        <w:rPr>
          <w:rStyle w:val="Referencingstyle"/>
        </w:rPr>
        <w:t xml:space="preserve">, subsection </w:t>
      </w:r>
      <w:r w:rsidR="00791981">
        <w:rPr>
          <w:rStyle w:val="Referencingstyle"/>
        </w:rPr>
        <w:t>33</w:t>
      </w:r>
      <w:r w:rsidR="00B711BF">
        <w:rPr>
          <w:rStyle w:val="Referencingstyle"/>
        </w:rPr>
        <w:t>(</w:t>
      </w:r>
      <w:r w:rsidR="005F7B1E">
        <w:rPr>
          <w:rStyle w:val="Referencingstyle"/>
        </w:rPr>
        <w:t>6</w:t>
      </w:r>
      <w:r w:rsidRPr="00E82FB1">
        <w:rPr>
          <w:rStyle w:val="Referencingstyle"/>
        </w:rPr>
        <w:t>)]</w:t>
      </w:r>
    </w:p>
    <w:p w14:paraId="591045E5" w14:textId="77777777" w:rsidR="00791981" w:rsidRDefault="00791981" w:rsidP="006C3D7A">
      <w:pPr>
        <w:pStyle w:val="Heading5"/>
      </w:pPr>
      <w:r>
        <w:t>Effect of arrangement</w:t>
      </w:r>
    </w:p>
    <w:p w14:paraId="605639DB" w14:textId="77777777" w:rsidR="00E82FB1" w:rsidRPr="006B20A8" w:rsidRDefault="00A62834" w:rsidP="000F194A">
      <w:pPr>
        <w:pStyle w:val="base-text-paragraph"/>
        <w:rPr>
          <w:rStyle w:val="Referencingstyle"/>
          <w:b w:val="0"/>
          <w:i w:val="0"/>
          <w:sz w:val="22"/>
        </w:rPr>
      </w:pPr>
      <w:r>
        <w:t xml:space="preserve">If an insurance policy becomes referable to a fund conducted by an insurer other than the insurer that issued the policy as a result of a merger or acquisition, it is treated, after the arrangement takes effect, as if the policy were issued by the transferee insurer, for both the purposes </w:t>
      </w:r>
      <w:r w:rsidR="00E77DCC">
        <w:t>of th</w:t>
      </w:r>
      <w:r w:rsidR="006C6BD0">
        <w:t>e</w:t>
      </w:r>
      <w:r>
        <w:t xml:space="preserve"> </w:t>
      </w:r>
      <w:r w:rsidR="006C6BD0">
        <w:rPr>
          <w:lang w:val="en-US" w:eastAsia="en-US"/>
        </w:rPr>
        <w:t>Prudential Supervision Bill</w:t>
      </w:r>
      <w:r w:rsidR="006C6BD0">
        <w:t xml:space="preserve"> </w:t>
      </w:r>
      <w:r>
        <w:t>and the PHI Act.</w:t>
      </w:r>
      <w:r w:rsidR="005F7B1E">
        <w:t xml:space="preserve">   </w:t>
      </w:r>
      <w:r w:rsidR="005F7B1E" w:rsidRPr="005F7B1E">
        <w:rPr>
          <w:rStyle w:val="Referencingstyle"/>
        </w:rPr>
        <w:t xml:space="preserve">[Part 3, Division </w:t>
      </w:r>
      <w:r w:rsidR="00A55671">
        <w:rPr>
          <w:rStyle w:val="Referencingstyle"/>
        </w:rPr>
        <w:t>4</w:t>
      </w:r>
      <w:r w:rsidR="005F7B1E" w:rsidRPr="005F7B1E">
        <w:rPr>
          <w:rStyle w:val="Referencingstyle"/>
        </w:rPr>
        <w:t xml:space="preserve">, subsection </w:t>
      </w:r>
      <w:r w:rsidR="00791981">
        <w:rPr>
          <w:rStyle w:val="Referencingstyle"/>
        </w:rPr>
        <w:t>33</w:t>
      </w:r>
      <w:r w:rsidR="005F7B1E" w:rsidRPr="005F7B1E">
        <w:rPr>
          <w:rStyle w:val="Referencingstyle"/>
        </w:rPr>
        <w:t>(7)]</w:t>
      </w:r>
    </w:p>
    <w:p w14:paraId="66F67454" w14:textId="77777777" w:rsidR="005F7B1E" w:rsidRDefault="005F7B1E" w:rsidP="005F7B1E">
      <w:pPr>
        <w:pStyle w:val="Heading4"/>
      </w:pPr>
      <w:r>
        <w:t>Consent of policy holders not required</w:t>
      </w:r>
    </w:p>
    <w:p w14:paraId="17D99854" w14:textId="4C1979F0" w:rsidR="005F7B1E" w:rsidRDefault="005F7B1E" w:rsidP="000F194A">
      <w:pPr>
        <w:pStyle w:val="base-text-paragraph"/>
      </w:pPr>
      <w:r>
        <w:t>T</w:t>
      </w:r>
      <w:r w:rsidRPr="005F7B1E">
        <w:t xml:space="preserve">he consent of policy holders to a restructure under </w:t>
      </w:r>
      <w:r>
        <w:t>section</w:t>
      </w:r>
      <w:r w:rsidRPr="005F7B1E">
        <w:t xml:space="preserve"> </w:t>
      </w:r>
      <w:r w:rsidR="007C0313">
        <w:t>32</w:t>
      </w:r>
      <w:r w:rsidR="007C0313" w:rsidRPr="005F7B1E">
        <w:t xml:space="preserve"> </w:t>
      </w:r>
      <w:r w:rsidRPr="005F7B1E">
        <w:t>or an arrangement under</w:t>
      </w:r>
      <w:r>
        <w:t xml:space="preserve"> section</w:t>
      </w:r>
      <w:r w:rsidRPr="005F7B1E">
        <w:t xml:space="preserve"> </w:t>
      </w:r>
      <w:r w:rsidR="007C0313">
        <w:t>33</w:t>
      </w:r>
      <w:r w:rsidR="007C0313" w:rsidRPr="005F7B1E">
        <w:t xml:space="preserve"> </w:t>
      </w:r>
      <w:r w:rsidRPr="005F7B1E">
        <w:t xml:space="preserve">is not required unless the </w:t>
      </w:r>
      <w:r w:rsidR="00B711BF" w:rsidRPr="005F7B1E">
        <w:t>insurer</w:t>
      </w:r>
      <w:r w:rsidR="00B711BF">
        <w:t xml:space="preserve">’s </w:t>
      </w:r>
      <w:r w:rsidRPr="005F7B1E">
        <w:t>constitution requires it.</w:t>
      </w:r>
      <w:r w:rsidR="00CD2D14">
        <w:t xml:space="preserve"> </w:t>
      </w:r>
      <w:r w:rsidR="00B711BF" w:rsidRPr="001A57F7">
        <w:rPr>
          <w:rStyle w:val="Referencingstyle"/>
        </w:rPr>
        <w:t>[Part 3, Division 4, section 3</w:t>
      </w:r>
      <w:r w:rsidR="007C0313">
        <w:rPr>
          <w:rStyle w:val="Referencingstyle"/>
        </w:rPr>
        <w:t>4</w:t>
      </w:r>
      <w:r w:rsidR="00B711BF" w:rsidRPr="001A57F7">
        <w:rPr>
          <w:rStyle w:val="Referencingstyle"/>
        </w:rPr>
        <w:t>]</w:t>
      </w:r>
    </w:p>
    <w:p w14:paraId="11B591E1" w14:textId="77777777" w:rsidR="005F7B1E" w:rsidRDefault="005F7B1E" w:rsidP="005F7B1E">
      <w:pPr>
        <w:pStyle w:val="Heading3"/>
      </w:pPr>
      <w:r>
        <w:t xml:space="preserve">Division </w:t>
      </w:r>
      <w:r w:rsidR="003660CE">
        <w:t xml:space="preserve">5 </w:t>
      </w:r>
      <w:r>
        <w:t>– Termination of health benefits funds</w:t>
      </w:r>
    </w:p>
    <w:p w14:paraId="7DAA2386" w14:textId="77777777" w:rsidR="005F7B1E" w:rsidRDefault="00EB2674" w:rsidP="005F7B1E">
      <w:pPr>
        <w:pStyle w:val="Heading4"/>
      </w:pPr>
      <w:r>
        <w:t xml:space="preserve">Subdivision A </w:t>
      </w:r>
      <w:r w:rsidR="00F851CD">
        <w:t>–</w:t>
      </w:r>
      <w:r>
        <w:t xml:space="preserve"> </w:t>
      </w:r>
      <w:r w:rsidR="005F7B1E">
        <w:t>Approving the termination of health benefits funds</w:t>
      </w:r>
    </w:p>
    <w:p w14:paraId="0321D421" w14:textId="77777777" w:rsidR="005F7B1E" w:rsidRDefault="005F7B1E" w:rsidP="005F7B1E">
      <w:pPr>
        <w:pStyle w:val="Heading5"/>
      </w:pPr>
      <w:r>
        <w:t>Applying for termination</w:t>
      </w:r>
    </w:p>
    <w:p w14:paraId="43D3A09F" w14:textId="77777777" w:rsidR="005F7B1E" w:rsidRDefault="005F7B1E" w:rsidP="000F194A">
      <w:pPr>
        <w:pStyle w:val="base-text-paragraph"/>
      </w:pPr>
      <w:r>
        <w:t xml:space="preserve">A private health insurer </w:t>
      </w:r>
      <w:r w:rsidR="00A62834">
        <w:t xml:space="preserve">may </w:t>
      </w:r>
      <w:r>
        <w:t xml:space="preserve">to apply to </w:t>
      </w:r>
      <w:r w:rsidR="00EB2674">
        <w:t>APRA</w:t>
      </w:r>
      <w:r>
        <w:t xml:space="preserve"> in the approved form for approval of the termination of each of its health benefits funds.</w:t>
      </w:r>
      <w:r w:rsidR="00EB2674">
        <w:t xml:space="preserve"> </w:t>
      </w:r>
      <w:r w:rsidR="00514CF4">
        <w:t>Terminations may also occur under Federal Court orders as set out in Division 7.</w:t>
      </w:r>
      <w:r w:rsidR="00EB2674">
        <w:t xml:space="preserve">  </w:t>
      </w:r>
      <w:r w:rsidR="00EB2674" w:rsidRPr="00EB2674">
        <w:rPr>
          <w:rStyle w:val="Referencingstyle"/>
        </w:rPr>
        <w:t xml:space="preserve">[Part 3, Division </w:t>
      </w:r>
      <w:r w:rsidR="003660CE">
        <w:rPr>
          <w:rStyle w:val="Referencingstyle"/>
        </w:rPr>
        <w:t>5</w:t>
      </w:r>
      <w:r w:rsidR="00EB2674" w:rsidRPr="00EB2674">
        <w:rPr>
          <w:rStyle w:val="Referencingstyle"/>
        </w:rPr>
        <w:t xml:space="preserve">, Subdivision </w:t>
      </w:r>
      <w:r w:rsidR="003660CE">
        <w:rPr>
          <w:rStyle w:val="Referencingstyle"/>
        </w:rPr>
        <w:t>A</w:t>
      </w:r>
      <w:r w:rsidR="00EB2674" w:rsidRPr="00EB2674">
        <w:rPr>
          <w:rStyle w:val="Referencingstyle"/>
        </w:rPr>
        <w:t xml:space="preserve">, section </w:t>
      </w:r>
      <w:r w:rsidR="007C0313">
        <w:rPr>
          <w:rStyle w:val="Referencingstyle"/>
        </w:rPr>
        <w:t>35</w:t>
      </w:r>
      <w:r w:rsidR="00EB2674" w:rsidRPr="00EB2674">
        <w:rPr>
          <w:rStyle w:val="Referencingstyle"/>
        </w:rPr>
        <w:t>]</w:t>
      </w:r>
    </w:p>
    <w:p w14:paraId="28C5DB2B" w14:textId="77777777" w:rsidR="005F7B1E" w:rsidRDefault="005F7B1E" w:rsidP="00EB2674">
      <w:pPr>
        <w:pStyle w:val="Heading5"/>
      </w:pPr>
      <w:r>
        <w:t>Req</w:t>
      </w:r>
      <w:r w:rsidR="00EB2674">
        <w:t xml:space="preserve">uiring </w:t>
      </w:r>
      <w:r>
        <w:t>further information</w:t>
      </w:r>
    </w:p>
    <w:p w14:paraId="4975BE36" w14:textId="77777777" w:rsidR="005F7B1E" w:rsidRDefault="00EB2674" w:rsidP="000F194A">
      <w:pPr>
        <w:pStyle w:val="base-text-paragraph"/>
      </w:pPr>
      <w:r>
        <w:t>APRA may</w:t>
      </w:r>
      <w:r w:rsidR="005F7B1E">
        <w:t xml:space="preserve"> seek further information from the applicant within 28 days of receiving the application under </w:t>
      </w:r>
      <w:r>
        <w:t>section</w:t>
      </w:r>
      <w:r w:rsidR="005F7B1E">
        <w:t xml:space="preserve"> </w:t>
      </w:r>
      <w:r w:rsidR="00E42CF6">
        <w:t>35</w:t>
      </w:r>
      <w:r w:rsidR="005F7B1E">
        <w:t>.</w:t>
      </w:r>
      <w:r>
        <w:t xml:space="preserve"> </w:t>
      </w:r>
      <w:r w:rsidRPr="00EB2674">
        <w:rPr>
          <w:rStyle w:val="Referencingstyle"/>
        </w:rPr>
        <w:t>[Part 3, Division</w:t>
      </w:r>
      <w:r w:rsidR="00D93CFB">
        <w:rPr>
          <w:rStyle w:val="Referencingstyle"/>
        </w:rPr>
        <w:t> </w:t>
      </w:r>
      <w:r w:rsidR="00EF47AB">
        <w:rPr>
          <w:rStyle w:val="Referencingstyle"/>
        </w:rPr>
        <w:t>5</w:t>
      </w:r>
      <w:r w:rsidRPr="00EB2674">
        <w:rPr>
          <w:rStyle w:val="Referencingstyle"/>
        </w:rPr>
        <w:t xml:space="preserve">, Subdivision </w:t>
      </w:r>
      <w:r w:rsidR="00EF47AB">
        <w:rPr>
          <w:rStyle w:val="Referencingstyle"/>
        </w:rPr>
        <w:t>A</w:t>
      </w:r>
      <w:r w:rsidRPr="00EB2674">
        <w:rPr>
          <w:rStyle w:val="Referencingstyle"/>
        </w:rPr>
        <w:t xml:space="preserve">, section </w:t>
      </w:r>
      <w:r w:rsidR="007C0313">
        <w:rPr>
          <w:rStyle w:val="Referencingstyle"/>
        </w:rPr>
        <w:t>36</w:t>
      </w:r>
      <w:r w:rsidRPr="00EB2674">
        <w:rPr>
          <w:rStyle w:val="Referencingstyle"/>
        </w:rPr>
        <w:t>]</w:t>
      </w:r>
    </w:p>
    <w:p w14:paraId="450F034B" w14:textId="77777777" w:rsidR="005F7B1E" w:rsidRDefault="00EB2674" w:rsidP="00EB2674">
      <w:pPr>
        <w:pStyle w:val="Heading5"/>
      </w:pPr>
      <w:r>
        <w:t>D</w:t>
      </w:r>
      <w:r w:rsidR="005F7B1E">
        <w:t>eciding the application</w:t>
      </w:r>
    </w:p>
    <w:p w14:paraId="6BFE40BD" w14:textId="77777777" w:rsidR="005F7B1E" w:rsidRDefault="00EB2674" w:rsidP="000F194A">
      <w:pPr>
        <w:pStyle w:val="base-text-paragraph"/>
      </w:pPr>
      <w:r>
        <w:t>APRA</w:t>
      </w:r>
      <w:r w:rsidR="005F7B1E">
        <w:t xml:space="preserve"> must approve the termination </w:t>
      </w:r>
      <w:r w:rsidR="00C63863">
        <w:t xml:space="preserve">if </w:t>
      </w:r>
      <w:r w:rsidR="005F7B1E">
        <w:t xml:space="preserve">it is satisfied that the insurer is not being wound up, each of its health benefits funds </w:t>
      </w:r>
      <w:r w:rsidR="002A6C74">
        <w:t xml:space="preserve">complies with all applicable </w:t>
      </w:r>
      <w:r w:rsidR="000B5DF1" w:rsidRPr="001A57F7">
        <w:t xml:space="preserve">prudential </w:t>
      </w:r>
      <w:r w:rsidR="005F7B1E" w:rsidRPr="001A57F7">
        <w:t>standards</w:t>
      </w:r>
      <w:r w:rsidR="0013623A">
        <w:t xml:space="preserve"> relating to capital adequacy or solvency that apply in relation to the fund</w:t>
      </w:r>
      <w:r w:rsidR="005F7B1E">
        <w:t xml:space="preserve">, the termination will not result in unfairness to the policy </w:t>
      </w:r>
      <w:r w:rsidR="005F7B1E" w:rsidRPr="00C04AA9">
        <w:t xml:space="preserve">holders of the fund or funds, and </w:t>
      </w:r>
      <w:r w:rsidR="0013623A">
        <w:t>APRA</w:t>
      </w:r>
      <w:r w:rsidR="005F7B1E" w:rsidRPr="00C04AA9">
        <w:t xml:space="preserve"> is satisfied as to any matters specified in the </w:t>
      </w:r>
      <w:r w:rsidR="002A6C74" w:rsidRPr="006C3D7A">
        <w:t>APRA</w:t>
      </w:r>
      <w:r w:rsidR="005F7B1E" w:rsidRPr="006C3D7A">
        <w:t xml:space="preserve"> </w:t>
      </w:r>
      <w:r w:rsidR="00D469C9" w:rsidRPr="006C3D7A">
        <w:t>r</w:t>
      </w:r>
      <w:r w:rsidR="005F7B1E" w:rsidRPr="006C3D7A">
        <w:t>ules</w:t>
      </w:r>
      <w:r w:rsidR="005F7B1E" w:rsidRPr="00C04AA9">
        <w:t>.</w:t>
      </w:r>
      <w:r w:rsidR="006C6BD0">
        <w:t xml:space="preserve"> </w:t>
      </w:r>
      <w:r w:rsidRPr="007C0313">
        <w:rPr>
          <w:rStyle w:val="Referencingstyle"/>
        </w:rPr>
        <w:t>[</w:t>
      </w:r>
      <w:r w:rsidRPr="00EB2674">
        <w:rPr>
          <w:rStyle w:val="Referencingstyle"/>
        </w:rPr>
        <w:t xml:space="preserve">Part 3, Division </w:t>
      </w:r>
      <w:r w:rsidR="00EF47AB">
        <w:rPr>
          <w:rStyle w:val="Referencingstyle"/>
        </w:rPr>
        <w:t>5</w:t>
      </w:r>
      <w:r w:rsidRPr="00EB2674">
        <w:rPr>
          <w:rStyle w:val="Referencingstyle"/>
        </w:rPr>
        <w:t xml:space="preserve">, Subdivision </w:t>
      </w:r>
      <w:r w:rsidR="00EF47AB">
        <w:rPr>
          <w:rStyle w:val="Referencingstyle"/>
        </w:rPr>
        <w:t>A</w:t>
      </w:r>
      <w:r w:rsidRPr="00EB2674">
        <w:rPr>
          <w:rStyle w:val="Referencingstyle"/>
        </w:rPr>
        <w:t xml:space="preserve">, subsection </w:t>
      </w:r>
      <w:r w:rsidR="007C0313">
        <w:rPr>
          <w:rStyle w:val="Referencingstyle"/>
        </w:rPr>
        <w:t>37</w:t>
      </w:r>
      <w:r w:rsidR="006E70A9">
        <w:rPr>
          <w:rStyle w:val="Referencingstyle"/>
        </w:rPr>
        <w:t>(1)</w:t>
      </w:r>
      <w:r w:rsidRPr="00EB2674">
        <w:rPr>
          <w:rStyle w:val="Referencingstyle"/>
        </w:rPr>
        <w:t>]</w:t>
      </w:r>
    </w:p>
    <w:p w14:paraId="14069377" w14:textId="77777777" w:rsidR="00EB2674" w:rsidRDefault="00EB2674" w:rsidP="000F194A">
      <w:pPr>
        <w:pStyle w:val="base-text-paragraph"/>
      </w:pPr>
      <w:r>
        <w:t>If APRA</w:t>
      </w:r>
      <w:r w:rsidR="005F7B1E">
        <w:t xml:space="preserve"> </w:t>
      </w:r>
      <w:r w:rsidR="007C0313">
        <w:t xml:space="preserve">grants </w:t>
      </w:r>
      <w:r w:rsidR="005F7B1E">
        <w:t xml:space="preserve">the application it must </w:t>
      </w:r>
      <w:r w:rsidR="00183B10">
        <w:t>do so</w:t>
      </w:r>
      <w:r w:rsidR="005F7B1E">
        <w:t xml:space="preserve"> in writing. It may also appoint a person other than the insurer as the terminating manager of the funds, and if it does must also notify the insurer of the person appointed. </w:t>
      </w:r>
      <w:r w:rsidR="00F816A5" w:rsidRPr="00F816A5">
        <w:t xml:space="preserve">Approvals are only ever given on a case by case basis and standing approvals are not given. An approval would therefore not be a legislative instrument on general principles. </w:t>
      </w:r>
      <w:r w:rsidR="00F816A5">
        <w:t>Therefore the statement in subsection 37(4) is not an exemption from the Legislative Instruments Act</w:t>
      </w:r>
      <w:r w:rsidR="00C91615">
        <w:t xml:space="preserve">, but is a statement </w:t>
      </w:r>
      <w:r w:rsidR="009916E0">
        <w:t>of the ‘status quo’</w:t>
      </w:r>
      <w:r w:rsidR="00F816A5">
        <w:t>.</w:t>
      </w:r>
      <w:r w:rsidR="006C6BD0">
        <w:t xml:space="preserve"> </w:t>
      </w:r>
      <w:r w:rsidRPr="00EB2674">
        <w:rPr>
          <w:rStyle w:val="Referencingstyle"/>
        </w:rPr>
        <w:t xml:space="preserve">[Part 3, Division </w:t>
      </w:r>
      <w:r w:rsidR="00EF47AB">
        <w:rPr>
          <w:rStyle w:val="Referencingstyle"/>
        </w:rPr>
        <w:t>5</w:t>
      </w:r>
      <w:r w:rsidRPr="00EB2674">
        <w:rPr>
          <w:rStyle w:val="Referencingstyle"/>
        </w:rPr>
        <w:t xml:space="preserve">, Subdivision </w:t>
      </w:r>
      <w:r w:rsidR="00EF47AB">
        <w:rPr>
          <w:rStyle w:val="Referencingstyle"/>
        </w:rPr>
        <w:t>A</w:t>
      </w:r>
      <w:r w:rsidRPr="00EB2674">
        <w:rPr>
          <w:rStyle w:val="Referencingstyle"/>
        </w:rPr>
        <w:t>, subsection</w:t>
      </w:r>
      <w:r w:rsidR="005668F2">
        <w:rPr>
          <w:rStyle w:val="Referencingstyle"/>
        </w:rPr>
        <w:t>s</w:t>
      </w:r>
      <w:r w:rsidR="00EF47AB">
        <w:rPr>
          <w:rStyle w:val="Referencingstyle"/>
        </w:rPr>
        <w:t> </w:t>
      </w:r>
      <w:r w:rsidR="007C0313">
        <w:rPr>
          <w:rStyle w:val="Referencingstyle"/>
        </w:rPr>
        <w:t>37</w:t>
      </w:r>
      <w:r w:rsidRPr="00EB2674">
        <w:rPr>
          <w:rStyle w:val="Referencingstyle"/>
        </w:rPr>
        <w:t>(2)</w:t>
      </w:r>
      <w:r w:rsidR="005668F2">
        <w:rPr>
          <w:rStyle w:val="Referencingstyle"/>
        </w:rPr>
        <w:t xml:space="preserve"> and (4)</w:t>
      </w:r>
      <w:r w:rsidRPr="00EB2674">
        <w:rPr>
          <w:rStyle w:val="Referencingstyle"/>
        </w:rPr>
        <w:t>]</w:t>
      </w:r>
    </w:p>
    <w:p w14:paraId="5B53F8FF" w14:textId="77777777" w:rsidR="00EB2674" w:rsidRDefault="00EB2674" w:rsidP="000F194A">
      <w:pPr>
        <w:pStyle w:val="base-text-paragraph"/>
      </w:pPr>
      <w:r>
        <w:t>APRA must n</w:t>
      </w:r>
      <w:r w:rsidR="005F7B1E">
        <w:t xml:space="preserve">otify the applicant </w:t>
      </w:r>
      <w:r w:rsidR="005668F2">
        <w:t xml:space="preserve">in writing </w:t>
      </w:r>
      <w:r w:rsidR="005F7B1E">
        <w:t xml:space="preserve">if it refuses the application.  </w:t>
      </w:r>
      <w:r w:rsidRPr="00EB2674">
        <w:rPr>
          <w:rStyle w:val="Referencingstyle"/>
        </w:rPr>
        <w:t xml:space="preserve">[Part 3, Division </w:t>
      </w:r>
      <w:r w:rsidR="002A6C74">
        <w:rPr>
          <w:rStyle w:val="Referencingstyle"/>
        </w:rPr>
        <w:t>5</w:t>
      </w:r>
      <w:r w:rsidRPr="00EB2674">
        <w:rPr>
          <w:rStyle w:val="Referencingstyle"/>
        </w:rPr>
        <w:t xml:space="preserve">, Subdivision </w:t>
      </w:r>
      <w:r w:rsidR="002A6C74">
        <w:rPr>
          <w:rStyle w:val="Referencingstyle"/>
        </w:rPr>
        <w:t>A</w:t>
      </w:r>
      <w:r w:rsidRPr="00EB2674">
        <w:rPr>
          <w:rStyle w:val="Referencingstyle"/>
        </w:rPr>
        <w:t xml:space="preserve">, subsection </w:t>
      </w:r>
      <w:r w:rsidR="007C0313">
        <w:rPr>
          <w:rStyle w:val="Referencingstyle"/>
        </w:rPr>
        <w:t>37</w:t>
      </w:r>
      <w:r w:rsidRPr="00EB2674">
        <w:rPr>
          <w:rStyle w:val="Referencingstyle"/>
        </w:rPr>
        <w:t>(</w:t>
      </w:r>
      <w:r>
        <w:rPr>
          <w:rStyle w:val="Referencingstyle"/>
        </w:rPr>
        <w:t>3</w:t>
      </w:r>
      <w:r w:rsidRPr="00EB2674">
        <w:rPr>
          <w:rStyle w:val="Referencingstyle"/>
        </w:rPr>
        <w:t>)]</w:t>
      </w:r>
    </w:p>
    <w:p w14:paraId="3F843464" w14:textId="77777777" w:rsidR="005F7B1E" w:rsidRDefault="005F7B1E" w:rsidP="000F194A">
      <w:pPr>
        <w:pStyle w:val="base-text-paragraph"/>
      </w:pPr>
      <w:r>
        <w:t xml:space="preserve">A refusal to approve a termination is reviewable under </w:t>
      </w:r>
      <w:r w:rsidR="002A6C74">
        <w:t>section </w:t>
      </w:r>
      <w:r w:rsidR="00C57999">
        <w:t>168</w:t>
      </w:r>
      <w:r w:rsidR="00EB2674">
        <w:t xml:space="preserve">.  </w:t>
      </w:r>
    </w:p>
    <w:p w14:paraId="4DDAAD6E" w14:textId="77777777" w:rsidR="005F7B1E" w:rsidRDefault="00EB2674" w:rsidP="00EB2674">
      <w:pPr>
        <w:pStyle w:val="Heading5"/>
      </w:pPr>
      <w:r>
        <w:t>APRA</w:t>
      </w:r>
      <w:r w:rsidR="005F7B1E">
        <w:t xml:space="preserve"> can be taken to refuse application</w:t>
      </w:r>
    </w:p>
    <w:p w14:paraId="593C2B47" w14:textId="77777777" w:rsidR="005F7B1E" w:rsidRDefault="00F851CD" w:rsidP="000F194A">
      <w:pPr>
        <w:pStyle w:val="base-text-paragraph"/>
      </w:pPr>
      <w:r>
        <w:t>APRA</w:t>
      </w:r>
      <w:r w:rsidR="005F7B1E">
        <w:t xml:space="preserve"> is taken to have refused the application for the purposes of </w:t>
      </w:r>
      <w:r w:rsidRPr="001A57F7">
        <w:t xml:space="preserve">section </w:t>
      </w:r>
      <w:r w:rsidR="007C0313">
        <w:t>16</w:t>
      </w:r>
      <w:r w:rsidR="000D5439">
        <w:t>8</w:t>
      </w:r>
      <w:r>
        <w:t xml:space="preserve"> </w:t>
      </w:r>
      <w:r w:rsidR="005F7B1E">
        <w:t>if it does not notify the applicant of its decision within 90</w:t>
      </w:r>
      <w:r w:rsidR="002A6C74">
        <w:t> </w:t>
      </w:r>
      <w:r w:rsidR="005F7B1E">
        <w:t xml:space="preserve">days of the application, or within 90 days after receiving additional information sought under </w:t>
      </w:r>
      <w:r w:rsidRPr="001A57F7">
        <w:t xml:space="preserve">section </w:t>
      </w:r>
      <w:r w:rsidR="00E42CF6" w:rsidRPr="001A57F7">
        <w:t>3</w:t>
      </w:r>
      <w:r w:rsidR="00E42CF6">
        <w:t>6</w:t>
      </w:r>
      <w:r w:rsidR="0013623A">
        <w:t xml:space="preserve"> (whichever is the later)</w:t>
      </w:r>
      <w:r w:rsidR="005F7B1E">
        <w:t>.</w:t>
      </w:r>
      <w:r w:rsidR="00EB2674">
        <w:t xml:space="preserve">  </w:t>
      </w:r>
      <w:r w:rsidR="00EB2674" w:rsidRPr="00EB2674">
        <w:rPr>
          <w:rStyle w:val="Referencingstyle"/>
        </w:rPr>
        <w:t xml:space="preserve">[Part 3, Division </w:t>
      </w:r>
      <w:r w:rsidR="002A6C74">
        <w:rPr>
          <w:rStyle w:val="Referencingstyle"/>
        </w:rPr>
        <w:t>5</w:t>
      </w:r>
      <w:r w:rsidR="00EB2674" w:rsidRPr="00EB2674">
        <w:rPr>
          <w:rStyle w:val="Referencingstyle"/>
        </w:rPr>
        <w:t xml:space="preserve">, Subdivision </w:t>
      </w:r>
      <w:r w:rsidR="002A6C74">
        <w:rPr>
          <w:rStyle w:val="Referencingstyle"/>
        </w:rPr>
        <w:t>A</w:t>
      </w:r>
      <w:r w:rsidR="00EB2674" w:rsidRPr="00EB2674">
        <w:rPr>
          <w:rStyle w:val="Referencingstyle"/>
        </w:rPr>
        <w:t>, s</w:t>
      </w:r>
      <w:r>
        <w:rPr>
          <w:rStyle w:val="Referencingstyle"/>
        </w:rPr>
        <w:t>e</w:t>
      </w:r>
      <w:r w:rsidR="00EB2674" w:rsidRPr="00EB2674">
        <w:rPr>
          <w:rStyle w:val="Referencingstyle"/>
        </w:rPr>
        <w:t>ction</w:t>
      </w:r>
      <w:r w:rsidR="002A6C74">
        <w:rPr>
          <w:rStyle w:val="Referencingstyle"/>
        </w:rPr>
        <w:t> </w:t>
      </w:r>
      <w:r w:rsidR="007C0313">
        <w:rPr>
          <w:rStyle w:val="Referencingstyle"/>
        </w:rPr>
        <w:t>38</w:t>
      </w:r>
      <w:r w:rsidR="00EB2674" w:rsidRPr="00EB2674">
        <w:rPr>
          <w:rStyle w:val="Referencingstyle"/>
        </w:rPr>
        <w:t>]</w:t>
      </w:r>
    </w:p>
    <w:p w14:paraId="74552638" w14:textId="77777777" w:rsidR="00DC0213" w:rsidRDefault="005F7B1E" w:rsidP="00DC0213">
      <w:pPr>
        <w:pStyle w:val="Heading4"/>
      </w:pPr>
      <w:r>
        <w:t>Subdivision B</w:t>
      </w:r>
      <w:r w:rsidR="00F851CD">
        <w:t xml:space="preserve"> – </w:t>
      </w:r>
      <w:r>
        <w:t>Conducting the termination of health benefits funds</w:t>
      </w:r>
    </w:p>
    <w:p w14:paraId="01A833F9" w14:textId="77777777" w:rsidR="00F32F38" w:rsidRDefault="00F32F38" w:rsidP="001A57F7">
      <w:pPr>
        <w:pStyle w:val="Heading5"/>
      </w:pPr>
      <w:r>
        <w:t>The basis of the law relating to termination</w:t>
      </w:r>
    </w:p>
    <w:p w14:paraId="2CDE943A" w14:textId="77777777" w:rsidR="00904A27" w:rsidRDefault="00904A27" w:rsidP="000F194A">
      <w:pPr>
        <w:pStyle w:val="base-text-paragraph"/>
      </w:pPr>
      <w:r>
        <w:t>Despite the provisions of any other law of the Commonwealth or a State or Territory a health benefits fund can only be wound up or terminated in accordance w</w:t>
      </w:r>
      <w:r w:rsidRPr="00904A27">
        <w:t>ith Part 3.</w:t>
      </w:r>
      <w:r w:rsidRPr="001A57F7">
        <w:t xml:space="preserve"> </w:t>
      </w:r>
      <w:r w:rsidRPr="001A57F7">
        <w:rPr>
          <w:rStyle w:val="Referencingstyle"/>
        </w:rPr>
        <w:t>[Part 3, Division 5, Subdivision B, section</w:t>
      </w:r>
      <w:r w:rsidR="0013623A">
        <w:rPr>
          <w:rStyle w:val="Referencingstyle"/>
        </w:rPr>
        <w:t> </w:t>
      </w:r>
      <w:r w:rsidR="007C0313">
        <w:rPr>
          <w:rStyle w:val="Referencingstyle"/>
        </w:rPr>
        <w:t>39</w:t>
      </w:r>
      <w:r w:rsidRPr="001A57F7">
        <w:rPr>
          <w:rStyle w:val="Referencingstyle"/>
        </w:rPr>
        <w:t>]</w:t>
      </w:r>
    </w:p>
    <w:p w14:paraId="71E93475" w14:textId="77777777" w:rsidR="00F32F38" w:rsidRDefault="00F32F38" w:rsidP="00F32F38">
      <w:pPr>
        <w:pStyle w:val="Heading5"/>
      </w:pPr>
      <w:r>
        <w:t>Conduct of funds during termination process</w:t>
      </w:r>
    </w:p>
    <w:p w14:paraId="1A8E6B79" w14:textId="77777777" w:rsidR="005F7B1E" w:rsidRDefault="00252955" w:rsidP="000F194A">
      <w:pPr>
        <w:pStyle w:val="base-text-paragraph"/>
      </w:pPr>
      <w:r>
        <w:t xml:space="preserve">After being notified that termination of its health benefits funds  has been approved, </w:t>
      </w:r>
      <w:r w:rsidR="005F7B1E">
        <w:t>an insurer</w:t>
      </w:r>
      <w:r>
        <w:t xml:space="preserve"> is prohibited from</w:t>
      </w:r>
      <w:r w:rsidR="005F7B1E">
        <w:t>:</w:t>
      </w:r>
    </w:p>
    <w:p w14:paraId="64BDBFAC" w14:textId="77777777" w:rsidR="005F7B1E" w:rsidRDefault="005F7B1E" w:rsidP="00252955">
      <w:pPr>
        <w:pStyle w:val="dotpoint"/>
      </w:pPr>
      <w:r>
        <w:t>entering into an insurance policy with a person who it is not already insuring; or</w:t>
      </w:r>
    </w:p>
    <w:p w14:paraId="5E6F0498" w14:textId="77777777" w:rsidR="005F7B1E" w:rsidRDefault="005F7B1E" w:rsidP="00252955">
      <w:pPr>
        <w:pStyle w:val="dotpoint"/>
      </w:pPr>
      <w:r>
        <w:t xml:space="preserve">in the case of a for profit insurer, applying assets of the fund other than under </w:t>
      </w:r>
      <w:r w:rsidR="00C63863">
        <w:t xml:space="preserve">subsection </w:t>
      </w:r>
      <w:r w:rsidR="004B5D78">
        <w:t>28</w:t>
      </w:r>
      <w:r>
        <w:t>(2)</w:t>
      </w:r>
      <w:r w:rsidR="007F30A5">
        <w:t>,</w:t>
      </w:r>
      <w:r w:rsidR="00602695">
        <w:t xml:space="preserve"> </w:t>
      </w:r>
      <w:r w:rsidR="00C63863">
        <w:t>unless this prohibition does not apply because of</w:t>
      </w:r>
      <w:r>
        <w:t xml:space="preserve"> </w:t>
      </w:r>
      <w:r w:rsidR="00252955">
        <w:t>section</w:t>
      </w:r>
      <w:r>
        <w:t xml:space="preserve"> </w:t>
      </w:r>
      <w:r w:rsidR="007C0313">
        <w:t>45</w:t>
      </w:r>
      <w:r w:rsidR="007F30A5">
        <w:t xml:space="preserve"> (distribution of assets remaining after termination is completed</w:t>
      </w:r>
      <w:r w:rsidR="00C63863">
        <w:t>)</w:t>
      </w:r>
      <w:r>
        <w:t>; or</w:t>
      </w:r>
    </w:p>
    <w:p w14:paraId="641036A0" w14:textId="77777777" w:rsidR="005F7B1E" w:rsidRDefault="005F7B1E" w:rsidP="00252955">
      <w:pPr>
        <w:pStyle w:val="dotpoint"/>
      </w:pPr>
      <w:r>
        <w:t>changing its registration status from not</w:t>
      </w:r>
      <w:r w:rsidR="00602695">
        <w:t xml:space="preserve"> </w:t>
      </w:r>
      <w:r>
        <w:t>for</w:t>
      </w:r>
      <w:r w:rsidR="00602695">
        <w:t xml:space="preserve"> </w:t>
      </w:r>
      <w:r>
        <w:t>profit to for profit.</w:t>
      </w:r>
      <w:r w:rsidR="00252955">
        <w:t xml:space="preserve">  </w:t>
      </w:r>
      <w:r w:rsidR="00252955" w:rsidRPr="00252955">
        <w:rPr>
          <w:rStyle w:val="Referencingstyle"/>
        </w:rPr>
        <w:t xml:space="preserve">[Part 3, Division </w:t>
      </w:r>
      <w:r w:rsidR="002A6C74">
        <w:rPr>
          <w:rStyle w:val="Referencingstyle"/>
        </w:rPr>
        <w:t>5</w:t>
      </w:r>
      <w:r w:rsidR="00252955" w:rsidRPr="00252955">
        <w:rPr>
          <w:rStyle w:val="Referencingstyle"/>
        </w:rPr>
        <w:t xml:space="preserve">, Subdivision B, subsection </w:t>
      </w:r>
      <w:r w:rsidR="002A6C74">
        <w:rPr>
          <w:rStyle w:val="Referencingstyle"/>
        </w:rPr>
        <w:t>4</w:t>
      </w:r>
      <w:r w:rsidR="007C0313">
        <w:rPr>
          <w:rStyle w:val="Referencingstyle"/>
        </w:rPr>
        <w:t>0</w:t>
      </w:r>
      <w:r w:rsidR="00252955" w:rsidRPr="00252955">
        <w:rPr>
          <w:rStyle w:val="Referencingstyle"/>
        </w:rPr>
        <w:t>(1)]</w:t>
      </w:r>
    </w:p>
    <w:p w14:paraId="5D0C782E" w14:textId="77777777" w:rsidR="005F7B1E" w:rsidRDefault="005F7B1E" w:rsidP="000F194A">
      <w:pPr>
        <w:pStyle w:val="base-text-paragraph"/>
      </w:pPr>
      <w:r>
        <w:t xml:space="preserve">This prevents insurers from accepting new business or drawing money from the </w:t>
      </w:r>
      <w:r w:rsidR="000D5439">
        <w:t xml:space="preserve">health benefits </w:t>
      </w:r>
      <w:r>
        <w:t xml:space="preserve">fund other than for meeting liabilities or expenses incurred for the purpose of the business of the </w:t>
      </w:r>
      <w:r w:rsidR="000D5439">
        <w:t xml:space="preserve">health benefits </w:t>
      </w:r>
      <w:r>
        <w:t xml:space="preserve">fund or making investments under </w:t>
      </w:r>
      <w:r w:rsidR="00252955" w:rsidRPr="001A57F7">
        <w:t>section</w:t>
      </w:r>
      <w:r w:rsidRPr="001A57F7">
        <w:t xml:space="preserve"> </w:t>
      </w:r>
      <w:r w:rsidR="004B5D78" w:rsidRPr="001A57F7">
        <w:t>30</w:t>
      </w:r>
      <w:r>
        <w:t>.</w:t>
      </w:r>
    </w:p>
    <w:p w14:paraId="426B77AB" w14:textId="77777777" w:rsidR="005F7B1E" w:rsidRDefault="005F7B1E" w:rsidP="000F194A">
      <w:pPr>
        <w:pStyle w:val="base-text-paragraph"/>
      </w:pPr>
      <w:r>
        <w:t xml:space="preserve"> </w:t>
      </w:r>
      <w:r w:rsidR="00C63863">
        <w:t>W</w:t>
      </w:r>
      <w:r>
        <w:t>ithin 60 days of being notified that termination has been approved</w:t>
      </w:r>
      <w:r w:rsidR="00C63863">
        <w:t xml:space="preserve">, an insurer </w:t>
      </w:r>
      <w:r w:rsidR="00252955">
        <w:t xml:space="preserve">must </w:t>
      </w:r>
      <w:r>
        <w:t xml:space="preserve">provide written notice of the termination day (after which it will not renew policies) to each policy holder of its funds and to </w:t>
      </w:r>
      <w:r w:rsidR="00252955">
        <w:t>APRA</w:t>
      </w:r>
      <w:r>
        <w:t xml:space="preserve"> and notify the termination day in a national newspaper or newspaper circulating where the insurer carries on business.  The termination day must be at least 90 days after any notice required in this sub</w:t>
      </w:r>
      <w:r w:rsidR="00252955">
        <w:t>section</w:t>
      </w:r>
      <w:r>
        <w:t>.</w:t>
      </w:r>
      <w:r w:rsidR="00252955" w:rsidRPr="006D4186">
        <w:rPr>
          <w:rStyle w:val="Referencingstyle"/>
          <w:b w:val="0"/>
        </w:rPr>
        <w:t xml:space="preserve"> </w:t>
      </w:r>
      <w:r w:rsidR="00252955" w:rsidRPr="00252955">
        <w:rPr>
          <w:rStyle w:val="Referencingstyle"/>
        </w:rPr>
        <w:t xml:space="preserve">[Part 3, Division </w:t>
      </w:r>
      <w:r w:rsidR="004B5D78">
        <w:rPr>
          <w:rStyle w:val="Referencingstyle"/>
        </w:rPr>
        <w:t>5</w:t>
      </w:r>
      <w:r w:rsidR="00252955" w:rsidRPr="00252955">
        <w:rPr>
          <w:rStyle w:val="Referencingstyle"/>
        </w:rPr>
        <w:t xml:space="preserve">, Subdivision B, subsection </w:t>
      </w:r>
      <w:r w:rsidR="004B5D78">
        <w:rPr>
          <w:rStyle w:val="Referencingstyle"/>
        </w:rPr>
        <w:t>4</w:t>
      </w:r>
      <w:r w:rsidR="00495455">
        <w:rPr>
          <w:rStyle w:val="Referencingstyle"/>
        </w:rPr>
        <w:t>0</w:t>
      </w:r>
      <w:r w:rsidR="00252955" w:rsidRPr="00252955">
        <w:rPr>
          <w:rStyle w:val="Referencingstyle"/>
        </w:rPr>
        <w:t>(2)]</w:t>
      </w:r>
    </w:p>
    <w:p w14:paraId="2FDAB7BC" w14:textId="77777777" w:rsidR="005F7B1E" w:rsidRDefault="00057466" w:rsidP="000F194A">
      <w:pPr>
        <w:pStyle w:val="base-text-paragraph"/>
      </w:pPr>
      <w:r>
        <w:t>T</w:t>
      </w:r>
      <w:r w:rsidR="005F7B1E">
        <w:t xml:space="preserve">he insurer </w:t>
      </w:r>
      <w:r>
        <w:t xml:space="preserve">is prohibited </w:t>
      </w:r>
      <w:r w:rsidR="005F7B1E">
        <w:t>from renewing any insurance policies after the termination day.</w:t>
      </w:r>
      <w:r>
        <w:t xml:space="preserve"> </w:t>
      </w:r>
      <w:r w:rsidRPr="00057466">
        <w:rPr>
          <w:rStyle w:val="Referencingstyle"/>
        </w:rPr>
        <w:t xml:space="preserve">[Part 3, Division </w:t>
      </w:r>
      <w:r w:rsidR="004B5D78">
        <w:rPr>
          <w:rStyle w:val="Referencingstyle"/>
        </w:rPr>
        <w:t>5</w:t>
      </w:r>
      <w:r w:rsidRPr="00057466">
        <w:rPr>
          <w:rStyle w:val="Referencingstyle"/>
        </w:rPr>
        <w:t>, Subdivision B, subsection</w:t>
      </w:r>
      <w:r w:rsidR="00D93CFB">
        <w:rPr>
          <w:rStyle w:val="Referencingstyle"/>
        </w:rPr>
        <w:t> </w:t>
      </w:r>
      <w:r w:rsidR="00495455">
        <w:rPr>
          <w:rStyle w:val="Referencingstyle"/>
        </w:rPr>
        <w:t>40</w:t>
      </w:r>
      <w:r w:rsidRPr="00057466">
        <w:rPr>
          <w:rStyle w:val="Referencingstyle"/>
        </w:rPr>
        <w:t>(3)]</w:t>
      </w:r>
    </w:p>
    <w:p w14:paraId="74C76E40" w14:textId="77777777" w:rsidR="005F7B1E" w:rsidRDefault="00057466" w:rsidP="000F194A">
      <w:pPr>
        <w:pStyle w:val="base-text-paragraph"/>
      </w:pPr>
      <w:r>
        <w:t>The insurer</w:t>
      </w:r>
      <w:r w:rsidR="005F7B1E">
        <w:t xml:space="preserve"> </w:t>
      </w:r>
      <w:r>
        <w:t>must</w:t>
      </w:r>
      <w:r w:rsidR="005F7B1E">
        <w:t xml:space="preserve"> accept any valid claim for benefits made up to 12 months after the expiry of the last policy referable to any of the funds being terminated.</w:t>
      </w:r>
      <w:r w:rsidR="006C6BD0">
        <w:t xml:space="preserve"> </w:t>
      </w:r>
      <w:r w:rsidRPr="00057466">
        <w:rPr>
          <w:rStyle w:val="Referencingstyle"/>
        </w:rPr>
        <w:t xml:space="preserve">[Part 3, Division </w:t>
      </w:r>
      <w:r w:rsidR="004B5D78">
        <w:rPr>
          <w:rStyle w:val="Referencingstyle"/>
        </w:rPr>
        <w:t>5</w:t>
      </w:r>
      <w:r w:rsidRPr="00057466">
        <w:rPr>
          <w:rStyle w:val="Referencingstyle"/>
        </w:rPr>
        <w:t xml:space="preserve">, Subdivision B, subsection </w:t>
      </w:r>
      <w:r w:rsidR="00495455">
        <w:rPr>
          <w:rStyle w:val="Referencingstyle"/>
        </w:rPr>
        <w:t>40</w:t>
      </w:r>
      <w:r w:rsidRPr="00057466">
        <w:rPr>
          <w:rStyle w:val="Referencingstyle"/>
        </w:rPr>
        <w:t>(</w:t>
      </w:r>
      <w:r>
        <w:rPr>
          <w:rStyle w:val="Referencingstyle"/>
        </w:rPr>
        <w:t>4</w:t>
      </w:r>
      <w:r w:rsidRPr="00057466">
        <w:rPr>
          <w:rStyle w:val="Referencingstyle"/>
        </w:rPr>
        <w:t>)]</w:t>
      </w:r>
    </w:p>
    <w:p w14:paraId="21DD8DFB" w14:textId="77777777" w:rsidR="005F7B1E" w:rsidRDefault="005F7B1E" w:rsidP="00057466">
      <w:pPr>
        <w:pStyle w:val="Heading5"/>
      </w:pPr>
      <w:r>
        <w:t xml:space="preserve">Insurers etc. to give reports to </w:t>
      </w:r>
      <w:r w:rsidR="00057466">
        <w:t>APRA</w:t>
      </w:r>
    </w:p>
    <w:p w14:paraId="4B9C8C0F" w14:textId="77777777" w:rsidR="005F7B1E" w:rsidRDefault="000D5439" w:rsidP="000F194A">
      <w:pPr>
        <w:pStyle w:val="base-text-paragraph"/>
      </w:pPr>
      <w:r>
        <w:t>The</w:t>
      </w:r>
      <w:r w:rsidR="005F7B1E">
        <w:t xml:space="preserve"> terminating manager </w:t>
      </w:r>
      <w:r>
        <w:t>or the insurer (</w:t>
      </w:r>
      <w:r w:rsidR="005F7B1E">
        <w:t xml:space="preserve">if </w:t>
      </w:r>
      <w:r>
        <w:t>there is no terminating manager</w:t>
      </w:r>
      <w:r w:rsidR="005F7B1E">
        <w:t xml:space="preserve">) </w:t>
      </w:r>
      <w:r w:rsidR="00026331">
        <w:t xml:space="preserve">must </w:t>
      </w:r>
      <w:r w:rsidR="005F7B1E">
        <w:t xml:space="preserve">report to </w:t>
      </w:r>
      <w:r w:rsidR="00026331">
        <w:t>APRA</w:t>
      </w:r>
      <w:r w:rsidR="005F7B1E">
        <w:t xml:space="preserve"> within 28 days after the termination day setting out details of the assets and liabilities of the funds on that day.</w:t>
      </w:r>
      <w:r w:rsidR="006C6BD0">
        <w:t xml:space="preserve"> </w:t>
      </w:r>
      <w:r w:rsidR="00026331" w:rsidRPr="00252955">
        <w:rPr>
          <w:rStyle w:val="Referencingstyle"/>
        </w:rPr>
        <w:t>[Part 3, Divi</w:t>
      </w:r>
      <w:r w:rsidR="00026331">
        <w:rPr>
          <w:rStyle w:val="Referencingstyle"/>
        </w:rPr>
        <w:t>sion</w:t>
      </w:r>
      <w:r w:rsidR="00D93CFB">
        <w:rPr>
          <w:rStyle w:val="Referencingstyle"/>
        </w:rPr>
        <w:t> </w:t>
      </w:r>
      <w:r w:rsidR="004B5D78">
        <w:rPr>
          <w:rStyle w:val="Referencingstyle"/>
        </w:rPr>
        <w:t>5</w:t>
      </w:r>
      <w:r w:rsidR="00026331">
        <w:rPr>
          <w:rStyle w:val="Referencingstyle"/>
        </w:rPr>
        <w:t xml:space="preserve">, Subdivision B, </w:t>
      </w:r>
      <w:r w:rsidR="00026331" w:rsidRPr="00252955">
        <w:rPr>
          <w:rStyle w:val="Referencingstyle"/>
        </w:rPr>
        <w:t xml:space="preserve">section </w:t>
      </w:r>
      <w:r w:rsidR="00495455">
        <w:rPr>
          <w:rStyle w:val="Referencingstyle"/>
        </w:rPr>
        <w:t>41</w:t>
      </w:r>
      <w:r w:rsidR="00026331" w:rsidRPr="00252955">
        <w:rPr>
          <w:rStyle w:val="Referencingstyle"/>
        </w:rPr>
        <w:t>]</w:t>
      </w:r>
    </w:p>
    <w:p w14:paraId="4FB5E5ED" w14:textId="77777777" w:rsidR="005F7B1E" w:rsidRDefault="005F7B1E" w:rsidP="007E0B53">
      <w:pPr>
        <w:pStyle w:val="Heading5"/>
        <w:keepLines/>
      </w:pPr>
      <w:r>
        <w:t>Terminating managers displace management of funds</w:t>
      </w:r>
    </w:p>
    <w:p w14:paraId="1042A412" w14:textId="77777777" w:rsidR="005F7B1E" w:rsidRDefault="00026331" w:rsidP="007E0B53">
      <w:pPr>
        <w:pStyle w:val="base-text-paragraph"/>
        <w:keepNext/>
        <w:keepLines/>
      </w:pPr>
      <w:r>
        <w:t>I</w:t>
      </w:r>
      <w:r w:rsidR="005F7B1E">
        <w:t xml:space="preserve">f a terminating manager has been appointed to a </w:t>
      </w:r>
      <w:r w:rsidR="000D5439">
        <w:t xml:space="preserve">health benefits </w:t>
      </w:r>
      <w:r w:rsidR="005F7B1E">
        <w:t>fund, management of the fund vests in the terminating manager for so long as the appointment is in force or until the termination is completed, and any officer of the insurer responsible for the management of the fund before the terminating manager was appointed is divested of that management.</w:t>
      </w:r>
      <w:r>
        <w:t xml:space="preserve"> </w:t>
      </w:r>
      <w:r w:rsidRPr="00252955">
        <w:rPr>
          <w:rStyle w:val="Referencingstyle"/>
        </w:rPr>
        <w:t>[Part 3, Div</w:t>
      </w:r>
      <w:r>
        <w:rPr>
          <w:rStyle w:val="Referencingstyle"/>
        </w:rPr>
        <w:t xml:space="preserve">ision </w:t>
      </w:r>
      <w:r w:rsidR="004B5D78">
        <w:rPr>
          <w:rStyle w:val="Referencingstyle"/>
        </w:rPr>
        <w:t>5</w:t>
      </w:r>
      <w:r>
        <w:rPr>
          <w:rStyle w:val="Referencingstyle"/>
        </w:rPr>
        <w:t xml:space="preserve">, Subdivision B, section </w:t>
      </w:r>
      <w:r w:rsidR="00495455">
        <w:rPr>
          <w:rStyle w:val="Referencingstyle"/>
        </w:rPr>
        <w:t>42</w:t>
      </w:r>
      <w:r w:rsidRPr="00252955">
        <w:rPr>
          <w:rStyle w:val="Referencingstyle"/>
        </w:rPr>
        <w:t>]</w:t>
      </w:r>
    </w:p>
    <w:p w14:paraId="679CFA63" w14:textId="77777777" w:rsidR="005F7B1E" w:rsidRDefault="005F7B1E" w:rsidP="00026331">
      <w:pPr>
        <w:pStyle w:val="Heading4"/>
      </w:pPr>
      <w:r>
        <w:t xml:space="preserve">Subdivision </w:t>
      </w:r>
      <w:r w:rsidR="00495455">
        <w:t xml:space="preserve">C – </w:t>
      </w:r>
      <w:r>
        <w:t>Ending the termination of health benefits funds</w:t>
      </w:r>
    </w:p>
    <w:p w14:paraId="0C3E9C7B" w14:textId="77777777" w:rsidR="005F7B1E" w:rsidRDefault="005F7B1E" w:rsidP="00026331">
      <w:pPr>
        <w:pStyle w:val="Heading5"/>
      </w:pPr>
      <w:r>
        <w:t>Power to end termination</w:t>
      </w:r>
    </w:p>
    <w:p w14:paraId="5905DF77" w14:textId="77777777" w:rsidR="005F7B1E" w:rsidRDefault="00026331" w:rsidP="000F194A">
      <w:pPr>
        <w:pStyle w:val="base-text-paragraph"/>
      </w:pPr>
      <w:r>
        <w:t>D</w:t>
      </w:r>
      <w:r w:rsidR="005F7B1E">
        <w:t xml:space="preserve">uring the termination of the health benefits funds </w:t>
      </w:r>
      <w:r>
        <w:t>of a private health insurer</w:t>
      </w:r>
      <w:r w:rsidR="00495455">
        <w:t>,</w:t>
      </w:r>
      <w:r>
        <w:t xml:space="preserve"> APRA</w:t>
      </w:r>
      <w:r w:rsidR="005F7B1E">
        <w:t xml:space="preserve"> or the terminating manager may apply to the Federal Court for an order ending the termination. </w:t>
      </w:r>
      <w:r w:rsidRPr="00252955">
        <w:rPr>
          <w:rStyle w:val="Referencingstyle"/>
        </w:rPr>
        <w:t xml:space="preserve">[Part 3, Division </w:t>
      </w:r>
      <w:r w:rsidR="004B5D78">
        <w:rPr>
          <w:rStyle w:val="Referencingstyle"/>
        </w:rPr>
        <w:t>5</w:t>
      </w:r>
      <w:r>
        <w:rPr>
          <w:rStyle w:val="Referencingstyle"/>
        </w:rPr>
        <w:t>, Subdivision</w:t>
      </w:r>
      <w:r w:rsidR="00D93CFB">
        <w:rPr>
          <w:rStyle w:val="Referencingstyle"/>
        </w:rPr>
        <w:t> </w:t>
      </w:r>
      <w:r>
        <w:rPr>
          <w:rStyle w:val="Referencingstyle"/>
        </w:rPr>
        <w:t xml:space="preserve">C, subsections </w:t>
      </w:r>
      <w:r w:rsidR="00495455">
        <w:rPr>
          <w:rStyle w:val="Referencingstyle"/>
        </w:rPr>
        <w:t>43</w:t>
      </w:r>
      <w:r>
        <w:rPr>
          <w:rStyle w:val="Referencingstyle"/>
        </w:rPr>
        <w:t xml:space="preserve">(1) and </w:t>
      </w:r>
      <w:r w:rsidRPr="00252955">
        <w:rPr>
          <w:rStyle w:val="Referencingstyle"/>
        </w:rPr>
        <w:t>(2)]</w:t>
      </w:r>
    </w:p>
    <w:p w14:paraId="515ACEB1" w14:textId="77777777" w:rsidR="005F7B1E" w:rsidRDefault="00026331" w:rsidP="000F194A">
      <w:pPr>
        <w:pStyle w:val="base-text-paragraph"/>
      </w:pPr>
      <w:r>
        <w:t>The</w:t>
      </w:r>
      <w:r w:rsidR="005F7B1E">
        <w:t xml:space="preserve"> </w:t>
      </w:r>
      <w:r w:rsidR="009D4F54">
        <w:t>Federal</w:t>
      </w:r>
      <w:r w:rsidR="005F7B1E">
        <w:t xml:space="preserve"> Court</w:t>
      </w:r>
      <w:r>
        <w:t>,</w:t>
      </w:r>
      <w:r w:rsidR="005F7B1E">
        <w:t xml:space="preserve"> before making an order</w:t>
      </w:r>
      <w:r>
        <w:t xml:space="preserve">, may </w:t>
      </w:r>
      <w:r w:rsidR="005F7B1E">
        <w:t xml:space="preserve">direct the terminating manager </w:t>
      </w:r>
      <w:r w:rsidR="000D5439">
        <w:t>or private health insurer (if there is no terminating manager)</w:t>
      </w:r>
      <w:r w:rsidR="005F7B1E">
        <w:t xml:space="preserve"> to provide a repo</w:t>
      </w:r>
      <w:r>
        <w:t xml:space="preserve">rt on a relevant fact or matter.  </w:t>
      </w:r>
      <w:r w:rsidRPr="00252955">
        <w:rPr>
          <w:rStyle w:val="Referencingstyle"/>
        </w:rPr>
        <w:t>[Part</w:t>
      </w:r>
      <w:r w:rsidR="00D93CFB">
        <w:rPr>
          <w:rStyle w:val="Referencingstyle"/>
        </w:rPr>
        <w:t> </w:t>
      </w:r>
      <w:r w:rsidRPr="00252955">
        <w:rPr>
          <w:rStyle w:val="Referencingstyle"/>
        </w:rPr>
        <w:t xml:space="preserve">3, Division </w:t>
      </w:r>
      <w:r w:rsidR="004B5D78">
        <w:rPr>
          <w:rStyle w:val="Referencingstyle"/>
        </w:rPr>
        <w:t>5</w:t>
      </w:r>
      <w:r>
        <w:rPr>
          <w:rStyle w:val="Referencingstyle"/>
        </w:rPr>
        <w:t xml:space="preserve">, Subdivision C, subsection </w:t>
      </w:r>
      <w:r w:rsidR="00495455">
        <w:rPr>
          <w:rStyle w:val="Referencingstyle"/>
        </w:rPr>
        <w:t>43</w:t>
      </w:r>
      <w:r>
        <w:rPr>
          <w:rStyle w:val="Referencingstyle"/>
        </w:rPr>
        <w:t>(3</w:t>
      </w:r>
      <w:r w:rsidRPr="00252955">
        <w:rPr>
          <w:rStyle w:val="Referencingstyle"/>
        </w:rPr>
        <w:t>)]</w:t>
      </w:r>
    </w:p>
    <w:p w14:paraId="23B83CCF" w14:textId="77777777" w:rsidR="005F7B1E" w:rsidRDefault="00026331" w:rsidP="000F194A">
      <w:pPr>
        <w:pStyle w:val="base-text-paragraph"/>
      </w:pPr>
      <w:r>
        <w:t>T</w:t>
      </w:r>
      <w:r w:rsidR="005F7B1E">
        <w:t xml:space="preserve">he </w:t>
      </w:r>
      <w:r w:rsidR="009D4F54">
        <w:t>Federal</w:t>
      </w:r>
      <w:r w:rsidR="005F7B1E">
        <w:t xml:space="preserve"> Court in making an order ending the termination </w:t>
      </w:r>
      <w:r>
        <w:t>may</w:t>
      </w:r>
      <w:r w:rsidR="005F7B1E">
        <w:t xml:space="preserve"> give directions for the resumption of the management and control of the health</w:t>
      </w:r>
      <w:r w:rsidR="006C6BD0">
        <w:t xml:space="preserve"> benefits funds by the insurer.</w:t>
      </w:r>
      <w:r>
        <w:t xml:space="preserve"> </w:t>
      </w:r>
      <w:r w:rsidRPr="00252955">
        <w:rPr>
          <w:rStyle w:val="Referencingstyle"/>
        </w:rPr>
        <w:t xml:space="preserve">[Part 3, Division </w:t>
      </w:r>
      <w:r w:rsidR="002F7C2C">
        <w:rPr>
          <w:rStyle w:val="Referencingstyle"/>
        </w:rPr>
        <w:t>5</w:t>
      </w:r>
      <w:r>
        <w:rPr>
          <w:rStyle w:val="Referencingstyle"/>
        </w:rPr>
        <w:t>, Subdivision</w:t>
      </w:r>
      <w:r w:rsidR="00D93CFB">
        <w:rPr>
          <w:rStyle w:val="Referencingstyle"/>
        </w:rPr>
        <w:t> </w:t>
      </w:r>
      <w:r>
        <w:rPr>
          <w:rStyle w:val="Referencingstyle"/>
        </w:rPr>
        <w:t xml:space="preserve">C, subsection </w:t>
      </w:r>
      <w:r w:rsidR="00495455">
        <w:rPr>
          <w:rStyle w:val="Referencingstyle"/>
        </w:rPr>
        <w:t>43</w:t>
      </w:r>
      <w:r>
        <w:rPr>
          <w:rStyle w:val="Referencingstyle"/>
        </w:rPr>
        <w:t>(4</w:t>
      </w:r>
      <w:r w:rsidRPr="00252955">
        <w:rPr>
          <w:rStyle w:val="Referencingstyle"/>
        </w:rPr>
        <w:t>)]</w:t>
      </w:r>
    </w:p>
    <w:p w14:paraId="6E01A93D" w14:textId="77777777" w:rsidR="005F7B1E" w:rsidRDefault="005F7B1E" w:rsidP="00026331">
      <w:pPr>
        <w:pStyle w:val="Heading4"/>
      </w:pPr>
      <w:r>
        <w:t xml:space="preserve">Subdivision D </w:t>
      </w:r>
      <w:r w:rsidR="00026331">
        <w:t>– Co</w:t>
      </w:r>
      <w:r>
        <w:t>mpleting the termination of health benefits funds</w:t>
      </w:r>
    </w:p>
    <w:p w14:paraId="50C67368" w14:textId="77777777" w:rsidR="005F7B1E" w:rsidRDefault="005F7B1E" w:rsidP="00026331">
      <w:pPr>
        <w:pStyle w:val="Heading5"/>
      </w:pPr>
      <w:r>
        <w:t>Completion of the termination process</w:t>
      </w:r>
    </w:p>
    <w:p w14:paraId="68464C7F" w14:textId="77777777" w:rsidR="005F7B1E" w:rsidRDefault="00026331" w:rsidP="000F194A">
      <w:pPr>
        <w:pStyle w:val="base-text-paragraph"/>
      </w:pPr>
      <w:r>
        <w:t>T</w:t>
      </w:r>
      <w:r w:rsidR="005F7B1E">
        <w:t xml:space="preserve">he termination of the health benefits funds of a private health insurer is complete if 12 months have passed since the expiry of the last policy referable to any of the funds being terminated and </w:t>
      </w:r>
      <w:r w:rsidR="00742898">
        <w:t>so far as</w:t>
      </w:r>
      <w:r w:rsidR="005F7B1E">
        <w:t xml:space="preserve"> possible having regard to the assets of the funds:</w:t>
      </w:r>
    </w:p>
    <w:p w14:paraId="6BF19DAB" w14:textId="77777777" w:rsidR="005F7B1E" w:rsidRDefault="005F7B1E" w:rsidP="00026331">
      <w:pPr>
        <w:pStyle w:val="dotpoint"/>
      </w:pPr>
      <w:r>
        <w:t xml:space="preserve">liabilities to policy holders have been discharged; </w:t>
      </w:r>
    </w:p>
    <w:p w14:paraId="2F3A9ACA" w14:textId="77777777" w:rsidR="005F7B1E" w:rsidRDefault="005F7B1E" w:rsidP="00026331">
      <w:pPr>
        <w:pStyle w:val="dotpoint"/>
      </w:pPr>
      <w:r>
        <w:t xml:space="preserve">any amounts of </w:t>
      </w:r>
      <w:r w:rsidRPr="001A57F7">
        <w:t xml:space="preserve">collapsed insurer </w:t>
      </w:r>
      <w:r w:rsidR="00183B10">
        <w:t>assistance payments</w:t>
      </w:r>
      <w:r>
        <w:t xml:space="preserve"> that </w:t>
      </w:r>
      <w:r w:rsidR="00F26B52">
        <w:t>APRA</w:t>
      </w:r>
      <w:r>
        <w:t xml:space="preserve"> has paid to the insurer or the terminating manager have been repaid; and </w:t>
      </w:r>
    </w:p>
    <w:p w14:paraId="7650FFFC" w14:textId="77777777" w:rsidR="00026331" w:rsidRPr="0059474C" w:rsidRDefault="005F7B1E" w:rsidP="00026331">
      <w:pPr>
        <w:pStyle w:val="dotpoint"/>
        <w:rPr>
          <w:lang w:val="fr-FR"/>
        </w:rPr>
      </w:pPr>
      <w:r>
        <w:t>any other liabilities of the funds have been discharged.</w:t>
      </w:r>
      <w:r w:rsidR="00026331">
        <w:t xml:space="preserve"> </w:t>
      </w:r>
      <w:r w:rsidR="00026331" w:rsidRPr="0059474C">
        <w:rPr>
          <w:rStyle w:val="Referencingstyle"/>
          <w:lang w:val="fr-FR"/>
        </w:rPr>
        <w:t>[Part</w:t>
      </w:r>
      <w:r w:rsidR="00D93CFB" w:rsidRPr="0059474C">
        <w:rPr>
          <w:rStyle w:val="Referencingstyle"/>
          <w:lang w:val="fr-FR"/>
        </w:rPr>
        <w:t> </w:t>
      </w:r>
      <w:r w:rsidR="00026331" w:rsidRPr="0059474C">
        <w:rPr>
          <w:rStyle w:val="Referencingstyle"/>
          <w:lang w:val="fr-FR"/>
        </w:rPr>
        <w:t xml:space="preserve">3, Division </w:t>
      </w:r>
      <w:r w:rsidR="002F7C2C" w:rsidRPr="0059474C">
        <w:rPr>
          <w:rStyle w:val="Referencingstyle"/>
          <w:lang w:val="fr-FR"/>
        </w:rPr>
        <w:t>5</w:t>
      </w:r>
      <w:r w:rsidR="00026331" w:rsidRPr="0059474C">
        <w:rPr>
          <w:rStyle w:val="Referencingstyle"/>
          <w:lang w:val="fr-FR"/>
        </w:rPr>
        <w:t xml:space="preserve">, Subdivision </w:t>
      </w:r>
      <w:r w:rsidR="00186207" w:rsidRPr="0059474C">
        <w:rPr>
          <w:rStyle w:val="Referencingstyle"/>
          <w:lang w:val="fr-FR"/>
        </w:rPr>
        <w:t>D</w:t>
      </w:r>
      <w:r w:rsidR="00026331" w:rsidRPr="0059474C">
        <w:rPr>
          <w:rStyle w:val="Referencingstyle"/>
          <w:lang w:val="fr-FR"/>
        </w:rPr>
        <w:t xml:space="preserve">, </w:t>
      </w:r>
      <w:r w:rsidR="002F7C2C" w:rsidRPr="0059474C">
        <w:rPr>
          <w:rStyle w:val="Referencingstyle"/>
          <w:lang w:val="fr-FR"/>
        </w:rPr>
        <w:t xml:space="preserve">section </w:t>
      </w:r>
      <w:r w:rsidR="00495455" w:rsidRPr="0059474C">
        <w:rPr>
          <w:rStyle w:val="Referencingstyle"/>
          <w:lang w:val="fr-FR"/>
        </w:rPr>
        <w:t>44</w:t>
      </w:r>
      <w:r w:rsidR="00026331" w:rsidRPr="0059474C">
        <w:rPr>
          <w:rStyle w:val="Referencingstyle"/>
          <w:lang w:val="fr-FR"/>
        </w:rPr>
        <w:t>]</w:t>
      </w:r>
    </w:p>
    <w:p w14:paraId="1C796720" w14:textId="77777777" w:rsidR="005F7B1E" w:rsidRDefault="005F7B1E" w:rsidP="00117AD3">
      <w:pPr>
        <w:pStyle w:val="Heading5"/>
      </w:pPr>
      <w:r>
        <w:t>Distribution of remaining assets after completion of the termination process</w:t>
      </w:r>
    </w:p>
    <w:p w14:paraId="787604C6" w14:textId="77777777" w:rsidR="005F7B1E" w:rsidRDefault="00117AD3" w:rsidP="000F194A">
      <w:pPr>
        <w:pStyle w:val="base-text-paragraph"/>
      </w:pPr>
      <w:r>
        <w:t>I</w:t>
      </w:r>
      <w:r w:rsidR="005F7B1E">
        <w:t>f there are any residual assets of the funds after the termination process is completed, then:</w:t>
      </w:r>
    </w:p>
    <w:p w14:paraId="62A20B13" w14:textId="77777777" w:rsidR="005F7B1E" w:rsidRDefault="005F7B1E" w:rsidP="00117AD3">
      <w:pPr>
        <w:pStyle w:val="dotpoint"/>
      </w:pPr>
      <w:r>
        <w:t>a for profit insurer may apply the assets other than for the purposes of the fund</w:t>
      </w:r>
      <w:r w:rsidR="00183B10">
        <w:t xml:space="preserve"> (paragraph 40(1)(b) ceases to apply)</w:t>
      </w:r>
      <w:r>
        <w:t>; and</w:t>
      </w:r>
    </w:p>
    <w:p w14:paraId="7D8FCE83" w14:textId="77777777" w:rsidR="00117AD3" w:rsidRDefault="005F7B1E" w:rsidP="00117AD3">
      <w:pPr>
        <w:pStyle w:val="dotpoint"/>
      </w:pPr>
      <w:r>
        <w:t>a not</w:t>
      </w:r>
      <w:r w:rsidR="00BB0AD8">
        <w:t xml:space="preserve"> </w:t>
      </w:r>
      <w:r>
        <w:t>for</w:t>
      </w:r>
      <w:r w:rsidR="00BB0AD8">
        <w:t xml:space="preserve"> </w:t>
      </w:r>
      <w:r>
        <w:t xml:space="preserve">profit insurer is liable to pay </w:t>
      </w:r>
      <w:r w:rsidR="00117AD3">
        <w:t xml:space="preserve">APRA </w:t>
      </w:r>
      <w:r>
        <w:t>an amount equal to the assets.</w:t>
      </w:r>
      <w:r w:rsidR="00A7271B">
        <w:t xml:space="preserve"> </w:t>
      </w:r>
      <w:r w:rsidR="0013623A">
        <w:t>This amount would then be credited to the Risk Equalisation Special Account under section 318-5 of the PHI Act, as amended, and returned to private health insurance industry members through adjustments to risk equalisation payments.</w:t>
      </w:r>
      <w:r w:rsidR="00117AD3">
        <w:t xml:space="preserve"> </w:t>
      </w:r>
      <w:r w:rsidR="00117AD3" w:rsidRPr="00252955">
        <w:rPr>
          <w:rStyle w:val="Referencingstyle"/>
        </w:rPr>
        <w:t xml:space="preserve">[Part 3, Division </w:t>
      </w:r>
      <w:r w:rsidR="002F7C2C">
        <w:rPr>
          <w:rStyle w:val="Referencingstyle"/>
        </w:rPr>
        <w:t>5</w:t>
      </w:r>
      <w:r w:rsidR="00117AD3">
        <w:rPr>
          <w:rStyle w:val="Referencingstyle"/>
        </w:rPr>
        <w:t>, Subdivision D, section</w:t>
      </w:r>
      <w:r w:rsidR="00D93CFB">
        <w:rPr>
          <w:rStyle w:val="Referencingstyle"/>
        </w:rPr>
        <w:t> </w:t>
      </w:r>
      <w:r w:rsidR="00495455">
        <w:rPr>
          <w:rStyle w:val="Referencingstyle"/>
        </w:rPr>
        <w:t>45</w:t>
      </w:r>
      <w:r w:rsidR="00117AD3" w:rsidRPr="00252955">
        <w:rPr>
          <w:rStyle w:val="Referencingstyle"/>
        </w:rPr>
        <w:t>]</w:t>
      </w:r>
    </w:p>
    <w:p w14:paraId="10F2660A" w14:textId="77777777" w:rsidR="005F7B1E" w:rsidRDefault="005F7B1E" w:rsidP="00117AD3">
      <w:pPr>
        <w:pStyle w:val="Heading5"/>
      </w:pPr>
      <w:r>
        <w:t>Liability of officers of insurers for loss to terminated funds</w:t>
      </w:r>
    </w:p>
    <w:p w14:paraId="3E413738" w14:textId="77777777" w:rsidR="00117AD3" w:rsidRPr="00117AD3" w:rsidRDefault="00117AD3" w:rsidP="000F194A">
      <w:pPr>
        <w:pStyle w:val="base-text-paragraph"/>
      </w:pPr>
      <w:r>
        <w:t>I</w:t>
      </w:r>
      <w:r w:rsidR="005F7B1E">
        <w:t xml:space="preserve">f an insurer contravenes the </w:t>
      </w:r>
      <w:r w:rsidR="006C6BD0">
        <w:rPr>
          <w:lang w:val="en-US" w:eastAsia="en-US"/>
        </w:rPr>
        <w:t>Prudential Supervision Bill</w:t>
      </w:r>
      <w:r w:rsidR="005F7B1E">
        <w:t xml:space="preserve"> in relation to a health benefits fund that it conducts in a way that results in a loss to the fund and the termination of the fund is completed, then the persons who were officers of the insurer when the contravention occurred are jointly and severally liable to pay to </w:t>
      </w:r>
      <w:r w:rsidR="007A5EF5">
        <w:t>APRA</w:t>
      </w:r>
      <w:r w:rsidR="005F7B1E">
        <w:t xml:space="preserve"> (for payment to the Risk Equalisation Trust Fun</w:t>
      </w:r>
      <w:r>
        <w:t>d) an amount equal to the loss.</w:t>
      </w:r>
      <w:r w:rsidRPr="00117AD3">
        <w:rPr>
          <w:rStyle w:val="Referencingstyle"/>
        </w:rPr>
        <w:t xml:space="preserve"> [Part 3, Division</w:t>
      </w:r>
      <w:r w:rsidR="00B006F4">
        <w:rPr>
          <w:rStyle w:val="Referencingstyle"/>
        </w:rPr>
        <w:t xml:space="preserve"> 5</w:t>
      </w:r>
      <w:r w:rsidRPr="00117AD3">
        <w:rPr>
          <w:rStyle w:val="Referencingstyle"/>
        </w:rPr>
        <w:t>, Subdivision D, s</w:t>
      </w:r>
      <w:r w:rsidR="00F72B18">
        <w:rPr>
          <w:rStyle w:val="Referencingstyle"/>
        </w:rPr>
        <w:t>ubs</w:t>
      </w:r>
      <w:r w:rsidRPr="00117AD3">
        <w:rPr>
          <w:rStyle w:val="Referencingstyle"/>
        </w:rPr>
        <w:t>ection</w:t>
      </w:r>
      <w:r w:rsidR="00D93CFB">
        <w:rPr>
          <w:rStyle w:val="Referencingstyle"/>
        </w:rPr>
        <w:t> </w:t>
      </w:r>
      <w:r w:rsidR="00495455">
        <w:rPr>
          <w:rStyle w:val="Referencingstyle"/>
        </w:rPr>
        <w:t>46</w:t>
      </w:r>
      <w:r w:rsidR="00F72B18">
        <w:rPr>
          <w:rStyle w:val="Referencingstyle"/>
        </w:rPr>
        <w:t>(1)</w:t>
      </w:r>
      <w:r w:rsidRPr="00117AD3">
        <w:rPr>
          <w:rStyle w:val="Referencingstyle"/>
        </w:rPr>
        <w:t>]</w:t>
      </w:r>
    </w:p>
    <w:p w14:paraId="66F031EA" w14:textId="77777777" w:rsidR="00F72B18" w:rsidRPr="00117AD3" w:rsidRDefault="005F7B1E" w:rsidP="000F194A">
      <w:pPr>
        <w:pStyle w:val="base-text-paragraph"/>
      </w:pPr>
      <w:r>
        <w:t xml:space="preserve"> </w:t>
      </w:r>
      <w:r w:rsidR="00F72B18">
        <w:t>A</w:t>
      </w:r>
      <w:r>
        <w:t xml:space="preserve"> person is not liable under </w:t>
      </w:r>
      <w:r w:rsidRPr="001A57F7">
        <w:t>sub</w:t>
      </w:r>
      <w:r w:rsidR="00F72B18" w:rsidRPr="001A57F7">
        <w:t>section</w:t>
      </w:r>
      <w:r w:rsidRPr="001A57F7">
        <w:t xml:space="preserve"> </w:t>
      </w:r>
      <w:r w:rsidR="00495455" w:rsidRPr="001A57F7">
        <w:t>4</w:t>
      </w:r>
      <w:r w:rsidR="00495455">
        <w:t>6</w:t>
      </w:r>
      <w:r w:rsidRPr="001A57F7">
        <w:t>(1)</w:t>
      </w:r>
      <w:r>
        <w:t xml:space="preserve"> if he or she can prove that he or she exercised due diligen</w:t>
      </w:r>
      <w:r w:rsidR="00F72B18">
        <w:t xml:space="preserve">ce to prevent the contravention. </w:t>
      </w:r>
      <w:r w:rsidR="0013623A">
        <w:t>A separate exoneration provision, in section 166 will also apply.</w:t>
      </w:r>
      <w:r w:rsidR="00F72B18">
        <w:t xml:space="preserve"> </w:t>
      </w:r>
      <w:r w:rsidR="00F72B18" w:rsidRPr="00117AD3">
        <w:rPr>
          <w:rStyle w:val="Referencingstyle"/>
        </w:rPr>
        <w:t xml:space="preserve">[Part 3, Division </w:t>
      </w:r>
      <w:r w:rsidR="004222C5">
        <w:rPr>
          <w:rStyle w:val="Referencingstyle"/>
        </w:rPr>
        <w:t>5</w:t>
      </w:r>
      <w:r w:rsidR="00F72B18" w:rsidRPr="00117AD3">
        <w:rPr>
          <w:rStyle w:val="Referencingstyle"/>
        </w:rPr>
        <w:t>, Subdivision D, s</w:t>
      </w:r>
      <w:r w:rsidR="00F72B18">
        <w:rPr>
          <w:rStyle w:val="Referencingstyle"/>
        </w:rPr>
        <w:t>ubs</w:t>
      </w:r>
      <w:r w:rsidR="00F72B18" w:rsidRPr="00117AD3">
        <w:rPr>
          <w:rStyle w:val="Referencingstyle"/>
        </w:rPr>
        <w:t xml:space="preserve">ection </w:t>
      </w:r>
      <w:r w:rsidR="00B006F4">
        <w:rPr>
          <w:rStyle w:val="Referencingstyle"/>
        </w:rPr>
        <w:t>4</w:t>
      </w:r>
      <w:r w:rsidR="00495455">
        <w:rPr>
          <w:rStyle w:val="Referencingstyle"/>
        </w:rPr>
        <w:t>6(</w:t>
      </w:r>
      <w:r w:rsidR="00F72B18">
        <w:rPr>
          <w:rStyle w:val="Referencingstyle"/>
        </w:rPr>
        <w:t>2)</w:t>
      </w:r>
      <w:r w:rsidR="00F72B18" w:rsidRPr="00117AD3">
        <w:rPr>
          <w:rStyle w:val="Referencingstyle"/>
        </w:rPr>
        <w:t>]</w:t>
      </w:r>
    </w:p>
    <w:p w14:paraId="27B7BE4B" w14:textId="77777777" w:rsidR="00F72B18" w:rsidRPr="00117AD3" w:rsidRDefault="00F72B18" w:rsidP="000F194A">
      <w:pPr>
        <w:pStyle w:val="base-text-paragraph"/>
      </w:pPr>
      <w:r>
        <w:t xml:space="preserve">The </w:t>
      </w:r>
      <w:r w:rsidR="005F7B1E">
        <w:t>Federal Court</w:t>
      </w:r>
      <w:r>
        <w:t xml:space="preserve"> may</w:t>
      </w:r>
      <w:r w:rsidR="005F7B1E">
        <w:t xml:space="preserve">, on application by </w:t>
      </w:r>
      <w:r>
        <w:t>APRA</w:t>
      </w:r>
      <w:r w:rsidR="005F7B1E">
        <w:t xml:space="preserve">, order any person liable under </w:t>
      </w:r>
      <w:r w:rsidR="00B006F4">
        <w:t xml:space="preserve">subsection </w:t>
      </w:r>
      <w:r w:rsidR="00495455">
        <w:t>46</w:t>
      </w:r>
      <w:r w:rsidR="00B006F4">
        <w:t>(1)</w:t>
      </w:r>
      <w:r w:rsidR="005F7B1E">
        <w:t xml:space="preserve"> to pay to </w:t>
      </w:r>
      <w:r>
        <w:t>APRA</w:t>
      </w:r>
      <w:r w:rsidR="005F7B1E">
        <w:t xml:space="preserve"> (for payment to the Risk Equalisation Trust Fund) the whole or any part of the loss.</w:t>
      </w:r>
      <w:r>
        <w:t xml:space="preserve"> </w:t>
      </w:r>
      <w:r w:rsidRPr="00117AD3">
        <w:rPr>
          <w:rStyle w:val="Referencingstyle"/>
        </w:rPr>
        <w:t xml:space="preserve">[Part 3, Division </w:t>
      </w:r>
      <w:r w:rsidR="00B006F4">
        <w:rPr>
          <w:rStyle w:val="Referencingstyle"/>
        </w:rPr>
        <w:t>5</w:t>
      </w:r>
      <w:r w:rsidRPr="00117AD3">
        <w:rPr>
          <w:rStyle w:val="Referencingstyle"/>
        </w:rPr>
        <w:t>, Subdivision D, s</w:t>
      </w:r>
      <w:r>
        <w:rPr>
          <w:rStyle w:val="Referencingstyle"/>
        </w:rPr>
        <w:t>ubs</w:t>
      </w:r>
      <w:r w:rsidRPr="00117AD3">
        <w:rPr>
          <w:rStyle w:val="Referencingstyle"/>
        </w:rPr>
        <w:t xml:space="preserve">ection </w:t>
      </w:r>
      <w:r w:rsidR="00495455">
        <w:rPr>
          <w:rStyle w:val="Referencingstyle"/>
        </w:rPr>
        <w:t>46</w:t>
      </w:r>
      <w:r>
        <w:rPr>
          <w:rStyle w:val="Referencingstyle"/>
        </w:rPr>
        <w:t>(3)</w:t>
      </w:r>
      <w:r w:rsidRPr="00117AD3">
        <w:rPr>
          <w:rStyle w:val="Referencingstyle"/>
        </w:rPr>
        <w:t>]</w:t>
      </w:r>
    </w:p>
    <w:p w14:paraId="4F0C0662" w14:textId="77777777" w:rsidR="005F7B1E" w:rsidRDefault="005F7B1E" w:rsidP="00F72B18">
      <w:pPr>
        <w:pStyle w:val="Heading5"/>
      </w:pPr>
      <w:r>
        <w:t>Report of terminating manager</w:t>
      </w:r>
    </w:p>
    <w:p w14:paraId="1B5DADDA" w14:textId="77777777" w:rsidR="00F72B18" w:rsidRPr="00117AD3" w:rsidRDefault="00F72B18" w:rsidP="000F194A">
      <w:pPr>
        <w:pStyle w:val="base-text-paragraph"/>
      </w:pPr>
      <w:r>
        <w:t>A</w:t>
      </w:r>
      <w:r w:rsidRPr="00F72B18">
        <w:t xml:space="preserve"> terminating manager </w:t>
      </w:r>
      <w:r>
        <w:t>may</w:t>
      </w:r>
      <w:r w:rsidRPr="00F72B18">
        <w:t xml:space="preserve"> make a written report to </w:t>
      </w:r>
      <w:r w:rsidR="00104F46">
        <w:t>APRA</w:t>
      </w:r>
      <w:r w:rsidRPr="00F72B18">
        <w:t xml:space="preserve"> at any time and </w:t>
      </w:r>
      <w:r>
        <w:t>must make</w:t>
      </w:r>
      <w:r w:rsidRPr="00F72B18">
        <w:t xml:space="preserve"> such a report as soon as practicable after the termination of the funds</w:t>
      </w:r>
      <w:r w:rsidR="005F7B1E">
        <w:t xml:space="preserve">. </w:t>
      </w:r>
      <w:r w:rsidRPr="00117AD3">
        <w:rPr>
          <w:rStyle w:val="Referencingstyle"/>
        </w:rPr>
        <w:t>[Part 3, Division</w:t>
      </w:r>
      <w:r w:rsidR="00B006F4">
        <w:rPr>
          <w:rStyle w:val="Referencingstyle"/>
        </w:rPr>
        <w:t xml:space="preserve"> 5</w:t>
      </w:r>
      <w:r w:rsidRPr="00117AD3">
        <w:rPr>
          <w:rStyle w:val="Referencingstyle"/>
        </w:rPr>
        <w:t>, Subdivision D, s</w:t>
      </w:r>
      <w:r>
        <w:rPr>
          <w:rStyle w:val="Referencingstyle"/>
        </w:rPr>
        <w:t>ubs</w:t>
      </w:r>
      <w:r w:rsidRPr="00117AD3">
        <w:rPr>
          <w:rStyle w:val="Referencingstyle"/>
        </w:rPr>
        <w:t>ection</w:t>
      </w:r>
      <w:r w:rsidR="00D93CFB">
        <w:rPr>
          <w:rStyle w:val="Referencingstyle"/>
        </w:rPr>
        <w:t> </w:t>
      </w:r>
      <w:r w:rsidR="00495455">
        <w:rPr>
          <w:rStyle w:val="Referencingstyle"/>
        </w:rPr>
        <w:t>47</w:t>
      </w:r>
      <w:r>
        <w:rPr>
          <w:rStyle w:val="Referencingstyle"/>
        </w:rPr>
        <w:t>(1)</w:t>
      </w:r>
      <w:r w:rsidRPr="00117AD3">
        <w:rPr>
          <w:rStyle w:val="Referencingstyle"/>
        </w:rPr>
        <w:t>]</w:t>
      </w:r>
    </w:p>
    <w:p w14:paraId="73E34C46" w14:textId="77777777" w:rsidR="00F72B18" w:rsidRPr="00117AD3" w:rsidRDefault="005F7B1E" w:rsidP="000F194A">
      <w:pPr>
        <w:pStyle w:val="base-text-paragraph"/>
      </w:pPr>
      <w:r>
        <w:t xml:space="preserve"> </w:t>
      </w:r>
      <w:r w:rsidR="00DA60CF">
        <w:t>T</w:t>
      </w:r>
      <w:r>
        <w:t>he manager may recommend</w:t>
      </w:r>
      <w:r w:rsidR="0013623A">
        <w:t xml:space="preserve">, in their final report </w:t>
      </w:r>
      <w:r>
        <w:t xml:space="preserve">that an application be made under </w:t>
      </w:r>
      <w:r w:rsidR="00F72B18" w:rsidRPr="001A57F7">
        <w:t>section</w:t>
      </w:r>
      <w:r w:rsidRPr="001A57F7">
        <w:t xml:space="preserve"> </w:t>
      </w:r>
      <w:r w:rsidR="00495455" w:rsidRPr="001A57F7">
        <w:t>4</w:t>
      </w:r>
      <w:r w:rsidR="00495455">
        <w:t xml:space="preserve">8 </w:t>
      </w:r>
      <w:r>
        <w:t>for the winding up of the insurer.</w:t>
      </w:r>
      <w:r w:rsidR="00F72B18">
        <w:t xml:space="preserve"> </w:t>
      </w:r>
      <w:r w:rsidR="00F72B18" w:rsidRPr="00117AD3">
        <w:rPr>
          <w:rStyle w:val="Referencingstyle"/>
        </w:rPr>
        <w:t xml:space="preserve">[Part 3, Division </w:t>
      </w:r>
      <w:r w:rsidR="00B006F4">
        <w:rPr>
          <w:rStyle w:val="Referencingstyle"/>
        </w:rPr>
        <w:t>5</w:t>
      </w:r>
      <w:r w:rsidR="00F72B18" w:rsidRPr="00117AD3">
        <w:rPr>
          <w:rStyle w:val="Referencingstyle"/>
        </w:rPr>
        <w:t>, Subdivision</w:t>
      </w:r>
      <w:r w:rsidR="00B006F4">
        <w:rPr>
          <w:rStyle w:val="Referencingstyle"/>
        </w:rPr>
        <w:t xml:space="preserve"> </w:t>
      </w:r>
      <w:r w:rsidR="00F72B18" w:rsidRPr="00117AD3">
        <w:rPr>
          <w:rStyle w:val="Referencingstyle"/>
        </w:rPr>
        <w:t>D, s</w:t>
      </w:r>
      <w:r w:rsidR="00F72B18">
        <w:rPr>
          <w:rStyle w:val="Referencingstyle"/>
        </w:rPr>
        <w:t>ubs</w:t>
      </w:r>
      <w:r w:rsidR="00F72B18" w:rsidRPr="00117AD3">
        <w:rPr>
          <w:rStyle w:val="Referencingstyle"/>
        </w:rPr>
        <w:t xml:space="preserve">ection </w:t>
      </w:r>
      <w:r w:rsidR="00495455">
        <w:rPr>
          <w:rStyle w:val="Referencingstyle"/>
        </w:rPr>
        <w:t>47</w:t>
      </w:r>
      <w:r w:rsidR="00F72B18">
        <w:rPr>
          <w:rStyle w:val="Referencingstyle"/>
        </w:rPr>
        <w:t>(2)</w:t>
      </w:r>
      <w:r w:rsidR="00F72B18" w:rsidRPr="00117AD3">
        <w:rPr>
          <w:rStyle w:val="Referencingstyle"/>
        </w:rPr>
        <w:t>]</w:t>
      </w:r>
    </w:p>
    <w:p w14:paraId="71F20F97" w14:textId="77777777" w:rsidR="005F7B1E" w:rsidRDefault="005F7B1E" w:rsidP="00F72B18">
      <w:pPr>
        <w:pStyle w:val="Heading5"/>
      </w:pPr>
      <w:r>
        <w:t>Applying for winding up</w:t>
      </w:r>
    </w:p>
    <w:p w14:paraId="6E4CFEED" w14:textId="77777777" w:rsidR="00F72B18" w:rsidRDefault="00F72B18" w:rsidP="000F194A">
      <w:pPr>
        <w:pStyle w:val="base-text-paragraph"/>
      </w:pPr>
      <w:r w:rsidRPr="00F72B18">
        <w:t xml:space="preserve">If a terminating manager’s report recommends the winding up of an insurer, </w:t>
      </w:r>
      <w:r>
        <w:t xml:space="preserve">APRA </w:t>
      </w:r>
      <w:r w:rsidRPr="00F72B18">
        <w:t xml:space="preserve">or the terminating manager </w:t>
      </w:r>
      <w:r>
        <w:t xml:space="preserve">(if directed by APRA) </w:t>
      </w:r>
      <w:r w:rsidRPr="00F72B18">
        <w:t>may apply to the Federal Court for an order that a private health insurer be wound up.</w:t>
      </w:r>
      <w:r w:rsidR="006C6BD0">
        <w:t xml:space="preserve"> </w:t>
      </w:r>
      <w:r w:rsidR="005978A6" w:rsidRPr="00117AD3">
        <w:rPr>
          <w:rStyle w:val="Referencingstyle"/>
        </w:rPr>
        <w:t xml:space="preserve">[Part 3, Division </w:t>
      </w:r>
      <w:r w:rsidR="00B006F4">
        <w:rPr>
          <w:rStyle w:val="Referencingstyle"/>
        </w:rPr>
        <w:t>5</w:t>
      </w:r>
      <w:r w:rsidR="005978A6" w:rsidRPr="00117AD3">
        <w:rPr>
          <w:rStyle w:val="Referencingstyle"/>
        </w:rPr>
        <w:t>, Subdivision D, s</w:t>
      </w:r>
      <w:r w:rsidR="005978A6">
        <w:rPr>
          <w:rStyle w:val="Referencingstyle"/>
        </w:rPr>
        <w:t>ubs</w:t>
      </w:r>
      <w:r w:rsidR="005978A6" w:rsidRPr="00117AD3">
        <w:rPr>
          <w:rStyle w:val="Referencingstyle"/>
        </w:rPr>
        <w:t>ection</w:t>
      </w:r>
      <w:r w:rsidR="005978A6">
        <w:rPr>
          <w:rStyle w:val="Referencingstyle"/>
        </w:rPr>
        <w:t>s</w:t>
      </w:r>
      <w:r w:rsidR="005978A6" w:rsidRPr="00117AD3">
        <w:rPr>
          <w:rStyle w:val="Referencingstyle"/>
        </w:rPr>
        <w:t xml:space="preserve"> </w:t>
      </w:r>
      <w:r w:rsidR="00495455">
        <w:rPr>
          <w:rStyle w:val="Referencingstyle"/>
        </w:rPr>
        <w:t>48</w:t>
      </w:r>
      <w:r w:rsidR="005978A6">
        <w:rPr>
          <w:rStyle w:val="Referencingstyle"/>
        </w:rPr>
        <w:t>(1) and (2)</w:t>
      </w:r>
      <w:r w:rsidR="005978A6" w:rsidRPr="00117AD3">
        <w:rPr>
          <w:rStyle w:val="Referencingstyle"/>
        </w:rPr>
        <w:t>]</w:t>
      </w:r>
    </w:p>
    <w:p w14:paraId="1ADCB9AB" w14:textId="77777777" w:rsidR="00F72B18" w:rsidRDefault="00F72B18" w:rsidP="000F194A">
      <w:pPr>
        <w:pStyle w:val="base-text-paragraph"/>
      </w:pPr>
      <w:r w:rsidRPr="00F72B18">
        <w:t xml:space="preserve">The Federal Court may make such an order if it is satisfied that this would be in the financial interests of the policy holders of the </w:t>
      </w:r>
      <w:r w:rsidR="007A7DF1">
        <w:t>health benefits</w:t>
      </w:r>
      <w:r w:rsidRPr="00F72B18">
        <w:t xml:space="preserve"> funds.</w:t>
      </w:r>
      <w:r w:rsidR="005978A6">
        <w:t xml:space="preserve"> </w:t>
      </w:r>
      <w:r w:rsidR="005978A6" w:rsidRPr="00117AD3">
        <w:rPr>
          <w:rStyle w:val="Referencingstyle"/>
        </w:rPr>
        <w:t xml:space="preserve">[Part 3, Division </w:t>
      </w:r>
      <w:r w:rsidR="00B006F4">
        <w:rPr>
          <w:rStyle w:val="Referencingstyle"/>
        </w:rPr>
        <w:t xml:space="preserve">5, </w:t>
      </w:r>
      <w:r w:rsidR="005978A6" w:rsidRPr="00117AD3">
        <w:rPr>
          <w:rStyle w:val="Referencingstyle"/>
        </w:rPr>
        <w:t>Subdivision D, s</w:t>
      </w:r>
      <w:r w:rsidR="005978A6">
        <w:rPr>
          <w:rStyle w:val="Referencingstyle"/>
        </w:rPr>
        <w:t>ubs</w:t>
      </w:r>
      <w:r w:rsidR="005978A6" w:rsidRPr="00117AD3">
        <w:rPr>
          <w:rStyle w:val="Referencingstyle"/>
        </w:rPr>
        <w:t xml:space="preserve">ection </w:t>
      </w:r>
      <w:r w:rsidR="00495455">
        <w:rPr>
          <w:rStyle w:val="Referencingstyle"/>
        </w:rPr>
        <w:t>48</w:t>
      </w:r>
      <w:r w:rsidR="005978A6">
        <w:rPr>
          <w:rStyle w:val="Referencingstyle"/>
        </w:rPr>
        <w:t>(</w:t>
      </w:r>
      <w:r w:rsidR="00B006F4">
        <w:rPr>
          <w:rStyle w:val="Referencingstyle"/>
        </w:rPr>
        <w:t>3</w:t>
      </w:r>
      <w:r w:rsidR="005978A6">
        <w:rPr>
          <w:rStyle w:val="Referencingstyle"/>
        </w:rPr>
        <w:t>)</w:t>
      </w:r>
      <w:r w:rsidR="005978A6" w:rsidRPr="00117AD3">
        <w:rPr>
          <w:rStyle w:val="Referencingstyle"/>
        </w:rPr>
        <w:t>]</w:t>
      </w:r>
    </w:p>
    <w:p w14:paraId="20CB9A6F" w14:textId="77777777" w:rsidR="005F7B1E" w:rsidRDefault="005978A6" w:rsidP="000F194A">
      <w:pPr>
        <w:pStyle w:val="base-text-paragraph"/>
      </w:pPr>
      <w:r>
        <w:t xml:space="preserve">The winding up is to be conducted in accordance with the </w:t>
      </w:r>
      <w:r w:rsidRPr="001A57F7">
        <w:t>Corporations Act</w:t>
      </w:r>
      <w:r>
        <w:t xml:space="preserve">.  </w:t>
      </w:r>
      <w:r w:rsidRPr="00117AD3">
        <w:rPr>
          <w:rStyle w:val="Referencingstyle"/>
        </w:rPr>
        <w:t xml:space="preserve">[Part 3, Division </w:t>
      </w:r>
      <w:r w:rsidR="00B006F4">
        <w:rPr>
          <w:rStyle w:val="Referencingstyle"/>
        </w:rPr>
        <w:t>5</w:t>
      </w:r>
      <w:r w:rsidRPr="00117AD3">
        <w:rPr>
          <w:rStyle w:val="Referencingstyle"/>
        </w:rPr>
        <w:t>, Subdivision</w:t>
      </w:r>
      <w:r w:rsidR="00B006F4">
        <w:rPr>
          <w:rStyle w:val="Referencingstyle"/>
        </w:rPr>
        <w:t xml:space="preserve"> </w:t>
      </w:r>
      <w:r w:rsidRPr="00117AD3">
        <w:rPr>
          <w:rStyle w:val="Referencingstyle"/>
        </w:rPr>
        <w:t>D</w:t>
      </w:r>
      <w:r>
        <w:rPr>
          <w:rStyle w:val="Referencingstyle"/>
        </w:rPr>
        <w:t>, subs</w:t>
      </w:r>
      <w:r w:rsidRPr="00117AD3">
        <w:rPr>
          <w:rStyle w:val="Referencingstyle"/>
        </w:rPr>
        <w:t>ection</w:t>
      </w:r>
      <w:r w:rsidR="00D93CFB">
        <w:rPr>
          <w:rStyle w:val="Referencingstyle"/>
        </w:rPr>
        <w:t> </w:t>
      </w:r>
      <w:r w:rsidR="00495455" w:rsidRPr="00117AD3">
        <w:rPr>
          <w:rStyle w:val="Referencingstyle"/>
        </w:rPr>
        <w:t>4</w:t>
      </w:r>
      <w:r w:rsidR="00495455">
        <w:rPr>
          <w:rStyle w:val="Referencingstyle"/>
        </w:rPr>
        <w:t>8</w:t>
      </w:r>
      <w:r>
        <w:rPr>
          <w:rStyle w:val="Referencingstyle"/>
        </w:rPr>
        <w:t>(</w:t>
      </w:r>
      <w:r w:rsidR="00B006F4">
        <w:rPr>
          <w:rStyle w:val="Referencingstyle"/>
        </w:rPr>
        <w:t>4</w:t>
      </w:r>
      <w:r>
        <w:rPr>
          <w:rStyle w:val="Referencingstyle"/>
        </w:rPr>
        <w:t>)</w:t>
      </w:r>
      <w:r w:rsidRPr="00117AD3">
        <w:rPr>
          <w:rStyle w:val="Referencingstyle"/>
        </w:rPr>
        <w:t>]</w:t>
      </w:r>
    </w:p>
    <w:p w14:paraId="3DF0487A" w14:textId="77777777" w:rsidR="005978A6" w:rsidRDefault="005978A6" w:rsidP="00BA3665">
      <w:pPr>
        <w:pStyle w:val="Heading3"/>
      </w:pPr>
      <w:r>
        <w:t xml:space="preserve">Division </w:t>
      </w:r>
      <w:r w:rsidR="00606E15">
        <w:t>6</w:t>
      </w:r>
      <w:r>
        <w:t xml:space="preserve"> - External management of health benefits funds</w:t>
      </w:r>
    </w:p>
    <w:p w14:paraId="461933FB" w14:textId="77777777" w:rsidR="005978A6" w:rsidRDefault="005978A6" w:rsidP="005978A6">
      <w:pPr>
        <w:pStyle w:val="Heading4"/>
      </w:pPr>
      <w:r>
        <w:t xml:space="preserve">Subdivision </w:t>
      </w:r>
      <w:r w:rsidR="00873F62">
        <w:t>A</w:t>
      </w:r>
      <w:r>
        <w:t xml:space="preserve"> – Preliminary</w:t>
      </w:r>
    </w:p>
    <w:p w14:paraId="4FEBFED9" w14:textId="77777777" w:rsidR="005978A6" w:rsidRDefault="005978A6" w:rsidP="005978A6">
      <w:pPr>
        <w:pStyle w:val="Heading5"/>
      </w:pPr>
      <w:r>
        <w:t>Purpose of Division</w:t>
      </w:r>
    </w:p>
    <w:p w14:paraId="2B9C9C6E" w14:textId="77777777" w:rsidR="002E29FA" w:rsidRPr="005058B7" w:rsidRDefault="005978A6" w:rsidP="000F194A">
      <w:pPr>
        <w:pStyle w:val="base-text-paragraph"/>
        <w:rPr>
          <w:rStyle w:val="Referencingstyle"/>
          <w:b w:val="0"/>
          <w:i w:val="0"/>
          <w:sz w:val="22"/>
        </w:rPr>
      </w:pPr>
      <w:r>
        <w:t xml:space="preserve">The purpose of the Division is to permit a health benefits fund under external management to be managed so as to maximise the chances that the policy holders of the fund continue to be covered by that fund or another fund to which the business is transferred, and if that is not possible, safeguard the financial interests of the policy holders of the fund if the fund is terminated. </w:t>
      </w:r>
      <w:r w:rsidRPr="005978A6">
        <w:rPr>
          <w:rStyle w:val="Referencingstyle"/>
        </w:rPr>
        <w:t xml:space="preserve">[Part 3, Division </w:t>
      </w:r>
      <w:r w:rsidR="00606E15">
        <w:rPr>
          <w:rStyle w:val="Referencingstyle"/>
        </w:rPr>
        <w:t>6</w:t>
      </w:r>
      <w:r w:rsidRPr="005978A6">
        <w:rPr>
          <w:rStyle w:val="Referencingstyle"/>
        </w:rPr>
        <w:t xml:space="preserve">, Subdivision A, section </w:t>
      </w:r>
      <w:r w:rsidR="002E29FA">
        <w:rPr>
          <w:rStyle w:val="Referencingstyle"/>
        </w:rPr>
        <w:t>49]</w:t>
      </w:r>
    </w:p>
    <w:p w14:paraId="3229FA62" w14:textId="77777777" w:rsidR="0049547D" w:rsidRDefault="00944D93" w:rsidP="00B76463">
      <w:pPr>
        <w:pStyle w:val="base-text-paragraph"/>
        <w:tabs>
          <w:tab w:val="clear" w:pos="1985"/>
          <w:tab w:val="num" w:pos="1986"/>
        </w:tabs>
      </w:pPr>
      <w:r w:rsidRPr="00944D93">
        <w:t xml:space="preserve">This Division, and the other provisions in the </w:t>
      </w:r>
      <w:r w:rsidR="00B76463" w:rsidRPr="00B76463">
        <w:t xml:space="preserve">Prudential Supervision </w:t>
      </w:r>
      <w:r w:rsidR="0023493D" w:rsidDel="00B76463">
        <w:t>Bill</w:t>
      </w:r>
      <w:r w:rsidRPr="00944D93">
        <w:t xml:space="preserve"> relating to external management and terminating management (flowing from external management) of health benefits funds, are based on provisions currently in </w:t>
      </w:r>
      <w:r w:rsidR="0049547D">
        <w:t>D</w:t>
      </w:r>
      <w:r w:rsidRPr="00944D93">
        <w:t xml:space="preserve">ivisions 217, 220 and Part 6.5 of the PHI Act. </w:t>
      </w:r>
    </w:p>
    <w:p w14:paraId="0F7753F3" w14:textId="77777777" w:rsidR="0049547D" w:rsidRDefault="00944D93" w:rsidP="00B76463">
      <w:pPr>
        <w:pStyle w:val="base-text-paragraph"/>
        <w:tabs>
          <w:tab w:val="clear" w:pos="1985"/>
          <w:tab w:val="num" w:pos="1986"/>
        </w:tabs>
      </w:pPr>
      <w:r w:rsidRPr="00944D93">
        <w:t xml:space="preserve">The </w:t>
      </w:r>
      <w:r w:rsidR="00B76463" w:rsidRPr="00B76463">
        <w:t xml:space="preserve">Prudential Supervision </w:t>
      </w:r>
      <w:r w:rsidR="0023493D" w:rsidDel="00B76463">
        <w:t>Bill</w:t>
      </w:r>
      <w:r w:rsidRPr="00944D93">
        <w:t xml:space="preserve"> does not alter the essential structure of these provisions, which </w:t>
      </w:r>
      <w:r w:rsidR="0013623A">
        <w:t>provide for</w:t>
      </w:r>
      <w:r w:rsidRPr="00944D93">
        <w:t xml:space="preserve"> </w:t>
      </w:r>
      <w:r w:rsidR="0013623A">
        <w:t>a</w:t>
      </w:r>
      <w:r w:rsidRPr="00944D93">
        <w:t xml:space="preserve">n external management and terminating management of health benefits funds (rather than of the entire private health insurer) </w:t>
      </w:r>
      <w:r w:rsidR="0013623A">
        <w:t>and apply</w:t>
      </w:r>
      <w:r w:rsidRPr="00944D93">
        <w:t xml:space="preserve"> certain provisions of Part 5.3A of the Corporations Act by reference</w:t>
      </w:r>
      <w:r w:rsidR="0013623A">
        <w:t>, with modifications</w:t>
      </w:r>
      <w:r w:rsidR="00183B10">
        <w:t xml:space="preserve"> to external management of health benefits funds</w:t>
      </w:r>
      <w:r w:rsidRPr="00944D93">
        <w:t xml:space="preserve">.  </w:t>
      </w:r>
    </w:p>
    <w:p w14:paraId="6FDC5CA7" w14:textId="77777777" w:rsidR="0013623A" w:rsidRDefault="00944D93" w:rsidP="00B76463">
      <w:pPr>
        <w:pStyle w:val="base-text-paragraph"/>
        <w:tabs>
          <w:tab w:val="clear" w:pos="1985"/>
          <w:tab w:val="num" w:pos="1986"/>
        </w:tabs>
      </w:pPr>
      <w:r w:rsidRPr="00944D93">
        <w:t xml:space="preserve">However the </w:t>
      </w:r>
      <w:r w:rsidR="00B76463" w:rsidRPr="00B76463">
        <w:t xml:space="preserve">Prudential Supervision </w:t>
      </w:r>
      <w:r w:rsidR="0023493D" w:rsidDel="00B76463">
        <w:t>Bill</w:t>
      </w:r>
      <w:r w:rsidRPr="00944D93">
        <w:t xml:space="preserve"> arranges the provisions to </w:t>
      </w:r>
      <w:r w:rsidR="0013623A">
        <w:t>set</w:t>
      </w:r>
      <w:r w:rsidRPr="00944D93">
        <w:t xml:space="preserve"> them </w:t>
      </w:r>
      <w:r w:rsidR="0013623A">
        <w:t>out</w:t>
      </w:r>
      <w:r w:rsidRPr="00944D93">
        <w:t xml:space="preserve"> in consecutive divisions (Divisions 6, 7 and 8 of Part</w:t>
      </w:r>
      <w:r w:rsidR="001C619E">
        <w:t xml:space="preserve"> </w:t>
      </w:r>
      <w:r w:rsidR="00B76463">
        <w:t xml:space="preserve">3). </w:t>
      </w:r>
      <w:r w:rsidRPr="00944D93">
        <w:t xml:space="preserve">There have been some changes to clarify the relationship between an external manager or terminating manager of a health benefits fund and other external administrators of a private health insurer, </w:t>
      </w:r>
      <w:r w:rsidR="000D096E">
        <w:t>for example,</w:t>
      </w:r>
      <w:r w:rsidR="00B76463">
        <w:t xml:space="preserve"> a liquidator. </w:t>
      </w:r>
      <w:r w:rsidRPr="00944D93">
        <w:t>The guiding principle is that external management and terminating management of a health benefits fund should proceed independently of any other external administration that may be occurring in relation to the business of a private health insurer outside its health benefits funds.</w:t>
      </w:r>
      <w:r w:rsidR="0013623A">
        <w:t xml:space="preserve"> There have also been amendments to clarify the way in which the provisions governing terminating management in Division 5 (</w:t>
      </w:r>
      <w:r w:rsidR="007A7DF1">
        <w:t xml:space="preserve">previously </w:t>
      </w:r>
      <w:r w:rsidR="0013623A">
        <w:t>Division 149 of the PHI Act) m</w:t>
      </w:r>
      <w:r w:rsidR="00B76463">
        <w:t>ay apply in relation to a court</w:t>
      </w:r>
      <w:r w:rsidR="00B76463">
        <w:noBreakHyphen/>
      </w:r>
      <w:r w:rsidR="0013623A">
        <w:t>ordered termination under Division 7 (</w:t>
      </w:r>
      <w:r w:rsidR="007A7DF1">
        <w:t xml:space="preserve">previously </w:t>
      </w:r>
      <w:r w:rsidR="0013623A">
        <w:t>Division 220 of the PHI Act).</w:t>
      </w:r>
    </w:p>
    <w:p w14:paraId="73DB6887" w14:textId="77777777" w:rsidR="00944D93" w:rsidRPr="002C2015" w:rsidRDefault="00944D93" w:rsidP="00944D93">
      <w:pPr>
        <w:pStyle w:val="Heading5"/>
      </w:pPr>
      <w:r w:rsidRPr="002C2015">
        <w:t>The basis of the law relating to external management</w:t>
      </w:r>
    </w:p>
    <w:p w14:paraId="4345F89B" w14:textId="77777777" w:rsidR="005978A6" w:rsidRPr="002C2015" w:rsidRDefault="0004281C" w:rsidP="00B76463">
      <w:pPr>
        <w:pStyle w:val="base-text-paragraph"/>
        <w:tabs>
          <w:tab w:val="clear" w:pos="1985"/>
          <w:tab w:val="num" w:pos="1986"/>
        </w:tabs>
      </w:pPr>
      <w:r w:rsidRPr="002C2015">
        <w:t>T</w:t>
      </w:r>
      <w:r w:rsidR="005978A6" w:rsidRPr="002C2015">
        <w:t>he external management of a health be</w:t>
      </w:r>
      <w:r w:rsidR="002C2015">
        <w:t xml:space="preserve">nefits fund is regulated by </w:t>
      </w:r>
      <w:r w:rsidR="005978A6" w:rsidRPr="001A57F7">
        <w:t xml:space="preserve">Division </w:t>
      </w:r>
      <w:r w:rsidR="00606E15" w:rsidRPr="001A57F7">
        <w:t>6</w:t>
      </w:r>
      <w:r w:rsidR="002C2015">
        <w:t xml:space="preserve"> </w:t>
      </w:r>
      <w:r w:rsidR="005978A6" w:rsidRPr="002C2015">
        <w:t xml:space="preserve">and by various provisions in the </w:t>
      </w:r>
      <w:r w:rsidR="005978A6" w:rsidRPr="001A57F7">
        <w:t>Corporation</w:t>
      </w:r>
      <w:r w:rsidR="00017E64">
        <w:t>s</w:t>
      </w:r>
      <w:r w:rsidR="005978A6" w:rsidRPr="001A57F7">
        <w:t xml:space="preserve"> Act</w:t>
      </w:r>
      <w:r w:rsidR="005978A6" w:rsidRPr="002C2015">
        <w:t xml:space="preserve"> applying subject to modifications set out in </w:t>
      </w:r>
      <w:r w:rsidR="002A0F2D">
        <w:t xml:space="preserve">the </w:t>
      </w:r>
      <w:r w:rsidR="00B76463" w:rsidRPr="00B76463">
        <w:t>Prudential Supervision Bill</w:t>
      </w:r>
      <w:r w:rsidR="005978A6" w:rsidRPr="002C2015">
        <w:t xml:space="preserve"> or </w:t>
      </w:r>
      <w:r w:rsidR="00C97E31">
        <w:t>APRA r</w:t>
      </w:r>
      <w:r w:rsidR="005978A6" w:rsidRPr="002C2015">
        <w:t>ules.</w:t>
      </w:r>
      <w:r w:rsidR="00C97E31">
        <w:t xml:space="preserve">  </w:t>
      </w:r>
      <w:r w:rsidR="00C97E31" w:rsidRPr="005978A6">
        <w:rPr>
          <w:rStyle w:val="Referencingstyle"/>
        </w:rPr>
        <w:t>[Part 3, Division</w:t>
      </w:r>
      <w:r w:rsidR="00966E89">
        <w:rPr>
          <w:rStyle w:val="Referencingstyle"/>
        </w:rPr>
        <w:t> </w:t>
      </w:r>
      <w:r w:rsidR="00606E15">
        <w:rPr>
          <w:rStyle w:val="Referencingstyle"/>
        </w:rPr>
        <w:t>6</w:t>
      </w:r>
      <w:r w:rsidR="00C97E31" w:rsidRPr="005978A6">
        <w:rPr>
          <w:rStyle w:val="Referencingstyle"/>
        </w:rPr>
        <w:t xml:space="preserve">, Subdivision A, </w:t>
      </w:r>
      <w:r w:rsidR="00873F62">
        <w:rPr>
          <w:rStyle w:val="Referencingstyle"/>
        </w:rPr>
        <w:t>sub</w:t>
      </w:r>
      <w:r w:rsidR="00C97E31" w:rsidRPr="005978A6">
        <w:rPr>
          <w:rStyle w:val="Referencingstyle"/>
        </w:rPr>
        <w:t>section</w:t>
      </w:r>
      <w:r w:rsidR="00873F62">
        <w:rPr>
          <w:rStyle w:val="Referencingstyle"/>
        </w:rPr>
        <w:t>s</w:t>
      </w:r>
      <w:r w:rsidR="00C97E31" w:rsidRPr="005978A6">
        <w:rPr>
          <w:rStyle w:val="Referencingstyle"/>
        </w:rPr>
        <w:t xml:space="preserve"> </w:t>
      </w:r>
      <w:r w:rsidR="00873F62">
        <w:rPr>
          <w:rStyle w:val="Referencingstyle"/>
        </w:rPr>
        <w:t>5</w:t>
      </w:r>
      <w:r w:rsidR="002E29FA">
        <w:rPr>
          <w:rStyle w:val="Referencingstyle"/>
        </w:rPr>
        <w:t>0</w:t>
      </w:r>
      <w:r w:rsidR="00873F62">
        <w:rPr>
          <w:rStyle w:val="Referencingstyle"/>
        </w:rPr>
        <w:t>(1)</w:t>
      </w:r>
      <w:r w:rsidR="005D1989">
        <w:rPr>
          <w:rStyle w:val="Referencingstyle"/>
        </w:rPr>
        <w:t>,</w:t>
      </w:r>
      <w:r w:rsidR="00873F62">
        <w:rPr>
          <w:rStyle w:val="Referencingstyle"/>
        </w:rPr>
        <w:t xml:space="preserve"> (4)</w:t>
      </w:r>
      <w:r w:rsidR="005D1989">
        <w:rPr>
          <w:rStyle w:val="Referencingstyle"/>
        </w:rPr>
        <w:t xml:space="preserve"> and (5</w:t>
      </w:r>
      <w:r w:rsidR="00873F62">
        <w:rPr>
          <w:rStyle w:val="Referencingstyle"/>
        </w:rPr>
        <w:t>)</w:t>
      </w:r>
      <w:r w:rsidR="00C97E31" w:rsidRPr="005978A6">
        <w:rPr>
          <w:rStyle w:val="Referencingstyle"/>
        </w:rPr>
        <w:t>]</w:t>
      </w:r>
    </w:p>
    <w:p w14:paraId="6E5F2BFF" w14:textId="77777777" w:rsidR="0013623A" w:rsidRDefault="00FA2985" w:rsidP="000F194A">
      <w:pPr>
        <w:pStyle w:val="base-text-paragraph"/>
      </w:pPr>
      <w:r>
        <w:t xml:space="preserve">The ability of </w:t>
      </w:r>
      <w:r w:rsidR="001C619E" w:rsidRPr="00C04AA9">
        <w:t>A</w:t>
      </w:r>
      <w:r w:rsidR="001C619E" w:rsidRPr="002E29FA">
        <w:t xml:space="preserve">PRA </w:t>
      </w:r>
      <w:r w:rsidR="002E29FA" w:rsidRPr="002E29FA">
        <w:t>rules</w:t>
      </w:r>
      <w:r w:rsidR="0013623A">
        <w:t xml:space="preserve">, under subparagraph 50(1)(b)(ii) of the </w:t>
      </w:r>
      <w:r w:rsidR="00B76463">
        <w:rPr>
          <w:lang w:val="en-US" w:eastAsia="en-US"/>
        </w:rPr>
        <w:t xml:space="preserve">Prudential Supervision </w:t>
      </w:r>
      <w:r w:rsidR="0013623A" w:rsidDel="00B76463">
        <w:rPr>
          <w:lang w:val="en-US" w:eastAsia="en-US"/>
        </w:rPr>
        <w:t>Bill</w:t>
      </w:r>
      <w:r w:rsidR="0013623A">
        <w:t>,</w:t>
      </w:r>
      <w:r w:rsidR="002E29FA" w:rsidRPr="002E29FA">
        <w:t xml:space="preserve"> </w:t>
      </w:r>
      <w:r w:rsidRPr="002E29FA">
        <w:t xml:space="preserve">to modify the provisions of the Corporations Act listed in paragraph </w:t>
      </w:r>
      <w:r w:rsidR="002E29FA" w:rsidRPr="006C3D7A">
        <w:t>50</w:t>
      </w:r>
      <w:r w:rsidR="00D469C9" w:rsidRPr="006C3D7A">
        <w:t>(1)(b</w:t>
      </w:r>
      <w:r w:rsidR="00D469C9" w:rsidRPr="002E29FA">
        <w:t>)</w:t>
      </w:r>
      <w:r w:rsidRPr="00C04AA9">
        <w:t xml:space="preserve"> is consistent </w:t>
      </w:r>
      <w:r w:rsidR="00A424BE" w:rsidRPr="00C04AA9">
        <w:t>with the</w:t>
      </w:r>
      <w:r w:rsidRPr="00C04AA9">
        <w:t xml:space="preserve"> ability of </w:t>
      </w:r>
      <w:r w:rsidR="00AC6B82">
        <w:t xml:space="preserve">the </w:t>
      </w:r>
      <w:r w:rsidR="0013623A">
        <w:t>Minister</w:t>
      </w:r>
      <w:r w:rsidRPr="002E29FA">
        <w:t xml:space="preserve"> to modify these provisions under subparagraph</w:t>
      </w:r>
      <w:r w:rsidR="00966E89">
        <w:t> </w:t>
      </w:r>
      <w:r w:rsidRPr="002E29FA">
        <w:t>217</w:t>
      </w:r>
      <w:r w:rsidR="00D93CFB" w:rsidRPr="002E29FA">
        <w:noBreakHyphen/>
      </w:r>
      <w:r w:rsidR="00B03E80">
        <w:t>5</w:t>
      </w:r>
      <w:r w:rsidRPr="002E29FA">
        <w:t>(1)(b)(ii) of the PHI</w:t>
      </w:r>
      <w:r w:rsidR="00B03E80">
        <w:t> </w:t>
      </w:r>
      <w:r w:rsidR="00B76463">
        <w:t xml:space="preserve">Act. </w:t>
      </w:r>
      <w:r w:rsidRPr="002E29FA">
        <w:t>This ability provide</w:t>
      </w:r>
      <w:r w:rsidR="00D27385" w:rsidRPr="002E29FA">
        <w:t>s</w:t>
      </w:r>
      <w:r w:rsidRPr="002E29FA">
        <w:t xml:space="preserve"> flexibility to the external management regime by allowing APRA to </w:t>
      </w:r>
      <w:r w:rsidR="00D27385" w:rsidRPr="002E29FA">
        <w:t>modify</w:t>
      </w:r>
      <w:r w:rsidRPr="002E29FA">
        <w:t xml:space="preserve"> the Corporations Act provisions listed in </w:t>
      </w:r>
      <w:r w:rsidR="00D469C9" w:rsidRPr="006C3D7A">
        <w:t xml:space="preserve">paragraph </w:t>
      </w:r>
      <w:r w:rsidR="002E29FA" w:rsidRPr="006C3D7A">
        <w:t>50</w:t>
      </w:r>
      <w:r w:rsidR="00D469C9" w:rsidRPr="006C3D7A">
        <w:t>(1)(b</w:t>
      </w:r>
      <w:r w:rsidR="00D469C9" w:rsidRPr="00C04AA9">
        <w:t xml:space="preserve">) </w:t>
      </w:r>
      <w:r w:rsidRPr="002E29FA">
        <w:t>as these provisions change or as external management practices change</w:t>
      </w:r>
      <w:r w:rsidR="00D27385" w:rsidRPr="002E29FA">
        <w:t>.</w:t>
      </w:r>
      <w:r w:rsidR="00EB18AE" w:rsidRPr="002E29FA">
        <w:t xml:space="preserve"> </w:t>
      </w:r>
      <w:r w:rsidR="0013623A">
        <w:t xml:space="preserve">It is proposed that APRA’s initial rules will replicate the existing PHI Act </w:t>
      </w:r>
      <w:r w:rsidR="0013623A" w:rsidRPr="002E29FA">
        <w:t>subparagraph</w:t>
      </w:r>
      <w:r w:rsidR="0013623A">
        <w:t> </w:t>
      </w:r>
      <w:r w:rsidR="0013623A" w:rsidRPr="002E29FA">
        <w:t>217</w:t>
      </w:r>
      <w:r w:rsidR="0013623A" w:rsidRPr="002E29FA">
        <w:noBreakHyphen/>
      </w:r>
      <w:r w:rsidR="008F7D2D">
        <w:t>5</w:t>
      </w:r>
      <w:r w:rsidR="0013623A" w:rsidRPr="002E29FA">
        <w:t xml:space="preserve">(1)(b)(ii) </w:t>
      </w:r>
      <w:r w:rsidR="0013623A">
        <w:t xml:space="preserve">rules, with some updating to cater for where the Corporations Act provisions were amended after the making of the current rules under </w:t>
      </w:r>
      <w:r w:rsidR="0013623A" w:rsidRPr="002E29FA">
        <w:t>subparagraph</w:t>
      </w:r>
      <w:r w:rsidR="0013623A">
        <w:t> </w:t>
      </w:r>
      <w:r w:rsidR="0013623A" w:rsidRPr="002E29FA">
        <w:t>217</w:t>
      </w:r>
      <w:r w:rsidR="0013623A" w:rsidRPr="002E29FA">
        <w:noBreakHyphen/>
      </w:r>
      <w:r w:rsidR="008F7D2D">
        <w:t>5</w:t>
      </w:r>
      <w:r w:rsidR="0013623A">
        <w:t>(1)(b)(ii).</w:t>
      </w:r>
    </w:p>
    <w:p w14:paraId="5427BFBC" w14:textId="77777777" w:rsidR="005978A6" w:rsidRDefault="0013623A" w:rsidP="00B76463">
      <w:pPr>
        <w:pStyle w:val="base-text-paragraph"/>
        <w:tabs>
          <w:tab w:val="clear" w:pos="1985"/>
          <w:tab w:val="num" w:pos="1986"/>
        </w:tabs>
      </w:pPr>
      <w:r>
        <w:t xml:space="preserve">A health benefits fund cannot be placed under external administration (which will be defined broadly in section 4 to include a range of different forms of external administration, including control by a liquidator or voluntary administrator under the Corporations Act) except in accordance with Part 3 of the </w:t>
      </w:r>
      <w:r w:rsidR="00B76463" w:rsidRPr="00B76463">
        <w:t xml:space="preserve">Prudential Supervision </w:t>
      </w:r>
      <w:r w:rsidDel="00B76463">
        <w:t>Bill</w:t>
      </w:r>
      <w:r>
        <w:t>.</w:t>
      </w:r>
      <w:r w:rsidRPr="005978A6">
        <w:rPr>
          <w:rStyle w:val="Referencingstyle"/>
        </w:rPr>
        <w:t xml:space="preserve"> </w:t>
      </w:r>
      <w:r w:rsidR="00873F62" w:rsidRPr="005978A6">
        <w:rPr>
          <w:rStyle w:val="Referencingstyle"/>
        </w:rPr>
        <w:t>[Part</w:t>
      </w:r>
      <w:r w:rsidR="002A0F2D">
        <w:rPr>
          <w:rStyle w:val="Referencingstyle"/>
        </w:rPr>
        <w:t> </w:t>
      </w:r>
      <w:r w:rsidR="00873F62" w:rsidRPr="005978A6">
        <w:rPr>
          <w:rStyle w:val="Referencingstyle"/>
        </w:rPr>
        <w:t xml:space="preserve">3, Division </w:t>
      </w:r>
      <w:r w:rsidR="00606E15">
        <w:rPr>
          <w:rStyle w:val="Referencingstyle"/>
        </w:rPr>
        <w:t>6</w:t>
      </w:r>
      <w:r w:rsidR="00873F62" w:rsidRPr="005978A6">
        <w:rPr>
          <w:rStyle w:val="Referencingstyle"/>
        </w:rPr>
        <w:t>, Subdivision A, s</w:t>
      </w:r>
      <w:r w:rsidR="00873F62">
        <w:rPr>
          <w:rStyle w:val="Referencingstyle"/>
        </w:rPr>
        <w:t>ubs</w:t>
      </w:r>
      <w:r w:rsidR="00873F62" w:rsidRPr="005978A6">
        <w:rPr>
          <w:rStyle w:val="Referencingstyle"/>
        </w:rPr>
        <w:t>ection</w:t>
      </w:r>
      <w:r w:rsidR="002E29FA">
        <w:rPr>
          <w:rStyle w:val="Referencingstyle"/>
        </w:rPr>
        <w:t>s</w:t>
      </w:r>
      <w:r w:rsidR="00873F62" w:rsidRPr="005978A6">
        <w:rPr>
          <w:rStyle w:val="Referencingstyle"/>
        </w:rPr>
        <w:t xml:space="preserve"> </w:t>
      </w:r>
      <w:r w:rsidR="002E29FA">
        <w:rPr>
          <w:rStyle w:val="Referencingstyle"/>
        </w:rPr>
        <w:t>50</w:t>
      </w:r>
      <w:r w:rsidR="00873F62">
        <w:rPr>
          <w:rStyle w:val="Referencingstyle"/>
        </w:rPr>
        <w:t>(2)</w:t>
      </w:r>
      <w:r w:rsidR="002E29FA">
        <w:rPr>
          <w:rStyle w:val="Referencingstyle"/>
        </w:rPr>
        <w:t xml:space="preserve"> and (3)</w:t>
      </w:r>
      <w:r w:rsidR="00873F62" w:rsidRPr="005978A6">
        <w:rPr>
          <w:rStyle w:val="Referencingstyle"/>
        </w:rPr>
        <w:t>]</w:t>
      </w:r>
    </w:p>
    <w:p w14:paraId="13F370EE" w14:textId="77777777" w:rsidR="005978A6" w:rsidRDefault="00873F62" w:rsidP="000F194A">
      <w:pPr>
        <w:pStyle w:val="base-text-paragraph"/>
      </w:pPr>
      <w:r>
        <w:t>A</w:t>
      </w:r>
      <w:r w:rsidR="005978A6">
        <w:t xml:space="preserve"> provision of the </w:t>
      </w:r>
      <w:r w:rsidR="005978A6" w:rsidRPr="001A57F7">
        <w:t>Corporations Act</w:t>
      </w:r>
      <w:r w:rsidR="005978A6">
        <w:t xml:space="preserve"> listed in </w:t>
      </w:r>
      <w:r w:rsidR="005978A6" w:rsidRPr="001A57F7">
        <w:t>sub</w:t>
      </w:r>
      <w:r w:rsidRPr="001A57F7">
        <w:t>section</w:t>
      </w:r>
      <w:r w:rsidR="00DD6668">
        <w:t> 50</w:t>
      </w:r>
      <w:r w:rsidR="005978A6" w:rsidRPr="001A57F7">
        <w:t>(1)</w:t>
      </w:r>
      <w:r w:rsidR="005978A6">
        <w:t xml:space="preserve"> appl</w:t>
      </w:r>
      <w:r w:rsidR="0013623A">
        <w:t>ies</w:t>
      </w:r>
      <w:r w:rsidR="005978A6">
        <w:t xml:space="preserve"> to the external management of a fund as if:</w:t>
      </w:r>
    </w:p>
    <w:p w14:paraId="7D4027EF" w14:textId="77777777" w:rsidR="005978A6" w:rsidRDefault="005978A6" w:rsidP="00C97E31">
      <w:pPr>
        <w:pStyle w:val="dotpoint"/>
      </w:pPr>
      <w:r>
        <w:t xml:space="preserve">a reference to the company were a reference to the fund; </w:t>
      </w:r>
    </w:p>
    <w:p w14:paraId="2148F4FC" w14:textId="77777777" w:rsidR="005978A6" w:rsidRDefault="005978A6" w:rsidP="00E55DCF">
      <w:pPr>
        <w:pStyle w:val="dotpoint"/>
      </w:pPr>
      <w:r>
        <w:t xml:space="preserve">a reference to the administrator was a reference to the external manager appointed under </w:t>
      </w:r>
      <w:r w:rsidR="00606E15" w:rsidRPr="001A57F7">
        <w:t xml:space="preserve">the </w:t>
      </w:r>
      <w:r w:rsidR="00E55DCF" w:rsidRPr="00E55DCF">
        <w:t>Prudential Supervision Bill</w:t>
      </w:r>
      <w:r>
        <w:t xml:space="preserve">; and </w:t>
      </w:r>
    </w:p>
    <w:p w14:paraId="06EB3673" w14:textId="77777777" w:rsidR="005978A6" w:rsidRDefault="005978A6" w:rsidP="00C97E31">
      <w:pPr>
        <w:pStyle w:val="dotpoint"/>
      </w:pPr>
      <w:r>
        <w:t>a reference to the Court were a reference to the Federal Court.</w:t>
      </w:r>
      <w:r w:rsidR="00873F62">
        <w:t xml:space="preserve">  </w:t>
      </w:r>
      <w:r w:rsidR="00873F62" w:rsidRPr="005978A6">
        <w:rPr>
          <w:rStyle w:val="Referencingstyle"/>
        </w:rPr>
        <w:t xml:space="preserve">[Part 3, Division </w:t>
      </w:r>
      <w:r w:rsidR="00606E15">
        <w:rPr>
          <w:rStyle w:val="Referencingstyle"/>
        </w:rPr>
        <w:t>6</w:t>
      </w:r>
      <w:r w:rsidR="00873F62" w:rsidRPr="005978A6">
        <w:rPr>
          <w:rStyle w:val="Referencingstyle"/>
        </w:rPr>
        <w:t>, Subdivision A, s</w:t>
      </w:r>
      <w:r w:rsidR="00873F62">
        <w:rPr>
          <w:rStyle w:val="Referencingstyle"/>
        </w:rPr>
        <w:t>ubs</w:t>
      </w:r>
      <w:r w:rsidR="00873F62" w:rsidRPr="005978A6">
        <w:rPr>
          <w:rStyle w:val="Referencingstyle"/>
        </w:rPr>
        <w:t xml:space="preserve">ection </w:t>
      </w:r>
      <w:r w:rsidR="002E29FA">
        <w:rPr>
          <w:rStyle w:val="Referencingstyle"/>
        </w:rPr>
        <w:t>50</w:t>
      </w:r>
      <w:r w:rsidR="00873F62">
        <w:rPr>
          <w:rStyle w:val="Referencingstyle"/>
        </w:rPr>
        <w:t>(</w:t>
      </w:r>
      <w:r w:rsidR="002E29FA">
        <w:rPr>
          <w:rStyle w:val="Referencingstyle"/>
        </w:rPr>
        <w:t>4</w:t>
      </w:r>
      <w:r w:rsidR="00873F62">
        <w:rPr>
          <w:rStyle w:val="Referencingstyle"/>
        </w:rPr>
        <w:t>)</w:t>
      </w:r>
      <w:r w:rsidR="00873F62" w:rsidRPr="005978A6">
        <w:rPr>
          <w:rStyle w:val="Referencingstyle"/>
        </w:rPr>
        <w:t>]</w:t>
      </w:r>
    </w:p>
    <w:p w14:paraId="08949786" w14:textId="77777777" w:rsidR="005978A6" w:rsidRDefault="005978A6" w:rsidP="00873F62">
      <w:pPr>
        <w:pStyle w:val="Heading4"/>
      </w:pPr>
      <w:r>
        <w:t>Subdivision B</w:t>
      </w:r>
      <w:r w:rsidR="00873F62">
        <w:t xml:space="preserve"> – A</w:t>
      </w:r>
      <w:r>
        <w:t>ppointment of external managers</w:t>
      </w:r>
    </w:p>
    <w:p w14:paraId="47859691" w14:textId="77777777" w:rsidR="005978A6" w:rsidRDefault="00873F62" w:rsidP="00873F62">
      <w:pPr>
        <w:pStyle w:val="Heading5"/>
      </w:pPr>
      <w:r>
        <w:t>APRA</w:t>
      </w:r>
      <w:r w:rsidR="005978A6">
        <w:t xml:space="preserve"> may appoint external managers</w:t>
      </w:r>
    </w:p>
    <w:p w14:paraId="6AEE1CED" w14:textId="77777777" w:rsidR="00873F62" w:rsidRDefault="00873F62" w:rsidP="000F194A">
      <w:pPr>
        <w:pStyle w:val="base-text-paragraph"/>
      </w:pPr>
      <w:r>
        <w:t xml:space="preserve">APRA may </w:t>
      </w:r>
      <w:r w:rsidR="005978A6">
        <w:t xml:space="preserve">appoint in writing an external manager to a health benefits fund if the grounds specified in </w:t>
      </w:r>
      <w:r w:rsidR="00606E15">
        <w:t xml:space="preserve">subsections </w:t>
      </w:r>
      <w:r w:rsidR="00BA52CE">
        <w:t>52</w:t>
      </w:r>
      <w:r w:rsidR="00B76463">
        <w:t xml:space="preserve">(1) and (2) are satisfied. </w:t>
      </w:r>
      <w:r w:rsidRPr="005978A6">
        <w:rPr>
          <w:rStyle w:val="Referencingstyle"/>
        </w:rPr>
        <w:t xml:space="preserve">[Part 3, Division </w:t>
      </w:r>
      <w:r w:rsidR="00606E15">
        <w:rPr>
          <w:rStyle w:val="Referencingstyle"/>
        </w:rPr>
        <w:t>6</w:t>
      </w:r>
      <w:r w:rsidRPr="005978A6">
        <w:rPr>
          <w:rStyle w:val="Referencingstyle"/>
        </w:rPr>
        <w:t xml:space="preserve">, Subdivision </w:t>
      </w:r>
      <w:r>
        <w:rPr>
          <w:rStyle w:val="Referencingstyle"/>
        </w:rPr>
        <w:t>B</w:t>
      </w:r>
      <w:r w:rsidRPr="005978A6">
        <w:rPr>
          <w:rStyle w:val="Referencingstyle"/>
        </w:rPr>
        <w:t>, s</w:t>
      </w:r>
      <w:r>
        <w:rPr>
          <w:rStyle w:val="Referencingstyle"/>
        </w:rPr>
        <w:t>ubs</w:t>
      </w:r>
      <w:r w:rsidRPr="005978A6">
        <w:rPr>
          <w:rStyle w:val="Referencingstyle"/>
        </w:rPr>
        <w:t xml:space="preserve">ection </w:t>
      </w:r>
      <w:r w:rsidR="00050E98">
        <w:rPr>
          <w:rStyle w:val="Referencingstyle"/>
        </w:rPr>
        <w:t>51</w:t>
      </w:r>
      <w:r>
        <w:rPr>
          <w:rStyle w:val="Referencingstyle"/>
        </w:rPr>
        <w:t>(1)</w:t>
      </w:r>
      <w:r w:rsidRPr="005978A6">
        <w:rPr>
          <w:rStyle w:val="Referencingstyle"/>
        </w:rPr>
        <w:t>]</w:t>
      </w:r>
    </w:p>
    <w:p w14:paraId="4BD8B1A6" w14:textId="77777777" w:rsidR="005978A6" w:rsidRDefault="00873F62" w:rsidP="000F194A">
      <w:pPr>
        <w:pStyle w:val="base-text-paragraph"/>
      </w:pPr>
      <w:r>
        <w:t>T</w:t>
      </w:r>
      <w:r w:rsidR="005978A6">
        <w:t xml:space="preserve">he person appointed must be an official liquidator under the </w:t>
      </w:r>
      <w:r w:rsidR="005978A6" w:rsidRPr="001A57F7">
        <w:t>Corporations Act</w:t>
      </w:r>
      <w:r w:rsidR="005978A6" w:rsidRPr="003361BD">
        <w:rPr>
          <w:i/>
        </w:rPr>
        <w:t xml:space="preserve"> </w:t>
      </w:r>
      <w:r w:rsidR="005978A6">
        <w:t>and must not be</w:t>
      </w:r>
      <w:r w:rsidR="003361BD">
        <w:t xml:space="preserve"> a person related to the fund</w:t>
      </w:r>
      <w:r w:rsidR="0013623A">
        <w:t xml:space="preserve"> (for example, they cannot be a policy holder, auditor or actuary in relation to the fund)</w:t>
      </w:r>
      <w:r w:rsidR="00B76463">
        <w:t xml:space="preserve">. </w:t>
      </w:r>
      <w:r w:rsidR="003361BD">
        <w:t>T</w:t>
      </w:r>
      <w:r w:rsidR="005978A6">
        <w:t>he appointment takes effect from the date specified in the appointment.</w:t>
      </w:r>
      <w:r w:rsidR="00B76463">
        <w:t xml:space="preserve"> </w:t>
      </w:r>
      <w:r w:rsidRPr="005978A6">
        <w:rPr>
          <w:rStyle w:val="Referencingstyle"/>
        </w:rPr>
        <w:t>[Part</w:t>
      </w:r>
      <w:r w:rsidR="00D93CFB">
        <w:rPr>
          <w:rStyle w:val="Referencingstyle"/>
        </w:rPr>
        <w:t> </w:t>
      </w:r>
      <w:r w:rsidRPr="005978A6">
        <w:rPr>
          <w:rStyle w:val="Referencingstyle"/>
        </w:rPr>
        <w:t xml:space="preserve">3, Division </w:t>
      </w:r>
      <w:r w:rsidR="00606E15">
        <w:rPr>
          <w:rStyle w:val="Referencingstyle"/>
        </w:rPr>
        <w:t>6</w:t>
      </w:r>
      <w:r>
        <w:rPr>
          <w:rStyle w:val="Referencingstyle"/>
        </w:rPr>
        <w:t xml:space="preserve">, </w:t>
      </w:r>
      <w:r w:rsidRPr="005978A6">
        <w:rPr>
          <w:rStyle w:val="Referencingstyle"/>
        </w:rPr>
        <w:t xml:space="preserve">Subdivision </w:t>
      </w:r>
      <w:r>
        <w:rPr>
          <w:rStyle w:val="Referencingstyle"/>
        </w:rPr>
        <w:t>B</w:t>
      </w:r>
      <w:r w:rsidRPr="005978A6">
        <w:rPr>
          <w:rStyle w:val="Referencingstyle"/>
        </w:rPr>
        <w:t>, s</w:t>
      </w:r>
      <w:r>
        <w:rPr>
          <w:rStyle w:val="Referencingstyle"/>
        </w:rPr>
        <w:t>ubs</w:t>
      </w:r>
      <w:r w:rsidRPr="005978A6">
        <w:rPr>
          <w:rStyle w:val="Referencingstyle"/>
        </w:rPr>
        <w:t>ection</w:t>
      </w:r>
      <w:r w:rsidR="003361BD">
        <w:rPr>
          <w:rStyle w:val="Referencingstyle"/>
        </w:rPr>
        <w:t>s</w:t>
      </w:r>
      <w:r w:rsidRPr="005978A6">
        <w:rPr>
          <w:rStyle w:val="Referencingstyle"/>
        </w:rPr>
        <w:t xml:space="preserve"> </w:t>
      </w:r>
      <w:r w:rsidR="00050E98">
        <w:rPr>
          <w:rStyle w:val="Referencingstyle"/>
        </w:rPr>
        <w:t>51</w:t>
      </w:r>
      <w:r>
        <w:rPr>
          <w:rStyle w:val="Referencingstyle"/>
        </w:rPr>
        <w:t>(2</w:t>
      </w:r>
      <w:r w:rsidR="003361BD">
        <w:rPr>
          <w:rStyle w:val="Referencingstyle"/>
        </w:rPr>
        <w:t>) and (3)</w:t>
      </w:r>
      <w:r w:rsidRPr="005978A6">
        <w:rPr>
          <w:rStyle w:val="Referencingstyle"/>
        </w:rPr>
        <w:t>]</w:t>
      </w:r>
    </w:p>
    <w:p w14:paraId="53240964" w14:textId="77777777" w:rsidR="005978A6" w:rsidRDefault="00050E98" w:rsidP="003361BD">
      <w:pPr>
        <w:pStyle w:val="Heading5"/>
      </w:pPr>
      <w:r>
        <w:t>Preconditions for</w:t>
      </w:r>
      <w:r w:rsidR="005978A6">
        <w:t xml:space="preserve"> appointment of external managers</w:t>
      </w:r>
    </w:p>
    <w:p w14:paraId="2889243C" w14:textId="77777777" w:rsidR="005058B7" w:rsidRDefault="003361BD" w:rsidP="000F194A">
      <w:pPr>
        <w:pStyle w:val="base-text-paragraph"/>
      </w:pPr>
      <w:r>
        <w:t>APRA</w:t>
      </w:r>
      <w:r w:rsidR="005978A6">
        <w:t xml:space="preserve"> must not appoint an external manager to a health benefits fund unless </w:t>
      </w:r>
      <w:r>
        <w:t>APRA</w:t>
      </w:r>
      <w:r w:rsidR="005978A6">
        <w:t xml:space="preserve"> believes it is in the interests of the policy holders of the fund.</w:t>
      </w:r>
      <w:r w:rsidR="00B76463">
        <w:t xml:space="preserve"> </w:t>
      </w:r>
      <w:r w:rsidRPr="005978A6">
        <w:rPr>
          <w:rStyle w:val="Referencingstyle"/>
        </w:rPr>
        <w:t xml:space="preserve">[Part 3, Division </w:t>
      </w:r>
      <w:r w:rsidR="00606E15">
        <w:rPr>
          <w:rStyle w:val="Referencingstyle"/>
        </w:rPr>
        <w:t>6</w:t>
      </w:r>
      <w:r>
        <w:rPr>
          <w:rStyle w:val="Referencingstyle"/>
        </w:rPr>
        <w:t xml:space="preserve">, </w:t>
      </w:r>
      <w:r w:rsidRPr="005978A6">
        <w:rPr>
          <w:rStyle w:val="Referencingstyle"/>
        </w:rPr>
        <w:t xml:space="preserve">Subdivision </w:t>
      </w:r>
      <w:r>
        <w:rPr>
          <w:rStyle w:val="Referencingstyle"/>
        </w:rPr>
        <w:t>B</w:t>
      </w:r>
      <w:r w:rsidRPr="005978A6">
        <w:rPr>
          <w:rStyle w:val="Referencingstyle"/>
        </w:rPr>
        <w:t>, s</w:t>
      </w:r>
      <w:r>
        <w:rPr>
          <w:rStyle w:val="Referencingstyle"/>
        </w:rPr>
        <w:t>ubs</w:t>
      </w:r>
      <w:r w:rsidRPr="005978A6">
        <w:rPr>
          <w:rStyle w:val="Referencingstyle"/>
        </w:rPr>
        <w:t xml:space="preserve">ection </w:t>
      </w:r>
      <w:r w:rsidR="00050E98">
        <w:rPr>
          <w:rStyle w:val="Referencingstyle"/>
        </w:rPr>
        <w:t>52</w:t>
      </w:r>
      <w:r>
        <w:rPr>
          <w:rStyle w:val="Referencingstyle"/>
        </w:rPr>
        <w:t>(1)</w:t>
      </w:r>
      <w:r w:rsidRPr="005978A6">
        <w:rPr>
          <w:rStyle w:val="Referencingstyle"/>
        </w:rPr>
        <w:t>]</w:t>
      </w:r>
    </w:p>
    <w:p w14:paraId="303FE2A5" w14:textId="77777777" w:rsidR="005978A6" w:rsidRDefault="00503978" w:rsidP="000F194A">
      <w:pPr>
        <w:pStyle w:val="base-text-paragraph"/>
      </w:pPr>
      <w:r>
        <w:t xml:space="preserve">In addition, </w:t>
      </w:r>
      <w:r w:rsidR="003361BD">
        <w:t>APRA</w:t>
      </w:r>
      <w:r w:rsidR="005978A6">
        <w:t xml:space="preserve"> must not appoint an external manager to a health benefits fund unless:</w:t>
      </w:r>
    </w:p>
    <w:p w14:paraId="1DE6AD68" w14:textId="77777777" w:rsidR="00606E15" w:rsidRDefault="003361BD" w:rsidP="003361BD">
      <w:pPr>
        <w:pStyle w:val="dotpoint"/>
      </w:pPr>
      <w:r>
        <w:t>APRA</w:t>
      </w:r>
      <w:r w:rsidR="005978A6">
        <w:t xml:space="preserve"> is satisfied that the private health insurer has contravened</w:t>
      </w:r>
      <w:r w:rsidR="00503978">
        <w:t>, in relation to the relevant health benefits fund</w:t>
      </w:r>
      <w:r w:rsidR="00606E15">
        <w:t>:</w:t>
      </w:r>
    </w:p>
    <w:p w14:paraId="359743FA" w14:textId="77777777" w:rsidR="00606E15" w:rsidRDefault="0049547D" w:rsidP="001A57F7">
      <w:pPr>
        <w:pStyle w:val="dotpoint2"/>
      </w:pPr>
      <w:r>
        <w:t xml:space="preserve">a </w:t>
      </w:r>
      <w:r w:rsidR="00503978">
        <w:t>prudential standard relating to capital adequacy or solvency</w:t>
      </w:r>
      <w:r w:rsidR="00606E15">
        <w:t>; or</w:t>
      </w:r>
    </w:p>
    <w:p w14:paraId="07179575" w14:textId="77777777" w:rsidR="005978A6" w:rsidRDefault="0049547D" w:rsidP="001A57F7">
      <w:pPr>
        <w:pStyle w:val="dotpoint2"/>
      </w:pPr>
      <w:r>
        <w:t>a direction</w:t>
      </w:r>
      <w:r w:rsidR="0013623A">
        <w:t xml:space="preserve"> under section 9</w:t>
      </w:r>
      <w:r w:rsidR="00C72B71">
        <w:t>6</w:t>
      </w:r>
      <w:r w:rsidR="00606E15">
        <w:t>; or</w:t>
      </w:r>
    </w:p>
    <w:p w14:paraId="2ECD4F7E" w14:textId="77777777" w:rsidR="005978A6" w:rsidRDefault="005978A6" w:rsidP="003361BD">
      <w:pPr>
        <w:pStyle w:val="dotpoint"/>
      </w:pPr>
      <w:r>
        <w:t xml:space="preserve">a request for external management of the fund is made to </w:t>
      </w:r>
      <w:r w:rsidR="003361BD">
        <w:t>APRA</w:t>
      </w:r>
      <w:r>
        <w:t xml:space="preserve"> by a resolution of the directors of the insurer; or </w:t>
      </w:r>
    </w:p>
    <w:p w14:paraId="156F7223" w14:textId="77777777" w:rsidR="005978A6" w:rsidRDefault="005978A6" w:rsidP="003361BD">
      <w:pPr>
        <w:pStyle w:val="dotpoint"/>
      </w:pPr>
      <w:r>
        <w:t xml:space="preserve">a ground specified in </w:t>
      </w:r>
      <w:r w:rsidR="003361BD">
        <w:t>APRA r</w:t>
      </w:r>
      <w:r>
        <w:t xml:space="preserve">ules </w:t>
      </w:r>
      <w:r w:rsidR="003361BD">
        <w:t>applies in respect of the fund</w:t>
      </w:r>
      <w:r>
        <w:t>.</w:t>
      </w:r>
      <w:r w:rsidR="003361BD">
        <w:t xml:space="preserve">  </w:t>
      </w:r>
      <w:r w:rsidR="003361BD" w:rsidRPr="005978A6">
        <w:rPr>
          <w:rStyle w:val="Referencingstyle"/>
        </w:rPr>
        <w:t xml:space="preserve">[Part 3, Division </w:t>
      </w:r>
      <w:r w:rsidR="00606E15">
        <w:rPr>
          <w:rStyle w:val="Referencingstyle"/>
        </w:rPr>
        <w:t>6</w:t>
      </w:r>
      <w:r w:rsidR="003361BD">
        <w:rPr>
          <w:rStyle w:val="Referencingstyle"/>
        </w:rPr>
        <w:t xml:space="preserve">, </w:t>
      </w:r>
      <w:r w:rsidR="003361BD" w:rsidRPr="005978A6">
        <w:rPr>
          <w:rStyle w:val="Referencingstyle"/>
        </w:rPr>
        <w:t xml:space="preserve">Subdivision </w:t>
      </w:r>
      <w:r w:rsidR="003361BD">
        <w:rPr>
          <w:rStyle w:val="Referencingstyle"/>
        </w:rPr>
        <w:t>B</w:t>
      </w:r>
      <w:r w:rsidR="003361BD" w:rsidRPr="005978A6">
        <w:rPr>
          <w:rStyle w:val="Referencingstyle"/>
        </w:rPr>
        <w:t>, s</w:t>
      </w:r>
      <w:r w:rsidR="003361BD">
        <w:rPr>
          <w:rStyle w:val="Referencingstyle"/>
        </w:rPr>
        <w:t>ubs</w:t>
      </w:r>
      <w:r w:rsidR="003361BD" w:rsidRPr="005978A6">
        <w:rPr>
          <w:rStyle w:val="Referencingstyle"/>
        </w:rPr>
        <w:t xml:space="preserve">ection </w:t>
      </w:r>
      <w:r w:rsidR="00050E98">
        <w:rPr>
          <w:rStyle w:val="Referencingstyle"/>
        </w:rPr>
        <w:t>52</w:t>
      </w:r>
      <w:r w:rsidR="003361BD">
        <w:rPr>
          <w:rStyle w:val="Referencingstyle"/>
        </w:rPr>
        <w:t>(2)</w:t>
      </w:r>
      <w:r w:rsidR="003361BD" w:rsidRPr="005978A6">
        <w:rPr>
          <w:rStyle w:val="Referencingstyle"/>
        </w:rPr>
        <w:t>]</w:t>
      </w:r>
    </w:p>
    <w:p w14:paraId="6F7A68A0" w14:textId="77777777" w:rsidR="005978A6" w:rsidRDefault="005978A6" w:rsidP="003361BD">
      <w:pPr>
        <w:pStyle w:val="Heading5"/>
      </w:pPr>
      <w:r>
        <w:t>External managers to displace management of funds</w:t>
      </w:r>
    </w:p>
    <w:p w14:paraId="460CC001" w14:textId="77777777" w:rsidR="005978A6" w:rsidRDefault="008C32E4" w:rsidP="000F194A">
      <w:pPr>
        <w:pStyle w:val="base-text-paragraph"/>
      </w:pPr>
      <w:r>
        <w:t>I</w:t>
      </w:r>
      <w:r w:rsidR="005978A6">
        <w:t>f an external manager has been appointed to a fund, management of the fund vests in the external manager for so long as the appointment is in force, and any officer of the insurer responsible for the management of the fund before the external manager was appointed</w:t>
      </w:r>
      <w:r w:rsidR="00C72B71">
        <w:t>,</w:t>
      </w:r>
      <w:r w:rsidR="005978A6">
        <w:t xml:space="preserve"> is divested of that management.</w:t>
      </w:r>
      <w:r>
        <w:t xml:space="preserve">  </w:t>
      </w:r>
      <w:r w:rsidRPr="005978A6">
        <w:rPr>
          <w:rStyle w:val="Referencingstyle"/>
        </w:rPr>
        <w:t xml:space="preserve">[Part 3, Division </w:t>
      </w:r>
      <w:r w:rsidR="00E2510B">
        <w:rPr>
          <w:rStyle w:val="Referencingstyle"/>
        </w:rPr>
        <w:t>6</w:t>
      </w:r>
      <w:r>
        <w:rPr>
          <w:rStyle w:val="Referencingstyle"/>
        </w:rPr>
        <w:t xml:space="preserve">, </w:t>
      </w:r>
      <w:r w:rsidRPr="005978A6">
        <w:rPr>
          <w:rStyle w:val="Referencingstyle"/>
        </w:rPr>
        <w:t xml:space="preserve">Subdivision </w:t>
      </w:r>
      <w:r>
        <w:rPr>
          <w:rStyle w:val="Referencingstyle"/>
        </w:rPr>
        <w:t>B, s</w:t>
      </w:r>
      <w:r w:rsidRPr="005978A6">
        <w:rPr>
          <w:rStyle w:val="Referencingstyle"/>
        </w:rPr>
        <w:t xml:space="preserve">ection </w:t>
      </w:r>
      <w:r w:rsidR="00050E98">
        <w:rPr>
          <w:rStyle w:val="Referencingstyle"/>
        </w:rPr>
        <w:t>53</w:t>
      </w:r>
      <w:r w:rsidRPr="005978A6">
        <w:rPr>
          <w:rStyle w:val="Referencingstyle"/>
        </w:rPr>
        <w:t>]</w:t>
      </w:r>
    </w:p>
    <w:p w14:paraId="722EC632" w14:textId="77777777" w:rsidR="005978A6" w:rsidRDefault="00CE1106" w:rsidP="00CE1106">
      <w:pPr>
        <w:pStyle w:val="Heading4"/>
      </w:pPr>
      <w:r>
        <w:t xml:space="preserve">Subdivision </w:t>
      </w:r>
      <w:r w:rsidR="005978A6">
        <w:t xml:space="preserve">C </w:t>
      </w:r>
      <w:r w:rsidR="00E2510B">
        <w:t xml:space="preserve">– Duties </w:t>
      </w:r>
      <w:r w:rsidR="005978A6">
        <w:t>and powers of external managers</w:t>
      </w:r>
    </w:p>
    <w:p w14:paraId="07765238" w14:textId="77777777" w:rsidR="005978A6" w:rsidRDefault="005978A6" w:rsidP="00CE1106">
      <w:pPr>
        <w:pStyle w:val="Heading5"/>
      </w:pPr>
      <w:r>
        <w:t>Duties of external managers</w:t>
      </w:r>
    </w:p>
    <w:p w14:paraId="613CF11A" w14:textId="77777777" w:rsidR="005978A6" w:rsidRDefault="00CE1106" w:rsidP="000F194A">
      <w:pPr>
        <w:pStyle w:val="base-text-paragraph"/>
      </w:pPr>
      <w:r>
        <w:t>The</w:t>
      </w:r>
      <w:r w:rsidR="005978A6">
        <w:t xml:space="preserve"> main duties of an external manager of a health benefits fund </w:t>
      </w:r>
      <w:r>
        <w:t>are</w:t>
      </w:r>
      <w:r w:rsidR="005978A6">
        <w:t>:</w:t>
      </w:r>
    </w:p>
    <w:p w14:paraId="79FA6C93" w14:textId="77777777" w:rsidR="005978A6" w:rsidRDefault="005978A6" w:rsidP="00CE1106">
      <w:pPr>
        <w:pStyle w:val="dotpoint"/>
      </w:pPr>
      <w:r>
        <w:t xml:space="preserve">to examine the business, affairs and property of the fund and ascertain its assets and liabilities; </w:t>
      </w:r>
    </w:p>
    <w:p w14:paraId="17244674" w14:textId="77777777" w:rsidR="005978A6" w:rsidRDefault="003C1F63" w:rsidP="00CE1106">
      <w:pPr>
        <w:pStyle w:val="dotpoint"/>
      </w:pPr>
      <w:r>
        <w:t>to apportion the assets and liabilities between the fund and the other business (</w:t>
      </w:r>
      <w:r w:rsidR="005978A6">
        <w:t>if the business of the fund has been mixed with other business</w:t>
      </w:r>
      <w:r>
        <w:t>)</w:t>
      </w:r>
      <w:r w:rsidR="005978A6">
        <w:t xml:space="preserve">; </w:t>
      </w:r>
    </w:p>
    <w:p w14:paraId="65AF9E24" w14:textId="77777777" w:rsidR="005978A6" w:rsidRDefault="005978A6" w:rsidP="00CE1106">
      <w:pPr>
        <w:pStyle w:val="dotpoint"/>
      </w:pPr>
      <w:r>
        <w:t xml:space="preserve">to form an opinion as to which course of action maximises the chance that the policy holders of the fund continue to be covered by that fund or another fund to which the business is transferred; and </w:t>
      </w:r>
    </w:p>
    <w:p w14:paraId="1D52A84B" w14:textId="77777777" w:rsidR="005978A6" w:rsidRDefault="005978A6" w:rsidP="00CE1106">
      <w:pPr>
        <w:pStyle w:val="dotpoint"/>
      </w:pPr>
      <w:r>
        <w:t xml:space="preserve">make a final report to </w:t>
      </w:r>
      <w:r w:rsidR="003C1F63">
        <w:t>APRA</w:t>
      </w:r>
      <w:r>
        <w:t xml:space="preserve"> recommending that course of action.</w:t>
      </w:r>
      <w:r w:rsidR="00CE1106">
        <w:t xml:space="preserve">  </w:t>
      </w:r>
      <w:r w:rsidR="00CE1106" w:rsidRPr="00CE1106">
        <w:rPr>
          <w:rStyle w:val="Referencingstyle"/>
        </w:rPr>
        <w:t xml:space="preserve">[Part 3, Division </w:t>
      </w:r>
      <w:r w:rsidR="00E2510B">
        <w:rPr>
          <w:rStyle w:val="Referencingstyle"/>
        </w:rPr>
        <w:t>6</w:t>
      </w:r>
      <w:r w:rsidR="00CE1106" w:rsidRPr="00CE1106">
        <w:rPr>
          <w:rStyle w:val="Referencingstyle"/>
        </w:rPr>
        <w:t xml:space="preserve">, Subdivision C, </w:t>
      </w:r>
      <w:r w:rsidR="007E04CF">
        <w:rPr>
          <w:rStyle w:val="Referencingstyle"/>
        </w:rPr>
        <w:t>sub</w:t>
      </w:r>
      <w:r w:rsidR="00CE1106" w:rsidRPr="00CE1106">
        <w:rPr>
          <w:rStyle w:val="Referencingstyle"/>
        </w:rPr>
        <w:t xml:space="preserve">section </w:t>
      </w:r>
      <w:r w:rsidR="00C359AA">
        <w:rPr>
          <w:rStyle w:val="Referencingstyle"/>
        </w:rPr>
        <w:t>54</w:t>
      </w:r>
      <w:r w:rsidR="00CE1106" w:rsidRPr="00CE1106">
        <w:rPr>
          <w:rStyle w:val="Referencingstyle"/>
        </w:rPr>
        <w:t>(1)]</w:t>
      </w:r>
    </w:p>
    <w:p w14:paraId="070EF73A" w14:textId="77777777" w:rsidR="005978A6" w:rsidRDefault="00CE1106" w:rsidP="000F194A">
      <w:pPr>
        <w:pStyle w:val="base-text-paragraph"/>
      </w:pPr>
      <w:r>
        <w:t>The</w:t>
      </w:r>
      <w:r w:rsidR="005978A6">
        <w:t xml:space="preserve"> external manager </w:t>
      </w:r>
      <w:r>
        <w:t xml:space="preserve">is required </w:t>
      </w:r>
      <w:r w:rsidR="005978A6">
        <w:t>to manage the day-to-day administration of the fund as efficiently and economically as possible.</w:t>
      </w:r>
      <w:r>
        <w:t xml:space="preserve">  </w:t>
      </w:r>
      <w:r w:rsidRPr="00CE1106">
        <w:rPr>
          <w:rStyle w:val="Referencingstyle"/>
        </w:rPr>
        <w:t xml:space="preserve">[Part 3, Division </w:t>
      </w:r>
      <w:r w:rsidR="00E2510B">
        <w:rPr>
          <w:rStyle w:val="Referencingstyle"/>
        </w:rPr>
        <w:t>6</w:t>
      </w:r>
      <w:r>
        <w:rPr>
          <w:rStyle w:val="Referencingstyle"/>
        </w:rPr>
        <w:t xml:space="preserve">, Subdivision C, </w:t>
      </w:r>
      <w:r w:rsidR="007E04CF">
        <w:rPr>
          <w:rStyle w:val="Referencingstyle"/>
        </w:rPr>
        <w:t>sub</w:t>
      </w:r>
      <w:r>
        <w:rPr>
          <w:rStyle w:val="Referencingstyle"/>
        </w:rPr>
        <w:t xml:space="preserve">section </w:t>
      </w:r>
      <w:r w:rsidR="00C359AA">
        <w:rPr>
          <w:rStyle w:val="Referencingstyle"/>
        </w:rPr>
        <w:t>54</w:t>
      </w:r>
      <w:r>
        <w:rPr>
          <w:rStyle w:val="Referencingstyle"/>
        </w:rPr>
        <w:t>(2</w:t>
      </w:r>
      <w:r w:rsidRPr="00CE1106">
        <w:rPr>
          <w:rStyle w:val="Referencingstyle"/>
        </w:rPr>
        <w:t>)]</w:t>
      </w:r>
    </w:p>
    <w:p w14:paraId="642F2577" w14:textId="77777777" w:rsidR="005978A6" w:rsidRDefault="005978A6" w:rsidP="00CE1106">
      <w:pPr>
        <w:pStyle w:val="Heading5"/>
      </w:pPr>
      <w:r>
        <w:t>Additional powers of external managers</w:t>
      </w:r>
    </w:p>
    <w:p w14:paraId="7FBD2550" w14:textId="77777777" w:rsidR="005978A6" w:rsidRDefault="00CE1106" w:rsidP="00B76463">
      <w:pPr>
        <w:pStyle w:val="base-text-paragraph"/>
        <w:tabs>
          <w:tab w:val="clear" w:pos="1985"/>
          <w:tab w:val="num" w:pos="1986"/>
        </w:tabs>
      </w:pPr>
      <w:r>
        <w:t>T</w:t>
      </w:r>
      <w:r w:rsidR="005978A6">
        <w:t xml:space="preserve">he additional powers of an external manager under the provisions of Division 8 of Part 5.3A of Chapter 5 of the </w:t>
      </w:r>
      <w:r w:rsidR="005978A6" w:rsidRPr="001A57F7">
        <w:t>Corporations Act</w:t>
      </w:r>
      <w:r w:rsidR="005978A6">
        <w:t xml:space="preserve"> (conferred under </w:t>
      </w:r>
      <w:r w:rsidRPr="006C3D7A">
        <w:t>section</w:t>
      </w:r>
      <w:r w:rsidR="005978A6" w:rsidRPr="006C3D7A">
        <w:t xml:space="preserve"> </w:t>
      </w:r>
      <w:r w:rsidR="00C359AA" w:rsidRPr="006C3D7A">
        <w:t>50</w:t>
      </w:r>
      <w:r w:rsidR="005978A6" w:rsidRPr="006C3D7A">
        <w:t>),</w:t>
      </w:r>
      <w:r w:rsidR="005978A6" w:rsidRPr="00C04AA9">
        <w:t xml:space="preserve"> do</w:t>
      </w:r>
      <w:r w:rsidR="005978A6">
        <w:t xml:space="preserve"> not include the power to remove or appoint directors of the private health insurer and execute a document, bring or defend proceedings, or do anything else, in an insurer's name</w:t>
      </w:r>
      <w:r w:rsidR="00183B10">
        <w:t>. T</w:t>
      </w:r>
      <w:r w:rsidR="003158AD" w:rsidRPr="006956D2">
        <w:t>his</w:t>
      </w:r>
      <w:r w:rsidR="003158AD" w:rsidRPr="003158AD">
        <w:t xml:space="preserve"> is in part to avoid </w:t>
      </w:r>
      <w:r w:rsidR="00183B10">
        <w:t xml:space="preserve">the application of inapplicable powers or provisions and in part to avoid </w:t>
      </w:r>
      <w:r w:rsidR="003158AD" w:rsidRPr="003158AD">
        <w:t xml:space="preserve">duplication as </w:t>
      </w:r>
      <w:r w:rsidR="006956D2" w:rsidRPr="006956D2">
        <w:t xml:space="preserve">section 70 in </w:t>
      </w:r>
      <w:r w:rsidR="003158AD" w:rsidRPr="006956D2">
        <w:t>Division 8</w:t>
      </w:r>
      <w:r w:rsidR="0049547D" w:rsidRPr="006956D2">
        <w:t xml:space="preserve"> of </w:t>
      </w:r>
      <w:r w:rsidR="0009412A" w:rsidRPr="006956D2">
        <w:t>Part 3</w:t>
      </w:r>
      <w:r w:rsidR="00DB3037">
        <w:t xml:space="preserve"> of the </w:t>
      </w:r>
      <w:r w:rsidR="00B76463" w:rsidRPr="00B76463">
        <w:t xml:space="preserve">Prudential Supervision </w:t>
      </w:r>
      <w:r w:rsidR="00DB3037" w:rsidDel="00B76463">
        <w:t>Bill</w:t>
      </w:r>
      <w:r w:rsidR="003158AD">
        <w:t xml:space="preserve"> </w:t>
      </w:r>
      <w:r w:rsidR="00183B10">
        <w:t xml:space="preserve">separately </w:t>
      </w:r>
      <w:r w:rsidR="003158AD">
        <w:t xml:space="preserve">confers </w:t>
      </w:r>
      <w:r w:rsidR="0009412A">
        <w:t>certain</w:t>
      </w:r>
      <w:r w:rsidR="003158AD">
        <w:t xml:space="preserve"> powers. </w:t>
      </w:r>
      <w:r w:rsidR="00AE5ED4">
        <w:t xml:space="preserve">Subsection 442D(1) of the Corporations Act also does not apply to the external manager’s powers, meaning that </w:t>
      </w:r>
      <w:r w:rsidR="00AE5ED4" w:rsidRPr="00AE5ED4">
        <w:t>that the external manager’s power prevails over the power of secured parties and receivers</w:t>
      </w:r>
      <w:r w:rsidR="00AE5ED4">
        <w:t>.</w:t>
      </w:r>
      <w:r w:rsidR="003158AD">
        <w:t xml:space="preserve"> </w:t>
      </w:r>
      <w:r w:rsidRPr="00CE1106">
        <w:rPr>
          <w:rStyle w:val="Referencingstyle"/>
        </w:rPr>
        <w:t xml:space="preserve">[Part 3, Division </w:t>
      </w:r>
      <w:r w:rsidR="00A91B7D">
        <w:rPr>
          <w:rStyle w:val="Referencingstyle"/>
        </w:rPr>
        <w:t>6</w:t>
      </w:r>
      <w:r>
        <w:rPr>
          <w:rStyle w:val="Referencingstyle"/>
        </w:rPr>
        <w:t>, Subdivision C, subsection</w:t>
      </w:r>
      <w:r w:rsidR="00C72B71">
        <w:rPr>
          <w:rStyle w:val="Referencingstyle"/>
        </w:rPr>
        <w:t> </w:t>
      </w:r>
      <w:r w:rsidR="00C359AA">
        <w:rPr>
          <w:rStyle w:val="Referencingstyle"/>
        </w:rPr>
        <w:t>55</w:t>
      </w:r>
      <w:r>
        <w:rPr>
          <w:rStyle w:val="Referencingstyle"/>
        </w:rPr>
        <w:t>(1</w:t>
      </w:r>
      <w:r w:rsidRPr="00CE1106">
        <w:rPr>
          <w:rStyle w:val="Referencingstyle"/>
        </w:rPr>
        <w:t>)]</w:t>
      </w:r>
    </w:p>
    <w:p w14:paraId="164D5B29" w14:textId="77777777" w:rsidR="005978A6" w:rsidRDefault="00CE1106" w:rsidP="00E55DCF">
      <w:pPr>
        <w:pStyle w:val="base-text-paragraph"/>
        <w:tabs>
          <w:tab w:val="clear" w:pos="1985"/>
          <w:tab w:val="num" w:pos="1986"/>
        </w:tabs>
      </w:pPr>
      <w:r>
        <w:t>F</w:t>
      </w:r>
      <w:r w:rsidR="005978A6">
        <w:t xml:space="preserve">or the purpose of the protection of people dealing with an external manager under section 442F of the </w:t>
      </w:r>
      <w:r w:rsidR="005978A6" w:rsidRPr="001A57F7">
        <w:t>Corporations Act</w:t>
      </w:r>
      <w:r w:rsidR="000C4DBC">
        <w:t xml:space="preserve"> (as it applies through the operation of section 50 of the </w:t>
      </w:r>
      <w:r w:rsidR="00E55DCF" w:rsidRPr="00E55DCF">
        <w:t xml:space="preserve">Prudential Supervision </w:t>
      </w:r>
      <w:r w:rsidR="000C4DBC" w:rsidDel="00E55DCF">
        <w:t>Bill</w:t>
      </w:r>
      <w:r w:rsidR="000C4DBC">
        <w:t>)</w:t>
      </w:r>
      <w:r w:rsidR="005978A6">
        <w:t>, the assumptions contained in sections 128 and 129 of th</w:t>
      </w:r>
      <w:r w:rsidR="000C4DBC">
        <w:t>e Corporations</w:t>
      </w:r>
      <w:r w:rsidR="005978A6">
        <w:t xml:space="preserve"> Act are taken to apply, subject to any modifications in the </w:t>
      </w:r>
      <w:r>
        <w:t>APRA rules</w:t>
      </w:r>
      <w:r w:rsidR="005978A6">
        <w:t>.</w:t>
      </w:r>
      <w:r w:rsidR="00EB18AE">
        <w:t xml:space="preserve"> </w:t>
      </w:r>
      <w:r w:rsidR="00C359AA">
        <w:t xml:space="preserve"> </w:t>
      </w:r>
      <w:r w:rsidR="0049547D" w:rsidRPr="001A57F7">
        <w:t xml:space="preserve">What this means in practice is that a person dealing with an external manager is entitled to believe that the external manager has been duly appointed and is acting within his or her powers and functions and complying with the </w:t>
      </w:r>
      <w:r w:rsidR="00E55DCF" w:rsidRPr="00E55DCF">
        <w:t>Prudential Supervision Bill</w:t>
      </w:r>
      <w:r w:rsidR="0049547D" w:rsidRPr="001A57F7">
        <w:t>, unless the person dealing with the external manager knows or suspects that this is not in fact the case.</w:t>
      </w:r>
      <w:r w:rsidR="005058B7">
        <w:t xml:space="preserve"> </w:t>
      </w:r>
      <w:r w:rsidR="00EB18AE">
        <w:t>The ability to modify the application of sections 128 and 129 allows</w:t>
      </w:r>
      <w:r w:rsidR="00EB18AE" w:rsidRPr="00EB18AE">
        <w:t xml:space="preserve"> APRA to appropriately tailor the operation of these provisions to the private health insurance context.</w:t>
      </w:r>
      <w:r w:rsidR="005978A6">
        <w:t xml:space="preserve">  </w:t>
      </w:r>
      <w:r w:rsidRPr="00CE1106">
        <w:rPr>
          <w:rStyle w:val="Referencingstyle"/>
        </w:rPr>
        <w:t xml:space="preserve">[Part 3, Division </w:t>
      </w:r>
      <w:r w:rsidR="00A91B7D">
        <w:rPr>
          <w:rStyle w:val="Referencingstyle"/>
        </w:rPr>
        <w:t>6</w:t>
      </w:r>
      <w:r>
        <w:rPr>
          <w:rStyle w:val="Referencingstyle"/>
        </w:rPr>
        <w:t xml:space="preserve">, Subdivision C, subsection </w:t>
      </w:r>
      <w:r w:rsidR="00C359AA">
        <w:rPr>
          <w:rStyle w:val="Referencingstyle"/>
        </w:rPr>
        <w:t>55</w:t>
      </w:r>
      <w:r>
        <w:rPr>
          <w:rStyle w:val="Referencingstyle"/>
        </w:rPr>
        <w:t>(2</w:t>
      </w:r>
      <w:r w:rsidRPr="00CE1106">
        <w:rPr>
          <w:rStyle w:val="Referencingstyle"/>
        </w:rPr>
        <w:t>)]</w:t>
      </w:r>
    </w:p>
    <w:p w14:paraId="30AEF95B" w14:textId="77777777" w:rsidR="005978A6" w:rsidRDefault="005978A6" w:rsidP="00CE1106">
      <w:pPr>
        <w:pStyle w:val="Heading5"/>
      </w:pPr>
      <w:r>
        <w:t>Protection of property during external management</w:t>
      </w:r>
    </w:p>
    <w:p w14:paraId="43A0DA25" w14:textId="77777777" w:rsidR="005978A6" w:rsidRPr="004D5650" w:rsidRDefault="00CE1106" w:rsidP="000F194A">
      <w:pPr>
        <w:pStyle w:val="base-text-paragraph"/>
        <w:rPr>
          <w:rStyle w:val="Referencingstyle"/>
          <w:b w:val="0"/>
          <w:i w:val="0"/>
          <w:sz w:val="22"/>
        </w:rPr>
      </w:pPr>
      <w:r>
        <w:t>T</w:t>
      </w:r>
      <w:r w:rsidR="005978A6">
        <w:t xml:space="preserve">he provisions of Division 6 of Part 5.3A of Chapter 5 of the </w:t>
      </w:r>
      <w:r w:rsidR="005978A6" w:rsidRPr="001A57F7">
        <w:t>Corporations Act</w:t>
      </w:r>
      <w:r w:rsidR="005978A6">
        <w:t xml:space="preserve"> (</w:t>
      </w:r>
      <w:r w:rsidR="005978A6" w:rsidRPr="00C04AA9">
        <w:t xml:space="preserve">conferred under </w:t>
      </w:r>
      <w:r w:rsidRPr="006C3D7A">
        <w:t>section</w:t>
      </w:r>
      <w:r w:rsidR="005978A6" w:rsidRPr="006C3D7A">
        <w:t xml:space="preserve"> </w:t>
      </w:r>
      <w:r w:rsidR="00C359AA" w:rsidRPr="006C3D7A">
        <w:t>5</w:t>
      </w:r>
      <w:r w:rsidR="00C359AA" w:rsidRPr="00C04AA9">
        <w:t>0</w:t>
      </w:r>
      <w:r w:rsidR="005978A6" w:rsidRPr="00C359AA">
        <w:t>) relating</w:t>
      </w:r>
      <w:r w:rsidR="005978A6">
        <w:t xml:space="preserve"> to the protection of property during external management, </w:t>
      </w:r>
      <w:r w:rsidR="00183B10">
        <w:t>are</w:t>
      </w:r>
      <w:r w:rsidR="005978A6">
        <w:t xml:space="preserve"> not </w:t>
      </w:r>
      <w:r w:rsidR="00183B10">
        <w:t xml:space="preserve">taken to </w:t>
      </w:r>
      <w:r w:rsidR="005978A6">
        <w:t>include section</w:t>
      </w:r>
      <w:r w:rsidR="00183B10">
        <w:t> </w:t>
      </w:r>
      <w:r w:rsidR="005978A6">
        <w:t>440A</w:t>
      </w:r>
      <w:r w:rsidR="00C93C45">
        <w:t xml:space="preserve">. </w:t>
      </w:r>
      <w:r w:rsidR="00C93C45" w:rsidRPr="00FA3E14">
        <w:t xml:space="preserve">Section 440A provides that a company under Part 5.3A administration (which translates for present purposes as a fund under external management) cannot be wound up voluntarily and any proceedings for the winding up of the company or the appointment of a provisional liquidator are to be adjourned, although the court has discretion to allow those proceedings to continue.  </w:t>
      </w:r>
      <w:r w:rsidR="00B94EC7" w:rsidRPr="00CE1106">
        <w:rPr>
          <w:rStyle w:val="Referencingstyle"/>
        </w:rPr>
        <w:t xml:space="preserve">[Part 3, Division </w:t>
      </w:r>
      <w:r w:rsidR="00D97C1D">
        <w:rPr>
          <w:rStyle w:val="Referencingstyle"/>
        </w:rPr>
        <w:t>6</w:t>
      </w:r>
      <w:r w:rsidR="00B94EC7">
        <w:rPr>
          <w:rStyle w:val="Referencingstyle"/>
        </w:rPr>
        <w:t xml:space="preserve">, Subdivision C, subsection </w:t>
      </w:r>
      <w:r w:rsidR="00C359AA">
        <w:rPr>
          <w:rStyle w:val="Referencingstyle"/>
        </w:rPr>
        <w:t>56</w:t>
      </w:r>
      <w:r w:rsidR="00B94EC7">
        <w:rPr>
          <w:rStyle w:val="Referencingstyle"/>
        </w:rPr>
        <w:t>(1</w:t>
      </w:r>
      <w:r w:rsidR="00B94EC7" w:rsidRPr="00CE1106">
        <w:rPr>
          <w:rStyle w:val="Referencingstyle"/>
        </w:rPr>
        <w:t>)]</w:t>
      </w:r>
    </w:p>
    <w:p w14:paraId="0CDD9F3A" w14:textId="77777777" w:rsidR="00C93C45" w:rsidRPr="00E55DCF" w:rsidRDefault="00C93C45" w:rsidP="00E55DCF">
      <w:pPr>
        <w:pStyle w:val="base-text-paragraph"/>
        <w:tabs>
          <w:tab w:val="clear" w:pos="1985"/>
          <w:tab w:val="num" w:pos="1986"/>
        </w:tabs>
        <w:rPr>
          <w:rStyle w:val="Referencingstyle"/>
          <w:rFonts w:eastAsiaTheme="minorHAnsi"/>
          <w:b w:val="0"/>
          <w:i w:val="0"/>
          <w:sz w:val="22"/>
        </w:rPr>
      </w:pPr>
      <w:r w:rsidRPr="001A57F7">
        <w:t xml:space="preserve">The fact that section 440A is </w:t>
      </w:r>
      <w:r>
        <w:t>not applied</w:t>
      </w:r>
      <w:r w:rsidRPr="001A57F7">
        <w:t xml:space="preserve"> does not mean that it is intended that a health benefits fund can be wound up by a liquidator when under ext</w:t>
      </w:r>
      <w:r w:rsidR="00E55DCF">
        <w:t>ernal management.</w:t>
      </w:r>
      <w:r w:rsidRPr="001A57F7">
        <w:t xml:space="preserve"> To the contrary, the intention is that an external management of a health benefits fund be isolated and protected from any winding up of the company and occur independently of the winding up.  This intention is </w:t>
      </w:r>
      <w:r w:rsidR="00A424BE">
        <w:t>e</w:t>
      </w:r>
      <w:r w:rsidR="00A424BE" w:rsidRPr="001A57F7">
        <w:t>ffected</w:t>
      </w:r>
      <w:r w:rsidRPr="001A57F7">
        <w:t xml:space="preserve"> by other provisions in the </w:t>
      </w:r>
      <w:r w:rsidR="00E55DCF" w:rsidRPr="00E55DCF">
        <w:t xml:space="preserve">Prudential Supervision </w:t>
      </w:r>
      <w:r w:rsidR="0023493D" w:rsidDel="00E55DCF">
        <w:t>Bill</w:t>
      </w:r>
      <w:r w:rsidR="000C4DBC">
        <w:t>, including subsection</w:t>
      </w:r>
      <w:r w:rsidR="00667413">
        <w:t>s</w:t>
      </w:r>
      <w:r w:rsidR="000C4DBC">
        <w:t xml:space="preserve"> 50(2) and (3).</w:t>
      </w:r>
      <w:r w:rsidRPr="001A57F7">
        <w:t xml:space="preserve"> </w:t>
      </w:r>
      <w:r w:rsidR="000C4DBC">
        <w:t>A</w:t>
      </w:r>
      <w:r w:rsidRPr="001A57F7">
        <w:t>ccordingly, it is unnecessary for the relationship between external management and winding up to be regulated by applied section 440A of the Corporations Act</w:t>
      </w:r>
      <w:r>
        <w:t xml:space="preserve">.  </w:t>
      </w:r>
      <w:r w:rsidRPr="006C3D7A">
        <w:rPr>
          <w:rStyle w:val="Referencingstyle"/>
        </w:rPr>
        <w:t>[Part 3, Division 6, Subdivision C, subsection </w:t>
      </w:r>
      <w:r w:rsidR="00C359AA" w:rsidRPr="00105FC8">
        <w:rPr>
          <w:rStyle w:val="Referencingstyle"/>
        </w:rPr>
        <w:t>5</w:t>
      </w:r>
      <w:r w:rsidR="00C359AA">
        <w:rPr>
          <w:rStyle w:val="Referencingstyle"/>
        </w:rPr>
        <w:t>6</w:t>
      </w:r>
      <w:r w:rsidRPr="00C04AA9">
        <w:rPr>
          <w:rStyle w:val="Referencingstyle"/>
        </w:rPr>
        <w:t>(1)]</w:t>
      </w:r>
    </w:p>
    <w:p w14:paraId="2D32291F" w14:textId="27A9A6AB" w:rsidR="005978A6" w:rsidRDefault="00324B6B" w:rsidP="000F194A">
      <w:pPr>
        <w:pStyle w:val="base-text-paragraph"/>
      </w:pPr>
      <w:r w:rsidRPr="001A57F7">
        <w:t xml:space="preserve">Applied section 440D of the Corporations Act provides for a stay of any court proceedings against a company (which translates as the </w:t>
      </w:r>
      <w:r w:rsidR="007A0375">
        <w:t>‘</w:t>
      </w:r>
      <w:r w:rsidRPr="001A57F7">
        <w:t>fund</w:t>
      </w:r>
      <w:r w:rsidR="007A0375">
        <w:t>’</w:t>
      </w:r>
      <w:r w:rsidRPr="001A57F7">
        <w:t xml:space="preserve">) in relation to any of its property without the administrator’s (external manager’s) written consent or the leave of the </w:t>
      </w:r>
      <w:r w:rsidR="00182A67">
        <w:t>Federal</w:t>
      </w:r>
      <w:r w:rsidRPr="001A57F7">
        <w:t xml:space="preserve"> Court.</w:t>
      </w:r>
      <w:r w:rsidRPr="00324B6B">
        <w:rPr>
          <w:color w:val="1F497D"/>
        </w:rPr>
        <w:t xml:space="preserve"> </w:t>
      </w:r>
      <w:r>
        <w:t xml:space="preserve">Where an external manager or </w:t>
      </w:r>
      <w:r w:rsidR="00667413">
        <w:t>the</w:t>
      </w:r>
      <w:r>
        <w:t xml:space="preserve"> Federal Court is considering (under </w:t>
      </w:r>
      <w:r w:rsidRPr="001A57F7">
        <w:t xml:space="preserve">applied </w:t>
      </w:r>
      <w:r>
        <w:t xml:space="preserve">section 440D of the Corporations Act) whether or not to allow a legal proceeding to continue while the fund is under external management, the external manager or the Federal Court must consider whether the action in question </w:t>
      </w:r>
      <w:r w:rsidR="000C4DBC">
        <w:t>does, or does not, relate</w:t>
      </w:r>
      <w:r>
        <w:t xml:space="preserve"> to the property of the fund </w:t>
      </w:r>
      <w:r w:rsidRPr="001A57F7">
        <w:t xml:space="preserve">and </w:t>
      </w:r>
      <w:r>
        <w:t xml:space="preserve">whether such proceedings would be materially detrimental to the interests of policy holders of the fund. </w:t>
      </w:r>
      <w:r w:rsidRPr="00CE1106">
        <w:rPr>
          <w:rStyle w:val="Referencingstyle"/>
        </w:rPr>
        <w:t xml:space="preserve">[Part 3, Division </w:t>
      </w:r>
      <w:r w:rsidRPr="00324B6B">
        <w:rPr>
          <w:rStyle w:val="Referencingstyle"/>
        </w:rPr>
        <w:t>6</w:t>
      </w:r>
      <w:r>
        <w:rPr>
          <w:rStyle w:val="Referencingstyle"/>
        </w:rPr>
        <w:t xml:space="preserve">, Subdivision C, </w:t>
      </w:r>
      <w:r w:rsidR="00667413">
        <w:rPr>
          <w:rStyle w:val="Referencingstyle"/>
        </w:rPr>
        <w:t>sub</w:t>
      </w:r>
      <w:r>
        <w:rPr>
          <w:rStyle w:val="Referencingstyle"/>
        </w:rPr>
        <w:t xml:space="preserve">section </w:t>
      </w:r>
      <w:r w:rsidR="00C359AA" w:rsidRPr="00324B6B">
        <w:rPr>
          <w:rStyle w:val="Referencingstyle"/>
        </w:rPr>
        <w:t>5</w:t>
      </w:r>
      <w:r w:rsidR="00C359AA">
        <w:rPr>
          <w:rStyle w:val="Referencingstyle"/>
        </w:rPr>
        <w:t>6</w:t>
      </w:r>
      <w:r w:rsidRPr="00324B6B">
        <w:rPr>
          <w:rStyle w:val="Referencingstyle"/>
        </w:rPr>
        <w:t>(2)]</w:t>
      </w:r>
    </w:p>
    <w:p w14:paraId="786054D0" w14:textId="77777777" w:rsidR="005978A6" w:rsidRDefault="005978A6" w:rsidP="00B94EC7">
      <w:pPr>
        <w:pStyle w:val="Heading5"/>
      </w:pPr>
      <w:r>
        <w:t>Rights of chargee, owner or lessor of property of fund under external management</w:t>
      </w:r>
    </w:p>
    <w:p w14:paraId="22A2A580" w14:textId="77777777" w:rsidR="005978A6" w:rsidRPr="004D5650" w:rsidRDefault="00B94EC7" w:rsidP="000F194A">
      <w:pPr>
        <w:pStyle w:val="base-text-paragraph"/>
        <w:rPr>
          <w:rStyle w:val="Referencingstyle"/>
          <w:b w:val="0"/>
          <w:i w:val="0"/>
          <w:sz w:val="22"/>
        </w:rPr>
      </w:pPr>
      <w:r>
        <w:t>T</w:t>
      </w:r>
      <w:r w:rsidR="005978A6">
        <w:t xml:space="preserve">he provisions of Division 7 of Part 5.3A of Chapter 5 of the </w:t>
      </w:r>
      <w:r w:rsidR="005978A6" w:rsidRPr="001A57F7">
        <w:t>Corporations Act</w:t>
      </w:r>
      <w:r w:rsidR="005978A6">
        <w:t xml:space="preserve"> (conferred </w:t>
      </w:r>
      <w:r w:rsidR="005978A6" w:rsidRPr="00443BC3">
        <w:t xml:space="preserve">under </w:t>
      </w:r>
      <w:r w:rsidRPr="001A57F7">
        <w:t>section</w:t>
      </w:r>
      <w:r w:rsidR="00A5075F" w:rsidRPr="001A57F7">
        <w:t xml:space="preserve"> </w:t>
      </w:r>
      <w:r w:rsidR="005978A6" w:rsidRPr="001A57F7">
        <w:t>5</w:t>
      </w:r>
      <w:r w:rsidR="000C4DBC">
        <w:t>0</w:t>
      </w:r>
      <w:r w:rsidR="00B45B19">
        <w:t>)</w:t>
      </w:r>
      <w:r w:rsidR="005978A6">
        <w:t xml:space="preserve"> relating to the rights of chargees, owners or lessors of the property of a fund during external management, do not include section 441A and selected words in subsection 441D(1) in the applied Division.  Section 441A relates to situations </w:t>
      </w:r>
      <w:r>
        <w:t>where</w:t>
      </w:r>
      <w:r w:rsidR="005978A6">
        <w:t xml:space="preserve"> there is a charge over all, or substantially all, of the property of a company or there are two or more charges.  </w:t>
      </w:r>
      <w:r w:rsidRPr="00CE1106">
        <w:rPr>
          <w:rStyle w:val="Referencingstyle"/>
        </w:rPr>
        <w:t xml:space="preserve">[Part 3, Division </w:t>
      </w:r>
      <w:r w:rsidR="00D97C1D">
        <w:rPr>
          <w:rStyle w:val="Referencingstyle"/>
        </w:rPr>
        <w:t>6</w:t>
      </w:r>
      <w:r>
        <w:rPr>
          <w:rStyle w:val="Referencingstyle"/>
        </w:rPr>
        <w:t xml:space="preserve">, Subdivision C, </w:t>
      </w:r>
      <w:r w:rsidR="00B45B19">
        <w:rPr>
          <w:rStyle w:val="Referencingstyle"/>
        </w:rPr>
        <w:t>sub</w:t>
      </w:r>
      <w:r>
        <w:rPr>
          <w:rStyle w:val="Referencingstyle"/>
        </w:rPr>
        <w:t xml:space="preserve">section </w:t>
      </w:r>
      <w:r w:rsidR="00C359AA">
        <w:rPr>
          <w:rStyle w:val="Referencingstyle"/>
        </w:rPr>
        <w:t>57</w:t>
      </w:r>
      <w:r>
        <w:rPr>
          <w:rStyle w:val="Referencingstyle"/>
        </w:rPr>
        <w:t>(1</w:t>
      </w:r>
      <w:r w:rsidRPr="00CE1106">
        <w:rPr>
          <w:rStyle w:val="Referencingstyle"/>
        </w:rPr>
        <w:t>)]</w:t>
      </w:r>
    </w:p>
    <w:p w14:paraId="54B3F5BE" w14:textId="2F00B96A" w:rsidR="00E529F1" w:rsidRDefault="00E529F1" w:rsidP="00E55DCF">
      <w:pPr>
        <w:pStyle w:val="base-text-paragraph"/>
        <w:tabs>
          <w:tab w:val="clear" w:pos="1985"/>
          <w:tab w:val="num" w:pos="1986"/>
        </w:tabs>
      </w:pPr>
      <w:r w:rsidRPr="001A57F7">
        <w:t>It allows a secured creditor or receiver or controller acting for a secured creditor to enforce a security interest in certain circumstances, despite other provisions of Part 5.3A of the Corporations Act.  The effect of not applying section 441A in relation to an external administration of a health benefits fund will be to protect the assets of a health benefits fund from potential action by secured creditors, while the external management is in force. The modification to section 44</w:t>
      </w:r>
      <w:r w:rsidR="000C4DBC">
        <w:t>1</w:t>
      </w:r>
      <w:r w:rsidRPr="001A57F7">
        <w:t xml:space="preserve">D is consequential upon the </w:t>
      </w:r>
      <w:r w:rsidR="007A0375">
        <w:t>‘</w:t>
      </w:r>
      <w:r w:rsidRPr="001A57F7">
        <w:t>disapplication</w:t>
      </w:r>
      <w:r w:rsidR="007A0375">
        <w:t>’</w:t>
      </w:r>
      <w:r w:rsidRPr="001A57F7">
        <w:t xml:space="preserve"> of section 441A. It should be noted that, under subsection</w:t>
      </w:r>
      <w:r w:rsidR="005058B7">
        <w:t> </w:t>
      </w:r>
      <w:r w:rsidRPr="001A57F7">
        <w:t xml:space="preserve">28(3) of the </w:t>
      </w:r>
      <w:r w:rsidR="00E55DCF" w:rsidRPr="00E55DCF">
        <w:t>Prudential Supervision Bill</w:t>
      </w:r>
      <w:r w:rsidR="00E55DCF">
        <w:t>,</w:t>
      </w:r>
      <w:r w:rsidRPr="001A57F7">
        <w:t xml:space="preserve"> it will continue to only be possible to give charges over fund assets in very limited circumstances. </w:t>
      </w:r>
      <w:r w:rsidR="00B45B19" w:rsidRPr="00CE1106">
        <w:rPr>
          <w:rStyle w:val="Referencingstyle"/>
        </w:rPr>
        <w:t xml:space="preserve">[Part 3, Division </w:t>
      </w:r>
      <w:r w:rsidR="00B45B19">
        <w:rPr>
          <w:rStyle w:val="Referencingstyle"/>
        </w:rPr>
        <w:t>6, Subdivision C, subsection 57(1</w:t>
      </w:r>
      <w:r w:rsidR="00B45B19" w:rsidRPr="00CE1106">
        <w:rPr>
          <w:rStyle w:val="Referencingstyle"/>
        </w:rPr>
        <w:t>)]</w:t>
      </w:r>
      <w:r>
        <w:t>  </w:t>
      </w:r>
    </w:p>
    <w:p w14:paraId="16E7567D" w14:textId="77777777" w:rsidR="005978A6" w:rsidRDefault="00B94EC7" w:rsidP="000F194A">
      <w:pPr>
        <w:pStyle w:val="base-text-paragraph"/>
      </w:pPr>
      <w:r>
        <w:t>N</w:t>
      </w:r>
      <w:r w:rsidR="005978A6">
        <w:t xml:space="preserve">othing in the applied Division 7 prevents the external manager or the </w:t>
      </w:r>
      <w:r w:rsidR="009D4F54">
        <w:t xml:space="preserve">Federal </w:t>
      </w:r>
      <w:r w:rsidR="005978A6">
        <w:t xml:space="preserve">Court from agreeing to the enforcement of a charge if satisfied that the charge does not relate to the property of the fund and enforcement of the charge would not be materially detrimental to the interests of </w:t>
      </w:r>
      <w:r w:rsidR="00B45E8D">
        <w:t>t</w:t>
      </w:r>
      <w:r w:rsidR="00E55DCF">
        <w:t xml:space="preserve">he policy holders of the fund. </w:t>
      </w:r>
      <w:r w:rsidR="00B45E8D" w:rsidRPr="00CE1106">
        <w:rPr>
          <w:rStyle w:val="Referencingstyle"/>
        </w:rPr>
        <w:t xml:space="preserve">[Part 3, Division </w:t>
      </w:r>
      <w:r w:rsidR="00D97C1D">
        <w:rPr>
          <w:rStyle w:val="Referencingstyle"/>
        </w:rPr>
        <w:t>6</w:t>
      </w:r>
      <w:r w:rsidR="00B45E8D">
        <w:rPr>
          <w:rStyle w:val="Referencingstyle"/>
        </w:rPr>
        <w:t>, Subdivision</w:t>
      </w:r>
      <w:r w:rsidR="00A5075F">
        <w:rPr>
          <w:rStyle w:val="Referencingstyle"/>
        </w:rPr>
        <w:t> </w:t>
      </w:r>
      <w:r w:rsidR="00B45E8D">
        <w:rPr>
          <w:rStyle w:val="Referencingstyle"/>
        </w:rPr>
        <w:t xml:space="preserve">C, </w:t>
      </w:r>
      <w:r w:rsidR="00B45B19">
        <w:rPr>
          <w:rStyle w:val="Referencingstyle"/>
        </w:rPr>
        <w:t>sub</w:t>
      </w:r>
      <w:r w:rsidR="00B45E8D">
        <w:rPr>
          <w:rStyle w:val="Referencingstyle"/>
        </w:rPr>
        <w:t xml:space="preserve">section </w:t>
      </w:r>
      <w:r w:rsidR="00C359AA">
        <w:rPr>
          <w:rStyle w:val="Referencingstyle"/>
        </w:rPr>
        <w:t>57</w:t>
      </w:r>
      <w:r w:rsidR="00B45E8D">
        <w:rPr>
          <w:rStyle w:val="Referencingstyle"/>
        </w:rPr>
        <w:t>(2)]</w:t>
      </w:r>
    </w:p>
    <w:p w14:paraId="43EDB26E" w14:textId="77777777" w:rsidR="005978A6" w:rsidRDefault="00A64F7E" w:rsidP="00A64F7E">
      <w:pPr>
        <w:pStyle w:val="Heading4"/>
      </w:pPr>
      <w:r>
        <w:t xml:space="preserve">Subdivision D – </w:t>
      </w:r>
      <w:r w:rsidR="005978A6">
        <w:t>Procedure relating to voluntary deeds of arrangement</w:t>
      </w:r>
    </w:p>
    <w:p w14:paraId="10E30892" w14:textId="77777777" w:rsidR="005978A6" w:rsidRDefault="005978A6" w:rsidP="00A64F7E">
      <w:pPr>
        <w:pStyle w:val="Heading5"/>
      </w:pPr>
      <w:r>
        <w:t xml:space="preserve">Matters that may be included in the </w:t>
      </w:r>
      <w:r w:rsidR="00962188">
        <w:t>APRA r</w:t>
      </w:r>
      <w:r>
        <w:t>ules</w:t>
      </w:r>
    </w:p>
    <w:p w14:paraId="70CC7E03" w14:textId="77777777" w:rsidR="005978A6" w:rsidRDefault="00962188" w:rsidP="000F194A">
      <w:pPr>
        <w:pStyle w:val="base-text-paragraph"/>
      </w:pPr>
      <w:r>
        <w:t>The APRA r</w:t>
      </w:r>
      <w:r w:rsidR="005978A6">
        <w:t>ules may</w:t>
      </w:r>
      <w:r>
        <w:t xml:space="preserve"> provide for:</w:t>
      </w:r>
    </w:p>
    <w:p w14:paraId="700B2309" w14:textId="77777777" w:rsidR="005978A6" w:rsidRDefault="005978A6" w:rsidP="00962188">
      <w:pPr>
        <w:pStyle w:val="dotpoint"/>
      </w:pPr>
      <w:r>
        <w:t>the external managers of health benefits funds to convene meetings of creditors and policy holders of funds to consider the possib</w:t>
      </w:r>
      <w:r w:rsidR="00B659E1">
        <w:t xml:space="preserve">ility of the responsible insurers for those funds executing </w:t>
      </w:r>
      <w:r>
        <w:t xml:space="preserve">voluntary deeds of arrangement; </w:t>
      </w:r>
    </w:p>
    <w:p w14:paraId="764C0A79" w14:textId="77777777" w:rsidR="005978A6" w:rsidRDefault="005978A6" w:rsidP="00962188">
      <w:pPr>
        <w:pStyle w:val="dotpoint"/>
      </w:pPr>
      <w:r>
        <w:t xml:space="preserve">the details of how the meetings are to be </w:t>
      </w:r>
      <w:r w:rsidR="00962188">
        <w:t xml:space="preserve">convened or </w:t>
      </w:r>
      <w:r>
        <w:t>conducted</w:t>
      </w:r>
      <w:r w:rsidR="00026C34">
        <w:t>, and the matters that may be decided</w:t>
      </w:r>
      <w:r>
        <w:t xml:space="preserve">; </w:t>
      </w:r>
    </w:p>
    <w:p w14:paraId="5E3ACE0C" w14:textId="77777777" w:rsidR="005978A6" w:rsidRDefault="005978A6" w:rsidP="00962188">
      <w:pPr>
        <w:pStyle w:val="dotpoint"/>
      </w:pPr>
      <w:r>
        <w:t xml:space="preserve">the kind of recommendations that made be made to </w:t>
      </w:r>
      <w:r w:rsidR="003C1F63">
        <w:t>APRA</w:t>
      </w:r>
      <w:r w:rsidR="000C4DBC">
        <w:t xml:space="preserve"> by the external manager</w:t>
      </w:r>
      <w:r>
        <w:t xml:space="preserve">; and </w:t>
      </w:r>
    </w:p>
    <w:p w14:paraId="10FF9993" w14:textId="77777777" w:rsidR="00C10393" w:rsidRPr="0059474C" w:rsidRDefault="005978A6" w:rsidP="00C10393">
      <w:pPr>
        <w:pStyle w:val="dotpoint"/>
        <w:rPr>
          <w:lang w:val="fr-FR"/>
        </w:rPr>
      </w:pPr>
      <w:r>
        <w:t xml:space="preserve">the actions </w:t>
      </w:r>
      <w:r w:rsidR="00962188">
        <w:t>APRA</w:t>
      </w:r>
      <w:r>
        <w:t xml:space="preserve"> may take in response</w:t>
      </w:r>
      <w:r w:rsidR="000C4DBC">
        <w:t xml:space="preserve"> to such recommendations</w:t>
      </w:r>
      <w:r>
        <w:t>.</w:t>
      </w:r>
      <w:r w:rsidR="00962188">
        <w:t xml:space="preserve">  </w:t>
      </w:r>
      <w:r w:rsidR="00962188" w:rsidRPr="0059474C">
        <w:rPr>
          <w:rStyle w:val="Referencingstyle"/>
          <w:lang w:val="fr-FR"/>
        </w:rPr>
        <w:t xml:space="preserve">[Part 3, Division </w:t>
      </w:r>
      <w:r w:rsidR="00B659E1" w:rsidRPr="0059474C">
        <w:rPr>
          <w:rStyle w:val="Referencingstyle"/>
          <w:lang w:val="fr-FR"/>
        </w:rPr>
        <w:t>6</w:t>
      </w:r>
      <w:r w:rsidR="00962188" w:rsidRPr="0059474C">
        <w:rPr>
          <w:rStyle w:val="Referencingstyle"/>
          <w:lang w:val="fr-FR"/>
        </w:rPr>
        <w:t>, Subdivision D, subsection</w:t>
      </w:r>
      <w:r w:rsidR="008A6DCD">
        <w:rPr>
          <w:rStyle w:val="Referencingstyle"/>
          <w:lang w:val="fr-FR"/>
        </w:rPr>
        <w:t> </w:t>
      </w:r>
      <w:r w:rsidR="00C359AA" w:rsidRPr="0059474C">
        <w:rPr>
          <w:rStyle w:val="Referencingstyle"/>
          <w:lang w:val="fr-FR"/>
        </w:rPr>
        <w:t>58</w:t>
      </w:r>
      <w:r w:rsidR="00962188" w:rsidRPr="0059474C">
        <w:rPr>
          <w:rStyle w:val="Referencingstyle"/>
          <w:lang w:val="fr-FR"/>
        </w:rPr>
        <w:t>(1)]</w:t>
      </w:r>
    </w:p>
    <w:p w14:paraId="38B34F81" w14:textId="77777777" w:rsidR="00C10393" w:rsidRDefault="00C10393" w:rsidP="000F194A">
      <w:pPr>
        <w:pStyle w:val="base-text-paragraph"/>
      </w:pPr>
      <w:r>
        <w:t>It</w:t>
      </w:r>
      <w:r w:rsidRPr="00C10393">
        <w:t xml:space="preserve"> is expected that, initially, the APRA </w:t>
      </w:r>
      <w:r w:rsidR="008A6DCD">
        <w:t>r</w:t>
      </w:r>
      <w:r w:rsidRPr="00C10393">
        <w:t>ules for the purpose of this Division will be in substantially the same form as those currently in force for the purposes of the external management provisions in the PHI</w:t>
      </w:r>
      <w:r w:rsidR="00DF586F">
        <w:t> </w:t>
      </w:r>
      <w:r w:rsidRPr="00C10393">
        <w:t>Act.</w:t>
      </w:r>
    </w:p>
    <w:p w14:paraId="51FDDD0E" w14:textId="77777777" w:rsidR="005978A6" w:rsidRDefault="009D024A" w:rsidP="000F194A">
      <w:pPr>
        <w:pStyle w:val="base-text-paragraph"/>
      </w:pPr>
      <w:r>
        <w:t xml:space="preserve">This section </w:t>
      </w:r>
      <w:r w:rsidR="005978A6">
        <w:t xml:space="preserve">does not limit the scope of the </w:t>
      </w:r>
      <w:r>
        <w:t>APRA ru</w:t>
      </w:r>
      <w:r w:rsidR="005978A6">
        <w:t>les for the purposes of other provisions in this Part.</w:t>
      </w:r>
      <w:r>
        <w:t xml:space="preserve">  </w:t>
      </w:r>
      <w:r w:rsidRPr="00962188">
        <w:rPr>
          <w:rStyle w:val="Referencingstyle"/>
        </w:rPr>
        <w:t xml:space="preserve">[Part 3, Division </w:t>
      </w:r>
      <w:r w:rsidR="00B659E1">
        <w:rPr>
          <w:rStyle w:val="Referencingstyle"/>
        </w:rPr>
        <w:t>6</w:t>
      </w:r>
      <w:r w:rsidRPr="00962188">
        <w:rPr>
          <w:rStyle w:val="Referencingstyle"/>
        </w:rPr>
        <w:t>, Subdivision</w:t>
      </w:r>
      <w:r w:rsidR="00A5075F">
        <w:rPr>
          <w:rStyle w:val="Referencingstyle"/>
        </w:rPr>
        <w:t> </w:t>
      </w:r>
      <w:r w:rsidRPr="00962188">
        <w:rPr>
          <w:rStyle w:val="Referencingstyle"/>
        </w:rPr>
        <w:t>D, s</w:t>
      </w:r>
      <w:r>
        <w:rPr>
          <w:rStyle w:val="Referencingstyle"/>
        </w:rPr>
        <w:t xml:space="preserve">ubsection </w:t>
      </w:r>
      <w:r w:rsidR="00C359AA">
        <w:rPr>
          <w:rStyle w:val="Referencingstyle"/>
        </w:rPr>
        <w:t>58</w:t>
      </w:r>
      <w:r>
        <w:rPr>
          <w:rStyle w:val="Referencingstyle"/>
        </w:rPr>
        <w:t>(2</w:t>
      </w:r>
      <w:r w:rsidRPr="00962188">
        <w:rPr>
          <w:rStyle w:val="Referencingstyle"/>
        </w:rPr>
        <w:t>)]</w:t>
      </w:r>
    </w:p>
    <w:p w14:paraId="13165015" w14:textId="77777777" w:rsidR="005978A6" w:rsidRDefault="00E701D7" w:rsidP="009D024A">
      <w:pPr>
        <w:pStyle w:val="Heading4"/>
      </w:pPr>
      <w:r>
        <w:t xml:space="preserve"> Subdivision E – </w:t>
      </w:r>
      <w:r w:rsidR="005978A6">
        <w:t xml:space="preserve">External managers' reports to </w:t>
      </w:r>
      <w:r w:rsidR="00EE2C63">
        <w:t xml:space="preserve">APRA </w:t>
      </w:r>
    </w:p>
    <w:p w14:paraId="5A0B01FB" w14:textId="77777777" w:rsidR="005978A6" w:rsidRDefault="005978A6" w:rsidP="009D024A">
      <w:pPr>
        <w:pStyle w:val="Heading5"/>
      </w:pPr>
      <w:r>
        <w:t xml:space="preserve">External managers to give reports to </w:t>
      </w:r>
      <w:r w:rsidR="009D024A">
        <w:t>APRA</w:t>
      </w:r>
    </w:p>
    <w:p w14:paraId="7357D78B" w14:textId="77777777" w:rsidR="005978A6" w:rsidRPr="001662CA" w:rsidRDefault="00E701D7" w:rsidP="000F194A">
      <w:pPr>
        <w:pStyle w:val="base-text-paragraph"/>
        <w:rPr>
          <w:rStyle w:val="Referencingstyle"/>
          <w:b w:val="0"/>
          <w:i w:val="0"/>
          <w:sz w:val="22"/>
        </w:rPr>
      </w:pPr>
      <w:r>
        <w:t>An</w:t>
      </w:r>
      <w:r w:rsidR="005978A6">
        <w:t xml:space="preserve"> external manager</w:t>
      </w:r>
      <w:r w:rsidR="00183B10">
        <w:t xml:space="preserve"> must</w:t>
      </w:r>
      <w:r w:rsidR="005978A6">
        <w:t xml:space="preserve">, as soon as practicable but </w:t>
      </w:r>
      <w:r w:rsidR="00183B10">
        <w:t xml:space="preserve">in any event </w:t>
      </w:r>
      <w:r w:rsidR="005978A6">
        <w:t xml:space="preserve">within three months or such longer time as </w:t>
      </w:r>
      <w:r>
        <w:t>APRA determines</w:t>
      </w:r>
      <w:r w:rsidR="008A6DCD">
        <w:t xml:space="preserve"> in writing</w:t>
      </w:r>
      <w:r>
        <w:t xml:space="preserve">, </w:t>
      </w:r>
      <w:r w:rsidR="005978A6">
        <w:t xml:space="preserve">conclude the examination of the health benefits fund and make a final written report to </w:t>
      </w:r>
      <w:r>
        <w:t>APRA</w:t>
      </w:r>
      <w:r w:rsidR="005978A6">
        <w:t>.</w:t>
      </w:r>
      <w:r>
        <w:t xml:space="preserve">  </w:t>
      </w:r>
      <w:r w:rsidRPr="00E701D7">
        <w:rPr>
          <w:rStyle w:val="Referencingstyle"/>
        </w:rPr>
        <w:t xml:space="preserve">[Part 3, Division </w:t>
      </w:r>
      <w:r w:rsidR="00B659E1">
        <w:rPr>
          <w:rStyle w:val="Referencingstyle"/>
        </w:rPr>
        <w:t>6</w:t>
      </w:r>
      <w:r w:rsidRPr="00E701D7">
        <w:rPr>
          <w:rStyle w:val="Referencingstyle"/>
        </w:rPr>
        <w:t xml:space="preserve">, Subdivision E, </w:t>
      </w:r>
      <w:r w:rsidR="00EF1F51">
        <w:rPr>
          <w:rStyle w:val="Referencingstyle"/>
        </w:rPr>
        <w:t xml:space="preserve">subsections </w:t>
      </w:r>
      <w:r w:rsidR="00C359AA">
        <w:rPr>
          <w:rStyle w:val="Referencingstyle"/>
        </w:rPr>
        <w:t>59</w:t>
      </w:r>
      <w:r w:rsidR="00EF1F51">
        <w:rPr>
          <w:rStyle w:val="Referencingstyle"/>
        </w:rPr>
        <w:t>(1) and (2)]</w:t>
      </w:r>
    </w:p>
    <w:p w14:paraId="0BF4D5C7" w14:textId="77777777" w:rsidR="005058B7" w:rsidRDefault="00EF1F51" w:rsidP="000F194A">
      <w:pPr>
        <w:pStyle w:val="base-text-paragraph"/>
      </w:pPr>
      <w:r>
        <w:t>The</w:t>
      </w:r>
      <w:r w:rsidR="005978A6">
        <w:t xml:space="preserve"> external manager in the report to </w:t>
      </w:r>
      <w:r>
        <w:t>APRA is required to</w:t>
      </w:r>
      <w:r w:rsidR="005978A6">
        <w:t xml:space="preserve"> recommend a course of action that maximises the chance that the policy holders of the fund continue to be covered by that fund or another fund to which the business is transferred, and set out the reasons for that recommendation.</w:t>
      </w:r>
      <w:r>
        <w:t xml:space="preserve">  </w:t>
      </w:r>
      <w:r w:rsidRPr="00E701D7">
        <w:rPr>
          <w:rStyle w:val="Referencingstyle"/>
        </w:rPr>
        <w:t xml:space="preserve">[Part 3, Division </w:t>
      </w:r>
      <w:r w:rsidR="00B659E1">
        <w:rPr>
          <w:rStyle w:val="Referencingstyle"/>
        </w:rPr>
        <w:t>6</w:t>
      </w:r>
      <w:r w:rsidRPr="00E701D7">
        <w:rPr>
          <w:rStyle w:val="Referencingstyle"/>
        </w:rPr>
        <w:t xml:space="preserve">, Subdivision E, </w:t>
      </w:r>
      <w:r>
        <w:rPr>
          <w:rStyle w:val="Referencingstyle"/>
        </w:rPr>
        <w:t xml:space="preserve">subsection </w:t>
      </w:r>
      <w:r w:rsidR="00C359AA">
        <w:rPr>
          <w:rStyle w:val="Referencingstyle"/>
        </w:rPr>
        <w:t>59</w:t>
      </w:r>
      <w:r>
        <w:rPr>
          <w:rStyle w:val="Referencingstyle"/>
        </w:rPr>
        <w:t>(</w:t>
      </w:r>
      <w:r w:rsidR="00797B24">
        <w:rPr>
          <w:rStyle w:val="Referencingstyle"/>
        </w:rPr>
        <w:t>3</w:t>
      </w:r>
      <w:r>
        <w:rPr>
          <w:rStyle w:val="Referencingstyle"/>
        </w:rPr>
        <w:t>)]</w:t>
      </w:r>
    </w:p>
    <w:p w14:paraId="4AB9E485" w14:textId="77777777" w:rsidR="005978A6" w:rsidRDefault="003158AD" w:rsidP="000F194A">
      <w:pPr>
        <w:pStyle w:val="base-text-paragraph"/>
      </w:pPr>
      <w:r w:rsidRPr="003158AD">
        <w:t>Without limiting the courses of action he or she may recommend, an</w:t>
      </w:r>
      <w:r w:rsidR="005978A6">
        <w:t xml:space="preserve"> external manager may recommend</w:t>
      </w:r>
      <w:r>
        <w:t xml:space="preserve"> that</w:t>
      </w:r>
      <w:r w:rsidR="005978A6">
        <w:t>:</w:t>
      </w:r>
    </w:p>
    <w:p w14:paraId="5880A91E" w14:textId="77777777" w:rsidR="005978A6" w:rsidRDefault="005978A6" w:rsidP="00EF1F51">
      <w:pPr>
        <w:pStyle w:val="dotpoint"/>
      </w:pPr>
      <w:r>
        <w:t>subject to a Federal Court order, that the responsible insurer for the fund implement a scheme of arrangement concerning the business of the fund; or</w:t>
      </w:r>
    </w:p>
    <w:p w14:paraId="5AE4C5D4" w14:textId="77777777" w:rsidR="005978A6" w:rsidRDefault="005978A6" w:rsidP="00EF1F51">
      <w:pPr>
        <w:pStyle w:val="dotpoint"/>
      </w:pPr>
      <w:r>
        <w:t>subject to a Federal Court order, that a terminating manager be appointed to the fund</w:t>
      </w:r>
      <w:r w:rsidR="003E50A1">
        <w:t>s of the insurer</w:t>
      </w:r>
      <w:r>
        <w:t xml:space="preserve">; or </w:t>
      </w:r>
    </w:p>
    <w:p w14:paraId="15863F5E" w14:textId="77777777" w:rsidR="005978A6" w:rsidRDefault="005978A6" w:rsidP="00EF1F51">
      <w:pPr>
        <w:pStyle w:val="dotpoint"/>
      </w:pPr>
      <w:r>
        <w:t xml:space="preserve">that the external management cease and the business of the fund be resumed by responsible insurer. </w:t>
      </w:r>
      <w:r w:rsidR="00EF1F51">
        <w:t xml:space="preserve"> </w:t>
      </w:r>
      <w:r w:rsidR="00EF1F51" w:rsidRPr="00E701D7">
        <w:rPr>
          <w:rStyle w:val="Referencingstyle"/>
        </w:rPr>
        <w:t xml:space="preserve">[Part 3, Division </w:t>
      </w:r>
      <w:r w:rsidR="00797B24">
        <w:rPr>
          <w:rStyle w:val="Referencingstyle"/>
        </w:rPr>
        <w:t>6</w:t>
      </w:r>
      <w:r w:rsidR="00EF1F51" w:rsidRPr="00E701D7">
        <w:rPr>
          <w:rStyle w:val="Referencingstyle"/>
        </w:rPr>
        <w:t xml:space="preserve">, Subdivision E, </w:t>
      </w:r>
      <w:r w:rsidR="00EF1F51">
        <w:rPr>
          <w:rStyle w:val="Referencingstyle"/>
        </w:rPr>
        <w:t xml:space="preserve">subsection </w:t>
      </w:r>
      <w:r w:rsidR="00C359AA">
        <w:rPr>
          <w:rStyle w:val="Referencingstyle"/>
        </w:rPr>
        <w:t>59</w:t>
      </w:r>
      <w:r w:rsidR="00EF1F51">
        <w:rPr>
          <w:rStyle w:val="Referencingstyle"/>
        </w:rPr>
        <w:t>(</w:t>
      </w:r>
      <w:r w:rsidR="00797B24">
        <w:rPr>
          <w:rStyle w:val="Referencingstyle"/>
        </w:rPr>
        <w:t>4</w:t>
      </w:r>
      <w:r w:rsidR="00EF1F51">
        <w:rPr>
          <w:rStyle w:val="Referencingstyle"/>
        </w:rPr>
        <w:t>)]</w:t>
      </w:r>
    </w:p>
    <w:p w14:paraId="5A39BB75" w14:textId="77777777" w:rsidR="005978A6" w:rsidRDefault="00307247" w:rsidP="000F194A">
      <w:pPr>
        <w:pStyle w:val="base-text-paragraph"/>
      </w:pPr>
      <w:r>
        <w:t>T</w:t>
      </w:r>
      <w:r w:rsidR="005978A6">
        <w:t xml:space="preserve">he external manager must recommend that </w:t>
      </w:r>
      <w:r>
        <w:t>APRA</w:t>
      </w:r>
      <w:r w:rsidR="005978A6">
        <w:t xml:space="preserve"> approve the execution of a voluntary deed of arrangement if </w:t>
      </w:r>
      <w:r>
        <w:t>APRA r</w:t>
      </w:r>
      <w:r w:rsidR="005978A6">
        <w:t>ules so provide.</w:t>
      </w:r>
      <w:r>
        <w:t xml:space="preserve"> </w:t>
      </w:r>
      <w:r w:rsidRPr="00E701D7">
        <w:rPr>
          <w:rStyle w:val="Referencingstyle"/>
        </w:rPr>
        <w:t xml:space="preserve">[Part 3, Division </w:t>
      </w:r>
      <w:r w:rsidR="00797B24">
        <w:rPr>
          <w:rStyle w:val="Referencingstyle"/>
        </w:rPr>
        <w:t>6</w:t>
      </w:r>
      <w:r w:rsidRPr="00E701D7">
        <w:rPr>
          <w:rStyle w:val="Referencingstyle"/>
        </w:rPr>
        <w:t xml:space="preserve">, Subdivision E, </w:t>
      </w:r>
      <w:r>
        <w:rPr>
          <w:rStyle w:val="Referencingstyle"/>
        </w:rPr>
        <w:t xml:space="preserve">subsection </w:t>
      </w:r>
      <w:r w:rsidR="00C359AA">
        <w:rPr>
          <w:rStyle w:val="Referencingstyle"/>
        </w:rPr>
        <w:t>59</w:t>
      </w:r>
      <w:r>
        <w:rPr>
          <w:rStyle w:val="Referencingstyle"/>
        </w:rPr>
        <w:t>(5)]</w:t>
      </w:r>
    </w:p>
    <w:p w14:paraId="73D96E30" w14:textId="77777777" w:rsidR="005978A6" w:rsidRDefault="004735A5" w:rsidP="000F194A">
      <w:pPr>
        <w:pStyle w:val="base-text-paragraph"/>
      </w:pPr>
      <w:r>
        <w:t>W</w:t>
      </w:r>
      <w:r w:rsidR="005978A6">
        <w:t xml:space="preserve">ithout </w:t>
      </w:r>
      <w:r>
        <w:t>limit</w:t>
      </w:r>
      <w:r w:rsidR="000C4DBC">
        <w:t xml:space="preserve">ing </w:t>
      </w:r>
      <w:r>
        <w:t>w</w:t>
      </w:r>
      <w:r w:rsidR="005978A6">
        <w:t xml:space="preserve">hat a scheme or arrangement ordered by the </w:t>
      </w:r>
      <w:r w:rsidR="009D4F54">
        <w:t xml:space="preserve">Federal </w:t>
      </w:r>
      <w:r w:rsidR="005978A6">
        <w:t>Court may provide for</w:t>
      </w:r>
      <w:r w:rsidR="000C4DBC">
        <w:t>, the scheme may provide for</w:t>
      </w:r>
      <w:r w:rsidR="005978A6">
        <w:t>:</w:t>
      </w:r>
    </w:p>
    <w:p w14:paraId="77651CD9" w14:textId="77777777" w:rsidR="005978A6" w:rsidRDefault="005978A6" w:rsidP="004735A5">
      <w:pPr>
        <w:pStyle w:val="dotpoint"/>
      </w:pPr>
      <w:r>
        <w:t xml:space="preserve">the continuation of the business of the fund on terms set out in the scheme; or </w:t>
      </w:r>
    </w:p>
    <w:p w14:paraId="7D10A2F2" w14:textId="77777777" w:rsidR="005978A6" w:rsidRDefault="005978A6" w:rsidP="004735A5">
      <w:pPr>
        <w:pStyle w:val="dotpoint"/>
      </w:pPr>
      <w:r>
        <w:t xml:space="preserve">the transfer of the business of the fund on terms set out in the scheme to another private health insurer; or </w:t>
      </w:r>
    </w:p>
    <w:p w14:paraId="02481055" w14:textId="77777777" w:rsidR="005978A6" w:rsidRDefault="005978A6" w:rsidP="004735A5">
      <w:pPr>
        <w:pStyle w:val="dotpoint"/>
      </w:pPr>
      <w:r>
        <w:t>execution of a deed in the same form as a voluntary deed of arrangement rejected at a</w:t>
      </w:r>
      <w:r w:rsidR="003E50A1">
        <w:t>ny</w:t>
      </w:r>
      <w:r>
        <w:t xml:space="preserve"> meeting of creditors and policy holders under </w:t>
      </w:r>
      <w:r w:rsidR="004735A5" w:rsidRPr="001A57F7">
        <w:t>section</w:t>
      </w:r>
      <w:r w:rsidRPr="001A57F7">
        <w:t xml:space="preserve"> </w:t>
      </w:r>
      <w:r w:rsidR="00C359AA" w:rsidRPr="001A57F7">
        <w:t>5</w:t>
      </w:r>
      <w:r w:rsidR="00C359AA">
        <w:t>8</w:t>
      </w:r>
      <w:r>
        <w:t>.</w:t>
      </w:r>
      <w:r w:rsidR="004735A5">
        <w:t xml:space="preserve"> </w:t>
      </w:r>
      <w:r w:rsidR="004735A5" w:rsidRPr="00E701D7">
        <w:rPr>
          <w:rStyle w:val="Referencingstyle"/>
        </w:rPr>
        <w:t xml:space="preserve">[Part 3, Division </w:t>
      </w:r>
      <w:r w:rsidR="00797B24">
        <w:rPr>
          <w:rStyle w:val="Referencingstyle"/>
        </w:rPr>
        <w:t>6</w:t>
      </w:r>
      <w:r w:rsidR="004735A5" w:rsidRPr="00E701D7">
        <w:rPr>
          <w:rStyle w:val="Referencingstyle"/>
        </w:rPr>
        <w:t>, Subdivision</w:t>
      </w:r>
      <w:r w:rsidR="00A5075F">
        <w:rPr>
          <w:rStyle w:val="Referencingstyle"/>
        </w:rPr>
        <w:t> </w:t>
      </w:r>
      <w:r w:rsidR="004735A5" w:rsidRPr="00E701D7">
        <w:rPr>
          <w:rStyle w:val="Referencingstyle"/>
        </w:rPr>
        <w:t xml:space="preserve">E, </w:t>
      </w:r>
      <w:r w:rsidR="004735A5">
        <w:rPr>
          <w:rStyle w:val="Referencingstyle"/>
        </w:rPr>
        <w:t xml:space="preserve">subsection </w:t>
      </w:r>
      <w:r w:rsidR="00C359AA">
        <w:rPr>
          <w:rStyle w:val="Referencingstyle"/>
        </w:rPr>
        <w:t>59</w:t>
      </w:r>
      <w:r w:rsidR="004735A5">
        <w:rPr>
          <w:rStyle w:val="Referencingstyle"/>
        </w:rPr>
        <w:t>(6)]</w:t>
      </w:r>
    </w:p>
    <w:p w14:paraId="21A74E71" w14:textId="77777777" w:rsidR="005978A6" w:rsidRDefault="005978A6" w:rsidP="004735A5">
      <w:pPr>
        <w:pStyle w:val="Heading5"/>
      </w:pPr>
      <w:r>
        <w:t xml:space="preserve">Dealing with reports given to </w:t>
      </w:r>
      <w:r w:rsidR="007D23E9">
        <w:t>APRA</w:t>
      </w:r>
    </w:p>
    <w:p w14:paraId="2A791C6C" w14:textId="77777777" w:rsidR="00112939" w:rsidRDefault="00112939" w:rsidP="006C3D7A">
      <w:pPr>
        <w:pStyle w:val="Heading6"/>
      </w:pPr>
      <w:r>
        <w:t>Deciding what to do in relation to a recommendation</w:t>
      </w:r>
    </w:p>
    <w:p w14:paraId="03441DC6" w14:textId="77777777" w:rsidR="005978A6" w:rsidRDefault="007D23E9" w:rsidP="000F194A">
      <w:pPr>
        <w:pStyle w:val="base-text-paragraph"/>
      </w:pPr>
      <w:r>
        <w:t>I</w:t>
      </w:r>
      <w:r w:rsidR="005978A6">
        <w:t xml:space="preserve">n deciding whether or not to approve a course of action recommended in a report under </w:t>
      </w:r>
      <w:r w:rsidR="005978A6" w:rsidRPr="001A57F7">
        <w:t>sub</w:t>
      </w:r>
      <w:r w:rsidRPr="001A57F7">
        <w:t>section</w:t>
      </w:r>
      <w:r w:rsidR="005978A6" w:rsidRPr="001A57F7">
        <w:t xml:space="preserve"> </w:t>
      </w:r>
      <w:r w:rsidR="00FA0469">
        <w:t>59</w:t>
      </w:r>
      <w:r w:rsidR="005978A6" w:rsidRPr="001A57F7">
        <w:t>(3)</w:t>
      </w:r>
      <w:r w:rsidR="00FA0469">
        <w:t>,</w:t>
      </w:r>
      <w:r w:rsidR="005978A6">
        <w:t xml:space="preserve"> </w:t>
      </w:r>
      <w:r>
        <w:t>APRA</w:t>
      </w:r>
      <w:r w:rsidR="005978A6">
        <w:t xml:space="preserve"> may seek further information from the external manager and engage any person to assist it in evaluating the assessments </w:t>
      </w:r>
      <w:r w:rsidR="00A56110">
        <w:t>and projections</w:t>
      </w:r>
      <w:r w:rsidR="005978A6">
        <w:t xml:space="preserve"> </w:t>
      </w:r>
      <w:r w:rsidR="00A93F00">
        <w:t>relied upon</w:t>
      </w:r>
      <w:r w:rsidR="00387C40">
        <w:t xml:space="preserve"> in the report. </w:t>
      </w:r>
      <w:r w:rsidR="005978A6">
        <w:t xml:space="preserve">In reaching a decision </w:t>
      </w:r>
      <w:r>
        <w:t>APRA</w:t>
      </w:r>
      <w:r w:rsidR="005978A6">
        <w:t xml:space="preserve"> must have regard to the external manager's report and any additional information provided by the external manager or by any person engaged to assist </w:t>
      </w:r>
      <w:r>
        <w:t>APRA</w:t>
      </w:r>
      <w:r w:rsidR="00A414C3">
        <w:t xml:space="preserve">.  </w:t>
      </w:r>
      <w:r w:rsidRPr="00E701D7">
        <w:rPr>
          <w:rStyle w:val="Referencingstyle"/>
        </w:rPr>
        <w:t xml:space="preserve">[Part 3, Division </w:t>
      </w:r>
      <w:r w:rsidR="00A615DE">
        <w:rPr>
          <w:rStyle w:val="Referencingstyle"/>
        </w:rPr>
        <w:t>6</w:t>
      </w:r>
      <w:r w:rsidRPr="00E701D7">
        <w:rPr>
          <w:rStyle w:val="Referencingstyle"/>
        </w:rPr>
        <w:t xml:space="preserve">, Subdivision E, </w:t>
      </w:r>
      <w:r>
        <w:rPr>
          <w:rStyle w:val="Referencingstyle"/>
        </w:rPr>
        <w:t>subsection</w:t>
      </w:r>
      <w:r w:rsidR="00A5075F">
        <w:rPr>
          <w:rStyle w:val="Referencingstyle"/>
        </w:rPr>
        <w:t> </w:t>
      </w:r>
      <w:r w:rsidR="00112939">
        <w:rPr>
          <w:rStyle w:val="Referencingstyle"/>
        </w:rPr>
        <w:t>60</w:t>
      </w:r>
      <w:r>
        <w:rPr>
          <w:rStyle w:val="Referencingstyle"/>
        </w:rPr>
        <w:t>(1)]</w:t>
      </w:r>
    </w:p>
    <w:p w14:paraId="6736F3CB" w14:textId="77777777" w:rsidR="00112939" w:rsidRDefault="00112939" w:rsidP="006C3D7A">
      <w:pPr>
        <w:pStyle w:val="Heading6"/>
      </w:pPr>
      <w:r>
        <w:t>APRA to inform manager if satisfied with a recommended course of action</w:t>
      </w:r>
    </w:p>
    <w:p w14:paraId="42339BCC" w14:textId="77777777" w:rsidR="00A414C3" w:rsidRPr="006C3D7A" w:rsidRDefault="00A414C3" w:rsidP="000F194A">
      <w:pPr>
        <w:pStyle w:val="base-text-paragraph"/>
        <w:rPr>
          <w:rStyle w:val="Referencingstyle"/>
          <w:b w:val="0"/>
          <w:i w:val="0"/>
          <w:sz w:val="22"/>
        </w:rPr>
      </w:pPr>
      <w:r>
        <w:t>I</w:t>
      </w:r>
      <w:r w:rsidR="005978A6">
        <w:t xml:space="preserve">f </w:t>
      </w:r>
      <w:r>
        <w:t>APRA</w:t>
      </w:r>
      <w:r w:rsidR="005978A6">
        <w:t xml:space="preserve"> is satisfied that a course of action recommended by the external manager will be in the interests of the policy holders of the health benefits fund, </w:t>
      </w:r>
      <w:r w:rsidR="003C1F63">
        <w:t xml:space="preserve">APRA </w:t>
      </w:r>
      <w:r w:rsidR="005978A6">
        <w:t>must by written notice inform the external manager</w:t>
      </w:r>
      <w:r w:rsidR="001B07BC">
        <w:t xml:space="preserve"> to that effect</w:t>
      </w:r>
      <w:r w:rsidR="003158AD" w:rsidDel="001B07BC">
        <w:t>.</w:t>
      </w:r>
      <w:r w:rsidR="003158AD">
        <w:t xml:space="preserve"> </w:t>
      </w:r>
      <w:r w:rsidR="003E50A1">
        <w:t>If the recommended course of action is the external management cease, t</w:t>
      </w:r>
      <w:r w:rsidR="00901182">
        <w:t>he external management ends when notice is given under subsection 60(2) (see paragraph 62(2)(c))</w:t>
      </w:r>
      <w:r w:rsidR="00860D23">
        <w:t>.</w:t>
      </w:r>
      <w:r>
        <w:t xml:space="preserve"> </w:t>
      </w:r>
      <w:r w:rsidRPr="00E701D7">
        <w:rPr>
          <w:rStyle w:val="Referencingstyle"/>
        </w:rPr>
        <w:t xml:space="preserve">[Part 3, Division </w:t>
      </w:r>
      <w:r w:rsidR="00A615DE">
        <w:rPr>
          <w:rStyle w:val="Referencingstyle"/>
        </w:rPr>
        <w:t>6</w:t>
      </w:r>
      <w:r w:rsidRPr="00E701D7">
        <w:rPr>
          <w:rStyle w:val="Referencingstyle"/>
        </w:rPr>
        <w:t xml:space="preserve">, Subdivision E, </w:t>
      </w:r>
      <w:r>
        <w:rPr>
          <w:rStyle w:val="Referencingstyle"/>
        </w:rPr>
        <w:t xml:space="preserve">subsection </w:t>
      </w:r>
      <w:r w:rsidR="00814108">
        <w:rPr>
          <w:rStyle w:val="Referencingstyle"/>
        </w:rPr>
        <w:t>60</w:t>
      </w:r>
      <w:r>
        <w:rPr>
          <w:rStyle w:val="Referencingstyle"/>
        </w:rPr>
        <w:t>(2)]</w:t>
      </w:r>
    </w:p>
    <w:p w14:paraId="50ECC4EA" w14:textId="77777777" w:rsidR="00814108" w:rsidRDefault="00814108" w:rsidP="006C3D7A">
      <w:pPr>
        <w:pStyle w:val="Heading6"/>
      </w:pPr>
      <w:r w:rsidRPr="006C3D7A">
        <w:t xml:space="preserve">Additional steps to be taken by APRA </w:t>
      </w:r>
      <w:r w:rsidR="003A3DF4">
        <w:t>i</w:t>
      </w:r>
      <w:r w:rsidRPr="006C3D7A">
        <w:t>f satisfied with certain kinds of recommended course of action</w:t>
      </w:r>
    </w:p>
    <w:p w14:paraId="264B1CC0" w14:textId="77777777" w:rsidR="00814108" w:rsidRDefault="001B07BC" w:rsidP="000F194A">
      <w:pPr>
        <w:pStyle w:val="base-text-paragraph"/>
      </w:pPr>
      <w:r>
        <w:t>If APRA is satisfied that a scheme of arrangement (as specified in paragraph 59(4)(a)) is the appropriate course of action</w:t>
      </w:r>
      <w:r w:rsidR="003E50A1">
        <w:t xml:space="preserve"> (approach the court for an order implementing a scheme of arrangement)</w:t>
      </w:r>
      <w:r>
        <w:t xml:space="preserve">, APRA must direct the external manager to apply under subsection 61(1) to the Federal Court to give effect to that. If the course of action is termination of the </w:t>
      </w:r>
      <w:r w:rsidR="00901182">
        <w:t>funds of the private</w:t>
      </w:r>
      <w:r>
        <w:t xml:space="preserve"> health </w:t>
      </w:r>
      <w:r w:rsidR="00901182">
        <w:t>insurer</w:t>
      </w:r>
      <w:r>
        <w:t xml:space="preserve">, APRA must direct the external manager to apply under subsection 66(1) for a terminating manager’s appointment.  </w:t>
      </w:r>
      <w:r w:rsidR="00814108" w:rsidRPr="006C3D7A">
        <w:rPr>
          <w:rStyle w:val="Referencingstyle"/>
        </w:rPr>
        <w:t>[Part 3, Division 6, Subdivision E, subsection</w:t>
      </w:r>
      <w:r w:rsidR="00D125D1">
        <w:rPr>
          <w:rStyle w:val="Referencingstyle"/>
        </w:rPr>
        <w:t>s</w:t>
      </w:r>
      <w:r w:rsidR="00814108" w:rsidRPr="006C3D7A">
        <w:rPr>
          <w:rStyle w:val="Referencingstyle"/>
        </w:rPr>
        <w:t xml:space="preserve"> 60(3</w:t>
      </w:r>
      <w:r w:rsidR="00D125D1">
        <w:rPr>
          <w:rStyle w:val="Referencingstyle"/>
        </w:rPr>
        <w:t>)</w:t>
      </w:r>
      <w:r w:rsidR="00037F1E">
        <w:rPr>
          <w:rStyle w:val="Referencingstyle"/>
        </w:rPr>
        <w:t xml:space="preserve"> and (</w:t>
      </w:r>
      <w:r>
        <w:rPr>
          <w:rStyle w:val="Referencingstyle"/>
        </w:rPr>
        <w:t>4</w:t>
      </w:r>
      <w:r w:rsidR="00814108" w:rsidRPr="006C3D7A">
        <w:rPr>
          <w:rStyle w:val="Referencingstyle"/>
        </w:rPr>
        <w:t>)]</w:t>
      </w:r>
    </w:p>
    <w:p w14:paraId="2A9AC020" w14:textId="77777777" w:rsidR="00814108" w:rsidRDefault="001B07BC" w:rsidP="000F194A">
      <w:pPr>
        <w:pStyle w:val="base-text-paragraph"/>
      </w:pPr>
      <w:r>
        <w:t xml:space="preserve">APRA rules may provide for what needs to be done in relation to the action, if it is not an action specified in subsections 59(4) or (5). </w:t>
      </w:r>
      <w:r w:rsidRPr="006C3D7A">
        <w:rPr>
          <w:rStyle w:val="Referencingstyle"/>
        </w:rPr>
        <w:t xml:space="preserve">[Part 3, Division 6, Subdivision E, subsection </w:t>
      </w:r>
      <w:r w:rsidR="003A3DF4">
        <w:rPr>
          <w:rStyle w:val="Referencingstyle"/>
        </w:rPr>
        <w:t>60</w:t>
      </w:r>
      <w:r>
        <w:rPr>
          <w:rStyle w:val="Referencingstyle"/>
        </w:rPr>
        <w:t>(5</w:t>
      </w:r>
      <w:r w:rsidRPr="006C3D7A">
        <w:rPr>
          <w:rStyle w:val="Referencingstyle"/>
        </w:rPr>
        <w:t>)]</w:t>
      </w:r>
    </w:p>
    <w:p w14:paraId="0DC96551" w14:textId="77777777" w:rsidR="00814108" w:rsidRDefault="00037F1E" w:rsidP="006C3D7A">
      <w:pPr>
        <w:pStyle w:val="Heading6"/>
      </w:pPr>
      <w:r>
        <w:t>If APRA is not satisfied with a recommended course of action</w:t>
      </w:r>
    </w:p>
    <w:p w14:paraId="0240982A" w14:textId="77777777" w:rsidR="00A414C3" w:rsidRDefault="00A414C3" w:rsidP="000F194A">
      <w:pPr>
        <w:pStyle w:val="base-text-paragraph"/>
      </w:pPr>
      <w:r>
        <w:t>If APRA</w:t>
      </w:r>
      <w:r w:rsidR="005978A6">
        <w:t xml:space="preserve"> is not satisfied that a course of action recommended by the external manager will be in the interests of the policy holders of the fund, it may take a different course of action that it is satisfied will be in the interests of the policy holders of the fund. </w:t>
      </w:r>
      <w:r w:rsidR="00BA133F">
        <w:t>T</w:t>
      </w:r>
      <w:r w:rsidR="005978A6">
        <w:t xml:space="preserve">hese courses of action include </w:t>
      </w:r>
      <w:r w:rsidR="003E50A1">
        <w:t xml:space="preserve">(but are not limited to) </w:t>
      </w:r>
      <w:r w:rsidR="00BA133F">
        <w:t>APRA</w:t>
      </w:r>
      <w:r w:rsidR="005978A6">
        <w:t xml:space="preserve"> applying to the Federal Court for orders giving effect to a scheme of arrangement for the business of the fund or appointing a terminating manager to the health benefits fu</w:t>
      </w:r>
      <w:r>
        <w:t xml:space="preserve">nds of the responsible insurer.  </w:t>
      </w:r>
      <w:r w:rsidR="00BA133F" w:rsidRPr="00BA133F">
        <w:rPr>
          <w:rStyle w:val="Referencingstyle"/>
        </w:rPr>
        <w:t>[</w:t>
      </w:r>
      <w:r w:rsidRPr="00E701D7">
        <w:rPr>
          <w:rStyle w:val="Referencingstyle"/>
        </w:rPr>
        <w:t xml:space="preserve">Part 3, Division </w:t>
      </w:r>
      <w:r w:rsidR="00A615DE">
        <w:rPr>
          <w:rStyle w:val="Referencingstyle"/>
        </w:rPr>
        <w:t>6</w:t>
      </w:r>
      <w:r w:rsidRPr="00E701D7">
        <w:rPr>
          <w:rStyle w:val="Referencingstyle"/>
        </w:rPr>
        <w:t xml:space="preserve">, Subdivision E, </w:t>
      </w:r>
      <w:r>
        <w:rPr>
          <w:rStyle w:val="Referencingstyle"/>
        </w:rPr>
        <w:t xml:space="preserve">subsections </w:t>
      </w:r>
      <w:r w:rsidR="00814108">
        <w:rPr>
          <w:rStyle w:val="Referencingstyle"/>
        </w:rPr>
        <w:t>60</w:t>
      </w:r>
      <w:r>
        <w:rPr>
          <w:rStyle w:val="Referencingstyle"/>
        </w:rPr>
        <w:t>(</w:t>
      </w:r>
      <w:r w:rsidR="00D125D1">
        <w:rPr>
          <w:rStyle w:val="Referencingstyle"/>
        </w:rPr>
        <w:t>6</w:t>
      </w:r>
      <w:r>
        <w:rPr>
          <w:rStyle w:val="Referencingstyle"/>
        </w:rPr>
        <w:t>) and</w:t>
      </w:r>
      <w:r w:rsidR="00BB0AD8">
        <w:rPr>
          <w:rStyle w:val="Referencingstyle"/>
        </w:rPr>
        <w:t> </w:t>
      </w:r>
      <w:r>
        <w:rPr>
          <w:rStyle w:val="Referencingstyle"/>
        </w:rPr>
        <w:t>(</w:t>
      </w:r>
      <w:r w:rsidR="00D125D1">
        <w:rPr>
          <w:rStyle w:val="Referencingstyle"/>
        </w:rPr>
        <w:t>7</w:t>
      </w:r>
      <w:r>
        <w:rPr>
          <w:rStyle w:val="Referencingstyle"/>
        </w:rPr>
        <w:t>)]</w:t>
      </w:r>
    </w:p>
    <w:p w14:paraId="031A3E88" w14:textId="77777777" w:rsidR="005978A6" w:rsidRDefault="00BA133F" w:rsidP="00BA133F">
      <w:pPr>
        <w:pStyle w:val="Heading5"/>
      </w:pPr>
      <w:r>
        <w:t xml:space="preserve">Federal </w:t>
      </w:r>
      <w:r w:rsidR="005978A6">
        <w:t>Court orders in respect of schemes of arrangement</w:t>
      </w:r>
    </w:p>
    <w:p w14:paraId="20DD8E86" w14:textId="77777777" w:rsidR="005978A6" w:rsidRDefault="00BA133F" w:rsidP="000F194A">
      <w:pPr>
        <w:pStyle w:val="base-text-paragraph"/>
      </w:pPr>
      <w:r>
        <w:t>An</w:t>
      </w:r>
      <w:r w:rsidR="005978A6">
        <w:t xml:space="preserve"> external manager </w:t>
      </w:r>
      <w:r>
        <w:t xml:space="preserve">is required </w:t>
      </w:r>
      <w:r w:rsidR="005978A6">
        <w:t xml:space="preserve">to apply to the Federal Court for an order giving effect to a scheme of arrangement recommended under </w:t>
      </w:r>
      <w:r w:rsidR="00E92DA7">
        <w:t>paragraph</w:t>
      </w:r>
      <w:r w:rsidR="00B15C0D">
        <w:t xml:space="preserve"> 59</w:t>
      </w:r>
      <w:r w:rsidR="00E92DA7">
        <w:t>(4)(a)</w:t>
      </w:r>
      <w:r w:rsidR="005978A6">
        <w:t xml:space="preserve"> if directed to do so by </w:t>
      </w:r>
      <w:r>
        <w:t xml:space="preserve">APRA.  </w:t>
      </w:r>
      <w:r w:rsidRPr="00BA133F">
        <w:rPr>
          <w:rStyle w:val="Referencingstyle"/>
        </w:rPr>
        <w:t>[</w:t>
      </w:r>
      <w:r w:rsidRPr="00E701D7">
        <w:rPr>
          <w:rStyle w:val="Referencingstyle"/>
        </w:rPr>
        <w:t xml:space="preserve">Part 3, Division </w:t>
      </w:r>
      <w:r w:rsidR="00A615DE">
        <w:rPr>
          <w:rStyle w:val="Referencingstyle"/>
        </w:rPr>
        <w:t>6,</w:t>
      </w:r>
      <w:r w:rsidRPr="00E701D7">
        <w:rPr>
          <w:rStyle w:val="Referencingstyle"/>
        </w:rPr>
        <w:t xml:space="preserve"> Subdivision E, </w:t>
      </w:r>
      <w:r>
        <w:rPr>
          <w:rStyle w:val="Referencingstyle"/>
        </w:rPr>
        <w:t xml:space="preserve">subsection </w:t>
      </w:r>
      <w:r w:rsidR="00B15C0D">
        <w:rPr>
          <w:rStyle w:val="Referencingstyle"/>
        </w:rPr>
        <w:t>61</w:t>
      </w:r>
      <w:r>
        <w:rPr>
          <w:rStyle w:val="Referencingstyle"/>
        </w:rPr>
        <w:t>(1)]</w:t>
      </w:r>
      <w:r>
        <w:t xml:space="preserve"> </w:t>
      </w:r>
    </w:p>
    <w:p w14:paraId="6EB16E1C" w14:textId="77777777" w:rsidR="005978A6" w:rsidRDefault="00BA133F" w:rsidP="000F194A">
      <w:pPr>
        <w:pStyle w:val="base-text-paragraph"/>
      </w:pPr>
      <w:r>
        <w:t>On</w:t>
      </w:r>
      <w:r w:rsidR="005978A6">
        <w:t xml:space="preserve"> an application</w:t>
      </w:r>
      <w:r w:rsidR="00FE783E">
        <w:t xml:space="preserve"> by the external manager</w:t>
      </w:r>
      <w:r w:rsidR="005978A6">
        <w:t xml:space="preserve"> under </w:t>
      </w:r>
      <w:r w:rsidR="005978A6" w:rsidRPr="001A57F7">
        <w:t>sub</w:t>
      </w:r>
      <w:r w:rsidRPr="001A57F7">
        <w:t>section</w:t>
      </w:r>
      <w:r w:rsidR="00901182">
        <w:t> </w:t>
      </w:r>
      <w:r w:rsidR="00DD6668">
        <w:t>61</w:t>
      </w:r>
      <w:r w:rsidR="005978A6" w:rsidRPr="001A57F7">
        <w:t>(1),</w:t>
      </w:r>
      <w:r w:rsidR="005978A6">
        <w:t xml:space="preserve"> or an application by </w:t>
      </w:r>
      <w:r w:rsidR="00FF52E0">
        <w:t xml:space="preserve">APRA </w:t>
      </w:r>
      <w:r w:rsidR="005978A6">
        <w:t xml:space="preserve">under </w:t>
      </w:r>
      <w:r w:rsidR="00E92DA7">
        <w:t xml:space="preserve">paragraph </w:t>
      </w:r>
      <w:r w:rsidR="00B15C0D">
        <w:t>60</w:t>
      </w:r>
      <w:r w:rsidR="00E92DA7">
        <w:t>(</w:t>
      </w:r>
      <w:r w:rsidR="005C7109">
        <w:t>7</w:t>
      </w:r>
      <w:r w:rsidR="00E92DA7">
        <w:t>)(a)</w:t>
      </w:r>
      <w:r w:rsidR="005978A6">
        <w:t>, for an order giving effect to a scheme of arrangement</w:t>
      </w:r>
      <w:r w:rsidR="003E50A1">
        <w:t>,</w:t>
      </w:r>
      <w:r w:rsidR="005978A6">
        <w:t xml:space="preserve"> </w:t>
      </w:r>
      <w:r w:rsidR="006D045B">
        <w:t xml:space="preserve">APRA </w:t>
      </w:r>
      <w:r w:rsidR="005978A6">
        <w:t xml:space="preserve">and any other interested person are entitled to be heard, and the </w:t>
      </w:r>
      <w:r w:rsidR="009D4F54">
        <w:t xml:space="preserve">Federal </w:t>
      </w:r>
      <w:r w:rsidR="005978A6">
        <w:t>Court may make such orders as it considers will be in the interests of the policy holders of the health benefits fund concerned.</w:t>
      </w:r>
      <w:r>
        <w:t xml:space="preserve"> </w:t>
      </w:r>
      <w:r w:rsidRPr="00BA133F">
        <w:rPr>
          <w:rStyle w:val="Referencingstyle"/>
        </w:rPr>
        <w:t>[</w:t>
      </w:r>
      <w:r w:rsidRPr="00E701D7">
        <w:rPr>
          <w:rStyle w:val="Referencingstyle"/>
        </w:rPr>
        <w:t xml:space="preserve">Part 3, Division </w:t>
      </w:r>
      <w:r w:rsidR="00E92DA7">
        <w:rPr>
          <w:rStyle w:val="Referencingstyle"/>
        </w:rPr>
        <w:t>6</w:t>
      </w:r>
      <w:r w:rsidRPr="00E701D7">
        <w:rPr>
          <w:rStyle w:val="Referencingstyle"/>
        </w:rPr>
        <w:t>, Subdivision</w:t>
      </w:r>
      <w:r w:rsidR="003E50A1">
        <w:rPr>
          <w:rStyle w:val="Referencingstyle"/>
        </w:rPr>
        <w:t> </w:t>
      </w:r>
      <w:r w:rsidRPr="00E701D7">
        <w:rPr>
          <w:rStyle w:val="Referencingstyle"/>
        </w:rPr>
        <w:t xml:space="preserve">E, </w:t>
      </w:r>
      <w:r>
        <w:rPr>
          <w:rStyle w:val="Referencingstyle"/>
        </w:rPr>
        <w:t xml:space="preserve">subsection </w:t>
      </w:r>
      <w:r w:rsidR="00B15C0D">
        <w:rPr>
          <w:rStyle w:val="Referencingstyle"/>
        </w:rPr>
        <w:t>61</w:t>
      </w:r>
      <w:r>
        <w:rPr>
          <w:rStyle w:val="Referencingstyle"/>
        </w:rPr>
        <w:t>(2)]</w:t>
      </w:r>
    </w:p>
    <w:p w14:paraId="27DA0CA7" w14:textId="77777777" w:rsidR="005978A6" w:rsidRDefault="005978A6" w:rsidP="006D045B">
      <w:pPr>
        <w:pStyle w:val="Heading4"/>
      </w:pPr>
      <w:r>
        <w:t>Subdivision F</w:t>
      </w:r>
      <w:r w:rsidR="006D045B">
        <w:t xml:space="preserve"> – Mi</w:t>
      </w:r>
      <w:r>
        <w:t xml:space="preserve">scellaneous </w:t>
      </w:r>
    </w:p>
    <w:p w14:paraId="73242C78" w14:textId="77777777" w:rsidR="005978A6" w:rsidRDefault="005978A6" w:rsidP="006D045B">
      <w:pPr>
        <w:pStyle w:val="Heading5"/>
      </w:pPr>
      <w:r>
        <w:t>When an external management begins and ends</w:t>
      </w:r>
    </w:p>
    <w:p w14:paraId="4DCAF493" w14:textId="77777777" w:rsidR="005978A6" w:rsidRDefault="005978A6" w:rsidP="000F194A">
      <w:pPr>
        <w:pStyle w:val="base-text-paragraph"/>
      </w:pPr>
      <w:r>
        <w:t xml:space="preserve">This clause provides that an external management of a health benefits fund begins when an external manager is appointed under </w:t>
      </w:r>
      <w:r w:rsidR="00812D6C">
        <w:t>section </w:t>
      </w:r>
      <w:r w:rsidR="005C7109">
        <w:t xml:space="preserve">51 </w:t>
      </w:r>
      <w:r>
        <w:t>to administer the fund, and ends when either:</w:t>
      </w:r>
    </w:p>
    <w:p w14:paraId="7E158457" w14:textId="77777777" w:rsidR="005978A6" w:rsidRDefault="006D045B" w:rsidP="006D045B">
      <w:pPr>
        <w:pStyle w:val="dotpoint"/>
      </w:pPr>
      <w:r>
        <w:t>APRA</w:t>
      </w:r>
      <w:r w:rsidR="005978A6">
        <w:t xml:space="preserve"> terminates the appointment of the external manager and does not appoint a replacement; or</w:t>
      </w:r>
    </w:p>
    <w:p w14:paraId="1A82EEC0" w14:textId="77777777" w:rsidR="005978A6" w:rsidRDefault="005978A6" w:rsidP="006D045B">
      <w:pPr>
        <w:pStyle w:val="dotpoint"/>
      </w:pPr>
      <w:r>
        <w:t>a voluntary deed of arrangement relating to the fund is executed; or</w:t>
      </w:r>
    </w:p>
    <w:p w14:paraId="2C0DFA04" w14:textId="77777777" w:rsidR="005978A6" w:rsidRDefault="006D045B" w:rsidP="006D045B">
      <w:pPr>
        <w:pStyle w:val="dotpoint"/>
      </w:pPr>
      <w:r>
        <w:t>APRA</w:t>
      </w:r>
      <w:r w:rsidR="005978A6">
        <w:t xml:space="preserve"> notifies the external manager</w:t>
      </w:r>
      <w:r w:rsidR="00812D6C">
        <w:t xml:space="preserve">, under subsection </w:t>
      </w:r>
      <w:r w:rsidR="000E25FA">
        <w:t>60</w:t>
      </w:r>
      <w:r w:rsidR="00812D6C">
        <w:t>(2),</w:t>
      </w:r>
      <w:r w:rsidR="005978A6">
        <w:t xml:space="preserve"> that it has accepted </w:t>
      </w:r>
      <w:r w:rsidR="00812D6C">
        <w:t xml:space="preserve">the external manager’s recommendation, made under subsection </w:t>
      </w:r>
      <w:r w:rsidR="000E25FA">
        <w:t>59</w:t>
      </w:r>
      <w:r w:rsidR="00812D6C">
        <w:t>(3)</w:t>
      </w:r>
      <w:r w:rsidR="00A252CF">
        <w:t>,</w:t>
      </w:r>
      <w:r w:rsidR="005978A6">
        <w:t xml:space="preserve"> that the external management cease; or </w:t>
      </w:r>
    </w:p>
    <w:p w14:paraId="2F3D431F" w14:textId="77777777" w:rsidR="005978A6" w:rsidRDefault="005978A6" w:rsidP="006D045B">
      <w:pPr>
        <w:pStyle w:val="dotpoint"/>
      </w:pPr>
      <w:r>
        <w:t xml:space="preserve">the Federal Court makes an order under </w:t>
      </w:r>
      <w:r w:rsidR="00812D6C">
        <w:t xml:space="preserve">section </w:t>
      </w:r>
      <w:r w:rsidR="000E25FA">
        <w:t xml:space="preserve">61 </w:t>
      </w:r>
      <w:r>
        <w:t xml:space="preserve">giving effect to a scheme of arrangement for the business of the fund; or </w:t>
      </w:r>
    </w:p>
    <w:p w14:paraId="5C44C3AB" w14:textId="77777777" w:rsidR="006D045B" w:rsidRDefault="005978A6" w:rsidP="006D045B">
      <w:pPr>
        <w:pStyle w:val="dotpoint"/>
      </w:pPr>
      <w:r>
        <w:t>a terminating m</w:t>
      </w:r>
      <w:r w:rsidR="006D045B">
        <w:t xml:space="preserve">anager of the fund is appointed.  </w:t>
      </w:r>
      <w:r w:rsidR="006D045B" w:rsidRPr="00BA133F">
        <w:rPr>
          <w:rStyle w:val="Referencingstyle"/>
        </w:rPr>
        <w:t>[</w:t>
      </w:r>
      <w:r w:rsidR="006D045B" w:rsidRPr="00E701D7">
        <w:rPr>
          <w:rStyle w:val="Referencingstyle"/>
        </w:rPr>
        <w:t xml:space="preserve">Part 3, Division </w:t>
      </w:r>
      <w:r w:rsidR="00113DAA">
        <w:rPr>
          <w:rStyle w:val="Referencingstyle"/>
        </w:rPr>
        <w:t>6</w:t>
      </w:r>
      <w:r w:rsidR="006D045B" w:rsidRPr="00E701D7">
        <w:rPr>
          <w:rStyle w:val="Referencingstyle"/>
        </w:rPr>
        <w:t xml:space="preserve">, Subdivision </w:t>
      </w:r>
      <w:r w:rsidR="000E25FA">
        <w:rPr>
          <w:rStyle w:val="Referencingstyle"/>
        </w:rPr>
        <w:t>F</w:t>
      </w:r>
      <w:r w:rsidR="006D045B" w:rsidRPr="00E701D7">
        <w:rPr>
          <w:rStyle w:val="Referencingstyle"/>
        </w:rPr>
        <w:t xml:space="preserve">, </w:t>
      </w:r>
      <w:r w:rsidR="006D045B">
        <w:rPr>
          <w:rStyle w:val="Referencingstyle"/>
        </w:rPr>
        <w:t xml:space="preserve">section </w:t>
      </w:r>
      <w:r w:rsidR="000E25FA">
        <w:rPr>
          <w:rStyle w:val="Referencingstyle"/>
        </w:rPr>
        <w:t>62</w:t>
      </w:r>
      <w:r w:rsidR="006D045B">
        <w:rPr>
          <w:rStyle w:val="Referencingstyle"/>
        </w:rPr>
        <w:t>]</w:t>
      </w:r>
    </w:p>
    <w:p w14:paraId="551354EE" w14:textId="77777777" w:rsidR="005978A6" w:rsidRDefault="005978A6" w:rsidP="006D045B">
      <w:pPr>
        <w:pStyle w:val="Heading5"/>
      </w:pPr>
      <w:r>
        <w:t>Effect of things done during external management of health benefits funds</w:t>
      </w:r>
    </w:p>
    <w:p w14:paraId="61AE182F" w14:textId="77777777" w:rsidR="00DE0591" w:rsidRDefault="00FF52E0" w:rsidP="000F194A">
      <w:pPr>
        <w:pStyle w:val="base-text-paragraph"/>
      </w:pPr>
      <w:r>
        <w:t>A</w:t>
      </w:r>
      <w:r w:rsidR="005978A6">
        <w:t>nything done in good faith by or with the consent of the external manager of a health benefits fund is valid and effectual and not liable to be set aside in a termination of a fund.</w:t>
      </w:r>
      <w:r w:rsidR="00DE0591">
        <w:t xml:space="preserve"> </w:t>
      </w:r>
      <w:r w:rsidR="00FE783E">
        <w:t xml:space="preserve">This applies in addition to section </w:t>
      </w:r>
      <w:r w:rsidR="00D45B19">
        <w:t>80</w:t>
      </w:r>
      <w:r w:rsidR="00FE783E">
        <w:t>, which relates inter alia to irregularities and defects in the appointment process.</w:t>
      </w:r>
      <w:r w:rsidR="00DE0591">
        <w:t xml:space="preserve"> </w:t>
      </w:r>
      <w:r w:rsidR="00DE0591" w:rsidRPr="00BA133F">
        <w:rPr>
          <w:rStyle w:val="Referencingstyle"/>
        </w:rPr>
        <w:t>[</w:t>
      </w:r>
      <w:r w:rsidR="00DE0591" w:rsidRPr="00E701D7">
        <w:rPr>
          <w:rStyle w:val="Referencingstyle"/>
        </w:rPr>
        <w:t xml:space="preserve">Part 3, Division </w:t>
      </w:r>
      <w:r w:rsidR="00113DAA">
        <w:rPr>
          <w:rStyle w:val="Referencingstyle"/>
        </w:rPr>
        <w:t>6</w:t>
      </w:r>
      <w:r w:rsidR="00DE0591" w:rsidRPr="00E701D7">
        <w:rPr>
          <w:rStyle w:val="Referencingstyle"/>
        </w:rPr>
        <w:t xml:space="preserve">, Subdivision </w:t>
      </w:r>
      <w:r w:rsidR="00113DAA">
        <w:rPr>
          <w:rStyle w:val="Referencingstyle"/>
        </w:rPr>
        <w:t> </w:t>
      </w:r>
      <w:r w:rsidR="00DE0591" w:rsidRPr="00E701D7">
        <w:rPr>
          <w:rStyle w:val="Referencingstyle"/>
        </w:rPr>
        <w:t xml:space="preserve">E, </w:t>
      </w:r>
      <w:r w:rsidR="00DE0591">
        <w:rPr>
          <w:rStyle w:val="Referencingstyle"/>
        </w:rPr>
        <w:t xml:space="preserve">section </w:t>
      </w:r>
      <w:r w:rsidR="000E25FA">
        <w:rPr>
          <w:rStyle w:val="Referencingstyle"/>
        </w:rPr>
        <w:t>63</w:t>
      </w:r>
      <w:r w:rsidR="00DE0591">
        <w:rPr>
          <w:rStyle w:val="Referencingstyle"/>
        </w:rPr>
        <w:t>]</w:t>
      </w:r>
    </w:p>
    <w:p w14:paraId="6EE2A83A" w14:textId="77777777" w:rsidR="005978A6" w:rsidRDefault="005978A6" w:rsidP="00CC5E16">
      <w:pPr>
        <w:pStyle w:val="Heading5"/>
      </w:pPr>
      <w:r>
        <w:t>Disclaimer of onerous property</w:t>
      </w:r>
    </w:p>
    <w:p w14:paraId="085C9B28" w14:textId="77777777" w:rsidR="00DE0591" w:rsidRDefault="00DE0591" w:rsidP="000F194A">
      <w:pPr>
        <w:pStyle w:val="base-text-paragraph"/>
      </w:pPr>
      <w:r>
        <w:t>F</w:t>
      </w:r>
      <w:r w:rsidR="005978A6">
        <w:t>or the purpose of determining the power of an external manager to disclaim onerous property</w:t>
      </w:r>
      <w:r w:rsidR="00F77DF0">
        <w:t xml:space="preserve"> (</w:t>
      </w:r>
      <w:r w:rsidR="000C4C66">
        <w:t xml:space="preserve">certain </w:t>
      </w:r>
      <w:r w:rsidR="00F77DF0">
        <w:t>encumbered or problematic property that a liquidator can set aside or ignore when assessing assets)</w:t>
      </w:r>
      <w:r w:rsidR="005978A6">
        <w:t xml:space="preserve"> under the provisions of Division 7A of Part 5.6 of Chapter 5 of the </w:t>
      </w:r>
      <w:r w:rsidR="005978A6" w:rsidRPr="001A57F7">
        <w:t>Corporations Act</w:t>
      </w:r>
      <w:r w:rsidR="00FE783E">
        <w:t xml:space="preserve"> (as applied by section</w:t>
      </w:r>
      <w:r w:rsidR="00901182">
        <w:t> </w:t>
      </w:r>
      <w:r w:rsidR="00FE783E">
        <w:t>50)</w:t>
      </w:r>
      <w:r w:rsidR="005978A6">
        <w:t>, those provisions apply as if the external manager were the liquidator of the company and references to the company's creditors were references to the policy holders of a health benefits fund.</w:t>
      </w:r>
      <w:r w:rsidR="00387C40">
        <w:t xml:space="preserve"> </w:t>
      </w:r>
      <w:r w:rsidRPr="00BA133F">
        <w:rPr>
          <w:rStyle w:val="Referencingstyle"/>
        </w:rPr>
        <w:t>[</w:t>
      </w:r>
      <w:r w:rsidRPr="00E701D7">
        <w:rPr>
          <w:rStyle w:val="Referencingstyle"/>
        </w:rPr>
        <w:t xml:space="preserve">Part 3, Division </w:t>
      </w:r>
      <w:r w:rsidR="00113DAA">
        <w:rPr>
          <w:rStyle w:val="Referencingstyle"/>
        </w:rPr>
        <w:t>6</w:t>
      </w:r>
      <w:r w:rsidRPr="00E701D7">
        <w:rPr>
          <w:rStyle w:val="Referencingstyle"/>
        </w:rPr>
        <w:t xml:space="preserve">, Subdivision </w:t>
      </w:r>
      <w:r w:rsidR="000E25FA">
        <w:rPr>
          <w:rStyle w:val="Referencingstyle"/>
        </w:rPr>
        <w:t>F</w:t>
      </w:r>
      <w:r w:rsidR="00E53AC2">
        <w:rPr>
          <w:rStyle w:val="Referencingstyle"/>
        </w:rPr>
        <w:t>,</w:t>
      </w:r>
      <w:r w:rsidRPr="00E701D7">
        <w:rPr>
          <w:rStyle w:val="Referencingstyle"/>
        </w:rPr>
        <w:t xml:space="preserve"> </w:t>
      </w:r>
      <w:r>
        <w:rPr>
          <w:rStyle w:val="Referencingstyle"/>
        </w:rPr>
        <w:t>subsection</w:t>
      </w:r>
      <w:r w:rsidR="00A5075F">
        <w:rPr>
          <w:rStyle w:val="Referencingstyle"/>
        </w:rPr>
        <w:t> </w:t>
      </w:r>
      <w:r w:rsidR="000E25FA">
        <w:rPr>
          <w:rStyle w:val="Referencingstyle"/>
        </w:rPr>
        <w:t>64</w:t>
      </w:r>
      <w:r>
        <w:rPr>
          <w:rStyle w:val="Referencingstyle"/>
        </w:rPr>
        <w:t>(1)]</w:t>
      </w:r>
    </w:p>
    <w:p w14:paraId="63B8F82A" w14:textId="77777777" w:rsidR="00DE0591" w:rsidRDefault="00DE0591" w:rsidP="000F194A">
      <w:pPr>
        <w:pStyle w:val="base-text-paragraph"/>
      </w:pPr>
      <w:r>
        <w:t>A</w:t>
      </w:r>
      <w:r w:rsidR="005978A6">
        <w:t xml:space="preserve"> disclaimer by an external manager has the same effect and the external manager is under the same obligations</w:t>
      </w:r>
      <w:r w:rsidR="00FE783E">
        <w:t>,</w:t>
      </w:r>
      <w:r w:rsidR="005978A6">
        <w:t xml:space="preserve"> for the purposes of th</w:t>
      </w:r>
      <w:r w:rsidR="00336E91">
        <w:t xml:space="preserve">e </w:t>
      </w:r>
      <w:r w:rsidR="00336E91">
        <w:rPr>
          <w:lang w:val="en-US" w:eastAsia="en-US"/>
        </w:rPr>
        <w:t>Prudential Supervision Bill</w:t>
      </w:r>
      <w:r w:rsidR="00336E91">
        <w:t xml:space="preserve">, </w:t>
      </w:r>
      <w:r w:rsidR="005978A6">
        <w:t xml:space="preserve">as if the disclaimer had been made under Division 7A of Part 5.6 of Chapter 5 of the </w:t>
      </w:r>
      <w:r w:rsidR="005978A6" w:rsidRPr="001A57F7">
        <w:t>Corporations Ac</w:t>
      </w:r>
      <w:r w:rsidR="00F810E7">
        <w:t>t</w:t>
      </w:r>
      <w:r w:rsidR="005978A6">
        <w:t>.</w:t>
      </w:r>
      <w:r w:rsidR="00F77DF0">
        <w:t xml:space="preserve"> This means an external manager is able to set aside </w:t>
      </w:r>
      <w:r w:rsidR="000C4C66">
        <w:t xml:space="preserve">certain </w:t>
      </w:r>
      <w:r w:rsidR="00F77DF0">
        <w:t xml:space="preserve">property whose value is difficult to realise when </w:t>
      </w:r>
      <w:r w:rsidR="000C4C66">
        <w:t>managing the insurer’s assets and liabilities.</w:t>
      </w:r>
      <w:r>
        <w:t xml:space="preserve"> </w:t>
      </w:r>
      <w:r w:rsidRPr="00BA133F">
        <w:rPr>
          <w:rStyle w:val="Referencingstyle"/>
        </w:rPr>
        <w:t>[</w:t>
      </w:r>
      <w:r w:rsidR="00602695">
        <w:rPr>
          <w:rStyle w:val="Referencingstyle"/>
        </w:rPr>
        <w:t>Part </w:t>
      </w:r>
      <w:r w:rsidRPr="00E701D7">
        <w:rPr>
          <w:rStyle w:val="Referencingstyle"/>
        </w:rPr>
        <w:t xml:space="preserve">3, Division </w:t>
      </w:r>
      <w:r w:rsidR="00113DAA">
        <w:rPr>
          <w:rStyle w:val="Referencingstyle"/>
        </w:rPr>
        <w:t>6</w:t>
      </w:r>
      <w:r w:rsidRPr="00E701D7">
        <w:rPr>
          <w:rStyle w:val="Referencingstyle"/>
        </w:rPr>
        <w:t xml:space="preserve">, Subdivision </w:t>
      </w:r>
      <w:r w:rsidR="000E25FA">
        <w:rPr>
          <w:rStyle w:val="Referencingstyle"/>
        </w:rPr>
        <w:t>F</w:t>
      </w:r>
      <w:r w:rsidRPr="00E701D7">
        <w:rPr>
          <w:rStyle w:val="Referencingstyle"/>
        </w:rPr>
        <w:t xml:space="preserve">, </w:t>
      </w:r>
      <w:r>
        <w:rPr>
          <w:rStyle w:val="Referencingstyle"/>
        </w:rPr>
        <w:t>subsection</w:t>
      </w:r>
      <w:r w:rsidR="00113DAA">
        <w:rPr>
          <w:rStyle w:val="Referencingstyle"/>
        </w:rPr>
        <w:t> </w:t>
      </w:r>
      <w:r w:rsidR="000E25FA">
        <w:rPr>
          <w:rStyle w:val="Referencingstyle"/>
        </w:rPr>
        <w:t>64</w:t>
      </w:r>
      <w:r>
        <w:rPr>
          <w:rStyle w:val="Referencingstyle"/>
        </w:rPr>
        <w:t>(2)]</w:t>
      </w:r>
    </w:p>
    <w:p w14:paraId="4A154AA9" w14:textId="77777777" w:rsidR="00DE0591" w:rsidRDefault="00DE0591" w:rsidP="00DE0591">
      <w:pPr>
        <w:pStyle w:val="Heading5"/>
      </w:pPr>
      <w:r>
        <w:t>Application of provisions of Corporations Act</w:t>
      </w:r>
    </w:p>
    <w:p w14:paraId="2DDE0259" w14:textId="77777777" w:rsidR="005978A6" w:rsidRDefault="00DE0591" w:rsidP="00336E91">
      <w:pPr>
        <w:pStyle w:val="base-text-paragraph"/>
        <w:tabs>
          <w:tab w:val="clear" w:pos="1985"/>
          <w:tab w:val="num" w:pos="1986"/>
        </w:tabs>
      </w:pPr>
      <w:r>
        <w:t>T</w:t>
      </w:r>
      <w:r w:rsidR="005978A6">
        <w:t xml:space="preserve">he application under </w:t>
      </w:r>
      <w:r w:rsidR="001A076F">
        <w:t xml:space="preserve">the </w:t>
      </w:r>
      <w:r w:rsidR="00336E91" w:rsidRPr="00336E91">
        <w:t>Prudential Supervision Bill</w:t>
      </w:r>
      <w:r w:rsidR="00336E91" w:rsidRPr="00336E91" w:rsidDel="00336E91">
        <w:t xml:space="preserve"> </w:t>
      </w:r>
      <w:r w:rsidR="005978A6">
        <w:t>of sections in the Corporations</w:t>
      </w:r>
      <w:r w:rsidR="00F810E7">
        <w:t> </w:t>
      </w:r>
      <w:r w:rsidR="005978A6">
        <w:t>Act includes application of relevant regulations and other instrum</w:t>
      </w:r>
      <w:r w:rsidR="000E085C">
        <w:t>ents made under those sections</w:t>
      </w:r>
      <w:r w:rsidR="001B1E91">
        <w:t xml:space="preserve"> (unless the contrary intention appears)</w:t>
      </w:r>
      <w:r w:rsidR="000E085C">
        <w:t xml:space="preserve">.  </w:t>
      </w:r>
      <w:r w:rsidR="000E085C" w:rsidRPr="000E085C">
        <w:rPr>
          <w:rStyle w:val="Referencingstyle"/>
        </w:rPr>
        <w:t xml:space="preserve">[Part 3, Division </w:t>
      </w:r>
      <w:r w:rsidR="00113DAA">
        <w:rPr>
          <w:rStyle w:val="Referencingstyle"/>
        </w:rPr>
        <w:t>6</w:t>
      </w:r>
      <w:r w:rsidR="000E085C" w:rsidRPr="000E085C">
        <w:rPr>
          <w:rStyle w:val="Referencingstyle"/>
        </w:rPr>
        <w:t xml:space="preserve">, Subdivision </w:t>
      </w:r>
      <w:r w:rsidR="000E25FA">
        <w:rPr>
          <w:rStyle w:val="Referencingstyle"/>
        </w:rPr>
        <w:t>F</w:t>
      </w:r>
      <w:r w:rsidR="000E085C" w:rsidRPr="000E085C">
        <w:rPr>
          <w:rStyle w:val="Referencingstyle"/>
        </w:rPr>
        <w:t>, subsection</w:t>
      </w:r>
      <w:r w:rsidR="001B1E91">
        <w:rPr>
          <w:rStyle w:val="Referencingstyle"/>
        </w:rPr>
        <w:t>s</w:t>
      </w:r>
      <w:r w:rsidR="000E085C" w:rsidRPr="000E085C">
        <w:rPr>
          <w:rStyle w:val="Referencingstyle"/>
        </w:rPr>
        <w:t xml:space="preserve"> </w:t>
      </w:r>
      <w:r w:rsidR="000E25FA">
        <w:rPr>
          <w:rStyle w:val="Referencingstyle"/>
        </w:rPr>
        <w:t>65</w:t>
      </w:r>
      <w:r w:rsidR="000E085C" w:rsidRPr="000E085C">
        <w:rPr>
          <w:rStyle w:val="Referencingstyle"/>
        </w:rPr>
        <w:t>(1)</w:t>
      </w:r>
      <w:r w:rsidR="001B1E91">
        <w:rPr>
          <w:rStyle w:val="Referencingstyle"/>
        </w:rPr>
        <w:t>, (2) and (3)</w:t>
      </w:r>
      <w:r w:rsidR="000E085C" w:rsidRPr="000E085C">
        <w:rPr>
          <w:rStyle w:val="Referencingstyle"/>
        </w:rPr>
        <w:t>]</w:t>
      </w:r>
    </w:p>
    <w:p w14:paraId="390CD8B7" w14:textId="77777777" w:rsidR="005978A6" w:rsidRDefault="001B1E91" w:rsidP="00336E91">
      <w:pPr>
        <w:pStyle w:val="base-text-paragraph"/>
        <w:tabs>
          <w:tab w:val="clear" w:pos="1985"/>
          <w:tab w:val="num" w:pos="1986"/>
        </w:tabs>
      </w:pPr>
      <w:r>
        <w:t>APRA r</w:t>
      </w:r>
      <w:r w:rsidR="005978A6">
        <w:t>ules made under the</w:t>
      </w:r>
      <w:r w:rsidR="001A076F">
        <w:t xml:space="preserve"> </w:t>
      </w:r>
      <w:r w:rsidR="00336E91" w:rsidRPr="00336E91">
        <w:t xml:space="preserve">Prudential Supervision </w:t>
      </w:r>
      <w:r w:rsidR="00FE783E" w:rsidDel="00336E91">
        <w:t>Bill</w:t>
      </w:r>
      <w:r w:rsidR="005978A6">
        <w:t xml:space="preserve"> may</w:t>
      </w:r>
      <w:r w:rsidR="00336E91">
        <w:t>,</w:t>
      </w:r>
      <w:r w:rsidR="005978A6">
        <w:t xml:space="preserve"> for the purposes of the application of </w:t>
      </w:r>
      <w:r w:rsidR="00FE783E">
        <w:t>a provision of the Corporations Act</w:t>
      </w:r>
      <w:r w:rsidR="00336E91">
        <w:t>,</w:t>
      </w:r>
      <w:r w:rsidR="00FE783E">
        <w:t xml:space="preserve"> also</w:t>
      </w:r>
      <w:r w:rsidR="005978A6">
        <w:t xml:space="preserve"> </w:t>
      </w:r>
      <w:r>
        <w:t xml:space="preserve">modify </w:t>
      </w:r>
      <w:r w:rsidR="005978A6">
        <w:t xml:space="preserve">regulations and other instruments </w:t>
      </w:r>
      <w:r w:rsidR="005611DD">
        <w:t xml:space="preserve">made under the </w:t>
      </w:r>
      <w:r w:rsidR="00FE783E">
        <w:t>modified provision of</w:t>
      </w:r>
      <w:r w:rsidR="005611DD">
        <w:t xml:space="preserve"> </w:t>
      </w:r>
      <w:r w:rsidR="00364394">
        <w:t xml:space="preserve">the </w:t>
      </w:r>
      <w:r w:rsidR="005611DD">
        <w:t xml:space="preserve">Corporations Act.  </w:t>
      </w:r>
      <w:r w:rsidR="005611DD" w:rsidRPr="000E085C">
        <w:rPr>
          <w:rStyle w:val="Referencingstyle"/>
        </w:rPr>
        <w:t xml:space="preserve">[Part 3, Division </w:t>
      </w:r>
      <w:r w:rsidR="00113DAA">
        <w:rPr>
          <w:rStyle w:val="Referencingstyle"/>
        </w:rPr>
        <w:t>6</w:t>
      </w:r>
      <w:r w:rsidR="005611DD" w:rsidRPr="000E085C">
        <w:rPr>
          <w:rStyle w:val="Referencingstyle"/>
        </w:rPr>
        <w:t xml:space="preserve">, Subdivision </w:t>
      </w:r>
      <w:r w:rsidR="000E25FA">
        <w:rPr>
          <w:rStyle w:val="Referencingstyle"/>
        </w:rPr>
        <w:t>F</w:t>
      </w:r>
      <w:r w:rsidR="005611DD" w:rsidRPr="000E085C">
        <w:rPr>
          <w:rStyle w:val="Referencingstyle"/>
        </w:rPr>
        <w:t>, subsection</w:t>
      </w:r>
      <w:r w:rsidR="00A5075F">
        <w:rPr>
          <w:rStyle w:val="Referencingstyle"/>
        </w:rPr>
        <w:t> </w:t>
      </w:r>
      <w:r w:rsidR="000E25FA">
        <w:rPr>
          <w:rStyle w:val="Referencingstyle"/>
        </w:rPr>
        <w:t>65</w:t>
      </w:r>
      <w:r w:rsidR="005611DD">
        <w:rPr>
          <w:rStyle w:val="Referencingstyle"/>
        </w:rPr>
        <w:t>(4)</w:t>
      </w:r>
      <w:r w:rsidR="005611DD" w:rsidRPr="000E085C">
        <w:rPr>
          <w:rStyle w:val="Referencingstyle"/>
        </w:rPr>
        <w:t>]</w:t>
      </w:r>
    </w:p>
    <w:p w14:paraId="3CE2A9CA" w14:textId="77777777" w:rsidR="005611DD" w:rsidRDefault="005611DD" w:rsidP="00336E91">
      <w:pPr>
        <w:pStyle w:val="base-text-paragraph"/>
        <w:tabs>
          <w:tab w:val="clear" w:pos="1985"/>
          <w:tab w:val="num" w:pos="1986"/>
        </w:tabs>
      </w:pPr>
      <w:r>
        <w:t xml:space="preserve">The fact that the </w:t>
      </w:r>
      <w:r w:rsidR="00336E91" w:rsidRPr="00336E91">
        <w:t xml:space="preserve">Prudential Supervision </w:t>
      </w:r>
      <w:r w:rsidR="00FE783E" w:rsidDel="00336E91">
        <w:t>Bill</w:t>
      </w:r>
      <w:r w:rsidR="001A076F">
        <w:t xml:space="preserve"> </w:t>
      </w:r>
      <w:r w:rsidR="003E50A1">
        <w:t>prov</w:t>
      </w:r>
      <w:r w:rsidR="007D2B49">
        <w:t>i</w:t>
      </w:r>
      <w:r w:rsidR="003E50A1">
        <w:t>des</w:t>
      </w:r>
      <w:r>
        <w:t xml:space="preserve"> for a specific modification </w:t>
      </w:r>
      <w:r w:rsidR="00364394">
        <w:t xml:space="preserve">of a provision in </w:t>
      </w:r>
      <w:r>
        <w:t xml:space="preserve">the Corporations Act does not imply that further modifications to that provision </w:t>
      </w:r>
      <w:r w:rsidR="00FE783E">
        <w:t>cannot</w:t>
      </w:r>
      <w:r>
        <w:t xml:space="preserve"> be made by APRA rules</w:t>
      </w:r>
      <w:r w:rsidR="00FE783E">
        <w:t xml:space="preserve">, provided the modifications made by the APRA </w:t>
      </w:r>
      <w:r w:rsidR="00364394">
        <w:t>r</w:t>
      </w:r>
      <w:r w:rsidR="00FE783E">
        <w:t xml:space="preserve">ules are consistent with those made by the </w:t>
      </w:r>
      <w:r w:rsidR="00336E91" w:rsidRPr="00336E91">
        <w:t xml:space="preserve">Prudential Supervision </w:t>
      </w:r>
      <w:r w:rsidR="00A16CBD" w:rsidDel="00336E91">
        <w:t>B</w:t>
      </w:r>
      <w:r w:rsidR="00FE783E" w:rsidDel="00336E91">
        <w:t>ill</w:t>
      </w:r>
      <w:r>
        <w:t xml:space="preserve">.  </w:t>
      </w:r>
      <w:r w:rsidRPr="000E085C">
        <w:rPr>
          <w:rStyle w:val="Referencingstyle"/>
        </w:rPr>
        <w:t>[Part</w:t>
      </w:r>
      <w:r w:rsidR="00482F8F">
        <w:rPr>
          <w:rStyle w:val="Referencingstyle"/>
        </w:rPr>
        <w:t> </w:t>
      </w:r>
      <w:r w:rsidRPr="000E085C">
        <w:rPr>
          <w:rStyle w:val="Referencingstyle"/>
        </w:rPr>
        <w:t xml:space="preserve">3, Division </w:t>
      </w:r>
      <w:r w:rsidR="00113DAA">
        <w:rPr>
          <w:rStyle w:val="Referencingstyle"/>
        </w:rPr>
        <w:t>6</w:t>
      </w:r>
      <w:r w:rsidRPr="000E085C">
        <w:rPr>
          <w:rStyle w:val="Referencingstyle"/>
        </w:rPr>
        <w:t>, Subdivision</w:t>
      </w:r>
      <w:r w:rsidR="00DF586F">
        <w:rPr>
          <w:rStyle w:val="Referencingstyle"/>
        </w:rPr>
        <w:t> </w:t>
      </w:r>
      <w:r w:rsidR="000E25FA">
        <w:rPr>
          <w:rStyle w:val="Referencingstyle"/>
        </w:rPr>
        <w:t>F</w:t>
      </w:r>
      <w:r w:rsidRPr="000E085C">
        <w:rPr>
          <w:rStyle w:val="Referencingstyle"/>
        </w:rPr>
        <w:t>, subsection</w:t>
      </w:r>
      <w:r>
        <w:rPr>
          <w:rStyle w:val="Referencingstyle"/>
        </w:rPr>
        <w:t xml:space="preserve"> </w:t>
      </w:r>
      <w:r w:rsidR="000E25FA">
        <w:rPr>
          <w:rStyle w:val="Referencingstyle"/>
        </w:rPr>
        <w:t>65</w:t>
      </w:r>
      <w:r>
        <w:rPr>
          <w:rStyle w:val="Referencingstyle"/>
        </w:rPr>
        <w:t>(5)</w:t>
      </w:r>
      <w:r w:rsidRPr="000E085C">
        <w:rPr>
          <w:rStyle w:val="Referencingstyle"/>
        </w:rPr>
        <w:t>]</w:t>
      </w:r>
    </w:p>
    <w:p w14:paraId="5E9884E5" w14:textId="77777777" w:rsidR="005F7B1E" w:rsidRDefault="005611DD" w:rsidP="000F194A">
      <w:pPr>
        <w:pStyle w:val="base-text-paragraph"/>
      </w:pPr>
      <w:r>
        <w:t>T</w:t>
      </w:r>
      <w:r w:rsidR="005978A6">
        <w:t>he definitions and interpretations principles under the Corporations Act have effect on applied sections</w:t>
      </w:r>
      <w:r w:rsidR="00364394">
        <w:t xml:space="preserve"> (unless the contrary intention appears)</w:t>
      </w:r>
      <w:r w:rsidR="005978A6">
        <w:t>.</w:t>
      </w:r>
      <w:r>
        <w:t xml:space="preserve">  </w:t>
      </w:r>
      <w:r w:rsidRPr="000E085C">
        <w:rPr>
          <w:rStyle w:val="Referencingstyle"/>
        </w:rPr>
        <w:t xml:space="preserve">[Part 3, Division </w:t>
      </w:r>
      <w:r w:rsidR="00113DAA">
        <w:rPr>
          <w:rStyle w:val="Referencingstyle"/>
        </w:rPr>
        <w:t>6</w:t>
      </w:r>
      <w:r w:rsidRPr="000E085C">
        <w:rPr>
          <w:rStyle w:val="Referencingstyle"/>
        </w:rPr>
        <w:t xml:space="preserve">, Subdivision </w:t>
      </w:r>
      <w:r w:rsidR="000E25FA">
        <w:rPr>
          <w:rStyle w:val="Referencingstyle"/>
        </w:rPr>
        <w:t>F</w:t>
      </w:r>
      <w:r w:rsidRPr="000E085C">
        <w:rPr>
          <w:rStyle w:val="Referencingstyle"/>
        </w:rPr>
        <w:t xml:space="preserve">, subsection </w:t>
      </w:r>
      <w:r w:rsidR="000E25FA">
        <w:rPr>
          <w:rStyle w:val="Referencingstyle"/>
        </w:rPr>
        <w:t>65</w:t>
      </w:r>
      <w:r w:rsidRPr="000E085C">
        <w:rPr>
          <w:rStyle w:val="Referencingstyle"/>
        </w:rPr>
        <w:t>(</w:t>
      </w:r>
      <w:r>
        <w:rPr>
          <w:rStyle w:val="Referencingstyle"/>
        </w:rPr>
        <w:t>6)]</w:t>
      </w:r>
    </w:p>
    <w:p w14:paraId="1C2F2F38" w14:textId="77777777" w:rsidR="005611DD" w:rsidRDefault="005611DD" w:rsidP="00A6604D">
      <w:pPr>
        <w:pStyle w:val="base-text-paragraph"/>
      </w:pPr>
      <w:r>
        <w:t xml:space="preserve">Rules made </w:t>
      </w:r>
      <w:r w:rsidR="00364394">
        <w:t>by APRA</w:t>
      </w:r>
      <w:r>
        <w:t xml:space="preserve"> under the </w:t>
      </w:r>
      <w:r w:rsidR="001A076F">
        <w:t xml:space="preserve">Act </w:t>
      </w:r>
      <w:r>
        <w:t xml:space="preserve">may take the place of regulations and other instruments that could be made under the applied sections.  </w:t>
      </w:r>
      <w:r w:rsidRPr="000E085C">
        <w:rPr>
          <w:rStyle w:val="Referencingstyle"/>
        </w:rPr>
        <w:t xml:space="preserve">[Part 3, Division </w:t>
      </w:r>
      <w:r w:rsidR="00113DAA">
        <w:rPr>
          <w:rStyle w:val="Referencingstyle"/>
        </w:rPr>
        <w:t>6</w:t>
      </w:r>
      <w:r w:rsidRPr="000E085C">
        <w:rPr>
          <w:rStyle w:val="Referencingstyle"/>
        </w:rPr>
        <w:t xml:space="preserve">, Subdivision </w:t>
      </w:r>
      <w:r w:rsidR="000E25FA">
        <w:rPr>
          <w:rStyle w:val="Referencingstyle"/>
        </w:rPr>
        <w:t>F</w:t>
      </w:r>
      <w:r w:rsidRPr="000E085C">
        <w:rPr>
          <w:rStyle w:val="Referencingstyle"/>
        </w:rPr>
        <w:t>, subsection</w:t>
      </w:r>
      <w:r>
        <w:rPr>
          <w:rStyle w:val="Referencingstyle"/>
        </w:rPr>
        <w:t xml:space="preserve"> </w:t>
      </w:r>
      <w:r w:rsidR="00113DAA">
        <w:rPr>
          <w:rStyle w:val="Referencingstyle"/>
        </w:rPr>
        <w:t>6</w:t>
      </w:r>
      <w:r w:rsidR="000E25FA">
        <w:rPr>
          <w:rStyle w:val="Referencingstyle"/>
        </w:rPr>
        <w:t>5</w:t>
      </w:r>
      <w:r>
        <w:rPr>
          <w:rStyle w:val="Referencingstyle"/>
        </w:rPr>
        <w:t>(7)</w:t>
      </w:r>
      <w:r w:rsidRPr="000E085C">
        <w:rPr>
          <w:rStyle w:val="Referencingstyle"/>
        </w:rPr>
        <w:t>]</w:t>
      </w:r>
    </w:p>
    <w:p w14:paraId="59332BA4" w14:textId="77777777" w:rsidR="002F6C59" w:rsidRDefault="002F6C59" w:rsidP="00BA3665">
      <w:pPr>
        <w:pStyle w:val="Heading3"/>
      </w:pPr>
      <w:r>
        <w:t xml:space="preserve">Division </w:t>
      </w:r>
      <w:r w:rsidR="003B72D5">
        <w:t>7</w:t>
      </w:r>
      <w:r>
        <w:t xml:space="preserve"> – Ordering the termination of health benefits funds</w:t>
      </w:r>
    </w:p>
    <w:p w14:paraId="1B1E2A8A" w14:textId="77777777" w:rsidR="002F6C59" w:rsidRDefault="002F6C59" w:rsidP="00BA3665">
      <w:pPr>
        <w:pStyle w:val="Heading4"/>
      </w:pPr>
      <w:r>
        <w:t>Applications by external managers to the Federal Court</w:t>
      </w:r>
    </w:p>
    <w:p w14:paraId="6F52C28D" w14:textId="77777777" w:rsidR="002F6C59" w:rsidRDefault="00FE783E" w:rsidP="000F194A">
      <w:pPr>
        <w:pStyle w:val="base-text-paragraph"/>
      </w:pPr>
      <w:r>
        <w:t>An e</w:t>
      </w:r>
      <w:r w:rsidR="002F6C59">
        <w:t xml:space="preserve">xternal manager </w:t>
      </w:r>
      <w:r>
        <w:t>is</w:t>
      </w:r>
      <w:r w:rsidR="002F6C59">
        <w:t xml:space="preserve"> required to apply to the Federal Court for an order appointing a terminating manager</w:t>
      </w:r>
      <w:r>
        <w:t>, under subsection 60(4),</w:t>
      </w:r>
      <w:r w:rsidR="00336E91">
        <w:t xml:space="preserve"> if directed to do so by APRA. </w:t>
      </w:r>
      <w:r w:rsidR="002F6C59" w:rsidRPr="000E085C">
        <w:rPr>
          <w:rStyle w:val="Referencingstyle"/>
        </w:rPr>
        <w:t xml:space="preserve">[Part 3, Division </w:t>
      </w:r>
      <w:r w:rsidR="003B72D5">
        <w:rPr>
          <w:rStyle w:val="Referencingstyle"/>
        </w:rPr>
        <w:t>7</w:t>
      </w:r>
      <w:r w:rsidR="002F6C59">
        <w:rPr>
          <w:rStyle w:val="Referencingstyle"/>
        </w:rPr>
        <w:t>,</w:t>
      </w:r>
      <w:r w:rsidR="002F6C59" w:rsidRPr="000E085C">
        <w:rPr>
          <w:rStyle w:val="Referencingstyle"/>
        </w:rPr>
        <w:t xml:space="preserve"> subsection</w:t>
      </w:r>
      <w:r w:rsidR="002F6C59">
        <w:rPr>
          <w:rStyle w:val="Referencingstyle"/>
        </w:rPr>
        <w:t xml:space="preserve"> </w:t>
      </w:r>
      <w:r w:rsidR="000E25FA">
        <w:rPr>
          <w:rStyle w:val="Referencingstyle"/>
        </w:rPr>
        <w:t>66</w:t>
      </w:r>
      <w:r w:rsidR="002F6C59">
        <w:rPr>
          <w:rStyle w:val="Referencingstyle"/>
        </w:rPr>
        <w:t>(1)</w:t>
      </w:r>
      <w:r w:rsidR="002F6C59" w:rsidRPr="000E085C">
        <w:rPr>
          <w:rStyle w:val="Referencingstyle"/>
        </w:rPr>
        <w:t>]</w:t>
      </w:r>
      <w:r w:rsidR="002F6C59">
        <w:t xml:space="preserve">  </w:t>
      </w:r>
    </w:p>
    <w:p w14:paraId="54FE93EE" w14:textId="77777777" w:rsidR="002F6C59" w:rsidRDefault="002F6C59" w:rsidP="000F194A">
      <w:pPr>
        <w:pStyle w:val="base-text-paragraph"/>
      </w:pPr>
      <w:r>
        <w:t xml:space="preserve">APRA and any other person likely to be affected by the termination are entitled </w:t>
      </w:r>
      <w:r w:rsidR="00336E91">
        <w:t>to be heard on the application.</w:t>
      </w:r>
      <w:r>
        <w:t xml:space="preserve"> </w:t>
      </w:r>
      <w:r w:rsidRPr="000E085C">
        <w:rPr>
          <w:rStyle w:val="Referencingstyle"/>
        </w:rPr>
        <w:t xml:space="preserve">[Part 3, Division </w:t>
      </w:r>
      <w:r w:rsidR="003B72D5">
        <w:rPr>
          <w:rStyle w:val="Referencingstyle"/>
        </w:rPr>
        <w:t>7</w:t>
      </w:r>
      <w:r>
        <w:rPr>
          <w:rStyle w:val="Referencingstyle"/>
        </w:rPr>
        <w:t>,</w:t>
      </w:r>
      <w:r w:rsidRPr="000E085C">
        <w:rPr>
          <w:rStyle w:val="Referencingstyle"/>
        </w:rPr>
        <w:t xml:space="preserve"> subsection</w:t>
      </w:r>
      <w:r>
        <w:rPr>
          <w:rStyle w:val="Referencingstyle"/>
        </w:rPr>
        <w:t xml:space="preserve"> </w:t>
      </w:r>
      <w:r w:rsidR="000E25FA">
        <w:rPr>
          <w:rStyle w:val="Referencingstyle"/>
        </w:rPr>
        <w:t>66</w:t>
      </w:r>
      <w:r>
        <w:rPr>
          <w:rStyle w:val="Referencingstyle"/>
        </w:rPr>
        <w:t>(2)</w:t>
      </w:r>
      <w:r w:rsidRPr="000E085C">
        <w:rPr>
          <w:rStyle w:val="Referencingstyle"/>
        </w:rPr>
        <w:t>]</w:t>
      </w:r>
    </w:p>
    <w:p w14:paraId="457E0347" w14:textId="77777777" w:rsidR="002F6C59" w:rsidRDefault="002F6C59" w:rsidP="00BA3665">
      <w:pPr>
        <w:pStyle w:val="Heading4"/>
      </w:pPr>
      <w:r>
        <w:t>Orders made on applications for appointments of terminating managers</w:t>
      </w:r>
    </w:p>
    <w:p w14:paraId="0E509143" w14:textId="77777777" w:rsidR="002F6C59" w:rsidRDefault="00BD3015" w:rsidP="000F194A">
      <w:pPr>
        <w:pStyle w:val="base-text-paragraph"/>
      </w:pPr>
      <w:r>
        <w:t>The</w:t>
      </w:r>
      <w:r w:rsidR="002F6C59">
        <w:t xml:space="preserve"> Federal Court</w:t>
      </w:r>
      <w:r>
        <w:t xml:space="preserve"> may</w:t>
      </w:r>
      <w:r w:rsidR="002F6C59">
        <w:t xml:space="preserve">, on an application by the external manager under </w:t>
      </w:r>
      <w:r w:rsidR="002F6C59" w:rsidRPr="001A57F7">
        <w:t>sub</w:t>
      </w:r>
      <w:r w:rsidRPr="001A57F7">
        <w:t xml:space="preserve">section </w:t>
      </w:r>
      <w:r w:rsidR="005C7109" w:rsidRPr="001A57F7">
        <w:t>6</w:t>
      </w:r>
      <w:r w:rsidR="005C7109">
        <w:t>6</w:t>
      </w:r>
      <w:r w:rsidR="003B72D5" w:rsidRPr="001A57F7">
        <w:t>(1)</w:t>
      </w:r>
      <w:r w:rsidR="00B761C1">
        <w:t>,</w:t>
      </w:r>
      <w:r w:rsidR="002F6C59">
        <w:t xml:space="preserve"> or </w:t>
      </w:r>
      <w:r w:rsidR="00B761C1">
        <w:t>by</w:t>
      </w:r>
      <w:r w:rsidR="002F6C59">
        <w:t xml:space="preserve"> </w:t>
      </w:r>
      <w:r>
        <w:t>APRA</w:t>
      </w:r>
      <w:r w:rsidR="002F6C59">
        <w:t xml:space="preserve"> under </w:t>
      </w:r>
      <w:r w:rsidR="003B72D5">
        <w:t xml:space="preserve">paragraph </w:t>
      </w:r>
      <w:r w:rsidR="005C7109">
        <w:t>60</w:t>
      </w:r>
      <w:r w:rsidR="003B72D5">
        <w:t>(</w:t>
      </w:r>
      <w:r w:rsidR="005C7109">
        <w:t>7</w:t>
      </w:r>
      <w:r>
        <w:t>)</w:t>
      </w:r>
      <w:r w:rsidR="003B72D5">
        <w:t>(b</w:t>
      </w:r>
      <w:r>
        <w:t xml:space="preserve">), </w:t>
      </w:r>
      <w:r w:rsidR="002F6C59">
        <w:t>make an order for the appointment of a terminating manager of the health benefits funds of a private health</w:t>
      </w:r>
      <w:r>
        <w:t xml:space="preserve"> insurer</w:t>
      </w:r>
      <w:r w:rsidR="00B761C1">
        <w:t>,</w:t>
      </w:r>
      <w:r w:rsidR="00336E91">
        <w:t xml:space="preserve"> and any related orders. </w:t>
      </w:r>
      <w:r>
        <w:t xml:space="preserve">The </w:t>
      </w:r>
      <w:r w:rsidR="009D4F54">
        <w:t>Federal</w:t>
      </w:r>
      <w:r>
        <w:t xml:space="preserve"> C</w:t>
      </w:r>
      <w:r w:rsidR="002F6C59">
        <w:t>ourt must not make such an order unless it considers the order will be in the interests of the policy holders of the funds.</w:t>
      </w:r>
      <w:r>
        <w:t xml:space="preserve"> </w:t>
      </w:r>
      <w:r w:rsidRPr="000E085C">
        <w:rPr>
          <w:rStyle w:val="Referencingstyle"/>
        </w:rPr>
        <w:t>[Part 3, Division</w:t>
      </w:r>
      <w:r w:rsidR="00A5075F">
        <w:rPr>
          <w:rStyle w:val="Referencingstyle"/>
        </w:rPr>
        <w:t> </w:t>
      </w:r>
      <w:r w:rsidR="003B72D5">
        <w:rPr>
          <w:rStyle w:val="Referencingstyle"/>
        </w:rPr>
        <w:t>7</w:t>
      </w:r>
      <w:r>
        <w:rPr>
          <w:rStyle w:val="Referencingstyle"/>
        </w:rPr>
        <w:t xml:space="preserve">, </w:t>
      </w:r>
      <w:r w:rsidRPr="000E085C">
        <w:rPr>
          <w:rStyle w:val="Referencingstyle"/>
        </w:rPr>
        <w:t>section</w:t>
      </w:r>
      <w:r>
        <w:rPr>
          <w:rStyle w:val="Referencingstyle"/>
        </w:rPr>
        <w:t xml:space="preserve"> </w:t>
      </w:r>
      <w:r w:rsidR="000E25FA">
        <w:rPr>
          <w:rStyle w:val="Referencingstyle"/>
        </w:rPr>
        <w:t>67</w:t>
      </w:r>
      <w:r w:rsidRPr="000E085C">
        <w:rPr>
          <w:rStyle w:val="Referencingstyle"/>
        </w:rPr>
        <w:t>]</w:t>
      </w:r>
    </w:p>
    <w:p w14:paraId="43E18258" w14:textId="77777777" w:rsidR="002F6C59" w:rsidRDefault="002F6C59" w:rsidP="00BD3015">
      <w:pPr>
        <w:pStyle w:val="Heading4"/>
      </w:pPr>
      <w:r>
        <w:t>Notice of appointments</w:t>
      </w:r>
    </w:p>
    <w:p w14:paraId="3D523CFD" w14:textId="77777777" w:rsidR="00B761C1" w:rsidRDefault="008D77DB" w:rsidP="00336E91">
      <w:pPr>
        <w:pStyle w:val="base-text-paragraph"/>
        <w:tabs>
          <w:tab w:val="clear" w:pos="1985"/>
          <w:tab w:val="num" w:pos="1986"/>
        </w:tabs>
      </w:pPr>
      <w:r>
        <w:t>If</w:t>
      </w:r>
      <w:r w:rsidR="002F6C59">
        <w:t xml:space="preserve"> the Federal Court orders the appointment of a terminating manager of the health benefits funds of a private health insurer </w:t>
      </w:r>
      <w:r w:rsidR="007037F7">
        <w:t xml:space="preserve">APRA </w:t>
      </w:r>
      <w:r w:rsidR="002F6C59">
        <w:t>must notify the insurer in writing of the person appointed.</w:t>
      </w:r>
      <w:r>
        <w:t xml:space="preserve">  </w:t>
      </w:r>
      <w:r w:rsidR="00B761C1">
        <w:t>Section 6</w:t>
      </w:r>
      <w:r w:rsidR="00D44CCE">
        <w:t>9</w:t>
      </w:r>
      <w:r w:rsidR="00B761C1">
        <w:t xml:space="preserve"> of the </w:t>
      </w:r>
      <w:r w:rsidR="00336E91" w:rsidRPr="00336E91">
        <w:t xml:space="preserve">Prudential Supervision </w:t>
      </w:r>
      <w:r w:rsidR="00B761C1" w:rsidDel="00336E91">
        <w:t>Bill</w:t>
      </w:r>
      <w:r w:rsidR="00B761C1">
        <w:t xml:space="preserve"> provides that, </w:t>
      </w:r>
      <w:r w:rsidR="00B761C1" w:rsidRPr="00602D19">
        <w:t xml:space="preserve">subject to any other orders made by the Court, </w:t>
      </w:r>
      <w:r w:rsidR="00B761C1">
        <w:t xml:space="preserve">the provisions relating to terminating management in </w:t>
      </w:r>
      <w:r w:rsidR="00B761C1" w:rsidRPr="00602D19">
        <w:t xml:space="preserve">Subdivisions B, C and D of Division 5 apply as if APRA had approved the termination of the health benefits funds, and as if </w:t>
      </w:r>
      <w:r w:rsidR="00B761C1">
        <w:t xml:space="preserve">the notice given under section </w:t>
      </w:r>
      <w:r w:rsidR="00B761C1" w:rsidRPr="00602D19">
        <w:t>68 were a</w:t>
      </w:r>
      <w:r w:rsidR="00B761C1">
        <w:t xml:space="preserve"> notification under subsection </w:t>
      </w:r>
      <w:r w:rsidR="00B761C1" w:rsidRPr="00602D19">
        <w:t>37(2).</w:t>
      </w:r>
      <w:r w:rsidR="00B761C1">
        <w:t xml:space="preserve">  This clarifies the relationship between Division 5 of the </w:t>
      </w:r>
      <w:r w:rsidR="00336E91" w:rsidRPr="00336E91">
        <w:t xml:space="preserve">Prudential Supervision </w:t>
      </w:r>
      <w:r w:rsidR="00B761C1" w:rsidDel="00336E91">
        <w:t>Bill</w:t>
      </w:r>
      <w:r w:rsidR="00B761C1">
        <w:t xml:space="preserve"> (current</w:t>
      </w:r>
      <w:r w:rsidR="00D44CCE">
        <w:t>ly</w:t>
      </w:r>
      <w:r w:rsidR="00B761C1">
        <w:t xml:space="preserve"> Division 149 of the PHI Act) and Division 7 of the </w:t>
      </w:r>
      <w:r w:rsidR="00336E91" w:rsidRPr="00336E91">
        <w:t xml:space="preserve">Prudential Supervision </w:t>
      </w:r>
      <w:r w:rsidR="00B761C1" w:rsidDel="00336E91">
        <w:t>Bill</w:t>
      </w:r>
      <w:r w:rsidR="00B761C1">
        <w:t xml:space="preserve"> (current</w:t>
      </w:r>
      <w:r w:rsidR="00D44CCE">
        <w:t>ly</w:t>
      </w:r>
      <w:r w:rsidR="00B761C1">
        <w:t xml:space="preserve"> Division 220 of the PHI Act), in relation to which there has been some uncertainty.  </w:t>
      </w:r>
      <w:r w:rsidR="00B761C1" w:rsidRPr="000E085C">
        <w:rPr>
          <w:rStyle w:val="Referencingstyle"/>
        </w:rPr>
        <w:t>[Part 3, Division</w:t>
      </w:r>
      <w:r w:rsidR="00B761C1">
        <w:rPr>
          <w:rStyle w:val="Referencingstyle"/>
        </w:rPr>
        <w:t xml:space="preserve"> 7, </w:t>
      </w:r>
      <w:r w:rsidR="00B761C1" w:rsidRPr="000E085C">
        <w:rPr>
          <w:rStyle w:val="Referencingstyle"/>
        </w:rPr>
        <w:t>section</w:t>
      </w:r>
      <w:r w:rsidR="00B761C1">
        <w:rPr>
          <w:rStyle w:val="Referencingstyle"/>
        </w:rPr>
        <w:t>s 68 and</w:t>
      </w:r>
      <w:r w:rsidR="00D44CCE">
        <w:rPr>
          <w:rStyle w:val="Referencingstyle"/>
        </w:rPr>
        <w:t> </w:t>
      </w:r>
      <w:r w:rsidR="00B761C1">
        <w:rPr>
          <w:rStyle w:val="Referencingstyle"/>
        </w:rPr>
        <w:t>6</w:t>
      </w:r>
      <w:r w:rsidR="00D44CCE">
        <w:rPr>
          <w:rStyle w:val="Referencingstyle"/>
        </w:rPr>
        <w:t>9</w:t>
      </w:r>
      <w:r w:rsidR="00B761C1" w:rsidRPr="000E085C">
        <w:rPr>
          <w:rStyle w:val="Referencingstyle"/>
        </w:rPr>
        <w:t>]</w:t>
      </w:r>
    </w:p>
    <w:p w14:paraId="16FA99A4" w14:textId="77777777" w:rsidR="008A033F" w:rsidRDefault="008A033F" w:rsidP="008A033F">
      <w:pPr>
        <w:pStyle w:val="Heading3"/>
      </w:pPr>
      <w:r>
        <w:t xml:space="preserve">Division </w:t>
      </w:r>
      <w:r w:rsidR="00D50ADB">
        <w:t xml:space="preserve">8 </w:t>
      </w:r>
      <w:r>
        <w:t>– External managers and terminating managers</w:t>
      </w:r>
    </w:p>
    <w:p w14:paraId="26E4F95A" w14:textId="77777777" w:rsidR="008A033F" w:rsidRDefault="008A033F" w:rsidP="008A033F">
      <w:pPr>
        <w:pStyle w:val="Heading4"/>
      </w:pPr>
      <w:r>
        <w:t xml:space="preserve">Subdivision </w:t>
      </w:r>
      <w:r w:rsidR="00D50ADB">
        <w:t xml:space="preserve">A </w:t>
      </w:r>
      <w:r>
        <w:t>– Powers of managers</w:t>
      </w:r>
    </w:p>
    <w:p w14:paraId="393EC431" w14:textId="77777777" w:rsidR="008D77DB" w:rsidRDefault="008D77DB" w:rsidP="008A033F">
      <w:pPr>
        <w:pStyle w:val="Heading5"/>
      </w:pPr>
      <w:r>
        <w:t>Powers of managers</w:t>
      </w:r>
    </w:p>
    <w:p w14:paraId="37F9651E" w14:textId="77777777" w:rsidR="008D77DB" w:rsidRDefault="00993130" w:rsidP="00336E91">
      <w:pPr>
        <w:pStyle w:val="base-text-paragraph"/>
        <w:tabs>
          <w:tab w:val="clear" w:pos="1985"/>
          <w:tab w:val="num" w:pos="1986"/>
        </w:tabs>
      </w:pPr>
      <w:r>
        <w:t xml:space="preserve">Division 8 of the </w:t>
      </w:r>
      <w:r w:rsidR="00336E91" w:rsidRPr="00336E91">
        <w:t xml:space="preserve">Prudential Supervision </w:t>
      </w:r>
      <w:r w:rsidDel="00336E91">
        <w:t>Bill</w:t>
      </w:r>
      <w:r>
        <w:t xml:space="preserve"> sets out general provisions </w:t>
      </w:r>
      <w:r w:rsidR="00E618B4">
        <w:t xml:space="preserve">that </w:t>
      </w:r>
      <w:r>
        <w:t xml:space="preserve">apply to both external managers and terminating managers and is based on Part 6-5 of the PHI Act.  </w:t>
      </w:r>
      <w:r w:rsidR="0066322D">
        <w:t>W</w:t>
      </w:r>
      <w:r w:rsidR="008D77DB">
        <w:t xml:space="preserve">hile a health benefits fund is under external management or terminating management, the </w:t>
      </w:r>
      <w:r>
        <w:t xml:space="preserve">external or terminating </w:t>
      </w:r>
      <w:r w:rsidR="008D77DB">
        <w:t>manager has power to:</w:t>
      </w:r>
    </w:p>
    <w:p w14:paraId="75A8F727" w14:textId="77777777" w:rsidR="008D77DB" w:rsidRDefault="008D77DB" w:rsidP="0066322D">
      <w:pPr>
        <w:pStyle w:val="dotpoint"/>
      </w:pPr>
      <w:r>
        <w:t>control, carry on and manage the business, affairs and property of the fund;</w:t>
      </w:r>
    </w:p>
    <w:p w14:paraId="6E1E8967" w14:textId="77777777" w:rsidR="008D77DB" w:rsidRDefault="008D77DB" w:rsidP="0066322D">
      <w:pPr>
        <w:pStyle w:val="dotpoint"/>
      </w:pPr>
      <w:r>
        <w:t xml:space="preserve">terminate or dispose of all or any part of the business or dispose of any property; </w:t>
      </w:r>
    </w:p>
    <w:p w14:paraId="248A2689" w14:textId="77777777" w:rsidR="008D77DB" w:rsidRDefault="008D77DB" w:rsidP="0066322D">
      <w:pPr>
        <w:pStyle w:val="dotpoint"/>
      </w:pPr>
      <w:r>
        <w:t>do anything (including executing documents or bringing or defending proceedings) in the name of the responsible private health insurer for the purpose of the business of the fund;</w:t>
      </w:r>
    </w:p>
    <w:p w14:paraId="62F521D2" w14:textId="77777777" w:rsidR="003158AD" w:rsidRDefault="003158AD" w:rsidP="0066322D">
      <w:pPr>
        <w:pStyle w:val="dotpoint"/>
      </w:pPr>
      <w:r>
        <w:t>appoint a lawyer or agent; and</w:t>
      </w:r>
    </w:p>
    <w:p w14:paraId="711F5D23" w14:textId="77777777" w:rsidR="008D77DB" w:rsidRDefault="008D77DB" w:rsidP="0066322D">
      <w:pPr>
        <w:pStyle w:val="dotpoint"/>
      </w:pPr>
      <w:r>
        <w:t xml:space="preserve">perform any other </w:t>
      </w:r>
      <w:r w:rsidRPr="006969D9">
        <w:t xml:space="preserve">function or exercise any power that the insurer or its officers </w:t>
      </w:r>
      <w:r w:rsidR="003F6CC6" w:rsidRPr="006C3D7A">
        <w:t>or employees</w:t>
      </w:r>
      <w:r w:rsidR="006969D9" w:rsidRPr="006969D9">
        <w:t xml:space="preserve"> </w:t>
      </w:r>
      <w:r w:rsidRPr="006969D9">
        <w:t>could perform or exercise if the fund was not under external management or terminating management</w:t>
      </w:r>
      <w:r w:rsidR="00D50ADB" w:rsidRPr="006969D9">
        <w:t xml:space="preserve">. </w:t>
      </w:r>
      <w:r w:rsidR="0066322D" w:rsidRPr="006969D9">
        <w:t xml:space="preserve"> </w:t>
      </w:r>
      <w:r w:rsidR="0066322D" w:rsidRPr="006969D9">
        <w:rPr>
          <w:rStyle w:val="Referencingstyle"/>
        </w:rPr>
        <w:t>[Part 3, Division</w:t>
      </w:r>
      <w:r w:rsidR="0066322D" w:rsidRPr="0066322D">
        <w:rPr>
          <w:rStyle w:val="Referencingstyle"/>
        </w:rPr>
        <w:t xml:space="preserve"> </w:t>
      </w:r>
      <w:r w:rsidR="00D50ADB">
        <w:rPr>
          <w:rStyle w:val="Referencingstyle"/>
        </w:rPr>
        <w:t>8</w:t>
      </w:r>
      <w:r w:rsidR="0066322D" w:rsidRPr="0066322D">
        <w:rPr>
          <w:rStyle w:val="Referencingstyle"/>
        </w:rPr>
        <w:t xml:space="preserve">, Subdivision </w:t>
      </w:r>
      <w:r w:rsidR="00D50ADB">
        <w:rPr>
          <w:rStyle w:val="Referencingstyle"/>
        </w:rPr>
        <w:t>A</w:t>
      </w:r>
      <w:r w:rsidR="0066322D" w:rsidRPr="0066322D">
        <w:rPr>
          <w:rStyle w:val="Referencingstyle"/>
        </w:rPr>
        <w:t>, s</w:t>
      </w:r>
      <w:r w:rsidR="0066322D">
        <w:rPr>
          <w:rStyle w:val="Referencingstyle"/>
        </w:rPr>
        <w:t>ubs</w:t>
      </w:r>
      <w:r w:rsidR="0066322D" w:rsidRPr="0066322D">
        <w:rPr>
          <w:rStyle w:val="Referencingstyle"/>
        </w:rPr>
        <w:t xml:space="preserve">ection </w:t>
      </w:r>
      <w:r w:rsidR="00D44CCE">
        <w:rPr>
          <w:rStyle w:val="Referencingstyle"/>
        </w:rPr>
        <w:t>70</w:t>
      </w:r>
      <w:r w:rsidR="0066322D">
        <w:rPr>
          <w:rStyle w:val="Referencingstyle"/>
        </w:rPr>
        <w:t>(1)</w:t>
      </w:r>
      <w:r w:rsidR="0066322D" w:rsidRPr="0066322D">
        <w:rPr>
          <w:rStyle w:val="Referencingstyle"/>
        </w:rPr>
        <w:t>]</w:t>
      </w:r>
    </w:p>
    <w:p w14:paraId="5B44FE7A" w14:textId="77777777" w:rsidR="00D74224" w:rsidRPr="00105FC8" w:rsidRDefault="00D50ADB" w:rsidP="000F194A">
      <w:pPr>
        <w:pStyle w:val="base-text-paragraph"/>
        <w:rPr>
          <w:rStyle w:val="Referencingstyle"/>
          <w:b w:val="0"/>
          <w:i w:val="0"/>
          <w:sz w:val="22"/>
        </w:rPr>
      </w:pPr>
      <w:r>
        <w:t>Unless a manager provides written approval, whilst the fund is under ext</w:t>
      </w:r>
      <w:r w:rsidR="003F6CC6">
        <w:t>ernal or terminating management</w:t>
      </w:r>
      <w:r>
        <w:t xml:space="preserve"> </w:t>
      </w:r>
      <w:r w:rsidR="008D77DB">
        <w:t>the rights of the insurer or its officers to exercise the powers</w:t>
      </w:r>
      <w:r>
        <w:t xml:space="preserve"> above are suspended</w:t>
      </w:r>
      <w:r w:rsidR="008D77DB">
        <w:t>.</w:t>
      </w:r>
      <w:r w:rsidR="0066322D">
        <w:t xml:space="preserve"> </w:t>
      </w:r>
      <w:r w:rsidR="00196879">
        <w:t xml:space="preserve">This will also be the case if there is an external administrator of one or more assets of the fund. </w:t>
      </w:r>
      <w:r w:rsidR="0066322D" w:rsidRPr="0066322D">
        <w:rPr>
          <w:rStyle w:val="Referencingstyle"/>
        </w:rPr>
        <w:t xml:space="preserve">[Part 3, Division </w:t>
      </w:r>
      <w:r>
        <w:rPr>
          <w:rStyle w:val="Referencingstyle"/>
        </w:rPr>
        <w:t>8</w:t>
      </w:r>
      <w:r w:rsidR="0066322D" w:rsidRPr="0066322D">
        <w:rPr>
          <w:rStyle w:val="Referencingstyle"/>
        </w:rPr>
        <w:t xml:space="preserve">, Subdivision </w:t>
      </w:r>
      <w:r>
        <w:rPr>
          <w:rStyle w:val="Referencingstyle"/>
        </w:rPr>
        <w:t>A</w:t>
      </w:r>
      <w:r w:rsidR="0066322D" w:rsidRPr="0066322D">
        <w:rPr>
          <w:rStyle w:val="Referencingstyle"/>
        </w:rPr>
        <w:t>, s</w:t>
      </w:r>
      <w:r w:rsidR="0066322D">
        <w:rPr>
          <w:rStyle w:val="Referencingstyle"/>
        </w:rPr>
        <w:t>ubs</w:t>
      </w:r>
      <w:r w:rsidR="0066322D" w:rsidRPr="0066322D">
        <w:rPr>
          <w:rStyle w:val="Referencingstyle"/>
        </w:rPr>
        <w:t xml:space="preserve">ection </w:t>
      </w:r>
      <w:r w:rsidR="00D44CCE">
        <w:rPr>
          <w:rStyle w:val="Referencingstyle"/>
        </w:rPr>
        <w:t>70</w:t>
      </w:r>
      <w:r w:rsidR="0066322D">
        <w:rPr>
          <w:rStyle w:val="Referencingstyle"/>
        </w:rPr>
        <w:t>(2)</w:t>
      </w:r>
      <w:r w:rsidR="007A6AA9">
        <w:rPr>
          <w:rStyle w:val="Referencingstyle"/>
        </w:rPr>
        <w:t>]</w:t>
      </w:r>
    </w:p>
    <w:p w14:paraId="00E3646B" w14:textId="77777777" w:rsidR="00D50ADB" w:rsidRDefault="00196879" w:rsidP="000F194A">
      <w:pPr>
        <w:pStyle w:val="base-text-paragraph"/>
      </w:pPr>
      <w:r>
        <w:t xml:space="preserve">Nothing in Division 8, or sections 42 and 53, implies that </w:t>
      </w:r>
      <w:r w:rsidR="00E5084A">
        <w:t xml:space="preserve">an officer or employee of the </w:t>
      </w:r>
      <w:r>
        <w:t>insurer</w:t>
      </w:r>
      <w:r w:rsidR="00E5084A">
        <w:t>, or an external administrator,</w:t>
      </w:r>
      <w:r>
        <w:t xml:space="preserve"> is removed from office. For example an officer or employee may continue to have functions in relation to business of the insurer that falls outside the health benefits funds</w:t>
      </w:r>
      <w:r w:rsidR="00D50ADB">
        <w:t xml:space="preserve">. </w:t>
      </w:r>
      <w:r w:rsidR="007A6AA9" w:rsidRPr="001A57F7">
        <w:rPr>
          <w:rStyle w:val="Referencingstyle"/>
        </w:rPr>
        <w:t>[Part 3, Division 8, Subdivision A, subsection</w:t>
      </w:r>
      <w:r w:rsidR="00AF4A32">
        <w:rPr>
          <w:rStyle w:val="Referencingstyle"/>
        </w:rPr>
        <w:t> </w:t>
      </w:r>
      <w:r w:rsidR="00D44CCE">
        <w:rPr>
          <w:rStyle w:val="Referencingstyle"/>
        </w:rPr>
        <w:t>70</w:t>
      </w:r>
      <w:r w:rsidR="007A6AA9" w:rsidRPr="00DE592E">
        <w:rPr>
          <w:rStyle w:val="Referencingstyle"/>
        </w:rPr>
        <w:t>(</w:t>
      </w:r>
      <w:r w:rsidR="007A6AA9">
        <w:rPr>
          <w:rStyle w:val="Referencingstyle"/>
        </w:rPr>
        <w:t>3</w:t>
      </w:r>
      <w:r w:rsidR="007A6AA9" w:rsidRPr="001A57F7">
        <w:rPr>
          <w:rStyle w:val="Referencingstyle"/>
        </w:rPr>
        <w:t>)]</w:t>
      </w:r>
    </w:p>
    <w:p w14:paraId="2E900509" w14:textId="77777777" w:rsidR="00D50ADB" w:rsidRDefault="00D50ADB" w:rsidP="00D50ADB">
      <w:pPr>
        <w:pStyle w:val="Heading5"/>
      </w:pPr>
      <w:r>
        <w:t>Officers etc. not to perform functions etc. while fund is under management</w:t>
      </w:r>
    </w:p>
    <w:p w14:paraId="661DEB88" w14:textId="77777777" w:rsidR="008D77DB" w:rsidRDefault="00196879" w:rsidP="000F194A">
      <w:pPr>
        <w:pStyle w:val="base-text-paragraph"/>
      </w:pPr>
      <w:r>
        <w:t>If a health benefits fund is under external or terminating management, a</w:t>
      </w:r>
      <w:r w:rsidR="009175F4">
        <w:t>n individual</w:t>
      </w:r>
      <w:r w:rsidR="008D77DB">
        <w:t xml:space="preserve"> (other than the manager) commits an offence with a penalty of </w:t>
      </w:r>
      <w:r>
        <w:t>6</w:t>
      </w:r>
      <w:r w:rsidR="008D77DB">
        <w:t xml:space="preserve">0 penalty units, or imprisonment for </w:t>
      </w:r>
      <w:r>
        <w:t>12</w:t>
      </w:r>
      <w:r w:rsidR="008D77DB">
        <w:t xml:space="preserve"> months, or both if:</w:t>
      </w:r>
    </w:p>
    <w:p w14:paraId="24E1ADC4" w14:textId="77777777" w:rsidR="00196879" w:rsidRDefault="008D77DB" w:rsidP="00196879">
      <w:pPr>
        <w:pStyle w:val="dotpoint"/>
      </w:pPr>
      <w:r>
        <w:t>the person performs or exercises</w:t>
      </w:r>
      <w:r w:rsidR="00196879">
        <w:t>, or purports to perform or exercise, any function or power of an officer of the responsible insurer for the fund or an external manager of any assets of the fund; and</w:t>
      </w:r>
    </w:p>
    <w:p w14:paraId="00D402D6" w14:textId="77777777" w:rsidR="00196879" w:rsidRDefault="008D77DB" w:rsidP="00185DD5">
      <w:pPr>
        <w:pStyle w:val="dotpoint"/>
      </w:pPr>
      <w:r>
        <w:t>the function or power is a function or power of the manager</w:t>
      </w:r>
      <w:r w:rsidR="00196879">
        <w:t>;</w:t>
      </w:r>
      <w:r>
        <w:t xml:space="preserve"> and</w:t>
      </w:r>
    </w:p>
    <w:p w14:paraId="607D7BEB" w14:textId="77777777" w:rsidR="008D77DB" w:rsidRPr="009175F4" w:rsidRDefault="008D77DB" w:rsidP="00185DD5">
      <w:pPr>
        <w:pStyle w:val="dotpoint"/>
        <w:rPr>
          <w:rStyle w:val="Referencingstyle"/>
          <w:b w:val="0"/>
          <w:i w:val="0"/>
          <w:sz w:val="22"/>
        </w:rPr>
      </w:pPr>
      <w:r>
        <w:t>the person does it without the manager's written approval.</w:t>
      </w:r>
      <w:r w:rsidR="00185DD5">
        <w:t xml:space="preserve">  </w:t>
      </w:r>
      <w:r w:rsidR="00185DD5" w:rsidRPr="00185DD5">
        <w:rPr>
          <w:rStyle w:val="Referencingstyle"/>
        </w:rPr>
        <w:t xml:space="preserve">[Part 3, Division </w:t>
      </w:r>
      <w:r w:rsidR="00F725C5">
        <w:rPr>
          <w:rStyle w:val="Referencingstyle"/>
        </w:rPr>
        <w:t>8</w:t>
      </w:r>
      <w:r w:rsidR="00185DD5" w:rsidRPr="00185DD5">
        <w:rPr>
          <w:rStyle w:val="Referencingstyle"/>
        </w:rPr>
        <w:t xml:space="preserve">, Subdivision </w:t>
      </w:r>
      <w:r w:rsidR="006511EF">
        <w:rPr>
          <w:rStyle w:val="Referencingstyle"/>
        </w:rPr>
        <w:t>A</w:t>
      </w:r>
      <w:r w:rsidR="00185DD5" w:rsidRPr="00185DD5">
        <w:rPr>
          <w:rStyle w:val="Referencingstyle"/>
        </w:rPr>
        <w:t xml:space="preserve">, section </w:t>
      </w:r>
      <w:r w:rsidR="002B03E8">
        <w:rPr>
          <w:rStyle w:val="Referencingstyle"/>
        </w:rPr>
        <w:t>7</w:t>
      </w:r>
      <w:r w:rsidR="00D44CCE">
        <w:rPr>
          <w:rStyle w:val="Referencingstyle"/>
        </w:rPr>
        <w:t>1</w:t>
      </w:r>
      <w:r w:rsidR="00185DD5" w:rsidRPr="00185DD5">
        <w:rPr>
          <w:rStyle w:val="Referencingstyle"/>
        </w:rPr>
        <w:t>]</w:t>
      </w:r>
    </w:p>
    <w:p w14:paraId="4907DEB5" w14:textId="77777777" w:rsidR="008D77DB" w:rsidRDefault="008D77DB" w:rsidP="007129BE">
      <w:pPr>
        <w:pStyle w:val="Heading5"/>
      </w:pPr>
      <w:r>
        <w:t>Managers act as agents of private health insurers</w:t>
      </w:r>
    </w:p>
    <w:p w14:paraId="4DF7A01E" w14:textId="77777777" w:rsidR="007129BE" w:rsidRDefault="00AB4F46" w:rsidP="000F194A">
      <w:pPr>
        <w:pStyle w:val="base-text-paragraph"/>
      </w:pPr>
      <w:r>
        <w:t>A</w:t>
      </w:r>
      <w:r w:rsidR="008D77DB">
        <w:t xml:space="preserve"> manager exercising a power as manager of a health benefits fund is taken to be acting as the agent of the responsible insurer for the fund.  This </w:t>
      </w:r>
      <w:r>
        <w:t>section</w:t>
      </w:r>
      <w:r w:rsidR="008D77DB">
        <w:t xml:space="preserve"> does not allow the insurer to direct the manager in the exercise of his or her powers.</w:t>
      </w:r>
      <w:r>
        <w:t xml:space="preserve"> </w:t>
      </w:r>
      <w:r w:rsidR="007129BE" w:rsidRPr="00185DD5">
        <w:rPr>
          <w:rStyle w:val="Referencingstyle"/>
        </w:rPr>
        <w:t>[Part 3, D</w:t>
      </w:r>
      <w:r w:rsidR="007129BE">
        <w:rPr>
          <w:rStyle w:val="Referencingstyle"/>
        </w:rPr>
        <w:t>ivision 8, Subdivision A, section</w:t>
      </w:r>
      <w:r w:rsidR="00C20B7E">
        <w:rPr>
          <w:rStyle w:val="Referencingstyle"/>
        </w:rPr>
        <w:t> </w:t>
      </w:r>
      <w:r w:rsidR="002B03E8">
        <w:rPr>
          <w:rStyle w:val="Referencingstyle"/>
        </w:rPr>
        <w:t>7</w:t>
      </w:r>
      <w:r w:rsidR="00D44CCE">
        <w:rPr>
          <w:rStyle w:val="Referencingstyle"/>
        </w:rPr>
        <w:t>2</w:t>
      </w:r>
      <w:r w:rsidR="007129BE" w:rsidRPr="00185DD5">
        <w:rPr>
          <w:rStyle w:val="Referencingstyle"/>
        </w:rPr>
        <w:t>]</w:t>
      </w:r>
    </w:p>
    <w:p w14:paraId="2FC67AFD" w14:textId="77777777" w:rsidR="008D77DB" w:rsidRDefault="006D3FBB" w:rsidP="007129BE">
      <w:pPr>
        <w:pStyle w:val="Heading4"/>
      </w:pPr>
      <w:r>
        <w:t xml:space="preserve">Subdivision </w:t>
      </w:r>
      <w:r w:rsidR="007129BE">
        <w:t xml:space="preserve">B </w:t>
      </w:r>
      <w:r>
        <w:t xml:space="preserve">– </w:t>
      </w:r>
      <w:r w:rsidR="008D77DB">
        <w:t>Information concerning, and records and property of, health benefits funds</w:t>
      </w:r>
    </w:p>
    <w:p w14:paraId="6C68F873" w14:textId="77777777" w:rsidR="008D77DB" w:rsidRDefault="008D77DB" w:rsidP="006D3FBB">
      <w:pPr>
        <w:pStyle w:val="Heading5"/>
      </w:pPr>
      <w:r>
        <w:t>Directors etc. to help managers</w:t>
      </w:r>
    </w:p>
    <w:p w14:paraId="12104AFE" w14:textId="77777777" w:rsidR="008D77DB" w:rsidRDefault="00E36E56" w:rsidP="000F194A">
      <w:pPr>
        <w:pStyle w:val="base-text-paragraph"/>
      </w:pPr>
      <w:r>
        <w:t>E</w:t>
      </w:r>
      <w:r w:rsidR="008D77DB">
        <w:t xml:space="preserve">ach director of the responsible insurer for a health benefits fund under external management or terminating management </w:t>
      </w:r>
      <w:r>
        <w:t xml:space="preserve">must </w:t>
      </w:r>
      <w:r w:rsidR="008D77DB">
        <w:t>as soon as practicable after the management:</w:t>
      </w:r>
    </w:p>
    <w:p w14:paraId="1619A574" w14:textId="77777777" w:rsidR="008D77DB" w:rsidRDefault="008D77DB" w:rsidP="00E36E56">
      <w:pPr>
        <w:pStyle w:val="dotpoint"/>
      </w:pPr>
      <w:r>
        <w:t>give the manager all records in the director's possession that relate to the business of the fund; and</w:t>
      </w:r>
    </w:p>
    <w:p w14:paraId="70ED08F0" w14:textId="77777777" w:rsidR="00AB3554" w:rsidRDefault="008D77DB" w:rsidP="00E36E56">
      <w:pPr>
        <w:pStyle w:val="dotpoint"/>
      </w:pPr>
      <w:r>
        <w:t>tell the manager of the location of other records known to the director.</w:t>
      </w:r>
      <w:r w:rsidR="00AB3554">
        <w:t xml:space="preserve">  </w:t>
      </w:r>
      <w:r w:rsidR="00AB3554" w:rsidRPr="00AB3554">
        <w:rPr>
          <w:rStyle w:val="Referencingstyle"/>
        </w:rPr>
        <w:t xml:space="preserve">[Part </w:t>
      </w:r>
      <w:r w:rsidR="00D87EA6">
        <w:rPr>
          <w:rStyle w:val="Referencingstyle"/>
        </w:rPr>
        <w:t>3</w:t>
      </w:r>
      <w:r w:rsidR="00AB3554" w:rsidRPr="00AB3554">
        <w:rPr>
          <w:rStyle w:val="Referencingstyle"/>
        </w:rPr>
        <w:t xml:space="preserve">, Division </w:t>
      </w:r>
      <w:r w:rsidR="004861FF">
        <w:rPr>
          <w:rStyle w:val="Referencingstyle"/>
        </w:rPr>
        <w:t>8</w:t>
      </w:r>
      <w:r w:rsidR="00AB3554" w:rsidRPr="00AB3554">
        <w:rPr>
          <w:rStyle w:val="Referencingstyle"/>
        </w:rPr>
        <w:t xml:space="preserve">, Subdivision </w:t>
      </w:r>
      <w:r w:rsidR="004861FF">
        <w:rPr>
          <w:rStyle w:val="Referencingstyle"/>
        </w:rPr>
        <w:t>B</w:t>
      </w:r>
      <w:r w:rsidR="00AB3554" w:rsidRPr="00AB3554">
        <w:rPr>
          <w:rStyle w:val="Referencingstyle"/>
        </w:rPr>
        <w:t xml:space="preserve">, subsection </w:t>
      </w:r>
      <w:r w:rsidR="002B03E8">
        <w:rPr>
          <w:rStyle w:val="Referencingstyle"/>
        </w:rPr>
        <w:t>7</w:t>
      </w:r>
      <w:r w:rsidR="00D44CCE">
        <w:rPr>
          <w:rStyle w:val="Referencingstyle"/>
        </w:rPr>
        <w:t>3</w:t>
      </w:r>
      <w:r w:rsidR="00AB3554" w:rsidRPr="00AB3554">
        <w:rPr>
          <w:rStyle w:val="Referencingstyle"/>
        </w:rPr>
        <w:t>(1)]</w:t>
      </w:r>
    </w:p>
    <w:p w14:paraId="507CC90F" w14:textId="77777777" w:rsidR="00EB2169" w:rsidRDefault="00EB2169" w:rsidP="000F194A">
      <w:pPr>
        <w:pStyle w:val="base-text-paragraph"/>
      </w:pPr>
      <w:r>
        <w:t xml:space="preserve">The above does not apply </w:t>
      </w:r>
      <w:r w:rsidR="00196879">
        <w:t>to the extent that</w:t>
      </w:r>
      <w:r>
        <w:t xml:space="preserve"> the person is entitled to </w:t>
      </w:r>
      <w:r w:rsidR="001F41C8">
        <w:t>retain</w:t>
      </w:r>
      <w:r>
        <w:t xml:space="preserve"> the records, against the manager a</w:t>
      </w:r>
      <w:r w:rsidR="001F41C8">
        <w:t>n</w:t>
      </w:r>
      <w:r>
        <w:t>d the responsible insurer of the fund</w:t>
      </w:r>
      <w:r w:rsidR="001F41C8">
        <w:t xml:space="preserve">.  </w:t>
      </w:r>
      <w:r w:rsidR="001F41C8" w:rsidRPr="001F41C8">
        <w:rPr>
          <w:rStyle w:val="Referencingstyle"/>
        </w:rPr>
        <w:t>[Part</w:t>
      </w:r>
      <w:r w:rsidR="001F41C8">
        <w:rPr>
          <w:rStyle w:val="Referencingstyle"/>
        </w:rPr>
        <w:t> </w:t>
      </w:r>
      <w:r w:rsidR="001F41C8" w:rsidRPr="001A57F7">
        <w:rPr>
          <w:rStyle w:val="Referencingstyle"/>
        </w:rPr>
        <w:t xml:space="preserve">3, Division 8, Subdivision B, subsection </w:t>
      </w:r>
      <w:r w:rsidR="002B03E8" w:rsidRPr="001A57F7">
        <w:rPr>
          <w:rStyle w:val="Referencingstyle"/>
        </w:rPr>
        <w:t>7</w:t>
      </w:r>
      <w:r w:rsidR="00D44CCE">
        <w:rPr>
          <w:rStyle w:val="Referencingstyle"/>
        </w:rPr>
        <w:t>3</w:t>
      </w:r>
      <w:r w:rsidR="001F41C8" w:rsidRPr="001A57F7">
        <w:rPr>
          <w:rStyle w:val="Referencingstyle"/>
        </w:rPr>
        <w:t>(6)]</w:t>
      </w:r>
    </w:p>
    <w:p w14:paraId="5E3A379D" w14:textId="77777777" w:rsidR="008D77DB" w:rsidRDefault="001573C9" w:rsidP="007E0B53">
      <w:pPr>
        <w:pStyle w:val="base-text-paragraph"/>
        <w:keepNext/>
        <w:keepLines/>
      </w:pPr>
      <w:r>
        <w:t>The</w:t>
      </w:r>
      <w:r w:rsidR="008D77DB">
        <w:t xml:space="preserve"> director</w:t>
      </w:r>
      <w:r>
        <w:t>s</w:t>
      </w:r>
      <w:r w:rsidR="008D77DB">
        <w:t xml:space="preserve"> and officer</w:t>
      </w:r>
      <w:r>
        <w:t>s</w:t>
      </w:r>
      <w:r w:rsidR="008D77DB">
        <w:t xml:space="preserve"> of the responsible insurer for a fund under external management or terminating management </w:t>
      </w:r>
      <w:r w:rsidR="00AB3554">
        <w:t>must</w:t>
      </w:r>
      <w:r w:rsidR="008D77DB">
        <w:t xml:space="preserve"> give the manager a statement about the business, property, affairs and financial circumstances of the fund.  The statement must be made within seven days (or longer as allowed by the manager) and comply with the manager's requirements as to form and contents.</w:t>
      </w:r>
      <w:r w:rsidR="003F2CAA">
        <w:t xml:space="preserve"> </w:t>
      </w:r>
      <w:r w:rsidR="00AB3554" w:rsidRPr="00AB3554">
        <w:rPr>
          <w:rStyle w:val="Referencingstyle"/>
        </w:rPr>
        <w:t xml:space="preserve">[Part </w:t>
      </w:r>
      <w:r w:rsidR="00D87EA6">
        <w:rPr>
          <w:rStyle w:val="Referencingstyle"/>
        </w:rPr>
        <w:t>3</w:t>
      </w:r>
      <w:r w:rsidR="00AB3554" w:rsidRPr="00AB3554">
        <w:rPr>
          <w:rStyle w:val="Referencingstyle"/>
        </w:rPr>
        <w:t xml:space="preserve">, Division </w:t>
      </w:r>
      <w:r w:rsidR="004861FF">
        <w:rPr>
          <w:rStyle w:val="Referencingstyle"/>
        </w:rPr>
        <w:t>8</w:t>
      </w:r>
      <w:r w:rsidR="00AB3554" w:rsidRPr="00AB3554">
        <w:rPr>
          <w:rStyle w:val="Referencingstyle"/>
        </w:rPr>
        <w:t xml:space="preserve">, Subdivision </w:t>
      </w:r>
      <w:r w:rsidR="004861FF">
        <w:rPr>
          <w:rStyle w:val="Referencingstyle"/>
        </w:rPr>
        <w:t>B</w:t>
      </w:r>
      <w:r w:rsidR="00AB3554" w:rsidRPr="00AB3554">
        <w:rPr>
          <w:rStyle w:val="Referencingstyle"/>
        </w:rPr>
        <w:t>, subsection</w:t>
      </w:r>
      <w:r w:rsidR="00AB3554">
        <w:rPr>
          <w:rStyle w:val="Referencingstyle"/>
        </w:rPr>
        <w:t>s</w:t>
      </w:r>
      <w:r w:rsidR="00AB3554" w:rsidRPr="00AB3554">
        <w:rPr>
          <w:rStyle w:val="Referencingstyle"/>
        </w:rPr>
        <w:t xml:space="preserve"> </w:t>
      </w:r>
      <w:r w:rsidR="002B03E8">
        <w:rPr>
          <w:rStyle w:val="Referencingstyle"/>
        </w:rPr>
        <w:t>7</w:t>
      </w:r>
      <w:r w:rsidR="00F02CBA">
        <w:rPr>
          <w:rStyle w:val="Referencingstyle"/>
        </w:rPr>
        <w:t>3</w:t>
      </w:r>
      <w:r w:rsidR="00AB3554" w:rsidRPr="00AB3554">
        <w:rPr>
          <w:rStyle w:val="Referencingstyle"/>
        </w:rPr>
        <w:t>(</w:t>
      </w:r>
      <w:r w:rsidR="00AB3554">
        <w:rPr>
          <w:rStyle w:val="Referencingstyle"/>
        </w:rPr>
        <w:t>2</w:t>
      </w:r>
      <w:r w:rsidR="00AB3554" w:rsidRPr="00AB3554">
        <w:rPr>
          <w:rStyle w:val="Referencingstyle"/>
        </w:rPr>
        <w:t>)</w:t>
      </w:r>
      <w:r w:rsidR="00AB3554">
        <w:rPr>
          <w:rStyle w:val="Referencingstyle"/>
        </w:rPr>
        <w:t xml:space="preserve"> and (3)</w:t>
      </w:r>
      <w:r w:rsidR="00AB3554" w:rsidRPr="00AB3554">
        <w:rPr>
          <w:rStyle w:val="Referencingstyle"/>
        </w:rPr>
        <w:t>]</w:t>
      </w:r>
    </w:p>
    <w:p w14:paraId="7A7462D7" w14:textId="77777777" w:rsidR="008D77DB" w:rsidRDefault="00AB3554" w:rsidP="000F194A">
      <w:pPr>
        <w:pStyle w:val="base-text-paragraph"/>
      </w:pPr>
      <w:r>
        <w:t>A</w:t>
      </w:r>
      <w:r w:rsidR="008D77DB">
        <w:t xml:space="preserve"> director or officer of the responsible insurer </w:t>
      </w:r>
      <w:r w:rsidR="00FC6470">
        <w:t xml:space="preserve">must </w:t>
      </w:r>
      <w:r w:rsidR="008D77DB">
        <w:t xml:space="preserve">attend on the manager and give </w:t>
      </w:r>
      <w:r w:rsidR="001573C9">
        <w:t>her or him</w:t>
      </w:r>
      <w:r w:rsidR="008D77DB">
        <w:t xml:space="preserve"> information about the business, property, affairs and financial circumstances of the fund as the manager reasonably requires.</w:t>
      </w:r>
      <w:r w:rsidR="003F2CAA">
        <w:t xml:space="preserve"> </w:t>
      </w:r>
      <w:r w:rsidRPr="00AB3554">
        <w:rPr>
          <w:rStyle w:val="Referencingstyle"/>
        </w:rPr>
        <w:t xml:space="preserve">[Part </w:t>
      </w:r>
      <w:r w:rsidR="00D87EA6">
        <w:rPr>
          <w:rStyle w:val="Referencingstyle"/>
        </w:rPr>
        <w:t>3</w:t>
      </w:r>
      <w:r w:rsidRPr="00AB3554">
        <w:rPr>
          <w:rStyle w:val="Referencingstyle"/>
        </w:rPr>
        <w:t xml:space="preserve">, Division </w:t>
      </w:r>
      <w:r w:rsidR="00FC6470">
        <w:rPr>
          <w:rStyle w:val="Referencingstyle"/>
        </w:rPr>
        <w:t>8</w:t>
      </w:r>
      <w:r w:rsidRPr="00AB3554">
        <w:rPr>
          <w:rStyle w:val="Referencingstyle"/>
        </w:rPr>
        <w:t xml:space="preserve">, Subdivision </w:t>
      </w:r>
      <w:r w:rsidR="00FC6470">
        <w:rPr>
          <w:rStyle w:val="Referencingstyle"/>
        </w:rPr>
        <w:t>B</w:t>
      </w:r>
      <w:r w:rsidRPr="00AB3554">
        <w:rPr>
          <w:rStyle w:val="Referencingstyle"/>
        </w:rPr>
        <w:t>, subsection</w:t>
      </w:r>
      <w:r w:rsidR="00FC6470">
        <w:rPr>
          <w:rStyle w:val="Referencingstyle"/>
        </w:rPr>
        <w:t xml:space="preserve"> </w:t>
      </w:r>
      <w:r w:rsidR="002B03E8">
        <w:rPr>
          <w:rStyle w:val="Referencingstyle"/>
        </w:rPr>
        <w:t>7</w:t>
      </w:r>
      <w:r w:rsidR="00F02CBA">
        <w:rPr>
          <w:rStyle w:val="Referencingstyle"/>
        </w:rPr>
        <w:t>3</w:t>
      </w:r>
      <w:r w:rsidRPr="00AB3554">
        <w:rPr>
          <w:rStyle w:val="Referencingstyle"/>
        </w:rPr>
        <w:t>(</w:t>
      </w:r>
      <w:r w:rsidR="00FC6470">
        <w:rPr>
          <w:rStyle w:val="Referencingstyle"/>
        </w:rPr>
        <w:t>4</w:t>
      </w:r>
      <w:r w:rsidRPr="00AB3554">
        <w:rPr>
          <w:rStyle w:val="Referencingstyle"/>
        </w:rPr>
        <w:t>)]</w:t>
      </w:r>
    </w:p>
    <w:p w14:paraId="5E00C605" w14:textId="77777777" w:rsidR="008D77DB" w:rsidRDefault="00AB3554" w:rsidP="000F194A">
      <w:pPr>
        <w:pStyle w:val="base-text-paragraph"/>
      </w:pPr>
      <w:r>
        <w:t>A</w:t>
      </w:r>
      <w:r w:rsidR="00671E36">
        <w:t>n individual</w:t>
      </w:r>
      <w:r w:rsidR="008D77DB">
        <w:t xml:space="preserve"> commits an offence with a penalty of 30 penalty units if the person does not comply with the requirements of this </w:t>
      </w:r>
      <w:r>
        <w:t>section</w:t>
      </w:r>
      <w:r w:rsidR="008D77DB">
        <w:t>.</w:t>
      </w:r>
      <w:r>
        <w:t xml:space="preserve"> </w:t>
      </w:r>
      <w:r w:rsidRPr="00AB3554">
        <w:rPr>
          <w:rStyle w:val="Referencingstyle"/>
        </w:rPr>
        <w:t xml:space="preserve">[Part </w:t>
      </w:r>
      <w:r w:rsidR="00D87EA6">
        <w:rPr>
          <w:rStyle w:val="Referencingstyle"/>
        </w:rPr>
        <w:t>3</w:t>
      </w:r>
      <w:r w:rsidRPr="00AB3554">
        <w:rPr>
          <w:rStyle w:val="Referencingstyle"/>
        </w:rPr>
        <w:t xml:space="preserve">, Division </w:t>
      </w:r>
      <w:r w:rsidR="00FC6470">
        <w:rPr>
          <w:rStyle w:val="Referencingstyle"/>
        </w:rPr>
        <w:t>8</w:t>
      </w:r>
      <w:r w:rsidRPr="00AB3554">
        <w:rPr>
          <w:rStyle w:val="Referencingstyle"/>
        </w:rPr>
        <w:t xml:space="preserve">, Subdivision </w:t>
      </w:r>
      <w:r w:rsidR="00FC6470">
        <w:rPr>
          <w:rStyle w:val="Referencingstyle"/>
        </w:rPr>
        <w:t>B</w:t>
      </w:r>
      <w:r w:rsidRPr="00AB3554">
        <w:rPr>
          <w:rStyle w:val="Referencingstyle"/>
        </w:rPr>
        <w:t xml:space="preserve">, subsection </w:t>
      </w:r>
      <w:r w:rsidR="002B03E8">
        <w:rPr>
          <w:rStyle w:val="Referencingstyle"/>
        </w:rPr>
        <w:t>7</w:t>
      </w:r>
      <w:r w:rsidR="00F02CBA">
        <w:rPr>
          <w:rStyle w:val="Referencingstyle"/>
        </w:rPr>
        <w:t>3</w:t>
      </w:r>
      <w:r w:rsidRPr="00AB3554">
        <w:rPr>
          <w:rStyle w:val="Referencingstyle"/>
        </w:rPr>
        <w:t>(</w:t>
      </w:r>
      <w:r>
        <w:rPr>
          <w:rStyle w:val="Referencingstyle"/>
        </w:rPr>
        <w:t>5)</w:t>
      </w:r>
      <w:r w:rsidRPr="00AB3554">
        <w:rPr>
          <w:rStyle w:val="Referencingstyle"/>
        </w:rPr>
        <w:t>]</w:t>
      </w:r>
    </w:p>
    <w:p w14:paraId="5EB987A7" w14:textId="77777777" w:rsidR="008D77DB" w:rsidRDefault="008D77DB" w:rsidP="00243157">
      <w:pPr>
        <w:pStyle w:val="Heading5"/>
      </w:pPr>
      <w:r>
        <w:t>Managers' rights to certain records</w:t>
      </w:r>
    </w:p>
    <w:p w14:paraId="0E9609B5" w14:textId="77777777" w:rsidR="00A83F03" w:rsidRDefault="00A83F03" w:rsidP="000F194A">
      <w:pPr>
        <w:pStyle w:val="base-text-paragraph"/>
      </w:pPr>
      <w:r>
        <w:t>A</w:t>
      </w:r>
      <w:r w:rsidR="008D77DB">
        <w:t xml:space="preserve"> person is not entitled to retain possession of records against the manager of the fund or enforce a lien on the records (althou</w:t>
      </w:r>
      <w:r w:rsidR="003F2CAA">
        <w:t xml:space="preserve">gh the lien otherwise stands). </w:t>
      </w:r>
      <w:r w:rsidR="00671E36">
        <w:t>An exception is where a secured creditor is entitled to retain possession of the record</w:t>
      </w:r>
      <w:r w:rsidR="003F2CAA">
        <w:t xml:space="preserve">s other than by way of a lien. </w:t>
      </w:r>
      <w:r w:rsidR="00671E36">
        <w:t>However</w:t>
      </w:r>
      <w:r w:rsidR="003F2CAA">
        <w:t>,</w:t>
      </w:r>
      <w:r w:rsidR="00671E36">
        <w:t xml:space="preserve"> the manager will still be entitled to inspect and make copies of the documents. </w:t>
      </w:r>
      <w:r w:rsidR="008D77DB">
        <w:t xml:space="preserve">The manager is entitled to inspect and copy </w:t>
      </w:r>
      <w:r w:rsidR="00173FD2">
        <w:t xml:space="preserve">such </w:t>
      </w:r>
      <w:r w:rsidR="008D77DB">
        <w:t>records held by a secured creditor at any reasonable time.</w:t>
      </w:r>
      <w:r>
        <w:t xml:space="preserve">  </w:t>
      </w:r>
      <w:r w:rsidRPr="00AB3554">
        <w:rPr>
          <w:rStyle w:val="Referencingstyle"/>
        </w:rPr>
        <w:t xml:space="preserve">[Part </w:t>
      </w:r>
      <w:r w:rsidR="00D87EA6">
        <w:rPr>
          <w:rStyle w:val="Referencingstyle"/>
        </w:rPr>
        <w:t>3</w:t>
      </w:r>
      <w:r w:rsidRPr="00AB3554">
        <w:rPr>
          <w:rStyle w:val="Referencingstyle"/>
        </w:rPr>
        <w:t xml:space="preserve">, Division </w:t>
      </w:r>
      <w:r w:rsidR="001F41C8">
        <w:rPr>
          <w:rStyle w:val="Referencingstyle"/>
        </w:rPr>
        <w:t>8</w:t>
      </w:r>
      <w:r w:rsidRPr="00AB3554">
        <w:rPr>
          <w:rStyle w:val="Referencingstyle"/>
        </w:rPr>
        <w:t>, Subdivis</w:t>
      </w:r>
      <w:r>
        <w:rPr>
          <w:rStyle w:val="Referencingstyle"/>
        </w:rPr>
        <w:t xml:space="preserve">ion </w:t>
      </w:r>
      <w:r w:rsidR="001F41C8">
        <w:rPr>
          <w:rStyle w:val="Referencingstyle"/>
        </w:rPr>
        <w:t>B</w:t>
      </w:r>
      <w:r>
        <w:rPr>
          <w:rStyle w:val="Referencingstyle"/>
        </w:rPr>
        <w:t xml:space="preserve">, subsections </w:t>
      </w:r>
      <w:r w:rsidR="00927427">
        <w:rPr>
          <w:rStyle w:val="Referencingstyle"/>
        </w:rPr>
        <w:t>74</w:t>
      </w:r>
      <w:r w:rsidRPr="00AB3554">
        <w:rPr>
          <w:rStyle w:val="Referencingstyle"/>
        </w:rPr>
        <w:t>(</w:t>
      </w:r>
      <w:r>
        <w:rPr>
          <w:rStyle w:val="Referencingstyle"/>
        </w:rPr>
        <w:t>1) and (2)</w:t>
      </w:r>
      <w:r w:rsidRPr="00AB3554">
        <w:rPr>
          <w:rStyle w:val="Referencingstyle"/>
        </w:rPr>
        <w:t>]</w:t>
      </w:r>
    </w:p>
    <w:p w14:paraId="2CFF17C8" w14:textId="77777777" w:rsidR="008D77DB" w:rsidRDefault="00A83F03" w:rsidP="000F194A">
      <w:pPr>
        <w:pStyle w:val="base-text-paragraph"/>
      </w:pPr>
      <w:r>
        <w:t>A</w:t>
      </w:r>
      <w:r w:rsidR="008D77DB">
        <w:t xml:space="preserve"> manager </w:t>
      </w:r>
      <w:r>
        <w:t xml:space="preserve">may </w:t>
      </w:r>
      <w:r w:rsidR="008D77DB">
        <w:t>give a person notice of at least three days to deliver to the manager specified records that are in the person's possession.</w:t>
      </w:r>
      <w:r>
        <w:t xml:space="preserve"> </w:t>
      </w:r>
      <w:r w:rsidRPr="00AB3554">
        <w:rPr>
          <w:rStyle w:val="Referencingstyle"/>
        </w:rPr>
        <w:t xml:space="preserve">[Part </w:t>
      </w:r>
      <w:r w:rsidR="00D87EA6">
        <w:rPr>
          <w:rStyle w:val="Referencingstyle"/>
        </w:rPr>
        <w:t>3</w:t>
      </w:r>
      <w:r w:rsidRPr="00AB3554">
        <w:rPr>
          <w:rStyle w:val="Referencingstyle"/>
        </w:rPr>
        <w:t xml:space="preserve">, Division </w:t>
      </w:r>
      <w:r w:rsidR="00D04A1C">
        <w:rPr>
          <w:rStyle w:val="Referencingstyle"/>
        </w:rPr>
        <w:t>8</w:t>
      </w:r>
      <w:r w:rsidRPr="00AB3554">
        <w:rPr>
          <w:rStyle w:val="Referencingstyle"/>
        </w:rPr>
        <w:t>, Subdivis</w:t>
      </w:r>
      <w:r>
        <w:rPr>
          <w:rStyle w:val="Referencingstyle"/>
        </w:rPr>
        <w:t xml:space="preserve">ion </w:t>
      </w:r>
      <w:r w:rsidR="00D04A1C">
        <w:rPr>
          <w:rStyle w:val="Referencingstyle"/>
        </w:rPr>
        <w:t>B</w:t>
      </w:r>
      <w:r>
        <w:rPr>
          <w:rStyle w:val="Referencingstyle"/>
        </w:rPr>
        <w:t xml:space="preserve">, subsections </w:t>
      </w:r>
      <w:r w:rsidR="00927427">
        <w:rPr>
          <w:rStyle w:val="Referencingstyle"/>
        </w:rPr>
        <w:t>74</w:t>
      </w:r>
      <w:r w:rsidRPr="00AB3554">
        <w:rPr>
          <w:rStyle w:val="Referencingstyle"/>
        </w:rPr>
        <w:t>(</w:t>
      </w:r>
      <w:r>
        <w:rPr>
          <w:rStyle w:val="Referencingstyle"/>
        </w:rPr>
        <w:t>3 )</w:t>
      </w:r>
      <w:r w:rsidR="00D04A1C">
        <w:rPr>
          <w:rStyle w:val="Referencingstyle"/>
        </w:rPr>
        <w:t xml:space="preserve"> </w:t>
      </w:r>
      <w:r>
        <w:rPr>
          <w:rStyle w:val="Referencingstyle"/>
        </w:rPr>
        <w:t>and (4)</w:t>
      </w:r>
      <w:r w:rsidRPr="00AB3554">
        <w:rPr>
          <w:rStyle w:val="Referencingstyle"/>
        </w:rPr>
        <w:t>]</w:t>
      </w:r>
    </w:p>
    <w:p w14:paraId="514021E1" w14:textId="77777777" w:rsidR="008D77DB" w:rsidRDefault="00A83F03" w:rsidP="000F194A">
      <w:pPr>
        <w:pStyle w:val="base-text-paragraph"/>
      </w:pPr>
      <w:r>
        <w:t>A</w:t>
      </w:r>
      <w:r w:rsidR="00671E36">
        <w:t>n</w:t>
      </w:r>
      <w:r>
        <w:t xml:space="preserve"> </w:t>
      </w:r>
      <w:r w:rsidR="00671E36">
        <w:t>individual</w:t>
      </w:r>
      <w:r w:rsidR="008D77DB">
        <w:t xml:space="preserve"> commits an offence with a penalty of </w:t>
      </w:r>
      <w:r w:rsidR="00F02CBA">
        <w:t>3</w:t>
      </w:r>
      <w:r w:rsidR="008D77DB">
        <w:t>0 penalty units if the person does not comply with a notice under sub</w:t>
      </w:r>
      <w:r>
        <w:t>section</w:t>
      </w:r>
      <w:r w:rsidR="008D77DB">
        <w:t xml:space="preserve"> (3), unless the person is entitled to retain the records against the manager and the insurer.</w:t>
      </w:r>
      <w:r>
        <w:t xml:space="preserve"> </w:t>
      </w:r>
      <w:r w:rsidRPr="00AB3554">
        <w:rPr>
          <w:rStyle w:val="Referencingstyle"/>
        </w:rPr>
        <w:t xml:space="preserve">[Part </w:t>
      </w:r>
      <w:r w:rsidR="00D87EA6">
        <w:rPr>
          <w:rStyle w:val="Referencingstyle"/>
        </w:rPr>
        <w:t>3</w:t>
      </w:r>
      <w:r w:rsidRPr="00AB3554">
        <w:rPr>
          <w:rStyle w:val="Referencingstyle"/>
        </w:rPr>
        <w:t xml:space="preserve">, Division </w:t>
      </w:r>
      <w:r w:rsidR="0044711D">
        <w:rPr>
          <w:rStyle w:val="Referencingstyle"/>
        </w:rPr>
        <w:t>8</w:t>
      </w:r>
      <w:r w:rsidRPr="00AB3554">
        <w:rPr>
          <w:rStyle w:val="Referencingstyle"/>
        </w:rPr>
        <w:t>, Subdivis</w:t>
      </w:r>
      <w:r w:rsidR="0069344E">
        <w:rPr>
          <w:rStyle w:val="Referencingstyle"/>
        </w:rPr>
        <w:t xml:space="preserve">ion </w:t>
      </w:r>
      <w:r w:rsidR="0044711D">
        <w:rPr>
          <w:rStyle w:val="Referencingstyle"/>
        </w:rPr>
        <w:t>B</w:t>
      </w:r>
      <w:r w:rsidR="0069344E">
        <w:rPr>
          <w:rStyle w:val="Referencingstyle"/>
        </w:rPr>
        <w:t>, subsections</w:t>
      </w:r>
      <w:r>
        <w:rPr>
          <w:rStyle w:val="Referencingstyle"/>
        </w:rPr>
        <w:t xml:space="preserve"> </w:t>
      </w:r>
      <w:r w:rsidR="00927427">
        <w:rPr>
          <w:rStyle w:val="Referencingstyle"/>
        </w:rPr>
        <w:t>74(5</w:t>
      </w:r>
      <w:r>
        <w:rPr>
          <w:rStyle w:val="Referencingstyle"/>
        </w:rPr>
        <w:t>) and (6)</w:t>
      </w:r>
      <w:r w:rsidRPr="00AB3554">
        <w:rPr>
          <w:rStyle w:val="Referencingstyle"/>
        </w:rPr>
        <w:t>]</w:t>
      </w:r>
    </w:p>
    <w:p w14:paraId="2460A6DB" w14:textId="77777777" w:rsidR="008D77DB" w:rsidRPr="00927427" w:rsidRDefault="008D77DB" w:rsidP="0069344E">
      <w:pPr>
        <w:pStyle w:val="Heading5"/>
      </w:pPr>
      <w:r w:rsidRPr="00C04AA9">
        <w:t xml:space="preserve">Only </w:t>
      </w:r>
      <w:r w:rsidRPr="00927427">
        <w:t>manager can deal with property of fund under management</w:t>
      </w:r>
    </w:p>
    <w:p w14:paraId="2AEDEB8A" w14:textId="77777777" w:rsidR="008D77DB" w:rsidRPr="00C04AA9" w:rsidRDefault="0069344E" w:rsidP="000F194A">
      <w:pPr>
        <w:pStyle w:val="base-text-paragraph"/>
      </w:pPr>
      <w:r w:rsidRPr="006C3D7A">
        <w:t>A</w:t>
      </w:r>
      <w:r w:rsidR="008D77DB" w:rsidRPr="006C3D7A">
        <w:t xml:space="preserve"> transaction or dealing affecting the property of a health benefits fund under external management or terminating management entered into by the responsible insurer or a person purportedly on behalf of the fund or the insurer is void </w:t>
      </w:r>
      <w:r w:rsidR="000C4C66">
        <w:t xml:space="preserve">(subject to a Federal Court order) </w:t>
      </w:r>
      <w:r w:rsidR="008D77DB" w:rsidRPr="006C3D7A">
        <w:t>unless</w:t>
      </w:r>
      <w:r w:rsidR="008D77DB" w:rsidRPr="00C04AA9">
        <w:t>:</w:t>
      </w:r>
    </w:p>
    <w:p w14:paraId="0471C7A8" w14:textId="77777777" w:rsidR="008D77DB" w:rsidRDefault="008D77DB" w:rsidP="0069344E">
      <w:pPr>
        <w:pStyle w:val="dotpoint"/>
      </w:pPr>
      <w:r>
        <w:t xml:space="preserve">it was entered into by the manager; or </w:t>
      </w:r>
    </w:p>
    <w:p w14:paraId="1C052631" w14:textId="77777777" w:rsidR="008D77DB" w:rsidRDefault="008D77DB" w:rsidP="0069344E">
      <w:pPr>
        <w:pStyle w:val="dotpoint"/>
      </w:pPr>
      <w:r>
        <w:t>the manager consented to the transaction or dealing beforehand; or</w:t>
      </w:r>
    </w:p>
    <w:p w14:paraId="0C96D516" w14:textId="77777777" w:rsidR="008D77DB" w:rsidRDefault="008D77DB" w:rsidP="0069344E">
      <w:pPr>
        <w:pStyle w:val="dotpoint"/>
        <w:spacing w:before="240"/>
      </w:pPr>
      <w:r>
        <w:t>it was ordered by the Federal Court or a State or Territory Supreme Court.</w:t>
      </w:r>
      <w:r w:rsidR="003F2CAA">
        <w:t xml:space="preserve"> </w:t>
      </w:r>
      <w:r w:rsidR="0069344E" w:rsidRPr="00AB3554">
        <w:rPr>
          <w:rStyle w:val="Referencingstyle"/>
        </w:rPr>
        <w:t xml:space="preserve">[Part </w:t>
      </w:r>
      <w:r w:rsidR="00D87EA6">
        <w:rPr>
          <w:rStyle w:val="Referencingstyle"/>
        </w:rPr>
        <w:t>3</w:t>
      </w:r>
      <w:r w:rsidR="0069344E" w:rsidRPr="00AB3554">
        <w:rPr>
          <w:rStyle w:val="Referencingstyle"/>
        </w:rPr>
        <w:t xml:space="preserve">, Division </w:t>
      </w:r>
      <w:r w:rsidR="0044711D">
        <w:rPr>
          <w:rStyle w:val="Referencingstyle"/>
        </w:rPr>
        <w:t>8</w:t>
      </w:r>
      <w:r w:rsidR="0069344E" w:rsidRPr="00AB3554">
        <w:rPr>
          <w:rStyle w:val="Referencingstyle"/>
        </w:rPr>
        <w:t>, Subdivis</w:t>
      </w:r>
      <w:r w:rsidR="0069344E">
        <w:rPr>
          <w:rStyle w:val="Referencingstyle"/>
        </w:rPr>
        <w:t xml:space="preserve">ion </w:t>
      </w:r>
      <w:r w:rsidR="0044711D">
        <w:rPr>
          <w:rStyle w:val="Referencingstyle"/>
        </w:rPr>
        <w:t>B</w:t>
      </w:r>
      <w:r w:rsidR="0069344E">
        <w:rPr>
          <w:rStyle w:val="Referencingstyle"/>
        </w:rPr>
        <w:t>, subsection</w:t>
      </w:r>
      <w:r w:rsidR="000C4C66">
        <w:rPr>
          <w:rStyle w:val="Referencingstyle"/>
        </w:rPr>
        <w:t>s</w:t>
      </w:r>
      <w:r w:rsidR="0069344E">
        <w:rPr>
          <w:rStyle w:val="Referencingstyle"/>
        </w:rPr>
        <w:t xml:space="preserve"> </w:t>
      </w:r>
      <w:r w:rsidR="00927427">
        <w:rPr>
          <w:rStyle w:val="Referencingstyle"/>
        </w:rPr>
        <w:t>7</w:t>
      </w:r>
      <w:r w:rsidR="00F02CBA">
        <w:rPr>
          <w:rStyle w:val="Referencingstyle"/>
        </w:rPr>
        <w:t>5</w:t>
      </w:r>
      <w:r w:rsidR="0069344E" w:rsidRPr="00AB3554">
        <w:rPr>
          <w:rStyle w:val="Referencingstyle"/>
        </w:rPr>
        <w:t>(</w:t>
      </w:r>
      <w:r w:rsidR="0069344E">
        <w:rPr>
          <w:rStyle w:val="Referencingstyle"/>
        </w:rPr>
        <w:t>1</w:t>
      </w:r>
      <w:r w:rsidR="000C4C66">
        <w:rPr>
          <w:rStyle w:val="Referencingstyle"/>
        </w:rPr>
        <w:t>) and (3</w:t>
      </w:r>
      <w:r w:rsidR="0069344E">
        <w:rPr>
          <w:rStyle w:val="Referencingstyle"/>
        </w:rPr>
        <w:t>)</w:t>
      </w:r>
      <w:r w:rsidR="0069344E" w:rsidRPr="00AB3554">
        <w:rPr>
          <w:rStyle w:val="Referencingstyle"/>
        </w:rPr>
        <w:t>]</w:t>
      </w:r>
    </w:p>
    <w:p w14:paraId="117951B6" w14:textId="77777777" w:rsidR="008D77DB" w:rsidRDefault="0069344E" w:rsidP="000F194A">
      <w:pPr>
        <w:pStyle w:val="base-text-paragraph"/>
      </w:pPr>
      <w:r>
        <w:t>Subsection</w:t>
      </w:r>
      <w:r w:rsidR="008D77DB">
        <w:t xml:space="preserve"> </w:t>
      </w:r>
      <w:r w:rsidR="005C7109">
        <w:t>7</w:t>
      </w:r>
      <w:r w:rsidR="00F02CBA">
        <w:t>5</w:t>
      </w:r>
      <w:r w:rsidR="008D77DB">
        <w:t xml:space="preserve">(1) does not apply to a payment by an </w:t>
      </w:r>
      <w:r w:rsidR="006B009E">
        <w:t xml:space="preserve">ADI </w:t>
      </w:r>
      <w:r w:rsidR="008D77DB">
        <w:t>(such as a bank</w:t>
      </w:r>
      <w:r w:rsidR="003158AD">
        <w:t>, building society</w:t>
      </w:r>
      <w:r w:rsidR="008D77DB">
        <w:t xml:space="preserve"> or credit union) made in good faith and in the ordinary course of its banking </w:t>
      </w:r>
      <w:r w:rsidR="003158AD">
        <w:t>business, out of the account of the relevant private health insurer,</w:t>
      </w:r>
      <w:r w:rsidR="008D77DB">
        <w:t xml:space="preserve"> while the external management or terminating management is under way but before the first of:</w:t>
      </w:r>
    </w:p>
    <w:p w14:paraId="764066BD" w14:textId="77777777" w:rsidR="008D77DB" w:rsidRDefault="008D77DB" w:rsidP="0069344E">
      <w:pPr>
        <w:pStyle w:val="dotpoint"/>
      </w:pPr>
      <w:r>
        <w:t>the ADI being notified by the manager of the external management or terminating management; or</w:t>
      </w:r>
    </w:p>
    <w:p w14:paraId="1FB266A2" w14:textId="77777777" w:rsidR="008D77DB" w:rsidRDefault="008D77DB" w:rsidP="0069344E">
      <w:pPr>
        <w:pStyle w:val="dotpoint"/>
      </w:pPr>
      <w:r>
        <w:t>the manager advertising the external management or terminating management in a national newspaper or newspaper circulating where the insurer carries on business.</w:t>
      </w:r>
      <w:r w:rsidR="0069344E">
        <w:t xml:space="preserve"> </w:t>
      </w:r>
      <w:r w:rsidR="0069344E" w:rsidRPr="00AB3554">
        <w:rPr>
          <w:rStyle w:val="Referencingstyle"/>
        </w:rPr>
        <w:t>[Part</w:t>
      </w:r>
      <w:r w:rsidR="00D87EA6">
        <w:rPr>
          <w:rStyle w:val="Referencingstyle"/>
        </w:rPr>
        <w:t xml:space="preserve"> 3,</w:t>
      </w:r>
      <w:r w:rsidR="0069344E" w:rsidRPr="00AB3554">
        <w:rPr>
          <w:rStyle w:val="Referencingstyle"/>
        </w:rPr>
        <w:t xml:space="preserve"> Division </w:t>
      </w:r>
      <w:r w:rsidR="00FC3E57">
        <w:rPr>
          <w:rStyle w:val="Referencingstyle"/>
        </w:rPr>
        <w:t>8</w:t>
      </w:r>
      <w:r w:rsidR="0069344E" w:rsidRPr="00AB3554">
        <w:rPr>
          <w:rStyle w:val="Referencingstyle"/>
        </w:rPr>
        <w:t>, Subdivis</w:t>
      </w:r>
      <w:r w:rsidR="0069344E">
        <w:rPr>
          <w:rStyle w:val="Referencingstyle"/>
        </w:rPr>
        <w:t xml:space="preserve">ion </w:t>
      </w:r>
      <w:r w:rsidR="00FC3E57">
        <w:rPr>
          <w:rStyle w:val="Referencingstyle"/>
        </w:rPr>
        <w:t>B</w:t>
      </w:r>
      <w:r w:rsidR="0069344E">
        <w:rPr>
          <w:rStyle w:val="Referencingstyle"/>
        </w:rPr>
        <w:t xml:space="preserve">, subsection </w:t>
      </w:r>
      <w:r w:rsidR="00927427">
        <w:rPr>
          <w:rStyle w:val="Referencingstyle"/>
        </w:rPr>
        <w:t>7</w:t>
      </w:r>
      <w:r w:rsidR="00F02CBA">
        <w:rPr>
          <w:rStyle w:val="Referencingstyle"/>
        </w:rPr>
        <w:t>5</w:t>
      </w:r>
      <w:r w:rsidR="0069344E" w:rsidRPr="00AB3554">
        <w:rPr>
          <w:rStyle w:val="Referencingstyle"/>
        </w:rPr>
        <w:t>(</w:t>
      </w:r>
      <w:r w:rsidR="0069344E">
        <w:rPr>
          <w:rStyle w:val="Referencingstyle"/>
        </w:rPr>
        <w:t>2</w:t>
      </w:r>
      <w:r w:rsidR="004E3599">
        <w:rPr>
          <w:rStyle w:val="Referencingstyle"/>
        </w:rPr>
        <w:t>)</w:t>
      </w:r>
      <w:r w:rsidR="0069344E" w:rsidRPr="00AB3554">
        <w:rPr>
          <w:rStyle w:val="Referencingstyle"/>
        </w:rPr>
        <w:t>]</w:t>
      </w:r>
    </w:p>
    <w:p w14:paraId="1A182600" w14:textId="77777777" w:rsidR="008D77DB" w:rsidRDefault="004B2CB7" w:rsidP="000F194A">
      <w:pPr>
        <w:pStyle w:val="base-text-paragraph"/>
      </w:pPr>
      <w:r>
        <w:t>A</w:t>
      </w:r>
      <w:r w:rsidR="00671E36">
        <w:t>n individual</w:t>
      </w:r>
      <w:r w:rsidR="008D77DB">
        <w:t xml:space="preserve"> commits an offence with a penalty of </w:t>
      </w:r>
      <w:r w:rsidR="00671E36">
        <w:t>60</w:t>
      </w:r>
      <w:r w:rsidR="008D77DB">
        <w:t xml:space="preserve"> penalty units or imprisonment for </w:t>
      </w:r>
      <w:r w:rsidR="00671E36">
        <w:t>12</w:t>
      </w:r>
      <w:r w:rsidR="008D77DB">
        <w:t xml:space="preserve"> months</w:t>
      </w:r>
      <w:r w:rsidR="00927427">
        <w:t>,</w:t>
      </w:r>
      <w:r w:rsidR="008D77DB">
        <w:t xml:space="preserve"> or both if:</w:t>
      </w:r>
    </w:p>
    <w:p w14:paraId="2B769CFA" w14:textId="77777777" w:rsidR="008D77DB" w:rsidRDefault="008D77DB" w:rsidP="004B2CB7">
      <w:pPr>
        <w:pStyle w:val="dotpoint"/>
      </w:pPr>
      <w:r>
        <w:t xml:space="preserve">the person is an officer of the responsible insurer for a fund under external management or terminating management, or the </w:t>
      </w:r>
      <w:r w:rsidRPr="006C3D7A">
        <w:t>receiver</w:t>
      </w:r>
      <w:r w:rsidR="00EB58D5" w:rsidRPr="006C3D7A">
        <w:t>,</w:t>
      </w:r>
      <w:r w:rsidRPr="006C3D7A">
        <w:t xml:space="preserve"> or receiver and manager</w:t>
      </w:r>
      <w:r w:rsidRPr="00C04AA9">
        <w:t xml:space="preserve"> of any</w:t>
      </w:r>
      <w:r>
        <w:t xml:space="preserve"> of the assets of the fund; and</w:t>
      </w:r>
    </w:p>
    <w:p w14:paraId="0070E789" w14:textId="77777777" w:rsidR="008D77DB" w:rsidRDefault="008D77DB" w:rsidP="004B2CB7">
      <w:pPr>
        <w:pStyle w:val="dotpoint"/>
      </w:pPr>
      <w:r>
        <w:t>the person purported to enter into a transaction or dealing on behalf of the responsible insurer that is void because of the operation of this clause, or was in any way concerned in or a party to the transaction or dealing.</w:t>
      </w:r>
      <w:r w:rsidR="003F2CAA">
        <w:t xml:space="preserve"> </w:t>
      </w:r>
      <w:r w:rsidR="004B2CB7" w:rsidRPr="00AB3554">
        <w:rPr>
          <w:rStyle w:val="Referencingstyle"/>
        </w:rPr>
        <w:t xml:space="preserve">[Part </w:t>
      </w:r>
      <w:r w:rsidR="00D87EA6">
        <w:rPr>
          <w:rStyle w:val="Referencingstyle"/>
        </w:rPr>
        <w:t>3</w:t>
      </w:r>
      <w:r w:rsidR="004B2CB7" w:rsidRPr="00AB3554">
        <w:rPr>
          <w:rStyle w:val="Referencingstyle"/>
        </w:rPr>
        <w:t xml:space="preserve">, Division </w:t>
      </w:r>
      <w:r w:rsidR="00FC3E57">
        <w:rPr>
          <w:rStyle w:val="Referencingstyle"/>
        </w:rPr>
        <w:t>8</w:t>
      </w:r>
      <w:r w:rsidR="004B2CB7" w:rsidRPr="00AB3554">
        <w:rPr>
          <w:rStyle w:val="Referencingstyle"/>
        </w:rPr>
        <w:t>, Subdivis</w:t>
      </w:r>
      <w:r w:rsidR="004B2CB7">
        <w:rPr>
          <w:rStyle w:val="Referencingstyle"/>
        </w:rPr>
        <w:t xml:space="preserve">ion </w:t>
      </w:r>
      <w:r w:rsidR="00FC3E57">
        <w:rPr>
          <w:rStyle w:val="Referencingstyle"/>
        </w:rPr>
        <w:t>B</w:t>
      </w:r>
      <w:r w:rsidR="004B2CB7">
        <w:rPr>
          <w:rStyle w:val="Referencingstyle"/>
        </w:rPr>
        <w:t xml:space="preserve">, subsection </w:t>
      </w:r>
      <w:r w:rsidR="00927427">
        <w:rPr>
          <w:rStyle w:val="Referencingstyle"/>
        </w:rPr>
        <w:t>7</w:t>
      </w:r>
      <w:r w:rsidR="00F02CBA">
        <w:rPr>
          <w:rStyle w:val="Referencingstyle"/>
        </w:rPr>
        <w:t>5</w:t>
      </w:r>
      <w:r w:rsidR="004B2CB7">
        <w:rPr>
          <w:rStyle w:val="Referencingstyle"/>
        </w:rPr>
        <w:t>(4)</w:t>
      </w:r>
      <w:r w:rsidR="004B2CB7" w:rsidRPr="00AB3554">
        <w:rPr>
          <w:rStyle w:val="Referencingstyle"/>
        </w:rPr>
        <w:t>]</w:t>
      </w:r>
    </w:p>
    <w:p w14:paraId="066F158A" w14:textId="77777777" w:rsidR="008D77DB" w:rsidRDefault="008D77DB" w:rsidP="00D87EA6">
      <w:pPr>
        <w:pStyle w:val="Heading5"/>
      </w:pPr>
      <w:r>
        <w:t>Order for compensation where officer involved in void transaction</w:t>
      </w:r>
    </w:p>
    <w:p w14:paraId="6E9A0D66" w14:textId="77777777" w:rsidR="008D77DB" w:rsidRDefault="00D87EA6" w:rsidP="003F2CAA">
      <w:pPr>
        <w:pStyle w:val="base-text-paragraph"/>
        <w:tabs>
          <w:tab w:val="clear" w:pos="1985"/>
          <w:tab w:val="num" w:pos="1986"/>
        </w:tabs>
      </w:pPr>
      <w:r>
        <w:t>If</w:t>
      </w:r>
      <w:r w:rsidR="008D77DB">
        <w:t xml:space="preserve"> a court finds a person guilty of an offence against </w:t>
      </w:r>
      <w:r w:rsidR="00445E95">
        <w:t>sub</w:t>
      </w:r>
      <w:r w:rsidR="00243157">
        <w:t>section</w:t>
      </w:r>
      <w:r w:rsidR="00DF586F">
        <w:t> </w:t>
      </w:r>
      <w:r w:rsidR="007F2C43">
        <w:t>7</w:t>
      </w:r>
      <w:r w:rsidR="00F02CBA">
        <w:t>5</w:t>
      </w:r>
      <w:r w:rsidR="006A2001">
        <w:t xml:space="preserve">(4) </w:t>
      </w:r>
      <w:r w:rsidR="008D77DB">
        <w:t>and is satisfied that the health benefits fund under external management or terminating management concerned has suffered a loss because of the transaction involved in the offence, the court may order the person to pay compensation to the responsible insurer for the fund.</w:t>
      </w:r>
      <w:r w:rsidR="003F2CAA">
        <w:t xml:space="preserve"> </w:t>
      </w:r>
      <w:r w:rsidR="00243157">
        <w:t>An</w:t>
      </w:r>
      <w:r w:rsidR="008D77DB">
        <w:t xml:space="preserve"> order under sub</w:t>
      </w:r>
      <w:r w:rsidR="00243157">
        <w:t>section</w:t>
      </w:r>
      <w:r w:rsidR="008D77DB">
        <w:t xml:space="preserve"> </w:t>
      </w:r>
      <w:r w:rsidR="00927427">
        <w:t>7</w:t>
      </w:r>
      <w:r w:rsidR="00F02CBA">
        <w:t>6</w:t>
      </w:r>
      <w:r w:rsidR="006A2001">
        <w:t xml:space="preserve">(1) </w:t>
      </w:r>
      <w:r w:rsidR="008D77DB">
        <w:t>may be enforc</w:t>
      </w:r>
      <w:r>
        <w:t>e</w:t>
      </w:r>
      <w:r w:rsidR="003F2CAA">
        <w:t xml:space="preserve">d as a judgement of the court. </w:t>
      </w:r>
      <w:r w:rsidR="00671E36">
        <w:t xml:space="preserve">The exoneration provision in section 166 of the </w:t>
      </w:r>
      <w:r w:rsidR="003F2CAA" w:rsidRPr="003F2CAA">
        <w:t xml:space="preserve">Prudential Supervision </w:t>
      </w:r>
      <w:r w:rsidR="00671E36" w:rsidDel="003F2CAA">
        <w:t>Bill</w:t>
      </w:r>
      <w:r w:rsidR="00671E36">
        <w:t xml:space="preserve"> applies in relation to subsection 7</w:t>
      </w:r>
      <w:r w:rsidR="004956B3">
        <w:t>6</w:t>
      </w:r>
      <w:r w:rsidR="00671E36">
        <w:t xml:space="preserve">(1). </w:t>
      </w:r>
      <w:r w:rsidRPr="00AB3554">
        <w:rPr>
          <w:rStyle w:val="Referencingstyle"/>
        </w:rPr>
        <w:t xml:space="preserve">[Part </w:t>
      </w:r>
      <w:r>
        <w:rPr>
          <w:rStyle w:val="Referencingstyle"/>
        </w:rPr>
        <w:t>3</w:t>
      </w:r>
      <w:r w:rsidR="003F2CAA">
        <w:rPr>
          <w:rStyle w:val="Referencingstyle"/>
        </w:rPr>
        <w:t>, Division </w:t>
      </w:r>
      <w:r w:rsidR="006A2001">
        <w:rPr>
          <w:rStyle w:val="Referencingstyle"/>
        </w:rPr>
        <w:t>8</w:t>
      </w:r>
      <w:r w:rsidRPr="00AB3554">
        <w:rPr>
          <w:rStyle w:val="Referencingstyle"/>
        </w:rPr>
        <w:t>, Subdivis</w:t>
      </w:r>
      <w:r>
        <w:rPr>
          <w:rStyle w:val="Referencingstyle"/>
        </w:rPr>
        <w:t xml:space="preserve">ion </w:t>
      </w:r>
      <w:r w:rsidR="006A2001">
        <w:rPr>
          <w:rStyle w:val="Referencingstyle"/>
        </w:rPr>
        <w:t>B</w:t>
      </w:r>
      <w:r>
        <w:rPr>
          <w:rStyle w:val="Referencingstyle"/>
        </w:rPr>
        <w:t>, subsection</w:t>
      </w:r>
      <w:r w:rsidR="00243157">
        <w:rPr>
          <w:rStyle w:val="Referencingstyle"/>
        </w:rPr>
        <w:t>s</w:t>
      </w:r>
      <w:r>
        <w:rPr>
          <w:rStyle w:val="Referencingstyle"/>
        </w:rPr>
        <w:t xml:space="preserve"> </w:t>
      </w:r>
      <w:r w:rsidR="00F02CBA">
        <w:rPr>
          <w:rStyle w:val="Referencingstyle"/>
        </w:rPr>
        <w:t>76</w:t>
      </w:r>
      <w:r>
        <w:rPr>
          <w:rStyle w:val="Referencingstyle"/>
        </w:rPr>
        <w:t>(1)</w:t>
      </w:r>
      <w:r w:rsidR="00243157">
        <w:rPr>
          <w:rStyle w:val="Referencingstyle"/>
        </w:rPr>
        <w:t xml:space="preserve"> and (2)</w:t>
      </w:r>
      <w:r w:rsidRPr="00AB3554">
        <w:rPr>
          <w:rStyle w:val="Referencingstyle"/>
        </w:rPr>
        <w:t>]</w:t>
      </w:r>
    </w:p>
    <w:p w14:paraId="2700E538" w14:textId="77777777" w:rsidR="008D77DB" w:rsidRDefault="006E1343" w:rsidP="006E1343">
      <w:pPr>
        <w:pStyle w:val="Heading4"/>
      </w:pPr>
      <w:r>
        <w:t>Subd</w:t>
      </w:r>
      <w:r w:rsidR="008D77DB">
        <w:t xml:space="preserve">ivision </w:t>
      </w:r>
      <w:r w:rsidR="00071FC8">
        <w:t xml:space="preserve">C </w:t>
      </w:r>
      <w:r w:rsidR="008D77DB">
        <w:t>- Provisions incidental to appointment of managers</w:t>
      </w:r>
    </w:p>
    <w:p w14:paraId="686663CB" w14:textId="77777777" w:rsidR="008D77DB" w:rsidRDefault="008D77DB" w:rsidP="006E1343">
      <w:pPr>
        <w:pStyle w:val="Heading5"/>
      </w:pPr>
      <w:r>
        <w:t>Remuneration of managers</w:t>
      </w:r>
      <w:r w:rsidR="00071FC8">
        <w:t xml:space="preserve">  </w:t>
      </w:r>
    </w:p>
    <w:p w14:paraId="3B0F4367" w14:textId="77777777" w:rsidR="008D77DB" w:rsidRDefault="00EB150E" w:rsidP="000F194A">
      <w:pPr>
        <w:pStyle w:val="base-text-paragraph"/>
      </w:pPr>
      <w:r>
        <w:t>APRA</w:t>
      </w:r>
      <w:r w:rsidR="008D77DB">
        <w:t xml:space="preserve"> may</w:t>
      </w:r>
      <w:r>
        <w:t>, in writing,</w:t>
      </w:r>
      <w:r w:rsidR="008D77DB">
        <w:t xml:space="preserve"> determine the remuneration and allowances for a manager</w:t>
      </w:r>
      <w:r w:rsidR="00260D75">
        <w:t>, unless the Federal Court has made such an order under section 67</w:t>
      </w:r>
      <w:r w:rsidR="00301625">
        <w:t xml:space="preserve">.  Unless APRA determines otherwise, the remuneration and allowances are </w:t>
      </w:r>
      <w:r w:rsidR="008D77DB">
        <w:t>to be paid out of the assets of the health benefits fund under external management or</w:t>
      </w:r>
      <w:r>
        <w:t xml:space="preserve"> terminating management</w:t>
      </w:r>
      <w:r w:rsidR="00301625">
        <w:t xml:space="preserve">.  </w:t>
      </w:r>
      <w:r>
        <w:t xml:space="preserve"> </w:t>
      </w:r>
      <w:r w:rsidRPr="00301625">
        <w:rPr>
          <w:rStyle w:val="Referencingstyle"/>
        </w:rPr>
        <w:t xml:space="preserve">[Part 3, Division </w:t>
      </w:r>
      <w:r w:rsidR="00071FC8">
        <w:rPr>
          <w:rStyle w:val="Referencingstyle"/>
        </w:rPr>
        <w:t>8</w:t>
      </w:r>
      <w:r w:rsidRPr="00301625">
        <w:rPr>
          <w:rStyle w:val="Referencingstyle"/>
        </w:rPr>
        <w:t xml:space="preserve">, </w:t>
      </w:r>
      <w:r w:rsidR="00071FC8">
        <w:rPr>
          <w:rStyle w:val="Referencingstyle"/>
        </w:rPr>
        <w:t>S</w:t>
      </w:r>
      <w:r w:rsidRPr="00301625">
        <w:rPr>
          <w:rStyle w:val="Referencingstyle"/>
        </w:rPr>
        <w:t>ubdivi</w:t>
      </w:r>
      <w:r w:rsidR="00301625">
        <w:rPr>
          <w:rStyle w:val="Referencingstyle"/>
        </w:rPr>
        <w:t xml:space="preserve">sion </w:t>
      </w:r>
      <w:r w:rsidR="00071FC8">
        <w:rPr>
          <w:rStyle w:val="Referencingstyle"/>
        </w:rPr>
        <w:t>C</w:t>
      </w:r>
      <w:r w:rsidR="00301625">
        <w:rPr>
          <w:rStyle w:val="Referencingstyle"/>
        </w:rPr>
        <w:t xml:space="preserve">, </w:t>
      </w:r>
      <w:r w:rsidR="00301625" w:rsidRPr="00301625">
        <w:rPr>
          <w:rStyle w:val="Referencingstyle"/>
        </w:rPr>
        <w:t>s</w:t>
      </w:r>
      <w:r w:rsidRPr="00301625">
        <w:rPr>
          <w:rStyle w:val="Referencingstyle"/>
        </w:rPr>
        <w:t>ection</w:t>
      </w:r>
      <w:r w:rsidR="00301625">
        <w:rPr>
          <w:rStyle w:val="Referencingstyle"/>
        </w:rPr>
        <w:t xml:space="preserve"> </w:t>
      </w:r>
      <w:r w:rsidR="00927427">
        <w:rPr>
          <w:rStyle w:val="Referencingstyle"/>
        </w:rPr>
        <w:t>7</w:t>
      </w:r>
      <w:r w:rsidR="00B743F2">
        <w:rPr>
          <w:rStyle w:val="Referencingstyle"/>
        </w:rPr>
        <w:t>7</w:t>
      </w:r>
      <w:r w:rsidR="00301625" w:rsidRPr="00301625">
        <w:rPr>
          <w:rStyle w:val="Referencingstyle"/>
        </w:rPr>
        <w:t>]</w:t>
      </w:r>
    </w:p>
    <w:p w14:paraId="5399AC65" w14:textId="77777777" w:rsidR="008D77DB" w:rsidRDefault="00B743F2" w:rsidP="00301625">
      <w:pPr>
        <w:pStyle w:val="Heading5"/>
      </w:pPr>
      <w:r>
        <w:t>D</w:t>
      </w:r>
      <w:r w:rsidR="008D77DB">
        <w:t>irections to managers</w:t>
      </w:r>
    </w:p>
    <w:p w14:paraId="497780B3" w14:textId="77777777" w:rsidR="00071FC8" w:rsidRDefault="00301625" w:rsidP="000F194A">
      <w:pPr>
        <w:pStyle w:val="base-text-paragraph"/>
      </w:pPr>
      <w:r>
        <w:t xml:space="preserve">APRA may </w:t>
      </w:r>
      <w:r w:rsidR="008D77DB">
        <w:t>give a manager</w:t>
      </w:r>
      <w:r w:rsidR="008350B3">
        <w:t>, other than a terminating manager appointed in accordance with an order of the Federal Court under Division</w:t>
      </w:r>
      <w:r w:rsidR="00B743F2">
        <w:t> </w:t>
      </w:r>
      <w:r w:rsidR="008350B3">
        <w:t>7,</w:t>
      </w:r>
      <w:r w:rsidR="008D77DB">
        <w:t xml:space="preserve"> written directions concerning the exercise of </w:t>
      </w:r>
      <w:r w:rsidR="00071FC8">
        <w:t>their</w:t>
      </w:r>
      <w:r w:rsidR="008D77DB">
        <w:t xml:space="preserve"> powers.  While the directions </w:t>
      </w:r>
      <w:r w:rsidR="00A56FA3">
        <w:t>may</w:t>
      </w:r>
      <w:r w:rsidR="008D77DB">
        <w:t xml:space="preserve"> be general,</w:t>
      </w:r>
      <w:r w:rsidR="00A56FA3">
        <w:t xml:space="preserve"> depending on the circumstances</w:t>
      </w:r>
      <w:r w:rsidR="008D77DB">
        <w:t xml:space="preserve"> they may take into account the specific circumstances of the health benefits fund under external management or terminating management, and may include directions requiring the provision of interim reports.</w:t>
      </w:r>
      <w:r w:rsidR="003F2CAA">
        <w:t xml:space="preserve"> </w:t>
      </w:r>
      <w:r w:rsidR="008350B3">
        <w:t>If the terminating manager was appointed by the court</w:t>
      </w:r>
      <w:r w:rsidR="0097130D">
        <w:t xml:space="preserve"> (and not by APRA under subsection 37(2))</w:t>
      </w:r>
      <w:r w:rsidR="008350B3">
        <w:t>, then the Federal Court may give directions concerning the exercise of the powers vested in the manager or the provision to APRA of reports.</w:t>
      </w:r>
      <w:r w:rsidR="00071FC8" w:rsidRPr="00071FC8">
        <w:rPr>
          <w:rStyle w:val="Referencingstyle"/>
        </w:rPr>
        <w:t xml:space="preserve"> </w:t>
      </w:r>
      <w:r w:rsidR="00071FC8" w:rsidRPr="00301625">
        <w:rPr>
          <w:rStyle w:val="Referencingstyle"/>
        </w:rPr>
        <w:t xml:space="preserve">[Part 3, Division </w:t>
      </w:r>
      <w:r w:rsidR="00071FC8">
        <w:rPr>
          <w:rStyle w:val="Referencingstyle"/>
        </w:rPr>
        <w:t>8</w:t>
      </w:r>
      <w:r w:rsidR="00071FC8" w:rsidRPr="00301625">
        <w:rPr>
          <w:rStyle w:val="Referencingstyle"/>
        </w:rPr>
        <w:t xml:space="preserve">, </w:t>
      </w:r>
      <w:r w:rsidR="00071FC8">
        <w:rPr>
          <w:rStyle w:val="Referencingstyle"/>
        </w:rPr>
        <w:t>S</w:t>
      </w:r>
      <w:r w:rsidR="00071FC8" w:rsidRPr="00301625">
        <w:rPr>
          <w:rStyle w:val="Referencingstyle"/>
        </w:rPr>
        <w:t>ubdivi</w:t>
      </w:r>
      <w:r w:rsidR="00071FC8">
        <w:rPr>
          <w:rStyle w:val="Referencingstyle"/>
        </w:rPr>
        <w:t xml:space="preserve">sion C, </w:t>
      </w:r>
      <w:r w:rsidR="00071FC8" w:rsidRPr="00301625">
        <w:rPr>
          <w:rStyle w:val="Referencingstyle"/>
        </w:rPr>
        <w:t>s</w:t>
      </w:r>
      <w:r w:rsidR="00071FC8">
        <w:rPr>
          <w:rStyle w:val="Referencingstyle"/>
        </w:rPr>
        <w:t>ub</w:t>
      </w:r>
      <w:r w:rsidR="00071FC8" w:rsidRPr="00301625">
        <w:rPr>
          <w:rStyle w:val="Referencingstyle"/>
        </w:rPr>
        <w:t>sectio</w:t>
      </w:r>
      <w:r w:rsidR="00071FC8">
        <w:rPr>
          <w:rStyle w:val="Referencingstyle"/>
        </w:rPr>
        <w:t>ns </w:t>
      </w:r>
      <w:r w:rsidR="00927427">
        <w:rPr>
          <w:rStyle w:val="Referencingstyle"/>
        </w:rPr>
        <w:t>7</w:t>
      </w:r>
      <w:r w:rsidR="000C0A3A">
        <w:rPr>
          <w:rStyle w:val="Referencingstyle"/>
        </w:rPr>
        <w:t>8</w:t>
      </w:r>
      <w:r w:rsidR="00071FC8">
        <w:rPr>
          <w:rStyle w:val="Referencingstyle"/>
        </w:rPr>
        <w:t>(1</w:t>
      </w:r>
      <w:r w:rsidR="00AF10AA">
        <w:rPr>
          <w:rStyle w:val="Referencingstyle"/>
        </w:rPr>
        <w:t>)</w:t>
      </w:r>
      <w:r w:rsidR="00867B04">
        <w:rPr>
          <w:rStyle w:val="Referencingstyle"/>
        </w:rPr>
        <w:t>,</w:t>
      </w:r>
      <w:r w:rsidR="00071FC8">
        <w:rPr>
          <w:rStyle w:val="Referencingstyle"/>
        </w:rPr>
        <w:t xml:space="preserve"> (2</w:t>
      </w:r>
      <w:r w:rsidR="00071FC8" w:rsidRPr="00301625">
        <w:rPr>
          <w:rStyle w:val="Referencingstyle"/>
        </w:rPr>
        <w:t>)</w:t>
      </w:r>
      <w:r w:rsidR="00867B04">
        <w:rPr>
          <w:rStyle w:val="Referencingstyle"/>
        </w:rPr>
        <w:t>, (3) and</w:t>
      </w:r>
      <w:r w:rsidR="00A56FA3">
        <w:rPr>
          <w:rStyle w:val="Referencingstyle"/>
        </w:rPr>
        <w:t> </w:t>
      </w:r>
      <w:r w:rsidR="00867B04">
        <w:rPr>
          <w:rStyle w:val="Referencingstyle"/>
        </w:rPr>
        <w:t>(4</w:t>
      </w:r>
      <w:r w:rsidR="00071FC8" w:rsidRPr="00301625">
        <w:rPr>
          <w:rStyle w:val="Referencingstyle"/>
        </w:rPr>
        <w:t>)]</w:t>
      </w:r>
    </w:p>
    <w:p w14:paraId="08911CFC" w14:textId="77777777" w:rsidR="008D77DB" w:rsidRPr="0059474C" w:rsidRDefault="00071FC8" w:rsidP="000F194A">
      <w:pPr>
        <w:pStyle w:val="base-text-paragraph"/>
        <w:rPr>
          <w:lang w:val="fr-FR"/>
        </w:rPr>
      </w:pPr>
      <w:r>
        <w:t>The man</w:t>
      </w:r>
      <w:r w:rsidR="004C0878">
        <w:t>a</w:t>
      </w:r>
      <w:r>
        <w:t xml:space="preserve">ger must comply with written direction.  </w:t>
      </w:r>
      <w:r w:rsidRPr="0059474C">
        <w:rPr>
          <w:rStyle w:val="Referencingstyle"/>
          <w:lang w:val="fr-FR"/>
        </w:rPr>
        <w:t>[Part 3, Division</w:t>
      </w:r>
      <w:r w:rsidR="00B743F2">
        <w:rPr>
          <w:rStyle w:val="Referencingstyle"/>
          <w:lang w:val="fr-FR"/>
        </w:rPr>
        <w:t> </w:t>
      </w:r>
      <w:r w:rsidRPr="0059474C">
        <w:rPr>
          <w:rStyle w:val="Referencingstyle"/>
          <w:lang w:val="fr-FR"/>
        </w:rPr>
        <w:t xml:space="preserve">8, Subdivision C, section </w:t>
      </w:r>
      <w:r w:rsidR="00927427" w:rsidRPr="0059474C">
        <w:rPr>
          <w:rStyle w:val="Referencingstyle"/>
          <w:lang w:val="fr-FR"/>
        </w:rPr>
        <w:t>7</w:t>
      </w:r>
      <w:r w:rsidR="000C0A3A">
        <w:rPr>
          <w:rStyle w:val="Referencingstyle"/>
          <w:lang w:val="fr-FR"/>
        </w:rPr>
        <w:t>8</w:t>
      </w:r>
      <w:r w:rsidRPr="0059474C">
        <w:rPr>
          <w:rStyle w:val="Referencingstyle"/>
          <w:lang w:val="fr-FR"/>
        </w:rPr>
        <w:t>(</w:t>
      </w:r>
      <w:r w:rsidR="00B743F2">
        <w:rPr>
          <w:rStyle w:val="Referencingstyle"/>
          <w:lang w:val="fr-FR"/>
        </w:rPr>
        <w:t>5</w:t>
      </w:r>
      <w:r w:rsidRPr="0059474C">
        <w:rPr>
          <w:rStyle w:val="Referencingstyle"/>
          <w:lang w:val="fr-FR"/>
        </w:rPr>
        <w:t>)]</w:t>
      </w:r>
    </w:p>
    <w:p w14:paraId="4211ADBD" w14:textId="77777777" w:rsidR="008D77DB" w:rsidRDefault="008D77DB" w:rsidP="005701D8">
      <w:pPr>
        <w:pStyle w:val="Heading5"/>
      </w:pPr>
      <w:r>
        <w:t>Termination of appointments of managers</w:t>
      </w:r>
    </w:p>
    <w:p w14:paraId="3B42FC5C" w14:textId="77777777" w:rsidR="00B165D5" w:rsidRPr="00B165D5" w:rsidRDefault="005701D8" w:rsidP="000F194A">
      <w:pPr>
        <w:pStyle w:val="base-text-paragraph"/>
      </w:pPr>
      <w:r>
        <w:t>APRA</w:t>
      </w:r>
      <w:r w:rsidR="008D77DB">
        <w:t xml:space="preserve"> may terminate the appointment of a manager with effect from the dat</w:t>
      </w:r>
      <w:r w:rsidR="003F2CAA">
        <w:t xml:space="preserve">e specified in the instrument. </w:t>
      </w:r>
      <w:r w:rsidR="00B165D5" w:rsidRPr="00881D23">
        <w:t>This includes a terminating manager appointed by the F</w:t>
      </w:r>
      <w:r w:rsidR="003F2CAA">
        <w:t xml:space="preserve">ederal Court under Division 7. </w:t>
      </w:r>
      <w:r w:rsidR="00B165D5" w:rsidRPr="00881D23">
        <w:t>APRA would require this ca</w:t>
      </w:r>
      <w:r w:rsidR="00B165D5" w:rsidRPr="006F79CB">
        <w:t xml:space="preserve">pability in certain circumstances, such as when the external or terminating management has been completed or </w:t>
      </w:r>
      <w:r w:rsidR="00A56FA3">
        <w:t xml:space="preserve">it emerges that </w:t>
      </w:r>
      <w:r w:rsidR="00B165D5" w:rsidRPr="006F79CB">
        <w:t xml:space="preserve">a manager, including a terminating manager appointed by the court, has a conflict of interest, or is not conducting their functions in a competent </w:t>
      </w:r>
      <w:r w:rsidR="00B165D5" w:rsidRPr="008737D8">
        <w:t>manner or in accordance with the law.</w:t>
      </w:r>
    </w:p>
    <w:p w14:paraId="13D820F4" w14:textId="77777777" w:rsidR="008D77DB" w:rsidRDefault="00867B04" w:rsidP="000F194A">
      <w:pPr>
        <w:pStyle w:val="base-text-paragraph"/>
      </w:pPr>
      <w:r>
        <w:t xml:space="preserve">In that event the manager is divested of the functions and powers set out in subsection </w:t>
      </w:r>
      <w:r w:rsidR="000C0A3A">
        <w:t>70</w:t>
      </w:r>
      <w:r w:rsidRPr="00867B04">
        <w:t xml:space="preserve">(1) </w:t>
      </w:r>
      <w:r>
        <w:t>and all the other functions and powers of the man</w:t>
      </w:r>
      <w:r w:rsidR="00752B76">
        <w:t>a</w:t>
      </w:r>
      <w:r>
        <w:t xml:space="preserve">ger in relation to the health benefits fund(s) cease. </w:t>
      </w:r>
      <w:r w:rsidR="005701D8" w:rsidRPr="00301625">
        <w:rPr>
          <w:rStyle w:val="Referencingstyle"/>
        </w:rPr>
        <w:t xml:space="preserve">[Part 3, Division </w:t>
      </w:r>
      <w:r w:rsidR="005D65CA">
        <w:rPr>
          <w:rStyle w:val="Referencingstyle"/>
        </w:rPr>
        <w:t>8</w:t>
      </w:r>
      <w:r w:rsidR="005701D8" w:rsidRPr="00301625">
        <w:rPr>
          <w:rStyle w:val="Referencingstyle"/>
        </w:rPr>
        <w:t xml:space="preserve">, </w:t>
      </w:r>
      <w:r w:rsidR="005D65CA">
        <w:rPr>
          <w:rStyle w:val="Referencingstyle"/>
        </w:rPr>
        <w:t>S</w:t>
      </w:r>
      <w:r w:rsidR="005D65CA" w:rsidRPr="00301625">
        <w:rPr>
          <w:rStyle w:val="Referencingstyle"/>
        </w:rPr>
        <w:t xml:space="preserve">ubdivision </w:t>
      </w:r>
      <w:r w:rsidR="005D65CA">
        <w:rPr>
          <w:rStyle w:val="Referencingstyle"/>
        </w:rPr>
        <w:t>C</w:t>
      </w:r>
      <w:r w:rsidR="005701D8" w:rsidRPr="00301625">
        <w:rPr>
          <w:rStyle w:val="Referencingstyle"/>
        </w:rPr>
        <w:t>, s</w:t>
      </w:r>
      <w:r w:rsidR="005701D8">
        <w:rPr>
          <w:rStyle w:val="Referencingstyle"/>
        </w:rPr>
        <w:t>ub</w:t>
      </w:r>
      <w:r w:rsidR="005701D8" w:rsidRPr="00301625">
        <w:rPr>
          <w:rStyle w:val="Referencingstyle"/>
        </w:rPr>
        <w:t xml:space="preserve">section </w:t>
      </w:r>
      <w:r w:rsidR="00927427">
        <w:rPr>
          <w:rStyle w:val="Referencingstyle"/>
        </w:rPr>
        <w:t>7</w:t>
      </w:r>
      <w:r w:rsidR="000C0A3A">
        <w:rPr>
          <w:rStyle w:val="Referencingstyle"/>
        </w:rPr>
        <w:t>9</w:t>
      </w:r>
      <w:r w:rsidR="005701D8" w:rsidRPr="00301625">
        <w:rPr>
          <w:rStyle w:val="Referencingstyle"/>
        </w:rPr>
        <w:t>(1)]</w:t>
      </w:r>
    </w:p>
    <w:p w14:paraId="6574E7B6" w14:textId="77777777" w:rsidR="008D77DB" w:rsidRDefault="005701D8" w:rsidP="007E0B53">
      <w:pPr>
        <w:pStyle w:val="base-text-paragraph"/>
        <w:keepNext/>
        <w:keepLines/>
      </w:pPr>
      <w:r>
        <w:t>If</w:t>
      </w:r>
      <w:r w:rsidR="008D77DB">
        <w:t xml:space="preserve"> the appointment of an external manager is terminated, </w:t>
      </w:r>
      <w:r>
        <w:t>APRA</w:t>
      </w:r>
      <w:r w:rsidR="008D77DB">
        <w:t xml:space="preserve"> may appoint a replacement manager to carry on the external management</w:t>
      </w:r>
      <w:r w:rsidR="003F2CAA">
        <w:t xml:space="preserve">. </w:t>
      </w:r>
      <w:r w:rsidR="008D77DB">
        <w:t>If it does not, then the power to control, carry on and manage the business, affairs and property of the health benefits fund vests again in the office</w:t>
      </w:r>
      <w:r w:rsidR="003F2CAA">
        <w:t xml:space="preserve">rs of the responsible insurer. </w:t>
      </w:r>
      <w:r w:rsidRPr="00301625">
        <w:rPr>
          <w:rStyle w:val="Referencingstyle"/>
        </w:rPr>
        <w:t xml:space="preserve">[Part 3, Division </w:t>
      </w:r>
      <w:r w:rsidR="005D65CA">
        <w:rPr>
          <w:rStyle w:val="Referencingstyle"/>
        </w:rPr>
        <w:t>8</w:t>
      </w:r>
      <w:r w:rsidRPr="00301625">
        <w:rPr>
          <w:rStyle w:val="Referencingstyle"/>
        </w:rPr>
        <w:t xml:space="preserve">, </w:t>
      </w:r>
      <w:r w:rsidR="005D65CA">
        <w:rPr>
          <w:rStyle w:val="Referencingstyle"/>
        </w:rPr>
        <w:t>S</w:t>
      </w:r>
      <w:r w:rsidRPr="00301625">
        <w:rPr>
          <w:rStyle w:val="Referencingstyle"/>
        </w:rPr>
        <w:t xml:space="preserve">ubdivision </w:t>
      </w:r>
      <w:r w:rsidR="005D65CA">
        <w:rPr>
          <w:rStyle w:val="Referencingstyle"/>
        </w:rPr>
        <w:t>C</w:t>
      </w:r>
      <w:r w:rsidRPr="00301625">
        <w:rPr>
          <w:rStyle w:val="Referencingstyle"/>
        </w:rPr>
        <w:t>, s</w:t>
      </w:r>
      <w:r>
        <w:rPr>
          <w:rStyle w:val="Referencingstyle"/>
        </w:rPr>
        <w:t>ub</w:t>
      </w:r>
      <w:r w:rsidRPr="00301625">
        <w:rPr>
          <w:rStyle w:val="Referencingstyle"/>
        </w:rPr>
        <w:t>section</w:t>
      </w:r>
      <w:r>
        <w:rPr>
          <w:rStyle w:val="Referencingstyle"/>
        </w:rPr>
        <w:t>s</w:t>
      </w:r>
      <w:r w:rsidR="003F2CAA">
        <w:rPr>
          <w:rStyle w:val="Referencingstyle"/>
        </w:rPr>
        <w:t> </w:t>
      </w:r>
      <w:r w:rsidR="00927427">
        <w:rPr>
          <w:rStyle w:val="Referencingstyle"/>
        </w:rPr>
        <w:t>7</w:t>
      </w:r>
      <w:r w:rsidR="000C0A3A">
        <w:rPr>
          <w:rStyle w:val="Referencingstyle"/>
        </w:rPr>
        <w:t>9</w:t>
      </w:r>
      <w:r w:rsidRPr="00301625">
        <w:rPr>
          <w:rStyle w:val="Referencingstyle"/>
        </w:rPr>
        <w:t>(</w:t>
      </w:r>
      <w:r>
        <w:rPr>
          <w:rStyle w:val="Referencingstyle"/>
        </w:rPr>
        <w:t>2</w:t>
      </w:r>
      <w:r w:rsidRPr="00301625">
        <w:rPr>
          <w:rStyle w:val="Referencingstyle"/>
        </w:rPr>
        <w:t>)</w:t>
      </w:r>
      <w:r w:rsidR="003F2CAA">
        <w:rPr>
          <w:rStyle w:val="Referencingstyle"/>
        </w:rPr>
        <w:t> and </w:t>
      </w:r>
      <w:r>
        <w:rPr>
          <w:rStyle w:val="Referencingstyle"/>
        </w:rPr>
        <w:t>(</w:t>
      </w:r>
      <w:r w:rsidR="008350B3">
        <w:rPr>
          <w:rStyle w:val="Referencingstyle"/>
        </w:rPr>
        <w:t>4</w:t>
      </w:r>
      <w:r>
        <w:rPr>
          <w:rStyle w:val="Referencingstyle"/>
        </w:rPr>
        <w:t>)</w:t>
      </w:r>
      <w:r w:rsidRPr="00301625">
        <w:rPr>
          <w:rStyle w:val="Referencingstyle"/>
        </w:rPr>
        <w:t>]</w:t>
      </w:r>
    </w:p>
    <w:p w14:paraId="50EA1E5D" w14:textId="77777777" w:rsidR="008D77DB" w:rsidRDefault="000D62C2" w:rsidP="000F194A">
      <w:pPr>
        <w:pStyle w:val="base-text-paragraph"/>
      </w:pPr>
      <w:r>
        <w:t>I</w:t>
      </w:r>
      <w:r w:rsidR="008D77DB">
        <w:t xml:space="preserve">f the appointment of a terminating manager is terminated, </w:t>
      </w:r>
      <w:r>
        <w:t>APRA</w:t>
      </w:r>
      <w:r w:rsidR="008D77DB">
        <w:t xml:space="preserve"> must appoint a replacement manager to carry on the terminating management</w:t>
      </w:r>
      <w:r w:rsidR="003F2CAA">
        <w:t xml:space="preserve">, subject to two exceptions. </w:t>
      </w:r>
      <w:r w:rsidR="00B64D86">
        <w:t>The first exception is where</w:t>
      </w:r>
      <w:r w:rsidR="008D77DB">
        <w:t xml:space="preserve"> the Federal Court has ordered an end to the termination </w:t>
      </w:r>
      <w:r w:rsidR="00B64D86">
        <w:t xml:space="preserve">of the funds </w:t>
      </w:r>
      <w:r w:rsidR="008D77DB">
        <w:t xml:space="preserve">under </w:t>
      </w:r>
      <w:r>
        <w:t>section</w:t>
      </w:r>
      <w:r w:rsidR="008D77DB">
        <w:t xml:space="preserve"> </w:t>
      </w:r>
      <w:r w:rsidR="00792A66">
        <w:t>43</w:t>
      </w:r>
      <w:r w:rsidR="00B64D86">
        <w:t>.</w:t>
      </w:r>
      <w:r w:rsidR="008D77DB">
        <w:t xml:space="preserve"> </w:t>
      </w:r>
      <w:r w:rsidR="00B64D86">
        <w:t xml:space="preserve">In that event the power to control, carry on and manage </w:t>
      </w:r>
      <w:r w:rsidR="00B165D5">
        <w:t>any remaining</w:t>
      </w:r>
      <w:r w:rsidR="00B64D86">
        <w:t xml:space="preserve"> business, affairs and property of the health benefits fund vests again in the officers of the responsible insurer</w:t>
      </w:r>
      <w:r w:rsidR="00B165D5">
        <w:t>, subject to any order of the court under subsection 43(4)</w:t>
      </w:r>
      <w:r w:rsidR="00B64D86">
        <w:t xml:space="preserve">. </w:t>
      </w:r>
      <w:r w:rsidR="00B165D5">
        <w:t xml:space="preserve">The second is where the termination is complete and the manager has reported to APRA under section 47. </w:t>
      </w:r>
      <w:r w:rsidR="003F2CAA">
        <w:t>I</w:t>
      </w:r>
      <w:r w:rsidR="00B64D86">
        <w:t>n all other circumstances (</w:t>
      </w:r>
      <w:r w:rsidR="000C0A3A">
        <w:t>for example</w:t>
      </w:r>
      <w:r w:rsidR="00B64D86">
        <w:t xml:space="preserve"> where the terminating manager has been removed under the section because </w:t>
      </w:r>
      <w:r w:rsidR="00752B76">
        <w:t xml:space="preserve">they </w:t>
      </w:r>
      <w:r w:rsidR="00B64D86">
        <w:t>cannot continue to perform the functions of terminating manager, or it is inappropriate that they continue to do so) APRA must appoi</w:t>
      </w:r>
      <w:r w:rsidR="003F2CAA">
        <w:t>nt another terminating manager.</w:t>
      </w:r>
      <w:r>
        <w:t xml:space="preserve"> </w:t>
      </w:r>
      <w:r w:rsidR="003F2CAA">
        <w:rPr>
          <w:rStyle w:val="Referencingstyle"/>
        </w:rPr>
        <w:t>[Part 3, Division </w:t>
      </w:r>
      <w:r w:rsidR="005D65CA">
        <w:rPr>
          <w:rStyle w:val="Referencingstyle"/>
        </w:rPr>
        <w:t>8</w:t>
      </w:r>
      <w:r w:rsidRPr="00301625">
        <w:rPr>
          <w:rStyle w:val="Referencingstyle"/>
        </w:rPr>
        <w:t xml:space="preserve">, </w:t>
      </w:r>
      <w:r w:rsidR="005D65CA">
        <w:rPr>
          <w:rStyle w:val="Referencingstyle"/>
        </w:rPr>
        <w:t>S</w:t>
      </w:r>
      <w:r w:rsidRPr="00301625">
        <w:rPr>
          <w:rStyle w:val="Referencingstyle"/>
        </w:rPr>
        <w:t xml:space="preserve">ubdivision </w:t>
      </w:r>
      <w:r w:rsidR="005D65CA">
        <w:rPr>
          <w:rStyle w:val="Referencingstyle"/>
        </w:rPr>
        <w:t>C</w:t>
      </w:r>
      <w:r w:rsidRPr="00301625">
        <w:rPr>
          <w:rStyle w:val="Referencingstyle"/>
        </w:rPr>
        <w:t>, s</w:t>
      </w:r>
      <w:r>
        <w:rPr>
          <w:rStyle w:val="Referencingstyle"/>
        </w:rPr>
        <w:t>ub</w:t>
      </w:r>
      <w:r w:rsidRPr="00301625">
        <w:rPr>
          <w:rStyle w:val="Referencingstyle"/>
        </w:rPr>
        <w:t>section</w:t>
      </w:r>
      <w:r w:rsidR="009158DC">
        <w:rPr>
          <w:rStyle w:val="Referencingstyle"/>
        </w:rPr>
        <w:t>s</w:t>
      </w:r>
      <w:r>
        <w:rPr>
          <w:rStyle w:val="Referencingstyle"/>
        </w:rPr>
        <w:t xml:space="preserve"> </w:t>
      </w:r>
      <w:r w:rsidR="00927427">
        <w:rPr>
          <w:rStyle w:val="Referencingstyle"/>
        </w:rPr>
        <w:t>7</w:t>
      </w:r>
      <w:r w:rsidR="000C0A3A">
        <w:rPr>
          <w:rStyle w:val="Referencingstyle"/>
        </w:rPr>
        <w:t>9</w:t>
      </w:r>
      <w:r w:rsidRPr="00301625">
        <w:rPr>
          <w:rStyle w:val="Referencingstyle"/>
        </w:rPr>
        <w:t>(</w:t>
      </w:r>
      <w:r w:rsidR="00B64D86">
        <w:rPr>
          <w:rStyle w:val="Referencingstyle"/>
        </w:rPr>
        <w:t>3</w:t>
      </w:r>
      <w:r w:rsidRPr="00301625">
        <w:rPr>
          <w:rStyle w:val="Referencingstyle"/>
        </w:rPr>
        <w:t>)</w:t>
      </w:r>
      <w:r w:rsidR="00B64D86">
        <w:rPr>
          <w:rStyle w:val="Referencingstyle"/>
        </w:rPr>
        <w:t xml:space="preserve"> and (4)</w:t>
      </w:r>
      <w:r w:rsidRPr="00301625">
        <w:rPr>
          <w:rStyle w:val="Referencingstyle"/>
        </w:rPr>
        <w:t>]</w:t>
      </w:r>
    </w:p>
    <w:p w14:paraId="409BA92E" w14:textId="77777777" w:rsidR="008D77DB" w:rsidRDefault="000D62C2" w:rsidP="000D62C2">
      <w:pPr>
        <w:pStyle w:val="Heading5"/>
      </w:pPr>
      <w:r>
        <w:t xml:space="preserve">Act </w:t>
      </w:r>
      <w:r w:rsidR="008D77DB">
        <w:t>of managers valid etc.</w:t>
      </w:r>
    </w:p>
    <w:p w14:paraId="2EB629EC" w14:textId="77777777" w:rsidR="00E458CE" w:rsidRDefault="00E458CE" w:rsidP="000F194A">
      <w:pPr>
        <w:pStyle w:val="base-text-paragraph"/>
      </w:pPr>
      <w:r>
        <w:t>The</w:t>
      </w:r>
      <w:r w:rsidR="008D77DB">
        <w:t xml:space="preserve"> acts of a manager of a health benefits fund are valid despite any defect or irregularity found later in his or her appointment.</w:t>
      </w:r>
      <w:r w:rsidR="003F2CAA">
        <w:t xml:space="preserve"> </w:t>
      </w:r>
      <w:r w:rsidRPr="00301625">
        <w:rPr>
          <w:rStyle w:val="Referencingstyle"/>
        </w:rPr>
        <w:t xml:space="preserve">[Part 3, Division </w:t>
      </w:r>
      <w:r w:rsidR="003C06F5">
        <w:rPr>
          <w:rStyle w:val="Referencingstyle"/>
        </w:rPr>
        <w:t>8</w:t>
      </w:r>
      <w:r w:rsidRPr="00301625">
        <w:rPr>
          <w:rStyle w:val="Referencingstyle"/>
        </w:rPr>
        <w:t xml:space="preserve">, </w:t>
      </w:r>
      <w:r w:rsidR="003C06F5">
        <w:rPr>
          <w:rStyle w:val="Referencingstyle"/>
        </w:rPr>
        <w:t>S</w:t>
      </w:r>
      <w:r w:rsidRPr="00301625">
        <w:rPr>
          <w:rStyle w:val="Referencingstyle"/>
        </w:rPr>
        <w:t xml:space="preserve">ubdivision </w:t>
      </w:r>
      <w:r w:rsidR="003C06F5">
        <w:rPr>
          <w:rStyle w:val="Referencingstyle"/>
        </w:rPr>
        <w:t>C</w:t>
      </w:r>
      <w:r w:rsidRPr="00301625">
        <w:rPr>
          <w:rStyle w:val="Referencingstyle"/>
        </w:rPr>
        <w:t>, s</w:t>
      </w:r>
      <w:r>
        <w:rPr>
          <w:rStyle w:val="Referencingstyle"/>
        </w:rPr>
        <w:t>ub</w:t>
      </w:r>
      <w:r w:rsidRPr="00301625">
        <w:rPr>
          <w:rStyle w:val="Referencingstyle"/>
        </w:rPr>
        <w:t>section</w:t>
      </w:r>
      <w:r>
        <w:rPr>
          <w:rStyle w:val="Referencingstyle"/>
        </w:rPr>
        <w:t xml:space="preserve"> </w:t>
      </w:r>
      <w:r w:rsidR="000C0A3A">
        <w:rPr>
          <w:rStyle w:val="Referencingstyle"/>
        </w:rPr>
        <w:t>80</w:t>
      </w:r>
      <w:r w:rsidRPr="00301625">
        <w:rPr>
          <w:rStyle w:val="Referencingstyle"/>
        </w:rPr>
        <w:t>(</w:t>
      </w:r>
      <w:r>
        <w:rPr>
          <w:rStyle w:val="Referencingstyle"/>
        </w:rPr>
        <w:t>1</w:t>
      </w:r>
      <w:r w:rsidRPr="00301625">
        <w:rPr>
          <w:rStyle w:val="Referencingstyle"/>
        </w:rPr>
        <w:t>)]</w:t>
      </w:r>
    </w:p>
    <w:p w14:paraId="1D72FEE7" w14:textId="77777777" w:rsidR="00927427" w:rsidRPr="00105FC8" w:rsidRDefault="00E458CE" w:rsidP="000F194A">
      <w:pPr>
        <w:pStyle w:val="base-text-paragraph"/>
        <w:rPr>
          <w:rStyle w:val="Referencingstyle"/>
          <w:b w:val="0"/>
          <w:i w:val="0"/>
          <w:sz w:val="22"/>
        </w:rPr>
      </w:pPr>
      <w:r>
        <w:t>P</w:t>
      </w:r>
      <w:r w:rsidR="008D77DB">
        <w:t xml:space="preserve">ersons dealing with the fund in good faith without any knowledge of </w:t>
      </w:r>
      <w:r w:rsidR="00176C3C">
        <w:t>any</w:t>
      </w:r>
      <w:r w:rsidR="008D77DB">
        <w:t xml:space="preserve"> defect o</w:t>
      </w:r>
      <w:r w:rsidR="00176C3C">
        <w:t>r</w:t>
      </w:r>
      <w:r w:rsidR="008D77DB">
        <w:t xml:space="preserve"> irregularity in the appointment of the manager</w:t>
      </w:r>
      <w:r>
        <w:t xml:space="preserve"> are protected from the invalidity of certain transaction</w:t>
      </w:r>
      <w:r w:rsidR="00176C3C">
        <w:t>s</w:t>
      </w:r>
      <w:r w:rsidR="008D77DB">
        <w:t>.</w:t>
      </w:r>
      <w:r w:rsidR="003F2CAA">
        <w:t xml:space="preserve"> </w:t>
      </w:r>
      <w:r w:rsidR="00624C2E" w:rsidRPr="00301625">
        <w:rPr>
          <w:rStyle w:val="Referencingstyle"/>
        </w:rPr>
        <w:t xml:space="preserve">[Part 3, Division </w:t>
      </w:r>
      <w:r w:rsidR="003C06F5">
        <w:rPr>
          <w:rStyle w:val="Referencingstyle"/>
        </w:rPr>
        <w:t>8</w:t>
      </w:r>
      <w:r w:rsidR="00624C2E" w:rsidRPr="00301625">
        <w:rPr>
          <w:rStyle w:val="Referencingstyle"/>
        </w:rPr>
        <w:t xml:space="preserve">, </w:t>
      </w:r>
      <w:r w:rsidR="003C06F5">
        <w:rPr>
          <w:rStyle w:val="Referencingstyle"/>
        </w:rPr>
        <w:t>S</w:t>
      </w:r>
      <w:r w:rsidR="00624C2E" w:rsidRPr="00301625">
        <w:rPr>
          <w:rStyle w:val="Referencingstyle"/>
        </w:rPr>
        <w:t xml:space="preserve">ubdivision </w:t>
      </w:r>
      <w:r w:rsidR="003C06F5">
        <w:rPr>
          <w:rStyle w:val="Referencingstyle"/>
        </w:rPr>
        <w:t>C</w:t>
      </w:r>
      <w:r w:rsidR="00624C2E" w:rsidRPr="00301625">
        <w:rPr>
          <w:rStyle w:val="Referencingstyle"/>
        </w:rPr>
        <w:t>, s</w:t>
      </w:r>
      <w:r w:rsidR="00624C2E">
        <w:rPr>
          <w:rStyle w:val="Referencingstyle"/>
        </w:rPr>
        <w:t>ub</w:t>
      </w:r>
      <w:r w:rsidR="00624C2E" w:rsidRPr="00301625">
        <w:rPr>
          <w:rStyle w:val="Referencingstyle"/>
        </w:rPr>
        <w:t>section</w:t>
      </w:r>
      <w:r w:rsidR="00624C2E">
        <w:rPr>
          <w:rStyle w:val="Referencingstyle"/>
        </w:rPr>
        <w:t xml:space="preserve"> </w:t>
      </w:r>
      <w:r w:rsidR="000C0A3A">
        <w:rPr>
          <w:rStyle w:val="Referencingstyle"/>
        </w:rPr>
        <w:t>80</w:t>
      </w:r>
      <w:r w:rsidR="00624C2E" w:rsidRPr="00301625">
        <w:rPr>
          <w:rStyle w:val="Referencingstyle"/>
        </w:rPr>
        <w:t>(</w:t>
      </w:r>
      <w:r w:rsidR="00624C2E">
        <w:rPr>
          <w:rStyle w:val="Referencingstyle"/>
        </w:rPr>
        <w:t>2</w:t>
      </w:r>
      <w:r w:rsidR="00624C2E" w:rsidRPr="00301625">
        <w:rPr>
          <w:rStyle w:val="Referencingstyle"/>
        </w:rPr>
        <w:t>)]</w:t>
      </w:r>
    </w:p>
    <w:p w14:paraId="5FA9B849" w14:textId="77777777" w:rsidR="003C06F5" w:rsidRPr="003C06F5" w:rsidRDefault="003C06F5" w:rsidP="000F194A">
      <w:pPr>
        <w:pStyle w:val="base-text-paragraph"/>
      </w:pPr>
      <w:r>
        <w:t>P</w:t>
      </w:r>
      <w:r w:rsidRPr="003C06F5">
        <w:t xml:space="preserve">ersons </w:t>
      </w:r>
      <w:r>
        <w:t xml:space="preserve">making or permitting </w:t>
      </w:r>
      <w:r w:rsidR="006D397D">
        <w:t xml:space="preserve">any </w:t>
      </w:r>
      <w:r>
        <w:t xml:space="preserve">payment or disposition </w:t>
      </w:r>
      <w:r w:rsidR="006D397D">
        <w:t>of assets</w:t>
      </w:r>
      <w:r>
        <w:t xml:space="preserve"> </w:t>
      </w:r>
      <w:r w:rsidR="006D397D">
        <w:t>of</w:t>
      </w:r>
      <w:r>
        <w:t xml:space="preserve"> the fund </w:t>
      </w:r>
      <w:r w:rsidRPr="003C06F5">
        <w:t>without any knowledge of the defect o</w:t>
      </w:r>
      <w:r w:rsidR="006D397D">
        <w:t>r</w:t>
      </w:r>
      <w:r w:rsidRPr="003C06F5">
        <w:t xml:space="preserve"> irregularity in the appointment of the manager are protected </w:t>
      </w:r>
      <w:r w:rsidR="003F2CAA">
        <w:t>and indemnified.</w:t>
      </w:r>
      <w:r>
        <w:t xml:space="preserve"> </w:t>
      </w:r>
      <w:r w:rsidRPr="001A57F7">
        <w:rPr>
          <w:rStyle w:val="Referencingstyle"/>
        </w:rPr>
        <w:t>[Part 3, Division</w:t>
      </w:r>
      <w:r w:rsidR="00C20B7E">
        <w:rPr>
          <w:rStyle w:val="Referencingstyle"/>
        </w:rPr>
        <w:t> </w:t>
      </w:r>
      <w:r w:rsidRPr="001A57F7">
        <w:rPr>
          <w:rStyle w:val="Referencingstyle"/>
        </w:rPr>
        <w:t>8</w:t>
      </w:r>
      <w:r w:rsidRPr="003C06F5">
        <w:rPr>
          <w:rStyle w:val="Referencingstyle"/>
        </w:rPr>
        <w:t xml:space="preserve">, Subdivision C, subsection </w:t>
      </w:r>
      <w:r w:rsidR="000C0A3A">
        <w:rPr>
          <w:rStyle w:val="Referencingstyle"/>
        </w:rPr>
        <w:t>80</w:t>
      </w:r>
      <w:r w:rsidRPr="003C06F5">
        <w:rPr>
          <w:rStyle w:val="Referencingstyle"/>
        </w:rPr>
        <w:t>(</w:t>
      </w:r>
      <w:r>
        <w:rPr>
          <w:rStyle w:val="Referencingstyle"/>
        </w:rPr>
        <w:t>3</w:t>
      </w:r>
      <w:r w:rsidRPr="001A57F7">
        <w:rPr>
          <w:rStyle w:val="Referencingstyle"/>
        </w:rPr>
        <w:t>)]</w:t>
      </w:r>
    </w:p>
    <w:p w14:paraId="0D0FB698" w14:textId="77777777" w:rsidR="003C06F5" w:rsidRDefault="003C06F5" w:rsidP="003C06F5">
      <w:pPr>
        <w:pStyle w:val="Heading5"/>
      </w:pPr>
      <w:r>
        <w:t>Indemnity</w:t>
      </w:r>
    </w:p>
    <w:p w14:paraId="2EDC922D" w14:textId="77777777" w:rsidR="008D77DB" w:rsidRDefault="00624C2E" w:rsidP="000F194A">
      <w:pPr>
        <w:pStyle w:val="base-text-paragraph"/>
      </w:pPr>
      <w:r>
        <w:t>A</w:t>
      </w:r>
      <w:r w:rsidR="008D77DB">
        <w:t xml:space="preserve"> manager of a health benefits fund </w:t>
      </w:r>
      <w:r>
        <w:t xml:space="preserve">is indemnified </w:t>
      </w:r>
      <w:r w:rsidR="008D77DB">
        <w:t xml:space="preserve">against any action, claim or demand by a person in relation to anything done (or not done) in good faith in exercising the powers of a manager </w:t>
      </w:r>
      <w:r w:rsidR="00812EC1">
        <w:t>under</w:t>
      </w:r>
      <w:r w:rsidR="000C0A3A">
        <w:t xml:space="preserve"> </w:t>
      </w:r>
      <w:r w:rsidR="003F2CAA">
        <w:t xml:space="preserve">the </w:t>
      </w:r>
      <w:r w:rsidR="003F2CAA">
        <w:rPr>
          <w:lang w:val="en-US" w:eastAsia="en-US"/>
        </w:rPr>
        <w:t>Prudential Supervision Bill</w:t>
      </w:r>
      <w:r w:rsidR="008D77DB">
        <w:t>.</w:t>
      </w:r>
      <w:r>
        <w:t xml:space="preserve"> </w:t>
      </w:r>
      <w:r w:rsidRPr="00301625">
        <w:rPr>
          <w:rStyle w:val="Referencingstyle"/>
        </w:rPr>
        <w:t xml:space="preserve">[Part 3, Division </w:t>
      </w:r>
      <w:r w:rsidR="00E37D84">
        <w:rPr>
          <w:rStyle w:val="Referencingstyle"/>
        </w:rPr>
        <w:t>8</w:t>
      </w:r>
      <w:r w:rsidRPr="00301625">
        <w:rPr>
          <w:rStyle w:val="Referencingstyle"/>
        </w:rPr>
        <w:t xml:space="preserve">, </w:t>
      </w:r>
      <w:r w:rsidR="00E37D84">
        <w:rPr>
          <w:rStyle w:val="Referencingstyle"/>
        </w:rPr>
        <w:t>S</w:t>
      </w:r>
      <w:r w:rsidRPr="00301625">
        <w:rPr>
          <w:rStyle w:val="Referencingstyle"/>
        </w:rPr>
        <w:t>ubdivi</w:t>
      </w:r>
      <w:r>
        <w:rPr>
          <w:rStyle w:val="Referencingstyle"/>
        </w:rPr>
        <w:t xml:space="preserve">sion </w:t>
      </w:r>
      <w:r w:rsidR="00E37D84">
        <w:rPr>
          <w:rStyle w:val="Referencingstyle"/>
        </w:rPr>
        <w:t>C</w:t>
      </w:r>
      <w:r>
        <w:rPr>
          <w:rStyle w:val="Referencingstyle"/>
        </w:rPr>
        <w:t xml:space="preserve">, </w:t>
      </w:r>
      <w:r w:rsidRPr="00301625">
        <w:rPr>
          <w:rStyle w:val="Referencingstyle"/>
        </w:rPr>
        <w:t>section</w:t>
      </w:r>
      <w:r w:rsidR="003F2CAA">
        <w:rPr>
          <w:rStyle w:val="Referencingstyle"/>
        </w:rPr>
        <w:t> </w:t>
      </w:r>
      <w:r w:rsidR="00927427">
        <w:rPr>
          <w:rStyle w:val="Referencingstyle"/>
        </w:rPr>
        <w:t>8</w:t>
      </w:r>
      <w:r w:rsidR="000C0A3A">
        <w:rPr>
          <w:rStyle w:val="Referencingstyle"/>
        </w:rPr>
        <w:t>1</w:t>
      </w:r>
      <w:r w:rsidRPr="00301625">
        <w:rPr>
          <w:rStyle w:val="Referencingstyle"/>
        </w:rPr>
        <w:t>]</w:t>
      </w:r>
    </w:p>
    <w:p w14:paraId="5EE0A196" w14:textId="77777777" w:rsidR="008D77DB" w:rsidRDefault="008D77DB" w:rsidP="007E0B53">
      <w:pPr>
        <w:pStyle w:val="Heading5"/>
        <w:keepLines/>
      </w:pPr>
      <w:r>
        <w:t>Qualified privilege</w:t>
      </w:r>
    </w:p>
    <w:p w14:paraId="6AA3DE24" w14:textId="77777777" w:rsidR="008D77DB" w:rsidRDefault="00624C2E" w:rsidP="007E0B53">
      <w:pPr>
        <w:pStyle w:val="base-text-paragraph"/>
        <w:keepNext/>
        <w:keepLines/>
      </w:pPr>
      <w:r>
        <w:t>A</w:t>
      </w:r>
      <w:r w:rsidR="008D77DB">
        <w:t xml:space="preserve"> manager of a health benefits fund </w:t>
      </w:r>
      <w:r>
        <w:t xml:space="preserve">is conferred qualified privilege </w:t>
      </w:r>
      <w:r w:rsidR="008D77DB">
        <w:t xml:space="preserve">in respect of any statement made by him or her </w:t>
      </w:r>
      <w:r w:rsidR="00A05052">
        <w:t>in</w:t>
      </w:r>
      <w:r w:rsidR="008D77DB">
        <w:t xml:space="preserve"> the </w:t>
      </w:r>
      <w:r w:rsidR="00A05052">
        <w:t>course</w:t>
      </w:r>
      <w:r w:rsidR="008D77DB">
        <w:t xml:space="preserve"> of perform</w:t>
      </w:r>
      <w:r w:rsidR="00A05052">
        <w:t>ing</w:t>
      </w:r>
      <w:r w:rsidR="003F2CAA">
        <w:t xml:space="preserve"> </w:t>
      </w:r>
      <w:r w:rsidR="00A05052">
        <w:t>the</w:t>
      </w:r>
      <w:r w:rsidR="008D77DB">
        <w:t xml:space="preserve"> duties </w:t>
      </w:r>
      <w:r w:rsidR="00A05052">
        <w:t>of</w:t>
      </w:r>
      <w:r w:rsidR="008D77DB">
        <w:t xml:space="preserve"> a manager.</w:t>
      </w:r>
      <w:r>
        <w:t xml:space="preserve">  </w:t>
      </w:r>
      <w:r w:rsidRPr="00301625">
        <w:rPr>
          <w:rStyle w:val="Referencingstyle"/>
        </w:rPr>
        <w:t xml:space="preserve">[Part 3, Division </w:t>
      </w:r>
      <w:r w:rsidR="00E37D84">
        <w:rPr>
          <w:rStyle w:val="Referencingstyle"/>
        </w:rPr>
        <w:t>8</w:t>
      </w:r>
      <w:r w:rsidRPr="00301625">
        <w:rPr>
          <w:rStyle w:val="Referencingstyle"/>
        </w:rPr>
        <w:t xml:space="preserve">, </w:t>
      </w:r>
      <w:r w:rsidR="00E37D84">
        <w:rPr>
          <w:rStyle w:val="Referencingstyle"/>
        </w:rPr>
        <w:t>S</w:t>
      </w:r>
      <w:r w:rsidRPr="00301625">
        <w:rPr>
          <w:rStyle w:val="Referencingstyle"/>
        </w:rPr>
        <w:t>ubdivi</w:t>
      </w:r>
      <w:r>
        <w:rPr>
          <w:rStyle w:val="Referencingstyle"/>
        </w:rPr>
        <w:t xml:space="preserve">sion </w:t>
      </w:r>
      <w:r w:rsidR="00E37D84">
        <w:rPr>
          <w:rStyle w:val="Referencingstyle"/>
        </w:rPr>
        <w:t>C</w:t>
      </w:r>
      <w:r>
        <w:rPr>
          <w:rStyle w:val="Referencingstyle"/>
        </w:rPr>
        <w:t xml:space="preserve">, </w:t>
      </w:r>
      <w:r w:rsidRPr="00301625">
        <w:rPr>
          <w:rStyle w:val="Referencingstyle"/>
        </w:rPr>
        <w:t>section</w:t>
      </w:r>
      <w:r w:rsidR="00C20B7E">
        <w:rPr>
          <w:rStyle w:val="Referencingstyle"/>
        </w:rPr>
        <w:t> </w:t>
      </w:r>
      <w:r w:rsidR="000C0A3A">
        <w:rPr>
          <w:rStyle w:val="Referencingstyle"/>
        </w:rPr>
        <w:t>82</w:t>
      </w:r>
      <w:r w:rsidRPr="00301625">
        <w:rPr>
          <w:rStyle w:val="Referencingstyle"/>
        </w:rPr>
        <w:t>]</w:t>
      </w:r>
      <w:r w:rsidR="008D77DB">
        <w:t xml:space="preserve"> </w:t>
      </w:r>
    </w:p>
    <w:p w14:paraId="2B8E0570" w14:textId="77777777" w:rsidR="00624C2E" w:rsidRDefault="00624C2E" w:rsidP="00624C2E">
      <w:pPr>
        <w:pStyle w:val="Heading4"/>
      </w:pPr>
      <w:r>
        <w:t xml:space="preserve">Subdivision </w:t>
      </w:r>
      <w:r w:rsidR="00E37D84">
        <w:t xml:space="preserve">D </w:t>
      </w:r>
      <w:r>
        <w:t>– Miscellaneous</w:t>
      </w:r>
    </w:p>
    <w:p w14:paraId="027364EB" w14:textId="77777777" w:rsidR="008D77DB" w:rsidRDefault="008D77DB" w:rsidP="00624C2E">
      <w:pPr>
        <w:pStyle w:val="Heading5"/>
      </w:pPr>
      <w:r>
        <w:t>Time for doing act does not run while act prevented by this Division</w:t>
      </w:r>
      <w:r w:rsidR="00927427">
        <w:t xml:space="preserve"> or other provisions</w:t>
      </w:r>
    </w:p>
    <w:p w14:paraId="1FF34CF0" w14:textId="77777777" w:rsidR="008D77DB" w:rsidRDefault="00C81638" w:rsidP="000F194A">
      <w:pPr>
        <w:pStyle w:val="base-text-paragraph"/>
      </w:pPr>
      <w:r>
        <w:t>I</w:t>
      </w:r>
      <w:r w:rsidR="008D77DB">
        <w:t xml:space="preserve">f </w:t>
      </w:r>
      <w:r w:rsidR="008D77DB" w:rsidRPr="001A57F7">
        <w:t>Division</w:t>
      </w:r>
      <w:r w:rsidR="00BA1912" w:rsidRPr="001A57F7">
        <w:t>s 5,</w:t>
      </w:r>
      <w:r w:rsidR="00BA1912">
        <w:t xml:space="preserve"> </w:t>
      </w:r>
      <w:r w:rsidR="00BA1912" w:rsidRPr="001A57F7">
        <w:t>6 or</w:t>
      </w:r>
      <w:r w:rsidR="008D77DB" w:rsidRPr="001A57F7">
        <w:t xml:space="preserve"> </w:t>
      </w:r>
      <w:r w:rsidR="00BA1912" w:rsidRPr="001A57F7">
        <w:t>8</w:t>
      </w:r>
      <w:r w:rsidR="00BA1912">
        <w:t xml:space="preserve"> </w:t>
      </w:r>
      <w:r w:rsidR="008D77DB">
        <w:t xml:space="preserve">prevent an act from being done, the time for doing </w:t>
      </w:r>
      <w:r w:rsidR="00A05052">
        <w:t>any</w:t>
      </w:r>
      <w:r w:rsidR="008D77DB">
        <w:t xml:space="preserve"> act </w:t>
      </w:r>
      <w:r w:rsidR="00A05052">
        <w:t>that must be done by a certain time</w:t>
      </w:r>
      <w:r w:rsidR="008D77DB">
        <w:t xml:space="preserve"> is extended by the time that those </w:t>
      </w:r>
      <w:r w:rsidR="00BA1912">
        <w:t xml:space="preserve">divisions </w:t>
      </w:r>
      <w:r w:rsidR="008D77DB">
        <w:t>prevented it from being done.</w:t>
      </w:r>
      <w:r>
        <w:t xml:space="preserve">  </w:t>
      </w:r>
      <w:r w:rsidRPr="00C81638">
        <w:rPr>
          <w:rStyle w:val="Referencingstyle"/>
        </w:rPr>
        <w:t xml:space="preserve">[Part 3, Division </w:t>
      </w:r>
      <w:r w:rsidR="00BA1912">
        <w:rPr>
          <w:rStyle w:val="Referencingstyle"/>
        </w:rPr>
        <w:t>8</w:t>
      </w:r>
      <w:r w:rsidRPr="00C81638">
        <w:rPr>
          <w:rStyle w:val="Referencingstyle"/>
        </w:rPr>
        <w:t xml:space="preserve">, Subdivision </w:t>
      </w:r>
      <w:r w:rsidR="00905973">
        <w:rPr>
          <w:rStyle w:val="Referencingstyle"/>
        </w:rPr>
        <w:t>D</w:t>
      </w:r>
      <w:r w:rsidRPr="00C81638">
        <w:rPr>
          <w:rStyle w:val="Referencingstyle"/>
        </w:rPr>
        <w:t xml:space="preserve">, section </w:t>
      </w:r>
      <w:r w:rsidR="00927427">
        <w:rPr>
          <w:rStyle w:val="Referencingstyle"/>
        </w:rPr>
        <w:t>8</w:t>
      </w:r>
      <w:r w:rsidR="000C0A3A">
        <w:rPr>
          <w:rStyle w:val="Referencingstyle"/>
        </w:rPr>
        <w:t>3</w:t>
      </w:r>
      <w:r w:rsidRPr="00C81638">
        <w:rPr>
          <w:rStyle w:val="Referencingstyle"/>
        </w:rPr>
        <w:t>]</w:t>
      </w:r>
      <w:r>
        <w:t xml:space="preserve">  </w:t>
      </w:r>
    </w:p>
    <w:p w14:paraId="53DB4431" w14:textId="77777777" w:rsidR="008D77DB" w:rsidRDefault="008D77DB" w:rsidP="00624C2E">
      <w:pPr>
        <w:pStyle w:val="Heading5"/>
      </w:pPr>
      <w:r>
        <w:t xml:space="preserve">Continued application of other provisions of </w:t>
      </w:r>
      <w:r w:rsidR="003F2CAA">
        <w:t xml:space="preserve">the </w:t>
      </w:r>
      <w:r w:rsidR="003F2CAA">
        <w:rPr>
          <w:lang w:val="en-US" w:eastAsia="en-US"/>
        </w:rPr>
        <w:t>Prudential Supervision Bill</w:t>
      </w:r>
    </w:p>
    <w:p w14:paraId="1DD3F4B4" w14:textId="77777777" w:rsidR="008D77DB" w:rsidRDefault="00C81638" w:rsidP="000F194A">
      <w:pPr>
        <w:pStyle w:val="base-text-paragraph"/>
      </w:pPr>
      <w:r>
        <w:t>In relation to the fund or the rights and obligations of persons in relation to the responsible insurer for the fund, the</w:t>
      </w:r>
      <w:r w:rsidR="008D77DB">
        <w:t xml:space="preserve"> appointment of an external manager or terminating manager to a health benefits fund does not affect the continued application of </w:t>
      </w:r>
      <w:r w:rsidR="003F2CAA">
        <w:t xml:space="preserve">the </w:t>
      </w:r>
      <w:r w:rsidR="003F2CAA">
        <w:rPr>
          <w:lang w:val="en-US" w:eastAsia="en-US"/>
        </w:rPr>
        <w:t>Prudential Supervision Bill</w:t>
      </w:r>
      <w:r w:rsidR="00EE0150">
        <w:t xml:space="preserve"> or the PHI Act</w:t>
      </w:r>
      <w:r w:rsidR="008D77DB">
        <w:t xml:space="preserve"> other than:</w:t>
      </w:r>
    </w:p>
    <w:p w14:paraId="675F5C41" w14:textId="77777777" w:rsidR="008D77DB" w:rsidRPr="00DB7D80" w:rsidRDefault="008D77DB" w:rsidP="00C81638">
      <w:pPr>
        <w:pStyle w:val="dotpoint"/>
      </w:pPr>
      <w:r w:rsidRPr="00DB7D80">
        <w:t xml:space="preserve">in the case of external management, the provisions of </w:t>
      </w:r>
      <w:r w:rsidRPr="001A57F7">
        <w:t xml:space="preserve">Division </w:t>
      </w:r>
      <w:r w:rsidR="00DB7D80" w:rsidRPr="00DB7D80">
        <w:t>6</w:t>
      </w:r>
      <w:r w:rsidR="00EE0150">
        <w:t xml:space="preserve"> (which relate to external managers)</w:t>
      </w:r>
      <w:r w:rsidRPr="00DB7D80">
        <w:t xml:space="preserve">; or </w:t>
      </w:r>
    </w:p>
    <w:p w14:paraId="506312A9" w14:textId="77777777" w:rsidR="008D77DB" w:rsidRPr="00DB7D80" w:rsidRDefault="008D77DB" w:rsidP="00C81638">
      <w:pPr>
        <w:pStyle w:val="dotpoint"/>
      </w:pPr>
      <w:r w:rsidRPr="00DB7D80">
        <w:t xml:space="preserve">in the case of terminating management, the provisions of </w:t>
      </w:r>
      <w:r w:rsidRPr="001A57F7">
        <w:t xml:space="preserve">Divisions </w:t>
      </w:r>
      <w:r w:rsidR="00DB7D80" w:rsidRPr="00DB7D80">
        <w:t>5 or 7</w:t>
      </w:r>
      <w:r w:rsidR="00EE0150">
        <w:t xml:space="preserve"> (which relate to terminating managers)</w:t>
      </w:r>
      <w:r w:rsidRPr="00DB7D80">
        <w:t>.</w:t>
      </w:r>
      <w:r w:rsidR="00C81638" w:rsidRPr="00DB7D80">
        <w:t xml:space="preserve"> </w:t>
      </w:r>
      <w:r w:rsidR="00C81638" w:rsidRPr="00DB7D80">
        <w:rPr>
          <w:rStyle w:val="Referencingstyle"/>
        </w:rPr>
        <w:t>[Part</w:t>
      </w:r>
      <w:r w:rsidR="009175F4">
        <w:rPr>
          <w:rStyle w:val="Referencingstyle"/>
        </w:rPr>
        <w:t> </w:t>
      </w:r>
      <w:r w:rsidR="00C81638" w:rsidRPr="00DB7D80">
        <w:rPr>
          <w:rStyle w:val="Referencingstyle"/>
        </w:rPr>
        <w:t xml:space="preserve">3, Division </w:t>
      </w:r>
      <w:r w:rsidR="00DB7D80">
        <w:rPr>
          <w:rStyle w:val="Referencingstyle"/>
        </w:rPr>
        <w:t>8</w:t>
      </w:r>
      <w:r w:rsidR="00C81638" w:rsidRPr="00DB7D80">
        <w:rPr>
          <w:rStyle w:val="Referencingstyle"/>
        </w:rPr>
        <w:t xml:space="preserve">, Subdivision </w:t>
      </w:r>
      <w:r w:rsidR="00DB7D80">
        <w:rPr>
          <w:rStyle w:val="Referencingstyle"/>
        </w:rPr>
        <w:t>D</w:t>
      </w:r>
      <w:r w:rsidR="00C81638" w:rsidRPr="00DB7D80">
        <w:rPr>
          <w:rStyle w:val="Referencingstyle"/>
        </w:rPr>
        <w:t xml:space="preserve">, section </w:t>
      </w:r>
      <w:r w:rsidR="00927427">
        <w:rPr>
          <w:rStyle w:val="Referencingstyle"/>
        </w:rPr>
        <w:t>8</w:t>
      </w:r>
      <w:r w:rsidR="000C0A3A">
        <w:rPr>
          <w:rStyle w:val="Referencingstyle"/>
        </w:rPr>
        <w:t>4</w:t>
      </w:r>
      <w:r w:rsidR="00C81638" w:rsidRPr="00DB7D80">
        <w:rPr>
          <w:rStyle w:val="Referencingstyle"/>
        </w:rPr>
        <w:t>]</w:t>
      </w:r>
      <w:r w:rsidR="00C81638" w:rsidRPr="00DB7D80">
        <w:t xml:space="preserve">  </w:t>
      </w:r>
    </w:p>
    <w:p w14:paraId="03CFD090" w14:textId="77777777" w:rsidR="008D77DB" w:rsidRDefault="008D77DB" w:rsidP="00624C2E">
      <w:pPr>
        <w:pStyle w:val="Heading5"/>
      </w:pPr>
      <w:r>
        <w:t xml:space="preserve">Modifications of </w:t>
      </w:r>
      <w:r w:rsidR="003F2CAA">
        <w:t xml:space="preserve">the </w:t>
      </w:r>
      <w:r w:rsidR="003F2CAA">
        <w:rPr>
          <w:lang w:val="en-US" w:eastAsia="en-US"/>
        </w:rPr>
        <w:t>Prudential Supervision Bill</w:t>
      </w:r>
      <w:r>
        <w:t xml:space="preserve"> in relation to health benefits funds under management</w:t>
      </w:r>
    </w:p>
    <w:p w14:paraId="5680DEC1" w14:textId="77777777" w:rsidR="00A76591" w:rsidRDefault="00C81638" w:rsidP="003F2CAA">
      <w:pPr>
        <w:pStyle w:val="base-text-paragraph"/>
        <w:tabs>
          <w:tab w:val="clear" w:pos="1985"/>
          <w:tab w:val="num" w:pos="1986"/>
        </w:tabs>
      </w:pPr>
      <w:r>
        <w:t>APRA rules may</w:t>
      </w:r>
      <w:r w:rsidR="008D77DB">
        <w:t xml:space="preserve"> set out modifications </w:t>
      </w:r>
      <w:r w:rsidR="00DB7D80">
        <w:t>of th</w:t>
      </w:r>
      <w:r w:rsidR="003F2CAA">
        <w:t>e</w:t>
      </w:r>
      <w:r w:rsidR="003F2CAA" w:rsidRPr="003F2CAA">
        <w:rPr>
          <w:lang w:val="en-US" w:eastAsia="en-US"/>
        </w:rPr>
        <w:t xml:space="preserve"> Prudential Supervision Bill</w:t>
      </w:r>
      <w:r w:rsidR="00DB7D80">
        <w:t xml:space="preserve"> or the PHI</w:t>
      </w:r>
      <w:r w:rsidR="00DD6668">
        <w:t> </w:t>
      </w:r>
      <w:r w:rsidR="00DB7D80">
        <w:t xml:space="preserve">Act relating to how </w:t>
      </w:r>
      <w:r w:rsidR="008D77DB" w:rsidRPr="001A57F7">
        <w:t>Chapter 3</w:t>
      </w:r>
      <w:r w:rsidR="008D77DB">
        <w:t xml:space="preserve"> of the </w:t>
      </w:r>
      <w:r w:rsidR="00DB7D80">
        <w:t xml:space="preserve">PHI </w:t>
      </w:r>
      <w:r w:rsidR="008D77DB">
        <w:t xml:space="preserve">Act </w:t>
      </w:r>
      <w:r w:rsidR="00EE0150">
        <w:t xml:space="preserve">(which </w:t>
      </w:r>
      <w:r w:rsidR="008D77DB">
        <w:t xml:space="preserve">relates to </w:t>
      </w:r>
      <w:r w:rsidR="00EE0150">
        <w:t>community rating and complying health policies, among other things) applies where the</w:t>
      </w:r>
      <w:r w:rsidR="008D77DB">
        <w:t xml:space="preserve"> health benefits funds</w:t>
      </w:r>
      <w:r w:rsidR="00EE0150">
        <w:t xml:space="preserve"> are</w:t>
      </w:r>
      <w:r w:rsidR="008D77DB">
        <w:t xml:space="preserve"> under external management or terminating management, including different modifications according to the nature of the funds concerned, as long as the modifications do not modify a provision that creates an offence or include a new provision that creates a</w:t>
      </w:r>
      <w:r w:rsidR="00A76591">
        <w:t>n offence.</w:t>
      </w:r>
      <w:r w:rsidR="00B1209F">
        <w:t xml:space="preserve">  The </w:t>
      </w:r>
      <w:r w:rsidR="003F2CAA" w:rsidRPr="003F2CAA">
        <w:t>Prudential Supervision Bill</w:t>
      </w:r>
      <w:r w:rsidR="00B1209F">
        <w:t xml:space="preserve"> and the PHI Act operate subject to such modifications.</w:t>
      </w:r>
      <w:r w:rsidR="00A76591">
        <w:t xml:space="preserve">  </w:t>
      </w:r>
      <w:r w:rsidRPr="00C81638">
        <w:rPr>
          <w:rStyle w:val="Referencingstyle"/>
        </w:rPr>
        <w:t xml:space="preserve">[Part 3, Division </w:t>
      </w:r>
      <w:r w:rsidR="00DB7D80">
        <w:rPr>
          <w:rStyle w:val="Referencingstyle"/>
        </w:rPr>
        <w:t>8</w:t>
      </w:r>
      <w:r w:rsidRPr="00C81638">
        <w:rPr>
          <w:rStyle w:val="Referencingstyle"/>
        </w:rPr>
        <w:t xml:space="preserve">, Subdivision </w:t>
      </w:r>
      <w:r w:rsidR="00DB7D80">
        <w:rPr>
          <w:rStyle w:val="Referencingstyle"/>
        </w:rPr>
        <w:t>D</w:t>
      </w:r>
      <w:r w:rsidRPr="00C81638">
        <w:rPr>
          <w:rStyle w:val="Referencingstyle"/>
        </w:rPr>
        <w:t>, s</w:t>
      </w:r>
      <w:r w:rsidR="00DB7D80">
        <w:rPr>
          <w:rStyle w:val="Referencingstyle"/>
        </w:rPr>
        <w:t>ubs</w:t>
      </w:r>
      <w:r w:rsidRPr="00C81638">
        <w:rPr>
          <w:rStyle w:val="Referencingstyle"/>
        </w:rPr>
        <w:t>ection</w:t>
      </w:r>
      <w:r w:rsidR="00DB7D80">
        <w:rPr>
          <w:rStyle w:val="Referencingstyle"/>
        </w:rPr>
        <w:t>s</w:t>
      </w:r>
      <w:r w:rsidRPr="00C81638">
        <w:rPr>
          <w:rStyle w:val="Referencingstyle"/>
        </w:rPr>
        <w:t xml:space="preserve"> </w:t>
      </w:r>
      <w:r w:rsidR="00927427">
        <w:rPr>
          <w:rStyle w:val="Referencingstyle"/>
        </w:rPr>
        <w:t>8</w:t>
      </w:r>
      <w:r w:rsidR="000C0A3A">
        <w:rPr>
          <w:rStyle w:val="Referencingstyle"/>
        </w:rPr>
        <w:t>5</w:t>
      </w:r>
      <w:r w:rsidR="00DB7D80">
        <w:rPr>
          <w:rStyle w:val="Referencingstyle"/>
        </w:rPr>
        <w:t>(1)</w:t>
      </w:r>
      <w:r w:rsidR="00B1209F">
        <w:rPr>
          <w:rStyle w:val="Referencingstyle"/>
        </w:rPr>
        <w:t xml:space="preserve">, (2), </w:t>
      </w:r>
      <w:r w:rsidR="00D41602">
        <w:rPr>
          <w:rStyle w:val="Referencingstyle"/>
        </w:rPr>
        <w:t>(3)</w:t>
      </w:r>
      <w:r w:rsidR="00B1209F">
        <w:rPr>
          <w:rStyle w:val="Referencingstyle"/>
        </w:rPr>
        <w:t xml:space="preserve"> and (5)</w:t>
      </w:r>
      <w:r w:rsidRPr="00C81638">
        <w:rPr>
          <w:rStyle w:val="Referencingstyle"/>
        </w:rPr>
        <w:t>]</w:t>
      </w:r>
      <w:r>
        <w:t xml:space="preserve">  </w:t>
      </w:r>
    </w:p>
    <w:p w14:paraId="28EE8607" w14:textId="77777777" w:rsidR="008D77DB" w:rsidRDefault="00A76591" w:rsidP="007E0B53">
      <w:pPr>
        <w:pStyle w:val="base-text-paragraph"/>
        <w:keepNext/>
        <w:keepLines/>
      </w:pPr>
      <w:r>
        <w:t xml:space="preserve">This modification power will allow APRA to ensure that the </w:t>
      </w:r>
      <w:r w:rsidR="00EE0150">
        <w:t>requirements of Chapter 3 of the PHI Act can</w:t>
      </w:r>
      <w:r w:rsidR="00EE4639">
        <w:t>,</w:t>
      </w:r>
      <w:r w:rsidR="00EE0150">
        <w:t xml:space="preserve"> if necessary</w:t>
      </w:r>
      <w:r w:rsidR="00EE4639">
        <w:t>,</w:t>
      </w:r>
      <w:r w:rsidR="00EE0150">
        <w:t xml:space="preserve"> be appropriately adjusted to the context of </w:t>
      </w:r>
      <w:r>
        <w:t xml:space="preserve">external </w:t>
      </w:r>
      <w:r w:rsidR="00EE0150">
        <w:t>or</w:t>
      </w:r>
      <w:r>
        <w:t xml:space="preserve"> terminating manag</w:t>
      </w:r>
      <w:r w:rsidR="00EE0150">
        <w:t>ement and</w:t>
      </w:r>
      <w:r w:rsidR="00EE4639">
        <w:t>,</w:t>
      </w:r>
      <w:r w:rsidR="00EE0150">
        <w:t xml:space="preserve"> if necessary</w:t>
      </w:r>
      <w:r w:rsidR="00EE4639">
        <w:t>,</w:t>
      </w:r>
      <w:r>
        <w:t xml:space="preserve"> can be appropriately tailored to those health benefit funds concerned. </w:t>
      </w:r>
      <w:r w:rsidR="00F5123C">
        <w:t xml:space="preserve">This power would only be exercised in limited circumstances, </w:t>
      </w:r>
      <w:r w:rsidR="00C34E70">
        <w:t xml:space="preserve">such as </w:t>
      </w:r>
      <w:r w:rsidR="00A56FA3">
        <w:t>where strict compliance</w:t>
      </w:r>
      <w:r w:rsidR="00C34E70">
        <w:t xml:space="preserve"> with a provision in the PHI Act, </w:t>
      </w:r>
      <w:r w:rsidR="002A3950">
        <w:t>for example</w:t>
      </w:r>
      <w:r w:rsidR="00C34E70">
        <w:t xml:space="preserve"> community rating requirements</w:t>
      </w:r>
      <w:r w:rsidR="002A3950">
        <w:t>,</w:t>
      </w:r>
      <w:r w:rsidR="00C34E70">
        <w:t xml:space="preserve"> would </w:t>
      </w:r>
      <w:r w:rsidR="00A56FA3">
        <w:t>be difficult</w:t>
      </w:r>
      <w:r w:rsidR="00C34E70">
        <w:t xml:space="preserve"> to </w:t>
      </w:r>
      <w:r w:rsidR="00A56FA3">
        <w:t xml:space="preserve">achieve in </w:t>
      </w:r>
      <w:r w:rsidR="00C34E70">
        <w:t xml:space="preserve">the </w:t>
      </w:r>
      <w:r w:rsidR="00A56FA3">
        <w:t>content</w:t>
      </w:r>
      <w:r w:rsidR="00C34E70">
        <w:t xml:space="preserve"> of </w:t>
      </w:r>
      <w:r w:rsidR="00A56FA3">
        <w:t>terminating a health benefits fund</w:t>
      </w:r>
      <w:r w:rsidR="003828C2">
        <w:t>.</w:t>
      </w:r>
    </w:p>
    <w:p w14:paraId="6198944E" w14:textId="77777777" w:rsidR="00D41602" w:rsidRDefault="00D41602" w:rsidP="000F194A">
      <w:pPr>
        <w:pStyle w:val="base-text-paragraph"/>
      </w:pPr>
      <w:r>
        <w:t>APRA must consult with the Health Secretary prior to making any rules under this section.</w:t>
      </w:r>
      <w:r w:rsidR="00B1209F">
        <w:t xml:space="preserve">  </w:t>
      </w:r>
      <w:r w:rsidR="00B1209F" w:rsidRPr="00C81638">
        <w:rPr>
          <w:rStyle w:val="Referencingstyle"/>
        </w:rPr>
        <w:t xml:space="preserve">[Part 3, Division </w:t>
      </w:r>
      <w:r w:rsidR="00B1209F">
        <w:rPr>
          <w:rStyle w:val="Referencingstyle"/>
        </w:rPr>
        <w:t>8</w:t>
      </w:r>
      <w:r w:rsidR="00B1209F" w:rsidRPr="00C81638">
        <w:rPr>
          <w:rStyle w:val="Referencingstyle"/>
        </w:rPr>
        <w:t xml:space="preserve">, Subdivision </w:t>
      </w:r>
      <w:r w:rsidR="00B1209F">
        <w:rPr>
          <w:rStyle w:val="Referencingstyle"/>
        </w:rPr>
        <w:t>D</w:t>
      </w:r>
      <w:r w:rsidR="00B1209F" w:rsidRPr="00C81638">
        <w:rPr>
          <w:rStyle w:val="Referencingstyle"/>
        </w:rPr>
        <w:t>, s</w:t>
      </w:r>
      <w:r w:rsidR="00B1209F">
        <w:rPr>
          <w:rStyle w:val="Referencingstyle"/>
        </w:rPr>
        <w:t>ubs</w:t>
      </w:r>
      <w:r w:rsidR="00B1209F" w:rsidRPr="00C81638">
        <w:rPr>
          <w:rStyle w:val="Referencingstyle"/>
        </w:rPr>
        <w:t xml:space="preserve">ection </w:t>
      </w:r>
      <w:r w:rsidR="00AB44BC">
        <w:rPr>
          <w:rStyle w:val="Referencingstyle"/>
        </w:rPr>
        <w:t>8</w:t>
      </w:r>
      <w:r w:rsidR="000C0A3A">
        <w:rPr>
          <w:rStyle w:val="Referencingstyle"/>
        </w:rPr>
        <w:t>5</w:t>
      </w:r>
      <w:r w:rsidR="00B1209F">
        <w:rPr>
          <w:rStyle w:val="Referencingstyle"/>
        </w:rPr>
        <w:t>(4)</w:t>
      </w:r>
      <w:r w:rsidR="00B1209F" w:rsidRPr="00C81638">
        <w:rPr>
          <w:rStyle w:val="Referencingstyle"/>
        </w:rPr>
        <w:t>]</w:t>
      </w:r>
      <w:r w:rsidR="00B1209F">
        <w:t xml:space="preserve">  </w:t>
      </w:r>
    </w:p>
    <w:p w14:paraId="357E6567" w14:textId="77777777" w:rsidR="008D77DB" w:rsidRDefault="008D77DB" w:rsidP="00624C2E">
      <w:pPr>
        <w:pStyle w:val="Heading5"/>
      </w:pPr>
      <w:r>
        <w:t xml:space="preserve">Order of </w:t>
      </w:r>
      <w:r w:rsidR="009D4F54">
        <w:t xml:space="preserve">Federal </w:t>
      </w:r>
      <w:r>
        <w:t>Court to be binding on all persons</w:t>
      </w:r>
    </w:p>
    <w:p w14:paraId="4D04FDEE" w14:textId="77777777" w:rsidR="008D77DB" w:rsidRDefault="008D77DB" w:rsidP="000F194A">
      <w:pPr>
        <w:pStyle w:val="base-text-paragraph"/>
      </w:pPr>
      <w:r>
        <w:t xml:space="preserve">This clause provides that an order of the </w:t>
      </w:r>
      <w:r w:rsidR="009D4F54">
        <w:t xml:space="preserve">Federal </w:t>
      </w:r>
      <w:r>
        <w:t>Court made under Division</w:t>
      </w:r>
      <w:r w:rsidR="00B7461D">
        <w:t xml:space="preserve">s 5, 6 or 7 </w:t>
      </w:r>
      <w:r>
        <w:t>is binding on all persons and has effect notwithstanding anything in the constitution or rules of a private health insurer or health benefits fund to which the order relates.</w:t>
      </w:r>
      <w:r w:rsidR="00C81638">
        <w:t xml:space="preserve">  </w:t>
      </w:r>
      <w:r w:rsidR="00C81638" w:rsidRPr="00C81638">
        <w:rPr>
          <w:rStyle w:val="Referencingstyle"/>
        </w:rPr>
        <w:t xml:space="preserve">[Part 3, Division </w:t>
      </w:r>
      <w:r w:rsidR="00B7461D">
        <w:rPr>
          <w:rStyle w:val="Referencingstyle"/>
        </w:rPr>
        <w:t>8</w:t>
      </w:r>
      <w:r w:rsidR="00C81638" w:rsidRPr="00C81638">
        <w:rPr>
          <w:rStyle w:val="Referencingstyle"/>
        </w:rPr>
        <w:t xml:space="preserve">, Subdivision </w:t>
      </w:r>
      <w:r w:rsidR="00B7461D">
        <w:rPr>
          <w:rStyle w:val="Referencingstyle"/>
        </w:rPr>
        <w:t>D</w:t>
      </w:r>
      <w:r w:rsidR="00C81638" w:rsidRPr="00C81638">
        <w:rPr>
          <w:rStyle w:val="Referencingstyle"/>
        </w:rPr>
        <w:t xml:space="preserve">, section </w:t>
      </w:r>
      <w:r w:rsidR="00576A50">
        <w:rPr>
          <w:rStyle w:val="Referencingstyle"/>
        </w:rPr>
        <w:t>8</w:t>
      </w:r>
      <w:r w:rsidR="00EE4639">
        <w:rPr>
          <w:rStyle w:val="Referencingstyle"/>
        </w:rPr>
        <w:t>6</w:t>
      </w:r>
      <w:r w:rsidR="00C81638" w:rsidRPr="00C81638">
        <w:rPr>
          <w:rStyle w:val="Referencingstyle"/>
        </w:rPr>
        <w:t>]</w:t>
      </w:r>
      <w:r w:rsidR="00C81638">
        <w:t xml:space="preserve">  </w:t>
      </w:r>
    </w:p>
    <w:p w14:paraId="538E6150" w14:textId="77777777" w:rsidR="008D77DB" w:rsidRDefault="00C81638" w:rsidP="00624C2E">
      <w:pPr>
        <w:pStyle w:val="Heading5"/>
      </w:pPr>
      <w:r>
        <w:t>APRA rules</w:t>
      </w:r>
      <w:r w:rsidR="008D77DB">
        <w:t xml:space="preserve"> dealing with various matters</w:t>
      </w:r>
    </w:p>
    <w:p w14:paraId="18380957" w14:textId="77777777" w:rsidR="008D77DB" w:rsidRDefault="008D77DB" w:rsidP="000F194A">
      <w:pPr>
        <w:pStyle w:val="base-text-paragraph"/>
      </w:pPr>
      <w:r>
        <w:t xml:space="preserve">This clause provides that the </w:t>
      </w:r>
      <w:r w:rsidR="00C81638">
        <w:t>APRA r</w:t>
      </w:r>
      <w:r>
        <w:t>ules may</w:t>
      </w:r>
      <w:r w:rsidR="00B7461D">
        <w:t>:</w:t>
      </w:r>
    </w:p>
    <w:p w14:paraId="38CB08D3" w14:textId="77777777" w:rsidR="008D77DB" w:rsidRPr="00B7461D" w:rsidRDefault="008D77DB" w:rsidP="00C81638">
      <w:pPr>
        <w:pStyle w:val="dotpoint"/>
      </w:pPr>
      <w:r w:rsidRPr="00B7461D">
        <w:t xml:space="preserve">provide for </w:t>
      </w:r>
      <w:r w:rsidR="00403E6A">
        <w:t xml:space="preserve">a range of administrative and procedural </w:t>
      </w:r>
      <w:r w:rsidRPr="00B7461D">
        <w:t xml:space="preserve">matters in relation to meetings required or permitted to be held under </w:t>
      </w:r>
      <w:r w:rsidRPr="001A57F7">
        <w:t xml:space="preserve">Division </w:t>
      </w:r>
      <w:r w:rsidR="00B7461D" w:rsidRPr="00B7461D">
        <w:t>6</w:t>
      </w:r>
      <w:r w:rsidR="00560EB3">
        <w:t xml:space="preserve"> (external management)</w:t>
      </w:r>
      <w:r w:rsidR="00B7461D" w:rsidRPr="00B7461D">
        <w:t>;</w:t>
      </w:r>
      <w:r w:rsidRPr="00B7461D">
        <w:t xml:space="preserve"> and</w:t>
      </w:r>
    </w:p>
    <w:p w14:paraId="601E65A9" w14:textId="77777777" w:rsidR="00AF5B3E" w:rsidRPr="00B7461D" w:rsidRDefault="008D77DB" w:rsidP="00C81638">
      <w:pPr>
        <w:pStyle w:val="dotpoint"/>
      </w:pPr>
      <w:r w:rsidRPr="00B7461D">
        <w:t xml:space="preserve">stipulate the form and contents of any document required or permitted to be given to </w:t>
      </w:r>
      <w:r w:rsidR="009F709A" w:rsidRPr="00B7461D">
        <w:t>APRA</w:t>
      </w:r>
      <w:r w:rsidRPr="00B7461D">
        <w:t xml:space="preserve"> or an external manager or terminating manager of a health benefits fund under a provision of </w:t>
      </w:r>
      <w:r w:rsidRPr="001A57F7">
        <w:t xml:space="preserve">Division </w:t>
      </w:r>
      <w:r w:rsidR="00B7461D" w:rsidRPr="001A57F7">
        <w:t xml:space="preserve">5 </w:t>
      </w:r>
      <w:r w:rsidR="00560EB3">
        <w:t>(terminating management)</w:t>
      </w:r>
      <w:r w:rsidR="00B7461D" w:rsidRPr="001A57F7">
        <w:t xml:space="preserve"> or 6</w:t>
      </w:r>
      <w:r w:rsidR="00560EB3">
        <w:t xml:space="preserve"> (external management)</w:t>
      </w:r>
      <w:r w:rsidRPr="00B7461D">
        <w:t>.</w:t>
      </w:r>
      <w:r w:rsidR="00CF3960" w:rsidRPr="00B7461D">
        <w:t xml:space="preserve"> </w:t>
      </w:r>
      <w:r w:rsidR="00CF3960" w:rsidRPr="00B7461D">
        <w:rPr>
          <w:rStyle w:val="Referencingstyle"/>
        </w:rPr>
        <w:t xml:space="preserve">[Part 3, Division </w:t>
      </w:r>
      <w:r w:rsidR="00B7461D">
        <w:rPr>
          <w:rStyle w:val="Referencingstyle"/>
        </w:rPr>
        <w:t>8</w:t>
      </w:r>
      <w:r w:rsidR="00CF3960" w:rsidRPr="00B7461D">
        <w:rPr>
          <w:rStyle w:val="Referencingstyle"/>
        </w:rPr>
        <w:t xml:space="preserve">, Subdivision </w:t>
      </w:r>
      <w:r w:rsidR="00B7461D">
        <w:rPr>
          <w:rStyle w:val="Referencingstyle"/>
        </w:rPr>
        <w:t>D</w:t>
      </w:r>
      <w:r w:rsidR="00CF3960" w:rsidRPr="00B7461D">
        <w:rPr>
          <w:rStyle w:val="Referencingstyle"/>
        </w:rPr>
        <w:t>, section</w:t>
      </w:r>
      <w:r w:rsidR="003B06A0">
        <w:rPr>
          <w:rStyle w:val="Referencingstyle"/>
        </w:rPr>
        <w:t> </w:t>
      </w:r>
      <w:r w:rsidR="00576A50">
        <w:rPr>
          <w:rStyle w:val="Referencingstyle"/>
        </w:rPr>
        <w:t>8</w:t>
      </w:r>
      <w:r w:rsidR="00EE4639">
        <w:rPr>
          <w:rStyle w:val="Referencingstyle"/>
        </w:rPr>
        <w:t>7</w:t>
      </w:r>
      <w:r w:rsidR="00CF3960" w:rsidRPr="00B7461D">
        <w:rPr>
          <w:rStyle w:val="Referencingstyle"/>
        </w:rPr>
        <w:t>]</w:t>
      </w:r>
      <w:r w:rsidR="00CF3960" w:rsidRPr="00B7461D">
        <w:t xml:space="preserve">  </w:t>
      </w:r>
    </w:p>
    <w:p w14:paraId="092EEA87" w14:textId="77777777" w:rsidR="00CF3960" w:rsidRDefault="00CF3960" w:rsidP="00CF3960">
      <w:pPr>
        <w:pStyle w:val="Heading3"/>
      </w:pPr>
      <w:r w:rsidRPr="00B7461D">
        <w:t xml:space="preserve">Division </w:t>
      </w:r>
      <w:r w:rsidR="00B7461D">
        <w:t>9</w:t>
      </w:r>
      <w:r w:rsidR="00B7461D" w:rsidRPr="00B7461D">
        <w:t xml:space="preserve"> </w:t>
      </w:r>
      <w:r w:rsidRPr="00B7461D">
        <w:t>– Duties and liabilities of directors</w:t>
      </w:r>
      <w:r>
        <w:t xml:space="preserve"> etc.</w:t>
      </w:r>
    </w:p>
    <w:p w14:paraId="67E7E042" w14:textId="77777777" w:rsidR="00CF3960" w:rsidRDefault="00642B29" w:rsidP="00CF3960">
      <w:pPr>
        <w:pStyle w:val="Heading4"/>
      </w:pPr>
      <w:r>
        <w:t>Notices to remedy contravention</w:t>
      </w:r>
    </w:p>
    <w:p w14:paraId="45932C0D" w14:textId="77777777" w:rsidR="0097112F" w:rsidRDefault="0097112F" w:rsidP="000F194A">
      <w:pPr>
        <w:pStyle w:val="base-text-paragraph"/>
      </w:pPr>
      <w:r>
        <w:t>APRA may give a private health insurer that has contravened this Part written notice requiring the insurer to take specific action within a specific period to remedy the contravention. The insurer is required to comply with the notice</w:t>
      </w:r>
      <w:r w:rsidR="006F79CB">
        <w:t xml:space="preserve"> and failure to comply is an offence under section 148</w:t>
      </w:r>
      <w:r>
        <w:t xml:space="preserve">.  </w:t>
      </w:r>
      <w:r w:rsidRPr="0097112F">
        <w:rPr>
          <w:rStyle w:val="Referencingstyle"/>
        </w:rPr>
        <w:t xml:space="preserve">[Part 3, Division </w:t>
      </w:r>
      <w:r w:rsidR="00B7461D">
        <w:rPr>
          <w:rStyle w:val="Referencingstyle"/>
        </w:rPr>
        <w:t>9</w:t>
      </w:r>
      <w:r w:rsidRPr="0097112F">
        <w:rPr>
          <w:rStyle w:val="Referencingstyle"/>
        </w:rPr>
        <w:t xml:space="preserve">, subsection </w:t>
      </w:r>
      <w:r w:rsidR="00576A50">
        <w:rPr>
          <w:rStyle w:val="Referencingstyle"/>
        </w:rPr>
        <w:t>8</w:t>
      </w:r>
      <w:r w:rsidR="00EE4639">
        <w:rPr>
          <w:rStyle w:val="Referencingstyle"/>
        </w:rPr>
        <w:t>8</w:t>
      </w:r>
      <w:r w:rsidRPr="0097112F">
        <w:rPr>
          <w:rStyle w:val="Referencingstyle"/>
        </w:rPr>
        <w:t>(1)]</w:t>
      </w:r>
    </w:p>
    <w:p w14:paraId="3A0DD407" w14:textId="77777777" w:rsidR="0097112F" w:rsidRDefault="0097112F" w:rsidP="007E0B53">
      <w:pPr>
        <w:pStyle w:val="base-text-paragraph"/>
        <w:keepNext/>
        <w:keepLines/>
      </w:pPr>
      <w:r>
        <w:t xml:space="preserve">The </w:t>
      </w:r>
      <w:r w:rsidR="00A56FA3">
        <w:t>specified</w:t>
      </w:r>
      <w:r>
        <w:t xml:space="preserve"> period in the notice:</w:t>
      </w:r>
    </w:p>
    <w:p w14:paraId="3F8BDA33" w14:textId="77777777" w:rsidR="0097112F" w:rsidRDefault="0097112F" w:rsidP="007E0B53">
      <w:pPr>
        <w:pStyle w:val="dotpoint"/>
        <w:keepNext/>
        <w:keepLines/>
      </w:pPr>
      <w:r>
        <w:t>must be a period ending not earlier than one month after the giving of the notice; and</w:t>
      </w:r>
    </w:p>
    <w:p w14:paraId="733E9F34" w14:textId="77777777" w:rsidR="0097112F" w:rsidRDefault="0097112F" w:rsidP="0097112F">
      <w:pPr>
        <w:pStyle w:val="dotpoint"/>
      </w:pPr>
      <w:r>
        <w:t xml:space="preserve">may be extended by APRA any time before the </w:t>
      </w:r>
      <w:r w:rsidR="00A424BE">
        <w:t>notice period</w:t>
      </w:r>
      <w:r>
        <w:t xml:space="preserve"> end</w:t>
      </w:r>
      <w:r w:rsidR="00D37CAC">
        <w:t>s</w:t>
      </w:r>
      <w:r>
        <w:t xml:space="preserve">, for a period as </w:t>
      </w:r>
      <w:r w:rsidR="003B06A0">
        <w:t>APRA</w:t>
      </w:r>
      <w:r>
        <w:t xml:space="preserve"> thinks fit.  </w:t>
      </w:r>
      <w:r w:rsidRPr="0097112F">
        <w:rPr>
          <w:rStyle w:val="Referencingstyle"/>
        </w:rPr>
        <w:t xml:space="preserve">[Part 3, Division </w:t>
      </w:r>
      <w:r w:rsidR="00B7461D">
        <w:rPr>
          <w:rStyle w:val="Referencingstyle"/>
        </w:rPr>
        <w:t>9</w:t>
      </w:r>
      <w:r w:rsidRPr="0097112F">
        <w:rPr>
          <w:rStyle w:val="Referencingstyle"/>
        </w:rPr>
        <w:t xml:space="preserve">, subsection </w:t>
      </w:r>
      <w:r w:rsidR="00576A50">
        <w:rPr>
          <w:rStyle w:val="Referencingstyle"/>
        </w:rPr>
        <w:t>8</w:t>
      </w:r>
      <w:r w:rsidR="00EE4639">
        <w:rPr>
          <w:rStyle w:val="Referencingstyle"/>
        </w:rPr>
        <w:t>8</w:t>
      </w:r>
      <w:r w:rsidRPr="0097112F">
        <w:rPr>
          <w:rStyle w:val="Referencingstyle"/>
        </w:rPr>
        <w:t>(</w:t>
      </w:r>
      <w:r>
        <w:rPr>
          <w:rStyle w:val="Referencingstyle"/>
        </w:rPr>
        <w:t>2</w:t>
      </w:r>
      <w:r w:rsidRPr="0097112F">
        <w:rPr>
          <w:rStyle w:val="Referencingstyle"/>
        </w:rPr>
        <w:t>)]</w:t>
      </w:r>
    </w:p>
    <w:p w14:paraId="446E9570" w14:textId="77777777" w:rsidR="0097112F" w:rsidRPr="003511FA" w:rsidRDefault="0097112F" w:rsidP="000F194A">
      <w:pPr>
        <w:pStyle w:val="base-text-paragraph"/>
        <w:rPr>
          <w:rStyle w:val="Referencingstyle"/>
          <w:b w:val="0"/>
          <w:i w:val="0"/>
          <w:sz w:val="22"/>
        </w:rPr>
      </w:pPr>
      <w:r>
        <w:t xml:space="preserve">The action specified in the notice </w:t>
      </w:r>
      <w:r w:rsidR="003511FA">
        <w:t xml:space="preserve">is action APRA thinks appropriate and reasonable to overcome the </w:t>
      </w:r>
      <w:r w:rsidR="00E1219B">
        <w:t xml:space="preserve">effects of </w:t>
      </w:r>
      <w:r w:rsidR="003511FA">
        <w:t>th</w:t>
      </w:r>
      <w:r w:rsidR="00E1219B">
        <w:t>e</w:t>
      </w:r>
      <w:r w:rsidR="003511FA">
        <w:t xml:space="preserve"> contravention.  </w:t>
      </w:r>
      <w:r w:rsidR="003511FA" w:rsidRPr="0097112F">
        <w:rPr>
          <w:rStyle w:val="Referencingstyle"/>
        </w:rPr>
        <w:t xml:space="preserve">[Part 3, Division </w:t>
      </w:r>
      <w:r w:rsidR="00B7461D">
        <w:rPr>
          <w:rStyle w:val="Referencingstyle"/>
        </w:rPr>
        <w:t>9</w:t>
      </w:r>
      <w:r w:rsidR="003511FA" w:rsidRPr="0097112F">
        <w:rPr>
          <w:rStyle w:val="Referencingstyle"/>
        </w:rPr>
        <w:t>, sub</w:t>
      </w:r>
      <w:r w:rsidR="003511FA">
        <w:rPr>
          <w:rStyle w:val="Referencingstyle"/>
        </w:rPr>
        <w:t xml:space="preserve">section </w:t>
      </w:r>
      <w:r w:rsidR="00576A50">
        <w:rPr>
          <w:rStyle w:val="Referencingstyle"/>
        </w:rPr>
        <w:t>8</w:t>
      </w:r>
      <w:r w:rsidR="00EE4639">
        <w:rPr>
          <w:rStyle w:val="Referencingstyle"/>
        </w:rPr>
        <w:t>8</w:t>
      </w:r>
      <w:r w:rsidR="003511FA">
        <w:rPr>
          <w:rStyle w:val="Referencingstyle"/>
        </w:rPr>
        <w:t>(3</w:t>
      </w:r>
      <w:r w:rsidR="003511FA" w:rsidRPr="0097112F">
        <w:rPr>
          <w:rStyle w:val="Referencingstyle"/>
        </w:rPr>
        <w:t>)]</w:t>
      </w:r>
    </w:p>
    <w:p w14:paraId="6167B3CA" w14:textId="77777777" w:rsidR="003511FA" w:rsidRDefault="003511FA" w:rsidP="003511FA">
      <w:pPr>
        <w:pStyle w:val="Heading4"/>
      </w:pPr>
      <w:r>
        <w:t>Liability of directors in relation to non-compliance wit</w:t>
      </w:r>
      <w:r w:rsidR="00E1219B">
        <w:t>h</w:t>
      </w:r>
      <w:r>
        <w:t xml:space="preserve"> notices</w:t>
      </w:r>
    </w:p>
    <w:p w14:paraId="62693EDF" w14:textId="77777777" w:rsidR="00CF3960" w:rsidRDefault="00E1219B" w:rsidP="000F194A">
      <w:pPr>
        <w:pStyle w:val="base-text-paragraph"/>
      </w:pPr>
      <w:r>
        <w:t>If</w:t>
      </w:r>
      <w:r w:rsidR="00CF3960">
        <w:t xml:space="preserve"> a private health insurer has been notified by </w:t>
      </w:r>
      <w:r>
        <w:t>APRA</w:t>
      </w:r>
      <w:r w:rsidR="00CF3960">
        <w:t xml:space="preserve"> under </w:t>
      </w:r>
      <w:r>
        <w:t>section</w:t>
      </w:r>
      <w:r w:rsidR="00CF3960">
        <w:t xml:space="preserve"> </w:t>
      </w:r>
      <w:r w:rsidR="00AF733A">
        <w:t>88</w:t>
      </w:r>
      <w:r w:rsidR="00792A66">
        <w:t xml:space="preserve"> </w:t>
      </w:r>
      <w:r w:rsidR="00CF3960">
        <w:t>in respect of a contravention that has resulted in a loss to a health benefits fund and has not complied with the notice, the persons who are directors of the insurer when the contravention occurred are jointly and severally liable to pay to the insurer an amount equal to the loss.</w:t>
      </w:r>
      <w:r>
        <w:t xml:space="preserve">  </w:t>
      </w:r>
      <w:r w:rsidRPr="0097112F">
        <w:rPr>
          <w:rStyle w:val="Referencingstyle"/>
        </w:rPr>
        <w:t xml:space="preserve">[Part 3, Division </w:t>
      </w:r>
      <w:r w:rsidR="00B7461D">
        <w:rPr>
          <w:rStyle w:val="Referencingstyle"/>
        </w:rPr>
        <w:t>9</w:t>
      </w:r>
      <w:r w:rsidRPr="0097112F">
        <w:rPr>
          <w:rStyle w:val="Referencingstyle"/>
        </w:rPr>
        <w:t>, sub</w:t>
      </w:r>
      <w:r>
        <w:rPr>
          <w:rStyle w:val="Referencingstyle"/>
        </w:rPr>
        <w:t xml:space="preserve">section </w:t>
      </w:r>
      <w:r w:rsidR="00576A50">
        <w:rPr>
          <w:rStyle w:val="Referencingstyle"/>
        </w:rPr>
        <w:t>8</w:t>
      </w:r>
      <w:r w:rsidR="00AF733A">
        <w:rPr>
          <w:rStyle w:val="Referencingstyle"/>
        </w:rPr>
        <w:t>9</w:t>
      </w:r>
      <w:r w:rsidR="00B7461D">
        <w:rPr>
          <w:rStyle w:val="Referencingstyle"/>
        </w:rPr>
        <w:t>(</w:t>
      </w:r>
      <w:r>
        <w:rPr>
          <w:rStyle w:val="Referencingstyle"/>
        </w:rPr>
        <w:t>1</w:t>
      </w:r>
      <w:r w:rsidRPr="0097112F">
        <w:rPr>
          <w:rStyle w:val="Referencingstyle"/>
        </w:rPr>
        <w:t>)]</w:t>
      </w:r>
    </w:p>
    <w:p w14:paraId="7A9DDFD4" w14:textId="77777777" w:rsidR="00CF3960" w:rsidRDefault="00E1219B" w:rsidP="000F194A">
      <w:pPr>
        <w:pStyle w:val="base-text-paragraph"/>
      </w:pPr>
      <w:r>
        <w:t>A</w:t>
      </w:r>
      <w:r w:rsidR="00CF3960">
        <w:t xml:space="preserve"> person is not liable under sub</w:t>
      </w:r>
      <w:r>
        <w:t>section</w:t>
      </w:r>
      <w:r w:rsidR="00CF3960">
        <w:t xml:space="preserve"> </w:t>
      </w:r>
      <w:r w:rsidR="00792A66">
        <w:t>8</w:t>
      </w:r>
      <w:r w:rsidR="00AF733A">
        <w:t>9</w:t>
      </w:r>
      <w:r w:rsidR="00CF3960">
        <w:t xml:space="preserve">(1) if </w:t>
      </w:r>
      <w:r w:rsidR="00286756">
        <w:t xml:space="preserve">they </w:t>
      </w:r>
      <w:r w:rsidR="00CF3960">
        <w:t xml:space="preserve">can prove </w:t>
      </w:r>
      <w:r w:rsidR="00286756">
        <w:t>they</w:t>
      </w:r>
      <w:r w:rsidR="00CF3960">
        <w:t xml:space="preserve"> exercised due diligence to ensure that the in</w:t>
      </w:r>
      <w:r w:rsidR="00276911">
        <w:t xml:space="preserve">surer complied with the notice.  </w:t>
      </w:r>
      <w:r w:rsidR="00276911" w:rsidRPr="0097112F">
        <w:rPr>
          <w:rStyle w:val="Referencingstyle"/>
        </w:rPr>
        <w:t xml:space="preserve">[Part 3, Division </w:t>
      </w:r>
      <w:r w:rsidR="00B7461D">
        <w:rPr>
          <w:rStyle w:val="Referencingstyle"/>
        </w:rPr>
        <w:t>9</w:t>
      </w:r>
      <w:r w:rsidR="00276911" w:rsidRPr="0097112F">
        <w:rPr>
          <w:rStyle w:val="Referencingstyle"/>
        </w:rPr>
        <w:t>, sub</w:t>
      </w:r>
      <w:r w:rsidR="00276911">
        <w:rPr>
          <w:rStyle w:val="Referencingstyle"/>
        </w:rPr>
        <w:t xml:space="preserve">section </w:t>
      </w:r>
      <w:r w:rsidR="00576A50">
        <w:rPr>
          <w:rStyle w:val="Referencingstyle"/>
        </w:rPr>
        <w:t>8</w:t>
      </w:r>
      <w:r w:rsidR="00AF733A">
        <w:rPr>
          <w:rStyle w:val="Referencingstyle"/>
        </w:rPr>
        <w:t>9</w:t>
      </w:r>
      <w:r w:rsidR="00276911">
        <w:rPr>
          <w:rStyle w:val="Referencingstyle"/>
        </w:rPr>
        <w:t>(2)</w:t>
      </w:r>
      <w:r w:rsidR="00276911" w:rsidRPr="0097112F">
        <w:rPr>
          <w:rStyle w:val="Referencingstyle"/>
        </w:rPr>
        <w:t>]</w:t>
      </w:r>
    </w:p>
    <w:p w14:paraId="15A0BAA9" w14:textId="77777777" w:rsidR="00CF3960" w:rsidRDefault="00E1219B" w:rsidP="000F194A">
      <w:pPr>
        <w:pStyle w:val="base-text-paragraph"/>
      </w:pPr>
      <w:r>
        <w:t>An</w:t>
      </w:r>
      <w:r w:rsidR="00CF3960">
        <w:t xml:space="preserve"> action to recover an amount under sub</w:t>
      </w:r>
      <w:r>
        <w:t>section</w:t>
      </w:r>
      <w:r w:rsidR="00CF3960">
        <w:t xml:space="preserve"> </w:t>
      </w:r>
      <w:r w:rsidR="00AF733A">
        <w:t>89</w:t>
      </w:r>
      <w:r w:rsidR="00CF3960">
        <w:t xml:space="preserve">(1) may be brought by the insurer or, with </w:t>
      </w:r>
      <w:r>
        <w:t>APRA’s approval</w:t>
      </w:r>
      <w:r w:rsidR="00CF3960">
        <w:t xml:space="preserve">, a policy holder of the health benefits fund involved.  </w:t>
      </w:r>
      <w:r w:rsidR="00276911">
        <w:t>APRA’s a</w:t>
      </w:r>
      <w:r w:rsidR="00CF3960">
        <w:t xml:space="preserve">pproval may be </w:t>
      </w:r>
      <w:r w:rsidR="003B06A0">
        <w:t xml:space="preserve">subject to conditions as to </w:t>
      </w:r>
      <w:r w:rsidR="00CF3960">
        <w:t>the persons or number of persons who may join the action as plaintiffs.</w:t>
      </w:r>
      <w:r w:rsidR="00276911">
        <w:t xml:space="preserve"> </w:t>
      </w:r>
      <w:r w:rsidR="00F61C1B">
        <w:t>This approval is not a legislative instrument, as it is done on a case by case basis, and is therefore an administrative decision. Therefore the statement in subsection 89(5) is not a substantive exemption from the Legislative Instruments Act but a statement of the ‘status quo’.</w:t>
      </w:r>
      <w:r w:rsidR="00276911">
        <w:t xml:space="preserve"> </w:t>
      </w:r>
      <w:r w:rsidR="00AF733A">
        <w:t xml:space="preserve">A separate exoneration provision, in section 166, will also apply. </w:t>
      </w:r>
      <w:r w:rsidR="00276911" w:rsidRPr="0097112F">
        <w:rPr>
          <w:rStyle w:val="Referencingstyle"/>
        </w:rPr>
        <w:t xml:space="preserve">[Part 3, Division </w:t>
      </w:r>
      <w:r w:rsidR="00286756">
        <w:rPr>
          <w:rStyle w:val="Referencingstyle"/>
        </w:rPr>
        <w:t>9</w:t>
      </w:r>
      <w:r w:rsidR="00276911" w:rsidRPr="0097112F">
        <w:rPr>
          <w:rStyle w:val="Referencingstyle"/>
        </w:rPr>
        <w:t>, sub</w:t>
      </w:r>
      <w:r w:rsidR="00276911">
        <w:rPr>
          <w:rStyle w:val="Referencingstyle"/>
        </w:rPr>
        <w:t xml:space="preserve">sections </w:t>
      </w:r>
      <w:r w:rsidR="00576A50">
        <w:rPr>
          <w:rStyle w:val="Referencingstyle"/>
        </w:rPr>
        <w:t>8</w:t>
      </w:r>
      <w:r w:rsidR="00AF733A">
        <w:rPr>
          <w:rStyle w:val="Referencingstyle"/>
        </w:rPr>
        <w:t>9</w:t>
      </w:r>
      <w:r w:rsidR="00276911">
        <w:rPr>
          <w:rStyle w:val="Referencingstyle"/>
        </w:rPr>
        <w:t>(3)</w:t>
      </w:r>
      <w:r w:rsidR="00F24C26">
        <w:rPr>
          <w:rStyle w:val="Referencingstyle"/>
        </w:rPr>
        <w:t>,</w:t>
      </w:r>
      <w:r w:rsidR="00276911">
        <w:rPr>
          <w:rStyle w:val="Referencingstyle"/>
        </w:rPr>
        <w:t xml:space="preserve"> (4)</w:t>
      </w:r>
      <w:r w:rsidR="00F24C26">
        <w:rPr>
          <w:rStyle w:val="Referencingstyle"/>
        </w:rPr>
        <w:t xml:space="preserve"> and (5</w:t>
      </w:r>
      <w:r w:rsidR="00276911">
        <w:rPr>
          <w:rStyle w:val="Referencingstyle"/>
        </w:rPr>
        <w:t>)</w:t>
      </w:r>
      <w:r w:rsidR="00276911" w:rsidRPr="0097112F">
        <w:rPr>
          <w:rStyle w:val="Referencingstyle"/>
        </w:rPr>
        <w:t>]</w:t>
      </w:r>
    </w:p>
    <w:p w14:paraId="52259593" w14:textId="77777777" w:rsidR="00CF3960" w:rsidRDefault="00EE2C63" w:rsidP="00CF3960">
      <w:pPr>
        <w:pStyle w:val="Heading4"/>
      </w:pPr>
      <w:r>
        <w:t xml:space="preserve">APRA </w:t>
      </w:r>
      <w:r w:rsidR="00CF3960">
        <w:t>may sue in the name of private health insurers</w:t>
      </w:r>
    </w:p>
    <w:p w14:paraId="06E7FA61" w14:textId="77777777" w:rsidR="00AF5B3E" w:rsidRPr="00E82FB1" w:rsidRDefault="00276911" w:rsidP="000F194A">
      <w:pPr>
        <w:pStyle w:val="base-text-paragraph"/>
      </w:pPr>
      <w:r>
        <w:t>APRA</w:t>
      </w:r>
      <w:r w:rsidR="00CF3960">
        <w:t xml:space="preserve"> may bring an action in the name of a private health insurer to recover an amount the insurer is entitled to recover under Division</w:t>
      </w:r>
      <w:r w:rsidR="006E335C">
        <w:t xml:space="preserve"> 9</w:t>
      </w:r>
      <w:r w:rsidR="00CF3960">
        <w:t>.</w:t>
      </w:r>
      <w:r>
        <w:t xml:space="preserve">  </w:t>
      </w:r>
      <w:r w:rsidRPr="0097112F">
        <w:rPr>
          <w:rStyle w:val="Referencingstyle"/>
        </w:rPr>
        <w:t xml:space="preserve">[Part 3, Division </w:t>
      </w:r>
      <w:r w:rsidR="006E335C">
        <w:rPr>
          <w:rStyle w:val="Referencingstyle"/>
        </w:rPr>
        <w:t>9</w:t>
      </w:r>
      <w:r w:rsidRPr="0097112F">
        <w:rPr>
          <w:rStyle w:val="Referencingstyle"/>
        </w:rPr>
        <w:t xml:space="preserve">, </w:t>
      </w:r>
      <w:r>
        <w:rPr>
          <w:rStyle w:val="Referencingstyle"/>
        </w:rPr>
        <w:t>section</w:t>
      </w:r>
      <w:r w:rsidR="006E335C">
        <w:rPr>
          <w:rStyle w:val="Referencingstyle"/>
        </w:rPr>
        <w:t xml:space="preserve"> </w:t>
      </w:r>
      <w:r w:rsidR="00AF733A">
        <w:rPr>
          <w:rStyle w:val="Referencingstyle"/>
        </w:rPr>
        <w:t>90</w:t>
      </w:r>
      <w:r w:rsidRPr="0097112F">
        <w:rPr>
          <w:rStyle w:val="Referencingstyle"/>
        </w:rPr>
        <w:t>]</w:t>
      </w:r>
    </w:p>
    <w:p w14:paraId="7A3C0FD8" w14:textId="77777777" w:rsidR="00D86E5E" w:rsidRDefault="00D86E5E" w:rsidP="001A57F7">
      <w:pPr>
        <w:pStyle w:val="Hiddentext"/>
        <w:sectPr w:rsidR="00D86E5E" w:rsidSect="00D86E5E">
          <w:headerReference w:type="even" r:id="rId48"/>
          <w:headerReference w:type="default" r:id="rId49"/>
          <w:footerReference w:type="even" r:id="rId50"/>
          <w:footerReference w:type="default" r:id="rId51"/>
          <w:footerReference w:type="first" r:id="rId52"/>
          <w:type w:val="oddPage"/>
          <w:pgSz w:w="11906" w:h="16838" w:code="9"/>
          <w:pgMar w:top="2466" w:right="2098" w:bottom="2466" w:left="2098" w:header="1559" w:footer="1899" w:gutter="0"/>
          <w:cols w:space="708"/>
          <w:titlePg/>
          <w:docGrid w:linePitch="360"/>
        </w:sectPr>
      </w:pPr>
    </w:p>
    <w:p w14:paraId="6D38D231" w14:textId="77777777" w:rsidR="00AF4A32" w:rsidRPr="00F51A71" w:rsidRDefault="00AF4A32" w:rsidP="00AF4A32">
      <w:pPr>
        <w:pStyle w:val="ChapterHeading"/>
        <w:tabs>
          <w:tab w:val="num" w:pos="360"/>
        </w:tabs>
      </w:pPr>
      <w:bookmarkStart w:id="82" w:name="_Toc406579565"/>
      <w:bookmarkStart w:id="83" w:name="_Toc406580558"/>
      <w:bookmarkStart w:id="84" w:name="_Toc406581434"/>
      <w:bookmarkStart w:id="85" w:name="_Toc406602285"/>
      <w:bookmarkStart w:id="86" w:name="_Toc406748637"/>
      <w:bookmarkStart w:id="87" w:name="_Toc406748863"/>
      <w:bookmarkStart w:id="88" w:name="_Toc406748910"/>
      <w:bookmarkStart w:id="89" w:name="_Toc406749489"/>
      <w:bookmarkStart w:id="90" w:name="_Toc406750696"/>
      <w:bookmarkStart w:id="91" w:name="_Toc406751293"/>
      <w:bookmarkStart w:id="92" w:name="_Toc406751805"/>
      <w:bookmarkStart w:id="93" w:name="_Toc406752007"/>
      <w:bookmarkStart w:id="94" w:name="_Toc406752082"/>
      <w:bookmarkStart w:id="95" w:name="_Toc406752374"/>
      <w:bookmarkStart w:id="96" w:name="_Toc406579566"/>
      <w:bookmarkStart w:id="97" w:name="_Toc406580559"/>
      <w:bookmarkStart w:id="98" w:name="_Toc406581435"/>
      <w:bookmarkStart w:id="99" w:name="_Toc406602286"/>
      <w:bookmarkStart w:id="100" w:name="_Toc406748638"/>
      <w:bookmarkStart w:id="101" w:name="_Toc406748864"/>
      <w:bookmarkStart w:id="102" w:name="_Toc406748911"/>
      <w:bookmarkStart w:id="103" w:name="_Toc406749490"/>
      <w:bookmarkStart w:id="104" w:name="_Toc406750697"/>
      <w:bookmarkStart w:id="105" w:name="_Toc406751294"/>
      <w:bookmarkStart w:id="106" w:name="_Toc406751806"/>
      <w:bookmarkStart w:id="107" w:name="_Toc406752008"/>
      <w:bookmarkStart w:id="108" w:name="_Toc406752083"/>
      <w:bookmarkStart w:id="109" w:name="_Toc40675237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51A71">
        <w:br/>
      </w:r>
      <w:bookmarkStart w:id="110" w:name="_Toc406581436"/>
      <w:bookmarkStart w:id="111" w:name="_Toc406752084"/>
      <w:bookmarkStart w:id="112" w:name="_Toc406757009"/>
      <w:bookmarkStart w:id="113" w:name="_Toc406760722"/>
      <w:bookmarkStart w:id="114" w:name="_Toc407026920"/>
      <w:bookmarkStart w:id="115" w:name="_Toc416957157"/>
      <w:bookmarkStart w:id="116" w:name="_Toc418177764"/>
      <w:bookmarkStart w:id="117" w:name="_Toc418249761"/>
      <w:r>
        <w:t>Prudential standards and directions</w:t>
      </w:r>
      <w:bookmarkEnd w:id="110"/>
      <w:bookmarkEnd w:id="111"/>
      <w:bookmarkEnd w:id="112"/>
      <w:bookmarkEnd w:id="113"/>
      <w:bookmarkEnd w:id="114"/>
      <w:bookmarkEnd w:id="115"/>
      <w:bookmarkEnd w:id="116"/>
      <w:bookmarkEnd w:id="117"/>
    </w:p>
    <w:p w14:paraId="37E4A467" w14:textId="77777777" w:rsidR="00AF4A32" w:rsidRDefault="00AF4A32" w:rsidP="00AF4A32">
      <w:pPr>
        <w:pStyle w:val="Heading2"/>
      </w:pPr>
      <w:r>
        <w:t>Outline of chapter</w:t>
      </w:r>
    </w:p>
    <w:p w14:paraId="5983CDF8" w14:textId="77777777" w:rsidR="00AF4A32" w:rsidRDefault="00CD42E0" w:rsidP="000F194A">
      <w:pPr>
        <w:pStyle w:val="base-text-paragraph"/>
      </w:pPr>
      <w:r>
        <w:t>Part 4</w:t>
      </w:r>
      <w:r w:rsidR="00964609">
        <w:t xml:space="preserve"> </w:t>
      </w:r>
      <w:r w:rsidR="00DE14EB">
        <w:t xml:space="preserve">establishes the prudential supervision of the private health insurance industry, </w:t>
      </w:r>
      <w:r w:rsidR="003B06A0">
        <w:t>in particular,</w:t>
      </w:r>
      <w:r w:rsidR="00DE14EB">
        <w:t xml:space="preserve"> prudential standard</w:t>
      </w:r>
      <w:r w:rsidR="003B06A0">
        <w:t>s</w:t>
      </w:r>
      <w:r w:rsidR="00AF7CA3">
        <w:t xml:space="preserve"> and directions. Part </w:t>
      </w:r>
      <w:r w:rsidR="00DE14EB">
        <w:t>4 sets out:</w:t>
      </w:r>
    </w:p>
    <w:p w14:paraId="30819908" w14:textId="77777777" w:rsidR="00DE14EB" w:rsidRDefault="006101B1" w:rsidP="001A57F7">
      <w:pPr>
        <w:pStyle w:val="dotpoint"/>
      </w:pPr>
      <w:r>
        <w:t>the ability of APRA to make prudential standards and give directions;</w:t>
      </w:r>
    </w:p>
    <w:p w14:paraId="76D89DFF" w14:textId="77777777" w:rsidR="006101B1" w:rsidRDefault="006101B1" w:rsidP="001A57F7">
      <w:pPr>
        <w:pStyle w:val="dotpoint"/>
      </w:pPr>
      <w:r>
        <w:t>the requirement for private health insurers to comply with prudential standards and directions and to notify APRA</w:t>
      </w:r>
      <w:r w:rsidR="00680252">
        <w:t xml:space="preserve"> of any </w:t>
      </w:r>
      <w:r>
        <w:t>breach of prudential standards</w:t>
      </w:r>
      <w:r w:rsidR="00680252">
        <w:t xml:space="preserve"> that is not minor or technical in nature</w:t>
      </w:r>
      <w:r w:rsidR="00A56FA3">
        <w:t>, and of certain financial matters</w:t>
      </w:r>
      <w:r>
        <w:t>;</w:t>
      </w:r>
    </w:p>
    <w:p w14:paraId="6F323486" w14:textId="77777777" w:rsidR="006101B1" w:rsidRDefault="006101B1" w:rsidP="001A57F7">
      <w:pPr>
        <w:pStyle w:val="dotpoint"/>
      </w:pPr>
      <w:r>
        <w:t>how APRA may vary or revoke prudential standards and directions;</w:t>
      </w:r>
      <w:r w:rsidR="00CD3E98">
        <w:t xml:space="preserve"> and</w:t>
      </w:r>
    </w:p>
    <w:p w14:paraId="7415E04D" w14:textId="77777777" w:rsidR="006101B1" w:rsidRDefault="003B06A0" w:rsidP="001A57F7">
      <w:pPr>
        <w:pStyle w:val="dotpoint"/>
      </w:pPr>
      <w:r>
        <w:t>certain other matters</w:t>
      </w:r>
      <w:r w:rsidR="006101B1">
        <w:t xml:space="preserve"> </w:t>
      </w:r>
      <w:r w:rsidR="00D4507A">
        <w:t>and</w:t>
      </w:r>
      <w:r w:rsidR="006101B1">
        <w:t xml:space="preserve"> arrangements relating to directions. </w:t>
      </w:r>
    </w:p>
    <w:p w14:paraId="064AF245" w14:textId="77777777" w:rsidR="00C341C2" w:rsidRDefault="00C341C2" w:rsidP="00C341C2">
      <w:pPr>
        <w:pStyle w:val="base-text-paragraph"/>
      </w:pPr>
      <w:r>
        <w:t xml:space="preserve">Unless otherwise stated, all references in this Chapter relate to the </w:t>
      </w:r>
      <w:r>
        <w:rPr>
          <w:rStyle w:val="Referencingstyle"/>
          <w:b w:val="0"/>
          <w:i w:val="0"/>
          <w:sz w:val="22"/>
        </w:rPr>
        <w:t>Prudential Supervision Bill.</w:t>
      </w:r>
    </w:p>
    <w:p w14:paraId="043D0422" w14:textId="77777777" w:rsidR="00AF4A32" w:rsidRDefault="00AF4A32" w:rsidP="00AF4A32">
      <w:pPr>
        <w:pStyle w:val="Heading2"/>
      </w:pPr>
      <w:r>
        <w:t>Summary of new law</w:t>
      </w:r>
    </w:p>
    <w:p w14:paraId="33D42F45" w14:textId="77777777" w:rsidR="00304367" w:rsidRDefault="00D65A34" w:rsidP="000F194A">
      <w:pPr>
        <w:pStyle w:val="base-text-paragraph"/>
      </w:pPr>
      <w:r>
        <w:t>Part 4</w:t>
      </w:r>
      <w:r w:rsidRPr="00D65A34">
        <w:t xml:space="preserve"> will simplify the existing legislative scheme by replacing the three standard-making powers currently in the PHI Act (solvency standards in Division 140, capital adequacy standards in Division 143 and prudential standards in Division</w:t>
      </w:r>
      <w:r w:rsidR="00AF7CA3">
        <w:t> </w:t>
      </w:r>
      <w:r w:rsidRPr="00D65A34">
        <w:t xml:space="preserve">163) with a single </w:t>
      </w:r>
      <w:r w:rsidR="00C20B7E">
        <w:t>prudential standard</w:t>
      </w:r>
      <w:r w:rsidR="007D19DE">
        <w:noBreakHyphen/>
      </w:r>
      <w:r w:rsidR="00C20B7E">
        <w:t>making</w:t>
      </w:r>
      <w:r w:rsidRPr="00D65A34">
        <w:t xml:space="preserve"> power. Bringing these three standard</w:t>
      </w:r>
      <w:r w:rsidR="007D19DE">
        <w:noBreakHyphen/>
      </w:r>
      <w:r w:rsidRPr="00D65A34">
        <w:t xml:space="preserve">making powers into one will also harmonise the legislation with APRA’s existing prudential standard-making powers in relation to </w:t>
      </w:r>
      <w:r w:rsidR="00AF7CA3">
        <w:t>the</w:t>
      </w:r>
      <w:r w:rsidR="00A104D1">
        <w:rPr>
          <w:lang w:val="en-US" w:eastAsia="en-US"/>
        </w:rPr>
        <w:t xml:space="preserve"> ADIs</w:t>
      </w:r>
      <w:r w:rsidRPr="00D65A34">
        <w:t>, life insurers, general insurers and superannuation trustees.</w:t>
      </w:r>
    </w:p>
    <w:p w14:paraId="6E263644" w14:textId="77777777" w:rsidR="007E76DA" w:rsidRDefault="00304367" w:rsidP="00EF64FD">
      <w:pPr>
        <w:pStyle w:val="base-text-paragraph"/>
        <w:keepNext/>
        <w:keepLines/>
      </w:pPr>
      <w:r w:rsidRPr="00304367">
        <w:t xml:space="preserve">The directions power will replace a number of powers currently in the PHI Act, to the extent that they have been exercisable by </w:t>
      </w:r>
      <w:r w:rsidR="00AC6B82">
        <w:t>the Council</w:t>
      </w:r>
      <w:r w:rsidRPr="00304367">
        <w:t xml:space="preserve">: </w:t>
      </w:r>
    </w:p>
    <w:p w14:paraId="4AFCC47D" w14:textId="77777777" w:rsidR="00B64FFF" w:rsidRDefault="00304367" w:rsidP="00EF64FD">
      <w:pPr>
        <w:pStyle w:val="dotpoint"/>
        <w:keepNext/>
        <w:keepLines/>
      </w:pPr>
      <w:r w:rsidRPr="00304367">
        <w:t>solvency directions under section 140-20</w:t>
      </w:r>
      <w:r w:rsidR="00B64FFF">
        <w:t>;</w:t>
      </w:r>
    </w:p>
    <w:p w14:paraId="5E0ADDEE" w14:textId="77777777" w:rsidR="007E76DA" w:rsidRDefault="00304367" w:rsidP="00EF64FD">
      <w:pPr>
        <w:pStyle w:val="dotpoint"/>
        <w:keepNext/>
        <w:keepLines/>
      </w:pPr>
      <w:r w:rsidRPr="00304367">
        <w:t>capital directions under section 143-20</w:t>
      </w:r>
      <w:r w:rsidR="007E76DA">
        <w:t>;</w:t>
      </w:r>
      <w:r w:rsidRPr="00304367">
        <w:t xml:space="preserve"> </w:t>
      </w:r>
    </w:p>
    <w:p w14:paraId="61F0CA3A" w14:textId="77777777" w:rsidR="003B06A0" w:rsidRDefault="003B06A0" w:rsidP="00EF64FD">
      <w:pPr>
        <w:pStyle w:val="dotpoint"/>
        <w:keepNext/>
        <w:keepLines/>
      </w:pPr>
      <w:r>
        <w:t xml:space="preserve">directions under section 163-15 to comply with all or part of a prudential standard, or take specified action within a specified time, where the Council is satisfied that an insurer has breached a prudential standard or is likely to do so in a </w:t>
      </w:r>
      <w:r w:rsidR="00680252">
        <w:t>way that is likely to give rise</w:t>
      </w:r>
      <w:r w:rsidR="00092F66">
        <w:t xml:space="preserve"> to prudential risk;</w:t>
      </w:r>
      <w:r w:rsidR="007D19DE">
        <w:t xml:space="preserve"> and</w:t>
      </w:r>
    </w:p>
    <w:p w14:paraId="6D8AF9F2" w14:textId="77777777" w:rsidR="007E76DA" w:rsidRDefault="00304367" w:rsidP="00EF64FD">
      <w:pPr>
        <w:pStyle w:val="dotpoint"/>
        <w:keepNext/>
        <w:keepLines/>
      </w:pPr>
      <w:r w:rsidRPr="00304367">
        <w:t xml:space="preserve">general directions </w:t>
      </w:r>
      <w:r w:rsidR="00AC6B82">
        <w:t>the Council</w:t>
      </w:r>
      <w:r w:rsidRPr="00304367">
        <w:t xml:space="preserve"> can give under s</w:t>
      </w:r>
      <w:r w:rsidR="00C20B7E">
        <w:t>ection</w:t>
      </w:r>
      <w:r w:rsidRPr="00304367">
        <w:t xml:space="preserve"> 200-1 to require a private health insurer to modify its day to day operations (among other things)</w:t>
      </w:r>
      <w:r w:rsidR="007D19DE">
        <w:t>.</w:t>
      </w:r>
    </w:p>
    <w:p w14:paraId="07A3A1D1" w14:textId="77777777" w:rsidR="007C7D89" w:rsidRDefault="00304367" w:rsidP="000F194A">
      <w:pPr>
        <w:pStyle w:val="base-text-paragraph"/>
      </w:pPr>
      <w:r w:rsidRPr="00304367">
        <w:t>The directions power in the</w:t>
      </w:r>
      <w:r w:rsidDel="00115FBF">
        <w:rPr>
          <w:lang w:val="en-US" w:eastAsia="en-US"/>
        </w:rPr>
        <w:t xml:space="preserve"> </w:t>
      </w:r>
      <w:r w:rsidR="00AF7CA3">
        <w:rPr>
          <w:lang w:val="en-US" w:eastAsia="en-US"/>
        </w:rPr>
        <w:t>(Prudential Supervision Bill</w:t>
      </w:r>
      <w:r w:rsidR="00AF7CA3">
        <w:t>)</w:t>
      </w:r>
      <w:r w:rsidR="00680252">
        <w:t xml:space="preserve"> </w:t>
      </w:r>
      <w:r w:rsidR="00A56FA3">
        <w:t>is</w:t>
      </w:r>
      <w:r w:rsidRPr="00304367">
        <w:t xml:space="preserve"> based on directions powers APRA has in the </w:t>
      </w:r>
      <w:r w:rsidR="00AF7CA3" w:rsidRPr="00EF64FD">
        <w:rPr>
          <w:lang w:val="en-US" w:eastAsia="en-US"/>
        </w:rPr>
        <w:t>Life Insurance Act</w:t>
      </w:r>
      <w:r w:rsidRPr="00304367">
        <w:t>; accordingly, it will promote harmonisation with other legislation administered by APRA in relation to financial sector entities</w:t>
      </w:r>
      <w:r w:rsidR="007C7D89">
        <w:t>.</w:t>
      </w:r>
    </w:p>
    <w:p w14:paraId="2B838DCB" w14:textId="77777777" w:rsidR="00AF4A32" w:rsidRDefault="00AF4A32" w:rsidP="00AF4A32">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AF4A32" w:rsidRPr="004666B8" w14:paraId="31D3DE82" w14:textId="77777777" w:rsidTr="00AF7CA3">
        <w:trPr>
          <w:tblHeader/>
        </w:trPr>
        <w:tc>
          <w:tcPr>
            <w:tcW w:w="3275" w:type="dxa"/>
          </w:tcPr>
          <w:p w14:paraId="70E3676E" w14:textId="77777777" w:rsidR="00AF4A32" w:rsidRPr="004666B8" w:rsidRDefault="00AF4A32" w:rsidP="00AF4A32">
            <w:pPr>
              <w:pStyle w:val="tableheaderwithintable"/>
              <w:rPr>
                <w:lang w:val="en-US" w:eastAsia="en-US"/>
              </w:rPr>
            </w:pPr>
            <w:r w:rsidRPr="004666B8">
              <w:rPr>
                <w:lang w:val="en-US" w:eastAsia="en-US"/>
              </w:rPr>
              <w:t>New law</w:t>
            </w:r>
          </w:p>
        </w:tc>
        <w:tc>
          <w:tcPr>
            <w:tcW w:w="3276" w:type="dxa"/>
          </w:tcPr>
          <w:p w14:paraId="5F03DA20" w14:textId="77777777" w:rsidR="00AF4A32" w:rsidRPr="004666B8" w:rsidRDefault="00AF4A32" w:rsidP="00AF4A32">
            <w:pPr>
              <w:pStyle w:val="tableheaderwithintable"/>
              <w:rPr>
                <w:lang w:val="en-US" w:eastAsia="en-US"/>
              </w:rPr>
            </w:pPr>
            <w:r w:rsidRPr="004666B8">
              <w:rPr>
                <w:lang w:val="en-US" w:eastAsia="en-US"/>
              </w:rPr>
              <w:t>Current law</w:t>
            </w:r>
          </w:p>
        </w:tc>
      </w:tr>
      <w:tr w:rsidR="00603471" w:rsidRPr="004666B8" w14:paraId="4B672CAF" w14:textId="77777777" w:rsidTr="00AF4A32">
        <w:tc>
          <w:tcPr>
            <w:tcW w:w="3275" w:type="dxa"/>
          </w:tcPr>
          <w:p w14:paraId="280BF5BF" w14:textId="77777777" w:rsidR="00603471" w:rsidRDefault="005668CC" w:rsidP="00603471">
            <w:pPr>
              <w:pStyle w:val="tabletext"/>
              <w:rPr>
                <w:lang w:val="en-US" w:eastAsia="en-US"/>
              </w:rPr>
            </w:pPr>
            <w:r>
              <w:rPr>
                <w:lang w:val="en-US" w:eastAsia="en-US"/>
              </w:rPr>
              <w:t xml:space="preserve">APRA </w:t>
            </w:r>
            <w:r w:rsidR="00AA58CC">
              <w:rPr>
                <w:lang w:val="en-US" w:eastAsia="en-US"/>
              </w:rPr>
              <w:t xml:space="preserve">has the power to </w:t>
            </w:r>
            <w:r>
              <w:rPr>
                <w:lang w:val="en-US" w:eastAsia="en-US"/>
              </w:rPr>
              <w:t>make prudential standards</w:t>
            </w:r>
            <w:r w:rsidR="00AA58CC">
              <w:rPr>
                <w:lang w:val="en-US" w:eastAsia="en-US"/>
              </w:rPr>
              <w:t xml:space="preserve"> regarding prudential matters,</w:t>
            </w:r>
            <w:r>
              <w:rPr>
                <w:lang w:val="en-US" w:eastAsia="en-US"/>
              </w:rPr>
              <w:t xml:space="preserve"> which private health insurers must comply</w:t>
            </w:r>
            <w:r w:rsidR="00AA58CC">
              <w:rPr>
                <w:lang w:val="en-US" w:eastAsia="en-US"/>
              </w:rPr>
              <w:t xml:space="preserve"> with</w:t>
            </w:r>
            <w:r>
              <w:rPr>
                <w:lang w:val="en-US" w:eastAsia="en-US"/>
              </w:rPr>
              <w:t>.</w:t>
            </w:r>
          </w:p>
          <w:p w14:paraId="6DDF7607" w14:textId="77777777" w:rsidR="00603471" w:rsidRDefault="00603471" w:rsidP="00603471">
            <w:pPr>
              <w:pStyle w:val="tabletext"/>
              <w:rPr>
                <w:lang w:val="en-US" w:eastAsia="en-US"/>
              </w:rPr>
            </w:pPr>
          </w:p>
        </w:tc>
        <w:tc>
          <w:tcPr>
            <w:tcW w:w="3276" w:type="dxa"/>
          </w:tcPr>
          <w:p w14:paraId="30BFDBFC" w14:textId="77777777" w:rsidR="00603471" w:rsidRDefault="005668CC" w:rsidP="006C3D7A">
            <w:pPr>
              <w:pStyle w:val="tabletext"/>
              <w:rPr>
                <w:lang w:val="en-US" w:eastAsia="en-US"/>
              </w:rPr>
            </w:pPr>
            <w:r>
              <w:rPr>
                <w:lang w:val="en-US" w:eastAsia="en-US"/>
              </w:rPr>
              <w:t xml:space="preserve">The Council </w:t>
            </w:r>
            <w:r w:rsidR="00AA58CC">
              <w:rPr>
                <w:lang w:val="en-US" w:eastAsia="en-US"/>
              </w:rPr>
              <w:t>had the power to</w:t>
            </w:r>
            <w:r>
              <w:rPr>
                <w:lang w:val="en-US" w:eastAsia="en-US"/>
              </w:rPr>
              <w:t xml:space="preserve"> make prudential standards (Division 163 of the PHI Act), as well as solvency </w:t>
            </w:r>
            <w:r w:rsidR="00B64FFF">
              <w:rPr>
                <w:lang w:val="en-US" w:eastAsia="en-US"/>
              </w:rPr>
              <w:t xml:space="preserve">standards </w:t>
            </w:r>
            <w:r>
              <w:rPr>
                <w:lang w:val="en-US" w:eastAsia="en-US"/>
              </w:rPr>
              <w:t xml:space="preserve">(Division 140 of the PHI Act) and capital adequacy </w:t>
            </w:r>
            <w:r w:rsidR="00B64FFF">
              <w:rPr>
                <w:lang w:val="en-US" w:eastAsia="en-US"/>
              </w:rPr>
              <w:t xml:space="preserve">standards </w:t>
            </w:r>
            <w:r>
              <w:rPr>
                <w:lang w:val="en-US" w:eastAsia="en-US"/>
              </w:rPr>
              <w:t>(Division 143 of the PHI Act).</w:t>
            </w:r>
          </w:p>
        </w:tc>
      </w:tr>
      <w:tr w:rsidR="00603471" w:rsidRPr="004666B8" w14:paraId="343FCDE1" w14:textId="77777777" w:rsidTr="00AF4A32">
        <w:tc>
          <w:tcPr>
            <w:tcW w:w="3275" w:type="dxa"/>
          </w:tcPr>
          <w:p w14:paraId="502A231E" w14:textId="77777777" w:rsidR="00603471" w:rsidRDefault="00603471" w:rsidP="00AF7CA3">
            <w:pPr>
              <w:pStyle w:val="tabletext"/>
              <w:keepNext/>
              <w:keepLines/>
              <w:rPr>
                <w:lang w:val="en-US" w:eastAsia="en-US"/>
              </w:rPr>
            </w:pPr>
            <w:r>
              <w:rPr>
                <w:lang w:val="en-US" w:eastAsia="en-US"/>
              </w:rPr>
              <w:t>APRA may (on certain grounds) give a private health insurer a direction.</w:t>
            </w:r>
          </w:p>
          <w:p w14:paraId="7B92252A" w14:textId="77777777" w:rsidR="00603471" w:rsidRDefault="00603471" w:rsidP="00AF7CA3">
            <w:pPr>
              <w:pStyle w:val="tabletext"/>
              <w:keepNext/>
              <w:keepLines/>
              <w:rPr>
                <w:lang w:val="en-US" w:eastAsia="en-US"/>
              </w:rPr>
            </w:pPr>
          </w:p>
        </w:tc>
        <w:tc>
          <w:tcPr>
            <w:tcW w:w="3276" w:type="dxa"/>
          </w:tcPr>
          <w:p w14:paraId="30A8B259" w14:textId="77777777" w:rsidR="007D19DE" w:rsidRDefault="00603471" w:rsidP="00AF7CA3">
            <w:pPr>
              <w:pStyle w:val="tabletext"/>
              <w:keepNext/>
              <w:keepLines/>
              <w:rPr>
                <w:lang w:val="en-US" w:eastAsia="en-US"/>
              </w:rPr>
            </w:pPr>
            <w:r>
              <w:rPr>
                <w:lang w:val="en-US" w:eastAsia="en-US"/>
              </w:rPr>
              <w:t xml:space="preserve">The Council </w:t>
            </w:r>
            <w:r w:rsidR="00095308">
              <w:rPr>
                <w:lang w:val="en-US" w:eastAsia="en-US"/>
              </w:rPr>
              <w:t>was able to</w:t>
            </w:r>
            <w:r w:rsidR="007D19DE">
              <w:rPr>
                <w:lang w:val="en-US" w:eastAsia="en-US"/>
              </w:rPr>
              <w:t xml:space="preserve"> issue</w:t>
            </w:r>
            <w:r w:rsidR="00095308">
              <w:rPr>
                <w:lang w:val="en-US" w:eastAsia="en-US"/>
              </w:rPr>
              <w:t xml:space="preserve">: </w:t>
            </w:r>
          </w:p>
          <w:p w14:paraId="52CEBDFF" w14:textId="77777777" w:rsidR="007D19DE" w:rsidRDefault="007D19DE" w:rsidP="00AF7CA3">
            <w:pPr>
              <w:pStyle w:val="tabledotpoint"/>
              <w:keepNext/>
              <w:keepLines/>
              <w:rPr>
                <w:lang w:val="en-US" w:eastAsia="en-US"/>
              </w:rPr>
            </w:pPr>
            <w:r w:rsidRPr="007D19DE">
              <w:rPr>
                <w:lang w:val="en-US" w:eastAsia="en-US"/>
              </w:rPr>
              <w:t xml:space="preserve">solvency directions </w:t>
            </w:r>
            <w:r>
              <w:rPr>
                <w:lang w:val="en-US" w:eastAsia="en-US"/>
              </w:rPr>
              <w:t>(</w:t>
            </w:r>
            <w:r w:rsidRPr="007D19DE">
              <w:rPr>
                <w:lang w:val="en-US" w:eastAsia="en-US"/>
              </w:rPr>
              <w:t>under section</w:t>
            </w:r>
            <w:r>
              <w:rPr>
                <w:lang w:val="en-US" w:eastAsia="en-US"/>
              </w:rPr>
              <w:t> </w:t>
            </w:r>
            <w:r w:rsidRPr="007D19DE">
              <w:rPr>
                <w:lang w:val="en-US" w:eastAsia="en-US"/>
              </w:rPr>
              <w:t>140-20</w:t>
            </w:r>
            <w:r w:rsidR="00AD2DB6">
              <w:rPr>
                <w:lang w:val="en-US" w:eastAsia="en-US"/>
              </w:rPr>
              <w:t xml:space="preserve"> of the PHI Act</w:t>
            </w:r>
            <w:r>
              <w:rPr>
                <w:lang w:val="en-US" w:eastAsia="en-US"/>
              </w:rPr>
              <w:t>);</w:t>
            </w:r>
          </w:p>
          <w:p w14:paraId="605BCC48" w14:textId="77777777" w:rsidR="007D19DE" w:rsidRPr="007D19DE" w:rsidRDefault="007D19DE" w:rsidP="00AF7CA3">
            <w:pPr>
              <w:pStyle w:val="tabledotpoint"/>
              <w:keepNext/>
              <w:keepLines/>
              <w:rPr>
                <w:lang w:val="en-US" w:eastAsia="en-US"/>
              </w:rPr>
            </w:pPr>
            <w:r w:rsidRPr="007D19DE">
              <w:rPr>
                <w:lang w:val="en-US" w:eastAsia="en-US"/>
              </w:rPr>
              <w:t xml:space="preserve">capital directions </w:t>
            </w:r>
            <w:r>
              <w:rPr>
                <w:lang w:val="en-US" w:eastAsia="en-US"/>
              </w:rPr>
              <w:t>(</w:t>
            </w:r>
            <w:r w:rsidRPr="007D19DE">
              <w:rPr>
                <w:lang w:val="en-US" w:eastAsia="en-US"/>
              </w:rPr>
              <w:t>under section 143-20</w:t>
            </w:r>
            <w:r w:rsidR="00AD2DB6">
              <w:rPr>
                <w:lang w:val="en-US" w:eastAsia="en-US"/>
              </w:rPr>
              <w:t xml:space="preserve"> of the PHI Act</w:t>
            </w:r>
            <w:r>
              <w:rPr>
                <w:lang w:val="en-US" w:eastAsia="en-US"/>
              </w:rPr>
              <w:t>)</w:t>
            </w:r>
            <w:r w:rsidRPr="007D19DE">
              <w:rPr>
                <w:lang w:val="en-US" w:eastAsia="en-US"/>
              </w:rPr>
              <w:t xml:space="preserve">; </w:t>
            </w:r>
          </w:p>
          <w:p w14:paraId="3CB8CE88" w14:textId="77777777" w:rsidR="007D19DE" w:rsidRPr="007D19DE" w:rsidRDefault="007D19DE" w:rsidP="00AF7CA3">
            <w:pPr>
              <w:pStyle w:val="tabledotpoint"/>
              <w:keepNext/>
              <w:keepLines/>
              <w:rPr>
                <w:lang w:val="en-US" w:eastAsia="en-US"/>
              </w:rPr>
            </w:pPr>
            <w:r w:rsidRPr="007D19DE">
              <w:rPr>
                <w:lang w:val="en-US" w:eastAsia="en-US"/>
              </w:rPr>
              <w:t xml:space="preserve">directions </w:t>
            </w:r>
            <w:r>
              <w:rPr>
                <w:lang w:val="en-US" w:eastAsia="en-US"/>
              </w:rPr>
              <w:t>(</w:t>
            </w:r>
            <w:r w:rsidRPr="007D19DE">
              <w:rPr>
                <w:lang w:val="en-US" w:eastAsia="en-US"/>
              </w:rPr>
              <w:t>under section 163-15</w:t>
            </w:r>
            <w:r w:rsidR="00AD2DB6">
              <w:rPr>
                <w:lang w:val="en-US" w:eastAsia="en-US"/>
              </w:rPr>
              <w:t xml:space="preserve"> of the PHI Act</w:t>
            </w:r>
            <w:r>
              <w:rPr>
                <w:lang w:val="en-US" w:eastAsia="en-US"/>
              </w:rPr>
              <w:t>)</w:t>
            </w:r>
            <w:r w:rsidRPr="007D19DE">
              <w:rPr>
                <w:lang w:val="en-US" w:eastAsia="en-US"/>
              </w:rPr>
              <w:t xml:space="preserve"> to comply with all or part of a prudential standard, or take specified action within a specified time, where the Council is satisfied that an insurer has breached a prudential standard or is likely to do so in a way that is likely to give rise to prudential risk; and</w:t>
            </w:r>
          </w:p>
          <w:p w14:paraId="18D81239" w14:textId="77777777" w:rsidR="00603471" w:rsidRDefault="007D19DE" w:rsidP="00AF7CA3">
            <w:pPr>
              <w:pStyle w:val="tabledotpoint"/>
              <w:keepNext/>
              <w:keepLines/>
              <w:rPr>
                <w:lang w:val="en-US" w:eastAsia="en-US"/>
              </w:rPr>
            </w:pPr>
            <w:r w:rsidRPr="007D19DE">
              <w:rPr>
                <w:lang w:val="en-US" w:eastAsia="en-US"/>
              </w:rPr>
              <w:t xml:space="preserve">general directions the Council can give </w:t>
            </w:r>
            <w:r w:rsidR="00AD2DB6">
              <w:rPr>
                <w:lang w:val="en-US" w:eastAsia="en-US"/>
              </w:rPr>
              <w:t>(</w:t>
            </w:r>
            <w:r w:rsidRPr="007D19DE">
              <w:rPr>
                <w:lang w:val="en-US" w:eastAsia="en-US"/>
              </w:rPr>
              <w:t>under section 200-1</w:t>
            </w:r>
            <w:r w:rsidR="00AD2DB6">
              <w:rPr>
                <w:lang w:val="en-US" w:eastAsia="en-US"/>
              </w:rPr>
              <w:t xml:space="preserve"> of the PHI Act)</w:t>
            </w:r>
            <w:r w:rsidRPr="007D19DE">
              <w:rPr>
                <w:lang w:val="en-US" w:eastAsia="en-US"/>
              </w:rPr>
              <w:t xml:space="preserve"> to require a private health insurer to modify its day to day operations (among other things).</w:t>
            </w:r>
          </w:p>
        </w:tc>
      </w:tr>
    </w:tbl>
    <w:p w14:paraId="0EC9FAEC" w14:textId="77777777" w:rsidR="00AF4A32" w:rsidRDefault="00AF4A32" w:rsidP="00AF4A32">
      <w:pPr>
        <w:pStyle w:val="Heading2"/>
      </w:pPr>
      <w:r>
        <w:t>Detailed explanation of new law</w:t>
      </w:r>
    </w:p>
    <w:p w14:paraId="75ABDC77" w14:textId="77777777" w:rsidR="00AF4A32" w:rsidRDefault="00AF4A32" w:rsidP="00AF4A32">
      <w:pPr>
        <w:pStyle w:val="Heading3"/>
      </w:pPr>
      <w:r>
        <w:t>Division 1 – Introduction</w:t>
      </w:r>
    </w:p>
    <w:p w14:paraId="5D35ABED" w14:textId="77777777" w:rsidR="008E24F6" w:rsidRPr="00576A50" w:rsidRDefault="00AF4A32" w:rsidP="001A57F7">
      <w:pPr>
        <w:pStyle w:val="Heading4"/>
      </w:pPr>
      <w:r w:rsidRPr="00C04AA9">
        <w:t>Simplified outline of this Part</w:t>
      </w:r>
      <w:r w:rsidR="008E24F6" w:rsidRPr="00576A50">
        <w:t xml:space="preserve"> </w:t>
      </w:r>
    </w:p>
    <w:p w14:paraId="6F11961C" w14:textId="77777777" w:rsidR="00AF4A32" w:rsidRPr="006C3D7A" w:rsidRDefault="00A35440" w:rsidP="000F194A">
      <w:pPr>
        <w:pStyle w:val="base-text-paragraph"/>
      </w:pPr>
      <w:r>
        <w:t>Private health insurers must comply with prudential standards made by APRA. A private health insurer must notify APRA if it becomes aware of a contravention by it of a prudential standard (other than a contravention that is merely of a minor or technical nature) or any other matter or occurrence that materially affects its financial position. APRA may, on certain grounds, give a private health insurer a direction that the insurer must comply with.</w:t>
      </w:r>
      <w:r w:rsidR="00F000FB">
        <w:t xml:space="preserve"> </w:t>
      </w:r>
      <w:r w:rsidR="00576A50" w:rsidRPr="006C3D7A">
        <w:rPr>
          <w:rStyle w:val="Referencingstyle"/>
        </w:rPr>
        <w:t>[Part 4, Division 1, section 90]</w:t>
      </w:r>
    </w:p>
    <w:p w14:paraId="10B8A969" w14:textId="77777777" w:rsidR="00AF4A32" w:rsidRDefault="00AF4A32" w:rsidP="00AF4A32">
      <w:pPr>
        <w:pStyle w:val="Heading3"/>
      </w:pPr>
      <w:r w:rsidRPr="00C04AA9">
        <w:t>Divi</w:t>
      </w:r>
      <w:r w:rsidRPr="00576A50">
        <w:t xml:space="preserve">sion </w:t>
      </w:r>
      <w:r w:rsidR="008E24F6" w:rsidRPr="00576A50">
        <w:t>2</w:t>
      </w:r>
      <w:r w:rsidRPr="00576A50">
        <w:t xml:space="preserve"> – Prudential standards</w:t>
      </w:r>
    </w:p>
    <w:p w14:paraId="1747D0BA" w14:textId="77777777" w:rsidR="00144AFE" w:rsidRDefault="00144AFE" w:rsidP="00C04AA9">
      <w:pPr>
        <w:pStyle w:val="Heading4"/>
      </w:pPr>
      <w:r>
        <w:t>Prudential standards</w:t>
      </w:r>
    </w:p>
    <w:p w14:paraId="391F3029" w14:textId="77777777" w:rsidR="008E24F6" w:rsidRDefault="008E24F6" w:rsidP="006C3D7A">
      <w:pPr>
        <w:pStyle w:val="Heading5"/>
      </w:pPr>
      <w:r>
        <w:t>APRA may make prudential standards</w:t>
      </w:r>
    </w:p>
    <w:p w14:paraId="7C875E65" w14:textId="77777777" w:rsidR="00A223D7" w:rsidRDefault="00AF4A32" w:rsidP="000F194A">
      <w:pPr>
        <w:pStyle w:val="base-text-paragraph"/>
      </w:pPr>
      <w:r>
        <w:t xml:space="preserve">APRA may make </w:t>
      </w:r>
      <w:r w:rsidRPr="006D4186">
        <w:rPr>
          <w:b/>
          <w:i/>
        </w:rPr>
        <w:t>prudential standards</w:t>
      </w:r>
      <w:r>
        <w:t xml:space="preserve"> in writing relating to prudential matters</w:t>
      </w:r>
      <w:r w:rsidR="008E24F6">
        <w:t xml:space="preserve">. </w:t>
      </w:r>
      <w:r w:rsidR="00E4455D">
        <w:t>The</w:t>
      </w:r>
      <w:r w:rsidR="008E24F6">
        <w:t xml:space="preserve"> standards must be complied with </w:t>
      </w:r>
      <w:r w:rsidR="00D4507A">
        <w:t xml:space="preserve">by </w:t>
      </w:r>
      <w:r w:rsidR="008E24F6">
        <w:t>private health insurers, or in relation to insurers.</w:t>
      </w:r>
      <w:r w:rsidR="007F2C43">
        <w:t xml:space="preserve"> </w:t>
      </w:r>
      <w:r w:rsidR="00A223D7" w:rsidRPr="006D4186">
        <w:rPr>
          <w:rStyle w:val="Referencingstyle"/>
        </w:rPr>
        <w:t xml:space="preserve">[Part 4, Division </w:t>
      </w:r>
      <w:r w:rsidR="00A223D7">
        <w:rPr>
          <w:rStyle w:val="Referencingstyle"/>
        </w:rPr>
        <w:t>2</w:t>
      </w:r>
      <w:r w:rsidR="00A223D7" w:rsidRPr="006D4186">
        <w:rPr>
          <w:rStyle w:val="Referencingstyle"/>
        </w:rPr>
        <w:t>, s</w:t>
      </w:r>
      <w:r w:rsidR="00A223D7">
        <w:rPr>
          <w:rStyle w:val="Referencingstyle"/>
        </w:rPr>
        <w:t>ubs</w:t>
      </w:r>
      <w:r w:rsidR="00A223D7" w:rsidRPr="006D4186">
        <w:rPr>
          <w:rStyle w:val="Referencingstyle"/>
        </w:rPr>
        <w:t xml:space="preserve">ection </w:t>
      </w:r>
      <w:r w:rsidR="00A223D7">
        <w:rPr>
          <w:rStyle w:val="Referencingstyle"/>
        </w:rPr>
        <w:t>92(</w:t>
      </w:r>
      <w:r w:rsidR="00A223D7" w:rsidRPr="006D4186">
        <w:rPr>
          <w:rStyle w:val="Referencingstyle"/>
        </w:rPr>
        <w:t>1</w:t>
      </w:r>
      <w:r w:rsidR="00A223D7">
        <w:rPr>
          <w:rStyle w:val="Referencingstyle"/>
        </w:rPr>
        <w:t>)</w:t>
      </w:r>
      <w:r w:rsidR="00A223D7" w:rsidRPr="006D4186">
        <w:rPr>
          <w:rStyle w:val="Referencingstyle"/>
        </w:rPr>
        <w:t>]</w:t>
      </w:r>
    </w:p>
    <w:p w14:paraId="703D5029" w14:textId="2EF1FC82" w:rsidR="00AF4A32" w:rsidRDefault="00E4455D" w:rsidP="000F194A">
      <w:pPr>
        <w:pStyle w:val="base-text-paragraph"/>
      </w:pPr>
      <w:r>
        <w:t xml:space="preserve">The reference to the standards being complied </w:t>
      </w:r>
      <w:r w:rsidR="00D4507A">
        <w:t>with</w:t>
      </w:r>
      <w:r>
        <w:t xml:space="preserve"> </w:t>
      </w:r>
      <w:r w:rsidR="007A0375">
        <w:t>‘</w:t>
      </w:r>
      <w:r>
        <w:t>in relation to private health insurers</w:t>
      </w:r>
      <w:r w:rsidR="007A0375">
        <w:t>’</w:t>
      </w:r>
      <w:r>
        <w:t xml:space="preserve"> recognises that actuaries are required, under subsections 10</w:t>
      </w:r>
      <w:r w:rsidR="00B63334">
        <w:t>7</w:t>
      </w:r>
      <w:r>
        <w:t>(2) and 10</w:t>
      </w:r>
      <w:r w:rsidR="00606943">
        <w:t>9</w:t>
      </w:r>
      <w:r>
        <w:t>(</w:t>
      </w:r>
      <w:r w:rsidR="00606943">
        <w:t>1</w:t>
      </w:r>
      <w:r>
        <w:t xml:space="preserve">), to perform </w:t>
      </w:r>
      <w:r w:rsidR="007A0375">
        <w:t>‘</w:t>
      </w:r>
      <w:r>
        <w:t>statutory functions and duties</w:t>
      </w:r>
      <w:r w:rsidR="007A0375">
        <w:t>’</w:t>
      </w:r>
      <w:r>
        <w:t xml:space="preserve"> which include functions and duties under prudential standards</w:t>
      </w:r>
      <w:r w:rsidR="008E24F6">
        <w:t>.</w:t>
      </w:r>
      <w:r w:rsidR="007F2C43">
        <w:t xml:space="preserve"> </w:t>
      </w:r>
      <w:r w:rsidR="00AF4A32">
        <w:t xml:space="preserve"> </w:t>
      </w:r>
    </w:p>
    <w:p w14:paraId="7B391E51" w14:textId="77777777" w:rsidR="00AF4A32" w:rsidRDefault="00AF4A32" w:rsidP="000F194A">
      <w:pPr>
        <w:pStyle w:val="base-text-paragraph"/>
      </w:pPr>
      <w:r w:rsidRPr="006D4186">
        <w:rPr>
          <w:b/>
          <w:i/>
        </w:rPr>
        <w:t>Prudential matters</w:t>
      </w:r>
      <w:r>
        <w:t xml:space="preserve"> </w:t>
      </w:r>
      <w:r w:rsidR="00E4455D">
        <w:t>is</w:t>
      </w:r>
      <w:r>
        <w:t xml:space="preserve"> defined as matters relating to the conduct </w:t>
      </w:r>
      <w:r w:rsidR="00E4455D">
        <w:t xml:space="preserve">of the affairs of a </w:t>
      </w:r>
      <w:r>
        <w:t xml:space="preserve">private health insurer so as to keep the </w:t>
      </w:r>
      <w:r w:rsidR="00E4455D">
        <w:t>insurer</w:t>
      </w:r>
      <w:r>
        <w:t xml:space="preserve"> in a sound financial position and not </w:t>
      </w:r>
      <w:r w:rsidR="00E4455D">
        <w:t>cause or promote</w:t>
      </w:r>
      <w:r>
        <w:t xml:space="preserve"> instability in the </w:t>
      </w:r>
      <w:r w:rsidR="00606943">
        <w:t>Australian private health insurance system</w:t>
      </w:r>
      <w:r>
        <w:t xml:space="preserve">, </w:t>
      </w:r>
      <w:r w:rsidR="00E4455D">
        <w:t xml:space="preserve">and the conduct of the </w:t>
      </w:r>
      <w:r>
        <w:t xml:space="preserve">affairs </w:t>
      </w:r>
      <w:r w:rsidR="00E4455D">
        <w:t xml:space="preserve">of the insurer </w:t>
      </w:r>
      <w:r>
        <w:t>with integrity, pr</w:t>
      </w:r>
      <w:r w:rsidR="00F000FB">
        <w:t xml:space="preserve">udence and professional skill. </w:t>
      </w:r>
      <w:r w:rsidRPr="00EC67BA">
        <w:rPr>
          <w:rStyle w:val="Referencingstyle"/>
        </w:rPr>
        <w:t xml:space="preserve">[Part 4, Division </w:t>
      </w:r>
      <w:r w:rsidR="008E24F6">
        <w:rPr>
          <w:rStyle w:val="Referencingstyle"/>
        </w:rPr>
        <w:t>2</w:t>
      </w:r>
      <w:r w:rsidRPr="00EC67BA">
        <w:rPr>
          <w:rStyle w:val="Referencingstyle"/>
        </w:rPr>
        <w:t>, s</w:t>
      </w:r>
      <w:r>
        <w:rPr>
          <w:rStyle w:val="Referencingstyle"/>
        </w:rPr>
        <w:t>ubs</w:t>
      </w:r>
      <w:r w:rsidRPr="00EC67BA">
        <w:rPr>
          <w:rStyle w:val="Referencingstyle"/>
        </w:rPr>
        <w:t>ection</w:t>
      </w:r>
      <w:r w:rsidR="008E24F6">
        <w:rPr>
          <w:rStyle w:val="Referencingstyle"/>
        </w:rPr>
        <w:t> </w:t>
      </w:r>
      <w:r w:rsidR="00606943">
        <w:rPr>
          <w:rStyle w:val="Referencingstyle"/>
        </w:rPr>
        <w:t>92</w:t>
      </w:r>
      <w:r>
        <w:rPr>
          <w:rStyle w:val="Referencingstyle"/>
        </w:rPr>
        <w:t>(</w:t>
      </w:r>
      <w:r w:rsidR="008E24F6">
        <w:rPr>
          <w:rStyle w:val="Referencingstyle"/>
        </w:rPr>
        <w:t>2</w:t>
      </w:r>
      <w:r>
        <w:rPr>
          <w:rStyle w:val="Referencingstyle"/>
        </w:rPr>
        <w:t>)</w:t>
      </w:r>
      <w:r w:rsidRPr="00EC67BA">
        <w:rPr>
          <w:rStyle w:val="Referencingstyle"/>
        </w:rPr>
        <w:t>]</w:t>
      </w:r>
    </w:p>
    <w:p w14:paraId="594CF925" w14:textId="77777777" w:rsidR="009A0C75" w:rsidRDefault="009A0C75" w:rsidP="006C3D7A">
      <w:pPr>
        <w:pStyle w:val="Heading5"/>
      </w:pPr>
      <w:r>
        <w:t>The private health insurers to which a prudential standard applies</w:t>
      </w:r>
    </w:p>
    <w:p w14:paraId="78FED3AF" w14:textId="77777777" w:rsidR="008E24F6" w:rsidRDefault="008E24F6" w:rsidP="000F194A">
      <w:pPr>
        <w:pStyle w:val="base-text-paragraph"/>
      </w:pPr>
      <w:r>
        <w:t xml:space="preserve">A prudential standard may impose requirements for all private health insurers, a specified class of insurers or one or more specified insurers. </w:t>
      </w:r>
      <w:r w:rsidRPr="00EC67BA">
        <w:rPr>
          <w:rStyle w:val="Referencingstyle"/>
        </w:rPr>
        <w:t xml:space="preserve">[Part 4, Division </w:t>
      </w:r>
      <w:r>
        <w:rPr>
          <w:rStyle w:val="Referencingstyle"/>
        </w:rPr>
        <w:t>2</w:t>
      </w:r>
      <w:r w:rsidRPr="00EC67BA">
        <w:rPr>
          <w:rStyle w:val="Referencingstyle"/>
        </w:rPr>
        <w:t>, s</w:t>
      </w:r>
      <w:r>
        <w:rPr>
          <w:rStyle w:val="Referencingstyle"/>
        </w:rPr>
        <w:t>ubs</w:t>
      </w:r>
      <w:r w:rsidRPr="00EC67BA">
        <w:rPr>
          <w:rStyle w:val="Referencingstyle"/>
        </w:rPr>
        <w:t xml:space="preserve">ection </w:t>
      </w:r>
      <w:r w:rsidR="00606943">
        <w:rPr>
          <w:rStyle w:val="Referencingstyle"/>
        </w:rPr>
        <w:t>92</w:t>
      </w:r>
      <w:r>
        <w:rPr>
          <w:rStyle w:val="Referencingstyle"/>
        </w:rPr>
        <w:t>(3)</w:t>
      </w:r>
      <w:r w:rsidRPr="00EC67BA">
        <w:rPr>
          <w:rStyle w:val="Referencingstyle"/>
        </w:rPr>
        <w:t>]</w:t>
      </w:r>
    </w:p>
    <w:p w14:paraId="630BD935" w14:textId="77777777" w:rsidR="00D3533B" w:rsidRDefault="006616CE" w:rsidP="006C3D7A">
      <w:pPr>
        <w:pStyle w:val="Heading5"/>
      </w:pPr>
      <w:r>
        <w:t>Prudential standards may provide for APRA to exercise powers and discretions</w:t>
      </w:r>
    </w:p>
    <w:p w14:paraId="5898B12D" w14:textId="77777777" w:rsidR="006616CE" w:rsidRDefault="006616CE" w:rsidP="000F194A">
      <w:pPr>
        <w:pStyle w:val="base-text-paragraph"/>
      </w:pPr>
      <w:r>
        <w:t xml:space="preserve">APRA may exercise discretions under a standard, including in relation to approving, imposing, adjusting or excluding specific prudential requirements for particular insurers. </w:t>
      </w:r>
      <w:r w:rsidR="00A56FA3">
        <w:t xml:space="preserve">As is the position under other legislation administered by APRA, the exercise of such discretion under a </w:t>
      </w:r>
      <w:r w:rsidR="006759C7">
        <w:t>prudential standard will not be merits reviewable</w:t>
      </w:r>
      <w:r w:rsidR="00A56FA3">
        <w:t>, although it will be reviewable in the Federal Court for an error of law</w:t>
      </w:r>
      <w:r w:rsidR="006759C7">
        <w:t xml:space="preserve">. </w:t>
      </w:r>
      <w:r w:rsidR="00A56FA3">
        <w:t xml:space="preserve">It will often be the case that, in exercising the power, APRA will adjust or exclude a provision of the standard to ensure that it applies in a way that is appropriate to the particular circumstances of that entity, and this will often facilitate the entity’s business processes. In other cases an adjustment or exclusion may be necessary to give APRA certainty that the prudential requirements apply appropriately </w:t>
      </w:r>
      <w:r w:rsidR="003D68F4">
        <w:t xml:space="preserve">to </w:t>
      </w:r>
      <w:r w:rsidR="00A56FA3">
        <w:t xml:space="preserve">protect </w:t>
      </w:r>
      <w:r w:rsidR="003D68F4">
        <w:t>policy holders</w:t>
      </w:r>
      <w:r w:rsidR="00A56FA3">
        <w:t xml:space="preserve">, for example where there are prudential concerns, and such action may need to be taken urgently and with certainty that the insurer will comply with the adjusted requirements. </w:t>
      </w:r>
      <w:r w:rsidRPr="001A57F7">
        <w:rPr>
          <w:rStyle w:val="Referencingstyle"/>
        </w:rPr>
        <w:t xml:space="preserve">[Part 4, Division 2, subsection </w:t>
      </w:r>
      <w:r w:rsidR="00144AFE" w:rsidRPr="001A57F7">
        <w:rPr>
          <w:rStyle w:val="Referencingstyle"/>
        </w:rPr>
        <w:t>9</w:t>
      </w:r>
      <w:r w:rsidR="00606943">
        <w:rPr>
          <w:rStyle w:val="Referencingstyle"/>
        </w:rPr>
        <w:t>2</w:t>
      </w:r>
      <w:r w:rsidRPr="001A57F7">
        <w:rPr>
          <w:rStyle w:val="Referencingstyle"/>
        </w:rPr>
        <w:t>(4)]</w:t>
      </w:r>
    </w:p>
    <w:p w14:paraId="74D1ECE7" w14:textId="77777777" w:rsidR="006616CE" w:rsidRDefault="006616CE" w:rsidP="006C3D7A">
      <w:pPr>
        <w:pStyle w:val="Heading5"/>
      </w:pPr>
      <w:r>
        <w:t>Variation and revocation of prudential standards</w:t>
      </w:r>
    </w:p>
    <w:p w14:paraId="347A46CA" w14:textId="77777777" w:rsidR="006616CE" w:rsidRDefault="006616CE" w:rsidP="000F194A">
      <w:pPr>
        <w:pStyle w:val="base-text-paragraph"/>
      </w:pPr>
      <w:r>
        <w:t xml:space="preserve">A standard can be varied or revoked by APRA in writing.  </w:t>
      </w:r>
      <w:r w:rsidRPr="001A57F7">
        <w:rPr>
          <w:rStyle w:val="Referencingstyle"/>
        </w:rPr>
        <w:t>[Part</w:t>
      </w:r>
      <w:r w:rsidR="007F2C43">
        <w:rPr>
          <w:rStyle w:val="Referencingstyle"/>
        </w:rPr>
        <w:t> </w:t>
      </w:r>
      <w:r w:rsidRPr="001A57F7">
        <w:rPr>
          <w:rStyle w:val="Referencingstyle"/>
        </w:rPr>
        <w:t>4, Division 2, subsection 9</w:t>
      </w:r>
      <w:r w:rsidR="00606943">
        <w:rPr>
          <w:rStyle w:val="Referencingstyle"/>
        </w:rPr>
        <w:t>2</w:t>
      </w:r>
      <w:r w:rsidRPr="001A57F7">
        <w:rPr>
          <w:rStyle w:val="Referencingstyle"/>
        </w:rPr>
        <w:t>(5)]</w:t>
      </w:r>
    </w:p>
    <w:p w14:paraId="51FA8A60" w14:textId="77777777" w:rsidR="007E7A5D" w:rsidRDefault="007E7A5D" w:rsidP="006C3D7A">
      <w:pPr>
        <w:pStyle w:val="Heading5"/>
      </w:pPr>
      <w:r>
        <w:t>Prudential standards are legislative instruments (other than standards that apply to one or more specified insurers</w:t>
      </w:r>
      <w:r w:rsidR="00D87C59">
        <w:t>)</w:t>
      </w:r>
    </w:p>
    <w:p w14:paraId="139B5A4C" w14:textId="77777777" w:rsidR="007E7A5D" w:rsidRDefault="007E7A5D" w:rsidP="00F000FB">
      <w:pPr>
        <w:pStyle w:val="base-text-paragraph"/>
        <w:tabs>
          <w:tab w:val="clear" w:pos="1985"/>
          <w:tab w:val="num" w:pos="1986"/>
        </w:tabs>
      </w:pPr>
      <w:r>
        <w:t xml:space="preserve">A prudential standard referred to in paragraph </w:t>
      </w:r>
      <w:r w:rsidR="00606943">
        <w:t>92</w:t>
      </w:r>
      <w:r>
        <w:t xml:space="preserve">(3)(a) or (b) </w:t>
      </w:r>
      <w:r w:rsidR="009F289E">
        <w:t xml:space="preserve">(that is, one applying to all, or a class of, private health insurers) </w:t>
      </w:r>
      <w:r>
        <w:t xml:space="preserve">or an instrument varying or revoking </w:t>
      </w:r>
      <w:r w:rsidR="009F289E">
        <w:t>such a</w:t>
      </w:r>
      <w:r>
        <w:t xml:space="preserve"> standard</w:t>
      </w:r>
      <w:r w:rsidR="009F289E">
        <w:t>,</w:t>
      </w:r>
      <w:r w:rsidR="00F000FB">
        <w:t xml:space="preserve"> is a legislative instrument. </w:t>
      </w:r>
      <w:r w:rsidR="009F289E">
        <w:t>A standard</w:t>
      </w:r>
      <w:r w:rsidR="00487E98">
        <w:t xml:space="preserve"> or an</w:t>
      </w:r>
      <w:r w:rsidR="009F289E">
        <w:t xml:space="preserve"> </w:t>
      </w:r>
      <w:r w:rsidR="0059462B" w:rsidRPr="00D87C59">
        <w:t xml:space="preserve">instrument varying or revoking </w:t>
      </w:r>
      <w:r w:rsidR="0059462B">
        <w:t xml:space="preserve">such </w:t>
      </w:r>
      <w:r w:rsidR="0059462B" w:rsidRPr="00D87C59">
        <w:t>a standard</w:t>
      </w:r>
      <w:r w:rsidR="009F289E">
        <w:t xml:space="preserve"> under paragraph 9</w:t>
      </w:r>
      <w:r w:rsidR="00606943">
        <w:t>2</w:t>
      </w:r>
      <w:r w:rsidR="009F289E">
        <w:t xml:space="preserve">(3)(c), </w:t>
      </w:r>
      <w:r w:rsidR="0059462B">
        <w:t>is</w:t>
      </w:r>
      <w:r w:rsidR="0059462B" w:rsidRPr="00D87C59">
        <w:t xml:space="preserve"> </w:t>
      </w:r>
      <w:r w:rsidR="0059462B">
        <w:t xml:space="preserve">not </w:t>
      </w:r>
      <w:r w:rsidR="0059462B" w:rsidRPr="00D87C59">
        <w:t>a legislative instrument</w:t>
      </w:r>
      <w:r w:rsidR="0059462B">
        <w:t xml:space="preserve"> because </w:t>
      </w:r>
      <w:r w:rsidR="007C008F">
        <w:t>it</w:t>
      </w:r>
      <w:r w:rsidR="0059462B">
        <w:t xml:space="preserve"> </w:t>
      </w:r>
      <w:r w:rsidR="009F289E">
        <w:t>only applies to a specified insurer, or specified insurers</w:t>
      </w:r>
      <w:r w:rsidR="00487E98">
        <w:t xml:space="preserve">. Therefore the statement that the standard is not a legislative instrument is not a substantive exemption </w:t>
      </w:r>
      <w:r w:rsidR="009916E0">
        <w:t xml:space="preserve">from the Legislative Instruments Act </w:t>
      </w:r>
      <w:r w:rsidR="00487E98">
        <w:t xml:space="preserve">but </w:t>
      </w:r>
      <w:r w:rsidR="007C6CA1">
        <w:t>a statement of the ‘status quo’</w:t>
      </w:r>
      <w:r w:rsidR="009F289E">
        <w:t>.</w:t>
      </w:r>
      <w:r w:rsidR="0059462B">
        <w:t xml:space="preserve"> </w:t>
      </w:r>
      <w:r w:rsidR="00676CBE">
        <w:t>A</w:t>
      </w:r>
      <w:r w:rsidR="009F289E">
        <w:t xml:space="preserve"> decision to make</w:t>
      </w:r>
      <w:r w:rsidR="006F70F6">
        <w:t xml:space="preserve">, </w:t>
      </w:r>
      <w:r w:rsidR="009F289E">
        <w:t xml:space="preserve">vary </w:t>
      </w:r>
      <w:r w:rsidR="006F70F6">
        <w:t xml:space="preserve">or revoke </w:t>
      </w:r>
      <w:r w:rsidR="009F289E">
        <w:t>such a standard</w:t>
      </w:r>
      <w:r w:rsidR="006F70F6">
        <w:t xml:space="preserve"> </w:t>
      </w:r>
      <w:r w:rsidR="009F289E">
        <w:t>will be merits reviewable under section 16</w:t>
      </w:r>
      <w:r w:rsidR="006F70F6">
        <w:t>8</w:t>
      </w:r>
      <w:r w:rsidR="009F289E">
        <w:t xml:space="preserve"> of the </w:t>
      </w:r>
      <w:r w:rsidR="00F000FB" w:rsidRPr="00F000FB">
        <w:t xml:space="preserve">Prudential Supervision </w:t>
      </w:r>
      <w:r w:rsidR="009F289E" w:rsidDel="00F000FB">
        <w:t>Bill</w:t>
      </w:r>
      <w:r w:rsidR="009F289E">
        <w:t>.</w:t>
      </w:r>
      <w:r w:rsidR="00676CBE">
        <w:t xml:space="preserve"> </w:t>
      </w:r>
      <w:r w:rsidR="00073075" w:rsidRPr="00EF3011">
        <w:rPr>
          <w:rStyle w:val="Referencingstyle"/>
        </w:rPr>
        <w:t>[Part</w:t>
      </w:r>
      <w:r w:rsidR="00073075">
        <w:rPr>
          <w:rStyle w:val="Referencingstyle"/>
        </w:rPr>
        <w:t> </w:t>
      </w:r>
      <w:r w:rsidR="00D87C59" w:rsidRPr="001A57F7">
        <w:rPr>
          <w:rStyle w:val="Referencingstyle"/>
        </w:rPr>
        <w:t xml:space="preserve">4, Division 2, subsection </w:t>
      </w:r>
      <w:r w:rsidR="00144AFE" w:rsidRPr="001A57F7">
        <w:rPr>
          <w:rStyle w:val="Referencingstyle"/>
        </w:rPr>
        <w:t>9</w:t>
      </w:r>
      <w:r w:rsidR="00606943">
        <w:rPr>
          <w:rStyle w:val="Referencingstyle"/>
        </w:rPr>
        <w:t>2</w:t>
      </w:r>
      <w:r w:rsidR="00D87C59" w:rsidRPr="001A57F7">
        <w:rPr>
          <w:rStyle w:val="Referencingstyle"/>
        </w:rPr>
        <w:t>(</w:t>
      </w:r>
      <w:r w:rsidR="00073075">
        <w:rPr>
          <w:rStyle w:val="Referencingstyle"/>
        </w:rPr>
        <w:t>6</w:t>
      </w:r>
      <w:r w:rsidR="00D87C59" w:rsidRPr="001A57F7">
        <w:rPr>
          <w:rStyle w:val="Referencingstyle"/>
        </w:rPr>
        <w:t>)]</w:t>
      </w:r>
    </w:p>
    <w:p w14:paraId="49E3CBC8" w14:textId="77777777" w:rsidR="006D3579" w:rsidRPr="007C0D4B" w:rsidRDefault="006D3579" w:rsidP="006C3D7A">
      <w:pPr>
        <w:pStyle w:val="Heading5"/>
      </w:pPr>
      <w:r>
        <w:t>Prudential standards may provide for a matter by adopting etc. material from another instrument</w:t>
      </w:r>
    </w:p>
    <w:p w14:paraId="430D9E02" w14:textId="77777777" w:rsidR="00B30CCA" w:rsidRPr="00246DE8" w:rsidRDefault="00073075" w:rsidP="000F194A">
      <w:pPr>
        <w:pStyle w:val="base-text-paragraph"/>
        <w:rPr>
          <w:rStyle w:val="Referencingstyle"/>
          <w:b w:val="0"/>
          <w:i w:val="0"/>
          <w:sz w:val="22"/>
        </w:rPr>
      </w:pPr>
      <w:r w:rsidRPr="00246DE8">
        <w:t xml:space="preserve">A prudential standard may deal with a matter by referring to (with or without modification) </w:t>
      </w:r>
      <w:r w:rsidR="00B30CCA" w:rsidRPr="00246DE8">
        <w:t>another</w:t>
      </w:r>
      <w:r w:rsidRPr="00246DE8">
        <w:t xml:space="preserve"> instrument or writing</w:t>
      </w:r>
      <w:r w:rsidR="009F289E" w:rsidRPr="00246DE8">
        <w:t xml:space="preserve"> as in force or existing from time to time, whether or not the other instrument comprises a legislative instrument or provision of another Act</w:t>
      </w:r>
      <w:r w:rsidRPr="00246DE8">
        <w:t xml:space="preserve">.  This is despite section 46AA of the </w:t>
      </w:r>
      <w:r w:rsidRPr="00246DE8">
        <w:rPr>
          <w:i/>
        </w:rPr>
        <w:t>Acts Interpretation Act 1901</w:t>
      </w:r>
      <w:r w:rsidRPr="00246DE8">
        <w:t xml:space="preserve"> and section 14 of the </w:t>
      </w:r>
      <w:r w:rsidRPr="00EF64FD">
        <w:t>Legislative Instruments Act</w:t>
      </w:r>
      <w:r w:rsidRPr="00246DE8">
        <w:t xml:space="preserve">.  </w:t>
      </w:r>
      <w:r w:rsidRPr="00246DE8">
        <w:rPr>
          <w:rStyle w:val="Referencingstyle"/>
        </w:rPr>
        <w:t xml:space="preserve">[Part 4, Division 2, subsection </w:t>
      </w:r>
      <w:r w:rsidR="00144AFE" w:rsidRPr="00246DE8">
        <w:rPr>
          <w:rStyle w:val="Referencingstyle"/>
        </w:rPr>
        <w:t>9</w:t>
      </w:r>
      <w:r w:rsidR="006F70F6" w:rsidRPr="00246DE8">
        <w:rPr>
          <w:rStyle w:val="Referencingstyle"/>
        </w:rPr>
        <w:t>2</w:t>
      </w:r>
      <w:r w:rsidRPr="00246DE8">
        <w:rPr>
          <w:rStyle w:val="Referencingstyle"/>
        </w:rPr>
        <w:t xml:space="preserve">(7)] </w:t>
      </w:r>
    </w:p>
    <w:p w14:paraId="7C739135" w14:textId="77777777" w:rsidR="00E5279E" w:rsidRPr="00AA58CC" w:rsidRDefault="00D65A34" w:rsidP="00692581">
      <w:pPr>
        <w:pStyle w:val="base-text-paragraph"/>
        <w:tabs>
          <w:tab w:val="clear" w:pos="1985"/>
          <w:tab w:val="num" w:pos="1986"/>
        </w:tabs>
      </w:pPr>
      <w:r w:rsidRPr="00692581">
        <w:rPr>
          <w:rStyle w:val="Referencingstyle"/>
          <w:b w:val="0"/>
          <w:i w:val="0"/>
          <w:sz w:val="22"/>
        </w:rPr>
        <w:t>This</w:t>
      </w:r>
      <w:r w:rsidRPr="00D65A34">
        <w:t xml:space="preserve"> </w:t>
      </w:r>
      <w:r w:rsidRPr="00B92132">
        <w:t xml:space="preserve">will enable APRA’s prudential standards to refer to and incorporate guidance and standards published by professional bodies </w:t>
      </w:r>
      <w:r w:rsidR="007C008F">
        <w:t xml:space="preserve">as updated from time to time </w:t>
      </w:r>
      <w:r w:rsidRPr="00B92132">
        <w:t xml:space="preserve">where appropriate, </w:t>
      </w:r>
      <w:r w:rsidR="009F289E">
        <w:t>such as</w:t>
      </w:r>
      <w:r w:rsidRPr="00B92132">
        <w:t xml:space="preserve"> professional standards issued by the Actuaries Institute, even though these are not themselves legislative instruments</w:t>
      </w:r>
      <w:r>
        <w:t>.</w:t>
      </w:r>
      <w:r w:rsidR="00692581">
        <w:t xml:space="preserve"> </w:t>
      </w:r>
      <w:r w:rsidR="00F453D5">
        <w:t>For example,</w:t>
      </w:r>
      <w:r w:rsidR="00692581" w:rsidRPr="00692581">
        <w:t xml:space="preserve"> </w:t>
      </w:r>
      <w:r w:rsidR="00603471">
        <w:t>the Council’s</w:t>
      </w:r>
      <w:r w:rsidR="00692581" w:rsidRPr="00692581">
        <w:t xml:space="preserve"> current Appointed Actuaries Stand</w:t>
      </w:r>
      <w:r w:rsidR="00692581">
        <w:t xml:space="preserve">ard provides </w:t>
      </w:r>
      <w:r w:rsidR="00692581" w:rsidRPr="00692581">
        <w:t xml:space="preserve">that an appointed actuary must prepare a financial condition report in accordance with </w:t>
      </w:r>
      <w:r w:rsidR="00692581" w:rsidRPr="00692581">
        <w:rPr>
          <w:i/>
        </w:rPr>
        <w:t>Professional Standard 600: Financial Condition reports for Private Health Insurers</w:t>
      </w:r>
      <w:r w:rsidR="00692581" w:rsidRPr="00692581">
        <w:t>, made by the Institute of Actuar</w:t>
      </w:r>
      <w:r w:rsidR="00692581">
        <w:t xml:space="preserve">ies of Australia in June 2011, </w:t>
      </w:r>
      <w:r w:rsidR="00692581" w:rsidRPr="00692581">
        <w:t>as in effect immediately before the</w:t>
      </w:r>
      <w:r w:rsidR="00692581">
        <w:t xml:space="preserve"> commencement of this paragraph’</w:t>
      </w:r>
      <w:r w:rsidR="00692581" w:rsidRPr="00692581">
        <w:t>.</w:t>
      </w:r>
      <w:r w:rsidR="00692581">
        <w:t xml:space="preserve"> APRA’s power to incorporate material will mean that APRA will not need to remake a prudential standard each time the Actuaries Institute updates its standard on financial condition reports for private </w:t>
      </w:r>
      <w:r w:rsidR="00C46A68">
        <w:t>health</w:t>
      </w:r>
      <w:r w:rsidR="00692581">
        <w:t xml:space="preserve"> insurers. </w:t>
      </w:r>
    </w:p>
    <w:p w14:paraId="7896A054" w14:textId="77777777" w:rsidR="00073075" w:rsidRDefault="00073075" w:rsidP="00F000FB">
      <w:pPr>
        <w:pStyle w:val="Heading5"/>
        <w:keepLines/>
      </w:pPr>
      <w:r>
        <w:t>Prudential standards may not do certain things</w:t>
      </w:r>
    </w:p>
    <w:p w14:paraId="45919CF1" w14:textId="77777777" w:rsidR="00073075" w:rsidRDefault="00B30CCA" w:rsidP="00F000FB">
      <w:pPr>
        <w:pStyle w:val="base-text-paragraph"/>
        <w:keepNext/>
        <w:keepLines/>
      </w:pPr>
      <w:r>
        <w:t>Prudential</w:t>
      </w:r>
      <w:r w:rsidR="00EF3011">
        <w:t xml:space="preserve"> standards may not:</w:t>
      </w:r>
    </w:p>
    <w:p w14:paraId="7E3EAF13" w14:textId="77777777" w:rsidR="00EF3011" w:rsidRDefault="00EF3011" w:rsidP="00F000FB">
      <w:pPr>
        <w:pStyle w:val="dotpoint"/>
        <w:keepNext/>
        <w:keepLines/>
      </w:pPr>
      <w:r>
        <w:t>create an offence or civil penalty;</w:t>
      </w:r>
    </w:p>
    <w:p w14:paraId="45CF70D3" w14:textId="77777777" w:rsidR="00EF3011" w:rsidRDefault="00EF3011" w:rsidP="001A57F7">
      <w:pPr>
        <w:pStyle w:val="dotpoint"/>
      </w:pPr>
      <w:r>
        <w:t>provide for powers of arrest, detention, entry, search or seizure;</w:t>
      </w:r>
    </w:p>
    <w:p w14:paraId="4228317C" w14:textId="77777777" w:rsidR="00EF3011" w:rsidRDefault="00EF3011" w:rsidP="001A57F7">
      <w:pPr>
        <w:pStyle w:val="dotpoint"/>
      </w:pPr>
      <w:r>
        <w:t>impose a tax;</w:t>
      </w:r>
    </w:p>
    <w:p w14:paraId="1AFF2BEE" w14:textId="77777777" w:rsidR="00EF3011" w:rsidRDefault="00EF3011" w:rsidP="001A57F7">
      <w:pPr>
        <w:pStyle w:val="dotpoint"/>
      </w:pPr>
      <w:r>
        <w:t>set an amount to be appropriated from the Consolidated Revenue Fund under an appropriation under th</w:t>
      </w:r>
      <w:r w:rsidR="00F000FB">
        <w:t>e</w:t>
      </w:r>
      <w:r>
        <w:t xml:space="preserve"> </w:t>
      </w:r>
      <w:r w:rsidR="00F000FB" w:rsidRPr="00F000FB">
        <w:rPr>
          <w:lang w:val="en-US" w:eastAsia="en-US"/>
        </w:rPr>
        <w:t xml:space="preserve"> </w:t>
      </w:r>
      <w:r w:rsidR="00F000FB">
        <w:rPr>
          <w:lang w:val="en-US" w:eastAsia="en-US"/>
        </w:rPr>
        <w:t>Prudential Supervision Bill</w:t>
      </w:r>
      <w:r>
        <w:t>; or</w:t>
      </w:r>
    </w:p>
    <w:p w14:paraId="4A4500AF" w14:textId="77777777" w:rsidR="00EF3011" w:rsidRDefault="00EF3011" w:rsidP="001A57F7">
      <w:pPr>
        <w:pStyle w:val="dotpoint"/>
      </w:pPr>
      <w:r>
        <w:t xml:space="preserve">amend </w:t>
      </w:r>
      <w:r w:rsidR="00F000FB">
        <w:t>the</w:t>
      </w:r>
      <w:r w:rsidR="00CB1EC8">
        <w:t xml:space="preserve"> text of the</w:t>
      </w:r>
      <w:r w:rsidR="00F000FB">
        <w:t xml:space="preserve"> </w:t>
      </w:r>
      <w:r w:rsidR="00F000FB">
        <w:rPr>
          <w:lang w:val="en-US" w:eastAsia="en-US"/>
        </w:rPr>
        <w:t>Prudential Supervision Bill</w:t>
      </w:r>
      <w:r>
        <w:t xml:space="preserve">.  </w:t>
      </w:r>
      <w:r w:rsidRPr="001A57F7">
        <w:rPr>
          <w:rStyle w:val="Referencingstyle"/>
        </w:rPr>
        <w:t xml:space="preserve">[Part 4, Division 2, subsection </w:t>
      </w:r>
      <w:r w:rsidR="00246DE8">
        <w:rPr>
          <w:rStyle w:val="Referencingstyle"/>
        </w:rPr>
        <w:t>92</w:t>
      </w:r>
      <w:r w:rsidRPr="001A57F7">
        <w:rPr>
          <w:rStyle w:val="Referencingstyle"/>
        </w:rPr>
        <w:t>(8)]</w:t>
      </w:r>
    </w:p>
    <w:p w14:paraId="54380E64" w14:textId="77777777" w:rsidR="007F2C43" w:rsidRDefault="007F2C43" w:rsidP="006C3D7A">
      <w:pPr>
        <w:pStyle w:val="Heading5"/>
      </w:pPr>
      <w:r>
        <w:t>Delegation of power to make etc. prudential standards</w:t>
      </w:r>
    </w:p>
    <w:p w14:paraId="058D03D9" w14:textId="77777777" w:rsidR="00065EA9" w:rsidRDefault="007F2C43" w:rsidP="000F194A">
      <w:pPr>
        <w:pStyle w:val="base-text-paragraph"/>
      </w:pPr>
      <w:r>
        <w:t xml:space="preserve">Section 15 of the APRA Act allows APRA to delegate </w:t>
      </w:r>
      <w:r w:rsidR="00E677E4">
        <w:t xml:space="preserve">its powers to an APRA member or APRA staff member. However, in relation to </w:t>
      </w:r>
      <w:r>
        <w:t>the power to make, vary or revoke prudential standards</w:t>
      </w:r>
      <w:r w:rsidR="00F000FB">
        <w:t xml:space="preserve">, </w:t>
      </w:r>
      <w:r w:rsidR="00E677E4">
        <w:t>a delegation can only be to an:</w:t>
      </w:r>
    </w:p>
    <w:p w14:paraId="0DD9566E" w14:textId="77777777" w:rsidR="00065EA9" w:rsidRDefault="007F2C43" w:rsidP="006C3D7A">
      <w:pPr>
        <w:pStyle w:val="dotpoint"/>
      </w:pPr>
      <w:r>
        <w:t xml:space="preserve">APRA member </w:t>
      </w:r>
      <w:r w:rsidR="00065EA9">
        <w:t xml:space="preserve">(within the meaning of the </w:t>
      </w:r>
      <w:r w:rsidR="00F000FB">
        <w:t>(</w:t>
      </w:r>
      <w:r w:rsidR="00065EA9">
        <w:t>APRA Act); or</w:t>
      </w:r>
    </w:p>
    <w:p w14:paraId="65D56F15" w14:textId="77777777" w:rsidR="007F2C43" w:rsidRDefault="00065EA9" w:rsidP="006C3D7A">
      <w:pPr>
        <w:pStyle w:val="dotpoint"/>
      </w:pPr>
      <w:r>
        <w:t xml:space="preserve">APRA </w:t>
      </w:r>
      <w:r w:rsidR="007F2C43">
        <w:t xml:space="preserve">staff member </w:t>
      </w:r>
      <w:r w:rsidR="00E677E4">
        <w:t xml:space="preserve">(within the meaning of the APRA Act) </w:t>
      </w:r>
      <w:r w:rsidR="007F2C43">
        <w:t>who is an executive general manager (or equivalent)</w:t>
      </w:r>
      <w:r w:rsidR="00E677E4">
        <w:t>, executive general manager being the highest level of management within APRA other than the APRA members</w:t>
      </w:r>
      <w:r w:rsidR="007F2C43">
        <w:t xml:space="preserve">.  </w:t>
      </w:r>
      <w:r w:rsidR="007F2C43" w:rsidRPr="006C3D7A">
        <w:rPr>
          <w:rStyle w:val="Referencingstyle"/>
        </w:rPr>
        <w:t xml:space="preserve">[Part </w:t>
      </w:r>
      <w:r w:rsidR="00246DE8">
        <w:rPr>
          <w:rStyle w:val="Referencingstyle"/>
        </w:rPr>
        <w:t>4, Division 2, subsection 92</w:t>
      </w:r>
      <w:r w:rsidRPr="006C3D7A">
        <w:rPr>
          <w:rStyle w:val="Referencingstyle"/>
        </w:rPr>
        <w:t>(9)</w:t>
      </w:r>
      <w:r w:rsidR="007F2C43" w:rsidRPr="006C3D7A">
        <w:rPr>
          <w:rStyle w:val="Referencingstyle"/>
        </w:rPr>
        <w:t>]</w:t>
      </w:r>
      <w:r w:rsidR="007F2C43">
        <w:t xml:space="preserve"> </w:t>
      </w:r>
    </w:p>
    <w:p w14:paraId="48137084" w14:textId="77777777" w:rsidR="000B7CC9" w:rsidRDefault="000B7CC9" w:rsidP="000F194A">
      <w:pPr>
        <w:pStyle w:val="base-text-paragraph"/>
      </w:pPr>
      <w:r w:rsidRPr="003D5E63">
        <w:t xml:space="preserve">The delegation of powers </w:t>
      </w:r>
      <w:r>
        <w:t xml:space="preserve">is </w:t>
      </w:r>
      <w:r w:rsidRPr="003D5E63">
        <w:t xml:space="preserve">to </w:t>
      </w:r>
      <w:r>
        <w:t xml:space="preserve">an APRA Member or an APRA staff member who is an </w:t>
      </w:r>
      <w:r w:rsidRPr="003D5E63">
        <w:t xml:space="preserve">Executive General Manager level, which is the highest level within APRA below </w:t>
      </w:r>
      <w:r>
        <w:t xml:space="preserve">an </w:t>
      </w:r>
      <w:r w:rsidR="00F000FB">
        <w:t xml:space="preserve">APRA member. </w:t>
      </w:r>
      <w:r w:rsidRPr="003D5E63">
        <w:t xml:space="preserve">In practice, all prudential standards </w:t>
      </w:r>
      <w:r>
        <w:t xml:space="preserve">will </w:t>
      </w:r>
      <w:r w:rsidR="001E09A4">
        <w:t>ordinarily</w:t>
      </w:r>
      <w:r>
        <w:t xml:space="preserve"> be </w:t>
      </w:r>
      <w:r w:rsidRPr="003D5E63">
        <w:t xml:space="preserve">considered in detail at </w:t>
      </w:r>
      <w:r w:rsidR="001E09A4">
        <w:t xml:space="preserve">meetings of APRA’s </w:t>
      </w:r>
      <w:r>
        <w:t xml:space="preserve">executive </w:t>
      </w:r>
      <w:r w:rsidR="001E09A4">
        <w:t>group,</w:t>
      </w:r>
      <w:r w:rsidRPr="003D5E63">
        <w:t xml:space="preserve"> which include</w:t>
      </w:r>
      <w:r w:rsidR="001E09A4">
        <w:t>s</w:t>
      </w:r>
      <w:r w:rsidRPr="003D5E63">
        <w:t xml:space="preserve"> </w:t>
      </w:r>
      <w:r w:rsidR="001E09A4">
        <w:t>all</w:t>
      </w:r>
      <w:r w:rsidRPr="003D5E63">
        <w:t xml:space="preserve"> APRA members</w:t>
      </w:r>
      <w:r>
        <w:t xml:space="preserve"> </w:t>
      </w:r>
      <w:r w:rsidR="001E09A4">
        <w:t xml:space="preserve">and </w:t>
      </w:r>
      <w:r w:rsidR="00EC08B3">
        <w:t>E</w:t>
      </w:r>
      <w:r w:rsidR="001E09A4">
        <w:t xml:space="preserve">xecutive </w:t>
      </w:r>
      <w:r w:rsidR="00EC08B3">
        <w:t>G</w:t>
      </w:r>
      <w:r w:rsidR="001E09A4">
        <w:t xml:space="preserve">eneral </w:t>
      </w:r>
      <w:r w:rsidR="00EC08B3">
        <w:t>M</w:t>
      </w:r>
      <w:r w:rsidR="001E09A4">
        <w:t>anagers,</w:t>
      </w:r>
      <w:r>
        <w:t xml:space="preserve"> prior to being finalised</w:t>
      </w:r>
      <w:r w:rsidRPr="003D5E63">
        <w:t>.</w:t>
      </w:r>
      <w:r w:rsidR="001778D9">
        <w:t xml:space="preserve"> The ability to delegate to an </w:t>
      </w:r>
      <w:r w:rsidR="00EC08B3">
        <w:t>E</w:t>
      </w:r>
      <w:r w:rsidR="001778D9">
        <w:t xml:space="preserve">xecutive </w:t>
      </w:r>
      <w:r w:rsidR="00EC08B3">
        <w:t>G</w:t>
      </w:r>
      <w:r w:rsidR="001778D9">
        <w:t xml:space="preserve">eneral </w:t>
      </w:r>
      <w:r w:rsidR="00EC08B3">
        <w:t>M</w:t>
      </w:r>
      <w:r w:rsidR="001778D9">
        <w:t>anager</w:t>
      </w:r>
      <w:r w:rsidR="001778D9" w:rsidRPr="001778D9">
        <w:t xml:space="preserve"> gives APRA some administrative flexibility, as there are only three APRA members, and the members are often required to travel overseas, and therefore delegation to an </w:t>
      </w:r>
      <w:r w:rsidR="00EC08B3">
        <w:t>Executive General M</w:t>
      </w:r>
      <w:r w:rsidR="001778D9" w:rsidRPr="001778D9">
        <w:t>anager may be required</w:t>
      </w:r>
      <w:r w:rsidR="00E8327A">
        <w:t>.</w:t>
      </w:r>
    </w:p>
    <w:p w14:paraId="2CD04368" w14:textId="77777777" w:rsidR="00AF4A32" w:rsidRDefault="00AF4A32">
      <w:pPr>
        <w:pStyle w:val="Heading4"/>
      </w:pPr>
      <w:r>
        <w:t>Additional matters in relation to standards that are not legislative instruments</w:t>
      </w:r>
    </w:p>
    <w:p w14:paraId="4CB6C340" w14:textId="77777777" w:rsidR="00AF4A32" w:rsidRPr="006D4186" w:rsidRDefault="00AF4A32" w:rsidP="000F194A">
      <w:pPr>
        <w:pStyle w:val="base-text-paragraph"/>
        <w:rPr>
          <w:rStyle w:val="Referencingstyle"/>
          <w:b w:val="0"/>
          <w:i w:val="0"/>
          <w:sz w:val="22"/>
        </w:rPr>
      </w:pPr>
      <w:r>
        <w:t xml:space="preserve">A prudential standard </w:t>
      </w:r>
      <w:r w:rsidR="00717B8F">
        <w:t>under paragraph 9</w:t>
      </w:r>
      <w:r w:rsidR="00246DE8">
        <w:t>2</w:t>
      </w:r>
      <w:r w:rsidR="00717B8F">
        <w:t xml:space="preserve">(3)(c) </w:t>
      </w:r>
      <w:r>
        <w:t>relating to one or more specified private health insurers</w:t>
      </w:r>
      <w:r w:rsidR="00717B8F">
        <w:t>,</w:t>
      </w:r>
      <w:r>
        <w:t xml:space="preserve"> or </w:t>
      </w:r>
      <w:r w:rsidR="00717B8F">
        <w:t xml:space="preserve">a determination </w:t>
      </w:r>
      <w:r>
        <w:t>varying or revoking such a standard</w:t>
      </w:r>
      <w:r w:rsidR="00717B8F">
        <w:t>,</w:t>
      </w:r>
      <w:r>
        <w:t xml:space="preserve"> applies from the day it is made or from a day it specifies.  </w:t>
      </w:r>
      <w:r w:rsidRPr="00EC67BA">
        <w:rPr>
          <w:rStyle w:val="Referencingstyle"/>
        </w:rPr>
        <w:t xml:space="preserve">[Part 4, Division </w:t>
      </w:r>
      <w:r w:rsidR="00EF3011">
        <w:rPr>
          <w:rStyle w:val="Referencingstyle"/>
        </w:rPr>
        <w:t>2</w:t>
      </w:r>
      <w:r w:rsidRPr="00EC67BA">
        <w:rPr>
          <w:rStyle w:val="Referencingstyle"/>
        </w:rPr>
        <w:t>, s</w:t>
      </w:r>
      <w:r>
        <w:rPr>
          <w:rStyle w:val="Referencingstyle"/>
        </w:rPr>
        <w:t>ubs</w:t>
      </w:r>
      <w:r w:rsidRPr="00EC67BA">
        <w:rPr>
          <w:rStyle w:val="Referencingstyle"/>
        </w:rPr>
        <w:t xml:space="preserve">ection </w:t>
      </w:r>
      <w:r w:rsidR="00144AFE">
        <w:rPr>
          <w:rStyle w:val="Referencingstyle"/>
        </w:rPr>
        <w:t>9</w:t>
      </w:r>
      <w:r w:rsidR="00246DE8">
        <w:rPr>
          <w:rStyle w:val="Referencingstyle"/>
        </w:rPr>
        <w:t>3</w:t>
      </w:r>
      <w:r w:rsidR="00EF3011">
        <w:rPr>
          <w:rStyle w:val="Referencingstyle"/>
        </w:rPr>
        <w:t>(1)</w:t>
      </w:r>
      <w:r w:rsidRPr="00EC67BA">
        <w:rPr>
          <w:rStyle w:val="Referencingstyle"/>
        </w:rPr>
        <w:t>]</w:t>
      </w:r>
    </w:p>
    <w:p w14:paraId="1A6D3941" w14:textId="77777777" w:rsidR="00AF4A32" w:rsidRPr="00EC67BA" w:rsidRDefault="00AF4A32" w:rsidP="000F194A">
      <w:pPr>
        <w:pStyle w:val="base-text-paragraph"/>
        <w:rPr>
          <w:rStyle w:val="Referencingstyle"/>
          <w:b w:val="0"/>
          <w:i w:val="0"/>
          <w:sz w:val="22"/>
        </w:rPr>
      </w:pPr>
      <w:r>
        <w:t>If APRA makes, varies or revokes a prudential standard relating to one or more specified private health insurers, it must, as soon as practicable give a copy of the standard or variation, or notice of the revocation to each insurer to which it applies</w:t>
      </w:r>
      <w:r w:rsidR="00717B8F">
        <w:t xml:space="preserve"> or will apply</w:t>
      </w:r>
      <w:r>
        <w:t xml:space="preserve">. </w:t>
      </w:r>
      <w:r w:rsidRPr="00EC67BA">
        <w:rPr>
          <w:rStyle w:val="Referencingstyle"/>
        </w:rPr>
        <w:t>[Part 4, Division</w:t>
      </w:r>
      <w:r w:rsidR="004E3E41">
        <w:rPr>
          <w:rStyle w:val="Referencingstyle"/>
        </w:rPr>
        <w:t> </w:t>
      </w:r>
      <w:r w:rsidR="00EF3011">
        <w:rPr>
          <w:rStyle w:val="Referencingstyle"/>
        </w:rPr>
        <w:t>2</w:t>
      </w:r>
      <w:r w:rsidRPr="00EC67BA">
        <w:rPr>
          <w:rStyle w:val="Referencingstyle"/>
        </w:rPr>
        <w:t>, s</w:t>
      </w:r>
      <w:r>
        <w:rPr>
          <w:rStyle w:val="Referencingstyle"/>
        </w:rPr>
        <w:t>ubs</w:t>
      </w:r>
      <w:r w:rsidRPr="00EC67BA">
        <w:rPr>
          <w:rStyle w:val="Referencingstyle"/>
        </w:rPr>
        <w:t>ection</w:t>
      </w:r>
      <w:r w:rsidR="00246DE8">
        <w:rPr>
          <w:rStyle w:val="Referencingstyle"/>
        </w:rPr>
        <w:t> 93</w:t>
      </w:r>
      <w:r>
        <w:rPr>
          <w:rStyle w:val="Referencingstyle"/>
        </w:rPr>
        <w:t>(2)</w:t>
      </w:r>
      <w:r w:rsidRPr="00EC67BA">
        <w:rPr>
          <w:rStyle w:val="Referencingstyle"/>
        </w:rPr>
        <w:t>]</w:t>
      </w:r>
      <w:r>
        <w:rPr>
          <w:rStyle w:val="Referencingstyle"/>
        </w:rPr>
        <w:t xml:space="preserve"> </w:t>
      </w:r>
    </w:p>
    <w:p w14:paraId="6B3A45A2" w14:textId="77777777" w:rsidR="00EF3011" w:rsidRDefault="00EF3011" w:rsidP="00EF3011">
      <w:pPr>
        <w:pStyle w:val="Heading4"/>
      </w:pPr>
      <w:r>
        <w:t>Compliance with prudential standards</w:t>
      </w:r>
    </w:p>
    <w:p w14:paraId="358E3B95" w14:textId="77777777" w:rsidR="00AF4A32" w:rsidRDefault="00AF4A32" w:rsidP="000F194A">
      <w:pPr>
        <w:pStyle w:val="base-text-paragraph"/>
      </w:pPr>
      <w:r>
        <w:t xml:space="preserve">Private health insurers must comply with prudential standards to the extent they apply to the insurer.  </w:t>
      </w:r>
      <w:r>
        <w:rPr>
          <w:rStyle w:val="Referencingstyle"/>
        </w:rPr>
        <w:t xml:space="preserve">[Part 4, Division </w:t>
      </w:r>
      <w:r w:rsidR="00AC73D4">
        <w:rPr>
          <w:rStyle w:val="Referencingstyle"/>
        </w:rPr>
        <w:t>2</w:t>
      </w:r>
      <w:r>
        <w:rPr>
          <w:rStyle w:val="Referencingstyle"/>
        </w:rPr>
        <w:t xml:space="preserve">, </w:t>
      </w:r>
      <w:r w:rsidR="00AC73D4">
        <w:rPr>
          <w:rStyle w:val="Referencingstyle"/>
        </w:rPr>
        <w:t>s</w:t>
      </w:r>
      <w:r w:rsidRPr="00EC67BA">
        <w:rPr>
          <w:rStyle w:val="Referencingstyle"/>
        </w:rPr>
        <w:t xml:space="preserve">ection </w:t>
      </w:r>
      <w:r w:rsidR="00671872">
        <w:rPr>
          <w:rStyle w:val="Referencingstyle"/>
        </w:rPr>
        <w:t>94</w:t>
      </w:r>
      <w:r w:rsidRPr="00EC67BA">
        <w:rPr>
          <w:rStyle w:val="Referencingstyle"/>
        </w:rPr>
        <w:t>]</w:t>
      </w:r>
    </w:p>
    <w:p w14:paraId="2C9093FA" w14:textId="77777777" w:rsidR="00AF3FB4" w:rsidRDefault="00AF3FB4" w:rsidP="00AF3FB4">
      <w:pPr>
        <w:pStyle w:val="Heading4"/>
      </w:pPr>
      <w:r>
        <w:t>Notice of breach of prudential standards or of other matters that materially affect financial position</w:t>
      </w:r>
    </w:p>
    <w:p w14:paraId="4189B749" w14:textId="77777777" w:rsidR="00AF4A32" w:rsidRDefault="00AF4A32" w:rsidP="000F194A">
      <w:pPr>
        <w:pStyle w:val="base-text-paragraph"/>
      </w:pPr>
      <w:r>
        <w:t xml:space="preserve">A private health insurer commits an offence if it fails to notify APRA, in writing and as soon as practicable, if it becomes aware of a breach </w:t>
      </w:r>
      <w:r w:rsidR="00717B8F">
        <w:t>(</w:t>
      </w:r>
      <w:r w:rsidR="00717B8F" w:rsidRPr="00602D19">
        <w:t>other than a contravention that is merely of a minor or technical nature</w:t>
      </w:r>
      <w:r w:rsidR="00717B8F">
        <w:t xml:space="preserve">) </w:t>
      </w:r>
      <w:r>
        <w:t xml:space="preserve">of a prudential standard or anything that materially affects its financial position. </w:t>
      </w:r>
      <w:r w:rsidR="00C32612">
        <w:t>The relevant penalty is 30 penalty units.</w:t>
      </w:r>
      <w:r>
        <w:t xml:space="preserve">  </w:t>
      </w:r>
      <w:r>
        <w:rPr>
          <w:rStyle w:val="Referencingstyle"/>
        </w:rPr>
        <w:t>[Part 4, Division</w:t>
      </w:r>
      <w:r w:rsidR="004E3E41">
        <w:rPr>
          <w:rStyle w:val="Referencingstyle"/>
        </w:rPr>
        <w:t> </w:t>
      </w:r>
      <w:r w:rsidR="00AF3FB4">
        <w:rPr>
          <w:rStyle w:val="Referencingstyle"/>
        </w:rPr>
        <w:t>2</w:t>
      </w:r>
      <w:r>
        <w:rPr>
          <w:rStyle w:val="Referencingstyle"/>
        </w:rPr>
        <w:t>, subs</w:t>
      </w:r>
      <w:r w:rsidRPr="00EC67BA">
        <w:rPr>
          <w:rStyle w:val="Referencingstyle"/>
        </w:rPr>
        <w:t xml:space="preserve">ection </w:t>
      </w:r>
      <w:r w:rsidR="00671872">
        <w:rPr>
          <w:rStyle w:val="Referencingstyle"/>
        </w:rPr>
        <w:t>95</w:t>
      </w:r>
      <w:r>
        <w:rPr>
          <w:rStyle w:val="Referencingstyle"/>
        </w:rPr>
        <w:t>(1)</w:t>
      </w:r>
      <w:r w:rsidRPr="00EC67BA">
        <w:rPr>
          <w:rStyle w:val="Referencingstyle"/>
        </w:rPr>
        <w:t>]</w:t>
      </w:r>
    </w:p>
    <w:p w14:paraId="5B4940B6" w14:textId="77777777" w:rsidR="00AF4A32" w:rsidRDefault="00AF4A32" w:rsidP="000F194A">
      <w:pPr>
        <w:pStyle w:val="base-text-paragraph"/>
      </w:pPr>
      <w:r>
        <w:t xml:space="preserve">An </w:t>
      </w:r>
      <w:r w:rsidR="00304367">
        <w:t>insurer’s</w:t>
      </w:r>
      <w:r>
        <w:t xml:space="preserve"> notification to APRA must not include personal information about a person insured under a complying health insurance product referable to a health benefits fund conducted by the insurer, unless it relates to prudential matters about the insurer.  </w:t>
      </w:r>
      <w:r>
        <w:rPr>
          <w:rStyle w:val="Referencingstyle"/>
        </w:rPr>
        <w:t xml:space="preserve">[Part 4, Division </w:t>
      </w:r>
      <w:r w:rsidR="00AF3FB4">
        <w:rPr>
          <w:rStyle w:val="Referencingstyle"/>
        </w:rPr>
        <w:t>2</w:t>
      </w:r>
      <w:r>
        <w:rPr>
          <w:rStyle w:val="Referencingstyle"/>
        </w:rPr>
        <w:t>, subs</w:t>
      </w:r>
      <w:r w:rsidRPr="00EC67BA">
        <w:rPr>
          <w:rStyle w:val="Referencingstyle"/>
        </w:rPr>
        <w:t>ection</w:t>
      </w:r>
      <w:r w:rsidR="00671872">
        <w:rPr>
          <w:rStyle w:val="Referencingstyle"/>
        </w:rPr>
        <w:t> 95</w:t>
      </w:r>
      <w:r>
        <w:rPr>
          <w:rStyle w:val="Referencingstyle"/>
        </w:rPr>
        <w:t>(</w:t>
      </w:r>
      <w:r w:rsidR="00AF3FB4">
        <w:rPr>
          <w:rStyle w:val="Referencingstyle"/>
        </w:rPr>
        <w:t>2</w:t>
      </w:r>
      <w:r>
        <w:rPr>
          <w:rStyle w:val="Referencingstyle"/>
        </w:rPr>
        <w:t>)</w:t>
      </w:r>
      <w:r w:rsidRPr="00EC67BA">
        <w:rPr>
          <w:rStyle w:val="Referencingstyle"/>
        </w:rPr>
        <w:t>]</w:t>
      </w:r>
    </w:p>
    <w:p w14:paraId="2444741D" w14:textId="77777777" w:rsidR="00AF4A32" w:rsidRDefault="00AF3FB4" w:rsidP="00AF4A32">
      <w:pPr>
        <w:pStyle w:val="Heading3"/>
      </w:pPr>
      <w:r>
        <w:t>Division 3</w:t>
      </w:r>
      <w:r w:rsidR="00AF4A32">
        <w:t xml:space="preserve"> –</w:t>
      </w:r>
      <w:r>
        <w:t xml:space="preserve"> </w:t>
      </w:r>
      <w:r w:rsidR="00AF4A32">
        <w:t>Directions</w:t>
      </w:r>
    </w:p>
    <w:p w14:paraId="712748E2" w14:textId="77777777" w:rsidR="00AF4A32" w:rsidRDefault="00AF4A32" w:rsidP="00AF4A32">
      <w:pPr>
        <w:pStyle w:val="Heading4"/>
      </w:pPr>
      <w:r>
        <w:t>APRA’s power to give directions</w:t>
      </w:r>
    </w:p>
    <w:p w14:paraId="0B2409D4" w14:textId="77777777" w:rsidR="00AF4A32" w:rsidRDefault="00AF4A32" w:rsidP="000F194A">
      <w:pPr>
        <w:pStyle w:val="base-text-paragraph"/>
      </w:pPr>
      <w:r>
        <w:t xml:space="preserve">APRA may give a private health insurer a direction </w:t>
      </w:r>
      <w:r w:rsidR="007621B6">
        <w:t xml:space="preserve">of </w:t>
      </w:r>
      <w:r w:rsidR="00717B8F">
        <w:t>a</w:t>
      </w:r>
      <w:r w:rsidR="007621B6">
        <w:t xml:space="preserve"> kind specified under section </w:t>
      </w:r>
      <w:r w:rsidR="00AC69B5">
        <w:t xml:space="preserve">97 </w:t>
      </w:r>
      <w:r>
        <w:t>if APRA</w:t>
      </w:r>
      <w:r w:rsidR="009B264B">
        <w:t xml:space="preserve"> reasonably believes that:</w:t>
      </w:r>
    </w:p>
    <w:p w14:paraId="0099CA15" w14:textId="77777777" w:rsidR="00AF4A32" w:rsidRDefault="00AF4A32" w:rsidP="00F000FB">
      <w:pPr>
        <w:pStyle w:val="dotpoint"/>
      </w:pPr>
      <w:r>
        <w:t>the insurer has contravened an enforceable obligation</w:t>
      </w:r>
      <w:r w:rsidR="00717B8F">
        <w:t xml:space="preserve"> within the meaning of the </w:t>
      </w:r>
      <w:r w:rsidR="00F000FB" w:rsidRPr="00F000FB">
        <w:t xml:space="preserve">Prudential Supervision </w:t>
      </w:r>
      <w:r w:rsidR="00717B8F" w:rsidDel="00F000FB">
        <w:t>Bill</w:t>
      </w:r>
      <w:r>
        <w:t xml:space="preserve">, or </w:t>
      </w:r>
      <w:r w:rsidR="00717B8F">
        <w:t xml:space="preserve">a provision of </w:t>
      </w:r>
      <w:r>
        <w:t>the FS(C</w:t>
      </w:r>
      <w:r w:rsidR="00671872">
        <w:t>o</w:t>
      </w:r>
      <w:r>
        <w:t>D) Act</w:t>
      </w:r>
      <w:r w:rsidR="00443BC3">
        <w:t xml:space="preserve"> (or direction or condition given under that Act</w:t>
      </w:r>
      <w:r w:rsidR="00C32612">
        <w:t xml:space="preserve"> – see subsection 4(2) of the </w:t>
      </w:r>
      <w:r w:rsidR="00F000FB" w:rsidRPr="00F000FB">
        <w:t xml:space="preserve">Prudential Supervision </w:t>
      </w:r>
      <w:r w:rsidR="00C32612" w:rsidDel="00F000FB">
        <w:t>Bill</w:t>
      </w:r>
      <w:r w:rsidR="00443BC3">
        <w:t>)</w:t>
      </w:r>
      <w:r>
        <w:t>; or</w:t>
      </w:r>
    </w:p>
    <w:p w14:paraId="26EA46B8" w14:textId="77777777" w:rsidR="00717B8F" w:rsidRDefault="00AF4A32" w:rsidP="006C3D7A">
      <w:pPr>
        <w:pStyle w:val="dotpoint"/>
      </w:pPr>
      <w:r>
        <w:t>the insurer</w:t>
      </w:r>
      <w:r w:rsidR="00050A57">
        <w:t xml:space="preserve"> </w:t>
      </w:r>
      <w:r>
        <w:t>is likely to contravene an enforceable obligation or the FS(C</w:t>
      </w:r>
      <w:r w:rsidR="00671872">
        <w:t>o</w:t>
      </w:r>
      <w:r>
        <w:t>D) Act</w:t>
      </w:r>
      <w:r w:rsidR="00717B8F">
        <w:t>,</w:t>
      </w:r>
      <w:r>
        <w:t xml:space="preserve"> in a way likely to create a prudential risk</w:t>
      </w:r>
      <w:r w:rsidR="00717B8F">
        <w:t>; or</w:t>
      </w:r>
    </w:p>
    <w:p w14:paraId="04A7D871" w14:textId="77777777" w:rsidR="00AF4A32" w:rsidRDefault="00717B8F" w:rsidP="006C3D7A">
      <w:pPr>
        <w:pStyle w:val="dotpoint"/>
      </w:pPr>
      <w:r>
        <w:t xml:space="preserve">the direction is necessary in the interests of </w:t>
      </w:r>
      <w:r w:rsidR="001235B8">
        <w:t>policy holder</w:t>
      </w:r>
      <w:r>
        <w:t xml:space="preserve">s or prospective </w:t>
      </w:r>
      <w:r w:rsidR="001235B8">
        <w:t>policy holder</w:t>
      </w:r>
      <w:r>
        <w:t xml:space="preserve">s of the private health insurer.  </w:t>
      </w:r>
      <w:r w:rsidR="00050A57" w:rsidRPr="00050A57">
        <w:rPr>
          <w:rStyle w:val="Referencingstyle"/>
        </w:rPr>
        <w:t>[Par</w:t>
      </w:r>
      <w:r w:rsidR="00671872">
        <w:rPr>
          <w:rStyle w:val="Referencingstyle"/>
        </w:rPr>
        <w:t>t</w:t>
      </w:r>
      <w:r>
        <w:rPr>
          <w:rStyle w:val="Referencingstyle"/>
        </w:rPr>
        <w:t> </w:t>
      </w:r>
      <w:r w:rsidR="00671872">
        <w:rPr>
          <w:rStyle w:val="Referencingstyle"/>
        </w:rPr>
        <w:t xml:space="preserve"> 4</w:t>
      </w:r>
      <w:r w:rsidR="00050A57" w:rsidRPr="00050A57">
        <w:rPr>
          <w:rStyle w:val="Referencingstyle"/>
        </w:rPr>
        <w:t xml:space="preserve">, Division 3, </w:t>
      </w:r>
      <w:r w:rsidR="00DD6668">
        <w:rPr>
          <w:rStyle w:val="Referencingstyle"/>
        </w:rPr>
        <w:t>paragraphs</w:t>
      </w:r>
      <w:r w:rsidR="00671872">
        <w:rPr>
          <w:rStyle w:val="Referencingstyle"/>
        </w:rPr>
        <w:t xml:space="preserve"> 96</w:t>
      </w:r>
      <w:r w:rsidR="00050A57" w:rsidRPr="00050A57">
        <w:rPr>
          <w:rStyle w:val="Referencingstyle"/>
        </w:rPr>
        <w:t>(1)(</w:t>
      </w:r>
      <w:r w:rsidR="00050A57">
        <w:rPr>
          <w:rStyle w:val="Referencingstyle"/>
        </w:rPr>
        <w:t>a</w:t>
      </w:r>
      <w:r w:rsidR="00050A57" w:rsidRPr="00050A57">
        <w:rPr>
          <w:rStyle w:val="Referencingstyle"/>
        </w:rPr>
        <w:t>)</w:t>
      </w:r>
      <w:r>
        <w:rPr>
          <w:rStyle w:val="Referencingstyle"/>
        </w:rPr>
        <w:t>, (b</w:t>
      </w:r>
      <w:r w:rsidR="00050A57" w:rsidRPr="00050A57">
        <w:rPr>
          <w:rStyle w:val="Referencingstyle"/>
        </w:rPr>
        <w:t xml:space="preserve">) </w:t>
      </w:r>
      <w:r w:rsidR="00050A57">
        <w:rPr>
          <w:rStyle w:val="Referencingstyle"/>
        </w:rPr>
        <w:t>and (</w:t>
      </w:r>
      <w:r>
        <w:rPr>
          <w:rStyle w:val="Referencingstyle"/>
        </w:rPr>
        <w:t>c</w:t>
      </w:r>
      <w:r w:rsidR="00050A57" w:rsidRPr="00050A57">
        <w:rPr>
          <w:rStyle w:val="Referencingstyle"/>
        </w:rPr>
        <w:t>)]</w:t>
      </w:r>
      <w:r w:rsidR="00443BC3">
        <w:t xml:space="preserve">  </w:t>
      </w:r>
    </w:p>
    <w:p w14:paraId="36270CA1" w14:textId="77777777" w:rsidR="00AF4A32" w:rsidRDefault="00AF4A32" w:rsidP="000F194A">
      <w:pPr>
        <w:pStyle w:val="base-text-paragraph"/>
      </w:pPr>
      <w:r>
        <w:t xml:space="preserve">APRA’s decision to give a direction under section </w:t>
      </w:r>
      <w:r w:rsidR="009B264B">
        <w:t>9</w:t>
      </w:r>
      <w:r w:rsidR="00671872">
        <w:t>6</w:t>
      </w:r>
      <w:r w:rsidR="009B264B">
        <w:t xml:space="preserve"> </w:t>
      </w:r>
      <w:r>
        <w:t>is reviewable under section</w:t>
      </w:r>
      <w:r w:rsidR="005152F9">
        <w:t xml:space="preserve"> </w:t>
      </w:r>
      <w:r w:rsidR="00671872">
        <w:t>168</w:t>
      </w:r>
      <w:r w:rsidR="009B264B" w:rsidRPr="00B0573D">
        <w:t xml:space="preserve"> </w:t>
      </w:r>
      <w:r w:rsidR="00B0573D" w:rsidRPr="00B0573D">
        <w:t xml:space="preserve">if it is given on the basis of ground (a), (b) or (c) in subsection </w:t>
      </w:r>
      <w:r w:rsidR="009B264B" w:rsidRPr="00B0573D">
        <w:t>9</w:t>
      </w:r>
      <w:r w:rsidR="00671872">
        <w:t>6</w:t>
      </w:r>
      <w:r w:rsidR="00B0573D" w:rsidRPr="00B0573D">
        <w:t xml:space="preserve">(1), which relate to contraventions or likely contraventions of relevant legislation or the direction being necessary in the interests of </w:t>
      </w:r>
      <w:r w:rsidR="001235B8">
        <w:t>policy holder</w:t>
      </w:r>
      <w:r w:rsidR="00B0573D" w:rsidRPr="00B0573D">
        <w:t xml:space="preserve">s or prospective </w:t>
      </w:r>
      <w:r w:rsidR="001235B8">
        <w:t>policy holder</w:t>
      </w:r>
      <w:r w:rsidR="00B0573D" w:rsidRPr="00B0573D">
        <w:t xml:space="preserve">s of the insurer.  </w:t>
      </w:r>
      <w:r>
        <w:t xml:space="preserve"> </w:t>
      </w:r>
    </w:p>
    <w:p w14:paraId="131C46B5" w14:textId="77777777" w:rsidR="00717B8F" w:rsidRDefault="00717B8F" w:rsidP="000F194A">
      <w:pPr>
        <w:pStyle w:val="base-text-paragraph"/>
      </w:pPr>
      <w:r>
        <w:t>APRA may also give a private health insurer a direction for a range of specific reasons related to preserving the interests of policy holders and the insurer’s financial position, including:</w:t>
      </w:r>
    </w:p>
    <w:p w14:paraId="3ED15131" w14:textId="77777777" w:rsidR="00717B8F" w:rsidRDefault="00717B8F" w:rsidP="00943753">
      <w:pPr>
        <w:pStyle w:val="dotpoint"/>
      </w:pPr>
      <w:r>
        <w:t>the insurer is, or is about to become, unable to meet its liabilities; or</w:t>
      </w:r>
    </w:p>
    <w:p w14:paraId="7F248A8E" w14:textId="77777777" w:rsidR="00717B8F" w:rsidRDefault="00717B8F" w:rsidP="006F036B">
      <w:pPr>
        <w:pStyle w:val="dotpoint"/>
      </w:pPr>
      <w:r>
        <w:t>there is, or there might be, a material risk to the security of the insurer’s assets; or</w:t>
      </w:r>
    </w:p>
    <w:p w14:paraId="37E46DE9" w14:textId="77777777" w:rsidR="00717B8F" w:rsidRDefault="00717B8F">
      <w:pPr>
        <w:pStyle w:val="dotpoint"/>
      </w:pPr>
      <w:r>
        <w:t>there has been, or there might be, a material deterioration in the insurer’s financial condition; or</w:t>
      </w:r>
    </w:p>
    <w:p w14:paraId="51595517" w14:textId="77777777" w:rsidR="00717B8F" w:rsidRDefault="00717B8F">
      <w:pPr>
        <w:pStyle w:val="dotpoint"/>
      </w:pPr>
      <w:r>
        <w:t>the insurer is conducting its affairs in an improper or financially unsound way; or</w:t>
      </w:r>
    </w:p>
    <w:p w14:paraId="6B223E33" w14:textId="77777777" w:rsidR="00717B8F" w:rsidRDefault="00717B8F">
      <w:pPr>
        <w:pStyle w:val="dotpoint"/>
      </w:pPr>
      <w:r>
        <w:t>the failure to issue a direction would materially prejudice the interests of policy holders or prospective policy holders of the insurer; or</w:t>
      </w:r>
    </w:p>
    <w:p w14:paraId="1BB92B7B" w14:textId="77777777" w:rsidR="00717B8F" w:rsidRDefault="00717B8F">
      <w:pPr>
        <w:pStyle w:val="dotpoint"/>
      </w:pPr>
      <w:r>
        <w:t xml:space="preserve">the insurer is conducting its affairs in a way that may cause or promote instability in the Australian private health insurance system. </w:t>
      </w:r>
      <w:r w:rsidR="00671872">
        <w:rPr>
          <w:rStyle w:val="Referencingstyle"/>
        </w:rPr>
        <w:t>[Part 4</w:t>
      </w:r>
      <w:r w:rsidRPr="006D4186">
        <w:rPr>
          <w:rStyle w:val="Referencingstyle"/>
        </w:rPr>
        <w:t>,</w:t>
      </w:r>
      <w:r w:rsidR="00671872">
        <w:rPr>
          <w:rStyle w:val="Referencingstyle"/>
        </w:rPr>
        <w:t xml:space="preserve"> Division 3, paragraphs 96</w:t>
      </w:r>
      <w:r w:rsidRPr="006D4186">
        <w:rPr>
          <w:rStyle w:val="Referencingstyle"/>
        </w:rPr>
        <w:t>(1)(</w:t>
      </w:r>
      <w:r>
        <w:rPr>
          <w:rStyle w:val="Referencingstyle"/>
        </w:rPr>
        <w:t>d</w:t>
      </w:r>
      <w:r w:rsidRPr="006D4186">
        <w:rPr>
          <w:rStyle w:val="Referencingstyle"/>
        </w:rPr>
        <w:t>) to (</w:t>
      </w:r>
      <w:r>
        <w:rPr>
          <w:rStyle w:val="Referencingstyle"/>
        </w:rPr>
        <w:t>i</w:t>
      </w:r>
      <w:r w:rsidRPr="006D4186">
        <w:rPr>
          <w:rStyle w:val="Referencingstyle"/>
        </w:rPr>
        <w:t>)]</w:t>
      </w:r>
    </w:p>
    <w:p w14:paraId="29C5D864" w14:textId="77777777" w:rsidR="004E3E41" w:rsidRPr="004E3E41" w:rsidRDefault="004E3E41" w:rsidP="004E3E41">
      <w:pPr>
        <w:pStyle w:val="base-text-paragraph"/>
        <w:tabs>
          <w:tab w:val="clear" w:pos="1985"/>
          <w:tab w:val="num" w:pos="1986"/>
        </w:tabs>
      </w:pPr>
      <w:r w:rsidRPr="004E3E41">
        <w:t xml:space="preserve">A direction would generally only be given to address a significant concern of a prudential nature affecting a private health insurer as a whole and not, for example, to address a concern of a consumer nature that has no prudential impact. </w:t>
      </w:r>
    </w:p>
    <w:p w14:paraId="260B2B7A" w14:textId="77777777" w:rsidR="00AF4A32" w:rsidRDefault="00AF4A32" w:rsidP="000F194A">
      <w:pPr>
        <w:pStyle w:val="base-text-paragraph"/>
      </w:pPr>
      <w:r>
        <w:t>APRA’s direction to a private health insurer must be in writing and specify the ground for which it is given.  It may also specify the time or period during w</w:t>
      </w:r>
      <w:r w:rsidR="00F000FB">
        <w:t xml:space="preserve">hich it must be complied with. </w:t>
      </w:r>
      <w:r w:rsidR="00671872">
        <w:rPr>
          <w:rStyle w:val="Referencingstyle"/>
        </w:rPr>
        <w:t>[Part 4</w:t>
      </w:r>
      <w:r w:rsidRPr="00855765">
        <w:rPr>
          <w:rStyle w:val="Referencingstyle"/>
        </w:rPr>
        <w:t xml:space="preserve">, </w:t>
      </w:r>
      <w:r w:rsidR="00667EA0">
        <w:rPr>
          <w:rStyle w:val="Referencingstyle"/>
        </w:rPr>
        <w:t xml:space="preserve">Division 3, </w:t>
      </w:r>
      <w:r w:rsidRPr="00855765">
        <w:rPr>
          <w:rStyle w:val="Referencingstyle"/>
        </w:rPr>
        <w:t>subsection</w:t>
      </w:r>
      <w:r>
        <w:rPr>
          <w:rStyle w:val="Referencingstyle"/>
        </w:rPr>
        <w:t xml:space="preserve">s </w:t>
      </w:r>
      <w:r w:rsidR="00671872">
        <w:rPr>
          <w:rStyle w:val="Referencingstyle"/>
        </w:rPr>
        <w:t>96</w:t>
      </w:r>
      <w:r>
        <w:rPr>
          <w:rStyle w:val="Referencingstyle"/>
        </w:rPr>
        <w:t>(</w:t>
      </w:r>
      <w:r w:rsidR="00667EA0">
        <w:rPr>
          <w:rStyle w:val="Referencingstyle"/>
        </w:rPr>
        <w:t>2</w:t>
      </w:r>
      <w:r>
        <w:rPr>
          <w:rStyle w:val="Referencingstyle"/>
        </w:rPr>
        <w:t>) and (</w:t>
      </w:r>
      <w:r w:rsidR="009B264B">
        <w:rPr>
          <w:rStyle w:val="Referencingstyle"/>
        </w:rPr>
        <w:t>3</w:t>
      </w:r>
      <w:r w:rsidRPr="00855765">
        <w:rPr>
          <w:rStyle w:val="Referencingstyle"/>
        </w:rPr>
        <w:t>)]</w:t>
      </w:r>
    </w:p>
    <w:p w14:paraId="158FB52C" w14:textId="77777777" w:rsidR="00AF4A32" w:rsidRDefault="00AF4A32" w:rsidP="00AF4A32">
      <w:pPr>
        <w:pStyle w:val="Heading4"/>
      </w:pPr>
      <w:r>
        <w:t>The kinds of directions that may be given</w:t>
      </w:r>
    </w:p>
    <w:p w14:paraId="45262842" w14:textId="77777777" w:rsidR="00AF4A32" w:rsidRDefault="00AF4A32" w:rsidP="000F194A">
      <w:pPr>
        <w:pStyle w:val="base-text-paragraph"/>
      </w:pPr>
      <w:r>
        <w:t xml:space="preserve">The kinds of directions APRA may give a private health insurer are directions to do one or more of a range of specified activities.  </w:t>
      </w:r>
      <w:r w:rsidRPr="00A11788">
        <w:rPr>
          <w:rStyle w:val="Referencingstyle"/>
        </w:rPr>
        <w:t xml:space="preserve">[Part </w:t>
      </w:r>
      <w:r w:rsidR="00667EA0">
        <w:rPr>
          <w:rStyle w:val="Referencingstyle"/>
        </w:rPr>
        <w:t>4</w:t>
      </w:r>
      <w:r w:rsidRPr="00A11788">
        <w:rPr>
          <w:rStyle w:val="Referencingstyle"/>
        </w:rPr>
        <w:t xml:space="preserve">, </w:t>
      </w:r>
      <w:r w:rsidR="00667EA0">
        <w:rPr>
          <w:rStyle w:val="Referencingstyle"/>
        </w:rPr>
        <w:t xml:space="preserve">Division 3, </w:t>
      </w:r>
      <w:r w:rsidRPr="00A11788">
        <w:rPr>
          <w:rStyle w:val="Referencingstyle"/>
        </w:rPr>
        <w:t xml:space="preserve">subsection </w:t>
      </w:r>
      <w:r w:rsidR="00671872">
        <w:rPr>
          <w:rStyle w:val="Referencingstyle"/>
        </w:rPr>
        <w:t>97</w:t>
      </w:r>
      <w:r w:rsidRPr="00A11788">
        <w:rPr>
          <w:rStyle w:val="Referencingstyle"/>
        </w:rPr>
        <w:t xml:space="preserve">(1)]  </w:t>
      </w:r>
    </w:p>
    <w:p w14:paraId="63E34C8F" w14:textId="77777777" w:rsidR="00AF4A32" w:rsidRDefault="00AF4A32" w:rsidP="000F194A">
      <w:pPr>
        <w:pStyle w:val="base-text-paragraph"/>
      </w:pPr>
      <w:r>
        <w:t>These act</w:t>
      </w:r>
      <w:r w:rsidR="00717B8F">
        <w:t>ions</w:t>
      </w:r>
      <w:r>
        <w:t xml:space="preserve"> are specified in paragraphs </w:t>
      </w:r>
      <w:r w:rsidR="00671872">
        <w:t>97</w:t>
      </w:r>
      <w:r>
        <w:t>(1)(a) to (</w:t>
      </w:r>
      <w:r w:rsidR="009B264B">
        <w:t>v</w:t>
      </w:r>
      <w:r>
        <w:t xml:space="preserve">) and </w:t>
      </w:r>
      <w:r w:rsidR="00717B8F">
        <w:t>are</w:t>
      </w:r>
      <w:r>
        <w:t>:</w:t>
      </w:r>
    </w:p>
    <w:p w14:paraId="21FCE8F6" w14:textId="77777777" w:rsidR="00AF4A32" w:rsidRDefault="00AF4A32" w:rsidP="008B6FB8">
      <w:pPr>
        <w:pStyle w:val="dotpoint"/>
      </w:pPr>
      <w:r>
        <w:t xml:space="preserve">compliance with </w:t>
      </w:r>
      <w:r w:rsidR="00717B8F">
        <w:t xml:space="preserve">all or specified </w:t>
      </w:r>
      <w:r>
        <w:t>enforceable obligations or with the FS(C</w:t>
      </w:r>
      <w:r w:rsidR="00671872">
        <w:t>o</w:t>
      </w:r>
      <w:r>
        <w:t>D) Act</w:t>
      </w:r>
      <w:r w:rsidR="00BA2BBE">
        <w:t xml:space="preserve"> (</w:t>
      </w:r>
      <w:r w:rsidR="00717B8F">
        <w:t>this includes</w:t>
      </w:r>
      <w:r w:rsidR="00BA2BBE">
        <w:t xml:space="preserve"> directions or conditions given under that Act</w:t>
      </w:r>
      <w:r w:rsidR="00717B8F">
        <w:t xml:space="preserve"> – see subsection 4(2) of the </w:t>
      </w:r>
      <w:r w:rsidR="008B6FB8" w:rsidRPr="008B6FB8">
        <w:t xml:space="preserve">Prudential Supervision </w:t>
      </w:r>
      <w:r w:rsidR="00717B8F" w:rsidDel="008B6FB8">
        <w:t>Bill</w:t>
      </w:r>
      <w:r w:rsidR="00BA2BBE">
        <w:t>)</w:t>
      </w:r>
      <w:r>
        <w:t>;</w:t>
      </w:r>
    </w:p>
    <w:p w14:paraId="7E81E521" w14:textId="77777777" w:rsidR="00C32612" w:rsidRDefault="00C32612" w:rsidP="00AF4A32">
      <w:pPr>
        <w:pStyle w:val="dotpoint"/>
      </w:pPr>
      <w:r>
        <w:t>to remove an officer of the insurer;</w:t>
      </w:r>
    </w:p>
    <w:p w14:paraId="584012EE" w14:textId="77777777" w:rsidR="00717B8F" w:rsidRDefault="00717B8F" w:rsidP="00717B8F">
      <w:pPr>
        <w:pStyle w:val="dotpoint"/>
      </w:pPr>
      <w:r w:rsidRPr="00602D19">
        <w:t>to ensure an officer of the insurer does not take part in the management or conduct of the business of the insurer except as permitted by APRA</w:t>
      </w:r>
      <w:r>
        <w:t>;</w:t>
      </w:r>
    </w:p>
    <w:p w14:paraId="2D231CB0" w14:textId="77777777" w:rsidR="00717B8F" w:rsidRDefault="00717B8F" w:rsidP="00717B8F">
      <w:pPr>
        <w:pStyle w:val="dotpoint"/>
      </w:pPr>
      <w:r w:rsidRPr="00602D19">
        <w:t>to appoint a person as an officer of the insurer for such term as APRA directs</w:t>
      </w:r>
      <w:r>
        <w:t>;</w:t>
      </w:r>
    </w:p>
    <w:p w14:paraId="371058D1" w14:textId="77777777" w:rsidR="00717B8F" w:rsidRDefault="00717B8F" w:rsidP="00717B8F">
      <w:pPr>
        <w:pStyle w:val="dotpoint"/>
      </w:pPr>
      <w:r w:rsidRPr="00602D19">
        <w:t>to terminate the appointment of the appointed actuary of the insurer and to appoint another actuary to hold office for such term as APRA directs</w:t>
      </w:r>
      <w:r>
        <w:t>;</w:t>
      </w:r>
    </w:p>
    <w:p w14:paraId="092C0B58" w14:textId="77777777" w:rsidR="00717B8F" w:rsidRDefault="00717B8F" w:rsidP="00717B8F">
      <w:pPr>
        <w:pStyle w:val="dotpoint"/>
      </w:pPr>
      <w:r w:rsidRPr="00602D19">
        <w:t>not to give financial accommodation to any person</w:t>
      </w:r>
      <w:r>
        <w:t>;</w:t>
      </w:r>
    </w:p>
    <w:p w14:paraId="79BBD208" w14:textId="77777777" w:rsidR="00717B8F" w:rsidRDefault="00717B8F" w:rsidP="00717B8F">
      <w:pPr>
        <w:pStyle w:val="dotpoint"/>
      </w:pPr>
      <w:r w:rsidRPr="00602D19">
        <w:t>not to issue or renew any policy, undertake any liability under any policy or collect any premium</w:t>
      </w:r>
      <w:r>
        <w:t>;</w:t>
      </w:r>
    </w:p>
    <w:p w14:paraId="35757D69" w14:textId="77777777" w:rsidR="00717B8F" w:rsidRDefault="00717B8F" w:rsidP="00717B8F">
      <w:pPr>
        <w:pStyle w:val="dotpoint"/>
      </w:pPr>
      <w:r w:rsidRPr="00602D19">
        <w:t>not to issue or renew any policy, undertake any liability under any policy or collect any premium</w:t>
      </w:r>
      <w:r>
        <w:t>;</w:t>
      </w:r>
    </w:p>
    <w:p w14:paraId="7758EC66" w14:textId="77777777" w:rsidR="00717B8F" w:rsidRDefault="00717B8F" w:rsidP="00717B8F">
      <w:pPr>
        <w:pStyle w:val="dotpoint"/>
      </w:pPr>
      <w:r w:rsidRPr="00602D19">
        <w:t>not to borrow any amount</w:t>
      </w:r>
      <w:r>
        <w:t>;</w:t>
      </w:r>
    </w:p>
    <w:p w14:paraId="2971FB4B" w14:textId="77777777" w:rsidR="00717B8F" w:rsidRDefault="00717B8F" w:rsidP="00717B8F">
      <w:pPr>
        <w:pStyle w:val="dotpoint"/>
      </w:pPr>
      <w:r w:rsidRPr="00602D19">
        <w:t>not to accept any payment on account of share capital, except payments in respect of calls that fell due before the direction was given</w:t>
      </w:r>
      <w:r>
        <w:t>;</w:t>
      </w:r>
    </w:p>
    <w:p w14:paraId="14C23800" w14:textId="77777777" w:rsidR="00717B8F" w:rsidRDefault="00717B8F" w:rsidP="00717B8F">
      <w:pPr>
        <w:pStyle w:val="dotpoint"/>
      </w:pPr>
      <w:r w:rsidRPr="00602D19">
        <w:t>not to repay any amount paid on shares</w:t>
      </w:r>
      <w:r w:rsidR="00C32612">
        <w:t>, and not to pay any dividends</w:t>
      </w:r>
      <w:r>
        <w:t>;</w:t>
      </w:r>
    </w:p>
    <w:p w14:paraId="79EB23F9" w14:textId="77777777" w:rsidR="00717B8F" w:rsidRDefault="00717B8F" w:rsidP="00717B8F">
      <w:pPr>
        <w:pStyle w:val="dotpoint"/>
      </w:pPr>
      <w:r w:rsidRPr="00602D19">
        <w:t>not to discharge any policy or other liability</w:t>
      </w:r>
      <w:r>
        <w:t>;</w:t>
      </w:r>
    </w:p>
    <w:p w14:paraId="4CD00EB4" w14:textId="77777777" w:rsidR="00717B8F" w:rsidRDefault="00717B8F" w:rsidP="00717B8F">
      <w:pPr>
        <w:pStyle w:val="dotpoint"/>
      </w:pPr>
      <w:r w:rsidRPr="00602D19">
        <w:t>not to transfer any asset</w:t>
      </w:r>
      <w:r>
        <w:t>;</w:t>
      </w:r>
    </w:p>
    <w:p w14:paraId="64D0E3FC" w14:textId="77777777" w:rsidR="00717B8F" w:rsidRDefault="00717B8F" w:rsidP="00717B8F">
      <w:pPr>
        <w:pStyle w:val="dotpoint"/>
      </w:pPr>
      <w:r w:rsidRPr="00602D19">
        <w:t>not to pay or transfer any amount to any person, or create an obligation (contingent or otherwise) to do so</w:t>
      </w:r>
      <w:r>
        <w:t>;</w:t>
      </w:r>
    </w:p>
    <w:p w14:paraId="3CC71729" w14:textId="77777777" w:rsidR="00C32612" w:rsidRDefault="00C32612" w:rsidP="00717B8F">
      <w:pPr>
        <w:pStyle w:val="dotpoint"/>
      </w:pPr>
      <w:r>
        <w:t>not to undertake any financial obligation on behalf of any other person;</w:t>
      </w:r>
    </w:p>
    <w:p w14:paraId="3CD046DA" w14:textId="77777777" w:rsidR="00717B8F" w:rsidRDefault="00717B8F" w:rsidP="00717B8F">
      <w:pPr>
        <w:pStyle w:val="dotpoint"/>
      </w:pPr>
      <w:r w:rsidRPr="00602D19">
        <w:t>to hold, or otherwise deal in a specified way, with a specified amount of capital</w:t>
      </w:r>
      <w:r>
        <w:t>;</w:t>
      </w:r>
    </w:p>
    <w:p w14:paraId="1D3AF390" w14:textId="77777777" w:rsidR="00717B8F" w:rsidRDefault="00717B8F" w:rsidP="00717B8F">
      <w:pPr>
        <w:pStyle w:val="dotpoint"/>
      </w:pPr>
      <w:r w:rsidRPr="00602D19">
        <w:t xml:space="preserve">to provide, or further provide, in its accounts for the purposes of </w:t>
      </w:r>
      <w:r w:rsidR="008B6FB8">
        <w:t xml:space="preserve">the </w:t>
      </w:r>
      <w:r w:rsidR="008B6FB8">
        <w:rPr>
          <w:lang w:val="en-US" w:eastAsia="en-US"/>
        </w:rPr>
        <w:t>Prudential Supervision Bill</w:t>
      </w:r>
      <w:r w:rsidRPr="00602D19">
        <w:t>, a specified amount or an amount determined in a specified way in respect of its liabilities or the value of a specified asset of the insurer;</w:t>
      </w:r>
    </w:p>
    <w:p w14:paraId="799E9108" w14:textId="77777777" w:rsidR="00717B8F" w:rsidRDefault="00717B8F" w:rsidP="00717B8F">
      <w:pPr>
        <w:pStyle w:val="dotpoint"/>
      </w:pPr>
      <w:r w:rsidRPr="00602D19">
        <w:t>to order an actuarial investigation of the affairs of the insurer, at the expense of the insurer, by an actuary chosen by AP</w:t>
      </w:r>
      <w:r>
        <w:t>RA;</w:t>
      </w:r>
    </w:p>
    <w:p w14:paraId="532EE92D" w14:textId="77777777" w:rsidR="00717B8F" w:rsidRDefault="00717B8F" w:rsidP="00717B8F">
      <w:pPr>
        <w:pStyle w:val="dotpoint"/>
      </w:pPr>
      <w:r w:rsidRPr="00602D19">
        <w:t>to do, or to refrain from doing, an act that relates to the way in which the affairs of the insurer are to be conducted or not conducted;</w:t>
      </w:r>
    </w:p>
    <w:p w14:paraId="49B43432" w14:textId="77777777" w:rsidR="00717B8F" w:rsidRDefault="00717B8F" w:rsidP="00717B8F">
      <w:pPr>
        <w:pStyle w:val="dotpoint"/>
      </w:pPr>
      <w:r w:rsidRPr="00602D19">
        <w:t>to modify the rules of the insurer</w:t>
      </w:r>
      <w:r>
        <w:t>;</w:t>
      </w:r>
    </w:p>
    <w:p w14:paraId="21433BA1" w14:textId="77777777" w:rsidR="00717B8F" w:rsidRDefault="00717B8F" w:rsidP="00717B8F">
      <w:pPr>
        <w:pStyle w:val="dotpoint"/>
      </w:pPr>
      <w:r w:rsidRPr="00602D19">
        <w:t>to take specified action to ensure, as far as practicable, that the insurer will be able to meet the liabilities of a health benefits fund conducted by the insurer out of the assets of the fund as they become due</w:t>
      </w:r>
      <w:r>
        <w:t>;</w:t>
      </w:r>
    </w:p>
    <w:p w14:paraId="2B5364AF" w14:textId="77777777" w:rsidR="00AF4A32" w:rsidRPr="00BE0E25" w:rsidRDefault="00717B8F" w:rsidP="00821737">
      <w:pPr>
        <w:pStyle w:val="dotpoint"/>
      </w:pPr>
      <w:r w:rsidRPr="00602D19">
        <w:t xml:space="preserve">to take specified action to ensure, as far as practicable, that assets of a health benefits fund conducted by the insurer will provide adequate capital for the conduct of the business of the fund in accordance with </w:t>
      </w:r>
      <w:r w:rsidR="008B6FB8">
        <w:t xml:space="preserve">the </w:t>
      </w:r>
      <w:r w:rsidR="008B6FB8">
        <w:rPr>
          <w:lang w:val="en-US" w:eastAsia="en-US"/>
        </w:rPr>
        <w:t>Prudential Supervision Bill</w:t>
      </w:r>
      <w:r w:rsidRPr="00602D19">
        <w:t xml:space="preserve"> and in the interests of the policy holders of the fund</w:t>
      </w:r>
      <w:r>
        <w:t xml:space="preserve">. </w:t>
      </w:r>
      <w:r w:rsidRPr="00BE0E25">
        <w:rPr>
          <w:rStyle w:val="Referencingstyle"/>
        </w:rPr>
        <w:t xml:space="preserve">[Part </w:t>
      </w:r>
      <w:r>
        <w:rPr>
          <w:rStyle w:val="Referencingstyle"/>
        </w:rPr>
        <w:t>4</w:t>
      </w:r>
      <w:r w:rsidRPr="00BE0E25">
        <w:rPr>
          <w:rStyle w:val="Referencingstyle"/>
        </w:rPr>
        <w:t xml:space="preserve">, </w:t>
      </w:r>
      <w:r>
        <w:rPr>
          <w:rStyle w:val="Referencingstyle"/>
        </w:rPr>
        <w:t xml:space="preserve">Division 3, </w:t>
      </w:r>
      <w:r w:rsidRPr="00BE0E25">
        <w:rPr>
          <w:rStyle w:val="Referencingstyle"/>
        </w:rPr>
        <w:t xml:space="preserve">subsection </w:t>
      </w:r>
      <w:r>
        <w:rPr>
          <w:rStyle w:val="Referencingstyle"/>
        </w:rPr>
        <w:t>9</w:t>
      </w:r>
      <w:r w:rsidR="006F036B">
        <w:rPr>
          <w:rStyle w:val="Referencingstyle"/>
        </w:rPr>
        <w:t>7</w:t>
      </w:r>
      <w:r w:rsidRPr="00BE0E25">
        <w:rPr>
          <w:rStyle w:val="Referencingstyle"/>
        </w:rPr>
        <w:t>(1)]</w:t>
      </w:r>
    </w:p>
    <w:p w14:paraId="394A5535" w14:textId="77777777" w:rsidR="00AF4A32" w:rsidRDefault="00AF4A32" w:rsidP="000F194A">
      <w:pPr>
        <w:pStyle w:val="base-text-paragraph"/>
      </w:pPr>
      <w:r>
        <w:t xml:space="preserve">A direction may deal with only some of the matters in paragraphs </w:t>
      </w:r>
      <w:r w:rsidR="006F036B">
        <w:t>97</w:t>
      </w:r>
      <w:r>
        <w:t>(1)(a) to (</w:t>
      </w:r>
      <w:r w:rsidR="009B264B">
        <w:t>v</w:t>
      </w:r>
      <w:r>
        <w:t xml:space="preserve">), a particular class of matters or make different provision with respect to different matters, or classes of matters.  </w:t>
      </w:r>
      <w:r w:rsidRPr="004479AA">
        <w:rPr>
          <w:rStyle w:val="Referencingstyle"/>
        </w:rPr>
        <w:t xml:space="preserve">[Part </w:t>
      </w:r>
      <w:r w:rsidR="00667EA0">
        <w:rPr>
          <w:rStyle w:val="Referencingstyle"/>
        </w:rPr>
        <w:t>4</w:t>
      </w:r>
      <w:r w:rsidRPr="004479AA">
        <w:rPr>
          <w:rStyle w:val="Referencingstyle"/>
        </w:rPr>
        <w:t xml:space="preserve">, </w:t>
      </w:r>
      <w:r w:rsidR="00667EA0">
        <w:rPr>
          <w:rStyle w:val="Referencingstyle"/>
        </w:rPr>
        <w:t xml:space="preserve">Division 3, </w:t>
      </w:r>
      <w:r w:rsidRPr="004479AA">
        <w:rPr>
          <w:rStyle w:val="Referencingstyle"/>
        </w:rPr>
        <w:t xml:space="preserve">subsection </w:t>
      </w:r>
      <w:r w:rsidR="006F036B">
        <w:rPr>
          <w:rStyle w:val="Referencingstyle"/>
        </w:rPr>
        <w:t>97</w:t>
      </w:r>
      <w:r w:rsidRPr="004479AA">
        <w:rPr>
          <w:rStyle w:val="Referencingstyle"/>
        </w:rPr>
        <w:t>(</w:t>
      </w:r>
      <w:r w:rsidR="00667EA0">
        <w:rPr>
          <w:rStyle w:val="Referencingstyle"/>
        </w:rPr>
        <w:t>3</w:t>
      </w:r>
      <w:r w:rsidRPr="004479AA">
        <w:rPr>
          <w:rStyle w:val="Referencingstyle"/>
        </w:rPr>
        <w:t>)]</w:t>
      </w:r>
      <w:r>
        <w:t xml:space="preserve">  </w:t>
      </w:r>
    </w:p>
    <w:p w14:paraId="73B39E9A" w14:textId="77777777" w:rsidR="00AF4A32" w:rsidRPr="00512F2D" w:rsidRDefault="00AF4A32" w:rsidP="000F194A">
      <w:pPr>
        <w:pStyle w:val="base-text-paragraph"/>
        <w:rPr>
          <w:rStyle w:val="Referencingstyle"/>
          <w:b w:val="0"/>
          <w:i w:val="0"/>
          <w:sz w:val="22"/>
        </w:rPr>
      </w:pPr>
      <w:r>
        <w:t xml:space="preserve">A direction related to the transfer or payment of money under paragraph </w:t>
      </w:r>
      <w:r w:rsidR="006F036B">
        <w:t>97</w:t>
      </w:r>
      <w:r>
        <w:t xml:space="preserve">(1)(m) and (n) does not apply to the payment or transfer of money under a court order or a process of execution.  </w:t>
      </w:r>
      <w:r w:rsidRPr="004479AA">
        <w:rPr>
          <w:rStyle w:val="Referencingstyle"/>
        </w:rPr>
        <w:t xml:space="preserve">[Part </w:t>
      </w:r>
      <w:r w:rsidR="00667EA0">
        <w:rPr>
          <w:rStyle w:val="Referencingstyle"/>
        </w:rPr>
        <w:t>4</w:t>
      </w:r>
      <w:r w:rsidRPr="004479AA">
        <w:rPr>
          <w:rStyle w:val="Referencingstyle"/>
        </w:rPr>
        <w:t xml:space="preserve">, </w:t>
      </w:r>
      <w:r w:rsidR="00667EA0">
        <w:rPr>
          <w:rStyle w:val="Referencingstyle"/>
        </w:rPr>
        <w:t xml:space="preserve">Division 3, </w:t>
      </w:r>
      <w:r w:rsidRPr="004479AA">
        <w:rPr>
          <w:rStyle w:val="Referencingstyle"/>
        </w:rPr>
        <w:t xml:space="preserve">subsection </w:t>
      </w:r>
      <w:r w:rsidR="006F036B">
        <w:rPr>
          <w:rStyle w:val="Referencingstyle"/>
        </w:rPr>
        <w:t>97</w:t>
      </w:r>
      <w:r w:rsidRPr="004479AA">
        <w:rPr>
          <w:rStyle w:val="Referencingstyle"/>
        </w:rPr>
        <w:t>(</w:t>
      </w:r>
      <w:r w:rsidR="00667EA0">
        <w:rPr>
          <w:rStyle w:val="Referencingstyle"/>
        </w:rPr>
        <w:t>2</w:t>
      </w:r>
      <w:r w:rsidRPr="004479AA">
        <w:rPr>
          <w:rStyle w:val="Referencingstyle"/>
        </w:rPr>
        <w:t xml:space="preserve">)]  </w:t>
      </w:r>
    </w:p>
    <w:p w14:paraId="4CD87DAB" w14:textId="77777777" w:rsidR="000A5F85" w:rsidRDefault="004E3E41" w:rsidP="007E0B53">
      <w:pPr>
        <w:pStyle w:val="base-text-paragraph"/>
        <w:keepNext/>
        <w:keepLines/>
      </w:pPr>
      <w:r>
        <w:t xml:space="preserve">As noted above, APRA would generally only give a direction in response to a serious prudential concern. The kinds of directions that may be given need to be seen in this light. For example, a direction not to issue a policy or to refrain from providing financial accommodation would normally only be given to prevent the insurer from increasing its exposures where there is a serious financial concern that affects the interests of </w:t>
      </w:r>
      <w:r w:rsidR="001235B8">
        <w:t>policy holder</w:t>
      </w:r>
      <w:r>
        <w:t xml:space="preserve">s. For example, the financial position of the health benefits fund(s) may be such that APRA may be considering the appointment of an external manager, with the direction being an interim step to halt any further exposures and protect the interest of existing </w:t>
      </w:r>
      <w:r w:rsidR="001235B8">
        <w:t>policy holder</w:t>
      </w:r>
      <w:r>
        <w:t xml:space="preserve">s. It is not intended that the power to give a direction not to issue a policy or grant financial accommodation, or any similar power, be used to micromanage the business of the insurer or address issues of a consumer nature. The concern would need to be general and relate to the overall position or management of the insurer or a health benefits fund. </w:t>
      </w:r>
      <w:r w:rsidR="0054110D">
        <w:t xml:space="preserve"> </w:t>
      </w:r>
    </w:p>
    <w:p w14:paraId="2859EF8D" w14:textId="77777777" w:rsidR="00AF4A32" w:rsidRDefault="00AF4A32" w:rsidP="00AF4A32">
      <w:pPr>
        <w:pStyle w:val="Heading4"/>
      </w:pPr>
      <w:r>
        <w:t>Power to comply with a direction</w:t>
      </w:r>
    </w:p>
    <w:p w14:paraId="1D47B351" w14:textId="77777777" w:rsidR="00AF4A32" w:rsidRDefault="00AF4A32" w:rsidP="000F194A">
      <w:pPr>
        <w:pStyle w:val="base-text-paragraph"/>
      </w:pPr>
      <w:r>
        <w:t xml:space="preserve">A private health insurer may comply with a direction under section </w:t>
      </w:r>
      <w:r w:rsidR="006F036B">
        <w:t>96</w:t>
      </w:r>
      <w:r w:rsidR="00122231">
        <w:t xml:space="preserve"> </w:t>
      </w:r>
      <w:r>
        <w:t xml:space="preserve">despite anything in its constitution or business rules, or contract or arrangement to which it is a party.  </w:t>
      </w:r>
      <w:r w:rsidRPr="00A76E17">
        <w:rPr>
          <w:rStyle w:val="Referencingstyle"/>
        </w:rPr>
        <w:t xml:space="preserve">[Part 4, Division 3, section </w:t>
      </w:r>
      <w:r w:rsidR="00144AFE" w:rsidRPr="00A76E17">
        <w:rPr>
          <w:rStyle w:val="Referencingstyle"/>
        </w:rPr>
        <w:t>9</w:t>
      </w:r>
      <w:r w:rsidR="006F036B">
        <w:rPr>
          <w:rStyle w:val="Referencingstyle"/>
        </w:rPr>
        <w:t>8</w:t>
      </w:r>
      <w:r w:rsidRPr="00A76E17">
        <w:rPr>
          <w:rStyle w:val="Referencingstyle"/>
        </w:rPr>
        <w:t>]</w:t>
      </w:r>
    </w:p>
    <w:p w14:paraId="62B6DBA7" w14:textId="77777777" w:rsidR="00AF4A32" w:rsidRDefault="00AF4A32" w:rsidP="00AF4A32">
      <w:pPr>
        <w:pStyle w:val="Heading4"/>
      </w:pPr>
      <w:r>
        <w:t>Varying or revoking a direction</w:t>
      </w:r>
    </w:p>
    <w:p w14:paraId="1C157C79" w14:textId="77777777" w:rsidR="00AF4A32" w:rsidRPr="004E61FA" w:rsidRDefault="00AF4A32" w:rsidP="000F194A">
      <w:pPr>
        <w:pStyle w:val="base-text-paragraph"/>
        <w:rPr>
          <w:rStyle w:val="Referencingstyle"/>
          <w:b w:val="0"/>
          <w:i w:val="0"/>
          <w:sz w:val="22"/>
        </w:rPr>
      </w:pPr>
      <w:r>
        <w:t xml:space="preserve">If APRA considers it </w:t>
      </w:r>
      <w:r w:rsidR="00717B8F">
        <w:t>is no longer</w:t>
      </w:r>
      <w:r>
        <w:t xml:space="preserve"> necessary or appropriate, APRA may, by notice in writing, vary or revoke a direction given under section 9</w:t>
      </w:r>
      <w:r w:rsidR="006F036B">
        <w:t>6</w:t>
      </w:r>
      <w:r>
        <w:t xml:space="preserve"> to a private health insurer.  </w:t>
      </w:r>
      <w:r w:rsidRPr="004E61FA">
        <w:rPr>
          <w:rStyle w:val="Referencingstyle"/>
        </w:rPr>
        <w:t xml:space="preserve">[Part 4, Division 3, section </w:t>
      </w:r>
      <w:r w:rsidR="006F036B">
        <w:rPr>
          <w:rStyle w:val="Referencingstyle"/>
        </w:rPr>
        <w:t>99</w:t>
      </w:r>
      <w:r w:rsidRPr="004E61FA">
        <w:rPr>
          <w:rStyle w:val="Referencingstyle"/>
        </w:rPr>
        <w:t>]</w:t>
      </w:r>
    </w:p>
    <w:p w14:paraId="7F54E986" w14:textId="77777777" w:rsidR="00AF4A32" w:rsidRDefault="00AF4A32" w:rsidP="00AF4A32">
      <w:pPr>
        <w:pStyle w:val="Heading4"/>
      </w:pPr>
      <w:r>
        <w:t>When a direction ceases to have effect</w:t>
      </w:r>
    </w:p>
    <w:p w14:paraId="778FA307" w14:textId="77777777" w:rsidR="00AF4A32" w:rsidRDefault="00AF4A32" w:rsidP="000F194A">
      <w:pPr>
        <w:pStyle w:val="base-text-paragraph"/>
      </w:pPr>
      <w:r>
        <w:t xml:space="preserve">A direction </w:t>
      </w:r>
      <w:r w:rsidR="006F036B">
        <w:t xml:space="preserve">under section 96 </w:t>
      </w:r>
      <w:r>
        <w:t xml:space="preserve">ceases to have effect </w:t>
      </w:r>
      <w:r w:rsidR="00EB0C74">
        <w:t>i</w:t>
      </w:r>
      <w:r>
        <w:t xml:space="preserve">f APRA revokes it under section </w:t>
      </w:r>
      <w:r w:rsidR="00C32612">
        <w:t>99</w:t>
      </w:r>
      <w:r>
        <w:t xml:space="preserve">.  </w:t>
      </w:r>
      <w:r w:rsidRPr="000A0DB5">
        <w:rPr>
          <w:rStyle w:val="Referencingstyle"/>
        </w:rPr>
        <w:t xml:space="preserve">[Part 4, Division 3, section </w:t>
      </w:r>
      <w:r w:rsidR="006F036B">
        <w:rPr>
          <w:rStyle w:val="Referencingstyle"/>
        </w:rPr>
        <w:t>100</w:t>
      </w:r>
      <w:r w:rsidRPr="000A0DB5">
        <w:rPr>
          <w:rStyle w:val="Referencingstyle"/>
        </w:rPr>
        <w:t>]</w:t>
      </w:r>
    </w:p>
    <w:p w14:paraId="5C6E2C5E" w14:textId="77777777" w:rsidR="00AF4A32" w:rsidRDefault="00AF4A32" w:rsidP="00AF4A32">
      <w:pPr>
        <w:pStyle w:val="Heading4"/>
      </w:pPr>
      <w:r>
        <w:t>Directions not grounds for denial of obligations</w:t>
      </w:r>
    </w:p>
    <w:p w14:paraId="09A8F07D" w14:textId="77777777" w:rsidR="00AF4A32" w:rsidRDefault="00EF7F37" w:rsidP="000F194A">
      <w:pPr>
        <w:pStyle w:val="base-text-paragraph"/>
      </w:pPr>
      <w:r>
        <w:t>If a private health insurer is subject to an APRA direction, and is party to a contract (whether the contract is subject to Australian or foreign law), neither the insurer, nor another party to the contract, may</w:t>
      </w:r>
      <w:r w:rsidR="00AF4A32">
        <w:t>:</w:t>
      </w:r>
    </w:p>
    <w:p w14:paraId="311E92D3" w14:textId="77777777" w:rsidR="00AF4A32" w:rsidRDefault="00AF4A32" w:rsidP="00AF4A32">
      <w:pPr>
        <w:pStyle w:val="dotpoint"/>
      </w:pPr>
      <w:r>
        <w:t xml:space="preserve">deny obligations </w:t>
      </w:r>
      <w:r w:rsidR="00EF7F37">
        <w:t xml:space="preserve">under the contract </w:t>
      </w:r>
      <w:r>
        <w:t>or accelerate any debt under the contract; or</w:t>
      </w:r>
    </w:p>
    <w:p w14:paraId="7CF370F4" w14:textId="77777777" w:rsidR="00AF4A32" w:rsidRPr="00CF3848" w:rsidRDefault="00AF4A32" w:rsidP="00AF4A32">
      <w:pPr>
        <w:pStyle w:val="dotpoint"/>
        <w:rPr>
          <w:rStyle w:val="Referencingstyle"/>
          <w:b w:val="0"/>
          <w:i w:val="0"/>
          <w:sz w:val="22"/>
        </w:rPr>
      </w:pPr>
      <w:r>
        <w:t xml:space="preserve">close out any transaction relating to the contract.  </w:t>
      </w:r>
      <w:r w:rsidRPr="00CF3848">
        <w:rPr>
          <w:rStyle w:val="Referencingstyle"/>
        </w:rPr>
        <w:t xml:space="preserve">[Part 4, Division 3, subsections </w:t>
      </w:r>
      <w:r w:rsidR="006F036B">
        <w:rPr>
          <w:rStyle w:val="Referencingstyle"/>
        </w:rPr>
        <w:t>101</w:t>
      </w:r>
      <w:r w:rsidRPr="00CF3848">
        <w:rPr>
          <w:rStyle w:val="Referencingstyle"/>
        </w:rPr>
        <w:t>(1) and (2)]</w:t>
      </w:r>
    </w:p>
    <w:p w14:paraId="22414BB6" w14:textId="77777777" w:rsidR="00AF4A32" w:rsidRDefault="00AF4A32" w:rsidP="007E0B53">
      <w:pPr>
        <w:pStyle w:val="base-text-paragraph"/>
        <w:keepNext/>
        <w:keepLines/>
      </w:pPr>
      <w:r>
        <w:t>If</w:t>
      </w:r>
      <w:r w:rsidRPr="00FA1946">
        <w:t xml:space="preserve"> </w:t>
      </w:r>
      <w:r>
        <w:t>APRA’s direction prevents the insurer fulfilling its obligations under the contract (other than a direction referred to in paragraph 9</w:t>
      </w:r>
      <w:r w:rsidR="00240A51">
        <w:t>7</w:t>
      </w:r>
      <w:r>
        <w:t>(1)(</w:t>
      </w:r>
      <w:r w:rsidR="00122231">
        <w:t>l</w:t>
      </w:r>
      <w:r>
        <w:t>)</w:t>
      </w:r>
      <w:r w:rsidR="00EF7F37">
        <w:t xml:space="preserve"> not to discharge any policy or other liability</w:t>
      </w:r>
      <w:r>
        <w:t xml:space="preserve">) the other party </w:t>
      </w:r>
      <w:r w:rsidR="00122231">
        <w:t xml:space="preserve">is </w:t>
      </w:r>
      <w:r>
        <w:t xml:space="preserve">relieved from contractual obligation owed to the insurer (subject to any orders made under subsection </w:t>
      </w:r>
      <w:r w:rsidR="00240A51">
        <w:t>101</w:t>
      </w:r>
      <w:r w:rsidR="008B6FB8">
        <w:t xml:space="preserve">(4)). </w:t>
      </w:r>
      <w:r w:rsidRPr="00CF3848">
        <w:rPr>
          <w:rStyle w:val="Referencingstyle"/>
        </w:rPr>
        <w:t xml:space="preserve">[Part 4, Division 3, subsection </w:t>
      </w:r>
      <w:r w:rsidR="00144AFE" w:rsidRPr="00CF3848">
        <w:rPr>
          <w:rStyle w:val="Referencingstyle"/>
        </w:rPr>
        <w:t>10</w:t>
      </w:r>
      <w:r w:rsidR="006F036B">
        <w:rPr>
          <w:rStyle w:val="Referencingstyle"/>
        </w:rPr>
        <w:t>1</w:t>
      </w:r>
      <w:r w:rsidRPr="00CF3848">
        <w:rPr>
          <w:rStyle w:val="Referencingstyle"/>
        </w:rPr>
        <w:t>(3)]</w:t>
      </w:r>
    </w:p>
    <w:p w14:paraId="3E023D64" w14:textId="77777777" w:rsidR="00AF4A32" w:rsidRDefault="00AF4A32" w:rsidP="000F194A">
      <w:pPr>
        <w:pStyle w:val="base-text-paragraph"/>
      </w:pPr>
      <w:r>
        <w:t>A</w:t>
      </w:r>
      <w:r w:rsidRPr="00FA1946">
        <w:t xml:space="preserve"> </w:t>
      </w:r>
      <w:r>
        <w:t>party to such as contract may apply to the Federal Court for an order relating to a direc</w:t>
      </w:r>
      <w:r w:rsidR="008B6FB8">
        <w:t xml:space="preserve">tion’s effect on the contract. </w:t>
      </w:r>
      <w:r>
        <w:t>The order may deal with the requirement of a party to fulfil a contractual obligation or to take some other action, considering any contractual obligations perfor</w:t>
      </w:r>
      <w:r w:rsidR="008B6FB8">
        <w:t xml:space="preserve">med before the order was made. </w:t>
      </w:r>
      <w:r>
        <w:t>The Federal Court’s order must not require a person to take any action that would contravene the direction, or another</w:t>
      </w:r>
      <w:r w:rsidR="00240A51">
        <w:t xml:space="preserve"> direction made under section 96</w:t>
      </w:r>
      <w:r>
        <w:t xml:space="preserve">.  </w:t>
      </w:r>
      <w:r w:rsidRPr="00677052">
        <w:rPr>
          <w:rStyle w:val="Referencingstyle"/>
        </w:rPr>
        <w:t xml:space="preserve"> [Part 4, Division 3, subsection </w:t>
      </w:r>
      <w:r w:rsidR="00144AFE" w:rsidRPr="00677052">
        <w:rPr>
          <w:rStyle w:val="Referencingstyle"/>
        </w:rPr>
        <w:t>10</w:t>
      </w:r>
      <w:r w:rsidR="00240A51">
        <w:rPr>
          <w:rStyle w:val="Referencingstyle"/>
        </w:rPr>
        <w:t>1</w:t>
      </w:r>
      <w:r w:rsidRPr="00677052">
        <w:rPr>
          <w:rStyle w:val="Referencingstyle"/>
        </w:rPr>
        <w:t>(</w:t>
      </w:r>
      <w:r>
        <w:rPr>
          <w:rStyle w:val="Referencingstyle"/>
        </w:rPr>
        <w:t>4</w:t>
      </w:r>
      <w:r w:rsidRPr="00677052">
        <w:rPr>
          <w:rStyle w:val="Referencingstyle"/>
        </w:rPr>
        <w:t>)]</w:t>
      </w:r>
    </w:p>
    <w:p w14:paraId="76F9E89C" w14:textId="77777777" w:rsidR="00AF4A32" w:rsidRDefault="00AF4A32" w:rsidP="00AF4A32">
      <w:pPr>
        <w:pStyle w:val="Heading4"/>
      </w:pPr>
      <w:r>
        <w:t>Supply of information about directions</w:t>
      </w:r>
    </w:p>
    <w:p w14:paraId="6C5DAD38" w14:textId="77777777" w:rsidR="00AF4A32" w:rsidRDefault="00AF4A32" w:rsidP="00AF4A32">
      <w:pPr>
        <w:pStyle w:val="Heading5"/>
      </w:pPr>
      <w:r>
        <w:t>Power to publish notice of directions in Gazette</w:t>
      </w:r>
    </w:p>
    <w:p w14:paraId="60CB239F" w14:textId="77777777" w:rsidR="00AF4A32" w:rsidRDefault="00AF4A32" w:rsidP="000F194A">
      <w:pPr>
        <w:pStyle w:val="base-text-paragraph"/>
      </w:pPr>
      <w:r>
        <w:t>APRA may publish notice of any direction given under section</w:t>
      </w:r>
      <w:r w:rsidR="00122231">
        <w:t> </w:t>
      </w:r>
      <w:r w:rsidR="00240A51">
        <w:t>96</w:t>
      </w:r>
      <w:r w:rsidR="007038D7">
        <w:t xml:space="preserve"> </w:t>
      </w:r>
      <w:r w:rsidR="008B6FB8">
        <w:t xml:space="preserve">in the Gazette. </w:t>
      </w:r>
      <w:r>
        <w:t xml:space="preserve">If it does, the notice must include details of the insurer and the direction.  </w:t>
      </w:r>
      <w:r w:rsidRPr="00FA1946">
        <w:rPr>
          <w:rStyle w:val="Referencingstyle"/>
        </w:rPr>
        <w:t xml:space="preserve">[Part 4, Division 3, subsection </w:t>
      </w:r>
      <w:r w:rsidR="00144AFE" w:rsidRPr="00FA1946">
        <w:rPr>
          <w:rStyle w:val="Referencingstyle"/>
        </w:rPr>
        <w:t>10</w:t>
      </w:r>
      <w:r w:rsidR="00240A51">
        <w:rPr>
          <w:rStyle w:val="Referencingstyle"/>
        </w:rPr>
        <w:t>2</w:t>
      </w:r>
      <w:r w:rsidRPr="00FA1946">
        <w:rPr>
          <w:rStyle w:val="Referencingstyle"/>
        </w:rPr>
        <w:t>(1)]</w:t>
      </w:r>
    </w:p>
    <w:p w14:paraId="6C22625A" w14:textId="77777777" w:rsidR="00AF4A32" w:rsidRDefault="00AF4A32" w:rsidP="00AF4A32">
      <w:pPr>
        <w:pStyle w:val="Heading5"/>
      </w:pPr>
      <w:r>
        <w:t xml:space="preserve">Requirement to publish notice of </w:t>
      </w:r>
      <w:r w:rsidR="00BA2BBE">
        <w:t xml:space="preserve">variation or </w:t>
      </w:r>
      <w:r>
        <w:t>revocation of certain directions in Gazette</w:t>
      </w:r>
    </w:p>
    <w:p w14:paraId="7E23FD7E" w14:textId="77777777" w:rsidR="00AF4A32" w:rsidRDefault="00AF4A32" w:rsidP="000F194A">
      <w:pPr>
        <w:pStyle w:val="base-text-paragraph"/>
      </w:pPr>
      <w:r>
        <w:t xml:space="preserve">If APRA publishes notice of a direction which it later </w:t>
      </w:r>
      <w:r w:rsidR="00BA2BBE">
        <w:t xml:space="preserve">varies or </w:t>
      </w:r>
      <w:r>
        <w:t xml:space="preserve">revokes, APRA must publish in the Gazette notice of the </w:t>
      </w:r>
      <w:r w:rsidR="00BA2BBE">
        <w:t xml:space="preserve">variation or </w:t>
      </w:r>
      <w:r>
        <w:t>revo</w:t>
      </w:r>
      <w:r w:rsidR="008B6FB8">
        <w:t xml:space="preserve">cation as soon as practicable. </w:t>
      </w:r>
      <w:r w:rsidRPr="00FA1946">
        <w:rPr>
          <w:rStyle w:val="Referencingstyle"/>
        </w:rPr>
        <w:t xml:space="preserve">[Part 4, Division 3, subsection </w:t>
      </w:r>
      <w:r w:rsidR="00144AFE" w:rsidRPr="00FA1946">
        <w:rPr>
          <w:rStyle w:val="Referencingstyle"/>
        </w:rPr>
        <w:t>10</w:t>
      </w:r>
      <w:r w:rsidR="00240A51">
        <w:rPr>
          <w:rStyle w:val="Referencingstyle"/>
        </w:rPr>
        <w:t>2</w:t>
      </w:r>
      <w:r w:rsidRPr="00FA1946">
        <w:rPr>
          <w:rStyle w:val="Referencingstyle"/>
        </w:rPr>
        <w:t>(2)]</w:t>
      </w:r>
    </w:p>
    <w:p w14:paraId="45C0D311" w14:textId="77777777" w:rsidR="00AF4A32" w:rsidRDefault="00AF4A32" w:rsidP="00AF4A32">
      <w:pPr>
        <w:pStyle w:val="Heading5"/>
      </w:pPr>
      <w:r>
        <w:t>Requirement to provide information about directions to Minister</w:t>
      </w:r>
    </w:p>
    <w:p w14:paraId="116E1C9A" w14:textId="77777777" w:rsidR="00AF4A32" w:rsidRPr="00B12A85" w:rsidRDefault="00AF4A32" w:rsidP="000F194A">
      <w:pPr>
        <w:pStyle w:val="base-text-paragraph"/>
        <w:rPr>
          <w:rStyle w:val="Referencingstyle"/>
          <w:sz w:val="22"/>
        </w:rPr>
      </w:pPr>
      <w:r>
        <w:t xml:space="preserve">APRA must comply with a request from the Minister to provide information about a direction to a particular insurer or any directions made in a specific period.  </w:t>
      </w:r>
      <w:r w:rsidRPr="00B12A85">
        <w:rPr>
          <w:rStyle w:val="Referencingstyle"/>
        </w:rPr>
        <w:t xml:space="preserve">[Part 4, Division 3, subsection </w:t>
      </w:r>
      <w:r w:rsidR="00144AFE" w:rsidRPr="00B12A85">
        <w:rPr>
          <w:rStyle w:val="Referencingstyle"/>
        </w:rPr>
        <w:t>10</w:t>
      </w:r>
      <w:r w:rsidR="00240A51">
        <w:rPr>
          <w:rStyle w:val="Referencingstyle"/>
        </w:rPr>
        <w:t>2</w:t>
      </w:r>
      <w:r w:rsidRPr="00B12A85">
        <w:rPr>
          <w:rStyle w:val="Referencingstyle"/>
        </w:rPr>
        <w:t>(3)]</w:t>
      </w:r>
    </w:p>
    <w:p w14:paraId="484C093A" w14:textId="77777777" w:rsidR="00AF4A32" w:rsidRDefault="00AF4A32" w:rsidP="00AF4A32">
      <w:pPr>
        <w:pStyle w:val="Heading5"/>
      </w:pPr>
      <w:r>
        <w:t>Power to inform Minister of directions</w:t>
      </w:r>
    </w:p>
    <w:p w14:paraId="280AC246" w14:textId="77777777" w:rsidR="00AF4A32" w:rsidRDefault="00AF4A32" w:rsidP="000F194A">
      <w:pPr>
        <w:pStyle w:val="base-text-paragraph"/>
      </w:pPr>
      <w:r>
        <w:t xml:space="preserve">At any time, APRA may provide the Minister with </w:t>
      </w:r>
      <w:r w:rsidR="00BA2BBE">
        <w:t>an</w:t>
      </w:r>
      <w:r>
        <w:t>y information it considers appropriate about any directions</w:t>
      </w:r>
      <w:r w:rsidR="007349B9">
        <w:t>,</w:t>
      </w:r>
      <w:r>
        <w:t xml:space="preserve"> or </w:t>
      </w:r>
      <w:r w:rsidR="007349B9">
        <w:t xml:space="preserve">variations to or </w:t>
      </w:r>
      <w:r>
        <w:t xml:space="preserve">revocations </w:t>
      </w:r>
      <w:r w:rsidR="007349B9">
        <w:t>of</w:t>
      </w:r>
      <w:r w:rsidR="008B6FB8">
        <w:t xml:space="preserve"> directions. </w:t>
      </w:r>
      <w:r w:rsidRPr="00B12A85">
        <w:rPr>
          <w:rStyle w:val="Referencingstyle"/>
        </w:rPr>
        <w:t xml:space="preserve">[Part 4, Division 3, subsection </w:t>
      </w:r>
      <w:r w:rsidR="002013F8" w:rsidRPr="00B12A85">
        <w:rPr>
          <w:rStyle w:val="Referencingstyle"/>
        </w:rPr>
        <w:t>10</w:t>
      </w:r>
      <w:r w:rsidR="00240A51">
        <w:rPr>
          <w:rStyle w:val="Referencingstyle"/>
        </w:rPr>
        <w:t>2</w:t>
      </w:r>
      <w:r w:rsidRPr="00B12A85">
        <w:rPr>
          <w:rStyle w:val="Referencingstyle"/>
        </w:rPr>
        <w:t>(</w:t>
      </w:r>
      <w:r>
        <w:rPr>
          <w:rStyle w:val="Referencingstyle"/>
        </w:rPr>
        <w:t>4</w:t>
      </w:r>
      <w:r w:rsidRPr="00B12A85">
        <w:rPr>
          <w:rStyle w:val="Referencingstyle"/>
        </w:rPr>
        <w:t>)]</w:t>
      </w:r>
    </w:p>
    <w:p w14:paraId="3FCBC6DB" w14:textId="77777777" w:rsidR="00AF4A32" w:rsidRDefault="00AF4A32" w:rsidP="00AF4A32">
      <w:pPr>
        <w:pStyle w:val="Heading5"/>
      </w:pPr>
      <w:r>
        <w:t xml:space="preserve">Requirement to inform Minister of revocation of direction </w:t>
      </w:r>
      <w:r w:rsidR="00502A3A">
        <w:t xml:space="preserve">if </w:t>
      </w:r>
      <w:r>
        <w:t>informed of making direction</w:t>
      </w:r>
    </w:p>
    <w:p w14:paraId="079887B8" w14:textId="77777777" w:rsidR="00AF4A32" w:rsidRDefault="00AF4A32" w:rsidP="000F194A">
      <w:pPr>
        <w:pStyle w:val="base-text-paragraph"/>
      </w:pPr>
      <w:r>
        <w:t xml:space="preserve">If APRA informs the Minister about a direction which it later </w:t>
      </w:r>
      <w:r w:rsidR="007349B9">
        <w:t xml:space="preserve">varies or </w:t>
      </w:r>
      <w:r>
        <w:t>revokes, APRA must notify the Minister of this as soon as pra</w:t>
      </w:r>
      <w:r w:rsidR="008B6FB8">
        <w:t xml:space="preserve">cticable after the revocation. </w:t>
      </w:r>
      <w:r w:rsidRPr="00BD2AD6">
        <w:rPr>
          <w:rStyle w:val="Referencingstyle"/>
        </w:rPr>
        <w:t xml:space="preserve">[Part 4, Division 3, subsection </w:t>
      </w:r>
      <w:r w:rsidR="002013F8" w:rsidRPr="00BD2AD6">
        <w:rPr>
          <w:rStyle w:val="Referencingstyle"/>
        </w:rPr>
        <w:t>10</w:t>
      </w:r>
      <w:r w:rsidR="00240A51">
        <w:rPr>
          <w:rStyle w:val="Referencingstyle"/>
        </w:rPr>
        <w:t>2</w:t>
      </w:r>
      <w:r w:rsidRPr="00BD2AD6">
        <w:rPr>
          <w:rStyle w:val="Referencingstyle"/>
        </w:rPr>
        <w:t>(5)]</w:t>
      </w:r>
    </w:p>
    <w:p w14:paraId="019B4E40" w14:textId="77777777" w:rsidR="00AF4A32" w:rsidRDefault="00AF4A32" w:rsidP="00AF4A32">
      <w:pPr>
        <w:pStyle w:val="Heading5"/>
      </w:pPr>
      <w:r>
        <w:t>Failure to comply with this section does not affect the validity of directions etc.</w:t>
      </w:r>
    </w:p>
    <w:p w14:paraId="3E15ADC4" w14:textId="77777777" w:rsidR="00AF4A32" w:rsidRDefault="00AF4A32" w:rsidP="000F194A">
      <w:pPr>
        <w:pStyle w:val="base-text-paragraph"/>
      </w:pPr>
      <w:r>
        <w:t xml:space="preserve">A failure to comply with a requirement in section </w:t>
      </w:r>
      <w:r w:rsidR="00502A3A">
        <w:t xml:space="preserve">101 </w:t>
      </w:r>
      <w:r>
        <w:t>does not affect the validity of a direction,</w:t>
      </w:r>
      <w:r w:rsidR="008B6FB8">
        <w:t xml:space="preserve"> or revocation of a direction. </w:t>
      </w:r>
      <w:r w:rsidRPr="00BD2AD6">
        <w:rPr>
          <w:rStyle w:val="Referencingstyle"/>
        </w:rPr>
        <w:t xml:space="preserve">[Part 4, Division 3, subsection </w:t>
      </w:r>
      <w:r w:rsidR="002013F8" w:rsidRPr="00BD2AD6">
        <w:rPr>
          <w:rStyle w:val="Referencingstyle"/>
        </w:rPr>
        <w:t>10</w:t>
      </w:r>
      <w:r w:rsidR="00240A51">
        <w:rPr>
          <w:rStyle w:val="Referencingstyle"/>
        </w:rPr>
        <w:t>2</w:t>
      </w:r>
      <w:r w:rsidRPr="00BD2AD6">
        <w:rPr>
          <w:rStyle w:val="Referencingstyle"/>
        </w:rPr>
        <w:t>(6)]</w:t>
      </w:r>
    </w:p>
    <w:p w14:paraId="60B7FABD" w14:textId="77777777" w:rsidR="00AF4A32" w:rsidRDefault="00AF4A32" w:rsidP="006C3D7A">
      <w:pPr>
        <w:pStyle w:val="Heading4"/>
      </w:pPr>
      <w:r>
        <w:t>Secrecy requirements</w:t>
      </w:r>
    </w:p>
    <w:p w14:paraId="0D1B155B" w14:textId="77777777" w:rsidR="00AF4A32" w:rsidRPr="001662CA" w:rsidRDefault="00AF4A32" w:rsidP="000F194A">
      <w:pPr>
        <w:pStyle w:val="base-text-paragraph"/>
        <w:rPr>
          <w:rStyle w:val="Referencingstyle"/>
          <w:b w:val="0"/>
          <w:i w:val="0"/>
          <w:sz w:val="22"/>
        </w:rPr>
      </w:pPr>
      <w:r>
        <w:t>Information about directions and revocations of</w:t>
      </w:r>
      <w:r w:rsidR="00017521">
        <w:t xml:space="preserve"> d</w:t>
      </w:r>
      <w:r>
        <w:t>irections is subject to secrecy requirements in Part 6 of the</w:t>
      </w:r>
      <w:r w:rsidR="00502A3A">
        <w:t xml:space="preserve"> APRA Act</w:t>
      </w:r>
      <w:r>
        <w:t xml:space="preserve">, unless the information has been published in the Gazette under section </w:t>
      </w:r>
      <w:r w:rsidR="00240A51">
        <w:t xml:space="preserve">102 of </w:t>
      </w:r>
      <w:r w:rsidR="008B6FB8">
        <w:t xml:space="preserve">the </w:t>
      </w:r>
      <w:r w:rsidR="008B6FB8">
        <w:rPr>
          <w:lang w:val="en-US" w:eastAsia="en-US"/>
        </w:rPr>
        <w:t>Prudential Supervision Bill</w:t>
      </w:r>
      <w:r>
        <w:t xml:space="preserve">.  </w:t>
      </w:r>
      <w:r w:rsidRPr="00653552">
        <w:rPr>
          <w:rStyle w:val="Referencingstyle"/>
        </w:rPr>
        <w:t xml:space="preserve">[Part 4, Division 3, section </w:t>
      </w:r>
      <w:r w:rsidR="002013F8" w:rsidRPr="00653552">
        <w:rPr>
          <w:rStyle w:val="Referencingstyle"/>
        </w:rPr>
        <w:t>10</w:t>
      </w:r>
      <w:r w:rsidR="00240A51">
        <w:rPr>
          <w:rStyle w:val="Referencingstyle"/>
        </w:rPr>
        <w:t>3</w:t>
      </w:r>
      <w:r w:rsidRPr="00653552">
        <w:rPr>
          <w:rStyle w:val="Referencingstyle"/>
        </w:rPr>
        <w:t>]</w:t>
      </w:r>
    </w:p>
    <w:p w14:paraId="630EFEBA" w14:textId="77777777" w:rsidR="00AF4A32" w:rsidRDefault="00AF4A32" w:rsidP="006C3D7A">
      <w:pPr>
        <w:pStyle w:val="Heading4"/>
      </w:pPr>
      <w:r>
        <w:t>Non-compliance with a direction</w:t>
      </w:r>
    </w:p>
    <w:p w14:paraId="514F0806" w14:textId="77777777" w:rsidR="002013F8" w:rsidRPr="00C04AA9" w:rsidRDefault="007349B9" w:rsidP="000F194A">
      <w:pPr>
        <w:pStyle w:val="base-text-paragraph"/>
        <w:rPr>
          <w:rStyle w:val="Referencingstyle"/>
          <w:b w:val="0"/>
          <w:i w:val="0"/>
          <w:sz w:val="22"/>
        </w:rPr>
      </w:pPr>
      <w:r>
        <w:t xml:space="preserve">It is an offence for a private health insurer to fail to comply with a direction given to the insurer with a penalty of </w:t>
      </w:r>
      <w:r w:rsidR="00240A51">
        <w:t>30</w:t>
      </w:r>
      <w:r>
        <w:t xml:space="preserve"> penalty units for an individual. </w:t>
      </w:r>
      <w:r w:rsidR="00AF4A32" w:rsidRPr="00EA7ADE">
        <w:rPr>
          <w:rStyle w:val="Referencingstyle"/>
        </w:rPr>
        <w:t xml:space="preserve">[Part 4, Division 3, subsection </w:t>
      </w:r>
      <w:r w:rsidR="002013F8" w:rsidRPr="00EA7ADE">
        <w:rPr>
          <w:rStyle w:val="Referencingstyle"/>
        </w:rPr>
        <w:t>10</w:t>
      </w:r>
      <w:r w:rsidR="00240A51">
        <w:rPr>
          <w:rStyle w:val="Referencingstyle"/>
        </w:rPr>
        <w:t>4</w:t>
      </w:r>
      <w:r w:rsidR="00AF4A32" w:rsidRPr="00EA7ADE">
        <w:rPr>
          <w:rStyle w:val="Referencingstyle"/>
        </w:rPr>
        <w:t>(1)]</w:t>
      </w:r>
    </w:p>
    <w:p w14:paraId="5FF3C1F1" w14:textId="77777777" w:rsidR="00A169E1" w:rsidRDefault="00A169E1" w:rsidP="000F194A">
      <w:pPr>
        <w:pStyle w:val="base-text-paragraph"/>
      </w:pPr>
      <w:r>
        <w:t>If a private health insurer commits such an offence, it does so in respect of the first day the offence was committed and each subsequent day the insurer c</w:t>
      </w:r>
      <w:r w:rsidR="008B6FB8">
        <w:t>ontinues to commit the offence.</w:t>
      </w:r>
      <w:r>
        <w:t xml:space="preserve"> </w:t>
      </w:r>
      <w:r w:rsidR="008B6FB8">
        <w:rPr>
          <w:rStyle w:val="Referencingstyle"/>
        </w:rPr>
        <w:t>[Part 4, Division 3, subsection </w:t>
      </w:r>
      <w:r w:rsidR="00C05BE2" w:rsidRPr="00EA7ADE">
        <w:rPr>
          <w:rStyle w:val="Referencingstyle"/>
        </w:rPr>
        <w:t>10</w:t>
      </w:r>
      <w:r w:rsidR="00240A51">
        <w:rPr>
          <w:rStyle w:val="Referencingstyle"/>
        </w:rPr>
        <w:t>4</w:t>
      </w:r>
      <w:r w:rsidRPr="00EA7ADE">
        <w:rPr>
          <w:rStyle w:val="Referencingstyle"/>
        </w:rPr>
        <w:t>(2)]</w:t>
      </w:r>
    </w:p>
    <w:p w14:paraId="25642CBE" w14:textId="77777777" w:rsidR="00AF4A32" w:rsidRPr="00EA7ADE" w:rsidRDefault="00A169E1" w:rsidP="000F194A">
      <w:pPr>
        <w:pStyle w:val="base-text-paragraph"/>
      </w:pPr>
      <w:r w:rsidRPr="001A57F7">
        <w:t xml:space="preserve">If </w:t>
      </w:r>
      <w:r>
        <w:t xml:space="preserve">an officer commits such an offence, </w:t>
      </w:r>
      <w:r w:rsidR="00C32612">
        <w:t xml:space="preserve">and </w:t>
      </w:r>
      <w:r w:rsidR="00ED2EE3">
        <w:t>their</w:t>
      </w:r>
      <w:r w:rsidR="00C32612">
        <w:t xml:space="preserve"> duties include ensuring compliance with APRA directions, </w:t>
      </w:r>
      <w:r>
        <w:t xml:space="preserve">the officer does so in respect of </w:t>
      </w:r>
      <w:r w:rsidRPr="00EA7ADE">
        <w:t>the first day the offence was committed and each subsequent day the insurer co</w:t>
      </w:r>
      <w:r>
        <w:t xml:space="preserve">ntinues to commit the offence. </w:t>
      </w:r>
      <w:r w:rsidRPr="00EA7ADE">
        <w:rPr>
          <w:rStyle w:val="Referencingstyle"/>
        </w:rPr>
        <w:t xml:space="preserve">[Part 4, Division 3, subsection </w:t>
      </w:r>
      <w:r w:rsidR="00C05BE2" w:rsidRPr="00EA7ADE">
        <w:rPr>
          <w:rStyle w:val="Referencingstyle"/>
        </w:rPr>
        <w:t>10</w:t>
      </w:r>
      <w:r w:rsidR="00240A51">
        <w:rPr>
          <w:rStyle w:val="Referencingstyle"/>
        </w:rPr>
        <w:t>4</w:t>
      </w:r>
      <w:r w:rsidRPr="00EA7ADE">
        <w:rPr>
          <w:rStyle w:val="Referencingstyle"/>
        </w:rPr>
        <w:t>(</w:t>
      </w:r>
      <w:r w:rsidR="00240A51">
        <w:rPr>
          <w:rStyle w:val="Referencingstyle"/>
        </w:rPr>
        <w:t>3</w:t>
      </w:r>
      <w:r w:rsidRPr="00EA7ADE">
        <w:rPr>
          <w:rStyle w:val="Referencingstyle"/>
        </w:rPr>
        <w:t>)]</w:t>
      </w:r>
    </w:p>
    <w:p w14:paraId="4666B0D3" w14:textId="77777777" w:rsidR="004D5650" w:rsidRDefault="004D5650" w:rsidP="004D5650">
      <w:pPr>
        <w:sectPr w:rsidR="004D5650" w:rsidSect="00D86E5E">
          <w:headerReference w:type="even" r:id="rId53"/>
          <w:headerReference w:type="default" r:id="rId54"/>
          <w:footerReference w:type="even" r:id="rId55"/>
          <w:footerReference w:type="default" r:id="rId56"/>
          <w:footerReference w:type="first" r:id="rId57"/>
          <w:type w:val="oddPage"/>
          <w:pgSz w:w="11906" w:h="16838" w:code="9"/>
          <w:pgMar w:top="2466" w:right="2098" w:bottom="2466" w:left="2098" w:header="1559" w:footer="1899" w:gutter="0"/>
          <w:cols w:space="708"/>
          <w:titlePg/>
          <w:docGrid w:linePitch="360"/>
        </w:sectPr>
      </w:pPr>
    </w:p>
    <w:p w14:paraId="6C9A5741" w14:textId="77777777" w:rsidR="00D86E5E" w:rsidRPr="00F51A71" w:rsidRDefault="00D86E5E" w:rsidP="00A03E30">
      <w:pPr>
        <w:pStyle w:val="ChapterHeading"/>
        <w:tabs>
          <w:tab w:val="num" w:pos="360"/>
        </w:tabs>
      </w:pPr>
      <w:bookmarkStart w:id="118" w:name="_Toc406579116"/>
      <w:bookmarkStart w:id="119" w:name="_Toc406579568"/>
      <w:bookmarkStart w:id="120" w:name="_Toc406580561"/>
      <w:bookmarkStart w:id="121" w:name="_Toc406581437"/>
      <w:bookmarkStart w:id="122" w:name="_Toc406602288"/>
      <w:bookmarkStart w:id="123" w:name="_Toc406748640"/>
      <w:bookmarkStart w:id="124" w:name="_Toc406748866"/>
      <w:bookmarkStart w:id="125" w:name="_Toc406748913"/>
      <w:bookmarkStart w:id="126" w:name="_Toc406749492"/>
      <w:bookmarkStart w:id="127" w:name="_Toc406750699"/>
      <w:bookmarkStart w:id="128" w:name="_Toc406751296"/>
      <w:bookmarkStart w:id="129" w:name="_Toc406751808"/>
      <w:bookmarkStart w:id="130" w:name="_Toc406752010"/>
      <w:bookmarkStart w:id="131" w:name="_Toc406752085"/>
      <w:bookmarkStart w:id="132" w:name="_Toc40675237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51A71">
        <w:br/>
      </w:r>
      <w:bookmarkStart w:id="133" w:name="_Toc406581438"/>
      <w:bookmarkStart w:id="134" w:name="_Toc406752086"/>
      <w:bookmarkStart w:id="135" w:name="_Toc406757010"/>
      <w:bookmarkStart w:id="136" w:name="_Toc406760723"/>
      <w:bookmarkStart w:id="137" w:name="_Toc407026921"/>
      <w:bookmarkStart w:id="138" w:name="_Toc416957158"/>
      <w:bookmarkStart w:id="139" w:name="_Toc418177765"/>
      <w:bookmarkStart w:id="140" w:name="_Toc418249762"/>
      <w:r w:rsidR="00363543">
        <w:t>Other obligations of private health insurers</w:t>
      </w:r>
      <w:bookmarkEnd w:id="133"/>
      <w:bookmarkEnd w:id="134"/>
      <w:bookmarkEnd w:id="135"/>
      <w:bookmarkEnd w:id="136"/>
      <w:bookmarkEnd w:id="137"/>
      <w:bookmarkEnd w:id="138"/>
      <w:bookmarkEnd w:id="139"/>
      <w:bookmarkEnd w:id="140"/>
    </w:p>
    <w:p w14:paraId="78125930" w14:textId="77777777" w:rsidR="00D86E5E" w:rsidRDefault="00D86E5E" w:rsidP="00D86E5E">
      <w:pPr>
        <w:pStyle w:val="Heading2"/>
      </w:pPr>
      <w:r>
        <w:t>Outline of chapter</w:t>
      </w:r>
    </w:p>
    <w:p w14:paraId="72F47AF3" w14:textId="77777777" w:rsidR="001D29A0" w:rsidRDefault="001D29A0" w:rsidP="000F194A">
      <w:pPr>
        <w:pStyle w:val="base-text-paragraph"/>
      </w:pPr>
      <w:r>
        <w:t xml:space="preserve">Part 5 </w:t>
      </w:r>
      <w:r w:rsidR="0010633D">
        <w:t>to</w:t>
      </w:r>
      <w:r>
        <w:t xml:space="preserve"> the</w:t>
      </w:r>
      <w:r w:rsidR="00781925">
        <w:t xml:space="preserve"> </w:t>
      </w:r>
      <w:r w:rsidR="0010633D">
        <w:rPr>
          <w:lang w:val="en-US" w:eastAsia="en-US"/>
        </w:rPr>
        <w:t>Prudential Supervision Bill</w:t>
      </w:r>
      <w:r w:rsidR="0010633D">
        <w:t xml:space="preserve"> </w:t>
      </w:r>
      <w:r w:rsidR="00687B52">
        <w:t>governs the additional</w:t>
      </w:r>
      <w:r w:rsidR="004E42D6">
        <w:t xml:space="preserve"> obligations of</w:t>
      </w:r>
      <w:r>
        <w:t xml:space="preserve"> private health insurers</w:t>
      </w:r>
      <w:r w:rsidR="004E42D6">
        <w:t xml:space="preserve">, including requirements </w:t>
      </w:r>
      <w:r w:rsidR="00687B52">
        <w:t>relating to</w:t>
      </w:r>
      <w:r w:rsidR="004E42D6">
        <w:t xml:space="preserve"> actuaries and disqualifications</w:t>
      </w:r>
      <w:r>
        <w:t xml:space="preserve">. </w:t>
      </w:r>
      <w:r w:rsidR="00F52FBF">
        <w:t>Part 5</w:t>
      </w:r>
      <w:r>
        <w:t xml:space="preserve"> provides for:</w:t>
      </w:r>
    </w:p>
    <w:p w14:paraId="281DA780" w14:textId="77777777" w:rsidR="0035519E" w:rsidRDefault="001D29A0" w:rsidP="001D29A0">
      <w:pPr>
        <w:pStyle w:val="dotpoint"/>
      </w:pPr>
      <w:r>
        <w:t>the</w:t>
      </w:r>
      <w:r w:rsidR="005B4A2A">
        <w:t xml:space="preserve"> requirement to appoint an actuary</w:t>
      </w:r>
      <w:r>
        <w:t xml:space="preserve"> and </w:t>
      </w:r>
      <w:r w:rsidR="0035519E">
        <w:t xml:space="preserve">process for appointing and terminating </w:t>
      </w:r>
      <w:r>
        <w:t xml:space="preserve">the appointment of </w:t>
      </w:r>
      <w:r w:rsidR="0035519E">
        <w:t>an actuary;</w:t>
      </w:r>
    </w:p>
    <w:p w14:paraId="14AFB0A5" w14:textId="77777777" w:rsidR="001D29A0" w:rsidRDefault="001D29A0" w:rsidP="001D29A0">
      <w:pPr>
        <w:pStyle w:val="dotpoint"/>
      </w:pPr>
      <w:r>
        <w:t xml:space="preserve">the powers and obligations </w:t>
      </w:r>
      <w:r w:rsidR="005B4A2A">
        <w:t>of</w:t>
      </w:r>
      <w:r>
        <w:t xml:space="preserve"> actuaries;</w:t>
      </w:r>
    </w:p>
    <w:p w14:paraId="331866EF" w14:textId="77777777" w:rsidR="0035519E" w:rsidRDefault="005B4A2A" w:rsidP="001D29A0">
      <w:pPr>
        <w:pStyle w:val="dotpoint"/>
      </w:pPr>
      <w:r>
        <w:t>the prohibition on employing disqualified persons</w:t>
      </w:r>
      <w:r w:rsidR="0035519E">
        <w:t xml:space="preserve"> as officers and actuaries</w:t>
      </w:r>
      <w:r w:rsidR="005D7A70">
        <w:t>;</w:t>
      </w:r>
      <w:r>
        <w:t xml:space="preserve"> </w:t>
      </w:r>
    </w:p>
    <w:p w14:paraId="4A31B31E" w14:textId="77777777" w:rsidR="005B4A2A" w:rsidRDefault="005B4A2A" w:rsidP="001D29A0">
      <w:pPr>
        <w:pStyle w:val="dotpoint"/>
      </w:pPr>
      <w:r>
        <w:t xml:space="preserve">the </w:t>
      </w:r>
      <w:r w:rsidR="0035519E">
        <w:t xml:space="preserve">automatic </w:t>
      </w:r>
      <w:r>
        <w:t>disqualification of certain persons</w:t>
      </w:r>
      <w:r w:rsidR="009A5396">
        <w:t xml:space="preserve"> from being an officer or actuary</w:t>
      </w:r>
      <w:r>
        <w:t>;</w:t>
      </w:r>
    </w:p>
    <w:p w14:paraId="6FB16CFF" w14:textId="77777777" w:rsidR="005B4A2A" w:rsidRDefault="0035519E" w:rsidP="001D29A0">
      <w:pPr>
        <w:pStyle w:val="dotpoint"/>
      </w:pPr>
      <w:r>
        <w:t>the Federal Court</w:t>
      </w:r>
      <w:r w:rsidR="004E42D6">
        <w:t>’s power to disqualify and revoke or vary a disqualification;</w:t>
      </w:r>
    </w:p>
    <w:p w14:paraId="04AF7072" w14:textId="77777777" w:rsidR="004E42D6" w:rsidRDefault="004E42D6" w:rsidP="001D29A0">
      <w:pPr>
        <w:pStyle w:val="dotpoint"/>
      </w:pPr>
      <w:r>
        <w:t>how a disqualification proceeding interacts with the privilege again</w:t>
      </w:r>
      <w:r w:rsidR="00F52FBF">
        <w:t>st self-incrimination</w:t>
      </w:r>
      <w:r w:rsidR="00792C60">
        <w:t>;</w:t>
      </w:r>
    </w:p>
    <w:p w14:paraId="597977FD" w14:textId="77777777" w:rsidR="001D29A0" w:rsidRDefault="007C601B" w:rsidP="001D29A0">
      <w:pPr>
        <w:pStyle w:val="dotpoint"/>
      </w:pPr>
      <w:r>
        <w:t xml:space="preserve">restrictions </w:t>
      </w:r>
      <w:r w:rsidR="005D7A70">
        <w:t>on</w:t>
      </w:r>
      <w:r>
        <w:t xml:space="preserve"> </w:t>
      </w:r>
      <w:r w:rsidR="00E411CE">
        <w:t xml:space="preserve">insurers paying </w:t>
      </w:r>
      <w:r>
        <w:t xml:space="preserve">penalties </w:t>
      </w:r>
      <w:r w:rsidR="00E411CE">
        <w:t>on behalf of</w:t>
      </w:r>
      <w:r>
        <w:t xml:space="preserve"> officers</w:t>
      </w:r>
      <w:r w:rsidR="00C93544">
        <w:t>; and</w:t>
      </w:r>
    </w:p>
    <w:p w14:paraId="23FD160E" w14:textId="77777777" w:rsidR="00C93544" w:rsidRDefault="00C93544" w:rsidP="001D29A0">
      <w:pPr>
        <w:pStyle w:val="dotpoint"/>
      </w:pPr>
      <w:r>
        <w:t>giving reports and details about officers APRA.</w:t>
      </w:r>
    </w:p>
    <w:p w14:paraId="3F43D534" w14:textId="77777777" w:rsidR="00C341C2" w:rsidRDefault="00C341C2" w:rsidP="00C341C2">
      <w:pPr>
        <w:pStyle w:val="base-text-paragraph"/>
      </w:pPr>
      <w:r>
        <w:t xml:space="preserve">Unless otherwise stated, all references in this Chapter relate to the </w:t>
      </w:r>
      <w:r>
        <w:rPr>
          <w:rStyle w:val="Referencingstyle"/>
          <w:b w:val="0"/>
          <w:i w:val="0"/>
          <w:sz w:val="22"/>
        </w:rPr>
        <w:t>Prudential Supervision Bill.</w:t>
      </w:r>
    </w:p>
    <w:p w14:paraId="2856F59F" w14:textId="77777777" w:rsidR="00D86E5E" w:rsidRDefault="00D86E5E" w:rsidP="00D86E5E">
      <w:pPr>
        <w:pStyle w:val="Heading2"/>
      </w:pPr>
      <w:r>
        <w:t>Summary of new law</w:t>
      </w:r>
    </w:p>
    <w:p w14:paraId="2B19A469" w14:textId="77777777" w:rsidR="0011273C" w:rsidRDefault="00A169E1" w:rsidP="000F194A">
      <w:pPr>
        <w:pStyle w:val="base-text-paragraph"/>
      </w:pPr>
      <w:r>
        <w:t xml:space="preserve">Part 5 </w:t>
      </w:r>
      <w:r w:rsidR="00A63A0F">
        <w:t>largely</w:t>
      </w:r>
      <w:r w:rsidR="00792C60">
        <w:t xml:space="preserve"> replicates </w:t>
      </w:r>
      <w:r w:rsidR="0028511C">
        <w:t>existing</w:t>
      </w:r>
      <w:r w:rsidR="00792C60">
        <w:t xml:space="preserve"> </w:t>
      </w:r>
      <w:r w:rsidR="000F2E6B">
        <w:t>P</w:t>
      </w:r>
      <w:r w:rsidR="001B3F40">
        <w:t>art</w:t>
      </w:r>
      <w:r w:rsidR="00524C2C">
        <w:t xml:space="preserve"> 4-</w:t>
      </w:r>
      <w:r w:rsidR="0028511C">
        <w:t>5</w:t>
      </w:r>
      <w:r w:rsidR="001B3F40">
        <w:t xml:space="preserve"> of the </w:t>
      </w:r>
      <w:r w:rsidR="00792C60" w:rsidRPr="0010633D">
        <w:t>PHI Act</w:t>
      </w:r>
      <w:r w:rsidR="00792C60">
        <w:t xml:space="preserve">, but amends the </w:t>
      </w:r>
      <w:r w:rsidR="00C66E91">
        <w:t xml:space="preserve">provisions </w:t>
      </w:r>
      <w:r w:rsidR="00792C60">
        <w:t xml:space="preserve">to align the </w:t>
      </w:r>
      <w:r w:rsidR="001B3F40">
        <w:t xml:space="preserve">language around </w:t>
      </w:r>
      <w:r w:rsidR="00792C60">
        <w:t xml:space="preserve">powers and obligations of actuaries </w:t>
      </w:r>
      <w:r w:rsidR="009A5396">
        <w:t>with</w:t>
      </w:r>
      <w:r w:rsidR="00792C60">
        <w:t xml:space="preserve"> the Life Insurance Act. </w:t>
      </w:r>
      <w:r w:rsidR="00A63A0F">
        <w:t xml:space="preserve">This </w:t>
      </w:r>
      <w:r w:rsidR="005D7A70">
        <w:t>Part</w:t>
      </w:r>
      <w:r w:rsidR="00A63A0F">
        <w:t xml:space="preserve"> requires insurers to appoi</w:t>
      </w:r>
      <w:r w:rsidR="009A5396">
        <w:t>nt certain persons as actuaries and</w:t>
      </w:r>
      <w:r w:rsidR="00A63A0F">
        <w:t xml:space="preserve"> governs the powers and </w:t>
      </w:r>
      <w:r w:rsidR="00477210">
        <w:t>obligations</w:t>
      </w:r>
      <w:r w:rsidR="00A63A0F">
        <w:t xml:space="preserve"> of actuaries</w:t>
      </w:r>
      <w:r w:rsidR="00477210">
        <w:t xml:space="preserve">. </w:t>
      </w:r>
      <w:r w:rsidR="00EA1BE0">
        <w:t>These include provisions a</w:t>
      </w:r>
      <w:r w:rsidR="002E3F8D">
        <w:t>round appointing and removing</w:t>
      </w:r>
      <w:r w:rsidR="00EA1BE0">
        <w:t xml:space="preserve"> actuaries, the actuary’s rol</w:t>
      </w:r>
      <w:r w:rsidR="009A5396">
        <w:t xml:space="preserve">e, their reporting obligations, </w:t>
      </w:r>
      <w:r w:rsidR="002E3F8D">
        <w:t>and their qualified privilege.</w:t>
      </w:r>
      <w:r w:rsidR="00477210">
        <w:t xml:space="preserve"> Separately, the </w:t>
      </w:r>
      <w:r w:rsidR="005D7A70">
        <w:t>P</w:t>
      </w:r>
      <w:r w:rsidR="00477210">
        <w:t xml:space="preserve">art prohibits the appointment of </w:t>
      </w:r>
      <w:r w:rsidR="004061AA">
        <w:t xml:space="preserve">disqualified </w:t>
      </w:r>
      <w:r w:rsidR="00477210">
        <w:t>persons and governs which persons are disqualified</w:t>
      </w:r>
      <w:r w:rsidR="006E46C6">
        <w:t xml:space="preserve">, and the </w:t>
      </w:r>
      <w:r w:rsidR="00315CED">
        <w:t>removal of the privilege against self</w:t>
      </w:r>
      <w:r w:rsidR="005D7A70">
        <w:noBreakHyphen/>
      </w:r>
      <w:r w:rsidR="00315CED">
        <w:t>incrimination during disqualification proceedings</w:t>
      </w:r>
      <w:r w:rsidR="00477210">
        <w:t xml:space="preserve">. </w:t>
      </w:r>
    </w:p>
    <w:p w14:paraId="11C52D35" w14:textId="77777777" w:rsidR="00792C60" w:rsidRDefault="009C23B6" w:rsidP="000F194A">
      <w:pPr>
        <w:pStyle w:val="base-text-paragraph"/>
      </w:pPr>
      <w:r>
        <w:t xml:space="preserve">The </w:t>
      </w:r>
      <w:r w:rsidR="005D7A70">
        <w:t>P</w:t>
      </w:r>
      <w:r>
        <w:t xml:space="preserve">art also replicates </w:t>
      </w:r>
      <w:r w:rsidR="001B3F40">
        <w:t xml:space="preserve">provisions around restricting </w:t>
      </w:r>
      <w:r w:rsidR="000C580E">
        <w:t>payment of penalties on behalf of officers of the insurer,</w:t>
      </w:r>
      <w:r w:rsidR="00315CED">
        <w:t xml:space="preserve"> to ensure that officers are duly penalised if they commit an offence. </w:t>
      </w:r>
      <w:r w:rsidR="000C580E">
        <w:t xml:space="preserve"> </w:t>
      </w:r>
      <w:r w:rsidR="006D3998">
        <w:t xml:space="preserve">The </w:t>
      </w:r>
      <w:r w:rsidR="005D7A70">
        <w:t>P</w:t>
      </w:r>
      <w:r w:rsidR="00A76962">
        <w:t>art also includes</w:t>
      </w:r>
      <w:r w:rsidR="006D3998">
        <w:t xml:space="preserve"> </w:t>
      </w:r>
      <w:r w:rsidR="000C580E">
        <w:t>the insurer’s requirement to give copies of re</w:t>
      </w:r>
      <w:r w:rsidR="00EA1BE0">
        <w:t>ports to APRA, and to notify APRA of the name and contact details of the insurer’s officers.</w:t>
      </w:r>
    </w:p>
    <w:p w14:paraId="546414A8" w14:textId="77777777" w:rsidR="00D86E5E" w:rsidRDefault="00D86E5E" w:rsidP="00D86E5E">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86E5E" w:rsidRPr="00C05BE2" w14:paraId="70B4264C" w14:textId="77777777" w:rsidTr="00EF64FD">
        <w:trPr>
          <w:tblHeader/>
        </w:trPr>
        <w:tc>
          <w:tcPr>
            <w:tcW w:w="3275" w:type="dxa"/>
          </w:tcPr>
          <w:p w14:paraId="1E795909" w14:textId="77777777" w:rsidR="00D86E5E" w:rsidRPr="009A5396" w:rsidRDefault="00D86E5E" w:rsidP="00D86E5E">
            <w:pPr>
              <w:pStyle w:val="tableheaderwithintable"/>
              <w:rPr>
                <w:lang w:val="en-US" w:eastAsia="en-US"/>
              </w:rPr>
            </w:pPr>
            <w:r w:rsidRPr="009A5396">
              <w:rPr>
                <w:lang w:val="en-US" w:eastAsia="en-US"/>
              </w:rPr>
              <w:t>New law</w:t>
            </w:r>
          </w:p>
        </w:tc>
        <w:tc>
          <w:tcPr>
            <w:tcW w:w="3276" w:type="dxa"/>
          </w:tcPr>
          <w:p w14:paraId="3059663E" w14:textId="77777777" w:rsidR="00D86E5E" w:rsidRPr="009A5396" w:rsidRDefault="00D86E5E" w:rsidP="00D86E5E">
            <w:pPr>
              <w:pStyle w:val="tableheaderwithintable"/>
              <w:rPr>
                <w:lang w:val="en-US" w:eastAsia="en-US"/>
              </w:rPr>
            </w:pPr>
            <w:r w:rsidRPr="009A5396">
              <w:rPr>
                <w:lang w:val="en-US" w:eastAsia="en-US"/>
              </w:rPr>
              <w:t>Current law</w:t>
            </w:r>
          </w:p>
        </w:tc>
      </w:tr>
      <w:tr w:rsidR="00D6714F" w:rsidRPr="00C05BE2" w14:paraId="66992892" w14:textId="77777777" w:rsidTr="0067677D">
        <w:tc>
          <w:tcPr>
            <w:tcW w:w="6551" w:type="dxa"/>
            <w:gridSpan w:val="2"/>
          </w:tcPr>
          <w:p w14:paraId="4A2E2047" w14:textId="77777777" w:rsidR="00D6714F" w:rsidRPr="009A5396" w:rsidRDefault="00D6714F" w:rsidP="0036064A">
            <w:pPr>
              <w:pStyle w:val="tabletext"/>
              <w:jc w:val="center"/>
              <w:rPr>
                <w:lang w:val="en-US" w:eastAsia="en-US"/>
              </w:rPr>
            </w:pPr>
            <w:r w:rsidRPr="009A5396">
              <w:rPr>
                <w:b/>
                <w:u w:val="single"/>
                <w:lang w:val="en-US" w:eastAsia="en-US"/>
              </w:rPr>
              <w:t xml:space="preserve">Appointment of </w:t>
            </w:r>
            <w:r w:rsidR="005D7A70">
              <w:rPr>
                <w:b/>
                <w:u w:val="single"/>
                <w:lang w:val="en-US" w:eastAsia="en-US"/>
              </w:rPr>
              <w:t xml:space="preserve">an </w:t>
            </w:r>
            <w:r w:rsidR="005D7A70" w:rsidRPr="009A5396">
              <w:rPr>
                <w:b/>
                <w:u w:val="single"/>
                <w:lang w:val="en-US" w:eastAsia="en-US"/>
              </w:rPr>
              <w:t>actuar</w:t>
            </w:r>
            <w:r w:rsidR="005D7A70">
              <w:rPr>
                <w:b/>
                <w:u w:val="single"/>
                <w:lang w:val="en-US" w:eastAsia="en-US"/>
              </w:rPr>
              <w:t>y</w:t>
            </w:r>
          </w:p>
        </w:tc>
      </w:tr>
      <w:tr w:rsidR="00D86E5E" w:rsidRPr="00C05BE2" w14:paraId="5B4D8452" w14:textId="77777777" w:rsidTr="00D86E5E">
        <w:tc>
          <w:tcPr>
            <w:tcW w:w="3275" w:type="dxa"/>
          </w:tcPr>
          <w:p w14:paraId="1CB64EA5" w14:textId="77777777" w:rsidR="0011273C" w:rsidRPr="009A5396" w:rsidRDefault="0013491E">
            <w:pPr>
              <w:pStyle w:val="tabletext"/>
              <w:rPr>
                <w:lang w:val="en-US" w:eastAsia="en-US"/>
              </w:rPr>
            </w:pPr>
            <w:r w:rsidRPr="009A5396">
              <w:rPr>
                <w:lang w:val="en-US" w:eastAsia="en-US"/>
              </w:rPr>
              <w:t xml:space="preserve">Insurers must appoint an actuary </w:t>
            </w:r>
            <w:r w:rsidR="00430E33">
              <w:rPr>
                <w:lang w:val="en-US" w:eastAsia="en-US"/>
              </w:rPr>
              <w:t>within six</w:t>
            </w:r>
            <w:r w:rsidR="00E42CC5" w:rsidRPr="009A5396">
              <w:rPr>
                <w:lang w:val="en-US" w:eastAsia="en-US"/>
              </w:rPr>
              <w:t xml:space="preserve"> weeks of an actuary ceasing. The actuary must meet the eligibility criteria set in prudential standards</w:t>
            </w:r>
            <w:r w:rsidR="009A5396">
              <w:rPr>
                <w:lang w:val="en-US" w:eastAsia="en-US"/>
              </w:rPr>
              <w:t>, and not be disqualified.</w:t>
            </w:r>
          </w:p>
          <w:p w14:paraId="18F3CF1C" w14:textId="77777777" w:rsidR="00D86E5E" w:rsidRPr="009A5396" w:rsidRDefault="00D86E5E">
            <w:pPr>
              <w:pStyle w:val="tabletext"/>
              <w:rPr>
                <w:lang w:val="en-US" w:eastAsia="en-US"/>
              </w:rPr>
            </w:pPr>
          </w:p>
        </w:tc>
        <w:tc>
          <w:tcPr>
            <w:tcW w:w="3276" w:type="dxa"/>
          </w:tcPr>
          <w:p w14:paraId="5C5D1D5E" w14:textId="77777777" w:rsidR="00DA220E" w:rsidRPr="009A5396" w:rsidRDefault="00DA220E" w:rsidP="00D86E5E">
            <w:pPr>
              <w:pStyle w:val="tabletext"/>
              <w:rPr>
                <w:lang w:val="en-US" w:eastAsia="en-US"/>
              </w:rPr>
            </w:pPr>
            <w:r w:rsidRPr="009A5396">
              <w:rPr>
                <w:lang w:val="en-US" w:eastAsia="en-US"/>
              </w:rPr>
              <w:t xml:space="preserve">Insurers must appoint an </w:t>
            </w:r>
            <w:r w:rsidR="008E2879" w:rsidRPr="009A5396">
              <w:rPr>
                <w:lang w:val="en-US" w:eastAsia="en-US"/>
              </w:rPr>
              <w:t xml:space="preserve">eligible </w:t>
            </w:r>
            <w:r w:rsidRPr="009A5396">
              <w:rPr>
                <w:lang w:val="en-US" w:eastAsia="en-US"/>
              </w:rPr>
              <w:t xml:space="preserve">actuary within </w:t>
            </w:r>
            <w:r w:rsidR="00430E33">
              <w:rPr>
                <w:lang w:val="en-US" w:eastAsia="en-US"/>
              </w:rPr>
              <w:t>six</w:t>
            </w:r>
            <w:r w:rsidRPr="009A5396">
              <w:rPr>
                <w:lang w:val="en-US" w:eastAsia="en-US"/>
              </w:rPr>
              <w:t xml:space="preserve"> weeks of an actuary ceasing.</w:t>
            </w:r>
            <w:r w:rsidR="00953BA5" w:rsidRPr="009A5396">
              <w:rPr>
                <w:lang w:val="en-US" w:eastAsia="en-US"/>
              </w:rPr>
              <w:t xml:space="preserve"> </w:t>
            </w:r>
          </w:p>
          <w:p w14:paraId="7B3C81D3" w14:textId="77777777" w:rsidR="00D86E5E" w:rsidRPr="009A5396" w:rsidRDefault="00F001B1" w:rsidP="00D86E5E">
            <w:pPr>
              <w:pStyle w:val="tabletext"/>
              <w:rPr>
                <w:lang w:val="en-US" w:eastAsia="en-US"/>
              </w:rPr>
            </w:pPr>
            <w:r w:rsidRPr="009A5396">
              <w:rPr>
                <w:lang w:val="en-US" w:eastAsia="en-US"/>
              </w:rPr>
              <w:t xml:space="preserve">Eligibility </w:t>
            </w:r>
            <w:r w:rsidR="00524C2C">
              <w:rPr>
                <w:lang w:val="en-US" w:eastAsia="en-US"/>
              </w:rPr>
              <w:t>criteria are</w:t>
            </w:r>
            <w:r w:rsidR="008E2879" w:rsidRPr="009A5396">
              <w:rPr>
                <w:lang w:val="en-US" w:eastAsia="en-US"/>
              </w:rPr>
              <w:t xml:space="preserve"> set out in the Private Health Insurance (Insurer Obligations) Rules</w:t>
            </w:r>
            <w:r w:rsidRPr="009A5396">
              <w:rPr>
                <w:lang w:val="en-US" w:eastAsia="en-US"/>
              </w:rPr>
              <w:t>.</w:t>
            </w:r>
          </w:p>
        </w:tc>
      </w:tr>
      <w:tr w:rsidR="007D1533" w:rsidRPr="00C05BE2" w14:paraId="16953879" w14:textId="77777777" w:rsidTr="007D1533">
        <w:tc>
          <w:tcPr>
            <w:tcW w:w="6551" w:type="dxa"/>
            <w:gridSpan w:val="2"/>
          </w:tcPr>
          <w:p w14:paraId="47DA239E" w14:textId="77777777" w:rsidR="007D1533" w:rsidRDefault="007D1533" w:rsidP="007D1533">
            <w:pPr>
              <w:pStyle w:val="tabletext"/>
              <w:jc w:val="center"/>
              <w:rPr>
                <w:lang w:val="en-US" w:eastAsia="en-US"/>
              </w:rPr>
            </w:pPr>
            <w:r w:rsidRPr="00CA5EE3">
              <w:rPr>
                <w:b/>
                <w:u w:val="single"/>
                <w:lang w:val="en-US" w:eastAsia="en-US"/>
              </w:rPr>
              <w:t>Terminating an actuary</w:t>
            </w:r>
          </w:p>
        </w:tc>
      </w:tr>
      <w:tr w:rsidR="00F10520" w:rsidRPr="00C05BE2" w14:paraId="0A09FB2F" w14:textId="77777777" w:rsidTr="00D86E5E">
        <w:tc>
          <w:tcPr>
            <w:tcW w:w="3275" w:type="dxa"/>
          </w:tcPr>
          <w:p w14:paraId="75A425CA" w14:textId="77777777" w:rsidR="00F10520" w:rsidRPr="00F10520" w:rsidRDefault="009D6CF6" w:rsidP="00F10520">
            <w:pPr>
              <w:pStyle w:val="tabletext"/>
              <w:rPr>
                <w:highlight w:val="yellow"/>
                <w:lang w:val="en-US" w:eastAsia="en-US"/>
              </w:rPr>
            </w:pPr>
            <w:r>
              <w:rPr>
                <w:lang w:val="en-US" w:eastAsia="en-US"/>
              </w:rPr>
              <w:t>An insurer</w:t>
            </w:r>
            <w:r w:rsidR="00462A6B" w:rsidRPr="00797237">
              <w:rPr>
                <w:lang w:val="en-US" w:eastAsia="en-US"/>
              </w:rPr>
              <w:t xml:space="preserve"> must terminate an actuary if the actuary does not meet eligibility criteria, or the insurer </w:t>
            </w:r>
            <w:r w:rsidR="00797237">
              <w:rPr>
                <w:lang w:val="en-US" w:eastAsia="en-US"/>
              </w:rPr>
              <w:t>reasonably believes</w:t>
            </w:r>
            <w:r w:rsidR="00462A6B" w:rsidRPr="00797237">
              <w:rPr>
                <w:lang w:val="en-US" w:eastAsia="en-US"/>
              </w:rPr>
              <w:t xml:space="preserve"> the actuary </w:t>
            </w:r>
            <w:r w:rsidR="00797237">
              <w:rPr>
                <w:lang w:val="en-US" w:eastAsia="en-US"/>
              </w:rPr>
              <w:t xml:space="preserve">has failed to perform their </w:t>
            </w:r>
            <w:r>
              <w:rPr>
                <w:lang w:val="en-US" w:eastAsia="en-US"/>
              </w:rPr>
              <w:t xml:space="preserve">statutory </w:t>
            </w:r>
            <w:r w:rsidR="00797237">
              <w:rPr>
                <w:lang w:val="en-US" w:eastAsia="en-US"/>
              </w:rPr>
              <w:t xml:space="preserve">duties and functions, </w:t>
            </w:r>
            <w:r w:rsidR="00462A6B">
              <w:rPr>
                <w:lang w:val="en-US" w:eastAsia="en-US"/>
              </w:rPr>
              <w:t xml:space="preserve">or the actuary </w:t>
            </w:r>
            <w:r w:rsidR="00797237">
              <w:rPr>
                <w:lang w:val="en-US" w:eastAsia="en-US"/>
              </w:rPr>
              <w:t xml:space="preserve">is disqualified. </w:t>
            </w:r>
          </w:p>
        </w:tc>
        <w:tc>
          <w:tcPr>
            <w:tcW w:w="3276" w:type="dxa"/>
          </w:tcPr>
          <w:p w14:paraId="354A9A30" w14:textId="77777777" w:rsidR="00F10520" w:rsidRDefault="00797237" w:rsidP="004061AA">
            <w:pPr>
              <w:pStyle w:val="tabletext"/>
              <w:rPr>
                <w:lang w:val="en-US" w:eastAsia="en-US"/>
              </w:rPr>
            </w:pPr>
            <w:r>
              <w:rPr>
                <w:lang w:val="en-US" w:eastAsia="en-US"/>
              </w:rPr>
              <w:t xml:space="preserve">The </w:t>
            </w:r>
            <w:r w:rsidR="004061AA">
              <w:rPr>
                <w:lang w:val="en-US" w:eastAsia="en-US"/>
              </w:rPr>
              <w:t xml:space="preserve">cessation </w:t>
            </w:r>
            <w:r>
              <w:rPr>
                <w:lang w:val="en-US" w:eastAsia="en-US"/>
              </w:rPr>
              <w:t xml:space="preserve">of an actuary is dealt with by the </w:t>
            </w:r>
            <w:r w:rsidR="00603471">
              <w:rPr>
                <w:lang w:val="en-US" w:eastAsia="en-US"/>
              </w:rPr>
              <w:t>eligibility</w:t>
            </w:r>
            <w:r w:rsidR="00CA5EE3" w:rsidRPr="00CA5EE3">
              <w:rPr>
                <w:lang w:val="en-US" w:eastAsia="en-US"/>
              </w:rPr>
              <w:t xml:space="preserve"> criteria </w:t>
            </w:r>
            <w:r w:rsidR="00603471">
              <w:rPr>
                <w:lang w:val="en-US" w:eastAsia="en-US"/>
              </w:rPr>
              <w:t>a</w:t>
            </w:r>
            <w:r w:rsidR="00CA5EE3" w:rsidRPr="00CA5EE3">
              <w:rPr>
                <w:lang w:val="en-US" w:eastAsia="en-US"/>
              </w:rPr>
              <w:t>s set out in the Private Health Insurance (Insurer Obligations) Rules</w:t>
            </w:r>
            <w:r w:rsidR="00CA5EE3">
              <w:rPr>
                <w:lang w:val="en-US" w:eastAsia="en-US"/>
              </w:rPr>
              <w:t xml:space="preserve">. </w:t>
            </w:r>
          </w:p>
        </w:tc>
      </w:tr>
      <w:tr w:rsidR="007D1533" w:rsidRPr="00C05BE2" w14:paraId="62EF3FAE" w14:textId="77777777" w:rsidTr="007D1533">
        <w:tc>
          <w:tcPr>
            <w:tcW w:w="6551" w:type="dxa"/>
            <w:gridSpan w:val="2"/>
          </w:tcPr>
          <w:p w14:paraId="3BF5E216" w14:textId="77777777" w:rsidR="007D1533" w:rsidRDefault="007D1533" w:rsidP="007D1533">
            <w:pPr>
              <w:pStyle w:val="tabletext"/>
              <w:jc w:val="center"/>
              <w:rPr>
                <w:lang w:val="en-US" w:eastAsia="en-US"/>
              </w:rPr>
            </w:pPr>
            <w:r w:rsidRPr="00D6714F">
              <w:rPr>
                <w:b/>
                <w:u w:val="single"/>
                <w:lang w:val="en-US" w:eastAsia="en-US"/>
              </w:rPr>
              <w:t>Notif</w:t>
            </w:r>
            <w:r>
              <w:rPr>
                <w:b/>
                <w:u w:val="single"/>
                <w:lang w:val="en-US" w:eastAsia="en-US"/>
              </w:rPr>
              <w:t xml:space="preserve">ication of </w:t>
            </w:r>
            <w:r w:rsidRPr="00787E88">
              <w:rPr>
                <w:b/>
                <w:u w:val="single"/>
                <w:lang w:val="en-US" w:eastAsia="en-US"/>
              </w:rPr>
              <w:t>appointment</w:t>
            </w:r>
          </w:p>
        </w:tc>
      </w:tr>
      <w:tr w:rsidR="00D6714F" w:rsidRPr="00C05BE2" w14:paraId="40AE425B" w14:textId="77777777" w:rsidTr="00D86E5E">
        <w:tc>
          <w:tcPr>
            <w:tcW w:w="3275" w:type="dxa"/>
          </w:tcPr>
          <w:p w14:paraId="0F6AE050" w14:textId="77777777" w:rsidR="00D6714F" w:rsidRPr="00787E88" w:rsidRDefault="00DC72A2" w:rsidP="005744EE">
            <w:pPr>
              <w:pStyle w:val="tabletext"/>
            </w:pPr>
            <w:r w:rsidRPr="00C51CFD">
              <w:rPr>
                <w:lang w:val="en-US" w:eastAsia="en-US"/>
              </w:rPr>
              <w:t>Th</w:t>
            </w:r>
            <w:r w:rsidR="005E7390" w:rsidRPr="00C51CFD">
              <w:rPr>
                <w:lang w:val="en-US" w:eastAsia="en-US"/>
              </w:rPr>
              <w:t xml:space="preserve">e </w:t>
            </w:r>
            <w:r w:rsidR="0010633D">
              <w:rPr>
                <w:lang w:val="en-US" w:eastAsia="en-US"/>
              </w:rPr>
              <w:t xml:space="preserve">Prudential Supervision </w:t>
            </w:r>
            <w:r w:rsidR="005E7390" w:rsidRPr="00C51CFD" w:rsidDel="0010633D">
              <w:rPr>
                <w:lang w:val="en-US" w:eastAsia="en-US"/>
              </w:rPr>
              <w:t>Bill</w:t>
            </w:r>
            <w:r w:rsidR="005E7390" w:rsidRPr="00C51CFD">
              <w:rPr>
                <w:lang w:val="en-US" w:eastAsia="en-US"/>
              </w:rPr>
              <w:t xml:space="preserve"> mirrors the current law:</w:t>
            </w:r>
            <w:r w:rsidR="005E7390">
              <w:rPr>
                <w:lang w:val="en-US" w:eastAsia="en-US"/>
              </w:rPr>
              <w:t xml:space="preserve"> </w:t>
            </w:r>
            <w:r>
              <w:rPr>
                <w:lang w:val="en-US" w:eastAsia="en-US"/>
              </w:rPr>
              <w:t xml:space="preserve">insurers must </w:t>
            </w:r>
            <w:r w:rsidR="00477255">
              <w:rPr>
                <w:lang w:val="en-US" w:eastAsia="en-US"/>
              </w:rPr>
              <w:t>notify APRA of an appointment, and the ceasing of an appointment.</w:t>
            </w:r>
          </w:p>
        </w:tc>
        <w:tc>
          <w:tcPr>
            <w:tcW w:w="3276" w:type="dxa"/>
          </w:tcPr>
          <w:p w14:paraId="122C1855" w14:textId="77777777" w:rsidR="00D6714F" w:rsidRDefault="00477255" w:rsidP="00115FBF">
            <w:pPr>
              <w:pStyle w:val="tabletext"/>
              <w:rPr>
                <w:lang w:val="en-US" w:eastAsia="en-US"/>
              </w:rPr>
            </w:pPr>
            <w:r w:rsidRPr="00477255">
              <w:rPr>
                <w:lang w:val="en-US" w:eastAsia="en-US"/>
              </w:rPr>
              <w:t xml:space="preserve">Insurers must notify </w:t>
            </w:r>
            <w:r>
              <w:rPr>
                <w:lang w:val="en-US" w:eastAsia="en-US"/>
              </w:rPr>
              <w:t>the Council</w:t>
            </w:r>
            <w:r w:rsidRPr="00477255">
              <w:rPr>
                <w:lang w:val="en-US" w:eastAsia="en-US"/>
              </w:rPr>
              <w:t xml:space="preserve"> of an appointment, and the ceasing of an appointment.</w:t>
            </w:r>
          </w:p>
        </w:tc>
      </w:tr>
      <w:tr w:rsidR="007D1533" w:rsidRPr="00C05BE2" w14:paraId="0EB3F363" w14:textId="77777777" w:rsidTr="007D1533">
        <w:tc>
          <w:tcPr>
            <w:tcW w:w="6551" w:type="dxa"/>
            <w:gridSpan w:val="2"/>
          </w:tcPr>
          <w:p w14:paraId="78346FDA" w14:textId="77777777" w:rsidR="007D1533" w:rsidRPr="00477255" w:rsidRDefault="007D1533" w:rsidP="007D1533">
            <w:pPr>
              <w:pStyle w:val="tabletext"/>
              <w:jc w:val="center"/>
              <w:rPr>
                <w:lang w:val="en-US" w:eastAsia="en-US"/>
              </w:rPr>
            </w:pPr>
            <w:r w:rsidRPr="00866793">
              <w:rPr>
                <w:b/>
                <w:u w:val="single"/>
                <w:lang w:val="en-US" w:eastAsia="en-US"/>
              </w:rPr>
              <w:t>Role of an appointed actuary</w:t>
            </w:r>
          </w:p>
        </w:tc>
      </w:tr>
      <w:tr w:rsidR="00DC72A2" w:rsidRPr="00C05BE2" w14:paraId="4FB0D5C9" w14:textId="77777777" w:rsidTr="00D86E5E">
        <w:tc>
          <w:tcPr>
            <w:tcW w:w="3275" w:type="dxa"/>
          </w:tcPr>
          <w:p w14:paraId="288CD3BD" w14:textId="77777777" w:rsidR="00866793" w:rsidRPr="00D977DA" w:rsidRDefault="00C466D6" w:rsidP="00D977DA">
            <w:pPr>
              <w:pStyle w:val="tabletext"/>
            </w:pPr>
            <w:r>
              <w:rPr>
                <w:lang w:val="en-US" w:eastAsia="en-US"/>
              </w:rPr>
              <w:t>The actuary must perform their statutory functions and duties and the insurer must assist</w:t>
            </w:r>
            <w:r w:rsidR="00866793">
              <w:rPr>
                <w:lang w:val="en-US" w:eastAsia="en-US"/>
              </w:rPr>
              <w:t xml:space="preserve"> the actuary to do this</w:t>
            </w:r>
            <w:r w:rsidR="00D977DA">
              <w:rPr>
                <w:lang w:val="en-US" w:eastAsia="en-US"/>
              </w:rPr>
              <w:t>.</w:t>
            </w:r>
          </w:p>
        </w:tc>
        <w:tc>
          <w:tcPr>
            <w:tcW w:w="3276" w:type="dxa"/>
          </w:tcPr>
          <w:p w14:paraId="3DA3CB08" w14:textId="77777777" w:rsidR="00221A35" w:rsidRDefault="002F4F58" w:rsidP="00221A35">
            <w:pPr>
              <w:pStyle w:val="tabletext"/>
              <w:rPr>
                <w:lang w:val="en-US" w:eastAsia="en-US"/>
              </w:rPr>
            </w:pPr>
            <w:r w:rsidRPr="002F4F58">
              <w:rPr>
                <w:lang w:val="en-US" w:eastAsia="en-US"/>
              </w:rPr>
              <w:t>The actuary must perform their statutory functions and duties and the insurer must assist the actuary to do this</w:t>
            </w:r>
            <w:r w:rsidR="00221A35">
              <w:rPr>
                <w:lang w:val="en-US" w:eastAsia="en-US"/>
              </w:rPr>
              <w:t xml:space="preserve">. It is an </w:t>
            </w:r>
            <w:r w:rsidR="00221A35" w:rsidRPr="00C51CFD">
              <w:rPr>
                <w:lang w:val="en-US" w:eastAsia="en-US"/>
              </w:rPr>
              <w:t>offence</w:t>
            </w:r>
            <w:r w:rsidR="00221A35">
              <w:rPr>
                <w:lang w:val="en-US" w:eastAsia="en-US"/>
              </w:rPr>
              <w:t xml:space="preserve"> for the insurer not to assist the actuary.</w:t>
            </w:r>
          </w:p>
        </w:tc>
      </w:tr>
      <w:tr w:rsidR="007D1533" w:rsidRPr="00C05BE2" w14:paraId="656CF630" w14:textId="77777777" w:rsidTr="007D1533">
        <w:tc>
          <w:tcPr>
            <w:tcW w:w="6551" w:type="dxa"/>
            <w:gridSpan w:val="2"/>
          </w:tcPr>
          <w:p w14:paraId="4E065EBA" w14:textId="77777777" w:rsidR="007D1533" w:rsidRPr="002F4F58" w:rsidRDefault="007D1533" w:rsidP="00EF64FD">
            <w:pPr>
              <w:pStyle w:val="tabletext"/>
              <w:keepNext/>
              <w:keepLines/>
              <w:jc w:val="center"/>
              <w:rPr>
                <w:lang w:val="en-US" w:eastAsia="en-US"/>
              </w:rPr>
            </w:pPr>
            <w:r w:rsidRPr="00753772">
              <w:rPr>
                <w:b/>
                <w:u w:val="single"/>
                <w:lang w:val="en-US" w:eastAsia="en-US"/>
              </w:rPr>
              <w:t>Actuary’s obligation to report</w:t>
            </w:r>
          </w:p>
        </w:tc>
      </w:tr>
      <w:tr w:rsidR="00D977DA" w:rsidRPr="00C05BE2" w14:paraId="5A01DE4A" w14:textId="77777777" w:rsidTr="00D86E5E">
        <w:tc>
          <w:tcPr>
            <w:tcW w:w="3275" w:type="dxa"/>
          </w:tcPr>
          <w:p w14:paraId="202D6981" w14:textId="77777777" w:rsidR="00D977DA" w:rsidRDefault="00D977DA" w:rsidP="00EF64FD">
            <w:pPr>
              <w:pStyle w:val="tabletext"/>
              <w:keepNext/>
              <w:keepLines/>
              <w:rPr>
                <w:lang w:val="en-US" w:eastAsia="en-US"/>
              </w:rPr>
            </w:pPr>
            <w:r w:rsidRPr="00C51CFD">
              <w:rPr>
                <w:lang w:val="en-US" w:eastAsia="en-US"/>
              </w:rPr>
              <w:t xml:space="preserve">The </w:t>
            </w:r>
            <w:r w:rsidR="0010633D">
              <w:rPr>
                <w:lang w:val="en-US" w:eastAsia="en-US"/>
              </w:rPr>
              <w:t xml:space="preserve">Prudential Supervision </w:t>
            </w:r>
            <w:r w:rsidRPr="00C51CFD" w:rsidDel="0010633D">
              <w:rPr>
                <w:lang w:val="en-US" w:eastAsia="en-US"/>
              </w:rPr>
              <w:t>Bill</w:t>
            </w:r>
            <w:r w:rsidRPr="00C51CFD">
              <w:rPr>
                <w:lang w:val="en-US" w:eastAsia="en-US"/>
              </w:rPr>
              <w:t xml:space="preserve"> </w:t>
            </w:r>
            <w:r w:rsidR="009D6CF6">
              <w:rPr>
                <w:lang w:val="en-US" w:eastAsia="en-US"/>
              </w:rPr>
              <w:t xml:space="preserve">is similar to </w:t>
            </w:r>
            <w:r w:rsidRPr="00C51CFD">
              <w:rPr>
                <w:lang w:val="en-US" w:eastAsia="en-US"/>
              </w:rPr>
              <w:t>the current law, an</w:t>
            </w:r>
            <w:r>
              <w:rPr>
                <w:lang w:val="en-US" w:eastAsia="en-US"/>
              </w:rPr>
              <w:t xml:space="preserve"> actuary must report to an insurer if there is a risk the insurer will breach the </w:t>
            </w:r>
            <w:r w:rsidR="0010633D">
              <w:rPr>
                <w:lang w:val="en-US" w:eastAsia="en-US"/>
              </w:rPr>
              <w:t>Prudential Supervision Bill</w:t>
            </w:r>
            <w:r>
              <w:rPr>
                <w:lang w:val="en-US" w:eastAsia="en-US"/>
              </w:rPr>
              <w:t xml:space="preserve">, </w:t>
            </w:r>
            <w:r w:rsidR="00A1209C">
              <w:rPr>
                <w:lang w:val="en-US" w:eastAsia="en-US"/>
              </w:rPr>
              <w:t xml:space="preserve">or report to APRA if the contravention would significantly affect the </w:t>
            </w:r>
            <w:r w:rsidR="005D72A6">
              <w:rPr>
                <w:lang w:val="en-US" w:eastAsia="en-US"/>
              </w:rPr>
              <w:t xml:space="preserve">financial </w:t>
            </w:r>
            <w:r w:rsidR="00A1209C">
              <w:rPr>
                <w:lang w:val="en-US" w:eastAsia="en-US"/>
              </w:rPr>
              <w:t xml:space="preserve">interests of policy holders. </w:t>
            </w:r>
          </w:p>
        </w:tc>
        <w:tc>
          <w:tcPr>
            <w:tcW w:w="3276" w:type="dxa"/>
          </w:tcPr>
          <w:p w14:paraId="09353A15" w14:textId="77777777" w:rsidR="00D977DA" w:rsidRDefault="005B5A1E" w:rsidP="00EF64FD">
            <w:pPr>
              <w:pStyle w:val="tabletext"/>
              <w:keepNext/>
              <w:keepLines/>
              <w:rPr>
                <w:lang w:val="en-US" w:eastAsia="en-US"/>
              </w:rPr>
            </w:pPr>
            <w:r>
              <w:rPr>
                <w:lang w:val="en-US" w:eastAsia="en-US"/>
              </w:rPr>
              <w:t>A</w:t>
            </w:r>
            <w:r w:rsidR="00A1209C" w:rsidRPr="00A1209C">
              <w:rPr>
                <w:lang w:val="en-US" w:eastAsia="en-US"/>
              </w:rPr>
              <w:t>n actuary must report to an insurer if there is a risk the insurer will b</w:t>
            </w:r>
            <w:r w:rsidR="00A1209C">
              <w:rPr>
                <w:lang w:val="en-US" w:eastAsia="en-US"/>
              </w:rPr>
              <w:t xml:space="preserve">reach the </w:t>
            </w:r>
            <w:r w:rsidR="00302059">
              <w:rPr>
                <w:lang w:val="en-US" w:eastAsia="en-US"/>
              </w:rPr>
              <w:t>Act</w:t>
            </w:r>
            <w:r w:rsidR="00A1209C">
              <w:rPr>
                <w:lang w:val="en-US" w:eastAsia="en-US"/>
              </w:rPr>
              <w:t>, or report to the Council</w:t>
            </w:r>
            <w:r w:rsidR="00A1209C" w:rsidRPr="00A1209C">
              <w:rPr>
                <w:lang w:val="en-US" w:eastAsia="en-US"/>
              </w:rPr>
              <w:t xml:space="preserve"> if the contravention would significantly affect the interests of policy holders.</w:t>
            </w:r>
          </w:p>
        </w:tc>
      </w:tr>
      <w:tr w:rsidR="009D6CF6" w:rsidRPr="00C05BE2" w14:paraId="330558C5" w14:textId="77777777" w:rsidTr="00D33EC5">
        <w:tc>
          <w:tcPr>
            <w:tcW w:w="6551" w:type="dxa"/>
            <w:gridSpan w:val="2"/>
          </w:tcPr>
          <w:p w14:paraId="14B9B299" w14:textId="724803C3" w:rsidR="009D6CF6" w:rsidRPr="009D6CF6" w:rsidRDefault="009D6CF6" w:rsidP="009D6CF6">
            <w:pPr>
              <w:pStyle w:val="tabletext"/>
              <w:jc w:val="center"/>
              <w:rPr>
                <w:b/>
                <w:u w:val="single"/>
                <w:lang w:val="en-US" w:eastAsia="en-US"/>
              </w:rPr>
            </w:pPr>
            <w:r w:rsidRPr="009D6CF6">
              <w:rPr>
                <w:b/>
                <w:u w:val="single"/>
                <w:lang w:val="en-US" w:eastAsia="en-US"/>
              </w:rPr>
              <w:t xml:space="preserve">Actuary may give information to the </w:t>
            </w:r>
            <w:r w:rsidR="00702181" w:rsidRPr="009D6CF6">
              <w:rPr>
                <w:b/>
                <w:u w:val="single"/>
                <w:lang w:val="en-US" w:eastAsia="en-US"/>
              </w:rPr>
              <w:t>regulator</w:t>
            </w:r>
          </w:p>
        </w:tc>
      </w:tr>
      <w:tr w:rsidR="009D6CF6" w:rsidRPr="00C05BE2" w14:paraId="64D5BFFF" w14:textId="77777777" w:rsidTr="00D86E5E">
        <w:tc>
          <w:tcPr>
            <w:tcW w:w="3275" w:type="dxa"/>
          </w:tcPr>
          <w:p w14:paraId="6F2B5874" w14:textId="77777777" w:rsidR="009D6CF6" w:rsidRDefault="009D6CF6" w:rsidP="009D6CF6">
            <w:pPr>
              <w:pStyle w:val="tabletext"/>
              <w:rPr>
                <w:lang w:val="en-US" w:eastAsia="en-US"/>
              </w:rPr>
            </w:pPr>
            <w:r>
              <w:rPr>
                <w:lang w:val="en-US" w:eastAsia="en-US"/>
              </w:rPr>
              <w:t>A person who is or was the appointed actuary of a private health insurer may give information or produce documents relating to the insurer to APRA and is protected if they do so in good faith and without negligence.</w:t>
            </w:r>
          </w:p>
        </w:tc>
        <w:tc>
          <w:tcPr>
            <w:tcW w:w="3276" w:type="dxa"/>
          </w:tcPr>
          <w:p w14:paraId="6CED40A4" w14:textId="77777777" w:rsidR="009D6CF6" w:rsidRDefault="009D6CF6" w:rsidP="00302059">
            <w:pPr>
              <w:pStyle w:val="tabletext"/>
              <w:rPr>
                <w:lang w:val="en-US" w:eastAsia="en-US"/>
              </w:rPr>
            </w:pPr>
            <w:r>
              <w:rPr>
                <w:lang w:val="en-US" w:eastAsia="en-US"/>
              </w:rPr>
              <w:t>No equivalent in the PHI Act.</w:t>
            </w:r>
          </w:p>
        </w:tc>
      </w:tr>
      <w:tr w:rsidR="009D6CF6" w:rsidRPr="00C05BE2" w14:paraId="10B029A5" w14:textId="77777777" w:rsidTr="007D1533">
        <w:tc>
          <w:tcPr>
            <w:tcW w:w="6551" w:type="dxa"/>
            <w:gridSpan w:val="2"/>
          </w:tcPr>
          <w:p w14:paraId="7733938B" w14:textId="77777777" w:rsidR="009D6CF6" w:rsidRPr="00753772" w:rsidRDefault="009D6CF6" w:rsidP="007D1533">
            <w:pPr>
              <w:pStyle w:val="tabletext"/>
              <w:jc w:val="center"/>
              <w:rPr>
                <w:b/>
                <w:u w:val="single"/>
                <w:lang w:val="en-US" w:eastAsia="en-US"/>
              </w:rPr>
            </w:pPr>
            <w:r w:rsidRPr="00753772">
              <w:rPr>
                <w:b/>
                <w:u w:val="single"/>
                <w:lang w:val="en-US" w:eastAsia="en-US"/>
              </w:rPr>
              <w:t>Actuary’s requirement to give information to the regulator</w:t>
            </w:r>
          </w:p>
        </w:tc>
      </w:tr>
      <w:tr w:rsidR="009D6CF6" w:rsidRPr="00C05BE2" w14:paraId="32809103" w14:textId="77777777" w:rsidTr="00D86E5E">
        <w:tc>
          <w:tcPr>
            <w:tcW w:w="3275" w:type="dxa"/>
          </w:tcPr>
          <w:p w14:paraId="513A5304" w14:textId="77777777" w:rsidR="009D6CF6" w:rsidRDefault="009D6CF6" w:rsidP="00D977DA">
            <w:pPr>
              <w:pStyle w:val="tabletext"/>
              <w:rPr>
                <w:lang w:val="en-US" w:eastAsia="en-US"/>
              </w:rPr>
            </w:pPr>
            <w:r>
              <w:rPr>
                <w:lang w:val="en-US" w:eastAsia="en-US"/>
              </w:rPr>
              <w:t>APRA may require an actuary to give APRA certain information.</w:t>
            </w:r>
          </w:p>
        </w:tc>
        <w:tc>
          <w:tcPr>
            <w:tcW w:w="3276" w:type="dxa"/>
          </w:tcPr>
          <w:p w14:paraId="458FA382" w14:textId="77777777" w:rsidR="009D6CF6" w:rsidRDefault="009D6CF6" w:rsidP="00221A35">
            <w:pPr>
              <w:pStyle w:val="tabletext"/>
              <w:rPr>
                <w:lang w:val="en-US" w:eastAsia="en-US"/>
              </w:rPr>
            </w:pPr>
            <w:r>
              <w:rPr>
                <w:lang w:val="en-US" w:eastAsia="en-US"/>
              </w:rPr>
              <w:t>U</w:t>
            </w:r>
            <w:r w:rsidRPr="00755953">
              <w:rPr>
                <w:lang w:val="en-US" w:eastAsia="en-US"/>
              </w:rPr>
              <w:t xml:space="preserve">nless the requirement for an actuary to give </w:t>
            </w:r>
            <w:r w:rsidR="00603471">
              <w:rPr>
                <w:lang w:val="en-US" w:eastAsia="en-US"/>
              </w:rPr>
              <w:t>the Council’s</w:t>
            </w:r>
            <w:r w:rsidRPr="00755953">
              <w:rPr>
                <w:lang w:val="en-US" w:eastAsia="en-US"/>
              </w:rPr>
              <w:t xml:space="preserve"> information is specified in the </w:t>
            </w:r>
            <w:r w:rsidR="00430E33">
              <w:rPr>
                <w:lang w:val="en-US" w:eastAsia="en-US"/>
              </w:rPr>
              <w:t>Private Health Insurance (</w:t>
            </w:r>
            <w:r w:rsidRPr="00755953">
              <w:rPr>
                <w:lang w:val="en-US" w:eastAsia="en-US"/>
              </w:rPr>
              <w:t>Insurer Obligations</w:t>
            </w:r>
            <w:r w:rsidR="00430E33">
              <w:rPr>
                <w:lang w:val="en-US" w:eastAsia="en-US"/>
              </w:rPr>
              <w:t>)</w:t>
            </w:r>
            <w:r w:rsidRPr="00755953">
              <w:rPr>
                <w:lang w:val="en-US" w:eastAsia="en-US"/>
              </w:rPr>
              <w:t xml:space="preserve"> Rules, the actuary is not required to do so</w:t>
            </w:r>
            <w:r>
              <w:rPr>
                <w:lang w:val="en-US" w:eastAsia="en-US"/>
              </w:rPr>
              <w:t>.</w:t>
            </w:r>
          </w:p>
        </w:tc>
      </w:tr>
      <w:tr w:rsidR="009D6CF6" w:rsidRPr="00C05BE2" w14:paraId="28016002" w14:textId="77777777" w:rsidTr="007D1533">
        <w:tc>
          <w:tcPr>
            <w:tcW w:w="6551" w:type="dxa"/>
            <w:gridSpan w:val="2"/>
          </w:tcPr>
          <w:p w14:paraId="0947F151" w14:textId="77777777" w:rsidR="009D6CF6" w:rsidRDefault="009D6CF6" w:rsidP="007D1533">
            <w:pPr>
              <w:pStyle w:val="tabletext"/>
              <w:jc w:val="center"/>
              <w:rPr>
                <w:lang w:val="en-US" w:eastAsia="en-US"/>
              </w:rPr>
            </w:pPr>
            <w:r w:rsidRPr="00905BC3">
              <w:rPr>
                <w:b/>
                <w:u w:val="single"/>
                <w:lang w:val="en-US" w:eastAsia="en-US"/>
              </w:rPr>
              <w:t>Qualified privilege</w:t>
            </w:r>
          </w:p>
        </w:tc>
      </w:tr>
      <w:tr w:rsidR="009D6CF6" w:rsidRPr="00C05BE2" w14:paraId="34255C92" w14:textId="77777777" w:rsidTr="00D86E5E">
        <w:tc>
          <w:tcPr>
            <w:tcW w:w="3275" w:type="dxa"/>
          </w:tcPr>
          <w:p w14:paraId="57CCED50" w14:textId="77777777" w:rsidR="009D6CF6" w:rsidRPr="00905BC3" w:rsidRDefault="009D6CF6" w:rsidP="00905BC3">
            <w:pPr>
              <w:pStyle w:val="tabletext"/>
              <w:rPr>
                <w:lang w:val="en-US" w:eastAsia="en-US"/>
              </w:rPr>
            </w:pPr>
            <w:r>
              <w:rPr>
                <w:lang w:val="en-US" w:eastAsia="en-US"/>
              </w:rPr>
              <w:t xml:space="preserve">The </w:t>
            </w:r>
            <w:r w:rsidR="004F5C46">
              <w:rPr>
                <w:lang w:val="en-US" w:eastAsia="en-US"/>
              </w:rPr>
              <w:t>Prudential Supervision Bill</w:t>
            </w:r>
            <w:r w:rsidR="004F5C46" w:rsidDel="004F5C46">
              <w:rPr>
                <w:lang w:val="en-US" w:eastAsia="en-US"/>
              </w:rPr>
              <w:t xml:space="preserve"> </w:t>
            </w:r>
            <w:r>
              <w:rPr>
                <w:lang w:val="en-US" w:eastAsia="en-US"/>
              </w:rPr>
              <w:t>mirrors the current law: a</w:t>
            </w:r>
            <w:r w:rsidRPr="00905BC3">
              <w:rPr>
                <w:lang w:val="en-US" w:eastAsia="en-US"/>
              </w:rPr>
              <w:t>n actuary receives qualified privilege.</w:t>
            </w:r>
          </w:p>
        </w:tc>
        <w:tc>
          <w:tcPr>
            <w:tcW w:w="3276" w:type="dxa"/>
          </w:tcPr>
          <w:p w14:paraId="6BB905EE" w14:textId="77777777" w:rsidR="009D6CF6" w:rsidRDefault="009D6CF6" w:rsidP="00221A35">
            <w:pPr>
              <w:pStyle w:val="tabletext"/>
              <w:rPr>
                <w:lang w:val="en-US" w:eastAsia="en-US"/>
              </w:rPr>
            </w:pPr>
            <w:r>
              <w:rPr>
                <w:lang w:val="en-US" w:eastAsia="en-US"/>
              </w:rPr>
              <w:t>An actuary receives qualified privilege.</w:t>
            </w:r>
          </w:p>
        </w:tc>
      </w:tr>
      <w:tr w:rsidR="009D6CF6" w:rsidRPr="00C05BE2" w14:paraId="453F7EBA" w14:textId="77777777" w:rsidTr="007D1533">
        <w:tc>
          <w:tcPr>
            <w:tcW w:w="6551" w:type="dxa"/>
            <w:gridSpan w:val="2"/>
          </w:tcPr>
          <w:p w14:paraId="185D101A" w14:textId="77777777" w:rsidR="009D6CF6" w:rsidRDefault="009D6CF6" w:rsidP="007D1533">
            <w:pPr>
              <w:pStyle w:val="tabletext"/>
              <w:jc w:val="center"/>
              <w:rPr>
                <w:lang w:val="en-US" w:eastAsia="en-US"/>
              </w:rPr>
            </w:pPr>
            <w:r w:rsidRPr="00D723BF">
              <w:rPr>
                <w:b/>
                <w:u w:val="single"/>
                <w:lang w:val="en-US" w:eastAsia="en-US"/>
              </w:rPr>
              <w:t>Referral to a professional association</w:t>
            </w:r>
          </w:p>
        </w:tc>
      </w:tr>
      <w:tr w:rsidR="009D6CF6" w:rsidRPr="00C05BE2" w14:paraId="04A5D338" w14:textId="77777777" w:rsidTr="00D86E5E">
        <w:tc>
          <w:tcPr>
            <w:tcW w:w="3275" w:type="dxa"/>
          </w:tcPr>
          <w:p w14:paraId="2FED71C6" w14:textId="77777777" w:rsidR="009D6CF6" w:rsidRDefault="00376FD3" w:rsidP="00433072">
            <w:pPr>
              <w:pStyle w:val="tabletext"/>
              <w:rPr>
                <w:lang w:val="en-US" w:eastAsia="en-US"/>
              </w:rPr>
            </w:pPr>
            <w:r>
              <w:rPr>
                <w:lang w:val="en-US" w:eastAsia="en-US"/>
              </w:rPr>
              <w:t xml:space="preserve">If </w:t>
            </w:r>
            <w:r w:rsidRPr="00376FD3">
              <w:rPr>
                <w:lang w:val="en-US" w:eastAsia="en-US"/>
              </w:rPr>
              <w:t xml:space="preserve">APRA considers that an actuary has failed to </w:t>
            </w:r>
            <w:r w:rsidR="00433072">
              <w:rPr>
                <w:lang w:val="en-US" w:eastAsia="en-US"/>
              </w:rPr>
              <w:t>adequately and properly</w:t>
            </w:r>
            <w:r w:rsidR="00433072" w:rsidRPr="00376FD3">
              <w:rPr>
                <w:lang w:val="en-US" w:eastAsia="en-US"/>
              </w:rPr>
              <w:t xml:space="preserve"> </w:t>
            </w:r>
            <w:r w:rsidR="00433072">
              <w:rPr>
                <w:lang w:val="en-US" w:eastAsia="en-US"/>
              </w:rPr>
              <w:t>perform</w:t>
            </w:r>
            <w:r w:rsidRPr="00376FD3">
              <w:rPr>
                <w:lang w:val="en-US" w:eastAsia="en-US"/>
              </w:rPr>
              <w:t xml:space="preserve"> their statutory functions and duties, or </w:t>
            </w:r>
            <w:r w:rsidR="00433072">
              <w:rPr>
                <w:lang w:val="en-US" w:eastAsia="en-US"/>
              </w:rPr>
              <w:t xml:space="preserve">their </w:t>
            </w:r>
            <w:r w:rsidRPr="00376FD3">
              <w:rPr>
                <w:lang w:val="en-US" w:eastAsia="en-US"/>
              </w:rPr>
              <w:t xml:space="preserve">functions and duties under </w:t>
            </w:r>
            <w:r w:rsidR="00433072">
              <w:rPr>
                <w:lang w:val="en-US" w:eastAsia="en-US"/>
              </w:rPr>
              <w:t xml:space="preserve">other </w:t>
            </w:r>
            <w:r w:rsidRPr="00376FD3">
              <w:rPr>
                <w:lang w:val="en-US" w:eastAsia="en-US"/>
              </w:rPr>
              <w:t xml:space="preserve">Australian </w:t>
            </w:r>
            <w:r w:rsidR="00433072">
              <w:rPr>
                <w:lang w:val="en-US" w:eastAsia="en-US"/>
              </w:rPr>
              <w:t>laws,</w:t>
            </w:r>
            <w:r>
              <w:rPr>
                <w:lang w:val="en-US" w:eastAsia="en-US"/>
              </w:rPr>
              <w:t xml:space="preserve"> </w:t>
            </w:r>
            <w:r w:rsidRPr="00376FD3">
              <w:rPr>
                <w:lang w:val="en-US" w:eastAsia="en-US"/>
              </w:rPr>
              <w:t>or otherwise not fit and proper, APRA may refer this to the professional association.</w:t>
            </w:r>
          </w:p>
        </w:tc>
        <w:tc>
          <w:tcPr>
            <w:tcW w:w="3276" w:type="dxa"/>
          </w:tcPr>
          <w:p w14:paraId="4332885B" w14:textId="77777777" w:rsidR="009D6CF6" w:rsidRDefault="009D6CF6" w:rsidP="00221A35">
            <w:pPr>
              <w:pStyle w:val="tabletext"/>
              <w:rPr>
                <w:lang w:val="en-US" w:eastAsia="en-US"/>
              </w:rPr>
            </w:pPr>
            <w:r>
              <w:rPr>
                <w:lang w:val="en-US" w:eastAsia="en-US"/>
              </w:rPr>
              <w:t>The Council does not have an express power to refer an actuary to a professional association.</w:t>
            </w:r>
          </w:p>
        </w:tc>
      </w:tr>
      <w:tr w:rsidR="009D6CF6" w:rsidRPr="00C05BE2" w14:paraId="12C37544" w14:textId="77777777" w:rsidTr="007D1533">
        <w:tc>
          <w:tcPr>
            <w:tcW w:w="6551" w:type="dxa"/>
            <w:gridSpan w:val="2"/>
          </w:tcPr>
          <w:p w14:paraId="68A4BBBF" w14:textId="77777777" w:rsidR="009D6CF6" w:rsidRPr="004F450D" w:rsidRDefault="009D6CF6" w:rsidP="00EF64FD">
            <w:pPr>
              <w:pStyle w:val="tabletext"/>
              <w:keepNext/>
              <w:keepLines/>
              <w:jc w:val="center"/>
              <w:rPr>
                <w:lang w:val="en-US" w:eastAsia="en-US"/>
              </w:rPr>
            </w:pPr>
            <w:r w:rsidRPr="004F450D">
              <w:rPr>
                <w:b/>
                <w:u w:val="single"/>
                <w:lang w:val="en-US" w:eastAsia="en-US"/>
              </w:rPr>
              <w:t>Disqualified persons</w:t>
            </w:r>
          </w:p>
        </w:tc>
      </w:tr>
      <w:tr w:rsidR="009D6CF6" w:rsidRPr="00C05BE2" w14:paraId="7201EE4F" w14:textId="77777777" w:rsidTr="00D86E5E">
        <w:tc>
          <w:tcPr>
            <w:tcW w:w="3275" w:type="dxa"/>
          </w:tcPr>
          <w:p w14:paraId="6F76743D" w14:textId="77777777" w:rsidR="009D6CF6" w:rsidRPr="00C51CFD" w:rsidRDefault="009D6CF6" w:rsidP="00EF64FD">
            <w:pPr>
              <w:pStyle w:val="tabletext"/>
              <w:keepNext/>
              <w:keepLines/>
              <w:rPr>
                <w:lang w:val="en-US" w:eastAsia="en-US"/>
              </w:rPr>
            </w:pPr>
            <w:r w:rsidRPr="00C51CFD">
              <w:rPr>
                <w:lang w:val="en-US" w:eastAsia="en-US"/>
              </w:rPr>
              <w:t xml:space="preserve">Disqualified persons must not </w:t>
            </w:r>
            <w:r>
              <w:rPr>
                <w:lang w:val="en-US" w:eastAsia="en-US"/>
              </w:rPr>
              <w:t>act as officers or actuaries</w:t>
            </w:r>
            <w:r w:rsidRPr="00C51CFD">
              <w:rPr>
                <w:lang w:val="en-US" w:eastAsia="en-US"/>
              </w:rPr>
              <w:t xml:space="preserve"> for insurers, and insurer must not employ disqualified persons</w:t>
            </w:r>
            <w:r>
              <w:rPr>
                <w:lang w:val="en-US" w:eastAsia="en-US"/>
              </w:rPr>
              <w:t xml:space="preserve"> as officers or actuaries</w:t>
            </w:r>
            <w:r w:rsidRPr="00C51CFD">
              <w:rPr>
                <w:lang w:val="en-US" w:eastAsia="en-US"/>
              </w:rPr>
              <w:t xml:space="preserve">. These are offences with penalties of 12 months imprisonment </w:t>
            </w:r>
            <w:r w:rsidRPr="0010401F">
              <w:rPr>
                <w:lang w:val="en-US" w:eastAsia="en-US"/>
              </w:rPr>
              <w:t>and/</w:t>
            </w:r>
            <w:r w:rsidRPr="00C51CFD">
              <w:rPr>
                <w:lang w:val="en-US" w:eastAsia="en-US"/>
              </w:rPr>
              <w:t xml:space="preserve">or 60 penalty units. </w:t>
            </w:r>
          </w:p>
          <w:p w14:paraId="2E562D64" w14:textId="77777777" w:rsidR="009D6CF6" w:rsidRPr="00C51CFD" w:rsidRDefault="009D6CF6" w:rsidP="00EF64FD">
            <w:pPr>
              <w:pStyle w:val="tabletext"/>
              <w:keepNext/>
              <w:keepLines/>
              <w:rPr>
                <w:lang w:val="en-US" w:eastAsia="en-US"/>
              </w:rPr>
            </w:pPr>
            <w:r w:rsidRPr="00C51CFD">
              <w:rPr>
                <w:lang w:val="en-US" w:eastAsia="en-US"/>
              </w:rPr>
              <w:t>The Federal Court can disqualify or revoke a disqualification.</w:t>
            </w:r>
            <w:r w:rsidR="00BF058D">
              <w:rPr>
                <w:lang w:val="en-US" w:eastAsia="en-US"/>
              </w:rPr>
              <w:t xml:space="preserve"> Certain person are automatically disqualified.</w:t>
            </w:r>
          </w:p>
        </w:tc>
        <w:tc>
          <w:tcPr>
            <w:tcW w:w="3276" w:type="dxa"/>
          </w:tcPr>
          <w:p w14:paraId="3B181817" w14:textId="77777777" w:rsidR="009D6CF6" w:rsidRPr="00C51CFD" w:rsidRDefault="009D6CF6" w:rsidP="00EF64FD">
            <w:pPr>
              <w:pStyle w:val="tabletext"/>
              <w:keepNext/>
              <w:keepLines/>
              <w:rPr>
                <w:lang w:val="en-US" w:eastAsia="en-US"/>
              </w:rPr>
            </w:pPr>
            <w:r w:rsidRPr="00C51CFD">
              <w:rPr>
                <w:lang w:val="en-US" w:eastAsia="en-US"/>
              </w:rPr>
              <w:t xml:space="preserve">Disqualified persons must not </w:t>
            </w:r>
            <w:r>
              <w:rPr>
                <w:lang w:val="en-US" w:eastAsia="en-US"/>
              </w:rPr>
              <w:t xml:space="preserve">act as directors or senior management </w:t>
            </w:r>
            <w:r w:rsidRPr="00C51CFD">
              <w:rPr>
                <w:lang w:val="en-US" w:eastAsia="en-US"/>
              </w:rPr>
              <w:t xml:space="preserve">for insurers, and insurer must not </w:t>
            </w:r>
            <w:r>
              <w:rPr>
                <w:lang w:val="en-US" w:eastAsia="en-US"/>
              </w:rPr>
              <w:t>allow them to do so</w:t>
            </w:r>
            <w:r w:rsidRPr="00C51CFD">
              <w:rPr>
                <w:lang w:val="en-US" w:eastAsia="en-US"/>
              </w:rPr>
              <w:t xml:space="preserve">. The penalty is </w:t>
            </w:r>
            <w:r w:rsidR="00430E33">
              <w:rPr>
                <w:lang w:val="en-US" w:eastAsia="en-US"/>
              </w:rPr>
              <w:t>two</w:t>
            </w:r>
            <w:r w:rsidRPr="00C51CFD">
              <w:rPr>
                <w:lang w:val="en-US" w:eastAsia="en-US"/>
              </w:rPr>
              <w:t xml:space="preserve"> years imprisonment or 120 penalty units for disqualified persons, </w:t>
            </w:r>
            <w:r>
              <w:rPr>
                <w:lang w:val="en-US" w:eastAsia="en-US"/>
              </w:rPr>
              <w:t>and</w:t>
            </w:r>
            <w:r w:rsidRPr="00C51CFD">
              <w:rPr>
                <w:lang w:val="en-US" w:eastAsia="en-US"/>
              </w:rPr>
              <w:t xml:space="preserve"> 250 penalty units for the insurer.</w:t>
            </w:r>
          </w:p>
          <w:p w14:paraId="2660FE21" w14:textId="77777777" w:rsidR="009D6CF6" w:rsidRPr="00C51CFD" w:rsidRDefault="009D6CF6" w:rsidP="00EF64FD">
            <w:pPr>
              <w:pStyle w:val="tabletext"/>
              <w:keepNext/>
              <w:keepLines/>
              <w:rPr>
                <w:lang w:val="en-US" w:eastAsia="en-US"/>
              </w:rPr>
            </w:pPr>
            <w:r w:rsidRPr="00C51CFD">
              <w:rPr>
                <w:lang w:val="en-US" w:eastAsia="en-US"/>
              </w:rPr>
              <w:t>The Council can disqualify a person or revoke a disqualification.</w:t>
            </w:r>
            <w:r w:rsidR="00BF058D">
              <w:rPr>
                <w:lang w:val="en-US" w:eastAsia="en-US"/>
              </w:rPr>
              <w:t xml:space="preserve"> Certain persons are automatically disqualified.</w:t>
            </w:r>
          </w:p>
        </w:tc>
      </w:tr>
      <w:tr w:rsidR="009D6CF6" w:rsidRPr="00C05BE2" w14:paraId="236A0028" w14:textId="77777777" w:rsidTr="007D1533">
        <w:tc>
          <w:tcPr>
            <w:tcW w:w="6551" w:type="dxa"/>
            <w:gridSpan w:val="2"/>
          </w:tcPr>
          <w:p w14:paraId="4F2040FD" w14:textId="77777777" w:rsidR="009D6CF6" w:rsidRPr="004F450D" w:rsidRDefault="009D6CF6" w:rsidP="007D1533">
            <w:pPr>
              <w:pStyle w:val="tabletext"/>
              <w:jc w:val="center"/>
              <w:rPr>
                <w:lang w:val="en-US" w:eastAsia="en-US"/>
              </w:rPr>
            </w:pPr>
            <w:r w:rsidRPr="004F450D">
              <w:rPr>
                <w:b/>
                <w:u w:val="single"/>
                <w:lang w:val="en-US" w:eastAsia="en-US"/>
              </w:rPr>
              <w:t>Restriction of payment of behalf of officers</w:t>
            </w:r>
          </w:p>
        </w:tc>
      </w:tr>
      <w:tr w:rsidR="009D6CF6" w:rsidRPr="00C05BE2" w14:paraId="531E449E" w14:textId="77777777" w:rsidTr="00D86E5E">
        <w:tc>
          <w:tcPr>
            <w:tcW w:w="3275" w:type="dxa"/>
          </w:tcPr>
          <w:p w14:paraId="3494B4A1" w14:textId="77777777" w:rsidR="009D6CF6" w:rsidRPr="004F450D" w:rsidRDefault="009D6CF6" w:rsidP="00C04AA9">
            <w:pPr>
              <w:pStyle w:val="tabletext"/>
              <w:rPr>
                <w:lang w:val="en-US" w:eastAsia="en-US"/>
              </w:rPr>
            </w:pPr>
            <w:r>
              <w:rPr>
                <w:lang w:val="en-US" w:eastAsia="en-US"/>
              </w:rPr>
              <w:t xml:space="preserve">The </w:t>
            </w:r>
            <w:r w:rsidR="004F5C46">
              <w:rPr>
                <w:lang w:val="en-US" w:eastAsia="en-US"/>
              </w:rPr>
              <w:t xml:space="preserve">Prudential Supervision </w:t>
            </w:r>
            <w:r w:rsidDel="004F5C46">
              <w:rPr>
                <w:lang w:val="en-US" w:eastAsia="en-US"/>
              </w:rPr>
              <w:t>Bill</w:t>
            </w:r>
            <w:r>
              <w:rPr>
                <w:lang w:val="en-US" w:eastAsia="en-US"/>
              </w:rPr>
              <w:t xml:space="preserve"> mirrors the current law: i</w:t>
            </w:r>
            <w:r w:rsidRPr="004F450D">
              <w:rPr>
                <w:lang w:val="en-US" w:eastAsia="en-US"/>
              </w:rPr>
              <w:t xml:space="preserve">nsurers cannot pay penalties or amounts officers are liable for on behalf of officers. </w:t>
            </w:r>
          </w:p>
        </w:tc>
        <w:tc>
          <w:tcPr>
            <w:tcW w:w="3276" w:type="dxa"/>
          </w:tcPr>
          <w:p w14:paraId="47E263DF" w14:textId="77777777" w:rsidR="009D6CF6" w:rsidRPr="004F450D" w:rsidRDefault="009D6CF6">
            <w:pPr>
              <w:pStyle w:val="tabletext"/>
              <w:rPr>
                <w:lang w:val="en-US" w:eastAsia="en-US"/>
              </w:rPr>
            </w:pPr>
            <w:r w:rsidRPr="004F450D">
              <w:rPr>
                <w:lang w:val="en-US" w:eastAsia="en-US"/>
              </w:rPr>
              <w:t xml:space="preserve">Insurers cannot pay penalties or amounts </w:t>
            </w:r>
            <w:r>
              <w:rPr>
                <w:lang w:val="en-US" w:eastAsia="en-US"/>
              </w:rPr>
              <w:t xml:space="preserve">on behalf of </w:t>
            </w:r>
            <w:r w:rsidRPr="004F450D">
              <w:rPr>
                <w:lang w:val="en-US" w:eastAsia="en-US"/>
              </w:rPr>
              <w:t xml:space="preserve">officers </w:t>
            </w:r>
            <w:r>
              <w:rPr>
                <w:lang w:val="en-US" w:eastAsia="en-US"/>
              </w:rPr>
              <w:t xml:space="preserve">that those officers </w:t>
            </w:r>
            <w:r w:rsidRPr="004F450D">
              <w:rPr>
                <w:lang w:val="en-US" w:eastAsia="en-US"/>
              </w:rPr>
              <w:t xml:space="preserve">are </w:t>
            </w:r>
            <w:r>
              <w:rPr>
                <w:lang w:val="en-US" w:eastAsia="en-US"/>
              </w:rPr>
              <w:t>liable for under the PHI Act</w:t>
            </w:r>
            <w:r w:rsidRPr="004F450D">
              <w:rPr>
                <w:lang w:val="en-US" w:eastAsia="en-US"/>
              </w:rPr>
              <w:t>.</w:t>
            </w:r>
          </w:p>
        </w:tc>
      </w:tr>
      <w:tr w:rsidR="009D6CF6" w:rsidRPr="00C05BE2" w14:paraId="3A95E23F" w14:textId="77777777" w:rsidTr="007D1533">
        <w:tc>
          <w:tcPr>
            <w:tcW w:w="6551" w:type="dxa"/>
            <w:gridSpan w:val="2"/>
          </w:tcPr>
          <w:p w14:paraId="4B3B3CBC" w14:textId="77777777" w:rsidR="009D6CF6" w:rsidRPr="004F450D" w:rsidRDefault="009D6CF6" w:rsidP="007D1533">
            <w:pPr>
              <w:pStyle w:val="tabletext"/>
              <w:jc w:val="center"/>
              <w:rPr>
                <w:lang w:val="en-US" w:eastAsia="en-US"/>
              </w:rPr>
            </w:pPr>
            <w:r w:rsidRPr="004F450D">
              <w:rPr>
                <w:b/>
                <w:u w:val="single"/>
                <w:lang w:val="en-US" w:eastAsia="en-US"/>
              </w:rPr>
              <w:t>Providing details to the regulator</w:t>
            </w:r>
          </w:p>
        </w:tc>
      </w:tr>
      <w:tr w:rsidR="009D6CF6" w:rsidRPr="00C05BE2" w14:paraId="6B25D29B" w14:textId="77777777" w:rsidTr="00D86E5E">
        <w:tc>
          <w:tcPr>
            <w:tcW w:w="3275" w:type="dxa"/>
          </w:tcPr>
          <w:p w14:paraId="23155E95" w14:textId="77777777" w:rsidR="009D6CF6" w:rsidRPr="004F450D" w:rsidRDefault="009D6CF6" w:rsidP="00C04AA9">
            <w:pPr>
              <w:pStyle w:val="tabletext"/>
              <w:rPr>
                <w:lang w:val="en-US" w:eastAsia="en-US"/>
              </w:rPr>
            </w:pPr>
            <w:r w:rsidRPr="004F450D">
              <w:rPr>
                <w:lang w:val="en-US" w:eastAsia="en-US"/>
              </w:rPr>
              <w:t>Insurers must give certain reports and contact details of officers to APRA.</w:t>
            </w:r>
          </w:p>
          <w:p w14:paraId="05DA4FDA" w14:textId="77777777" w:rsidR="009D6CF6" w:rsidRPr="004F450D" w:rsidRDefault="009D6CF6" w:rsidP="00C04AA9">
            <w:pPr>
              <w:pStyle w:val="tabletext"/>
              <w:rPr>
                <w:lang w:val="en-US" w:eastAsia="en-US"/>
              </w:rPr>
            </w:pPr>
          </w:p>
        </w:tc>
        <w:tc>
          <w:tcPr>
            <w:tcW w:w="3276" w:type="dxa"/>
          </w:tcPr>
          <w:p w14:paraId="233609E1" w14:textId="77777777" w:rsidR="009D6CF6" w:rsidRPr="004F450D" w:rsidRDefault="009D6CF6" w:rsidP="00D86E5E">
            <w:pPr>
              <w:pStyle w:val="tabletext"/>
              <w:rPr>
                <w:lang w:val="en-US" w:eastAsia="en-US"/>
              </w:rPr>
            </w:pPr>
            <w:r w:rsidRPr="004F450D">
              <w:rPr>
                <w:lang w:val="en-US" w:eastAsia="en-US"/>
              </w:rPr>
              <w:t>Insurers must give certain repo</w:t>
            </w:r>
            <w:r>
              <w:rPr>
                <w:lang w:val="en-US" w:eastAsia="en-US"/>
              </w:rPr>
              <w:t>rts and contact details of the Chief Executive O</w:t>
            </w:r>
            <w:r w:rsidRPr="004F450D">
              <w:rPr>
                <w:lang w:val="en-US" w:eastAsia="en-US"/>
              </w:rPr>
              <w:t>fficer to APRA.</w:t>
            </w:r>
          </w:p>
        </w:tc>
      </w:tr>
    </w:tbl>
    <w:p w14:paraId="250D644B" w14:textId="77777777" w:rsidR="00D86E5E" w:rsidRDefault="00D86E5E" w:rsidP="00D86E5E">
      <w:pPr>
        <w:pStyle w:val="Heading2"/>
      </w:pPr>
      <w:r w:rsidRPr="00C04AA9">
        <w:t>Detailed explanation of new law</w:t>
      </w:r>
    </w:p>
    <w:p w14:paraId="0DCD5EF3" w14:textId="77777777" w:rsidR="00014D99" w:rsidRDefault="00014D99" w:rsidP="009E428D">
      <w:pPr>
        <w:pStyle w:val="Heading3"/>
      </w:pPr>
      <w:r>
        <w:t xml:space="preserve">Division 1 – Introduction </w:t>
      </w:r>
    </w:p>
    <w:p w14:paraId="1AC0519E" w14:textId="77777777" w:rsidR="00014D99" w:rsidRPr="00CF5AF6" w:rsidRDefault="00014D99" w:rsidP="001A57F7">
      <w:pPr>
        <w:pStyle w:val="Heading4"/>
      </w:pPr>
      <w:r w:rsidRPr="00C04AA9">
        <w:t>Simplified outline</w:t>
      </w:r>
      <w:r w:rsidR="00017521" w:rsidRPr="00CF5AF6">
        <w:t xml:space="preserve"> of this Part</w:t>
      </w:r>
    </w:p>
    <w:p w14:paraId="5F07DCDC" w14:textId="77777777" w:rsidR="00645100" w:rsidRPr="006D4186" w:rsidRDefault="004224CB" w:rsidP="000F194A">
      <w:pPr>
        <w:pStyle w:val="base-text-paragraph"/>
        <w:rPr>
          <w:rStyle w:val="Referencingstyle"/>
          <w:b w:val="0"/>
          <w:i w:val="0"/>
          <w:sz w:val="22"/>
        </w:rPr>
      </w:pPr>
      <w:r w:rsidRPr="004224CB">
        <w:t xml:space="preserve">The obligations of a private health insurer include </w:t>
      </w:r>
      <w:r w:rsidR="005971B2">
        <w:t>requirements</w:t>
      </w:r>
      <w:r w:rsidR="005971B2" w:rsidRPr="004224CB">
        <w:t xml:space="preserve"> </w:t>
      </w:r>
      <w:r w:rsidRPr="004224CB">
        <w:t>to have an appointed actuary, to not allow disqualified persons to act as officers or actuaries, and to not use the insurer’s money to meet certain liabilities of officers.</w:t>
      </w:r>
      <w:r w:rsidR="00645100">
        <w:t xml:space="preserve">  </w:t>
      </w:r>
      <w:r w:rsidRPr="004224CB">
        <w:t xml:space="preserve">The appointed actuary of a private health insurer also has obligations, including </w:t>
      </w:r>
      <w:r w:rsidR="005971B2">
        <w:t>requirements</w:t>
      </w:r>
      <w:r w:rsidR="005971B2" w:rsidRPr="004224CB">
        <w:t xml:space="preserve"> </w:t>
      </w:r>
      <w:r w:rsidRPr="004224CB">
        <w:t>to draw certain matters to the attention of the insurer’s directors, and to provide information to APRA.</w:t>
      </w:r>
      <w:r w:rsidR="00645100">
        <w:t xml:space="preserve"> </w:t>
      </w:r>
      <w:r w:rsidR="00645100" w:rsidRPr="006D4186">
        <w:rPr>
          <w:rStyle w:val="Referencingstyle"/>
        </w:rPr>
        <w:t>[Part</w:t>
      </w:r>
      <w:r w:rsidR="00645100">
        <w:rPr>
          <w:rStyle w:val="Referencingstyle"/>
        </w:rPr>
        <w:t>, 5</w:t>
      </w:r>
      <w:r w:rsidR="00645100" w:rsidRPr="006D4186">
        <w:rPr>
          <w:rStyle w:val="Referencingstyle"/>
        </w:rPr>
        <w:t xml:space="preserve"> Division </w:t>
      </w:r>
      <w:r w:rsidR="00645100">
        <w:rPr>
          <w:rStyle w:val="Referencingstyle"/>
        </w:rPr>
        <w:t>2, section</w:t>
      </w:r>
      <w:r w:rsidR="00645100" w:rsidRPr="006D4186">
        <w:rPr>
          <w:rStyle w:val="Referencingstyle"/>
        </w:rPr>
        <w:t xml:space="preserve"> </w:t>
      </w:r>
      <w:r w:rsidR="00645100">
        <w:rPr>
          <w:rStyle w:val="Referencingstyle"/>
        </w:rPr>
        <w:t>105</w:t>
      </w:r>
      <w:r w:rsidR="00645100" w:rsidRPr="006D4186">
        <w:rPr>
          <w:rStyle w:val="Referencingstyle"/>
        </w:rPr>
        <w:t>)]</w:t>
      </w:r>
    </w:p>
    <w:p w14:paraId="4BB0C22E" w14:textId="77777777" w:rsidR="00CF4872" w:rsidRDefault="009E428D" w:rsidP="00EF64FD">
      <w:pPr>
        <w:pStyle w:val="Heading4"/>
        <w:keepLines/>
      </w:pPr>
      <w:r>
        <w:t>Appointment</w:t>
      </w:r>
    </w:p>
    <w:p w14:paraId="57164BE1" w14:textId="77777777" w:rsidR="009E428D" w:rsidRPr="006D4186" w:rsidRDefault="00372AB4" w:rsidP="00EF64FD">
      <w:pPr>
        <w:pStyle w:val="base-text-paragraph"/>
        <w:keepNext/>
        <w:keepLines/>
        <w:rPr>
          <w:rStyle w:val="Referencingstyle"/>
          <w:b w:val="0"/>
          <w:i w:val="0"/>
          <w:sz w:val="22"/>
        </w:rPr>
      </w:pPr>
      <w:r>
        <w:t>An</w:t>
      </w:r>
      <w:r w:rsidR="009E428D">
        <w:t xml:space="preserve"> insurer must </w:t>
      </w:r>
      <w:r>
        <w:t>appoint</w:t>
      </w:r>
      <w:r w:rsidR="009E428D">
        <w:t xml:space="preserve"> an actuary. If </w:t>
      </w:r>
      <w:r>
        <w:t xml:space="preserve">an actuary </w:t>
      </w:r>
      <w:r w:rsidR="009E428D">
        <w:t xml:space="preserve">ceases to </w:t>
      </w:r>
      <w:r>
        <w:t>work for the insurer</w:t>
      </w:r>
      <w:r w:rsidR="009E428D">
        <w:t>, the insurer must appoint ano</w:t>
      </w:r>
      <w:r w:rsidR="00A67257">
        <w:t xml:space="preserve">ther actuary within six weeks. This requirement ensures </w:t>
      </w:r>
      <w:r w:rsidR="006D3F42">
        <w:t>that the</w:t>
      </w:r>
      <w:r w:rsidR="00A67257">
        <w:t xml:space="preserve"> insurer has an actuary to carry out an actuary’s statutory functions and duties in relation to the insurer </w:t>
      </w:r>
      <w:r w:rsidR="009E428D" w:rsidRPr="006D4186">
        <w:rPr>
          <w:rStyle w:val="Referencingstyle"/>
        </w:rPr>
        <w:t>[Part</w:t>
      </w:r>
      <w:r w:rsidR="005D7A70">
        <w:rPr>
          <w:rStyle w:val="Referencingstyle"/>
        </w:rPr>
        <w:t> </w:t>
      </w:r>
      <w:r w:rsidR="00017521">
        <w:rPr>
          <w:rStyle w:val="Referencingstyle"/>
        </w:rPr>
        <w:t>5</w:t>
      </w:r>
      <w:r w:rsidR="005D7A70">
        <w:rPr>
          <w:rStyle w:val="Referencingstyle"/>
        </w:rPr>
        <w:t>,</w:t>
      </w:r>
      <w:r w:rsidR="009E428D" w:rsidRPr="006D4186">
        <w:rPr>
          <w:rStyle w:val="Referencingstyle"/>
        </w:rPr>
        <w:t xml:space="preserve"> Division</w:t>
      </w:r>
      <w:r w:rsidR="005D7A70">
        <w:rPr>
          <w:rStyle w:val="Referencingstyle"/>
        </w:rPr>
        <w:t> </w:t>
      </w:r>
      <w:r w:rsidR="00017521">
        <w:rPr>
          <w:rStyle w:val="Referencingstyle"/>
        </w:rPr>
        <w:t>2</w:t>
      </w:r>
      <w:r w:rsidR="009E428D" w:rsidRPr="006D4186">
        <w:rPr>
          <w:rStyle w:val="Referencingstyle"/>
        </w:rPr>
        <w:t>, s</w:t>
      </w:r>
      <w:r w:rsidR="00F76645">
        <w:rPr>
          <w:rStyle w:val="Referencingstyle"/>
        </w:rPr>
        <w:t>ubs</w:t>
      </w:r>
      <w:r w:rsidR="009E428D" w:rsidRPr="006D4186">
        <w:rPr>
          <w:rStyle w:val="Referencingstyle"/>
        </w:rPr>
        <w:t xml:space="preserve">ections </w:t>
      </w:r>
      <w:r w:rsidR="00C05BE2">
        <w:rPr>
          <w:rStyle w:val="Referencingstyle"/>
        </w:rPr>
        <w:t>10</w:t>
      </w:r>
      <w:r w:rsidR="005D7A70">
        <w:rPr>
          <w:rStyle w:val="Referencingstyle"/>
        </w:rPr>
        <w:t>6</w:t>
      </w:r>
      <w:r w:rsidR="009E428D" w:rsidRPr="006D4186">
        <w:rPr>
          <w:rStyle w:val="Referencingstyle"/>
        </w:rPr>
        <w:t>(1) and (2)]</w:t>
      </w:r>
    </w:p>
    <w:p w14:paraId="0D69E988" w14:textId="77777777" w:rsidR="009E428D" w:rsidRDefault="009E428D" w:rsidP="000F194A">
      <w:pPr>
        <w:pStyle w:val="base-text-paragraph"/>
      </w:pPr>
      <w:r>
        <w:t xml:space="preserve">A private </w:t>
      </w:r>
      <w:r w:rsidR="00F76645">
        <w:t xml:space="preserve">health insurer </w:t>
      </w:r>
      <w:r w:rsidR="004E0F34">
        <w:t xml:space="preserve">can only appoint </w:t>
      </w:r>
      <w:r>
        <w:t xml:space="preserve">an actuary </w:t>
      </w:r>
      <w:r w:rsidR="00C10E16">
        <w:t>that the insurer is satisfied meets</w:t>
      </w:r>
      <w:r w:rsidR="004E0F34">
        <w:t xml:space="preserve"> the eligibility criteria, </w:t>
      </w:r>
      <w:r w:rsidR="00023911">
        <w:t xml:space="preserve">which are </w:t>
      </w:r>
      <w:r w:rsidR="004E0F34">
        <w:t>set out in APRA’s prudential standards</w:t>
      </w:r>
      <w:r w:rsidR="004D7142">
        <w:t>.</w:t>
      </w:r>
      <w:r w:rsidR="00A67257">
        <w:t xml:space="preserve"> This requirement ensures the actuary is appropriately qualified</w:t>
      </w:r>
      <w:r w:rsidR="00C36CF4">
        <w:t xml:space="preserve"> and fit for appointment</w:t>
      </w:r>
      <w:r w:rsidR="00A67257">
        <w:t>.</w:t>
      </w:r>
      <w:r w:rsidR="00023911">
        <w:t xml:space="preserve"> </w:t>
      </w:r>
      <w:r w:rsidR="00023911" w:rsidRPr="00C04AA9">
        <w:rPr>
          <w:rStyle w:val="Referencingstyle"/>
        </w:rPr>
        <w:t>[Part 5, Division 2, subsection</w:t>
      </w:r>
      <w:r w:rsidR="005D7A70">
        <w:rPr>
          <w:rStyle w:val="Referencingstyle"/>
        </w:rPr>
        <w:t> </w:t>
      </w:r>
      <w:r w:rsidR="00023911" w:rsidRPr="00C04AA9">
        <w:rPr>
          <w:rStyle w:val="Referencingstyle"/>
        </w:rPr>
        <w:t>10</w:t>
      </w:r>
      <w:r w:rsidR="005D7A70">
        <w:rPr>
          <w:rStyle w:val="Referencingstyle"/>
        </w:rPr>
        <w:t>6</w:t>
      </w:r>
      <w:r w:rsidR="00023911" w:rsidRPr="00C04AA9">
        <w:rPr>
          <w:rStyle w:val="Referencingstyle"/>
        </w:rPr>
        <w:t>(3</w:t>
      </w:r>
      <w:r w:rsidR="00023911">
        <w:rPr>
          <w:rStyle w:val="Referencingstyle"/>
        </w:rPr>
        <w:t>)]</w:t>
      </w:r>
      <w:r w:rsidR="004E0F34">
        <w:t xml:space="preserve"> </w:t>
      </w:r>
    </w:p>
    <w:p w14:paraId="3330C460" w14:textId="77777777" w:rsidR="009E428D" w:rsidRPr="00C04AA9" w:rsidRDefault="00023911" w:rsidP="000F194A">
      <w:pPr>
        <w:pStyle w:val="base-text-paragraph"/>
      </w:pPr>
      <w:r>
        <w:t>A private health insurer</w:t>
      </w:r>
      <w:r w:rsidR="009E428D" w:rsidRPr="00C04AA9">
        <w:t xml:space="preserve"> </w:t>
      </w:r>
      <w:r>
        <w:t>must</w:t>
      </w:r>
      <w:r w:rsidR="009E428D" w:rsidRPr="006C3D7A">
        <w:t xml:space="preserve"> not </w:t>
      </w:r>
      <w:r>
        <w:t xml:space="preserve">appoint an actuary who </w:t>
      </w:r>
      <w:r w:rsidR="00367133">
        <w:t>is</w:t>
      </w:r>
      <w:r>
        <w:t xml:space="preserve"> </w:t>
      </w:r>
      <w:r w:rsidR="009E428D" w:rsidRPr="006C3D7A">
        <w:t>disqualified</w:t>
      </w:r>
      <w:r w:rsidR="004D7142">
        <w:t>.</w:t>
      </w:r>
      <w:r w:rsidR="00A67257">
        <w:t xml:space="preserve"> This protects the insurer from an actuary who is not fit or proper.</w:t>
      </w:r>
      <w:r w:rsidR="00C04AA9">
        <w:rPr>
          <w:rStyle w:val="Referencingstyle"/>
        </w:rPr>
        <w:t xml:space="preserve"> </w:t>
      </w:r>
      <w:r w:rsidR="009E428D" w:rsidRPr="00C04AA9">
        <w:rPr>
          <w:rStyle w:val="Referencingstyle"/>
        </w:rPr>
        <w:t xml:space="preserve">[Part </w:t>
      </w:r>
      <w:r w:rsidR="009E25ED" w:rsidRPr="00C04AA9">
        <w:rPr>
          <w:rStyle w:val="Referencingstyle"/>
        </w:rPr>
        <w:t>5</w:t>
      </w:r>
      <w:r w:rsidR="003C620A" w:rsidRPr="00C04AA9">
        <w:rPr>
          <w:rStyle w:val="Referencingstyle"/>
        </w:rPr>
        <w:t>,</w:t>
      </w:r>
      <w:r w:rsidR="009E428D" w:rsidRPr="00C04AA9">
        <w:rPr>
          <w:rStyle w:val="Referencingstyle"/>
        </w:rPr>
        <w:t xml:space="preserve"> Division </w:t>
      </w:r>
      <w:r w:rsidR="00017521" w:rsidRPr="00C04AA9">
        <w:rPr>
          <w:rStyle w:val="Referencingstyle"/>
        </w:rPr>
        <w:t>2</w:t>
      </w:r>
      <w:r w:rsidR="00F76645" w:rsidRPr="00C04AA9">
        <w:rPr>
          <w:rStyle w:val="Referencingstyle"/>
        </w:rPr>
        <w:t>, subsectio</w:t>
      </w:r>
      <w:r w:rsidR="009E428D" w:rsidRPr="00C04AA9">
        <w:rPr>
          <w:rStyle w:val="Referencingstyle"/>
        </w:rPr>
        <w:t>n</w:t>
      </w:r>
      <w:r w:rsidR="00F76645" w:rsidRPr="00C04AA9">
        <w:rPr>
          <w:rStyle w:val="Referencingstyle"/>
        </w:rPr>
        <w:t xml:space="preserve"> </w:t>
      </w:r>
      <w:r w:rsidR="00C05BE2" w:rsidRPr="00C04AA9">
        <w:rPr>
          <w:rStyle w:val="Referencingstyle"/>
        </w:rPr>
        <w:t>10</w:t>
      </w:r>
      <w:r w:rsidR="005D7A70">
        <w:rPr>
          <w:rStyle w:val="Referencingstyle"/>
        </w:rPr>
        <w:t>6</w:t>
      </w:r>
      <w:r w:rsidR="00F76645" w:rsidRPr="00C04AA9">
        <w:rPr>
          <w:rStyle w:val="Referencingstyle"/>
        </w:rPr>
        <w:t>(</w:t>
      </w:r>
      <w:r w:rsidR="00363661">
        <w:rPr>
          <w:rStyle w:val="Referencingstyle"/>
        </w:rPr>
        <w:t>4</w:t>
      </w:r>
      <w:r w:rsidR="00F76645" w:rsidRPr="00C04AA9">
        <w:rPr>
          <w:rStyle w:val="Referencingstyle"/>
        </w:rPr>
        <w:t>)</w:t>
      </w:r>
      <w:r w:rsidR="009E428D" w:rsidRPr="00C04AA9">
        <w:rPr>
          <w:rStyle w:val="Referencingstyle"/>
        </w:rPr>
        <w:t>]</w:t>
      </w:r>
    </w:p>
    <w:p w14:paraId="70EA52AA" w14:textId="77777777" w:rsidR="00F76645" w:rsidRDefault="00D31FE2" w:rsidP="000F194A">
      <w:pPr>
        <w:pStyle w:val="base-text-paragraph"/>
      </w:pPr>
      <w:r>
        <w:t>If there is</w:t>
      </w:r>
      <w:r w:rsidR="00F76645">
        <w:t xml:space="preserve"> already </w:t>
      </w:r>
      <w:r>
        <w:t>an</w:t>
      </w:r>
      <w:r w:rsidR="008931AB">
        <w:t xml:space="preserve"> appointed actuary</w:t>
      </w:r>
      <w:r>
        <w:t xml:space="preserve"> another actuary cannot be appointed</w:t>
      </w:r>
      <w:r w:rsidR="00F76645">
        <w:t xml:space="preserve">. </w:t>
      </w:r>
      <w:r w:rsidR="00F76645" w:rsidRPr="0071546A">
        <w:rPr>
          <w:rStyle w:val="Referencingstyle"/>
        </w:rPr>
        <w:t xml:space="preserve">[Part </w:t>
      </w:r>
      <w:r w:rsidR="009E25ED">
        <w:rPr>
          <w:rStyle w:val="Referencingstyle"/>
        </w:rPr>
        <w:t>5</w:t>
      </w:r>
      <w:r w:rsidR="003C620A">
        <w:rPr>
          <w:rStyle w:val="Referencingstyle"/>
        </w:rPr>
        <w:t>,</w:t>
      </w:r>
      <w:r w:rsidR="00F76645" w:rsidRPr="0071546A">
        <w:rPr>
          <w:rStyle w:val="Referencingstyle"/>
        </w:rPr>
        <w:t xml:space="preserve"> Division </w:t>
      </w:r>
      <w:r w:rsidR="00017521">
        <w:rPr>
          <w:rStyle w:val="Referencingstyle"/>
        </w:rPr>
        <w:t>2</w:t>
      </w:r>
      <w:r w:rsidR="00F76645" w:rsidRPr="0071546A">
        <w:rPr>
          <w:rStyle w:val="Referencingstyle"/>
        </w:rPr>
        <w:t>, s</w:t>
      </w:r>
      <w:r w:rsidR="00F76645">
        <w:rPr>
          <w:rStyle w:val="Referencingstyle"/>
        </w:rPr>
        <w:t>ubs</w:t>
      </w:r>
      <w:r w:rsidR="00F76645" w:rsidRPr="0071546A">
        <w:rPr>
          <w:rStyle w:val="Referencingstyle"/>
        </w:rPr>
        <w:t>ection</w:t>
      </w:r>
      <w:r w:rsidR="00017521">
        <w:rPr>
          <w:rStyle w:val="Referencingstyle"/>
        </w:rPr>
        <w:t> </w:t>
      </w:r>
      <w:r w:rsidR="00C05BE2">
        <w:rPr>
          <w:rStyle w:val="Referencingstyle"/>
        </w:rPr>
        <w:t>10</w:t>
      </w:r>
      <w:r w:rsidR="005D7A70">
        <w:rPr>
          <w:rStyle w:val="Referencingstyle"/>
        </w:rPr>
        <w:t>6</w:t>
      </w:r>
      <w:r w:rsidR="00F76645">
        <w:rPr>
          <w:rStyle w:val="Referencingstyle"/>
        </w:rPr>
        <w:t>(</w:t>
      </w:r>
      <w:r w:rsidR="00363661">
        <w:rPr>
          <w:rStyle w:val="Referencingstyle"/>
        </w:rPr>
        <w:t>5</w:t>
      </w:r>
      <w:r w:rsidR="00F76645">
        <w:rPr>
          <w:rStyle w:val="Referencingstyle"/>
        </w:rPr>
        <w:t>)</w:t>
      </w:r>
      <w:r w:rsidR="00F76645" w:rsidRPr="0071546A">
        <w:rPr>
          <w:rStyle w:val="Referencingstyle"/>
        </w:rPr>
        <w:t>]</w:t>
      </w:r>
    </w:p>
    <w:p w14:paraId="68724203" w14:textId="77777777" w:rsidR="009E428D" w:rsidRDefault="009E428D" w:rsidP="006D4186">
      <w:pPr>
        <w:pStyle w:val="Heading4"/>
      </w:pPr>
      <w:r>
        <w:t>Ending an appointment as actuary</w:t>
      </w:r>
    </w:p>
    <w:p w14:paraId="025B497B" w14:textId="77777777" w:rsidR="009E428D" w:rsidRDefault="00C4396B" w:rsidP="000F194A">
      <w:pPr>
        <w:pStyle w:val="base-text-paragraph"/>
      </w:pPr>
      <w:r>
        <w:t>A private health insurer mus</w:t>
      </w:r>
      <w:r w:rsidR="00F76645">
        <w:t>t end a person’</w:t>
      </w:r>
      <w:r>
        <w:t xml:space="preserve">s </w:t>
      </w:r>
      <w:r w:rsidR="00F76645">
        <w:t>appointment as actuary if:</w:t>
      </w:r>
    </w:p>
    <w:p w14:paraId="031EA5BD" w14:textId="77777777" w:rsidR="00F76645" w:rsidRDefault="00C4396B" w:rsidP="006D4186">
      <w:pPr>
        <w:pStyle w:val="dotpoint"/>
      </w:pPr>
      <w:r>
        <w:t>the person does not meet the eligibility criteria in the prudential standards; or</w:t>
      </w:r>
    </w:p>
    <w:p w14:paraId="49C90407" w14:textId="77777777" w:rsidR="00140C89" w:rsidRDefault="00140C89" w:rsidP="006D4186">
      <w:pPr>
        <w:pStyle w:val="dotpoint"/>
      </w:pPr>
      <w:r>
        <w:t xml:space="preserve">the </w:t>
      </w:r>
      <w:r w:rsidRPr="00C04AA9">
        <w:t xml:space="preserve">person is </w:t>
      </w:r>
      <w:r w:rsidRPr="006C3D7A">
        <w:t>subject to a disqualification order under section</w:t>
      </w:r>
      <w:r>
        <w:t> </w:t>
      </w:r>
      <w:r w:rsidRPr="00C04AA9">
        <w:t>119</w:t>
      </w:r>
      <w:r w:rsidR="003D0360">
        <w:t>;</w:t>
      </w:r>
      <w:r>
        <w:t xml:space="preserve"> or</w:t>
      </w:r>
    </w:p>
    <w:p w14:paraId="3FAC4C24" w14:textId="77777777" w:rsidR="00C4396B" w:rsidRDefault="00C4396B" w:rsidP="006D4186">
      <w:pPr>
        <w:pStyle w:val="dotpoint"/>
      </w:pPr>
      <w:r>
        <w:t xml:space="preserve">the insurer </w:t>
      </w:r>
      <w:r w:rsidR="004D7142">
        <w:t>reasonably</w:t>
      </w:r>
      <w:r>
        <w:t xml:space="preserve"> </w:t>
      </w:r>
      <w:r w:rsidR="004D7142">
        <w:t>believes</w:t>
      </w:r>
      <w:r>
        <w:t xml:space="preserve"> that the person has failed to adequately and properly </w:t>
      </w:r>
      <w:r w:rsidR="00367133">
        <w:t xml:space="preserve">perform </w:t>
      </w:r>
      <w:r>
        <w:t>their</w:t>
      </w:r>
      <w:r w:rsidR="006B3896">
        <w:t xml:space="preserve"> statutory functions</w:t>
      </w:r>
      <w:r>
        <w:t xml:space="preserve"> </w:t>
      </w:r>
      <w:r w:rsidR="005D7A70">
        <w:t>and</w:t>
      </w:r>
      <w:r>
        <w:t xml:space="preserve"> duties under </w:t>
      </w:r>
      <w:r w:rsidR="004F5C46">
        <w:t xml:space="preserve">the </w:t>
      </w:r>
      <w:r w:rsidR="004F5C46">
        <w:rPr>
          <w:lang w:val="en-US" w:eastAsia="en-US"/>
        </w:rPr>
        <w:t>Prudential Supervision Bill</w:t>
      </w:r>
      <w:r w:rsidR="003D0360">
        <w:t>.</w:t>
      </w:r>
      <w:r>
        <w:t xml:space="preserve"> </w:t>
      </w:r>
      <w:r w:rsidR="00140C89" w:rsidRPr="00C04AA9">
        <w:rPr>
          <w:rStyle w:val="Referencingstyle"/>
        </w:rPr>
        <w:t>[Part 5, Division 2, subsection 10</w:t>
      </w:r>
      <w:r w:rsidR="005D7A70">
        <w:rPr>
          <w:rStyle w:val="Referencingstyle"/>
        </w:rPr>
        <w:t>7</w:t>
      </w:r>
      <w:r w:rsidR="00140C89" w:rsidRPr="00C04AA9">
        <w:rPr>
          <w:rStyle w:val="Referencingstyle"/>
        </w:rPr>
        <w:t>(1)]</w:t>
      </w:r>
    </w:p>
    <w:p w14:paraId="4FF1DDD7" w14:textId="77777777" w:rsidR="004D7142" w:rsidRDefault="003D0360" w:rsidP="00D50E73">
      <w:pPr>
        <w:pStyle w:val="base-text-paragraph"/>
      </w:pPr>
      <w:r>
        <w:t>T</w:t>
      </w:r>
      <w:r w:rsidR="004D7142">
        <w:t xml:space="preserve">he test for whether an insurer has </w:t>
      </w:r>
      <w:r w:rsidR="00D5227E">
        <w:t>failed to adequately perform</w:t>
      </w:r>
      <w:r w:rsidR="004D7142">
        <w:t xml:space="preserve"> their duties </w:t>
      </w:r>
      <w:r w:rsidR="00D5227E">
        <w:t xml:space="preserve">has both subjective and objective elements. That is, the insurer must subjectively believe that the actuary has failed to perform their duties, but this belief must be objectively reasonable. The intention here is to prevent a situation where an insurer is being badly managed, and the actuary brings that bad management to the </w:t>
      </w:r>
      <w:r w:rsidR="008F207C">
        <w:t>insurer’s attention,</w:t>
      </w:r>
      <w:r w:rsidR="00D5227E">
        <w:t xml:space="preserve"> </w:t>
      </w:r>
      <w:r w:rsidR="00A67257">
        <w:t xml:space="preserve">and </w:t>
      </w:r>
      <w:r w:rsidR="00D5227E">
        <w:t xml:space="preserve">the insurer </w:t>
      </w:r>
      <w:r w:rsidR="008F207C">
        <w:t xml:space="preserve">responds by </w:t>
      </w:r>
      <w:r w:rsidR="00D5227E">
        <w:t>form</w:t>
      </w:r>
      <w:r w:rsidR="008F207C">
        <w:t>ing an unreasonable v</w:t>
      </w:r>
      <w:r w:rsidR="00D5227E">
        <w:t>iew that the actuary has failed to perform</w:t>
      </w:r>
      <w:r w:rsidR="00D5227E" w:rsidRPr="00D5227E">
        <w:t xml:space="preserve"> </w:t>
      </w:r>
      <w:r w:rsidR="00E424A2">
        <w:t xml:space="preserve">their duties </w:t>
      </w:r>
      <w:r w:rsidR="00D5227E">
        <w:t>adequately and properly</w:t>
      </w:r>
      <w:r w:rsidR="00140C89">
        <w:t>.</w:t>
      </w:r>
    </w:p>
    <w:p w14:paraId="0CD85601" w14:textId="77777777" w:rsidR="004D7142" w:rsidRDefault="004D7142" w:rsidP="00140C89">
      <w:pPr>
        <w:pStyle w:val="ExampleHeading"/>
      </w:pPr>
    </w:p>
    <w:p w14:paraId="6268101F" w14:textId="77777777" w:rsidR="004D7142" w:rsidRPr="00C4396B" w:rsidRDefault="00140C89" w:rsidP="00210E29">
      <w:pPr>
        <w:pStyle w:val="exampletext"/>
      </w:pPr>
      <w:r>
        <w:t>Laura is the appointed actuary of an insurer, TIM Health Co</w:t>
      </w:r>
      <w:r w:rsidR="00784E33">
        <w:t>.</w:t>
      </w:r>
      <w:r w:rsidR="00037B9B">
        <w:t xml:space="preserve"> a private health insurer</w:t>
      </w:r>
      <w:r>
        <w:t xml:space="preserve">. </w:t>
      </w:r>
      <w:r w:rsidR="00C36CF4" w:rsidRPr="00C36CF4">
        <w:t xml:space="preserve">Laura identifies a large and significant exposure relating to a health benefits fund of the insurer. She informs APRA that, in her assessment, this has caused TIM Health Co. to breach the </w:t>
      </w:r>
      <w:r w:rsidR="00C36CF4" w:rsidRPr="00C36CF4" w:rsidDel="00E9202F">
        <w:t xml:space="preserve">Prudential Supervision </w:t>
      </w:r>
      <w:r w:rsidR="00E9202F">
        <w:t>Bill</w:t>
      </w:r>
      <w:r w:rsidR="00224019" w:rsidRPr="00E35767">
        <w:t>.</w:t>
      </w:r>
      <w:r w:rsidR="00224019">
        <w:t xml:space="preserve"> The directors of TIM Health Co. are displeased that Laura has informed APRA of </w:t>
      </w:r>
      <w:r w:rsidR="00BE1D15">
        <w:t xml:space="preserve">the </w:t>
      </w:r>
      <w:r w:rsidR="00224019">
        <w:t xml:space="preserve">breach and decide to terminate Laura’s appointment as actuary. </w:t>
      </w:r>
      <w:r w:rsidR="00210E29">
        <w:t xml:space="preserve">They form the view that Laura has failed to perform adequately her statutory </w:t>
      </w:r>
      <w:r w:rsidR="00537427">
        <w:t xml:space="preserve">functions and </w:t>
      </w:r>
      <w:r w:rsidR="00210E29">
        <w:t>duties; however this is not a reasonable view. Therefore</w:t>
      </w:r>
      <w:r w:rsidR="00830FC0">
        <w:t>,</w:t>
      </w:r>
      <w:r w:rsidR="00210E29">
        <w:t xml:space="preserve"> TIM Health Co. </w:t>
      </w:r>
      <w:r w:rsidR="00537427">
        <w:t>cannot use section 107</w:t>
      </w:r>
      <w:r w:rsidR="00210E29">
        <w:t xml:space="preserve"> to terminate Laura’s appointment.</w:t>
      </w:r>
    </w:p>
    <w:p w14:paraId="4D3F5219" w14:textId="77777777" w:rsidR="003D0360" w:rsidRDefault="006B3896" w:rsidP="000F194A">
      <w:pPr>
        <w:pStyle w:val="base-text-paragraph"/>
      </w:pPr>
      <w:r>
        <w:t xml:space="preserve">An actuary’s statutory functions and duties include obligations under the </w:t>
      </w:r>
      <w:r w:rsidR="00A4138F" w:rsidDel="00E9202F">
        <w:t xml:space="preserve">Prudential Supervision </w:t>
      </w:r>
      <w:r w:rsidR="00E9202F">
        <w:t>Bill</w:t>
      </w:r>
      <w:r>
        <w:t>, the PHI</w:t>
      </w:r>
      <w:r w:rsidR="00A4138F">
        <w:t> </w:t>
      </w:r>
      <w:r>
        <w:t>Act and the</w:t>
      </w:r>
      <w:r w:rsidR="00A4138F">
        <w:t xml:space="preserve"> </w:t>
      </w:r>
      <w:r w:rsidRPr="004F5C46">
        <w:t>FS(CoD</w:t>
      </w:r>
      <w:r w:rsidRPr="006B3896">
        <w:t>) Act</w:t>
      </w:r>
      <w:r>
        <w:t>, including any relevant regulations</w:t>
      </w:r>
      <w:r w:rsidR="00F72341">
        <w:t>,</w:t>
      </w:r>
      <w:r>
        <w:t xml:space="preserve"> prudential standards and rules under </w:t>
      </w:r>
      <w:r w:rsidR="00781925">
        <w:t xml:space="preserve">that Bill or </w:t>
      </w:r>
      <w:r>
        <w:t xml:space="preserve">those </w:t>
      </w:r>
      <w:r w:rsidR="00830FC0">
        <w:t>Acts</w:t>
      </w:r>
      <w:r>
        <w:t xml:space="preserve">. </w:t>
      </w:r>
      <w:r w:rsidRPr="0071546A">
        <w:rPr>
          <w:rStyle w:val="Referencingstyle"/>
        </w:rPr>
        <w:t xml:space="preserve"> [Part </w:t>
      </w:r>
      <w:r>
        <w:rPr>
          <w:rStyle w:val="Referencingstyle"/>
        </w:rPr>
        <w:t>5,</w:t>
      </w:r>
      <w:r w:rsidRPr="0071546A">
        <w:rPr>
          <w:rStyle w:val="Referencingstyle"/>
        </w:rPr>
        <w:t xml:space="preserve"> Division </w:t>
      </w:r>
      <w:r>
        <w:rPr>
          <w:rStyle w:val="Referencingstyle"/>
        </w:rPr>
        <w:t>2</w:t>
      </w:r>
      <w:r w:rsidRPr="0071546A">
        <w:rPr>
          <w:rStyle w:val="Referencingstyle"/>
        </w:rPr>
        <w:t xml:space="preserve">, subsection </w:t>
      </w:r>
      <w:r w:rsidR="00830FC0">
        <w:rPr>
          <w:rStyle w:val="Referencingstyle"/>
        </w:rPr>
        <w:t>107</w:t>
      </w:r>
      <w:r>
        <w:rPr>
          <w:rStyle w:val="Referencingstyle"/>
        </w:rPr>
        <w:t>(2</w:t>
      </w:r>
      <w:r w:rsidRPr="0071546A">
        <w:rPr>
          <w:rStyle w:val="Referencingstyle"/>
        </w:rPr>
        <w:t>)]</w:t>
      </w:r>
    </w:p>
    <w:p w14:paraId="113D64F3" w14:textId="77777777" w:rsidR="00C4396B" w:rsidRPr="00DE6787" w:rsidRDefault="00BE1D15" w:rsidP="00DE6787">
      <w:pPr>
        <w:pStyle w:val="base-text-paragraph"/>
        <w:tabs>
          <w:tab w:val="clear" w:pos="1985"/>
          <w:tab w:val="num" w:pos="1986"/>
        </w:tabs>
        <w:rPr>
          <w:rStyle w:val="Referencingstyle"/>
          <w:b w:val="0"/>
          <w:i w:val="0"/>
          <w:sz w:val="22"/>
        </w:rPr>
      </w:pPr>
      <w:r>
        <w:t xml:space="preserve">The </w:t>
      </w:r>
      <w:r w:rsidR="004F5C46">
        <w:rPr>
          <w:lang w:val="en-US" w:eastAsia="en-US"/>
        </w:rPr>
        <w:t xml:space="preserve">Prudential Supervision </w:t>
      </w:r>
      <w:r w:rsidDel="004F5C46">
        <w:rPr>
          <w:lang w:val="en-US" w:eastAsia="en-US"/>
        </w:rPr>
        <w:t>Bill</w:t>
      </w:r>
      <w:r w:rsidR="00D13C51">
        <w:t xml:space="preserve"> allows</w:t>
      </w:r>
      <w:r w:rsidR="006B3896">
        <w:t xml:space="preserve"> directors of a</w:t>
      </w:r>
      <w:r w:rsidR="00D13C51">
        <w:t xml:space="preserve">n </w:t>
      </w:r>
      <w:r w:rsidR="001A7939">
        <w:t>insurer</w:t>
      </w:r>
      <w:r w:rsidR="006B3896">
        <w:t xml:space="preserve"> to </w:t>
      </w:r>
      <w:r w:rsidR="00D13C51">
        <w:t xml:space="preserve">temporarily </w:t>
      </w:r>
      <w:r w:rsidR="006B3896">
        <w:t>appoint another</w:t>
      </w:r>
      <w:r w:rsidR="00D13C51">
        <w:t xml:space="preserve"> actuary even where the appointment is not in accordance with the insurer’s constitution or the insurer’s rules</w:t>
      </w:r>
      <w:r w:rsidR="00DE6787">
        <w:t xml:space="preserve"> </w:t>
      </w:r>
      <w:r w:rsidR="00DE6787" w:rsidRPr="00DE6787">
        <w:t>(</w:t>
      </w:r>
      <w:r w:rsidR="00DE6787">
        <w:t>this is</w:t>
      </w:r>
      <w:r w:rsidR="00DE6787" w:rsidRPr="00DE6787">
        <w:t xml:space="preserve"> where the power to appoint is not vested in the di</w:t>
      </w:r>
      <w:r w:rsidR="00DE6787">
        <w:t>rectors or the directors alone)</w:t>
      </w:r>
      <w:r w:rsidR="00D13C51">
        <w:t>, where an insurer has termina</w:t>
      </w:r>
      <w:r w:rsidR="00001B9D">
        <w:t>ted an actuary under subsection </w:t>
      </w:r>
      <w:r w:rsidR="00830FC0">
        <w:t>107</w:t>
      </w:r>
      <w:r w:rsidR="00D13C51">
        <w:t xml:space="preserve">(1).  The appointment must still be consistent with subsection </w:t>
      </w:r>
      <w:r w:rsidR="00830FC0">
        <w:t>106</w:t>
      </w:r>
      <w:r w:rsidR="00D13C51">
        <w:t>(3)</w:t>
      </w:r>
      <w:r w:rsidR="00DE6787">
        <w:t>,</w:t>
      </w:r>
      <w:r w:rsidR="00DE6787" w:rsidRPr="00DE6787">
        <w:t xml:space="preserve"> which requires the appointment to meet the eligibility criteria in the prudential standards</w:t>
      </w:r>
      <w:r w:rsidR="00D13C51">
        <w:t>. This power en</w:t>
      </w:r>
      <w:r>
        <w:t xml:space="preserve">sures that the insurer </w:t>
      </w:r>
      <w:r w:rsidR="00DE6787">
        <w:t>can temporarily appoint an actuary pending</w:t>
      </w:r>
      <w:r w:rsidR="00D13C51">
        <w:t xml:space="preserve"> an a</w:t>
      </w:r>
      <w:r w:rsidR="001A7939">
        <w:t xml:space="preserve">ppointment in accordance with the </w:t>
      </w:r>
      <w:r w:rsidR="006762EB">
        <w:t>insurer’s</w:t>
      </w:r>
      <w:r w:rsidR="001A7939">
        <w:t xml:space="preserve"> constitution or business rules. </w:t>
      </w:r>
      <w:r w:rsidR="00993ECD" w:rsidRPr="00430E33">
        <w:rPr>
          <w:b/>
          <w:i/>
          <w:sz w:val="18"/>
        </w:rPr>
        <w:t>[</w:t>
      </w:r>
      <w:r w:rsidR="00001B9D">
        <w:rPr>
          <w:b/>
          <w:i/>
          <w:sz w:val="18"/>
        </w:rPr>
        <w:t>Part 5, Division 2, subsection </w:t>
      </w:r>
      <w:r w:rsidR="00993ECD" w:rsidRPr="00DE6787">
        <w:rPr>
          <w:b/>
          <w:i/>
          <w:sz w:val="18"/>
        </w:rPr>
        <w:t>107(3)]</w:t>
      </w:r>
    </w:p>
    <w:p w14:paraId="7B5665E9" w14:textId="77777777" w:rsidR="006762EB" w:rsidRDefault="00052DC8" w:rsidP="001A57F7">
      <w:pPr>
        <w:pStyle w:val="Heading4"/>
      </w:pPr>
      <w:r>
        <w:t>N</w:t>
      </w:r>
      <w:r w:rsidR="006762EB">
        <w:t>otification of appointment etc.</w:t>
      </w:r>
    </w:p>
    <w:p w14:paraId="3C909F38" w14:textId="77777777" w:rsidR="00C4396B" w:rsidRDefault="001A7939" w:rsidP="000F194A">
      <w:pPr>
        <w:pStyle w:val="base-text-paragraph"/>
      </w:pPr>
      <w:r>
        <w:t>An insurer that appoints an actuary must</w:t>
      </w:r>
      <w:r w:rsidR="00474F11">
        <w:t>,</w:t>
      </w:r>
      <w:r>
        <w:t xml:space="preserve"> </w:t>
      </w:r>
      <w:r w:rsidR="00474F11">
        <w:t xml:space="preserve">within 14 days, </w:t>
      </w:r>
      <w:r>
        <w:t xml:space="preserve">provide APRA with certain details about the </w:t>
      </w:r>
      <w:r w:rsidR="00E05F22">
        <w:t xml:space="preserve">appointed actuary </w:t>
      </w:r>
      <w:r>
        <w:t xml:space="preserve">and their appointment.  </w:t>
      </w:r>
      <w:r w:rsidR="00E05F22">
        <w:t xml:space="preserve">This requirement </w:t>
      </w:r>
      <w:r w:rsidR="00BE1D15">
        <w:t>assists</w:t>
      </w:r>
      <w:r w:rsidR="00E05F22">
        <w:t xml:space="preserve"> APRA to ensure the actuary is duly qualified and allows APRA to regulate the actuary’s conduct. </w:t>
      </w:r>
      <w:r w:rsidRPr="0071546A">
        <w:rPr>
          <w:rStyle w:val="Referencingstyle"/>
        </w:rPr>
        <w:t xml:space="preserve">[Part </w:t>
      </w:r>
      <w:r w:rsidR="009E25ED">
        <w:rPr>
          <w:rStyle w:val="Referencingstyle"/>
        </w:rPr>
        <w:t>5</w:t>
      </w:r>
      <w:r w:rsidR="003C620A">
        <w:rPr>
          <w:rStyle w:val="Referencingstyle"/>
        </w:rPr>
        <w:t>,</w:t>
      </w:r>
      <w:r w:rsidRPr="0071546A">
        <w:rPr>
          <w:rStyle w:val="Referencingstyle"/>
        </w:rPr>
        <w:t xml:space="preserve"> Division </w:t>
      </w:r>
      <w:r w:rsidR="009E25ED">
        <w:rPr>
          <w:rStyle w:val="Referencingstyle"/>
        </w:rPr>
        <w:t>2</w:t>
      </w:r>
      <w:r w:rsidRPr="0071546A">
        <w:rPr>
          <w:rStyle w:val="Referencingstyle"/>
        </w:rPr>
        <w:t>, subsection</w:t>
      </w:r>
      <w:r w:rsidR="006762EB">
        <w:rPr>
          <w:rStyle w:val="Referencingstyle"/>
        </w:rPr>
        <w:t>s</w:t>
      </w:r>
      <w:r w:rsidRPr="0071546A">
        <w:rPr>
          <w:rStyle w:val="Referencingstyle"/>
        </w:rPr>
        <w:t xml:space="preserve"> </w:t>
      </w:r>
      <w:r w:rsidR="00993ECD">
        <w:rPr>
          <w:rStyle w:val="Referencingstyle"/>
        </w:rPr>
        <w:t>108</w:t>
      </w:r>
      <w:r w:rsidR="006762EB">
        <w:rPr>
          <w:rStyle w:val="Referencingstyle"/>
        </w:rPr>
        <w:t>(1) and (2)</w:t>
      </w:r>
      <w:r w:rsidRPr="0071546A">
        <w:rPr>
          <w:rStyle w:val="Referencingstyle"/>
        </w:rPr>
        <w:t>]</w:t>
      </w:r>
      <w:r w:rsidRPr="00C4396B">
        <w:t xml:space="preserve"> </w:t>
      </w:r>
      <w:r>
        <w:t xml:space="preserve">  </w:t>
      </w:r>
    </w:p>
    <w:p w14:paraId="1338FFB0" w14:textId="77777777" w:rsidR="00474F11" w:rsidRPr="001662CA" w:rsidRDefault="00474F11" w:rsidP="000F194A">
      <w:pPr>
        <w:pStyle w:val="base-text-paragraph"/>
        <w:rPr>
          <w:rStyle w:val="Referencingstyle"/>
          <w:b w:val="0"/>
          <w:i w:val="0"/>
          <w:sz w:val="22"/>
        </w:rPr>
      </w:pPr>
      <w:r>
        <w:t xml:space="preserve">If an actuary’s appointment </w:t>
      </w:r>
      <w:r w:rsidR="00E05F22">
        <w:t>end</w:t>
      </w:r>
      <w:r w:rsidR="00BE1D15">
        <w:t>s</w:t>
      </w:r>
      <w:r>
        <w:t xml:space="preserve">, the insurer </w:t>
      </w:r>
      <w:r w:rsidR="00E05F22">
        <w:t>has 14 days to</w:t>
      </w:r>
      <w:r>
        <w:t xml:space="preserve"> notify </w:t>
      </w:r>
      <w:r w:rsidR="009A10B1">
        <w:t xml:space="preserve">APRA in writing that the </w:t>
      </w:r>
      <w:r w:rsidR="00E05F22">
        <w:t>actuary</w:t>
      </w:r>
      <w:r w:rsidR="009A10B1">
        <w:t>’s</w:t>
      </w:r>
      <w:r>
        <w:t xml:space="preserve"> appointment has ceased</w:t>
      </w:r>
      <w:r w:rsidR="009A10B1">
        <w:t>.</w:t>
      </w:r>
      <w:r w:rsidR="00E05F22">
        <w:t xml:space="preserve"> This requirement ensures APRA’s records of actuaries </w:t>
      </w:r>
      <w:r w:rsidR="008A4F85">
        <w:t>are</w:t>
      </w:r>
      <w:r w:rsidR="00E05F22">
        <w:t xml:space="preserve"> up-to-date for the purpose of regulating </w:t>
      </w:r>
      <w:r w:rsidR="00B034C5">
        <w:t>actuaries and their appointment</w:t>
      </w:r>
      <w:r w:rsidR="00E05F22">
        <w:t>.</w:t>
      </w:r>
      <w:r w:rsidR="000D6671">
        <w:t xml:space="preserve">  </w:t>
      </w:r>
      <w:r w:rsidR="000D6671" w:rsidRPr="006D4186">
        <w:rPr>
          <w:rStyle w:val="Referencingstyle"/>
        </w:rPr>
        <w:t xml:space="preserve">[Part </w:t>
      </w:r>
      <w:r w:rsidR="009E25ED">
        <w:rPr>
          <w:rStyle w:val="Referencingstyle"/>
        </w:rPr>
        <w:t>5</w:t>
      </w:r>
      <w:r w:rsidR="003C620A">
        <w:rPr>
          <w:rStyle w:val="Referencingstyle"/>
        </w:rPr>
        <w:t>,</w:t>
      </w:r>
      <w:r w:rsidR="000D6671" w:rsidRPr="006D4186">
        <w:rPr>
          <w:rStyle w:val="Referencingstyle"/>
        </w:rPr>
        <w:t xml:space="preserve"> Division </w:t>
      </w:r>
      <w:r w:rsidR="009E25ED">
        <w:rPr>
          <w:rStyle w:val="Referencingstyle"/>
        </w:rPr>
        <w:t>2</w:t>
      </w:r>
      <w:r w:rsidR="000D6671" w:rsidRPr="006D4186">
        <w:rPr>
          <w:rStyle w:val="Referencingstyle"/>
        </w:rPr>
        <w:t>, subsection</w:t>
      </w:r>
      <w:r w:rsidR="000D6671">
        <w:rPr>
          <w:rStyle w:val="Referencingstyle"/>
        </w:rPr>
        <w:t xml:space="preserve"> </w:t>
      </w:r>
      <w:r w:rsidR="00993ECD">
        <w:rPr>
          <w:rStyle w:val="Referencingstyle"/>
        </w:rPr>
        <w:t>108</w:t>
      </w:r>
      <w:r w:rsidR="000D6671" w:rsidRPr="006D4186">
        <w:rPr>
          <w:rStyle w:val="Referencingstyle"/>
        </w:rPr>
        <w:t>(</w:t>
      </w:r>
      <w:r w:rsidR="006762EB">
        <w:rPr>
          <w:rStyle w:val="Referencingstyle"/>
        </w:rPr>
        <w:t>3</w:t>
      </w:r>
      <w:r w:rsidR="000D6671" w:rsidRPr="006D4186">
        <w:rPr>
          <w:rStyle w:val="Referencingstyle"/>
        </w:rPr>
        <w:t>)</w:t>
      </w:r>
      <w:r w:rsidR="00993ECD">
        <w:rPr>
          <w:rStyle w:val="Referencingstyle"/>
        </w:rPr>
        <w:t xml:space="preserve"> and (4)</w:t>
      </w:r>
      <w:r w:rsidR="000D6671" w:rsidRPr="006D4186">
        <w:rPr>
          <w:rStyle w:val="Referencingstyle"/>
        </w:rPr>
        <w:t xml:space="preserve">]   </w:t>
      </w:r>
    </w:p>
    <w:p w14:paraId="0CB5BC56" w14:textId="77777777" w:rsidR="000D6671" w:rsidRDefault="00C16B53" w:rsidP="007E0B53">
      <w:pPr>
        <w:pStyle w:val="Heading4"/>
        <w:keepLines/>
      </w:pPr>
      <w:r>
        <w:t xml:space="preserve">Role of </w:t>
      </w:r>
      <w:r w:rsidR="00C05BE2">
        <w:t xml:space="preserve">appointed </w:t>
      </w:r>
      <w:r>
        <w:t>actuary</w:t>
      </w:r>
    </w:p>
    <w:p w14:paraId="3306E7F7" w14:textId="77777777" w:rsidR="00C16B53" w:rsidRDefault="00C16B53" w:rsidP="007E0B53">
      <w:pPr>
        <w:pStyle w:val="base-text-paragraph"/>
        <w:keepNext/>
        <w:keepLines/>
      </w:pPr>
      <w:r>
        <w:t>An appointed actuary must perform the</w:t>
      </w:r>
      <w:r w:rsidR="00B805E6">
        <w:t xml:space="preserve"> statutory</w:t>
      </w:r>
      <w:r>
        <w:t xml:space="preserve"> functions</w:t>
      </w:r>
      <w:r w:rsidR="00B805E6">
        <w:t xml:space="preserve"> and duties</w:t>
      </w:r>
      <w:r>
        <w:t xml:space="preserve"> set out in the prudential standards </w:t>
      </w:r>
      <w:r w:rsidR="008835AE">
        <w:t>(</w:t>
      </w:r>
      <w:r w:rsidR="00B805E6">
        <w:t>some of</w:t>
      </w:r>
      <w:r w:rsidR="00893FEB">
        <w:t xml:space="preserve"> which </w:t>
      </w:r>
      <w:r w:rsidR="008835AE">
        <w:t>apply directly to appointed actuaries)</w:t>
      </w:r>
      <w:r>
        <w:t xml:space="preserve">. </w:t>
      </w:r>
      <w:r w:rsidR="008A4F85">
        <w:t>This e</w:t>
      </w:r>
      <w:r w:rsidR="008B7749">
        <w:t>nsures that the actuary fulfil</w:t>
      </w:r>
      <w:r w:rsidR="00F42869">
        <w:t>s</w:t>
      </w:r>
      <w:r w:rsidR="008B7749">
        <w:t xml:space="preserve"> </w:t>
      </w:r>
      <w:r w:rsidR="008A4F85">
        <w:t>the regulator’s requirements</w:t>
      </w:r>
      <w:r w:rsidR="00AB1AF5">
        <w:t>,</w:t>
      </w:r>
      <w:r w:rsidR="008835AE">
        <w:t xml:space="preserve"> </w:t>
      </w:r>
      <w:r w:rsidR="00B034C5">
        <w:t xml:space="preserve">and </w:t>
      </w:r>
      <w:r w:rsidR="00F42869">
        <w:t>that</w:t>
      </w:r>
      <w:r w:rsidR="00B034C5">
        <w:t xml:space="preserve"> </w:t>
      </w:r>
      <w:r w:rsidR="009C4FA8">
        <w:t xml:space="preserve">(amongst other things) </w:t>
      </w:r>
      <w:r w:rsidR="00B034C5">
        <w:t>the</w:t>
      </w:r>
      <w:r w:rsidR="00AB1AF5">
        <w:t xml:space="preserve"> insurer </w:t>
      </w:r>
      <w:r w:rsidR="00BE5050">
        <w:t>appropriately</w:t>
      </w:r>
      <w:r w:rsidR="00D460D9">
        <w:t xml:space="preserve"> provisions for claims</w:t>
      </w:r>
      <w:r w:rsidR="008A4F85">
        <w:t>.</w:t>
      </w:r>
      <w:r>
        <w:t xml:space="preserve">  </w:t>
      </w:r>
      <w:r>
        <w:rPr>
          <w:rStyle w:val="Referencingstyle"/>
        </w:rPr>
        <w:t xml:space="preserve">[Part </w:t>
      </w:r>
      <w:r w:rsidR="006762EB">
        <w:rPr>
          <w:rStyle w:val="Referencingstyle"/>
        </w:rPr>
        <w:t>5</w:t>
      </w:r>
      <w:r w:rsidR="003C620A">
        <w:rPr>
          <w:rStyle w:val="Referencingstyle"/>
        </w:rPr>
        <w:t>,</w:t>
      </w:r>
      <w:r>
        <w:rPr>
          <w:rStyle w:val="Referencingstyle"/>
        </w:rPr>
        <w:t xml:space="preserve"> Division </w:t>
      </w:r>
      <w:r w:rsidR="006762EB">
        <w:rPr>
          <w:rStyle w:val="Referencingstyle"/>
        </w:rPr>
        <w:t>2</w:t>
      </w:r>
      <w:r>
        <w:rPr>
          <w:rStyle w:val="Referencingstyle"/>
        </w:rPr>
        <w:t xml:space="preserve">, </w:t>
      </w:r>
      <w:r w:rsidRPr="0071546A">
        <w:rPr>
          <w:rStyle w:val="Referencingstyle"/>
        </w:rPr>
        <w:t>s</w:t>
      </w:r>
      <w:r w:rsidR="006762EB">
        <w:rPr>
          <w:rStyle w:val="Referencingstyle"/>
        </w:rPr>
        <w:t>ubs</w:t>
      </w:r>
      <w:r w:rsidRPr="0071546A">
        <w:rPr>
          <w:rStyle w:val="Referencingstyle"/>
        </w:rPr>
        <w:t xml:space="preserve">ection </w:t>
      </w:r>
      <w:r w:rsidR="00993ECD">
        <w:rPr>
          <w:rStyle w:val="Referencingstyle"/>
        </w:rPr>
        <w:t>109</w:t>
      </w:r>
      <w:r w:rsidR="006762EB">
        <w:rPr>
          <w:rStyle w:val="Referencingstyle"/>
        </w:rPr>
        <w:t>(1</w:t>
      </w:r>
      <w:r>
        <w:rPr>
          <w:rStyle w:val="Referencingstyle"/>
        </w:rPr>
        <w:t>)</w:t>
      </w:r>
      <w:r w:rsidRPr="0071546A">
        <w:rPr>
          <w:rStyle w:val="Referencingstyle"/>
        </w:rPr>
        <w:t>]</w:t>
      </w:r>
    </w:p>
    <w:p w14:paraId="2AFDB577" w14:textId="77777777" w:rsidR="00C16B53" w:rsidRPr="006D4186" w:rsidRDefault="00C16B53" w:rsidP="000F194A">
      <w:pPr>
        <w:pStyle w:val="base-text-paragraph"/>
        <w:rPr>
          <w:rStyle w:val="Referencingstyle"/>
          <w:b w:val="0"/>
          <w:i w:val="0"/>
          <w:sz w:val="22"/>
        </w:rPr>
      </w:pPr>
      <w:r>
        <w:t>The private health insurer must enable the ap</w:t>
      </w:r>
      <w:r w:rsidR="00B034C5">
        <w:t>pointed actuary to perform their</w:t>
      </w:r>
      <w:r>
        <w:t xml:space="preserve"> functions, including</w:t>
      </w:r>
      <w:r w:rsidR="00B034C5">
        <w:t xml:space="preserve"> by</w:t>
      </w:r>
      <w:r>
        <w:t xml:space="preserve"> providing </w:t>
      </w:r>
      <w:r w:rsidR="00B034C5">
        <w:t>actuaries</w:t>
      </w:r>
      <w:r>
        <w:t xml:space="preserve"> with documents, requiring officers and employees to answer questions and allowing </w:t>
      </w:r>
      <w:r w:rsidR="00B034C5">
        <w:t>actuaries</w:t>
      </w:r>
      <w:r>
        <w:t xml:space="preserve"> to attend and speak at meetings. </w:t>
      </w:r>
      <w:r w:rsidR="00E5337D">
        <w:t>The requirement is</w:t>
      </w:r>
      <w:r>
        <w:t xml:space="preserve"> </w:t>
      </w:r>
      <w:r w:rsidR="00AB1AF5">
        <w:t>to ensure that an</w:t>
      </w:r>
      <w:r>
        <w:t xml:space="preserve"> </w:t>
      </w:r>
      <w:r w:rsidR="001B25BF">
        <w:t>actuary is capable of performing their role.</w:t>
      </w:r>
      <w:r w:rsidR="00AB1AF5">
        <w:t xml:space="preserve"> </w:t>
      </w:r>
      <w:r w:rsidR="00655878">
        <w:rPr>
          <w:rStyle w:val="Referencingstyle"/>
        </w:rPr>
        <w:t xml:space="preserve">[Part </w:t>
      </w:r>
      <w:r w:rsidR="006762EB">
        <w:rPr>
          <w:rStyle w:val="Referencingstyle"/>
        </w:rPr>
        <w:t>5</w:t>
      </w:r>
      <w:r w:rsidR="003C620A">
        <w:rPr>
          <w:rStyle w:val="Referencingstyle"/>
        </w:rPr>
        <w:t>,</w:t>
      </w:r>
      <w:r w:rsidR="00655878">
        <w:rPr>
          <w:rStyle w:val="Referencingstyle"/>
        </w:rPr>
        <w:t xml:space="preserve"> Division </w:t>
      </w:r>
      <w:r w:rsidR="006762EB">
        <w:rPr>
          <w:rStyle w:val="Referencingstyle"/>
        </w:rPr>
        <w:t>2</w:t>
      </w:r>
      <w:r w:rsidR="00655878">
        <w:rPr>
          <w:rStyle w:val="Referencingstyle"/>
        </w:rPr>
        <w:t xml:space="preserve">, </w:t>
      </w:r>
      <w:r w:rsidR="00655878" w:rsidRPr="0071546A">
        <w:rPr>
          <w:rStyle w:val="Referencingstyle"/>
        </w:rPr>
        <w:t>s</w:t>
      </w:r>
      <w:r w:rsidR="006762EB">
        <w:rPr>
          <w:rStyle w:val="Referencingstyle"/>
        </w:rPr>
        <w:t>ubs</w:t>
      </w:r>
      <w:r w:rsidR="00655878" w:rsidRPr="0071546A">
        <w:rPr>
          <w:rStyle w:val="Referencingstyle"/>
        </w:rPr>
        <w:t xml:space="preserve">ection </w:t>
      </w:r>
      <w:r w:rsidR="00C05BE2">
        <w:rPr>
          <w:rStyle w:val="Referencingstyle"/>
        </w:rPr>
        <w:t>10</w:t>
      </w:r>
      <w:r w:rsidR="00993ECD">
        <w:rPr>
          <w:rStyle w:val="Referencingstyle"/>
        </w:rPr>
        <w:t>9</w:t>
      </w:r>
      <w:r w:rsidR="006762EB">
        <w:rPr>
          <w:rStyle w:val="Referencingstyle"/>
        </w:rPr>
        <w:t>(2)</w:t>
      </w:r>
      <w:r w:rsidR="00655878" w:rsidRPr="0071546A">
        <w:rPr>
          <w:rStyle w:val="Referencingstyle"/>
        </w:rPr>
        <w:t>]</w:t>
      </w:r>
    </w:p>
    <w:p w14:paraId="62275BB0" w14:textId="77777777" w:rsidR="00655878" w:rsidRPr="006D4186" w:rsidRDefault="00655878" w:rsidP="006D4186">
      <w:pPr>
        <w:pStyle w:val="Heading4"/>
      </w:pPr>
      <w:r w:rsidRPr="006D4186">
        <w:t>Actuary’s obligation to report</w:t>
      </w:r>
    </w:p>
    <w:p w14:paraId="1AF55764" w14:textId="77777777" w:rsidR="00EF637A" w:rsidRDefault="00EF637A" w:rsidP="000F194A">
      <w:pPr>
        <w:pStyle w:val="base-text-paragraph"/>
      </w:pPr>
      <w:r>
        <w:t xml:space="preserve">If the </w:t>
      </w:r>
      <w:r w:rsidR="00655878">
        <w:t xml:space="preserve">actuary </w:t>
      </w:r>
      <w:r>
        <w:t>considers that</w:t>
      </w:r>
      <w:r w:rsidR="00655878">
        <w:t xml:space="preserve"> action </w:t>
      </w:r>
      <w:r>
        <w:t xml:space="preserve">must be taken </w:t>
      </w:r>
      <w:r w:rsidR="00655878">
        <w:t>to avoid contravention of th</w:t>
      </w:r>
      <w:r w:rsidR="004F5C46">
        <w:t xml:space="preserve">e </w:t>
      </w:r>
      <w:r w:rsidR="004F5C46">
        <w:rPr>
          <w:lang w:val="en-US" w:eastAsia="en-US"/>
        </w:rPr>
        <w:t>Prudential Supervision Bill</w:t>
      </w:r>
      <w:r w:rsidR="00655878">
        <w:t xml:space="preserve">, </w:t>
      </w:r>
      <w:r w:rsidR="006762EB">
        <w:t xml:space="preserve">the PHI Act </w:t>
      </w:r>
      <w:r w:rsidR="00655878">
        <w:t>or th</w:t>
      </w:r>
      <w:r w:rsidR="00E05725">
        <w:t>e FS(C</w:t>
      </w:r>
      <w:r w:rsidR="001A733C">
        <w:t>o</w:t>
      </w:r>
      <w:r w:rsidR="00E05725">
        <w:t>D) Act</w:t>
      </w:r>
      <w:r w:rsidR="00655878" w:rsidRPr="006D4186">
        <w:t>,</w:t>
      </w:r>
      <w:r w:rsidR="00655878">
        <w:t xml:space="preserve"> </w:t>
      </w:r>
      <w:r>
        <w:t>the actuary must bring this to the attention of the insurer</w:t>
      </w:r>
      <w:r w:rsidR="00885F62">
        <w:t>,</w:t>
      </w:r>
      <w:r w:rsidR="00885F62" w:rsidRPr="00885F62">
        <w:t xml:space="preserve"> the directors or an officer of the insurer</w:t>
      </w:r>
      <w:r>
        <w:t>.</w:t>
      </w:r>
      <w:r w:rsidR="00DA4537">
        <w:t xml:space="preserve"> The intention here is to assist insurers to avoid contraventions of the law.</w:t>
      </w:r>
      <w:r w:rsidR="00D00A85">
        <w:t xml:space="preserve"> </w:t>
      </w:r>
      <w:r w:rsidR="00D00A85">
        <w:rPr>
          <w:rStyle w:val="Referencingstyle"/>
        </w:rPr>
        <w:t>[Part 5, Division 2,</w:t>
      </w:r>
      <w:r w:rsidR="00D00A85" w:rsidRPr="0071546A">
        <w:rPr>
          <w:rStyle w:val="Referencingstyle"/>
        </w:rPr>
        <w:t xml:space="preserve"> </w:t>
      </w:r>
      <w:r w:rsidR="00885F62">
        <w:rPr>
          <w:rStyle w:val="Referencingstyle"/>
        </w:rPr>
        <w:t xml:space="preserve">paragraph </w:t>
      </w:r>
      <w:r w:rsidR="00993ECD">
        <w:rPr>
          <w:rStyle w:val="Referencingstyle"/>
        </w:rPr>
        <w:t>110</w:t>
      </w:r>
      <w:r w:rsidR="00D00A85">
        <w:rPr>
          <w:rStyle w:val="Referencingstyle"/>
        </w:rPr>
        <w:t>(1</w:t>
      </w:r>
      <w:r w:rsidR="00885F62">
        <w:rPr>
          <w:rStyle w:val="Referencingstyle"/>
        </w:rPr>
        <w:t>)(a)]</w:t>
      </w:r>
    </w:p>
    <w:p w14:paraId="512652BF" w14:textId="77777777" w:rsidR="00E519B4" w:rsidRPr="009C4FA8" w:rsidRDefault="00EF637A" w:rsidP="009C4FA8">
      <w:pPr>
        <w:pStyle w:val="base-text-paragraph"/>
        <w:tabs>
          <w:tab w:val="clear" w:pos="1985"/>
          <w:tab w:val="num" w:pos="1986"/>
        </w:tabs>
        <w:rPr>
          <w:rStyle w:val="Referencingstyle"/>
          <w:b w:val="0"/>
          <w:i w:val="0"/>
          <w:sz w:val="22"/>
        </w:rPr>
      </w:pPr>
      <w:r>
        <w:t>If an actuary considers that action must be taken t</w:t>
      </w:r>
      <w:r w:rsidR="00655878">
        <w:t xml:space="preserve">o avoid prejudicing the interests of policy holders of a health benefits fund, the actuary must bring this </w:t>
      </w:r>
      <w:r w:rsidR="009C4FA8">
        <w:t>to the attention of the insurer or the directors of an insurer</w:t>
      </w:r>
      <w:r w:rsidR="00655878">
        <w:t>.</w:t>
      </w:r>
      <w:r w:rsidR="00885F62">
        <w:t xml:space="preserve"> </w:t>
      </w:r>
      <w:r w:rsidR="009C4FA8">
        <w:t>In this context ‘</w:t>
      </w:r>
      <w:r w:rsidR="009C4FA8" w:rsidRPr="009C4FA8">
        <w:t>the interests of poli</w:t>
      </w:r>
      <w:r w:rsidR="009C4FA8">
        <w:t>cy holders’</w:t>
      </w:r>
      <w:r w:rsidR="009C4FA8" w:rsidRPr="009C4FA8">
        <w:t xml:space="preserve"> means their interest in the insurer being prudentially sound, including being able to pay out future claims (rather than, for example, the interest that a </w:t>
      </w:r>
      <w:r w:rsidR="001235B8">
        <w:t>policy holder</w:t>
      </w:r>
      <w:r w:rsidR="009C4FA8" w:rsidRPr="009C4FA8">
        <w:t xml:space="preserve"> might have as a consumer in having a lower premium or different policy terms)</w:t>
      </w:r>
      <w:r w:rsidR="00DA4537">
        <w:t xml:space="preserve">. </w:t>
      </w:r>
      <w:r w:rsidR="00E519B4">
        <w:rPr>
          <w:rStyle w:val="Referencingstyle"/>
        </w:rPr>
        <w:t xml:space="preserve">[Part 5, Division 2, </w:t>
      </w:r>
      <w:r w:rsidR="00993ECD">
        <w:rPr>
          <w:rStyle w:val="Referencingstyle"/>
        </w:rPr>
        <w:t>paragraph</w:t>
      </w:r>
      <w:r w:rsidR="00993ECD" w:rsidRPr="0071546A">
        <w:rPr>
          <w:rStyle w:val="Referencingstyle"/>
        </w:rPr>
        <w:t xml:space="preserve"> </w:t>
      </w:r>
      <w:r w:rsidR="00993ECD">
        <w:rPr>
          <w:rStyle w:val="Referencingstyle"/>
        </w:rPr>
        <w:t>110</w:t>
      </w:r>
      <w:r w:rsidR="00E519B4">
        <w:rPr>
          <w:rStyle w:val="Referencingstyle"/>
        </w:rPr>
        <w:t>(1)</w:t>
      </w:r>
      <w:r w:rsidR="00993ECD">
        <w:rPr>
          <w:rStyle w:val="Referencingstyle"/>
        </w:rPr>
        <w:t>(b)</w:t>
      </w:r>
      <w:r w:rsidR="00E519B4" w:rsidRPr="0071546A">
        <w:rPr>
          <w:rStyle w:val="Referencingstyle"/>
        </w:rPr>
        <w:t>]</w:t>
      </w:r>
      <w:r w:rsidR="00E519B4">
        <w:rPr>
          <w:rStyle w:val="Referencingstyle"/>
        </w:rPr>
        <w:t xml:space="preserve">. </w:t>
      </w:r>
    </w:p>
    <w:p w14:paraId="464144CD" w14:textId="77777777" w:rsidR="00E519B4" w:rsidRDefault="00E519B4" w:rsidP="00E519B4">
      <w:pPr>
        <w:pStyle w:val="ExampleHeading"/>
      </w:pPr>
    </w:p>
    <w:p w14:paraId="50F93707" w14:textId="77777777" w:rsidR="00E519B4" w:rsidRDefault="00E519B4" w:rsidP="00E519B4">
      <w:pPr>
        <w:pStyle w:val="exampletext"/>
      </w:pPr>
      <w:r>
        <w:t>Ryan is the appointed actuary of EA Health Insurance Co (EA)</w:t>
      </w:r>
      <w:r w:rsidR="00037B9B">
        <w:t>, a private health insurer</w:t>
      </w:r>
      <w:r>
        <w:t xml:space="preserve">. He has an obligation to report any matter to EA or its </w:t>
      </w:r>
      <w:r w:rsidR="009C4FA8">
        <w:t>directors</w:t>
      </w:r>
      <w:r>
        <w:t xml:space="preserve"> </w:t>
      </w:r>
      <w:r w:rsidR="00797181">
        <w:t xml:space="preserve">that </w:t>
      </w:r>
      <w:r>
        <w:t>Ryan considers would prejudice the interests of the policy holders. Ryan notices that EA</w:t>
      </w:r>
      <w:r w:rsidR="00DA4537">
        <w:t xml:space="preserve"> is</w:t>
      </w:r>
      <w:r>
        <w:t xml:space="preserve"> about to enter into a financial transaction </w:t>
      </w:r>
      <w:r w:rsidR="00797181">
        <w:t xml:space="preserve">that </w:t>
      </w:r>
      <w:r>
        <w:t>may risk EA’s ability to pay</w:t>
      </w:r>
      <w:r w:rsidR="00797181">
        <w:t xml:space="preserve"> </w:t>
      </w:r>
      <w:r>
        <w:t xml:space="preserve">out policy holders in </w:t>
      </w:r>
      <w:r w:rsidR="00797181">
        <w:t xml:space="preserve">the </w:t>
      </w:r>
      <w:r>
        <w:t>future. Ryan</w:t>
      </w:r>
      <w:r w:rsidR="009C4FA8">
        <w:t xml:space="preserve"> must report his concern to the director </w:t>
      </w:r>
      <w:r>
        <w:t>of EA or EA itself</w:t>
      </w:r>
      <w:r w:rsidR="009C4FA8">
        <w:t xml:space="preserve"> (</w:t>
      </w:r>
      <w:r w:rsidR="009C4FA8" w:rsidRPr="009C4FA8">
        <w:t>this might be</w:t>
      </w:r>
      <w:r w:rsidR="009C4FA8">
        <w:t xml:space="preserve"> by reporting to an officer of </w:t>
      </w:r>
      <w:r w:rsidR="009C4FA8" w:rsidRPr="009C4FA8">
        <w:t>EA whose position and role means that he or she has authority to receive the report and take the matter further within EA</w:t>
      </w:r>
      <w:r w:rsidR="009C4FA8">
        <w:t>)</w:t>
      </w:r>
      <w:r>
        <w:t xml:space="preserve">. </w:t>
      </w:r>
    </w:p>
    <w:p w14:paraId="03C0D71F" w14:textId="77777777" w:rsidR="00E519B4" w:rsidRDefault="00E519B4" w:rsidP="00E519B4">
      <w:pPr>
        <w:pStyle w:val="ExampleHeading"/>
      </w:pPr>
    </w:p>
    <w:p w14:paraId="18096FFE" w14:textId="77777777" w:rsidR="00E519B4" w:rsidRPr="00E519B4" w:rsidRDefault="004E3E41" w:rsidP="00E519B4">
      <w:pPr>
        <w:pStyle w:val="exampletext"/>
      </w:pPr>
      <w:r>
        <w:t>Shane</w:t>
      </w:r>
      <w:r w:rsidR="00037B9B">
        <w:t xml:space="preserve"> is the appointed actuary of </w:t>
      </w:r>
      <w:r w:rsidR="00996579">
        <w:t>IM</w:t>
      </w:r>
      <w:r w:rsidR="00AF58F3">
        <w:t xml:space="preserve"> </w:t>
      </w:r>
      <w:r w:rsidR="00037B9B">
        <w:t>Health</w:t>
      </w:r>
      <w:r w:rsidR="004F5C46">
        <w:t xml:space="preserve">, a private health insurer. </w:t>
      </w:r>
      <w:r>
        <w:t>Shane</w:t>
      </w:r>
      <w:r w:rsidR="00037B9B">
        <w:t xml:space="preserve"> is </w:t>
      </w:r>
      <w:r w:rsidR="00B034C5">
        <w:t>aware</w:t>
      </w:r>
      <w:r w:rsidR="00037B9B">
        <w:t xml:space="preserve"> that the directors of </w:t>
      </w:r>
      <w:r w:rsidR="00996579">
        <w:t xml:space="preserve">IM </w:t>
      </w:r>
      <w:r w:rsidR="00037B9B">
        <w:t xml:space="preserve">Health wish to raise the premiums that policy holders pay. </w:t>
      </w:r>
      <w:r>
        <w:t>Shane</w:t>
      </w:r>
      <w:r w:rsidR="00037B9B">
        <w:t xml:space="preserve"> does not need to report the risk </w:t>
      </w:r>
      <w:r w:rsidR="00996579">
        <w:t xml:space="preserve">of a rise in premiums to IM </w:t>
      </w:r>
      <w:r w:rsidR="00037B9B">
        <w:t>Health or an officer, as in a rise in premiums does not ‘prejudice the interest of policy holders’</w:t>
      </w:r>
      <w:r w:rsidR="00E079C1">
        <w:t xml:space="preserve"> in the relevant sense</w:t>
      </w:r>
      <w:r w:rsidR="00037B9B">
        <w:t xml:space="preserve">. </w:t>
      </w:r>
    </w:p>
    <w:p w14:paraId="3D1A31CC" w14:textId="77777777" w:rsidR="00655878" w:rsidRDefault="00655878" w:rsidP="000F194A">
      <w:pPr>
        <w:pStyle w:val="base-text-paragraph"/>
      </w:pPr>
      <w:r>
        <w:t xml:space="preserve">If an actuary </w:t>
      </w:r>
      <w:r w:rsidR="00DA4537">
        <w:t>considers</w:t>
      </w:r>
      <w:r w:rsidR="00BC0492">
        <w:t xml:space="preserve"> the insurer or a</w:t>
      </w:r>
      <w:r w:rsidR="006762EB">
        <w:t>n officer of the insurer</w:t>
      </w:r>
      <w:r w:rsidR="00BC0492">
        <w:t xml:space="preserve"> may have contravened </w:t>
      </w:r>
      <w:r w:rsidR="004F5C46">
        <w:t xml:space="preserve">the </w:t>
      </w:r>
      <w:r w:rsidR="004F5C46">
        <w:rPr>
          <w:lang w:val="en-US" w:eastAsia="en-US"/>
        </w:rPr>
        <w:t>Prudential Supervision Bill</w:t>
      </w:r>
      <w:r w:rsidR="00BC0492">
        <w:t xml:space="preserve"> </w:t>
      </w:r>
      <w:r w:rsidR="006762EB">
        <w:t xml:space="preserve">or other law </w:t>
      </w:r>
      <w:r w:rsidR="00BC0492">
        <w:t>and t</w:t>
      </w:r>
      <w:r w:rsidR="00BC4E13">
        <w:t>h</w:t>
      </w:r>
      <w:r w:rsidR="00BC0492">
        <w:t xml:space="preserve">at the contravention </w:t>
      </w:r>
      <w:r w:rsidR="00DA4537">
        <w:t xml:space="preserve">is of such a nature that it </w:t>
      </w:r>
      <w:r w:rsidR="00BC0492">
        <w:t xml:space="preserve">may significantly affect policy </w:t>
      </w:r>
      <w:r w:rsidR="00BC4E13">
        <w:t>holders’</w:t>
      </w:r>
      <w:r w:rsidR="00BC0492">
        <w:t xml:space="preserve"> interests, the actuary must not</w:t>
      </w:r>
      <w:r w:rsidR="00BC4E13">
        <w:t xml:space="preserve">ify APRA. </w:t>
      </w:r>
      <w:r w:rsidR="00DA4537">
        <w:t xml:space="preserve">The intention is to warn APRA so that APRA can intervene to prevent a situation where </w:t>
      </w:r>
      <w:r w:rsidR="007A15C3">
        <w:t>insurers are not able to fulfil their financial promises to policy holders.</w:t>
      </w:r>
      <w:r w:rsidR="00BC4E13">
        <w:t xml:space="preserve"> </w:t>
      </w:r>
      <w:r w:rsidR="00BC4E13">
        <w:rPr>
          <w:rStyle w:val="Referencingstyle"/>
        </w:rPr>
        <w:t xml:space="preserve">[Part </w:t>
      </w:r>
      <w:r w:rsidR="006762EB">
        <w:rPr>
          <w:rStyle w:val="Referencingstyle"/>
        </w:rPr>
        <w:t>5</w:t>
      </w:r>
      <w:r w:rsidR="003C620A">
        <w:rPr>
          <w:rStyle w:val="Referencingstyle"/>
        </w:rPr>
        <w:t xml:space="preserve">, </w:t>
      </w:r>
      <w:r w:rsidR="00BC4E13">
        <w:rPr>
          <w:rStyle w:val="Referencingstyle"/>
        </w:rPr>
        <w:t xml:space="preserve">Division </w:t>
      </w:r>
      <w:r w:rsidR="006762EB">
        <w:rPr>
          <w:rStyle w:val="Referencingstyle"/>
        </w:rPr>
        <w:t>2</w:t>
      </w:r>
      <w:r w:rsidR="00BC4E13">
        <w:rPr>
          <w:rStyle w:val="Referencingstyle"/>
        </w:rPr>
        <w:t>, paragraphs</w:t>
      </w:r>
      <w:r w:rsidR="001662CA">
        <w:rPr>
          <w:rStyle w:val="Referencingstyle"/>
        </w:rPr>
        <w:t> </w:t>
      </w:r>
      <w:r w:rsidR="00797181">
        <w:rPr>
          <w:rStyle w:val="Referencingstyle"/>
        </w:rPr>
        <w:t>110</w:t>
      </w:r>
      <w:r w:rsidR="00BC4E13">
        <w:rPr>
          <w:rStyle w:val="Referencingstyle"/>
        </w:rPr>
        <w:t>(2)(a) and (b)</w:t>
      </w:r>
      <w:r w:rsidR="00BC4E13" w:rsidRPr="0071546A">
        <w:rPr>
          <w:rStyle w:val="Referencingstyle"/>
        </w:rPr>
        <w:t>]</w:t>
      </w:r>
    </w:p>
    <w:p w14:paraId="30F546BD" w14:textId="77777777" w:rsidR="00BC4E13" w:rsidRPr="006D4186" w:rsidRDefault="00BC4E13" w:rsidP="000F194A">
      <w:pPr>
        <w:pStyle w:val="base-text-paragraph"/>
        <w:rPr>
          <w:rStyle w:val="Referencingstyle"/>
          <w:b w:val="0"/>
          <w:i w:val="0"/>
          <w:sz w:val="22"/>
        </w:rPr>
      </w:pPr>
      <w:r>
        <w:t xml:space="preserve">The notification must be in writing and inform APRA of </w:t>
      </w:r>
      <w:r w:rsidR="007A15C3">
        <w:t>the actuary’s</w:t>
      </w:r>
      <w:r>
        <w:t xml:space="preserve"> opinion and the information on which </w:t>
      </w:r>
      <w:r w:rsidR="007A15C3">
        <w:t>the opinion</w:t>
      </w:r>
      <w:r>
        <w:t xml:space="preserve"> is based.  </w:t>
      </w:r>
      <w:r>
        <w:rPr>
          <w:rStyle w:val="Referencingstyle"/>
        </w:rPr>
        <w:t>[Part</w:t>
      </w:r>
      <w:r w:rsidR="00797181">
        <w:rPr>
          <w:rStyle w:val="Referencingstyle"/>
        </w:rPr>
        <w:t> </w:t>
      </w:r>
      <w:r w:rsidR="006D23CC">
        <w:rPr>
          <w:rStyle w:val="Referencingstyle"/>
        </w:rPr>
        <w:t xml:space="preserve">5, </w:t>
      </w:r>
      <w:r>
        <w:rPr>
          <w:rStyle w:val="Referencingstyle"/>
        </w:rPr>
        <w:t xml:space="preserve">Division </w:t>
      </w:r>
      <w:r w:rsidR="006D23CC">
        <w:rPr>
          <w:rStyle w:val="Referencingstyle"/>
        </w:rPr>
        <w:t>2</w:t>
      </w:r>
      <w:r>
        <w:rPr>
          <w:rStyle w:val="Referencingstyle"/>
        </w:rPr>
        <w:t>, paragraph</w:t>
      </w:r>
      <w:r w:rsidR="006762EB">
        <w:rPr>
          <w:rStyle w:val="Referencingstyle"/>
        </w:rPr>
        <w:t>s</w:t>
      </w:r>
      <w:r w:rsidRPr="0071546A">
        <w:rPr>
          <w:rStyle w:val="Referencingstyle"/>
        </w:rPr>
        <w:t xml:space="preserve"> </w:t>
      </w:r>
      <w:r w:rsidR="00797181">
        <w:rPr>
          <w:rStyle w:val="Referencingstyle"/>
        </w:rPr>
        <w:t>110</w:t>
      </w:r>
      <w:r>
        <w:rPr>
          <w:rStyle w:val="Referencingstyle"/>
        </w:rPr>
        <w:t>(2)(c)</w:t>
      </w:r>
      <w:r w:rsidR="006762EB">
        <w:rPr>
          <w:rStyle w:val="Referencingstyle"/>
        </w:rPr>
        <w:t xml:space="preserve"> and (d)</w:t>
      </w:r>
      <w:r w:rsidRPr="0071546A">
        <w:rPr>
          <w:rStyle w:val="Referencingstyle"/>
        </w:rPr>
        <w:t>]</w:t>
      </w:r>
    </w:p>
    <w:p w14:paraId="4CA77C27" w14:textId="77777777" w:rsidR="00920131" w:rsidRPr="0071546A" w:rsidRDefault="00B1088C" w:rsidP="000F194A">
      <w:pPr>
        <w:pStyle w:val="base-text-paragraph"/>
        <w:rPr>
          <w:rStyle w:val="Referencingstyle"/>
          <w:b w:val="0"/>
          <w:i w:val="0"/>
          <w:sz w:val="22"/>
        </w:rPr>
      </w:pPr>
      <w:r>
        <w:t>However, a</w:t>
      </w:r>
      <w:r w:rsidR="00BC4E13">
        <w:t xml:space="preserve">n actuary </w:t>
      </w:r>
      <w:r>
        <w:t>does not have an obligation to</w:t>
      </w:r>
      <w:r w:rsidR="00BC4E13">
        <w:t xml:space="preserve"> notify APRA </w:t>
      </w:r>
      <w:r w:rsidR="006D23CC">
        <w:t>if an officer</w:t>
      </w:r>
      <w:r w:rsidR="00BC4E13">
        <w:t xml:space="preserve"> of the insurer </w:t>
      </w:r>
      <w:r>
        <w:t>has informed</w:t>
      </w:r>
      <w:r w:rsidR="00BC4E13">
        <w:t xml:space="preserve"> the actuary that the insurer has </w:t>
      </w:r>
      <w:r>
        <w:t xml:space="preserve">already </w:t>
      </w:r>
      <w:r w:rsidR="00BC4E13">
        <w:t xml:space="preserve">notified APRA </w:t>
      </w:r>
      <w:r w:rsidR="008835AE">
        <w:t>i</w:t>
      </w:r>
      <w:r w:rsidR="00BC4E13">
        <w:t>n writing and the actuary has no reason to disbelieve t</w:t>
      </w:r>
      <w:r>
        <w:t>he officer</w:t>
      </w:r>
      <w:r w:rsidR="00BC4E13">
        <w:t>.</w:t>
      </w:r>
      <w:r w:rsidR="00920131">
        <w:t xml:space="preserve">  </w:t>
      </w:r>
      <w:r w:rsidR="00920131">
        <w:rPr>
          <w:rStyle w:val="Referencingstyle"/>
        </w:rPr>
        <w:t xml:space="preserve">[Part </w:t>
      </w:r>
      <w:r w:rsidR="006D23CC">
        <w:rPr>
          <w:rStyle w:val="Referencingstyle"/>
        </w:rPr>
        <w:t>5</w:t>
      </w:r>
      <w:r w:rsidR="003C620A">
        <w:rPr>
          <w:rStyle w:val="Referencingstyle"/>
        </w:rPr>
        <w:t xml:space="preserve">, </w:t>
      </w:r>
      <w:r w:rsidR="00920131">
        <w:rPr>
          <w:rStyle w:val="Referencingstyle"/>
        </w:rPr>
        <w:t xml:space="preserve">Division </w:t>
      </w:r>
      <w:r w:rsidR="006D23CC">
        <w:rPr>
          <w:rStyle w:val="Referencingstyle"/>
        </w:rPr>
        <w:t>2</w:t>
      </w:r>
      <w:r w:rsidR="00920131">
        <w:rPr>
          <w:rStyle w:val="Referencingstyle"/>
        </w:rPr>
        <w:t xml:space="preserve">, </w:t>
      </w:r>
      <w:r w:rsidR="00920131" w:rsidRPr="0071546A">
        <w:rPr>
          <w:rStyle w:val="Referencingstyle"/>
        </w:rPr>
        <w:t>s</w:t>
      </w:r>
      <w:r w:rsidR="006D23CC">
        <w:rPr>
          <w:rStyle w:val="Referencingstyle"/>
        </w:rPr>
        <w:t>ubs</w:t>
      </w:r>
      <w:r w:rsidR="00920131" w:rsidRPr="0071546A">
        <w:rPr>
          <w:rStyle w:val="Referencingstyle"/>
        </w:rPr>
        <w:t xml:space="preserve">ection </w:t>
      </w:r>
      <w:r w:rsidR="00610809">
        <w:rPr>
          <w:rStyle w:val="Referencingstyle"/>
        </w:rPr>
        <w:t>110</w:t>
      </w:r>
      <w:r w:rsidR="00920131">
        <w:rPr>
          <w:rStyle w:val="Referencingstyle"/>
        </w:rPr>
        <w:t>(</w:t>
      </w:r>
      <w:r w:rsidR="006D23CC">
        <w:rPr>
          <w:rStyle w:val="Referencingstyle"/>
        </w:rPr>
        <w:t>3</w:t>
      </w:r>
      <w:r w:rsidR="00920131">
        <w:rPr>
          <w:rStyle w:val="Referencingstyle"/>
        </w:rPr>
        <w:t>)</w:t>
      </w:r>
      <w:r w:rsidR="00920131" w:rsidRPr="0071546A">
        <w:rPr>
          <w:rStyle w:val="Referencingstyle"/>
        </w:rPr>
        <w:t>]</w:t>
      </w:r>
    </w:p>
    <w:p w14:paraId="5052C68C" w14:textId="77777777" w:rsidR="00BC4E13" w:rsidRPr="004F5C46" w:rsidRDefault="00920131" w:rsidP="004F5C46">
      <w:pPr>
        <w:pStyle w:val="base-text-paragraph"/>
        <w:tabs>
          <w:tab w:val="clear" w:pos="1985"/>
          <w:tab w:val="num" w:pos="1986"/>
        </w:tabs>
        <w:rPr>
          <w:rStyle w:val="Referencingstyle"/>
          <w:b w:val="0"/>
          <w:i w:val="0"/>
          <w:sz w:val="22"/>
        </w:rPr>
      </w:pPr>
      <w:r>
        <w:t>It is an offence for a</w:t>
      </w:r>
      <w:r w:rsidR="006D23CC">
        <w:t>n officer</w:t>
      </w:r>
      <w:r>
        <w:t xml:space="preserve"> of the private health insurer to </w:t>
      </w:r>
      <w:r w:rsidR="000C50BD">
        <w:t>deceive an</w:t>
      </w:r>
      <w:r>
        <w:t xml:space="preserve"> actuary</w:t>
      </w:r>
      <w:r w:rsidR="000C50BD">
        <w:t xml:space="preserve"> and tell</w:t>
      </w:r>
      <w:r>
        <w:t xml:space="preserve"> an actuary that the APRA</w:t>
      </w:r>
      <w:r w:rsidR="00227AC7">
        <w:t xml:space="preserve"> is informed </w:t>
      </w:r>
      <w:r>
        <w:t xml:space="preserve">about a contravention if APRA has not been informed. </w:t>
      </w:r>
      <w:r w:rsidR="00C6631F">
        <w:t xml:space="preserve">For an offence to occur the officer must know that there </w:t>
      </w:r>
      <w:r w:rsidR="00610809">
        <w:t xml:space="preserve">are </w:t>
      </w:r>
      <w:r w:rsidR="00C6631F">
        <w:t xml:space="preserve">reasonable grounds for believing that the insurer </w:t>
      </w:r>
      <w:r w:rsidR="00E44215">
        <w:t xml:space="preserve">has contravened the </w:t>
      </w:r>
      <w:r w:rsidR="004F5C46" w:rsidRPr="004F5C46">
        <w:t>Prudential Supervision Bill</w:t>
      </w:r>
      <w:r w:rsidR="00E44215">
        <w:t xml:space="preserve"> or another law, and the contravention is of such a nature that</w:t>
      </w:r>
      <w:r w:rsidR="00AA449B">
        <w:t xml:space="preserve"> it</w:t>
      </w:r>
      <w:r w:rsidR="00E44215">
        <w:t xml:space="preserve"> may significantly affect the interests of policy holders.</w:t>
      </w:r>
      <w:r>
        <w:t xml:space="preserve"> </w:t>
      </w:r>
      <w:r w:rsidR="00E44215">
        <w:t xml:space="preserve">The maximum penalty for this offence is 60 penalty units or </w:t>
      </w:r>
      <w:r w:rsidR="00CE09F7">
        <w:t>12 </w:t>
      </w:r>
      <w:r w:rsidR="007F1CB5">
        <w:t>months</w:t>
      </w:r>
      <w:r w:rsidR="001B25BF">
        <w:t xml:space="preserve"> imprisonment</w:t>
      </w:r>
      <w:r w:rsidR="00F95447">
        <w:t xml:space="preserve"> or both</w:t>
      </w:r>
      <w:r w:rsidR="001B25BF">
        <w:t>.</w:t>
      </w:r>
      <w:r w:rsidR="00CE09F7">
        <w:t xml:space="preserve"> </w:t>
      </w:r>
      <w:r w:rsidR="00EB1A7D">
        <w:t>This penalty is appropriate given the offence involves deliberate deception which could significantly risk the interests of policy holders.</w:t>
      </w:r>
      <w:r w:rsidR="001B25BF">
        <w:t xml:space="preserve"> </w:t>
      </w:r>
      <w:r w:rsidR="00E21CEA">
        <w:t>The severity of the penalty is analogous to the offences with the same penalty in</w:t>
      </w:r>
      <w:r w:rsidR="007F1CB5">
        <w:t xml:space="preserve"> the Attorney-General’s Department’s </w:t>
      </w:r>
      <w:r w:rsidR="007F1CB5" w:rsidRPr="004F5C46">
        <w:rPr>
          <w:i/>
        </w:rPr>
        <w:t>Guide to Framing Commonwealth Offences, Infringement Notices and Enforcement Powers</w:t>
      </w:r>
      <w:r w:rsidR="007F1CB5">
        <w:t xml:space="preserve"> </w:t>
      </w:r>
      <w:r w:rsidR="00E21CEA">
        <w:t>such as making false statements in notices</w:t>
      </w:r>
      <w:r w:rsidR="00EB1A7D">
        <w:t>.</w:t>
      </w:r>
      <w:r w:rsidR="00E21CEA">
        <w:t xml:space="preserve"> </w:t>
      </w:r>
      <w:r>
        <w:rPr>
          <w:rStyle w:val="Referencingstyle"/>
        </w:rPr>
        <w:t xml:space="preserve">[Part </w:t>
      </w:r>
      <w:r w:rsidR="006D23CC">
        <w:rPr>
          <w:rStyle w:val="Referencingstyle"/>
        </w:rPr>
        <w:t>5</w:t>
      </w:r>
      <w:r w:rsidR="003C620A">
        <w:rPr>
          <w:rStyle w:val="Referencingstyle"/>
        </w:rPr>
        <w:t>,</w:t>
      </w:r>
      <w:r>
        <w:rPr>
          <w:rStyle w:val="Referencingstyle"/>
        </w:rPr>
        <w:t xml:space="preserve"> Division </w:t>
      </w:r>
      <w:r w:rsidR="006D23CC">
        <w:rPr>
          <w:rStyle w:val="Referencingstyle"/>
        </w:rPr>
        <w:t>2</w:t>
      </w:r>
      <w:r>
        <w:rPr>
          <w:rStyle w:val="Referencingstyle"/>
        </w:rPr>
        <w:t xml:space="preserve">, </w:t>
      </w:r>
      <w:r w:rsidR="003C620A">
        <w:rPr>
          <w:rStyle w:val="Referencingstyle"/>
        </w:rPr>
        <w:t xml:space="preserve"> </w:t>
      </w:r>
      <w:r w:rsidRPr="0071546A">
        <w:rPr>
          <w:rStyle w:val="Referencingstyle"/>
        </w:rPr>
        <w:t>s</w:t>
      </w:r>
      <w:r w:rsidR="006D23CC">
        <w:rPr>
          <w:rStyle w:val="Referencingstyle"/>
        </w:rPr>
        <w:t>ubs</w:t>
      </w:r>
      <w:r w:rsidRPr="0071546A">
        <w:rPr>
          <w:rStyle w:val="Referencingstyle"/>
        </w:rPr>
        <w:t xml:space="preserve">ection </w:t>
      </w:r>
      <w:r w:rsidR="00610809">
        <w:rPr>
          <w:rStyle w:val="Referencingstyle"/>
        </w:rPr>
        <w:t>110</w:t>
      </w:r>
      <w:r>
        <w:rPr>
          <w:rStyle w:val="Referencingstyle"/>
        </w:rPr>
        <w:t>(</w:t>
      </w:r>
      <w:r w:rsidR="006D23CC">
        <w:rPr>
          <w:rStyle w:val="Referencingstyle"/>
        </w:rPr>
        <w:t>4</w:t>
      </w:r>
      <w:r>
        <w:rPr>
          <w:rStyle w:val="Referencingstyle"/>
        </w:rPr>
        <w:t>)</w:t>
      </w:r>
      <w:r w:rsidRPr="0071546A">
        <w:rPr>
          <w:rStyle w:val="Referencingstyle"/>
        </w:rPr>
        <w:t>]</w:t>
      </w:r>
    </w:p>
    <w:p w14:paraId="1297D5A9" w14:textId="77777777" w:rsidR="006961E9" w:rsidRPr="006D4186" w:rsidRDefault="00D82C94" w:rsidP="000F194A">
      <w:pPr>
        <w:pStyle w:val="base-text-paragraph"/>
        <w:rPr>
          <w:rStyle w:val="Referencingstyle"/>
          <w:b w:val="0"/>
          <w:i w:val="0"/>
          <w:sz w:val="22"/>
        </w:rPr>
      </w:pPr>
      <w:r>
        <w:t>If</w:t>
      </w:r>
      <w:r w:rsidR="00C05BE2">
        <w:t xml:space="preserve"> </w:t>
      </w:r>
      <w:r>
        <w:t>an actuary has drawn a matter to the insurer’s attention</w:t>
      </w:r>
      <w:r w:rsidR="002563A8">
        <w:t>,</w:t>
      </w:r>
      <w:r>
        <w:t xml:space="preserve"> and </w:t>
      </w:r>
      <w:r w:rsidR="002563A8">
        <w:t xml:space="preserve">the actuary </w:t>
      </w:r>
      <w:r>
        <w:t xml:space="preserve">is satisfied </w:t>
      </w:r>
      <w:r w:rsidR="002563A8">
        <w:t>that</w:t>
      </w:r>
      <w:r>
        <w:t xml:space="preserve"> the insurer has had reasonable time to take action but has failed to take action, the actuary must inform APRA about the matter in w</w:t>
      </w:r>
      <w:r w:rsidR="004F5C46">
        <w:t xml:space="preserve">riting. </w:t>
      </w:r>
      <w:r>
        <w:rPr>
          <w:rStyle w:val="Referencingstyle"/>
        </w:rPr>
        <w:t xml:space="preserve">[Part </w:t>
      </w:r>
      <w:r w:rsidR="006D23CC">
        <w:rPr>
          <w:rStyle w:val="Referencingstyle"/>
        </w:rPr>
        <w:t>5</w:t>
      </w:r>
      <w:r w:rsidR="003C620A">
        <w:rPr>
          <w:rStyle w:val="Referencingstyle"/>
        </w:rPr>
        <w:t>,</w:t>
      </w:r>
      <w:r>
        <w:rPr>
          <w:rStyle w:val="Referencingstyle"/>
        </w:rPr>
        <w:t xml:space="preserve"> Division </w:t>
      </w:r>
      <w:r w:rsidR="006D23CC">
        <w:rPr>
          <w:rStyle w:val="Referencingstyle"/>
        </w:rPr>
        <w:t>2</w:t>
      </w:r>
      <w:r>
        <w:rPr>
          <w:rStyle w:val="Referencingstyle"/>
        </w:rPr>
        <w:t xml:space="preserve">, </w:t>
      </w:r>
      <w:r w:rsidRPr="0071546A">
        <w:rPr>
          <w:rStyle w:val="Referencingstyle"/>
        </w:rPr>
        <w:t>s</w:t>
      </w:r>
      <w:r w:rsidR="006D23CC">
        <w:rPr>
          <w:rStyle w:val="Referencingstyle"/>
        </w:rPr>
        <w:t>ubs</w:t>
      </w:r>
      <w:r w:rsidRPr="0071546A">
        <w:rPr>
          <w:rStyle w:val="Referencingstyle"/>
        </w:rPr>
        <w:t xml:space="preserve">ection </w:t>
      </w:r>
      <w:r w:rsidR="00610809">
        <w:rPr>
          <w:rStyle w:val="Referencingstyle"/>
        </w:rPr>
        <w:t>110</w:t>
      </w:r>
      <w:r>
        <w:rPr>
          <w:rStyle w:val="Referencingstyle"/>
        </w:rPr>
        <w:t>(</w:t>
      </w:r>
      <w:r w:rsidR="006D23CC">
        <w:rPr>
          <w:rStyle w:val="Referencingstyle"/>
        </w:rPr>
        <w:t>5</w:t>
      </w:r>
      <w:r>
        <w:rPr>
          <w:rStyle w:val="Referencingstyle"/>
        </w:rPr>
        <w:t>)</w:t>
      </w:r>
      <w:r w:rsidRPr="0071546A">
        <w:rPr>
          <w:rStyle w:val="Referencingstyle"/>
        </w:rPr>
        <w:t>]</w:t>
      </w:r>
    </w:p>
    <w:p w14:paraId="65EC5DFA" w14:textId="77777777" w:rsidR="00D82C94" w:rsidRPr="006D4186" w:rsidRDefault="002563A8" w:rsidP="000F194A">
      <w:pPr>
        <w:pStyle w:val="base-text-paragraph"/>
        <w:rPr>
          <w:rStyle w:val="Referencingstyle"/>
          <w:b w:val="0"/>
          <w:i w:val="0"/>
          <w:sz w:val="22"/>
        </w:rPr>
      </w:pPr>
      <w:r>
        <w:t>An actuary</w:t>
      </w:r>
      <w:r w:rsidR="00D82C94">
        <w:t xml:space="preserve"> is </w:t>
      </w:r>
      <w:r>
        <w:t xml:space="preserve">still </w:t>
      </w:r>
      <w:r w:rsidR="00D82C94">
        <w:t xml:space="preserve">subject </w:t>
      </w:r>
      <w:r w:rsidR="000D372D">
        <w:t xml:space="preserve">to </w:t>
      </w:r>
      <w:r w:rsidR="00D82C94">
        <w:t xml:space="preserve">an obligation </w:t>
      </w:r>
      <w:r w:rsidR="00227AC7">
        <w:t xml:space="preserve">to inform APRA as above </w:t>
      </w:r>
      <w:r>
        <w:t>even if the actuary’s</w:t>
      </w:r>
      <w:r w:rsidR="00D82C94">
        <w:t xml:space="preserve"> appointment ceases before </w:t>
      </w:r>
      <w:r>
        <w:t>the actuary has informed</w:t>
      </w:r>
      <w:r w:rsidR="00D82C94">
        <w:t xml:space="preserve"> APRA</w:t>
      </w:r>
      <w:r>
        <w:t>.</w:t>
      </w:r>
      <w:r w:rsidR="000D372D">
        <w:t xml:space="preserve">  </w:t>
      </w:r>
      <w:r w:rsidR="003C620A">
        <w:rPr>
          <w:rStyle w:val="Referencingstyle"/>
        </w:rPr>
        <w:t xml:space="preserve">[Part </w:t>
      </w:r>
      <w:r w:rsidR="00F54E92">
        <w:rPr>
          <w:rStyle w:val="Referencingstyle"/>
        </w:rPr>
        <w:t>5</w:t>
      </w:r>
      <w:r w:rsidR="003C620A">
        <w:rPr>
          <w:rStyle w:val="Referencingstyle"/>
        </w:rPr>
        <w:t>,</w:t>
      </w:r>
      <w:r w:rsidR="000D372D">
        <w:rPr>
          <w:rStyle w:val="Referencingstyle"/>
        </w:rPr>
        <w:t xml:space="preserve"> Division </w:t>
      </w:r>
      <w:r w:rsidR="00F54E92">
        <w:rPr>
          <w:rStyle w:val="Referencingstyle"/>
        </w:rPr>
        <w:t>2</w:t>
      </w:r>
      <w:r w:rsidR="000D372D">
        <w:rPr>
          <w:rStyle w:val="Referencingstyle"/>
        </w:rPr>
        <w:t xml:space="preserve">, </w:t>
      </w:r>
      <w:r w:rsidR="000D372D" w:rsidRPr="0071546A">
        <w:rPr>
          <w:rStyle w:val="Referencingstyle"/>
        </w:rPr>
        <w:t>s</w:t>
      </w:r>
      <w:r w:rsidR="00F54E92">
        <w:rPr>
          <w:rStyle w:val="Referencingstyle"/>
        </w:rPr>
        <w:t>ub</w:t>
      </w:r>
      <w:r w:rsidR="00CF7B0B">
        <w:rPr>
          <w:rStyle w:val="Referencingstyle"/>
        </w:rPr>
        <w:t>s</w:t>
      </w:r>
      <w:r w:rsidR="000D372D" w:rsidRPr="0071546A">
        <w:rPr>
          <w:rStyle w:val="Referencingstyle"/>
        </w:rPr>
        <w:t xml:space="preserve">ection </w:t>
      </w:r>
      <w:r w:rsidR="00610809">
        <w:rPr>
          <w:rStyle w:val="Referencingstyle"/>
        </w:rPr>
        <w:t>110</w:t>
      </w:r>
      <w:r w:rsidR="000D372D">
        <w:rPr>
          <w:rStyle w:val="Referencingstyle"/>
        </w:rPr>
        <w:t>(</w:t>
      </w:r>
      <w:r w:rsidR="00F54E92">
        <w:rPr>
          <w:rStyle w:val="Referencingstyle"/>
        </w:rPr>
        <w:t>6</w:t>
      </w:r>
      <w:r w:rsidR="000D372D">
        <w:rPr>
          <w:rStyle w:val="Referencingstyle"/>
        </w:rPr>
        <w:t>)</w:t>
      </w:r>
      <w:r w:rsidR="000D372D" w:rsidRPr="0071546A">
        <w:rPr>
          <w:rStyle w:val="Referencingstyle"/>
        </w:rPr>
        <w:t>]</w:t>
      </w:r>
    </w:p>
    <w:p w14:paraId="37DE38C1" w14:textId="77777777" w:rsidR="00462CF8" w:rsidRDefault="00462CF8" w:rsidP="006D4186">
      <w:pPr>
        <w:pStyle w:val="Heading4"/>
      </w:pPr>
      <w:r>
        <w:t>Appointed actuary may give information to APRA</w:t>
      </w:r>
    </w:p>
    <w:p w14:paraId="63342465" w14:textId="77777777" w:rsidR="00462CF8" w:rsidRPr="006D4186" w:rsidRDefault="003C620A" w:rsidP="000F194A">
      <w:pPr>
        <w:pStyle w:val="base-text-paragraph"/>
        <w:rPr>
          <w:rStyle w:val="Referencingstyle"/>
          <w:b w:val="0"/>
          <w:i w:val="0"/>
          <w:sz w:val="22"/>
        </w:rPr>
      </w:pPr>
      <w:r>
        <w:t xml:space="preserve">A </w:t>
      </w:r>
      <w:r w:rsidR="00462CF8">
        <w:t xml:space="preserve">current or </w:t>
      </w:r>
      <w:r w:rsidR="002563A8">
        <w:t>former</w:t>
      </w:r>
      <w:r w:rsidR="00462CF8">
        <w:t xml:space="preserve"> actuary may give information, books, accounts or documents about the private health insurer to APRA if </w:t>
      </w:r>
      <w:r w:rsidR="002563A8">
        <w:t>the actuary</w:t>
      </w:r>
      <w:r w:rsidR="00462CF8">
        <w:t xml:space="preserve"> consider</w:t>
      </w:r>
      <w:r w:rsidR="002563A8">
        <w:t>s</w:t>
      </w:r>
      <w:r w:rsidR="00462CF8">
        <w:t xml:space="preserve"> this will assist APRA in performing it functions under th</w:t>
      </w:r>
      <w:r w:rsidR="00EA03BA">
        <w:t xml:space="preserve">e </w:t>
      </w:r>
      <w:r w:rsidR="00EA03BA">
        <w:rPr>
          <w:lang w:val="en-US" w:eastAsia="en-US"/>
        </w:rPr>
        <w:t>Prudential Supervision Bill</w:t>
      </w:r>
      <w:r w:rsidR="002563A8">
        <w:t>, the FS(CoD) Act or the PHI Act</w:t>
      </w:r>
      <w:r w:rsidR="00560AA8">
        <w:t xml:space="preserve">. If an actuary does this in good faith and without </w:t>
      </w:r>
      <w:r w:rsidR="00610809">
        <w:t>negligence,</w:t>
      </w:r>
      <w:r w:rsidR="00560AA8">
        <w:t xml:space="preserve"> the actuary is not liable for any claim or demand in respect of the information or document. This provision </w:t>
      </w:r>
      <w:r w:rsidR="00227AC7">
        <w:t>ensures</w:t>
      </w:r>
      <w:r w:rsidR="00560AA8">
        <w:t xml:space="preserve"> </w:t>
      </w:r>
      <w:r w:rsidR="00227AC7">
        <w:t xml:space="preserve">that </w:t>
      </w:r>
      <w:r w:rsidR="00560AA8">
        <w:t>actuaries do not refrain from giving APRA useful information for fear of liability, for example in defamation.</w:t>
      </w:r>
      <w:r w:rsidR="00462CF8">
        <w:t xml:space="preserve"> </w:t>
      </w:r>
      <w:r w:rsidRPr="006D4186">
        <w:rPr>
          <w:rStyle w:val="Referencingstyle"/>
        </w:rPr>
        <w:t xml:space="preserve">[Part </w:t>
      </w:r>
      <w:r w:rsidR="00F54E92">
        <w:rPr>
          <w:rStyle w:val="Referencingstyle"/>
        </w:rPr>
        <w:t>5</w:t>
      </w:r>
      <w:r w:rsidRPr="006D4186">
        <w:rPr>
          <w:rStyle w:val="Referencingstyle"/>
        </w:rPr>
        <w:t xml:space="preserve">, Division </w:t>
      </w:r>
      <w:r w:rsidR="00F54E92">
        <w:rPr>
          <w:rStyle w:val="Referencingstyle"/>
        </w:rPr>
        <w:t>2</w:t>
      </w:r>
      <w:r w:rsidRPr="006D4186">
        <w:rPr>
          <w:rStyle w:val="Referencingstyle"/>
        </w:rPr>
        <w:t xml:space="preserve">, section </w:t>
      </w:r>
      <w:r w:rsidR="00610809">
        <w:rPr>
          <w:rStyle w:val="Referencingstyle"/>
        </w:rPr>
        <w:t>111</w:t>
      </w:r>
      <w:r w:rsidRPr="006D4186">
        <w:rPr>
          <w:rStyle w:val="Referencingstyle"/>
        </w:rPr>
        <w:t>]</w:t>
      </w:r>
    </w:p>
    <w:p w14:paraId="62652030" w14:textId="77777777" w:rsidR="003C620A" w:rsidRDefault="003C620A" w:rsidP="006D4186">
      <w:pPr>
        <w:pStyle w:val="Heading4"/>
      </w:pPr>
      <w:r>
        <w:t>Duty of appointed actuary to give information when required</w:t>
      </w:r>
    </w:p>
    <w:p w14:paraId="5C90C80C" w14:textId="77777777" w:rsidR="003C620A" w:rsidRPr="00E01B46" w:rsidRDefault="00EC2E44" w:rsidP="000F194A">
      <w:pPr>
        <w:pStyle w:val="base-text-paragraph"/>
        <w:rPr>
          <w:rStyle w:val="Referencingstyle"/>
          <w:b w:val="0"/>
          <w:i w:val="0"/>
          <w:sz w:val="22"/>
        </w:rPr>
      </w:pPr>
      <w:r>
        <w:t xml:space="preserve">APRA may give written notice to a current or </w:t>
      </w:r>
      <w:r w:rsidR="00E01B46">
        <w:t>former</w:t>
      </w:r>
      <w:r>
        <w:t xml:space="preserve"> actuary requiring </w:t>
      </w:r>
      <w:r w:rsidR="00E01B46">
        <w:t>the actuary</w:t>
      </w:r>
      <w:r>
        <w:t xml:space="preserve"> to give APRA information, books, accounts or </w:t>
      </w:r>
      <w:r w:rsidR="00E05725">
        <w:t>documents</w:t>
      </w:r>
      <w:r>
        <w:t xml:space="preserve"> </w:t>
      </w:r>
      <w:r w:rsidR="00E01B46">
        <w:t>relating to</w:t>
      </w:r>
      <w:r>
        <w:t xml:space="preserve"> the insurer</w:t>
      </w:r>
      <w:r w:rsidR="00E01B46">
        <w:t xml:space="preserve">, if APRA considers it will assist in performing APRA’s functions under </w:t>
      </w:r>
      <w:r w:rsidR="00EA03BA">
        <w:t xml:space="preserve">the </w:t>
      </w:r>
      <w:r w:rsidR="00EA03BA">
        <w:rPr>
          <w:lang w:val="en-US" w:eastAsia="en-US"/>
        </w:rPr>
        <w:t>Prudential Supervision Bill</w:t>
      </w:r>
      <w:r w:rsidR="00E01B46">
        <w:t xml:space="preserve"> or the FS(CoD) Act</w:t>
      </w:r>
      <w:r>
        <w:t>.</w:t>
      </w:r>
      <w:r w:rsidR="00094977">
        <w:t xml:space="preserve">  </w:t>
      </w:r>
      <w:r w:rsidR="00E01B46">
        <w:t xml:space="preserve">The actuary has </w:t>
      </w:r>
      <w:r w:rsidR="00185555">
        <w:t>seven</w:t>
      </w:r>
      <w:r w:rsidR="00E01B46">
        <w:t xml:space="preserve"> days or a reasonable period (whichever is greater) to comply with APRA’s notice</w:t>
      </w:r>
      <w:r w:rsidR="00094977">
        <w:t xml:space="preserve"> </w:t>
      </w:r>
      <w:r w:rsidR="00094977" w:rsidRPr="0071546A">
        <w:rPr>
          <w:rStyle w:val="Referencingstyle"/>
        </w:rPr>
        <w:t xml:space="preserve">[Part </w:t>
      </w:r>
      <w:r w:rsidR="00F54E92">
        <w:rPr>
          <w:rStyle w:val="Referencingstyle"/>
        </w:rPr>
        <w:t>5</w:t>
      </w:r>
      <w:r w:rsidR="00094977" w:rsidRPr="0071546A">
        <w:rPr>
          <w:rStyle w:val="Referencingstyle"/>
        </w:rPr>
        <w:t xml:space="preserve">, Division </w:t>
      </w:r>
      <w:r w:rsidR="00F54E92">
        <w:rPr>
          <w:rStyle w:val="Referencingstyle"/>
        </w:rPr>
        <w:t>2</w:t>
      </w:r>
      <w:r w:rsidR="00094977" w:rsidRPr="0071546A">
        <w:rPr>
          <w:rStyle w:val="Referencingstyle"/>
        </w:rPr>
        <w:t xml:space="preserve">, subsection </w:t>
      </w:r>
      <w:r w:rsidR="00610809">
        <w:rPr>
          <w:rStyle w:val="Referencingstyle"/>
        </w:rPr>
        <w:t>112</w:t>
      </w:r>
      <w:r w:rsidR="00094977" w:rsidRPr="0071546A">
        <w:rPr>
          <w:rStyle w:val="Referencingstyle"/>
        </w:rPr>
        <w:t>(</w:t>
      </w:r>
      <w:r w:rsidR="00094977">
        <w:rPr>
          <w:rStyle w:val="Referencingstyle"/>
        </w:rPr>
        <w:t>1</w:t>
      </w:r>
      <w:r w:rsidR="00094977" w:rsidRPr="0071546A">
        <w:rPr>
          <w:rStyle w:val="Referencingstyle"/>
        </w:rPr>
        <w:t>)</w:t>
      </w:r>
      <w:r w:rsidR="00610809">
        <w:rPr>
          <w:rStyle w:val="Referencingstyle"/>
        </w:rPr>
        <w:t xml:space="preserve"> and (2)</w:t>
      </w:r>
      <w:r w:rsidR="00094977" w:rsidRPr="0071546A">
        <w:rPr>
          <w:rStyle w:val="Referencingstyle"/>
        </w:rPr>
        <w:t>]</w:t>
      </w:r>
    </w:p>
    <w:p w14:paraId="395762CE" w14:textId="77777777" w:rsidR="00E01B46" w:rsidRDefault="00E01B46" w:rsidP="00E01B46">
      <w:pPr>
        <w:pStyle w:val="ExampleHeading"/>
      </w:pPr>
    </w:p>
    <w:p w14:paraId="687648A2" w14:textId="77777777" w:rsidR="00E01B46" w:rsidRPr="00E01B46" w:rsidRDefault="00E01B46" w:rsidP="00E01B46">
      <w:pPr>
        <w:pStyle w:val="exampletext"/>
      </w:pPr>
      <w:r>
        <w:t xml:space="preserve">APRA requests large amount of documents from a former actuary, Simon. Simon reasonably requires 14 days to respond to APRA’s request. Therefore Simon will have 14 </w:t>
      </w:r>
      <w:r w:rsidR="00BD399D">
        <w:t>days to respond.</w:t>
      </w:r>
    </w:p>
    <w:p w14:paraId="1CCD59DA" w14:textId="77777777" w:rsidR="00BD1FAC" w:rsidRDefault="00BD399D" w:rsidP="000F194A">
      <w:pPr>
        <w:pStyle w:val="base-text-paragraph"/>
      </w:pPr>
      <w:r>
        <w:t xml:space="preserve">Failure to comply with a notice under </w:t>
      </w:r>
      <w:r w:rsidR="00BD1FAC">
        <w:t>sub</w:t>
      </w:r>
      <w:r>
        <w:t xml:space="preserve">section </w:t>
      </w:r>
      <w:r w:rsidR="00610809">
        <w:t>112</w:t>
      </w:r>
      <w:r w:rsidR="00BD1FAC">
        <w:t>(1)</w:t>
      </w:r>
      <w:r>
        <w:t xml:space="preserve"> is an offence, with a maxim</w:t>
      </w:r>
      <w:r w:rsidR="00BD1FAC">
        <w:t xml:space="preserve">um penalty of 30 penalty units. However, to commit the offence the actuary or former actuary must be capable of complying with the notice. </w:t>
      </w:r>
      <w:r w:rsidR="00BD1FAC" w:rsidRPr="0071546A">
        <w:rPr>
          <w:rStyle w:val="Referencingstyle"/>
        </w:rPr>
        <w:t xml:space="preserve">[Part </w:t>
      </w:r>
      <w:r w:rsidR="00BD1FAC">
        <w:rPr>
          <w:rStyle w:val="Referencingstyle"/>
        </w:rPr>
        <w:t>5</w:t>
      </w:r>
      <w:r w:rsidR="00BD1FAC" w:rsidRPr="0071546A">
        <w:rPr>
          <w:rStyle w:val="Referencingstyle"/>
        </w:rPr>
        <w:t xml:space="preserve">, Division </w:t>
      </w:r>
      <w:r w:rsidR="00BD1FAC">
        <w:rPr>
          <w:rStyle w:val="Referencingstyle"/>
        </w:rPr>
        <w:t>2</w:t>
      </w:r>
      <w:r w:rsidR="00BD1FAC" w:rsidRPr="0071546A">
        <w:rPr>
          <w:rStyle w:val="Referencingstyle"/>
        </w:rPr>
        <w:t>, subsection</w:t>
      </w:r>
      <w:r w:rsidR="00BD1FAC">
        <w:rPr>
          <w:rStyle w:val="Referencingstyle"/>
        </w:rPr>
        <w:t>s</w:t>
      </w:r>
      <w:r w:rsidR="00BD1FAC" w:rsidRPr="0071546A">
        <w:rPr>
          <w:rStyle w:val="Referencingstyle"/>
        </w:rPr>
        <w:t xml:space="preserve"> </w:t>
      </w:r>
      <w:r w:rsidR="00610809">
        <w:rPr>
          <w:rStyle w:val="Referencingstyle"/>
        </w:rPr>
        <w:t xml:space="preserve">112 </w:t>
      </w:r>
      <w:r w:rsidR="00BD1FAC">
        <w:rPr>
          <w:rStyle w:val="Referencingstyle"/>
        </w:rPr>
        <w:t>(3) and (4)</w:t>
      </w:r>
      <w:r w:rsidR="00BD1FAC" w:rsidRPr="0071546A">
        <w:rPr>
          <w:rStyle w:val="Referencingstyle"/>
        </w:rPr>
        <w:t>]</w:t>
      </w:r>
      <w:r w:rsidR="00BD1FAC">
        <w:t xml:space="preserve"> </w:t>
      </w:r>
    </w:p>
    <w:p w14:paraId="0CFCC25C" w14:textId="77777777" w:rsidR="0078171D" w:rsidRDefault="00BD1FAC" w:rsidP="0078171D">
      <w:pPr>
        <w:pStyle w:val="base-text-paragraph"/>
        <w:tabs>
          <w:tab w:val="clear" w:pos="1985"/>
          <w:tab w:val="num" w:pos="1986"/>
        </w:tabs>
      </w:pPr>
      <w:r>
        <w:t>An actuary or former actuary must comply with a notice to</w:t>
      </w:r>
      <w:r w:rsidR="00775590">
        <w:t xml:space="preserve"> give</w:t>
      </w:r>
      <w:r>
        <w:t xml:space="preserve"> information even if that information may incriminate them</w:t>
      </w:r>
      <w:r w:rsidR="006E610B">
        <w:t xml:space="preserve">. </w:t>
      </w:r>
      <w:r>
        <w:t>However</w:t>
      </w:r>
      <w:r w:rsidR="00775590">
        <w:t>,</w:t>
      </w:r>
      <w:r>
        <w:t xml:space="preserve"> the information given in accordance with the notice is not admissible in proceedings against </w:t>
      </w:r>
      <w:r w:rsidR="00701BCA">
        <w:t xml:space="preserve">the actuary or former actuary, except in a proceeding for 137.1 and 137.2 of the Criminal Code (providing false or misleading information or documents). </w:t>
      </w:r>
      <w:r w:rsidR="00775590">
        <w:t xml:space="preserve">That </w:t>
      </w:r>
      <w:r w:rsidR="00701BCA">
        <w:t xml:space="preserve">is, whilst an actuary </w:t>
      </w:r>
      <w:r w:rsidR="00515984">
        <w:t>cannot claim</w:t>
      </w:r>
      <w:r w:rsidR="00701BCA">
        <w:t xml:space="preserve"> privilege against self-incrimination</w:t>
      </w:r>
      <w:r w:rsidR="00515984">
        <w:t xml:space="preserve"> in order to avoid complying </w:t>
      </w:r>
      <w:r w:rsidR="00847455">
        <w:t>with the notice</w:t>
      </w:r>
      <w:r w:rsidR="00701BCA">
        <w:t xml:space="preserve">, the </w:t>
      </w:r>
      <w:r w:rsidR="0078171D" w:rsidRPr="0078171D">
        <w:t>information provided in response to the notice cannot be used in criminal proceedings or proceedings for a penalty (other than disqualification)</w:t>
      </w:r>
      <w:r w:rsidR="00371FB4">
        <w:t>. This ensures that APRA receives information which it can use to protect the interests of policy holders and prudentially regulate. However if an actuary/former actuary deliberately attempts to deceive APRA by placing misleading or false information in the notice, then the notice can still be used to prosecute the actuary/former actuary.</w:t>
      </w:r>
      <w:r w:rsidR="00557F69">
        <w:t xml:space="preserve"> </w:t>
      </w:r>
      <w:r w:rsidR="0078171D" w:rsidRPr="0071546A">
        <w:rPr>
          <w:rStyle w:val="Referencingstyle"/>
        </w:rPr>
        <w:t xml:space="preserve">[Part </w:t>
      </w:r>
      <w:r w:rsidR="0078171D">
        <w:rPr>
          <w:rStyle w:val="Referencingstyle"/>
        </w:rPr>
        <w:t>5</w:t>
      </w:r>
      <w:r w:rsidR="0078171D" w:rsidRPr="0071546A">
        <w:rPr>
          <w:rStyle w:val="Referencingstyle"/>
        </w:rPr>
        <w:t xml:space="preserve">, Division </w:t>
      </w:r>
      <w:r w:rsidR="0078171D">
        <w:rPr>
          <w:rStyle w:val="Referencingstyle"/>
        </w:rPr>
        <w:t>2</w:t>
      </w:r>
      <w:r w:rsidR="0078171D" w:rsidRPr="0071546A">
        <w:rPr>
          <w:rStyle w:val="Referencingstyle"/>
        </w:rPr>
        <w:t>, subsection</w:t>
      </w:r>
      <w:r w:rsidR="0078171D">
        <w:rPr>
          <w:rStyle w:val="Referencingstyle"/>
        </w:rPr>
        <w:t>s</w:t>
      </w:r>
      <w:r w:rsidR="0078171D" w:rsidRPr="0071546A">
        <w:rPr>
          <w:rStyle w:val="Referencingstyle"/>
        </w:rPr>
        <w:t xml:space="preserve"> </w:t>
      </w:r>
      <w:r w:rsidR="0078171D">
        <w:rPr>
          <w:rStyle w:val="Referencingstyle"/>
        </w:rPr>
        <w:t>112</w:t>
      </w:r>
      <w:r w:rsidR="0078171D" w:rsidRPr="0071546A">
        <w:rPr>
          <w:rStyle w:val="Referencingstyle"/>
        </w:rPr>
        <w:t>(</w:t>
      </w:r>
      <w:r w:rsidR="0078171D">
        <w:rPr>
          <w:rStyle w:val="Referencingstyle"/>
        </w:rPr>
        <w:t>2</w:t>
      </w:r>
      <w:r w:rsidR="0078171D" w:rsidRPr="0071546A">
        <w:rPr>
          <w:rStyle w:val="Referencingstyle"/>
        </w:rPr>
        <w:t>)</w:t>
      </w:r>
      <w:r w:rsidR="0078171D">
        <w:rPr>
          <w:rStyle w:val="Referencingstyle"/>
        </w:rPr>
        <w:t>, (3) and (4)</w:t>
      </w:r>
      <w:r w:rsidR="0078171D" w:rsidRPr="0071546A">
        <w:rPr>
          <w:rStyle w:val="Referencingstyle"/>
        </w:rPr>
        <w:t>]</w:t>
      </w:r>
    </w:p>
    <w:p w14:paraId="57B905CF" w14:textId="77777777" w:rsidR="0078171D" w:rsidRDefault="00557F69" w:rsidP="00430E33">
      <w:pPr>
        <w:pStyle w:val="base-text-paragraph"/>
      </w:pPr>
      <w:r>
        <w:t>This provision provides ‘use immunity’ but not ‘derivative use immunity’</w:t>
      </w:r>
      <w:r w:rsidR="0078171D">
        <w:t xml:space="preserve">, </w:t>
      </w:r>
      <w:r w:rsidR="0078171D" w:rsidRPr="0078171D">
        <w:t>that is, immunity in relation to anything obtained as a direct or indirect consequence of the production of the information, document or thing. In this respect the provision is consistent with self-incrimination provisions in the other legislation administered by APRA, including 1</w:t>
      </w:r>
      <w:r w:rsidR="00BC7ABD">
        <w:t xml:space="preserve">56F of the Life Insurance Act. </w:t>
      </w:r>
      <w:r w:rsidR="0078171D" w:rsidRPr="0078171D">
        <w:t>A difficulty with derivative use immunity is that it means that further evidence obtained through a chain of inquiry resulting from the protected evidence cannot be used in relevant proceedings even if the additional evidence would have been uncovered by the regulator through indepe</w:t>
      </w:r>
      <w:r w:rsidR="00BC7ABD">
        <w:t xml:space="preserve">ndent investigation processes. </w:t>
      </w:r>
      <w:r w:rsidR="0078171D" w:rsidRPr="0078171D">
        <w:t>A related issue is that it can be very difficult and time-consuming in a complex investigation to prove whether evidence was obtained as a consequence of the protected evid</w:t>
      </w:r>
      <w:r w:rsidR="00BC7ABD">
        <w:t>ence or obtained independently.</w:t>
      </w:r>
      <w:r w:rsidR="0078171D" w:rsidRPr="0078171D">
        <w:t xml:space="preserve"> </w:t>
      </w:r>
      <w:r w:rsidR="0078171D" w:rsidRPr="0071546A">
        <w:rPr>
          <w:rStyle w:val="Referencingstyle"/>
        </w:rPr>
        <w:t xml:space="preserve">[Part </w:t>
      </w:r>
      <w:r w:rsidR="0078171D">
        <w:rPr>
          <w:rStyle w:val="Referencingstyle"/>
        </w:rPr>
        <w:t>5</w:t>
      </w:r>
      <w:r w:rsidR="0078171D" w:rsidRPr="0071546A">
        <w:rPr>
          <w:rStyle w:val="Referencingstyle"/>
        </w:rPr>
        <w:t xml:space="preserve">, Division </w:t>
      </w:r>
      <w:r w:rsidR="0078171D">
        <w:rPr>
          <w:rStyle w:val="Referencingstyle"/>
        </w:rPr>
        <w:t>2</w:t>
      </w:r>
      <w:r w:rsidR="0078171D" w:rsidRPr="0071546A">
        <w:rPr>
          <w:rStyle w:val="Referencingstyle"/>
        </w:rPr>
        <w:t>, subsection</w:t>
      </w:r>
      <w:r w:rsidR="0078171D">
        <w:rPr>
          <w:rStyle w:val="Referencingstyle"/>
        </w:rPr>
        <w:t>s</w:t>
      </w:r>
      <w:r w:rsidR="0078171D" w:rsidRPr="0071546A">
        <w:rPr>
          <w:rStyle w:val="Referencingstyle"/>
        </w:rPr>
        <w:t xml:space="preserve"> </w:t>
      </w:r>
      <w:r w:rsidR="0078171D">
        <w:rPr>
          <w:rStyle w:val="Referencingstyle"/>
        </w:rPr>
        <w:t>112</w:t>
      </w:r>
      <w:r w:rsidR="0078171D" w:rsidRPr="0071546A">
        <w:rPr>
          <w:rStyle w:val="Referencingstyle"/>
        </w:rPr>
        <w:t>(</w:t>
      </w:r>
      <w:r w:rsidR="0078171D">
        <w:rPr>
          <w:rStyle w:val="Referencingstyle"/>
        </w:rPr>
        <w:t>2</w:t>
      </w:r>
      <w:r w:rsidR="0078171D" w:rsidRPr="0071546A">
        <w:rPr>
          <w:rStyle w:val="Referencingstyle"/>
        </w:rPr>
        <w:t>)</w:t>
      </w:r>
      <w:r w:rsidR="0078171D">
        <w:rPr>
          <w:rStyle w:val="Referencingstyle"/>
        </w:rPr>
        <w:t>, (3) and (4)</w:t>
      </w:r>
      <w:r w:rsidR="0078171D" w:rsidRPr="0071546A">
        <w:rPr>
          <w:rStyle w:val="Referencingstyle"/>
        </w:rPr>
        <w:t>]</w:t>
      </w:r>
    </w:p>
    <w:p w14:paraId="7020AD7D" w14:textId="77777777" w:rsidR="003C620A" w:rsidRDefault="003C620A" w:rsidP="006D4186">
      <w:pPr>
        <w:pStyle w:val="Heading4"/>
      </w:pPr>
      <w:r>
        <w:t>Qualified privilege of appointed</w:t>
      </w:r>
      <w:r w:rsidR="00EC2E44">
        <w:t xml:space="preserve"> actuary</w:t>
      </w:r>
    </w:p>
    <w:p w14:paraId="30AC85B4" w14:textId="77777777" w:rsidR="001A57F7" w:rsidRPr="001A57F7" w:rsidRDefault="00DB5A71" w:rsidP="000F194A">
      <w:pPr>
        <w:pStyle w:val="base-text-paragraph"/>
        <w:rPr>
          <w:b/>
          <w:i/>
        </w:rPr>
      </w:pPr>
      <w:r>
        <w:t xml:space="preserve">A current or </w:t>
      </w:r>
      <w:r w:rsidR="0007711C">
        <w:t xml:space="preserve">former actuary of an </w:t>
      </w:r>
      <w:r>
        <w:t>insurer has</w:t>
      </w:r>
      <w:r w:rsidR="00227AC7">
        <w:t xml:space="preserve"> a</w:t>
      </w:r>
      <w:r>
        <w:t xml:space="preserve"> qualified pri</w:t>
      </w:r>
      <w:r w:rsidR="0007711C">
        <w:t>vilege in relation to any statement made for the purposes of their statutory function</w:t>
      </w:r>
      <w:r w:rsidR="0078171D">
        <w:t>s and duties</w:t>
      </w:r>
      <w:r w:rsidR="00775590">
        <w:t>.</w:t>
      </w:r>
      <w:r w:rsidR="0007711C">
        <w:t xml:space="preserve"> </w:t>
      </w:r>
      <w:r w:rsidR="00775590">
        <w:t>T</w:t>
      </w:r>
      <w:r w:rsidR="0007711C">
        <w:t>hat is, the actuary will</w:t>
      </w:r>
      <w:r w:rsidR="0078171D">
        <w:t xml:space="preserve"> have a defence in</w:t>
      </w:r>
      <w:r w:rsidR="0007711C">
        <w:t xml:space="preserve"> defamation proceedings</w:t>
      </w:r>
      <w:r w:rsidR="00742365">
        <w:t xml:space="preserve"> in relation to </w:t>
      </w:r>
      <w:r w:rsidR="00694EE7">
        <w:t xml:space="preserve">a communication made in relation to </w:t>
      </w:r>
      <w:r w:rsidR="00742365">
        <w:t xml:space="preserve">their </w:t>
      </w:r>
      <w:r w:rsidR="0078171D">
        <w:t>statutory functions or duties</w:t>
      </w:r>
      <w:r>
        <w:t xml:space="preserve">.  </w:t>
      </w:r>
      <w:r w:rsidRPr="006C3D7A">
        <w:rPr>
          <w:rStyle w:val="Referencingstyle"/>
        </w:rPr>
        <w:t>[Part</w:t>
      </w:r>
      <w:r w:rsidR="00F54E92" w:rsidRPr="006C3D7A">
        <w:rPr>
          <w:rStyle w:val="Referencingstyle"/>
        </w:rPr>
        <w:t> 5,</w:t>
      </w:r>
      <w:r w:rsidRPr="006C3D7A">
        <w:rPr>
          <w:rStyle w:val="Referencingstyle"/>
        </w:rPr>
        <w:t xml:space="preserve"> Division </w:t>
      </w:r>
      <w:r w:rsidR="00F54E92" w:rsidRPr="006C3D7A">
        <w:rPr>
          <w:rStyle w:val="Referencingstyle"/>
        </w:rPr>
        <w:t>2</w:t>
      </w:r>
      <w:r w:rsidRPr="006C3D7A">
        <w:rPr>
          <w:rStyle w:val="Referencingstyle"/>
        </w:rPr>
        <w:t xml:space="preserve">, sections </w:t>
      </w:r>
      <w:r w:rsidR="00775590">
        <w:rPr>
          <w:rStyle w:val="Referencingstyle"/>
        </w:rPr>
        <w:t>113</w:t>
      </w:r>
      <w:r w:rsidRPr="006C3D7A">
        <w:rPr>
          <w:rStyle w:val="Referencingstyle"/>
        </w:rPr>
        <w:t>]</w:t>
      </w:r>
    </w:p>
    <w:p w14:paraId="65921671" w14:textId="77777777" w:rsidR="00251491" w:rsidRDefault="00251491" w:rsidP="001A57F7">
      <w:pPr>
        <w:pStyle w:val="Heading4"/>
      </w:pPr>
      <w:r>
        <w:t>Referring matters to professional associations for actuaries</w:t>
      </w:r>
    </w:p>
    <w:p w14:paraId="3073D4E7" w14:textId="77777777" w:rsidR="00FA681A" w:rsidRPr="001662CA" w:rsidRDefault="00251491" w:rsidP="000F194A">
      <w:pPr>
        <w:pStyle w:val="base-text-paragraph"/>
        <w:rPr>
          <w:rStyle w:val="Referencingstyle"/>
          <w:b w:val="0"/>
          <w:i w:val="0"/>
          <w:sz w:val="22"/>
        </w:rPr>
      </w:pPr>
      <w:r>
        <w:t xml:space="preserve">APRA may refer a matter to an actuary’s professional association for consideration of disciplinary or other action if APRA considers that the actuary failed to adequately perform their duties </w:t>
      </w:r>
      <w:r w:rsidR="000D1576">
        <w:t xml:space="preserve">or </w:t>
      </w:r>
      <w:r>
        <w:t xml:space="preserve">functions or is not a fit and proper person to be an actuary. </w:t>
      </w:r>
      <w:r w:rsidR="00227AC7">
        <w:t>This is another mechanism</w:t>
      </w:r>
      <w:r w:rsidR="005E2EA6">
        <w:t xml:space="preserve"> for APRA to ensure an actuary fulfils their statutory requirements, which is important given the actuary’s unique role in overseeing the insurer. </w:t>
      </w:r>
      <w:r>
        <w:t xml:space="preserve"> </w:t>
      </w:r>
      <w:r w:rsidRPr="001A57F7">
        <w:rPr>
          <w:rStyle w:val="Referencingstyle"/>
        </w:rPr>
        <w:t>[Part 5, Division</w:t>
      </w:r>
      <w:r w:rsidR="00ED3C2A">
        <w:rPr>
          <w:rStyle w:val="Referencingstyle"/>
        </w:rPr>
        <w:t> </w:t>
      </w:r>
      <w:r w:rsidRPr="001A57F7">
        <w:rPr>
          <w:rStyle w:val="Referencingstyle"/>
        </w:rPr>
        <w:t xml:space="preserve">2, subsection </w:t>
      </w:r>
      <w:r w:rsidR="000D1576">
        <w:rPr>
          <w:rStyle w:val="Referencingstyle"/>
        </w:rPr>
        <w:t>114</w:t>
      </w:r>
      <w:r w:rsidRPr="001A57F7">
        <w:rPr>
          <w:rStyle w:val="Referencingstyle"/>
        </w:rPr>
        <w:t>(1)]</w:t>
      </w:r>
    </w:p>
    <w:p w14:paraId="66BB7250" w14:textId="77777777" w:rsidR="00251491" w:rsidRDefault="00251491" w:rsidP="000F194A">
      <w:pPr>
        <w:pStyle w:val="base-text-paragraph"/>
      </w:pPr>
      <w:r>
        <w:t xml:space="preserve">If APRA refers such a matter, APRA must also give written notice of this to the actuary.  </w:t>
      </w:r>
      <w:r w:rsidRPr="001A57F7">
        <w:rPr>
          <w:rStyle w:val="Referencingstyle"/>
        </w:rPr>
        <w:t xml:space="preserve">[Part 5, Division 2, subsection </w:t>
      </w:r>
      <w:r w:rsidR="000D1576">
        <w:rPr>
          <w:rStyle w:val="Referencingstyle"/>
        </w:rPr>
        <w:t>114</w:t>
      </w:r>
      <w:r w:rsidRPr="001A57F7">
        <w:rPr>
          <w:rStyle w:val="Referencingstyle"/>
        </w:rPr>
        <w:t>(2)]</w:t>
      </w:r>
    </w:p>
    <w:p w14:paraId="401D6372" w14:textId="77777777" w:rsidR="00251491" w:rsidRDefault="00251491" w:rsidP="00EF64FD">
      <w:pPr>
        <w:pStyle w:val="Heading4"/>
        <w:keepLines/>
      </w:pPr>
      <w:r>
        <w:t>APRA may direct removal of actuary</w:t>
      </w:r>
    </w:p>
    <w:p w14:paraId="427CD3F9" w14:textId="77777777" w:rsidR="00846F5E" w:rsidRDefault="00251491" w:rsidP="00EF64FD">
      <w:pPr>
        <w:pStyle w:val="base-text-paragraph"/>
        <w:keepNext/>
        <w:keepLines/>
      </w:pPr>
      <w:r>
        <w:t xml:space="preserve">If an actuary is disqualified, is not a fit and proper person to be an appointed actuary or has </w:t>
      </w:r>
      <w:r w:rsidRPr="00251491">
        <w:t xml:space="preserve">failed to adequately perform their duties </w:t>
      </w:r>
      <w:r w:rsidR="000D1576">
        <w:t>or</w:t>
      </w:r>
      <w:r w:rsidR="000D1576" w:rsidRPr="00251491">
        <w:t xml:space="preserve"> </w:t>
      </w:r>
      <w:r w:rsidRPr="00251491">
        <w:t>functions</w:t>
      </w:r>
      <w:r>
        <w:t xml:space="preserve"> under </w:t>
      </w:r>
      <w:r w:rsidR="00BC7ABD">
        <w:t xml:space="preserve">the </w:t>
      </w:r>
      <w:r w:rsidR="00BC7ABD">
        <w:rPr>
          <w:lang w:val="en-US" w:eastAsia="en-US"/>
        </w:rPr>
        <w:t>Prudential Supervision Bill</w:t>
      </w:r>
      <w:r>
        <w:t xml:space="preserve"> or the PHI Act, APRA may give a written direction to the private health insurer to end the p</w:t>
      </w:r>
      <w:r w:rsidR="00BC7ABD">
        <w:t>erson’s appointment as actuary.</w:t>
      </w:r>
      <w:r>
        <w:t xml:space="preserve"> </w:t>
      </w:r>
      <w:r w:rsidR="00846F5E" w:rsidRPr="00D056AC">
        <w:rPr>
          <w:rStyle w:val="Referencingstyle"/>
        </w:rPr>
        <w:t xml:space="preserve">[Part 5, Division 2, subsection </w:t>
      </w:r>
      <w:r w:rsidR="000D1576">
        <w:rPr>
          <w:rStyle w:val="Referencingstyle"/>
        </w:rPr>
        <w:t xml:space="preserve">115(1) and </w:t>
      </w:r>
      <w:r w:rsidR="00846F5E" w:rsidRPr="00D056AC">
        <w:rPr>
          <w:rStyle w:val="Referencingstyle"/>
        </w:rPr>
        <w:t>(2)]</w:t>
      </w:r>
    </w:p>
    <w:p w14:paraId="49DCBCD7" w14:textId="77777777" w:rsidR="00846F5E" w:rsidRPr="00846F5E" w:rsidRDefault="00846F5E" w:rsidP="000F194A">
      <w:pPr>
        <w:pStyle w:val="base-text-paragraph"/>
      </w:pPr>
      <w:r>
        <w:t xml:space="preserve">Before making such a direction, APRA must give a written notice to the insurer and </w:t>
      </w:r>
      <w:r w:rsidR="002037D8">
        <w:t>the</w:t>
      </w:r>
      <w:r>
        <w:t xml:space="preserve"> actuary and give the actuary </w:t>
      </w:r>
      <w:r w:rsidR="002037D8">
        <w:t xml:space="preserve">and the insurer </w:t>
      </w:r>
      <w:r>
        <w:t xml:space="preserve">a reasonable opportunity to make submissions. The notice must include a statement that APRA may discuss any submission with other persons </w:t>
      </w:r>
      <w:r w:rsidR="00690822">
        <w:t xml:space="preserve">that </w:t>
      </w:r>
      <w:r>
        <w:t>APRA considers appropriate</w:t>
      </w:r>
      <w:r w:rsidR="00EB6176">
        <w:t>.</w:t>
      </w:r>
      <w:r>
        <w:t xml:space="preserve"> </w:t>
      </w:r>
      <w:r w:rsidRPr="001A57F7">
        <w:rPr>
          <w:rStyle w:val="Referencingstyle"/>
        </w:rPr>
        <w:t>[Part 5, Division 2, subsection</w:t>
      </w:r>
      <w:r>
        <w:rPr>
          <w:rStyle w:val="Referencingstyle"/>
        </w:rPr>
        <w:t>s</w:t>
      </w:r>
      <w:r w:rsidRPr="001A57F7">
        <w:rPr>
          <w:rStyle w:val="Referencingstyle"/>
        </w:rPr>
        <w:t xml:space="preserve"> </w:t>
      </w:r>
      <w:r w:rsidR="000D1576">
        <w:rPr>
          <w:rStyle w:val="Referencingstyle"/>
        </w:rPr>
        <w:t>115</w:t>
      </w:r>
      <w:r w:rsidRPr="001A57F7">
        <w:rPr>
          <w:rStyle w:val="Referencingstyle"/>
        </w:rPr>
        <w:t>(3)</w:t>
      </w:r>
      <w:r>
        <w:rPr>
          <w:rStyle w:val="Referencingstyle"/>
        </w:rPr>
        <w:t xml:space="preserve"> and (4)</w:t>
      </w:r>
      <w:r w:rsidRPr="001A57F7">
        <w:rPr>
          <w:rStyle w:val="Referencingstyle"/>
        </w:rPr>
        <w:t>]</w:t>
      </w:r>
    </w:p>
    <w:p w14:paraId="34456597" w14:textId="77777777" w:rsidR="00846F5E" w:rsidRDefault="00846F5E" w:rsidP="000F194A">
      <w:pPr>
        <w:pStyle w:val="base-text-paragraph"/>
      </w:pPr>
      <w:r>
        <w:t>I</w:t>
      </w:r>
      <w:r w:rsidR="00304367">
        <w:t>f</w:t>
      </w:r>
      <w:r>
        <w:t xml:space="preserve"> a submission is made, APRA must consider </w:t>
      </w:r>
      <w:r w:rsidR="00EB6176">
        <w:t>the submission</w:t>
      </w:r>
      <w:r>
        <w:t xml:space="preserve"> and may discuss it with </w:t>
      </w:r>
      <w:r w:rsidR="00EB6176">
        <w:t>any</w:t>
      </w:r>
      <w:r>
        <w:t xml:space="preserve"> persons APRA considers appropriate.  </w:t>
      </w:r>
      <w:r w:rsidRPr="001A57F7">
        <w:rPr>
          <w:rStyle w:val="Referencingstyle"/>
        </w:rPr>
        <w:t xml:space="preserve">[Part 5, Division 2, subsection </w:t>
      </w:r>
      <w:r w:rsidR="000D1576">
        <w:rPr>
          <w:rStyle w:val="Referencingstyle"/>
        </w:rPr>
        <w:t>115</w:t>
      </w:r>
      <w:r w:rsidRPr="001A57F7">
        <w:rPr>
          <w:rStyle w:val="Referencingstyle"/>
        </w:rPr>
        <w:t xml:space="preserve">(5)] </w:t>
      </w:r>
    </w:p>
    <w:p w14:paraId="65571165" w14:textId="77777777" w:rsidR="00846F5E" w:rsidRDefault="00846F5E" w:rsidP="000F194A">
      <w:pPr>
        <w:pStyle w:val="base-text-paragraph"/>
      </w:pPr>
      <w:r>
        <w:t xml:space="preserve">A direction ending an </w:t>
      </w:r>
      <w:r w:rsidR="002037D8">
        <w:t xml:space="preserve">actuary’s </w:t>
      </w:r>
      <w:r>
        <w:t xml:space="preserve">appointment takes effect on the day the direction specifies, which must be at least </w:t>
      </w:r>
      <w:r w:rsidR="00185555">
        <w:t>seven</w:t>
      </w:r>
      <w:r>
        <w:t xml:space="preserve"> days after the direction is made.</w:t>
      </w:r>
      <w:r w:rsidR="00B00CE1">
        <w:t xml:space="preserve">  A</w:t>
      </w:r>
      <w:r w:rsidR="00EB6176">
        <w:t>P</w:t>
      </w:r>
      <w:r w:rsidR="00B00CE1">
        <w:t>RA must give both the insurer and the actuary a copy of the direction</w:t>
      </w:r>
      <w:r w:rsidR="00BC7ABD">
        <w:t>.</w:t>
      </w:r>
      <w:r w:rsidR="00B00CE1">
        <w:t xml:space="preserve"> </w:t>
      </w:r>
      <w:r w:rsidR="00B00CE1" w:rsidRPr="00C55A0C">
        <w:rPr>
          <w:rStyle w:val="Referencingstyle"/>
        </w:rPr>
        <w:t>[Part 5, Division 2, subsection</w:t>
      </w:r>
      <w:r w:rsidR="00B00CE1">
        <w:rPr>
          <w:rStyle w:val="Referencingstyle"/>
        </w:rPr>
        <w:t>s</w:t>
      </w:r>
      <w:r w:rsidR="00B00CE1" w:rsidRPr="00C55A0C">
        <w:rPr>
          <w:rStyle w:val="Referencingstyle"/>
        </w:rPr>
        <w:t xml:space="preserve"> </w:t>
      </w:r>
      <w:r w:rsidR="00C05BE2" w:rsidRPr="00C55A0C">
        <w:rPr>
          <w:rStyle w:val="Referencingstyle"/>
        </w:rPr>
        <w:t>11</w:t>
      </w:r>
      <w:r w:rsidR="00C05BE2">
        <w:rPr>
          <w:rStyle w:val="Referencingstyle"/>
        </w:rPr>
        <w:t>4</w:t>
      </w:r>
      <w:r w:rsidR="00B00CE1" w:rsidRPr="00C55A0C">
        <w:rPr>
          <w:rStyle w:val="Referencingstyle"/>
        </w:rPr>
        <w:t>(</w:t>
      </w:r>
      <w:r w:rsidR="00B00CE1">
        <w:rPr>
          <w:rStyle w:val="Referencingstyle"/>
        </w:rPr>
        <w:t>6</w:t>
      </w:r>
      <w:r w:rsidR="00B00CE1" w:rsidRPr="00C55A0C">
        <w:rPr>
          <w:rStyle w:val="Referencingstyle"/>
        </w:rPr>
        <w:t>)</w:t>
      </w:r>
      <w:r w:rsidR="00B00CE1">
        <w:rPr>
          <w:rStyle w:val="Referencingstyle"/>
        </w:rPr>
        <w:t xml:space="preserve"> and (7)</w:t>
      </w:r>
      <w:r w:rsidR="00B00CE1" w:rsidRPr="00C55A0C">
        <w:rPr>
          <w:rStyle w:val="Referencingstyle"/>
        </w:rPr>
        <w:t>]</w:t>
      </w:r>
    </w:p>
    <w:p w14:paraId="58432ABA" w14:textId="77777777" w:rsidR="00846F5E" w:rsidRPr="006D1295" w:rsidRDefault="00846F5E" w:rsidP="000F194A">
      <w:pPr>
        <w:pStyle w:val="base-text-paragraph"/>
        <w:rPr>
          <w:rStyle w:val="Referencingstyle"/>
          <w:b w:val="0"/>
          <w:i w:val="0"/>
          <w:sz w:val="22"/>
        </w:rPr>
      </w:pPr>
      <w:r>
        <w:t xml:space="preserve">It is an offence </w:t>
      </w:r>
      <w:r w:rsidR="002037D8">
        <w:t xml:space="preserve">with a penalty </w:t>
      </w:r>
      <w:r>
        <w:t xml:space="preserve">of </w:t>
      </w:r>
      <w:r w:rsidR="002037D8">
        <w:t>30 penalty units</w:t>
      </w:r>
      <w:r>
        <w:t xml:space="preserve"> for a private health insurer to fail to comply with a direction given under section </w:t>
      </w:r>
      <w:r w:rsidR="000D1576">
        <w:t>115</w:t>
      </w:r>
      <w:r>
        <w:t>.</w:t>
      </w:r>
      <w:r w:rsidR="00BC7ABD">
        <w:t xml:space="preserve"> </w:t>
      </w:r>
      <w:r w:rsidR="00B00CE1" w:rsidRPr="00C55A0C">
        <w:rPr>
          <w:rStyle w:val="Referencingstyle"/>
        </w:rPr>
        <w:t xml:space="preserve">[Part 5, Division 2, subsection </w:t>
      </w:r>
      <w:r w:rsidR="000D1576">
        <w:rPr>
          <w:rStyle w:val="Referencingstyle"/>
        </w:rPr>
        <w:t>115</w:t>
      </w:r>
      <w:r w:rsidR="00B00CE1" w:rsidRPr="00C55A0C">
        <w:rPr>
          <w:rStyle w:val="Referencingstyle"/>
        </w:rPr>
        <w:t>(</w:t>
      </w:r>
      <w:r w:rsidR="00B00CE1">
        <w:rPr>
          <w:rStyle w:val="Referencingstyle"/>
        </w:rPr>
        <w:t>8</w:t>
      </w:r>
      <w:r w:rsidR="00B00CE1" w:rsidRPr="00C55A0C">
        <w:rPr>
          <w:rStyle w:val="Referencingstyle"/>
        </w:rPr>
        <w:t>)]</w:t>
      </w:r>
      <w:r w:rsidR="00B00CE1">
        <w:rPr>
          <w:rStyle w:val="Referencingstyle"/>
        </w:rPr>
        <w:t xml:space="preserve"> </w:t>
      </w:r>
    </w:p>
    <w:p w14:paraId="23CB1603" w14:textId="77777777" w:rsidR="00251491" w:rsidRDefault="00251491" w:rsidP="00251491">
      <w:pPr>
        <w:pStyle w:val="Heading3"/>
      </w:pPr>
      <w:r>
        <w:t xml:space="preserve">Division </w:t>
      </w:r>
      <w:r w:rsidR="00C04AA9">
        <w:t>3</w:t>
      </w:r>
      <w:r>
        <w:t xml:space="preserve"> – Disqualified persons</w:t>
      </w:r>
    </w:p>
    <w:p w14:paraId="41182EE8" w14:textId="77777777" w:rsidR="007E76DA" w:rsidRDefault="00DE55EB" w:rsidP="00BC7ABD">
      <w:pPr>
        <w:pStyle w:val="base-text-paragraph"/>
        <w:tabs>
          <w:tab w:val="clear" w:pos="1985"/>
          <w:tab w:val="num" w:pos="1986"/>
        </w:tabs>
      </w:pPr>
      <w:r>
        <w:t xml:space="preserve">The </w:t>
      </w:r>
      <w:r w:rsidR="00BC7ABD" w:rsidRPr="00BC7ABD">
        <w:rPr>
          <w:lang w:val="en-US" w:eastAsia="en-US"/>
        </w:rPr>
        <w:t xml:space="preserve">Prudential Supervision </w:t>
      </w:r>
      <w:r w:rsidRPr="00BC7ABD" w:rsidDel="00BC7ABD">
        <w:rPr>
          <w:lang w:val="en-US" w:eastAsia="en-US"/>
        </w:rPr>
        <w:t>Bill</w:t>
      </w:r>
      <w:r>
        <w:t xml:space="preserve"> allows </w:t>
      </w:r>
      <w:r w:rsidR="0006042D">
        <w:t xml:space="preserve">the Federal Court to disqualify </w:t>
      </w:r>
      <w:r w:rsidR="00643072">
        <w:t>an officer or appointed actuary of an insurer, on application by APRA.</w:t>
      </w:r>
      <w:r>
        <w:t xml:space="preserve"> </w:t>
      </w:r>
      <w:r w:rsidR="00694EE7">
        <w:t>By contrast, t</w:t>
      </w:r>
      <w:r w:rsidR="007E76DA">
        <w:t xml:space="preserve">he PHI Act </w:t>
      </w:r>
      <w:r w:rsidR="00690822">
        <w:t>gives</w:t>
      </w:r>
      <w:r w:rsidR="00AC6B82">
        <w:t xml:space="preserve"> </w:t>
      </w:r>
      <w:r w:rsidR="00F95447">
        <w:t xml:space="preserve">the </w:t>
      </w:r>
      <w:r w:rsidR="00AC6B82">
        <w:t>Council</w:t>
      </w:r>
      <w:r w:rsidR="007E76DA">
        <w:t xml:space="preserve"> </w:t>
      </w:r>
      <w:r w:rsidR="00694EE7">
        <w:t xml:space="preserve">an administrative </w:t>
      </w:r>
      <w:r w:rsidR="007E76DA">
        <w:t xml:space="preserve">power to make a determination </w:t>
      </w:r>
      <w:r w:rsidR="00BC7ABD">
        <w:t xml:space="preserve">that a person is disqualified. </w:t>
      </w:r>
      <w:r w:rsidR="007E76DA">
        <w:t xml:space="preserve">The disqualification regime in the </w:t>
      </w:r>
      <w:r w:rsidR="00BC7ABD" w:rsidRPr="00BC7ABD">
        <w:rPr>
          <w:lang w:val="en-US" w:eastAsia="en-US"/>
        </w:rPr>
        <w:t xml:space="preserve">Prudential Supervision </w:t>
      </w:r>
      <w:r w:rsidR="0023493D" w:rsidRPr="00BC7ABD" w:rsidDel="00BC7ABD">
        <w:rPr>
          <w:lang w:val="en-US" w:eastAsia="en-US"/>
        </w:rPr>
        <w:t>Bill</w:t>
      </w:r>
      <w:r w:rsidR="007E76DA">
        <w:t xml:space="preserve"> </w:t>
      </w:r>
      <w:r w:rsidR="00694EE7">
        <w:t xml:space="preserve">therefore </w:t>
      </w:r>
      <w:r w:rsidR="007E76DA">
        <w:t xml:space="preserve">differs by requiring APRA to approach a court for a determination that a person is disqualified. </w:t>
      </w:r>
      <w:r w:rsidR="00E27131">
        <w:t xml:space="preserve"> This approach gives officers and actuaries the benefit of having a disqualification order made by an independent </w:t>
      </w:r>
      <w:r w:rsidR="00694EE7">
        <w:t>judicial body</w:t>
      </w:r>
      <w:r w:rsidR="00E27131">
        <w:t xml:space="preserve">. </w:t>
      </w:r>
      <w:r w:rsidR="007E76DA">
        <w:t xml:space="preserve">As with the PHI Act, </w:t>
      </w:r>
      <w:r w:rsidR="00643072">
        <w:t xml:space="preserve">the </w:t>
      </w:r>
      <w:r w:rsidR="00BC7ABD" w:rsidRPr="00BC7ABD">
        <w:t xml:space="preserve">Prudential Supervision </w:t>
      </w:r>
      <w:r w:rsidR="00643072" w:rsidDel="00BC7ABD">
        <w:t>Bill</w:t>
      </w:r>
      <w:r w:rsidR="00643072">
        <w:t xml:space="preserve"> stipulates</w:t>
      </w:r>
      <w:r w:rsidR="007E76DA">
        <w:t xml:space="preserve"> grounds upon which a person is automatically disqualified</w:t>
      </w:r>
      <w:r w:rsidR="00430E33">
        <w:t>,</w:t>
      </w:r>
      <w:r w:rsidR="007E76DA">
        <w:t xml:space="preserve"> </w:t>
      </w:r>
      <w:r w:rsidR="00C443CF">
        <w:t xml:space="preserve">although the </w:t>
      </w:r>
      <w:r w:rsidR="00BC7ABD" w:rsidRPr="00BC7ABD">
        <w:t xml:space="preserve">Prudential Supervision </w:t>
      </w:r>
      <w:r w:rsidR="00F95447" w:rsidDel="00BC7ABD">
        <w:t>Bill</w:t>
      </w:r>
      <w:r w:rsidR="00F95447">
        <w:t xml:space="preserve"> </w:t>
      </w:r>
      <w:r w:rsidR="00643072">
        <w:t>allows APRA or a disqualified person</w:t>
      </w:r>
      <w:r w:rsidR="007E76DA" w:rsidDel="00643072">
        <w:t xml:space="preserve"> </w:t>
      </w:r>
      <w:r w:rsidR="007E76DA">
        <w:t>to approach the court and seek a declaration that the person should not be treated as disqualified.</w:t>
      </w:r>
    </w:p>
    <w:p w14:paraId="57CC4E80" w14:textId="77777777" w:rsidR="00251491" w:rsidRDefault="00251491" w:rsidP="00251491">
      <w:pPr>
        <w:pStyle w:val="Heading4"/>
      </w:pPr>
      <w:r>
        <w:t>Private health insurers not to allow disqualified persons to act as directors</w:t>
      </w:r>
    </w:p>
    <w:p w14:paraId="53EC64A2" w14:textId="77777777" w:rsidR="008167D6" w:rsidRDefault="004F6654" w:rsidP="000F194A">
      <w:pPr>
        <w:pStyle w:val="base-text-paragraph"/>
      </w:pPr>
      <w:r>
        <w:t>A</w:t>
      </w:r>
      <w:r w:rsidR="0051667C">
        <w:t>n</w:t>
      </w:r>
      <w:r w:rsidR="001A562D">
        <w:t xml:space="preserve"> </w:t>
      </w:r>
      <w:r w:rsidR="008167D6">
        <w:t xml:space="preserve">insurer commits an offence </w:t>
      </w:r>
      <w:r w:rsidR="0051667C">
        <w:t xml:space="preserve">if the insurer allows a disqualified person to act as an officer or appointed actuary. The offence carries a maximum </w:t>
      </w:r>
      <w:r w:rsidR="008167D6">
        <w:t xml:space="preserve">penalty of </w:t>
      </w:r>
      <w:r w:rsidR="0051667C">
        <w:t xml:space="preserve">12 months imprisonment </w:t>
      </w:r>
      <w:r w:rsidR="002F26E3">
        <w:t xml:space="preserve">or </w:t>
      </w:r>
      <w:r w:rsidR="0051667C">
        <w:t>6</w:t>
      </w:r>
      <w:r w:rsidR="008167D6">
        <w:t>0</w:t>
      </w:r>
      <w:r w:rsidR="007E76DA">
        <w:t> </w:t>
      </w:r>
      <w:r w:rsidR="008167D6">
        <w:t>penalty units</w:t>
      </w:r>
      <w:r w:rsidR="00F95447">
        <w:t xml:space="preserve"> or both</w:t>
      </w:r>
      <w:r w:rsidR="00F346CF">
        <w:t xml:space="preserve">. </w:t>
      </w:r>
      <w:r w:rsidR="0051667C">
        <w:t xml:space="preserve">The penalty is </w:t>
      </w:r>
      <w:r w:rsidR="00FC2B44">
        <w:t>set so that</w:t>
      </w:r>
      <w:r w:rsidR="001A562D">
        <w:t xml:space="preserve"> an</w:t>
      </w:r>
      <w:r w:rsidR="0051667C">
        <w:t xml:space="preserve"> insurer </w:t>
      </w:r>
      <w:r w:rsidR="001A562D">
        <w:t xml:space="preserve">does not </w:t>
      </w:r>
      <w:r w:rsidR="0051667C">
        <w:t>knowingly or recklessly</w:t>
      </w:r>
      <w:r w:rsidR="001A562D">
        <w:t xml:space="preserve"> appoint</w:t>
      </w:r>
      <w:r w:rsidR="0051667C">
        <w:t xml:space="preserve"> someone who could risk the insurer’s solvency and the interests of policy holders.</w:t>
      </w:r>
      <w:r w:rsidR="00214522">
        <w:t xml:space="preserve"> </w:t>
      </w:r>
      <w:r w:rsidR="00F346CF" w:rsidRPr="00F346CF">
        <w:rPr>
          <w:rStyle w:val="Referencingstyle"/>
        </w:rPr>
        <w:t>[Part</w:t>
      </w:r>
      <w:r w:rsidR="00ED3C2A">
        <w:rPr>
          <w:rStyle w:val="Referencingstyle"/>
        </w:rPr>
        <w:t> </w:t>
      </w:r>
      <w:r w:rsidR="00B00CE1">
        <w:rPr>
          <w:rStyle w:val="Referencingstyle"/>
        </w:rPr>
        <w:t>5</w:t>
      </w:r>
      <w:r w:rsidR="00F346CF" w:rsidRPr="00F346CF">
        <w:rPr>
          <w:rStyle w:val="Referencingstyle"/>
        </w:rPr>
        <w:t xml:space="preserve">, Division </w:t>
      </w:r>
      <w:r w:rsidR="00B00CE1">
        <w:rPr>
          <w:rStyle w:val="Referencingstyle"/>
        </w:rPr>
        <w:t>3</w:t>
      </w:r>
      <w:r w:rsidR="00F346CF" w:rsidRPr="00F346CF">
        <w:rPr>
          <w:rStyle w:val="Referencingstyle"/>
        </w:rPr>
        <w:t>, s</w:t>
      </w:r>
      <w:r w:rsidR="00F346CF">
        <w:rPr>
          <w:rStyle w:val="Referencingstyle"/>
        </w:rPr>
        <w:t>ubs</w:t>
      </w:r>
      <w:r w:rsidR="00F346CF" w:rsidRPr="00F346CF">
        <w:rPr>
          <w:rStyle w:val="Referencingstyle"/>
        </w:rPr>
        <w:t>ection</w:t>
      </w:r>
      <w:r w:rsidR="001662CA">
        <w:rPr>
          <w:rStyle w:val="Referencingstyle"/>
        </w:rPr>
        <w:t> </w:t>
      </w:r>
      <w:r w:rsidR="00F95447">
        <w:rPr>
          <w:rStyle w:val="Referencingstyle"/>
        </w:rPr>
        <w:t>116</w:t>
      </w:r>
      <w:r w:rsidR="00F346CF">
        <w:rPr>
          <w:rStyle w:val="Referencingstyle"/>
        </w:rPr>
        <w:t>(1)</w:t>
      </w:r>
      <w:r w:rsidR="00F346CF" w:rsidRPr="00F346CF">
        <w:rPr>
          <w:rStyle w:val="Referencingstyle"/>
        </w:rPr>
        <w:t>]</w:t>
      </w:r>
    </w:p>
    <w:p w14:paraId="2EDD766A" w14:textId="77777777" w:rsidR="008167D6" w:rsidRDefault="00C01439" w:rsidP="000F194A">
      <w:pPr>
        <w:pStyle w:val="base-text-paragraph"/>
      </w:pPr>
      <w:r>
        <w:t xml:space="preserve">An insurer does not </w:t>
      </w:r>
      <w:r w:rsidR="001A562D">
        <w:t xml:space="preserve">commit </w:t>
      </w:r>
      <w:r w:rsidR="002F26E3">
        <w:t>an</w:t>
      </w:r>
      <w:r w:rsidR="008167D6">
        <w:t xml:space="preserve"> offence</w:t>
      </w:r>
      <w:r w:rsidR="001A562D">
        <w:t xml:space="preserve"> if APRA has told the insurer that the disqualified person is not disqualified.</w:t>
      </w:r>
      <w:r w:rsidR="00F346CF">
        <w:t xml:space="preserve"> </w:t>
      </w:r>
      <w:r w:rsidR="00F346CF" w:rsidRPr="00F346CF">
        <w:rPr>
          <w:rStyle w:val="Referencingstyle"/>
        </w:rPr>
        <w:t xml:space="preserve">[Part </w:t>
      </w:r>
      <w:r w:rsidR="00B00CE1">
        <w:rPr>
          <w:rStyle w:val="Referencingstyle"/>
        </w:rPr>
        <w:t>5</w:t>
      </w:r>
      <w:r w:rsidR="00F346CF" w:rsidRPr="00F346CF">
        <w:rPr>
          <w:rStyle w:val="Referencingstyle"/>
        </w:rPr>
        <w:t xml:space="preserve">, Division </w:t>
      </w:r>
      <w:r w:rsidR="00B00CE1">
        <w:rPr>
          <w:rStyle w:val="Referencingstyle"/>
        </w:rPr>
        <w:t>3</w:t>
      </w:r>
      <w:r w:rsidR="00F346CF" w:rsidRPr="00F346CF">
        <w:rPr>
          <w:rStyle w:val="Referencingstyle"/>
        </w:rPr>
        <w:t>, s</w:t>
      </w:r>
      <w:r w:rsidR="00F346CF">
        <w:rPr>
          <w:rStyle w:val="Referencingstyle"/>
        </w:rPr>
        <w:t>ubs</w:t>
      </w:r>
      <w:r w:rsidR="00F346CF" w:rsidRPr="00F346CF">
        <w:rPr>
          <w:rStyle w:val="Referencingstyle"/>
        </w:rPr>
        <w:t xml:space="preserve">ection </w:t>
      </w:r>
      <w:r w:rsidR="00F95447">
        <w:rPr>
          <w:rStyle w:val="Referencingstyle"/>
        </w:rPr>
        <w:t>116</w:t>
      </w:r>
      <w:r w:rsidR="00F346CF">
        <w:rPr>
          <w:rStyle w:val="Referencingstyle"/>
        </w:rPr>
        <w:t>(2)</w:t>
      </w:r>
      <w:r w:rsidR="00F346CF" w:rsidRPr="00F346CF">
        <w:rPr>
          <w:rStyle w:val="Referencingstyle"/>
        </w:rPr>
        <w:t>]</w:t>
      </w:r>
    </w:p>
    <w:p w14:paraId="01149901" w14:textId="77777777" w:rsidR="008167D6" w:rsidRDefault="008167D6" w:rsidP="004F6654">
      <w:pPr>
        <w:pStyle w:val="Heading4"/>
      </w:pPr>
      <w:r>
        <w:t xml:space="preserve">Disqualified persons must not act for private health insurers </w:t>
      </w:r>
    </w:p>
    <w:p w14:paraId="0E3E5C56" w14:textId="77777777" w:rsidR="008167D6" w:rsidRDefault="0069341B" w:rsidP="000F194A">
      <w:pPr>
        <w:pStyle w:val="base-text-paragraph"/>
      </w:pPr>
      <w:r>
        <w:t>A</w:t>
      </w:r>
      <w:r w:rsidR="008167D6">
        <w:t xml:space="preserve"> disqualified person commits an offence, with a penalty of </w:t>
      </w:r>
      <w:r w:rsidR="002F26E3" w:rsidRPr="002F26E3">
        <w:t>12</w:t>
      </w:r>
      <w:r w:rsidR="00F95447">
        <w:t> </w:t>
      </w:r>
      <w:r w:rsidR="002F26E3" w:rsidRPr="002F26E3">
        <w:t>months imprisonment or 60 penalty units</w:t>
      </w:r>
      <w:r w:rsidR="00F95447">
        <w:t xml:space="preserve"> or both</w:t>
      </w:r>
      <w:r w:rsidR="008167D6">
        <w:t xml:space="preserve">, if </w:t>
      </w:r>
      <w:r w:rsidR="002F26E3">
        <w:t>they act</w:t>
      </w:r>
      <w:r w:rsidR="008167D6">
        <w:t xml:space="preserve"> as </w:t>
      </w:r>
      <w:r w:rsidR="008E7FFA">
        <w:t>an appointed actuary or officer of</w:t>
      </w:r>
      <w:r>
        <w:t xml:space="preserve"> a private health insurer. </w:t>
      </w:r>
      <w:r w:rsidR="00214522">
        <w:t xml:space="preserve">This penalty reflects the penalty for the equivalent offence in section </w:t>
      </w:r>
      <w:r w:rsidR="00F95447">
        <w:t>116</w:t>
      </w:r>
      <w:r w:rsidR="00214522">
        <w:t>.</w:t>
      </w:r>
      <w:r>
        <w:t xml:space="preserve"> </w:t>
      </w:r>
      <w:r w:rsidR="00EE03BF">
        <w:rPr>
          <w:rStyle w:val="Referencingstyle"/>
        </w:rPr>
        <w:t xml:space="preserve">[Part </w:t>
      </w:r>
      <w:r w:rsidR="008E7FFA">
        <w:rPr>
          <w:rStyle w:val="Referencingstyle"/>
        </w:rPr>
        <w:t>5</w:t>
      </w:r>
      <w:r w:rsidR="00EE03BF">
        <w:rPr>
          <w:rStyle w:val="Referencingstyle"/>
        </w:rPr>
        <w:t xml:space="preserve">, Division </w:t>
      </w:r>
      <w:r w:rsidR="008E7FFA">
        <w:rPr>
          <w:rStyle w:val="Referencingstyle"/>
        </w:rPr>
        <w:t>3</w:t>
      </w:r>
      <w:r w:rsidR="00EE03BF">
        <w:rPr>
          <w:rStyle w:val="Referencingstyle"/>
        </w:rPr>
        <w:t xml:space="preserve">, </w:t>
      </w:r>
      <w:r>
        <w:rPr>
          <w:rStyle w:val="Referencingstyle"/>
        </w:rPr>
        <w:t xml:space="preserve">section </w:t>
      </w:r>
      <w:r w:rsidR="00F95447">
        <w:rPr>
          <w:rStyle w:val="Referencingstyle"/>
        </w:rPr>
        <w:t>117</w:t>
      </w:r>
      <w:r w:rsidRPr="00F346CF">
        <w:rPr>
          <w:rStyle w:val="Referencingstyle"/>
        </w:rPr>
        <w:t>]</w:t>
      </w:r>
    </w:p>
    <w:p w14:paraId="0968FFBA" w14:textId="77777777" w:rsidR="008167D6" w:rsidRDefault="008167D6" w:rsidP="004F6654">
      <w:pPr>
        <w:pStyle w:val="Heading4"/>
      </w:pPr>
      <w:r>
        <w:t>Effect of non-compliance</w:t>
      </w:r>
    </w:p>
    <w:p w14:paraId="1C272F31" w14:textId="77777777" w:rsidR="00625093" w:rsidRDefault="00214522" w:rsidP="000F194A">
      <w:pPr>
        <w:pStyle w:val="base-text-paragraph"/>
      </w:pPr>
      <w:r>
        <w:t xml:space="preserve">The transactions and appointment of disqualified persons </w:t>
      </w:r>
      <w:r w:rsidR="00A55CDE">
        <w:t>not inva</w:t>
      </w:r>
      <w:r>
        <w:t>lid</w:t>
      </w:r>
      <w:r w:rsidR="00A55CDE">
        <w:t xml:space="preserve"> because of the disqualification</w:t>
      </w:r>
      <w:r w:rsidR="008167D6">
        <w:t>.</w:t>
      </w:r>
      <w:r w:rsidR="00625093">
        <w:t xml:space="preserve">  </w:t>
      </w:r>
      <w:r w:rsidR="00EE03BF">
        <w:rPr>
          <w:rStyle w:val="Referencingstyle"/>
        </w:rPr>
        <w:t xml:space="preserve">[Part </w:t>
      </w:r>
      <w:r w:rsidR="00C05BE2">
        <w:rPr>
          <w:rStyle w:val="Referencingstyle"/>
        </w:rPr>
        <w:t>5</w:t>
      </w:r>
      <w:r w:rsidR="00EE03BF">
        <w:rPr>
          <w:rStyle w:val="Referencingstyle"/>
        </w:rPr>
        <w:t xml:space="preserve">, Division </w:t>
      </w:r>
      <w:r w:rsidR="00C05BE2">
        <w:rPr>
          <w:rStyle w:val="Referencingstyle"/>
        </w:rPr>
        <w:t>3</w:t>
      </w:r>
      <w:r w:rsidR="00EE03BF">
        <w:rPr>
          <w:rStyle w:val="Referencingstyle"/>
        </w:rPr>
        <w:t xml:space="preserve">, </w:t>
      </w:r>
      <w:r w:rsidR="00625093">
        <w:rPr>
          <w:rStyle w:val="Referencingstyle"/>
        </w:rPr>
        <w:t xml:space="preserve">section </w:t>
      </w:r>
      <w:r w:rsidR="00411567">
        <w:rPr>
          <w:rStyle w:val="Referencingstyle"/>
        </w:rPr>
        <w:t>118</w:t>
      </w:r>
      <w:r w:rsidR="00625093" w:rsidRPr="00F346CF">
        <w:rPr>
          <w:rStyle w:val="Referencingstyle"/>
        </w:rPr>
        <w:t>]</w:t>
      </w:r>
    </w:p>
    <w:p w14:paraId="264A37DE" w14:textId="77777777" w:rsidR="008167D6" w:rsidRDefault="008167D6" w:rsidP="004F6654">
      <w:pPr>
        <w:pStyle w:val="Heading4"/>
      </w:pPr>
      <w:r>
        <w:t>Who is a disqualified person?</w:t>
      </w:r>
    </w:p>
    <w:p w14:paraId="084DFF4E" w14:textId="77777777" w:rsidR="008167D6" w:rsidRDefault="00625093" w:rsidP="000F194A">
      <w:pPr>
        <w:pStyle w:val="base-text-paragraph"/>
      </w:pPr>
      <w:r>
        <w:t>A</w:t>
      </w:r>
      <w:r w:rsidR="008167D6">
        <w:t xml:space="preserve"> person is a disqualified person if:</w:t>
      </w:r>
    </w:p>
    <w:p w14:paraId="3347FF48" w14:textId="77777777" w:rsidR="008167D6" w:rsidRDefault="008167D6" w:rsidP="004F6654">
      <w:pPr>
        <w:pStyle w:val="dotpoint"/>
      </w:pPr>
      <w:r>
        <w:t xml:space="preserve">the person </w:t>
      </w:r>
      <w:r w:rsidR="00C11C51">
        <w:t>has</w:t>
      </w:r>
      <w:r>
        <w:t xml:space="preserve"> been convicted of an offence against or arising out of th</w:t>
      </w:r>
      <w:r w:rsidR="00BC7ABD">
        <w:t xml:space="preserve">e </w:t>
      </w:r>
      <w:r w:rsidR="00BC7ABD" w:rsidRPr="00BC7ABD">
        <w:rPr>
          <w:lang w:val="en-US" w:eastAsia="en-US"/>
        </w:rPr>
        <w:t>Prudential Supervision Bill</w:t>
      </w:r>
      <w:r w:rsidR="008E7FFA">
        <w:t>,</w:t>
      </w:r>
      <w:r w:rsidR="00D719DE">
        <w:t xml:space="preserve"> the FS(CoD) Act,</w:t>
      </w:r>
      <w:r w:rsidR="008E7FFA">
        <w:t xml:space="preserve"> the PHI Act</w:t>
      </w:r>
      <w:r>
        <w:t xml:space="preserve">, the </w:t>
      </w:r>
      <w:r w:rsidR="00304367" w:rsidRPr="007E76DA">
        <w:t>Corporations Act</w:t>
      </w:r>
      <w:r w:rsidR="00304367" w:rsidRPr="001A57F7">
        <w:rPr>
          <w:i/>
        </w:rPr>
        <w:t xml:space="preserve"> </w:t>
      </w:r>
      <w:r>
        <w:t xml:space="preserve">or former Corporations Law, or </w:t>
      </w:r>
      <w:r w:rsidR="003721F5">
        <w:t>to</w:t>
      </w:r>
      <w:r w:rsidR="00411567">
        <w:t xml:space="preserve"> the</w:t>
      </w:r>
      <w:r w:rsidR="003721F5">
        <w:t xml:space="preserve"> corporations law of </w:t>
      </w:r>
      <w:r>
        <w:t>a foreign country; or</w:t>
      </w:r>
    </w:p>
    <w:p w14:paraId="6C19483B" w14:textId="77777777" w:rsidR="008167D6" w:rsidRDefault="008167D6" w:rsidP="004F6654">
      <w:pPr>
        <w:pStyle w:val="dotpoint"/>
      </w:pPr>
      <w:r>
        <w:t xml:space="preserve">the person has been convicted of an offence </w:t>
      </w:r>
      <w:r w:rsidR="00E50AB9">
        <w:t>under Australian law</w:t>
      </w:r>
      <w:r>
        <w:t xml:space="preserve">, or any corresponding law of a foreign country, </w:t>
      </w:r>
      <w:r w:rsidR="00E50AB9">
        <w:t>and</w:t>
      </w:r>
      <w:r>
        <w:t xml:space="preserve"> the offence involves dishonest conduct</w:t>
      </w:r>
      <w:r w:rsidR="00C025BD">
        <w:t xml:space="preserve"> or an offence</w:t>
      </w:r>
      <w:r>
        <w:t xml:space="preserve"> relating to a financial sector company</w:t>
      </w:r>
      <w:r w:rsidR="00E50AB9">
        <w:t>, a private health insurer or a superannuation entity</w:t>
      </w:r>
      <w:r>
        <w:t>; or</w:t>
      </w:r>
    </w:p>
    <w:p w14:paraId="20F4E42D" w14:textId="77777777" w:rsidR="008167D6" w:rsidRDefault="008167D6" w:rsidP="00BC7ABD">
      <w:pPr>
        <w:pStyle w:val="dotpoint"/>
        <w:keepNext/>
        <w:keepLines/>
        <w:ind w:left="2269" w:hanging="284"/>
      </w:pPr>
      <w:r>
        <w:t xml:space="preserve">the person has been or becomes bankrupt, applies for relief under a bankruptcy law or </w:t>
      </w:r>
      <w:r w:rsidR="006A635C">
        <w:t>‘compounds’ (</w:t>
      </w:r>
      <w:r w:rsidR="000713F1">
        <w:t>enters into a multi</w:t>
      </w:r>
      <w:r w:rsidR="00BC7ABD">
        <w:noBreakHyphen/>
      </w:r>
      <w:r w:rsidR="000713F1">
        <w:t>party agreement in order to settle</w:t>
      </w:r>
      <w:r w:rsidR="006A635C">
        <w:t>)</w:t>
      </w:r>
      <w:r w:rsidR="00BA4BBD">
        <w:t xml:space="preserve"> </w:t>
      </w:r>
      <w:r>
        <w:t>with</w:t>
      </w:r>
      <w:r w:rsidR="000713F1">
        <w:t xml:space="preserve"> all of their</w:t>
      </w:r>
      <w:r>
        <w:t xml:space="preserve"> creditor</w:t>
      </w:r>
      <w:r w:rsidR="000713F1">
        <w:t>s</w:t>
      </w:r>
      <w:r>
        <w:t xml:space="preserve">; or </w:t>
      </w:r>
    </w:p>
    <w:p w14:paraId="6DE26165" w14:textId="77777777" w:rsidR="00625093" w:rsidRPr="002C77A3" w:rsidRDefault="00625093" w:rsidP="00625093">
      <w:pPr>
        <w:pStyle w:val="dotpoint"/>
        <w:rPr>
          <w:rStyle w:val="Referencingstyle"/>
          <w:b w:val="0"/>
          <w:i w:val="0"/>
          <w:sz w:val="22"/>
        </w:rPr>
      </w:pPr>
      <w:r>
        <w:t xml:space="preserve">the person has been </w:t>
      </w:r>
      <w:r w:rsidR="008167D6">
        <w:t xml:space="preserve">disqualified by </w:t>
      </w:r>
      <w:r w:rsidR="00C025BD">
        <w:t xml:space="preserve">the Federal Court </w:t>
      </w:r>
      <w:r w:rsidR="00E50AB9">
        <w:t xml:space="preserve">under section </w:t>
      </w:r>
      <w:r w:rsidR="00CF7D1E">
        <w:t>120</w:t>
      </w:r>
      <w:r w:rsidR="008167D6">
        <w:t>.</w:t>
      </w:r>
      <w:r>
        <w:t xml:space="preserve">  </w:t>
      </w:r>
      <w:r w:rsidR="00EE03BF">
        <w:rPr>
          <w:rStyle w:val="Referencingstyle"/>
        </w:rPr>
        <w:t xml:space="preserve">[Part </w:t>
      </w:r>
      <w:r w:rsidR="008E7FFA">
        <w:rPr>
          <w:rStyle w:val="Referencingstyle"/>
        </w:rPr>
        <w:t>5</w:t>
      </w:r>
      <w:r w:rsidR="00EE03BF">
        <w:rPr>
          <w:rStyle w:val="Referencingstyle"/>
        </w:rPr>
        <w:t xml:space="preserve">, Division </w:t>
      </w:r>
      <w:r w:rsidR="008E7FFA">
        <w:rPr>
          <w:rStyle w:val="Referencingstyle"/>
        </w:rPr>
        <w:t>3</w:t>
      </w:r>
      <w:r w:rsidR="00EE03BF">
        <w:rPr>
          <w:rStyle w:val="Referencingstyle"/>
        </w:rPr>
        <w:t xml:space="preserve">, subsection </w:t>
      </w:r>
      <w:r w:rsidR="00CF7D1E">
        <w:rPr>
          <w:rStyle w:val="Referencingstyle"/>
        </w:rPr>
        <w:t>119</w:t>
      </w:r>
      <w:r w:rsidR="00EE03BF">
        <w:rPr>
          <w:rStyle w:val="Referencingstyle"/>
        </w:rPr>
        <w:t>(1)</w:t>
      </w:r>
      <w:r w:rsidRPr="00F346CF">
        <w:rPr>
          <w:rStyle w:val="Referencingstyle"/>
        </w:rPr>
        <w:t>]</w:t>
      </w:r>
    </w:p>
    <w:p w14:paraId="20BF51BC" w14:textId="77777777" w:rsidR="002C77A3" w:rsidRDefault="00CF7D1E" w:rsidP="000F194A">
      <w:pPr>
        <w:pStyle w:val="base-text-paragraph"/>
      </w:pPr>
      <w:r>
        <w:t>The policy intent is that</w:t>
      </w:r>
      <w:r w:rsidR="002C77A3">
        <w:t xml:space="preserve"> dishonest persons, persons who have been bankrupt and persons who breach </w:t>
      </w:r>
      <w:r w:rsidR="00E35767">
        <w:t>corporations law ar</w:t>
      </w:r>
      <w:r w:rsidR="00D719DE">
        <w:t>e not appropriate persons to occupy the position of an officer</w:t>
      </w:r>
      <w:r w:rsidR="00E27131">
        <w:t xml:space="preserve"> or be </w:t>
      </w:r>
      <w:r w:rsidR="00C52D40">
        <w:t>actuaries</w:t>
      </w:r>
      <w:r w:rsidR="00E27131">
        <w:t xml:space="preserve">. </w:t>
      </w:r>
    </w:p>
    <w:p w14:paraId="66AF5E74" w14:textId="77777777" w:rsidR="008167D6" w:rsidRDefault="00E50AB9" w:rsidP="00D719DE">
      <w:pPr>
        <w:pStyle w:val="base-text-paragraph"/>
        <w:tabs>
          <w:tab w:val="clear" w:pos="1985"/>
          <w:tab w:val="num" w:pos="1986"/>
        </w:tabs>
      </w:pPr>
      <w:r>
        <w:t xml:space="preserve">A disqualified person includes a </w:t>
      </w:r>
      <w:r w:rsidR="002C77A3">
        <w:t>person who has been relieved of a conviction due to</w:t>
      </w:r>
      <w:r w:rsidR="008167D6">
        <w:t xml:space="preserve"> section 19B of the </w:t>
      </w:r>
      <w:r w:rsidR="00221F9C">
        <w:t xml:space="preserve">Crimes Act </w:t>
      </w:r>
      <w:r w:rsidR="008167D6">
        <w:t xml:space="preserve">or </w:t>
      </w:r>
      <w:r w:rsidR="002C77A3">
        <w:t xml:space="preserve">the </w:t>
      </w:r>
      <w:r w:rsidR="008167D6">
        <w:t>correspon</w:t>
      </w:r>
      <w:r w:rsidR="00D719DE">
        <w:t xml:space="preserve">ding law of a foreign country. </w:t>
      </w:r>
      <w:r w:rsidR="00D719DE" w:rsidRPr="00D719DE">
        <w:t xml:space="preserve">Section 19B of the Crimes Act allows a court to discharge a person charged with a federal offence without proceeding to a conviction where the charge is proved but the court considers it is inexpedient to inflict punishment by reason of the nature of the offence or extenuating circumstances. </w:t>
      </w:r>
      <w:r w:rsidR="00EE03BF">
        <w:rPr>
          <w:rStyle w:val="Referencingstyle"/>
        </w:rPr>
        <w:t xml:space="preserve">[Part </w:t>
      </w:r>
      <w:r w:rsidR="008E7FFA">
        <w:rPr>
          <w:rStyle w:val="Referencingstyle"/>
        </w:rPr>
        <w:t>5</w:t>
      </w:r>
      <w:r w:rsidR="00EE03BF">
        <w:rPr>
          <w:rStyle w:val="Referencingstyle"/>
        </w:rPr>
        <w:t xml:space="preserve">, Division </w:t>
      </w:r>
      <w:r w:rsidR="008E7FFA">
        <w:rPr>
          <w:rStyle w:val="Referencingstyle"/>
        </w:rPr>
        <w:t>3</w:t>
      </w:r>
      <w:r w:rsidR="00EE03BF">
        <w:rPr>
          <w:rStyle w:val="Referencingstyle"/>
        </w:rPr>
        <w:t xml:space="preserve">, subsection </w:t>
      </w:r>
      <w:r w:rsidR="00046423">
        <w:rPr>
          <w:rStyle w:val="Referencingstyle"/>
        </w:rPr>
        <w:t>119</w:t>
      </w:r>
      <w:r w:rsidR="00EE03BF">
        <w:rPr>
          <w:rStyle w:val="Referencingstyle"/>
        </w:rPr>
        <w:t>(2)</w:t>
      </w:r>
      <w:r w:rsidR="00EE03BF" w:rsidRPr="00F346CF">
        <w:rPr>
          <w:rStyle w:val="Referencingstyle"/>
        </w:rPr>
        <w:t>]</w:t>
      </w:r>
    </w:p>
    <w:p w14:paraId="70C77B14" w14:textId="77777777" w:rsidR="008167D6" w:rsidRDefault="00E50AB9" w:rsidP="00221F9C">
      <w:pPr>
        <w:pStyle w:val="base-text-paragraph"/>
        <w:tabs>
          <w:tab w:val="clear" w:pos="1985"/>
          <w:tab w:val="num" w:pos="1986"/>
        </w:tabs>
      </w:pPr>
      <w:r>
        <w:t xml:space="preserve">The </w:t>
      </w:r>
      <w:r w:rsidR="00221F9C" w:rsidRPr="00221F9C">
        <w:t xml:space="preserve">Prudential Supervision </w:t>
      </w:r>
      <w:r w:rsidR="00046423" w:rsidDel="00221F9C">
        <w:t>Bill</w:t>
      </w:r>
      <w:r w:rsidR="00046423">
        <w:t xml:space="preserve"> </w:t>
      </w:r>
      <w:r>
        <w:t>does not affect</w:t>
      </w:r>
      <w:r w:rsidR="008167D6">
        <w:t xml:space="preserve"> the operation of Part VIIC of the </w:t>
      </w:r>
      <w:r w:rsidR="008167D6" w:rsidRPr="00EF64FD">
        <w:t xml:space="preserve">Crimes Act </w:t>
      </w:r>
      <w:r w:rsidR="008167D6">
        <w:t>relating to spent convictions.</w:t>
      </w:r>
      <w:r w:rsidR="00221F9C">
        <w:t xml:space="preserve"> </w:t>
      </w:r>
      <w:r w:rsidR="00EE03BF">
        <w:rPr>
          <w:rStyle w:val="Referencingstyle"/>
        </w:rPr>
        <w:t xml:space="preserve">[Part </w:t>
      </w:r>
      <w:r w:rsidR="00B42C40">
        <w:rPr>
          <w:rStyle w:val="Referencingstyle"/>
        </w:rPr>
        <w:t>5</w:t>
      </w:r>
      <w:r w:rsidR="00EE03BF">
        <w:rPr>
          <w:rStyle w:val="Referencingstyle"/>
        </w:rPr>
        <w:t xml:space="preserve">, Division </w:t>
      </w:r>
      <w:r w:rsidR="00B42C40">
        <w:rPr>
          <w:rStyle w:val="Referencingstyle"/>
        </w:rPr>
        <w:t>3</w:t>
      </w:r>
      <w:r w:rsidR="00EE03BF">
        <w:rPr>
          <w:rStyle w:val="Referencingstyle"/>
        </w:rPr>
        <w:t>, subsection</w:t>
      </w:r>
      <w:r w:rsidR="00B42C40">
        <w:rPr>
          <w:rStyle w:val="Referencingstyle"/>
        </w:rPr>
        <w:t> </w:t>
      </w:r>
      <w:r w:rsidR="00046423">
        <w:rPr>
          <w:rStyle w:val="Referencingstyle"/>
        </w:rPr>
        <w:t>119</w:t>
      </w:r>
      <w:r w:rsidR="00B42C40">
        <w:rPr>
          <w:rStyle w:val="Referencingstyle"/>
        </w:rPr>
        <w:t>(</w:t>
      </w:r>
      <w:r w:rsidR="00EE03BF">
        <w:rPr>
          <w:rStyle w:val="Referencingstyle"/>
        </w:rPr>
        <w:t>3)</w:t>
      </w:r>
      <w:r w:rsidR="00EE03BF" w:rsidRPr="00F346CF">
        <w:rPr>
          <w:rStyle w:val="Referencingstyle"/>
        </w:rPr>
        <w:t>]</w:t>
      </w:r>
    </w:p>
    <w:p w14:paraId="2FC9A088" w14:textId="77777777" w:rsidR="008167D6" w:rsidRDefault="0096507E" w:rsidP="004F6654">
      <w:pPr>
        <w:pStyle w:val="Heading4"/>
      </w:pPr>
      <w:r>
        <w:t>Court power of disqualification</w:t>
      </w:r>
    </w:p>
    <w:p w14:paraId="65205B65" w14:textId="77777777" w:rsidR="00763F40" w:rsidRPr="001662CA" w:rsidRDefault="0096507E" w:rsidP="000F194A">
      <w:pPr>
        <w:pStyle w:val="base-text-paragraph"/>
        <w:rPr>
          <w:rStyle w:val="Referencingstyle"/>
          <w:b w:val="0"/>
          <w:i w:val="0"/>
          <w:sz w:val="22"/>
        </w:rPr>
      </w:pPr>
      <w:r>
        <w:t>Upon APRA’s application, the Federal Court may disqualify a person from being an officer or appointed actuary of an insurer, if the</w:t>
      </w:r>
      <w:r w:rsidR="00182A67">
        <w:t xml:space="preserve"> </w:t>
      </w:r>
      <w:r w:rsidR="00747533">
        <w:t xml:space="preserve">Court is satisfied </w:t>
      </w:r>
      <w:r w:rsidR="00763F40">
        <w:t>that</w:t>
      </w:r>
      <w:r>
        <w:t xml:space="preserve"> </w:t>
      </w:r>
      <w:r w:rsidR="00747533">
        <w:t xml:space="preserve">the </w:t>
      </w:r>
      <w:r>
        <w:t xml:space="preserve">person is </w:t>
      </w:r>
      <w:r w:rsidR="00763F40">
        <w:t xml:space="preserve">both </w:t>
      </w:r>
      <w:r>
        <w:t>not a fit an</w:t>
      </w:r>
      <w:r w:rsidR="00763F40">
        <w:t>d</w:t>
      </w:r>
      <w:r>
        <w:t xml:space="preserve"> proper person and the </w:t>
      </w:r>
      <w:r w:rsidR="00221F9C">
        <w:t xml:space="preserve">disqualification is justified. </w:t>
      </w:r>
      <w:r w:rsidRPr="001A57F7">
        <w:rPr>
          <w:rStyle w:val="Referencingstyle"/>
        </w:rPr>
        <w:t xml:space="preserve">[Part 5, Division 3, subsection </w:t>
      </w:r>
      <w:r w:rsidR="00046423">
        <w:rPr>
          <w:rStyle w:val="Referencingstyle"/>
        </w:rPr>
        <w:t>120</w:t>
      </w:r>
      <w:r w:rsidRPr="001A57F7">
        <w:rPr>
          <w:rStyle w:val="Referencingstyle"/>
        </w:rPr>
        <w:t>(1)</w:t>
      </w:r>
    </w:p>
    <w:p w14:paraId="255F114D" w14:textId="77777777" w:rsidR="0096507E" w:rsidRPr="001662CA" w:rsidRDefault="00763F40" w:rsidP="000F194A">
      <w:pPr>
        <w:pStyle w:val="base-text-paragraph"/>
        <w:rPr>
          <w:rStyle w:val="Referencingstyle"/>
          <w:b w:val="0"/>
          <w:i w:val="0"/>
          <w:sz w:val="22"/>
        </w:rPr>
      </w:pPr>
      <w:r>
        <w:t xml:space="preserve">The disqualification can be for </w:t>
      </w:r>
      <w:r w:rsidR="00A07F12">
        <w:t xml:space="preserve">all private health insurers, or </w:t>
      </w:r>
      <w:r>
        <w:t>a particular private health insurer,</w:t>
      </w:r>
      <w:r w:rsidR="00A07F12">
        <w:t xml:space="preserve"> or</w:t>
      </w:r>
      <w:r>
        <w:t xml:space="preserve"> a particular class of insurer</w:t>
      </w:r>
      <w:r w:rsidR="00221F9C">
        <w:t>.</w:t>
      </w:r>
      <w:r w:rsidR="00A07F12">
        <w:t xml:space="preserve"> </w:t>
      </w:r>
      <w:r w:rsidR="00A07F12">
        <w:rPr>
          <w:rStyle w:val="Referencingstyle"/>
        </w:rPr>
        <w:t>[P</w:t>
      </w:r>
      <w:r w:rsidR="00A07F12" w:rsidRPr="001A57F7">
        <w:rPr>
          <w:rStyle w:val="Referencingstyle"/>
        </w:rPr>
        <w:t xml:space="preserve">art 5, Division 3, subsection </w:t>
      </w:r>
      <w:r w:rsidR="00046423">
        <w:rPr>
          <w:rStyle w:val="Referencingstyle"/>
        </w:rPr>
        <w:t>120</w:t>
      </w:r>
      <w:r w:rsidRPr="001A57F7">
        <w:rPr>
          <w:rStyle w:val="Referencingstyle"/>
        </w:rPr>
        <w:t xml:space="preserve"> (2)]</w:t>
      </w:r>
    </w:p>
    <w:p w14:paraId="4B27881F" w14:textId="77777777" w:rsidR="0096507E" w:rsidRPr="0096507E" w:rsidRDefault="003E0AE5" w:rsidP="000F194A">
      <w:pPr>
        <w:pStyle w:val="base-text-paragraph"/>
      </w:pPr>
      <w:r>
        <w:t xml:space="preserve">Prudential standards may set out criteria for </w:t>
      </w:r>
      <w:r w:rsidR="00F70B58">
        <w:t xml:space="preserve">whether a person is fit and proper, which </w:t>
      </w:r>
      <w:r>
        <w:t xml:space="preserve">the Court </w:t>
      </w:r>
      <w:r w:rsidR="00F70B58">
        <w:t>may take into account, along with any other matters in the prudential standards or any other matter the Court considers relevant</w:t>
      </w:r>
      <w:r>
        <w:t xml:space="preserve">. </w:t>
      </w:r>
      <w:r w:rsidR="0096507E" w:rsidRPr="001A57F7">
        <w:rPr>
          <w:rStyle w:val="Referencingstyle"/>
        </w:rPr>
        <w:t xml:space="preserve">[Part 5, Division 3, subsection </w:t>
      </w:r>
      <w:r w:rsidR="00046423">
        <w:rPr>
          <w:rStyle w:val="Referencingstyle"/>
        </w:rPr>
        <w:t>120</w:t>
      </w:r>
      <w:r w:rsidR="0096507E" w:rsidRPr="001A57F7">
        <w:rPr>
          <w:rStyle w:val="Referencingstyle"/>
        </w:rPr>
        <w:t>(3)]</w:t>
      </w:r>
    </w:p>
    <w:p w14:paraId="469DDC3C" w14:textId="77777777" w:rsidR="0096507E" w:rsidRDefault="0096507E" w:rsidP="000F194A">
      <w:pPr>
        <w:pStyle w:val="base-text-paragraph"/>
      </w:pPr>
      <w:r>
        <w:t xml:space="preserve">In deciding </w:t>
      </w:r>
      <w:r w:rsidR="003E0AE5">
        <w:t xml:space="preserve">whether </w:t>
      </w:r>
      <w:r>
        <w:t xml:space="preserve">the disqualification is justified, the </w:t>
      </w:r>
      <w:r w:rsidR="00182A67">
        <w:t xml:space="preserve">Federal </w:t>
      </w:r>
      <w:r>
        <w:t>Court may consider:</w:t>
      </w:r>
    </w:p>
    <w:p w14:paraId="3116D4DF" w14:textId="77777777" w:rsidR="0096507E" w:rsidRDefault="0096507E" w:rsidP="001A57F7">
      <w:pPr>
        <w:pStyle w:val="dotpoint"/>
      </w:pPr>
      <w:r>
        <w:t xml:space="preserve">if the application relates to an officer – the person’s conduct in the management, business or property of any corporation; </w:t>
      </w:r>
    </w:p>
    <w:p w14:paraId="53F13824" w14:textId="77777777" w:rsidR="00C025BD" w:rsidRDefault="00D71ACC" w:rsidP="001A57F7">
      <w:pPr>
        <w:pStyle w:val="dotpoint"/>
      </w:pPr>
      <w:r>
        <w:t>i</w:t>
      </w:r>
      <w:r w:rsidR="0096507E">
        <w:t>f the application relates to an actuary – the person</w:t>
      </w:r>
      <w:r w:rsidR="00046423">
        <w:t>’s</w:t>
      </w:r>
      <w:r w:rsidR="0096507E">
        <w:t xml:space="preserve"> conduct in relation to their functions or duties under th</w:t>
      </w:r>
      <w:r w:rsidR="00221F9C">
        <w:t>e</w:t>
      </w:r>
      <w:r w:rsidR="0096507E">
        <w:t xml:space="preserve"> </w:t>
      </w:r>
      <w:r w:rsidR="00221F9C">
        <w:rPr>
          <w:lang w:val="en-US" w:eastAsia="en-US"/>
        </w:rPr>
        <w:t>Prudential Supervision Bill</w:t>
      </w:r>
      <w:r w:rsidR="0096507E">
        <w:t>, the PHI</w:t>
      </w:r>
      <w:r w:rsidR="001D552B">
        <w:t> </w:t>
      </w:r>
      <w:r w:rsidR="0096507E">
        <w:t xml:space="preserve">Act, </w:t>
      </w:r>
      <w:r w:rsidR="00F70B58">
        <w:t xml:space="preserve">FS(CoD) Act, </w:t>
      </w:r>
      <w:r w:rsidR="0096507E">
        <w:t xml:space="preserve">the </w:t>
      </w:r>
      <w:r w:rsidR="0096507E" w:rsidRPr="001A57F7">
        <w:rPr>
          <w:i/>
        </w:rPr>
        <w:t>Insurance A</w:t>
      </w:r>
      <w:r w:rsidRPr="001A57F7">
        <w:rPr>
          <w:i/>
        </w:rPr>
        <w:t>c</w:t>
      </w:r>
      <w:r w:rsidR="0096507E" w:rsidRPr="001A57F7">
        <w:rPr>
          <w:i/>
        </w:rPr>
        <w:t xml:space="preserve">t </w:t>
      </w:r>
      <w:r w:rsidRPr="001A57F7">
        <w:rPr>
          <w:i/>
        </w:rPr>
        <w:t>1973</w:t>
      </w:r>
      <w:r>
        <w:t xml:space="preserve">, the </w:t>
      </w:r>
      <w:r w:rsidR="00EE0968" w:rsidRPr="006C3D7A">
        <w:t>Life Insurance Act</w:t>
      </w:r>
      <w:r>
        <w:t xml:space="preserve"> </w:t>
      </w:r>
      <w:r w:rsidR="00C025BD">
        <w:t>or</w:t>
      </w:r>
      <w:r>
        <w:t xml:space="preserve"> the </w:t>
      </w:r>
      <w:r w:rsidR="00ED52FE" w:rsidRPr="00D83FDE">
        <w:rPr>
          <w:i/>
        </w:rPr>
        <w:t>Superannuation Industry (Supervision) Act 1993</w:t>
      </w:r>
      <w:r w:rsidR="00ED52FE">
        <w:rPr>
          <w:i/>
        </w:rPr>
        <w:t xml:space="preserve"> </w:t>
      </w:r>
      <w:r w:rsidR="00ED52FE">
        <w:t>(</w:t>
      </w:r>
      <w:r w:rsidR="00EE0968">
        <w:t>SIS Act</w:t>
      </w:r>
      <w:r w:rsidR="00ED52FE">
        <w:t>)</w:t>
      </w:r>
      <w:r w:rsidR="00C025BD">
        <w:t>; and</w:t>
      </w:r>
      <w:r>
        <w:t xml:space="preserve"> </w:t>
      </w:r>
    </w:p>
    <w:p w14:paraId="6803A1B4" w14:textId="77777777" w:rsidR="00D71ACC" w:rsidRDefault="001D552B" w:rsidP="001A57F7">
      <w:pPr>
        <w:pStyle w:val="dotpoint"/>
      </w:pPr>
      <w:r>
        <w:t>a</w:t>
      </w:r>
      <w:r w:rsidR="00C025BD">
        <w:t>ny other matter the court considers relevant.</w:t>
      </w:r>
      <w:r w:rsidR="00D71ACC">
        <w:t xml:space="preserve"> </w:t>
      </w:r>
      <w:r w:rsidR="00D71ACC" w:rsidRPr="001A57F7">
        <w:rPr>
          <w:rStyle w:val="Referencingstyle"/>
        </w:rPr>
        <w:t xml:space="preserve"> [Part 5, Division</w:t>
      </w:r>
      <w:r>
        <w:rPr>
          <w:rStyle w:val="Referencingstyle"/>
        </w:rPr>
        <w:t> </w:t>
      </w:r>
      <w:r w:rsidR="00D71ACC" w:rsidRPr="001A57F7">
        <w:rPr>
          <w:rStyle w:val="Referencingstyle"/>
        </w:rPr>
        <w:t xml:space="preserve">3, subsection </w:t>
      </w:r>
      <w:r w:rsidR="00FE2481">
        <w:rPr>
          <w:rStyle w:val="Referencingstyle"/>
        </w:rPr>
        <w:t>120</w:t>
      </w:r>
      <w:r w:rsidR="00D71ACC" w:rsidRPr="001A57F7">
        <w:rPr>
          <w:rStyle w:val="Referencingstyle"/>
        </w:rPr>
        <w:t>(4)]</w:t>
      </w:r>
    </w:p>
    <w:p w14:paraId="6E5F746B" w14:textId="77777777" w:rsidR="00D71ACC" w:rsidRDefault="00D71ACC" w:rsidP="000F194A">
      <w:pPr>
        <w:pStyle w:val="base-text-paragraph"/>
      </w:pPr>
      <w:r>
        <w:t xml:space="preserve">After the Federal Court disqualifies a person under section </w:t>
      </w:r>
      <w:r w:rsidR="00FE2481">
        <w:t>120</w:t>
      </w:r>
      <w:r>
        <w:t xml:space="preserve">, APRA must give details of the disqualification to the private health insurer </w:t>
      </w:r>
      <w:r w:rsidR="00F70B58">
        <w:t xml:space="preserve">the disqualified person is working for </w:t>
      </w:r>
      <w:r>
        <w:t>and publish details of the di</w:t>
      </w:r>
      <w:r w:rsidR="00221F9C">
        <w:t xml:space="preserve">squalification in the Gazette. </w:t>
      </w:r>
      <w:r w:rsidRPr="001A57F7">
        <w:rPr>
          <w:rStyle w:val="Referencingstyle"/>
        </w:rPr>
        <w:t xml:space="preserve">[Part 5, Division 3, subsection </w:t>
      </w:r>
      <w:r w:rsidR="00FE2481">
        <w:rPr>
          <w:rStyle w:val="Referencingstyle"/>
        </w:rPr>
        <w:t>120</w:t>
      </w:r>
      <w:r w:rsidRPr="001A57F7">
        <w:rPr>
          <w:rStyle w:val="Referencingstyle"/>
        </w:rPr>
        <w:t>(5)]</w:t>
      </w:r>
    </w:p>
    <w:p w14:paraId="5F021AA4" w14:textId="77777777" w:rsidR="00D71ACC" w:rsidRDefault="00D71ACC" w:rsidP="001A57F7">
      <w:pPr>
        <w:pStyle w:val="Heading4"/>
      </w:pPr>
      <w:r>
        <w:t>Court power to revoke or vary a disqualification etc.</w:t>
      </w:r>
    </w:p>
    <w:p w14:paraId="6EC4E376" w14:textId="77777777" w:rsidR="00D71ACC" w:rsidRDefault="00F70B58" w:rsidP="000F194A">
      <w:pPr>
        <w:pStyle w:val="base-text-paragraph"/>
      </w:pPr>
      <w:r>
        <w:t>Either the</w:t>
      </w:r>
      <w:r w:rsidR="00D71ACC">
        <w:t xml:space="preserve"> disqualified person, or </w:t>
      </w:r>
      <w:r w:rsidR="00C025BD">
        <w:t>AP</w:t>
      </w:r>
      <w:r w:rsidR="00D71ACC">
        <w:t xml:space="preserve">RA, </w:t>
      </w:r>
      <w:r>
        <w:t>can apply to the</w:t>
      </w:r>
      <w:r w:rsidR="00D71ACC">
        <w:t xml:space="preserve"> Federal Court </w:t>
      </w:r>
      <w:r>
        <w:t xml:space="preserve">to vary or </w:t>
      </w:r>
      <w:r w:rsidR="0061286D">
        <w:t xml:space="preserve">revoke a disqualification order or be deemed not </w:t>
      </w:r>
      <w:r w:rsidR="00FE2481">
        <w:t xml:space="preserve">to be </w:t>
      </w:r>
      <w:r w:rsidR="0061286D">
        <w:t>a disqualified person. APRA and the disqualified person must inform the other if either makes such an application. The Court can put conditions and exceptions on an order</w:t>
      </w:r>
      <w:r w:rsidR="00E7144F">
        <w:t xml:space="preserve"> deeming</w:t>
      </w:r>
      <w:r w:rsidR="0061286D">
        <w:t xml:space="preserve"> a person not disqualified. </w:t>
      </w:r>
      <w:r w:rsidR="00825856">
        <w:rPr>
          <w:rStyle w:val="Referencingstyle"/>
        </w:rPr>
        <w:t>[Part 5, Division </w:t>
      </w:r>
      <w:r w:rsidR="00D71ACC" w:rsidRPr="001A57F7">
        <w:rPr>
          <w:rStyle w:val="Referencingstyle"/>
        </w:rPr>
        <w:t xml:space="preserve">3, section </w:t>
      </w:r>
      <w:r w:rsidR="00FE2481">
        <w:rPr>
          <w:rStyle w:val="Referencingstyle"/>
        </w:rPr>
        <w:t>121</w:t>
      </w:r>
      <w:r w:rsidR="00D71ACC" w:rsidRPr="001A57F7">
        <w:rPr>
          <w:rStyle w:val="Referencingstyle"/>
        </w:rPr>
        <w:t>]</w:t>
      </w:r>
    </w:p>
    <w:p w14:paraId="12571690" w14:textId="77777777" w:rsidR="00D71ACC" w:rsidRDefault="00392B64" w:rsidP="001A57F7">
      <w:pPr>
        <w:pStyle w:val="Heading4"/>
      </w:pPr>
      <w:r>
        <w:t>Privilege against exposure t</w:t>
      </w:r>
      <w:r w:rsidR="00825856">
        <w:t>o penalty – disqualification und</w:t>
      </w:r>
      <w:r>
        <w:t xml:space="preserve">er </w:t>
      </w:r>
      <w:r w:rsidR="006C3D7A">
        <w:t>section </w:t>
      </w:r>
      <w:r w:rsidR="00FE2481">
        <w:t>120</w:t>
      </w:r>
    </w:p>
    <w:p w14:paraId="32094CFC" w14:textId="77777777" w:rsidR="00822558" w:rsidRPr="00822558" w:rsidRDefault="00822558" w:rsidP="00221F9C">
      <w:pPr>
        <w:pStyle w:val="base-text-paragraph"/>
        <w:tabs>
          <w:tab w:val="clear" w:pos="1985"/>
          <w:tab w:val="num" w:pos="1986"/>
        </w:tabs>
      </w:pPr>
      <w:r>
        <w:t xml:space="preserve">The </w:t>
      </w:r>
      <w:r w:rsidR="00221F9C" w:rsidRPr="00221F9C">
        <w:rPr>
          <w:lang w:val="en-US" w:eastAsia="en-US"/>
        </w:rPr>
        <w:t xml:space="preserve">Prudential Supervision </w:t>
      </w:r>
      <w:r w:rsidR="00FE2481" w:rsidRPr="00221F9C" w:rsidDel="00221F9C">
        <w:rPr>
          <w:lang w:val="en-US" w:eastAsia="en-US"/>
        </w:rPr>
        <w:t>Bill</w:t>
      </w:r>
      <w:r w:rsidR="00FE2481">
        <w:t xml:space="preserve"> </w:t>
      </w:r>
      <w:r w:rsidR="00CF28CB">
        <w:t xml:space="preserve">specifies </w:t>
      </w:r>
      <w:r>
        <w:t xml:space="preserve">a person cannot refuse to give evidence in proceedings arising under the </w:t>
      </w:r>
      <w:r w:rsidR="00221F9C" w:rsidRPr="00221F9C">
        <w:t>Prudential Supervision Bill</w:t>
      </w:r>
      <w:r>
        <w:t xml:space="preserve"> or </w:t>
      </w:r>
      <w:r w:rsidR="00E7144F">
        <w:t>refuse to do</w:t>
      </w:r>
      <w:r w:rsidR="00FE2481">
        <w:t xml:space="preserve"> something that is</w:t>
      </w:r>
      <w:r w:rsidR="00E7144F">
        <w:t xml:space="preserve"> a requirement under the </w:t>
      </w:r>
      <w:r w:rsidR="00221F9C" w:rsidRPr="00221F9C">
        <w:t>Prudential Supervision Bill</w:t>
      </w:r>
      <w:r w:rsidR="00E7144F">
        <w:t xml:space="preserve"> </w:t>
      </w:r>
      <w:r w:rsidR="00FE2481">
        <w:t>on the grou</w:t>
      </w:r>
      <w:r w:rsidR="0078004E">
        <w:t>n</w:t>
      </w:r>
      <w:r w:rsidR="00FE2481">
        <w:t xml:space="preserve">ds that </w:t>
      </w:r>
      <w:r w:rsidR="00E7144F">
        <w:t xml:space="preserve">doing so would lead to a disqualification order being made against the person. This means that </w:t>
      </w:r>
      <w:r w:rsidR="00BA18F2">
        <w:t xml:space="preserve">a person does not receive the benefit of </w:t>
      </w:r>
      <w:r w:rsidR="00FE2481">
        <w:t>‘</w:t>
      </w:r>
      <w:r w:rsidR="00BA18F2">
        <w:t>use immunity</w:t>
      </w:r>
      <w:r w:rsidR="00FE2481">
        <w:t>’</w:t>
      </w:r>
      <w:r w:rsidR="00ED52FE">
        <w:t xml:space="preserve"> in subsections </w:t>
      </w:r>
      <w:r w:rsidR="00FE2481">
        <w:t>112</w:t>
      </w:r>
      <w:r w:rsidR="00BA18F2">
        <w:t xml:space="preserve">(6) and </w:t>
      </w:r>
      <w:r w:rsidR="00FE2481">
        <w:t>149</w:t>
      </w:r>
      <w:r w:rsidR="00BA18F2">
        <w:t xml:space="preserve">(2) in relation to a disqualification order. </w:t>
      </w:r>
      <w:r w:rsidR="00AA521E" w:rsidRPr="00AA521E">
        <w:t xml:space="preserve">Accordingly, the evidence given may be used in disqualification proceedings. </w:t>
      </w:r>
      <w:r w:rsidR="00CF49E2">
        <w:t xml:space="preserve">This is </w:t>
      </w:r>
      <w:r w:rsidR="00CF28CB">
        <w:t xml:space="preserve">reasonable </w:t>
      </w:r>
      <w:r w:rsidR="00CF49E2">
        <w:t>because a disqualification order is not a criminal penalty, and is it important to ensure that the policy holders</w:t>
      </w:r>
      <w:r w:rsidR="00FE2481">
        <w:t>’</w:t>
      </w:r>
      <w:r w:rsidR="00CF49E2">
        <w:t xml:space="preserve"> interests are not risked by an insurer employing an inappropriate officer or actua</w:t>
      </w:r>
      <w:r w:rsidR="00B77A94">
        <w:t>ry.</w:t>
      </w:r>
      <w:r w:rsidR="00CF49E2">
        <w:t xml:space="preserve"> </w:t>
      </w:r>
      <w:r w:rsidR="00577E0B" w:rsidRPr="00577E0B">
        <w:t>An insurer must not reimburse such an officer in relation to such an amount</w:t>
      </w:r>
      <w:r w:rsidR="00577E0B">
        <w:t>.</w:t>
      </w:r>
      <w:r w:rsidR="00577E0B" w:rsidRPr="00221F9C">
        <w:rPr>
          <w:rStyle w:val="Referencingstyle"/>
          <w:b w:val="0"/>
          <w:i w:val="0"/>
          <w:sz w:val="22"/>
        </w:rPr>
        <w:t xml:space="preserve"> </w:t>
      </w:r>
      <w:r w:rsidR="00CF49E2">
        <w:rPr>
          <w:rStyle w:val="Referencingstyle"/>
        </w:rPr>
        <w:t>[</w:t>
      </w:r>
      <w:r w:rsidR="00FE2481">
        <w:rPr>
          <w:rStyle w:val="Referencingstyle"/>
        </w:rPr>
        <w:t>P</w:t>
      </w:r>
      <w:r w:rsidR="00FE2481" w:rsidRPr="001A57F7">
        <w:rPr>
          <w:rStyle w:val="Referencingstyle"/>
        </w:rPr>
        <w:t xml:space="preserve">art </w:t>
      </w:r>
      <w:r w:rsidR="00BA18F2" w:rsidRPr="001A57F7">
        <w:rPr>
          <w:rStyle w:val="Referencingstyle"/>
        </w:rPr>
        <w:t>5, Division 3, subsection</w:t>
      </w:r>
      <w:r w:rsidR="00BA18F2">
        <w:rPr>
          <w:rStyle w:val="Referencingstyle"/>
        </w:rPr>
        <w:t xml:space="preserve">s </w:t>
      </w:r>
      <w:r w:rsidR="00FE2481">
        <w:rPr>
          <w:rStyle w:val="Referencingstyle"/>
        </w:rPr>
        <w:t>122</w:t>
      </w:r>
      <w:r w:rsidR="00BA18F2">
        <w:rPr>
          <w:rStyle w:val="Referencingstyle"/>
        </w:rPr>
        <w:t>]</w:t>
      </w:r>
    </w:p>
    <w:p w14:paraId="29DB1BA4" w14:textId="77777777" w:rsidR="00A5508E" w:rsidRDefault="00A5508E" w:rsidP="006C3D7A">
      <w:pPr>
        <w:pStyle w:val="Heading4"/>
      </w:pPr>
      <w:r>
        <w:t>Restrictions on payment of pecuniary penalties etc.</w:t>
      </w:r>
    </w:p>
    <w:p w14:paraId="55C02FFA" w14:textId="77777777" w:rsidR="00A5508E" w:rsidRDefault="00B77A94" w:rsidP="00221F9C">
      <w:pPr>
        <w:pStyle w:val="base-text-paragraph"/>
        <w:tabs>
          <w:tab w:val="clear" w:pos="1985"/>
          <w:tab w:val="num" w:pos="1986"/>
        </w:tabs>
      </w:pPr>
      <w:r>
        <w:t xml:space="preserve">The </w:t>
      </w:r>
      <w:r w:rsidR="00221F9C" w:rsidRPr="00221F9C">
        <w:t xml:space="preserve">Prudential Supervision </w:t>
      </w:r>
      <w:r w:rsidDel="00221F9C">
        <w:t>Bill</w:t>
      </w:r>
      <w:r>
        <w:t xml:space="preserve"> prohibits </w:t>
      </w:r>
      <w:r w:rsidR="00A5508E">
        <w:t>insurer</w:t>
      </w:r>
      <w:r w:rsidR="00D32A56">
        <w:t>s</w:t>
      </w:r>
      <w:r w:rsidR="00A5508E">
        <w:t xml:space="preserve"> </w:t>
      </w:r>
      <w:r>
        <w:t>from paying o</w:t>
      </w:r>
      <w:r w:rsidR="00577E0B">
        <w:t xml:space="preserve">ut pecuniary penalties for criminal offences or other liabilities under the </w:t>
      </w:r>
      <w:r w:rsidR="00221F9C" w:rsidRPr="00221F9C">
        <w:t>Prudential Supervision Bill</w:t>
      </w:r>
      <w:r>
        <w:t xml:space="preserve"> </w:t>
      </w:r>
      <w:r w:rsidR="00CF28CB">
        <w:t xml:space="preserve">for </w:t>
      </w:r>
      <w:r>
        <w:t>which an off</w:t>
      </w:r>
      <w:r w:rsidR="00CF28CB">
        <w:t>icer is personally liable</w:t>
      </w:r>
      <w:r>
        <w:t>. This ensures that officers have financial incentives to avoid contravening the law or causing harm to policy holders.</w:t>
      </w:r>
      <w:r w:rsidR="00D32A56">
        <w:t xml:space="preserve"> </w:t>
      </w:r>
      <w:r w:rsidR="00A5508E" w:rsidRPr="00934A51">
        <w:rPr>
          <w:rStyle w:val="Referencingstyle"/>
        </w:rPr>
        <w:t xml:space="preserve">[Part </w:t>
      </w:r>
      <w:r w:rsidR="00A5508E">
        <w:rPr>
          <w:rStyle w:val="Referencingstyle"/>
        </w:rPr>
        <w:t>5</w:t>
      </w:r>
      <w:r w:rsidR="00A5508E" w:rsidRPr="00934A51">
        <w:rPr>
          <w:rStyle w:val="Referencingstyle"/>
        </w:rPr>
        <w:t xml:space="preserve">, Division </w:t>
      </w:r>
      <w:r w:rsidR="00A5508E">
        <w:rPr>
          <w:rStyle w:val="Referencingstyle"/>
        </w:rPr>
        <w:t>4</w:t>
      </w:r>
      <w:r w:rsidR="00A5508E" w:rsidRPr="00934A51">
        <w:rPr>
          <w:rStyle w:val="Referencingstyle"/>
        </w:rPr>
        <w:t xml:space="preserve">, section </w:t>
      </w:r>
      <w:r w:rsidR="001F628F">
        <w:rPr>
          <w:rStyle w:val="Referencingstyle"/>
        </w:rPr>
        <w:t>123</w:t>
      </w:r>
      <w:r w:rsidR="00A5508E" w:rsidRPr="00934A51">
        <w:rPr>
          <w:rStyle w:val="Referencingstyle"/>
        </w:rPr>
        <w:t>]</w:t>
      </w:r>
      <w:r w:rsidR="00A5508E" w:rsidRPr="00934A51">
        <w:t xml:space="preserve">  </w:t>
      </w:r>
    </w:p>
    <w:p w14:paraId="48FD7C03" w14:textId="77777777" w:rsidR="00846F35" w:rsidRDefault="009617BD" w:rsidP="006C3D7A">
      <w:pPr>
        <w:pStyle w:val="Heading4"/>
      </w:pPr>
      <w:r>
        <w:t>Giving APRA copies of reports made to policy holders</w:t>
      </w:r>
    </w:p>
    <w:p w14:paraId="3F8B5209" w14:textId="77777777" w:rsidR="00846F35" w:rsidRDefault="00846F35" w:rsidP="000F194A">
      <w:pPr>
        <w:pStyle w:val="base-text-paragraph"/>
      </w:pPr>
      <w:r>
        <w:t xml:space="preserve">APRA </w:t>
      </w:r>
      <w:r w:rsidR="009617BD">
        <w:t xml:space="preserve">rules </w:t>
      </w:r>
      <w:r>
        <w:t>may require insurer</w:t>
      </w:r>
      <w:r w:rsidR="00D32A56">
        <w:t>s</w:t>
      </w:r>
      <w:r>
        <w:t xml:space="preserve"> to give to APRA the reports it provides to policy holders. </w:t>
      </w:r>
      <w:r w:rsidR="00D32A56">
        <w:t xml:space="preserve">This </w:t>
      </w:r>
      <w:r w:rsidR="00AE2D88">
        <w:t>enables APRA to receive more information which assists APRA to prudentially regulate.</w:t>
      </w:r>
      <w:r>
        <w:t xml:space="preserve"> </w:t>
      </w:r>
      <w:r w:rsidR="00A12542">
        <w:t>Reports under this section will be consistent with Rule 5 of the Private Health Insurance (Insurer Obligations) Rules 2009, made</w:t>
      </w:r>
      <w:r w:rsidR="00ED52FE">
        <w:t xml:space="preserve"> under section 169-1 of the PHI </w:t>
      </w:r>
      <w:r w:rsidR="00A12542">
        <w:t xml:space="preserve">Act. </w:t>
      </w:r>
      <w:r w:rsidRPr="001A57F7">
        <w:rPr>
          <w:rStyle w:val="Referencingstyle"/>
        </w:rPr>
        <w:t xml:space="preserve">[Part </w:t>
      </w:r>
      <w:r>
        <w:rPr>
          <w:rStyle w:val="Referencingstyle"/>
        </w:rPr>
        <w:t>5</w:t>
      </w:r>
      <w:r w:rsidRPr="001A57F7">
        <w:rPr>
          <w:rStyle w:val="Referencingstyle"/>
        </w:rPr>
        <w:t xml:space="preserve">, Division </w:t>
      </w:r>
      <w:r>
        <w:rPr>
          <w:rStyle w:val="Referencingstyle"/>
        </w:rPr>
        <w:t>4</w:t>
      </w:r>
      <w:r w:rsidRPr="001A57F7">
        <w:rPr>
          <w:rStyle w:val="Referencingstyle"/>
        </w:rPr>
        <w:t xml:space="preserve">, section </w:t>
      </w:r>
      <w:r w:rsidR="001F628F">
        <w:rPr>
          <w:rStyle w:val="Referencingstyle"/>
        </w:rPr>
        <w:t>124</w:t>
      </w:r>
      <w:r w:rsidRPr="001A57F7">
        <w:rPr>
          <w:rStyle w:val="Referencingstyle"/>
        </w:rPr>
        <w:t>]</w:t>
      </w:r>
      <w:r>
        <w:t xml:space="preserve">  </w:t>
      </w:r>
    </w:p>
    <w:p w14:paraId="5ED70007" w14:textId="77777777" w:rsidR="00571BA0" w:rsidRDefault="00846F35" w:rsidP="006C3D7A">
      <w:pPr>
        <w:pStyle w:val="Heading4"/>
        <w:rPr>
          <w:rStyle w:val="Referencingstyle"/>
          <w:i/>
          <w:sz w:val="22"/>
        </w:rPr>
      </w:pPr>
      <w:r>
        <w:rPr>
          <w:rStyle w:val="Referencingstyle"/>
          <w:b/>
          <w:i/>
          <w:sz w:val="22"/>
        </w:rPr>
        <w:t>Notifying APRA of name and contact details of officers</w:t>
      </w:r>
    </w:p>
    <w:p w14:paraId="792907CC" w14:textId="77777777" w:rsidR="005B4085" w:rsidRPr="00AE2D88" w:rsidRDefault="00846F35" w:rsidP="000F194A">
      <w:pPr>
        <w:pStyle w:val="base-text-paragraph"/>
        <w:rPr>
          <w:rStyle w:val="Referencingstyle"/>
          <w:b w:val="0"/>
          <w:i w:val="0"/>
          <w:sz w:val="22"/>
        </w:rPr>
      </w:pPr>
      <w:r w:rsidRPr="001A57F7">
        <w:t xml:space="preserve">APRA may also require a private health insurer to give the names and contact details of its officers to APRA. </w:t>
      </w:r>
      <w:r w:rsidR="00AE2D88">
        <w:t>This requirement may</w:t>
      </w:r>
      <w:r w:rsidR="00AE2D88" w:rsidRPr="00AE2D88">
        <w:t xml:space="preserve"> </w:t>
      </w:r>
      <w:r w:rsidR="00AE2D88">
        <w:t>assist</w:t>
      </w:r>
      <w:r w:rsidR="00AE2D88" w:rsidRPr="00AE2D88">
        <w:t xml:space="preserve"> APRA to prudentially regulate</w:t>
      </w:r>
      <w:r w:rsidRPr="001A57F7">
        <w:t xml:space="preserve"> </w:t>
      </w:r>
      <w:r w:rsidR="00AE2D88">
        <w:t xml:space="preserve">insurers. </w:t>
      </w:r>
      <w:r w:rsidRPr="00F70993">
        <w:rPr>
          <w:rStyle w:val="Referencingstyle"/>
        </w:rPr>
        <w:t xml:space="preserve">[Part 5, Division 4, </w:t>
      </w:r>
      <w:r w:rsidR="005609DC" w:rsidRPr="00F70993">
        <w:rPr>
          <w:rStyle w:val="Referencingstyle"/>
        </w:rPr>
        <w:t>section </w:t>
      </w:r>
      <w:r w:rsidR="001F628F">
        <w:rPr>
          <w:rStyle w:val="Referencingstyle"/>
        </w:rPr>
        <w:t>125</w:t>
      </w:r>
      <w:r w:rsidR="005609DC" w:rsidRPr="00F70993">
        <w:rPr>
          <w:rStyle w:val="Referencingstyle"/>
        </w:rPr>
        <w:t>]</w:t>
      </w:r>
    </w:p>
    <w:p w14:paraId="09D7116D" w14:textId="77777777" w:rsidR="005B4085" w:rsidRDefault="005B4085" w:rsidP="000F194A">
      <w:pPr>
        <w:pStyle w:val="base-text-paragraph"/>
        <w:sectPr w:rsidR="005B4085" w:rsidSect="00212AAD">
          <w:headerReference w:type="even" r:id="rId58"/>
          <w:headerReference w:type="default" r:id="rId59"/>
          <w:footerReference w:type="even" r:id="rId60"/>
          <w:footerReference w:type="default" r:id="rId61"/>
          <w:footerReference w:type="first" r:id="rId62"/>
          <w:type w:val="oddPage"/>
          <w:pgSz w:w="11906" w:h="16838" w:code="9"/>
          <w:pgMar w:top="2466" w:right="2098" w:bottom="2466" w:left="2098" w:header="1559" w:footer="1899" w:gutter="0"/>
          <w:cols w:space="708"/>
          <w:titlePg/>
          <w:docGrid w:linePitch="360"/>
        </w:sectPr>
      </w:pPr>
    </w:p>
    <w:p w14:paraId="1AC436FA" w14:textId="77777777" w:rsidR="00014D99" w:rsidRPr="00F51A71" w:rsidRDefault="00014D99" w:rsidP="00DD7789">
      <w:pPr>
        <w:pStyle w:val="ChapterHeading"/>
        <w:numPr>
          <w:ilvl w:val="0"/>
          <w:numId w:val="105"/>
        </w:numPr>
        <w:tabs>
          <w:tab w:val="clear" w:pos="1134"/>
          <w:tab w:val="num" w:pos="360"/>
        </w:tabs>
      </w:pPr>
      <w:bookmarkStart w:id="141" w:name="_Toc406760688"/>
      <w:bookmarkStart w:id="142" w:name="_Toc406764445"/>
      <w:bookmarkStart w:id="143" w:name="_Toc407026922"/>
      <w:bookmarkStart w:id="144" w:name="_Toc406752012"/>
      <w:bookmarkStart w:id="145" w:name="_Toc406752087"/>
      <w:bookmarkStart w:id="146" w:name="_Toc406752379"/>
      <w:bookmarkStart w:id="147" w:name="_Toc406752013"/>
      <w:bookmarkStart w:id="148" w:name="_Toc406752088"/>
      <w:bookmarkStart w:id="149" w:name="_Toc406752380"/>
      <w:bookmarkStart w:id="150" w:name="_Toc406752014"/>
      <w:bookmarkStart w:id="151" w:name="_Toc406752089"/>
      <w:bookmarkStart w:id="152" w:name="_Toc406752381"/>
      <w:bookmarkStart w:id="153" w:name="_Toc406752015"/>
      <w:bookmarkStart w:id="154" w:name="_Toc406752090"/>
      <w:bookmarkStart w:id="155" w:name="_Toc406752382"/>
      <w:bookmarkStart w:id="156" w:name="_Toc406752017"/>
      <w:bookmarkStart w:id="157" w:name="_Toc406752092"/>
      <w:bookmarkStart w:id="158" w:name="_Toc406752384"/>
      <w:bookmarkStart w:id="159" w:name="_Toc406752019"/>
      <w:bookmarkStart w:id="160" w:name="_Toc406752094"/>
      <w:bookmarkStart w:id="161" w:name="_Toc406752386"/>
      <w:bookmarkStart w:id="162" w:name="_Toc406752020"/>
      <w:bookmarkStart w:id="163" w:name="_Toc406752095"/>
      <w:bookmarkStart w:id="164" w:name="_Toc406752387"/>
      <w:bookmarkStart w:id="165" w:name="_Toc406752021"/>
      <w:bookmarkStart w:id="166" w:name="_Toc406752096"/>
      <w:bookmarkStart w:id="167" w:name="_Toc406752388"/>
      <w:bookmarkStart w:id="168" w:name="_Toc406752025"/>
      <w:bookmarkStart w:id="169" w:name="_Toc406752100"/>
      <w:bookmarkStart w:id="170" w:name="_Toc406752392"/>
      <w:bookmarkStart w:id="171" w:name="_Toc406752026"/>
      <w:bookmarkStart w:id="172" w:name="_Toc406752101"/>
      <w:bookmarkStart w:id="173" w:name="_Toc406752393"/>
      <w:bookmarkStart w:id="174" w:name="_Toc406752028"/>
      <w:bookmarkStart w:id="175" w:name="_Toc406752103"/>
      <w:bookmarkStart w:id="176" w:name="_Toc406752395"/>
      <w:bookmarkStart w:id="177" w:name="_Toc406752029"/>
      <w:bookmarkStart w:id="178" w:name="_Toc406752104"/>
      <w:bookmarkStart w:id="179" w:name="_Toc406752396"/>
      <w:bookmarkStart w:id="180" w:name="_Toc406752030"/>
      <w:bookmarkStart w:id="181" w:name="_Toc406752105"/>
      <w:bookmarkStart w:id="182" w:name="_Toc406752397"/>
      <w:bookmarkStart w:id="183" w:name="_Toc406752031"/>
      <w:bookmarkStart w:id="184" w:name="_Toc406752106"/>
      <w:bookmarkStart w:id="185" w:name="_Toc406752398"/>
      <w:bookmarkStart w:id="186" w:name="_Toc406752032"/>
      <w:bookmarkStart w:id="187" w:name="_Toc406752107"/>
      <w:bookmarkStart w:id="188" w:name="_Toc406752399"/>
      <w:bookmarkStart w:id="189" w:name="_Toc406752033"/>
      <w:bookmarkStart w:id="190" w:name="_Toc406752108"/>
      <w:bookmarkStart w:id="191" w:name="_Toc406752400"/>
      <w:bookmarkStart w:id="192" w:name="_Toc406748642"/>
      <w:bookmarkStart w:id="193" w:name="_Toc406748868"/>
      <w:bookmarkStart w:id="194" w:name="_Toc406748915"/>
      <w:bookmarkStart w:id="195" w:name="_Toc406749494"/>
      <w:bookmarkStart w:id="196" w:name="_Toc406750701"/>
      <w:bookmarkStart w:id="197" w:name="_Toc406751298"/>
      <w:bookmarkStart w:id="198" w:name="_Toc406751810"/>
      <w:bookmarkStart w:id="199" w:name="_Toc406752034"/>
      <w:bookmarkStart w:id="200" w:name="_Toc406752109"/>
      <w:bookmarkStart w:id="201" w:name="_Toc406752401"/>
      <w:bookmarkStart w:id="202" w:name="_Toc406748643"/>
      <w:bookmarkStart w:id="203" w:name="_Toc406748869"/>
      <w:bookmarkStart w:id="204" w:name="_Toc406748916"/>
      <w:bookmarkStart w:id="205" w:name="_Toc406749495"/>
      <w:bookmarkStart w:id="206" w:name="_Toc406750702"/>
      <w:bookmarkStart w:id="207" w:name="_Toc406751299"/>
      <w:bookmarkStart w:id="208" w:name="_Toc406751811"/>
      <w:bookmarkStart w:id="209" w:name="_Toc406752035"/>
      <w:bookmarkStart w:id="210" w:name="_Toc406752110"/>
      <w:bookmarkStart w:id="211" w:name="_Toc40675240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F51A71">
        <w:br/>
      </w:r>
      <w:bookmarkStart w:id="212" w:name="_Toc406581439"/>
      <w:bookmarkStart w:id="213" w:name="_Toc406752111"/>
      <w:bookmarkStart w:id="214" w:name="_Toc406757011"/>
      <w:bookmarkStart w:id="215" w:name="_Toc406760724"/>
      <w:bookmarkStart w:id="216" w:name="_Toc407026923"/>
      <w:bookmarkStart w:id="217" w:name="_Toc416957159"/>
      <w:bookmarkStart w:id="218" w:name="_Toc418177766"/>
      <w:bookmarkStart w:id="219" w:name="_Toc418249763"/>
      <w:r>
        <w:t>Monitoring and investigation</w:t>
      </w:r>
      <w:bookmarkEnd w:id="212"/>
      <w:bookmarkEnd w:id="213"/>
      <w:bookmarkEnd w:id="214"/>
      <w:bookmarkEnd w:id="215"/>
      <w:bookmarkEnd w:id="216"/>
      <w:bookmarkEnd w:id="217"/>
      <w:bookmarkEnd w:id="218"/>
      <w:bookmarkEnd w:id="219"/>
    </w:p>
    <w:p w14:paraId="747DC705" w14:textId="77777777" w:rsidR="00014D99" w:rsidRDefault="00014D99" w:rsidP="00014D99">
      <w:pPr>
        <w:pStyle w:val="Heading2"/>
      </w:pPr>
      <w:r>
        <w:t>Outline of chapter</w:t>
      </w:r>
    </w:p>
    <w:p w14:paraId="1848FF7C" w14:textId="77777777" w:rsidR="00316071" w:rsidRPr="001E26E9" w:rsidRDefault="00316071" w:rsidP="00115FBF">
      <w:pPr>
        <w:pStyle w:val="base-text-paragraph"/>
        <w:tabs>
          <w:tab w:val="clear" w:pos="1985"/>
          <w:tab w:val="num" w:pos="1986"/>
        </w:tabs>
      </w:pPr>
      <w:r>
        <w:t xml:space="preserve">Part 6 of the </w:t>
      </w:r>
      <w:r w:rsidR="00115FBF" w:rsidRPr="00115FBF">
        <w:t xml:space="preserve">Prudential Supervision </w:t>
      </w:r>
      <w:r w:rsidR="0023493D" w:rsidDel="00115FBF">
        <w:t>Bill</w:t>
      </w:r>
      <w:r>
        <w:t xml:space="preserve"> </w:t>
      </w:r>
      <w:r w:rsidR="006D317E">
        <w:t xml:space="preserve">provides for </w:t>
      </w:r>
      <w:r w:rsidRPr="001E26E9">
        <w:t xml:space="preserve">monitoring </w:t>
      </w:r>
      <w:r w:rsidR="0011442C">
        <w:t>and investigation</w:t>
      </w:r>
      <w:r w:rsidRPr="001E26E9">
        <w:t xml:space="preserve"> provisions, including:</w:t>
      </w:r>
    </w:p>
    <w:p w14:paraId="437DE47B" w14:textId="77777777" w:rsidR="00316071" w:rsidRPr="001E26E9" w:rsidRDefault="00316071" w:rsidP="001A57F7">
      <w:pPr>
        <w:pStyle w:val="dotpoint"/>
      </w:pPr>
      <w:r w:rsidRPr="001E26E9">
        <w:t>power for APRA to request information and documents for general supervisory purposes;</w:t>
      </w:r>
      <w:r w:rsidR="006D317E">
        <w:t xml:space="preserve"> and</w:t>
      </w:r>
    </w:p>
    <w:p w14:paraId="4FB31182" w14:textId="77777777" w:rsidR="00316071" w:rsidRDefault="00316071" w:rsidP="001A57F7">
      <w:pPr>
        <w:pStyle w:val="dotpoint"/>
      </w:pPr>
      <w:r w:rsidRPr="001E26E9">
        <w:t>power to investigate a private health insurer, including the appointment of an inspector, obtaining information and warrants for entry of premises and the conduct of examinations</w:t>
      </w:r>
      <w:r w:rsidR="002A678B">
        <w:t>.</w:t>
      </w:r>
    </w:p>
    <w:p w14:paraId="23B3855D" w14:textId="77777777" w:rsidR="00C341C2" w:rsidRPr="001E26E9" w:rsidRDefault="00C341C2" w:rsidP="00C341C2">
      <w:pPr>
        <w:pStyle w:val="base-text-paragraph"/>
      </w:pPr>
      <w:r>
        <w:t xml:space="preserve">Unless otherwise stated, all references in this Chapter relate to the </w:t>
      </w:r>
      <w:r>
        <w:rPr>
          <w:rStyle w:val="Referencingstyle"/>
          <w:b w:val="0"/>
          <w:i w:val="0"/>
          <w:sz w:val="22"/>
        </w:rPr>
        <w:t>Prudential Supervision Bill.</w:t>
      </w:r>
    </w:p>
    <w:p w14:paraId="39101228" w14:textId="77777777" w:rsidR="00014D99" w:rsidRDefault="00014D99" w:rsidP="00014D99">
      <w:pPr>
        <w:pStyle w:val="Heading2"/>
      </w:pPr>
      <w:r>
        <w:t>Summary of new law</w:t>
      </w:r>
    </w:p>
    <w:p w14:paraId="38956C69" w14:textId="77777777" w:rsidR="00F96520" w:rsidRDefault="00F96520" w:rsidP="000F194A">
      <w:pPr>
        <w:pStyle w:val="base-text-paragraph"/>
      </w:pPr>
      <w:r>
        <w:t xml:space="preserve">These provisions </w:t>
      </w:r>
      <w:r w:rsidR="006D317E">
        <w:t>draw on provisions from a number of different pieces of legislation</w:t>
      </w:r>
      <w:r>
        <w:t>, including Division</w:t>
      </w:r>
      <w:r w:rsidR="006D317E">
        <w:t>s 194 and</w:t>
      </w:r>
      <w:r>
        <w:t xml:space="preserve"> 214 of the PHI Act</w:t>
      </w:r>
      <w:r w:rsidR="006D317E">
        <w:t>, certain</w:t>
      </w:r>
      <w:r>
        <w:t xml:space="preserve"> provisions from the SIS Act and the Regulatory Powers Act.</w:t>
      </w:r>
    </w:p>
    <w:p w14:paraId="576CD6DA" w14:textId="77777777" w:rsidR="007803F0" w:rsidRDefault="007803F0" w:rsidP="000F194A">
      <w:pPr>
        <w:pStyle w:val="base-text-paragraph"/>
      </w:pPr>
      <w:r w:rsidRPr="007803F0">
        <w:t>In general, the Regulatory Powers Act is intended to provide a framework of standard powers</w:t>
      </w:r>
      <w:r>
        <w:t xml:space="preserve"> </w:t>
      </w:r>
      <w:r w:rsidR="006D317E">
        <w:t>for</w:t>
      </w:r>
      <w:r w:rsidR="001A3CCC">
        <w:t xml:space="preserve"> monitoring and information gathering provisions</w:t>
      </w:r>
      <w:r>
        <w:t xml:space="preserve">.  However, </w:t>
      </w:r>
      <w:r w:rsidR="006D317E">
        <w:t xml:space="preserve">certain provisions in </w:t>
      </w:r>
      <w:r>
        <w:t>the Regulatory Powers Act</w:t>
      </w:r>
      <w:r w:rsidR="006D317E">
        <w:t>, in particular the investigation provisions in Part 3 of that Act,</w:t>
      </w:r>
      <w:r>
        <w:t xml:space="preserve"> only appl</w:t>
      </w:r>
      <w:r w:rsidR="006D317E">
        <w:t>y</w:t>
      </w:r>
      <w:r>
        <w:t xml:space="preserve"> where there has been a breach of an offence provision or a civil penalty provision</w:t>
      </w:r>
      <w:r w:rsidR="007455B0">
        <w:t xml:space="preserve">.  </w:t>
      </w:r>
    </w:p>
    <w:p w14:paraId="057B59D1" w14:textId="77777777" w:rsidR="00E62458" w:rsidRDefault="00E62458" w:rsidP="00134057">
      <w:pPr>
        <w:pStyle w:val="base-text-paragraph"/>
        <w:tabs>
          <w:tab w:val="clear" w:pos="1985"/>
          <w:tab w:val="num" w:pos="1986"/>
        </w:tabs>
      </w:pPr>
      <w:r>
        <w:t>The monitoring provisions are designed to ensure that APRA has</w:t>
      </w:r>
      <w:r w:rsidR="00824120">
        <w:t xml:space="preserve"> the</w:t>
      </w:r>
      <w:r>
        <w:t xml:space="preserve"> power to require an insurer to provide information and documents </w:t>
      </w:r>
      <w:r w:rsidR="002B7174">
        <w:t xml:space="preserve">for general supervisory purposes </w:t>
      </w:r>
      <w:r>
        <w:t>without the need for suspecting the contravention of a provision. Similar provisions exist</w:t>
      </w:r>
      <w:r w:rsidR="005619FD">
        <w:t xml:space="preserve"> </w:t>
      </w:r>
      <w:r>
        <w:t>in APRA’s current legislation (</w:t>
      </w:r>
      <w:r w:rsidR="008C6555">
        <w:t>for example,</w:t>
      </w:r>
      <w:r>
        <w:t xml:space="preserve"> sections</w:t>
      </w:r>
      <w:r w:rsidR="00824120">
        <w:t> </w:t>
      </w:r>
      <w:r>
        <w:t xml:space="preserve">254(2) and 255 of the </w:t>
      </w:r>
      <w:r w:rsidR="00EE0968" w:rsidRPr="006C3D7A">
        <w:t>SIS Act</w:t>
      </w:r>
      <w:r>
        <w:t xml:space="preserve"> and section 62 of the </w:t>
      </w:r>
      <w:r w:rsidRPr="00134057">
        <w:rPr>
          <w:i/>
        </w:rPr>
        <w:t>Banking Act 1959).</w:t>
      </w:r>
      <w:r>
        <w:t xml:space="preserve">  The inclusion of these provisions will enable APRA to obtain information, where appropriate, for routine monitoring purposes and for other purposes.  There is no equivalent</w:t>
      </w:r>
      <w:r w:rsidR="002B7174">
        <w:t xml:space="preserve"> in the </w:t>
      </w:r>
      <w:r w:rsidR="00134057" w:rsidRPr="00134057">
        <w:t xml:space="preserve">Prudential Supervision </w:t>
      </w:r>
      <w:r w:rsidR="002B7174" w:rsidDel="00134057">
        <w:t>Bill</w:t>
      </w:r>
      <w:r>
        <w:t xml:space="preserve"> of section 191-1 of the PHI Act (which provides that </w:t>
      </w:r>
      <w:r w:rsidR="00AC6B82">
        <w:t>the Council</w:t>
      </w:r>
      <w:r>
        <w:t xml:space="preserve"> may seek an explanation from a private health insurer), as that capacity will be covered by the monitoring provisions.</w:t>
      </w:r>
    </w:p>
    <w:p w14:paraId="68315AA0" w14:textId="77777777" w:rsidR="006D317E" w:rsidRDefault="00E62458" w:rsidP="000F194A">
      <w:pPr>
        <w:pStyle w:val="base-text-paragraph"/>
      </w:pPr>
      <w:r>
        <w:t>The investigation provisions replace, and update, for APRA’s purposes, two overlapping investigation powers currently located in Divisions 194 and 214 of the PHI Act.  This will avoid the duplication that currently exists in the PHI Act and the updating of certain provisions (</w:t>
      </w:r>
      <w:r w:rsidR="008C6555">
        <w:t>for example,</w:t>
      </w:r>
      <w:r>
        <w:t xml:space="preserve"> in relation to warrants, obtaining consent to entry and identity cards) will bring the investigation powers more into line with </w:t>
      </w:r>
      <w:r w:rsidR="00824120">
        <w:t xml:space="preserve">the </w:t>
      </w:r>
      <w:r w:rsidRPr="006C3D7A">
        <w:t>Regulatory</w:t>
      </w:r>
      <w:r w:rsidR="00EE0968">
        <w:t> </w:t>
      </w:r>
      <w:r w:rsidRPr="006C3D7A">
        <w:t>Powers</w:t>
      </w:r>
      <w:r w:rsidR="00EE0968">
        <w:t> </w:t>
      </w:r>
      <w:r w:rsidRPr="006C3D7A">
        <w:t>Act.</w:t>
      </w:r>
      <w:r>
        <w:t xml:space="preserve">  The investigation powers will cover matters relating to compliance with the risk equalisation fund provisions that will remain in the PHI Act (including relating to the levy, which APRA will collect).  </w:t>
      </w:r>
    </w:p>
    <w:p w14:paraId="486E92B4" w14:textId="77777777" w:rsidR="00E62458" w:rsidRDefault="006D317E" w:rsidP="000F194A">
      <w:pPr>
        <w:pStyle w:val="base-text-paragraph"/>
      </w:pPr>
      <w:r>
        <w:t xml:space="preserve">APRA will be able to conduct an investigation where APRA reasonably suspects that the affairs of an insurer are, or are about to be, carried on in a way that is not in the interests of </w:t>
      </w:r>
      <w:r w:rsidR="001235B8">
        <w:t>policy holder</w:t>
      </w:r>
      <w:r>
        <w:t>s of a health benefits fund, mirroring the trigger for an investigation by the Council under section 214-1(1)(a) of the PHI Act.  APRA will also have power to investigate a contravention, or suspected contravention, of an enforceable obligation, which is similar to the Council’s power in section 194-1 of the PHI Act to investigate where an insurer might have contravened a Council-supervised obligation.</w:t>
      </w:r>
    </w:p>
    <w:p w14:paraId="54FED06A" w14:textId="77777777" w:rsidR="00014D99" w:rsidRDefault="00014D99" w:rsidP="00014D99">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14D99" w:rsidRPr="004666B8" w14:paraId="03A51315" w14:textId="77777777" w:rsidTr="00014D99">
        <w:tc>
          <w:tcPr>
            <w:tcW w:w="3275" w:type="dxa"/>
          </w:tcPr>
          <w:p w14:paraId="4E8E6838" w14:textId="77777777" w:rsidR="00014D99" w:rsidRPr="006C3D7A" w:rsidRDefault="00014D99" w:rsidP="00014D99">
            <w:pPr>
              <w:pStyle w:val="tableheaderwithintable"/>
              <w:rPr>
                <w:lang w:val="en-US" w:eastAsia="en-US"/>
              </w:rPr>
            </w:pPr>
            <w:r w:rsidRPr="006C3D7A">
              <w:rPr>
                <w:lang w:val="en-US" w:eastAsia="en-US"/>
              </w:rPr>
              <w:t>New law</w:t>
            </w:r>
          </w:p>
        </w:tc>
        <w:tc>
          <w:tcPr>
            <w:tcW w:w="3276" w:type="dxa"/>
          </w:tcPr>
          <w:p w14:paraId="484113E5" w14:textId="77777777" w:rsidR="00014D99" w:rsidRPr="006C3D7A" w:rsidRDefault="00014D99" w:rsidP="00014D99">
            <w:pPr>
              <w:pStyle w:val="tableheaderwithintable"/>
              <w:rPr>
                <w:lang w:val="en-US" w:eastAsia="en-US"/>
              </w:rPr>
            </w:pPr>
            <w:r w:rsidRPr="006C3D7A">
              <w:rPr>
                <w:lang w:val="en-US" w:eastAsia="en-US"/>
              </w:rPr>
              <w:t>Current law</w:t>
            </w:r>
          </w:p>
        </w:tc>
      </w:tr>
      <w:tr w:rsidR="00014D99" w:rsidRPr="004666B8" w14:paraId="494138AB" w14:textId="77777777" w:rsidTr="00014D99">
        <w:tc>
          <w:tcPr>
            <w:tcW w:w="3275" w:type="dxa"/>
          </w:tcPr>
          <w:p w14:paraId="6ED9CCC4" w14:textId="77777777" w:rsidR="00014D99" w:rsidRPr="006C3D7A" w:rsidRDefault="00601DAA" w:rsidP="00637DE1">
            <w:pPr>
              <w:pStyle w:val="tabletext"/>
              <w:rPr>
                <w:lang w:val="en-US" w:eastAsia="en-US"/>
              </w:rPr>
            </w:pPr>
            <w:r>
              <w:rPr>
                <w:lang w:val="en-US" w:eastAsia="en-US"/>
              </w:rPr>
              <w:t xml:space="preserve">APRA the power to require information and reports from insurers </w:t>
            </w:r>
            <w:r w:rsidR="00637DE1">
              <w:rPr>
                <w:lang w:val="en-US" w:eastAsia="en-US"/>
              </w:rPr>
              <w:t xml:space="preserve">in order to regulate. </w:t>
            </w:r>
          </w:p>
        </w:tc>
        <w:tc>
          <w:tcPr>
            <w:tcW w:w="3276" w:type="dxa"/>
          </w:tcPr>
          <w:p w14:paraId="349167A0" w14:textId="77777777" w:rsidR="00014D99" w:rsidRPr="006C3D7A" w:rsidRDefault="008C6555" w:rsidP="00E60F9A">
            <w:pPr>
              <w:pStyle w:val="tabletext"/>
              <w:rPr>
                <w:lang w:val="en-US" w:eastAsia="en-US"/>
              </w:rPr>
            </w:pPr>
            <w:r>
              <w:rPr>
                <w:lang w:val="en-US" w:eastAsia="en-US"/>
              </w:rPr>
              <w:t xml:space="preserve">The </w:t>
            </w:r>
            <w:r w:rsidR="00D83FDE">
              <w:rPr>
                <w:lang w:val="en-US" w:eastAsia="en-US"/>
              </w:rPr>
              <w:t xml:space="preserve">Council </w:t>
            </w:r>
            <w:r w:rsidR="00E60F9A">
              <w:rPr>
                <w:lang w:val="en-US" w:eastAsia="en-US"/>
              </w:rPr>
              <w:t>has the power to request</w:t>
            </w:r>
            <w:r w:rsidR="00D83FDE">
              <w:rPr>
                <w:lang w:val="en-US" w:eastAsia="en-US"/>
              </w:rPr>
              <w:t xml:space="preserve"> an explanation</w:t>
            </w:r>
            <w:r w:rsidR="00E60F9A">
              <w:rPr>
                <w:lang w:val="en-US" w:eastAsia="en-US"/>
              </w:rPr>
              <w:t xml:space="preserve"> from an insurer</w:t>
            </w:r>
            <w:r w:rsidR="00F01D33">
              <w:rPr>
                <w:lang w:val="en-US" w:eastAsia="en-US"/>
              </w:rPr>
              <w:t xml:space="preserve"> about its operations</w:t>
            </w:r>
            <w:r w:rsidR="00E60F9A">
              <w:rPr>
                <w:lang w:val="en-US" w:eastAsia="en-US"/>
              </w:rPr>
              <w:t xml:space="preserve">, and the insurer must respond. </w:t>
            </w:r>
          </w:p>
        </w:tc>
      </w:tr>
      <w:tr w:rsidR="00F96520" w:rsidRPr="004666B8" w14:paraId="222F1D65" w14:textId="77777777" w:rsidTr="00014D99">
        <w:tc>
          <w:tcPr>
            <w:tcW w:w="3275" w:type="dxa"/>
          </w:tcPr>
          <w:p w14:paraId="6627E644" w14:textId="77777777" w:rsidR="00F96520" w:rsidRPr="006C3D7A" w:rsidRDefault="00E60F9A" w:rsidP="00014D99">
            <w:pPr>
              <w:pStyle w:val="tabletext"/>
              <w:rPr>
                <w:lang w:val="en-US" w:eastAsia="en-US"/>
              </w:rPr>
            </w:pPr>
            <w:r>
              <w:rPr>
                <w:lang w:val="en-US" w:eastAsia="en-US"/>
              </w:rPr>
              <w:t>APRA can appoint an inspector to carry on an investigation of an insurer. With consent or with a warrant an inspector can access the insurer’s premises.</w:t>
            </w:r>
          </w:p>
        </w:tc>
        <w:tc>
          <w:tcPr>
            <w:tcW w:w="3276" w:type="dxa"/>
          </w:tcPr>
          <w:p w14:paraId="23B998FE" w14:textId="77777777" w:rsidR="00F96520" w:rsidRPr="006C3D7A" w:rsidRDefault="00E60F9A">
            <w:pPr>
              <w:pStyle w:val="tabletext"/>
              <w:rPr>
                <w:lang w:val="en-US" w:eastAsia="en-US"/>
              </w:rPr>
            </w:pPr>
            <w:r>
              <w:rPr>
                <w:lang w:val="en-US" w:eastAsia="en-US"/>
              </w:rPr>
              <w:t>Either the Health Minister or the Council could conduct an investigation, and require</w:t>
            </w:r>
            <w:r w:rsidR="00DC7FE8">
              <w:rPr>
                <w:lang w:val="en-US" w:eastAsia="en-US"/>
              </w:rPr>
              <w:t xml:space="preserve"> a person to give evidence. The </w:t>
            </w:r>
            <w:r w:rsidR="001E7530">
              <w:rPr>
                <w:lang w:val="en-US" w:eastAsia="en-US"/>
              </w:rPr>
              <w:t>Health</w:t>
            </w:r>
            <w:r w:rsidR="00DC7FE8">
              <w:rPr>
                <w:lang w:val="en-US" w:eastAsia="en-US"/>
              </w:rPr>
              <w:t xml:space="preserve"> Minister or the Council could appoint someone to </w:t>
            </w:r>
            <w:r>
              <w:rPr>
                <w:lang w:val="en-US" w:eastAsia="en-US"/>
              </w:rPr>
              <w:t>access records, books etc</w:t>
            </w:r>
            <w:r w:rsidR="00DC7FE8">
              <w:rPr>
                <w:lang w:val="en-US" w:eastAsia="en-US"/>
              </w:rPr>
              <w:t xml:space="preserve"> of an insurer</w:t>
            </w:r>
            <w:r>
              <w:rPr>
                <w:lang w:val="en-US" w:eastAsia="en-US"/>
              </w:rPr>
              <w:t>.</w:t>
            </w:r>
          </w:p>
        </w:tc>
      </w:tr>
    </w:tbl>
    <w:p w14:paraId="04876C5C" w14:textId="77777777" w:rsidR="00014D99" w:rsidRDefault="00014D99" w:rsidP="00014D99">
      <w:pPr>
        <w:pStyle w:val="Heading2"/>
      </w:pPr>
      <w:r>
        <w:t>Detailed explanation of new law</w:t>
      </w:r>
    </w:p>
    <w:p w14:paraId="5A54AF88" w14:textId="77777777" w:rsidR="00014D99" w:rsidRDefault="00014D99" w:rsidP="00014D99">
      <w:pPr>
        <w:pStyle w:val="Heading2"/>
      </w:pPr>
      <w:r>
        <w:t>Part 6 – Monitoring and investigation</w:t>
      </w:r>
    </w:p>
    <w:p w14:paraId="7DDED164" w14:textId="77777777" w:rsidR="00014D99" w:rsidRDefault="00014D99" w:rsidP="00014D99">
      <w:pPr>
        <w:pStyle w:val="Heading3"/>
      </w:pPr>
      <w:r>
        <w:t>Division 1 – Introduction</w:t>
      </w:r>
    </w:p>
    <w:p w14:paraId="6813D320" w14:textId="77777777" w:rsidR="00014D99" w:rsidRPr="00B235D9" w:rsidRDefault="00014D99" w:rsidP="00014D99">
      <w:pPr>
        <w:pStyle w:val="Heading4"/>
      </w:pPr>
      <w:r w:rsidRPr="00B235D9">
        <w:t>Simplified</w:t>
      </w:r>
      <w:r w:rsidR="004A0C76">
        <w:t xml:space="preserve"> outline</w:t>
      </w:r>
      <w:r w:rsidRPr="00B235D9">
        <w:t xml:space="preserve"> of this Part</w:t>
      </w:r>
    </w:p>
    <w:p w14:paraId="5B975EBF" w14:textId="77777777" w:rsidR="00B80AAB" w:rsidRDefault="00B80AAB" w:rsidP="000F194A">
      <w:pPr>
        <w:pStyle w:val="base-text-paragraph"/>
      </w:pPr>
      <w:r>
        <w:t>APRA may, for the purposes of th</w:t>
      </w:r>
      <w:r w:rsidR="00134057">
        <w:t>e</w:t>
      </w:r>
      <w:r>
        <w:t xml:space="preserve"> </w:t>
      </w:r>
      <w:r w:rsidR="00134057">
        <w:rPr>
          <w:lang w:val="en-US" w:eastAsia="en-US"/>
        </w:rPr>
        <w:t>Prudential Supervision Bill</w:t>
      </w:r>
      <w:r>
        <w:t xml:space="preserve"> or the risk equalisation levy legislation, require insurers to provide information, reports or documents, and may require officers of insurers to provide documents. </w:t>
      </w:r>
      <w:r>
        <w:rPr>
          <w:rStyle w:val="Referencingstyle"/>
        </w:rPr>
        <w:t>[Part </w:t>
      </w:r>
      <w:r w:rsidRPr="006C3D7A">
        <w:rPr>
          <w:rStyle w:val="Referencingstyle"/>
        </w:rPr>
        <w:t>6, Division 1, section 12</w:t>
      </w:r>
      <w:r>
        <w:rPr>
          <w:rStyle w:val="Referencingstyle"/>
        </w:rPr>
        <w:t>6</w:t>
      </w:r>
      <w:r w:rsidRPr="006C3D7A">
        <w:rPr>
          <w:rStyle w:val="Referencingstyle"/>
        </w:rPr>
        <w:t>]</w:t>
      </w:r>
    </w:p>
    <w:p w14:paraId="591AA358" w14:textId="77777777" w:rsidR="00014D99" w:rsidRPr="006C3D7A" w:rsidRDefault="00B80AAB" w:rsidP="000F194A">
      <w:pPr>
        <w:pStyle w:val="base-text-paragraph"/>
      </w:pPr>
      <w:r>
        <w:t>APRA may appoint an inspector to investigate the affairs of a private health insurer in certain circumstances. The powers of an inspector include power to require a person to provide documents or to appear for examination, and power to enter premises (either with consent or under a warrant) and exercise search powers.</w:t>
      </w:r>
      <w:r>
        <w:rPr>
          <w:rStyle w:val="Referencingstyle"/>
        </w:rPr>
        <w:t xml:space="preserve"> </w:t>
      </w:r>
      <w:r w:rsidR="00B235D9">
        <w:rPr>
          <w:rStyle w:val="Referencingstyle"/>
        </w:rPr>
        <w:t>[Part </w:t>
      </w:r>
      <w:r w:rsidR="00B235D9" w:rsidRPr="006C3D7A">
        <w:rPr>
          <w:rStyle w:val="Referencingstyle"/>
        </w:rPr>
        <w:t>6, Division 1, section 12</w:t>
      </w:r>
      <w:r>
        <w:rPr>
          <w:rStyle w:val="Referencingstyle"/>
        </w:rPr>
        <w:t>6</w:t>
      </w:r>
      <w:r w:rsidR="00B235D9" w:rsidRPr="006C3D7A">
        <w:rPr>
          <w:rStyle w:val="Referencingstyle"/>
        </w:rPr>
        <w:t>]</w:t>
      </w:r>
    </w:p>
    <w:p w14:paraId="6DF95EA0" w14:textId="77777777" w:rsidR="00014D99" w:rsidRDefault="00014D99" w:rsidP="00014D99">
      <w:pPr>
        <w:pStyle w:val="Heading3"/>
      </w:pPr>
      <w:r>
        <w:t>Division 2 – Monitoring</w:t>
      </w:r>
    </w:p>
    <w:p w14:paraId="12B02367" w14:textId="77777777" w:rsidR="00014D99" w:rsidRDefault="00014D99" w:rsidP="00014D99">
      <w:pPr>
        <w:pStyle w:val="Heading4"/>
      </w:pPr>
      <w:r>
        <w:t>Purposes for which powers may be exercised etc.</w:t>
      </w:r>
    </w:p>
    <w:p w14:paraId="0A4AE2E4" w14:textId="77777777" w:rsidR="00014D99" w:rsidRDefault="00014D99" w:rsidP="00134057">
      <w:pPr>
        <w:pStyle w:val="base-text-paragraph"/>
        <w:tabs>
          <w:tab w:val="clear" w:pos="1985"/>
          <w:tab w:val="num" w:pos="1986"/>
        </w:tabs>
      </w:pPr>
      <w:r>
        <w:t xml:space="preserve">The </w:t>
      </w:r>
      <w:r w:rsidR="006D317E">
        <w:t>monitoring</w:t>
      </w:r>
      <w:r>
        <w:t xml:space="preserve"> powers in Division 2 may be exercised for the purposes of the</w:t>
      </w:r>
      <w:r w:rsidR="00134057" w:rsidRPr="00134057">
        <w:rPr>
          <w:lang w:val="en-US" w:eastAsia="en-US"/>
        </w:rPr>
        <w:t xml:space="preserve"> Prudential Supervision Bill</w:t>
      </w:r>
      <w:r w:rsidDel="00134057">
        <w:t xml:space="preserve"> </w:t>
      </w:r>
      <w:r>
        <w:t xml:space="preserve">or the risk equalisation levy legislation. </w:t>
      </w:r>
      <w:r w:rsidR="002B7174">
        <w:t xml:space="preserve">Section 4 of the </w:t>
      </w:r>
      <w:r w:rsidR="00134057" w:rsidRPr="00134057">
        <w:t xml:space="preserve">Prudential Supervision </w:t>
      </w:r>
      <w:r w:rsidR="002B7174" w:rsidDel="00134057">
        <w:t>Bill</w:t>
      </w:r>
      <w:r w:rsidR="002B7174">
        <w:t xml:space="preserve"> defines ‘</w:t>
      </w:r>
      <w:r w:rsidR="002B7174" w:rsidRPr="002B7174">
        <w:t>ris</w:t>
      </w:r>
      <w:r w:rsidR="002B7174">
        <w:t>k equalisation levy legislation’</w:t>
      </w:r>
      <w:r w:rsidR="002B7174" w:rsidRPr="002B7174">
        <w:t xml:space="preserve"> to mean the </w:t>
      </w:r>
      <w:r w:rsidR="002B7174" w:rsidRPr="00ED52FE">
        <w:t xml:space="preserve">Risk Equalisation Levy Act 2003 </w:t>
      </w:r>
      <w:r w:rsidR="002B7174" w:rsidRPr="002B7174">
        <w:t xml:space="preserve">and the provisions of the PHI Act that apply in relation to the </w:t>
      </w:r>
      <w:r w:rsidR="002B7174" w:rsidRPr="00ED52FE">
        <w:t>Risk Equalisation Levy Act</w:t>
      </w:r>
      <w:r w:rsidR="00134057" w:rsidRPr="00ED52FE">
        <w:t xml:space="preserve"> 2003</w:t>
      </w:r>
      <w:r w:rsidR="002B7174" w:rsidRPr="00ED52FE">
        <w:t xml:space="preserve"> </w:t>
      </w:r>
      <w:r w:rsidR="002B7174" w:rsidRPr="002B7174">
        <w:t xml:space="preserve">and the Risk Equalisation Special Account.  </w:t>
      </w:r>
      <w:r w:rsidR="002B7174">
        <w:t>The powers</w:t>
      </w:r>
      <w:r>
        <w:t xml:space="preserve"> cannot be exercise</w:t>
      </w:r>
      <w:r w:rsidR="00B80AAB">
        <w:t>d</w:t>
      </w:r>
      <w:r>
        <w:t xml:space="preserve"> for another purpose.  </w:t>
      </w:r>
      <w:r w:rsidRPr="00702512">
        <w:rPr>
          <w:rStyle w:val="Referencingstyle"/>
        </w:rPr>
        <w:t>[Part 6, Division 2, subsection 12</w:t>
      </w:r>
      <w:r w:rsidR="00B80AAB">
        <w:rPr>
          <w:rStyle w:val="Referencingstyle"/>
        </w:rPr>
        <w:t>7</w:t>
      </w:r>
      <w:r w:rsidRPr="00702512">
        <w:rPr>
          <w:rStyle w:val="Referencingstyle"/>
        </w:rPr>
        <w:t>(1)]</w:t>
      </w:r>
    </w:p>
    <w:p w14:paraId="75EEE857" w14:textId="77777777" w:rsidR="00014D99" w:rsidRPr="000E2BDC" w:rsidRDefault="00014D99" w:rsidP="000F194A">
      <w:pPr>
        <w:pStyle w:val="base-text-paragraph"/>
        <w:rPr>
          <w:rStyle w:val="Referencingstyle"/>
          <w:b w:val="0"/>
          <w:i w:val="0"/>
          <w:sz w:val="22"/>
        </w:rPr>
      </w:pPr>
      <w:r>
        <w:t xml:space="preserve">The </w:t>
      </w:r>
      <w:r w:rsidR="006D317E">
        <w:t>monitoring</w:t>
      </w:r>
      <w:r>
        <w:t xml:space="preserve"> powers of Division 2 may be exercised in relation to a particular private health insurer, even if an investigation is being conducted in relation to the affairs of the insurer.  </w:t>
      </w:r>
      <w:r w:rsidRPr="00702512">
        <w:rPr>
          <w:rStyle w:val="Referencingstyle"/>
        </w:rPr>
        <w:t>[Part 6, Division 2, subsection 12</w:t>
      </w:r>
      <w:r w:rsidR="00B80AAB">
        <w:rPr>
          <w:rStyle w:val="Referencingstyle"/>
        </w:rPr>
        <w:t>7</w:t>
      </w:r>
      <w:r w:rsidRPr="00702512">
        <w:rPr>
          <w:rStyle w:val="Referencingstyle"/>
        </w:rPr>
        <w:t>(2)]</w:t>
      </w:r>
    </w:p>
    <w:p w14:paraId="6954558D" w14:textId="77777777" w:rsidR="000E2BDC" w:rsidRDefault="000E2BDC" w:rsidP="000F194A">
      <w:pPr>
        <w:pStyle w:val="base-text-paragraph"/>
      </w:pPr>
      <w:r>
        <w:t xml:space="preserve">All information and reports provided to APRA by private health insurers under sections 128 and 129 will be covered by the secrecy provisions in section 56 of the APRA Act (as amended by the Consequential Amendments and Transitional Provisions Bill) as well as the </w:t>
      </w:r>
      <w:r w:rsidR="002B7174">
        <w:rPr>
          <w:i/>
        </w:rPr>
        <w:t>Privacy Act 1988</w:t>
      </w:r>
      <w:r w:rsidR="002B7174">
        <w:t>, unless the information is already in the public domain</w:t>
      </w:r>
      <w:r>
        <w:t>.</w:t>
      </w:r>
    </w:p>
    <w:p w14:paraId="6362FD7A" w14:textId="77777777" w:rsidR="00014D99" w:rsidRDefault="00014D99" w:rsidP="002B7174">
      <w:pPr>
        <w:pStyle w:val="Heading4"/>
      </w:pPr>
      <w:r>
        <w:t>Power to require private health insurer to provide information and reports</w:t>
      </w:r>
    </w:p>
    <w:p w14:paraId="67A329CE" w14:textId="77777777" w:rsidR="00014D99" w:rsidRPr="001662CA" w:rsidRDefault="00014D99" w:rsidP="000F194A">
      <w:pPr>
        <w:pStyle w:val="base-text-paragraph"/>
        <w:rPr>
          <w:rStyle w:val="Referencingstyle"/>
          <w:b w:val="0"/>
          <w:i w:val="0"/>
          <w:sz w:val="22"/>
        </w:rPr>
      </w:pPr>
      <w:r>
        <w:t xml:space="preserve">APRA may give a written notice requiring an insurer to give APRA particular information, or a report on particular matters, relating to the affairs of the insurer, by a specified time.  </w:t>
      </w:r>
      <w:r w:rsidR="006D317E">
        <w:t xml:space="preserve">The period specified in the notice must be reasonable, and must end at least </w:t>
      </w:r>
      <w:r w:rsidR="00B80AAB">
        <w:t>seven</w:t>
      </w:r>
      <w:r w:rsidR="006D317E">
        <w:t xml:space="preserve"> days after the day on which the notice is given. </w:t>
      </w:r>
      <w:r w:rsidRPr="00702512">
        <w:rPr>
          <w:rStyle w:val="Referencingstyle"/>
        </w:rPr>
        <w:t>[Par</w:t>
      </w:r>
      <w:r>
        <w:rPr>
          <w:rStyle w:val="Referencingstyle"/>
        </w:rPr>
        <w:t>t 6, Division 2, section 12</w:t>
      </w:r>
      <w:r w:rsidR="00B80AAB">
        <w:rPr>
          <w:rStyle w:val="Referencingstyle"/>
        </w:rPr>
        <w:t>8</w:t>
      </w:r>
      <w:r w:rsidRPr="00702512">
        <w:rPr>
          <w:rStyle w:val="Referencingstyle"/>
        </w:rPr>
        <w:t>]</w:t>
      </w:r>
    </w:p>
    <w:p w14:paraId="7987A0AB" w14:textId="77777777" w:rsidR="00014D99" w:rsidRDefault="00014D99" w:rsidP="00134057">
      <w:pPr>
        <w:pStyle w:val="base-text-paragraph"/>
        <w:tabs>
          <w:tab w:val="clear" w:pos="1985"/>
          <w:tab w:val="num" w:pos="1986"/>
        </w:tabs>
      </w:pPr>
      <w:r>
        <w:t>A refusal or failure to comply with the notice is an offence</w:t>
      </w:r>
      <w:r w:rsidR="006D317E">
        <w:t xml:space="preserve"> under section 14</w:t>
      </w:r>
      <w:r w:rsidR="00B80AAB">
        <w:t>8</w:t>
      </w:r>
      <w:r w:rsidR="006D317E">
        <w:t xml:space="preserve"> of the </w:t>
      </w:r>
      <w:r w:rsidR="00134057" w:rsidRPr="00134057">
        <w:t xml:space="preserve">Prudential Supervision </w:t>
      </w:r>
      <w:r w:rsidR="006D317E" w:rsidDel="00134057">
        <w:t>Bill</w:t>
      </w:r>
      <w:r w:rsidR="006D317E">
        <w:t xml:space="preserve"> with a maximum penalty of 30 penalty units for an individual</w:t>
      </w:r>
      <w:r>
        <w:t>.</w:t>
      </w:r>
    </w:p>
    <w:p w14:paraId="632BC258" w14:textId="77777777" w:rsidR="00014D99" w:rsidRDefault="00014D99" w:rsidP="002B7174">
      <w:pPr>
        <w:pStyle w:val="Heading4"/>
      </w:pPr>
      <w:r>
        <w:t>Power to require production of documents</w:t>
      </w:r>
    </w:p>
    <w:p w14:paraId="20CB9E7C" w14:textId="77777777" w:rsidR="00014D99" w:rsidRDefault="00014D99" w:rsidP="000F194A">
      <w:pPr>
        <w:pStyle w:val="base-text-paragraph"/>
      </w:pPr>
      <w:r>
        <w:t>APRA may give a written notice requiring a private health insurer or an officer of the insurer</w:t>
      </w:r>
      <w:r w:rsidR="000F67D9">
        <w:t xml:space="preserve"> to</w:t>
      </w:r>
      <w:r>
        <w:t xml:space="preserve"> produce to APRA any documents relating to the insurer</w:t>
      </w:r>
      <w:r w:rsidR="000F67D9">
        <w:t>’</w:t>
      </w:r>
      <w:r>
        <w:t xml:space="preserve">s affairs at a reasonable time and place. </w:t>
      </w:r>
      <w:r w:rsidR="002F5AFA">
        <w:t xml:space="preserve">APRA, or an APRA staff member, may inspect, take extracts or make copies of such a document. </w:t>
      </w:r>
      <w:r>
        <w:t xml:space="preserve"> </w:t>
      </w:r>
      <w:r w:rsidR="006D317E">
        <w:t xml:space="preserve">The time specified in the notice must be reasonable, and must be at least </w:t>
      </w:r>
      <w:r w:rsidR="00B80AAB">
        <w:t>seven</w:t>
      </w:r>
      <w:r w:rsidR="006D317E">
        <w:t xml:space="preserve"> days after the day</w:t>
      </w:r>
      <w:r w:rsidR="00134057">
        <w:t xml:space="preserve"> on which the notice is given. </w:t>
      </w:r>
      <w:r w:rsidR="006D317E">
        <w:t>The place specified in the notice must also be reasonable.</w:t>
      </w:r>
      <w:r w:rsidR="002F5AFA">
        <w:t xml:space="preserve"> </w:t>
      </w:r>
      <w:r>
        <w:t xml:space="preserve"> </w:t>
      </w:r>
      <w:r w:rsidRPr="001D1D78">
        <w:rPr>
          <w:rStyle w:val="Referencingstyle"/>
        </w:rPr>
        <w:t>[Part 6, Division 2, s</w:t>
      </w:r>
      <w:r>
        <w:rPr>
          <w:rStyle w:val="Referencingstyle"/>
        </w:rPr>
        <w:t>ub</w:t>
      </w:r>
      <w:r w:rsidRPr="001D1D78">
        <w:rPr>
          <w:rStyle w:val="Referencingstyle"/>
        </w:rPr>
        <w:t>section</w:t>
      </w:r>
      <w:r w:rsidR="002F5AFA">
        <w:rPr>
          <w:rStyle w:val="Referencingstyle"/>
        </w:rPr>
        <w:t>s</w:t>
      </w:r>
      <w:r w:rsidRPr="001D1D78">
        <w:rPr>
          <w:rStyle w:val="Referencingstyle"/>
        </w:rPr>
        <w:t xml:space="preserve"> 12</w:t>
      </w:r>
      <w:r w:rsidR="00B80AAB">
        <w:rPr>
          <w:rStyle w:val="Referencingstyle"/>
        </w:rPr>
        <w:t>9</w:t>
      </w:r>
      <w:r>
        <w:rPr>
          <w:rStyle w:val="Referencingstyle"/>
        </w:rPr>
        <w:t>(1</w:t>
      </w:r>
      <w:r w:rsidR="00580880">
        <w:rPr>
          <w:rStyle w:val="Referencingstyle"/>
        </w:rPr>
        <w:t>)</w:t>
      </w:r>
      <w:r w:rsidR="00B80AAB">
        <w:rPr>
          <w:rStyle w:val="Referencingstyle"/>
        </w:rPr>
        <w:t>, (2</w:t>
      </w:r>
      <w:r w:rsidR="00580880">
        <w:rPr>
          <w:rStyle w:val="Referencingstyle"/>
        </w:rPr>
        <w:t>)</w:t>
      </w:r>
      <w:r w:rsidR="002F5AFA">
        <w:rPr>
          <w:rStyle w:val="Referencingstyle"/>
        </w:rPr>
        <w:t xml:space="preserve"> and (</w:t>
      </w:r>
      <w:r w:rsidR="00B80AAB">
        <w:rPr>
          <w:rStyle w:val="Referencingstyle"/>
        </w:rPr>
        <w:t>4</w:t>
      </w:r>
      <w:r>
        <w:rPr>
          <w:rStyle w:val="Referencingstyle"/>
        </w:rPr>
        <w:t>)</w:t>
      </w:r>
      <w:r w:rsidRPr="001D1D78">
        <w:rPr>
          <w:rStyle w:val="Referencingstyle"/>
        </w:rPr>
        <w:t>]</w:t>
      </w:r>
    </w:p>
    <w:p w14:paraId="3E8BBFD5" w14:textId="77777777" w:rsidR="00014D99" w:rsidRDefault="00014D99" w:rsidP="000F194A">
      <w:pPr>
        <w:pStyle w:val="base-text-paragraph"/>
      </w:pPr>
      <w:r>
        <w:t>APRA may require any such produced document which is not in English to be produced</w:t>
      </w:r>
      <w:r w:rsidR="000F67D9">
        <w:t xml:space="preserve"> in</w:t>
      </w:r>
      <w:r>
        <w:t xml:space="preserve"> written English.  </w:t>
      </w:r>
      <w:r w:rsidRPr="001D1D78">
        <w:rPr>
          <w:rStyle w:val="Referencingstyle"/>
        </w:rPr>
        <w:t>[Part 6, Division 2, s</w:t>
      </w:r>
      <w:r>
        <w:rPr>
          <w:rStyle w:val="Referencingstyle"/>
        </w:rPr>
        <w:t>ub</w:t>
      </w:r>
      <w:r w:rsidRPr="001D1D78">
        <w:rPr>
          <w:rStyle w:val="Referencingstyle"/>
        </w:rPr>
        <w:t>section</w:t>
      </w:r>
      <w:r w:rsidR="000F67D9">
        <w:rPr>
          <w:rStyle w:val="Referencingstyle"/>
        </w:rPr>
        <w:t> </w:t>
      </w:r>
      <w:r w:rsidRPr="001D1D78">
        <w:rPr>
          <w:rStyle w:val="Referencingstyle"/>
        </w:rPr>
        <w:t>12</w:t>
      </w:r>
      <w:r w:rsidR="00B80AAB">
        <w:rPr>
          <w:rStyle w:val="Referencingstyle"/>
        </w:rPr>
        <w:t>9</w:t>
      </w:r>
      <w:r>
        <w:rPr>
          <w:rStyle w:val="Referencingstyle"/>
        </w:rPr>
        <w:t>(</w:t>
      </w:r>
      <w:r w:rsidR="00B80AAB">
        <w:rPr>
          <w:rStyle w:val="Referencingstyle"/>
        </w:rPr>
        <w:t>3</w:t>
      </w:r>
      <w:r>
        <w:rPr>
          <w:rStyle w:val="Referencingstyle"/>
        </w:rPr>
        <w:t>)</w:t>
      </w:r>
      <w:r w:rsidRPr="001D1D78">
        <w:rPr>
          <w:rStyle w:val="Referencingstyle"/>
        </w:rPr>
        <w:t>]</w:t>
      </w:r>
    </w:p>
    <w:p w14:paraId="124B1E7B" w14:textId="77777777" w:rsidR="00014D99" w:rsidRDefault="00014D99" w:rsidP="000F194A">
      <w:pPr>
        <w:pStyle w:val="base-text-paragraph"/>
      </w:pPr>
      <w:r>
        <w:t xml:space="preserve"> Refusal or failure to comply with this requirement is an offence</w:t>
      </w:r>
      <w:r w:rsidR="006D317E">
        <w:t xml:space="preserve"> under section 14</w:t>
      </w:r>
      <w:r w:rsidR="00B80AAB">
        <w:t>8</w:t>
      </w:r>
      <w:r w:rsidR="006D317E">
        <w:t xml:space="preserve"> of the </w:t>
      </w:r>
      <w:r w:rsidR="00134057" w:rsidRPr="00134057">
        <w:t xml:space="preserve">Prudential Supervision </w:t>
      </w:r>
      <w:r w:rsidR="006D317E" w:rsidDel="00134057">
        <w:t>Bill</w:t>
      </w:r>
      <w:r w:rsidR="006D317E">
        <w:t xml:space="preserve"> with a maximum penalty of 30 penalty units for an individual</w:t>
      </w:r>
      <w:r>
        <w:t>.</w:t>
      </w:r>
    </w:p>
    <w:p w14:paraId="66DD0ED3" w14:textId="77777777" w:rsidR="00014D99" w:rsidRDefault="00014D99" w:rsidP="00014D99">
      <w:pPr>
        <w:pStyle w:val="Heading3"/>
      </w:pPr>
      <w:r>
        <w:t>Division 3 – Investigation</w:t>
      </w:r>
    </w:p>
    <w:p w14:paraId="498EB30E" w14:textId="77777777" w:rsidR="00014D99" w:rsidRDefault="00014D99" w:rsidP="00014D99">
      <w:pPr>
        <w:pStyle w:val="Heading4"/>
      </w:pPr>
      <w:r>
        <w:t>Investigation of private health insurers by inspectors</w:t>
      </w:r>
    </w:p>
    <w:p w14:paraId="02780A57" w14:textId="77777777" w:rsidR="00014D99" w:rsidRDefault="00014D99" w:rsidP="000F194A">
      <w:pPr>
        <w:pStyle w:val="base-text-paragraph"/>
      </w:pPr>
      <w:r>
        <w:t>APRA may in writing appoint an APRA staff member to be an inspector to investigate the affairs of a private health insurer if APRA has reason to suspect:</w:t>
      </w:r>
    </w:p>
    <w:p w14:paraId="52314E72" w14:textId="77777777" w:rsidR="00014D99" w:rsidRDefault="00014D99" w:rsidP="00014D99">
      <w:pPr>
        <w:pStyle w:val="dotpoint"/>
      </w:pPr>
      <w:r>
        <w:t>that the affairs of the insurer are not, or are about to not</w:t>
      </w:r>
      <w:r w:rsidR="00580880">
        <w:t xml:space="preserve"> be</w:t>
      </w:r>
      <w:r>
        <w:t>, carried on</w:t>
      </w:r>
      <w:r w:rsidRPr="003857B5">
        <w:t xml:space="preserve"> </w:t>
      </w:r>
      <w:r>
        <w:t>in the interests of the policy holders of a health benefits fund of the insurer</w:t>
      </w:r>
      <w:r w:rsidR="006D317E">
        <w:t xml:space="preserve"> (this reflects paragraph</w:t>
      </w:r>
      <w:r w:rsidR="000F67D9">
        <w:t> </w:t>
      </w:r>
      <w:r w:rsidR="006D317E">
        <w:t>214</w:t>
      </w:r>
      <w:r w:rsidR="00B80AAB">
        <w:noBreakHyphen/>
      </w:r>
      <w:r w:rsidR="006D317E">
        <w:t>1(1)(a) of the PHI Act)</w:t>
      </w:r>
      <w:r>
        <w:t>; or</w:t>
      </w:r>
    </w:p>
    <w:p w14:paraId="489B5703" w14:textId="77777777" w:rsidR="00014D99" w:rsidRDefault="00014D99" w:rsidP="00014D99">
      <w:pPr>
        <w:pStyle w:val="dotpoint"/>
      </w:pPr>
      <w:r>
        <w:t>a contravention of an enforceable obligation</w:t>
      </w:r>
      <w:r w:rsidR="006D317E">
        <w:t xml:space="preserve"> (this reflects section 194-1</w:t>
      </w:r>
      <w:r w:rsidR="00B80AAB">
        <w:t>(</w:t>
      </w:r>
      <w:r w:rsidR="006D317E">
        <w:t>2) of the PHI Act</w:t>
      </w:r>
      <w:r>
        <w:t xml:space="preserve">.  </w:t>
      </w:r>
      <w:r w:rsidRPr="004973FE">
        <w:rPr>
          <w:rStyle w:val="Referencingstyle"/>
        </w:rPr>
        <w:t>[Part 6, Division</w:t>
      </w:r>
      <w:r w:rsidR="00265292">
        <w:rPr>
          <w:rStyle w:val="Referencingstyle"/>
        </w:rPr>
        <w:t> </w:t>
      </w:r>
      <w:r w:rsidRPr="004973FE">
        <w:rPr>
          <w:rStyle w:val="Referencingstyle"/>
        </w:rPr>
        <w:t>3, subsection</w:t>
      </w:r>
      <w:r w:rsidR="000F67D9">
        <w:rPr>
          <w:rStyle w:val="Referencingstyle"/>
        </w:rPr>
        <w:t> </w:t>
      </w:r>
      <w:r w:rsidR="00E00CD7">
        <w:rPr>
          <w:rStyle w:val="Referencingstyle"/>
        </w:rPr>
        <w:t>1</w:t>
      </w:r>
      <w:r w:rsidR="00B80AAB">
        <w:rPr>
          <w:rStyle w:val="Referencingstyle"/>
        </w:rPr>
        <w:t>30</w:t>
      </w:r>
      <w:r w:rsidR="00580880">
        <w:rPr>
          <w:rStyle w:val="Referencingstyle"/>
        </w:rPr>
        <w:t>(1)</w:t>
      </w:r>
      <w:r w:rsidRPr="004973FE">
        <w:rPr>
          <w:rStyle w:val="Referencingstyle"/>
        </w:rPr>
        <w:t>]</w:t>
      </w:r>
    </w:p>
    <w:p w14:paraId="0A65F8A4" w14:textId="77777777" w:rsidR="004E3E41" w:rsidRPr="004E3E41" w:rsidRDefault="004E3E41" w:rsidP="004E3E41">
      <w:pPr>
        <w:pStyle w:val="base-text-paragraph"/>
        <w:tabs>
          <w:tab w:val="clear" w:pos="1985"/>
          <w:tab w:val="num" w:pos="1986"/>
        </w:tabs>
      </w:pPr>
      <w:r w:rsidRPr="004E3E41">
        <w:t>The first test (affairs of the insurer not being carried on in interests of policy holders of a health benefits fund) is intended to focus on concerns of a g</w:t>
      </w:r>
      <w:r>
        <w:t>eneral or prudential nature, for example</w:t>
      </w:r>
      <w:r w:rsidRPr="004E3E41">
        <w:t xml:space="preserve"> a concern about the ability of the insurer to meet its obligations to policy holders.  </w:t>
      </w:r>
    </w:p>
    <w:p w14:paraId="05006A4C" w14:textId="77777777" w:rsidR="00014D99" w:rsidRDefault="006D317E" w:rsidP="000F194A">
      <w:pPr>
        <w:pStyle w:val="base-text-paragraph"/>
      </w:pPr>
      <w:r>
        <w:t>APRA must not appoint an APRA staff member to be an inspect</w:t>
      </w:r>
      <w:r w:rsidR="00B80AAB">
        <w:t>or</w:t>
      </w:r>
      <w:r>
        <w:t xml:space="preserve"> unless APRA is satisfied that the staff member has suitable qualifications and experience to exercise properly the powers of an inspector.  </w:t>
      </w:r>
      <w:r w:rsidR="00014D99">
        <w:t>The inspector</w:t>
      </w:r>
      <w:r>
        <w:t>’</w:t>
      </w:r>
      <w:r w:rsidR="00014D99">
        <w:t>s instrument of appointment must specify:</w:t>
      </w:r>
    </w:p>
    <w:p w14:paraId="7BFA9A5B" w14:textId="77777777" w:rsidR="00014D99" w:rsidRDefault="00014D99" w:rsidP="00014D99">
      <w:pPr>
        <w:pStyle w:val="dotpoint"/>
      </w:pPr>
      <w:r>
        <w:t>what APRA suspects and why</w:t>
      </w:r>
      <w:r w:rsidR="00265292">
        <w:t>;</w:t>
      </w:r>
      <w:r>
        <w:t xml:space="preserve"> and</w:t>
      </w:r>
    </w:p>
    <w:p w14:paraId="58009077" w14:textId="77777777" w:rsidR="00580880" w:rsidRPr="00B80AAB" w:rsidRDefault="00014D99" w:rsidP="006C3D7A">
      <w:pPr>
        <w:pStyle w:val="dotpoint"/>
        <w:rPr>
          <w:rStyle w:val="Referencingstyle"/>
          <w:sz w:val="22"/>
        </w:rPr>
      </w:pPr>
      <w:r>
        <w:t xml:space="preserve">the matters the investigation will relate to.  </w:t>
      </w:r>
      <w:r w:rsidRPr="004973FE">
        <w:rPr>
          <w:rStyle w:val="Referencingstyle"/>
        </w:rPr>
        <w:t xml:space="preserve">[Part 6, Division 3, subsection </w:t>
      </w:r>
      <w:r w:rsidR="00B80AAB">
        <w:rPr>
          <w:rStyle w:val="Referencingstyle"/>
        </w:rPr>
        <w:t>130</w:t>
      </w:r>
      <w:r w:rsidRPr="004973FE">
        <w:rPr>
          <w:rStyle w:val="Referencingstyle"/>
        </w:rPr>
        <w:t>(2)</w:t>
      </w:r>
      <w:r w:rsidR="006D317E">
        <w:rPr>
          <w:rStyle w:val="Referencingstyle"/>
        </w:rPr>
        <w:t xml:space="preserve"> and (3</w:t>
      </w:r>
      <w:r w:rsidRPr="004973FE">
        <w:rPr>
          <w:rStyle w:val="Referencingstyle"/>
        </w:rPr>
        <w:t>)]</w:t>
      </w:r>
    </w:p>
    <w:p w14:paraId="28B3055D" w14:textId="77777777" w:rsidR="00B80AAB" w:rsidRPr="006C3D7A" w:rsidRDefault="006C166B" w:rsidP="000F194A">
      <w:pPr>
        <w:pStyle w:val="base-text-paragraph"/>
      </w:pPr>
      <w:r>
        <w:t xml:space="preserve">APRA may, in writing, at any time terminate an investigation; or terminate the appointment of a person as an inspector; or appoint another APRA staff member to be an inspector for the purposes of an investigation. </w:t>
      </w:r>
      <w:r w:rsidRPr="004973FE">
        <w:rPr>
          <w:rStyle w:val="Referencingstyle"/>
        </w:rPr>
        <w:t>[Part 6, Division</w:t>
      </w:r>
      <w:r>
        <w:rPr>
          <w:rStyle w:val="Referencingstyle"/>
        </w:rPr>
        <w:t> </w:t>
      </w:r>
      <w:r w:rsidRPr="004973FE">
        <w:rPr>
          <w:rStyle w:val="Referencingstyle"/>
        </w:rPr>
        <w:t xml:space="preserve">3, subsection </w:t>
      </w:r>
      <w:r>
        <w:rPr>
          <w:rStyle w:val="Referencingstyle"/>
        </w:rPr>
        <w:t>130(4)</w:t>
      </w:r>
      <w:r w:rsidRPr="004973FE">
        <w:rPr>
          <w:rStyle w:val="Referencingstyle"/>
        </w:rPr>
        <w:t>]</w:t>
      </w:r>
    </w:p>
    <w:p w14:paraId="76E19C58" w14:textId="77777777" w:rsidR="00580880" w:rsidRDefault="00580880" w:rsidP="00580880">
      <w:pPr>
        <w:pStyle w:val="Heading5"/>
      </w:pPr>
      <w:r>
        <w:t>Identity cards for inspectors</w:t>
      </w:r>
    </w:p>
    <w:p w14:paraId="4837DAD2" w14:textId="77777777" w:rsidR="00014D99" w:rsidRPr="0010401F" w:rsidRDefault="00014D99" w:rsidP="000F194A">
      <w:pPr>
        <w:pStyle w:val="base-text-paragraph"/>
        <w:rPr>
          <w:rStyle w:val="Referencingstyle"/>
          <w:sz w:val="22"/>
        </w:rPr>
      </w:pPr>
      <w:r>
        <w:t xml:space="preserve">APRA must issue an identity card to each inspector.  The card must be in the form prescribed under APRA rules and contain a recent photograph </w:t>
      </w:r>
      <w:r w:rsidRPr="004973FE">
        <w:rPr>
          <w:rStyle w:val="Referencingstyle"/>
        </w:rPr>
        <w:t>[Part 6, Division 3, subsection</w:t>
      </w:r>
      <w:r w:rsidR="000F67D9">
        <w:rPr>
          <w:rStyle w:val="Referencingstyle"/>
        </w:rPr>
        <w:t>s</w:t>
      </w:r>
      <w:r w:rsidRPr="004973FE">
        <w:rPr>
          <w:rStyle w:val="Referencingstyle"/>
        </w:rPr>
        <w:t xml:space="preserve"> </w:t>
      </w:r>
      <w:r w:rsidR="00E00CD7">
        <w:rPr>
          <w:rStyle w:val="Referencingstyle"/>
        </w:rPr>
        <w:t>13</w:t>
      </w:r>
      <w:r w:rsidR="006C166B">
        <w:rPr>
          <w:rStyle w:val="Referencingstyle"/>
        </w:rPr>
        <w:t>1</w:t>
      </w:r>
      <w:r w:rsidRPr="004973FE">
        <w:rPr>
          <w:rStyle w:val="Referencingstyle"/>
        </w:rPr>
        <w:t>(</w:t>
      </w:r>
      <w:r w:rsidR="006C166B">
        <w:rPr>
          <w:rStyle w:val="Referencingstyle"/>
        </w:rPr>
        <w:t>1</w:t>
      </w:r>
      <w:r w:rsidRPr="004973FE">
        <w:rPr>
          <w:rStyle w:val="Referencingstyle"/>
        </w:rPr>
        <w:t>)</w:t>
      </w:r>
      <w:r w:rsidR="006C166B">
        <w:rPr>
          <w:rStyle w:val="Referencingstyle"/>
        </w:rPr>
        <w:t xml:space="preserve"> and (2)</w:t>
      </w:r>
      <w:r w:rsidRPr="004973FE">
        <w:rPr>
          <w:rStyle w:val="Referencingstyle"/>
        </w:rPr>
        <w:t>]</w:t>
      </w:r>
      <w:r w:rsidRPr="001E4138">
        <w:rPr>
          <w:rStyle w:val="Referencingstyle"/>
          <w:b w:val="0"/>
          <w:i w:val="0"/>
          <w:sz w:val="22"/>
        </w:rPr>
        <w:t>.</w:t>
      </w:r>
      <w:r>
        <w:rPr>
          <w:rStyle w:val="Referencingstyle"/>
        </w:rPr>
        <w:t xml:space="preserve">  </w:t>
      </w:r>
      <w:r w:rsidRPr="001E4138">
        <w:rPr>
          <w:rStyle w:val="Referencingstyle"/>
          <w:b w:val="0"/>
          <w:i w:val="0"/>
          <w:sz w:val="22"/>
        </w:rPr>
        <w:t xml:space="preserve">An inspector must carry the card at all times when exercising their powers under </w:t>
      </w:r>
      <w:r w:rsidR="00134057">
        <w:rPr>
          <w:rStyle w:val="Referencingstyle"/>
          <w:b w:val="0"/>
          <w:i w:val="0"/>
          <w:sz w:val="22"/>
        </w:rPr>
        <w:t xml:space="preserve">the </w:t>
      </w:r>
      <w:r w:rsidR="00134057" w:rsidRPr="00134057">
        <w:t>Prudential Supervision Bill</w:t>
      </w:r>
      <w:r w:rsidR="00134057">
        <w:rPr>
          <w:rStyle w:val="Referencingstyle"/>
          <w:b w:val="0"/>
          <w:i w:val="0"/>
          <w:sz w:val="22"/>
        </w:rPr>
        <w:t>.</w:t>
      </w:r>
      <w:r w:rsidRPr="001E4138">
        <w:rPr>
          <w:rStyle w:val="Referencingstyle"/>
          <w:b w:val="0"/>
          <w:i w:val="0"/>
          <w:sz w:val="22"/>
        </w:rPr>
        <w:t xml:space="preserve"> </w:t>
      </w:r>
      <w:r w:rsidRPr="001E4138">
        <w:rPr>
          <w:rStyle w:val="Referencingstyle"/>
        </w:rPr>
        <w:t xml:space="preserve">[Part 6, Division 3, subsection </w:t>
      </w:r>
      <w:r w:rsidR="00E00CD7">
        <w:rPr>
          <w:rStyle w:val="Referencingstyle"/>
        </w:rPr>
        <w:t>13</w:t>
      </w:r>
      <w:r w:rsidR="006C166B">
        <w:rPr>
          <w:rStyle w:val="Referencingstyle"/>
        </w:rPr>
        <w:t>1</w:t>
      </w:r>
      <w:r w:rsidRPr="001E4138">
        <w:rPr>
          <w:rStyle w:val="Referencingstyle"/>
        </w:rPr>
        <w:t>(</w:t>
      </w:r>
      <w:r w:rsidR="006C166B">
        <w:rPr>
          <w:rStyle w:val="Referencingstyle"/>
        </w:rPr>
        <w:t>5</w:t>
      </w:r>
      <w:r w:rsidR="00E00CD7">
        <w:rPr>
          <w:rStyle w:val="Referencingstyle"/>
        </w:rPr>
        <w:t>)</w:t>
      </w:r>
      <w:r w:rsidRPr="001E4138">
        <w:rPr>
          <w:rStyle w:val="Referencingstyle"/>
        </w:rPr>
        <w:t>]</w:t>
      </w:r>
    </w:p>
    <w:p w14:paraId="21D29810" w14:textId="77777777" w:rsidR="00014D99" w:rsidRDefault="00014D99" w:rsidP="000F194A">
      <w:pPr>
        <w:pStyle w:val="base-text-paragraph"/>
      </w:pPr>
      <w:r>
        <w:t>It is an off</w:t>
      </w:r>
      <w:r w:rsidR="006C166B">
        <w:t>enc</w:t>
      </w:r>
      <w:r>
        <w:t>e if a person who ceased to be an inspector does not return their identity card to APRA within 14 days af</w:t>
      </w:r>
      <w:r w:rsidR="001C1A6F">
        <w:t>ter ceasing to be an inspector.</w:t>
      </w:r>
      <w:r>
        <w:t xml:space="preserve"> This does not apply </w:t>
      </w:r>
      <w:r w:rsidR="000F67D9">
        <w:t xml:space="preserve">if </w:t>
      </w:r>
      <w:r>
        <w:t xml:space="preserve">the card was lost or destroyed.  </w:t>
      </w:r>
      <w:r w:rsidRPr="001E4138">
        <w:rPr>
          <w:rStyle w:val="Referencingstyle"/>
        </w:rPr>
        <w:t xml:space="preserve">[Part 6, Division 3, subsection </w:t>
      </w:r>
      <w:r w:rsidR="00E00CD7">
        <w:rPr>
          <w:rStyle w:val="Referencingstyle"/>
        </w:rPr>
        <w:t>13</w:t>
      </w:r>
      <w:r w:rsidR="006C166B">
        <w:rPr>
          <w:rStyle w:val="Referencingstyle"/>
        </w:rPr>
        <w:t>1</w:t>
      </w:r>
      <w:r w:rsidRPr="001E4138">
        <w:rPr>
          <w:rStyle w:val="Referencingstyle"/>
        </w:rPr>
        <w:t>(</w:t>
      </w:r>
      <w:r w:rsidR="00001B9D">
        <w:rPr>
          <w:rStyle w:val="Referencingstyle"/>
        </w:rPr>
        <w:t>3) and (</w:t>
      </w:r>
      <w:r w:rsidR="006C166B">
        <w:rPr>
          <w:rStyle w:val="Referencingstyle"/>
        </w:rPr>
        <w:t>4</w:t>
      </w:r>
      <w:r w:rsidRPr="001E4138">
        <w:rPr>
          <w:rStyle w:val="Referencingstyle"/>
        </w:rPr>
        <w:t>)]</w:t>
      </w:r>
    </w:p>
    <w:p w14:paraId="27205543" w14:textId="77777777" w:rsidR="00014D99" w:rsidRDefault="00014D99" w:rsidP="00014D99">
      <w:pPr>
        <w:pStyle w:val="Heading4"/>
      </w:pPr>
      <w:r>
        <w:t>Power of inspectors</w:t>
      </w:r>
    </w:p>
    <w:p w14:paraId="1E73AEB4" w14:textId="77777777" w:rsidR="00014D99" w:rsidRDefault="00014D99" w:rsidP="000F194A">
      <w:pPr>
        <w:pStyle w:val="base-text-paragraph"/>
      </w:pPr>
      <w:r>
        <w:t>An inspector may</w:t>
      </w:r>
      <w:r w:rsidR="00261F86">
        <w:t>,</w:t>
      </w:r>
      <w:r>
        <w:t xml:space="preserve"> by written notice</w:t>
      </w:r>
      <w:r w:rsidR="00261F86">
        <w:t>,</w:t>
      </w:r>
      <w:r>
        <w:t xml:space="preserve"> require a person who the inspector believes to have some knowledge of the affairs of the private health insurer under investigation:</w:t>
      </w:r>
    </w:p>
    <w:p w14:paraId="5701EE2E" w14:textId="77777777" w:rsidR="00014D99" w:rsidRDefault="00014D99" w:rsidP="00014D99">
      <w:pPr>
        <w:pStyle w:val="dotpoint"/>
      </w:pPr>
      <w:r>
        <w:t>to produce to the inspector any or all of the records under the person’s custody or control that relate to the insurer; or</w:t>
      </w:r>
    </w:p>
    <w:p w14:paraId="001B3CCC" w14:textId="77777777" w:rsidR="00014D99" w:rsidRDefault="00014D99" w:rsidP="00014D99">
      <w:pPr>
        <w:pStyle w:val="dotpoint"/>
      </w:pPr>
      <w:r>
        <w:t>to give the inspector all reasonable assistance in the person’s power in connection with the investigation; or</w:t>
      </w:r>
    </w:p>
    <w:p w14:paraId="2FF808AC" w14:textId="77777777" w:rsidR="00014D99" w:rsidRDefault="00261F86" w:rsidP="00014D99">
      <w:pPr>
        <w:pStyle w:val="dotpoint"/>
      </w:pPr>
      <w:r>
        <w:t xml:space="preserve">to </w:t>
      </w:r>
      <w:r w:rsidR="00014D99">
        <w:t>appear before the inspector for examination concerning relevant matters within the knowledge of the person</w:t>
      </w:r>
      <w:r w:rsidR="00265292">
        <w:t>.</w:t>
      </w:r>
      <w:r w:rsidR="00265292" w:rsidRPr="00265292">
        <w:rPr>
          <w:rStyle w:val="Referencingstyle"/>
        </w:rPr>
        <w:t xml:space="preserve"> </w:t>
      </w:r>
      <w:r w:rsidR="00265292" w:rsidRPr="001E4138">
        <w:rPr>
          <w:rStyle w:val="Referencingstyle"/>
        </w:rPr>
        <w:t>[Part 6, Division 3, subsection</w:t>
      </w:r>
      <w:r w:rsidR="00265292">
        <w:rPr>
          <w:rStyle w:val="Referencingstyle"/>
        </w:rPr>
        <w:t xml:space="preserve"> 13</w:t>
      </w:r>
      <w:r w:rsidR="00120DF5">
        <w:rPr>
          <w:rStyle w:val="Referencingstyle"/>
        </w:rPr>
        <w:t>2</w:t>
      </w:r>
      <w:r w:rsidR="00265292" w:rsidRPr="001E4138">
        <w:rPr>
          <w:rStyle w:val="Referencingstyle"/>
        </w:rPr>
        <w:t>(</w:t>
      </w:r>
      <w:r w:rsidR="00265292">
        <w:rPr>
          <w:rStyle w:val="Referencingstyle"/>
        </w:rPr>
        <w:t>1</w:t>
      </w:r>
      <w:r w:rsidR="00265292" w:rsidRPr="001E4138">
        <w:rPr>
          <w:rStyle w:val="Referencingstyle"/>
        </w:rPr>
        <w:t>)]</w:t>
      </w:r>
    </w:p>
    <w:p w14:paraId="5971688E" w14:textId="77777777" w:rsidR="00014D99" w:rsidRDefault="00014D99" w:rsidP="000F194A">
      <w:pPr>
        <w:pStyle w:val="base-text-paragraph"/>
      </w:pPr>
      <w:r>
        <w:t xml:space="preserve">The period </w:t>
      </w:r>
      <w:r w:rsidR="00120DF5">
        <w:t>specified in the notice must be reasonable, and must end at least seven days after the day on</w:t>
      </w:r>
      <w:r>
        <w:t xml:space="preserve"> which </w:t>
      </w:r>
      <w:r w:rsidR="00120DF5">
        <w:t xml:space="preserve">the </w:t>
      </w:r>
      <w:r>
        <w:t xml:space="preserve">notice </w:t>
      </w:r>
      <w:r w:rsidR="00120DF5">
        <w:t>is given.</w:t>
      </w:r>
      <w:r>
        <w:t xml:space="preserve">  It is an offence to refuse or fail to comply with a notice</w:t>
      </w:r>
      <w:r w:rsidR="00314B4F">
        <w:t xml:space="preserve"> (see section 148)</w:t>
      </w:r>
      <w:r w:rsidR="0053259B">
        <w:t>.</w:t>
      </w:r>
      <w:r>
        <w:t xml:space="preserve"> </w:t>
      </w:r>
      <w:r w:rsidRPr="001E4138">
        <w:rPr>
          <w:rStyle w:val="Referencingstyle"/>
        </w:rPr>
        <w:t>[Part 6, Division 3, subsection</w:t>
      </w:r>
      <w:r w:rsidR="00120DF5">
        <w:rPr>
          <w:rStyle w:val="Referencingstyle"/>
        </w:rPr>
        <w:t>s</w:t>
      </w:r>
      <w:r>
        <w:rPr>
          <w:rStyle w:val="Referencingstyle"/>
        </w:rPr>
        <w:t xml:space="preserve"> </w:t>
      </w:r>
      <w:r w:rsidR="00E00CD7">
        <w:rPr>
          <w:rStyle w:val="Referencingstyle"/>
        </w:rPr>
        <w:t>13</w:t>
      </w:r>
      <w:r w:rsidR="00120DF5">
        <w:rPr>
          <w:rStyle w:val="Referencingstyle"/>
        </w:rPr>
        <w:t>2</w:t>
      </w:r>
      <w:r w:rsidRPr="001E4138">
        <w:rPr>
          <w:rStyle w:val="Referencingstyle"/>
        </w:rPr>
        <w:t>(</w:t>
      </w:r>
      <w:r>
        <w:rPr>
          <w:rStyle w:val="Referencingstyle"/>
        </w:rPr>
        <w:t>1</w:t>
      </w:r>
      <w:r w:rsidRPr="001E4138">
        <w:rPr>
          <w:rStyle w:val="Referencingstyle"/>
        </w:rPr>
        <w:t>)</w:t>
      </w:r>
      <w:r w:rsidR="00120DF5">
        <w:rPr>
          <w:rStyle w:val="Referencingstyle"/>
        </w:rPr>
        <w:t xml:space="preserve"> and (2)</w:t>
      </w:r>
      <w:r w:rsidRPr="001E4138">
        <w:rPr>
          <w:rStyle w:val="Referencingstyle"/>
        </w:rPr>
        <w:t>]</w:t>
      </w:r>
    </w:p>
    <w:p w14:paraId="6EC4EF0B" w14:textId="77777777" w:rsidR="00014D99" w:rsidRDefault="00014D99" w:rsidP="000F194A">
      <w:pPr>
        <w:pStyle w:val="base-text-paragraph"/>
      </w:pPr>
      <w:r>
        <w:t xml:space="preserve">An inspector may take possession of records produced under subsection </w:t>
      </w:r>
      <w:r w:rsidR="00213693">
        <w:t>131</w:t>
      </w:r>
      <w:r>
        <w:t xml:space="preserve">(1) for as long as the inspector thinks necessary, and to take copies or extracts of the records.  </w:t>
      </w:r>
      <w:r w:rsidRPr="001E4138">
        <w:rPr>
          <w:rStyle w:val="Referencingstyle"/>
        </w:rPr>
        <w:t>[Part 6, Division 3, subsection</w:t>
      </w:r>
      <w:r>
        <w:rPr>
          <w:rStyle w:val="Referencingstyle"/>
        </w:rPr>
        <w:t xml:space="preserve"> </w:t>
      </w:r>
      <w:r w:rsidR="00E00CD7">
        <w:rPr>
          <w:rStyle w:val="Referencingstyle"/>
        </w:rPr>
        <w:t>13</w:t>
      </w:r>
      <w:r w:rsidR="00120DF5">
        <w:rPr>
          <w:rStyle w:val="Referencingstyle"/>
        </w:rPr>
        <w:t>2</w:t>
      </w:r>
      <w:r w:rsidRPr="001E4138">
        <w:rPr>
          <w:rStyle w:val="Referencingstyle"/>
        </w:rPr>
        <w:t>(</w:t>
      </w:r>
      <w:r w:rsidR="00120DF5">
        <w:rPr>
          <w:rStyle w:val="Referencingstyle"/>
        </w:rPr>
        <w:t>3</w:t>
      </w:r>
      <w:r w:rsidRPr="001E4138">
        <w:rPr>
          <w:rStyle w:val="Referencingstyle"/>
        </w:rPr>
        <w:t>)]</w:t>
      </w:r>
    </w:p>
    <w:p w14:paraId="14136293" w14:textId="77777777" w:rsidR="00014D99" w:rsidRDefault="00014D99" w:rsidP="000F194A">
      <w:pPr>
        <w:pStyle w:val="base-text-paragraph"/>
      </w:pPr>
      <w:r>
        <w:t>An inspector must allow a person to inspect the records if the person would have been able to inspect them if the</w:t>
      </w:r>
      <w:r w:rsidR="00134057">
        <w:t xml:space="preserve"> insurer was not holding them. </w:t>
      </w:r>
      <w:r w:rsidRPr="001E4138">
        <w:rPr>
          <w:rStyle w:val="Referencingstyle"/>
        </w:rPr>
        <w:t>[Part 6, Division 3, subsection</w:t>
      </w:r>
      <w:r>
        <w:rPr>
          <w:rStyle w:val="Referencingstyle"/>
        </w:rPr>
        <w:t xml:space="preserve"> </w:t>
      </w:r>
      <w:r w:rsidR="00E00CD7">
        <w:rPr>
          <w:rStyle w:val="Referencingstyle"/>
        </w:rPr>
        <w:t>13</w:t>
      </w:r>
      <w:r w:rsidR="00120DF5">
        <w:rPr>
          <w:rStyle w:val="Referencingstyle"/>
        </w:rPr>
        <w:t>2</w:t>
      </w:r>
      <w:r w:rsidRPr="001E4138">
        <w:rPr>
          <w:rStyle w:val="Referencingstyle"/>
        </w:rPr>
        <w:t>(</w:t>
      </w:r>
      <w:r w:rsidR="00120DF5">
        <w:rPr>
          <w:rStyle w:val="Referencingstyle"/>
        </w:rPr>
        <w:t>4</w:t>
      </w:r>
      <w:r w:rsidRPr="001E4138">
        <w:rPr>
          <w:rStyle w:val="Referencingstyle"/>
        </w:rPr>
        <w:t>)]</w:t>
      </w:r>
    </w:p>
    <w:p w14:paraId="46B95255" w14:textId="77777777" w:rsidR="00014D99" w:rsidRDefault="00014D99" w:rsidP="00014D99">
      <w:pPr>
        <w:pStyle w:val="Heading4"/>
      </w:pPr>
      <w:r>
        <w:t>Person may be represented by lawyer when being examined</w:t>
      </w:r>
    </w:p>
    <w:p w14:paraId="4E9851CE" w14:textId="77777777" w:rsidR="00014D99" w:rsidRDefault="00014D99" w:rsidP="000F194A">
      <w:pPr>
        <w:pStyle w:val="base-text-paragraph"/>
      </w:pPr>
      <w:r>
        <w:t xml:space="preserve">A lawyer acting for a person being examined by an inspector may attend the examination and, </w:t>
      </w:r>
      <w:r w:rsidR="00065915">
        <w:t>to the extent that the inspector allows</w:t>
      </w:r>
      <w:r>
        <w:t xml:space="preserve">, address the inspector and examine the person in relation to matters on which the person has been questioned.  </w:t>
      </w:r>
      <w:r w:rsidRPr="00467E23">
        <w:rPr>
          <w:rStyle w:val="Referencingstyle"/>
        </w:rPr>
        <w:t xml:space="preserve">[Part 6, Division 3, section </w:t>
      </w:r>
      <w:r w:rsidR="005A1243">
        <w:rPr>
          <w:rStyle w:val="Referencingstyle"/>
        </w:rPr>
        <w:t>13</w:t>
      </w:r>
      <w:r w:rsidR="00120DF5">
        <w:rPr>
          <w:rStyle w:val="Referencingstyle"/>
        </w:rPr>
        <w:t>3</w:t>
      </w:r>
      <w:r w:rsidRPr="00467E23">
        <w:rPr>
          <w:rStyle w:val="Referencingstyle"/>
        </w:rPr>
        <w:t>]</w:t>
      </w:r>
    </w:p>
    <w:p w14:paraId="44873E40" w14:textId="77777777" w:rsidR="00014D99" w:rsidRDefault="00014D99" w:rsidP="00014D99">
      <w:pPr>
        <w:pStyle w:val="Heading4"/>
      </w:pPr>
      <w:r>
        <w:t>Access to premises</w:t>
      </w:r>
    </w:p>
    <w:p w14:paraId="136C051B" w14:textId="77777777" w:rsidR="00014D99" w:rsidRDefault="00014D99" w:rsidP="00014D99">
      <w:pPr>
        <w:pStyle w:val="Heading5"/>
      </w:pPr>
      <w:r>
        <w:t>The functions of an inspector under this section</w:t>
      </w:r>
    </w:p>
    <w:p w14:paraId="320C86D8" w14:textId="77777777" w:rsidR="00014D99" w:rsidRPr="001662CA" w:rsidRDefault="00014D99" w:rsidP="000F194A">
      <w:pPr>
        <w:pStyle w:val="base-text-paragraph"/>
        <w:rPr>
          <w:rStyle w:val="Referencingstyle"/>
          <w:b w:val="0"/>
          <w:i w:val="0"/>
          <w:sz w:val="22"/>
        </w:rPr>
      </w:pPr>
      <w:r>
        <w:t>An inspector who is empowered to investigate all or part of the affairs of a private health insurer and enters premises under subsection</w:t>
      </w:r>
      <w:r w:rsidR="00265292">
        <w:t>s </w:t>
      </w:r>
      <w:r w:rsidR="00F17867">
        <w:t>13</w:t>
      </w:r>
      <w:r w:rsidR="00120DF5">
        <w:t>4</w:t>
      </w:r>
      <w:r>
        <w:t>(3)</w:t>
      </w:r>
      <w:r w:rsidR="00265292">
        <w:t xml:space="preserve"> or (4</w:t>
      </w:r>
      <w:r>
        <w:t xml:space="preserve">) may exercise search powers in relation to records that the inspector reasonably believes to relate to the affairs of the insurer.  </w:t>
      </w:r>
      <w:r w:rsidRPr="00467E23">
        <w:rPr>
          <w:rStyle w:val="Referencingstyle"/>
        </w:rPr>
        <w:t>[Part 6, Division 3, s</w:t>
      </w:r>
      <w:r>
        <w:rPr>
          <w:rStyle w:val="Referencingstyle"/>
        </w:rPr>
        <w:t>ub</w:t>
      </w:r>
      <w:r w:rsidR="00580880">
        <w:rPr>
          <w:rStyle w:val="Referencingstyle"/>
        </w:rPr>
        <w:t>s</w:t>
      </w:r>
      <w:r w:rsidRPr="00467E23">
        <w:rPr>
          <w:rStyle w:val="Referencingstyle"/>
        </w:rPr>
        <w:t xml:space="preserve">ections </w:t>
      </w:r>
      <w:r w:rsidR="005A1243">
        <w:rPr>
          <w:rStyle w:val="Referencingstyle"/>
        </w:rPr>
        <w:t>13</w:t>
      </w:r>
      <w:r w:rsidR="00120DF5">
        <w:rPr>
          <w:rStyle w:val="Referencingstyle"/>
        </w:rPr>
        <w:t>4</w:t>
      </w:r>
      <w:r w:rsidRPr="00467E23">
        <w:rPr>
          <w:rStyle w:val="Referencingstyle"/>
        </w:rPr>
        <w:t>(1</w:t>
      </w:r>
      <w:r>
        <w:rPr>
          <w:rStyle w:val="Referencingstyle"/>
        </w:rPr>
        <w:t>)</w:t>
      </w:r>
      <w:r w:rsidRPr="00467E23">
        <w:rPr>
          <w:rStyle w:val="Referencingstyle"/>
        </w:rPr>
        <w:t xml:space="preserve"> and (2)]</w:t>
      </w:r>
    </w:p>
    <w:p w14:paraId="259DE27D" w14:textId="77777777" w:rsidR="00014D99" w:rsidRDefault="00014D99" w:rsidP="00014D99">
      <w:pPr>
        <w:pStyle w:val="Heading5"/>
      </w:pPr>
      <w:r>
        <w:t>Entry with consent</w:t>
      </w:r>
    </w:p>
    <w:p w14:paraId="35069CF8" w14:textId="77777777" w:rsidR="00014D99" w:rsidRPr="002C7915" w:rsidRDefault="00014D99" w:rsidP="000F194A">
      <w:pPr>
        <w:pStyle w:val="base-text-paragraph"/>
      </w:pPr>
      <w:r>
        <w:t xml:space="preserve">An inspector may enter any premises with the consent of the occupier to carry out their functions. </w:t>
      </w:r>
      <w:r>
        <w:rPr>
          <w:rStyle w:val="Referencingstyle"/>
        </w:rPr>
        <w:t xml:space="preserve">[Part 6, Division 3, subsection </w:t>
      </w:r>
      <w:r w:rsidR="005A1243">
        <w:rPr>
          <w:rStyle w:val="Referencingstyle"/>
        </w:rPr>
        <w:t>13</w:t>
      </w:r>
      <w:r w:rsidR="00120DF5">
        <w:rPr>
          <w:rStyle w:val="Referencingstyle"/>
        </w:rPr>
        <w:t>4</w:t>
      </w:r>
      <w:r>
        <w:rPr>
          <w:rStyle w:val="Referencingstyle"/>
        </w:rPr>
        <w:t>(3</w:t>
      </w:r>
      <w:r w:rsidRPr="002C7915">
        <w:rPr>
          <w:rStyle w:val="Referencingstyle"/>
        </w:rPr>
        <w:t>)]</w:t>
      </w:r>
    </w:p>
    <w:p w14:paraId="59C09B7A" w14:textId="77777777" w:rsidR="00014D99" w:rsidRDefault="00014D99" w:rsidP="00014D99">
      <w:pPr>
        <w:pStyle w:val="Heading5"/>
      </w:pPr>
      <w:r>
        <w:t>Entry under warrant</w:t>
      </w:r>
    </w:p>
    <w:p w14:paraId="4D1978CD" w14:textId="77777777" w:rsidR="00014D99" w:rsidRPr="001A57F7" w:rsidRDefault="00014D99" w:rsidP="000F194A">
      <w:pPr>
        <w:pStyle w:val="base-text-paragraph"/>
        <w:rPr>
          <w:rStyle w:val="Referencingstyle"/>
          <w:b w:val="0"/>
          <w:i w:val="0"/>
          <w:sz w:val="22"/>
        </w:rPr>
      </w:pPr>
      <w:r>
        <w:t xml:space="preserve">An inspector may apply for a warrant to enter premises </w:t>
      </w:r>
      <w:r w:rsidR="00065915">
        <w:t xml:space="preserve">(see section 135) </w:t>
      </w:r>
      <w:r>
        <w:t>if the inspector believes</w:t>
      </w:r>
      <w:r w:rsidR="00261F86">
        <w:t>,</w:t>
      </w:r>
      <w:r>
        <w:t xml:space="preserve"> on reasonable grounds</w:t>
      </w:r>
      <w:r w:rsidR="00261F86">
        <w:t>, that</w:t>
      </w:r>
      <w:r>
        <w:t xml:space="preserve"> records are held there relating to the private health insurer whose affairs the inspector is investigating. </w:t>
      </w:r>
      <w:r w:rsidRPr="002C29CD">
        <w:rPr>
          <w:rStyle w:val="Referencingstyle"/>
        </w:rPr>
        <w:t>[Part</w:t>
      </w:r>
      <w:r w:rsidR="00265292">
        <w:rPr>
          <w:rStyle w:val="Referencingstyle"/>
        </w:rPr>
        <w:t> </w:t>
      </w:r>
      <w:r w:rsidRPr="002C29CD">
        <w:rPr>
          <w:rStyle w:val="Referencingstyle"/>
        </w:rPr>
        <w:t>6, Division 3, s</w:t>
      </w:r>
      <w:r>
        <w:rPr>
          <w:rStyle w:val="Referencingstyle"/>
        </w:rPr>
        <w:t>ubs</w:t>
      </w:r>
      <w:r w:rsidRPr="002C29CD">
        <w:rPr>
          <w:rStyle w:val="Referencingstyle"/>
        </w:rPr>
        <w:t xml:space="preserve">ection </w:t>
      </w:r>
      <w:r w:rsidR="005A1243">
        <w:rPr>
          <w:rStyle w:val="Referencingstyle"/>
        </w:rPr>
        <w:t>13</w:t>
      </w:r>
      <w:r w:rsidR="00120DF5">
        <w:rPr>
          <w:rStyle w:val="Referencingstyle"/>
        </w:rPr>
        <w:t>4</w:t>
      </w:r>
      <w:r w:rsidRPr="002C29CD">
        <w:rPr>
          <w:rStyle w:val="Referencingstyle"/>
        </w:rPr>
        <w:t>(4)]</w:t>
      </w:r>
    </w:p>
    <w:p w14:paraId="653C3660" w14:textId="77777777" w:rsidR="00580880" w:rsidRDefault="00580880" w:rsidP="001A57F7">
      <w:pPr>
        <w:pStyle w:val="Heading4"/>
      </w:pPr>
      <w:r>
        <w:t>General provisions relating to obtaining consent to enter premises</w:t>
      </w:r>
    </w:p>
    <w:p w14:paraId="51FEDBE9" w14:textId="77777777" w:rsidR="002516BF" w:rsidRPr="001662CA" w:rsidRDefault="002516BF" w:rsidP="000F194A">
      <w:pPr>
        <w:pStyle w:val="base-text-paragraph"/>
        <w:rPr>
          <w:rStyle w:val="Referencingstyle"/>
          <w:b w:val="0"/>
          <w:i w:val="0"/>
          <w:sz w:val="22"/>
        </w:rPr>
      </w:pPr>
      <w:r>
        <w:t>Before obtaining an occupiers’ consent for the purposes of subsection</w:t>
      </w:r>
      <w:r w:rsidR="00DE2C4B">
        <w:t xml:space="preserve"> 13</w:t>
      </w:r>
      <w:r w:rsidR="00120DF5">
        <w:t>4</w:t>
      </w:r>
      <w:r>
        <w:t xml:space="preserve">(3), an inspector must tell the occupier they can refuse consent. </w:t>
      </w:r>
      <w:r w:rsidRPr="00702512">
        <w:rPr>
          <w:rStyle w:val="Referencingstyle"/>
        </w:rPr>
        <w:t>[Part 6, Division 3, subsection</w:t>
      </w:r>
      <w:r>
        <w:rPr>
          <w:rStyle w:val="Referencingstyle"/>
        </w:rPr>
        <w:t xml:space="preserve"> </w:t>
      </w:r>
      <w:r w:rsidR="005A1243">
        <w:rPr>
          <w:rStyle w:val="Referencingstyle"/>
        </w:rPr>
        <w:t>13</w:t>
      </w:r>
      <w:r w:rsidR="00120DF5">
        <w:rPr>
          <w:rStyle w:val="Referencingstyle"/>
        </w:rPr>
        <w:t>5</w:t>
      </w:r>
      <w:r w:rsidRPr="00702512">
        <w:rPr>
          <w:rStyle w:val="Referencingstyle"/>
        </w:rPr>
        <w:t xml:space="preserve">(1)]  </w:t>
      </w:r>
    </w:p>
    <w:p w14:paraId="39476E15" w14:textId="77777777" w:rsidR="002516BF" w:rsidRDefault="00261F86" w:rsidP="000F194A">
      <w:pPr>
        <w:pStyle w:val="base-text-paragraph"/>
      </w:pPr>
      <w:r>
        <w:t xml:space="preserve">An occupier’s </w:t>
      </w:r>
      <w:r w:rsidR="002516BF">
        <w:t>consent is only valid if it is voluntary and the occupier remains free to withdraw consent at any time or to consent to entry only du</w:t>
      </w:r>
      <w:r w:rsidR="0053259B">
        <w:t>ring a certain time period.</w:t>
      </w:r>
      <w:r w:rsidR="002516BF">
        <w:t xml:space="preserve"> </w:t>
      </w:r>
      <w:r w:rsidR="002516BF" w:rsidRPr="00702512">
        <w:rPr>
          <w:rStyle w:val="Referencingstyle"/>
        </w:rPr>
        <w:t>[Part 6, Division 3, subsections</w:t>
      </w:r>
      <w:r w:rsidR="002516BF">
        <w:rPr>
          <w:rStyle w:val="Referencingstyle"/>
        </w:rPr>
        <w:t xml:space="preserve"> </w:t>
      </w:r>
      <w:r w:rsidR="005A1243">
        <w:rPr>
          <w:rStyle w:val="Referencingstyle"/>
        </w:rPr>
        <w:t>13</w:t>
      </w:r>
      <w:r w:rsidR="00120DF5">
        <w:rPr>
          <w:rStyle w:val="Referencingstyle"/>
        </w:rPr>
        <w:t>5</w:t>
      </w:r>
      <w:r w:rsidR="002516BF" w:rsidRPr="00702512">
        <w:rPr>
          <w:rStyle w:val="Referencingstyle"/>
        </w:rPr>
        <w:t>(</w:t>
      </w:r>
      <w:r w:rsidR="002516BF">
        <w:rPr>
          <w:rStyle w:val="Referencingstyle"/>
        </w:rPr>
        <w:t>2</w:t>
      </w:r>
      <w:r w:rsidR="002516BF" w:rsidRPr="00702512">
        <w:rPr>
          <w:rStyle w:val="Referencingstyle"/>
        </w:rPr>
        <w:t>)</w:t>
      </w:r>
      <w:r w:rsidR="002516BF">
        <w:rPr>
          <w:rStyle w:val="Referencingstyle"/>
        </w:rPr>
        <w:t xml:space="preserve">, </w:t>
      </w:r>
      <w:r w:rsidR="002516BF" w:rsidRPr="00702512">
        <w:rPr>
          <w:rStyle w:val="Referencingstyle"/>
        </w:rPr>
        <w:t>(</w:t>
      </w:r>
      <w:r w:rsidR="002516BF">
        <w:rPr>
          <w:rStyle w:val="Referencingstyle"/>
        </w:rPr>
        <w:t>3</w:t>
      </w:r>
      <w:r w:rsidR="002516BF" w:rsidRPr="00702512">
        <w:rPr>
          <w:rStyle w:val="Referencingstyle"/>
        </w:rPr>
        <w:t>)</w:t>
      </w:r>
      <w:r w:rsidR="002516BF">
        <w:rPr>
          <w:rStyle w:val="Referencingstyle"/>
        </w:rPr>
        <w:t xml:space="preserve"> and (4)</w:t>
      </w:r>
      <w:r w:rsidR="002516BF" w:rsidRPr="00702512">
        <w:rPr>
          <w:rStyle w:val="Referencingstyle"/>
        </w:rPr>
        <w:t>]</w:t>
      </w:r>
    </w:p>
    <w:p w14:paraId="0456FFD0" w14:textId="77777777" w:rsidR="00580880" w:rsidRPr="00120DF5" w:rsidRDefault="002516BF" w:rsidP="000F194A">
      <w:pPr>
        <w:pStyle w:val="base-text-paragraph"/>
        <w:rPr>
          <w:rStyle w:val="Referencingstyle"/>
          <w:b w:val="0"/>
          <w:i w:val="0"/>
          <w:sz w:val="22"/>
        </w:rPr>
      </w:pPr>
      <w:r>
        <w:t>An inspector or authorised person must leave the pr</w:t>
      </w:r>
      <w:r w:rsidR="0053259B">
        <w:t>emises if consent is withdrawn.</w:t>
      </w:r>
      <w:r>
        <w:t xml:space="preserve"> </w:t>
      </w:r>
      <w:r w:rsidRPr="00702512">
        <w:rPr>
          <w:rStyle w:val="Referencingstyle"/>
        </w:rPr>
        <w:t xml:space="preserve">[Part 6, Division 3, subsection </w:t>
      </w:r>
      <w:r w:rsidR="005A1243">
        <w:rPr>
          <w:rStyle w:val="Referencingstyle"/>
        </w:rPr>
        <w:t>13</w:t>
      </w:r>
      <w:r w:rsidR="00120DF5">
        <w:rPr>
          <w:rStyle w:val="Referencingstyle"/>
        </w:rPr>
        <w:t>5</w:t>
      </w:r>
      <w:r w:rsidRPr="00702512">
        <w:rPr>
          <w:rStyle w:val="Referencingstyle"/>
        </w:rPr>
        <w:t>(5)]</w:t>
      </w:r>
    </w:p>
    <w:p w14:paraId="18A07C6C" w14:textId="77777777" w:rsidR="00120DF5" w:rsidRPr="00120DF5" w:rsidRDefault="00120DF5" w:rsidP="000F194A">
      <w:pPr>
        <w:pStyle w:val="base-text-paragraph"/>
        <w:rPr>
          <w:b/>
          <w:i/>
          <w:szCs w:val="22"/>
        </w:rPr>
      </w:pPr>
      <w:r w:rsidRPr="00120DF5">
        <w:rPr>
          <w:rStyle w:val="Referencingstyle"/>
          <w:b w:val="0"/>
          <w:i w:val="0"/>
          <w:sz w:val="22"/>
          <w:szCs w:val="22"/>
        </w:rPr>
        <w:t xml:space="preserve">If </w:t>
      </w:r>
      <w:r>
        <w:rPr>
          <w:rStyle w:val="Referencingstyle"/>
          <w:b w:val="0"/>
          <w:i w:val="0"/>
          <w:sz w:val="22"/>
          <w:szCs w:val="22"/>
        </w:rPr>
        <w:t xml:space="preserve">an inspector enters premises with consent of the occupier, but the inspector has not shown his or her identity card before entering the premises, the inspector must do so as soon as practicable after entering the premises. </w:t>
      </w:r>
      <w:r w:rsidRPr="00702512">
        <w:rPr>
          <w:rStyle w:val="Referencingstyle"/>
        </w:rPr>
        <w:t xml:space="preserve">[Part 6, Division 3, subsection </w:t>
      </w:r>
      <w:r>
        <w:rPr>
          <w:rStyle w:val="Referencingstyle"/>
        </w:rPr>
        <w:t>135</w:t>
      </w:r>
      <w:r w:rsidRPr="00702512">
        <w:rPr>
          <w:rStyle w:val="Referencingstyle"/>
        </w:rPr>
        <w:t>(</w:t>
      </w:r>
      <w:r>
        <w:rPr>
          <w:rStyle w:val="Referencingstyle"/>
        </w:rPr>
        <w:t>6</w:t>
      </w:r>
      <w:r w:rsidRPr="00702512">
        <w:rPr>
          <w:rStyle w:val="Referencingstyle"/>
        </w:rPr>
        <w:t>)]</w:t>
      </w:r>
    </w:p>
    <w:p w14:paraId="5FD1F501" w14:textId="77777777" w:rsidR="00014D99" w:rsidRDefault="00014D99" w:rsidP="006C3D7A">
      <w:pPr>
        <w:pStyle w:val="Heading4"/>
      </w:pPr>
      <w:r>
        <w:t xml:space="preserve">Investigation warrants </w:t>
      </w:r>
    </w:p>
    <w:p w14:paraId="14B102EE" w14:textId="77777777" w:rsidR="00014D99" w:rsidRPr="001662CA" w:rsidRDefault="00014D99" w:rsidP="000F194A">
      <w:pPr>
        <w:pStyle w:val="base-text-paragraph"/>
        <w:rPr>
          <w:rStyle w:val="Referencingstyle"/>
          <w:b w:val="0"/>
          <w:i w:val="0"/>
        </w:rPr>
      </w:pPr>
      <w:r>
        <w:t xml:space="preserve">An inspector may apply to a magistrate for an </w:t>
      </w:r>
      <w:r w:rsidRPr="00EF64FD">
        <w:rPr>
          <w:i/>
        </w:rPr>
        <w:t>investigation warrant</w:t>
      </w:r>
      <w:r w:rsidRPr="0053259B">
        <w:t>.</w:t>
      </w:r>
      <w:r>
        <w:t xml:space="preserve"> The magistrate may issue the warrant i</w:t>
      </w:r>
      <w:r w:rsidR="00065915">
        <w:t>f</w:t>
      </w:r>
      <w:r>
        <w:t xml:space="preserve"> satisfied there are reasonable grounds for suspecting there are documents at the premises </w:t>
      </w:r>
      <w:r w:rsidR="00065915">
        <w:t>(or may be within the next 72 hours)</w:t>
      </w:r>
      <w:r>
        <w:t xml:space="preserve"> about </w:t>
      </w:r>
      <w:r w:rsidR="00065915">
        <w:t xml:space="preserve">the </w:t>
      </w:r>
      <w:r>
        <w:t>insurer</w:t>
      </w:r>
      <w:r w:rsidR="00065915">
        <w:t>’s</w:t>
      </w:r>
      <w:r>
        <w:t xml:space="preserve"> affairs which t</w:t>
      </w:r>
      <w:r w:rsidR="0053259B">
        <w:t xml:space="preserve">he inspector is investigating. </w:t>
      </w:r>
      <w:r w:rsidRPr="00702512">
        <w:rPr>
          <w:rStyle w:val="Referencingstyle"/>
        </w:rPr>
        <w:t>[Part 6,</w:t>
      </w:r>
      <w:r w:rsidR="00261F86">
        <w:rPr>
          <w:rStyle w:val="Referencingstyle"/>
        </w:rPr>
        <w:t xml:space="preserve"> Division 3,</w:t>
      </w:r>
      <w:r w:rsidRPr="00702512">
        <w:rPr>
          <w:rStyle w:val="Referencingstyle"/>
        </w:rPr>
        <w:t xml:space="preserve"> subsection</w:t>
      </w:r>
      <w:r w:rsidR="00261F86">
        <w:rPr>
          <w:rStyle w:val="Referencingstyle"/>
        </w:rPr>
        <w:t>s</w:t>
      </w:r>
      <w:r w:rsidRPr="00702512">
        <w:rPr>
          <w:rStyle w:val="Referencingstyle"/>
        </w:rPr>
        <w:t xml:space="preserve"> </w:t>
      </w:r>
      <w:r w:rsidR="005A1243" w:rsidRPr="00702512">
        <w:rPr>
          <w:rStyle w:val="Referencingstyle"/>
        </w:rPr>
        <w:t>13</w:t>
      </w:r>
      <w:r w:rsidR="00D54C92">
        <w:rPr>
          <w:rStyle w:val="Referencingstyle"/>
        </w:rPr>
        <w:t>6</w:t>
      </w:r>
      <w:r w:rsidRPr="00702512">
        <w:rPr>
          <w:rStyle w:val="Referencingstyle"/>
        </w:rPr>
        <w:t>(1) and (2)]</w:t>
      </w:r>
    </w:p>
    <w:p w14:paraId="65CA1696" w14:textId="77777777" w:rsidR="00014D99" w:rsidRDefault="00014D99" w:rsidP="000F194A">
      <w:pPr>
        <w:pStyle w:val="base-text-paragraph"/>
      </w:pPr>
      <w:r>
        <w:t>The warrant must not be issued by the magistrate unless the inspector (or another person) has given the magistrate orally or by affidavit any further information the magistrates requires abou</w:t>
      </w:r>
      <w:r w:rsidR="0053259B">
        <w:t xml:space="preserve">t the reasons for the warrant. </w:t>
      </w:r>
      <w:r w:rsidRPr="00702512">
        <w:rPr>
          <w:rStyle w:val="Referencingstyle"/>
        </w:rPr>
        <w:t>[Part 6,</w:t>
      </w:r>
      <w:r w:rsidR="00261F86">
        <w:rPr>
          <w:rStyle w:val="Referencingstyle"/>
        </w:rPr>
        <w:t xml:space="preserve"> Division 3,</w:t>
      </w:r>
      <w:r w:rsidRPr="00702512">
        <w:rPr>
          <w:rStyle w:val="Referencingstyle"/>
        </w:rPr>
        <w:t xml:space="preserve"> subsection</w:t>
      </w:r>
      <w:r>
        <w:rPr>
          <w:rStyle w:val="Referencingstyle"/>
        </w:rPr>
        <w:t xml:space="preserve"> </w:t>
      </w:r>
      <w:r w:rsidR="005A1243">
        <w:rPr>
          <w:rStyle w:val="Referencingstyle"/>
        </w:rPr>
        <w:t>13</w:t>
      </w:r>
      <w:r w:rsidR="00D54C92">
        <w:rPr>
          <w:rStyle w:val="Referencingstyle"/>
        </w:rPr>
        <w:t>6</w:t>
      </w:r>
      <w:r>
        <w:rPr>
          <w:rStyle w:val="Referencingstyle"/>
        </w:rPr>
        <w:t>(3</w:t>
      </w:r>
      <w:r w:rsidRPr="00702512">
        <w:rPr>
          <w:rStyle w:val="Referencingstyle"/>
        </w:rPr>
        <w:t>)]</w:t>
      </w:r>
    </w:p>
    <w:p w14:paraId="14D16631" w14:textId="77777777" w:rsidR="00014D99" w:rsidRDefault="00014D99" w:rsidP="00314B4F">
      <w:pPr>
        <w:pStyle w:val="base-text-paragraph"/>
        <w:tabs>
          <w:tab w:val="clear" w:pos="1985"/>
          <w:tab w:val="num" w:pos="1986"/>
        </w:tabs>
      </w:pPr>
      <w:r>
        <w:t>The warrant must state the details specified in subsection 13</w:t>
      </w:r>
      <w:r w:rsidR="00D54C92">
        <w:t>6</w:t>
      </w:r>
      <w:r>
        <w:t xml:space="preserve">(4) </w:t>
      </w:r>
      <w:r w:rsidR="00314B4F" w:rsidRPr="00314B4F">
        <w:t>which include setting out the legislative power under which the warrant is issued, the name of the inspector who applied for it, what the warrant authorises and when it expires (which must be no later than a week from its issue)</w:t>
      </w:r>
      <w:r>
        <w:t xml:space="preserve">.  </w:t>
      </w:r>
      <w:r w:rsidRPr="00702512">
        <w:rPr>
          <w:rStyle w:val="Referencingstyle"/>
        </w:rPr>
        <w:t xml:space="preserve">[Part 6, </w:t>
      </w:r>
      <w:r w:rsidR="00261F86">
        <w:rPr>
          <w:rStyle w:val="Referencingstyle"/>
        </w:rPr>
        <w:t xml:space="preserve">Division 3, </w:t>
      </w:r>
      <w:r w:rsidRPr="00702512">
        <w:rPr>
          <w:rStyle w:val="Referencingstyle"/>
        </w:rPr>
        <w:t xml:space="preserve">subsection </w:t>
      </w:r>
      <w:r w:rsidR="005A1243" w:rsidRPr="00702512">
        <w:rPr>
          <w:rStyle w:val="Referencingstyle"/>
        </w:rPr>
        <w:t>13</w:t>
      </w:r>
      <w:r w:rsidR="00D54C92">
        <w:rPr>
          <w:rStyle w:val="Referencingstyle"/>
        </w:rPr>
        <w:t>6</w:t>
      </w:r>
      <w:r w:rsidRPr="00702512">
        <w:rPr>
          <w:rStyle w:val="Referencingstyle"/>
        </w:rPr>
        <w:t>(4)]</w:t>
      </w:r>
    </w:p>
    <w:p w14:paraId="404A1648" w14:textId="77777777" w:rsidR="00014D99" w:rsidRDefault="00014D99" w:rsidP="006C3D7A">
      <w:pPr>
        <w:pStyle w:val="Heading4"/>
      </w:pPr>
      <w:r>
        <w:t>Announcement before entry under investigation warrant</w:t>
      </w:r>
    </w:p>
    <w:p w14:paraId="75458FA3" w14:textId="77777777" w:rsidR="00F8081A" w:rsidRDefault="00014D99" w:rsidP="000F194A">
      <w:pPr>
        <w:pStyle w:val="base-text-paragraph"/>
      </w:pPr>
      <w:r>
        <w:t xml:space="preserve">Before entering a premises under an investigation warrant, the inspector must announce they are authorised to enter the premises, show their identity card to the occupier (or their representative) if present, and give </w:t>
      </w:r>
      <w:r w:rsidR="00261F86">
        <w:t xml:space="preserve">the occupier the </w:t>
      </w:r>
      <w:r>
        <w:t xml:space="preserve">opportunity to </w:t>
      </w:r>
      <w:r w:rsidR="00261F86">
        <w:t>provide access</w:t>
      </w:r>
      <w:r w:rsidR="0053259B">
        <w:t>.</w:t>
      </w:r>
      <w:r>
        <w:t xml:space="preserve"> </w:t>
      </w:r>
      <w:r w:rsidR="00F8081A" w:rsidRPr="00702512">
        <w:rPr>
          <w:rStyle w:val="Referencingstyle"/>
        </w:rPr>
        <w:t xml:space="preserve">[Part 6, </w:t>
      </w:r>
      <w:r w:rsidR="00261F86">
        <w:rPr>
          <w:rStyle w:val="Referencingstyle"/>
        </w:rPr>
        <w:t xml:space="preserve">Division 3, </w:t>
      </w:r>
      <w:r w:rsidR="00F8081A" w:rsidRPr="00702512">
        <w:rPr>
          <w:rStyle w:val="Referencingstyle"/>
        </w:rPr>
        <w:t xml:space="preserve">subsection </w:t>
      </w:r>
      <w:r w:rsidR="005A1243" w:rsidRPr="00702512">
        <w:rPr>
          <w:rStyle w:val="Referencingstyle"/>
        </w:rPr>
        <w:t>13</w:t>
      </w:r>
      <w:r w:rsidR="00D54C92">
        <w:rPr>
          <w:rStyle w:val="Referencingstyle"/>
        </w:rPr>
        <w:t>7</w:t>
      </w:r>
      <w:r w:rsidR="00F8081A">
        <w:rPr>
          <w:rStyle w:val="Referencingstyle"/>
        </w:rPr>
        <w:t>(1)</w:t>
      </w:r>
      <w:r w:rsidR="00F8081A" w:rsidRPr="00702512">
        <w:rPr>
          <w:rStyle w:val="Referencingstyle"/>
        </w:rPr>
        <w:t>]</w:t>
      </w:r>
    </w:p>
    <w:p w14:paraId="08A444FF" w14:textId="77777777" w:rsidR="00B55F7A" w:rsidRDefault="00F8081A" w:rsidP="000F194A">
      <w:pPr>
        <w:pStyle w:val="base-text-paragraph"/>
        <w:rPr>
          <w:rStyle w:val="Referencingstyle"/>
          <w:b w:val="0"/>
          <w:i w:val="0"/>
          <w:sz w:val="22"/>
        </w:rPr>
      </w:pPr>
      <w:r>
        <w:t xml:space="preserve">An inspector need not do this if they believe on reasonable grounds they must immediately </w:t>
      </w:r>
      <w:r w:rsidR="00261F86">
        <w:t xml:space="preserve">enter </w:t>
      </w:r>
      <w:r>
        <w:t xml:space="preserve">the premises to ensure the execution of the warrant is not frustrated.  </w:t>
      </w:r>
      <w:r w:rsidRPr="001A57F7">
        <w:rPr>
          <w:rStyle w:val="Referencingstyle"/>
        </w:rPr>
        <w:t xml:space="preserve">[Part 6, </w:t>
      </w:r>
      <w:r w:rsidR="00261F86">
        <w:rPr>
          <w:rStyle w:val="Referencingstyle"/>
        </w:rPr>
        <w:t xml:space="preserve">Division 3, </w:t>
      </w:r>
      <w:r w:rsidRPr="001A57F7">
        <w:rPr>
          <w:rStyle w:val="Referencingstyle"/>
        </w:rPr>
        <w:t>subsections</w:t>
      </w:r>
      <w:r w:rsidR="00261F86">
        <w:rPr>
          <w:rStyle w:val="Referencingstyle"/>
        </w:rPr>
        <w:t> </w:t>
      </w:r>
      <w:r w:rsidR="005A1243" w:rsidRPr="001A57F7">
        <w:rPr>
          <w:rStyle w:val="Referencingstyle"/>
        </w:rPr>
        <w:t>13</w:t>
      </w:r>
      <w:r w:rsidR="00D54C92">
        <w:rPr>
          <w:rStyle w:val="Referencingstyle"/>
        </w:rPr>
        <w:t>7</w:t>
      </w:r>
      <w:r w:rsidRPr="001A57F7">
        <w:rPr>
          <w:rStyle w:val="Referencingstyle"/>
        </w:rPr>
        <w:t>(2)]</w:t>
      </w:r>
      <w:r w:rsidRPr="00F8081A" w:rsidDel="00F8081A">
        <w:rPr>
          <w:rStyle w:val="Referencingstyle"/>
          <w:b w:val="0"/>
          <w:i w:val="0"/>
          <w:sz w:val="22"/>
        </w:rPr>
        <w:t xml:space="preserve"> </w:t>
      </w:r>
    </w:p>
    <w:p w14:paraId="20F7A9F4" w14:textId="77777777" w:rsidR="00014D99" w:rsidRDefault="00B55F7A" w:rsidP="000F194A">
      <w:pPr>
        <w:pStyle w:val="base-text-paragraph"/>
      </w:pPr>
      <w:r>
        <w:t>This is subject to an exception where the inspector believes on reasonable grounds that immediate entry is required, in which case the inspector must as soon as practicable after entering the premises show his or her identify card to the occupier or other person.</w:t>
      </w:r>
      <w:r w:rsidRPr="00702512" w:rsidDel="00F8081A">
        <w:rPr>
          <w:rStyle w:val="Referencingstyle"/>
        </w:rPr>
        <w:t xml:space="preserve"> </w:t>
      </w:r>
      <w:r w:rsidR="00A80934">
        <w:rPr>
          <w:rStyle w:val="Referencingstyle"/>
        </w:rPr>
        <w:t>[Part 6,</w:t>
      </w:r>
      <w:r w:rsidR="005D0BC0">
        <w:rPr>
          <w:rStyle w:val="Referencingstyle"/>
        </w:rPr>
        <w:t xml:space="preserve"> Division 3, </w:t>
      </w:r>
      <w:r w:rsidR="00A80934">
        <w:rPr>
          <w:rStyle w:val="Referencingstyle"/>
        </w:rPr>
        <w:t xml:space="preserve"> subsection</w:t>
      </w:r>
      <w:r w:rsidR="00A80934" w:rsidRPr="001A57F7">
        <w:rPr>
          <w:rStyle w:val="Referencingstyle"/>
        </w:rPr>
        <w:t xml:space="preserve"> 13</w:t>
      </w:r>
      <w:r w:rsidR="00D54C92">
        <w:rPr>
          <w:rStyle w:val="Referencingstyle"/>
        </w:rPr>
        <w:t>7</w:t>
      </w:r>
      <w:r w:rsidR="00A80934" w:rsidRPr="001A57F7">
        <w:rPr>
          <w:rStyle w:val="Referencingstyle"/>
        </w:rPr>
        <w:t>(</w:t>
      </w:r>
      <w:r w:rsidR="00A80934">
        <w:rPr>
          <w:rStyle w:val="Referencingstyle"/>
        </w:rPr>
        <w:t>3)</w:t>
      </w:r>
      <w:r w:rsidR="00A80934" w:rsidRPr="001A57F7">
        <w:rPr>
          <w:rStyle w:val="Referencingstyle"/>
        </w:rPr>
        <w:t>]</w:t>
      </w:r>
    </w:p>
    <w:p w14:paraId="583FBBC6" w14:textId="77777777" w:rsidR="00014D99" w:rsidRDefault="00014D99" w:rsidP="00014D99">
      <w:pPr>
        <w:pStyle w:val="Heading5"/>
      </w:pPr>
      <w:r>
        <w:t>Inspector to be in possession of investigation warrant</w:t>
      </w:r>
    </w:p>
    <w:p w14:paraId="2013755F" w14:textId="77777777" w:rsidR="00014D99" w:rsidRDefault="00014D99" w:rsidP="000F194A">
      <w:pPr>
        <w:pStyle w:val="base-text-paragraph"/>
      </w:pPr>
      <w:r>
        <w:t xml:space="preserve">When executing an investigation warrant, the inspector must have the warrant, or a copy of it.  </w:t>
      </w:r>
      <w:r w:rsidRPr="00702512">
        <w:rPr>
          <w:rStyle w:val="Referencingstyle"/>
        </w:rPr>
        <w:t>[Part 6,</w:t>
      </w:r>
      <w:r w:rsidR="005D0BC0">
        <w:rPr>
          <w:rStyle w:val="Referencingstyle"/>
        </w:rPr>
        <w:t xml:space="preserve"> Division 3,</w:t>
      </w:r>
      <w:r w:rsidRPr="00702512">
        <w:rPr>
          <w:rStyle w:val="Referencingstyle"/>
        </w:rPr>
        <w:t xml:space="preserve"> section </w:t>
      </w:r>
      <w:r w:rsidR="005A1243" w:rsidRPr="00702512">
        <w:rPr>
          <w:rStyle w:val="Referencingstyle"/>
        </w:rPr>
        <w:t>13</w:t>
      </w:r>
      <w:r w:rsidR="00D54C92">
        <w:rPr>
          <w:rStyle w:val="Referencingstyle"/>
        </w:rPr>
        <w:t>8</w:t>
      </w:r>
      <w:r w:rsidRPr="00702512">
        <w:rPr>
          <w:rStyle w:val="Referencingstyle"/>
        </w:rPr>
        <w:t>]</w:t>
      </w:r>
    </w:p>
    <w:p w14:paraId="258A7A35" w14:textId="77777777" w:rsidR="00014D99" w:rsidRDefault="00014D99" w:rsidP="00014D99">
      <w:pPr>
        <w:pStyle w:val="Heading5"/>
      </w:pPr>
      <w:r>
        <w:t>Details of warrant etc. to be given to occupier</w:t>
      </w:r>
    </w:p>
    <w:p w14:paraId="4C7EFBAD" w14:textId="77777777" w:rsidR="00014D99" w:rsidRPr="008452DD" w:rsidRDefault="00014D99" w:rsidP="000F194A">
      <w:pPr>
        <w:pStyle w:val="base-text-paragraph"/>
      </w:pPr>
      <w:r>
        <w:t>A</w:t>
      </w:r>
      <w:r w:rsidRPr="008452DD">
        <w:t xml:space="preserve">n </w:t>
      </w:r>
      <w:r w:rsidR="00A80934">
        <w:t>inspector</w:t>
      </w:r>
      <w:r w:rsidRPr="008452DD">
        <w:t xml:space="preserve"> </w:t>
      </w:r>
      <w:r>
        <w:t xml:space="preserve">is required </w:t>
      </w:r>
      <w:r w:rsidRPr="008452DD">
        <w:t>to provide a copy of the warrant to the occupier of</w:t>
      </w:r>
      <w:r w:rsidR="005D0BC0">
        <w:t xml:space="preserve"> the</w:t>
      </w:r>
      <w:r w:rsidRPr="008452DD">
        <w:t xml:space="preserve"> premises, or an occupier's apparent representative, if either a</w:t>
      </w:r>
      <w:r>
        <w:t>r</w:t>
      </w:r>
      <w:r w:rsidRPr="008452DD">
        <w:t xml:space="preserve">e present, and to inform the person of their rights and responsibilities under </w:t>
      </w:r>
      <w:r>
        <w:t>section</w:t>
      </w:r>
      <w:r w:rsidR="00DE2C4B">
        <w:t>s</w:t>
      </w:r>
      <w:r>
        <w:t xml:space="preserve"> 1</w:t>
      </w:r>
      <w:r w:rsidR="00D54C92">
        <w:t>40</w:t>
      </w:r>
      <w:r>
        <w:t xml:space="preserve"> </w:t>
      </w:r>
      <w:r w:rsidR="00A80934">
        <w:t>(right to observe execution warrant)</w:t>
      </w:r>
      <w:r>
        <w:t xml:space="preserve"> and 14</w:t>
      </w:r>
      <w:r w:rsidR="00D54C92">
        <w:t>1</w:t>
      </w:r>
      <w:r w:rsidR="00A80934">
        <w:t xml:space="preserve"> (responsibility to provide facilities and assistance)</w:t>
      </w:r>
      <w:r w:rsidR="0053259B">
        <w:t xml:space="preserve">. </w:t>
      </w:r>
      <w:r w:rsidRPr="008452DD">
        <w:t>This obligation ensures that occupiers and representatives, who are present when a warrant is executed, are granted an opportunity to examine the warrant and are informed about th</w:t>
      </w:r>
      <w:r>
        <w:t xml:space="preserve">eir rights and responsibilities.  </w:t>
      </w:r>
      <w:r w:rsidRPr="00702512">
        <w:rPr>
          <w:rStyle w:val="Referencingstyle"/>
        </w:rPr>
        <w:t>[Part 6,</w:t>
      </w:r>
      <w:r w:rsidR="005D0BC0">
        <w:rPr>
          <w:rStyle w:val="Referencingstyle"/>
        </w:rPr>
        <w:t xml:space="preserve"> Division 3,</w:t>
      </w:r>
      <w:r w:rsidRPr="00702512">
        <w:rPr>
          <w:rStyle w:val="Referencingstyle"/>
        </w:rPr>
        <w:t xml:space="preserve"> section</w:t>
      </w:r>
      <w:r w:rsidR="00F26A5A">
        <w:rPr>
          <w:rStyle w:val="Referencingstyle"/>
        </w:rPr>
        <w:t> </w:t>
      </w:r>
      <w:r w:rsidR="005A1243" w:rsidRPr="00702512">
        <w:rPr>
          <w:rStyle w:val="Referencingstyle"/>
        </w:rPr>
        <w:t>13</w:t>
      </w:r>
      <w:r w:rsidR="00D54C92">
        <w:rPr>
          <w:rStyle w:val="Referencingstyle"/>
        </w:rPr>
        <w:t>9</w:t>
      </w:r>
      <w:r w:rsidRPr="00702512">
        <w:rPr>
          <w:rStyle w:val="Referencingstyle"/>
        </w:rPr>
        <w:t xml:space="preserve">]  </w:t>
      </w:r>
    </w:p>
    <w:p w14:paraId="3E89ED12" w14:textId="77777777" w:rsidR="00014D99" w:rsidRDefault="00014D99" w:rsidP="00014D99">
      <w:pPr>
        <w:pStyle w:val="Heading5"/>
      </w:pPr>
      <w:r>
        <w:t>Right to observe execution of warrant</w:t>
      </w:r>
    </w:p>
    <w:p w14:paraId="4C58A17B" w14:textId="77777777" w:rsidR="00014D99" w:rsidRDefault="00014D99" w:rsidP="000F194A">
      <w:pPr>
        <w:pStyle w:val="base-text-paragraph"/>
      </w:pPr>
      <w:r>
        <w:t>The occupier of premises or their representative</w:t>
      </w:r>
      <w:r w:rsidR="0082713F">
        <w:t xml:space="preserve"> (or the person is apparently their representative)</w:t>
      </w:r>
      <w:r>
        <w:t>, who is present when a warrant is executed, has a right to observe the execution of the warrant on their premises. This right does not limit how the warrant may be executed</w:t>
      </w:r>
      <w:r w:rsidR="00A80934">
        <w:t>,</w:t>
      </w:r>
      <w:r>
        <w:t xml:space="preserve"> or </w:t>
      </w:r>
      <w:r w:rsidR="00A80934">
        <w:t xml:space="preserve">place </w:t>
      </w:r>
      <w:r>
        <w:t>an occupier</w:t>
      </w:r>
      <w:r w:rsidR="0082713F">
        <w:t xml:space="preserve"> or their representative</w:t>
      </w:r>
      <w:r>
        <w:t xml:space="preserve"> </w:t>
      </w:r>
      <w:r w:rsidR="00A80934">
        <w:t>under an obligation</w:t>
      </w:r>
      <w:r>
        <w:t xml:space="preserve"> to witness all of an authorised person's activities, but it does recognise that a person should not be excluded during the execution of a warrant unless they attempt to obstruct the inspection.  </w:t>
      </w:r>
      <w:r w:rsidRPr="00702512">
        <w:rPr>
          <w:rStyle w:val="Referencingstyle"/>
        </w:rPr>
        <w:t xml:space="preserve">[Part 6, </w:t>
      </w:r>
      <w:r w:rsidR="005D0BC0">
        <w:rPr>
          <w:rStyle w:val="Referencingstyle"/>
        </w:rPr>
        <w:t xml:space="preserve">Division 3, </w:t>
      </w:r>
      <w:r w:rsidRPr="00702512">
        <w:rPr>
          <w:rStyle w:val="Referencingstyle"/>
        </w:rPr>
        <w:t xml:space="preserve">subsections </w:t>
      </w:r>
      <w:r w:rsidR="005A1243" w:rsidRPr="00702512">
        <w:rPr>
          <w:rStyle w:val="Referencingstyle"/>
        </w:rPr>
        <w:t>1</w:t>
      </w:r>
      <w:r w:rsidR="00D54C92">
        <w:rPr>
          <w:rStyle w:val="Referencingstyle"/>
        </w:rPr>
        <w:t>40</w:t>
      </w:r>
      <w:r w:rsidRPr="00702512">
        <w:rPr>
          <w:rStyle w:val="Referencingstyle"/>
        </w:rPr>
        <w:t xml:space="preserve">(1) and (2)]  </w:t>
      </w:r>
    </w:p>
    <w:p w14:paraId="7F37D2A2" w14:textId="77777777" w:rsidR="00014D99" w:rsidRDefault="00014D99" w:rsidP="000F194A">
      <w:pPr>
        <w:pStyle w:val="base-text-paragraph"/>
      </w:pPr>
      <w:r>
        <w:t xml:space="preserve">This right does not prevent an execution of warrants in more than one place at the same time.  </w:t>
      </w:r>
      <w:r w:rsidRPr="00702512">
        <w:rPr>
          <w:rStyle w:val="Referencingstyle"/>
        </w:rPr>
        <w:t xml:space="preserve">[Part 6, </w:t>
      </w:r>
      <w:r w:rsidR="005D0BC0">
        <w:rPr>
          <w:rStyle w:val="Referencingstyle"/>
        </w:rPr>
        <w:t xml:space="preserve">Division 3, </w:t>
      </w:r>
      <w:r w:rsidRPr="00702512">
        <w:rPr>
          <w:rStyle w:val="Referencingstyle"/>
        </w:rPr>
        <w:t xml:space="preserve">subsection </w:t>
      </w:r>
      <w:r w:rsidR="005A1243" w:rsidRPr="00702512">
        <w:rPr>
          <w:rStyle w:val="Referencingstyle"/>
        </w:rPr>
        <w:t>1</w:t>
      </w:r>
      <w:r w:rsidR="00D54C92">
        <w:rPr>
          <w:rStyle w:val="Referencingstyle"/>
        </w:rPr>
        <w:t>40</w:t>
      </w:r>
      <w:r w:rsidRPr="00702512">
        <w:rPr>
          <w:rStyle w:val="Referencingstyle"/>
        </w:rPr>
        <w:t>(3)]</w:t>
      </w:r>
      <w:r w:rsidRPr="008452DD">
        <w:t xml:space="preserve">  </w:t>
      </w:r>
    </w:p>
    <w:p w14:paraId="1B9880B9" w14:textId="77777777" w:rsidR="00014D99" w:rsidRDefault="00014D99" w:rsidP="00014D99">
      <w:pPr>
        <w:pStyle w:val="Heading5"/>
      </w:pPr>
      <w:r>
        <w:t>Responsibility to provide facilities and assistance</w:t>
      </w:r>
    </w:p>
    <w:p w14:paraId="448EF407" w14:textId="77777777" w:rsidR="00014D99" w:rsidRDefault="00014D99" w:rsidP="000F194A">
      <w:pPr>
        <w:pStyle w:val="base-text-paragraph"/>
      </w:pPr>
      <w:r>
        <w:t xml:space="preserve">An occupier of premises, or their apparent representative has an obligation to provide reasonable facilities and assistance to the authorised person and any person assisting, </w:t>
      </w:r>
      <w:r w:rsidR="005D0BC0">
        <w:t xml:space="preserve">as </w:t>
      </w:r>
      <w:r>
        <w:t>required to effectively carry out the warrant powers.</w:t>
      </w:r>
      <w:r w:rsidR="00A424BE">
        <w:t xml:space="preserve"> </w:t>
      </w:r>
      <w:r>
        <w:t xml:space="preserve"> This obligation recognises that investigation powers are authorised by issuing officers for the purpose of determining whether laws are being complied with and should not be </w:t>
      </w:r>
      <w:r w:rsidR="00A80934">
        <w:t>impeded by lack of reasonable co-operation</w:t>
      </w:r>
      <w:r>
        <w:t xml:space="preserve">. The failure of an occupier or their </w:t>
      </w:r>
      <w:r w:rsidRPr="00DE2C4B">
        <w:t xml:space="preserve">representative to provide reasonable facilities and assistance carries a penalty of </w:t>
      </w:r>
      <w:r w:rsidR="00B55F7A" w:rsidRPr="006C3D7A">
        <w:t>30 penalty </w:t>
      </w:r>
      <w:r w:rsidRPr="006C3D7A">
        <w:t>units</w:t>
      </w:r>
      <w:r w:rsidRPr="00DE2C4B">
        <w:t>.</w:t>
      </w:r>
      <w:r>
        <w:t xml:space="preserve">  </w:t>
      </w:r>
      <w:r w:rsidRPr="00702512">
        <w:rPr>
          <w:rStyle w:val="Referencingstyle"/>
        </w:rPr>
        <w:t xml:space="preserve">[Part 6, </w:t>
      </w:r>
      <w:r w:rsidR="005D0BC0">
        <w:rPr>
          <w:rStyle w:val="Referencingstyle"/>
        </w:rPr>
        <w:t xml:space="preserve">Division 3, </w:t>
      </w:r>
      <w:r w:rsidRPr="00702512">
        <w:rPr>
          <w:rStyle w:val="Referencingstyle"/>
        </w:rPr>
        <w:t xml:space="preserve">section </w:t>
      </w:r>
      <w:r w:rsidR="005A1243" w:rsidRPr="00702512">
        <w:rPr>
          <w:rStyle w:val="Referencingstyle"/>
        </w:rPr>
        <w:t>1</w:t>
      </w:r>
      <w:r w:rsidR="005A1243">
        <w:rPr>
          <w:rStyle w:val="Referencingstyle"/>
        </w:rPr>
        <w:t>4</w:t>
      </w:r>
      <w:r w:rsidR="00D54C92">
        <w:rPr>
          <w:rStyle w:val="Referencingstyle"/>
        </w:rPr>
        <w:t>1</w:t>
      </w:r>
      <w:r w:rsidRPr="00702512">
        <w:rPr>
          <w:rStyle w:val="Referencingstyle"/>
        </w:rPr>
        <w:t>]</w:t>
      </w:r>
    </w:p>
    <w:p w14:paraId="3B347A93" w14:textId="77777777" w:rsidR="00014D99" w:rsidRDefault="00014D99" w:rsidP="00014D99">
      <w:pPr>
        <w:pStyle w:val="Heading4"/>
      </w:pPr>
      <w:r>
        <w:t>Concealing etc. records</w:t>
      </w:r>
    </w:p>
    <w:p w14:paraId="674F1E8F" w14:textId="77777777" w:rsidR="00014D99" w:rsidRDefault="00014D99" w:rsidP="000F194A">
      <w:pPr>
        <w:pStyle w:val="base-text-paragraph"/>
      </w:pPr>
      <w:r w:rsidRPr="00DE2C4B">
        <w:t xml:space="preserve">A person commits an offence with a penalty of </w:t>
      </w:r>
      <w:r w:rsidR="00A80934">
        <w:t>6</w:t>
      </w:r>
      <w:r w:rsidRPr="00DE2C4B">
        <w:t xml:space="preserve">0 penalty units or imprisonment for </w:t>
      </w:r>
      <w:r w:rsidR="00A80934">
        <w:t>12</w:t>
      </w:r>
      <w:r w:rsidR="00A80934" w:rsidRPr="00DE2C4B">
        <w:t xml:space="preserve"> </w:t>
      </w:r>
      <w:r w:rsidRPr="00DE2C4B">
        <w:t>months or both if the</w:t>
      </w:r>
      <w:r>
        <w:t xml:space="preserve"> person engages in conduct that results in the concealment, destruction, mutilation or alteration of the </w:t>
      </w:r>
      <w:r w:rsidR="005D0BC0">
        <w:t xml:space="preserve">documents </w:t>
      </w:r>
      <w:r w:rsidR="00A80934">
        <w:t>relating to particular affai</w:t>
      </w:r>
      <w:r w:rsidR="00D54C92">
        <w:t>r</w:t>
      </w:r>
      <w:r w:rsidR="00A80934">
        <w:t xml:space="preserve">s </w:t>
      </w:r>
      <w:r>
        <w:t xml:space="preserve">of a private health insurer whose </w:t>
      </w:r>
      <w:r w:rsidR="0053259B">
        <w:t>affairs are being investigated.</w:t>
      </w:r>
      <w:r>
        <w:t xml:space="preserve"> </w:t>
      </w:r>
      <w:r w:rsidRPr="00702512">
        <w:rPr>
          <w:rStyle w:val="Referencingstyle"/>
        </w:rPr>
        <w:t>[Part 6, Division 3, s</w:t>
      </w:r>
      <w:r>
        <w:rPr>
          <w:rStyle w:val="Referencingstyle"/>
        </w:rPr>
        <w:t>ubs</w:t>
      </w:r>
      <w:r w:rsidRPr="00702512">
        <w:rPr>
          <w:rStyle w:val="Referencingstyle"/>
        </w:rPr>
        <w:t>ection 14</w:t>
      </w:r>
      <w:r w:rsidR="00D54C92">
        <w:rPr>
          <w:rStyle w:val="Referencingstyle"/>
        </w:rPr>
        <w:t>2</w:t>
      </w:r>
      <w:r>
        <w:rPr>
          <w:rStyle w:val="Referencingstyle"/>
        </w:rPr>
        <w:t>(1)</w:t>
      </w:r>
      <w:r w:rsidRPr="00702512">
        <w:rPr>
          <w:rStyle w:val="Referencingstyle"/>
        </w:rPr>
        <w:t>]</w:t>
      </w:r>
    </w:p>
    <w:p w14:paraId="615446E3" w14:textId="77777777" w:rsidR="00014D99" w:rsidRDefault="00014D99" w:rsidP="000F194A">
      <w:pPr>
        <w:pStyle w:val="base-text-paragraph"/>
      </w:pPr>
      <w:r>
        <w:t>It is a defence if the person did not act with intent to defeat the purpose</w:t>
      </w:r>
      <w:r w:rsidR="00D54C92">
        <w:t>s</w:t>
      </w:r>
      <w:r>
        <w:t xml:space="preserve"> of </w:t>
      </w:r>
      <w:r w:rsidR="00D54C92">
        <w:t>this Division</w:t>
      </w:r>
      <w:r>
        <w:t xml:space="preserve"> or delay or obstruct the investigation.  </w:t>
      </w:r>
      <w:r w:rsidRPr="00702512">
        <w:rPr>
          <w:rStyle w:val="Referencingstyle"/>
        </w:rPr>
        <w:t>[Part</w:t>
      </w:r>
      <w:r w:rsidR="00F26A5A">
        <w:rPr>
          <w:rStyle w:val="Referencingstyle"/>
        </w:rPr>
        <w:t> </w:t>
      </w:r>
      <w:r w:rsidRPr="00702512">
        <w:rPr>
          <w:rStyle w:val="Referencingstyle"/>
        </w:rPr>
        <w:t>6, Division 3, subsection 14</w:t>
      </w:r>
      <w:r w:rsidR="00D54C92">
        <w:rPr>
          <w:rStyle w:val="Referencingstyle"/>
        </w:rPr>
        <w:t>2</w:t>
      </w:r>
      <w:r w:rsidRPr="00702512">
        <w:rPr>
          <w:rStyle w:val="Referencingstyle"/>
        </w:rPr>
        <w:t>(2)]</w:t>
      </w:r>
    </w:p>
    <w:p w14:paraId="793064BA" w14:textId="77777777" w:rsidR="00014D99" w:rsidRDefault="00014D99" w:rsidP="00014D99">
      <w:pPr>
        <w:pStyle w:val="Heading4"/>
      </w:pPr>
      <w:r>
        <w:t>Reports of inspectors</w:t>
      </w:r>
    </w:p>
    <w:p w14:paraId="509533D9" w14:textId="77777777" w:rsidR="00014D99" w:rsidRDefault="00014D99" w:rsidP="000F194A">
      <w:pPr>
        <w:pStyle w:val="base-text-paragraph"/>
      </w:pPr>
      <w:r>
        <w:t xml:space="preserve">An inspector must report in writing to APRA on completion of the investigation and </w:t>
      </w:r>
      <w:r w:rsidR="00A80934">
        <w:t xml:space="preserve">comply with </w:t>
      </w:r>
      <w:r>
        <w:t>any directions of APRA to provide reports</w:t>
      </w:r>
      <w:r w:rsidR="0053259B">
        <w:t xml:space="preserve">. </w:t>
      </w:r>
      <w:r w:rsidR="00B55F7A">
        <w:t>The section also allow</w:t>
      </w:r>
      <w:r w:rsidR="005D0BC0">
        <w:t>s</w:t>
      </w:r>
      <w:r w:rsidR="00B55F7A">
        <w:t xml:space="preserve"> the inspector to make one or more additional reports, at the inspector’s discretion, during the investigation</w:t>
      </w:r>
      <w:r>
        <w:t xml:space="preserve">.  </w:t>
      </w:r>
      <w:r w:rsidR="00B55F7A">
        <w:rPr>
          <w:rStyle w:val="Referencingstyle"/>
        </w:rPr>
        <w:t xml:space="preserve">[Part 6, Division 3, </w:t>
      </w:r>
      <w:r w:rsidR="005D0BC0">
        <w:rPr>
          <w:rStyle w:val="Referencingstyle"/>
        </w:rPr>
        <w:t>sub</w:t>
      </w:r>
      <w:r w:rsidRPr="001D1D78">
        <w:rPr>
          <w:rStyle w:val="Referencingstyle"/>
        </w:rPr>
        <w:t xml:space="preserve">section </w:t>
      </w:r>
      <w:r>
        <w:rPr>
          <w:rStyle w:val="Referencingstyle"/>
        </w:rPr>
        <w:t>14</w:t>
      </w:r>
      <w:r w:rsidR="00D54C92">
        <w:rPr>
          <w:rStyle w:val="Referencingstyle"/>
        </w:rPr>
        <w:t>3</w:t>
      </w:r>
      <w:r w:rsidR="005D0BC0">
        <w:rPr>
          <w:rStyle w:val="Referencingstyle"/>
        </w:rPr>
        <w:t>(1)</w:t>
      </w:r>
      <w:r w:rsidRPr="001D1D78">
        <w:rPr>
          <w:rStyle w:val="Referencingstyle"/>
        </w:rPr>
        <w:t>]</w:t>
      </w:r>
    </w:p>
    <w:p w14:paraId="06F2E47A" w14:textId="77777777" w:rsidR="00014D99" w:rsidRDefault="003260C3" w:rsidP="000F194A">
      <w:pPr>
        <w:pStyle w:val="base-text-paragraph"/>
      </w:pPr>
      <w:r>
        <w:t>The inspector may make any recommendation in the report they consider is appropriate, but is</w:t>
      </w:r>
      <w:r w:rsidR="00014D99">
        <w:t xml:space="preserve"> precluded from including in a report recommendations relating to criminal proceedings or opinions that a person ha</w:t>
      </w:r>
      <w:r w:rsidR="0053259B">
        <w:t>s committed a criminal offence.</w:t>
      </w:r>
      <w:r w:rsidR="00014D99">
        <w:t xml:space="preserve"> </w:t>
      </w:r>
      <w:r>
        <w:t>The</w:t>
      </w:r>
      <w:r w:rsidR="00014D99">
        <w:t xml:space="preserve"> inspector must state an</w:t>
      </w:r>
      <w:r w:rsidR="0082713F">
        <w:t>y</w:t>
      </w:r>
      <w:r w:rsidR="00014D99">
        <w:t xml:space="preserve"> opinion that criminal proceedings ought to be instituted or that a person has committed a criminal offence</w:t>
      </w:r>
      <w:r w:rsidR="00A80934">
        <w:t>,</w:t>
      </w:r>
      <w:r w:rsidR="00014D99">
        <w:t xml:space="preserve"> in writing</w:t>
      </w:r>
      <w:r w:rsidR="00A80934">
        <w:t>,</w:t>
      </w:r>
      <w:r w:rsidR="00014D99">
        <w:t xml:space="preserve"> to APRA</w:t>
      </w:r>
      <w:r w:rsidR="00A80934">
        <w:t>, but this must be done separately from the report</w:t>
      </w:r>
      <w:r w:rsidR="0053259B">
        <w:t>.</w:t>
      </w:r>
      <w:r w:rsidR="00014D99">
        <w:t xml:space="preserve"> </w:t>
      </w:r>
      <w:r w:rsidR="00014D99" w:rsidRPr="00702512">
        <w:rPr>
          <w:rStyle w:val="Referencingstyle"/>
        </w:rPr>
        <w:t>[Part 6, Division 3, subsection</w:t>
      </w:r>
      <w:r w:rsidR="00014D99">
        <w:rPr>
          <w:rStyle w:val="Referencingstyle"/>
        </w:rPr>
        <w:t>s</w:t>
      </w:r>
      <w:r w:rsidR="00014D99" w:rsidRPr="00702512">
        <w:rPr>
          <w:rStyle w:val="Referencingstyle"/>
        </w:rPr>
        <w:t xml:space="preserve"> 14</w:t>
      </w:r>
      <w:r w:rsidR="00D54C92">
        <w:rPr>
          <w:rStyle w:val="Referencingstyle"/>
        </w:rPr>
        <w:t>3</w:t>
      </w:r>
      <w:r w:rsidR="005D0BC0">
        <w:rPr>
          <w:rStyle w:val="Referencingstyle"/>
        </w:rPr>
        <w:t xml:space="preserve">(2), </w:t>
      </w:r>
      <w:r>
        <w:rPr>
          <w:rStyle w:val="Referencingstyle"/>
        </w:rPr>
        <w:t>(3</w:t>
      </w:r>
      <w:r w:rsidR="00014D99" w:rsidRPr="00702512">
        <w:rPr>
          <w:rStyle w:val="Referencingstyle"/>
        </w:rPr>
        <w:t>)</w:t>
      </w:r>
      <w:r w:rsidR="0053259B">
        <w:rPr>
          <w:rStyle w:val="Referencingstyle"/>
        </w:rPr>
        <w:t>and </w:t>
      </w:r>
      <w:r w:rsidR="00014D99">
        <w:rPr>
          <w:rStyle w:val="Referencingstyle"/>
        </w:rPr>
        <w:t>(</w:t>
      </w:r>
      <w:r w:rsidR="00014D99" w:rsidRPr="00702512">
        <w:rPr>
          <w:rStyle w:val="Referencingstyle"/>
        </w:rPr>
        <w:t>4</w:t>
      </w:r>
      <w:r w:rsidR="00014D99">
        <w:rPr>
          <w:rStyle w:val="Referencingstyle"/>
        </w:rPr>
        <w:t>)</w:t>
      </w:r>
      <w:r w:rsidR="00014D99" w:rsidRPr="00702512">
        <w:rPr>
          <w:rStyle w:val="Referencingstyle"/>
        </w:rPr>
        <w:t>]</w:t>
      </w:r>
    </w:p>
    <w:p w14:paraId="2F33CB3A" w14:textId="77777777" w:rsidR="00014D99" w:rsidRDefault="00014D99" w:rsidP="00014D99">
      <w:pPr>
        <w:pStyle w:val="Heading4"/>
      </w:pPr>
      <w:r>
        <w:t>Dissemination of reports</w:t>
      </w:r>
    </w:p>
    <w:p w14:paraId="71083EAB" w14:textId="77777777" w:rsidR="00014D99" w:rsidRDefault="00014D99" w:rsidP="000F194A">
      <w:pPr>
        <w:pStyle w:val="base-text-paragraph"/>
      </w:pPr>
      <w:r>
        <w:t>APRA must give a copy of an inspector’s report under paragraph 14</w:t>
      </w:r>
      <w:r w:rsidR="00D54C92">
        <w:t>3</w:t>
      </w:r>
      <w:r>
        <w:t xml:space="preserve">(1)(a) to the private health insurer to which it relates, unless APRA thinks that a copy should not be provided having regard to proceedings that have been or might be instituted.  </w:t>
      </w:r>
      <w:r w:rsidRPr="001D1D78">
        <w:rPr>
          <w:rStyle w:val="Referencingstyle"/>
        </w:rPr>
        <w:t>[Part 6, Division 3, subsection</w:t>
      </w:r>
      <w:r>
        <w:rPr>
          <w:rStyle w:val="Referencingstyle"/>
        </w:rPr>
        <w:t>s 14</w:t>
      </w:r>
      <w:r w:rsidR="00D54C92">
        <w:rPr>
          <w:rStyle w:val="Referencingstyle"/>
        </w:rPr>
        <w:t>4</w:t>
      </w:r>
      <w:r w:rsidRPr="001D1D78">
        <w:rPr>
          <w:rStyle w:val="Referencingstyle"/>
        </w:rPr>
        <w:t>(</w:t>
      </w:r>
      <w:r>
        <w:rPr>
          <w:rStyle w:val="Referencingstyle"/>
        </w:rPr>
        <w:t>1</w:t>
      </w:r>
      <w:r w:rsidRPr="001D1D78">
        <w:rPr>
          <w:rStyle w:val="Referencingstyle"/>
        </w:rPr>
        <w:t>)</w:t>
      </w:r>
      <w:r>
        <w:rPr>
          <w:rStyle w:val="Referencingstyle"/>
        </w:rPr>
        <w:t xml:space="preserve"> and (2)</w:t>
      </w:r>
      <w:r w:rsidRPr="001D1D78">
        <w:rPr>
          <w:rStyle w:val="Referencingstyle"/>
        </w:rPr>
        <w:t>]</w:t>
      </w:r>
    </w:p>
    <w:p w14:paraId="645914B7" w14:textId="77777777" w:rsidR="00014D99" w:rsidRPr="007650C9" w:rsidRDefault="00014D99" w:rsidP="000F194A">
      <w:pPr>
        <w:pStyle w:val="base-text-paragraph"/>
      </w:pPr>
      <w:r>
        <w:t xml:space="preserve">If APRA has given a copy of the report to the insurer it may, if it thinks it in the public interest, publish the whole or part of a report.  </w:t>
      </w:r>
      <w:r w:rsidRPr="006C3D7A">
        <w:rPr>
          <w:rStyle w:val="Referencingstyle"/>
        </w:rPr>
        <w:t>[</w:t>
      </w:r>
      <w:r w:rsidRPr="00702512">
        <w:rPr>
          <w:rStyle w:val="Referencingstyle"/>
        </w:rPr>
        <w:t>Part</w:t>
      </w:r>
      <w:r w:rsidR="00F26A5A">
        <w:rPr>
          <w:rStyle w:val="Referencingstyle"/>
        </w:rPr>
        <w:t> </w:t>
      </w:r>
      <w:r w:rsidRPr="00702512">
        <w:rPr>
          <w:rStyle w:val="Referencingstyle"/>
        </w:rPr>
        <w:t>6, Division 3, subsection 14</w:t>
      </w:r>
      <w:r w:rsidR="00D54C92">
        <w:rPr>
          <w:rStyle w:val="Referencingstyle"/>
        </w:rPr>
        <w:t>4</w:t>
      </w:r>
      <w:r w:rsidRPr="00702512">
        <w:rPr>
          <w:rStyle w:val="Referencingstyle"/>
        </w:rPr>
        <w:t>(3)]</w:t>
      </w:r>
    </w:p>
    <w:p w14:paraId="487C8E37" w14:textId="77777777" w:rsidR="00014D99" w:rsidRPr="0053259B" w:rsidRDefault="00014D99" w:rsidP="0053259B">
      <w:pPr>
        <w:pStyle w:val="base-text-paragraph"/>
        <w:keepNext/>
        <w:keepLines/>
        <w:tabs>
          <w:tab w:val="clear" w:pos="1985"/>
          <w:tab w:val="num" w:pos="1986"/>
        </w:tabs>
        <w:rPr>
          <w:rStyle w:val="Referencingstyle"/>
          <w:b w:val="0"/>
          <w:i w:val="0"/>
          <w:sz w:val="22"/>
        </w:rPr>
      </w:pPr>
      <w:r>
        <w:t xml:space="preserve">A court hearing proceedings </w:t>
      </w:r>
      <w:r w:rsidR="006A1E19">
        <w:t xml:space="preserve">under the </w:t>
      </w:r>
      <w:r w:rsidR="0053259B" w:rsidRPr="0053259B">
        <w:t>Prudential Supervision Bill</w:t>
      </w:r>
      <w:r w:rsidR="006A1E19">
        <w:t xml:space="preserve"> or risk equalisation levy legislation </w:t>
      </w:r>
      <w:r>
        <w:t xml:space="preserve">against an insurer or another person in respect of matters dealt with in a report may order that a copy of the report be provided to the insurer or other person.  </w:t>
      </w:r>
      <w:r w:rsidRPr="00702512">
        <w:rPr>
          <w:rStyle w:val="Referencingstyle"/>
        </w:rPr>
        <w:t>[Part 6, Division 3, subsection 14</w:t>
      </w:r>
      <w:r w:rsidR="00D54C92">
        <w:rPr>
          <w:rStyle w:val="Referencingstyle"/>
        </w:rPr>
        <w:t>4</w:t>
      </w:r>
      <w:r w:rsidRPr="00702512">
        <w:rPr>
          <w:rStyle w:val="Referencingstyle"/>
        </w:rPr>
        <w:t>(4)]</w:t>
      </w:r>
    </w:p>
    <w:p w14:paraId="6D68B6BC" w14:textId="77777777" w:rsidR="00014D99" w:rsidRDefault="00014D99" w:rsidP="00014D99">
      <w:pPr>
        <w:pStyle w:val="Heading4"/>
      </w:pPr>
      <w:r>
        <w:t>Liability for publishing reports etc.</w:t>
      </w:r>
    </w:p>
    <w:p w14:paraId="65373392" w14:textId="77777777" w:rsidR="00014D99" w:rsidRDefault="00014D99" w:rsidP="000F194A">
      <w:pPr>
        <w:pStyle w:val="base-text-paragraph"/>
      </w:pPr>
      <w:r>
        <w:t xml:space="preserve">A person </w:t>
      </w:r>
      <w:r w:rsidR="00A25807">
        <w:t xml:space="preserve">(excluding APRA or an APRA staff member) </w:t>
      </w:r>
      <w:r>
        <w:t xml:space="preserve">publishing in good faith a </w:t>
      </w:r>
      <w:r w:rsidRPr="00DE2C4B">
        <w:t>copy of</w:t>
      </w:r>
      <w:r w:rsidR="00DE2C4B">
        <w:t>,</w:t>
      </w:r>
      <w:r w:rsidRPr="00DE2C4B">
        <w:t xml:space="preserve"> or a fair extract from</w:t>
      </w:r>
      <w:r w:rsidR="00DE2C4B">
        <w:t>,</w:t>
      </w:r>
      <w:r w:rsidRPr="00DE2C4B">
        <w:t xml:space="preserve"> an inspector’s report published under subsection 14</w:t>
      </w:r>
      <w:r w:rsidR="009B194C">
        <w:t>4</w:t>
      </w:r>
      <w:r w:rsidRPr="00DE2C4B">
        <w:t xml:space="preserve">(3) is protected from any action or proceeding.  </w:t>
      </w:r>
      <w:r w:rsidRPr="00DE2C4B">
        <w:rPr>
          <w:rStyle w:val="Referencingstyle"/>
        </w:rPr>
        <w:t xml:space="preserve">[Part 6, Division 3, </w:t>
      </w:r>
      <w:r w:rsidR="00A80934">
        <w:rPr>
          <w:rStyle w:val="Referencingstyle"/>
        </w:rPr>
        <w:t>section</w:t>
      </w:r>
      <w:r w:rsidR="00A80934" w:rsidRPr="00DE2C4B">
        <w:rPr>
          <w:rStyle w:val="Referencingstyle"/>
        </w:rPr>
        <w:t xml:space="preserve"> </w:t>
      </w:r>
      <w:r w:rsidRPr="00DE2C4B">
        <w:rPr>
          <w:rStyle w:val="Referencingstyle"/>
        </w:rPr>
        <w:t>14</w:t>
      </w:r>
      <w:r w:rsidR="00D54C92">
        <w:rPr>
          <w:rStyle w:val="Referencingstyle"/>
        </w:rPr>
        <w:t>5</w:t>
      </w:r>
      <w:r w:rsidRPr="00DE2C4B">
        <w:rPr>
          <w:rStyle w:val="Referencingstyle"/>
        </w:rPr>
        <w:t>]</w:t>
      </w:r>
    </w:p>
    <w:p w14:paraId="11C249D3" w14:textId="77777777" w:rsidR="00014D99" w:rsidRPr="004D5650" w:rsidRDefault="00A25807" w:rsidP="000F194A">
      <w:pPr>
        <w:pStyle w:val="base-text-paragraph"/>
        <w:rPr>
          <w:rStyle w:val="Referencingstyle"/>
          <w:b w:val="0"/>
          <w:i w:val="0"/>
          <w:sz w:val="22"/>
        </w:rPr>
      </w:pPr>
      <w:r>
        <w:t>A</w:t>
      </w:r>
      <w:r w:rsidR="00014D99">
        <w:t xml:space="preserve">n action is </w:t>
      </w:r>
      <w:r w:rsidR="006A1E19">
        <w:t>generally</w:t>
      </w:r>
      <w:r w:rsidR="00014D99">
        <w:t xml:space="preserve"> in good faith if the person making it is nor actuated by ill will or any other improper motive.  </w:t>
      </w:r>
    </w:p>
    <w:p w14:paraId="6596D8B3" w14:textId="77777777" w:rsidR="00B55F7A" w:rsidRDefault="00B55F7A" w:rsidP="000F194A">
      <w:pPr>
        <w:pStyle w:val="base-text-paragraph"/>
      </w:pPr>
      <w:r>
        <w:t>APRA and its staff will be covered by the indemnity in s</w:t>
      </w:r>
      <w:r w:rsidR="00F26A5A">
        <w:t>ection </w:t>
      </w:r>
      <w:r>
        <w:t>58 of the APRA Act in relation to the above matters.</w:t>
      </w:r>
    </w:p>
    <w:p w14:paraId="67043BF1" w14:textId="77777777" w:rsidR="00014D99" w:rsidRDefault="00014D99" w:rsidP="00014D99">
      <w:pPr>
        <w:pStyle w:val="Heading4"/>
      </w:pPr>
      <w:r>
        <w:t xml:space="preserve">Powers of magistrates </w:t>
      </w:r>
    </w:p>
    <w:p w14:paraId="287C827D" w14:textId="77777777" w:rsidR="00014D99" w:rsidRPr="001662CA" w:rsidRDefault="00014D99" w:rsidP="000F194A">
      <w:pPr>
        <w:pStyle w:val="base-text-paragraph"/>
        <w:rPr>
          <w:rStyle w:val="Referencingstyle"/>
          <w:b w:val="0"/>
          <w:i w:val="0"/>
          <w:sz w:val="22"/>
        </w:rPr>
      </w:pPr>
      <w:r>
        <w:t>The power conferred on a</w:t>
      </w:r>
      <w:r w:rsidRPr="00D214F2">
        <w:t xml:space="preserve"> </w:t>
      </w:r>
      <w:r>
        <w:t>magistrate</w:t>
      </w:r>
      <w:r w:rsidRPr="00D214F2">
        <w:t xml:space="preserve"> under </w:t>
      </w:r>
      <w:r>
        <w:t>Division 3</w:t>
      </w:r>
      <w:r w:rsidRPr="00D214F2">
        <w:t xml:space="preserve"> is conferred on the </w:t>
      </w:r>
      <w:r>
        <w:t>magistrate</w:t>
      </w:r>
      <w:r w:rsidRPr="00D214F2">
        <w:t xml:space="preserve"> in their personal capacity and not as a representative of the court. </w:t>
      </w:r>
      <w:r w:rsidR="00DE2C4B">
        <w:t xml:space="preserve"> </w:t>
      </w:r>
      <w:r w:rsidR="00A80934">
        <w:t>A magistrate is not obligated</w:t>
      </w:r>
      <w:r w:rsidR="008F4DD2">
        <w:t xml:space="preserve"> to accept the power conferred.</w:t>
      </w:r>
      <w:r w:rsidR="00A80934">
        <w:t xml:space="preserve"> </w:t>
      </w:r>
      <w:r w:rsidR="00CD6E13">
        <w:t>M</w:t>
      </w:r>
      <w:r>
        <w:t>agistrates</w:t>
      </w:r>
      <w:r w:rsidRPr="00D214F2">
        <w:t xml:space="preserve"> are granted the protection and immunities of the court and members of the court when exercising these powers. This recognises that issuing a warrant is an executive function and not an exercise of judicial power.</w:t>
      </w:r>
      <w:r>
        <w:t xml:space="preserve">  </w:t>
      </w:r>
      <w:r w:rsidRPr="00702512">
        <w:rPr>
          <w:rStyle w:val="Referencingstyle"/>
        </w:rPr>
        <w:t>[Part 6, Division 3, section 14</w:t>
      </w:r>
      <w:r w:rsidR="009B194C">
        <w:rPr>
          <w:rStyle w:val="Referencingstyle"/>
        </w:rPr>
        <w:t>6</w:t>
      </w:r>
      <w:r w:rsidRPr="00702512">
        <w:rPr>
          <w:rStyle w:val="Referencingstyle"/>
        </w:rPr>
        <w:t>]</w:t>
      </w:r>
    </w:p>
    <w:p w14:paraId="4BA6CB81" w14:textId="77777777" w:rsidR="00014D99" w:rsidRDefault="00014D99" w:rsidP="00014D99">
      <w:pPr>
        <w:pStyle w:val="Heading4"/>
      </w:pPr>
      <w:r>
        <w:t>Delegation by inspectors</w:t>
      </w:r>
    </w:p>
    <w:p w14:paraId="58D9E263" w14:textId="77777777" w:rsidR="00014D99" w:rsidRDefault="00014D99" w:rsidP="000F194A">
      <w:pPr>
        <w:pStyle w:val="base-text-paragraph"/>
      </w:pPr>
      <w:r>
        <w:t>An inspector may delegate in writing any of their powers under Division 3 to an APR</w:t>
      </w:r>
      <w:r w:rsidR="00F26A5A">
        <w:t>A</w:t>
      </w:r>
      <w:r>
        <w:t xml:space="preserve"> staff member.  </w:t>
      </w:r>
      <w:r w:rsidRPr="00702512">
        <w:rPr>
          <w:rStyle w:val="Referencingstyle"/>
        </w:rPr>
        <w:t>[Part 6, Division 3, subsection 14</w:t>
      </w:r>
      <w:r w:rsidR="009B194C">
        <w:rPr>
          <w:rStyle w:val="Referencingstyle"/>
        </w:rPr>
        <w:t>7</w:t>
      </w:r>
      <w:r w:rsidRPr="00702512">
        <w:rPr>
          <w:rStyle w:val="Referencingstyle"/>
        </w:rPr>
        <w:t>(1)]</w:t>
      </w:r>
    </w:p>
    <w:p w14:paraId="39CED797" w14:textId="77777777" w:rsidR="00014D99" w:rsidRPr="000C179C" w:rsidRDefault="00014D99" w:rsidP="000F194A">
      <w:pPr>
        <w:pStyle w:val="base-text-paragraph"/>
      </w:pPr>
      <w:r>
        <w:t xml:space="preserve">A delegate must produce the instrument of delegation (or a copy) to any person who may be affected by the exercise of the delegated powers and who asks to see the instrument.  </w:t>
      </w:r>
      <w:r w:rsidRPr="00702512">
        <w:rPr>
          <w:rStyle w:val="Referencingstyle"/>
        </w:rPr>
        <w:t>[Part 6, Division 3, subsection</w:t>
      </w:r>
      <w:r w:rsidR="00F26A5A">
        <w:rPr>
          <w:rStyle w:val="Referencingstyle"/>
        </w:rPr>
        <w:t> </w:t>
      </w:r>
      <w:r w:rsidRPr="00702512">
        <w:rPr>
          <w:rStyle w:val="Referencingstyle"/>
        </w:rPr>
        <w:t>14</w:t>
      </w:r>
      <w:r w:rsidR="009B194C">
        <w:rPr>
          <w:rStyle w:val="Referencingstyle"/>
        </w:rPr>
        <w:t>7</w:t>
      </w:r>
      <w:r w:rsidRPr="00702512">
        <w:rPr>
          <w:rStyle w:val="Referencingstyle"/>
        </w:rPr>
        <w:t>(2)]</w:t>
      </w:r>
    </w:p>
    <w:p w14:paraId="4F319DB6" w14:textId="77777777" w:rsidR="00014D99" w:rsidRDefault="00014D99" w:rsidP="00014D99">
      <w:pPr>
        <w:pStyle w:val="Heading3"/>
      </w:pPr>
      <w:r>
        <w:t>Division 4 – Other matters</w:t>
      </w:r>
    </w:p>
    <w:p w14:paraId="3D7C3180" w14:textId="77777777" w:rsidR="00014D99" w:rsidRDefault="00014D99" w:rsidP="00014D99">
      <w:pPr>
        <w:pStyle w:val="Heading4"/>
      </w:pPr>
      <w:r>
        <w:t>Refusing or failing to comply with requirements</w:t>
      </w:r>
    </w:p>
    <w:p w14:paraId="6083C1EE" w14:textId="77777777" w:rsidR="00014D99" w:rsidDel="002516BF" w:rsidRDefault="00014D99" w:rsidP="000F194A">
      <w:pPr>
        <w:pStyle w:val="base-text-paragraph"/>
      </w:pPr>
      <w:r w:rsidRPr="000C179C">
        <w:t xml:space="preserve">A </w:t>
      </w:r>
      <w:r w:rsidRPr="00DE2C4B">
        <w:t>person commits an offence with a penalty of 30 penalty units if the person fails to comply with a requirement under section 128, 12</w:t>
      </w:r>
      <w:r w:rsidR="009B194C">
        <w:t>9</w:t>
      </w:r>
      <w:r w:rsidRPr="00DE2C4B">
        <w:t xml:space="preserve"> or 13</w:t>
      </w:r>
      <w:r w:rsidR="009B194C">
        <w:t>2</w:t>
      </w:r>
      <w:r w:rsidRPr="00DE2C4B">
        <w:t>.</w:t>
      </w:r>
      <w:r w:rsidR="00BF5CF8">
        <w:t xml:space="preserve"> </w:t>
      </w:r>
      <w:r>
        <w:t>The person need only comply with such a requirement to the exten</w:t>
      </w:r>
      <w:r w:rsidR="008F4DD2">
        <w:t>t they are capable of doing so.</w:t>
      </w:r>
      <w:r>
        <w:t xml:space="preserve"> </w:t>
      </w:r>
      <w:r w:rsidRPr="00702512">
        <w:rPr>
          <w:rStyle w:val="Referencingstyle"/>
        </w:rPr>
        <w:t xml:space="preserve">[Part 6, Division </w:t>
      </w:r>
      <w:r w:rsidR="00811BFA">
        <w:rPr>
          <w:rStyle w:val="Referencingstyle"/>
        </w:rPr>
        <w:t>4</w:t>
      </w:r>
      <w:r w:rsidRPr="00702512">
        <w:rPr>
          <w:rStyle w:val="Referencingstyle"/>
        </w:rPr>
        <w:t>, section 14</w:t>
      </w:r>
      <w:r w:rsidR="00294301">
        <w:rPr>
          <w:rStyle w:val="Referencingstyle"/>
        </w:rPr>
        <w:t>8</w:t>
      </w:r>
      <w:r w:rsidRPr="00702512">
        <w:rPr>
          <w:rStyle w:val="Referencingstyle"/>
        </w:rPr>
        <w:t>]</w:t>
      </w:r>
      <w:r>
        <w:t xml:space="preserve"> </w:t>
      </w:r>
    </w:p>
    <w:p w14:paraId="39B3BDC6" w14:textId="77777777" w:rsidR="00014D99" w:rsidRDefault="00014D99" w:rsidP="00014D99">
      <w:pPr>
        <w:pStyle w:val="Heading4"/>
      </w:pPr>
      <w:r w:rsidRPr="0023680B">
        <w:t>Self</w:t>
      </w:r>
      <w:r>
        <w:t>-</w:t>
      </w:r>
      <w:r w:rsidRPr="0023680B">
        <w:t>incrimination</w:t>
      </w:r>
    </w:p>
    <w:p w14:paraId="3F842780" w14:textId="77777777" w:rsidR="00014D99" w:rsidRPr="00E90BBE" w:rsidRDefault="00014D99" w:rsidP="000F194A">
      <w:pPr>
        <w:pStyle w:val="base-text-paragraph"/>
      </w:pPr>
      <w:r>
        <w:t xml:space="preserve">A person </w:t>
      </w:r>
      <w:r w:rsidR="00DC6DC0">
        <w:t>is not excused from providing</w:t>
      </w:r>
      <w:r>
        <w:t xml:space="preserve"> answers, information, </w:t>
      </w:r>
      <w:r w:rsidR="00DC6DC0">
        <w:t>or a</w:t>
      </w:r>
      <w:r>
        <w:t xml:space="preserve"> report or document</w:t>
      </w:r>
      <w:r w:rsidR="00DC6DC0">
        <w:t>,</w:t>
      </w:r>
      <w:r>
        <w:t xml:space="preserve"> in an investigation on the ground that they may be incriminated or liable to a penalty </w:t>
      </w:r>
      <w:r w:rsidR="00A80934">
        <w:t>on the ground that this might incriminate them or make them liable to a penalty</w:t>
      </w:r>
      <w:r w:rsidR="008F4DD2">
        <w:t xml:space="preserve">. </w:t>
      </w:r>
      <w:r w:rsidR="00923861" w:rsidRPr="00007FB4">
        <w:t>In order to protect the integrity of the regulatory regime, and protect th</w:t>
      </w:r>
      <w:r w:rsidR="00923861" w:rsidRPr="00923861">
        <w:t xml:space="preserve">e interests of </w:t>
      </w:r>
      <w:r w:rsidR="001235B8">
        <w:t>policy holder</w:t>
      </w:r>
      <w:r w:rsidR="00923861" w:rsidRPr="00923861">
        <w:t>s, it is necessary to over</w:t>
      </w:r>
      <w:r w:rsidR="00923861">
        <w:t>ride the privilege against self</w:t>
      </w:r>
      <w:r w:rsidR="00923861">
        <w:noBreakHyphen/>
      </w:r>
      <w:r w:rsidR="00923861" w:rsidRPr="00007FB4">
        <w:t>incrimination so that APRA can acquire all relevant information relating to the financial position of a private health insurer and the insurer’s and other relevant persons</w:t>
      </w:r>
      <w:r w:rsidR="00923861" w:rsidRPr="00923861">
        <w:t xml:space="preserve">’ compliance with the regulatory regime. </w:t>
      </w:r>
      <w:r w:rsidR="00923861" w:rsidRPr="00007FB4">
        <w:t>This is consistent with the approach taken in the PHI Act (for example, section 214-15, relating to compliance with requirements of inspectors) and other legislation administered by APRA (for example section 287 of</w:t>
      </w:r>
      <w:r w:rsidR="00923861" w:rsidRPr="00923861">
        <w:t xml:space="preserve"> the </w:t>
      </w:r>
      <w:r w:rsidR="00923861">
        <w:t>SIS Act)</w:t>
      </w:r>
      <w:r w:rsidR="00923861" w:rsidRPr="00007FB4">
        <w:t xml:space="preserve">.  </w:t>
      </w:r>
      <w:r w:rsidRPr="00702512">
        <w:rPr>
          <w:rStyle w:val="Referencingstyle"/>
        </w:rPr>
        <w:t>[Part 6, Division</w:t>
      </w:r>
      <w:r w:rsidR="00E362DB">
        <w:rPr>
          <w:rStyle w:val="Referencingstyle"/>
        </w:rPr>
        <w:t> </w:t>
      </w:r>
      <w:r w:rsidR="00811BFA">
        <w:rPr>
          <w:rStyle w:val="Referencingstyle"/>
        </w:rPr>
        <w:t>4</w:t>
      </w:r>
      <w:r w:rsidRPr="00702512">
        <w:rPr>
          <w:rStyle w:val="Referencingstyle"/>
        </w:rPr>
        <w:t xml:space="preserve">, subsection </w:t>
      </w:r>
      <w:r w:rsidR="005A1243" w:rsidRPr="00702512">
        <w:rPr>
          <w:rStyle w:val="Referencingstyle"/>
        </w:rPr>
        <w:t>14</w:t>
      </w:r>
      <w:r w:rsidR="009B194C">
        <w:rPr>
          <w:rStyle w:val="Referencingstyle"/>
        </w:rPr>
        <w:t>9</w:t>
      </w:r>
      <w:r w:rsidRPr="00702512">
        <w:rPr>
          <w:rStyle w:val="Referencingstyle"/>
        </w:rPr>
        <w:t>(1)]</w:t>
      </w:r>
      <w:r w:rsidRPr="00023A64">
        <w:t xml:space="preserve">  </w:t>
      </w:r>
    </w:p>
    <w:p w14:paraId="4BEC39C8" w14:textId="77777777" w:rsidR="00903857" w:rsidRDefault="00B55F7A" w:rsidP="00CD6E13">
      <w:pPr>
        <w:pStyle w:val="base-text-paragraph"/>
        <w:tabs>
          <w:tab w:val="clear" w:pos="1985"/>
          <w:tab w:val="num" w:pos="1986"/>
        </w:tabs>
      </w:pPr>
      <w:r>
        <w:t>However, if the person is an individual, a</w:t>
      </w:r>
      <w:r w:rsidR="00014D99">
        <w:t xml:space="preserve">ny information, document or thing obtained because of a person’s assistance </w:t>
      </w:r>
      <w:r w:rsidR="00E7144F">
        <w:t xml:space="preserve">is </w:t>
      </w:r>
      <w:r w:rsidR="00014D99">
        <w:t xml:space="preserve">not admissible in evidence against them in any proceedings (either criminal or civil) except proceedings in relation to section 137.1 or 137.2 of the </w:t>
      </w:r>
      <w:r w:rsidR="00014D99" w:rsidRPr="00ED52FE">
        <w:t>Criminal Code</w:t>
      </w:r>
      <w:r>
        <w:t xml:space="preserve"> (which relate to the provision of false or misleading information)</w:t>
      </w:r>
      <w:r w:rsidR="00DC6DC0">
        <w:t xml:space="preserve"> or proceedings under section 1</w:t>
      </w:r>
      <w:r w:rsidR="009B194C">
        <w:t>20</w:t>
      </w:r>
      <w:r w:rsidR="00DC6DC0">
        <w:t xml:space="preserve"> for disqualification (see subsection 12</w:t>
      </w:r>
      <w:r w:rsidR="009B194C">
        <w:t>2</w:t>
      </w:r>
      <w:r w:rsidR="00DC6DC0">
        <w:t>(4))</w:t>
      </w:r>
      <w:r w:rsidR="00014D99">
        <w:t xml:space="preserve">. </w:t>
      </w:r>
      <w:r w:rsidR="00923861">
        <w:t xml:space="preserve"> </w:t>
      </w:r>
      <w:r w:rsidR="00923861" w:rsidRPr="00007FB4">
        <w:t>This provides immunity</w:t>
      </w:r>
      <w:r w:rsidR="00923861" w:rsidRPr="00923861">
        <w:t xml:space="preserve"> in relation to direct use of the information, document or thing in other proceedings</w:t>
      </w:r>
      <w:r w:rsidR="00CD6E13">
        <w:t xml:space="preserve"> </w:t>
      </w:r>
      <w:r w:rsidR="00CD6E13" w:rsidRPr="00CD6E13">
        <w:t>(except, as noted, where the other proceedings are for disqualification under section 120)</w:t>
      </w:r>
      <w:r w:rsidR="008F4DD2">
        <w:t>. </w:t>
      </w:r>
      <w:r w:rsidR="00923861" w:rsidRPr="00923861">
        <w:t>It does not provide for derivative use immunity, that is, immunity in relation to anything obtained as a direct or indirect consequence of the production of the information, document or thing.</w:t>
      </w:r>
      <w:r w:rsidR="00923861">
        <w:t xml:space="preserve"> </w:t>
      </w:r>
      <w:r w:rsidR="009B194C" w:rsidRPr="00932999">
        <w:rPr>
          <w:rStyle w:val="Referencingstyle"/>
        </w:rPr>
        <w:t xml:space="preserve">[Part 6, Division </w:t>
      </w:r>
      <w:r w:rsidR="00811BFA">
        <w:rPr>
          <w:rStyle w:val="Referencingstyle"/>
        </w:rPr>
        <w:t>4</w:t>
      </w:r>
      <w:r w:rsidR="009B194C" w:rsidRPr="00932999">
        <w:rPr>
          <w:rStyle w:val="Referencingstyle"/>
        </w:rPr>
        <w:t>, subsection 14</w:t>
      </w:r>
      <w:r w:rsidR="009B194C">
        <w:rPr>
          <w:rStyle w:val="Referencingstyle"/>
        </w:rPr>
        <w:t>9</w:t>
      </w:r>
      <w:r w:rsidR="009B194C" w:rsidRPr="00932999">
        <w:rPr>
          <w:rStyle w:val="Referencingstyle"/>
        </w:rPr>
        <w:t xml:space="preserve">(2)]  </w:t>
      </w:r>
    </w:p>
    <w:p w14:paraId="40719728" w14:textId="77777777" w:rsidR="00014D99" w:rsidRDefault="00923861" w:rsidP="000F194A">
      <w:pPr>
        <w:pStyle w:val="base-text-paragraph"/>
      </w:pPr>
      <w:r w:rsidRPr="00007FB4">
        <w:t xml:space="preserve">In this respect the provision is consistent with the majority of self-incrimination provisions in the other legislation administered by APRA, including section 287 of the </w:t>
      </w:r>
      <w:r w:rsidRPr="00472C57">
        <w:t>SIS Act</w:t>
      </w:r>
      <w:r w:rsidRPr="00923861">
        <w:t>.</w:t>
      </w:r>
      <w:r>
        <w:t xml:space="preserve"> </w:t>
      </w:r>
      <w:r w:rsidRPr="00923861">
        <w:t>A difficulty with derivative use immunity is that it means that further evidence obtained through a chain of inquiry resulting from the protected evidence cannot be used in relevant proceedings even if the additional</w:t>
      </w:r>
      <w:r w:rsidRPr="00007FB4">
        <w:t xml:space="preserve"> evidence would have been uncovered by the regul</w:t>
      </w:r>
      <w:r w:rsidRPr="00923861">
        <w:t>ator through indep</w:t>
      </w:r>
      <w:r w:rsidR="008F4DD2">
        <w:t>endent investigation processes.</w:t>
      </w:r>
      <w:r w:rsidRPr="00923861">
        <w:t xml:space="preserve"> A related issue is that it can be very difficult and time</w:t>
      </w:r>
      <w:r w:rsidR="00811BFA">
        <w:noBreakHyphen/>
      </w:r>
      <w:r w:rsidRPr="00923861">
        <w:t>consuming in a complex investigation to prove whether evidence was obtained as a consequence of the protected evide</w:t>
      </w:r>
      <w:r w:rsidR="008F4DD2">
        <w:t xml:space="preserve">nce or obtained independently. </w:t>
      </w:r>
      <w:r w:rsidRPr="00923861">
        <w:t xml:space="preserve">In other respects section </w:t>
      </w:r>
      <w:r w:rsidRPr="009B194C">
        <w:t>14</w:t>
      </w:r>
      <w:r w:rsidR="009B194C">
        <w:t>9</w:t>
      </w:r>
      <w:r w:rsidRPr="00007FB4">
        <w:t xml:space="preserve"> offers broader protection than similar provisions </w:t>
      </w:r>
      <w:r>
        <w:t xml:space="preserve">in </w:t>
      </w:r>
      <w:r w:rsidRPr="00007FB4">
        <w:t>other legislation in that it does not require the person to first state that the answer might tend to incriminate them, and the protection applies to civil proceedings (othe</w:t>
      </w:r>
      <w:r w:rsidRPr="00923861">
        <w:t>r than for disqualification) as well as criminal proceedings.</w:t>
      </w:r>
      <w:r w:rsidRPr="00923861">
        <w:rPr>
          <w:rStyle w:val="Referencingstyle"/>
        </w:rPr>
        <w:t xml:space="preserve"> </w:t>
      </w:r>
    </w:p>
    <w:p w14:paraId="60C0A9C7" w14:textId="77777777" w:rsidR="00014D99" w:rsidRDefault="00014D99" w:rsidP="00014D99">
      <w:pPr>
        <w:pStyle w:val="Heading4"/>
      </w:pPr>
      <w:r>
        <w:t>Protection from liability</w:t>
      </w:r>
    </w:p>
    <w:p w14:paraId="5A3E25BC" w14:textId="77777777" w:rsidR="00014D99" w:rsidRDefault="00014D99" w:rsidP="000F194A">
      <w:pPr>
        <w:pStyle w:val="base-text-paragraph"/>
      </w:pPr>
      <w:r>
        <w:t>A person’s compliance with a requirement made of the person under Part 6</w:t>
      </w:r>
      <w:r w:rsidR="00A25807">
        <w:t xml:space="preserve"> </w:t>
      </w:r>
      <w:r>
        <w:t xml:space="preserve">or </w:t>
      </w:r>
      <w:r w:rsidRPr="009924E8">
        <w:t xml:space="preserve">of an inspector does not </w:t>
      </w:r>
      <w:r>
        <w:t xml:space="preserve">lead them to </w:t>
      </w:r>
      <w:r w:rsidRPr="009924E8">
        <w:t>incur any liability to any other person because of that compliance.</w:t>
      </w:r>
      <w:r>
        <w:t xml:space="preserve"> </w:t>
      </w:r>
      <w:r w:rsidR="005A1243">
        <w:t xml:space="preserve"> </w:t>
      </w:r>
      <w:r w:rsidRPr="009924E8">
        <w:rPr>
          <w:rStyle w:val="Referencingstyle"/>
        </w:rPr>
        <w:t xml:space="preserve">[Part 6, Division 4, section </w:t>
      </w:r>
      <w:r w:rsidR="005A1243" w:rsidRPr="009924E8">
        <w:rPr>
          <w:rStyle w:val="Referencingstyle"/>
        </w:rPr>
        <w:t>15</w:t>
      </w:r>
      <w:r w:rsidR="005A1243">
        <w:rPr>
          <w:rStyle w:val="Referencingstyle"/>
        </w:rPr>
        <w:t>0</w:t>
      </w:r>
      <w:r w:rsidRPr="009924E8">
        <w:rPr>
          <w:rStyle w:val="Referencingstyle"/>
        </w:rPr>
        <w:t>]</w:t>
      </w:r>
    </w:p>
    <w:p w14:paraId="6B25BF32" w14:textId="77777777" w:rsidR="00212AAD" w:rsidRDefault="00212AAD" w:rsidP="00212AAD">
      <w:pPr>
        <w:sectPr w:rsidR="00212AAD" w:rsidSect="00212AAD">
          <w:headerReference w:type="even" r:id="rId63"/>
          <w:headerReference w:type="default" r:id="rId64"/>
          <w:footerReference w:type="even" r:id="rId65"/>
          <w:footerReference w:type="default" r:id="rId66"/>
          <w:headerReference w:type="first" r:id="rId67"/>
          <w:footerReference w:type="first" r:id="rId68"/>
          <w:type w:val="oddPage"/>
          <w:pgSz w:w="11906" w:h="16838" w:code="9"/>
          <w:pgMar w:top="2466" w:right="2098" w:bottom="2466" w:left="2098" w:header="1559" w:footer="1899" w:gutter="0"/>
          <w:cols w:space="708"/>
          <w:titlePg/>
          <w:docGrid w:linePitch="360"/>
        </w:sectPr>
      </w:pPr>
    </w:p>
    <w:p w14:paraId="2224E21E" w14:textId="77777777" w:rsidR="006017AC" w:rsidRPr="00F51A71" w:rsidRDefault="006017AC" w:rsidP="006017AC">
      <w:pPr>
        <w:pStyle w:val="ChapterHeading"/>
        <w:tabs>
          <w:tab w:val="clear" w:pos="1134"/>
          <w:tab w:val="num" w:pos="360"/>
        </w:tabs>
      </w:pPr>
      <w:r w:rsidRPr="00F51A71">
        <w:br/>
      </w:r>
      <w:bookmarkStart w:id="220" w:name="_Toc406581440"/>
      <w:bookmarkStart w:id="221" w:name="_Toc406752112"/>
      <w:bookmarkStart w:id="222" w:name="_Toc406757012"/>
      <w:bookmarkStart w:id="223" w:name="_Toc406760725"/>
      <w:bookmarkStart w:id="224" w:name="_Toc407026924"/>
      <w:bookmarkStart w:id="225" w:name="_Toc416957160"/>
      <w:bookmarkStart w:id="226" w:name="_Toc418177767"/>
      <w:bookmarkStart w:id="227" w:name="_Toc418249764"/>
      <w:r w:rsidR="00A3054C">
        <w:t>Enforceable undertakings</w:t>
      </w:r>
      <w:bookmarkEnd w:id="220"/>
      <w:bookmarkEnd w:id="221"/>
      <w:bookmarkEnd w:id="222"/>
      <w:bookmarkEnd w:id="223"/>
      <w:bookmarkEnd w:id="224"/>
      <w:bookmarkEnd w:id="225"/>
      <w:bookmarkEnd w:id="226"/>
      <w:bookmarkEnd w:id="227"/>
    </w:p>
    <w:p w14:paraId="7C036399" w14:textId="77777777" w:rsidR="006017AC" w:rsidRDefault="006017AC" w:rsidP="006017AC">
      <w:pPr>
        <w:pStyle w:val="Heading2"/>
      </w:pPr>
      <w:r>
        <w:t>Outline of chapter</w:t>
      </w:r>
    </w:p>
    <w:p w14:paraId="2910E875" w14:textId="77777777" w:rsidR="006017AC" w:rsidRDefault="00302FE1" w:rsidP="0038721E">
      <w:pPr>
        <w:pStyle w:val="base-text-paragraph"/>
        <w:tabs>
          <w:tab w:val="clear" w:pos="1985"/>
          <w:tab w:val="num" w:pos="1986"/>
        </w:tabs>
      </w:pPr>
      <w:r>
        <w:t xml:space="preserve">Part </w:t>
      </w:r>
      <w:r w:rsidR="004C31C6">
        <w:t xml:space="preserve">7 </w:t>
      </w:r>
      <w:r>
        <w:t xml:space="preserve">of the </w:t>
      </w:r>
      <w:r w:rsidR="0038721E" w:rsidRPr="0038721E">
        <w:t xml:space="preserve">Prudential Supervision </w:t>
      </w:r>
      <w:r w:rsidR="0023493D" w:rsidDel="0038721E">
        <w:t>Bill</w:t>
      </w:r>
      <w:r>
        <w:t xml:space="preserve"> relates to </w:t>
      </w:r>
      <w:r w:rsidR="00B1648D">
        <w:t>APRA’s ability to accept enforceable undertakings.</w:t>
      </w:r>
    </w:p>
    <w:p w14:paraId="08B29E5C" w14:textId="77777777" w:rsidR="00C341C2" w:rsidRPr="006C3D7A" w:rsidRDefault="00C341C2" w:rsidP="0038721E">
      <w:pPr>
        <w:pStyle w:val="base-text-paragraph"/>
        <w:tabs>
          <w:tab w:val="clear" w:pos="1985"/>
          <w:tab w:val="num" w:pos="1986"/>
        </w:tabs>
      </w:pPr>
      <w:r>
        <w:t xml:space="preserve">Unless otherwise stated, all references in this Chapter relate to the </w:t>
      </w:r>
      <w:r>
        <w:rPr>
          <w:rStyle w:val="Referencingstyle"/>
          <w:b w:val="0"/>
          <w:i w:val="0"/>
          <w:sz w:val="22"/>
        </w:rPr>
        <w:t>Prudential Supervision Bill.</w:t>
      </w:r>
    </w:p>
    <w:p w14:paraId="4771D855" w14:textId="77777777" w:rsidR="006017AC" w:rsidRDefault="006017AC" w:rsidP="006017AC">
      <w:pPr>
        <w:pStyle w:val="Heading2"/>
      </w:pPr>
      <w:r>
        <w:t>Summary of new law</w:t>
      </w:r>
    </w:p>
    <w:p w14:paraId="75851575" w14:textId="77777777" w:rsidR="006017AC" w:rsidRPr="008F726E" w:rsidRDefault="00C2451E" w:rsidP="000F194A">
      <w:pPr>
        <w:pStyle w:val="base-text-paragraph"/>
      </w:pPr>
      <w:r>
        <w:t xml:space="preserve">Part 7 is </w:t>
      </w:r>
      <w:r w:rsidRPr="00C2451E">
        <w:t xml:space="preserve">based on equivalent provisions in the </w:t>
      </w:r>
      <w:r w:rsidR="00EE0968" w:rsidRPr="00F11C85">
        <w:t>Life</w:t>
      </w:r>
      <w:r w:rsidR="004F0185">
        <w:t> </w:t>
      </w:r>
      <w:r w:rsidR="00EE0968" w:rsidRPr="006C3D7A">
        <w:t>Insu</w:t>
      </w:r>
      <w:r w:rsidR="00EE0968">
        <w:t>r</w:t>
      </w:r>
      <w:r w:rsidR="00EE0968" w:rsidRPr="00F11C85">
        <w:t>ance</w:t>
      </w:r>
      <w:r w:rsidR="004F0185">
        <w:t> </w:t>
      </w:r>
      <w:r w:rsidR="00EE0968" w:rsidRPr="006C3D7A">
        <w:t>Act</w:t>
      </w:r>
      <w:r w:rsidRPr="00C2451E">
        <w:t xml:space="preserve">.  </w:t>
      </w:r>
      <w:r>
        <w:t>It</w:t>
      </w:r>
      <w:r w:rsidRPr="00C2451E">
        <w:t xml:space="preserve"> enable</w:t>
      </w:r>
      <w:r w:rsidR="004C31C6">
        <w:t>s</w:t>
      </w:r>
      <w:r w:rsidRPr="00C2451E">
        <w:t xml:space="preserve"> APRA to obtain an enforceable undertaking from an insurer or a person who has had involvement with an insurer (</w:t>
      </w:r>
      <w:r w:rsidR="008C6555">
        <w:t>for example,</w:t>
      </w:r>
      <w:r w:rsidRPr="00C2451E">
        <w:t xml:space="preserve"> an actuary or officer), including in circumstances where lengthy legal action might otherwise be taken against that person.   </w:t>
      </w:r>
    </w:p>
    <w:p w14:paraId="0D952EE1" w14:textId="77777777" w:rsidR="006017AC" w:rsidRDefault="006017AC" w:rsidP="006017AC">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6017AC" w:rsidRPr="004666B8" w14:paraId="626D1220" w14:textId="77777777" w:rsidTr="006017AC">
        <w:tc>
          <w:tcPr>
            <w:tcW w:w="3275" w:type="dxa"/>
          </w:tcPr>
          <w:p w14:paraId="2F342D81" w14:textId="77777777" w:rsidR="006017AC" w:rsidRPr="006C3D7A" w:rsidRDefault="006017AC" w:rsidP="006017AC">
            <w:pPr>
              <w:pStyle w:val="tableheaderwithintable"/>
              <w:rPr>
                <w:lang w:val="en-US" w:eastAsia="en-US"/>
              </w:rPr>
            </w:pPr>
            <w:r w:rsidRPr="006C3D7A">
              <w:rPr>
                <w:lang w:val="en-US" w:eastAsia="en-US"/>
              </w:rPr>
              <w:t>New law</w:t>
            </w:r>
          </w:p>
        </w:tc>
        <w:tc>
          <w:tcPr>
            <w:tcW w:w="3276" w:type="dxa"/>
          </w:tcPr>
          <w:p w14:paraId="7FC27770" w14:textId="77777777" w:rsidR="006017AC" w:rsidRPr="006C3D7A" w:rsidRDefault="006017AC" w:rsidP="006017AC">
            <w:pPr>
              <w:pStyle w:val="tableheaderwithintable"/>
              <w:rPr>
                <w:lang w:val="en-US" w:eastAsia="en-US"/>
              </w:rPr>
            </w:pPr>
            <w:r w:rsidRPr="006C3D7A">
              <w:rPr>
                <w:lang w:val="en-US" w:eastAsia="en-US"/>
              </w:rPr>
              <w:t>Current law</w:t>
            </w:r>
          </w:p>
        </w:tc>
      </w:tr>
      <w:tr w:rsidR="006017AC" w:rsidRPr="004666B8" w14:paraId="332E5F78" w14:textId="77777777" w:rsidTr="006017AC">
        <w:tc>
          <w:tcPr>
            <w:tcW w:w="3275" w:type="dxa"/>
          </w:tcPr>
          <w:p w14:paraId="0D5D3B02" w14:textId="77777777" w:rsidR="006017AC" w:rsidRPr="006C3D7A" w:rsidRDefault="00CD6E13" w:rsidP="006017AC">
            <w:pPr>
              <w:pStyle w:val="tabletext"/>
              <w:rPr>
                <w:lang w:val="en-US" w:eastAsia="en-US"/>
              </w:rPr>
            </w:pPr>
            <w:r w:rsidRPr="00CD6E13">
              <w:rPr>
                <w:lang w:val="en-US" w:eastAsia="en-US"/>
              </w:rPr>
              <w:t xml:space="preserve">APRA make accept an enforceable undertaking from a person in connection with a matter in relation to which APRA has a power or function under the </w:t>
            </w:r>
            <w:r w:rsidRPr="00CD6E13" w:rsidDel="00E9202F">
              <w:rPr>
                <w:lang w:val="en-US" w:eastAsia="en-US"/>
              </w:rPr>
              <w:t xml:space="preserve">Prudential Supervision </w:t>
            </w:r>
            <w:r w:rsidR="00E9202F">
              <w:rPr>
                <w:lang w:val="en-US" w:eastAsia="en-US"/>
              </w:rPr>
              <w:t>Bill</w:t>
            </w:r>
            <w:r w:rsidRPr="00CD6E13">
              <w:rPr>
                <w:lang w:val="en-US" w:eastAsia="en-US"/>
              </w:rPr>
              <w:t xml:space="preserve"> or the risk equalisation levy legislation.  </w:t>
            </w:r>
          </w:p>
        </w:tc>
        <w:tc>
          <w:tcPr>
            <w:tcW w:w="3276" w:type="dxa"/>
          </w:tcPr>
          <w:p w14:paraId="4CAD65FC" w14:textId="77777777" w:rsidR="006017AC" w:rsidRPr="006C3D7A" w:rsidRDefault="00CD6E13" w:rsidP="006017AC">
            <w:pPr>
              <w:pStyle w:val="tabletext"/>
              <w:rPr>
                <w:lang w:val="en-US" w:eastAsia="en-US"/>
              </w:rPr>
            </w:pPr>
            <w:r w:rsidRPr="00CD6E13">
              <w:rPr>
                <w:lang w:val="en-US" w:eastAsia="en-US"/>
              </w:rPr>
              <w:t>The Council may accept an enforceable undertaking from a private health insurer if the Council considers that compliance with the undertaking will be likely to improve the insurer’s operations in relation to a Council-supervised obligation</w:t>
            </w:r>
            <w:r>
              <w:rPr>
                <w:lang w:val="en-US" w:eastAsia="en-US"/>
              </w:rPr>
              <w:t>.</w:t>
            </w:r>
          </w:p>
        </w:tc>
      </w:tr>
    </w:tbl>
    <w:p w14:paraId="15116027" w14:textId="77777777" w:rsidR="006017AC" w:rsidRDefault="006017AC" w:rsidP="006017AC">
      <w:pPr>
        <w:pStyle w:val="Heading2"/>
      </w:pPr>
      <w:r>
        <w:t>Detailed explanation of new law</w:t>
      </w:r>
    </w:p>
    <w:p w14:paraId="56A27EAD" w14:textId="77777777" w:rsidR="00014D99" w:rsidRDefault="00014D99" w:rsidP="00014D99">
      <w:pPr>
        <w:pStyle w:val="Heading3"/>
      </w:pPr>
      <w:r>
        <w:t>Part 7 – Enforceable undertakings</w:t>
      </w:r>
    </w:p>
    <w:p w14:paraId="32E289C4" w14:textId="77777777" w:rsidR="00014D99" w:rsidRDefault="00014D99" w:rsidP="00014D99">
      <w:pPr>
        <w:pStyle w:val="Heading4"/>
      </w:pPr>
      <w:r>
        <w:t xml:space="preserve">Simplified outline </w:t>
      </w:r>
    </w:p>
    <w:p w14:paraId="37CBF2A7" w14:textId="77777777" w:rsidR="00014D99" w:rsidRPr="006C3D7A" w:rsidRDefault="00B679F9" w:rsidP="000F194A">
      <w:pPr>
        <w:pStyle w:val="base-text-paragraph"/>
      </w:pPr>
      <w:r>
        <w:t xml:space="preserve">APRA may accept an undertaking given by a person in connection with matters relating to </w:t>
      </w:r>
      <w:r w:rsidR="0038721E">
        <w:t xml:space="preserve">the </w:t>
      </w:r>
      <w:r w:rsidR="0038721E">
        <w:rPr>
          <w:lang w:val="en-US" w:eastAsia="en-US"/>
        </w:rPr>
        <w:t>Prudential Supervision Bill</w:t>
      </w:r>
      <w:r w:rsidR="0038721E">
        <w:t xml:space="preserve"> </w:t>
      </w:r>
      <w:r>
        <w:t>or the risk equalisation levy legislation.</w:t>
      </w:r>
      <w:r w:rsidR="00CC7F8D">
        <w:t xml:space="preserve"> </w:t>
      </w:r>
      <w:r>
        <w:t>APRA may apply to the Federal Court for an order (for example, an order directing compliance) if APRA considers that an undertaking has been contravened.</w:t>
      </w:r>
      <w:r w:rsidR="00BF5CF8" w:rsidRPr="006C3D7A">
        <w:t xml:space="preserve"> </w:t>
      </w:r>
      <w:r w:rsidR="00BF5CF8">
        <w:rPr>
          <w:rStyle w:val="Referencingstyle"/>
        </w:rPr>
        <w:t>[Part </w:t>
      </w:r>
      <w:r w:rsidR="00BF5CF8" w:rsidRPr="006C3D7A">
        <w:rPr>
          <w:rStyle w:val="Referencingstyle"/>
        </w:rPr>
        <w:t>7, Division 1, section 15</w:t>
      </w:r>
      <w:r w:rsidR="00CC7F8D">
        <w:rPr>
          <w:rStyle w:val="Referencingstyle"/>
        </w:rPr>
        <w:t>1</w:t>
      </w:r>
      <w:r w:rsidR="00BF5CF8" w:rsidRPr="006C3D7A">
        <w:rPr>
          <w:rStyle w:val="Referencingstyle"/>
        </w:rPr>
        <w:t>]</w:t>
      </w:r>
    </w:p>
    <w:p w14:paraId="2628D154" w14:textId="77777777" w:rsidR="00014D99" w:rsidRDefault="00014D99" w:rsidP="00014D99">
      <w:pPr>
        <w:pStyle w:val="Heading4"/>
      </w:pPr>
      <w:r>
        <w:t>Enforceable undertakings</w:t>
      </w:r>
    </w:p>
    <w:p w14:paraId="06F34322" w14:textId="77777777" w:rsidR="00014D99" w:rsidRDefault="00014D99" w:rsidP="0038721E">
      <w:pPr>
        <w:pStyle w:val="base-text-paragraph"/>
        <w:tabs>
          <w:tab w:val="clear" w:pos="1985"/>
          <w:tab w:val="num" w:pos="1986"/>
        </w:tabs>
      </w:pPr>
      <w:r>
        <w:t xml:space="preserve">APRA may accept a written undertaking from a person </w:t>
      </w:r>
      <w:r w:rsidR="00DC6DC0">
        <w:t xml:space="preserve">in connection with </w:t>
      </w:r>
      <w:r>
        <w:t xml:space="preserve">matters </w:t>
      </w:r>
      <w:r w:rsidR="00DC6DC0">
        <w:t xml:space="preserve">in relation to which </w:t>
      </w:r>
      <w:r>
        <w:t xml:space="preserve">APRA has a power or function under </w:t>
      </w:r>
      <w:r w:rsidR="00DC6DC0">
        <w:t>the</w:t>
      </w:r>
      <w:r>
        <w:t xml:space="preserve"> </w:t>
      </w:r>
      <w:r w:rsidR="0038721E" w:rsidRPr="0038721E">
        <w:t xml:space="preserve">Prudential Supervision </w:t>
      </w:r>
      <w:r w:rsidR="00DC6DC0" w:rsidDel="0038721E">
        <w:t>Bill</w:t>
      </w:r>
      <w:r w:rsidR="00DC6DC0">
        <w:t xml:space="preserve"> </w:t>
      </w:r>
      <w:r w:rsidR="00A25807">
        <w:t>(</w:t>
      </w:r>
      <w:r w:rsidR="00DC6DC0">
        <w:t xml:space="preserve">which will include </w:t>
      </w:r>
      <w:r>
        <w:t>prudential standard</w:t>
      </w:r>
      <w:r w:rsidR="00A25807">
        <w:t xml:space="preserve">s </w:t>
      </w:r>
      <w:r w:rsidR="00DC6DC0">
        <w:t xml:space="preserve">and </w:t>
      </w:r>
      <w:r w:rsidR="00A25807">
        <w:t xml:space="preserve">APRA rules) or the risk equalisation </w:t>
      </w:r>
      <w:r w:rsidR="00BF5CF8">
        <w:t xml:space="preserve">fund </w:t>
      </w:r>
      <w:r w:rsidR="00A25807">
        <w:t>legislation</w:t>
      </w:r>
      <w:r>
        <w:t xml:space="preserve">.  </w:t>
      </w:r>
      <w:r w:rsidRPr="00702512">
        <w:rPr>
          <w:rStyle w:val="Referencingstyle"/>
        </w:rPr>
        <w:t>[Part 7, subsection</w:t>
      </w:r>
      <w:r w:rsidR="004C31C6">
        <w:rPr>
          <w:rStyle w:val="Referencingstyle"/>
        </w:rPr>
        <w:t> </w:t>
      </w:r>
      <w:r w:rsidR="005A1243" w:rsidRPr="00702512">
        <w:rPr>
          <w:rStyle w:val="Referencingstyle"/>
        </w:rPr>
        <w:t>15</w:t>
      </w:r>
      <w:r w:rsidR="005A1243">
        <w:rPr>
          <w:rStyle w:val="Referencingstyle"/>
        </w:rPr>
        <w:t>2</w:t>
      </w:r>
      <w:r w:rsidRPr="00702512">
        <w:rPr>
          <w:rStyle w:val="Referencingstyle"/>
        </w:rPr>
        <w:t>(1)]</w:t>
      </w:r>
    </w:p>
    <w:p w14:paraId="3D632AFF" w14:textId="77777777" w:rsidR="00014D99" w:rsidRPr="00CC7F8D" w:rsidRDefault="00014D99" w:rsidP="000F194A">
      <w:pPr>
        <w:pStyle w:val="base-text-paragraph"/>
        <w:rPr>
          <w:rStyle w:val="Referencingstyle"/>
          <w:b w:val="0"/>
          <w:i w:val="0"/>
          <w:sz w:val="22"/>
        </w:rPr>
      </w:pPr>
      <w:r>
        <w:t>The enforceable undertaking may be withdrawn or varied at any time, if APRA consents.</w:t>
      </w:r>
      <w:r w:rsidR="004F0185">
        <w:t xml:space="preserve"> </w:t>
      </w:r>
      <w:r w:rsidR="004F0185" w:rsidRPr="00702512">
        <w:rPr>
          <w:rStyle w:val="Referencingstyle"/>
        </w:rPr>
        <w:t>[Part 7, subsection 15</w:t>
      </w:r>
      <w:r w:rsidR="004F0185">
        <w:rPr>
          <w:rStyle w:val="Referencingstyle"/>
        </w:rPr>
        <w:t>2(2</w:t>
      </w:r>
      <w:r w:rsidR="004F0185" w:rsidRPr="00702512">
        <w:rPr>
          <w:rStyle w:val="Referencingstyle"/>
        </w:rPr>
        <w:t>)]</w:t>
      </w:r>
    </w:p>
    <w:p w14:paraId="20754298" w14:textId="77777777" w:rsidR="00DC102B" w:rsidRPr="00CF309C" w:rsidRDefault="00DC102B" w:rsidP="00CF309C">
      <w:pPr>
        <w:pStyle w:val="base-text-paragraph"/>
        <w:tabs>
          <w:tab w:val="clear" w:pos="1985"/>
          <w:tab w:val="num" w:pos="1986"/>
        </w:tabs>
        <w:rPr>
          <w:rStyle w:val="Referencingstyle"/>
          <w:b w:val="0"/>
          <w:i w:val="0"/>
          <w:sz w:val="22"/>
        </w:rPr>
      </w:pPr>
      <w:r w:rsidRPr="00CF309C">
        <w:rPr>
          <w:rStyle w:val="Referencingstyle"/>
          <w:b w:val="0"/>
          <w:i w:val="0"/>
          <w:sz w:val="22"/>
        </w:rPr>
        <w:t>A decision to consent or not to consent is given on a case by case basis and is therefore not a legislative instrument. Therefore the statement in subsection 152(3) therefore does not constitute a substantive exemption</w:t>
      </w:r>
      <w:r w:rsidR="00007607" w:rsidRPr="00CF309C">
        <w:rPr>
          <w:rStyle w:val="Referencingstyle"/>
          <w:b w:val="0"/>
          <w:i w:val="0"/>
          <w:sz w:val="22"/>
        </w:rPr>
        <w:t xml:space="preserve"> from the Legislative Instruments Act</w:t>
      </w:r>
      <w:r w:rsidRPr="00CF309C">
        <w:rPr>
          <w:rStyle w:val="Referencingstyle"/>
          <w:b w:val="0"/>
          <w:i w:val="0"/>
          <w:sz w:val="22"/>
        </w:rPr>
        <w:t>, rather it is a statement of the ‘status quo’.</w:t>
      </w:r>
      <w:r w:rsidR="00406306" w:rsidRPr="00406306">
        <w:t xml:space="preserve"> </w:t>
      </w:r>
      <w:r w:rsidR="00B96CBF">
        <w:t xml:space="preserve">This decision is not listed as a reviewable decision in section 168 of the </w:t>
      </w:r>
      <w:r w:rsidR="00CF309C" w:rsidRPr="00CF309C">
        <w:t>Prudential Supervision Bill</w:t>
      </w:r>
      <w:r w:rsidR="00B96CBF">
        <w:t xml:space="preserve">. This is to ensure that enforceable undertakings can be used to finalise issues and to avoid ongoing litigation. Furthermore, insurers voluntarily enter into enforceable undertakings. </w:t>
      </w:r>
      <w:r w:rsidR="00406306" w:rsidRPr="00702512">
        <w:rPr>
          <w:rStyle w:val="Referencingstyle"/>
        </w:rPr>
        <w:t>[Part 7, subsection 15</w:t>
      </w:r>
      <w:r w:rsidR="00406306">
        <w:rPr>
          <w:rStyle w:val="Referencingstyle"/>
        </w:rPr>
        <w:t>2(3</w:t>
      </w:r>
      <w:r w:rsidR="00406306" w:rsidRPr="00702512">
        <w:rPr>
          <w:rStyle w:val="Referencingstyle"/>
        </w:rPr>
        <w:t>)]</w:t>
      </w:r>
    </w:p>
    <w:p w14:paraId="4D887F69" w14:textId="77777777" w:rsidR="00014D99" w:rsidRDefault="00014D99" w:rsidP="000F194A">
      <w:pPr>
        <w:pStyle w:val="base-text-paragraph"/>
      </w:pPr>
      <w:r>
        <w:t>If APRA considers a person has breached an enforceable undertaking, it may apply to the Federal Court for various orders, including ordering:</w:t>
      </w:r>
    </w:p>
    <w:p w14:paraId="088CAFD9" w14:textId="77777777" w:rsidR="00014D99" w:rsidRDefault="00014D99" w:rsidP="00014D99">
      <w:pPr>
        <w:pStyle w:val="dotpoint"/>
      </w:pPr>
      <w:r>
        <w:t>compliance with the undertaking;</w:t>
      </w:r>
    </w:p>
    <w:p w14:paraId="1842BD00" w14:textId="77777777" w:rsidR="00014D99" w:rsidRDefault="00014D99" w:rsidP="00014D99">
      <w:pPr>
        <w:pStyle w:val="dotpoint"/>
      </w:pPr>
      <w:r>
        <w:t>the person to pay to the Commonwealth any amount gained due to the breach; or</w:t>
      </w:r>
    </w:p>
    <w:p w14:paraId="53596012" w14:textId="77777777" w:rsidR="00014D99" w:rsidRDefault="00014D99" w:rsidP="00014D99">
      <w:pPr>
        <w:pStyle w:val="dotpoint"/>
      </w:pPr>
      <w:r>
        <w:t>compensation to any other person</w:t>
      </w:r>
      <w:r w:rsidR="007822E7">
        <w:t xml:space="preserve"> </w:t>
      </w:r>
      <w:r w:rsidR="00155BEF">
        <w:t xml:space="preserve">who </w:t>
      </w:r>
      <w:r w:rsidR="00C2451E">
        <w:t>has suffered loss due to the breach</w:t>
      </w:r>
      <w:r>
        <w:t xml:space="preserve">. </w:t>
      </w:r>
      <w:r w:rsidRPr="00702512">
        <w:rPr>
          <w:rStyle w:val="Referencingstyle"/>
        </w:rPr>
        <w:t>[Part</w:t>
      </w:r>
      <w:r w:rsidR="00A3054C">
        <w:rPr>
          <w:rStyle w:val="Referencingstyle"/>
        </w:rPr>
        <w:t> </w:t>
      </w:r>
      <w:r w:rsidRPr="00702512">
        <w:rPr>
          <w:rStyle w:val="Referencingstyle"/>
        </w:rPr>
        <w:t>7,</w:t>
      </w:r>
      <w:r w:rsidR="00A3054C">
        <w:rPr>
          <w:rStyle w:val="Referencingstyle"/>
        </w:rPr>
        <w:t> </w:t>
      </w:r>
      <w:r w:rsidRPr="00702512">
        <w:rPr>
          <w:rStyle w:val="Referencingstyle"/>
        </w:rPr>
        <w:t>subsection</w:t>
      </w:r>
      <w:r w:rsidR="00A3054C">
        <w:rPr>
          <w:rStyle w:val="Referencingstyle"/>
        </w:rPr>
        <w:t> </w:t>
      </w:r>
      <w:r w:rsidR="005A1243" w:rsidRPr="00702512">
        <w:rPr>
          <w:rStyle w:val="Referencingstyle"/>
        </w:rPr>
        <w:t>15</w:t>
      </w:r>
      <w:r w:rsidR="005A1243">
        <w:rPr>
          <w:rStyle w:val="Referencingstyle"/>
        </w:rPr>
        <w:t>2</w:t>
      </w:r>
      <w:r w:rsidRPr="00702512">
        <w:rPr>
          <w:rStyle w:val="Referencingstyle"/>
        </w:rPr>
        <w:t>(</w:t>
      </w:r>
      <w:r w:rsidR="00CC7F8D">
        <w:rPr>
          <w:rStyle w:val="Referencingstyle"/>
        </w:rPr>
        <w:t>4</w:t>
      </w:r>
      <w:r w:rsidRPr="00702512">
        <w:rPr>
          <w:rStyle w:val="Referencingstyle"/>
        </w:rPr>
        <w:t>)</w:t>
      </w:r>
      <w:r w:rsidR="00A3054C">
        <w:rPr>
          <w:rStyle w:val="Referencingstyle"/>
        </w:rPr>
        <w:t> </w:t>
      </w:r>
      <w:r w:rsidRPr="00702512">
        <w:rPr>
          <w:rStyle w:val="Referencingstyle"/>
        </w:rPr>
        <w:t>and</w:t>
      </w:r>
      <w:r w:rsidR="00A3054C">
        <w:rPr>
          <w:rStyle w:val="Referencingstyle"/>
        </w:rPr>
        <w:t> </w:t>
      </w:r>
      <w:r w:rsidRPr="00702512">
        <w:rPr>
          <w:rStyle w:val="Referencingstyle"/>
        </w:rPr>
        <w:t>(</w:t>
      </w:r>
      <w:r w:rsidR="00CC7F8D">
        <w:rPr>
          <w:rStyle w:val="Referencingstyle"/>
        </w:rPr>
        <w:t>5</w:t>
      </w:r>
      <w:r w:rsidRPr="00702512">
        <w:rPr>
          <w:rStyle w:val="Referencingstyle"/>
        </w:rPr>
        <w:t>)]</w:t>
      </w:r>
    </w:p>
    <w:p w14:paraId="69D9DE36" w14:textId="77777777" w:rsidR="005B4085" w:rsidRDefault="005B4085">
      <w:pPr>
        <w:spacing w:before="0" w:after="0"/>
        <w:sectPr w:rsidR="005B4085" w:rsidSect="00D86E5E">
          <w:headerReference w:type="even" r:id="rId69"/>
          <w:headerReference w:type="default" r:id="rId70"/>
          <w:footerReference w:type="even" r:id="rId71"/>
          <w:footerReference w:type="default" r:id="rId72"/>
          <w:footerReference w:type="first" r:id="rId73"/>
          <w:type w:val="oddPage"/>
          <w:pgSz w:w="11906" w:h="16838" w:code="9"/>
          <w:pgMar w:top="2466" w:right="2098" w:bottom="2466" w:left="2098" w:header="1559" w:footer="1899" w:gutter="0"/>
          <w:cols w:space="708"/>
          <w:titlePg/>
          <w:docGrid w:linePitch="360"/>
        </w:sectPr>
      </w:pPr>
    </w:p>
    <w:p w14:paraId="662EA58A" w14:textId="77777777" w:rsidR="006017AC" w:rsidRPr="00F51A71" w:rsidRDefault="006017AC" w:rsidP="00DD7789">
      <w:pPr>
        <w:pStyle w:val="ChapterHeading"/>
        <w:numPr>
          <w:ilvl w:val="0"/>
          <w:numId w:val="105"/>
        </w:numPr>
        <w:tabs>
          <w:tab w:val="clear" w:pos="1134"/>
          <w:tab w:val="num" w:pos="360"/>
        </w:tabs>
      </w:pPr>
      <w:r w:rsidRPr="00F51A71">
        <w:br/>
      </w:r>
      <w:bookmarkStart w:id="228" w:name="_Toc406581441"/>
      <w:bookmarkStart w:id="229" w:name="_Toc406752113"/>
      <w:bookmarkStart w:id="230" w:name="_Toc406757013"/>
      <w:bookmarkStart w:id="231" w:name="_Toc406760726"/>
      <w:bookmarkStart w:id="232" w:name="_Toc407026925"/>
      <w:bookmarkStart w:id="233" w:name="_Toc416957161"/>
      <w:bookmarkStart w:id="234" w:name="_Toc418177768"/>
      <w:bookmarkStart w:id="235" w:name="_Toc418249765"/>
      <w:r>
        <w:t>Remedies in the Federal Court</w:t>
      </w:r>
      <w:bookmarkEnd w:id="228"/>
      <w:bookmarkEnd w:id="229"/>
      <w:bookmarkEnd w:id="230"/>
      <w:bookmarkEnd w:id="231"/>
      <w:bookmarkEnd w:id="232"/>
      <w:bookmarkEnd w:id="233"/>
      <w:bookmarkEnd w:id="234"/>
      <w:bookmarkEnd w:id="235"/>
    </w:p>
    <w:p w14:paraId="26919CDD" w14:textId="77777777" w:rsidR="006017AC" w:rsidRDefault="006017AC" w:rsidP="006017AC">
      <w:pPr>
        <w:pStyle w:val="Heading2"/>
      </w:pPr>
      <w:r>
        <w:t>Outline of chapter</w:t>
      </w:r>
    </w:p>
    <w:p w14:paraId="3B3B9C2F" w14:textId="77777777" w:rsidR="006017AC" w:rsidRDefault="003240FC" w:rsidP="00CF309C">
      <w:pPr>
        <w:pStyle w:val="base-text-paragraph"/>
        <w:tabs>
          <w:tab w:val="clear" w:pos="1985"/>
          <w:tab w:val="num" w:pos="1986"/>
        </w:tabs>
      </w:pPr>
      <w:r>
        <w:t xml:space="preserve">Part 8 of the </w:t>
      </w:r>
      <w:r w:rsidR="00CF309C" w:rsidRPr="00CF309C">
        <w:t xml:space="preserve">Prudential Supervision </w:t>
      </w:r>
      <w:r w:rsidR="0023493D" w:rsidDel="00CF309C">
        <w:t>Bill</w:t>
      </w:r>
      <w:r>
        <w:t xml:space="preserve"> relates to remedies available in the Federal Court for</w:t>
      </w:r>
      <w:r w:rsidR="004C31C6">
        <w:t xml:space="preserve"> a</w:t>
      </w:r>
      <w:r w:rsidDel="00B10F0E">
        <w:t xml:space="preserve"> </w:t>
      </w:r>
      <w:r>
        <w:t>private health insurer</w:t>
      </w:r>
      <w:r w:rsidR="004C31C6">
        <w:t>’</w:t>
      </w:r>
      <w:r w:rsidR="00CF309C">
        <w:t>s non</w:t>
      </w:r>
      <w:r w:rsidR="00CF309C">
        <w:noBreakHyphen/>
      </w:r>
      <w:r>
        <w:t>compliance with an enforceable obligation.</w:t>
      </w:r>
    </w:p>
    <w:p w14:paraId="78E37F01" w14:textId="77777777" w:rsidR="00C341C2" w:rsidRDefault="00C341C2" w:rsidP="00CF309C">
      <w:pPr>
        <w:pStyle w:val="base-text-paragraph"/>
        <w:tabs>
          <w:tab w:val="clear" w:pos="1985"/>
          <w:tab w:val="num" w:pos="1986"/>
        </w:tabs>
      </w:pPr>
      <w:r>
        <w:t xml:space="preserve">Unless otherwise stated, all references in this Chapter relate to the </w:t>
      </w:r>
      <w:r>
        <w:rPr>
          <w:rStyle w:val="Referencingstyle"/>
          <w:b w:val="0"/>
          <w:i w:val="0"/>
          <w:sz w:val="22"/>
        </w:rPr>
        <w:t>Prudential Supervision Bill.</w:t>
      </w:r>
    </w:p>
    <w:p w14:paraId="4A8C3197" w14:textId="77777777" w:rsidR="006017AC" w:rsidRDefault="006017AC" w:rsidP="006017AC">
      <w:pPr>
        <w:pStyle w:val="Heading2"/>
      </w:pPr>
      <w:r>
        <w:t>Summary of new law</w:t>
      </w:r>
    </w:p>
    <w:p w14:paraId="7F573ACE" w14:textId="77777777" w:rsidR="006017AC" w:rsidRDefault="003240FC" w:rsidP="00CF309C">
      <w:pPr>
        <w:pStyle w:val="base-text-paragraph"/>
        <w:tabs>
          <w:tab w:val="clear" w:pos="1985"/>
          <w:tab w:val="num" w:pos="1986"/>
        </w:tabs>
      </w:pPr>
      <w:r>
        <w:t xml:space="preserve">The provisions of Part 8 of the </w:t>
      </w:r>
      <w:r w:rsidR="00CF309C" w:rsidRPr="00CF309C">
        <w:t xml:space="preserve">Prudential Supervision </w:t>
      </w:r>
      <w:r w:rsidR="0023493D" w:rsidDel="00CF309C">
        <w:t>Bill</w:t>
      </w:r>
      <w:r>
        <w:t xml:space="preserve"> are based on Division 203 of the PHI Act (other than section 203-20 </w:t>
      </w:r>
      <w:r w:rsidR="00B10F0E">
        <w:t xml:space="preserve">which </w:t>
      </w:r>
      <w:r>
        <w:t>relat</w:t>
      </w:r>
      <w:r w:rsidR="00B10F0E">
        <w:t>es</w:t>
      </w:r>
      <w:r>
        <w:t xml:space="preserve"> to </w:t>
      </w:r>
      <w:r w:rsidR="00B10F0E">
        <w:t xml:space="preserve">an </w:t>
      </w:r>
      <w:r>
        <w:t xml:space="preserve">adverse publicity order).  </w:t>
      </w:r>
    </w:p>
    <w:p w14:paraId="5077DF94" w14:textId="77777777" w:rsidR="00B10F0E" w:rsidRPr="008F726E" w:rsidRDefault="00B10F0E" w:rsidP="000F194A">
      <w:pPr>
        <w:pStyle w:val="base-text-paragraph"/>
      </w:pPr>
      <w:r w:rsidRPr="00C85607">
        <w:t xml:space="preserve">Division 203 will continue to remain in the PHI Act, but with references to the </w:t>
      </w:r>
      <w:r w:rsidR="004956B3">
        <w:t>Council</w:t>
      </w:r>
      <w:r w:rsidRPr="00C85607">
        <w:t xml:space="preserve"> omitted</w:t>
      </w:r>
      <w:r>
        <w:t>.</w:t>
      </w:r>
    </w:p>
    <w:p w14:paraId="21C91C97" w14:textId="77777777" w:rsidR="006017AC" w:rsidRDefault="006017AC" w:rsidP="006017AC">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259ED" w:rsidRPr="004666B8" w14:paraId="28AFB94B" w14:textId="77777777" w:rsidTr="00CF309C">
        <w:trPr>
          <w:tblHeader/>
        </w:trPr>
        <w:tc>
          <w:tcPr>
            <w:tcW w:w="3275" w:type="dxa"/>
          </w:tcPr>
          <w:p w14:paraId="3B5A8EF1" w14:textId="77777777" w:rsidR="001259ED" w:rsidRPr="004666B8" w:rsidRDefault="001259ED" w:rsidP="00D33EC5">
            <w:pPr>
              <w:pStyle w:val="tableheaderwithintable"/>
              <w:rPr>
                <w:lang w:val="en-US" w:eastAsia="en-US"/>
              </w:rPr>
            </w:pPr>
            <w:r w:rsidRPr="004666B8">
              <w:rPr>
                <w:lang w:val="en-US" w:eastAsia="en-US"/>
              </w:rPr>
              <w:t>New law</w:t>
            </w:r>
          </w:p>
        </w:tc>
        <w:tc>
          <w:tcPr>
            <w:tcW w:w="3276" w:type="dxa"/>
          </w:tcPr>
          <w:p w14:paraId="1C2A9556" w14:textId="77777777" w:rsidR="001259ED" w:rsidRPr="004666B8" w:rsidRDefault="001259ED" w:rsidP="00D33EC5">
            <w:pPr>
              <w:pStyle w:val="tableheaderwithintable"/>
              <w:rPr>
                <w:lang w:val="en-US" w:eastAsia="en-US"/>
              </w:rPr>
            </w:pPr>
            <w:r w:rsidRPr="004666B8">
              <w:rPr>
                <w:lang w:val="en-US" w:eastAsia="en-US"/>
              </w:rPr>
              <w:t>Current law</w:t>
            </w:r>
            <w:r>
              <w:rPr>
                <w:lang w:val="en-US" w:eastAsia="en-US"/>
              </w:rPr>
              <w:t xml:space="preserve"> </w:t>
            </w:r>
          </w:p>
        </w:tc>
      </w:tr>
      <w:tr w:rsidR="001259ED" w:rsidRPr="004666B8" w14:paraId="76F47B29" w14:textId="77777777" w:rsidTr="00D33EC5">
        <w:tc>
          <w:tcPr>
            <w:tcW w:w="3275" w:type="dxa"/>
          </w:tcPr>
          <w:p w14:paraId="78643CCC" w14:textId="77777777" w:rsidR="001259ED" w:rsidRPr="004666B8" w:rsidRDefault="001259ED" w:rsidP="00D33EC5">
            <w:pPr>
              <w:pStyle w:val="tabletext"/>
              <w:rPr>
                <w:lang w:val="en-US" w:eastAsia="en-US"/>
              </w:rPr>
            </w:pPr>
            <w:r>
              <w:rPr>
                <w:lang w:val="en-US" w:eastAsia="en-US"/>
              </w:rPr>
              <w:t>The Health Minister will continue to have powers under Division 203 of the PHI Act, including power to seek an adverse publicity order, but these powers will be confined to enforc</w:t>
            </w:r>
            <w:r w:rsidR="00BC2FAC">
              <w:rPr>
                <w:lang w:val="en-US" w:eastAsia="en-US"/>
              </w:rPr>
              <w:t>eable obligations under the PHI </w:t>
            </w:r>
            <w:r w:rsidR="00CF309C">
              <w:rPr>
                <w:lang w:val="en-US" w:eastAsia="en-US"/>
              </w:rPr>
              <w:t xml:space="preserve">Act. </w:t>
            </w:r>
            <w:r>
              <w:rPr>
                <w:lang w:val="en-US" w:eastAsia="en-US"/>
              </w:rPr>
              <w:t xml:space="preserve">They will not extend to the </w:t>
            </w:r>
            <w:r w:rsidR="00E9202F">
              <w:rPr>
                <w:lang w:val="en-US" w:eastAsia="en-US"/>
              </w:rPr>
              <w:t>Prudential Supervision Bill</w:t>
            </w:r>
            <w:r w:rsidR="00CF309C">
              <w:rPr>
                <w:lang w:val="en-US" w:eastAsia="en-US"/>
              </w:rPr>
              <w:t xml:space="preserve">. </w:t>
            </w:r>
            <w:r>
              <w:rPr>
                <w:lang w:val="en-US" w:eastAsia="en-US"/>
              </w:rPr>
              <w:t>Accordingly there will be no overlap between the Health Minister’s powers and responsibilities in this area and APRA’s</w:t>
            </w:r>
            <w:r w:rsidR="00336DA7">
              <w:rPr>
                <w:lang w:val="en-US" w:eastAsia="en-US"/>
              </w:rPr>
              <w:t xml:space="preserve"> powers</w:t>
            </w:r>
            <w:r>
              <w:rPr>
                <w:lang w:val="en-US" w:eastAsia="en-US"/>
              </w:rPr>
              <w:t>. APRA will not have power to seek an adverse publicity order.</w:t>
            </w:r>
          </w:p>
        </w:tc>
        <w:tc>
          <w:tcPr>
            <w:tcW w:w="3276" w:type="dxa"/>
          </w:tcPr>
          <w:p w14:paraId="387D540C" w14:textId="77777777" w:rsidR="001259ED" w:rsidRDefault="001259ED" w:rsidP="00D33EC5">
            <w:pPr>
              <w:pStyle w:val="tabletext"/>
              <w:rPr>
                <w:lang w:val="en-US" w:eastAsia="en-US"/>
              </w:rPr>
            </w:pPr>
            <w:r>
              <w:rPr>
                <w:lang w:val="en-US" w:eastAsia="en-US"/>
              </w:rPr>
              <w:t xml:space="preserve">The Health Minister has same powers as the Council under Division 203, but the Health Minister’s powers extend </w:t>
            </w:r>
            <w:r w:rsidR="000E63F2">
              <w:rPr>
                <w:lang w:val="en-US" w:eastAsia="en-US"/>
              </w:rPr>
              <w:t>to all ‘enforceable obligations’</w:t>
            </w:r>
            <w:r>
              <w:rPr>
                <w:lang w:val="en-US" w:eastAsia="en-US"/>
              </w:rPr>
              <w:t xml:space="preserve"> within the meaning of the PHI Act. They also include power to seek an adverse publicity order and seek a compensation order.</w:t>
            </w:r>
          </w:p>
          <w:p w14:paraId="3B0E269A" w14:textId="77777777" w:rsidR="001259ED" w:rsidRDefault="001259ED" w:rsidP="00D33EC5">
            <w:pPr>
              <w:pStyle w:val="tabletext"/>
              <w:rPr>
                <w:lang w:val="en-US" w:eastAsia="en-US"/>
              </w:rPr>
            </w:pPr>
          </w:p>
          <w:p w14:paraId="28EBBE69" w14:textId="77777777" w:rsidR="001259ED" w:rsidRPr="004666B8" w:rsidRDefault="001259ED" w:rsidP="00D33EC5">
            <w:pPr>
              <w:pStyle w:val="tabletext"/>
              <w:rPr>
                <w:lang w:val="en-US" w:eastAsia="en-US"/>
              </w:rPr>
            </w:pPr>
          </w:p>
        </w:tc>
      </w:tr>
      <w:tr w:rsidR="001259ED" w:rsidRPr="003240FC" w14:paraId="7A33CAEC" w14:textId="77777777" w:rsidTr="00D33EC5">
        <w:tc>
          <w:tcPr>
            <w:tcW w:w="3275" w:type="dxa"/>
          </w:tcPr>
          <w:p w14:paraId="1C25DCDE" w14:textId="77777777" w:rsidR="001259ED" w:rsidRDefault="001259ED" w:rsidP="00CF309C">
            <w:pPr>
              <w:pStyle w:val="tabletext"/>
              <w:keepNext/>
              <w:keepLines/>
              <w:rPr>
                <w:lang w:val="en-US" w:eastAsia="en-US"/>
              </w:rPr>
            </w:pPr>
            <w:r>
              <w:rPr>
                <w:lang w:val="en-US" w:eastAsia="en-US"/>
              </w:rPr>
              <w:t>APRA may apply to the Federal Court for a declaration that a private health insurer has contravened an enforceable obligation within the meaning of the Bill</w:t>
            </w:r>
            <w:r w:rsidR="00BC2FAC">
              <w:rPr>
                <w:lang w:val="en-US" w:eastAsia="en-US"/>
              </w:rPr>
              <w:t>.</w:t>
            </w:r>
            <w:r>
              <w:rPr>
                <w:lang w:val="en-US" w:eastAsia="en-US"/>
              </w:rPr>
              <w:t xml:space="preserve"> </w:t>
            </w:r>
          </w:p>
          <w:p w14:paraId="7396E59F" w14:textId="77777777" w:rsidR="001259ED" w:rsidRDefault="001259ED" w:rsidP="00CF309C">
            <w:pPr>
              <w:pStyle w:val="tabletext"/>
              <w:keepNext/>
              <w:keepLines/>
              <w:rPr>
                <w:lang w:val="en-US" w:eastAsia="en-US"/>
              </w:rPr>
            </w:pPr>
            <w:r>
              <w:rPr>
                <w:lang w:val="en-US" w:eastAsia="en-US"/>
              </w:rPr>
              <w:t>The appl</w:t>
            </w:r>
            <w:r w:rsidR="00ED52FE">
              <w:rPr>
                <w:lang w:val="en-US" w:eastAsia="en-US"/>
              </w:rPr>
              <w:t>ication must be brought within four</w:t>
            </w:r>
            <w:r>
              <w:rPr>
                <w:lang w:val="en-US" w:eastAsia="en-US"/>
              </w:rPr>
              <w:t xml:space="preserve"> yea</w:t>
            </w:r>
            <w:r w:rsidR="00713713">
              <w:rPr>
                <w:lang w:val="en-US" w:eastAsia="en-US"/>
              </w:rPr>
              <w:t>rs of the alleged contravention.</w:t>
            </w:r>
          </w:p>
          <w:p w14:paraId="7EF3EEB5" w14:textId="77777777" w:rsidR="001259ED" w:rsidRDefault="001259ED" w:rsidP="00CF309C">
            <w:pPr>
              <w:pStyle w:val="tabletext"/>
              <w:keepNext/>
              <w:keepLines/>
              <w:rPr>
                <w:lang w:val="en-US" w:eastAsia="en-US"/>
              </w:rPr>
            </w:pPr>
          </w:p>
        </w:tc>
        <w:tc>
          <w:tcPr>
            <w:tcW w:w="3276" w:type="dxa"/>
          </w:tcPr>
          <w:p w14:paraId="6F198FF6" w14:textId="77777777" w:rsidR="001259ED" w:rsidRDefault="001259ED" w:rsidP="00CF309C">
            <w:pPr>
              <w:pStyle w:val="tabletext"/>
              <w:keepNext/>
              <w:keepLines/>
              <w:rPr>
                <w:lang w:val="en-US" w:eastAsia="en-US"/>
              </w:rPr>
            </w:pPr>
            <w:r>
              <w:rPr>
                <w:lang w:val="en-US" w:eastAsia="en-US"/>
              </w:rPr>
              <w:t>The Council may apply to the Federal Court for a declaration that a private health insurer has contravened a Council-supervised obligation with the meaning of the PHI Act</w:t>
            </w:r>
            <w:r w:rsidR="00713713">
              <w:rPr>
                <w:lang w:val="en-US" w:eastAsia="en-US"/>
              </w:rPr>
              <w:t>.</w:t>
            </w:r>
          </w:p>
          <w:p w14:paraId="42B4B419" w14:textId="77777777" w:rsidR="001259ED" w:rsidRDefault="001259ED" w:rsidP="00CF309C">
            <w:pPr>
              <w:pStyle w:val="tabletext"/>
              <w:keepNext/>
              <w:keepLines/>
              <w:rPr>
                <w:lang w:val="en-US" w:eastAsia="en-US"/>
              </w:rPr>
            </w:pPr>
            <w:r>
              <w:rPr>
                <w:lang w:val="en-US" w:eastAsia="en-US"/>
              </w:rPr>
              <w:t>The appl</w:t>
            </w:r>
            <w:r w:rsidR="00ED52FE">
              <w:rPr>
                <w:lang w:val="en-US" w:eastAsia="en-US"/>
              </w:rPr>
              <w:t>ication must be brought within six</w:t>
            </w:r>
            <w:r>
              <w:rPr>
                <w:lang w:val="en-US" w:eastAsia="en-US"/>
              </w:rPr>
              <w:t xml:space="preserve"> yea</w:t>
            </w:r>
            <w:r w:rsidR="00713713">
              <w:rPr>
                <w:lang w:val="en-US" w:eastAsia="en-US"/>
              </w:rPr>
              <w:t>rs of the alleged contravention.</w:t>
            </w:r>
          </w:p>
          <w:p w14:paraId="296DF3EE" w14:textId="77777777" w:rsidR="001259ED" w:rsidRPr="003240FC" w:rsidRDefault="001259ED" w:rsidP="00CF309C">
            <w:pPr>
              <w:pStyle w:val="tabletext"/>
              <w:keepNext/>
              <w:keepLines/>
              <w:rPr>
                <w:lang w:val="en-US" w:eastAsia="en-US"/>
              </w:rPr>
            </w:pPr>
          </w:p>
        </w:tc>
      </w:tr>
      <w:tr w:rsidR="001259ED" w:rsidRPr="003240FC" w14:paraId="0CF1FFD3" w14:textId="77777777" w:rsidTr="00D33EC5">
        <w:tc>
          <w:tcPr>
            <w:tcW w:w="3275" w:type="dxa"/>
          </w:tcPr>
          <w:p w14:paraId="2FFCBB4B" w14:textId="77777777" w:rsidR="00ED52FE" w:rsidRDefault="000E63F2" w:rsidP="005219CE">
            <w:pPr>
              <w:pStyle w:val="tabletext"/>
              <w:rPr>
                <w:lang w:val="en-US" w:eastAsia="en-US"/>
              </w:rPr>
            </w:pPr>
            <w:r>
              <w:rPr>
                <w:lang w:val="en-US" w:eastAsia="en-US"/>
              </w:rPr>
              <w:t>‘Enforceable obligation’</w:t>
            </w:r>
            <w:r w:rsidR="001259ED">
              <w:rPr>
                <w:lang w:val="en-US" w:eastAsia="en-US"/>
              </w:rPr>
              <w:t xml:space="preserve"> is defined in section 4 to mean any of the following: </w:t>
            </w:r>
          </w:p>
          <w:p w14:paraId="0DA9F3F5" w14:textId="77777777" w:rsidR="00ED52FE" w:rsidRDefault="001259ED" w:rsidP="00ED52FE">
            <w:pPr>
              <w:pStyle w:val="tabledotpoint"/>
              <w:rPr>
                <w:lang w:val="en-US" w:eastAsia="en-US"/>
              </w:rPr>
            </w:pPr>
            <w:r>
              <w:rPr>
                <w:lang w:val="en-US" w:eastAsia="en-US"/>
              </w:rPr>
              <w:t xml:space="preserve">a provision of the </w:t>
            </w:r>
            <w:r w:rsidR="00E9202F">
              <w:rPr>
                <w:lang w:val="en-US" w:eastAsia="en-US"/>
              </w:rPr>
              <w:t>Prudential Supervision Bill</w:t>
            </w:r>
            <w:r>
              <w:rPr>
                <w:lang w:val="en-US" w:eastAsia="en-US"/>
              </w:rPr>
              <w:t xml:space="preserve">; </w:t>
            </w:r>
          </w:p>
          <w:p w14:paraId="4C00AAF6" w14:textId="77777777" w:rsidR="00ED52FE" w:rsidRDefault="001259ED" w:rsidP="00ED52FE">
            <w:pPr>
              <w:pStyle w:val="tabledotpoint"/>
              <w:rPr>
                <w:lang w:val="en-US" w:eastAsia="en-US"/>
              </w:rPr>
            </w:pPr>
            <w:r>
              <w:rPr>
                <w:lang w:val="en-US" w:eastAsia="en-US"/>
              </w:rPr>
              <w:t xml:space="preserve">a direction given under the </w:t>
            </w:r>
            <w:r w:rsidR="00CF309C" w:rsidRPr="00CF309C">
              <w:rPr>
                <w:lang w:val="en-US" w:eastAsia="en-US"/>
              </w:rPr>
              <w:t>Prudential Supervision Bill</w:t>
            </w:r>
            <w:r>
              <w:rPr>
                <w:lang w:val="en-US" w:eastAsia="en-US"/>
              </w:rPr>
              <w:t xml:space="preserve">; </w:t>
            </w:r>
          </w:p>
          <w:p w14:paraId="50AB789B" w14:textId="77777777" w:rsidR="00ED52FE" w:rsidRDefault="001259ED" w:rsidP="00ED52FE">
            <w:pPr>
              <w:pStyle w:val="tabledotpoint"/>
              <w:rPr>
                <w:lang w:val="en-US" w:eastAsia="en-US"/>
              </w:rPr>
            </w:pPr>
            <w:r>
              <w:rPr>
                <w:lang w:val="en-US" w:eastAsia="en-US"/>
              </w:rPr>
              <w:t xml:space="preserve">a provision of the risk equalisation levy legislation; </w:t>
            </w:r>
          </w:p>
          <w:p w14:paraId="5D3EB8F5" w14:textId="77777777" w:rsidR="00ED52FE" w:rsidRDefault="005219CE" w:rsidP="00ED52FE">
            <w:pPr>
              <w:pStyle w:val="tabledotpoint"/>
              <w:rPr>
                <w:lang w:val="en-US" w:eastAsia="en-US"/>
              </w:rPr>
            </w:pPr>
            <w:r>
              <w:rPr>
                <w:lang w:val="en-US" w:eastAsia="en-US"/>
              </w:rPr>
              <w:t>any condit</w:t>
            </w:r>
            <w:r w:rsidR="001259ED">
              <w:rPr>
                <w:lang w:val="en-US" w:eastAsia="en-US"/>
              </w:rPr>
              <w:t xml:space="preserve">ion on an insurer’s registration; and </w:t>
            </w:r>
          </w:p>
          <w:p w14:paraId="4A4A895D" w14:textId="77777777" w:rsidR="001259ED" w:rsidRDefault="001259ED" w:rsidP="00ED52FE">
            <w:pPr>
              <w:pStyle w:val="tabledotpoint"/>
              <w:rPr>
                <w:lang w:val="en-US" w:eastAsia="en-US"/>
              </w:rPr>
            </w:pPr>
            <w:r>
              <w:rPr>
                <w:lang w:val="en-US" w:eastAsia="en-US"/>
              </w:rPr>
              <w:t>if the insurer is a restricted access insurer, a provision in its constitution or rules in order to comply with the requirements in subsection 15(3).</w:t>
            </w:r>
          </w:p>
        </w:tc>
        <w:tc>
          <w:tcPr>
            <w:tcW w:w="3276" w:type="dxa"/>
          </w:tcPr>
          <w:p w14:paraId="28848004" w14:textId="77777777" w:rsidR="001259ED" w:rsidRDefault="000E63F2" w:rsidP="00D33EC5">
            <w:pPr>
              <w:pStyle w:val="tabletext"/>
              <w:rPr>
                <w:lang w:val="en-US" w:eastAsia="en-US"/>
              </w:rPr>
            </w:pPr>
            <w:r>
              <w:rPr>
                <w:lang w:val="en-US" w:eastAsia="en-US"/>
              </w:rPr>
              <w:t xml:space="preserve">‘Council-supervised obligation’ </w:t>
            </w:r>
            <w:r w:rsidR="001259ED">
              <w:rPr>
                <w:lang w:val="en-US" w:eastAsia="en-US"/>
              </w:rPr>
              <w:t>means a provision of the PHI Act, or rules regulations or a direction under the Act, that relate to risk equali</w:t>
            </w:r>
            <w:r w:rsidR="00ED52FE">
              <w:rPr>
                <w:lang w:val="en-US" w:eastAsia="en-US"/>
              </w:rPr>
              <w:t>s</w:t>
            </w:r>
            <w:r w:rsidR="001259ED">
              <w:rPr>
                <w:lang w:val="en-US" w:eastAsia="en-US"/>
              </w:rPr>
              <w:t>ation or health benefits funds or prudential standards</w:t>
            </w:r>
            <w:r w:rsidR="005219CE">
              <w:rPr>
                <w:lang w:val="en-US" w:eastAsia="en-US"/>
              </w:rPr>
              <w:t>.</w:t>
            </w:r>
          </w:p>
          <w:p w14:paraId="7E2FDB03" w14:textId="77777777" w:rsidR="001259ED" w:rsidRPr="003240FC" w:rsidRDefault="001259ED" w:rsidP="00D33EC5">
            <w:pPr>
              <w:pStyle w:val="tabletext"/>
              <w:rPr>
                <w:lang w:val="en-US" w:eastAsia="en-US"/>
              </w:rPr>
            </w:pPr>
          </w:p>
        </w:tc>
      </w:tr>
      <w:tr w:rsidR="001259ED" w:rsidRPr="003240FC" w14:paraId="00395C29" w14:textId="77777777" w:rsidTr="00D33EC5">
        <w:tc>
          <w:tcPr>
            <w:tcW w:w="3275" w:type="dxa"/>
          </w:tcPr>
          <w:p w14:paraId="3AEFED56" w14:textId="77777777" w:rsidR="001259ED" w:rsidRDefault="00970908" w:rsidP="00970908">
            <w:pPr>
              <w:pStyle w:val="tabletext"/>
              <w:rPr>
                <w:lang w:val="en-US" w:eastAsia="en-US"/>
              </w:rPr>
            </w:pPr>
            <w:r>
              <w:rPr>
                <w:lang w:val="en-US" w:eastAsia="en-US"/>
              </w:rPr>
              <w:t xml:space="preserve">The new law mirrors the current law. </w:t>
            </w:r>
          </w:p>
        </w:tc>
        <w:tc>
          <w:tcPr>
            <w:tcW w:w="3276" w:type="dxa"/>
          </w:tcPr>
          <w:p w14:paraId="2170D21D" w14:textId="77777777" w:rsidR="001259ED" w:rsidRPr="003240FC" w:rsidRDefault="00970908" w:rsidP="00D33EC5">
            <w:pPr>
              <w:pStyle w:val="tabletext"/>
              <w:rPr>
                <w:lang w:val="en-US" w:eastAsia="en-US"/>
              </w:rPr>
            </w:pPr>
            <w:r>
              <w:rPr>
                <w:lang w:val="en-US" w:eastAsia="en-US"/>
              </w:rPr>
              <w:t>If the court is satisfied that an officer of the private health insurer failed to take reasonable steps to prevent the insurer contravening the obligation, the declaration of contravention must specify that officer.</w:t>
            </w:r>
          </w:p>
        </w:tc>
      </w:tr>
      <w:tr w:rsidR="001259ED" w:rsidRPr="003240FC" w14:paraId="396900AC" w14:textId="77777777" w:rsidTr="00D33EC5">
        <w:tc>
          <w:tcPr>
            <w:tcW w:w="3275" w:type="dxa"/>
          </w:tcPr>
          <w:p w14:paraId="33913828" w14:textId="77777777" w:rsidR="001259ED" w:rsidRDefault="00970908" w:rsidP="00970908">
            <w:pPr>
              <w:pStyle w:val="tabletext"/>
              <w:rPr>
                <w:lang w:val="en-US" w:eastAsia="en-US"/>
              </w:rPr>
            </w:pPr>
            <w:r w:rsidRPr="00970908">
              <w:rPr>
                <w:lang w:val="en-US" w:eastAsia="en-US"/>
              </w:rPr>
              <w:t xml:space="preserve">The new law mirrors the current law. </w:t>
            </w:r>
          </w:p>
        </w:tc>
        <w:tc>
          <w:tcPr>
            <w:tcW w:w="3276" w:type="dxa"/>
          </w:tcPr>
          <w:p w14:paraId="65243743" w14:textId="77777777" w:rsidR="001259ED" w:rsidRPr="003240FC" w:rsidRDefault="00970908" w:rsidP="00D33EC5">
            <w:pPr>
              <w:pStyle w:val="tabletext"/>
              <w:rPr>
                <w:lang w:val="en-US" w:eastAsia="en-US"/>
              </w:rPr>
            </w:pPr>
            <w:r w:rsidRPr="00970908">
              <w:rPr>
                <w:lang w:val="en-US" w:eastAsia="en-US"/>
              </w:rPr>
              <w:t>If the declaration of contravention specifies an officer, the court may order the officer to pay the Commonwealth a pecuniary penalty</w:t>
            </w:r>
            <w:r>
              <w:rPr>
                <w:lang w:val="en-US" w:eastAsia="en-US"/>
              </w:rPr>
              <w:t>.</w:t>
            </w:r>
          </w:p>
        </w:tc>
      </w:tr>
      <w:tr w:rsidR="001259ED" w:rsidRPr="003240FC" w14:paraId="40BF9223" w14:textId="77777777" w:rsidTr="00D33EC5">
        <w:tc>
          <w:tcPr>
            <w:tcW w:w="3275" w:type="dxa"/>
          </w:tcPr>
          <w:p w14:paraId="0C4B9F94" w14:textId="77777777" w:rsidR="001259ED" w:rsidRDefault="001259ED" w:rsidP="00970908">
            <w:pPr>
              <w:pStyle w:val="tabletext"/>
              <w:rPr>
                <w:lang w:val="en-US" w:eastAsia="en-US"/>
              </w:rPr>
            </w:pPr>
            <w:r>
              <w:rPr>
                <w:lang w:val="en-US" w:eastAsia="en-US"/>
              </w:rPr>
              <w:t xml:space="preserve">If the court has made a declaration of contravention, the court may order the private health insurer specified in the declaration to compensate an individual for injury or loss suffered by the individual as a result of the </w:t>
            </w:r>
            <w:r w:rsidR="009E4016">
              <w:rPr>
                <w:lang w:val="en-US" w:eastAsia="en-US"/>
              </w:rPr>
              <w:t>contravention.</w:t>
            </w:r>
          </w:p>
        </w:tc>
        <w:tc>
          <w:tcPr>
            <w:tcW w:w="3276" w:type="dxa"/>
          </w:tcPr>
          <w:p w14:paraId="4C35A31E" w14:textId="77777777" w:rsidR="001259ED" w:rsidRPr="003240FC" w:rsidRDefault="009E4016" w:rsidP="009E4016">
            <w:pPr>
              <w:pStyle w:val="tabletext"/>
              <w:rPr>
                <w:lang w:val="en-US" w:eastAsia="en-US"/>
              </w:rPr>
            </w:pPr>
            <w:r>
              <w:rPr>
                <w:lang w:val="en-US" w:eastAsia="en-US"/>
              </w:rPr>
              <w:t xml:space="preserve">Only if the Minister (not the regulator) has applied to the court for a declaration of contravention, if </w:t>
            </w:r>
            <w:r w:rsidRPr="009E4016">
              <w:rPr>
                <w:lang w:val="en-US" w:eastAsia="en-US"/>
              </w:rPr>
              <w:t>the court has made a declaration of contravention, the court may order the private health insurer specified in the declaration to compensate an individual for injury or loss suffered by the individual as a result of the contravention</w:t>
            </w:r>
            <w:r>
              <w:rPr>
                <w:lang w:val="en-US" w:eastAsia="en-US"/>
              </w:rPr>
              <w:t>.</w:t>
            </w:r>
          </w:p>
        </w:tc>
      </w:tr>
      <w:tr w:rsidR="001259ED" w:rsidRPr="003240FC" w14:paraId="0087B8C9" w14:textId="77777777" w:rsidTr="00D33EC5">
        <w:tc>
          <w:tcPr>
            <w:tcW w:w="3275" w:type="dxa"/>
          </w:tcPr>
          <w:p w14:paraId="10561332" w14:textId="77777777" w:rsidR="001259ED" w:rsidRDefault="00D33EC5" w:rsidP="00CF309C">
            <w:pPr>
              <w:pStyle w:val="tabletext"/>
              <w:keepNext/>
              <w:keepLines/>
              <w:rPr>
                <w:lang w:val="en-US" w:eastAsia="en-US"/>
              </w:rPr>
            </w:pPr>
            <w:r>
              <w:rPr>
                <w:lang w:val="en-US" w:eastAsia="en-US"/>
              </w:rPr>
              <w:t xml:space="preserve">The new law mirrors the current law. </w:t>
            </w:r>
            <w:r w:rsidR="001259ED">
              <w:rPr>
                <w:lang w:val="en-US" w:eastAsia="en-US"/>
              </w:rPr>
              <w:t>If the court has made a declaration of contravention, the court may make any ot</w:t>
            </w:r>
            <w:r w:rsidR="00A37CE4">
              <w:rPr>
                <w:lang w:val="en-US" w:eastAsia="en-US"/>
              </w:rPr>
              <w:t>her order that APRA applies for</w:t>
            </w:r>
            <w:r>
              <w:rPr>
                <w:lang w:val="en-US" w:eastAsia="en-US"/>
              </w:rPr>
              <w:t>.</w:t>
            </w:r>
          </w:p>
        </w:tc>
        <w:tc>
          <w:tcPr>
            <w:tcW w:w="3276" w:type="dxa"/>
          </w:tcPr>
          <w:p w14:paraId="512B2DC5" w14:textId="77777777" w:rsidR="001259ED" w:rsidRPr="003240FC" w:rsidRDefault="00D33EC5" w:rsidP="00CF309C">
            <w:pPr>
              <w:pStyle w:val="tabletext"/>
              <w:keepNext/>
              <w:keepLines/>
              <w:rPr>
                <w:lang w:val="en-US" w:eastAsia="en-US"/>
              </w:rPr>
            </w:pPr>
            <w:r w:rsidRPr="00D33EC5">
              <w:rPr>
                <w:lang w:val="en-US" w:eastAsia="en-US"/>
              </w:rPr>
              <w:t xml:space="preserve">If the court has made a declaration of contravention, the court may make any other order that </w:t>
            </w:r>
            <w:r w:rsidR="001259ED">
              <w:rPr>
                <w:lang w:val="en-US" w:eastAsia="en-US"/>
              </w:rPr>
              <w:t xml:space="preserve">the Council </w:t>
            </w:r>
            <w:r>
              <w:rPr>
                <w:lang w:val="en-US" w:eastAsia="en-US"/>
              </w:rPr>
              <w:t xml:space="preserve">applies for. </w:t>
            </w:r>
          </w:p>
        </w:tc>
      </w:tr>
      <w:tr w:rsidR="001259ED" w:rsidRPr="003240FC" w14:paraId="4F1AB22F" w14:textId="77777777" w:rsidTr="00D33EC5">
        <w:tc>
          <w:tcPr>
            <w:tcW w:w="3275" w:type="dxa"/>
          </w:tcPr>
          <w:p w14:paraId="71C89ECE" w14:textId="77777777" w:rsidR="001259ED" w:rsidRDefault="001259ED" w:rsidP="00C46964">
            <w:pPr>
              <w:pStyle w:val="tabletext"/>
              <w:rPr>
                <w:lang w:val="en-US" w:eastAsia="en-US"/>
              </w:rPr>
            </w:pPr>
            <w:r>
              <w:rPr>
                <w:lang w:val="en-US" w:eastAsia="en-US"/>
              </w:rPr>
              <w:t>The court must not make a civil penalty order against an officer if the officer has been convicted of an offence based on substantially the same relevant conduct, and proceedings for a civil penalty order against are stayed if there are criminal proceedings based on</w:t>
            </w:r>
            <w:r w:rsidR="00C46964">
              <w:rPr>
                <w:lang w:val="en-US" w:eastAsia="en-US"/>
              </w:rPr>
              <w:t xml:space="preserve"> substantially the same conduct.</w:t>
            </w:r>
          </w:p>
        </w:tc>
        <w:tc>
          <w:tcPr>
            <w:tcW w:w="3276" w:type="dxa"/>
          </w:tcPr>
          <w:p w14:paraId="38812FFC" w14:textId="77777777" w:rsidR="001259ED" w:rsidRPr="003240FC" w:rsidRDefault="001259ED" w:rsidP="0067597E">
            <w:pPr>
              <w:pStyle w:val="tabletext"/>
              <w:rPr>
                <w:lang w:val="en-US" w:eastAsia="en-US"/>
              </w:rPr>
            </w:pPr>
            <w:r>
              <w:rPr>
                <w:lang w:val="en-US" w:eastAsia="en-US"/>
              </w:rPr>
              <w:t>This mirrors the new law</w:t>
            </w:r>
            <w:r w:rsidR="0067597E">
              <w:rPr>
                <w:lang w:val="en-US" w:eastAsia="en-US"/>
              </w:rPr>
              <w:t>.</w:t>
            </w:r>
          </w:p>
        </w:tc>
      </w:tr>
      <w:tr w:rsidR="001259ED" w:rsidRPr="003240FC" w14:paraId="10408A67" w14:textId="77777777" w:rsidTr="00D33EC5">
        <w:tc>
          <w:tcPr>
            <w:tcW w:w="3275" w:type="dxa"/>
          </w:tcPr>
          <w:p w14:paraId="4E329488" w14:textId="77777777" w:rsidR="001259ED" w:rsidRDefault="001259ED" w:rsidP="0067597E">
            <w:pPr>
              <w:pStyle w:val="tabletext"/>
              <w:rPr>
                <w:lang w:val="en-US" w:eastAsia="en-US"/>
              </w:rPr>
            </w:pPr>
            <w:r>
              <w:rPr>
                <w:lang w:val="en-US" w:eastAsia="en-US"/>
              </w:rPr>
              <w:t>Criminal proceedings may be commenced after civil proceedings under Part 8 even if they relate to substantially the same conduct, but evidence given in the civil proceedings is not admissible in certa</w:t>
            </w:r>
            <w:r w:rsidR="0067597E">
              <w:rPr>
                <w:lang w:val="en-US" w:eastAsia="en-US"/>
              </w:rPr>
              <w:t>in circumstances.</w:t>
            </w:r>
          </w:p>
        </w:tc>
        <w:tc>
          <w:tcPr>
            <w:tcW w:w="3276" w:type="dxa"/>
          </w:tcPr>
          <w:p w14:paraId="05790EFC" w14:textId="77777777" w:rsidR="001259ED" w:rsidRPr="003240FC" w:rsidRDefault="001259ED" w:rsidP="0067597E">
            <w:pPr>
              <w:pStyle w:val="tabletext"/>
              <w:rPr>
                <w:lang w:val="en-US" w:eastAsia="en-US"/>
              </w:rPr>
            </w:pPr>
            <w:r>
              <w:rPr>
                <w:lang w:val="en-US" w:eastAsia="en-US"/>
              </w:rPr>
              <w:t>This mirrors the new law</w:t>
            </w:r>
            <w:r w:rsidR="0067597E">
              <w:rPr>
                <w:lang w:val="en-US" w:eastAsia="en-US"/>
              </w:rPr>
              <w:t>.</w:t>
            </w:r>
          </w:p>
        </w:tc>
      </w:tr>
      <w:tr w:rsidR="001259ED" w:rsidRPr="003240FC" w14:paraId="261FB59F" w14:textId="77777777" w:rsidTr="00D33EC5">
        <w:tc>
          <w:tcPr>
            <w:tcW w:w="3275" w:type="dxa"/>
          </w:tcPr>
          <w:p w14:paraId="170A5561" w14:textId="77777777" w:rsidR="001259ED" w:rsidRDefault="001259ED" w:rsidP="00C46964">
            <w:pPr>
              <w:pStyle w:val="tabletext"/>
              <w:rPr>
                <w:lang w:val="en-US" w:eastAsia="en-US"/>
              </w:rPr>
            </w:pPr>
            <w:r>
              <w:rPr>
                <w:lang w:val="en-US" w:eastAsia="en-US"/>
              </w:rPr>
              <w:t>APRA may require a person to assist in relation to proceedings for a declaration of contravention or for a civil penalty order.  However, it must appear to APRA that the person from whom assistance is sought is unlikely to have (i) contravened the enforceable obligation to which the application relates or (ii) committed an offence based on the same or</w:t>
            </w:r>
            <w:r w:rsidR="00C46964">
              <w:rPr>
                <w:lang w:val="en-US" w:eastAsia="en-US"/>
              </w:rPr>
              <w:t xml:space="preserve"> substantially the same conduct.</w:t>
            </w:r>
          </w:p>
        </w:tc>
        <w:tc>
          <w:tcPr>
            <w:tcW w:w="3276" w:type="dxa"/>
          </w:tcPr>
          <w:p w14:paraId="027A3A6A" w14:textId="77777777" w:rsidR="001259ED" w:rsidRPr="003240FC" w:rsidRDefault="001259ED" w:rsidP="00C46964">
            <w:pPr>
              <w:pStyle w:val="tabletext"/>
              <w:rPr>
                <w:lang w:val="en-US" w:eastAsia="en-US"/>
              </w:rPr>
            </w:pPr>
            <w:r>
              <w:rPr>
                <w:lang w:val="en-US" w:eastAsia="en-US"/>
              </w:rPr>
              <w:t>This largely mi</w:t>
            </w:r>
            <w:r w:rsidR="00C46964">
              <w:rPr>
                <w:lang w:val="en-US" w:eastAsia="en-US"/>
              </w:rPr>
              <w:t>rrors the new law.</w:t>
            </w:r>
          </w:p>
        </w:tc>
      </w:tr>
      <w:tr w:rsidR="001259ED" w:rsidRPr="003240FC" w14:paraId="706FE0B8" w14:textId="77777777" w:rsidTr="00D33EC5">
        <w:tc>
          <w:tcPr>
            <w:tcW w:w="3275" w:type="dxa"/>
          </w:tcPr>
          <w:p w14:paraId="298768AF" w14:textId="77777777" w:rsidR="001259ED" w:rsidRDefault="001259ED" w:rsidP="000159D5">
            <w:pPr>
              <w:pStyle w:val="tabletext"/>
              <w:rPr>
                <w:lang w:val="en-US" w:eastAsia="en-US"/>
              </w:rPr>
            </w:pPr>
            <w:r>
              <w:rPr>
                <w:lang w:val="en-US" w:eastAsia="en-US"/>
              </w:rPr>
              <w:t xml:space="preserve">A person against whom and order is sought imposing liability in respect of a contravention of an enforceable obligation may </w:t>
            </w:r>
            <w:r w:rsidR="000159D5">
              <w:rPr>
                <w:lang w:val="en-US" w:eastAsia="en-US"/>
              </w:rPr>
              <w:t>apply to the court for</w:t>
            </w:r>
            <w:r>
              <w:rPr>
                <w:lang w:val="en-US" w:eastAsia="en-US"/>
              </w:rPr>
              <w:t xml:space="preserve"> </w:t>
            </w:r>
            <w:r w:rsidR="000159D5">
              <w:rPr>
                <w:lang w:val="en-US" w:eastAsia="en-US"/>
              </w:rPr>
              <w:t>full or partial exoneration</w:t>
            </w:r>
            <w:r w:rsidR="00C46964">
              <w:rPr>
                <w:lang w:val="en-US" w:eastAsia="en-US"/>
              </w:rPr>
              <w:t xml:space="preserve"> </w:t>
            </w:r>
            <w:r>
              <w:rPr>
                <w:lang w:val="en-US" w:eastAsia="en-US"/>
              </w:rPr>
              <w:t>(where it appears they have acted honestly and in all the circumstances should be excused from liability).</w:t>
            </w:r>
          </w:p>
        </w:tc>
        <w:tc>
          <w:tcPr>
            <w:tcW w:w="3276" w:type="dxa"/>
          </w:tcPr>
          <w:p w14:paraId="4AC7DCD6" w14:textId="77777777" w:rsidR="001259ED" w:rsidRPr="003240FC" w:rsidRDefault="001259ED" w:rsidP="00C46964">
            <w:pPr>
              <w:pStyle w:val="tabletext"/>
              <w:rPr>
                <w:lang w:val="en-US" w:eastAsia="en-US"/>
              </w:rPr>
            </w:pPr>
            <w:r>
              <w:rPr>
                <w:lang w:val="en-US" w:eastAsia="en-US"/>
              </w:rPr>
              <w:t xml:space="preserve">This largely mirrors the new law </w:t>
            </w:r>
          </w:p>
        </w:tc>
      </w:tr>
    </w:tbl>
    <w:p w14:paraId="0F0CF107" w14:textId="77777777" w:rsidR="001259ED" w:rsidRPr="001259ED" w:rsidRDefault="001259ED" w:rsidP="001259ED"/>
    <w:p w14:paraId="7E874885" w14:textId="77777777" w:rsidR="006017AC" w:rsidRDefault="006017AC" w:rsidP="006017AC">
      <w:pPr>
        <w:pStyle w:val="Heading2"/>
      </w:pPr>
      <w:r>
        <w:t>Detailed explanation of new law</w:t>
      </w:r>
    </w:p>
    <w:p w14:paraId="26F61240" w14:textId="77777777" w:rsidR="00014D99" w:rsidRDefault="00014D99" w:rsidP="00014D99">
      <w:pPr>
        <w:pStyle w:val="Heading3"/>
      </w:pPr>
      <w:r>
        <w:t>Part 8 – Remedies in the Federal Court</w:t>
      </w:r>
    </w:p>
    <w:p w14:paraId="4926E582" w14:textId="77777777" w:rsidR="00014D99" w:rsidRDefault="00014D99" w:rsidP="00014D99">
      <w:pPr>
        <w:pStyle w:val="Heading4"/>
      </w:pPr>
      <w:r>
        <w:t xml:space="preserve">Simplified outline of this Part </w:t>
      </w:r>
    </w:p>
    <w:p w14:paraId="743F9845" w14:textId="77777777" w:rsidR="004F0185" w:rsidRPr="00CD65E7" w:rsidRDefault="00CE23C7" w:rsidP="00ED52FE">
      <w:pPr>
        <w:pStyle w:val="base-text-paragraph"/>
      </w:pPr>
      <w:r w:rsidRPr="00CE23C7">
        <w:t>If APRA is satisfied that a private health insurer has contravened an enforceable obligation, APRA may apply to the Federal Court for a range of remedies. These may include a civil penalty order against an officer of the insurer who failed to take reasonable steps to prevent the contravention.</w:t>
      </w:r>
      <w:r w:rsidRPr="00392CB8">
        <w:rPr>
          <w:rStyle w:val="Referencingstyle"/>
          <w:b w:val="0"/>
          <w:i w:val="0"/>
          <w:sz w:val="22"/>
        </w:rPr>
        <w:t xml:space="preserve"> </w:t>
      </w:r>
      <w:r w:rsidR="00006DD7" w:rsidRPr="00392CB8">
        <w:rPr>
          <w:rStyle w:val="Referencingstyle"/>
          <w:b w:val="0"/>
          <w:i w:val="0"/>
          <w:sz w:val="22"/>
        </w:rPr>
        <w:t xml:space="preserve">An enforceable obligation is defined in section 4 of the </w:t>
      </w:r>
      <w:r w:rsidR="0001615D" w:rsidRPr="0001615D">
        <w:rPr>
          <w:rStyle w:val="Referencingstyle"/>
          <w:b w:val="0"/>
          <w:i w:val="0"/>
          <w:sz w:val="22"/>
        </w:rPr>
        <w:t>Prudential Supervision Bill</w:t>
      </w:r>
      <w:r w:rsidR="00006DD7" w:rsidRPr="00392CB8">
        <w:rPr>
          <w:rStyle w:val="Referencingstyle"/>
          <w:b w:val="0"/>
          <w:i w:val="0"/>
          <w:sz w:val="22"/>
        </w:rPr>
        <w:t xml:space="preserve"> and includes a provision of the </w:t>
      </w:r>
      <w:r w:rsidR="001F34BF">
        <w:rPr>
          <w:rStyle w:val="Referencingstyle"/>
          <w:b w:val="0"/>
          <w:i w:val="0"/>
          <w:sz w:val="22"/>
        </w:rPr>
        <w:t>Prudential Supervision Bill</w:t>
      </w:r>
      <w:r w:rsidR="00006DD7" w:rsidRPr="00392CB8">
        <w:rPr>
          <w:rStyle w:val="Referencingstyle"/>
          <w:b w:val="0"/>
          <w:i w:val="0"/>
          <w:sz w:val="22"/>
        </w:rPr>
        <w:t>, rules or standards, a direction under the Act, a provision of the risk equalisation levy legislation, a registration condition or an obligation in the insurer’s constitu</w:t>
      </w:r>
      <w:r w:rsidR="00392CB8">
        <w:rPr>
          <w:rStyle w:val="Referencingstyle"/>
          <w:b w:val="0"/>
          <w:i w:val="0"/>
          <w:sz w:val="22"/>
        </w:rPr>
        <w:t>tion</w:t>
      </w:r>
      <w:r w:rsidR="00392CB8" w:rsidRPr="00392CB8">
        <w:rPr>
          <w:rStyle w:val="Referencingstyle"/>
          <w:b w:val="0"/>
          <w:i w:val="0"/>
          <w:sz w:val="22"/>
        </w:rPr>
        <w:t>.</w:t>
      </w:r>
      <w:r w:rsidR="00A95BC1" w:rsidRPr="00392CB8">
        <w:rPr>
          <w:rStyle w:val="Referencingstyle"/>
          <w:b w:val="0"/>
          <w:i w:val="0"/>
          <w:sz w:val="22"/>
        </w:rPr>
        <w:t xml:space="preserve"> </w:t>
      </w:r>
      <w:r w:rsidR="00BF5CF8" w:rsidRPr="006C3D7A">
        <w:rPr>
          <w:rStyle w:val="Referencingstyle"/>
        </w:rPr>
        <w:t>[Part 8, Division 1, section 153]</w:t>
      </w:r>
    </w:p>
    <w:p w14:paraId="46C18C6C" w14:textId="77777777" w:rsidR="00014D99" w:rsidRDefault="00014D99" w:rsidP="00014D99">
      <w:pPr>
        <w:pStyle w:val="Heading4"/>
      </w:pPr>
      <w:r>
        <w:t>APRA may apply to the Federal Court</w:t>
      </w:r>
    </w:p>
    <w:p w14:paraId="0A34E0BB" w14:textId="77777777" w:rsidR="00014D99" w:rsidRDefault="00014D99" w:rsidP="000F194A">
      <w:pPr>
        <w:pStyle w:val="base-text-paragraph"/>
      </w:pPr>
      <w:r>
        <w:t xml:space="preserve">APRA may apply to the Federal Court for a declaration of contravention, </w:t>
      </w:r>
      <w:r w:rsidR="00A95BC1">
        <w:t>and seek, APRA</w:t>
      </w:r>
      <w:r w:rsidR="00B10F0E">
        <w:t xml:space="preserve"> is satisfied that a private health insurer has contravened an enforceable obligation, </w:t>
      </w:r>
      <w:r>
        <w:t>one or more of:</w:t>
      </w:r>
    </w:p>
    <w:p w14:paraId="299E2314" w14:textId="77777777" w:rsidR="00014D99" w:rsidRDefault="00014D99" w:rsidP="00014D99">
      <w:pPr>
        <w:pStyle w:val="dotpoint"/>
      </w:pPr>
      <w:r>
        <w:t xml:space="preserve">an order imposing a civil penalty under section </w:t>
      </w:r>
      <w:r w:rsidR="005A1243" w:rsidRPr="001A57F7">
        <w:t>1</w:t>
      </w:r>
      <w:r w:rsidR="005A1243">
        <w:t>56</w:t>
      </w:r>
      <w:r>
        <w:t>;</w:t>
      </w:r>
    </w:p>
    <w:p w14:paraId="32B47222" w14:textId="77777777" w:rsidR="00014D99" w:rsidRDefault="00014D99" w:rsidP="00014D99">
      <w:pPr>
        <w:pStyle w:val="dotpoint"/>
      </w:pPr>
      <w:r>
        <w:t xml:space="preserve">a compensation order under section </w:t>
      </w:r>
      <w:r w:rsidR="005A1243" w:rsidRPr="001A57F7">
        <w:t>15</w:t>
      </w:r>
      <w:r w:rsidR="005A1243">
        <w:t>7</w:t>
      </w:r>
      <w:r>
        <w:t>;</w:t>
      </w:r>
      <w:r w:rsidR="00B10F0E">
        <w:t xml:space="preserve"> and/or</w:t>
      </w:r>
      <w:r>
        <w:t xml:space="preserve"> </w:t>
      </w:r>
    </w:p>
    <w:p w14:paraId="4F8B6136" w14:textId="77777777" w:rsidR="00014D99" w:rsidRDefault="00014D99" w:rsidP="00014D99">
      <w:pPr>
        <w:pStyle w:val="dotpoint"/>
      </w:pPr>
      <w:r>
        <w:t xml:space="preserve">any other order that APRA considers will redress the contravention.  </w:t>
      </w:r>
      <w:r w:rsidRPr="008A3B30">
        <w:rPr>
          <w:rStyle w:val="Referencingstyle"/>
        </w:rPr>
        <w:t xml:space="preserve">[Part 8, subsection </w:t>
      </w:r>
      <w:r w:rsidR="005A1243" w:rsidRPr="008A3B30">
        <w:rPr>
          <w:rStyle w:val="Referencingstyle"/>
        </w:rPr>
        <w:t>15</w:t>
      </w:r>
      <w:r w:rsidR="005A1243">
        <w:rPr>
          <w:rStyle w:val="Referencingstyle"/>
        </w:rPr>
        <w:t>4</w:t>
      </w:r>
      <w:r w:rsidRPr="008A3B30">
        <w:rPr>
          <w:rStyle w:val="Referencingstyle"/>
        </w:rPr>
        <w:t>(</w:t>
      </w:r>
      <w:r>
        <w:rPr>
          <w:rStyle w:val="Referencingstyle"/>
        </w:rPr>
        <w:t>1</w:t>
      </w:r>
      <w:r w:rsidRPr="008A3B30">
        <w:rPr>
          <w:rStyle w:val="Referencingstyle"/>
        </w:rPr>
        <w:t>)]</w:t>
      </w:r>
    </w:p>
    <w:p w14:paraId="311D2CCF" w14:textId="77777777" w:rsidR="00014D99" w:rsidRPr="00B10F0E" w:rsidRDefault="00B10F0E" w:rsidP="000F194A">
      <w:pPr>
        <w:pStyle w:val="base-text-paragraph"/>
        <w:rPr>
          <w:rStyle w:val="Referencingstyle"/>
          <w:b w:val="0"/>
          <w:i w:val="0"/>
          <w:sz w:val="22"/>
        </w:rPr>
      </w:pPr>
      <w:r>
        <w:t>An</w:t>
      </w:r>
      <w:r w:rsidR="00014D99">
        <w:t xml:space="preserve"> application must be </w:t>
      </w:r>
      <w:r w:rsidR="00014D99" w:rsidRPr="00B52D01">
        <w:t xml:space="preserve">made within </w:t>
      </w:r>
      <w:r w:rsidR="004C31C6">
        <w:t>four</w:t>
      </w:r>
      <w:r w:rsidR="004C31C6" w:rsidRPr="006C3D7A">
        <w:t xml:space="preserve"> </w:t>
      </w:r>
      <w:r w:rsidR="00014D99" w:rsidRPr="006C3D7A">
        <w:t>years of the alleged</w:t>
      </w:r>
      <w:r w:rsidR="00014D99">
        <w:t xml:space="preserve"> contravention.  </w:t>
      </w:r>
      <w:r w:rsidR="00014D99" w:rsidRPr="008A3B30">
        <w:rPr>
          <w:rStyle w:val="Referencingstyle"/>
        </w:rPr>
        <w:t xml:space="preserve">[Part 8, subsection </w:t>
      </w:r>
      <w:r w:rsidR="005A1243" w:rsidRPr="008A3B30">
        <w:rPr>
          <w:rStyle w:val="Referencingstyle"/>
        </w:rPr>
        <w:t>15</w:t>
      </w:r>
      <w:r w:rsidR="005A1243">
        <w:rPr>
          <w:rStyle w:val="Referencingstyle"/>
        </w:rPr>
        <w:t>4</w:t>
      </w:r>
      <w:r w:rsidR="00014D99" w:rsidRPr="008A3B30">
        <w:rPr>
          <w:rStyle w:val="Referencingstyle"/>
        </w:rPr>
        <w:t>(2)]</w:t>
      </w:r>
    </w:p>
    <w:p w14:paraId="474CD305" w14:textId="77777777" w:rsidR="00B10F0E" w:rsidRDefault="00B10F0E" w:rsidP="000F194A">
      <w:pPr>
        <w:pStyle w:val="base-text-paragraph"/>
      </w:pPr>
      <w:r>
        <w:t>T</w:t>
      </w:r>
      <w:r w:rsidRPr="008913BB">
        <w:t xml:space="preserve">hese provisions apply </w:t>
      </w:r>
      <w:r w:rsidR="000E192B">
        <w:t xml:space="preserve">in relation to all </w:t>
      </w:r>
      <w:r w:rsidR="00A57BBB">
        <w:t xml:space="preserve">enforceable obligations including </w:t>
      </w:r>
      <w:r w:rsidRPr="008913BB">
        <w:t>a contravention of</w:t>
      </w:r>
      <w:r>
        <w:t xml:space="preserve"> </w:t>
      </w:r>
      <w:r w:rsidRPr="008913BB">
        <w:t xml:space="preserve">risk equalisation levy legislation. </w:t>
      </w:r>
      <w:r w:rsidR="00CE23C7">
        <w:t>However, these</w:t>
      </w:r>
      <w:r w:rsidRPr="00364BCC">
        <w:t xml:space="preserve"> </w:t>
      </w:r>
      <w:r w:rsidRPr="00C85607">
        <w:t>provisions</w:t>
      </w:r>
      <w:r>
        <w:t xml:space="preserve"> </w:t>
      </w:r>
      <w:r w:rsidRPr="00C85607">
        <w:t>do not apply to a contravention of any of the other APRA-administered levy legislation</w:t>
      </w:r>
      <w:r w:rsidRPr="00576BF0">
        <w:t>.</w:t>
      </w:r>
    </w:p>
    <w:p w14:paraId="69484E24" w14:textId="77777777" w:rsidR="00014D99" w:rsidRDefault="00014D99" w:rsidP="00014D99">
      <w:pPr>
        <w:pStyle w:val="Heading4"/>
      </w:pPr>
      <w:r>
        <w:t>Declarations of contravention</w:t>
      </w:r>
    </w:p>
    <w:p w14:paraId="15EAA76D" w14:textId="77777777" w:rsidR="00B10F0E" w:rsidRDefault="00014D99" w:rsidP="000F194A">
      <w:pPr>
        <w:pStyle w:val="base-text-paragraph"/>
      </w:pPr>
      <w:r>
        <w:t xml:space="preserve">If </w:t>
      </w:r>
      <w:r w:rsidRPr="008A3B30">
        <w:t xml:space="preserve">the Federal Court is satisfied </w:t>
      </w:r>
      <w:r w:rsidR="00B10F0E">
        <w:t xml:space="preserve">that </w:t>
      </w:r>
      <w:r w:rsidRPr="008A3B30">
        <w:t>a private health insurer has contravened an enforceable obligation it must make a declaration of contravention specifying</w:t>
      </w:r>
      <w:r w:rsidR="00B10F0E">
        <w:t>:</w:t>
      </w:r>
    </w:p>
    <w:p w14:paraId="6625CD19" w14:textId="77777777" w:rsidR="00B10F0E" w:rsidRDefault="00014D99" w:rsidP="00CE23C7">
      <w:pPr>
        <w:pStyle w:val="dotpoint"/>
      </w:pPr>
      <w:r w:rsidRPr="008A3B30">
        <w:t>the enforceable obligation that was contravened</w:t>
      </w:r>
      <w:r w:rsidR="00B10F0E">
        <w:t>;</w:t>
      </w:r>
    </w:p>
    <w:p w14:paraId="533A2361" w14:textId="77777777" w:rsidR="00B10F0E" w:rsidRDefault="00014D99" w:rsidP="00CE23C7">
      <w:pPr>
        <w:pStyle w:val="dotpoint"/>
      </w:pPr>
      <w:r w:rsidRPr="008A3B30">
        <w:t xml:space="preserve">the </w:t>
      </w:r>
      <w:r w:rsidR="00B10F0E">
        <w:t xml:space="preserve">contravening </w:t>
      </w:r>
      <w:r w:rsidRPr="008A3B30">
        <w:t>insurer</w:t>
      </w:r>
      <w:r w:rsidR="00B10F0E">
        <w:t>;</w:t>
      </w:r>
    </w:p>
    <w:p w14:paraId="786C1E45" w14:textId="77777777" w:rsidR="00B10F0E" w:rsidRDefault="00014D99" w:rsidP="00CE23C7">
      <w:pPr>
        <w:pStyle w:val="dotpoint"/>
      </w:pPr>
      <w:r w:rsidRPr="008A3B30">
        <w:t>the conduct that constituted the contravention</w:t>
      </w:r>
      <w:r w:rsidR="00B10F0E">
        <w:t>;</w:t>
      </w:r>
      <w:r w:rsidRPr="008A3B30">
        <w:t xml:space="preserve"> and</w:t>
      </w:r>
    </w:p>
    <w:p w14:paraId="66D23BB1" w14:textId="77777777" w:rsidR="00B10F0E" w:rsidRPr="00CE23C7" w:rsidRDefault="00B10F0E" w:rsidP="00CE23C7">
      <w:pPr>
        <w:pStyle w:val="dotpoint"/>
        <w:rPr>
          <w:rStyle w:val="Referencingstyle"/>
        </w:rPr>
      </w:pPr>
      <w:r>
        <w:t xml:space="preserve">the officer (only </w:t>
      </w:r>
      <w:r w:rsidR="00014D99" w:rsidRPr="008A3B30">
        <w:t xml:space="preserve">if the </w:t>
      </w:r>
      <w:r w:rsidR="00014D99">
        <w:t xml:space="preserve">Federal </w:t>
      </w:r>
      <w:r w:rsidR="00014D99" w:rsidRPr="008A3B30">
        <w:t>Court is satisfied that an officer of the insurer failed to take reasonable steps to prevent the contravention</w:t>
      </w:r>
      <w:r>
        <w:t>)</w:t>
      </w:r>
      <w:r w:rsidR="00014D99" w:rsidRPr="008A3B30">
        <w:t>.</w:t>
      </w:r>
      <w:r w:rsidR="00014D99">
        <w:t xml:space="preserve"> </w:t>
      </w:r>
      <w:r w:rsidRPr="00CE23C7">
        <w:rPr>
          <w:rStyle w:val="Referencingstyle"/>
        </w:rPr>
        <w:t xml:space="preserve">[Part 8, </w:t>
      </w:r>
      <w:r w:rsidR="004C31C6">
        <w:rPr>
          <w:rStyle w:val="Referencingstyle"/>
        </w:rPr>
        <w:t>sub</w:t>
      </w:r>
      <w:r w:rsidRPr="00CE23C7">
        <w:rPr>
          <w:rStyle w:val="Referencingstyle"/>
        </w:rPr>
        <w:t>section 155</w:t>
      </w:r>
      <w:r>
        <w:rPr>
          <w:rStyle w:val="Referencingstyle"/>
        </w:rPr>
        <w:t>(2)</w:t>
      </w:r>
      <w:r w:rsidRPr="00CE23C7">
        <w:rPr>
          <w:rStyle w:val="Referencingstyle"/>
        </w:rPr>
        <w:t>]</w:t>
      </w:r>
    </w:p>
    <w:p w14:paraId="2A48F49B" w14:textId="77777777" w:rsidR="00014D99" w:rsidRPr="00E26D23" w:rsidRDefault="00014D99" w:rsidP="000F194A">
      <w:pPr>
        <w:pStyle w:val="base-text-paragraph"/>
        <w:rPr>
          <w:rStyle w:val="Referencingstyle"/>
          <w:b w:val="0"/>
          <w:i w:val="0"/>
          <w:sz w:val="22"/>
        </w:rPr>
      </w:pPr>
      <w:r>
        <w:t xml:space="preserve">The Federal Court’s declaration is conclusive evidence of these matters. </w:t>
      </w:r>
      <w:r w:rsidRPr="00CE23C7">
        <w:rPr>
          <w:b/>
          <w:i/>
          <w:sz w:val="18"/>
        </w:rPr>
        <w:t xml:space="preserve"> [</w:t>
      </w:r>
      <w:r w:rsidRPr="00B10F0E">
        <w:rPr>
          <w:rStyle w:val="Referencingstyle"/>
        </w:rPr>
        <w:t>Part</w:t>
      </w:r>
      <w:r w:rsidR="00F5409E" w:rsidRPr="00B10F0E">
        <w:rPr>
          <w:rStyle w:val="Referencingstyle"/>
        </w:rPr>
        <w:t> </w:t>
      </w:r>
      <w:r w:rsidRPr="00B10F0E">
        <w:rPr>
          <w:rStyle w:val="Referencingstyle"/>
        </w:rPr>
        <w:t xml:space="preserve">8, </w:t>
      </w:r>
      <w:r w:rsidR="004C31C6">
        <w:rPr>
          <w:rStyle w:val="Referencingstyle"/>
        </w:rPr>
        <w:t>sub</w:t>
      </w:r>
      <w:r w:rsidRPr="00B10F0E">
        <w:rPr>
          <w:rStyle w:val="Referencingstyle"/>
        </w:rPr>
        <w:t xml:space="preserve">section </w:t>
      </w:r>
      <w:r w:rsidR="005A1243" w:rsidRPr="00B10F0E">
        <w:rPr>
          <w:rStyle w:val="Referencingstyle"/>
        </w:rPr>
        <w:t>155</w:t>
      </w:r>
      <w:r w:rsidR="00B10F0E">
        <w:rPr>
          <w:rStyle w:val="Referencingstyle"/>
        </w:rPr>
        <w:t>(3)</w:t>
      </w:r>
      <w:r w:rsidRPr="00B10F0E">
        <w:rPr>
          <w:rStyle w:val="Referencingstyle"/>
        </w:rPr>
        <w:t>]</w:t>
      </w:r>
    </w:p>
    <w:p w14:paraId="4BDCA916" w14:textId="77777777" w:rsidR="00014D99" w:rsidRDefault="00014D99" w:rsidP="00014D99">
      <w:pPr>
        <w:pStyle w:val="Heading4"/>
      </w:pPr>
      <w:r>
        <w:t>Civil penalty order</w:t>
      </w:r>
    </w:p>
    <w:p w14:paraId="6B4F9578" w14:textId="77777777" w:rsidR="00014D99" w:rsidRDefault="00F4748C" w:rsidP="000F194A">
      <w:pPr>
        <w:pStyle w:val="base-text-paragraph"/>
      </w:pPr>
      <w:r>
        <w:t xml:space="preserve">As currently provided under </w:t>
      </w:r>
      <w:r w:rsidR="00B0665C">
        <w:t>subsection 203-10(1) of the PHI </w:t>
      </w:r>
      <w:r>
        <w:t xml:space="preserve">Act, </w:t>
      </w:r>
      <w:r w:rsidR="00014D99">
        <w:t xml:space="preserve">the Federal </w:t>
      </w:r>
      <w:r w:rsidR="00014D99" w:rsidDel="00F4748C">
        <w:t xml:space="preserve">Court </w:t>
      </w:r>
      <w:r>
        <w:t xml:space="preserve">may order the officer to pay the Commonwealth a pecuniary penalty of up to 1,000 penalty units, if it </w:t>
      </w:r>
      <w:r w:rsidR="00014D99">
        <w:t>has made a declaration of contraven</w:t>
      </w:r>
      <w:r w:rsidR="00B0665C">
        <w:t>tion that specifies an officer.</w:t>
      </w:r>
      <w:r w:rsidR="00014D99">
        <w:t xml:space="preserve"> </w:t>
      </w:r>
      <w:r w:rsidR="00014D99" w:rsidRPr="00BB2CCD">
        <w:rPr>
          <w:rStyle w:val="Referencingstyle"/>
        </w:rPr>
        <w:t>[Part 8, s</w:t>
      </w:r>
      <w:r w:rsidR="00014D99">
        <w:rPr>
          <w:rStyle w:val="Referencingstyle"/>
        </w:rPr>
        <w:t>ubs</w:t>
      </w:r>
      <w:r w:rsidR="00014D99" w:rsidRPr="00BB2CCD">
        <w:rPr>
          <w:rStyle w:val="Referencingstyle"/>
        </w:rPr>
        <w:t xml:space="preserve">ection </w:t>
      </w:r>
      <w:r w:rsidR="005A1243" w:rsidRPr="00BB2CCD">
        <w:rPr>
          <w:rStyle w:val="Referencingstyle"/>
        </w:rPr>
        <w:t>15</w:t>
      </w:r>
      <w:r w:rsidR="005A1243">
        <w:rPr>
          <w:rStyle w:val="Referencingstyle"/>
        </w:rPr>
        <w:t>6</w:t>
      </w:r>
      <w:r w:rsidR="00014D99" w:rsidRPr="00BB2CCD">
        <w:rPr>
          <w:rStyle w:val="Referencingstyle"/>
        </w:rPr>
        <w:t>(1)]</w:t>
      </w:r>
    </w:p>
    <w:p w14:paraId="67260CAF" w14:textId="77777777" w:rsidR="00014D99" w:rsidRPr="001662CA" w:rsidRDefault="00F4748C" w:rsidP="000F194A">
      <w:pPr>
        <w:pStyle w:val="base-text-paragraph"/>
        <w:rPr>
          <w:rStyle w:val="Referencingstyle"/>
          <w:b w:val="0"/>
          <w:i w:val="0"/>
          <w:sz w:val="22"/>
        </w:rPr>
      </w:pPr>
      <w:r>
        <w:t xml:space="preserve">An order given under subsection 156(1) is a </w:t>
      </w:r>
      <w:r w:rsidRPr="00CE23C7">
        <w:t>civil penalty order</w:t>
      </w:r>
      <w:r>
        <w:t>.</w:t>
      </w:r>
      <w:r w:rsidR="00B0665C">
        <w:t xml:space="preserve"> </w:t>
      </w:r>
      <w:r w:rsidR="00014D99" w:rsidRPr="00BB2CCD">
        <w:rPr>
          <w:rStyle w:val="Referencingstyle"/>
        </w:rPr>
        <w:t>[Part</w:t>
      </w:r>
      <w:r w:rsidR="00F5409E">
        <w:rPr>
          <w:rStyle w:val="Referencingstyle"/>
        </w:rPr>
        <w:t> </w:t>
      </w:r>
      <w:r w:rsidR="00014D99" w:rsidRPr="00BB2CCD">
        <w:rPr>
          <w:rStyle w:val="Referencingstyle"/>
        </w:rPr>
        <w:t>8,</w:t>
      </w:r>
      <w:r w:rsidR="00F5409E">
        <w:rPr>
          <w:rStyle w:val="Referencingstyle"/>
        </w:rPr>
        <w:t> </w:t>
      </w:r>
      <w:r w:rsidR="00014D99" w:rsidRPr="00BB2CCD">
        <w:rPr>
          <w:rStyle w:val="Referencingstyle"/>
        </w:rPr>
        <w:t>subsection</w:t>
      </w:r>
      <w:r w:rsidR="00F5409E">
        <w:rPr>
          <w:rStyle w:val="Referencingstyle"/>
        </w:rPr>
        <w:t> </w:t>
      </w:r>
      <w:r w:rsidR="005A1243" w:rsidRPr="00BB2CCD">
        <w:rPr>
          <w:rStyle w:val="Referencingstyle"/>
        </w:rPr>
        <w:t>15</w:t>
      </w:r>
      <w:r w:rsidR="005A1243">
        <w:rPr>
          <w:rStyle w:val="Referencingstyle"/>
        </w:rPr>
        <w:t>6</w:t>
      </w:r>
      <w:r w:rsidR="00014D99" w:rsidRPr="00BB2CCD">
        <w:rPr>
          <w:rStyle w:val="Referencingstyle"/>
        </w:rPr>
        <w:t>(2)]</w:t>
      </w:r>
    </w:p>
    <w:p w14:paraId="39C18B96" w14:textId="77777777" w:rsidR="00014D99" w:rsidRPr="00E26D23" w:rsidRDefault="00F4748C" w:rsidP="000F194A">
      <w:pPr>
        <w:pStyle w:val="base-text-paragraph"/>
        <w:rPr>
          <w:rStyle w:val="Referencingstyle"/>
          <w:b w:val="0"/>
          <w:i w:val="0"/>
          <w:sz w:val="22"/>
        </w:rPr>
      </w:pPr>
      <w:r>
        <w:t>I</w:t>
      </w:r>
      <w:r w:rsidR="00014D99">
        <w:t xml:space="preserve">f </w:t>
      </w:r>
      <w:r>
        <w:t>the Federal Court</w:t>
      </w:r>
      <w:r w:rsidR="00014D99">
        <w:t xml:space="preserve"> is satisfied that a court has ordered the officer to pay punitive damages in respect of the contravention</w:t>
      </w:r>
      <w:r>
        <w:t>,</w:t>
      </w:r>
      <w:r w:rsidR="00014D99">
        <w:t xml:space="preserve"> or the officer’s failure to take reasonable steps to prevent the contravention</w:t>
      </w:r>
      <w:r>
        <w:t>, it must not make a civil penalty order</w:t>
      </w:r>
      <w:r w:rsidR="00014D99">
        <w:t xml:space="preserve">.  </w:t>
      </w:r>
      <w:r w:rsidR="00014D99" w:rsidRPr="00C573E0">
        <w:rPr>
          <w:rStyle w:val="Referencingstyle"/>
        </w:rPr>
        <w:t xml:space="preserve">[Part 8, </w:t>
      </w:r>
      <w:r w:rsidR="004F0185">
        <w:rPr>
          <w:rStyle w:val="Referencingstyle"/>
        </w:rPr>
        <w:t>sub</w:t>
      </w:r>
      <w:r w:rsidR="00014D99" w:rsidRPr="00C573E0">
        <w:rPr>
          <w:rStyle w:val="Referencingstyle"/>
        </w:rPr>
        <w:t xml:space="preserve">section </w:t>
      </w:r>
      <w:r w:rsidR="005A1243" w:rsidRPr="00C573E0">
        <w:rPr>
          <w:rStyle w:val="Referencingstyle"/>
        </w:rPr>
        <w:t>15</w:t>
      </w:r>
      <w:r w:rsidR="005A1243">
        <w:rPr>
          <w:rStyle w:val="Referencingstyle"/>
        </w:rPr>
        <w:t>6</w:t>
      </w:r>
      <w:r w:rsidR="00014D99" w:rsidRPr="00C573E0">
        <w:rPr>
          <w:rStyle w:val="Referencingstyle"/>
        </w:rPr>
        <w:t>(</w:t>
      </w:r>
      <w:r w:rsidR="00DE6530">
        <w:rPr>
          <w:rStyle w:val="Referencingstyle"/>
        </w:rPr>
        <w:t>3</w:t>
      </w:r>
      <w:r w:rsidR="00014D99" w:rsidRPr="00C573E0">
        <w:rPr>
          <w:rStyle w:val="Referencingstyle"/>
        </w:rPr>
        <w:t>)]</w:t>
      </w:r>
    </w:p>
    <w:p w14:paraId="5114D68D" w14:textId="77777777" w:rsidR="00DA163C" w:rsidRPr="001662CA" w:rsidRDefault="00DA163C" w:rsidP="000F194A">
      <w:pPr>
        <w:pStyle w:val="base-text-paragraph"/>
        <w:rPr>
          <w:rStyle w:val="Referencingstyle"/>
          <w:b w:val="0"/>
          <w:i w:val="0"/>
          <w:sz w:val="22"/>
        </w:rPr>
      </w:pPr>
      <w:r>
        <w:t xml:space="preserve">An order given under subsection 156(3) is a </w:t>
      </w:r>
      <w:r w:rsidRPr="00EE3181">
        <w:t>civil debt payable to the Commonwealth</w:t>
      </w:r>
      <w:r>
        <w:t xml:space="preserve">.  </w:t>
      </w:r>
      <w:r w:rsidRPr="00E26D23">
        <w:rPr>
          <w:rStyle w:val="Referencingstyle"/>
        </w:rPr>
        <w:t>[Part 8, subsection 156(4)]</w:t>
      </w:r>
    </w:p>
    <w:p w14:paraId="2777CFFE" w14:textId="77777777" w:rsidR="00DE6530" w:rsidRPr="00E26D23" w:rsidRDefault="00DE6530" w:rsidP="000F194A">
      <w:pPr>
        <w:pStyle w:val="base-text-paragraph"/>
        <w:rPr>
          <w:rStyle w:val="Referencingstyle"/>
          <w:b w:val="0"/>
          <w:i w:val="0"/>
          <w:sz w:val="22"/>
        </w:rPr>
      </w:pPr>
      <w:r w:rsidRPr="006C3D7A">
        <w:t>T</w:t>
      </w:r>
      <w:r>
        <w:t xml:space="preserve">he Commonwealth may enforce an order made in civil proceedings against the officer </w:t>
      </w:r>
      <w:r w:rsidR="00DA163C">
        <w:t>to</w:t>
      </w:r>
      <w:r>
        <w:t xml:space="preserve"> recover the officer</w:t>
      </w:r>
      <w:r w:rsidR="00DA163C">
        <w:t>’</w:t>
      </w:r>
      <w:r w:rsidR="00B0665C">
        <w:t xml:space="preserve">s debt. </w:t>
      </w:r>
      <w:r>
        <w:t>Th</w:t>
      </w:r>
      <w:r w:rsidR="00DA163C">
        <w:t>is</w:t>
      </w:r>
      <w:r>
        <w:t xml:space="preserve"> debt </w:t>
      </w:r>
      <w:r w:rsidR="00B0665C">
        <w:t>is taken to be a judgment debt.</w:t>
      </w:r>
      <w:r>
        <w:t xml:space="preserve"> </w:t>
      </w:r>
      <w:r w:rsidRPr="006C3D7A">
        <w:rPr>
          <w:rStyle w:val="Referencingstyle"/>
        </w:rPr>
        <w:t>[Part 8, subsection 156(5)]</w:t>
      </w:r>
    </w:p>
    <w:p w14:paraId="3A7304E9" w14:textId="77777777" w:rsidR="00A45350" w:rsidRPr="00616367" w:rsidRDefault="00856885" w:rsidP="000F194A">
      <w:pPr>
        <w:pStyle w:val="base-text-paragraph"/>
      </w:pPr>
      <w:r w:rsidRPr="00616367">
        <w:rPr>
          <w:rStyle w:val="Referencingstyle"/>
          <w:b w:val="0"/>
          <w:i w:val="0"/>
          <w:sz w:val="22"/>
        </w:rPr>
        <w:t xml:space="preserve">The </w:t>
      </w:r>
      <w:r w:rsidR="000C4B9F" w:rsidRPr="00616367">
        <w:rPr>
          <w:rStyle w:val="Referencingstyle"/>
          <w:b w:val="0"/>
          <w:i w:val="0"/>
          <w:sz w:val="22"/>
        </w:rPr>
        <w:t>provision allows the Court to impose a large</w:t>
      </w:r>
      <w:r w:rsidRPr="00616367">
        <w:rPr>
          <w:rStyle w:val="Referencingstyle"/>
          <w:b w:val="0"/>
          <w:i w:val="0"/>
          <w:sz w:val="22"/>
        </w:rPr>
        <w:t xml:space="preserve"> </w:t>
      </w:r>
      <w:r w:rsidR="000C4B9F" w:rsidRPr="00616367">
        <w:t>maximum pecuniary</w:t>
      </w:r>
      <w:r w:rsidR="00A45350" w:rsidRPr="00616367">
        <w:t xml:space="preserve"> penalty</w:t>
      </w:r>
      <w:r w:rsidRPr="00616367">
        <w:t>. However, c</w:t>
      </w:r>
      <w:r w:rsidR="00A45350" w:rsidRPr="00616367">
        <w:t xml:space="preserve">ivil penalties must be </w:t>
      </w:r>
      <w:r w:rsidRPr="00616367">
        <w:t xml:space="preserve">large enough to act as an effective deterrent </w:t>
      </w:r>
      <w:r w:rsidR="003A0A40" w:rsidRPr="00616367">
        <w:t xml:space="preserve">to </w:t>
      </w:r>
      <w:r w:rsidRPr="00616367">
        <w:t xml:space="preserve">the offence and </w:t>
      </w:r>
      <w:r w:rsidR="003A0A40" w:rsidRPr="00616367">
        <w:t xml:space="preserve">also to </w:t>
      </w:r>
      <w:r w:rsidRPr="00616367">
        <w:t>reflect t</w:t>
      </w:r>
      <w:r w:rsidR="00B0665C">
        <w:t xml:space="preserve">he seriousness of the offence. </w:t>
      </w:r>
      <w:r w:rsidR="000C4B9F" w:rsidRPr="00616367">
        <w:t>This is because civil penalties</w:t>
      </w:r>
      <w:r w:rsidRPr="00616367">
        <w:t xml:space="preserve"> </w:t>
      </w:r>
      <w:r w:rsidR="00A45350" w:rsidRPr="00616367">
        <w:t xml:space="preserve">do not carry the </w:t>
      </w:r>
      <w:r w:rsidR="00400269">
        <w:t xml:space="preserve">criminal convictions/the </w:t>
      </w:r>
      <w:r w:rsidR="00A45350" w:rsidRPr="00616367">
        <w:t xml:space="preserve">stigma attached to a criminal offence. </w:t>
      </w:r>
    </w:p>
    <w:p w14:paraId="69903CFA" w14:textId="77777777" w:rsidR="00014D99" w:rsidRDefault="00014D99" w:rsidP="00014D99">
      <w:pPr>
        <w:pStyle w:val="Heading4"/>
      </w:pPr>
      <w:r>
        <w:t>Compensation order</w:t>
      </w:r>
    </w:p>
    <w:p w14:paraId="5D8036F5" w14:textId="77777777" w:rsidR="00014D99" w:rsidRPr="008261EA" w:rsidRDefault="00014D99" w:rsidP="00400269">
      <w:pPr>
        <w:pStyle w:val="base-text-paragraph"/>
        <w:tabs>
          <w:tab w:val="clear" w:pos="1985"/>
          <w:tab w:val="num" w:pos="1986"/>
        </w:tabs>
      </w:pPr>
      <w:r>
        <w:t>If the Federal Court has made a declaration of contravention</w:t>
      </w:r>
      <w:r w:rsidR="00DA163C">
        <w:t xml:space="preserve"> under section 155</w:t>
      </w:r>
      <w:r w:rsidR="00154B2B">
        <w:t>,</w:t>
      </w:r>
      <w:r>
        <w:t xml:space="preserve"> </w:t>
      </w:r>
      <w:r w:rsidR="00DA163C">
        <w:t>it</w:t>
      </w:r>
      <w:r>
        <w:t xml:space="preserve"> may order the private health insurer to compensate an individual for any injury or loss suffered as a result of the contravention.</w:t>
      </w:r>
      <w:r w:rsidR="00400269">
        <w:t xml:space="preserve"> In </w:t>
      </w:r>
      <w:r w:rsidR="00ED52FE">
        <w:t xml:space="preserve">the </w:t>
      </w:r>
      <w:r w:rsidR="00400269">
        <w:t>PHI Act, this Court could only make this order when the Health Minister had applied to the Court</w:t>
      </w:r>
      <w:r w:rsidR="00767DAA">
        <w:t xml:space="preserve">. </w:t>
      </w:r>
      <w:r w:rsidR="00400269" w:rsidRPr="00400269">
        <w:t xml:space="preserve">It is necessary to confer this power on APRA, even though it is not a current Council power, because the Health Minister will not undertake enforcement actions in relation to contraventions of enforceable obligations under the </w:t>
      </w:r>
      <w:r w:rsidR="00E9202F">
        <w:t>Prudential Supervision Bill</w:t>
      </w:r>
      <w:r w:rsidR="00400269">
        <w:t>.</w:t>
      </w:r>
      <w:r w:rsidR="00B0665C">
        <w:t xml:space="preserve"> </w:t>
      </w:r>
      <w:r w:rsidRPr="008261EA">
        <w:rPr>
          <w:rStyle w:val="Referencingstyle"/>
        </w:rPr>
        <w:t xml:space="preserve">[Part 8, subsection </w:t>
      </w:r>
      <w:r w:rsidR="005A1243" w:rsidRPr="008261EA">
        <w:rPr>
          <w:rStyle w:val="Referencingstyle"/>
        </w:rPr>
        <w:t>15</w:t>
      </w:r>
      <w:r w:rsidR="005A1243">
        <w:rPr>
          <w:rStyle w:val="Referencingstyle"/>
        </w:rPr>
        <w:t>7</w:t>
      </w:r>
      <w:r w:rsidRPr="008261EA">
        <w:rPr>
          <w:rStyle w:val="Referencingstyle"/>
        </w:rPr>
        <w:t>(1)]</w:t>
      </w:r>
    </w:p>
    <w:p w14:paraId="1AC943AD" w14:textId="77777777" w:rsidR="00014D99" w:rsidRPr="001662CA" w:rsidRDefault="00014D99" w:rsidP="000F194A">
      <w:pPr>
        <w:pStyle w:val="base-text-paragraph"/>
        <w:rPr>
          <w:rStyle w:val="Referencingstyle"/>
          <w:b w:val="0"/>
          <w:i w:val="0"/>
          <w:sz w:val="22"/>
        </w:rPr>
      </w:pPr>
      <w:r>
        <w:t xml:space="preserve">The order must specify the amount of compensation and that it may be enforced as if it were a judgment of the Federal Court.  </w:t>
      </w:r>
      <w:r w:rsidRPr="008261EA">
        <w:rPr>
          <w:rStyle w:val="Referencingstyle"/>
        </w:rPr>
        <w:t>[Part</w:t>
      </w:r>
      <w:r w:rsidR="00F5409E">
        <w:rPr>
          <w:rStyle w:val="Referencingstyle"/>
        </w:rPr>
        <w:t> </w:t>
      </w:r>
      <w:r w:rsidRPr="008261EA">
        <w:rPr>
          <w:rStyle w:val="Referencingstyle"/>
        </w:rPr>
        <w:t>8,</w:t>
      </w:r>
      <w:r w:rsidR="00F5409E">
        <w:rPr>
          <w:rStyle w:val="Referencingstyle"/>
        </w:rPr>
        <w:t> </w:t>
      </w:r>
      <w:r w:rsidRPr="008261EA">
        <w:rPr>
          <w:rStyle w:val="Referencingstyle"/>
        </w:rPr>
        <w:t xml:space="preserve">subsections </w:t>
      </w:r>
      <w:r w:rsidR="005A1243" w:rsidRPr="008261EA">
        <w:rPr>
          <w:rStyle w:val="Referencingstyle"/>
        </w:rPr>
        <w:t>15</w:t>
      </w:r>
      <w:r w:rsidR="005A1243">
        <w:rPr>
          <w:rStyle w:val="Referencingstyle"/>
        </w:rPr>
        <w:t>7</w:t>
      </w:r>
      <w:r w:rsidRPr="008261EA">
        <w:rPr>
          <w:rStyle w:val="Referencingstyle"/>
        </w:rPr>
        <w:t>(2) and (3)]</w:t>
      </w:r>
    </w:p>
    <w:p w14:paraId="36360230" w14:textId="77777777" w:rsidR="00014D99" w:rsidRDefault="00014D99" w:rsidP="00014D99">
      <w:pPr>
        <w:pStyle w:val="Heading4"/>
      </w:pPr>
      <w:r>
        <w:t>Other order</w:t>
      </w:r>
    </w:p>
    <w:p w14:paraId="50FECA12" w14:textId="77777777" w:rsidR="00014D99" w:rsidRPr="00E26D23" w:rsidRDefault="00014D99" w:rsidP="000F194A">
      <w:pPr>
        <w:pStyle w:val="base-text-paragraph"/>
        <w:rPr>
          <w:rStyle w:val="Referencingstyle"/>
          <w:b w:val="0"/>
          <w:i w:val="0"/>
          <w:sz w:val="22"/>
        </w:rPr>
      </w:pPr>
      <w:r>
        <w:t>I</w:t>
      </w:r>
      <w:r w:rsidRPr="00D11CF0">
        <w:t xml:space="preserve">f the </w:t>
      </w:r>
      <w:r>
        <w:t xml:space="preserve">Federal </w:t>
      </w:r>
      <w:r w:rsidRPr="00D11CF0">
        <w:t xml:space="preserve">Court has made a declaration </w:t>
      </w:r>
      <w:r>
        <w:t>of contravention,</w:t>
      </w:r>
      <w:r w:rsidRPr="00D11CF0">
        <w:t xml:space="preserve"> </w:t>
      </w:r>
      <w:r w:rsidR="00DA163C">
        <w:t>it</w:t>
      </w:r>
      <w:r w:rsidRPr="00D11CF0">
        <w:t xml:space="preserve"> may make any order </w:t>
      </w:r>
      <w:r w:rsidR="00831FC6">
        <w:t xml:space="preserve">sought by </w:t>
      </w:r>
      <w:r>
        <w:t>APRA</w:t>
      </w:r>
      <w:r w:rsidRPr="00D11CF0">
        <w:t xml:space="preserve">, </w:t>
      </w:r>
      <w:r w:rsidR="00C96731">
        <w:t>which will be enforced</w:t>
      </w:r>
      <w:r w:rsidRPr="00D11CF0">
        <w:t xml:space="preserve"> as if it were a judgement of the </w:t>
      </w:r>
      <w:r>
        <w:t xml:space="preserve">Federal </w:t>
      </w:r>
      <w:r w:rsidRPr="00D11CF0">
        <w:t>Court.</w:t>
      </w:r>
      <w:r>
        <w:t xml:space="preserve">  </w:t>
      </w:r>
      <w:r w:rsidRPr="00D11CF0">
        <w:rPr>
          <w:rStyle w:val="Referencingstyle"/>
        </w:rPr>
        <w:t xml:space="preserve">[Part 8, </w:t>
      </w:r>
      <w:r>
        <w:rPr>
          <w:rStyle w:val="Referencingstyle"/>
        </w:rPr>
        <w:t>section</w:t>
      </w:r>
      <w:r w:rsidRPr="00D11CF0">
        <w:rPr>
          <w:rStyle w:val="Referencingstyle"/>
        </w:rPr>
        <w:t xml:space="preserve"> </w:t>
      </w:r>
      <w:r w:rsidR="005A1243" w:rsidRPr="00D11CF0">
        <w:rPr>
          <w:rStyle w:val="Referencingstyle"/>
        </w:rPr>
        <w:t>1</w:t>
      </w:r>
      <w:r w:rsidR="005A1243">
        <w:rPr>
          <w:rStyle w:val="Referencingstyle"/>
        </w:rPr>
        <w:t>58</w:t>
      </w:r>
      <w:r w:rsidRPr="00D11CF0">
        <w:rPr>
          <w:rStyle w:val="Referencingstyle"/>
        </w:rPr>
        <w:t>]</w:t>
      </w:r>
    </w:p>
    <w:p w14:paraId="599AFE30" w14:textId="77777777" w:rsidR="00014D99" w:rsidRDefault="00014D99" w:rsidP="00014D99">
      <w:pPr>
        <w:pStyle w:val="Heading4"/>
      </w:pPr>
      <w:r>
        <w:t>Civil evidence and procedure rules for declarations and orders</w:t>
      </w:r>
    </w:p>
    <w:p w14:paraId="2A1655A0" w14:textId="77777777" w:rsidR="00014D99" w:rsidRPr="00E26D23" w:rsidRDefault="00014D99" w:rsidP="000F194A">
      <w:pPr>
        <w:pStyle w:val="base-text-paragraph"/>
        <w:rPr>
          <w:rStyle w:val="Referencingstyle"/>
          <w:b w:val="0"/>
          <w:i w:val="0"/>
          <w:sz w:val="22"/>
        </w:rPr>
      </w:pPr>
      <w:r>
        <w:t>T</w:t>
      </w:r>
      <w:r w:rsidRPr="008C0CD7">
        <w:t xml:space="preserve">he </w:t>
      </w:r>
      <w:r>
        <w:t xml:space="preserve">Federal </w:t>
      </w:r>
      <w:r w:rsidRPr="008C0CD7">
        <w:t xml:space="preserve">Court must apply the rules of evidence and procedure for civil matters in proceedings under </w:t>
      </w:r>
      <w:r w:rsidR="00831FC6">
        <w:t>Part 8</w:t>
      </w:r>
      <w:r w:rsidRPr="008C0CD7">
        <w:t>.</w:t>
      </w:r>
      <w:r>
        <w:t xml:space="preserve">  </w:t>
      </w:r>
      <w:r w:rsidRPr="008C0CD7">
        <w:rPr>
          <w:rStyle w:val="Referencingstyle"/>
        </w:rPr>
        <w:t xml:space="preserve">[Part 8, section </w:t>
      </w:r>
      <w:r w:rsidR="005A1243" w:rsidRPr="008C0CD7">
        <w:rPr>
          <w:rStyle w:val="Referencingstyle"/>
        </w:rPr>
        <w:t>1</w:t>
      </w:r>
      <w:r w:rsidR="005A1243">
        <w:rPr>
          <w:rStyle w:val="Referencingstyle"/>
        </w:rPr>
        <w:t>59</w:t>
      </w:r>
      <w:r w:rsidRPr="008C0CD7">
        <w:rPr>
          <w:rStyle w:val="Referencingstyle"/>
        </w:rPr>
        <w:t>]</w:t>
      </w:r>
    </w:p>
    <w:p w14:paraId="35DF9AF7" w14:textId="77777777" w:rsidR="00831FC6" w:rsidRPr="00831FC6" w:rsidRDefault="00831FC6" w:rsidP="000F194A">
      <w:pPr>
        <w:pStyle w:val="base-text-paragraph"/>
        <w:rPr>
          <w:rStyle w:val="Referencingstyle"/>
          <w:b w:val="0"/>
          <w:i w:val="0"/>
          <w:sz w:val="22"/>
        </w:rPr>
      </w:pPr>
      <w:r w:rsidRPr="00831FC6">
        <w:rPr>
          <w:rStyle w:val="Referencingstyle"/>
          <w:b w:val="0"/>
          <w:i w:val="0"/>
          <w:sz w:val="22"/>
        </w:rPr>
        <w:t xml:space="preserve">The standard of proof in civil proceedings is determined under section 140 of the </w:t>
      </w:r>
      <w:r w:rsidRPr="00831FC6">
        <w:rPr>
          <w:rStyle w:val="Referencingstyle"/>
          <w:b w:val="0"/>
          <w:sz w:val="22"/>
        </w:rPr>
        <w:t>Evidence Act 1995</w:t>
      </w:r>
      <w:r w:rsidRPr="00831FC6">
        <w:rPr>
          <w:rStyle w:val="Referencingstyle"/>
          <w:b w:val="0"/>
          <w:i w:val="0"/>
          <w:sz w:val="22"/>
        </w:rPr>
        <w:t xml:space="preserve"> as the balance of probabilities.</w:t>
      </w:r>
    </w:p>
    <w:p w14:paraId="5E48C647" w14:textId="77777777" w:rsidR="00014D99" w:rsidRDefault="00014D99" w:rsidP="00014D99">
      <w:pPr>
        <w:pStyle w:val="Heading4"/>
      </w:pPr>
      <w:r>
        <w:t>Civil proceedings after criminal proceedings</w:t>
      </w:r>
    </w:p>
    <w:p w14:paraId="28EB75C0" w14:textId="77777777" w:rsidR="00014D99" w:rsidRPr="00E26D23" w:rsidRDefault="00014D99" w:rsidP="000F194A">
      <w:pPr>
        <w:pStyle w:val="base-text-paragraph"/>
        <w:rPr>
          <w:rStyle w:val="Referencingstyle"/>
          <w:b w:val="0"/>
          <w:i w:val="0"/>
          <w:sz w:val="22"/>
        </w:rPr>
      </w:pPr>
      <w:r>
        <w:t>The</w:t>
      </w:r>
      <w:r w:rsidRPr="008C0CD7">
        <w:t xml:space="preserve"> </w:t>
      </w:r>
      <w:r>
        <w:t xml:space="preserve">Federal </w:t>
      </w:r>
      <w:r w:rsidRPr="008C0CD7">
        <w:t xml:space="preserve">Court must not make a </w:t>
      </w:r>
      <w:r w:rsidR="00024E05">
        <w:t>civil</w:t>
      </w:r>
      <w:r w:rsidRPr="008C0CD7">
        <w:t xml:space="preserve"> penalty order against an officer </w:t>
      </w:r>
      <w:r w:rsidR="00F5409E">
        <w:t>of a private health insurer</w:t>
      </w:r>
      <w:r w:rsidRPr="008C0CD7">
        <w:t xml:space="preserve"> if the officer has been convicted of an offence </w:t>
      </w:r>
      <w:r w:rsidR="00D226B6">
        <w:t xml:space="preserve">involving </w:t>
      </w:r>
      <w:r w:rsidR="00024E05">
        <w:t>s</w:t>
      </w:r>
      <w:r w:rsidR="00D226B6">
        <w:t>ubstantially the same</w:t>
      </w:r>
      <w:r w:rsidR="00024E05" w:rsidRPr="008C0CD7">
        <w:t xml:space="preserve"> conduct </w:t>
      </w:r>
      <w:r w:rsidR="00024E05" w:rsidRPr="009D33E8">
        <w:t xml:space="preserve">to which the court had regard </w:t>
      </w:r>
      <w:r w:rsidR="00024E05">
        <w:t xml:space="preserve">when determining that </w:t>
      </w:r>
      <w:r w:rsidR="00024E05" w:rsidRPr="009D33E8">
        <w:t xml:space="preserve">the officer failed to take reasonable steps to prevent the insurer </w:t>
      </w:r>
      <w:r w:rsidR="00024E05">
        <w:t xml:space="preserve">from </w:t>
      </w:r>
      <w:r w:rsidR="00024E05" w:rsidRPr="009D33E8">
        <w:t>contravening the enforceable obligation.</w:t>
      </w:r>
      <w:r w:rsidR="00024E05">
        <w:t xml:space="preserve"> </w:t>
      </w:r>
      <w:r>
        <w:t xml:space="preserve"> </w:t>
      </w:r>
      <w:r w:rsidRPr="008C0CD7">
        <w:rPr>
          <w:rStyle w:val="Referencingstyle"/>
        </w:rPr>
        <w:t xml:space="preserve">[Part 8, section </w:t>
      </w:r>
      <w:r w:rsidR="005A1243" w:rsidRPr="008C0CD7">
        <w:rPr>
          <w:rStyle w:val="Referencingstyle"/>
        </w:rPr>
        <w:t>1</w:t>
      </w:r>
      <w:r w:rsidR="005A1243">
        <w:rPr>
          <w:rStyle w:val="Referencingstyle"/>
        </w:rPr>
        <w:t>60</w:t>
      </w:r>
      <w:r w:rsidRPr="008C0CD7">
        <w:rPr>
          <w:rStyle w:val="Referencingstyle"/>
        </w:rPr>
        <w:t>]</w:t>
      </w:r>
    </w:p>
    <w:p w14:paraId="6C110610" w14:textId="77777777" w:rsidR="00014D99" w:rsidRDefault="00014D99" w:rsidP="00014D99">
      <w:pPr>
        <w:pStyle w:val="Heading4"/>
      </w:pPr>
      <w:r>
        <w:t>Criminal proceedings during civil proceedings</w:t>
      </w:r>
    </w:p>
    <w:p w14:paraId="6422804F" w14:textId="77777777" w:rsidR="00024E05" w:rsidRDefault="00014D99" w:rsidP="000F194A">
      <w:pPr>
        <w:pStyle w:val="base-text-paragraph"/>
      </w:pPr>
      <w:r>
        <w:t>P</w:t>
      </w:r>
      <w:r w:rsidRPr="008C0CD7">
        <w:t xml:space="preserve">roceedings for a </w:t>
      </w:r>
      <w:r w:rsidR="00154B2B">
        <w:t>civil</w:t>
      </w:r>
      <w:r w:rsidRPr="008C0CD7">
        <w:t xml:space="preserve"> penalty order against an officer </w:t>
      </w:r>
      <w:r w:rsidR="00024E05">
        <w:t>remain</w:t>
      </w:r>
      <w:r w:rsidRPr="008C0CD7">
        <w:t xml:space="preserve"> if</w:t>
      </w:r>
      <w:r w:rsidR="00024E05">
        <w:t>:</w:t>
      </w:r>
    </w:p>
    <w:p w14:paraId="1AA13124" w14:textId="77777777" w:rsidR="00024E05" w:rsidRDefault="00014D99" w:rsidP="00472C57">
      <w:pPr>
        <w:pStyle w:val="dotpoint"/>
      </w:pPr>
      <w:r w:rsidRPr="008C0CD7">
        <w:t>criminal proceedings are started against the officer for an offence</w:t>
      </w:r>
      <w:r w:rsidR="00024E05">
        <w:t>; and</w:t>
      </w:r>
    </w:p>
    <w:p w14:paraId="34E6EEC5" w14:textId="77777777" w:rsidR="00014D99" w:rsidRDefault="00024E05">
      <w:pPr>
        <w:pStyle w:val="dotpoint"/>
      </w:pPr>
      <w:r>
        <w:t>the offence is</w:t>
      </w:r>
      <w:r w:rsidR="00014D99" w:rsidRPr="008C0CD7">
        <w:t xml:space="preserve"> constituted by conduct </w:t>
      </w:r>
      <w:r>
        <w:t xml:space="preserve">that is </w:t>
      </w:r>
      <w:r w:rsidR="00014D99" w:rsidRPr="008C0CD7">
        <w:t xml:space="preserve">substantially the same as the conduct which would led the </w:t>
      </w:r>
      <w:r w:rsidR="00014D99">
        <w:t xml:space="preserve">Federal </w:t>
      </w:r>
      <w:r w:rsidR="00014D99" w:rsidRPr="008C0CD7">
        <w:t xml:space="preserve">Court to impose a </w:t>
      </w:r>
      <w:r w:rsidR="001C1FAF">
        <w:t>civil</w:t>
      </w:r>
      <w:r w:rsidR="00014D99" w:rsidRPr="008C0CD7">
        <w:t xml:space="preserve"> penalty. </w:t>
      </w:r>
      <w:r w:rsidR="00014D99" w:rsidRPr="00024E05">
        <w:rPr>
          <w:rStyle w:val="Referencingstyle"/>
        </w:rPr>
        <w:t xml:space="preserve">[Part 8, subsection </w:t>
      </w:r>
      <w:r w:rsidR="001569FF" w:rsidRPr="00024E05">
        <w:rPr>
          <w:rStyle w:val="Referencingstyle"/>
        </w:rPr>
        <w:t>161</w:t>
      </w:r>
      <w:r w:rsidR="00014D99" w:rsidRPr="00024E05">
        <w:rPr>
          <w:rStyle w:val="Referencingstyle"/>
        </w:rPr>
        <w:t>(1)]</w:t>
      </w:r>
      <w:r w:rsidR="00014D99" w:rsidRPr="00472C57">
        <w:t xml:space="preserve">  </w:t>
      </w:r>
    </w:p>
    <w:p w14:paraId="1A62DA5A" w14:textId="77777777" w:rsidR="00014D99" w:rsidRDefault="00014D99" w:rsidP="000F194A">
      <w:pPr>
        <w:pStyle w:val="base-text-paragraph"/>
      </w:pPr>
      <w:r w:rsidRPr="008C0CD7">
        <w:t xml:space="preserve"> </w:t>
      </w:r>
      <w:r>
        <w:t>The</w:t>
      </w:r>
      <w:r w:rsidRPr="008C0CD7">
        <w:t xml:space="preserve"> proceedings are dismissed if the officer is convicted of the offence</w:t>
      </w:r>
      <w:r w:rsidR="00024E05">
        <w:t>.</w:t>
      </w:r>
      <w:r>
        <w:t xml:space="preserve"> </w:t>
      </w:r>
      <w:r w:rsidRPr="008C0CD7">
        <w:rPr>
          <w:rStyle w:val="Referencingstyle"/>
        </w:rPr>
        <w:t xml:space="preserve">[Part 8, subsection </w:t>
      </w:r>
      <w:r w:rsidR="001569FF" w:rsidRPr="008C0CD7">
        <w:rPr>
          <w:rStyle w:val="Referencingstyle"/>
        </w:rPr>
        <w:t>16</w:t>
      </w:r>
      <w:r w:rsidR="001569FF">
        <w:rPr>
          <w:rStyle w:val="Referencingstyle"/>
        </w:rPr>
        <w:t>1</w:t>
      </w:r>
      <w:r w:rsidRPr="008C0CD7">
        <w:rPr>
          <w:rStyle w:val="Referencingstyle"/>
        </w:rPr>
        <w:t>(2)]</w:t>
      </w:r>
      <w:r>
        <w:t xml:space="preserve">  </w:t>
      </w:r>
    </w:p>
    <w:p w14:paraId="5D5F7FEB" w14:textId="77777777" w:rsidR="00014D99" w:rsidRDefault="00014D99" w:rsidP="00014D99">
      <w:pPr>
        <w:pStyle w:val="Heading4"/>
      </w:pPr>
      <w:r>
        <w:t>Criminal proceedings after civil proceedings</w:t>
      </w:r>
    </w:p>
    <w:p w14:paraId="33BB3051" w14:textId="77777777" w:rsidR="00014D99" w:rsidRPr="0013403B" w:rsidRDefault="00014D99" w:rsidP="0013403B">
      <w:pPr>
        <w:pStyle w:val="base-text-paragraph"/>
        <w:tabs>
          <w:tab w:val="clear" w:pos="1985"/>
          <w:tab w:val="num" w:pos="1986"/>
        </w:tabs>
        <w:rPr>
          <w:rStyle w:val="Referencingstyle"/>
          <w:b w:val="0"/>
          <w:i w:val="0"/>
          <w:sz w:val="22"/>
        </w:rPr>
      </w:pPr>
      <w:r>
        <w:t>C</w:t>
      </w:r>
      <w:r w:rsidRPr="008C0CD7">
        <w:t>riminal proceedings may be started against a person for conduct substantially the same as the conduct constituting a contravention of an enforceable obligation regardless of whether a declaration of contraven</w:t>
      </w:r>
      <w:r>
        <w:t xml:space="preserve">tion has been made </w:t>
      </w:r>
      <w:r w:rsidR="0013403B">
        <w:t>under</w:t>
      </w:r>
      <w:r w:rsidRPr="008C0CD7">
        <w:t xml:space="preserve"> </w:t>
      </w:r>
      <w:r w:rsidR="0091673E">
        <w:t>Part</w:t>
      </w:r>
      <w:r w:rsidR="0013403B">
        <w:t xml:space="preserve"> 8 </w:t>
      </w:r>
      <w:r w:rsidR="0013403B" w:rsidRPr="0013403B">
        <w:t>or an order for a civil penalty or to pay compensation has been made against the person</w:t>
      </w:r>
      <w:r w:rsidRPr="008C0CD7">
        <w:t>.</w:t>
      </w:r>
      <w:r>
        <w:t xml:space="preserve">  </w:t>
      </w:r>
      <w:r w:rsidRPr="008C0CD7">
        <w:rPr>
          <w:rStyle w:val="Referencingstyle"/>
        </w:rPr>
        <w:t xml:space="preserve">[Part 8, section </w:t>
      </w:r>
      <w:r w:rsidR="001569FF" w:rsidRPr="008C0CD7">
        <w:rPr>
          <w:rStyle w:val="Referencingstyle"/>
        </w:rPr>
        <w:t>16</w:t>
      </w:r>
      <w:r w:rsidR="001569FF">
        <w:rPr>
          <w:rStyle w:val="Referencingstyle"/>
        </w:rPr>
        <w:t>2</w:t>
      </w:r>
      <w:r w:rsidRPr="008C0CD7">
        <w:rPr>
          <w:rStyle w:val="Referencingstyle"/>
        </w:rPr>
        <w:t xml:space="preserve">]  </w:t>
      </w:r>
    </w:p>
    <w:p w14:paraId="2F395404" w14:textId="77777777" w:rsidR="00014D99" w:rsidRDefault="00014D99" w:rsidP="006C3D7A">
      <w:pPr>
        <w:pStyle w:val="Heading4"/>
      </w:pPr>
      <w:r>
        <w:t>Evidence given in proceedings for penalty not admissible in criminal proceedings</w:t>
      </w:r>
    </w:p>
    <w:p w14:paraId="4558E6F5" w14:textId="77777777" w:rsidR="00014D99" w:rsidRDefault="00014D99" w:rsidP="000F194A">
      <w:pPr>
        <w:pStyle w:val="base-text-paragraph"/>
      </w:pPr>
      <w:r>
        <w:t>Evidence of information or documents produced by an officer of a private health insurer is no</w:t>
      </w:r>
      <w:r w:rsidR="001C1FAF">
        <w:t>t</w:t>
      </w:r>
      <w:r>
        <w:t xml:space="preserve"> admissible in criminal proceedings against the officer if:</w:t>
      </w:r>
    </w:p>
    <w:p w14:paraId="7EA1261C" w14:textId="77777777" w:rsidR="00014D99" w:rsidRDefault="00014D99" w:rsidP="0013403B">
      <w:pPr>
        <w:pStyle w:val="dotpoint"/>
      </w:pPr>
      <w:r>
        <w:t xml:space="preserve">the officer previously gave the evidence or produced the documents in proceedings for a </w:t>
      </w:r>
      <w:r w:rsidR="0091673E">
        <w:t>civil</w:t>
      </w:r>
      <w:r>
        <w:t xml:space="preserve"> penalty order against the officer</w:t>
      </w:r>
      <w:r w:rsidR="0013403B">
        <w:t xml:space="preserve"> </w:t>
      </w:r>
      <w:r w:rsidR="0013403B" w:rsidRPr="0013403B">
        <w:t>(whether or not the order was made)</w:t>
      </w:r>
      <w:r>
        <w:t xml:space="preserve">; and </w:t>
      </w:r>
    </w:p>
    <w:p w14:paraId="073FE99A" w14:textId="77777777" w:rsidR="00014D99" w:rsidRPr="008C0CD7" w:rsidRDefault="00014D99" w:rsidP="00014D99">
      <w:pPr>
        <w:pStyle w:val="dotpoint"/>
      </w:pPr>
      <w:r>
        <w:t>the conduct alleged to constitute the offence is substantially the same as the conduct to which the Federal Court had regard in satisfying itself that the officer failed to take reasonable steps to prevent the insurer contravening an enforceable obligation</w:t>
      </w:r>
      <w:r w:rsidR="0013403B">
        <w:t xml:space="preserve"> under paragraph 155(2)(d)</w:t>
      </w:r>
      <w:r>
        <w:t xml:space="preserve">.  </w:t>
      </w:r>
      <w:r w:rsidR="00F5409E">
        <w:rPr>
          <w:rStyle w:val="Referencingstyle"/>
        </w:rPr>
        <w:t xml:space="preserve">[Part 8, section </w:t>
      </w:r>
      <w:r w:rsidR="001569FF">
        <w:rPr>
          <w:rStyle w:val="Referencingstyle"/>
        </w:rPr>
        <w:t>163</w:t>
      </w:r>
      <w:r w:rsidR="00F5409E" w:rsidRPr="008C0CD7">
        <w:rPr>
          <w:rStyle w:val="Referencingstyle"/>
        </w:rPr>
        <w:t>]</w:t>
      </w:r>
      <w:r w:rsidR="00F5409E" w:rsidRPr="008C0CD7">
        <w:t xml:space="preserve">  </w:t>
      </w:r>
    </w:p>
    <w:p w14:paraId="39F15BF0" w14:textId="77777777" w:rsidR="00014D99" w:rsidRDefault="00014D99" w:rsidP="000F194A">
      <w:pPr>
        <w:pStyle w:val="base-text-paragraph"/>
      </w:pPr>
      <w:r>
        <w:t xml:space="preserve">This protection does not apply to criminal proceedings against the officer for providing false evidence in the proceedings for the </w:t>
      </w:r>
      <w:r w:rsidR="0091673E">
        <w:t>civil</w:t>
      </w:r>
      <w:r>
        <w:t xml:space="preserve"> penalty order.</w:t>
      </w:r>
      <w:r>
        <w:rPr>
          <w:rStyle w:val="Referencingstyle"/>
        </w:rPr>
        <w:t xml:space="preserve"> [Part 8, section </w:t>
      </w:r>
      <w:r w:rsidR="001569FF">
        <w:rPr>
          <w:rStyle w:val="Referencingstyle"/>
        </w:rPr>
        <w:t>163</w:t>
      </w:r>
      <w:r w:rsidRPr="008C0CD7">
        <w:rPr>
          <w:rStyle w:val="Referencingstyle"/>
        </w:rPr>
        <w:t>]</w:t>
      </w:r>
      <w:r w:rsidRPr="008C0CD7">
        <w:t xml:space="preserve">  </w:t>
      </w:r>
    </w:p>
    <w:p w14:paraId="7B60D95B" w14:textId="77777777" w:rsidR="00014D99" w:rsidRDefault="00014D99" w:rsidP="00014D99">
      <w:pPr>
        <w:pStyle w:val="Heading4"/>
      </w:pPr>
      <w:r>
        <w:t>APRA may require person to assist</w:t>
      </w:r>
    </w:p>
    <w:p w14:paraId="4D7F69B9" w14:textId="77777777" w:rsidR="00014D99" w:rsidRDefault="00014D99" w:rsidP="000F194A">
      <w:pPr>
        <w:pStyle w:val="base-text-paragraph"/>
      </w:pPr>
      <w:r>
        <w:t>APRA may, in writing, require a person to give all reasonable assistance in connection with an application by APRA</w:t>
      </w:r>
      <w:r w:rsidR="00E26D23">
        <w:t xml:space="preserve"> for</w:t>
      </w:r>
      <w:r>
        <w:t>:</w:t>
      </w:r>
    </w:p>
    <w:p w14:paraId="2C07CD2D" w14:textId="77777777" w:rsidR="00904D1C" w:rsidRDefault="00014D99" w:rsidP="00014D99">
      <w:pPr>
        <w:pStyle w:val="dotpoint"/>
      </w:pPr>
      <w:r w:rsidDel="00E26D23">
        <w:t xml:space="preserve">a </w:t>
      </w:r>
      <w:r>
        <w:t>declaration of contravention in relation to a private health insurer</w:t>
      </w:r>
      <w:r w:rsidR="00904D1C">
        <w:t>;</w:t>
      </w:r>
      <w:r>
        <w:t xml:space="preserve"> or </w:t>
      </w:r>
    </w:p>
    <w:p w14:paraId="42571190" w14:textId="77777777" w:rsidR="00904D1C" w:rsidRDefault="00904D1C" w:rsidP="00014D99">
      <w:pPr>
        <w:pStyle w:val="dotpoint"/>
      </w:pPr>
      <w:r w:rsidDel="00E26D23">
        <w:t xml:space="preserve">a </w:t>
      </w:r>
      <w:r>
        <w:t xml:space="preserve">declaration of contravention that specifies </w:t>
      </w:r>
      <w:r w:rsidR="00014D99">
        <w:t xml:space="preserve">an officer of </w:t>
      </w:r>
      <w:r>
        <w:t>a private health</w:t>
      </w:r>
      <w:r w:rsidR="00014D99">
        <w:t xml:space="preserve"> insurer</w:t>
      </w:r>
      <w:r>
        <w:t xml:space="preserve">; </w:t>
      </w:r>
      <w:r w:rsidR="00014D99">
        <w:t xml:space="preserve">or </w:t>
      </w:r>
    </w:p>
    <w:p w14:paraId="21498F77" w14:textId="77777777" w:rsidR="00014D99" w:rsidRDefault="00014D99" w:rsidP="00014D99">
      <w:pPr>
        <w:pStyle w:val="dotpoint"/>
      </w:pPr>
      <w:r w:rsidDel="00E26D23">
        <w:t xml:space="preserve">a </w:t>
      </w:r>
      <w:r w:rsidR="001D14D1">
        <w:t>civil</w:t>
      </w:r>
      <w:r>
        <w:t xml:space="preserve"> penalty order </w:t>
      </w:r>
      <w:r w:rsidR="00904D1C">
        <w:t xml:space="preserve">in relation to an officer of a private health insurer. </w:t>
      </w:r>
      <w:r>
        <w:t xml:space="preserve"> </w:t>
      </w:r>
      <w:r w:rsidRPr="00722C43">
        <w:rPr>
          <w:rStyle w:val="Referencingstyle"/>
        </w:rPr>
        <w:t xml:space="preserve">[Part 8, subsection </w:t>
      </w:r>
      <w:r w:rsidR="001569FF" w:rsidRPr="00722C43">
        <w:rPr>
          <w:rStyle w:val="Referencingstyle"/>
        </w:rPr>
        <w:t>16</w:t>
      </w:r>
      <w:r w:rsidR="001569FF">
        <w:rPr>
          <w:rStyle w:val="Referencingstyle"/>
        </w:rPr>
        <w:t>4</w:t>
      </w:r>
      <w:r>
        <w:rPr>
          <w:rStyle w:val="Referencingstyle"/>
        </w:rPr>
        <w:t>(1)</w:t>
      </w:r>
      <w:r w:rsidRPr="00722C43">
        <w:rPr>
          <w:rStyle w:val="Referencingstyle"/>
        </w:rPr>
        <w:t>]</w:t>
      </w:r>
      <w:r w:rsidRPr="00722C43">
        <w:t xml:space="preserve">  </w:t>
      </w:r>
    </w:p>
    <w:p w14:paraId="1E118D04" w14:textId="77777777" w:rsidR="00EC6DEE" w:rsidRDefault="00EC6DEE" w:rsidP="000F194A">
      <w:pPr>
        <w:pStyle w:val="base-text-paragraph"/>
      </w:pPr>
      <w:r>
        <w:t xml:space="preserve">A person commits an offence with a penalty of 5 penalty units if they </w:t>
      </w:r>
      <w:r w:rsidR="009629B9">
        <w:t>do</w:t>
      </w:r>
      <w:r>
        <w:t xml:space="preserve"> not comply with a requirement under subsection</w:t>
      </w:r>
      <w:r w:rsidR="009629B9">
        <w:t> </w:t>
      </w:r>
      <w:r>
        <w:t xml:space="preserve">164(1). </w:t>
      </w:r>
      <w:r w:rsidRPr="00722C43">
        <w:rPr>
          <w:rStyle w:val="Referencingstyle"/>
        </w:rPr>
        <w:t>[Part 8, subsection 16</w:t>
      </w:r>
      <w:r>
        <w:rPr>
          <w:rStyle w:val="Referencingstyle"/>
        </w:rPr>
        <w:t>4(1)</w:t>
      </w:r>
      <w:r w:rsidRPr="00722C43">
        <w:rPr>
          <w:rStyle w:val="Referencingstyle"/>
        </w:rPr>
        <w:t>]</w:t>
      </w:r>
      <w:r w:rsidRPr="00722C43">
        <w:t xml:space="preserve">  </w:t>
      </w:r>
      <w:r>
        <w:t xml:space="preserve">  </w:t>
      </w:r>
    </w:p>
    <w:p w14:paraId="225BA28E" w14:textId="77777777" w:rsidR="00014D99" w:rsidRDefault="00014D99" w:rsidP="000F194A">
      <w:pPr>
        <w:pStyle w:val="base-text-paragraph"/>
      </w:pPr>
      <w:r>
        <w:t xml:space="preserve">APRA </w:t>
      </w:r>
      <w:r w:rsidR="00EC6DEE">
        <w:t>may</w:t>
      </w:r>
      <w:r>
        <w:t xml:space="preserve"> require </w:t>
      </w:r>
      <w:r w:rsidR="00EC6DEE">
        <w:t>a</w:t>
      </w:r>
      <w:r>
        <w:t xml:space="preserve"> person to assist in connection with an application for a declaration or order under </w:t>
      </w:r>
      <w:r w:rsidR="00EC6DEE">
        <w:t>subsection</w:t>
      </w:r>
      <w:r>
        <w:t xml:space="preserve"> (1) </w:t>
      </w:r>
      <w:r w:rsidR="00EC6DEE">
        <w:t>only if</w:t>
      </w:r>
      <w:r>
        <w:t>:</w:t>
      </w:r>
    </w:p>
    <w:p w14:paraId="3077DBBB" w14:textId="77777777" w:rsidR="00014D99" w:rsidRDefault="00014D99" w:rsidP="00014D99">
      <w:pPr>
        <w:pStyle w:val="dotpoint"/>
      </w:pPr>
      <w:r>
        <w:t xml:space="preserve">it appears to APRA that </w:t>
      </w:r>
      <w:r w:rsidR="0013403B">
        <w:t>the</w:t>
      </w:r>
      <w:r w:rsidR="00904D1C">
        <w:t xml:space="preserve"> person </w:t>
      </w:r>
      <w:r w:rsidR="0013403B">
        <w:t xml:space="preserve">from whom assistance is sought </w:t>
      </w:r>
      <w:r w:rsidR="00E26D23">
        <w:t xml:space="preserve">is unlikely </w:t>
      </w:r>
      <w:r w:rsidR="00904D1C">
        <w:t xml:space="preserve">to have contravened </w:t>
      </w:r>
      <w:r w:rsidR="00E26D23">
        <w:t>the</w:t>
      </w:r>
      <w:r w:rsidR="00904D1C">
        <w:t xml:space="preserve"> enforceable obligation</w:t>
      </w:r>
      <w:r w:rsidR="00E26D23">
        <w:t>, or committed an offence constituted by the same, or substantially the same, conduct to which the application relates</w:t>
      </w:r>
      <w:r w:rsidR="00904D1C">
        <w:t>;</w:t>
      </w:r>
      <w:r w:rsidR="00E26D23">
        <w:t xml:space="preserve"> and</w:t>
      </w:r>
      <w:r w:rsidR="00904D1C">
        <w:t xml:space="preserve"> </w:t>
      </w:r>
    </w:p>
    <w:p w14:paraId="01356CFA" w14:textId="77777777" w:rsidR="00014D99" w:rsidRPr="00722C43" w:rsidRDefault="00014D99" w:rsidP="00014D99">
      <w:pPr>
        <w:pStyle w:val="dotpoint"/>
      </w:pPr>
      <w:r>
        <w:t>APRA</w:t>
      </w:r>
      <w:r w:rsidR="00B52D01">
        <w:t xml:space="preserve"> </w:t>
      </w:r>
      <w:r w:rsidR="00B52D01" w:rsidRPr="00B52D01">
        <w:t>reasonably</w:t>
      </w:r>
      <w:r w:rsidRPr="00B52D01">
        <w:t xml:space="preserve"> </w:t>
      </w:r>
      <w:r w:rsidRPr="006C3D7A">
        <w:t>suspects or believes</w:t>
      </w:r>
      <w:r w:rsidR="00B52D01" w:rsidRPr="00B52D01">
        <w:t xml:space="preserve"> </w:t>
      </w:r>
      <w:r w:rsidRPr="00B52D01">
        <w:t>the person</w:t>
      </w:r>
      <w:r>
        <w:t xml:space="preserve"> required to assist can give relevant information.  </w:t>
      </w:r>
      <w:r w:rsidRPr="00722C43">
        <w:rPr>
          <w:rStyle w:val="Referencingstyle"/>
        </w:rPr>
        <w:t xml:space="preserve">[Part 8, subsection </w:t>
      </w:r>
      <w:r w:rsidR="001569FF" w:rsidRPr="00722C43">
        <w:rPr>
          <w:rStyle w:val="Referencingstyle"/>
        </w:rPr>
        <w:t>16</w:t>
      </w:r>
      <w:r w:rsidR="001569FF">
        <w:rPr>
          <w:rStyle w:val="Referencingstyle"/>
        </w:rPr>
        <w:t>4</w:t>
      </w:r>
      <w:r w:rsidRPr="00722C43">
        <w:rPr>
          <w:rStyle w:val="Referencingstyle"/>
        </w:rPr>
        <w:t>(3)]</w:t>
      </w:r>
      <w:r w:rsidRPr="00722C43">
        <w:t xml:space="preserve">  </w:t>
      </w:r>
    </w:p>
    <w:p w14:paraId="79A276B4" w14:textId="77777777" w:rsidR="00014D99" w:rsidRPr="00722C43" w:rsidRDefault="00E26D23" w:rsidP="000F194A">
      <w:pPr>
        <w:pStyle w:val="base-text-paragraph"/>
      </w:pPr>
      <w:r>
        <w:t xml:space="preserve">APRA </w:t>
      </w:r>
      <w:r w:rsidR="00EC6DEE">
        <w:t>cannot</w:t>
      </w:r>
      <w:r>
        <w:t xml:space="preserve"> require a person to assist if the person is, or has been, a lawyer for the person suspected of contraven</w:t>
      </w:r>
      <w:r w:rsidR="00B0665C">
        <w:t>ing the enforceable obligation.</w:t>
      </w:r>
      <w:r w:rsidR="00014D99">
        <w:t xml:space="preserve"> </w:t>
      </w:r>
      <w:r w:rsidR="00014D99" w:rsidRPr="00722C43">
        <w:rPr>
          <w:rStyle w:val="Referencingstyle"/>
        </w:rPr>
        <w:t xml:space="preserve">[Part 8, subsection </w:t>
      </w:r>
      <w:r w:rsidR="001569FF" w:rsidRPr="00722C43">
        <w:rPr>
          <w:rStyle w:val="Referencingstyle"/>
        </w:rPr>
        <w:t>16</w:t>
      </w:r>
      <w:r w:rsidR="001569FF">
        <w:rPr>
          <w:rStyle w:val="Referencingstyle"/>
        </w:rPr>
        <w:t>4</w:t>
      </w:r>
      <w:r w:rsidR="00014D99" w:rsidRPr="00722C43">
        <w:rPr>
          <w:rStyle w:val="Referencingstyle"/>
        </w:rPr>
        <w:t xml:space="preserve">(4)]  </w:t>
      </w:r>
    </w:p>
    <w:p w14:paraId="68B0C6F5" w14:textId="77777777" w:rsidR="00014D99" w:rsidRDefault="00E26D23" w:rsidP="000F194A">
      <w:pPr>
        <w:pStyle w:val="base-text-paragraph"/>
      </w:pPr>
      <w:r>
        <w:t>APRA may apply to the Federal Court to order the person to comply with the requirem</w:t>
      </w:r>
      <w:r w:rsidR="0013403B">
        <w:t>ent to assist in a specified</w:t>
      </w:r>
      <w:r w:rsidR="00B0665C">
        <w:t xml:space="preserve"> way. </w:t>
      </w:r>
      <w:r>
        <w:t xml:space="preserve">Only APRA may apply for such an order.  </w:t>
      </w:r>
      <w:r w:rsidR="00014D99" w:rsidRPr="00722C43">
        <w:rPr>
          <w:rStyle w:val="Referencingstyle"/>
        </w:rPr>
        <w:t xml:space="preserve">[Part 8, subsection </w:t>
      </w:r>
      <w:r w:rsidR="001569FF" w:rsidRPr="00722C43">
        <w:rPr>
          <w:rStyle w:val="Referencingstyle"/>
        </w:rPr>
        <w:t>16</w:t>
      </w:r>
      <w:r w:rsidR="001569FF">
        <w:rPr>
          <w:rStyle w:val="Referencingstyle"/>
        </w:rPr>
        <w:t>4</w:t>
      </w:r>
      <w:r w:rsidR="00014D99" w:rsidRPr="00722C43">
        <w:rPr>
          <w:rStyle w:val="Referencingstyle"/>
        </w:rPr>
        <w:t>(5)]</w:t>
      </w:r>
      <w:r w:rsidR="00014D99" w:rsidRPr="00722C43">
        <w:t xml:space="preserve">  </w:t>
      </w:r>
    </w:p>
    <w:p w14:paraId="60CD9C37" w14:textId="77777777" w:rsidR="003A5565" w:rsidRPr="00E26D23" w:rsidRDefault="003A5565" w:rsidP="000F194A">
      <w:pPr>
        <w:pStyle w:val="base-text-paragraph"/>
        <w:rPr>
          <w:rStyle w:val="Referencingstyle"/>
          <w:b w:val="0"/>
          <w:i w:val="0"/>
          <w:sz w:val="22"/>
        </w:rPr>
      </w:pPr>
      <w:r>
        <w:t xml:space="preserve"> </w:t>
      </w:r>
      <w:r w:rsidR="00E26D23" w:rsidRPr="00C85607">
        <w:t>I</w:t>
      </w:r>
      <w:r w:rsidR="00E26D23" w:rsidRPr="00625371">
        <w:t xml:space="preserve">t does not matter whether the application mentioned in </w:t>
      </w:r>
      <w:r w:rsidR="009629B9">
        <w:t>subsection (1)</w:t>
      </w:r>
      <w:r w:rsidR="00E26D23" w:rsidRPr="00625371">
        <w:t xml:space="preserve"> has actually been made for the purposes of this section.</w:t>
      </w:r>
      <w:r w:rsidR="00B0665C">
        <w:t xml:space="preserve"> </w:t>
      </w:r>
      <w:r w:rsidR="009629B9">
        <w:t>Requirements under subsection 164(1) do</w:t>
      </w:r>
      <w:r w:rsidR="009629B9" w:rsidRPr="00EE3181">
        <w:t xml:space="preserve"> not abrogate or affect the law relating to legal professional privilege, or any other immunity, privilege or restriction that applies to the disclosure of information, documents or other things.</w:t>
      </w:r>
      <w:r w:rsidR="009629B9">
        <w:t xml:space="preserve"> </w:t>
      </w:r>
      <w:r w:rsidRPr="00722C43">
        <w:rPr>
          <w:rStyle w:val="Referencingstyle"/>
        </w:rPr>
        <w:t xml:space="preserve">[Part 8, subsection </w:t>
      </w:r>
      <w:r w:rsidR="001569FF" w:rsidRPr="00722C43">
        <w:rPr>
          <w:rStyle w:val="Referencingstyle"/>
        </w:rPr>
        <w:t>16</w:t>
      </w:r>
      <w:r w:rsidR="001569FF">
        <w:rPr>
          <w:rStyle w:val="Referencingstyle"/>
        </w:rPr>
        <w:t>4</w:t>
      </w:r>
      <w:r w:rsidRPr="00722C43">
        <w:rPr>
          <w:rStyle w:val="Referencingstyle"/>
        </w:rPr>
        <w:t xml:space="preserve">(6)]  </w:t>
      </w:r>
    </w:p>
    <w:p w14:paraId="4AEEC372" w14:textId="77777777" w:rsidR="005B4085" w:rsidRDefault="005B4085" w:rsidP="000F194A">
      <w:pPr>
        <w:pStyle w:val="base-text-paragraph"/>
        <w:rPr>
          <w:rStyle w:val="Referencingstyle"/>
        </w:rPr>
        <w:sectPr w:rsidR="005B4085" w:rsidSect="00D86E5E">
          <w:type w:val="oddPage"/>
          <w:pgSz w:w="11906" w:h="16838" w:code="9"/>
          <w:pgMar w:top="2466" w:right="2098" w:bottom="2466" w:left="2098" w:header="1559" w:footer="1899" w:gutter="0"/>
          <w:cols w:space="708"/>
          <w:titlePg/>
          <w:docGrid w:linePitch="360"/>
        </w:sectPr>
      </w:pPr>
    </w:p>
    <w:p w14:paraId="44CCC19C" w14:textId="77777777" w:rsidR="006017AC" w:rsidRPr="00F51A71" w:rsidRDefault="006017AC" w:rsidP="00DD7789">
      <w:pPr>
        <w:pStyle w:val="ChapterHeading"/>
        <w:numPr>
          <w:ilvl w:val="0"/>
          <w:numId w:val="105"/>
        </w:numPr>
        <w:tabs>
          <w:tab w:val="clear" w:pos="1134"/>
          <w:tab w:val="num" w:pos="360"/>
        </w:tabs>
      </w:pPr>
      <w:r w:rsidRPr="00F51A71">
        <w:br/>
      </w:r>
      <w:bookmarkStart w:id="236" w:name="_Toc406752114"/>
      <w:bookmarkStart w:id="237" w:name="_Toc406757014"/>
      <w:bookmarkStart w:id="238" w:name="_Toc406760727"/>
      <w:bookmarkStart w:id="239" w:name="_Toc407026926"/>
      <w:bookmarkStart w:id="240" w:name="_Toc416957162"/>
      <w:bookmarkStart w:id="241" w:name="_Toc418177769"/>
      <w:bookmarkStart w:id="242" w:name="_Toc418249766"/>
      <w:r w:rsidR="007A3552">
        <w:t>Miscellaneous</w:t>
      </w:r>
      <w:bookmarkEnd w:id="236"/>
      <w:bookmarkEnd w:id="237"/>
      <w:bookmarkEnd w:id="238"/>
      <w:bookmarkEnd w:id="239"/>
      <w:bookmarkEnd w:id="240"/>
      <w:bookmarkEnd w:id="241"/>
      <w:bookmarkEnd w:id="242"/>
    </w:p>
    <w:p w14:paraId="7E2C454D" w14:textId="77777777" w:rsidR="00D86E5E" w:rsidRDefault="00D86E5E" w:rsidP="00D86E5E">
      <w:pPr>
        <w:pStyle w:val="Heading2"/>
      </w:pPr>
      <w:r>
        <w:t>Outline of chapter</w:t>
      </w:r>
    </w:p>
    <w:p w14:paraId="036B8DB1" w14:textId="77777777" w:rsidR="00E848F5" w:rsidRDefault="00A96C73" w:rsidP="00E31656">
      <w:pPr>
        <w:pStyle w:val="base-text-paragraph"/>
        <w:tabs>
          <w:tab w:val="clear" w:pos="1985"/>
          <w:tab w:val="num" w:pos="1986"/>
        </w:tabs>
      </w:pPr>
      <w:r>
        <w:t xml:space="preserve"> </w:t>
      </w:r>
      <w:r w:rsidR="003240FC">
        <w:t xml:space="preserve">Part </w:t>
      </w:r>
      <w:r w:rsidR="00197611">
        <w:t>9 o</w:t>
      </w:r>
      <w:r w:rsidR="003240FC">
        <w:t xml:space="preserve">f the </w:t>
      </w:r>
      <w:r w:rsidR="00E31656" w:rsidRPr="00E31656">
        <w:t>Prudential Supervision Bill</w:t>
      </w:r>
      <w:r w:rsidR="003240FC">
        <w:t xml:space="preserve"> relates to</w:t>
      </w:r>
      <w:r w:rsidR="00E848F5">
        <w:t>:</w:t>
      </w:r>
    </w:p>
    <w:p w14:paraId="5027765F" w14:textId="77777777" w:rsidR="00E848F5" w:rsidRDefault="00871C9D" w:rsidP="006C3D7A">
      <w:pPr>
        <w:pStyle w:val="dotpoint"/>
      </w:pPr>
      <w:r>
        <w:t>relief from liability</w:t>
      </w:r>
      <w:r w:rsidR="00E848F5">
        <w:t>;</w:t>
      </w:r>
    </w:p>
    <w:p w14:paraId="14F507C3" w14:textId="77777777" w:rsidR="00240152" w:rsidRDefault="00240152" w:rsidP="00240152">
      <w:pPr>
        <w:pStyle w:val="dotpoint"/>
      </w:pPr>
      <w:r>
        <w:t>a</w:t>
      </w:r>
      <w:r w:rsidRPr="00C85607">
        <w:t>nnual publication of information relating to health benefits funds</w:t>
      </w:r>
      <w:r>
        <w:t>;</w:t>
      </w:r>
    </w:p>
    <w:p w14:paraId="173770E0" w14:textId="77777777" w:rsidR="00871C9D" w:rsidRDefault="00871C9D" w:rsidP="00871C9D">
      <w:pPr>
        <w:pStyle w:val="dotpoint"/>
      </w:pPr>
      <w:r w:rsidRPr="00871C9D">
        <w:t>the decisions of APRA that are internally reviewable and reviewable by the AAT</w:t>
      </w:r>
      <w:r w:rsidR="00EA0811">
        <w:t>;</w:t>
      </w:r>
    </w:p>
    <w:p w14:paraId="44F1FB38" w14:textId="77777777" w:rsidR="00EA0811" w:rsidRDefault="00EA0811" w:rsidP="00EA0811">
      <w:pPr>
        <w:pStyle w:val="dotpoint"/>
      </w:pPr>
      <w:r w:rsidRPr="00EA0811">
        <w:t>approvals and determinations by APRA</w:t>
      </w:r>
      <w:r w:rsidR="00424D60">
        <w:t>;</w:t>
      </w:r>
    </w:p>
    <w:p w14:paraId="123F75E1" w14:textId="77777777" w:rsidR="00E848F5" w:rsidRDefault="00E848F5" w:rsidP="006C3D7A">
      <w:pPr>
        <w:pStyle w:val="dotpoint"/>
      </w:pPr>
      <w:r>
        <w:t xml:space="preserve">powers of the Federal Court; </w:t>
      </w:r>
    </w:p>
    <w:p w14:paraId="2799E6BF" w14:textId="77777777" w:rsidR="00240152" w:rsidRDefault="00E848F5" w:rsidP="006C3D7A">
      <w:pPr>
        <w:pStyle w:val="dotpoint"/>
      </w:pPr>
      <w:r>
        <w:t>approved forms</w:t>
      </w:r>
      <w:r w:rsidR="00240152">
        <w:t>;</w:t>
      </w:r>
    </w:p>
    <w:p w14:paraId="5635F518" w14:textId="77777777" w:rsidR="00240152" w:rsidRDefault="00240152" w:rsidP="006C3D7A">
      <w:pPr>
        <w:pStyle w:val="dotpoint"/>
      </w:pPr>
      <w:r>
        <w:t>delegation by the Minister; and</w:t>
      </w:r>
    </w:p>
    <w:p w14:paraId="6F086D09" w14:textId="77777777" w:rsidR="00E848F5" w:rsidRDefault="00240152" w:rsidP="006C3D7A">
      <w:pPr>
        <w:pStyle w:val="dotpoint"/>
      </w:pPr>
      <w:r>
        <w:t>APRA rules</w:t>
      </w:r>
      <w:r w:rsidR="00E848F5" w:rsidDel="00240152">
        <w:t>.</w:t>
      </w:r>
    </w:p>
    <w:p w14:paraId="314BF1E0" w14:textId="77777777" w:rsidR="00C341C2" w:rsidRDefault="00C341C2" w:rsidP="00C341C2">
      <w:pPr>
        <w:pStyle w:val="base-text-paragraph"/>
      </w:pPr>
      <w:r>
        <w:t xml:space="preserve">Unless otherwise stated, all references in this Chapter relate to the </w:t>
      </w:r>
      <w:r>
        <w:rPr>
          <w:rStyle w:val="Referencingstyle"/>
          <w:b w:val="0"/>
          <w:i w:val="0"/>
          <w:sz w:val="22"/>
        </w:rPr>
        <w:t>Prudential Supervision Bill.</w:t>
      </w:r>
    </w:p>
    <w:p w14:paraId="498ADEBD" w14:textId="77777777" w:rsidR="00D86E5E" w:rsidRDefault="00D86E5E" w:rsidP="00D86E5E">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86E5E" w:rsidRPr="004666B8" w14:paraId="1FC987D0" w14:textId="77777777" w:rsidTr="00E31656">
        <w:trPr>
          <w:tblHeader/>
        </w:trPr>
        <w:tc>
          <w:tcPr>
            <w:tcW w:w="3275" w:type="dxa"/>
          </w:tcPr>
          <w:p w14:paraId="6F8FD39F" w14:textId="77777777" w:rsidR="00D86E5E" w:rsidRPr="004666B8" w:rsidRDefault="00D86E5E" w:rsidP="00D86E5E">
            <w:pPr>
              <w:pStyle w:val="tableheaderwithintable"/>
              <w:rPr>
                <w:lang w:val="en-US" w:eastAsia="en-US"/>
              </w:rPr>
            </w:pPr>
            <w:r w:rsidRPr="004666B8">
              <w:rPr>
                <w:lang w:val="en-US" w:eastAsia="en-US"/>
              </w:rPr>
              <w:t>New law</w:t>
            </w:r>
          </w:p>
        </w:tc>
        <w:tc>
          <w:tcPr>
            <w:tcW w:w="3276" w:type="dxa"/>
          </w:tcPr>
          <w:p w14:paraId="7BB6683B" w14:textId="77777777" w:rsidR="00D86E5E" w:rsidRPr="004666B8" w:rsidRDefault="00D86E5E" w:rsidP="00D86E5E">
            <w:pPr>
              <w:pStyle w:val="tableheaderwithintable"/>
              <w:rPr>
                <w:lang w:val="en-US" w:eastAsia="en-US"/>
              </w:rPr>
            </w:pPr>
            <w:r w:rsidRPr="004666B8">
              <w:rPr>
                <w:lang w:val="en-US" w:eastAsia="en-US"/>
              </w:rPr>
              <w:t>Current law</w:t>
            </w:r>
          </w:p>
        </w:tc>
      </w:tr>
      <w:tr w:rsidR="00387A69" w:rsidRPr="004666B8" w14:paraId="06A87B33" w14:textId="77777777" w:rsidTr="00D86E5E">
        <w:tc>
          <w:tcPr>
            <w:tcW w:w="3275" w:type="dxa"/>
          </w:tcPr>
          <w:p w14:paraId="116BEB17" w14:textId="77777777" w:rsidR="00387A69" w:rsidRDefault="00387A69">
            <w:pPr>
              <w:pStyle w:val="tabletext"/>
              <w:rPr>
                <w:lang w:val="en-US" w:eastAsia="en-US"/>
              </w:rPr>
            </w:pPr>
            <w:r>
              <w:rPr>
                <w:lang w:val="en-US" w:eastAsia="en-US"/>
              </w:rPr>
              <w:t xml:space="preserve">When civil liability is imposed under certain part s of the act, a person who has acted honestly can apply to the Federal Court to seek whole or partial relief. </w:t>
            </w:r>
          </w:p>
        </w:tc>
        <w:tc>
          <w:tcPr>
            <w:tcW w:w="3276" w:type="dxa"/>
          </w:tcPr>
          <w:p w14:paraId="7426917E" w14:textId="77777777" w:rsidR="00387A69" w:rsidRDefault="00387A69" w:rsidP="00D86E5E">
            <w:pPr>
              <w:pStyle w:val="tabletext"/>
              <w:rPr>
                <w:lang w:val="en-US" w:eastAsia="en-US"/>
              </w:rPr>
            </w:pPr>
            <w:r w:rsidRPr="00387A69">
              <w:rPr>
                <w:lang w:val="en-US" w:eastAsia="en-US"/>
              </w:rPr>
              <w:t>No right to apply for relief on this basis in relation to the corresponding liability</w:t>
            </w:r>
            <w:r>
              <w:rPr>
                <w:lang w:val="en-US" w:eastAsia="en-US"/>
              </w:rPr>
              <w:t>.</w:t>
            </w:r>
          </w:p>
        </w:tc>
      </w:tr>
      <w:tr w:rsidR="000B4C15" w:rsidRPr="004666B8" w14:paraId="3ECD0AD8" w14:textId="77777777" w:rsidTr="00D86E5E">
        <w:tc>
          <w:tcPr>
            <w:tcW w:w="3275" w:type="dxa"/>
          </w:tcPr>
          <w:p w14:paraId="088B00B6" w14:textId="77777777" w:rsidR="000B4C15" w:rsidRDefault="00616367" w:rsidP="00E31656">
            <w:pPr>
              <w:pStyle w:val="tabletext"/>
              <w:keepNext/>
              <w:keepLines/>
              <w:rPr>
                <w:lang w:val="en-US" w:eastAsia="en-US"/>
              </w:rPr>
            </w:pPr>
            <w:r>
              <w:rPr>
                <w:lang w:val="en-US" w:eastAsia="en-US"/>
              </w:rPr>
              <w:t>APRA is required to publish</w:t>
            </w:r>
            <w:r w:rsidR="000B4C15">
              <w:rPr>
                <w:lang w:val="en-US" w:eastAsia="en-US"/>
              </w:rPr>
              <w:t xml:space="preserve"> information relating to health benefits funds</w:t>
            </w:r>
            <w:r w:rsidR="00C96731">
              <w:rPr>
                <w:lang w:val="en-US" w:eastAsia="en-US"/>
              </w:rPr>
              <w:t>.</w:t>
            </w:r>
            <w:r w:rsidR="000B4C15">
              <w:rPr>
                <w:lang w:val="en-US" w:eastAsia="en-US"/>
              </w:rPr>
              <w:t xml:space="preserve"> </w:t>
            </w:r>
            <w:r w:rsidR="00387A69" w:rsidRPr="00387A69">
              <w:rPr>
                <w:lang w:val="en-US" w:eastAsia="en-US"/>
              </w:rPr>
              <w:t>This will reflect the current requirements applying to the Co</w:t>
            </w:r>
            <w:r w:rsidR="00387A69">
              <w:rPr>
                <w:lang w:val="en-US" w:eastAsia="en-US"/>
              </w:rPr>
              <w:t xml:space="preserve">uncil in relation to content. </w:t>
            </w:r>
            <w:r w:rsidR="00387A69" w:rsidRPr="00387A69">
              <w:rPr>
                <w:lang w:val="en-US" w:eastAsia="en-US"/>
              </w:rPr>
              <w:t>Accordingly it will provide for APRA to continue the publication of the annual report on the operations of private health insurers.</w:t>
            </w:r>
          </w:p>
        </w:tc>
        <w:tc>
          <w:tcPr>
            <w:tcW w:w="3276" w:type="dxa"/>
          </w:tcPr>
          <w:p w14:paraId="57A70DE6" w14:textId="77777777" w:rsidR="000B4C15" w:rsidRDefault="00616367" w:rsidP="00D86E5E">
            <w:pPr>
              <w:pStyle w:val="tabletext"/>
              <w:rPr>
                <w:lang w:val="en-US" w:eastAsia="en-US"/>
              </w:rPr>
            </w:pPr>
            <w:r>
              <w:rPr>
                <w:lang w:val="en-US" w:eastAsia="en-US"/>
              </w:rPr>
              <w:t>The Council is required to produce an a</w:t>
            </w:r>
            <w:r w:rsidR="00A11767">
              <w:rPr>
                <w:lang w:val="en-US" w:eastAsia="en-US"/>
              </w:rPr>
              <w:t>nnual r</w:t>
            </w:r>
            <w:r w:rsidR="000B4C15">
              <w:rPr>
                <w:lang w:val="en-US" w:eastAsia="en-US"/>
              </w:rPr>
              <w:t xml:space="preserve">eport on private health insurers </w:t>
            </w:r>
            <w:r w:rsidR="00A11767">
              <w:rPr>
                <w:lang w:val="en-US" w:eastAsia="en-US"/>
              </w:rPr>
              <w:t>to</w:t>
            </w:r>
            <w:r w:rsidR="000B4C15">
              <w:rPr>
                <w:lang w:val="en-US" w:eastAsia="en-US"/>
              </w:rPr>
              <w:t xml:space="preserve"> the </w:t>
            </w:r>
            <w:r w:rsidR="00A11767">
              <w:rPr>
                <w:lang w:val="en-US" w:eastAsia="en-US"/>
              </w:rPr>
              <w:t>Minister</w:t>
            </w:r>
            <w:r w:rsidR="00C96731">
              <w:rPr>
                <w:lang w:val="en-US" w:eastAsia="en-US"/>
              </w:rPr>
              <w:t>.</w:t>
            </w:r>
          </w:p>
        </w:tc>
      </w:tr>
      <w:tr w:rsidR="00D86E5E" w:rsidRPr="004666B8" w14:paraId="215638CB" w14:textId="77777777" w:rsidTr="00D86E5E">
        <w:tc>
          <w:tcPr>
            <w:tcW w:w="3275" w:type="dxa"/>
          </w:tcPr>
          <w:p w14:paraId="5B25D596" w14:textId="77777777" w:rsidR="00D86E5E" w:rsidRPr="004666B8" w:rsidRDefault="00CC7F8D">
            <w:pPr>
              <w:pStyle w:val="tabletext"/>
              <w:rPr>
                <w:lang w:val="en-US" w:eastAsia="en-US"/>
              </w:rPr>
            </w:pPr>
            <w:r>
              <w:rPr>
                <w:lang w:val="en-US" w:eastAsia="en-US"/>
              </w:rPr>
              <w:t xml:space="preserve">The </w:t>
            </w:r>
            <w:r w:rsidR="00197611">
              <w:rPr>
                <w:lang w:val="en-US" w:eastAsia="en-US"/>
              </w:rPr>
              <w:t xml:space="preserve">AAT </w:t>
            </w:r>
            <w:r>
              <w:rPr>
                <w:lang w:val="en-US" w:eastAsia="en-US"/>
              </w:rPr>
              <w:t xml:space="preserve">can </w:t>
            </w:r>
            <w:r w:rsidR="00197611">
              <w:rPr>
                <w:lang w:val="en-US" w:eastAsia="en-US"/>
              </w:rPr>
              <w:t xml:space="preserve">review </w:t>
            </w:r>
            <w:r>
              <w:rPr>
                <w:lang w:val="en-US" w:eastAsia="en-US"/>
              </w:rPr>
              <w:t>certain</w:t>
            </w:r>
            <w:r w:rsidR="00197611">
              <w:rPr>
                <w:lang w:val="en-US" w:eastAsia="en-US"/>
              </w:rPr>
              <w:t xml:space="preserve"> </w:t>
            </w:r>
            <w:r w:rsidR="00616367">
              <w:rPr>
                <w:lang w:val="en-US" w:eastAsia="en-US"/>
              </w:rPr>
              <w:t>decision</w:t>
            </w:r>
            <w:r w:rsidR="00C96731">
              <w:rPr>
                <w:lang w:val="en-US" w:eastAsia="en-US"/>
              </w:rPr>
              <w:t>s</w:t>
            </w:r>
            <w:r w:rsidR="00616367">
              <w:rPr>
                <w:lang w:val="en-US" w:eastAsia="en-US"/>
              </w:rPr>
              <w:t>.</w:t>
            </w:r>
          </w:p>
        </w:tc>
        <w:tc>
          <w:tcPr>
            <w:tcW w:w="3276" w:type="dxa"/>
          </w:tcPr>
          <w:p w14:paraId="557FC285" w14:textId="77777777" w:rsidR="00D86E5E" w:rsidRPr="004666B8" w:rsidRDefault="00CC7F8D" w:rsidP="00D86E5E">
            <w:pPr>
              <w:pStyle w:val="tabletext"/>
              <w:rPr>
                <w:lang w:val="en-US" w:eastAsia="en-US"/>
              </w:rPr>
            </w:pPr>
            <w:r>
              <w:rPr>
                <w:lang w:val="en-US" w:eastAsia="en-US"/>
              </w:rPr>
              <w:t xml:space="preserve">The </w:t>
            </w:r>
            <w:r w:rsidR="00197611">
              <w:rPr>
                <w:lang w:val="en-US" w:eastAsia="en-US"/>
              </w:rPr>
              <w:t xml:space="preserve">AAT </w:t>
            </w:r>
            <w:r w:rsidRPr="00CC7F8D">
              <w:rPr>
                <w:lang w:val="en-US" w:eastAsia="en-US"/>
              </w:rPr>
              <w:t xml:space="preserve">can </w:t>
            </w:r>
            <w:r w:rsidR="00197611">
              <w:rPr>
                <w:lang w:val="en-US" w:eastAsia="en-US"/>
              </w:rPr>
              <w:t xml:space="preserve">review </w:t>
            </w:r>
            <w:r w:rsidRPr="00CC7F8D">
              <w:rPr>
                <w:lang w:val="en-US" w:eastAsia="en-US"/>
              </w:rPr>
              <w:t>certain</w:t>
            </w:r>
            <w:r w:rsidR="00197611">
              <w:rPr>
                <w:lang w:val="en-US" w:eastAsia="en-US"/>
              </w:rPr>
              <w:t xml:space="preserve"> decisions (section</w:t>
            </w:r>
            <w:r w:rsidR="00182A67">
              <w:rPr>
                <w:lang w:val="en-US" w:eastAsia="en-US"/>
              </w:rPr>
              <w:t> </w:t>
            </w:r>
            <w:r w:rsidR="00ED52FE">
              <w:rPr>
                <w:lang w:val="en-US" w:eastAsia="en-US"/>
              </w:rPr>
              <w:t>328-5 of the PHI </w:t>
            </w:r>
            <w:r w:rsidR="00197611">
              <w:rPr>
                <w:lang w:val="en-US" w:eastAsia="en-US"/>
              </w:rPr>
              <w:t>Act).</w:t>
            </w:r>
          </w:p>
        </w:tc>
      </w:tr>
      <w:tr w:rsidR="000B4C15" w:rsidRPr="004666B8" w14:paraId="2B409D0A" w14:textId="77777777" w:rsidTr="00D86E5E">
        <w:tc>
          <w:tcPr>
            <w:tcW w:w="3275" w:type="dxa"/>
          </w:tcPr>
          <w:p w14:paraId="03CD7A5F" w14:textId="77777777" w:rsidR="000B4C15" w:rsidRDefault="00616367">
            <w:pPr>
              <w:pStyle w:val="tabletext"/>
              <w:rPr>
                <w:lang w:val="en-US" w:eastAsia="en-US"/>
              </w:rPr>
            </w:pPr>
            <w:r>
              <w:rPr>
                <w:lang w:val="en-US" w:eastAsia="en-US"/>
              </w:rPr>
              <w:t>Affected parties are entitled to internal review of reviewable decisions.</w:t>
            </w:r>
          </w:p>
        </w:tc>
        <w:tc>
          <w:tcPr>
            <w:tcW w:w="3276" w:type="dxa"/>
          </w:tcPr>
          <w:p w14:paraId="7CDC51F2" w14:textId="77777777" w:rsidR="000B4C15" w:rsidRDefault="00616367" w:rsidP="00CF4425">
            <w:pPr>
              <w:pStyle w:val="tabletext"/>
              <w:rPr>
                <w:lang w:val="en-US" w:eastAsia="en-US"/>
              </w:rPr>
            </w:pPr>
            <w:r>
              <w:rPr>
                <w:lang w:val="en-US" w:eastAsia="en-US"/>
              </w:rPr>
              <w:t xml:space="preserve">The </w:t>
            </w:r>
            <w:r w:rsidR="00CF4425">
              <w:rPr>
                <w:lang w:val="en-US" w:eastAsia="en-US"/>
              </w:rPr>
              <w:t xml:space="preserve">PHI Act does not provide for </w:t>
            </w:r>
            <w:r>
              <w:rPr>
                <w:lang w:val="en-US" w:eastAsia="en-US"/>
              </w:rPr>
              <w:t>an internal review process.</w:t>
            </w:r>
          </w:p>
        </w:tc>
      </w:tr>
      <w:tr w:rsidR="000B4C15" w:rsidRPr="004666B8" w14:paraId="16EC94BD" w14:textId="77777777" w:rsidTr="00D86E5E">
        <w:tc>
          <w:tcPr>
            <w:tcW w:w="3275" w:type="dxa"/>
          </w:tcPr>
          <w:p w14:paraId="68D5404D" w14:textId="77777777" w:rsidR="000B4C15" w:rsidRDefault="000B4C15" w:rsidP="00B103AF">
            <w:pPr>
              <w:pStyle w:val="tabletext"/>
              <w:rPr>
                <w:lang w:val="en-US" w:eastAsia="en-US"/>
              </w:rPr>
            </w:pPr>
            <w:r>
              <w:rPr>
                <w:lang w:val="en-US" w:eastAsia="en-US"/>
              </w:rPr>
              <w:t xml:space="preserve">APRA </w:t>
            </w:r>
            <w:r w:rsidR="00616367">
              <w:rPr>
                <w:lang w:val="en-US" w:eastAsia="en-US"/>
              </w:rPr>
              <w:t>can make certain</w:t>
            </w:r>
            <w:r>
              <w:rPr>
                <w:lang w:val="en-US" w:eastAsia="en-US"/>
              </w:rPr>
              <w:t xml:space="preserve"> </w:t>
            </w:r>
            <w:r w:rsidR="00616367">
              <w:rPr>
                <w:lang w:val="en-US" w:eastAsia="en-US"/>
              </w:rPr>
              <w:t>r</w:t>
            </w:r>
            <w:r w:rsidR="00B103AF">
              <w:rPr>
                <w:lang w:val="en-US" w:eastAsia="en-US"/>
              </w:rPr>
              <w:t>ules.</w:t>
            </w:r>
          </w:p>
        </w:tc>
        <w:tc>
          <w:tcPr>
            <w:tcW w:w="3276" w:type="dxa"/>
          </w:tcPr>
          <w:p w14:paraId="5810C89A" w14:textId="77777777" w:rsidR="000B4C15" w:rsidRDefault="00CF4425" w:rsidP="00CF4425">
            <w:pPr>
              <w:pStyle w:val="tabletext"/>
              <w:rPr>
                <w:lang w:val="en-US" w:eastAsia="en-US"/>
              </w:rPr>
            </w:pPr>
            <w:r>
              <w:rPr>
                <w:lang w:val="en-US" w:eastAsia="en-US"/>
              </w:rPr>
              <w:t xml:space="preserve">Certain </w:t>
            </w:r>
            <w:r w:rsidR="000B4C15">
              <w:rPr>
                <w:lang w:val="en-US" w:eastAsia="en-US"/>
              </w:rPr>
              <w:t xml:space="preserve">Private Health Insurance Rules </w:t>
            </w:r>
            <w:r w:rsidR="00C96731">
              <w:rPr>
                <w:lang w:val="en-US" w:eastAsia="en-US"/>
              </w:rPr>
              <w:t xml:space="preserve">are </w:t>
            </w:r>
            <w:r w:rsidR="00B103AF">
              <w:rPr>
                <w:lang w:val="en-US" w:eastAsia="en-US"/>
              </w:rPr>
              <w:t xml:space="preserve">made by the Council. </w:t>
            </w:r>
            <w:r w:rsidR="00B103AF" w:rsidRPr="00B103AF">
              <w:rPr>
                <w:lang w:val="en-US" w:eastAsia="en-US"/>
              </w:rPr>
              <w:t>The Health Minister has power to make rules, including the registration rules and the enforcement rules, under section 333-20 of the PHI Act.</w:t>
            </w:r>
          </w:p>
        </w:tc>
      </w:tr>
    </w:tbl>
    <w:p w14:paraId="0D12D381" w14:textId="77777777" w:rsidR="00D86E5E" w:rsidRDefault="00D86E5E" w:rsidP="00D86E5E">
      <w:pPr>
        <w:pStyle w:val="Heading2"/>
      </w:pPr>
      <w:r>
        <w:t>Detailed explanation of new law</w:t>
      </w:r>
    </w:p>
    <w:p w14:paraId="2648C239" w14:textId="77777777" w:rsidR="00EE2C63" w:rsidRDefault="00EE2C63" w:rsidP="00EE2C63">
      <w:pPr>
        <w:pStyle w:val="Heading3"/>
      </w:pPr>
      <w:r>
        <w:t xml:space="preserve">Part </w:t>
      </w:r>
      <w:r w:rsidR="002C3F57">
        <w:t>9</w:t>
      </w:r>
      <w:r>
        <w:t xml:space="preserve"> – Miscellaneous</w:t>
      </w:r>
    </w:p>
    <w:p w14:paraId="504FCDB0" w14:textId="77777777" w:rsidR="00EE2C63" w:rsidRDefault="00EE2C63" w:rsidP="00EE2C63">
      <w:pPr>
        <w:pStyle w:val="Heading4"/>
      </w:pPr>
      <w:r>
        <w:t>Simplified outline of this Part</w:t>
      </w:r>
    </w:p>
    <w:p w14:paraId="2092AFA2" w14:textId="77777777" w:rsidR="00EE2C63" w:rsidRPr="000B4C15" w:rsidRDefault="00516E75" w:rsidP="000F194A">
      <w:pPr>
        <w:pStyle w:val="base-text-paragraph"/>
        <w:rPr>
          <w:rStyle w:val="Referencingstyle"/>
          <w:b w:val="0"/>
          <w:i w:val="0"/>
          <w:sz w:val="22"/>
        </w:rPr>
      </w:pPr>
      <w:r w:rsidRPr="00516E75">
        <w:t>Part</w:t>
      </w:r>
      <w:r>
        <w:t xml:space="preserve"> 9</w:t>
      </w:r>
      <w:r w:rsidRPr="00516E75">
        <w:t xml:space="preserve"> deals with miscellaneous matters such as relief from liability in certain proceedings under this Act, annual publication of information relating to health benefits funds, review of decisions</w:t>
      </w:r>
      <w:r>
        <w:t>, approved forms and APRA rules</w:t>
      </w:r>
      <w:r w:rsidR="00B52D01">
        <w:t xml:space="preserve">.  </w:t>
      </w:r>
      <w:r w:rsidR="00B52D01">
        <w:rPr>
          <w:rStyle w:val="Referencingstyle"/>
        </w:rPr>
        <w:t>[Part </w:t>
      </w:r>
      <w:r w:rsidR="00A95D86">
        <w:rPr>
          <w:rStyle w:val="Referencingstyle"/>
        </w:rPr>
        <w:t>9</w:t>
      </w:r>
      <w:r w:rsidR="00B52D01" w:rsidRPr="006C3D7A">
        <w:rPr>
          <w:rStyle w:val="Referencingstyle"/>
        </w:rPr>
        <w:t xml:space="preserve">, section </w:t>
      </w:r>
      <w:r w:rsidR="00FA2EDC" w:rsidRPr="006C3D7A">
        <w:rPr>
          <w:rStyle w:val="Referencingstyle"/>
        </w:rPr>
        <w:t>16</w:t>
      </w:r>
      <w:r w:rsidR="00FA2EDC">
        <w:rPr>
          <w:rStyle w:val="Referencingstyle"/>
        </w:rPr>
        <w:t>5</w:t>
      </w:r>
      <w:r w:rsidR="00B52D01" w:rsidRPr="006C3D7A">
        <w:rPr>
          <w:rStyle w:val="Referencingstyle"/>
        </w:rPr>
        <w:t>]</w:t>
      </w:r>
    </w:p>
    <w:p w14:paraId="36689366" w14:textId="77777777" w:rsidR="002C3F57" w:rsidRDefault="000B4C15" w:rsidP="00CD65E7">
      <w:pPr>
        <w:pStyle w:val="Heading4"/>
      </w:pPr>
      <w:r>
        <w:t xml:space="preserve">Relief from liability </w:t>
      </w:r>
    </w:p>
    <w:p w14:paraId="64EB76B6" w14:textId="77777777" w:rsidR="005C4B1C" w:rsidRDefault="005C4B1C" w:rsidP="009C0222">
      <w:pPr>
        <w:pStyle w:val="base-text-paragraph"/>
        <w:tabs>
          <w:tab w:val="clear" w:pos="1985"/>
          <w:tab w:val="num" w:pos="1986"/>
        </w:tabs>
      </w:pPr>
      <w:r>
        <w:t xml:space="preserve">Part 9 of the </w:t>
      </w:r>
      <w:r w:rsidR="009C0222" w:rsidRPr="009C0222">
        <w:t>Prudential Supervision Bill</w:t>
      </w:r>
      <w:r>
        <w:t xml:space="preserve"> allows</w:t>
      </w:r>
      <w:r w:rsidR="00C15FB9">
        <w:t xml:space="preserve"> a person, including an officer</w:t>
      </w:r>
      <w:r>
        <w:t xml:space="preserve"> of an insurer to apply to the Federal Court to grant relief from liability, where the officer has acted honestly and the circumstances are such that the Court decides it would be fair to grant whole or partial relief from liability. The purpose of this provision is to align directors duties with those of the Corporations Act, and to ‘excuse company officers from liability in situations where it would be unjust and oppressive not to do so, recognising that such officers are business men and women who act in an environment involving risk and commercial decision making.’</w:t>
      </w:r>
      <w:r>
        <w:rPr>
          <w:rStyle w:val="FootnoteReference"/>
        </w:rPr>
        <w:footnoteReference w:id="2"/>
      </w:r>
      <w:r w:rsidR="00001B9D">
        <w:t xml:space="preserve"> </w:t>
      </w:r>
      <w:r w:rsidRPr="009C0222">
        <w:rPr>
          <w:b/>
          <w:i/>
        </w:rPr>
        <w:t>[</w:t>
      </w:r>
      <w:r w:rsidRPr="00AC2784">
        <w:rPr>
          <w:rStyle w:val="Referencingstyle"/>
        </w:rPr>
        <w:t>Part 9, section 166)]</w:t>
      </w:r>
      <w:r w:rsidRPr="00477113">
        <w:t xml:space="preserve">  </w:t>
      </w:r>
    </w:p>
    <w:p w14:paraId="69F0A12A" w14:textId="77777777" w:rsidR="009A3EEC" w:rsidRDefault="009A3EEC" w:rsidP="009C0222">
      <w:pPr>
        <w:pStyle w:val="base-text-paragraph"/>
        <w:tabs>
          <w:tab w:val="clear" w:pos="1985"/>
          <w:tab w:val="num" w:pos="1986"/>
        </w:tabs>
      </w:pPr>
      <w:r>
        <w:t xml:space="preserve">A person can apply for relief if there are proceedings underway for liability for losses caused by an insurer contravening the </w:t>
      </w:r>
      <w:r w:rsidR="009C0222" w:rsidRPr="009C0222">
        <w:t>Prudential Supervision Bill</w:t>
      </w:r>
      <w:r>
        <w:t xml:space="preserve"> (section</w:t>
      </w:r>
      <w:r w:rsidR="005C4B1C">
        <w:t> </w:t>
      </w:r>
      <w:r>
        <w:t>46), losses caused by a transa</w:t>
      </w:r>
      <w:r w:rsidR="00E16636">
        <w:t>c</w:t>
      </w:r>
      <w:r>
        <w:t>tion made while the fund was under manageme</w:t>
      </w:r>
      <w:r w:rsidR="00E16636">
        <w:t>n</w:t>
      </w:r>
      <w:r>
        <w:t xml:space="preserve">t (subsection 76(1)), </w:t>
      </w:r>
      <w:r w:rsidR="00E16636">
        <w:t>losses caused a failure to remedy a contravention (section 89) and liability following contravention of an enforceable undertaking. A person can also apply for relief if they consider the proceedings described above will begin.</w:t>
      </w:r>
      <w:r w:rsidR="00E16636" w:rsidRPr="00ED52FE">
        <w:rPr>
          <w:b/>
          <w:i/>
          <w:sz w:val="18"/>
          <w:szCs w:val="18"/>
        </w:rPr>
        <w:t xml:space="preserve"> </w:t>
      </w:r>
      <w:r w:rsidR="00E372EE" w:rsidRPr="00ED52FE">
        <w:rPr>
          <w:b/>
          <w:i/>
          <w:sz w:val="18"/>
          <w:szCs w:val="18"/>
        </w:rPr>
        <w:t>[</w:t>
      </w:r>
      <w:r w:rsidR="00E372EE" w:rsidRPr="00E372EE">
        <w:rPr>
          <w:rStyle w:val="Referencingstyle"/>
        </w:rPr>
        <w:t xml:space="preserve">Part 9, </w:t>
      </w:r>
      <w:r w:rsidR="00E372EE">
        <w:rPr>
          <w:rStyle w:val="Referencingstyle"/>
        </w:rPr>
        <w:t>sub</w:t>
      </w:r>
      <w:r w:rsidR="00E372EE" w:rsidRPr="00E372EE">
        <w:rPr>
          <w:rStyle w:val="Referencingstyle"/>
        </w:rPr>
        <w:t>section</w:t>
      </w:r>
      <w:r w:rsidR="00E372EE">
        <w:rPr>
          <w:rStyle w:val="Referencingstyle"/>
        </w:rPr>
        <w:t>s</w:t>
      </w:r>
      <w:r w:rsidR="00E372EE" w:rsidRPr="00E372EE">
        <w:rPr>
          <w:rStyle w:val="Referencingstyle"/>
        </w:rPr>
        <w:t xml:space="preserve"> 166</w:t>
      </w:r>
      <w:r w:rsidR="00E372EE">
        <w:rPr>
          <w:rStyle w:val="Referencingstyle"/>
        </w:rPr>
        <w:t>(1</w:t>
      </w:r>
      <w:r w:rsidR="00E372EE" w:rsidRPr="00E372EE">
        <w:rPr>
          <w:rStyle w:val="Referencingstyle"/>
        </w:rPr>
        <w:t>)</w:t>
      </w:r>
      <w:r w:rsidR="00E372EE">
        <w:rPr>
          <w:rStyle w:val="Referencingstyle"/>
        </w:rPr>
        <w:t xml:space="preserve"> (2) and (3)</w:t>
      </w:r>
      <w:r w:rsidR="00E372EE" w:rsidRPr="00E372EE">
        <w:rPr>
          <w:rStyle w:val="Referencingstyle"/>
        </w:rPr>
        <w:t>]</w:t>
      </w:r>
      <w:r w:rsidR="005A66DB">
        <w:t>.</w:t>
      </w:r>
      <w:r w:rsidR="00E372EE" w:rsidRPr="00E372EE">
        <w:t xml:space="preserve"> </w:t>
      </w:r>
    </w:p>
    <w:p w14:paraId="4F63A731" w14:textId="77777777" w:rsidR="000B4C15" w:rsidRDefault="000B4C15" w:rsidP="000B4C15">
      <w:pPr>
        <w:pStyle w:val="Heading4"/>
      </w:pPr>
      <w:r>
        <w:t>Annual publication of information relating to health benefits funds</w:t>
      </w:r>
    </w:p>
    <w:p w14:paraId="7A259A8A" w14:textId="7AB22538" w:rsidR="00FC57FD" w:rsidRPr="00B6069F" w:rsidRDefault="00FC57FD" w:rsidP="00C01E75">
      <w:pPr>
        <w:pStyle w:val="base-text-paragraph"/>
      </w:pPr>
      <w:r w:rsidRPr="00B6069F">
        <w:t xml:space="preserve">The Council provided various </w:t>
      </w:r>
      <w:r w:rsidR="006D6A6B" w:rsidRPr="00B6069F">
        <w:t>data</w:t>
      </w:r>
      <w:r w:rsidRPr="00B6069F">
        <w:t xml:space="preserve"> and reports to the industry and </w:t>
      </w:r>
      <w:r w:rsidR="006D6A6B" w:rsidRPr="00B6069F">
        <w:t xml:space="preserve">the </w:t>
      </w:r>
      <w:r w:rsidRPr="00B6069F">
        <w:t>public and it is intended that these will continue following transition to APRA. These reports are important to the efficient and effective operation of the industry, and among other benefits, provide transparency around risk equalisation calculations.</w:t>
      </w:r>
    </w:p>
    <w:p w14:paraId="3D11E1F6" w14:textId="77777777" w:rsidR="000B4C15" w:rsidRPr="00BF21E1" w:rsidRDefault="00C15FB9" w:rsidP="009C0222">
      <w:pPr>
        <w:pStyle w:val="base-text-paragraph"/>
        <w:tabs>
          <w:tab w:val="clear" w:pos="1985"/>
          <w:tab w:val="num" w:pos="1986"/>
        </w:tabs>
      </w:pPr>
      <w:r w:rsidRPr="00C15FB9">
        <w:t xml:space="preserve">The </w:t>
      </w:r>
      <w:r w:rsidR="009C0222" w:rsidRPr="009C0222">
        <w:t>Prudential Supervision Bill</w:t>
      </w:r>
      <w:r w:rsidRPr="00C15FB9">
        <w:t xml:space="preserve"> will provide for APRA to continue the publication of the Annual Report on the Operation of Private Health Insurers, currently published by the Council under the PHI Act.  </w:t>
      </w:r>
      <w:r w:rsidR="000B4C15">
        <w:t>Following 30 September each year</w:t>
      </w:r>
      <w:r w:rsidR="009C0222">
        <w:t>,</w:t>
      </w:r>
      <w:r w:rsidR="000B4C15">
        <w:t xml:space="preserve"> APRA will publish </w:t>
      </w:r>
      <w:r w:rsidR="005A66DB">
        <w:t xml:space="preserve">the following information </w:t>
      </w:r>
      <w:r w:rsidR="000B4C15">
        <w:t>on its website, in respect of the operations during that financial year, of each health benefits fund conducted by an insurer:</w:t>
      </w:r>
    </w:p>
    <w:p w14:paraId="72166811" w14:textId="77777777" w:rsidR="000B4C15" w:rsidRPr="006D4351" w:rsidRDefault="00C15FB9" w:rsidP="000B4C15">
      <w:pPr>
        <w:pStyle w:val="dotpoint"/>
      </w:pPr>
      <w:r>
        <w:t>premiums payable to</w:t>
      </w:r>
      <w:r w:rsidR="000B4C15" w:rsidRPr="006D4351">
        <w:t xml:space="preserve"> the fund;</w:t>
      </w:r>
    </w:p>
    <w:p w14:paraId="60A33BE0" w14:textId="77777777" w:rsidR="000B4C15" w:rsidRPr="006D4351" w:rsidRDefault="000B4C15" w:rsidP="000B4C15">
      <w:pPr>
        <w:pStyle w:val="dotpoint"/>
      </w:pPr>
      <w:r w:rsidRPr="006D4351">
        <w:t>other a</w:t>
      </w:r>
      <w:r w:rsidR="00C15FB9">
        <w:t>mounts payable to</w:t>
      </w:r>
      <w:r w:rsidRPr="006D4351">
        <w:t xml:space="preserve"> the fund;</w:t>
      </w:r>
    </w:p>
    <w:p w14:paraId="713CE932" w14:textId="77777777" w:rsidR="000B4C15" w:rsidRPr="006D4351" w:rsidRDefault="00C15FB9" w:rsidP="000B4C15">
      <w:pPr>
        <w:pStyle w:val="dotpoint"/>
      </w:pPr>
      <w:r>
        <w:t>fund benefits payable out of</w:t>
      </w:r>
      <w:r w:rsidR="000B4C15" w:rsidRPr="006D4351">
        <w:t xml:space="preserve"> the fund;</w:t>
      </w:r>
    </w:p>
    <w:p w14:paraId="48CB27C9" w14:textId="77777777" w:rsidR="000B4C15" w:rsidRPr="006D4351" w:rsidRDefault="000B4C15" w:rsidP="000B4C15">
      <w:pPr>
        <w:pStyle w:val="dotpoint"/>
      </w:pPr>
      <w:r w:rsidRPr="006D4351">
        <w:t>management expenses;</w:t>
      </w:r>
    </w:p>
    <w:p w14:paraId="34C23757" w14:textId="77777777" w:rsidR="000B4C15" w:rsidRPr="006D4351" w:rsidRDefault="000B4C15" w:rsidP="000B4C15">
      <w:pPr>
        <w:pStyle w:val="dotpoint"/>
      </w:pPr>
      <w:r w:rsidRPr="006D4351">
        <w:t xml:space="preserve">other amounts payable out </w:t>
      </w:r>
      <w:r w:rsidR="00C15FB9">
        <w:t>to</w:t>
      </w:r>
      <w:r w:rsidRPr="006D4351">
        <w:t xml:space="preserve"> the fund;</w:t>
      </w:r>
    </w:p>
    <w:p w14:paraId="19D1DEF9" w14:textId="77777777" w:rsidR="000B4C15" w:rsidRPr="006D4351" w:rsidRDefault="000B4C15" w:rsidP="000B4C15">
      <w:pPr>
        <w:pStyle w:val="dotpoint"/>
      </w:pPr>
      <w:r w:rsidRPr="006D4351">
        <w:t xml:space="preserve">the balance of the fund at the end </w:t>
      </w:r>
      <w:r w:rsidR="00C15FB9">
        <w:t>to</w:t>
      </w:r>
      <w:r w:rsidRPr="006D4351">
        <w:t xml:space="preserve"> that financial year;</w:t>
      </w:r>
    </w:p>
    <w:p w14:paraId="2363AC2F" w14:textId="77777777" w:rsidR="000B4C15" w:rsidRPr="006D4351" w:rsidRDefault="000B4C15" w:rsidP="000B4C15">
      <w:pPr>
        <w:pStyle w:val="dotpoint"/>
      </w:pPr>
      <w:r w:rsidRPr="006D4351">
        <w:t xml:space="preserve">details of how the reserves of the fund have been invested; and </w:t>
      </w:r>
    </w:p>
    <w:p w14:paraId="41D1439E" w14:textId="77777777" w:rsidR="000B4C15" w:rsidRPr="00BF21E1" w:rsidRDefault="000B4C15" w:rsidP="000B4C15">
      <w:pPr>
        <w:pStyle w:val="dotpoint"/>
        <w:rPr>
          <w:rStyle w:val="Referencingstyle"/>
        </w:rPr>
      </w:pPr>
      <w:r w:rsidRPr="006D4351">
        <w:t xml:space="preserve">any other information required by APRA rules made for the purpose of section 166A.  </w:t>
      </w:r>
      <w:r w:rsidRPr="00BF21E1">
        <w:rPr>
          <w:rStyle w:val="Referencingstyle"/>
        </w:rPr>
        <w:t>[Part 9, subsection 16</w:t>
      </w:r>
      <w:r w:rsidR="005A66DB">
        <w:rPr>
          <w:rStyle w:val="Referencingstyle"/>
        </w:rPr>
        <w:t>7</w:t>
      </w:r>
      <w:r w:rsidRPr="00BF21E1">
        <w:rPr>
          <w:rStyle w:val="Referencingstyle"/>
        </w:rPr>
        <w:t>(1)]</w:t>
      </w:r>
    </w:p>
    <w:p w14:paraId="141BD540" w14:textId="77777777" w:rsidR="000B4C15" w:rsidRPr="001662CA" w:rsidRDefault="000B4C15" w:rsidP="000F194A">
      <w:pPr>
        <w:pStyle w:val="base-text-paragraph"/>
        <w:rPr>
          <w:rStyle w:val="Referencingstyle"/>
          <w:b w:val="0"/>
          <w:i w:val="0"/>
          <w:sz w:val="22"/>
        </w:rPr>
      </w:pPr>
      <w:r>
        <w:t>None of the information published may be personal information relating to a person insured under a private health insurance policy.</w:t>
      </w:r>
      <w:r w:rsidRPr="00BF21E1">
        <w:t xml:space="preserve"> </w:t>
      </w:r>
      <w:r w:rsidRPr="00BF21E1">
        <w:rPr>
          <w:rStyle w:val="Referencingstyle"/>
        </w:rPr>
        <w:t>[Part 9, subsection 16</w:t>
      </w:r>
      <w:r w:rsidR="005A66DB">
        <w:rPr>
          <w:rStyle w:val="Referencingstyle"/>
        </w:rPr>
        <w:t>7</w:t>
      </w:r>
      <w:r w:rsidRPr="00BF21E1">
        <w:rPr>
          <w:rStyle w:val="Referencingstyle"/>
        </w:rPr>
        <w:t>(2)]</w:t>
      </w:r>
    </w:p>
    <w:p w14:paraId="0AD0AB5B" w14:textId="77777777" w:rsidR="000B4C15" w:rsidRPr="00E95DF9" w:rsidRDefault="000B4C15" w:rsidP="009C0222">
      <w:pPr>
        <w:pStyle w:val="base-text-paragraph"/>
        <w:tabs>
          <w:tab w:val="clear" w:pos="1985"/>
          <w:tab w:val="num" w:pos="1986"/>
        </w:tabs>
      </w:pPr>
      <w:r w:rsidRPr="00E95DF9">
        <w:t>Section 16</w:t>
      </w:r>
      <w:r w:rsidR="005A66DB" w:rsidRPr="00E95DF9">
        <w:t>7</w:t>
      </w:r>
      <w:r w:rsidRPr="00E95DF9">
        <w:t xml:space="preserve"> of the </w:t>
      </w:r>
      <w:r w:rsidR="009C0222" w:rsidRPr="00E95DF9">
        <w:t>Prudential Supervision Bill</w:t>
      </w:r>
      <w:r w:rsidRPr="00E95DF9">
        <w:t xml:space="preserve"> is based on sections 264-15 of the PHI Act and section 348A of the SIS Act.</w:t>
      </w:r>
    </w:p>
    <w:p w14:paraId="05B96DBF" w14:textId="58425B57" w:rsidR="00FC57FD" w:rsidRPr="00E95DF9" w:rsidRDefault="00FC57FD" w:rsidP="00FC57FD">
      <w:pPr>
        <w:pStyle w:val="base-text-paragraph"/>
      </w:pPr>
      <w:r w:rsidRPr="00E95DF9">
        <w:t>The Council also releases data collected, which is distributed and published through a number of mechanisms</w:t>
      </w:r>
      <w:r w:rsidR="001E640F" w:rsidRPr="00E95DF9">
        <w:t>, to the private health insurance industry</w:t>
      </w:r>
      <w:r w:rsidRPr="00E95DF9">
        <w:t>. In some cases, the data is release</w:t>
      </w:r>
      <w:r w:rsidR="006D6A6B" w:rsidRPr="00E95DF9">
        <w:t>d</w:t>
      </w:r>
      <w:r w:rsidRPr="00E95DF9">
        <w:t xml:space="preserve"> at an aggregate industry level. In other cases, the data is released or published at an individual entity level. </w:t>
      </w:r>
    </w:p>
    <w:p w14:paraId="02483527" w14:textId="0B61A265" w:rsidR="00FC57FD" w:rsidRPr="00E95DF9" w:rsidRDefault="00FC57FD" w:rsidP="00FC57FD">
      <w:pPr>
        <w:pStyle w:val="base-text-paragraph"/>
      </w:pPr>
      <w:r w:rsidRPr="00E95DF9">
        <w:t>Th</w:t>
      </w:r>
      <w:r w:rsidR="004F3E77" w:rsidRPr="00E95DF9">
        <w:t>is</w:t>
      </w:r>
      <w:r w:rsidRPr="00E95DF9">
        <w:t xml:space="preserve"> data </w:t>
      </w:r>
      <w:r w:rsidR="007146A5" w:rsidRPr="00E95DF9">
        <w:t>assist</w:t>
      </w:r>
      <w:r w:rsidR="004F3E77" w:rsidRPr="00E95DF9">
        <w:t>s</w:t>
      </w:r>
      <w:r w:rsidR="007146A5" w:rsidRPr="00E95DF9">
        <w:t xml:space="preserve"> with </w:t>
      </w:r>
      <w:r w:rsidRPr="00E95DF9">
        <w:t xml:space="preserve">benchmarking and transparency of risk equalisation payments (and the underlying gross deficit and calculated deficit, and movements and trends in these amounts by state and by insurer). The data </w:t>
      </w:r>
      <w:r w:rsidR="004F3E77" w:rsidRPr="00E95DF9">
        <w:t>is</w:t>
      </w:r>
      <w:r w:rsidRPr="00E95DF9">
        <w:t xml:space="preserve"> also used for various </w:t>
      </w:r>
      <w:r w:rsidR="00F140CA" w:rsidRPr="00E95DF9">
        <w:t xml:space="preserve">other </w:t>
      </w:r>
      <w:r w:rsidRPr="00E95DF9">
        <w:t>purposes to assist the industry</w:t>
      </w:r>
      <w:r w:rsidR="00F140CA" w:rsidRPr="00E95DF9">
        <w:t xml:space="preserve">. </w:t>
      </w:r>
      <w:r w:rsidRPr="00E95DF9">
        <w:t xml:space="preserve">  </w:t>
      </w:r>
    </w:p>
    <w:p w14:paraId="00AFB161" w14:textId="3F32A99D" w:rsidR="006D6A6B" w:rsidRPr="00E95DF9" w:rsidRDefault="001E640F" w:rsidP="00892F72">
      <w:pPr>
        <w:pStyle w:val="base-text-paragraph"/>
      </w:pPr>
      <w:r w:rsidRPr="00E95DF9">
        <w:t xml:space="preserve">From </w:t>
      </w:r>
      <w:r w:rsidR="001737BE" w:rsidRPr="00E95DF9">
        <w:t>commencement</w:t>
      </w:r>
      <w:r w:rsidR="00174DC2" w:rsidRPr="00E95DF9">
        <w:t>,</w:t>
      </w:r>
      <w:r w:rsidR="00F140CA" w:rsidRPr="00E95DF9">
        <w:t xml:space="preserve"> </w:t>
      </w:r>
      <w:r w:rsidRPr="00E95DF9">
        <w:t>s</w:t>
      </w:r>
      <w:r w:rsidR="006D6A6B" w:rsidRPr="00E95DF9">
        <w:t>uch data will be collected under the FS(CoD) Act</w:t>
      </w:r>
      <w:r w:rsidR="00892F72" w:rsidRPr="00E95DF9">
        <w:t xml:space="preserve"> (</w:t>
      </w:r>
      <w:r w:rsidR="006D6A6B" w:rsidRPr="00E95DF9">
        <w:t>as amended</w:t>
      </w:r>
      <w:r w:rsidR="00892F72" w:rsidRPr="00E95DF9">
        <w:t>)</w:t>
      </w:r>
      <w:r w:rsidR="003975FA" w:rsidRPr="00E95DF9">
        <w:t xml:space="preserve">, </w:t>
      </w:r>
      <w:r w:rsidR="006D6A6B" w:rsidRPr="00E95DF9">
        <w:t xml:space="preserve">which will </w:t>
      </w:r>
      <w:r w:rsidR="00892F72" w:rsidRPr="00E95DF9">
        <w:t xml:space="preserve">enable </w:t>
      </w:r>
      <w:r w:rsidR="006D6A6B" w:rsidRPr="00E95DF9">
        <w:t xml:space="preserve">APRA </w:t>
      </w:r>
      <w:r w:rsidR="00892F72" w:rsidRPr="00E95DF9">
        <w:t xml:space="preserve">to </w:t>
      </w:r>
      <w:r w:rsidRPr="00E95DF9">
        <w:t xml:space="preserve">continue to </w:t>
      </w:r>
      <w:r w:rsidR="00892F72" w:rsidRPr="00E95DF9">
        <w:t xml:space="preserve">collect information from private health insurers </w:t>
      </w:r>
      <w:r w:rsidR="006D6A6B" w:rsidRPr="00E95DF9">
        <w:t xml:space="preserve">as specified in the </w:t>
      </w:r>
      <w:r w:rsidR="003975FA" w:rsidRPr="00E95DF9">
        <w:t xml:space="preserve">reporting </w:t>
      </w:r>
      <w:r w:rsidR="006D6A6B" w:rsidRPr="00E95DF9">
        <w:t xml:space="preserve">standards. </w:t>
      </w:r>
    </w:p>
    <w:p w14:paraId="1C574BA6" w14:textId="77777777" w:rsidR="00F140CA" w:rsidRPr="00E95DF9" w:rsidRDefault="00F140CA" w:rsidP="00F140CA">
      <w:pPr>
        <w:pStyle w:val="base-text-paragraph"/>
      </w:pPr>
      <w:r w:rsidRPr="00E95DF9">
        <w:t xml:space="preserve">The Private Health Insurance Ombudsman will continue to publish the State of the Health Funds report on its website, using data collected by APRA. </w:t>
      </w:r>
    </w:p>
    <w:p w14:paraId="024A70E5" w14:textId="77777777" w:rsidR="00EE2C63" w:rsidRDefault="00760406" w:rsidP="00EE2C63">
      <w:pPr>
        <w:pStyle w:val="Heading4"/>
      </w:pPr>
      <w:r>
        <w:t>Review</w:t>
      </w:r>
      <w:r w:rsidR="005C48FF">
        <w:t xml:space="preserve"> of decisions</w:t>
      </w:r>
    </w:p>
    <w:p w14:paraId="7CD9A275" w14:textId="77777777" w:rsidR="007A3552" w:rsidRDefault="00EE2C63" w:rsidP="000F194A">
      <w:pPr>
        <w:pStyle w:val="base-text-paragraph"/>
      </w:pPr>
      <w:r>
        <w:t>A</w:t>
      </w:r>
      <w:r w:rsidRPr="002C010A">
        <w:t xml:space="preserve">n application may be made to the </w:t>
      </w:r>
      <w:r w:rsidR="00F35982">
        <w:t>AAT</w:t>
      </w:r>
      <w:r w:rsidRPr="002C010A">
        <w:t xml:space="preserve"> for review of the decisions </w:t>
      </w:r>
      <w:r>
        <w:t xml:space="preserve">set out in the table in section </w:t>
      </w:r>
      <w:r w:rsidR="00BF21E1">
        <w:t>168</w:t>
      </w:r>
      <w:r>
        <w:t>.</w:t>
      </w:r>
      <w:r w:rsidR="007A3552">
        <w:t xml:space="preserve">  </w:t>
      </w:r>
      <w:r w:rsidR="007A3552" w:rsidRPr="002C010A">
        <w:rPr>
          <w:rStyle w:val="Referencingstyle"/>
        </w:rPr>
        <w:t xml:space="preserve">[Part </w:t>
      </w:r>
      <w:r w:rsidR="00B52D01">
        <w:rPr>
          <w:rStyle w:val="Referencingstyle"/>
        </w:rPr>
        <w:t>9</w:t>
      </w:r>
      <w:r w:rsidR="007A3552" w:rsidRPr="002C010A">
        <w:rPr>
          <w:rStyle w:val="Referencingstyle"/>
        </w:rPr>
        <w:t xml:space="preserve">, section </w:t>
      </w:r>
      <w:r w:rsidR="001569FF" w:rsidRPr="002C010A">
        <w:rPr>
          <w:rStyle w:val="Referencingstyle"/>
        </w:rPr>
        <w:t>1</w:t>
      </w:r>
      <w:r w:rsidR="00BF21E1">
        <w:rPr>
          <w:rStyle w:val="Referencingstyle"/>
        </w:rPr>
        <w:t>68</w:t>
      </w:r>
      <w:r w:rsidR="007A3552" w:rsidRPr="002C010A">
        <w:rPr>
          <w:rStyle w:val="Referencingstyle"/>
        </w:rPr>
        <w:t>]</w:t>
      </w:r>
      <w:r w:rsidR="007A3552" w:rsidRPr="002C010A">
        <w:t xml:space="preserve">  </w:t>
      </w:r>
    </w:p>
    <w:tbl>
      <w:tblPr>
        <w:tblW w:w="0" w:type="auto"/>
        <w:jc w:val="center"/>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B02E0F" w:rsidRPr="00C24F00" w14:paraId="0CE439B6" w14:textId="77777777" w:rsidTr="001A57F7">
        <w:trPr>
          <w:tblHeader/>
          <w:jc w:val="center"/>
        </w:trPr>
        <w:tc>
          <w:tcPr>
            <w:tcW w:w="7089" w:type="dxa"/>
            <w:gridSpan w:val="3"/>
            <w:tcBorders>
              <w:top w:val="single" w:sz="12" w:space="0" w:color="auto"/>
              <w:bottom w:val="single" w:sz="6" w:space="0" w:color="auto"/>
            </w:tcBorders>
            <w:shd w:val="clear" w:color="auto" w:fill="auto"/>
          </w:tcPr>
          <w:p w14:paraId="443A5539" w14:textId="77777777" w:rsidR="00B02E0F" w:rsidRPr="00C24F00" w:rsidRDefault="00B02E0F" w:rsidP="00B02E0F">
            <w:pPr>
              <w:pStyle w:val="TableHeading"/>
            </w:pPr>
            <w:r w:rsidRPr="00C24F00">
              <w:t>Reviewable decisions</w:t>
            </w:r>
          </w:p>
        </w:tc>
      </w:tr>
      <w:tr w:rsidR="00B02E0F" w:rsidRPr="00C24F00" w14:paraId="7EE77DB1" w14:textId="77777777" w:rsidTr="001A57F7">
        <w:trPr>
          <w:tblHeader/>
          <w:jc w:val="center"/>
        </w:trPr>
        <w:tc>
          <w:tcPr>
            <w:tcW w:w="844" w:type="dxa"/>
            <w:tcBorders>
              <w:top w:val="single" w:sz="6" w:space="0" w:color="auto"/>
              <w:bottom w:val="single" w:sz="12" w:space="0" w:color="auto"/>
            </w:tcBorders>
            <w:shd w:val="clear" w:color="auto" w:fill="auto"/>
          </w:tcPr>
          <w:p w14:paraId="2A86B1F7" w14:textId="77777777" w:rsidR="00B02E0F" w:rsidRPr="00C24F00" w:rsidRDefault="00B02E0F" w:rsidP="00B02E0F">
            <w:pPr>
              <w:pStyle w:val="TableHeading"/>
            </w:pPr>
            <w:r w:rsidRPr="00C24F00">
              <w:br w:type="page"/>
              <w:t>Item</w:t>
            </w:r>
          </w:p>
        </w:tc>
        <w:tc>
          <w:tcPr>
            <w:tcW w:w="3834" w:type="dxa"/>
            <w:tcBorders>
              <w:top w:val="single" w:sz="6" w:space="0" w:color="auto"/>
              <w:bottom w:val="single" w:sz="12" w:space="0" w:color="auto"/>
            </w:tcBorders>
            <w:shd w:val="clear" w:color="auto" w:fill="auto"/>
          </w:tcPr>
          <w:p w14:paraId="0C662913" w14:textId="77777777" w:rsidR="00B02E0F" w:rsidRPr="00C24F00" w:rsidRDefault="00B02E0F" w:rsidP="00B02E0F">
            <w:pPr>
              <w:pStyle w:val="TableHeading"/>
            </w:pPr>
            <w:r w:rsidRPr="00C24F00">
              <w:t>Decision</w:t>
            </w:r>
          </w:p>
        </w:tc>
        <w:tc>
          <w:tcPr>
            <w:tcW w:w="2411" w:type="dxa"/>
            <w:tcBorders>
              <w:top w:val="single" w:sz="6" w:space="0" w:color="auto"/>
              <w:bottom w:val="single" w:sz="12" w:space="0" w:color="auto"/>
            </w:tcBorders>
            <w:shd w:val="clear" w:color="auto" w:fill="auto"/>
          </w:tcPr>
          <w:p w14:paraId="4642774C" w14:textId="77777777" w:rsidR="00B02E0F" w:rsidRPr="00C24F00" w:rsidRDefault="00B02E0F" w:rsidP="00B02E0F">
            <w:pPr>
              <w:pStyle w:val="TableHeading"/>
            </w:pPr>
            <w:r w:rsidRPr="00C24F00">
              <w:t>Provision under which decision is made</w:t>
            </w:r>
          </w:p>
        </w:tc>
      </w:tr>
      <w:tr w:rsidR="00B02E0F" w:rsidRPr="00C24F00" w14:paraId="3C9ECD6A" w14:textId="77777777" w:rsidTr="001A57F7">
        <w:trPr>
          <w:jc w:val="center"/>
        </w:trPr>
        <w:tc>
          <w:tcPr>
            <w:tcW w:w="844" w:type="dxa"/>
            <w:tcBorders>
              <w:top w:val="single" w:sz="12" w:space="0" w:color="auto"/>
            </w:tcBorders>
            <w:shd w:val="clear" w:color="auto" w:fill="auto"/>
          </w:tcPr>
          <w:p w14:paraId="11CDDC66" w14:textId="77777777" w:rsidR="00B02E0F" w:rsidRPr="00C24F00" w:rsidRDefault="00B02E0F" w:rsidP="00B02E0F">
            <w:pPr>
              <w:pStyle w:val="Tabletext0"/>
            </w:pPr>
            <w:r w:rsidRPr="00C24F00">
              <w:t>1</w:t>
            </w:r>
          </w:p>
        </w:tc>
        <w:tc>
          <w:tcPr>
            <w:tcW w:w="3834" w:type="dxa"/>
            <w:tcBorders>
              <w:top w:val="single" w:sz="12" w:space="0" w:color="auto"/>
            </w:tcBorders>
            <w:shd w:val="clear" w:color="auto" w:fill="auto"/>
          </w:tcPr>
          <w:p w14:paraId="218CFA84" w14:textId="77777777" w:rsidR="00B02E0F" w:rsidRPr="00C24F00" w:rsidRDefault="00B02E0F" w:rsidP="00B02E0F">
            <w:pPr>
              <w:pStyle w:val="Tabletext0"/>
            </w:pPr>
            <w:r w:rsidRPr="00C24F00">
              <w:t>to refuse an application for registration as a private health insurer</w:t>
            </w:r>
          </w:p>
        </w:tc>
        <w:tc>
          <w:tcPr>
            <w:tcW w:w="2411" w:type="dxa"/>
            <w:tcBorders>
              <w:top w:val="single" w:sz="12" w:space="0" w:color="auto"/>
            </w:tcBorders>
            <w:shd w:val="clear" w:color="auto" w:fill="auto"/>
          </w:tcPr>
          <w:p w14:paraId="38735C0A" w14:textId="77777777" w:rsidR="00B02E0F" w:rsidRPr="00C24F00" w:rsidRDefault="00B02E0F" w:rsidP="00B02E0F">
            <w:pPr>
              <w:pStyle w:val="Tabletext0"/>
            </w:pPr>
            <w:r w:rsidRPr="00C24F00">
              <w:t>section 15</w:t>
            </w:r>
          </w:p>
        </w:tc>
      </w:tr>
      <w:tr w:rsidR="00B02E0F" w:rsidRPr="00C24F00" w14:paraId="01A0629A" w14:textId="77777777" w:rsidTr="001A57F7">
        <w:trPr>
          <w:jc w:val="center"/>
        </w:trPr>
        <w:tc>
          <w:tcPr>
            <w:tcW w:w="844" w:type="dxa"/>
            <w:shd w:val="clear" w:color="auto" w:fill="auto"/>
          </w:tcPr>
          <w:p w14:paraId="333B36EC" w14:textId="77777777" w:rsidR="00B02E0F" w:rsidRPr="00C24F00" w:rsidRDefault="00B02E0F" w:rsidP="00B02E0F">
            <w:pPr>
              <w:pStyle w:val="Tabletext0"/>
            </w:pPr>
            <w:r w:rsidRPr="00C24F00">
              <w:t>2</w:t>
            </w:r>
          </w:p>
        </w:tc>
        <w:tc>
          <w:tcPr>
            <w:tcW w:w="3834" w:type="dxa"/>
            <w:shd w:val="clear" w:color="auto" w:fill="auto"/>
          </w:tcPr>
          <w:p w14:paraId="01B6C64B" w14:textId="77777777" w:rsidR="00B02E0F" w:rsidRPr="00C24F00" w:rsidRDefault="00B02E0F" w:rsidP="00B02E0F">
            <w:pPr>
              <w:pStyle w:val="Tabletext0"/>
            </w:pPr>
            <w:r w:rsidRPr="00C24F00">
              <w:t>to grant an application, subject to terms and conditions, for registration as a private health insurer</w:t>
            </w:r>
          </w:p>
        </w:tc>
        <w:tc>
          <w:tcPr>
            <w:tcW w:w="2411" w:type="dxa"/>
            <w:shd w:val="clear" w:color="auto" w:fill="auto"/>
          </w:tcPr>
          <w:p w14:paraId="5BE1D475" w14:textId="77777777" w:rsidR="00B02E0F" w:rsidRPr="00C24F00" w:rsidRDefault="00B02E0F" w:rsidP="00B02E0F">
            <w:pPr>
              <w:pStyle w:val="Tabletext0"/>
            </w:pPr>
            <w:r w:rsidRPr="00C24F00">
              <w:t>section 15</w:t>
            </w:r>
          </w:p>
        </w:tc>
      </w:tr>
      <w:tr w:rsidR="00B02E0F" w:rsidRPr="00C24F00" w14:paraId="5F48877C" w14:textId="77777777" w:rsidTr="001A57F7">
        <w:trPr>
          <w:jc w:val="center"/>
        </w:trPr>
        <w:tc>
          <w:tcPr>
            <w:tcW w:w="844" w:type="dxa"/>
            <w:shd w:val="clear" w:color="auto" w:fill="auto"/>
          </w:tcPr>
          <w:p w14:paraId="00F36D1D" w14:textId="77777777" w:rsidR="00B02E0F" w:rsidRPr="00C24F00" w:rsidRDefault="00B02E0F" w:rsidP="00B02E0F">
            <w:pPr>
              <w:pStyle w:val="Tabletext0"/>
            </w:pPr>
            <w:r w:rsidRPr="00C24F00">
              <w:t>3</w:t>
            </w:r>
          </w:p>
        </w:tc>
        <w:tc>
          <w:tcPr>
            <w:tcW w:w="3834" w:type="dxa"/>
            <w:shd w:val="clear" w:color="auto" w:fill="auto"/>
          </w:tcPr>
          <w:p w14:paraId="15ADA9BC" w14:textId="77777777" w:rsidR="00B02E0F" w:rsidRPr="00C24F00" w:rsidRDefault="00B02E0F" w:rsidP="00B02E0F">
            <w:pPr>
              <w:pStyle w:val="Tabletext0"/>
            </w:pPr>
            <w:r w:rsidRPr="00C24F00">
              <w:t>to refuse an application for approval for a private health insurer to convert to being registered as a for profit insurer</w:t>
            </w:r>
          </w:p>
        </w:tc>
        <w:tc>
          <w:tcPr>
            <w:tcW w:w="2411" w:type="dxa"/>
            <w:shd w:val="clear" w:color="auto" w:fill="auto"/>
          </w:tcPr>
          <w:p w14:paraId="4255591D" w14:textId="77777777" w:rsidR="00B02E0F" w:rsidRPr="00C24F00" w:rsidRDefault="00B02E0F" w:rsidP="00B02E0F">
            <w:pPr>
              <w:pStyle w:val="Tabletext0"/>
            </w:pPr>
            <w:r w:rsidRPr="00C24F00">
              <w:t>section 20</w:t>
            </w:r>
          </w:p>
        </w:tc>
      </w:tr>
      <w:tr w:rsidR="00B02E0F" w:rsidRPr="00C24F00" w14:paraId="009CBF1A" w14:textId="77777777" w:rsidTr="001A57F7">
        <w:trPr>
          <w:jc w:val="center"/>
        </w:trPr>
        <w:tc>
          <w:tcPr>
            <w:tcW w:w="844" w:type="dxa"/>
            <w:shd w:val="clear" w:color="auto" w:fill="auto"/>
          </w:tcPr>
          <w:p w14:paraId="7C828F63" w14:textId="77777777" w:rsidR="00B02E0F" w:rsidRPr="00C24F00" w:rsidRDefault="00B02E0F" w:rsidP="00B02E0F">
            <w:pPr>
              <w:pStyle w:val="Tabletext0"/>
            </w:pPr>
            <w:r w:rsidRPr="00C24F00">
              <w:t>4</w:t>
            </w:r>
          </w:p>
        </w:tc>
        <w:tc>
          <w:tcPr>
            <w:tcW w:w="3834" w:type="dxa"/>
            <w:shd w:val="clear" w:color="auto" w:fill="auto"/>
          </w:tcPr>
          <w:p w14:paraId="37C3C605" w14:textId="77777777" w:rsidR="00B02E0F" w:rsidRPr="00C24F00" w:rsidRDefault="00B02E0F" w:rsidP="00B02E0F">
            <w:pPr>
              <w:pStyle w:val="Tabletext0"/>
            </w:pPr>
            <w:r w:rsidRPr="00C24F00">
              <w:t>to refuse to approve the crediting of an amount to a health benefits fund of a private health insurer</w:t>
            </w:r>
          </w:p>
        </w:tc>
        <w:tc>
          <w:tcPr>
            <w:tcW w:w="2411" w:type="dxa"/>
            <w:shd w:val="clear" w:color="auto" w:fill="auto"/>
          </w:tcPr>
          <w:p w14:paraId="6C908DCC" w14:textId="77777777" w:rsidR="00B02E0F" w:rsidRPr="00C24F00" w:rsidRDefault="00B02E0F" w:rsidP="00B02E0F">
            <w:pPr>
              <w:pStyle w:val="Tabletext0"/>
            </w:pPr>
            <w:r w:rsidRPr="00C24F00">
              <w:t>subparagraph 27(3)(b)(ii)</w:t>
            </w:r>
          </w:p>
        </w:tc>
      </w:tr>
      <w:tr w:rsidR="00B02E0F" w:rsidRPr="00C24F00" w14:paraId="11739604" w14:textId="77777777" w:rsidTr="001A57F7">
        <w:trPr>
          <w:jc w:val="center"/>
        </w:trPr>
        <w:tc>
          <w:tcPr>
            <w:tcW w:w="844" w:type="dxa"/>
            <w:shd w:val="clear" w:color="auto" w:fill="auto"/>
          </w:tcPr>
          <w:p w14:paraId="185C02D1" w14:textId="77777777" w:rsidR="00B02E0F" w:rsidRPr="00C24F00" w:rsidRDefault="00B02E0F" w:rsidP="00B02E0F">
            <w:pPr>
              <w:pStyle w:val="Tabletext0"/>
            </w:pPr>
            <w:r w:rsidRPr="00C24F00">
              <w:t>5</w:t>
            </w:r>
          </w:p>
        </w:tc>
        <w:tc>
          <w:tcPr>
            <w:tcW w:w="3834" w:type="dxa"/>
            <w:shd w:val="clear" w:color="auto" w:fill="auto"/>
          </w:tcPr>
          <w:p w14:paraId="1CE4D283" w14:textId="77777777" w:rsidR="00B02E0F" w:rsidRPr="00C24F00" w:rsidRDefault="00B02E0F" w:rsidP="00B02E0F">
            <w:pPr>
              <w:pStyle w:val="Tabletext0"/>
            </w:pPr>
            <w:r w:rsidRPr="00C24F00">
              <w:t>to refuse to approve a restructure of the health benefits funds of a private health insurer</w:t>
            </w:r>
          </w:p>
        </w:tc>
        <w:tc>
          <w:tcPr>
            <w:tcW w:w="2411" w:type="dxa"/>
            <w:shd w:val="clear" w:color="auto" w:fill="auto"/>
          </w:tcPr>
          <w:p w14:paraId="116CAE9E" w14:textId="77777777" w:rsidR="00B02E0F" w:rsidRPr="00C24F00" w:rsidRDefault="00B02E0F" w:rsidP="00B02E0F">
            <w:pPr>
              <w:pStyle w:val="Tabletext0"/>
            </w:pPr>
            <w:r w:rsidRPr="00C24F00">
              <w:t>section 3</w:t>
            </w:r>
            <w:r w:rsidR="00182A67">
              <w:t>2</w:t>
            </w:r>
          </w:p>
        </w:tc>
      </w:tr>
      <w:tr w:rsidR="00B02E0F" w:rsidRPr="00C24F00" w14:paraId="612CEEDD" w14:textId="77777777" w:rsidTr="001A57F7">
        <w:trPr>
          <w:jc w:val="center"/>
        </w:trPr>
        <w:tc>
          <w:tcPr>
            <w:tcW w:w="844" w:type="dxa"/>
            <w:shd w:val="clear" w:color="auto" w:fill="auto"/>
          </w:tcPr>
          <w:p w14:paraId="1A4ED289" w14:textId="77777777" w:rsidR="00B02E0F" w:rsidRPr="00C24F00" w:rsidRDefault="00B02E0F" w:rsidP="00B02E0F">
            <w:pPr>
              <w:pStyle w:val="Tabletext0"/>
            </w:pPr>
            <w:r w:rsidRPr="00C24F00">
              <w:t>6</w:t>
            </w:r>
          </w:p>
        </w:tc>
        <w:tc>
          <w:tcPr>
            <w:tcW w:w="3834" w:type="dxa"/>
            <w:shd w:val="clear" w:color="auto" w:fill="auto"/>
          </w:tcPr>
          <w:p w14:paraId="5CEFA101" w14:textId="77777777" w:rsidR="00B02E0F" w:rsidRPr="00C24F00" w:rsidRDefault="00B02E0F" w:rsidP="00B02E0F">
            <w:pPr>
              <w:pStyle w:val="Tabletext0"/>
            </w:pPr>
            <w:r w:rsidRPr="00C24F00">
              <w:t>to refuse to approve a transfer of the health benefits funds of one or more private health insurers</w:t>
            </w:r>
          </w:p>
        </w:tc>
        <w:tc>
          <w:tcPr>
            <w:tcW w:w="2411" w:type="dxa"/>
            <w:shd w:val="clear" w:color="auto" w:fill="auto"/>
          </w:tcPr>
          <w:p w14:paraId="700093A4" w14:textId="77777777" w:rsidR="00B02E0F" w:rsidRPr="00C24F00" w:rsidRDefault="00B02E0F" w:rsidP="00B02E0F">
            <w:pPr>
              <w:pStyle w:val="Tabletext0"/>
            </w:pPr>
            <w:r w:rsidRPr="00C24F00">
              <w:t xml:space="preserve">section </w:t>
            </w:r>
            <w:r w:rsidR="00182A67">
              <w:t>33</w:t>
            </w:r>
          </w:p>
        </w:tc>
      </w:tr>
      <w:tr w:rsidR="00B02E0F" w:rsidRPr="00C24F00" w14:paraId="6E0DC04E" w14:textId="77777777" w:rsidTr="001A57F7">
        <w:trPr>
          <w:jc w:val="center"/>
        </w:trPr>
        <w:tc>
          <w:tcPr>
            <w:tcW w:w="844" w:type="dxa"/>
            <w:shd w:val="clear" w:color="auto" w:fill="auto"/>
          </w:tcPr>
          <w:p w14:paraId="13D490E5" w14:textId="77777777" w:rsidR="00B02E0F" w:rsidRPr="00C24F00" w:rsidRDefault="00B02E0F" w:rsidP="00B02E0F">
            <w:pPr>
              <w:pStyle w:val="Tabletext0"/>
            </w:pPr>
            <w:r w:rsidRPr="00C24F00">
              <w:t>7</w:t>
            </w:r>
          </w:p>
        </w:tc>
        <w:tc>
          <w:tcPr>
            <w:tcW w:w="3834" w:type="dxa"/>
            <w:shd w:val="clear" w:color="auto" w:fill="auto"/>
          </w:tcPr>
          <w:p w14:paraId="5CC7574A" w14:textId="77777777" w:rsidR="00B02E0F" w:rsidRPr="00C24F00" w:rsidRDefault="00B02E0F" w:rsidP="00B02E0F">
            <w:pPr>
              <w:pStyle w:val="Tabletext0"/>
            </w:pPr>
            <w:r w:rsidRPr="00C24F00">
              <w:t>to refuse to approve a termination of the health benefits funds of a private health insurer</w:t>
            </w:r>
          </w:p>
        </w:tc>
        <w:tc>
          <w:tcPr>
            <w:tcW w:w="2411" w:type="dxa"/>
            <w:shd w:val="clear" w:color="auto" w:fill="auto"/>
          </w:tcPr>
          <w:p w14:paraId="666C9144" w14:textId="77777777" w:rsidR="00B02E0F" w:rsidRPr="00C24F00" w:rsidRDefault="00B02E0F" w:rsidP="00B02E0F">
            <w:pPr>
              <w:pStyle w:val="Tabletext0"/>
            </w:pPr>
            <w:r w:rsidRPr="00C24F00">
              <w:t>section 3</w:t>
            </w:r>
            <w:r w:rsidR="00182A67">
              <w:t>7</w:t>
            </w:r>
          </w:p>
        </w:tc>
      </w:tr>
      <w:tr w:rsidR="00B02E0F" w:rsidRPr="00C24F00" w14:paraId="3308EC64" w14:textId="77777777" w:rsidTr="001A57F7">
        <w:trPr>
          <w:jc w:val="center"/>
        </w:trPr>
        <w:tc>
          <w:tcPr>
            <w:tcW w:w="844" w:type="dxa"/>
            <w:shd w:val="clear" w:color="auto" w:fill="auto"/>
          </w:tcPr>
          <w:p w14:paraId="2097720A" w14:textId="77777777" w:rsidR="00B02E0F" w:rsidRPr="00C24F00" w:rsidRDefault="00B02E0F" w:rsidP="00B02E0F">
            <w:pPr>
              <w:pStyle w:val="Tabletext0"/>
            </w:pPr>
            <w:r w:rsidRPr="00C24F00">
              <w:t>8</w:t>
            </w:r>
          </w:p>
        </w:tc>
        <w:tc>
          <w:tcPr>
            <w:tcW w:w="3834" w:type="dxa"/>
            <w:shd w:val="clear" w:color="auto" w:fill="auto"/>
          </w:tcPr>
          <w:p w14:paraId="6CFEAD4A" w14:textId="77777777" w:rsidR="00B02E0F" w:rsidRPr="00C24F00" w:rsidRDefault="00182A67" w:rsidP="00B02E0F">
            <w:pPr>
              <w:pStyle w:val="Tabletext0"/>
            </w:pPr>
            <w:r w:rsidRPr="00612C49">
              <w:t>to make, vary or revoke a prudential standard referred to in paragraph</w:t>
            </w:r>
            <w:r w:rsidR="00516940" w:rsidRPr="00E03565">
              <w:t xml:space="preserve"> 92</w:t>
            </w:r>
            <w:r w:rsidRPr="00612C49">
              <w:t>(3)(c)</w:t>
            </w:r>
          </w:p>
        </w:tc>
        <w:tc>
          <w:tcPr>
            <w:tcW w:w="2411" w:type="dxa"/>
            <w:shd w:val="clear" w:color="auto" w:fill="auto"/>
          </w:tcPr>
          <w:p w14:paraId="014AF0EA" w14:textId="77777777" w:rsidR="00B02E0F" w:rsidRPr="00C24F00" w:rsidRDefault="00B02E0F" w:rsidP="00B02E0F">
            <w:pPr>
              <w:pStyle w:val="Tabletext0"/>
            </w:pPr>
            <w:r w:rsidRPr="00C24F00">
              <w:t xml:space="preserve">section </w:t>
            </w:r>
            <w:bookmarkStart w:id="243" w:name="BK_S3P185L19C10"/>
            <w:bookmarkEnd w:id="243"/>
            <w:r w:rsidR="00516940" w:rsidRPr="00E03565">
              <w:t>92</w:t>
            </w:r>
          </w:p>
        </w:tc>
      </w:tr>
      <w:tr w:rsidR="00B02E0F" w:rsidRPr="00C24F00" w14:paraId="25E3BE1B" w14:textId="77777777" w:rsidTr="001A57F7">
        <w:trPr>
          <w:jc w:val="center"/>
        </w:trPr>
        <w:tc>
          <w:tcPr>
            <w:tcW w:w="844" w:type="dxa"/>
            <w:shd w:val="clear" w:color="auto" w:fill="auto"/>
          </w:tcPr>
          <w:p w14:paraId="786198AF" w14:textId="77777777" w:rsidR="00B02E0F" w:rsidRPr="00C24F00" w:rsidRDefault="00B02E0F" w:rsidP="00B02E0F">
            <w:pPr>
              <w:pStyle w:val="Tabletext0"/>
            </w:pPr>
            <w:r w:rsidRPr="00C24F00">
              <w:t>9</w:t>
            </w:r>
          </w:p>
        </w:tc>
        <w:tc>
          <w:tcPr>
            <w:tcW w:w="3834" w:type="dxa"/>
            <w:shd w:val="clear" w:color="auto" w:fill="auto"/>
          </w:tcPr>
          <w:p w14:paraId="532B6D8B" w14:textId="77777777" w:rsidR="00B02E0F" w:rsidRPr="00C24F00" w:rsidRDefault="00B02E0F" w:rsidP="00B02E0F">
            <w:pPr>
              <w:pStyle w:val="Tabletext0"/>
            </w:pPr>
            <w:r w:rsidRPr="00C24F00">
              <w:t xml:space="preserve">to give a direction under section </w:t>
            </w:r>
            <w:r w:rsidR="00516940" w:rsidRPr="00E03565">
              <w:t>96</w:t>
            </w:r>
            <w:r w:rsidRPr="00C24F00">
              <w:t xml:space="preserve"> on </w:t>
            </w:r>
            <w:r w:rsidR="00516940" w:rsidRPr="00E03565">
              <w:t>a</w:t>
            </w:r>
            <w:r w:rsidRPr="00C24F00">
              <w:t xml:space="preserve"> ground specified in paragraph</w:t>
            </w:r>
            <w:r w:rsidR="0044499E">
              <w:t>s</w:t>
            </w:r>
            <w:r w:rsidRPr="00C24F00">
              <w:t xml:space="preserve"> </w:t>
            </w:r>
            <w:r w:rsidR="00516940" w:rsidRPr="00E03565">
              <w:t>96</w:t>
            </w:r>
            <w:r w:rsidRPr="00C24F00">
              <w:t>(1)(a), (b) or (c)</w:t>
            </w:r>
          </w:p>
        </w:tc>
        <w:tc>
          <w:tcPr>
            <w:tcW w:w="2411" w:type="dxa"/>
            <w:shd w:val="clear" w:color="auto" w:fill="auto"/>
          </w:tcPr>
          <w:p w14:paraId="44164862" w14:textId="77777777" w:rsidR="00B02E0F" w:rsidRPr="00C24F00" w:rsidRDefault="00B02E0F" w:rsidP="00B02E0F">
            <w:pPr>
              <w:pStyle w:val="Tabletext0"/>
            </w:pPr>
            <w:r w:rsidRPr="00C24F00">
              <w:t xml:space="preserve">section </w:t>
            </w:r>
            <w:bookmarkStart w:id="244" w:name="BK_S3P185L21C10"/>
            <w:bookmarkEnd w:id="244"/>
            <w:r w:rsidR="00516940" w:rsidRPr="00E03565">
              <w:t>96</w:t>
            </w:r>
          </w:p>
        </w:tc>
      </w:tr>
      <w:tr w:rsidR="00B02E0F" w:rsidRPr="00C24F00" w14:paraId="0A6AD051" w14:textId="77777777" w:rsidTr="001A57F7">
        <w:trPr>
          <w:jc w:val="center"/>
        </w:trPr>
        <w:tc>
          <w:tcPr>
            <w:tcW w:w="844" w:type="dxa"/>
            <w:shd w:val="clear" w:color="auto" w:fill="auto"/>
          </w:tcPr>
          <w:p w14:paraId="2D00D7DE" w14:textId="77777777" w:rsidR="00B02E0F" w:rsidRPr="00C24F00" w:rsidRDefault="00B02E0F" w:rsidP="00B02E0F">
            <w:pPr>
              <w:pStyle w:val="Tabletext0"/>
            </w:pPr>
            <w:r w:rsidRPr="00C24F00">
              <w:t>10</w:t>
            </w:r>
          </w:p>
        </w:tc>
        <w:tc>
          <w:tcPr>
            <w:tcW w:w="3834" w:type="dxa"/>
            <w:shd w:val="clear" w:color="auto" w:fill="auto"/>
          </w:tcPr>
          <w:p w14:paraId="1466331F" w14:textId="77777777" w:rsidR="00B02E0F" w:rsidRPr="00C24F00" w:rsidRDefault="00516940" w:rsidP="00B02E0F">
            <w:pPr>
              <w:pStyle w:val="Tabletext0"/>
            </w:pPr>
            <w:r w:rsidRPr="00E03565">
              <w:t xml:space="preserve">to vary, or </w:t>
            </w:r>
            <w:r w:rsidR="00B02E0F" w:rsidRPr="00C24F00">
              <w:t>to refuse to vary or revoke</w:t>
            </w:r>
            <w:r w:rsidRPr="00E03565">
              <w:t>,</w:t>
            </w:r>
            <w:r w:rsidR="00B02E0F" w:rsidRPr="00C24F00">
              <w:t xml:space="preserve"> a direction that was given under section </w:t>
            </w:r>
            <w:r w:rsidRPr="00E03565">
              <w:t>96</w:t>
            </w:r>
            <w:r w:rsidR="00B02E0F" w:rsidRPr="00C24F00">
              <w:t xml:space="preserve"> on </w:t>
            </w:r>
            <w:r w:rsidRPr="00E03565">
              <w:t>a</w:t>
            </w:r>
            <w:r w:rsidR="00B02E0F" w:rsidRPr="00C24F00">
              <w:t xml:space="preserve"> ground specified in paragraph</w:t>
            </w:r>
            <w:r w:rsidR="0044499E">
              <w:t>s</w:t>
            </w:r>
            <w:r w:rsidR="00B02E0F" w:rsidRPr="00C24F00">
              <w:t xml:space="preserve"> </w:t>
            </w:r>
            <w:r w:rsidRPr="00E03565">
              <w:t>96</w:t>
            </w:r>
            <w:r w:rsidR="00B02E0F" w:rsidRPr="00C24F00">
              <w:t>(1)(a), (b) or (c)</w:t>
            </w:r>
          </w:p>
        </w:tc>
        <w:tc>
          <w:tcPr>
            <w:tcW w:w="2411" w:type="dxa"/>
            <w:shd w:val="clear" w:color="auto" w:fill="auto"/>
          </w:tcPr>
          <w:p w14:paraId="2FC3ED13" w14:textId="77777777" w:rsidR="00B02E0F" w:rsidRPr="00C24F00" w:rsidRDefault="00B02E0F" w:rsidP="00B02E0F">
            <w:pPr>
              <w:pStyle w:val="Tabletext0"/>
            </w:pPr>
            <w:r w:rsidRPr="00C24F00">
              <w:t xml:space="preserve">section </w:t>
            </w:r>
            <w:bookmarkStart w:id="245" w:name="BK_S3P185L24C10"/>
            <w:bookmarkEnd w:id="245"/>
            <w:r w:rsidR="00516940" w:rsidRPr="00E03565">
              <w:t>99</w:t>
            </w:r>
          </w:p>
        </w:tc>
      </w:tr>
      <w:tr w:rsidR="00B02E0F" w:rsidRPr="00C24F00" w14:paraId="54916853" w14:textId="77777777" w:rsidTr="001A57F7">
        <w:trPr>
          <w:jc w:val="center"/>
        </w:trPr>
        <w:tc>
          <w:tcPr>
            <w:tcW w:w="844" w:type="dxa"/>
            <w:shd w:val="clear" w:color="auto" w:fill="auto"/>
          </w:tcPr>
          <w:p w14:paraId="3EC661CF" w14:textId="77777777" w:rsidR="00B02E0F" w:rsidRPr="00C24F00" w:rsidRDefault="00B02E0F" w:rsidP="00B02E0F">
            <w:pPr>
              <w:pStyle w:val="Tabletext0"/>
            </w:pPr>
            <w:r w:rsidRPr="00C24F00">
              <w:t>11</w:t>
            </w:r>
          </w:p>
        </w:tc>
        <w:tc>
          <w:tcPr>
            <w:tcW w:w="3834" w:type="dxa"/>
            <w:shd w:val="clear" w:color="auto" w:fill="auto"/>
          </w:tcPr>
          <w:p w14:paraId="5BA30662" w14:textId="77777777" w:rsidR="00B02E0F" w:rsidRPr="00C24F00" w:rsidRDefault="00B02E0F" w:rsidP="001A57F7">
            <w:pPr>
              <w:pStyle w:val="Tabletext0"/>
            </w:pPr>
            <w:r w:rsidRPr="00C24F00">
              <w:t>to give a direction to end the appointment o</w:t>
            </w:r>
            <w:r>
              <w:t>f a person as appointed actuary</w:t>
            </w:r>
          </w:p>
        </w:tc>
        <w:tc>
          <w:tcPr>
            <w:tcW w:w="2411" w:type="dxa"/>
            <w:shd w:val="clear" w:color="auto" w:fill="auto"/>
          </w:tcPr>
          <w:p w14:paraId="1838C2AF" w14:textId="77777777" w:rsidR="00B02E0F" w:rsidRPr="00C24F00" w:rsidRDefault="00B02E0F" w:rsidP="00B02E0F">
            <w:pPr>
              <w:pStyle w:val="Tabletext0"/>
            </w:pPr>
            <w:r w:rsidRPr="00C24F00">
              <w:t xml:space="preserve">section </w:t>
            </w:r>
            <w:r w:rsidR="00182A67" w:rsidRPr="00C24F00">
              <w:t>11</w:t>
            </w:r>
            <w:r w:rsidR="00A90476">
              <w:t>5</w:t>
            </w:r>
          </w:p>
        </w:tc>
      </w:tr>
    </w:tbl>
    <w:p w14:paraId="695C0D32" w14:textId="77777777" w:rsidR="00D438D6" w:rsidRDefault="00D438D6" w:rsidP="00D75113">
      <w:pPr>
        <w:pStyle w:val="base-text-paragraph"/>
        <w:keepNext/>
        <w:keepLines/>
        <w:tabs>
          <w:tab w:val="clear" w:pos="1985"/>
          <w:tab w:val="num" w:pos="1986"/>
        </w:tabs>
      </w:pPr>
      <w:r>
        <w:t xml:space="preserve">The </w:t>
      </w:r>
      <w:r w:rsidR="009C0222" w:rsidRPr="009C0222">
        <w:t>Prudential Supervision Bill</w:t>
      </w:r>
      <w:r>
        <w:t xml:space="preserve"> </w:t>
      </w:r>
      <w:r w:rsidR="005C7324">
        <w:t>establishes an internal</w:t>
      </w:r>
      <w:r>
        <w:t xml:space="preserve"> review </w:t>
      </w:r>
      <w:r w:rsidR="005C7324">
        <w:t xml:space="preserve">process, and allows a person </w:t>
      </w:r>
      <w:r>
        <w:t xml:space="preserve">affected by one of the reviewable decisions </w:t>
      </w:r>
      <w:r w:rsidR="005C7324">
        <w:t>in the table above</w:t>
      </w:r>
      <w:r>
        <w:t xml:space="preserve"> to request APRA </w:t>
      </w:r>
      <w:r w:rsidR="00927F14">
        <w:t xml:space="preserve">to </w:t>
      </w:r>
      <w:r>
        <w:t>reconsider the decision</w:t>
      </w:r>
      <w:r w:rsidR="00C15FB9">
        <w:t xml:space="preserve"> (</w:t>
      </w:r>
      <w:r w:rsidR="00C15FB9" w:rsidRPr="00C15FB9">
        <w:t>within 21</w:t>
      </w:r>
      <w:r w:rsidR="00001B9D">
        <w:t> </w:t>
      </w:r>
      <w:r w:rsidR="00C15FB9" w:rsidRPr="00C15FB9">
        <w:t>days of receiving notice of the original decision or such further time as APRA allows</w:t>
      </w:r>
      <w:r w:rsidR="00C15FB9">
        <w:t>)</w:t>
      </w:r>
      <w:r>
        <w:t xml:space="preserve">. </w:t>
      </w:r>
      <w:r w:rsidR="009444D9">
        <w:t xml:space="preserve">This gives insurers an additional opportunity for challenging APRA’s decisions. </w:t>
      </w:r>
      <w:r w:rsidRPr="00AD3273">
        <w:rPr>
          <w:rStyle w:val="Referencingstyle"/>
        </w:rPr>
        <w:t>[Part 9, subsection</w:t>
      </w:r>
      <w:r w:rsidR="00927F14">
        <w:rPr>
          <w:rStyle w:val="Referencingstyle"/>
        </w:rPr>
        <w:t> </w:t>
      </w:r>
      <w:r w:rsidRPr="00AD3273">
        <w:rPr>
          <w:rStyle w:val="Referencingstyle"/>
        </w:rPr>
        <w:t>16</w:t>
      </w:r>
      <w:r w:rsidR="005C7324">
        <w:rPr>
          <w:rStyle w:val="Referencingstyle"/>
        </w:rPr>
        <w:t>8</w:t>
      </w:r>
      <w:r w:rsidRPr="00AD3273">
        <w:rPr>
          <w:rStyle w:val="Referencingstyle"/>
        </w:rPr>
        <w:t>(2)]</w:t>
      </w:r>
      <w:r w:rsidRPr="002C010A">
        <w:t xml:space="preserve">  </w:t>
      </w:r>
    </w:p>
    <w:p w14:paraId="0B73173A" w14:textId="77777777" w:rsidR="00D438D6" w:rsidRPr="00D438D6" w:rsidRDefault="00D438D6" w:rsidP="000F194A">
      <w:pPr>
        <w:pStyle w:val="base-text-paragraph"/>
      </w:pPr>
      <w:r>
        <w:t xml:space="preserve">Persons whose decisions that are confirmed or varied by APRA may then make applications to the AAT to review those decisions. </w:t>
      </w:r>
      <w:r w:rsidRPr="001B5D69">
        <w:rPr>
          <w:rStyle w:val="Referencingstyle"/>
        </w:rPr>
        <w:t>[Part 9, subsection 16</w:t>
      </w:r>
      <w:r w:rsidR="005C7324">
        <w:rPr>
          <w:rStyle w:val="Referencingstyle"/>
        </w:rPr>
        <w:t>8</w:t>
      </w:r>
      <w:r w:rsidRPr="001B5D69">
        <w:rPr>
          <w:rStyle w:val="Referencingstyle"/>
        </w:rPr>
        <w:t>(7)]</w:t>
      </w:r>
      <w:r w:rsidRPr="00D438D6">
        <w:t xml:space="preserve">  </w:t>
      </w:r>
    </w:p>
    <w:p w14:paraId="594EBA4D" w14:textId="77777777" w:rsidR="00D438D6" w:rsidRDefault="00D438D6" w:rsidP="000F194A">
      <w:pPr>
        <w:pStyle w:val="base-text-paragraph"/>
      </w:pPr>
      <w:r>
        <w:t xml:space="preserve">An application made to the AAT will be subject to section 41 of the </w:t>
      </w:r>
      <w:r w:rsidRPr="00B77B84">
        <w:rPr>
          <w:i/>
        </w:rPr>
        <w:t xml:space="preserve">Administrative Appeals Tribunal Act 1975 </w:t>
      </w:r>
      <w:r>
        <w:t xml:space="preserve">and its provisions on the operation and implementation of decisions that are subject to review. </w:t>
      </w:r>
      <w:r w:rsidRPr="001B5D69">
        <w:rPr>
          <w:rStyle w:val="Referencingstyle"/>
        </w:rPr>
        <w:t>[P</w:t>
      </w:r>
      <w:r w:rsidRPr="00D438D6">
        <w:rPr>
          <w:rStyle w:val="Referencingstyle"/>
        </w:rPr>
        <w:t>art</w:t>
      </w:r>
      <w:r w:rsidR="001662CA">
        <w:rPr>
          <w:rStyle w:val="Referencingstyle"/>
        </w:rPr>
        <w:t> </w:t>
      </w:r>
      <w:r w:rsidRPr="00D438D6">
        <w:rPr>
          <w:rStyle w:val="Referencingstyle"/>
        </w:rPr>
        <w:t>9,</w:t>
      </w:r>
      <w:r w:rsidR="009C0222">
        <w:rPr>
          <w:rStyle w:val="Referencingstyle"/>
        </w:rPr>
        <w:t xml:space="preserve"> </w:t>
      </w:r>
      <w:r w:rsidR="00927F14">
        <w:rPr>
          <w:rStyle w:val="Referencingstyle"/>
        </w:rPr>
        <w:t>Division 1,</w:t>
      </w:r>
      <w:r w:rsidRPr="00D438D6">
        <w:rPr>
          <w:rStyle w:val="Referencingstyle"/>
        </w:rPr>
        <w:t xml:space="preserve"> subsection</w:t>
      </w:r>
      <w:r w:rsidR="00927F14">
        <w:rPr>
          <w:rStyle w:val="Referencingstyle"/>
        </w:rPr>
        <w:t>s</w:t>
      </w:r>
      <w:r w:rsidRPr="00D438D6">
        <w:rPr>
          <w:rStyle w:val="Referencingstyle"/>
        </w:rPr>
        <w:t xml:space="preserve"> 16</w:t>
      </w:r>
      <w:r w:rsidR="005C7324">
        <w:rPr>
          <w:rStyle w:val="Referencingstyle"/>
        </w:rPr>
        <w:t>8</w:t>
      </w:r>
      <w:r w:rsidRPr="00D438D6">
        <w:rPr>
          <w:rStyle w:val="Referencingstyle"/>
        </w:rPr>
        <w:t>(8) and (9)]</w:t>
      </w:r>
      <w:r w:rsidRPr="002C010A">
        <w:t xml:space="preserve">  </w:t>
      </w:r>
    </w:p>
    <w:p w14:paraId="3C4DF896" w14:textId="77777777" w:rsidR="00D438D6" w:rsidRDefault="00D438D6" w:rsidP="00D438D6">
      <w:pPr>
        <w:pStyle w:val="Heading4"/>
      </w:pPr>
      <w:r>
        <w:t>Statements to accompany notification of decisions</w:t>
      </w:r>
    </w:p>
    <w:p w14:paraId="16465974" w14:textId="77777777" w:rsidR="00D438D6" w:rsidRDefault="009444D9" w:rsidP="00E67240">
      <w:pPr>
        <w:pStyle w:val="base-text-paragraph"/>
        <w:tabs>
          <w:tab w:val="clear" w:pos="1985"/>
          <w:tab w:val="num" w:pos="1986"/>
        </w:tabs>
      </w:pPr>
      <w:r>
        <w:t>When</w:t>
      </w:r>
      <w:r w:rsidR="00D438D6">
        <w:t xml:space="preserve"> a reviewable decision is made and notice of the decision </w:t>
      </w:r>
      <w:r w:rsidR="00927F14">
        <w:t xml:space="preserve">is </w:t>
      </w:r>
      <w:r w:rsidR="00D438D6">
        <w:t>in writing</w:t>
      </w:r>
      <w:r>
        <w:t>, APRA must inform</w:t>
      </w:r>
      <w:r w:rsidR="00D438D6">
        <w:t xml:space="preserve"> the affected </w:t>
      </w:r>
      <w:r>
        <w:t>party that they can have</w:t>
      </w:r>
      <w:r w:rsidR="00D438D6">
        <w:t xml:space="preserve"> the decision</w:t>
      </w:r>
      <w:r>
        <w:t xml:space="preserve"> reconsidered</w:t>
      </w:r>
      <w:r w:rsidR="00D438D6">
        <w:t xml:space="preserve"> in accordance with subsection 167(</w:t>
      </w:r>
      <w:r>
        <w:t>8</w:t>
      </w:r>
      <w:r w:rsidR="00D438D6">
        <w:t xml:space="preserve">) of the </w:t>
      </w:r>
      <w:r w:rsidR="00E67240" w:rsidRPr="00E67240">
        <w:t>Prudential Supervision Bill</w:t>
      </w:r>
      <w:r w:rsidR="00D438D6">
        <w:t xml:space="preserve"> and that</w:t>
      </w:r>
      <w:r w:rsidR="00927F14">
        <w:t>,</w:t>
      </w:r>
      <w:r w:rsidR="00D438D6">
        <w:t xml:space="preserve"> if dissatisfied with t</w:t>
      </w:r>
      <w:r>
        <w:t xml:space="preserve">he reconsideration </w:t>
      </w:r>
      <w:r w:rsidR="00D438D6">
        <w:t>decision</w:t>
      </w:r>
      <w:r w:rsidR="00927F14">
        <w:t>,</w:t>
      </w:r>
      <w:r w:rsidR="00D438D6">
        <w:t xml:space="preserve"> they may then apply to the AAT for review of that decision.  </w:t>
      </w:r>
      <w:r w:rsidR="00D438D6" w:rsidRPr="009258D8">
        <w:rPr>
          <w:rStyle w:val="Referencingstyle"/>
        </w:rPr>
        <w:t>[Part 9, subsection 16</w:t>
      </w:r>
      <w:r w:rsidR="005C7324">
        <w:rPr>
          <w:rStyle w:val="Referencingstyle"/>
        </w:rPr>
        <w:t>9</w:t>
      </w:r>
      <w:r w:rsidR="00D438D6" w:rsidRPr="006F4225">
        <w:rPr>
          <w:rStyle w:val="Referencingstyle"/>
        </w:rPr>
        <w:t>(1)]</w:t>
      </w:r>
      <w:r w:rsidR="00D438D6" w:rsidRPr="002C010A">
        <w:t xml:space="preserve">  </w:t>
      </w:r>
    </w:p>
    <w:p w14:paraId="23E26B25" w14:textId="77777777" w:rsidR="00D438D6" w:rsidRPr="00E67240" w:rsidRDefault="00D438D6" w:rsidP="00E67240">
      <w:pPr>
        <w:pStyle w:val="base-text-paragraph"/>
        <w:tabs>
          <w:tab w:val="clear" w:pos="1985"/>
          <w:tab w:val="num" w:pos="1986"/>
        </w:tabs>
        <w:rPr>
          <w:rStyle w:val="Referencingstyle"/>
          <w:b w:val="0"/>
          <w:i w:val="0"/>
          <w:sz w:val="22"/>
        </w:rPr>
      </w:pPr>
      <w:r>
        <w:t>If APRA confirm or varies a decision under subsection 16</w:t>
      </w:r>
      <w:r w:rsidR="009444D9">
        <w:t>8</w:t>
      </w:r>
      <w:r>
        <w:t>(4) and gives a person notice in writing of that decision, the notice must include a statement that a person whose interests are affected by the decision may apply to the AAT for review of the decision.  However, a failure to provide a statement under subsection 16</w:t>
      </w:r>
      <w:r w:rsidR="009444D9">
        <w:t>9</w:t>
      </w:r>
      <w:r>
        <w:t xml:space="preserve">(1) or (2) of the </w:t>
      </w:r>
      <w:r w:rsidR="00E67240" w:rsidRPr="00E67240">
        <w:t>Prudential Supervision Bill</w:t>
      </w:r>
      <w:r>
        <w:t xml:space="preserve"> will not affect the validity of the decision.</w:t>
      </w:r>
      <w:r w:rsidRPr="00B77B84">
        <w:rPr>
          <w:rStyle w:val="Referencingstyle"/>
        </w:rPr>
        <w:t xml:space="preserve">  </w:t>
      </w:r>
      <w:r w:rsidRPr="006F4225">
        <w:rPr>
          <w:rStyle w:val="Referencingstyle"/>
        </w:rPr>
        <w:t>[Part 9, subsection 16</w:t>
      </w:r>
      <w:r w:rsidR="005C7324">
        <w:rPr>
          <w:rStyle w:val="Referencingstyle"/>
        </w:rPr>
        <w:t>9</w:t>
      </w:r>
      <w:r w:rsidR="00927F14">
        <w:rPr>
          <w:rStyle w:val="Referencingstyle"/>
        </w:rPr>
        <w:t>(2</w:t>
      </w:r>
      <w:r>
        <w:rPr>
          <w:rStyle w:val="Referencingstyle"/>
        </w:rPr>
        <w:t>)</w:t>
      </w:r>
      <w:r w:rsidRPr="006F4225">
        <w:rPr>
          <w:rStyle w:val="Referencingstyle"/>
        </w:rPr>
        <w:t xml:space="preserve"> and (3)]</w:t>
      </w:r>
      <w:r w:rsidRPr="00B77B84">
        <w:rPr>
          <w:rStyle w:val="Referencingstyle"/>
        </w:rPr>
        <w:t xml:space="preserve"> </w:t>
      </w:r>
      <w:r w:rsidRPr="00E67240">
        <w:rPr>
          <w:rStyle w:val="Referencingstyle"/>
          <w:b w:val="0"/>
          <w:i w:val="0"/>
          <w:sz w:val="22"/>
        </w:rPr>
        <w:t xml:space="preserve"> </w:t>
      </w:r>
    </w:p>
    <w:p w14:paraId="4035202A" w14:textId="77777777" w:rsidR="007A3552" w:rsidRDefault="007A3552" w:rsidP="007A3552">
      <w:pPr>
        <w:pStyle w:val="Heading4"/>
      </w:pPr>
      <w:r>
        <w:t>Approvals, determinations etc. by APRA</w:t>
      </w:r>
    </w:p>
    <w:p w14:paraId="511FCE2A" w14:textId="77777777" w:rsidR="007A3552" w:rsidRPr="00E67240" w:rsidRDefault="007A3552" w:rsidP="00E67240">
      <w:pPr>
        <w:pStyle w:val="base-text-paragraph"/>
        <w:tabs>
          <w:tab w:val="clear" w:pos="1985"/>
          <w:tab w:val="num" w:pos="1986"/>
        </w:tabs>
        <w:rPr>
          <w:rStyle w:val="Referencingstyle"/>
          <w:b w:val="0"/>
          <w:i w:val="0"/>
          <w:sz w:val="22"/>
        </w:rPr>
      </w:pPr>
      <w:r>
        <w:t>APRA is authorised to give approval, make a determination or do an act under a provision of th</w:t>
      </w:r>
      <w:r w:rsidR="00E67240">
        <w:t>e</w:t>
      </w:r>
      <w:r w:rsidR="00E67240" w:rsidRPr="00E67240">
        <w:rPr>
          <w:lang w:val="en-US" w:eastAsia="en-US"/>
        </w:rPr>
        <w:t xml:space="preserve"> Prudential Supervision Bill</w:t>
      </w:r>
      <w:r>
        <w:t xml:space="preserve">, if the </w:t>
      </w:r>
      <w:r w:rsidR="00E67240" w:rsidRPr="00E67240">
        <w:t>Prudential Supervision Bill</w:t>
      </w:r>
      <w:r>
        <w:t xml:space="preserve"> refers to such actions but does not expressly authorise APRA to take those actions.  </w:t>
      </w:r>
      <w:r>
        <w:rPr>
          <w:rStyle w:val="Referencingstyle"/>
        </w:rPr>
        <w:t xml:space="preserve">[Part </w:t>
      </w:r>
      <w:r w:rsidR="00B52D01">
        <w:rPr>
          <w:rStyle w:val="Referencingstyle"/>
        </w:rPr>
        <w:t>9</w:t>
      </w:r>
      <w:r>
        <w:rPr>
          <w:rStyle w:val="Referencingstyle"/>
        </w:rPr>
        <w:t xml:space="preserve">, </w:t>
      </w:r>
      <w:r w:rsidR="00D438D6">
        <w:rPr>
          <w:rStyle w:val="Referencingstyle"/>
        </w:rPr>
        <w:t>s</w:t>
      </w:r>
      <w:r>
        <w:rPr>
          <w:rStyle w:val="Referencingstyle"/>
        </w:rPr>
        <w:t>ection </w:t>
      </w:r>
      <w:r w:rsidR="001569FF" w:rsidRPr="00844959">
        <w:rPr>
          <w:rStyle w:val="Referencingstyle"/>
        </w:rPr>
        <w:t>1</w:t>
      </w:r>
      <w:r w:rsidR="009444D9">
        <w:rPr>
          <w:rStyle w:val="Referencingstyle"/>
        </w:rPr>
        <w:t>70</w:t>
      </w:r>
      <w:r w:rsidRPr="00844959">
        <w:rPr>
          <w:rStyle w:val="Referencingstyle"/>
        </w:rPr>
        <w:t xml:space="preserve">]  </w:t>
      </w:r>
    </w:p>
    <w:p w14:paraId="4C34F21B" w14:textId="77777777" w:rsidR="007A3552" w:rsidRDefault="007A3552" w:rsidP="001A57F7">
      <w:pPr>
        <w:pStyle w:val="Heading4"/>
      </w:pPr>
      <w:r>
        <w:t>Powers of Federal Court</w:t>
      </w:r>
    </w:p>
    <w:p w14:paraId="2638CF46" w14:textId="77777777" w:rsidR="001569FF" w:rsidRPr="00E67240" w:rsidRDefault="007A3552" w:rsidP="00E67240">
      <w:pPr>
        <w:pStyle w:val="base-text-paragraph"/>
        <w:tabs>
          <w:tab w:val="clear" w:pos="1985"/>
          <w:tab w:val="num" w:pos="1986"/>
        </w:tabs>
        <w:rPr>
          <w:rStyle w:val="Referencingstyle"/>
          <w:b w:val="0"/>
          <w:i w:val="0"/>
          <w:sz w:val="22"/>
        </w:rPr>
      </w:pPr>
      <w:r>
        <w:t xml:space="preserve">The powers conferred on the Federal Court by this </w:t>
      </w:r>
      <w:r w:rsidR="00E67240" w:rsidRPr="00E67240">
        <w:t>Prudential Supervision Bill</w:t>
      </w:r>
      <w:r>
        <w:t xml:space="preserve"> do not affect any other power of the </w:t>
      </w:r>
      <w:r w:rsidR="00182A67">
        <w:t xml:space="preserve">Federal </w:t>
      </w:r>
      <w:r>
        <w:t xml:space="preserve">Court.  </w:t>
      </w:r>
      <w:r w:rsidR="00F77F80">
        <w:rPr>
          <w:rStyle w:val="Referencingstyle"/>
        </w:rPr>
        <w:t>[Part </w:t>
      </w:r>
      <w:r w:rsidR="00B52D01">
        <w:rPr>
          <w:rStyle w:val="Referencingstyle"/>
        </w:rPr>
        <w:t>9</w:t>
      </w:r>
      <w:r w:rsidRPr="001A57F7">
        <w:rPr>
          <w:rStyle w:val="Referencingstyle"/>
        </w:rPr>
        <w:t>, section</w:t>
      </w:r>
      <w:r w:rsidR="00182A67">
        <w:rPr>
          <w:rStyle w:val="Referencingstyle"/>
        </w:rPr>
        <w:t> </w:t>
      </w:r>
      <w:r w:rsidR="00EF0A69">
        <w:rPr>
          <w:rStyle w:val="Referencingstyle"/>
        </w:rPr>
        <w:t>171</w:t>
      </w:r>
      <w:r w:rsidRPr="001A57F7">
        <w:rPr>
          <w:rStyle w:val="Referencingstyle"/>
        </w:rPr>
        <w:t xml:space="preserve">] </w:t>
      </w:r>
      <w:r w:rsidRPr="00E67240">
        <w:rPr>
          <w:rStyle w:val="Referencingstyle"/>
          <w:b w:val="0"/>
          <w:i w:val="0"/>
          <w:sz w:val="22"/>
        </w:rPr>
        <w:t xml:space="preserve"> </w:t>
      </w:r>
    </w:p>
    <w:p w14:paraId="6C74859F" w14:textId="77777777" w:rsidR="00EE2C63" w:rsidRPr="001A57F7" w:rsidRDefault="00EE2C63">
      <w:pPr>
        <w:pStyle w:val="Heading4"/>
        <w:rPr>
          <w:sz w:val="18"/>
        </w:rPr>
      </w:pPr>
      <w:r>
        <w:t>Approved forms, and giving documents not required to be in approve</w:t>
      </w:r>
      <w:r w:rsidR="00D438D6">
        <w:t>d</w:t>
      </w:r>
      <w:r>
        <w:t xml:space="preserve"> forms</w:t>
      </w:r>
    </w:p>
    <w:p w14:paraId="4D3712C2" w14:textId="77777777" w:rsidR="00EE2C63" w:rsidRDefault="00EE2C63" w:rsidP="000F194A">
      <w:pPr>
        <w:pStyle w:val="base-text-paragraph"/>
      </w:pPr>
      <w:r>
        <w:t>A notice, statement, application or other document is in the approved form if:</w:t>
      </w:r>
    </w:p>
    <w:p w14:paraId="54D768D4" w14:textId="77777777" w:rsidR="00EE2C63" w:rsidRDefault="00EE2C63" w:rsidP="00EE2C63">
      <w:pPr>
        <w:pStyle w:val="dotpoint"/>
      </w:pPr>
      <w:r>
        <w:t>it is in the form approved in writing by APRA;</w:t>
      </w:r>
    </w:p>
    <w:p w14:paraId="66DD6A60" w14:textId="77777777" w:rsidR="00EE2C63" w:rsidRDefault="00EE2C63" w:rsidP="00EE2C63">
      <w:pPr>
        <w:pStyle w:val="dotpoint"/>
      </w:pPr>
      <w:r>
        <w:t>contains information that the form requires (including being accompanied by other documentation that the form requires);</w:t>
      </w:r>
    </w:p>
    <w:p w14:paraId="5746CB27" w14:textId="77777777" w:rsidR="00EE2C63" w:rsidRDefault="00EE2C63" w:rsidP="00EE2C63">
      <w:pPr>
        <w:pStyle w:val="dotpoint"/>
      </w:pPr>
      <w:r>
        <w:t>is signed by a person in accordance with any applicable requirements specified in the form or APRA rules; and</w:t>
      </w:r>
    </w:p>
    <w:p w14:paraId="51EC6EAF" w14:textId="77777777" w:rsidR="00EE2C63" w:rsidRPr="00225F1B" w:rsidRDefault="00EE2C63" w:rsidP="00EE2C63">
      <w:pPr>
        <w:pStyle w:val="dotpoint"/>
        <w:rPr>
          <w:rStyle w:val="Referencingstyle"/>
        </w:rPr>
      </w:pPr>
      <w:r>
        <w:t xml:space="preserve">the giving of the form is in accordance with any applicable requirements </w:t>
      </w:r>
      <w:r w:rsidRPr="00225F1B">
        <w:t>specified in the form or APRA rules</w:t>
      </w:r>
      <w:r>
        <w:t xml:space="preserve">. </w:t>
      </w:r>
      <w:r w:rsidRPr="00225F1B">
        <w:rPr>
          <w:rStyle w:val="Referencingstyle"/>
        </w:rPr>
        <w:t xml:space="preserve">[Part </w:t>
      </w:r>
      <w:r w:rsidR="00B52D01">
        <w:rPr>
          <w:rStyle w:val="Referencingstyle"/>
        </w:rPr>
        <w:t>9</w:t>
      </w:r>
      <w:r w:rsidRPr="00225F1B">
        <w:rPr>
          <w:rStyle w:val="Referencingstyle"/>
        </w:rPr>
        <w:t>, s</w:t>
      </w:r>
      <w:r>
        <w:rPr>
          <w:rStyle w:val="Referencingstyle"/>
        </w:rPr>
        <w:t>ubs</w:t>
      </w:r>
      <w:r w:rsidRPr="00225F1B">
        <w:rPr>
          <w:rStyle w:val="Referencingstyle"/>
        </w:rPr>
        <w:t xml:space="preserve">ection </w:t>
      </w:r>
      <w:r w:rsidR="001569FF" w:rsidRPr="00225F1B">
        <w:rPr>
          <w:rStyle w:val="Referencingstyle"/>
        </w:rPr>
        <w:t>1</w:t>
      </w:r>
      <w:r w:rsidR="000E5616">
        <w:rPr>
          <w:rStyle w:val="Referencingstyle"/>
        </w:rPr>
        <w:t>72</w:t>
      </w:r>
      <w:r w:rsidRPr="00225F1B">
        <w:rPr>
          <w:rStyle w:val="Referencingstyle"/>
        </w:rPr>
        <w:t xml:space="preserve">(1)]  </w:t>
      </w:r>
    </w:p>
    <w:p w14:paraId="765F0F68" w14:textId="77777777" w:rsidR="00EE2C63" w:rsidRPr="00225F1B" w:rsidRDefault="00EE2C63" w:rsidP="000F194A">
      <w:pPr>
        <w:pStyle w:val="base-text-paragraph"/>
      </w:pPr>
      <w:r>
        <w:t>Requirement</w:t>
      </w:r>
      <w:r w:rsidR="00D438D6">
        <w:t>s</w:t>
      </w:r>
      <w:r>
        <w:t xml:space="preserve"> for the giving of forms electronically may be specified in the form or APRA rules.  </w:t>
      </w:r>
      <w:r w:rsidR="00D438D6" w:rsidRPr="00602D19">
        <w:t>For example, a form may include requirements relating to electronic signatures, or for the use of specified software.</w:t>
      </w:r>
      <w:r w:rsidR="00D438D6">
        <w:t xml:space="preserve">  </w:t>
      </w:r>
      <w:r w:rsidRPr="00225F1B">
        <w:rPr>
          <w:rStyle w:val="Referencingstyle"/>
        </w:rPr>
        <w:t xml:space="preserve">[Part </w:t>
      </w:r>
      <w:r w:rsidR="00B52D01">
        <w:rPr>
          <w:rStyle w:val="Referencingstyle"/>
        </w:rPr>
        <w:t>9</w:t>
      </w:r>
      <w:r w:rsidRPr="00225F1B">
        <w:rPr>
          <w:rStyle w:val="Referencingstyle"/>
        </w:rPr>
        <w:t xml:space="preserve">, subsection </w:t>
      </w:r>
      <w:r w:rsidR="001569FF" w:rsidRPr="00225F1B">
        <w:rPr>
          <w:rStyle w:val="Referencingstyle"/>
        </w:rPr>
        <w:t>17</w:t>
      </w:r>
      <w:r w:rsidR="000E5616">
        <w:rPr>
          <w:rStyle w:val="Referencingstyle"/>
        </w:rPr>
        <w:t>2</w:t>
      </w:r>
      <w:r w:rsidRPr="00225F1B">
        <w:rPr>
          <w:rStyle w:val="Referencingstyle"/>
        </w:rPr>
        <w:t>(2)]</w:t>
      </w:r>
      <w:r w:rsidRPr="00225F1B">
        <w:t xml:space="preserve">  </w:t>
      </w:r>
    </w:p>
    <w:p w14:paraId="37DEEED6" w14:textId="77777777" w:rsidR="00D438D6" w:rsidRDefault="00D438D6" w:rsidP="00E67240">
      <w:pPr>
        <w:pStyle w:val="base-text-paragraph"/>
        <w:tabs>
          <w:tab w:val="clear" w:pos="1985"/>
          <w:tab w:val="num" w:pos="1986"/>
        </w:tabs>
      </w:pPr>
      <w:r>
        <w:t xml:space="preserve">The </w:t>
      </w:r>
      <w:r w:rsidR="00E67240" w:rsidRPr="00E67240">
        <w:t>Prudential Supervision Bill</w:t>
      </w:r>
      <w:r w:rsidR="000E5616">
        <w:t xml:space="preserve"> allows </w:t>
      </w:r>
      <w:r>
        <w:t xml:space="preserve">APRA </w:t>
      </w:r>
      <w:r w:rsidR="000E5616">
        <w:t>to make</w:t>
      </w:r>
      <w:r>
        <w:t xml:space="preserve"> </w:t>
      </w:r>
      <w:r w:rsidR="00662C96">
        <w:t xml:space="preserve">rules </w:t>
      </w:r>
      <w:r>
        <w:t>on the manner in which other documents (that are not required to be in approved form</w:t>
      </w:r>
      <w:r w:rsidR="000E5616">
        <w:t>s</w:t>
      </w:r>
      <w:r>
        <w:t>) are to be given</w:t>
      </w:r>
      <w:r w:rsidRPr="00236CEC">
        <w:t xml:space="preserve">.  </w:t>
      </w:r>
      <w:r w:rsidRPr="00E67240">
        <w:rPr>
          <w:rStyle w:val="Referencingstyle"/>
          <w:b w:val="0"/>
        </w:rPr>
        <w:t xml:space="preserve"> </w:t>
      </w:r>
      <w:r w:rsidRPr="00D438D6">
        <w:rPr>
          <w:rStyle w:val="Referencingstyle"/>
        </w:rPr>
        <w:t>[Part 9, subsection 17</w:t>
      </w:r>
      <w:r w:rsidR="000E5616">
        <w:rPr>
          <w:rStyle w:val="Referencingstyle"/>
        </w:rPr>
        <w:t>2</w:t>
      </w:r>
      <w:r w:rsidRPr="00D438D6">
        <w:rPr>
          <w:rStyle w:val="Referencingstyle"/>
        </w:rPr>
        <w:t>(4)]</w:t>
      </w:r>
      <w:r>
        <w:t xml:space="preserve">  </w:t>
      </w:r>
    </w:p>
    <w:p w14:paraId="7E7D4A80" w14:textId="77777777" w:rsidR="001569FF" w:rsidRDefault="001569FF" w:rsidP="00EE2C63">
      <w:pPr>
        <w:pStyle w:val="Heading4"/>
      </w:pPr>
      <w:r>
        <w:t>Delegation by Minister</w:t>
      </w:r>
    </w:p>
    <w:p w14:paraId="27A00AA3" w14:textId="77777777" w:rsidR="001569FF" w:rsidRPr="00E67240" w:rsidRDefault="00B52D01" w:rsidP="00E67240">
      <w:pPr>
        <w:pStyle w:val="base-text-paragraph"/>
        <w:tabs>
          <w:tab w:val="clear" w:pos="1985"/>
          <w:tab w:val="num" w:pos="1986"/>
        </w:tabs>
        <w:rPr>
          <w:rStyle w:val="Referencingstyle"/>
          <w:b w:val="0"/>
          <w:i w:val="0"/>
          <w:sz w:val="22"/>
        </w:rPr>
      </w:pPr>
      <w:r>
        <w:t xml:space="preserve">The Minister </w:t>
      </w:r>
      <w:r w:rsidR="00A448C0">
        <w:t>may</w:t>
      </w:r>
      <w:r>
        <w:t xml:space="preserve"> delegate their powers </w:t>
      </w:r>
      <w:r w:rsidR="00D438D6">
        <w:t>in writing</w:t>
      </w:r>
      <w:r>
        <w:t xml:space="preserve"> under the </w:t>
      </w:r>
      <w:r w:rsidR="00E67240" w:rsidRPr="00E67240">
        <w:t>Prudential Supervision Bill</w:t>
      </w:r>
      <w:r w:rsidR="00A448C0">
        <w:t xml:space="preserve"> to an SES employee</w:t>
      </w:r>
      <w:r>
        <w:t xml:space="preserve"> (or acting SES employee</w:t>
      </w:r>
      <w:r w:rsidR="00A448C0">
        <w:t>)</w:t>
      </w:r>
      <w:r>
        <w:t xml:space="preserve"> in the Department.</w:t>
      </w:r>
      <w:r w:rsidR="001569FF">
        <w:t xml:space="preserve">  </w:t>
      </w:r>
      <w:r w:rsidR="001569FF" w:rsidRPr="006C3D7A">
        <w:rPr>
          <w:rStyle w:val="Referencingstyle"/>
        </w:rPr>
        <w:t>[Part 9,</w:t>
      </w:r>
      <w:r w:rsidR="00662C96">
        <w:rPr>
          <w:rStyle w:val="Referencingstyle"/>
        </w:rPr>
        <w:t>Division 1</w:t>
      </w:r>
      <w:r w:rsidR="001569FF" w:rsidRPr="006C3D7A">
        <w:rPr>
          <w:rStyle w:val="Referencingstyle"/>
        </w:rPr>
        <w:t xml:space="preserve">, section </w:t>
      </w:r>
      <w:r w:rsidR="00EF0A69">
        <w:rPr>
          <w:rStyle w:val="Referencingstyle"/>
        </w:rPr>
        <w:t>173</w:t>
      </w:r>
      <w:r w:rsidR="001569FF" w:rsidRPr="006C3D7A">
        <w:rPr>
          <w:rStyle w:val="Referencingstyle"/>
        </w:rPr>
        <w:t>]</w:t>
      </w:r>
    </w:p>
    <w:p w14:paraId="41C4C5B0" w14:textId="77777777" w:rsidR="00D438D6" w:rsidRPr="005A4DEA" w:rsidRDefault="00D438D6" w:rsidP="000F194A">
      <w:pPr>
        <w:pStyle w:val="base-text-paragraph"/>
      </w:pPr>
      <w:r w:rsidRPr="00C85607">
        <w:t>Section 15 of the APRA Act allows APRA to delegate any functions or powers by any law of the Commonwealth to an APRA member or an APRA staff member.</w:t>
      </w:r>
      <w:r w:rsidR="006F4225">
        <w:t xml:space="preserve"> </w:t>
      </w:r>
      <w:r w:rsidRPr="00C85607">
        <w:t xml:space="preserve"> This includes APRA’s existing powers to make prudential standards under a range of Acts. Section 15</w:t>
      </w:r>
      <w:r>
        <w:t xml:space="preserve"> of the APRA Act</w:t>
      </w:r>
      <w:r w:rsidRPr="00C85607">
        <w:t xml:space="preserve"> will apply to all the powers and functions conferred on APRA by th</w:t>
      </w:r>
      <w:r w:rsidR="00E67240">
        <w:t>e</w:t>
      </w:r>
      <w:r w:rsidR="00E67240" w:rsidRPr="00E67240">
        <w:rPr>
          <w:lang w:val="en-US" w:eastAsia="en-US"/>
        </w:rPr>
        <w:t xml:space="preserve"> </w:t>
      </w:r>
      <w:r w:rsidR="00E67240">
        <w:rPr>
          <w:lang w:val="en-US" w:eastAsia="en-US"/>
        </w:rPr>
        <w:t>Prudential Supervision Bill</w:t>
      </w:r>
      <w:r w:rsidRPr="00C85607">
        <w:t xml:space="preserve">, including APRA’s powers to make prudential standards and rules. </w:t>
      </w:r>
    </w:p>
    <w:p w14:paraId="34E0CCCD" w14:textId="77777777" w:rsidR="00D438D6" w:rsidRPr="00C85607" w:rsidRDefault="00D438D6" w:rsidP="00E67240">
      <w:pPr>
        <w:pStyle w:val="base-text-paragraph"/>
        <w:tabs>
          <w:tab w:val="clear" w:pos="1985"/>
          <w:tab w:val="num" w:pos="1986"/>
        </w:tabs>
      </w:pPr>
      <w:r>
        <w:t xml:space="preserve">Sections </w:t>
      </w:r>
      <w:r w:rsidR="000E5616">
        <w:t>92</w:t>
      </w:r>
      <w:r w:rsidRPr="00C85607">
        <w:t xml:space="preserve"> and </w:t>
      </w:r>
      <w:r w:rsidR="000E5616">
        <w:t>174</w:t>
      </w:r>
      <w:r w:rsidRPr="00C85607">
        <w:t xml:space="preserve"> </w:t>
      </w:r>
      <w:r>
        <w:t xml:space="preserve">of the </w:t>
      </w:r>
      <w:r w:rsidR="00E67240" w:rsidRPr="00E67240">
        <w:t>Prudential Supervision Bill</w:t>
      </w:r>
      <w:r>
        <w:t xml:space="preserve"> </w:t>
      </w:r>
      <w:r w:rsidRPr="00C85607">
        <w:t xml:space="preserve">limit the delegation of the </w:t>
      </w:r>
      <w:r w:rsidRPr="000F1EDB">
        <w:t>powers</w:t>
      </w:r>
      <w:r>
        <w:t xml:space="preserve"> </w:t>
      </w:r>
      <w:r w:rsidRPr="000F1EDB">
        <w:t>to</w:t>
      </w:r>
      <w:r w:rsidRPr="00C85607">
        <w:t xml:space="preserve"> make prudential standards and rules to senior APRA people.</w:t>
      </w:r>
    </w:p>
    <w:p w14:paraId="2F1DA279" w14:textId="77777777" w:rsidR="00EE2C63" w:rsidRDefault="00EE2C63" w:rsidP="00EE2C63">
      <w:pPr>
        <w:pStyle w:val="Heading4"/>
      </w:pPr>
      <w:r>
        <w:t>APRA rules</w:t>
      </w:r>
    </w:p>
    <w:p w14:paraId="1EEED92C" w14:textId="77777777" w:rsidR="00CF5ADB" w:rsidRDefault="00EE2C63" w:rsidP="00E67240">
      <w:pPr>
        <w:pStyle w:val="base-text-paragraph"/>
        <w:tabs>
          <w:tab w:val="clear" w:pos="1985"/>
          <w:tab w:val="num" w:pos="1986"/>
        </w:tabs>
      </w:pPr>
      <w:r>
        <w:t xml:space="preserve">APRA may, by legislative instrument, make rules which </w:t>
      </w:r>
      <w:r w:rsidR="00662C96">
        <w:t xml:space="preserve">prescribe </w:t>
      </w:r>
      <w:r>
        <w:t xml:space="preserve">matters </w:t>
      </w:r>
      <w:r w:rsidR="00662C96">
        <w:t>which</w:t>
      </w:r>
      <w:r>
        <w:t xml:space="preserve"> the </w:t>
      </w:r>
      <w:r w:rsidR="00E67240" w:rsidRPr="00E67240">
        <w:t>Prudential Supervision Bill</w:t>
      </w:r>
      <w:r w:rsidR="00E67240" w:rsidRPr="00E67240" w:rsidDel="00E67240">
        <w:t xml:space="preserve"> </w:t>
      </w:r>
      <w:r>
        <w:t>requires or permits APRA to make, or is necessary or convenient for APRA to make for carrying ou</w:t>
      </w:r>
      <w:r w:rsidR="00072621">
        <w:t xml:space="preserve">t or giving effect to the </w:t>
      </w:r>
      <w:r w:rsidR="00E67240" w:rsidRPr="00E67240">
        <w:t>Prudential Supervision Bill</w:t>
      </w:r>
      <w:r w:rsidR="00072621">
        <w:t xml:space="preserve">. </w:t>
      </w:r>
      <w:r w:rsidR="006F4225">
        <w:t xml:space="preserve">This power is subject </w:t>
      </w:r>
      <w:r w:rsidR="006F4225" w:rsidRPr="000348DF">
        <w:t xml:space="preserve">to subsection </w:t>
      </w:r>
      <w:r w:rsidR="006F4225" w:rsidRPr="00C85607">
        <w:t>17</w:t>
      </w:r>
      <w:r w:rsidR="00360521">
        <w:t>4</w:t>
      </w:r>
      <w:r w:rsidR="006F4225" w:rsidRPr="000348DF">
        <w:t xml:space="preserve">(3) of this </w:t>
      </w:r>
      <w:r w:rsidR="00E67240" w:rsidRPr="00E67240">
        <w:t>Prudential Supervision Bill</w:t>
      </w:r>
      <w:r w:rsidR="00072621">
        <w:t xml:space="preserve">, </w:t>
      </w:r>
      <w:r w:rsidR="00072621" w:rsidRPr="00072621">
        <w:t>which broadly ensures that the APRA rules cannot impose requirements that would normally be in an Act, such as powers of arrest</w:t>
      </w:r>
      <w:r w:rsidR="006F4225" w:rsidRPr="00C85607">
        <w:t>.</w:t>
      </w:r>
      <w:r w:rsidR="006F4225" w:rsidRPr="000348DF">
        <w:t xml:space="preserve"> </w:t>
      </w:r>
      <w:r w:rsidR="00072621">
        <w:t>It is envisaged that the APRA rules</w:t>
      </w:r>
      <w:r w:rsidR="00CC19C2">
        <w:t xml:space="preserve"> </w:t>
      </w:r>
      <w:r w:rsidR="00072621">
        <w:t xml:space="preserve">will </w:t>
      </w:r>
      <w:r w:rsidR="00510283">
        <w:t>carry over some of the rules which used to be made under the PHI Act, such as rules around the eligibility criteria for registrat</w:t>
      </w:r>
      <w:r w:rsidR="001F0126">
        <w:t>ion as a private health insurer and</w:t>
      </w:r>
      <w:r w:rsidR="00510283">
        <w:t xml:space="preserve"> rules governing how a health benefits fund is managed</w:t>
      </w:r>
      <w:r w:rsidR="001F0126">
        <w:t>.</w:t>
      </w:r>
      <w:r w:rsidR="006F4225" w:rsidRPr="000348DF">
        <w:t xml:space="preserve"> </w:t>
      </w:r>
      <w:r w:rsidR="00A5658A">
        <w:t>In particula</w:t>
      </w:r>
      <w:r w:rsidR="00072621">
        <w:t>r, APRA proposes to</w:t>
      </w:r>
      <w:r w:rsidR="00A5658A">
        <w:t xml:space="preserve"> substantially remake current rules under the PHI Act relating to: the expenditure and application of health benefits funds; the restructure of health benefits funds; the merger and acquisition of health benefits funds; notification requirements; registration (including replicating current descriptions of restricted access groups); risk equalisation administration; and enforcement (including external management of health benefits funds).</w:t>
      </w:r>
      <w:r>
        <w:t xml:space="preserve"> </w:t>
      </w:r>
      <w:r w:rsidR="00360521">
        <w:rPr>
          <w:rStyle w:val="Referencingstyle"/>
        </w:rPr>
        <w:t>[Part 9</w:t>
      </w:r>
      <w:r w:rsidRPr="00CC25E0">
        <w:rPr>
          <w:rStyle w:val="Referencingstyle"/>
        </w:rPr>
        <w:t>,</w:t>
      </w:r>
      <w:r w:rsidR="00662C96">
        <w:rPr>
          <w:rStyle w:val="Referencingstyle"/>
        </w:rPr>
        <w:t xml:space="preserve"> </w:t>
      </w:r>
      <w:r w:rsidRPr="00CC25E0">
        <w:rPr>
          <w:rStyle w:val="Referencingstyle"/>
        </w:rPr>
        <w:t xml:space="preserve">subsection </w:t>
      </w:r>
      <w:r w:rsidR="001569FF" w:rsidRPr="00CC25E0">
        <w:rPr>
          <w:rStyle w:val="Referencingstyle"/>
        </w:rPr>
        <w:t>1</w:t>
      </w:r>
      <w:r w:rsidR="00360521">
        <w:rPr>
          <w:rStyle w:val="Referencingstyle"/>
        </w:rPr>
        <w:t>74</w:t>
      </w:r>
      <w:r w:rsidRPr="00CC25E0">
        <w:rPr>
          <w:rStyle w:val="Referencingstyle"/>
        </w:rPr>
        <w:t>(1)]</w:t>
      </w:r>
      <w:r w:rsidRPr="00CC25E0">
        <w:t xml:space="preserve"> </w:t>
      </w:r>
    </w:p>
    <w:p w14:paraId="4C0E1EF6" w14:textId="77777777" w:rsidR="00EE2C63" w:rsidRDefault="006F4225" w:rsidP="000F194A">
      <w:pPr>
        <w:pStyle w:val="base-text-paragraph"/>
      </w:pPr>
      <w:r>
        <w:t>APRA</w:t>
      </w:r>
      <w:r w:rsidR="00CF5ADB">
        <w:t xml:space="preserve"> rules may provide for</w:t>
      </w:r>
      <w:r w:rsidR="007D5914">
        <w:t xml:space="preserve"> </w:t>
      </w:r>
      <w:r w:rsidR="00CF5ADB">
        <w:t>APRA to exercise powers and discretions under the rules</w:t>
      </w:r>
      <w:r w:rsidR="007D5914">
        <w:t xml:space="preserve">.  </w:t>
      </w:r>
      <w:r w:rsidR="00CF5ADB" w:rsidRPr="00CC25E0">
        <w:rPr>
          <w:rStyle w:val="Referencingstyle"/>
        </w:rPr>
        <w:t xml:space="preserve">[Part </w:t>
      </w:r>
      <w:r w:rsidR="00360521">
        <w:rPr>
          <w:rStyle w:val="Referencingstyle"/>
        </w:rPr>
        <w:t>9</w:t>
      </w:r>
      <w:r w:rsidR="00CF5ADB" w:rsidRPr="00CC25E0">
        <w:rPr>
          <w:rStyle w:val="Referencingstyle"/>
        </w:rPr>
        <w:t xml:space="preserve">, subsection </w:t>
      </w:r>
      <w:r w:rsidR="00360521">
        <w:rPr>
          <w:rStyle w:val="Referencingstyle"/>
        </w:rPr>
        <w:t>174</w:t>
      </w:r>
      <w:r w:rsidR="001569FF">
        <w:rPr>
          <w:rStyle w:val="Referencingstyle"/>
        </w:rPr>
        <w:t>(</w:t>
      </w:r>
      <w:r w:rsidR="00CF5ADB">
        <w:rPr>
          <w:rStyle w:val="Referencingstyle"/>
        </w:rPr>
        <w:t>2</w:t>
      </w:r>
      <w:r w:rsidR="00CF5ADB" w:rsidRPr="00CC25E0">
        <w:rPr>
          <w:rStyle w:val="Referencingstyle"/>
        </w:rPr>
        <w:t>)]</w:t>
      </w:r>
    </w:p>
    <w:p w14:paraId="54C6A320" w14:textId="09429FD7" w:rsidR="009C071B" w:rsidRPr="00F51A71" w:rsidRDefault="00EE2C63" w:rsidP="007F37EE">
      <w:pPr>
        <w:pStyle w:val="base-text-paragraph"/>
        <w:tabs>
          <w:tab w:val="clear" w:pos="1985"/>
          <w:tab w:val="num" w:pos="1986"/>
        </w:tabs>
      </w:pPr>
      <w:r>
        <w:t xml:space="preserve">APRA’s rules may not create an offence or civil penalty, </w:t>
      </w:r>
      <w:r w:rsidR="00327152">
        <w:t>provide powers to arrest, detain, enter</w:t>
      </w:r>
      <w:r w:rsidR="006F4225">
        <w:t xml:space="preserve">, search or seize, impose a tax, </w:t>
      </w:r>
      <w:r>
        <w:t xml:space="preserve">appropriate an amount from the Consolidated Revenue Fund or amend this </w:t>
      </w:r>
      <w:r w:rsidR="00E67240" w:rsidRPr="00E67240">
        <w:t>Prudential Supervision Bill</w:t>
      </w:r>
      <w:r>
        <w:t xml:space="preserve">. </w:t>
      </w:r>
      <w:r w:rsidR="00360521">
        <w:t>This limits delegation of power to APRA.</w:t>
      </w:r>
      <w:r>
        <w:t xml:space="preserve"> </w:t>
      </w:r>
      <w:r w:rsidR="007F37EE" w:rsidRPr="007F37EE">
        <w:t xml:space="preserve">Paragraph 174(3)(e) prohibits the making of rules that directly amend the text of the Act. </w:t>
      </w:r>
      <w:r w:rsidR="007A0375">
        <w:t>‘</w:t>
      </w:r>
      <w:r w:rsidR="007F37EE" w:rsidRPr="007F37EE">
        <w:t>Directly amend</w:t>
      </w:r>
      <w:r w:rsidR="007A0375">
        <w:t>’</w:t>
      </w:r>
      <w:r w:rsidR="007F37EE" w:rsidRPr="007F37EE">
        <w:t xml:space="preserve"> means make an amendment that would need to be incorporated in any reprint of the Act by the Government Printer (see section 2 of the Acts Publication Act 1905). The paragraph does not prohibit a rule that modifies the effect of a provision, such as by providing that a provision has effect as if it had been amended in a specified way (for example, as permitted by section 85) , but does not make a direct amendment of any Act.</w:t>
      </w:r>
      <w:r w:rsidR="007F37EE" w:rsidRPr="007F37EE">
        <w:rPr>
          <w:rStyle w:val="Referencingstyle"/>
          <w:b w:val="0"/>
          <w:i w:val="0"/>
          <w:sz w:val="22"/>
        </w:rPr>
        <w:t xml:space="preserve"> </w:t>
      </w:r>
      <w:r w:rsidRPr="00CC25E0">
        <w:rPr>
          <w:rStyle w:val="Referencingstyle"/>
        </w:rPr>
        <w:t xml:space="preserve">[Part </w:t>
      </w:r>
      <w:r w:rsidR="00360521">
        <w:rPr>
          <w:rStyle w:val="Referencingstyle"/>
        </w:rPr>
        <w:t>9</w:t>
      </w:r>
      <w:r w:rsidRPr="00CC25E0">
        <w:rPr>
          <w:rStyle w:val="Referencingstyle"/>
        </w:rPr>
        <w:t xml:space="preserve">, subsection </w:t>
      </w:r>
      <w:r w:rsidR="001569FF" w:rsidRPr="00CC25E0">
        <w:rPr>
          <w:rStyle w:val="Referencingstyle"/>
        </w:rPr>
        <w:t>1</w:t>
      </w:r>
      <w:r w:rsidR="001569FF">
        <w:rPr>
          <w:rStyle w:val="Referencingstyle"/>
        </w:rPr>
        <w:t>7</w:t>
      </w:r>
      <w:r w:rsidR="00360521">
        <w:rPr>
          <w:rStyle w:val="Referencingstyle"/>
        </w:rPr>
        <w:t>4</w:t>
      </w:r>
      <w:r w:rsidRPr="00CC25E0">
        <w:rPr>
          <w:rStyle w:val="Referencingstyle"/>
        </w:rPr>
        <w:t>(</w:t>
      </w:r>
      <w:r w:rsidR="007D5914">
        <w:rPr>
          <w:rStyle w:val="Referencingstyle"/>
        </w:rPr>
        <w:t>3</w:t>
      </w:r>
      <w:r w:rsidRPr="00CC25E0">
        <w:rPr>
          <w:rStyle w:val="Referencingstyle"/>
        </w:rPr>
        <w:t>)]</w:t>
      </w:r>
      <w:r w:rsidRPr="00CC25E0">
        <w:t xml:space="preserve">  </w:t>
      </w:r>
    </w:p>
    <w:p w14:paraId="636CE1B5" w14:textId="77777777" w:rsidR="00AD5FD2" w:rsidRDefault="009C071B" w:rsidP="00602DBB">
      <w:pPr>
        <w:pStyle w:val="base-text-paragraph"/>
      </w:pPr>
      <w:r>
        <w:t xml:space="preserve">Under section 15 of the APRA Act, APRA may delegate its power </w:t>
      </w:r>
      <w:r w:rsidR="00AD3273">
        <w:t>to</w:t>
      </w:r>
      <w:r>
        <w:t xml:space="preserve"> make</w:t>
      </w:r>
      <w:r w:rsidR="00AD3273">
        <w:t>,</w:t>
      </w:r>
      <w:r>
        <w:t xml:space="preserve"> </w:t>
      </w:r>
      <w:r w:rsidR="00AD3273">
        <w:t>vary</w:t>
      </w:r>
      <w:r>
        <w:t xml:space="preserve"> or revoke APRA rules. </w:t>
      </w:r>
      <w:r w:rsidR="00602DBB" w:rsidRPr="00602DBB">
        <w:t>The delegation of powers is to an APRA Member or an APRA staff member who is an Executive General Manager level, which is the highest level wit</w:t>
      </w:r>
      <w:r w:rsidR="00E67240">
        <w:t xml:space="preserve">hin APRA below an APRA member. </w:t>
      </w:r>
      <w:r w:rsidR="00602DBB" w:rsidRPr="00602DBB">
        <w:t>In practice, all prudential standards will ordinarily be considered in detail at meetings of APRA’s executive group</w:t>
      </w:r>
      <w:r w:rsidR="00602DBB">
        <w:t xml:space="preserve"> </w:t>
      </w:r>
      <w:r w:rsidR="00602DBB" w:rsidRPr="00602DBB">
        <w:t xml:space="preserve">meetings, which include includes all APRA members and </w:t>
      </w:r>
      <w:r w:rsidR="00EC08B3">
        <w:t>Executive G</w:t>
      </w:r>
      <w:r w:rsidR="00602DBB" w:rsidRPr="00602DBB">
        <w:t>eneral manag</w:t>
      </w:r>
      <w:r w:rsidR="00E67240">
        <w:t xml:space="preserve">ers, prior to being finalised. </w:t>
      </w:r>
      <w:r w:rsidR="00510283">
        <w:t xml:space="preserve">The ability to delegate to an </w:t>
      </w:r>
      <w:r w:rsidR="00EC08B3">
        <w:t>E</w:t>
      </w:r>
      <w:r w:rsidR="00510283">
        <w:t xml:space="preserve">xecutive </w:t>
      </w:r>
      <w:r w:rsidR="00EC08B3">
        <w:t>G</w:t>
      </w:r>
      <w:r w:rsidR="00510283">
        <w:t xml:space="preserve">eneral </w:t>
      </w:r>
      <w:r w:rsidR="00EC08B3">
        <w:t>M</w:t>
      </w:r>
      <w:r w:rsidR="00AA1246">
        <w:t>anager</w:t>
      </w:r>
      <w:r w:rsidR="00CC19C2">
        <w:t xml:space="preserve"> gives APRA some administrative flexibility, as there are only three APRA members, and the members are often required to travel overseas</w:t>
      </w:r>
      <w:r w:rsidR="002F1A49">
        <w:t xml:space="preserve">, and therefore delegation to an </w:t>
      </w:r>
      <w:r w:rsidR="00EC08B3">
        <w:t>Executive G</w:t>
      </w:r>
      <w:r w:rsidR="002F1A49">
        <w:t xml:space="preserve">eneral </w:t>
      </w:r>
      <w:r w:rsidR="00EC08B3">
        <w:t>M</w:t>
      </w:r>
      <w:r w:rsidR="002F1A49">
        <w:t>anager may be required</w:t>
      </w:r>
      <w:r w:rsidR="00CC19C2">
        <w:t>.</w:t>
      </w:r>
      <w:r w:rsidR="00CC19C2" w:rsidRPr="00F20279">
        <w:rPr>
          <w:rStyle w:val="Referencingstyle"/>
        </w:rPr>
        <w:t xml:space="preserve"> </w:t>
      </w:r>
      <w:r w:rsidRPr="00F20279">
        <w:rPr>
          <w:rStyle w:val="Referencingstyle"/>
        </w:rPr>
        <w:t>[Part 9, subsection 17</w:t>
      </w:r>
      <w:r w:rsidR="00360521">
        <w:rPr>
          <w:rStyle w:val="Referencingstyle"/>
        </w:rPr>
        <w:t>4</w:t>
      </w:r>
      <w:r w:rsidRPr="00F20279">
        <w:rPr>
          <w:rStyle w:val="Referencingstyle"/>
        </w:rPr>
        <w:t>(4)]</w:t>
      </w:r>
      <w:r w:rsidR="00AD5FD2" w:rsidRPr="00AD5FD2">
        <w:t xml:space="preserve"> </w:t>
      </w:r>
    </w:p>
    <w:p w14:paraId="631BC9D9" w14:textId="77777777" w:rsidR="00602DBB" w:rsidRDefault="00602DBB" w:rsidP="00602DBB">
      <w:pPr>
        <w:pStyle w:val="base-text-paragraph"/>
        <w:numPr>
          <w:ilvl w:val="0"/>
          <w:numId w:val="0"/>
        </w:numPr>
        <w:ind w:left="1134"/>
      </w:pPr>
    </w:p>
    <w:p w14:paraId="65C1C1BA" w14:textId="77777777" w:rsidR="00AD5FD2" w:rsidRDefault="00AD5FD2" w:rsidP="00AD5FD2">
      <w:pPr>
        <w:sectPr w:rsidR="00AD5FD2" w:rsidSect="000573B9">
          <w:headerReference w:type="even" r:id="rId74"/>
          <w:headerReference w:type="default" r:id="rId75"/>
          <w:footerReference w:type="even" r:id="rId76"/>
          <w:footerReference w:type="default" r:id="rId77"/>
          <w:headerReference w:type="first" r:id="rId78"/>
          <w:type w:val="oddPage"/>
          <w:pgSz w:w="11906" w:h="16838" w:code="9"/>
          <w:pgMar w:top="2466" w:right="2098" w:bottom="2466" w:left="2098" w:header="1559" w:footer="1899" w:gutter="0"/>
          <w:cols w:space="708"/>
          <w:titlePg/>
          <w:docGrid w:linePitch="360"/>
        </w:sectPr>
      </w:pPr>
    </w:p>
    <w:p w14:paraId="5531E53F" w14:textId="77777777" w:rsidR="00175E1D" w:rsidRPr="00F51A71" w:rsidRDefault="00175E1D" w:rsidP="00DD7789">
      <w:pPr>
        <w:pStyle w:val="ChapterHeading"/>
        <w:numPr>
          <w:ilvl w:val="0"/>
          <w:numId w:val="105"/>
        </w:numPr>
        <w:tabs>
          <w:tab w:val="clear" w:pos="1134"/>
          <w:tab w:val="num" w:pos="360"/>
        </w:tabs>
      </w:pPr>
      <w:r w:rsidRPr="00F51A71">
        <w:br/>
      </w:r>
      <w:bookmarkStart w:id="246" w:name="_Toc416957163"/>
      <w:bookmarkStart w:id="247" w:name="_Toc418177770"/>
      <w:bookmarkStart w:id="248" w:name="_Toc418249767"/>
      <w:r>
        <w:t xml:space="preserve">Consequential </w:t>
      </w:r>
      <w:r w:rsidR="009C071B">
        <w:t>Amendments</w:t>
      </w:r>
      <w:r w:rsidR="00446279">
        <w:t xml:space="preserve"> and Transitional Provisions</w:t>
      </w:r>
      <w:bookmarkEnd w:id="246"/>
      <w:bookmarkEnd w:id="247"/>
      <w:bookmarkEnd w:id="248"/>
    </w:p>
    <w:p w14:paraId="76347235" w14:textId="77777777" w:rsidR="00175E1D" w:rsidRDefault="00175E1D" w:rsidP="00175E1D">
      <w:pPr>
        <w:pStyle w:val="Heading2"/>
      </w:pPr>
      <w:r>
        <w:t>Outline of chapter</w:t>
      </w:r>
    </w:p>
    <w:p w14:paraId="550E50AA" w14:textId="77777777" w:rsidR="00175E1D" w:rsidRDefault="00164181" w:rsidP="000F194A">
      <w:pPr>
        <w:pStyle w:val="base-text-paragraph"/>
      </w:pPr>
      <w:r>
        <w:t xml:space="preserve">This Chapter provides an explanation of the </w:t>
      </w:r>
      <w:r w:rsidR="003B7F30" w:rsidRPr="00B50549">
        <w:t xml:space="preserve">Consequential Amendments and Transitional Provisions Bill </w:t>
      </w:r>
      <w:r>
        <w:t xml:space="preserve">which forms part of the package </w:t>
      </w:r>
      <w:r w:rsidR="00B2044F">
        <w:t>that gives effect to</w:t>
      </w:r>
      <w:r>
        <w:t xml:space="preserve"> the transfer of </w:t>
      </w:r>
      <w:r w:rsidR="001A733C">
        <w:t>the Council’s</w:t>
      </w:r>
      <w:r>
        <w:t xml:space="preserve"> functions to APRA</w:t>
      </w:r>
      <w:r w:rsidR="00B50549">
        <w:t>.</w:t>
      </w:r>
      <w:r>
        <w:t xml:space="preserve"> </w:t>
      </w:r>
    </w:p>
    <w:p w14:paraId="21397BE0" w14:textId="77777777" w:rsidR="00CB5583" w:rsidRDefault="00CB5583" w:rsidP="000F194A">
      <w:pPr>
        <w:pStyle w:val="base-text-paragraph"/>
      </w:pPr>
      <w:r>
        <w:t xml:space="preserve">Unless otherwise stated, all references in this Chapter relate to the </w:t>
      </w:r>
      <w:r w:rsidRPr="00CB5583">
        <w:rPr>
          <w:rStyle w:val="Referencingstyle"/>
          <w:b w:val="0"/>
          <w:i w:val="0"/>
          <w:sz w:val="22"/>
        </w:rPr>
        <w:t>Consequential Amendments and Transitional Provisions Bill</w:t>
      </w:r>
      <w:r>
        <w:rPr>
          <w:rStyle w:val="Referencingstyle"/>
          <w:b w:val="0"/>
          <w:i w:val="0"/>
          <w:sz w:val="22"/>
        </w:rPr>
        <w:t>.</w:t>
      </w:r>
    </w:p>
    <w:p w14:paraId="35520C5A" w14:textId="77777777" w:rsidR="00175E1D" w:rsidRDefault="00175E1D" w:rsidP="00175E1D">
      <w:pPr>
        <w:pStyle w:val="Heading2"/>
      </w:pPr>
      <w:r>
        <w:t>Context of amendments</w:t>
      </w:r>
    </w:p>
    <w:p w14:paraId="27B0B994" w14:textId="77777777" w:rsidR="00175E1D" w:rsidRDefault="003B7F30" w:rsidP="000F194A">
      <w:pPr>
        <w:pStyle w:val="base-text-paragraph"/>
      </w:pPr>
      <w:r>
        <w:t xml:space="preserve">The </w:t>
      </w:r>
      <w:r w:rsidR="00E9202F">
        <w:t>Prudential Supervision Bill</w:t>
      </w:r>
      <w:r>
        <w:t xml:space="preserve"> will confer prudential supervision functions relating to private health insurers, currently conferred on </w:t>
      </w:r>
      <w:r w:rsidR="001A733C">
        <w:t>the Council</w:t>
      </w:r>
      <w:r>
        <w:t xml:space="preserve"> under the </w:t>
      </w:r>
      <w:r w:rsidR="001A733C">
        <w:t>PHI</w:t>
      </w:r>
      <w:r>
        <w:t xml:space="preserve"> Act, on APRA. Consequential amendments are required in relation to a number of Acts to facilitate the transfer of functions to APRA and remove duplication of functions between the </w:t>
      </w:r>
      <w:r w:rsidR="001A733C">
        <w:t>PHI</w:t>
      </w:r>
      <w:r>
        <w:t xml:space="preserve"> Act and the </w:t>
      </w:r>
      <w:r w:rsidR="00E9202F">
        <w:t>Prudential Supervision Bill</w:t>
      </w:r>
      <w:r>
        <w:t xml:space="preserve">. </w:t>
      </w:r>
    </w:p>
    <w:p w14:paraId="41CC3749" w14:textId="77777777" w:rsidR="00175E1D" w:rsidRDefault="00175E1D" w:rsidP="00175E1D">
      <w:pPr>
        <w:pStyle w:val="Heading2"/>
      </w:pPr>
      <w:r>
        <w:t>Summary of new law</w:t>
      </w:r>
    </w:p>
    <w:p w14:paraId="5271C129" w14:textId="77777777" w:rsidR="005A53DA" w:rsidRDefault="005A53DA" w:rsidP="000F194A">
      <w:pPr>
        <w:pStyle w:val="base-text-paragraph"/>
      </w:pPr>
      <w:r>
        <w:t xml:space="preserve">The Consequential Amendment and Transitional Provisions Bill includes amendments to: </w:t>
      </w:r>
    </w:p>
    <w:p w14:paraId="710C3355" w14:textId="77777777" w:rsidR="005A53DA" w:rsidRDefault="005A53DA" w:rsidP="005A53DA">
      <w:pPr>
        <w:pStyle w:val="dotpoint"/>
      </w:pPr>
      <w:r>
        <w:t xml:space="preserve">the APRA Act to provide for matters relating to secrecy of information concerning private health insurers, and to provide for the administration of industry levies; </w:t>
      </w:r>
    </w:p>
    <w:p w14:paraId="7C1A443A" w14:textId="77777777" w:rsidR="005A53DA" w:rsidRDefault="005A53DA" w:rsidP="005A53DA">
      <w:pPr>
        <w:pStyle w:val="dotpoint"/>
      </w:pPr>
      <w:r>
        <w:t xml:space="preserve">the </w:t>
      </w:r>
      <w:r w:rsidR="00A866AA">
        <w:t>FISLC</w:t>
      </w:r>
      <w:r>
        <w:t xml:space="preserve"> Act to cater for the collection of </w:t>
      </w:r>
      <w:r w:rsidR="00B2044F">
        <w:t xml:space="preserve">the </w:t>
      </w:r>
      <w:r>
        <w:t xml:space="preserve">private health insurance supervisory levy and the collection of </w:t>
      </w:r>
      <w:r w:rsidR="00B2044F">
        <w:t xml:space="preserve">the </w:t>
      </w:r>
      <w:r>
        <w:t>collapsed insurance levy;</w:t>
      </w:r>
    </w:p>
    <w:p w14:paraId="16B86B1F" w14:textId="77777777" w:rsidR="005A53DA" w:rsidRDefault="005A53DA" w:rsidP="005A53DA">
      <w:pPr>
        <w:pStyle w:val="dotpoint"/>
      </w:pPr>
      <w:r>
        <w:t xml:space="preserve">the FS(CoD) Act to facilitate the collection of data relating to private health insurers </w:t>
      </w:r>
      <w:r w:rsidR="00B2044F">
        <w:t>by</w:t>
      </w:r>
      <w:r>
        <w:t xml:space="preserve"> APRA;</w:t>
      </w:r>
    </w:p>
    <w:p w14:paraId="3BF23617" w14:textId="77777777" w:rsidR="00477CBC" w:rsidRDefault="00477CBC" w:rsidP="00477CBC">
      <w:pPr>
        <w:pStyle w:val="dotpoint"/>
      </w:pPr>
      <w:r>
        <w:t xml:space="preserve">the ITAA 1997 to update or replace references to the </w:t>
      </w:r>
      <w:r w:rsidR="00E9202F">
        <w:t>Prudential Supervision Bill</w:t>
      </w:r>
      <w:r w:rsidRPr="00153868">
        <w:t>;</w:t>
      </w:r>
    </w:p>
    <w:p w14:paraId="5611E22D" w14:textId="77777777" w:rsidR="003016D3" w:rsidRPr="00153868" w:rsidRDefault="005A53DA" w:rsidP="003016D3">
      <w:pPr>
        <w:pStyle w:val="dotpoint"/>
      </w:pPr>
      <w:r>
        <w:t xml:space="preserve">the </w:t>
      </w:r>
      <w:r w:rsidR="00B50549">
        <w:t>Life Insurance Act</w:t>
      </w:r>
      <w:r w:rsidR="00477CBC">
        <w:rPr>
          <w:i/>
        </w:rPr>
        <w:t xml:space="preserve"> </w:t>
      </w:r>
      <w:r w:rsidR="00477CBC">
        <w:t xml:space="preserve">to </w:t>
      </w:r>
      <w:r w:rsidR="003016D3">
        <w:t>replace a reference to the PHI Act</w:t>
      </w:r>
      <w:r w:rsidR="003016D3" w:rsidRPr="003016D3">
        <w:t>;</w:t>
      </w:r>
    </w:p>
    <w:p w14:paraId="071EBFAD" w14:textId="77777777" w:rsidR="005A53DA" w:rsidRPr="0034184E" w:rsidRDefault="005A53DA" w:rsidP="005A53DA">
      <w:pPr>
        <w:pStyle w:val="dotpoint"/>
      </w:pPr>
      <w:r>
        <w:t xml:space="preserve">the </w:t>
      </w:r>
      <w:r w:rsidRPr="00B50549">
        <w:t xml:space="preserve">Medibank Private Sale Act </w:t>
      </w:r>
      <w:r>
        <w:t xml:space="preserve">to </w:t>
      </w:r>
      <w:r w:rsidR="00516584">
        <w:t>include</w:t>
      </w:r>
      <w:r>
        <w:t xml:space="preserve"> references to the </w:t>
      </w:r>
      <w:r w:rsidR="00E9202F">
        <w:t>Prudential Supervision Bill</w:t>
      </w:r>
      <w:r w:rsidR="00516584">
        <w:t xml:space="preserve"> in certain provisions that currently refer to the PHI Act</w:t>
      </w:r>
      <w:r w:rsidRPr="0034184E">
        <w:t>;</w:t>
      </w:r>
    </w:p>
    <w:p w14:paraId="41AC15D5" w14:textId="77777777" w:rsidR="005A53DA" w:rsidRPr="0034184E" w:rsidRDefault="005A53DA" w:rsidP="005A53DA">
      <w:pPr>
        <w:pStyle w:val="dotpoint"/>
      </w:pPr>
      <w:r>
        <w:t xml:space="preserve">the </w:t>
      </w:r>
      <w:r w:rsidRPr="00B50549">
        <w:t xml:space="preserve">Ombudsman Act </w:t>
      </w:r>
      <w:r>
        <w:t>to enable the sharing of information with APRA</w:t>
      </w:r>
      <w:r w:rsidRPr="0034184E">
        <w:t>; and</w:t>
      </w:r>
    </w:p>
    <w:p w14:paraId="01CE58E3" w14:textId="77777777" w:rsidR="005A53DA" w:rsidRPr="008F726E" w:rsidRDefault="005A53DA" w:rsidP="005A53DA">
      <w:pPr>
        <w:pStyle w:val="dotpoint"/>
      </w:pPr>
      <w:r>
        <w:t>the PHI Act to remove the prudential supervision powers, remove references to the Council and to repeal the provisions creating the Council.</w:t>
      </w:r>
    </w:p>
    <w:p w14:paraId="64349B09" w14:textId="77777777" w:rsidR="00175E1D" w:rsidRPr="008F726E" w:rsidRDefault="003B7F30" w:rsidP="002877D5">
      <w:pPr>
        <w:pStyle w:val="base-text-paragraph"/>
        <w:tabs>
          <w:tab w:val="clear" w:pos="1985"/>
          <w:tab w:val="num" w:pos="1986"/>
        </w:tabs>
      </w:pPr>
      <w:r>
        <w:t xml:space="preserve">In addition, transitional provisions will ensure that legal actions taken prior to the transfer day, such as the registration of private health insurers, and other processes, such as legal proceedings, will continue under the </w:t>
      </w:r>
      <w:r w:rsidR="00E9202F">
        <w:t>Prudential Supervision Bill</w:t>
      </w:r>
      <w:r>
        <w:t xml:space="preserve">. Finally, the </w:t>
      </w:r>
      <w:r w:rsidR="002877D5" w:rsidRPr="002877D5">
        <w:t>Consequential Amendments and Transitional Provisions Bill</w:t>
      </w:r>
      <w:r>
        <w:t xml:space="preserve"> contains machinery transitional provisions for the transfer of </w:t>
      </w:r>
      <w:r w:rsidR="00EE02D3">
        <w:t>the Council</w:t>
      </w:r>
      <w:r w:rsidR="007F01CD">
        <w:t xml:space="preserve"> staff</w:t>
      </w:r>
      <w:r>
        <w:t xml:space="preserve">, assets, liabilities and records </w:t>
      </w:r>
      <w:r w:rsidR="001A733C">
        <w:t xml:space="preserve">from the Council </w:t>
      </w:r>
      <w:r>
        <w:t>to APRA.</w:t>
      </w:r>
    </w:p>
    <w:p w14:paraId="512C864E" w14:textId="77777777" w:rsidR="00175E1D" w:rsidRDefault="00175E1D" w:rsidP="00175E1D">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75E1D" w:rsidRPr="004666B8" w14:paraId="35E82DF0" w14:textId="77777777" w:rsidTr="002877D5">
        <w:trPr>
          <w:tblHeader/>
        </w:trPr>
        <w:tc>
          <w:tcPr>
            <w:tcW w:w="3275" w:type="dxa"/>
          </w:tcPr>
          <w:p w14:paraId="34294D9B" w14:textId="77777777" w:rsidR="00175E1D" w:rsidRPr="004666B8" w:rsidRDefault="00175E1D" w:rsidP="00175E1D">
            <w:pPr>
              <w:pStyle w:val="tableheaderwithintable"/>
              <w:rPr>
                <w:lang w:val="en-US" w:eastAsia="en-US"/>
              </w:rPr>
            </w:pPr>
            <w:r w:rsidRPr="004666B8">
              <w:rPr>
                <w:lang w:val="en-US" w:eastAsia="en-US"/>
              </w:rPr>
              <w:t>New law</w:t>
            </w:r>
          </w:p>
        </w:tc>
        <w:tc>
          <w:tcPr>
            <w:tcW w:w="3276" w:type="dxa"/>
          </w:tcPr>
          <w:p w14:paraId="2F930309" w14:textId="77777777" w:rsidR="00175E1D" w:rsidRPr="004666B8" w:rsidRDefault="00175E1D" w:rsidP="00175E1D">
            <w:pPr>
              <w:pStyle w:val="tableheaderwithintable"/>
              <w:rPr>
                <w:lang w:val="en-US" w:eastAsia="en-US"/>
              </w:rPr>
            </w:pPr>
            <w:r w:rsidRPr="004666B8">
              <w:rPr>
                <w:lang w:val="en-US" w:eastAsia="en-US"/>
              </w:rPr>
              <w:t>Current law</w:t>
            </w:r>
          </w:p>
        </w:tc>
      </w:tr>
      <w:tr w:rsidR="00D97902" w:rsidRPr="004666B8" w14:paraId="0765E1F9" w14:textId="77777777" w:rsidTr="00F406F8">
        <w:tc>
          <w:tcPr>
            <w:tcW w:w="6551" w:type="dxa"/>
            <w:gridSpan w:val="2"/>
          </w:tcPr>
          <w:p w14:paraId="27371679" w14:textId="77777777" w:rsidR="00D97902" w:rsidRPr="00F2186A" w:rsidRDefault="00D97902" w:rsidP="00B2044F">
            <w:pPr>
              <w:pStyle w:val="tabletext"/>
              <w:jc w:val="center"/>
              <w:rPr>
                <w:b/>
                <w:lang w:val="en-US" w:eastAsia="en-US"/>
              </w:rPr>
            </w:pPr>
            <w:r w:rsidRPr="00F2186A">
              <w:rPr>
                <w:b/>
                <w:lang w:val="en-US" w:eastAsia="en-US"/>
              </w:rPr>
              <w:t>Part 1 - Amendments</w:t>
            </w:r>
          </w:p>
        </w:tc>
      </w:tr>
      <w:tr w:rsidR="00B2044F" w:rsidRPr="004666B8" w14:paraId="4E0DC0D0" w14:textId="77777777" w:rsidTr="00F406F8">
        <w:tc>
          <w:tcPr>
            <w:tcW w:w="6551" w:type="dxa"/>
            <w:gridSpan w:val="2"/>
          </w:tcPr>
          <w:p w14:paraId="6A9AC1E8" w14:textId="77777777" w:rsidR="00B2044F" w:rsidRPr="00F2186A" w:rsidRDefault="00B2044F" w:rsidP="00B2044F">
            <w:pPr>
              <w:pStyle w:val="tabletext"/>
              <w:jc w:val="center"/>
              <w:rPr>
                <w:b/>
                <w:lang w:val="en-US" w:eastAsia="en-US"/>
              </w:rPr>
            </w:pPr>
            <w:r w:rsidRPr="00F2186A">
              <w:rPr>
                <w:b/>
                <w:lang w:val="en-US" w:eastAsia="en-US"/>
              </w:rPr>
              <w:t>Divisions 1 – Main amendments</w:t>
            </w:r>
          </w:p>
        </w:tc>
      </w:tr>
      <w:tr w:rsidR="003B7F30" w:rsidRPr="004666B8" w14:paraId="32F38784" w14:textId="77777777" w:rsidTr="00175E1D">
        <w:tc>
          <w:tcPr>
            <w:tcW w:w="3275" w:type="dxa"/>
          </w:tcPr>
          <w:p w14:paraId="00AADC1C" w14:textId="12A24519" w:rsidR="003B7F30" w:rsidRPr="004666B8" w:rsidRDefault="002F71ED" w:rsidP="00175E1D">
            <w:pPr>
              <w:pStyle w:val="tabletext"/>
              <w:rPr>
                <w:lang w:val="en-US" w:eastAsia="en-US"/>
              </w:rPr>
            </w:pPr>
            <w:r>
              <w:rPr>
                <w:lang w:val="en-US" w:eastAsia="en-US"/>
              </w:rPr>
              <w:t xml:space="preserve">Subsection 3(2) of the APRA Act will be amended to include private health insurers in the definition of </w:t>
            </w:r>
            <w:r w:rsidR="007A0375">
              <w:rPr>
                <w:lang w:val="en-US" w:eastAsia="en-US"/>
              </w:rPr>
              <w:t>‘</w:t>
            </w:r>
            <w:r>
              <w:rPr>
                <w:lang w:val="en-US" w:eastAsia="en-US"/>
              </w:rPr>
              <w:t>body regulated by APRA</w:t>
            </w:r>
            <w:r w:rsidR="007A0375">
              <w:rPr>
                <w:lang w:val="en-US" w:eastAsia="en-US"/>
              </w:rPr>
              <w:t>’</w:t>
            </w:r>
            <w:r>
              <w:rPr>
                <w:lang w:val="en-US" w:eastAsia="en-US"/>
              </w:rPr>
              <w:t xml:space="preserve">. The </w:t>
            </w:r>
            <w:r w:rsidR="00E9202F">
              <w:rPr>
                <w:lang w:val="en-US" w:eastAsia="en-US"/>
              </w:rPr>
              <w:t>Prudential Supervision Bill</w:t>
            </w:r>
            <w:r>
              <w:rPr>
                <w:lang w:val="en-US" w:eastAsia="en-US"/>
              </w:rPr>
              <w:t xml:space="preserve"> and the risk equalisation </w:t>
            </w:r>
            <w:r w:rsidR="00516584">
              <w:rPr>
                <w:lang w:val="en-US" w:eastAsia="en-US"/>
              </w:rPr>
              <w:t>levy</w:t>
            </w:r>
            <w:r>
              <w:rPr>
                <w:lang w:val="en-US" w:eastAsia="en-US"/>
              </w:rPr>
              <w:t xml:space="preserve"> legislation will be included in the definition of </w:t>
            </w:r>
            <w:r w:rsidR="007A0375">
              <w:rPr>
                <w:lang w:val="en-US" w:eastAsia="en-US"/>
              </w:rPr>
              <w:t>‘</w:t>
            </w:r>
            <w:r>
              <w:rPr>
                <w:lang w:val="en-US" w:eastAsia="en-US"/>
              </w:rPr>
              <w:t>prudential regulation framework law</w:t>
            </w:r>
            <w:r w:rsidR="007A0375">
              <w:rPr>
                <w:lang w:val="en-US" w:eastAsia="en-US"/>
              </w:rPr>
              <w:t>’</w:t>
            </w:r>
            <w:r w:rsidR="00001B9D">
              <w:rPr>
                <w:lang w:val="en-US" w:eastAsia="en-US"/>
              </w:rPr>
              <w:t xml:space="preserve"> in subsection 3(1) of the APRA </w:t>
            </w:r>
            <w:r>
              <w:rPr>
                <w:lang w:val="en-US" w:eastAsia="en-US"/>
              </w:rPr>
              <w:t>Act, which will ensure that a document or information obtained for the purposes of such legislation will be protected under section 56 of the APRA Act.</w:t>
            </w:r>
          </w:p>
        </w:tc>
        <w:tc>
          <w:tcPr>
            <w:tcW w:w="3276" w:type="dxa"/>
          </w:tcPr>
          <w:p w14:paraId="35CACAE8" w14:textId="77777777" w:rsidR="002F71ED" w:rsidRDefault="002F71ED" w:rsidP="002F71ED">
            <w:pPr>
              <w:pStyle w:val="tabletext"/>
              <w:rPr>
                <w:lang w:val="en-US" w:eastAsia="en-US"/>
              </w:rPr>
            </w:pPr>
            <w:r>
              <w:rPr>
                <w:lang w:val="en-US" w:eastAsia="en-US"/>
              </w:rPr>
              <w:t xml:space="preserve">The </w:t>
            </w:r>
            <w:r w:rsidRPr="00187784">
              <w:rPr>
                <w:lang w:val="en-US" w:eastAsia="en-US"/>
              </w:rPr>
              <w:t>APRA Act</w:t>
            </w:r>
            <w:r w:rsidRPr="00CB55A6">
              <w:rPr>
                <w:i/>
                <w:lang w:val="en-US" w:eastAsia="en-US"/>
              </w:rPr>
              <w:t xml:space="preserve"> </w:t>
            </w:r>
            <w:r>
              <w:rPr>
                <w:lang w:val="en-US" w:eastAsia="en-US"/>
              </w:rPr>
              <w:t>does not specify private health insurers as bodies regulated by APRA for the purposes of the secrecy provision in section 56 or for the purposes of the FS(CoD) </w:t>
            </w:r>
            <w:r w:rsidRPr="00B2044F">
              <w:rPr>
                <w:lang w:val="en-US" w:eastAsia="en-US"/>
              </w:rPr>
              <w:t>Act</w:t>
            </w:r>
            <w:r>
              <w:rPr>
                <w:i/>
                <w:lang w:val="en-US" w:eastAsia="en-US"/>
              </w:rPr>
              <w:t>.</w:t>
            </w:r>
            <w:r>
              <w:rPr>
                <w:lang w:val="en-US" w:eastAsia="en-US"/>
              </w:rPr>
              <w:t xml:space="preserve"> </w:t>
            </w:r>
          </w:p>
          <w:p w14:paraId="3FD6EA9E" w14:textId="77777777" w:rsidR="003B7F30" w:rsidRPr="004666B8" w:rsidRDefault="003B7F30" w:rsidP="003B7F30">
            <w:pPr>
              <w:pStyle w:val="tabletext"/>
              <w:rPr>
                <w:lang w:val="en-US" w:eastAsia="en-US"/>
              </w:rPr>
            </w:pPr>
          </w:p>
        </w:tc>
      </w:tr>
      <w:tr w:rsidR="003B7F30" w:rsidRPr="004666B8" w14:paraId="45925D21" w14:textId="77777777" w:rsidTr="00175E1D">
        <w:tc>
          <w:tcPr>
            <w:tcW w:w="3275" w:type="dxa"/>
          </w:tcPr>
          <w:p w14:paraId="43A29DCE" w14:textId="77777777" w:rsidR="003B7F30" w:rsidRDefault="002F71ED" w:rsidP="002877D5">
            <w:pPr>
              <w:pStyle w:val="tabletext"/>
              <w:keepNext/>
              <w:keepLines/>
              <w:rPr>
                <w:lang w:val="en-US" w:eastAsia="en-US"/>
              </w:rPr>
            </w:pPr>
            <w:r>
              <w:rPr>
                <w:lang w:val="en-US" w:eastAsia="en-US"/>
              </w:rPr>
              <w:t xml:space="preserve">The APRA Act will include a new Special Account to administer the Collapsed Insurer Levy, should there be a requirement for it to be levied, and section 50 will be amended to ensure that the Minister’s annual supervisory levy determination works appropriately in relation to the Private Health Insurance Supervisory Levy. </w:t>
            </w:r>
          </w:p>
        </w:tc>
        <w:tc>
          <w:tcPr>
            <w:tcW w:w="3276" w:type="dxa"/>
          </w:tcPr>
          <w:p w14:paraId="508CD348" w14:textId="77777777" w:rsidR="003B7F30" w:rsidRPr="004666B8" w:rsidRDefault="002F71ED" w:rsidP="002877D5">
            <w:pPr>
              <w:pStyle w:val="tabletext"/>
              <w:keepNext/>
              <w:keepLines/>
              <w:rPr>
                <w:lang w:val="en-US" w:eastAsia="en-US"/>
              </w:rPr>
            </w:pPr>
            <w:r>
              <w:rPr>
                <w:lang w:val="en-US" w:eastAsia="en-US"/>
              </w:rPr>
              <w:t>The machinery provisions for levies in the APRA Act do not cater for private health insurance industry levies.</w:t>
            </w:r>
          </w:p>
        </w:tc>
      </w:tr>
      <w:tr w:rsidR="003B7F30" w:rsidRPr="004666B8" w14:paraId="5EF0BBA6" w14:textId="77777777" w:rsidTr="00175E1D">
        <w:tc>
          <w:tcPr>
            <w:tcW w:w="3275" w:type="dxa"/>
          </w:tcPr>
          <w:p w14:paraId="1B0B8B04" w14:textId="77777777" w:rsidR="003B7F30" w:rsidRDefault="002F71ED" w:rsidP="00175E1D">
            <w:pPr>
              <w:pStyle w:val="tabletext"/>
              <w:rPr>
                <w:lang w:val="en-US" w:eastAsia="en-US"/>
              </w:rPr>
            </w:pPr>
            <w:r>
              <w:rPr>
                <w:lang w:val="en-US" w:eastAsia="en-US"/>
              </w:rPr>
              <w:t xml:space="preserve">The </w:t>
            </w:r>
            <w:r w:rsidR="00A866AA">
              <w:rPr>
                <w:lang w:val="en-US" w:eastAsia="en-US"/>
              </w:rPr>
              <w:t>FISLC</w:t>
            </w:r>
            <w:r>
              <w:rPr>
                <w:lang w:val="en-US" w:eastAsia="en-US"/>
              </w:rPr>
              <w:t xml:space="preserve"> Act will provide for the collection of the Private Health Insurer Supervisory Levy and the Collapsed Insurer Levy.</w:t>
            </w:r>
          </w:p>
        </w:tc>
        <w:tc>
          <w:tcPr>
            <w:tcW w:w="3276" w:type="dxa"/>
          </w:tcPr>
          <w:p w14:paraId="24E0CBA2" w14:textId="77777777" w:rsidR="003B7F30" w:rsidRPr="004666B8" w:rsidRDefault="002F71ED" w:rsidP="00175E1D">
            <w:pPr>
              <w:pStyle w:val="tabletext"/>
              <w:rPr>
                <w:lang w:val="en-US" w:eastAsia="en-US"/>
              </w:rPr>
            </w:pPr>
            <w:r>
              <w:rPr>
                <w:lang w:val="en-US" w:eastAsia="en-US"/>
              </w:rPr>
              <w:t xml:space="preserve">The </w:t>
            </w:r>
            <w:r w:rsidR="00A866AA">
              <w:rPr>
                <w:lang w:val="en-US" w:eastAsia="en-US"/>
              </w:rPr>
              <w:t>FISLC</w:t>
            </w:r>
            <w:r>
              <w:rPr>
                <w:lang w:val="en-US" w:eastAsia="en-US"/>
              </w:rPr>
              <w:t xml:space="preserve"> Act does not provide for the collection of private health insurance industry levies by APRA.</w:t>
            </w:r>
          </w:p>
        </w:tc>
      </w:tr>
      <w:tr w:rsidR="003B7F30" w:rsidRPr="004666B8" w14:paraId="58243086" w14:textId="77777777" w:rsidTr="00175E1D">
        <w:tc>
          <w:tcPr>
            <w:tcW w:w="3275" w:type="dxa"/>
          </w:tcPr>
          <w:p w14:paraId="545BB92D" w14:textId="63EF6683" w:rsidR="003B7F30" w:rsidRDefault="002F71ED" w:rsidP="00175E1D">
            <w:pPr>
              <w:pStyle w:val="tabletext"/>
              <w:rPr>
                <w:lang w:val="en-US" w:eastAsia="en-US"/>
              </w:rPr>
            </w:pPr>
            <w:r>
              <w:rPr>
                <w:lang w:val="en-US" w:eastAsia="en-US"/>
              </w:rPr>
              <w:t xml:space="preserve">The inclusion of private health insurers in the definition of </w:t>
            </w:r>
            <w:r w:rsidR="007A0375">
              <w:rPr>
                <w:lang w:val="en-US" w:eastAsia="en-US"/>
              </w:rPr>
              <w:t>‘</w:t>
            </w:r>
            <w:r>
              <w:rPr>
                <w:lang w:val="en-US" w:eastAsia="en-US"/>
              </w:rPr>
              <w:t>body regulated by APRA</w:t>
            </w:r>
            <w:r w:rsidR="007A0375">
              <w:rPr>
                <w:lang w:val="en-US" w:eastAsia="en-US"/>
              </w:rPr>
              <w:t>’</w:t>
            </w:r>
            <w:r>
              <w:rPr>
                <w:lang w:val="en-US" w:eastAsia="en-US"/>
              </w:rPr>
              <w:t xml:space="preserve"> in section 3(2) of the APRA Act will </w:t>
            </w:r>
            <w:r w:rsidR="00516584">
              <w:rPr>
                <w:lang w:val="en-US" w:eastAsia="en-US"/>
              </w:rPr>
              <w:t xml:space="preserve">flow through to the definition of </w:t>
            </w:r>
            <w:r w:rsidR="007A0375">
              <w:rPr>
                <w:lang w:val="en-US" w:eastAsia="en-US"/>
              </w:rPr>
              <w:t>‘</w:t>
            </w:r>
            <w:r w:rsidR="00516584">
              <w:rPr>
                <w:lang w:val="en-US" w:eastAsia="en-US"/>
              </w:rPr>
              <w:t>regulated entity</w:t>
            </w:r>
            <w:r w:rsidR="007A0375">
              <w:rPr>
                <w:lang w:val="en-US" w:eastAsia="en-US"/>
              </w:rPr>
              <w:t>’</w:t>
            </w:r>
            <w:r w:rsidR="00516584">
              <w:rPr>
                <w:lang w:val="en-US" w:eastAsia="en-US"/>
              </w:rPr>
              <w:t xml:space="preserve"> in the FS(CoD) Act and </w:t>
            </w:r>
            <w:r>
              <w:rPr>
                <w:lang w:val="en-US" w:eastAsia="en-US"/>
              </w:rPr>
              <w:t>ensure that data can be collected from private health insurers</w:t>
            </w:r>
            <w:r w:rsidR="00516584">
              <w:rPr>
                <w:lang w:val="en-US" w:eastAsia="en-US"/>
              </w:rPr>
              <w:t xml:space="preserve"> under that Act</w:t>
            </w:r>
            <w:r>
              <w:rPr>
                <w:lang w:val="en-US" w:eastAsia="en-US"/>
              </w:rPr>
              <w:t xml:space="preserve">. An additional amendment to the objects clause in the FS(CoD) Act </w:t>
            </w:r>
            <w:r w:rsidR="00516584">
              <w:rPr>
                <w:lang w:val="en-US" w:eastAsia="en-US"/>
              </w:rPr>
              <w:t>to</w:t>
            </w:r>
            <w:r>
              <w:rPr>
                <w:lang w:val="en-US" w:eastAsia="en-US"/>
              </w:rPr>
              <w:t xml:space="preserve"> put it beyond doubt that APRA can collect data from private health insurers for the purposes of the </w:t>
            </w:r>
            <w:r w:rsidR="00516584">
              <w:rPr>
                <w:lang w:val="en-US" w:eastAsia="en-US"/>
              </w:rPr>
              <w:t>R</w:t>
            </w:r>
            <w:r>
              <w:rPr>
                <w:lang w:val="en-US" w:eastAsia="en-US"/>
              </w:rPr>
              <w:t>i</w:t>
            </w:r>
            <w:r w:rsidR="00516584">
              <w:rPr>
                <w:lang w:val="en-US" w:eastAsia="en-US"/>
              </w:rPr>
              <w:t>sk E</w:t>
            </w:r>
            <w:r>
              <w:rPr>
                <w:lang w:val="en-US" w:eastAsia="en-US"/>
              </w:rPr>
              <w:t xml:space="preserve">qualisation Special Account </w:t>
            </w:r>
            <w:r w:rsidR="00516584">
              <w:rPr>
                <w:lang w:val="en-US" w:eastAsia="en-US"/>
              </w:rPr>
              <w:t>(</w:t>
            </w:r>
            <w:r>
              <w:rPr>
                <w:lang w:val="en-US" w:eastAsia="en-US"/>
              </w:rPr>
              <w:t>as well as prudential supervision purposes</w:t>
            </w:r>
            <w:r w:rsidR="00516584">
              <w:rPr>
                <w:lang w:val="en-US" w:eastAsia="en-US"/>
              </w:rPr>
              <w:t>)</w:t>
            </w:r>
            <w:r>
              <w:rPr>
                <w:lang w:val="en-US" w:eastAsia="en-US"/>
              </w:rPr>
              <w:t>.</w:t>
            </w:r>
          </w:p>
        </w:tc>
        <w:tc>
          <w:tcPr>
            <w:tcW w:w="3276" w:type="dxa"/>
          </w:tcPr>
          <w:p w14:paraId="5DDBE670" w14:textId="77777777" w:rsidR="003B7F30" w:rsidRDefault="002F71ED" w:rsidP="00175E1D">
            <w:pPr>
              <w:pStyle w:val="tabletext"/>
              <w:rPr>
                <w:lang w:val="en-US" w:eastAsia="en-US"/>
              </w:rPr>
            </w:pPr>
            <w:r>
              <w:rPr>
                <w:lang w:val="en-US" w:eastAsia="en-US"/>
              </w:rPr>
              <w:t>The FS(CoD) Act does not currently provide for the collection of data from private health insurers by APRA.</w:t>
            </w:r>
          </w:p>
        </w:tc>
      </w:tr>
      <w:tr w:rsidR="003B7F30" w:rsidRPr="004666B8" w14:paraId="3B886FE0" w14:textId="77777777" w:rsidTr="00175E1D">
        <w:tc>
          <w:tcPr>
            <w:tcW w:w="3275" w:type="dxa"/>
          </w:tcPr>
          <w:p w14:paraId="7F667CB6" w14:textId="77777777" w:rsidR="003B7F30" w:rsidRDefault="002F71ED" w:rsidP="003B7F30">
            <w:pPr>
              <w:pStyle w:val="tabletext"/>
              <w:rPr>
                <w:lang w:val="en-US" w:eastAsia="en-US"/>
              </w:rPr>
            </w:pPr>
            <w:r>
              <w:rPr>
                <w:lang w:val="en-US" w:eastAsia="en-US"/>
              </w:rPr>
              <w:t xml:space="preserve">The PHI Act will cease to include references to the Council (which will cease to exist) and will no longer include prudential regulation supervision and enforcement functions (as these will move to the </w:t>
            </w:r>
            <w:r w:rsidR="00E9202F">
              <w:rPr>
                <w:lang w:val="en-US" w:eastAsia="en-US"/>
              </w:rPr>
              <w:t>Prudential Supervision Bill</w:t>
            </w:r>
            <w:r w:rsidR="00680F99">
              <w:rPr>
                <w:lang w:val="en-US" w:eastAsia="en-US"/>
              </w:rPr>
              <w:t>)</w:t>
            </w:r>
            <w:r>
              <w:rPr>
                <w:lang w:val="en-US" w:eastAsia="en-US"/>
              </w:rPr>
              <w:t>.</w:t>
            </w:r>
            <w:r w:rsidR="00CF4425">
              <w:rPr>
                <w:lang w:val="en-US" w:eastAsia="en-US"/>
              </w:rPr>
              <w:t xml:space="preserve"> </w:t>
            </w:r>
            <w:r w:rsidR="00CF4425" w:rsidRPr="00CF4425">
              <w:rPr>
                <w:lang w:val="en-US" w:eastAsia="en-US"/>
              </w:rPr>
              <w:t xml:space="preserve">The Council’s roles in relation to the collection of the Risk Equalisation Levy and the administration of the Risk Equalisation Special Account (formerly the Risk Equalisation Trust Fund) will be given to APRA.  </w:t>
            </w:r>
          </w:p>
          <w:p w14:paraId="19CB51DF" w14:textId="77777777" w:rsidR="00CF4425" w:rsidRDefault="00CF4425" w:rsidP="003B7F30">
            <w:pPr>
              <w:pStyle w:val="tabletext"/>
              <w:rPr>
                <w:lang w:val="en-US" w:eastAsia="en-US"/>
              </w:rPr>
            </w:pPr>
          </w:p>
        </w:tc>
        <w:tc>
          <w:tcPr>
            <w:tcW w:w="3276" w:type="dxa"/>
          </w:tcPr>
          <w:p w14:paraId="2810A650" w14:textId="77777777" w:rsidR="002F71ED" w:rsidRDefault="002F71ED" w:rsidP="002F71ED">
            <w:pPr>
              <w:pStyle w:val="tabletext"/>
              <w:rPr>
                <w:lang w:val="en-US" w:eastAsia="en-US"/>
              </w:rPr>
            </w:pPr>
            <w:r>
              <w:rPr>
                <w:lang w:val="en-US" w:eastAsia="en-US"/>
              </w:rPr>
              <w:t xml:space="preserve">The PHI Act contains provisions relating to the Council, including its constitution and functions, and confers prudential supervision and enforcement functions on the Council. </w:t>
            </w:r>
            <w:r w:rsidR="00CF4425" w:rsidRPr="00CF4425">
              <w:rPr>
                <w:lang w:val="en-US" w:eastAsia="en-US"/>
              </w:rPr>
              <w:t>The PHI Act also contains provisions under which the Council collects the Risk Equalisation, Council Administration and Collapsed Insurer Levies and administers the Risk Equalisation Trust Fund.</w:t>
            </w:r>
          </w:p>
          <w:p w14:paraId="21C91DC9" w14:textId="77777777" w:rsidR="003B7F30" w:rsidRPr="004666B8" w:rsidRDefault="003B7F30" w:rsidP="003B7F30">
            <w:pPr>
              <w:pStyle w:val="tabletext"/>
              <w:rPr>
                <w:lang w:val="en-US" w:eastAsia="en-US"/>
              </w:rPr>
            </w:pPr>
          </w:p>
        </w:tc>
      </w:tr>
      <w:tr w:rsidR="00C21EAC" w:rsidRPr="004666B8" w14:paraId="2902A8DA" w14:textId="77777777" w:rsidTr="00F406F8">
        <w:tc>
          <w:tcPr>
            <w:tcW w:w="6551" w:type="dxa"/>
            <w:gridSpan w:val="2"/>
          </w:tcPr>
          <w:p w14:paraId="7C38C5A1" w14:textId="77777777" w:rsidR="00C21EAC" w:rsidRPr="00C21EAC" w:rsidRDefault="00C21EAC" w:rsidP="002877D5">
            <w:pPr>
              <w:pStyle w:val="tabletext"/>
              <w:keepNext/>
              <w:keepLines/>
              <w:jc w:val="center"/>
              <w:rPr>
                <w:b/>
                <w:highlight w:val="yellow"/>
                <w:lang w:val="en-US" w:eastAsia="en-US"/>
              </w:rPr>
            </w:pPr>
            <w:r w:rsidRPr="00C21EAC">
              <w:rPr>
                <w:b/>
                <w:lang w:val="en-US" w:eastAsia="en-US"/>
              </w:rPr>
              <w:t xml:space="preserve">Part </w:t>
            </w:r>
            <w:r w:rsidR="00753452">
              <w:rPr>
                <w:b/>
                <w:lang w:val="en-US" w:eastAsia="en-US"/>
              </w:rPr>
              <w:t>2</w:t>
            </w:r>
            <w:r w:rsidRPr="00C21EAC">
              <w:rPr>
                <w:b/>
                <w:lang w:val="en-US" w:eastAsia="en-US"/>
              </w:rPr>
              <w:t xml:space="preserve"> – </w:t>
            </w:r>
            <w:r w:rsidR="00753452">
              <w:rPr>
                <w:b/>
                <w:lang w:val="en-US" w:eastAsia="en-US"/>
              </w:rPr>
              <w:t>Specific</w:t>
            </w:r>
            <w:r w:rsidRPr="00C21EAC">
              <w:rPr>
                <w:b/>
                <w:lang w:val="en-US" w:eastAsia="en-US"/>
              </w:rPr>
              <w:t xml:space="preserve"> transitional provisions</w:t>
            </w:r>
          </w:p>
        </w:tc>
      </w:tr>
      <w:tr w:rsidR="00F2186A" w:rsidRPr="004666B8" w14:paraId="44709D85" w14:textId="77777777" w:rsidTr="00753452">
        <w:tc>
          <w:tcPr>
            <w:tcW w:w="3275" w:type="dxa"/>
            <w:shd w:val="clear" w:color="auto" w:fill="FFFFFF" w:themeFill="background1"/>
          </w:tcPr>
          <w:p w14:paraId="6614744E" w14:textId="77777777" w:rsidR="00F2186A" w:rsidRDefault="00753452" w:rsidP="002877D5">
            <w:pPr>
              <w:pStyle w:val="tabletext"/>
              <w:keepNext/>
              <w:keepLines/>
              <w:rPr>
                <w:lang w:val="en-US" w:eastAsia="en-US"/>
              </w:rPr>
            </w:pPr>
            <w:r w:rsidRPr="00753452">
              <w:rPr>
                <w:lang w:val="en-US" w:eastAsia="en-US"/>
              </w:rPr>
              <w:t xml:space="preserve">A number of transitional provisions have been provided for </w:t>
            </w:r>
            <w:r>
              <w:rPr>
                <w:lang w:val="en-US" w:eastAsia="en-US"/>
              </w:rPr>
              <w:t>to</w:t>
            </w:r>
            <w:r w:rsidRPr="00753452">
              <w:rPr>
                <w:lang w:val="en-US" w:eastAsia="en-US"/>
              </w:rPr>
              <w:t xml:space="preserve"> ensure that legal actions taken prior to the transfer day</w:t>
            </w:r>
            <w:r w:rsidR="007831C0">
              <w:rPr>
                <w:lang w:val="en-US" w:eastAsia="en-US"/>
              </w:rPr>
              <w:t xml:space="preserve"> </w:t>
            </w:r>
            <w:r w:rsidRPr="00753452">
              <w:rPr>
                <w:lang w:val="en-US" w:eastAsia="en-US"/>
              </w:rPr>
              <w:t>and other processes</w:t>
            </w:r>
            <w:r w:rsidR="007831C0">
              <w:rPr>
                <w:lang w:val="en-US" w:eastAsia="en-US"/>
              </w:rPr>
              <w:t xml:space="preserve"> </w:t>
            </w:r>
            <w:r w:rsidRPr="00753452">
              <w:rPr>
                <w:lang w:val="en-US" w:eastAsia="en-US"/>
              </w:rPr>
              <w:t xml:space="preserve">will continue under the </w:t>
            </w:r>
            <w:r w:rsidR="00E9202F">
              <w:rPr>
                <w:lang w:val="en-US" w:eastAsia="en-US"/>
              </w:rPr>
              <w:t>Prudential Supervision Bill</w:t>
            </w:r>
            <w:r w:rsidRPr="00753452">
              <w:rPr>
                <w:lang w:val="en-US" w:eastAsia="en-US"/>
              </w:rPr>
              <w:t xml:space="preserve">.  </w:t>
            </w:r>
          </w:p>
        </w:tc>
        <w:tc>
          <w:tcPr>
            <w:tcW w:w="3276" w:type="dxa"/>
            <w:shd w:val="clear" w:color="auto" w:fill="FFFFFF" w:themeFill="background1"/>
          </w:tcPr>
          <w:p w14:paraId="39BECE9F" w14:textId="77777777" w:rsidR="007831C0" w:rsidRDefault="007831C0" w:rsidP="002877D5">
            <w:pPr>
              <w:pStyle w:val="tabletext"/>
              <w:keepNext/>
              <w:keepLines/>
              <w:rPr>
                <w:lang w:val="en-US" w:eastAsia="en-US"/>
              </w:rPr>
            </w:pPr>
            <w:r>
              <w:rPr>
                <w:lang w:val="en-US" w:eastAsia="en-US"/>
              </w:rPr>
              <w:t>The PHI Act contains provisions relating to:</w:t>
            </w:r>
          </w:p>
          <w:p w14:paraId="68096E05" w14:textId="77777777" w:rsidR="00D62A7C" w:rsidRDefault="007831C0" w:rsidP="002877D5">
            <w:pPr>
              <w:pStyle w:val="tabledotpoint"/>
              <w:keepNext/>
              <w:keepLines/>
              <w:rPr>
                <w:lang w:val="en-US" w:eastAsia="en-US"/>
              </w:rPr>
            </w:pPr>
            <w:r>
              <w:rPr>
                <w:lang w:val="en-US" w:eastAsia="en-US"/>
              </w:rPr>
              <w:t>registration of private health insurers</w:t>
            </w:r>
            <w:r w:rsidR="00D62A7C">
              <w:rPr>
                <w:lang w:val="en-US" w:eastAsia="en-US"/>
              </w:rPr>
              <w:t>;</w:t>
            </w:r>
          </w:p>
          <w:p w14:paraId="4CCEA1DD" w14:textId="77777777" w:rsidR="00D62A7C" w:rsidRDefault="007831C0" w:rsidP="002877D5">
            <w:pPr>
              <w:pStyle w:val="tabledotpoint"/>
              <w:keepNext/>
              <w:keepLines/>
              <w:rPr>
                <w:lang w:val="en-US" w:eastAsia="en-US"/>
              </w:rPr>
            </w:pPr>
            <w:r>
              <w:rPr>
                <w:lang w:val="en-US" w:eastAsia="en-US"/>
              </w:rPr>
              <w:t>health benefit funds – restructures, mergers and acquisitions</w:t>
            </w:r>
            <w:r w:rsidR="00D62A7C">
              <w:rPr>
                <w:lang w:val="en-US" w:eastAsia="en-US"/>
              </w:rPr>
              <w:t>,</w:t>
            </w:r>
            <w:r>
              <w:rPr>
                <w:lang w:val="en-US" w:eastAsia="en-US"/>
              </w:rPr>
              <w:t xml:space="preserve"> and terminating and external management</w:t>
            </w:r>
            <w:r w:rsidR="00D62A7C">
              <w:rPr>
                <w:lang w:val="en-US" w:eastAsia="en-US"/>
              </w:rPr>
              <w:t>;</w:t>
            </w:r>
          </w:p>
          <w:p w14:paraId="2E247247" w14:textId="77777777" w:rsidR="00D62A7C" w:rsidRDefault="00D62A7C" w:rsidP="002877D5">
            <w:pPr>
              <w:pStyle w:val="tabledotpoint"/>
              <w:keepNext/>
              <w:keepLines/>
              <w:rPr>
                <w:lang w:val="en-US" w:eastAsia="en-US"/>
              </w:rPr>
            </w:pPr>
            <w:r>
              <w:rPr>
                <w:lang w:val="en-US" w:eastAsia="en-US"/>
              </w:rPr>
              <w:t>other obligations of private health insurers;</w:t>
            </w:r>
          </w:p>
          <w:p w14:paraId="4740E336" w14:textId="77777777" w:rsidR="00D62A7C" w:rsidRDefault="00D62A7C" w:rsidP="002877D5">
            <w:pPr>
              <w:pStyle w:val="tabledotpoint"/>
              <w:keepNext/>
              <w:keepLines/>
              <w:rPr>
                <w:lang w:val="en-US" w:eastAsia="en-US"/>
              </w:rPr>
            </w:pPr>
            <w:r>
              <w:rPr>
                <w:lang w:val="en-US" w:eastAsia="en-US"/>
              </w:rPr>
              <w:t>enforcement; and</w:t>
            </w:r>
          </w:p>
          <w:p w14:paraId="1F596B28" w14:textId="77777777" w:rsidR="00F2186A" w:rsidRPr="00753452" w:rsidRDefault="00D62A7C" w:rsidP="002877D5">
            <w:pPr>
              <w:pStyle w:val="tabledotpoint"/>
              <w:keepNext/>
              <w:keepLines/>
              <w:rPr>
                <w:lang w:val="en-US" w:eastAsia="en-US"/>
              </w:rPr>
            </w:pPr>
            <w:r>
              <w:rPr>
                <w:lang w:val="en-US" w:eastAsia="en-US"/>
              </w:rPr>
              <w:t>financial and other matters.</w:t>
            </w:r>
          </w:p>
        </w:tc>
      </w:tr>
      <w:tr w:rsidR="00753452" w:rsidRPr="004666B8" w14:paraId="57B1F52F" w14:textId="77777777" w:rsidTr="00D62A7C">
        <w:tc>
          <w:tcPr>
            <w:tcW w:w="6551" w:type="dxa"/>
            <w:gridSpan w:val="2"/>
            <w:shd w:val="clear" w:color="auto" w:fill="FFFFFF" w:themeFill="background1"/>
          </w:tcPr>
          <w:p w14:paraId="2F57D5CD" w14:textId="77777777" w:rsidR="00753452" w:rsidRPr="00753452" w:rsidRDefault="00753452" w:rsidP="00753452">
            <w:pPr>
              <w:pStyle w:val="tabletext"/>
              <w:jc w:val="center"/>
              <w:rPr>
                <w:lang w:val="en-US" w:eastAsia="en-US"/>
              </w:rPr>
            </w:pPr>
            <w:r w:rsidRPr="00C21EAC">
              <w:rPr>
                <w:b/>
                <w:lang w:val="en-US" w:eastAsia="en-US"/>
              </w:rPr>
              <w:t xml:space="preserve">Part </w:t>
            </w:r>
            <w:r>
              <w:rPr>
                <w:b/>
                <w:lang w:val="en-US" w:eastAsia="en-US"/>
              </w:rPr>
              <w:t>3</w:t>
            </w:r>
            <w:r w:rsidRPr="00C21EAC">
              <w:rPr>
                <w:b/>
                <w:lang w:val="en-US" w:eastAsia="en-US"/>
              </w:rPr>
              <w:t xml:space="preserve"> – </w:t>
            </w:r>
            <w:r>
              <w:rPr>
                <w:b/>
                <w:lang w:val="en-US" w:eastAsia="en-US"/>
              </w:rPr>
              <w:t>General</w:t>
            </w:r>
            <w:r w:rsidRPr="00C21EAC">
              <w:rPr>
                <w:b/>
                <w:lang w:val="en-US" w:eastAsia="en-US"/>
              </w:rPr>
              <w:t xml:space="preserve"> transitional provisions</w:t>
            </w:r>
          </w:p>
        </w:tc>
      </w:tr>
      <w:tr w:rsidR="00753452" w:rsidRPr="004666B8" w14:paraId="3021513C" w14:textId="77777777" w:rsidTr="00753452">
        <w:tc>
          <w:tcPr>
            <w:tcW w:w="3275" w:type="dxa"/>
            <w:shd w:val="clear" w:color="auto" w:fill="FFFFFF" w:themeFill="background1"/>
          </w:tcPr>
          <w:p w14:paraId="6117F280" w14:textId="77777777" w:rsidR="00753452" w:rsidRDefault="00753452" w:rsidP="00753452">
            <w:pPr>
              <w:pStyle w:val="tabletext"/>
              <w:rPr>
                <w:lang w:val="en-US" w:eastAsia="en-US"/>
              </w:rPr>
            </w:pPr>
            <w:r>
              <w:rPr>
                <w:lang w:val="en-US" w:eastAsia="en-US"/>
              </w:rPr>
              <w:t>Machinery</w:t>
            </w:r>
            <w:r w:rsidRPr="00753452">
              <w:rPr>
                <w:lang w:val="en-US" w:eastAsia="en-US"/>
              </w:rPr>
              <w:t xml:space="preserve"> transitional provisions </w:t>
            </w:r>
            <w:r>
              <w:rPr>
                <w:lang w:val="en-US" w:eastAsia="en-US"/>
              </w:rPr>
              <w:t xml:space="preserve">that provide </w:t>
            </w:r>
            <w:r w:rsidRPr="00753452">
              <w:rPr>
                <w:lang w:val="en-US" w:eastAsia="en-US"/>
              </w:rPr>
              <w:t>for the transfer of the Council staff, assets, liabilities and records from the Council to APRA.</w:t>
            </w:r>
          </w:p>
        </w:tc>
        <w:tc>
          <w:tcPr>
            <w:tcW w:w="3276" w:type="dxa"/>
            <w:shd w:val="clear" w:color="auto" w:fill="FFFFFF" w:themeFill="background1"/>
          </w:tcPr>
          <w:p w14:paraId="6EBEFDF3" w14:textId="77777777" w:rsidR="00753452" w:rsidRPr="00753452" w:rsidRDefault="00104F76" w:rsidP="003B7F30">
            <w:pPr>
              <w:pStyle w:val="tabletext"/>
              <w:rPr>
                <w:lang w:val="en-US" w:eastAsia="en-US"/>
              </w:rPr>
            </w:pPr>
            <w:r>
              <w:rPr>
                <w:lang w:val="en-US" w:eastAsia="en-US"/>
              </w:rPr>
              <w:t>No equivalent provisions in the PHI Act.</w:t>
            </w:r>
          </w:p>
        </w:tc>
      </w:tr>
    </w:tbl>
    <w:p w14:paraId="09362B50" w14:textId="77777777" w:rsidR="00175E1D" w:rsidRDefault="00175E1D" w:rsidP="00175E1D">
      <w:pPr>
        <w:pStyle w:val="Heading2"/>
      </w:pPr>
      <w:r>
        <w:t>Detailed explanation of new law</w:t>
      </w:r>
    </w:p>
    <w:p w14:paraId="7E285E98" w14:textId="77777777" w:rsidR="0097463E" w:rsidRDefault="0097463E" w:rsidP="0097463E">
      <w:pPr>
        <w:pStyle w:val="Heading3"/>
      </w:pPr>
      <w:r>
        <w:t>Schedule 1 – Consequential amendments</w:t>
      </w:r>
    </w:p>
    <w:p w14:paraId="6DC1F8CF" w14:textId="77777777" w:rsidR="001F34BF" w:rsidRDefault="001F34BF" w:rsidP="001F34BF">
      <w:pPr>
        <w:pStyle w:val="Heading4"/>
      </w:pPr>
      <w:r w:rsidRPr="001F34BF">
        <w:t>Commencement</w:t>
      </w:r>
    </w:p>
    <w:p w14:paraId="45730653" w14:textId="3A745FCA" w:rsidR="00591FDA" w:rsidRPr="00BB3A62" w:rsidRDefault="00610D54" w:rsidP="007E3702">
      <w:pPr>
        <w:pStyle w:val="base-text-paragraph"/>
        <w:rPr>
          <w:i/>
        </w:rPr>
      </w:pPr>
      <w:r>
        <w:t xml:space="preserve">The </w:t>
      </w:r>
      <w:r w:rsidRPr="00610D54">
        <w:t>Consequential Amendment and Transitional Provisions Bill</w:t>
      </w:r>
      <w:r>
        <w:t xml:space="preserve"> has multiple commencement dates. Sections 1 to 3 commence on Royal Assent</w:t>
      </w:r>
      <w:r w:rsidR="00591FDA">
        <w:t>.</w:t>
      </w:r>
      <w:r>
        <w:t xml:space="preserve"> </w:t>
      </w:r>
      <w:r w:rsidR="00591FDA">
        <w:t xml:space="preserve">Division 1 of </w:t>
      </w:r>
      <w:r>
        <w:t>Schedule 1</w:t>
      </w:r>
      <w:r w:rsidR="00591FDA">
        <w:t xml:space="preserve"> and Part 2 of Schedule 1 commence at the same time as the Prudential Supervision Bill. Items 178-180 of Schedule 1 commence immediately after the </w:t>
      </w:r>
      <w:r w:rsidR="00BB3A62">
        <w:t>commencement certain items of</w:t>
      </w:r>
      <w:r w:rsidR="00591FDA">
        <w:t xml:space="preserve"> the </w:t>
      </w:r>
      <w:r w:rsidR="00591FDA" w:rsidRPr="00591FDA">
        <w:rPr>
          <w:i/>
        </w:rPr>
        <w:t>Private Health Insurance Amendment Act 2015</w:t>
      </w:r>
      <w:r w:rsidR="00BB3A62">
        <w:rPr>
          <w:i/>
        </w:rPr>
        <w:t xml:space="preserve"> </w:t>
      </w:r>
      <w:r w:rsidR="00591FDA">
        <w:t>or at same time as the Prudential Supervision Bill, whichever is the later</w:t>
      </w:r>
      <w:r w:rsidR="00BB3A62">
        <w:t xml:space="preserve"> date</w:t>
      </w:r>
      <w:r w:rsidR="00591FDA">
        <w:t xml:space="preserve">. </w:t>
      </w:r>
      <w:r w:rsidR="00BB3A62">
        <w:t>Item 181 of Schedule 1 (which amends th</w:t>
      </w:r>
      <w:r w:rsidR="00C27D8C">
        <w:t xml:space="preserve">e Prudential Supervision Bill) </w:t>
      </w:r>
      <w:r w:rsidR="00BB3A62">
        <w:t>commences either after th</w:t>
      </w:r>
      <w:r w:rsidR="00D91CF8">
        <w:t xml:space="preserve">e </w:t>
      </w:r>
      <w:r w:rsidR="00BB3A62">
        <w:t>commencement</w:t>
      </w:r>
      <w:r w:rsidR="00D91CF8">
        <w:t xml:space="preserve"> of the </w:t>
      </w:r>
      <w:r w:rsidR="00D91CF8" w:rsidRPr="00BB3A62">
        <w:rPr>
          <w:i/>
        </w:rPr>
        <w:t>Norfolk Island Legislation Amendment Act 2015</w:t>
      </w:r>
      <w:r w:rsidR="00BB3A62">
        <w:t xml:space="preserve"> or the commencement of the Prudential Supervision Bill, whichever is the later date. Item 182 of Schedule 1 (which also amends the Prudential Supervision Bill)</w:t>
      </w:r>
      <w:r w:rsidR="009B5A1C">
        <w:t xml:space="preserve"> </w:t>
      </w:r>
      <w:r w:rsidR="009B5A1C" w:rsidRPr="009B5A1C">
        <w:t>commences either after th</w:t>
      </w:r>
      <w:r w:rsidR="00D91CF8">
        <w:t xml:space="preserve">e </w:t>
      </w:r>
      <w:r w:rsidR="009B5A1C" w:rsidRPr="009B5A1C">
        <w:t>commencement</w:t>
      </w:r>
      <w:r w:rsidR="00D91CF8">
        <w:t xml:space="preserve"> of the </w:t>
      </w:r>
      <w:r w:rsidR="00D91CF8" w:rsidRPr="009B5A1C">
        <w:rPr>
          <w:i/>
        </w:rPr>
        <w:t>Acts and Instruments (Framework Reform) Act 2015</w:t>
      </w:r>
      <w:r w:rsidR="009B5A1C" w:rsidRPr="009B5A1C">
        <w:t>, or the commencement of the Prudential Supervision Bill, whichever is the later date</w:t>
      </w:r>
      <w:r w:rsidR="009B5A1C">
        <w:t xml:space="preserve">. </w:t>
      </w:r>
      <w:r w:rsidR="00D01EA2">
        <w:t xml:space="preserve">Schedule 2 commences the day after Royal Assent. </w:t>
      </w:r>
    </w:p>
    <w:p w14:paraId="68C671FF" w14:textId="77777777" w:rsidR="007760B4" w:rsidRDefault="007760B4" w:rsidP="009D487B">
      <w:pPr>
        <w:pStyle w:val="Heading4"/>
      </w:pPr>
      <w:r>
        <w:t xml:space="preserve">Division 1 – </w:t>
      </w:r>
      <w:r w:rsidR="0097463E">
        <w:t>Main</w:t>
      </w:r>
      <w:r>
        <w:t xml:space="preserve"> amendments</w:t>
      </w:r>
    </w:p>
    <w:p w14:paraId="2010274B" w14:textId="77777777" w:rsidR="00446279" w:rsidRDefault="00446279" w:rsidP="00E93AB0">
      <w:pPr>
        <w:pStyle w:val="Heading4"/>
      </w:pPr>
      <w:r>
        <w:t>APRA Act</w:t>
      </w:r>
    </w:p>
    <w:p w14:paraId="26C0320D" w14:textId="77777777" w:rsidR="00CC7000" w:rsidRDefault="00516584" w:rsidP="00516584">
      <w:pPr>
        <w:pStyle w:val="base-text-paragraph"/>
        <w:tabs>
          <w:tab w:val="clear" w:pos="1985"/>
          <w:tab w:val="num" w:pos="1986"/>
        </w:tabs>
      </w:pPr>
      <w:r>
        <w:t xml:space="preserve">The APRA Act establishes APRA, sets out secrecy obligations and provisions concerning certain aspects of the administration of levies, makes provision for other matters relating to the operations of APRA as an organisation, and outlines the broad functions and powers that APRA has as Australia’s prudential regulator. The amendments to the APRA Act will: </w:t>
      </w:r>
    </w:p>
    <w:p w14:paraId="364CF357" w14:textId="77777777" w:rsidR="00CC7000" w:rsidRDefault="00516584" w:rsidP="00C341C2">
      <w:pPr>
        <w:pStyle w:val="dotpoint"/>
      </w:pPr>
      <w:r>
        <w:t xml:space="preserve">ensure that information relating to private health insurers is subject to APRA’s secrecy provision; </w:t>
      </w:r>
    </w:p>
    <w:p w14:paraId="4120298C" w14:textId="77777777" w:rsidR="00CC7000" w:rsidRDefault="00516584" w:rsidP="00C341C2">
      <w:pPr>
        <w:pStyle w:val="dotpoint"/>
      </w:pPr>
      <w:r>
        <w:t>ensure APRA can collect data in relation to private health insurers under the FS(CoD) Act; and</w:t>
      </w:r>
    </w:p>
    <w:p w14:paraId="09E6AAA4" w14:textId="77777777" w:rsidR="00516584" w:rsidRDefault="00516584" w:rsidP="00C341C2">
      <w:pPr>
        <w:pStyle w:val="dotpoint"/>
      </w:pPr>
      <w:r>
        <w:t xml:space="preserve">contribute to bringing levies relating to private health insurers within APRA’s levy framework. </w:t>
      </w:r>
    </w:p>
    <w:p w14:paraId="712D13B1" w14:textId="77777777" w:rsidR="00B432B6" w:rsidRDefault="00B432B6" w:rsidP="000F194A">
      <w:pPr>
        <w:pStyle w:val="base-text-paragraph"/>
      </w:pPr>
      <w:r>
        <w:t>The following definition has been inserted into the Dictionary in Schedule 1</w:t>
      </w:r>
      <w:r w:rsidR="0050127E">
        <w:t>.</w:t>
      </w:r>
      <w:r>
        <w:t xml:space="preserve"> </w:t>
      </w:r>
      <w:r w:rsidRPr="000711A1">
        <w:rPr>
          <w:rStyle w:val="Referencingstyle"/>
        </w:rPr>
        <w:t xml:space="preserve">[Schedule 1, </w:t>
      </w:r>
      <w:r>
        <w:rPr>
          <w:rStyle w:val="Referencingstyle"/>
        </w:rPr>
        <w:t>Part 1, item 1</w:t>
      </w:r>
      <w:r w:rsidRPr="000711A1">
        <w:rPr>
          <w:rStyle w:val="Referencingstyle"/>
        </w:rPr>
        <w:t>]</w:t>
      </w:r>
    </w:p>
    <w:p w14:paraId="69595D64" w14:textId="77777777" w:rsidR="00B432B6" w:rsidRDefault="00B432B6" w:rsidP="00B432B6">
      <w:pPr>
        <w:pStyle w:val="dotpoint"/>
      </w:pPr>
      <w:r>
        <w:rPr>
          <w:b/>
          <w:i/>
        </w:rPr>
        <w:t>Collapsed Insurer Special Account</w:t>
      </w:r>
      <w:r>
        <w:rPr>
          <w:b/>
        </w:rPr>
        <w:t xml:space="preserve">: </w:t>
      </w:r>
      <w:r>
        <w:t>see subsection 54F(1)</w:t>
      </w:r>
      <w:r w:rsidR="00516584">
        <w:t xml:space="preserve"> (which establishes that Special Account, and is discussed further below</w:t>
      </w:r>
      <w:r>
        <w:t xml:space="preserve">). </w:t>
      </w:r>
    </w:p>
    <w:p w14:paraId="2460BB58" w14:textId="77777777" w:rsidR="003B7F30" w:rsidRDefault="003B7F30" w:rsidP="000F194A">
      <w:pPr>
        <w:pStyle w:val="base-text-paragraph"/>
      </w:pPr>
      <w:r>
        <w:t xml:space="preserve">The definition of </w:t>
      </w:r>
      <w:r w:rsidR="00CC7000">
        <w:t>‘</w:t>
      </w:r>
      <w:r w:rsidRPr="00F91F57">
        <w:t>prudential regulation framework law</w:t>
      </w:r>
      <w:r w:rsidR="00CC7000">
        <w:t>’</w:t>
      </w:r>
      <w:r>
        <w:t xml:space="preserve"> in definitions provision in s</w:t>
      </w:r>
      <w:r w:rsidR="00AD5FD2">
        <w:t>ubs</w:t>
      </w:r>
      <w:r w:rsidR="00244B41">
        <w:t>ection</w:t>
      </w:r>
      <w:r>
        <w:t xml:space="preserve"> 3(1) of the APRA Act has been amended to include the </w:t>
      </w:r>
      <w:r w:rsidR="00E9202F">
        <w:t>Prudential Supervision Bill</w:t>
      </w:r>
      <w:r w:rsidR="005A53DA">
        <w:t xml:space="preserve"> </w:t>
      </w:r>
      <w:r>
        <w:t xml:space="preserve">and the risk equalisation </w:t>
      </w:r>
      <w:r w:rsidR="00516584">
        <w:t>levy</w:t>
      </w:r>
      <w:r>
        <w:t xml:space="preserve"> legislation (within the meaning of that </w:t>
      </w:r>
      <w:r w:rsidR="00CC7000">
        <w:t>Bill</w:t>
      </w:r>
      <w:r>
        <w:t>)</w:t>
      </w:r>
      <w:r w:rsidR="0050127E">
        <w:t>.</w:t>
      </w:r>
      <w:r w:rsidR="001A277A">
        <w:t xml:space="preserve"> </w:t>
      </w:r>
      <w:r w:rsidR="00105762">
        <w:t xml:space="preserve">The definition has also been amended to remove ‘Acts’. </w:t>
      </w:r>
      <w:r w:rsidR="001A277A" w:rsidRPr="000711A1">
        <w:rPr>
          <w:rStyle w:val="Referencingstyle"/>
        </w:rPr>
        <w:t xml:space="preserve">[Schedule 1, </w:t>
      </w:r>
      <w:r w:rsidR="001A277A">
        <w:rPr>
          <w:rStyle w:val="Referencingstyle"/>
        </w:rPr>
        <w:t>Part 1, item</w:t>
      </w:r>
      <w:r w:rsidR="00105762">
        <w:rPr>
          <w:rStyle w:val="Referencingstyle"/>
        </w:rPr>
        <w:t>s</w:t>
      </w:r>
      <w:r w:rsidR="002E146C">
        <w:rPr>
          <w:rStyle w:val="Referencingstyle"/>
        </w:rPr>
        <w:t> </w:t>
      </w:r>
      <w:r w:rsidR="00105762">
        <w:rPr>
          <w:rStyle w:val="Referencingstyle"/>
        </w:rPr>
        <w:t>2 and</w:t>
      </w:r>
      <w:r w:rsidR="001A277A">
        <w:rPr>
          <w:rStyle w:val="Referencingstyle"/>
        </w:rPr>
        <w:t xml:space="preserve"> </w:t>
      </w:r>
      <w:r w:rsidR="00244B41">
        <w:rPr>
          <w:rStyle w:val="Referencingstyle"/>
        </w:rPr>
        <w:t>3]</w:t>
      </w:r>
    </w:p>
    <w:p w14:paraId="2DFFD5AB" w14:textId="77777777" w:rsidR="003B7F30" w:rsidRDefault="003B7F30" w:rsidP="000F194A">
      <w:pPr>
        <w:pStyle w:val="base-text-paragraph"/>
      </w:pPr>
      <w:r>
        <w:t xml:space="preserve">The definition of </w:t>
      </w:r>
      <w:r w:rsidR="00CC7000">
        <w:t>‘</w:t>
      </w:r>
      <w:r w:rsidRPr="00F91F57">
        <w:t>body regulated by APRA</w:t>
      </w:r>
      <w:r w:rsidR="00CC7000">
        <w:t>’</w:t>
      </w:r>
      <w:r w:rsidRPr="003B7F30">
        <w:rPr>
          <w:i/>
        </w:rPr>
        <w:t xml:space="preserve"> </w:t>
      </w:r>
      <w:r>
        <w:t xml:space="preserve">in </w:t>
      </w:r>
      <w:r w:rsidR="00D3100F">
        <w:t>sub</w:t>
      </w:r>
      <w:r>
        <w:t xml:space="preserve">section 3(2) of the APRA Act has also been amended to include a private health insurer, as defined within the </w:t>
      </w:r>
      <w:r w:rsidR="00E9202F">
        <w:t>Prudential Supervision Bill</w:t>
      </w:r>
      <w:r>
        <w:t xml:space="preserve">. This, together with the change noted in the previous paragraph, will ensure that information and documents relating to private health insurers are covered by the secrecy provision in section 56 of the APRA Act and that information and data relating to private health insurers can be collected by APRA under the </w:t>
      </w:r>
      <w:r w:rsidR="005A53DA">
        <w:t>FS(CoD) Act</w:t>
      </w:r>
      <w:r w:rsidR="0050127E">
        <w:t>.</w:t>
      </w:r>
      <w:r w:rsidR="001A277A">
        <w:rPr>
          <w:i/>
        </w:rPr>
        <w:t xml:space="preserve"> </w:t>
      </w:r>
      <w:r w:rsidR="001A277A" w:rsidRPr="000711A1">
        <w:rPr>
          <w:rStyle w:val="Referencingstyle"/>
        </w:rPr>
        <w:t xml:space="preserve">[Schedule 1, </w:t>
      </w:r>
      <w:r w:rsidR="001A277A">
        <w:rPr>
          <w:rStyle w:val="Referencingstyle"/>
        </w:rPr>
        <w:t xml:space="preserve">Part 1, item </w:t>
      </w:r>
      <w:r w:rsidR="00D3100F">
        <w:rPr>
          <w:rStyle w:val="Referencingstyle"/>
        </w:rPr>
        <w:t>4</w:t>
      </w:r>
      <w:r w:rsidR="001A277A" w:rsidRPr="000711A1">
        <w:rPr>
          <w:rStyle w:val="Referencingstyle"/>
        </w:rPr>
        <w:t>]</w:t>
      </w:r>
    </w:p>
    <w:p w14:paraId="4AB4CB86" w14:textId="77777777" w:rsidR="003B7F30" w:rsidRDefault="003B7F30" w:rsidP="000F194A">
      <w:pPr>
        <w:pStyle w:val="base-text-paragraph"/>
      </w:pPr>
      <w:r>
        <w:t xml:space="preserve">There is a minor amendment to section 8 of the APRA Act, which sets out APRA’s purposes, to recognise that the purposes listed in the section are not APRA’s exclusive purposes, having regard to the fact that APRA will have functions in relation to the risk equalisation </w:t>
      </w:r>
      <w:r w:rsidR="0050127E">
        <w:t>S</w:t>
      </w:r>
      <w:r>
        <w:t xml:space="preserve">pecial </w:t>
      </w:r>
      <w:r w:rsidR="0050127E">
        <w:t>A</w:t>
      </w:r>
      <w:r>
        <w:t>ccount</w:t>
      </w:r>
      <w:r w:rsidR="0050127E">
        <w:t>.</w:t>
      </w:r>
      <w:r w:rsidR="001A277A">
        <w:t xml:space="preserve"> </w:t>
      </w:r>
      <w:r w:rsidR="001A277A" w:rsidRPr="000711A1">
        <w:rPr>
          <w:rStyle w:val="Referencingstyle"/>
        </w:rPr>
        <w:t xml:space="preserve">[Schedule 1, </w:t>
      </w:r>
      <w:r w:rsidR="001A277A">
        <w:rPr>
          <w:rStyle w:val="Referencingstyle"/>
        </w:rPr>
        <w:t xml:space="preserve">Part 1, item </w:t>
      </w:r>
      <w:r w:rsidR="00D3100F">
        <w:rPr>
          <w:rStyle w:val="Referencingstyle"/>
        </w:rPr>
        <w:t>5</w:t>
      </w:r>
      <w:r w:rsidR="0050127E">
        <w:rPr>
          <w:rStyle w:val="Referencingstyle"/>
        </w:rPr>
        <w:t>]</w:t>
      </w:r>
    </w:p>
    <w:p w14:paraId="14F0BBAF" w14:textId="77777777" w:rsidR="003B7F30" w:rsidRDefault="003B7F30" w:rsidP="000F194A">
      <w:pPr>
        <w:pStyle w:val="base-text-paragraph"/>
      </w:pPr>
      <w:r>
        <w:t xml:space="preserve">The definition of a </w:t>
      </w:r>
      <w:r w:rsidR="00324509">
        <w:t>‘</w:t>
      </w:r>
      <w:r w:rsidRPr="00F91F57">
        <w:t>levy</w:t>
      </w:r>
      <w:r w:rsidR="00324509">
        <w:t>’</w:t>
      </w:r>
      <w:r>
        <w:t xml:space="preserve"> in subsection 50(6) of the APRA Act has been amended to exclude </w:t>
      </w:r>
      <w:r w:rsidR="0050127E">
        <w:t>levies</w:t>
      </w:r>
      <w:r>
        <w:t xml:space="preserve"> imposed under the </w:t>
      </w:r>
      <w:r w:rsidR="00E93D04" w:rsidRPr="005C1F4D">
        <w:t>Collapsed Insurer Levy Act</w:t>
      </w:r>
      <w:r>
        <w:t xml:space="preserve">. This means that </w:t>
      </w:r>
      <w:r w:rsidR="0050127E">
        <w:t>the C</w:t>
      </w:r>
      <w:r>
        <w:t xml:space="preserve">ollapsed </w:t>
      </w:r>
      <w:r w:rsidR="0050127E">
        <w:t>Insurer L</w:t>
      </w:r>
      <w:r>
        <w:t>evy will not be subject to the determination by the Minister, under s</w:t>
      </w:r>
      <w:r w:rsidR="003130AC">
        <w:t>ection</w:t>
      </w:r>
      <w:r>
        <w:t xml:space="preserve"> 50 of the APRA Act, which allocates the appropriate portion of supervisory levy to APRA.  That determination is only intended to apply to </w:t>
      </w:r>
      <w:r w:rsidR="0050127E">
        <w:t xml:space="preserve">APRA </w:t>
      </w:r>
      <w:r>
        <w:t xml:space="preserve">supervisory levies. </w:t>
      </w:r>
      <w:r w:rsidR="003130AC">
        <w:t>The r</w:t>
      </w:r>
      <w:r>
        <w:t>isk equalisation levy falls outside the definition of ‘levy’ in s</w:t>
      </w:r>
      <w:r w:rsidR="003130AC">
        <w:t>ection</w:t>
      </w:r>
      <w:r w:rsidR="00837652">
        <w:t> </w:t>
      </w:r>
      <w:r>
        <w:t xml:space="preserve">50(6) </w:t>
      </w:r>
      <w:r w:rsidR="003130AC">
        <w:t>as</w:t>
      </w:r>
      <w:r>
        <w:t xml:space="preserve"> it is not collected under the </w:t>
      </w:r>
      <w:r w:rsidR="00A866AA">
        <w:t>FISLC</w:t>
      </w:r>
      <w:r>
        <w:t xml:space="preserve"> Act but rather under the </w:t>
      </w:r>
      <w:r w:rsidR="005A53DA">
        <w:t>PHI</w:t>
      </w:r>
      <w:r w:rsidR="00CB5583">
        <w:t> </w:t>
      </w:r>
      <w:r w:rsidR="003130AC">
        <w:t>Act</w:t>
      </w:r>
      <w:r w:rsidR="0050127E">
        <w:t>.</w:t>
      </w:r>
      <w:r w:rsidR="001A277A">
        <w:t xml:space="preserve"> </w:t>
      </w:r>
      <w:r w:rsidR="001A277A" w:rsidRPr="000711A1">
        <w:rPr>
          <w:rStyle w:val="Referencingstyle"/>
        </w:rPr>
        <w:t xml:space="preserve">[Schedule 1, </w:t>
      </w:r>
      <w:r w:rsidR="001A277A">
        <w:rPr>
          <w:rStyle w:val="Referencingstyle"/>
        </w:rPr>
        <w:t xml:space="preserve">Part 1, item </w:t>
      </w:r>
      <w:r w:rsidR="00D3100F">
        <w:rPr>
          <w:rStyle w:val="Referencingstyle"/>
        </w:rPr>
        <w:t>6</w:t>
      </w:r>
      <w:r w:rsidR="001A277A" w:rsidRPr="000711A1">
        <w:rPr>
          <w:rStyle w:val="Referencingstyle"/>
        </w:rPr>
        <w:t>]</w:t>
      </w:r>
    </w:p>
    <w:p w14:paraId="725CE08B" w14:textId="77777777" w:rsidR="003D4E5C" w:rsidRDefault="003D4E5C" w:rsidP="000F194A">
      <w:pPr>
        <w:pStyle w:val="base-text-paragraph"/>
      </w:pPr>
      <w:r>
        <w:t xml:space="preserve">The rules regarding debits from the APRA Special Account have been modified to ensure that </w:t>
      </w:r>
      <w:r w:rsidR="0050127E">
        <w:t>the Special Account</w:t>
      </w:r>
      <w:r>
        <w:t xml:space="preserve"> cannot be debited for collapsed insurer assistance </w:t>
      </w:r>
      <w:r w:rsidR="003130AC">
        <w:t>payments within the meaning of s</w:t>
      </w:r>
      <w:r>
        <w:t xml:space="preserve">ection 54H (that is, for payments in line with the purposes of the Collapsed Insurer Special Account) or payments described in paragraph 318-10(1)(a) of the </w:t>
      </w:r>
      <w:r w:rsidR="002B7431" w:rsidRPr="0081048D">
        <w:t>PHI Act</w:t>
      </w:r>
      <w:r>
        <w:t xml:space="preserve"> (that is, payments in line with the purposes of the Risk Equalisation Special Account)</w:t>
      </w:r>
      <w:r w:rsidR="0050127E">
        <w:t>.</w:t>
      </w:r>
      <w:r w:rsidR="001A277A">
        <w:t xml:space="preserve"> </w:t>
      </w:r>
      <w:r w:rsidR="001A277A" w:rsidRPr="000711A1">
        <w:rPr>
          <w:rStyle w:val="Referencingstyle"/>
        </w:rPr>
        <w:t xml:space="preserve">[Schedule 1, </w:t>
      </w:r>
      <w:r w:rsidR="001A277A">
        <w:rPr>
          <w:rStyle w:val="Referencingstyle"/>
        </w:rPr>
        <w:t>Part 1, item 7</w:t>
      </w:r>
      <w:r w:rsidR="001A277A" w:rsidRPr="000711A1">
        <w:rPr>
          <w:rStyle w:val="Referencingstyle"/>
        </w:rPr>
        <w:t>]</w:t>
      </w:r>
    </w:p>
    <w:p w14:paraId="701F28A2" w14:textId="77777777" w:rsidR="003D4E5C" w:rsidRDefault="00CD1189" w:rsidP="000F194A">
      <w:pPr>
        <w:pStyle w:val="base-text-paragraph"/>
      </w:pPr>
      <w:r>
        <w:t xml:space="preserve">New </w:t>
      </w:r>
      <w:r w:rsidR="004D6380">
        <w:t>s</w:t>
      </w:r>
      <w:r>
        <w:t>ections 54F, 54G, and 54H will be added to the APRA</w:t>
      </w:r>
      <w:r w:rsidR="00105762">
        <w:t> </w:t>
      </w:r>
      <w:r>
        <w:t xml:space="preserve">Act in order to establish </w:t>
      </w:r>
      <w:r w:rsidR="00516584">
        <w:t>and set out the functions and purposes of</w:t>
      </w:r>
      <w:r>
        <w:t xml:space="preserve"> the Collapsed Insurer Special Account. Section</w:t>
      </w:r>
      <w:r w:rsidR="002F71ED">
        <w:t> </w:t>
      </w:r>
      <w:r>
        <w:t xml:space="preserve">54F establishes the Collapsed Insurer Special Account and declares it to be a </w:t>
      </w:r>
      <w:r w:rsidR="003D475F">
        <w:t>S</w:t>
      </w:r>
      <w:r>
        <w:t xml:space="preserve">pecial </w:t>
      </w:r>
      <w:r w:rsidR="003D475F">
        <w:t>A</w:t>
      </w:r>
      <w:r>
        <w:t xml:space="preserve">ccount for the purposes of the </w:t>
      </w:r>
      <w:r w:rsidRPr="007B147E">
        <w:rPr>
          <w:i/>
        </w:rPr>
        <w:t>Public Governance, Performance and Accountability Act 2013</w:t>
      </w:r>
      <w:r w:rsidR="0050127E">
        <w:t>.</w:t>
      </w:r>
      <w:r w:rsidR="001A277A">
        <w:rPr>
          <w:i/>
        </w:rPr>
        <w:t xml:space="preserve"> </w:t>
      </w:r>
      <w:r w:rsidR="001A277A" w:rsidRPr="000711A1">
        <w:rPr>
          <w:rStyle w:val="Referencingstyle"/>
        </w:rPr>
        <w:t xml:space="preserve">[Schedule 1, </w:t>
      </w:r>
      <w:r w:rsidR="001A277A">
        <w:rPr>
          <w:rStyle w:val="Referencingstyle"/>
        </w:rPr>
        <w:t>Part 1, item 8</w:t>
      </w:r>
      <w:r w:rsidR="001A277A" w:rsidRPr="000711A1">
        <w:rPr>
          <w:rStyle w:val="Referencingstyle"/>
        </w:rPr>
        <w:t>]</w:t>
      </w:r>
    </w:p>
    <w:p w14:paraId="7666BDAB" w14:textId="77777777" w:rsidR="00516584" w:rsidRDefault="00516584" w:rsidP="00324509">
      <w:pPr>
        <w:pStyle w:val="base-text-paragraph"/>
        <w:tabs>
          <w:tab w:val="clear" w:pos="1985"/>
          <w:tab w:val="num" w:pos="1986"/>
        </w:tabs>
      </w:pPr>
      <w:r>
        <w:t>The Collapsed Insurer Special Account does no</w:t>
      </w:r>
      <w:r w:rsidR="00CD10A2">
        <w:t xml:space="preserve">t exist under the current law. </w:t>
      </w:r>
      <w:r>
        <w:t xml:space="preserve">Under the current law, if an insurer collapsed and the Minister imposed the Collapsed Insurer Levy, the levy would be paid to the Council and banked by the Council pending the making of payment from that levy to the collapsed insurer or its external manager to help meet policy liabilities. The Council is legally separate to the Commonwealth and has had the capacity to hold money (including moneys related to the Collapsed Insurer Levy) on its own account. APRA holds money </w:t>
      </w:r>
      <w:r w:rsidR="00324509">
        <w:t xml:space="preserve">on behalf of the Commonwealth. </w:t>
      </w:r>
      <w:r>
        <w:t xml:space="preserve">For that reason, and to ensure that there is a clear separation between APRA’s money for general administrative purposes (which is credited to the APRA Special Account) and the Collapsed Insurer Levy, the </w:t>
      </w:r>
      <w:r w:rsidR="00324509" w:rsidRPr="00324509">
        <w:t>Consequential Amendments and Transitional Provisions Bill</w:t>
      </w:r>
      <w:r>
        <w:t xml:space="preserve"> provides for the establishment of the Collapsed Insurer Special Account. </w:t>
      </w:r>
      <w:r w:rsidR="00A423D4" w:rsidRPr="000711A1">
        <w:rPr>
          <w:rStyle w:val="Referencingstyle"/>
        </w:rPr>
        <w:t xml:space="preserve">[Schedule 1, </w:t>
      </w:r>
      <w:r w:rsidR="00A423D4">
        <w:rPr>
          <w:rStyle w:val="Referencingstyle"/>
        </w:rPr>
        <w:t>Part 1, item 8</w:t>
      </w:r>
      <w:r w:rsidR="00A423D4" w:rsidRPr="000711A1">
        <w:rPr>
          <w:rStyle w:val="Referencingstyle"/>
        </w:rPr>
        <w:t>]</w:t>
      </w:r>
    </w:p>
    <w:p w14:paraId="5E873BD6" w14:textId="77777777" w:rsidR="003130AC" w:rsidRDefault="003130AC" w:rsidP="000F194A">
      <w:pPr>
        <w:pStyle w:val="base-text-paragraph"/>
      </w:pPr>
      <w:r>
        <w:t xml:space="preserve">A </w:t>
      </w:r>
      <w:r w:rsidR="003D475F">
        <w:t>S</w:t>
      </w:r>
      <w:r>
        <w:t xml:space="preserve">pecial </w:t>
      </w:r>
      <w:r w:rsidR="003D475F">
        <w:t>A</w:t>
      </w:r>
      <w:r>
        <w:t xml:space="preserve">ccount is a mechanism that provides for appropriations for payments made by the Commonwealth. Under section 80 of the </w:t>
      </w:r>
      <w:r w:rsidRPr="003130AC">
        <w:rPr>
          <w:i/>
        </w:rPr>
        <w:t>Public Governance, Performance and Accountability Act</w:t>
      </w:r>
      <w:r w:rsidR="00324509">
        <w:rPr>
          <w:i/>
        </w:rPr>
        <w:t> </w:t>
      </w:r>
      <w:r w:rsidRPr="003130AC">
        <w:rPr>
          <w:i/>
        </w:rPr>
        <w:t>2013</w:t>
      </w:r>
      <w:r>
        <w:t xml:space="preserve">, if an Act (such as the APRA Act) establishes a </w:t>
      </w:r>
      <w:r w:rsidR="0050127E">
        <w:t>Special A</w:t>
      </w:r>
      <w:r>
        <w:t xml:space="preserve">ccount, then the consolidated revenue fund is appropriated for expenditure of the purposes of the </w:t>
      </w:r>
      <w:r w:rsidR="0050127E">
        <w:t>S</w:t>
      </w:r>
      <w:r>
        <w:t xml:space="preserve">pecial </w:t>
      </w:r>
      <w:r w:rsidR="0050127E">
        <w:t>A</w:t>
      </w:r>
      <w:r>
        <w:t xml:space="preserve">ccount, up to the balance for the time being for the </w:t>
      </w:r>
      <w:r w:rsidR="0050127E">
        <w:t>Special A</w:t>
      </w:r>
      <w:r>
        <w:t xml:space="preserve">ccount. In this case, any </w:t>
      </w:r>
      <w:r w:rsidR="0097420B">
        <w:t>C</w:t>
      </w:r>
      <w:r>
        <w:t xml:space="preserve">ollapsed </w:t>
      </w:r>
      <w:r w:rsidR="0097420B">
        <w:t>I</w:t>
      </w:r>
      <w:r>
        <w:t xml:space="preserve">nsurer </w:t>
      </w:r>
      <w:r w:rsidR="0097420B">
        <w:t>L</w:t>
      </w:r>
      <w:r>
        <w:t>evy imposed (see Chapter</w:t>
      </w:r>
      <w:r w:rsidR="003D475F">
        <w:t> </w:t>
      </w:r>
      <w:r w:rsidRPr="00E93AB0">
        <w:t>14</w:t>
      </w:r>
      <w:r>
        <w:t xml:space="preserve">) will be credited to the account, and amounts paid to policy holders of a collapsed insurer will be debited against the </w:t>
      </w:r>
      <w:r w:rsidR="0050127E">
        <w:t>Special A</w:t>
      </w:r>
      <w:r>
        <w:t xml:space="preserve">ccount. </w:t>
      </w:r>
    </w:p>
    <w:p w14:paraId="050F5E2F" w14:textId="77777777" w:rsidR="00CD1189" w:rsidRDefault="004D6380" w:rsidP="000F194A">
      <w:pPr>
        <w:pStyle w:val="base-text-paragraph"/>
      </w:pPr>
      <w:r>
        <w:t>S</w:t>
      </w:r>
      <w:r w:rsidR="00CD1189">
        <w:t xml:space="preserve">ection 54G </w:t>
      </w:r>
      <w:r w:rsidR="00516584">
        <w:t>provides</w:t>
      </w:r>
      <w:r w:rsidR="00CD1189">
        <w:t xml:space="preserve"> that amounts collected under </w:t>
      </w:r>
      <w:r w:rsidR="0097420B">
        <w:t>P</w:t>
      </w:r>
      <w:r w:rsidR="00CD1189">
        <w:t>art</w:t>
      </w:r>
      <w:r w:rsidR="0097420B">
        <w:t> </w:t>
      </w:r>
      <w:r w:rsidR="00CD1189">
        <w:t xml:space="preserve">3B of the </w:t>
      </w:r>
      <w:r w:rsidR="00A866AA">
        <w:t>FISLC</w:t>
      </w:r>
      <w:r w:rsidR="003D475F">
        <w:t xml:space="preserve"> Act</w:t>
      </w:r>
      <w:r w:rsidR="00CD1189">
        <w:rPr>
          <w:i/>
        </w:rPr>
        <w:t xml:space="preserve"> </w:t>
      </w:r>
      <w:r w:rsidR="00CD1189">
        <w:t xml:space="preserve">can be credited to the </w:t>
      </w:r>
      <w:r w:rsidR="0050127E">
        <w:t>S</w:t>
      </w:r>
      <w:r w:rsidR="00CD1189">
        <w:t xml:space="preserve">pecial </w:t>
      </w:r>
      <w:r w:rsidR="0050127E">
        <w:t>A</w:t>
      </w:r>
      <w:r w:rsidR="00CD1189">
        <w:t>ccount. That is:</w:t>
      </w:r>
    </w:p>
    <w:p w14:paraId="399CD198" w14:textId="77777777" w:rsidR="00CD1189" w:rsidRDefault="00A378A2" w:rsidP="00B34737">
      <w:pPr>
        <w:pStyle w:val="dotpoint"/>
      </w:pPr>
      <w:r>
        <w:t>a</w:t>
      </w:r>
      <w:r w:rsidR="00CD1189">
        <w:t>mounts received by APRA by way of a Collapsed Insurer Levy and late payment penalty in respect of that levy</w:t>
      </w:r>
      <w:r w:rsidR="0050127E">
        <w:t>.</w:t>
      </w:r>
      <w:r w:rsidR="007A331A">
        <w:t xml:space="preserve"> </w:t>
      </w:r>
      <w:r w:rsidR="0097420B" w:rsidRPr="000711A1">
        <w:rPr>
          <w:rStyle w:val="Referencingstyle"/>
        </w:rPr>
        <w:t>[</w:t>
      </w:r>
      <w:r w:rsidR="0097420B">
        <w:rPr>
          <w:rStyle w:val="Referencingstyle"/>
        </w:rPr>
        <w:t>Schedule 1, Part 1, item 8</w:t>
      </w:r>
      <w:r w:rsidR="0097420B" w:rsidRPr="000711A1">
        <w:rPr>
          <w:rStyle w:val="Referencingstyle"/>
        </w:rPr>
        <w:t>]</w:t>
      </w:r>
    </w:p>
    <w:p w14:paraId="5021879D" w14:textId="77777777" w:rsidR="00CD1189" w:rsidRDefault="00CD1189" w:rsidP="000F194A">
      <w:pPr>
        <w:pStyle w:val="base-text-paragraph"/>
      </w:pPr>
      <w:r>
        <w:t>Subsection 54H(1) establishes the purpose of the Collapsed Insurer Special Account and the purposes for which it can be debited. Specifically, the purposes of the Collapsed Insurer Special Account are:</w:t>
      </w:r>
    </w:p>
    <w:p w14:paraId="315C723F" w14:textId="77777777" w:rsidR="00CD1189" w:rsidRDefault="0050127E" w:rsidP="00B34737">
      <w:pPr>
        <w:pStyle w:val="dotpoint"/>
      </w:pPr>
      <w:r>
        <w:t xml:space="preserve">for </w:t>
      </w:r>
      <w:r w:rsidR="002F3CE1">
        <w:t xml:space="preserve">APRA </w:t>
      </w:r>
      <w:r>
        <w:t>to make</w:t>
      </w:r>
      <w:r w:rsidR="002F71ED">
        <w:t xml:space="preserve"> </w:t>
      </w:r>
      <w:r w:rsidR="002F3CE1">
        <w:t xml:space="preserve">payments (collapsed insurer assistance payments) to help meet a collapsed insurer’s liabilities to the people insured under its complying health insurance policies (that it cannot meet itself); </w:t>
      </w:r>
      <w:r w:rsidR="00E42082">
        <w:t>and</w:t>
      </w:r>
    </w:p>
    <w:p w14:paraId="4297970E" w14:textId="77777777" w:rsidR="00882D53" w:rsidRDefault="0050127E" w:rsidP="00882D53">
      <w:pPr>
        <w:pStyle w:val="dotpoint"/>
      </w:pPr>
      <w:r>
        <w:t xml:space="preserve">to </w:t>
      </w:r>
      <w:r w:rsidR="00A378A2">
        <w:t>m</w:t>
      </w:r>
      <w:r w:rsidR="002F3CE1">
        <w:t xml:space="preserve">eet the costs of administering the </w:t>
      </w:r>
      <w:r>
        <w:t>Special A</w:t>
      </w:r>
      <w:r w:rsidR="002F3CE1">
        <w:t>ccount and meeting any costs associated with the making of collapsed insurer assistance payments</w:t>
      </w:r>
      <w:r>
        <w:t>.</w:t>
      </w:r>
      <w:r w:rsidR="007A331A">
        <w:t xml:space="preserve"> </w:t>
      </w:r>
      <w:r w:rsidR="0097420B" w:rsidRPr="000711A1">
        <w:rPr>
          <w:rStyle w:val="Referencingstyle"/>
        </w:rPr>
        <w:t>[</w:t>
      </w:r>
      <w:r w:rsidR="0097420B">
        <w:rPr>
          <w:rStyle w:val="Referencingstyle"/>
        </w:rPr>
        <w:t>Schedule 1, Part 1, item 8</w:t>
      </w:r>
      <w:r w:rsidR="0097420B" w:rsidRPr="000711A1">
        <w:rPr>
          <w:rStyle w:val="Referencingstyle"/>
        </w:rPr>
        <w:t>]</w:t>
      </w:r>
    </w:p>
    <w:p w14:paraId="4C8AC874" w14:textId="77777777" w:rsidR="00516584" w:rsidRDefault="00516584" w:rsidP="000F194A">
      <w:pPr>
        <w:pStyle w:val="base-text-paragraph"/>
      </w:pPr>
      <w:r>
        <w:t>These arrangements are similar to the arrangements in place where levy is collected, and amounts expended by APRA, in the event that the Financ</w:t>
      </w:r>
      <w:r w:rsidR="00324509">
        <w:t>ial Claims Scheme is activated.</w:t>
      </w:r>
      <w:r>
        <w:t xml:space="preserve"> Money to pay claims is credited to and debited from the Financial Claims Scheme Special Account.  </w:t>
      </w:r>
    </w:p>
    <w:p w14:paraId="0338F837" w14:textId="77777777" w:rsidR="003130AC" w:rsidRDefault="003130AC" w:rsidP="000F194A">
      <w:pPr>
        <w:pStyle w:val="base-text-paragraph"/>
      </w:pPr>
      <w:r>
        <w:t xml:space="preserve">It is appropriate that collapsed insurer payments be funded by a separate levy (as has been the case under </w:t>
      </w:r>
      <w:r w:rsidR="00AC6B82">
        <w:t>the Council</w:t>
      </w:r>
      <w:r>
        <w:t xml:space="preserve">) and accounted for in a separate </w:t>
      </w:r>
      <w:r w:rsidR="0050127E">
        <w:t>S</w:t>
      </w:r>
      <w:r>
        <w:t xml:space="preserve">pecial </w:t>
      </w:r>
      <w:r w:rsidR="0050127E">
        <w:t>A</w:t>
      </w:r>
      <w:r>
        <w:t xml:space="preserve">ccount because APRA is a cost recovery agency and only recovers through general supervisory levies what it expects to spend on each industry in each year. As a result, unexpected costs due to the activation of </w:t>
      </w:r>
      <w:r w:rsidR="0050127E">
        <w:t xml:space="preserve">the </w:t>
      </w:r>
      <w:r>
        <w:t>Collapsed Insurer Levy (and likewise, in a banking or general insurance context, the Financial Claims Scheme) are not budgeted for, or collected from industry, in any year.</w:t>
      </w:r>
    </w:p>
    <w:p w14:paraId="3B9702F0" w14:textId="77777777" w:rsidR="007A509C" w:rsidRDefault="00E26489" w:rsidP="000F194A">
      <w:pPr>
        <w:pStyle w:val="base-text-paragraph"/>
      </w:pPr>
      <w:r>
        <w:t>To ensure that costs related t</w:t>
      </w:r>
      <w:r w:rsidR="00C23A99">
        <w:t>o one industry (for example, private health insurer</w:t>
      </w:r>
      <w:r>
        <w:t xml:space="preserve">s in the activation of the Collapsed Insurer Levy) are not subsidised by another industry </w:t>
      </w:r>
      <w:r w:rsidR="007A509C">
        <w:t>(for example</w:t>
      </w:r>
      <w:r>
        <w:t xml:space="preserve">, the </w:t>
      </w:r>
      <w:r w:rsidR="007A509C">
        <w:t xml:space="preserve">supervisory </w:t>
      </w:r>
      <w:r>
        <w:t>levies paid by general insurers), it is appropriate that these a</w:t>
      </w:r>
      <w:r w:rsidR="00C23A99">
        <w:t>mounts be recovered from the private health insurance</w:t>
      </w:r>
      <w:r>
        <w:t xml:space="preserve"> sector</w:t>
      </w:r>
      <w:r w:rsidR="007A509C">
        <w:t xml:space="preserve"> through </w:t>
      </w:r>
      <w:r w:rsidR="003130AC">
        <w:t xml:space="preserve">a separate </w:t>
      </w:r>
      <w:r w:rsidR="007A509C">
        <w:t>Collapsed Insurer Levy</w:t>
      </w:r>
      <w:r w:rsidR="003130AC">
        <w:t xml:space="preserve"> (as has been the position under </w:t>
      </w:r>
      <w:r w:rsidR="00AC6B82">
        <w:t>the Council</w:t>
      </w:r>
      <w:r w:rsidR="003130AC">
        <w:t>).</w:t>
      </w:r>
      <w:r w:rsidR="007A509C">
        <w:t xml:space="preserve"> </w:t>
      </w:r>
    </w:p>
    <w:p w14:paraId="2B588A6E" w14:textId="77777777" w:rsidR="003D4E5C" w:rsidRDefault="002F3CE1" w:rsidP="000F194A">
      <w:pPr>
        <w:pStyle w:val="base-text-paragraph"/>
      </w:pPr>
      <w:r>
        <w:t xml:space="preserve">Subsection 54H(2) notes that the Minister may, by written notice to the collapsed insurer (or an external manager or terminating manager of a collapsed insurer) specify conditions upon which any collapsed insurer assistance payments are made. This could include </w:t>
      </w:r>
      <w:r w:rsidR="00E75B4A">
        <w:t>repayment conditions for the collapsed insurer</w:t>
      </w:r>
      <w:r w:rsidR="0050127E">
        <w:t>.</w:t>
      </w:r>
      <w:r w:rsidR="007A331A">
        <w:t xml:space="preserve"> </w:t>
      </w:r>
      <w:r w:rsidR="00516584">
        <w:t xml:space="preserve">The purpose of this is to ensure that the Commonwealth has a right to require repayment of collapsed insurer assistance payments, or </w:t>
      </w:r>
      <w:r w:rsidR="00A423D4">
        <w:t>at least partial repayment (for example,</w:t>
      </w:r>
      <w:r w:rsidR="00516584">
        <w:t xml:space="preserve"> via a dividend in the winding up of the private health insurer) in the event of the insolvency </w:t>
      </w:r>
      <w:r w:rsidR="00324509">
        <w:t xml:space="preserve">of the private health insurer. </w:t>
      </w:r>
      <w:r w:rsidR="00516584">
        <w:t xml:space="preserve">If amounts are repaid then they will be credited to the Risk Equalisation Special Account, as discussed further below, so that they can be returned to industry via adjustments </w:t>
      </w:r>
      <w:r w:rsidR="00A423D4">
        <w:t xml:space="preserve">to risk equalisation payments. </w:t>
      </w:r>
      <w:r w:rsidR="00516584">
        <w:t>The Minister’s</w:t>
      </w:r>
      <w:r w:rsidR="00AA1BEC">
        <w:t xml:space="preserve"> notice is not a legislative instrument because it is specific to the insurer, therefore the statement in subsectio</w:t>
      </w:r>
      <w:r w:rsidR="0064183C">
        <w:t>n</w:t>
      </w:r>
      <w:r w:rsidR="00516584">
        <w:t xml:space="preserve"> </w:t>
      </w:r>
      <w:r w:rsidR="0064183C">
        <w:t>54H(3) does not constitute a substantive exemption, but is a statement of the ‘status quo’.</w:t>
      </w:r>
      <w:r w:rsidR="0064183C" w:rsidRPr="000711A1">
        <w:rPr>
          <w:rStyle w:val="Referencingstyle"/>
        </w:rPr>
        <w:t xml:space="preserve"> </w:t>
      </w:r>
      <w:r w:rsidR="0097420B" w:rsidRPr="000711A1">
        <w:rPr>
          <w:rStyle w:val="Referencingstyle"/>
        </w:rPr>
        <w:t>[</w:t>
      </w:r>
      <w:r w:rsidR="0097420B">
        <w:rPr>
          <w:rStyle w:val="Referencingstyle"/>
        </w:rPr>
        <w:t>Schedule 1, Part 1, item 8</w:t>
      </w:r>
      <w:r w:rsidR="0097420B" w:rsidRPr="000711A1">
        <w:rPr>
          <w:rStyle w:val="Referencingstyle"/>
        </w:rPr>
        <w:t>]</w:t>
      </w:r>
    </w:p>
    <w:p w14:paraId="7EC37540" w14:textId="77777777" w:rsidR="00232F73" w:rsidRDefault="00232F73" w:rsidP="000F194A">
      <w:pPr>
        <w:pStyle w:val="base-text-paragraph"/>
      </w:pPr>
      <w:r>
        <w:t xml:space="preserve">In </w:t>
      </w:r>
      <w:r w:rsidR="004E45D5">
        <w:t>s</w:t>
      </w:r>
      <w:r>
        <w:t xml:space="preserve">ection 54H, </w:t>
      </w:r>
      <w:r w:rsidR="00324509">
        <w:t>‘</w:t>
      </w:r>
      <w:r w:rsidRPr="00F91F57">
        <w:t>collapsed insurer</w:t>
      </w:r>
      <w:r w:rsidR="00324509">
        <w:t>’</w:t>
      </w:r>
      <w:r>
        <w:t xml:space="preserve"> and </w:t>
      </w:r>
      <w:r w:rsidR="00324509" w:rsidRPr="00324509">
        <w:t>‘</w:t>
      </w:r>
      <w:r w:rsidRPr="00F91F57">
        <w:t>complying health insurance policy</w:t>
      </w:r>
      <w:r w:rsidR="00324509" w:rsidRPr="00324509">
        <w:t>’</w:t>
      </w:r>
      <w:r w:rsidRPr="00324509">
        <w:t xml:space="preserve"> </w:t>
      </w:r>
      <w:r>
        <w:t xml:space="preserve">have the same meanings as used in the </w:t>
      </w:r>
      <w:r w:rsidR="00E93D04" w:rsidRPr="00A423D4">
        <w:t>Collapsed Insurer Levy Act</w:t>
      </w:r>
      <w:r>
        <w:t xml:space="preserve"> and the </w:t>
      </w:r>
      <w:r w:rsidR="002B7431" w:rsidRPr="00E93AB0">
        <w:t>PHI Act</w:t>
      </w:r>
      <w:r w:rsidR="002B7431">
        <w:t xml:space="preserve"> </w:t>
      </w:r>
      <w:r>
        <w:t>respectively</w:t>
      </w:r>
      <w:r w:rsidR="0050127E">
        <w:t>.</w:t>
      </w:r>
      <w:r w:rsidR="007A331A">
        <w:t xml:space="preserve"> </w:t>
      </w:r>
      <w:r w:rsidR="0097420B" w:rsidRPr="000711A1">
        <w:rPr>
          <w:rStyle w:val="Referencingstyle"/>
        </w:rPr>
        <w:t>[</w:t>
      </w:r>
      <w:r w:rsidR="0097420B">
        <w:rPr>
          <w:rStyle w:val="Referencingstyle"/>
        </w:rPr>
        <w:t>Schedule 1, Part 1, item 8</w:t>
      </w:r>
      <w:r w:rsidR="0097420B" w:rsidRPr="000711A1">
        <w:rPr>
          <w:rStyle w:val="Referencingstyle"/>
        </w:rPr>
        <w:t>]</w:t>
      </w:r>
    </w:p>
    <w:p w14:paraId="2B76098B" w14:textId="77777777" w:rsidR="00446279" w:rsidRDefault="00446279" w:rsidP="00E93AB0">
      <w:pPr>
        <w:pStyle w:val="Heading4"/>
      </w:pPr>
      <w:r>
        <w:t>Financial Institutions Supervisory Levies Collection Act 1998</w:t>
      </w:r>
    </w:p>
    <w:p w14:paraId="6A58E58C" w14:textId="77777777" w:rsidR="00232F73" w:rsidRDefault="00324509" w:rsidP="000F194A">
      <w:pPr>
        <w:pStyle w:val="base-text-paragraph"/>
      </w:pPr>
      <w:r>
        <w:t xml:space="preserve">The </w:t>
      </w:r>
      <w:r>
        <w:rPr>
          <w:lang w:val="en-US" w:eastAsia="en-US"/>
        </w:rPr>
        <w:t>Consequential Amendments and Transitional Provisions Bill</w:t>
      </w:r>
      <w:r w:rsidR="00232F73">
        <w:t xml:space="preserve"> provides for the collection of supervisory and other industry levies by APRA. Part 2 relates to the collection of supervisory levies and is amended to cover the collection of supervisory levies in relation to private health insurers. Parts 3 and 3A relate to levies which in general terms relate to failed superannuation funds, </w:t>
      </w:r>
      <w:r w:rsidR="00A104D1">
        <w:t>ADIs</w:t>
      </w:r>
      <w:r>
        <w:t xml:space="preserve"> </w:t>
      </w:r>
      <w:r w:rsidR="00232F73">
        <w:t xml:space="preserve">and general insurers. A new Part 3B will be inserted for the purpose of collecting </w:t>
      </w:r>
      <w:r w:rsidR="0050127E">
        <w:t>the C</w:t>
      </w:r>
      <w:r w:rsidR="00232F73">
        <w:t xml:space="preserve">ollapsed </w:t>
      </w:r>
      <w:r w:rsidR="0050127E">
        <w:t>I</w:t>
      </w:r>
      <w:r w:rsidR="00232F73">
        <w:t xml:space="preserve">nsurer </w:t>
      </w:r>
      <w:r w:rsidR="0050127E">
        <w:t>L</w:t>
      </w:r>
      <w:r w:rsidR="00232F73">
        <w:t>evy (which is currently collected under the P</w:t>
      </w:r>
      <w:r w:rsidR="00A866AA">
        <w:t>HI</w:t>
      </w:r>
      <w:r w:rsidR="00232F73">
        <w:t xml:space="preserve"> Act).</w:t>
      </w:r>
    </w:p>
    <w:p w14:paraId="6F6B13B5" w14:textId="77777777" w:rsidR="00232F73" w:rsidRDefault="00232F73" w:rsidP="000F194A">
      <w:pPr>
        <w:pStyle w:val="base-text-paragraph"/>
      </w:pPr>
      <w:r>
        <w:t xml:space="preserve">A definition of </w:t>
      </w:r>
      <w:r w:rsidR="00324509">
        <w:t>‘</w:t>
      </w:r>
      <w:r w:rsidRPr="00F91F57">
        <w:t>private health insurer</w:t>
      </w:r>
      <w:r w:rsidR="00324509">
        <w:t>’</w:t>
      </w:r>
      <w:r>
        <w:t xml:space="preserve"> is inserted into section 6. It </w:t>
      </w:r>
      <w:r w:rsidR="00726AEF">
        <w:t xml:space="preserve">has </w:t>
      </w:r>
      <w:r w:rsidRPr="00082B3D">
        <w:t xml:space="preserve">the same meaning as in the </w:t>
      </w:r>
      <w:r w:rsidR="00E9202F">
        <w:t>Prudential Supervision Bill</w:t>
      </w:r>
      <w:r w:rsidR="00AA381D">
        <w:t>.</w:t>
      </w:r>
      <w:r w:rsidR="007A331A">
        <w:rPr>
          <w:i/>
        </w:rPr>
        <w:t xml:space="preserve"> </w:t>
      </w:r>
      <w:r w:rsidR="007A331A" w:rsidRPr="000711A1">
        <w:rPr>
          <w:rStyle w:val="Referencingstyle"/>
        </w:rPr>
        <w:t>[</w:t>
      </w:r>
      <w:r w:rsidR="007A331A">
        <w:rPr>
          <w:rStyle w:val="Referencingstyle"/>
        </w:rPr>
        <w:t>Schedule 1, Part 1, Item 9</w:t>
      </w:r>
      <w:r w:rsidR="007A331A" w:rsidRPr="000711A1">
        <w:rPr>
          <w:rStyle w:val="Referencingstyle"/>
        </w:rPr>
        <w:t>]</w:t>
      </w:r>
    </w:p>
    <w:p w14:paraId="79DFFD83" w14:textId="77777777" w:rsidR="00082B3D" w:rsidRDefault="009F0545" w:rsidP="000F194A">
      <w:pPr>
        <w:pStyle w:val="base-text-paragraph"/>
      </w:pPr>
      <w:r>
        <w:t xml:space="preserve">In </w:t>
      </w:r>
      <w:r w:rsidR="00232F73">
        <w:t>s</w:t>
      </w:r>
      <w:r>
        <w:t>ection 7, t</w:t>
      </w:r>
      <w:r w:rsidR="00082B3D">
        <w:t xml:space="preserve">he definition </w:t>
      </w:r>
      <w:r w:rsidR="00082B3D" w:rsidRPr="00324509">
        <w:t xml:space="preserve">of </w:t>
      </w:r>
      <w:r w:rsidR="00324509" w:rsidRPr="00324509">
        <w:t>‘</w:t>
      </w:r>
      <w:r w:rsidR="00082B3D" w:rsidRPr="00F91F57">
        <w:t>leviable body</w:t>
      </w:r>
      <w:r w:rsidR="00324509" w:rsidRPr="006E2BF3">
        <w:t>’</w:t>
      </w:r>
      <w:r w:rsidR="00082B3D">
        <w:t xml:space="preserve"> has been expanded to i</w:t>
      </w:r>
      <w:r w:rsidR="00E07D85">
        <w:t xml:space="preserve">nclude private health </w:t>
      </w:r>
      <w:r w:rsidR="008145B3">
        <w:t>insurers. T</w:t>
      </w:r>
      <w:r>
        <w:t xml:space="preserve">he definition of a levy has </w:t>
      </w:r>
      <w:r w:rsidR="008145B3">
        <w:t xml:space="preserve">also </w:t>
      </w:r>
      <w:r>
        <w:t xml:space="preserve">been expanded to include (in respect of a private health insurer) a levy imposed by the </w:t>
      </w:r>
      <w:r w:rsidRPr="006E2BF3">
        <w:t xml:space="preserve">Supervisory Levy Imposition </w:t>
      </w:r>
      <w:r w:rsidR="00837652">
        <w:t>Bill</w:t>
      </w:r>
      <w:r w:rsidR="00AA381D" w:rsidRPr="00AA381D">
        <w:t>.</w:t>
      </w:r>
      <w:r w:rsidR="00A828EE">
        <w:rPr>
          <w:i/>
        </w:rPr>
        <w:t xml:space="preserve"> </w:t>
      </w:r>
      <w:r w:rsidR="00A828EE" w:rsidRPr="000711A1">
        <w:rPr>
          <w:rStyle w:val="Referencingstyle"/>
        </w:rPr>
        <w:t>[</w:t>
      </w:r>
      <w:r w:rsidR="00A828EE">
        <w:rPr>
          <w:rStyle w:val="Referencingstyle"/>
        </w:rPr>
        <w:t>Schedule 1, Part 1, Item 10</w:t>
      </w:r>
      <w:r w:rsidR="00726AEF">
        <w:rPr>
          <w:rStyle w:val="Referencingstyle"/>
        </w:rPr>
        <w:t xml:space="preserve"> and 11</w:t>
      </w:r>
      <w:r w:rsidR="00A828EE" w:rsidRPr="000711A1">
        <w:rPr>
          <w:rStyle w:val="Referencingstyle"/>
        </w:rPr>
        <w:t>]</w:t>
      </w:r>
    </w:p>
    <w:p w14:paraId="210D870C" w14:textId="77777777" w:rsidR="00845B8E" w:rsidRDefault="00FF0FFF" w:rsidP="000F194A">
      <w:pPr>
        <w:pStyle w:val="base-text-paragraph"/>
      </w:pPr>
      <w:r>
        <w:t>Subsection 8(4A</w:t>
      </w:r>
      <w:r w:rsidR="00845B8E">
        <w:t xml:space="preserve">) has been </w:t>
      </w:r>
      <w:r w:rsidR="00A524BB">
        <w:t>amended</w:t>
      </w:r>
      <w:r w:rsidR="00845B8E">
        <w:t xml:space="preserve"> to expand the list of bodies that APRA is liable to levy to include, for 2015-16, private health </w:t>
      </w:r>
      <w:r w:rsidR="008145B3">
        <w:t>insurers</w:t>
      </w:r>
      <w:r w:rsidR="00845B8E">
        <w:t xml:space="preserve"> that </w:t>
      </w:r>
      <w:r w:rsidR="008145B3">
        <w:t>are</w:t>
      </w:r>
      <w:r w:rsidR="00845B8E">
        <w:t xml:space="preserve"> liable to pay a levy in respect of </w:t>
      </w:r>
      <w:r w:rsidR="009D127D">
        <w:t>each</w:t>
      </w:r>
      <w:r w:rsidR="00845B8E">
        <w:t xml:space="preserve"> quarter</w:t>
      </w:r>
      <w:r w:rsidR="009D127D">
        <w:t xml:space="preserve"> in that financial year</w:t>
      </w:r>
      <w:r w:rsidR="00AA381D">
        <w:t>.</w:t>
      </w:r>
      <w:r w:rsidR="00A828EE">
        <w:t xml:space="preserve"> </w:t>
      </w:r>
      <w:r w:rsidR="00A828EE" w:rsidRPr="000711A1">
        <w:rPr>
          <w:rStyle w:val="Referencingstyle"/>
        </w:rPr>
        <w:t>[</w:t>
      </w:r>
      <w:r w:rsidR="00A828EE">
        <w:rPr>
          <w:rStyle w:val="Referencingstyle"/>
        </w:rPr>
        <w:t>Schedule 1, Part 1, Item</w:t>
      </w:r>
      <w:r w:rsidR="00FE5934">
        <w:rPr>
          <w:rStyle w:val="Referencingstyle"/>
        </w:rPr>
        <w:t> </w:t>
      </w:r>
      <w:r w:rsidR="00A828EE">
        <w:rPr>
          <w:rStyle w:val="Referencingstyle"/>
        </w:rPr>
        <w:t>12</w:t>
      </w:r>
      <w:r w:rsidR="00A828EE" w:rsidRPr="000711A1">
        <w:rPr>
          <w:rStyle w:val="Referencingstyle"/>
        </w:rPr>
        <w:t>]</w:t>
      </w:r>
      <w:r w:rsidR="00845B8E">
        <w:t xml:space="preserve"> </w:t>
      </w:r>
    </w:p>
    <w:p w14:paraId="1F02A5F6" w14:textId="77777777" w:rsidR="00845B8E" w:rsidRDefault="00845B8E" w:rsidP="000F194A">
      <w:pPr>
        <w:pStyle w:val="base-text-paragraph"/>
      </w:pPr>
      <w:r>
        <w:t>This</w:t>
      </w:r>
      <w:r w:rsidR="00232F73">
        <w:t>, and the associated definitions in subsection (4B)</w:t>
      </w:r>
      <w:r w:rsidR="003C2AA4">
        <w:t>,</w:t>
      </w:r>
      <w:r w:rsidR="00232F73">
        <w:t xml:space="preserve"> have</w:t>
      </w:r>
      <w:r>
        <w:t xml:space="preserve"> been inserted to ensure that in 2015-16, the </w:t>
      </w:r>
      <w:r w:rsidRPr="00FF0FFF">
        <w:t xml:space="preserve">Private Health Insurance Supervisory Levy </w:t>
      </w:r>
      <w:r>
        <w:t xml:space="preserve">is collected in the same way as the </w:t>
      </w:r>
      <w:r w:rsidR="00837652">
        <w:t>Private Health Insurance Council Administration Levy</w:t>
      </w:r>
      <w:r w:rsidR="00FF0FFF" w:rsidRPr="00FF0FFF">
        <w:t xml:space="preserve"> </w:t>
      </w:r>
      <w:r w:rsidR="00FF0FFF">
        <w:t>would have been collected had t</w:t>
      </w:r>
      <w:r>
        <w:t>he Council continued to operate</w:t>
      </w:r>
      <w:r w:rsidR="00AA381D">
        <w:t>.</w:t>
      </w:r>
      <w:r w:rsidR="00A828EE">
        <w:t xml:space="preserve"> </w:t>
      </w:r>
      <w:r w:rsidR="00A828EE" w:rsidRPr="000711A1">
        <w:rPr>
          <w:rStyle w:val="Referencingstyle"/>
        </w:rPr>
        <w:t>[</w:t>
      </w:r>
      <w:r w:rsidR="00A828EE">
        <w:rPr>
          <w:rStyle w:val="Referencingstyle"/>
        </w:rPr>
        <w:t>Schedule 1, Part 1, Item 12</w:t>
      </w:r>
      <w:r w:rsidR="00A828EE" w:rsidRPr="000711A1">
        <w:rPr>
          <w:rStyle w:val="Referencingstyle"/>
        </w:rPr>
        <w:t>]</w:t>
      </w:r>
      <w:r w:rsidR="00A828EE">
        <w:t xml:space="preserve"> </w:t>
      </w:r>
      <w:r>
        <w:t xml:space="preserve"> </w:t>
      </w:r>
    </w:p>
    <w:p w14:paraId="43A59699" w14:textId="77777777" w:rsidR="00845B8E" w:rsidRDefault="00FF0FFF" w:rsidP="00F91F57">
      <w:pPr>
        <w:pStyle w:val="base-text-paragraph"/>
        <w:keepNext/>
        <w:keepLines/>
      </w:pPr>
      <w:r>
        <w:t>Subsection 8(4C</w:t>
      </w:r>
      <w:r w:rsidR="00845B8E">
        <w:t xml:space="preserve">) has been </w:t>
      </w:r>
      <w:r>
        <w:t>amended</w:t>
      </w:r>
      <w:r w:rsidR="00845B8E">
        <w:t xml:space="preserve"> to expand the list of bodies that APRA is liable to levy to include (from 1 July 2016 onwards) </w:t>
      </w:r>
      <w:r w:rsidR="008145B3">
        <w:t>entities</w:t>
      </w:r>
      <w:r w:rsidR="00845B8E">
        <w:t xml:space="preserve"> that </w:t>
      </w:r>
      <w:r w:rsidR="008145B3">
        <w:t>are</w:t>
      </w:r>
      <w:r w:rsidR="00845B8E">
        <w:t xml:space="preserve"> a private health insurer at any time during that financial year or later financial years. This is to harmonise the treatment of private health insurers with other body corporates levied by APRA</w:t>
      </w:r>
      <w:r w:rsidR="008145B3">
        <w:t xml:space="preserve"> from 2016-17 onwards</w:t>
      </w:r>
      <w:r w:rsidR="00AA381D">
        <w:t>.</w:t>
      </w:r>
      <w:r w:rsidR="00A828EE">
        <w:t xml:space="preserve"> </w:t>
      </w:r>
      <w:r w:rsidR="00A828EE" w:rsidRPr="000711A1">
        <w:rPr>
          <w:rStyle w:val="Referencingstyle"/>
        </w:rPr>
        <w:t>[</w:t>
      </w:r>
      <w:r w:rsidR="00A828EE">
        <w:rPr>
          <w:rStyle w:val="Referencingstyle"/>
        </w:rPr>
        <w:t>Schedule 1, Part 1, Item 12</w:t>
      </w:r>
      <w:r w:rsidR="00A828EE" w:rsidRPr="000711A1">
        <w:rPr>
          <w:rStyle w:val="Referencingstyle"/>
        </w:rPr>
        <w:t>]</w:t>
      </w:r>
      <w:r w:rsidR="00A828EE">
        <w:t xml:space="preserve"> </w:t>
      </w:r>
      <w:r w:rsidR="00845B8E">
        <w:t xml:space="preserve"> </w:t>
      </w:r>
    </w:p>
    <w:p w14:paraId="428F4951" w14:textId="77777777" w:rsidR="0058790D" w:rsidRDefault="0058790D" w:rsidP="000F194A">
      <w:pPr>
        <w:pStyle w:val="base-text-paragraph"/>
      </w:pPr>
      <w:r>
        <w:t xml:space="preserve">Subsection 9(1) has been amended to ensure that </w:t>
      </w:r>
      <w:r w:rsidR="008145B3">
        <w:t>in 2015</w:t>
      </w:r>
      <w:r w:rsidR="00AA381D">
        <w:noBreakHyphen/>
      </w:r>
      <w:r w:rsidR="008145B3">
        <w:t xml:space="preserve">16 private health insurers </w:t>
      </w:r>
      <w:r>
        <w:t xml:space="preserve">will not be required to pay </w:t>
      </w:r>
      <w:r w:rsidR="008145B3">
        <w:t xml:space="preserve">the </w:t>
      </w:r>
      <w:r w:rsidR="008145B3" w:rsidRPr="003C2AA4">
        <w:t>Private Health Insurance Supervisory Levy</w:t>
      </w:r>
      <w:r>
        <w:t xml:space="preserve"> </w:t>
      </w:r>
      <w:r w:rsidR="009D127D">
        <w:t>in</w:t>
      </w:r>
      <w:r>
        <w:t xml:space="preserve"> the same </w:t>
      </w:r>
      <w:r w:rsidR="009D127D">
        <w:t>way</w:t>
      </w:r>
      <w:r>
        <w:t xml:space="preserve"> as </w:t>
      </w:r>
      <w:r w:rsidR="008145B3">
        <w:t>other entities</w:t>
      </w:r>
      <w:r>
        <w:t xml:space="preserve"> supervised by APRA</w:t>
      </w:r>
      <w:r w:rsidR="008145B3">
        <w:t xml:space="preserve"> pay their levy</w:t>
      </w:r>
      <w:r>
        <w:t xml:space="preserve">. </w:t>
      </w:r>
      <w:r w:rsidR="00232F73">
        <w:t xml:space="preserve">As noted, the intention is that </w:t>
      </w:r>
      <w:r w:rsidR="00AA381D">
        <w:t xml:space="preserve">the </w:t>
      </w:r>
      <w:r w:rsidR="00232F73">
        <w:t>supervisory levy for 2015–16 will be paid quarterly, as it would if the Council remained in existence and the related amendments were not made, and not annual</w:t>
      </w:r>
      <w:r w:rsidR="00AA381D">
        <w:t>ly</w:t>
      </w:r>
      <w:r w:rsidR="00232F73">
        <w:t xml:space="preserve"> in the same way as other APRA supervisory levies</w:t>
      </w:r>
      <w:r w:rsidR="00AA381D">
        <w:t>.</w:t>
      </w:r>
      <w:r w:rsidR="00A828EE">
        <w:t xml:space="preserve"> </w:t>
      </w:r>
      <w:r w:rsidR="00A828EE" w:rsidRPr="000711A1">
        <w:rPr>
          <w:rStyle w:val="Referencingstyle"/>
        </w:rPr>
        <w:t>[</w:t>
      </w:r>
      <w:r w:rsidR="00A828EE">
        <w:rPr>
          <w:rStyle w:val="Referencingstyle"/>
        </w:rPr>
        <w:t>Schedule 1, Part 1, Item</w:t>
      </w:r>
      <w:r w:rsidR="00AA381D">
        <w:rPr>
          <w:rStyle w:val="Referencingstyle"/>
        </w:rPr>
        <w:t> </w:t>
      </w:r>
      <w:r w:rsidR="00A828EE">
        <w:rPr>
          <w:rStyle w:val="Referencingstyle"/>
        </w:rPr>
        <w:t>13</w:t>
      </w:r>
      <w:r w:rsidR="00A828EE" w:rsidRPr="000711A1">
        <w:rPr>
          <w:rStyle w:val="Referencingstyle"/>
        </w:rPr>
        <w:t>]</w:t>
      </w:r>
    </w:p>
    <w:p w14:paraId="0DFC8B2F" w14:textId="77777777" w:rsidR="0058790D" w:rsidRDefault="00232F73" w:rsidP="000F194A">
      <w:pPr>
        <w:pStyle w:val="base-text-paragraph"/>
      </w:pPr>
      <w:r>
        <w:t>To this end</w:t>
      </w:r>
      <w:r w:rsidR="0058790D">
        <w:t xml:space="preserve">, </w:t>
      </w:r>
      <w:r>
        <w:t>s</w:t>
      </w:r>
      <w:r w:rsidR="0058790D">
        <w:t>ubsection 9(3</w:t>
      </w:r>
      <w:r w:rsidR="008145B3">
        <w:t>) has</w:t>
      </w:r>
      <w:r w:rsidR="0058790D">
        <w:t xml:space="preserve"> been inserted to state that the levy payable by a private health insurer for a quarter under subsection</w:t>
      </w:r>
      <w:r w:rsidR="00312126">
        <w:t> </w:t>
      </w:r>
      <w:r w:rsidR="0058790D">
        <w:t>8(4A) is payable on the 14</w:t>
      </w:r>
      <w:r w:rsidR="0058790D" w:rsidRPr="0058790D">
        <w:rPr>
          <w:vertAlign w:val="superscript"/>
        </w:rPr>
        <w:t>th</w:t>
      </w:r>
      <w:r w:rsidR="0058790D">
        <w:t xml:space="preserve"> day after the liability day</w:t>
      </w:r>
      <w:r w:rsidR="00AA381D">
        <w:t>.</w:t>
      </w:r>
      <w:r w:rsidR="00A828EE">
        <w:t xml:space="preserve"> </w:t>
      </w:r>
      <w:r w:rsidR="00A828EE" w:rsidRPr="000711A1">
        <w:rPr>
          <w:rStyle w:val="Referencingstyle"/>
        </w:rPr>
        <w:t>[</w:t>
      </w:r>
      <w:r w:rsidR="00A828EE">
        <w:rPr>
          <w:rStyle w:val="Referencingstyle"/>
        </w:rPr>
        <w:t>Schedule</w:t>
      </w:r>
      <w:r w:rsidR="00A866AA">
        <w:rPr>
          <w:rStyle w:val="Referencingstyle"/>
        </w:rPr>
        <w:t> </w:t>
      </w:r>
      <w:r w:rsidR="00A828EE">
        <w:rPr>
          <w:rStyle w:val="Referencingstyle"/>
        </w:rPr>
        <w:t>1, Part 1, Item 14</w:t>
      </w:r>
      <w:r w:rsidR="00A828EE" w:rsidRPr="000711A1">
        <w:rPr>
          <w:rStyle w:val="Referencingstyle"/>
        </w:rPr>
        <w:t>]</w:t>
      </w:r>
      <w:r w:rsidR="00A828EE">
        <w:t xml:space="preserve"> </w:t>
      </w:r>
      <w:r w:rsidR="0058790D">
        <w:t xml:space="preserve"> </w:t>
      </w:r>
    </w:p>
    <w:p w14:paraId="2C744CFD" w14:textId="77777777" w:rsidR="0058790D" w:rsidRDefault="0058790D" w:rsidP="000F194A">
      <w:pPr>
        <w:pStyle w:val="base-text-paragraph"/>
      </w:pPr>
      <w:r>
        <w:t xml:space="preserve">From 2016-17 onwards, </w:t>
      </w:r>
      <w:r w:rsidR="0031557C">
        <w:t xml:space="preserve">the </w:t>
      </w:r>
      <w:r w:rsidR="00AA381D">
        <w:t>P</w:t>
      </w:r>
      <w:r>
        <w:t xml:space="preserve">rivate </w:t>
      </w:r>
      <w:r w:rsidR="00AA381D">
        <w:t>H</w:t>
      </w:r>
      <w:r>
        <w:t xml:space="preserve">ealth </w:t>
      </w:r>
      <w:r w:rsidR="00AA381D">
        <w:t>I</w:t>
      </w:r>
      <w:r>
        <w:t xml:space="preserve">nsurance </w:t>
      </w:r>
      <w:r w:rsidR="00AA381D">
        <w:t>S</w:t>
      </w:r>
      <w:r>
        <w:t xml:space="preserve">upervisory </w:t>
      </w:r>
      <w:r w:rsidR="00AA381D">
        <w:t>L</w:t>
      </w:r>
      <w:r>
        <w:t xml:space="preserve">evy will be imposed and payable </w:t>
      </w:r>
      <w:r w:rsidR="00232F73">
        <w:t xml:space="preserve">in </w:t>
      </w:r>
      <w:r>
        <w:t>the same time</w:t>
      </w:r>
      <w:r w:rsidR="00232F73">
        <w:t>frame</w:t>
      </w:r>
      <w:r>
        <w:t xml:space="preserve"> as other entities supervised by APRA (except superannuation entities) under section 9(1). </w:t>
      </w:r>
    </w:p>
    <w:p w14:paraId="04BA4142" w14:textId="77777777" w:rsidR="0058790D" w:rsidRDefault="0058790D" w:rsidP="000F194A">
      <w:pPr>
        <w:pStyle w:val="base-text-paragraph"/>
      </w:pPr>
      <w:r>
        <w:t>Section 10 has been amended to ensure that the late payment penalty rate for entities other than privat</w:t>
      </w:r>
      <w:r w:rsidR="008145B3">
        <w:t>e health insurers will remain at</w:t>
      </w:r>
      <w:r w:rsidR="00693C2A">
        <w:t xml:space="preserve"> 20 </w:t>
      </w:r>
      <w:r>
        <w:t>per cent, while for private health insurance entities it will be 15</w:t>
      </w:r>
      <w:r w:rsidR="00810285">
        <w:t> </w:t>
      </w:r>
      <w:r>
        <w:t>per</w:t>
      </w:r>
      <w:r w:rsidR="00810285">
        <w:t> </w:t>
      </w:r>
      <w:r>
        <w:t xml:space="preserve">cent unless </w:t>
      </w:r>
      <w:r w:rsidR="00202678" w:rsidRPr="00202678">
        <w:t xml:space="preserve">the </w:t>
      </w:r>
      <w:r w:rsidRPr="00202678">
        <w:t>Minister</w:t>
      </w:r>
      <w:r w:rsidR="00202678" w:rsidRPr="00202678">
        <w:t xml:space="preserve"> (</w:t>
      </w:r>
      <w:r>
        <w:t xml:space="preserve">a </w:t>
      </w:r>
      <w:r w:rsidRPr="00202678">
        <w:t>Treasury Minister</w:t>
      </w:r>
      <w:r w:rsidR="00202678" w:rsidRPr="00202678">
        <w:t>)</w:t>
      </w:r>
      <w:r>
        <w:t xml:space="preserve"> specifies a </w:t>
      </w:r>
      <w:r w:rsidR="009D127D">
        <w:t>lower</w:t>
      </w:r>
      <w:r>
        <w:t xml:space="preserve"> rate in a legislative instrument. </w:t>
      </w:r>
      <w:r w:rsidR="00FA0C42">
        <w:t>This change aligns the late payment penalty regime for private health</w:t>
      </w:r>
      <w:r w:rsidR="0031557C">
        <w:t xml:space="preserve"> insurers with that imposed by t</w:t>
      </w:r>
      <w:r w:rsidR="00FA0C42">
        <w:t>he Council</w:t>
      </w:r>
      <w:r w:rsidR="00AA381D">
        <w:t>.</w:t>
      </w:r>
      <w:r w:rsidR="00A828EE">
        <w:t xml:space="preserve"> </w:t>
      </w:r>
      <w:r w:rsidR="00A828EE" w:rsidRPr="000711A1">
        <w:rPr>
          <w:rStyle w:val="Referencingstyle"/>
        </w:rPr>
        <w:t>[</w:t>
      </w:r>
      <w:r w:rsidR="00A828EE">
        <w:rPr>
          <w:rStyle w:val="Referencingstyle"/>
        </w:rPr>
        <w:t>Schedule 1, Part 1, Item 15 and 16</w:t>
      </w:r>
      <w:r w:rsidR="00A828EE" w:rsidRPr="000711A1">
        <w:rPr>
          <w:rStyle w:val="Referencingstyle"/>
        </w:rPr>
        <w:t>]</w:t>
      </w:r>
      <w:r w:rsidR="00A828EE">
        <w:t xml:space="preserve"> </w:t>
      </w:r>
      <w:r w:rsidR="00FA0C42">
        <w:t xml:space="preserve"> </w:t>
      </w:r>
    </w:p>
    <w:p w14:paraId="78662F0E" w14:textId="77777777" w:rsidR="00FA0C42" w:rsidRDefault="00FA0C42" w:rsidP="00D75113">
      <w:pPr>
        <w:pStyle w:val="base-text-paragraph"/>
        <w:keepNext/>
        <w:keepLines/>
      </w:pPr>
      <w:r>
        <w:t xml:space="preserve">Subsection 14(3) has been added to ensure that nothing in a law passed before or </w:t>
      </w:r>
      <w:r w:rsidR="009D127D">
        <w:t>(unless the law is explicit)</w:t>
      </w:r>
      <w:r>
        <w:t xml:space="preserve"> after the commencement of the </w:t>
      </w:r>
      <w:r w:rsidR="00837652">
        <w:t xml:space="preserve">Supervisory </w:t>
      </w:r>
      <w:r w:rsidRPr="00A866AA">
        <w:t xml:space="preserve">Levy Imposition </w:t>
      </w:r>
      <w:r w:rsidR="00663A92">
        <w:t xml:space="preserve">Bill </w:t>
      </w:r>
      <w:r>
        <w:t xml:space="preserve">will exempt a levy paying </w:t>
      </w:r>
      <w:r w:rsidR="004D6380">
        <w:t>entity</w:t>
      </w:r>
      <w:r>
        <w:t xml:space="preserve"> from liability to pay </w:t>
      </w:r>
      <w:r w:rsidR="00AA381D">
        <w:t xml:space="preserve">the </w:t>
      </w:r>
      <w:r>
        <w:t>levy</w:t>
      </w:r>
      <w:r w:rsidR="00AA381D">
        <w:t>.</w:t>
      </w:r>
      <w:r w:rsidR="00A828EE">
        <w:t xml:space="preserve"> </w:t>
      </w:r>
      <w:r w:rsidR="00A828EE" w:rsidRPr="000711A1">
        <w:rPr>
          <w:rStyle w:val="Referencingstyle"/>
        </w:rPr>
        <w:t>[</w:t>
      </w:r>
      <w:r w:rsidR="00A423D4">
        <w:rPr>
          <w:rStyle w:val="Referencingstyle"/>
        </w:rPr>
        <w:t>Schedule 1, Part </w:t>
      </w:r>
      <w:r w:rsidR="00A828EE">
        <w:rPr>
          <w:rStyle w:val="Referencingstyle"/>
        </w:rPr>
        <w:t>1, Item 17</w:t>
      </w:r>
      <w:r w:rsidR="00A828EE" w:rsidRPr="000711A1">
        <w:rPr>
          <w:rStyle w:val="Referencingstyle"/>
        </w:rPr>
        <w:t>]</w:t>
      </w:r>
      <w:r>
        <w:t xml:space="preserve"> </w:t>
      </w:r>
    </w:p>
    <w:p w14:paraId="03282121" w14:textId="77777777" w:rsidR="00D96F26" w:rsidRPr="00E60792" w:rsidRDefault="00D96F26" w:rsidP="00E93AB0">
      <w:pPr>
        <w:pStyle w:val="Heading5"/>
      </w:pPr>
      <w:r w:rsidRPr="00E60792">
        <w:t>Part 3B – private health insurance collapsed insurer levy</w:t>
      </w:r>
      <w:r w:rsidR="00BC35C7">
        <w:t xml:space="preserve"> </w:t>
      </w:r>
    </w:p>
    <w:p w14:paraId="358B97FA" w14:textId="77777777" w:rsidR="00D96F26" w:rsidRDefault="00D96F26" w:rsidP="000F194A">
      <w:pPr>
        <w:pStyle w:val="base-text-paragraph"/>
      </w:pPr>
      <w:r>
        <w:t xml:space="preserve">Part 3B has been inserted into the </w:t>
      </w:r>
      <w:r w:rsidR="00A866AA">
        <w:t>FISLC</w:t>
      </w:r>
      <w:r w:rsidRPr="00E93AB0">
        <w:t xml:space="preserve"> Act</w:t>
      </w:r>
      <w:r>
        <w:t xml:space="preserve"> to empower APRA to collect and administer any levy payable under the </w:t>
      </w:r>
      <w:r w:rsidRPr="00AF46F7">
        <w:t>Collapsed Insurer Levy Act</w:t>
      </w:r>
      <w:r>
        <w:t xml:space="preserve">. </w:t>
      </w:r>
      <w:r w:rsidR="006E124A">
        <w:t xml:space="preserve">This levy was previously the responsibility of the Council and was collected under Division 307 of the </w:t>
      </w:r>
      <w:r w:rsidR="00202678">
        <w:t>PHI</w:t>
      </w:r>
      <w:r w:rsidR="006E124A">
        <w:t xml:space="preserve"> Act</w:t>
      </w:r>
      <w:r w:rsidR="00AA381D">
        <w:t>.</w:t>
      </w:r>
      <w:r w:rsidR="00BC35C7">
        <w:t xml:space="preserve"> </w:t>
      </w:r>
      <w:r w:rsidR="00BC35C7" w:rsidRPr="00BC35C7">
        <w:rPr>
          <w:rStyle w:val="Referencingstyle"/>
        </w:rPr>
        <w:t>[Schedule 1, Part 1, Item 18]</w:t>
      </w:r>
      <w:r w:rsidR="006E124A">
        <w:t xml:space="preserve"> </w:t>
      </w:r>
    </w:p>
    <w:p w14:paraId="47521303" w14:textId="77777777" w:rsidR="00B16E2E" w:rsidRDefault="00B16E2E" w:rsidP="000F194A">
      <w:pPr>
        <w:pStyle w:val="base-text-paragraph"/>
      </w:pPr>
      <w:r>
        <w:t>The following definitions have been inserted into Part 3B:</w:t>
      </w:r>
    </w:p>
    <w:p w14:paraId="32B0259E" w14:textId="77777777" w:rsidR="00B16E2E" w:rsidRPr="000770CB" w:rsidRDefault="00B16E2E" w:rsidP="00B34737">
      <w:pPr>
        <w:pStyle w:val="dotpoint"/>
      </w:pPr>
      <w:r w:rsidRPr="00F1422C">
        <w:rPr>
          <w:b/>
          <w:i/>
        </w:rPr>
        <w:t>collapsed insurer levy day</w:t>
      </w:r>
      <w:r w:rsidRPr="00B16E2E">
        <w:t xml:space="preserve"> </w:t>
      </w:r>
      <w:r w:rsidRPr="000770CB">
        <w:t xml:space="preserve">has the same meaning as in the </w:t>
      </w:r>
      <w:r w:rsidRPr="00B16E2E">
        <w:t>Collapsed Insurer Levy Act</w:t>
      </w:r>
      <w:r w:rsidR="00B9508A">
        <w:t>;</w:t>
      </w:r>
    </w:p>
    <w:p w14:paraId="2A9FFBD6" w14:textId="77777777" w:rsidR="00B16E2E" w:rsidRPr="000770CB" w:rsidRDefault="00B16E2E" w:rsidP="00B34737">
      <w:pPr>
        <w:pStyle w:val="dotpoint"/>
      </w:pPr>
      <w:r w:rsidRPr="00F1422C">
        <w:rPr>
          <w:b/>
          <w:i/>
        </w:rPr>
        <w:t>late payment penalty</w:t>
      </w:r>
      <w:r w:rsidRPr="000770CB">
        <w:t xml:space="preserve"> means penalty payable under section 26M</w:t>
      </w:r>
      <w:r w:rsidR="00B9508A">
        <w:t>;</w:t>
      </w:r>
    </w:p>
    <w:p w14:paraId="568D07A0" w14:textId="77777777" w:rsidR="00B16E2E" w:rsidRPr="000770CB" w:rsidRDefault="00B16E2E" w:rsidP="00B34737">
      <w:pPr>
        <w:pStyle w:val="dotpoint"/>
      </w:pPr>
      <w:r w:rsidRPr="00F1422C">
        <w:rPr>
          <w:b/>
          <w:i/>
        </w:rPr>
        <w:t>levy</w:t>
      </w:r>
      <w:r w:rsidRPr="000770CB">
        <w:t xml:space="preserve"> means levy imposed by the </w:t>
      </w:r>
      <w:r w:rsidRPr="00B16E2E">
        <w:t>Collapsed Insurer Levy Act</w:t>
      </w:r>
      <w:r w:rsidR="00B9508A">
        <w:t>; and</w:t>
      </w:r>
    </w:p>
    <w:p w14:paraId="7B6A5884" w14:textId="77777777" w:rsidR="00B16E2E" w:rsidRPr="000770CB" w:rsidRDefault="00B16E2E" w:rsidP="00B34737">
      <w:pPr>
        <w:pStyle w:val="dotpoint"/>
      </w:pPr>
      <w:r w:rsidRPr="00F1422C">
        <w:rPr>
          <w:b/>
          <w:i/>
        </w:rPr>
        <w:t>levy determination</w:t>
      </w:r>
      <w:r w:rsidRPr="000770CB">
        <w:t xml:space="preserve">, in relation to a collapsed insurer levy day, means the determination under section 7 of the </w:t>
      </w:r>
      <w:r w:rsidR="00E93D04">
        <w:t xml:space="preserve">Collapsed Insurer Levy Act </w:t>
      </w:r>
      <w:r w:rsidR="00AA381D">
        <w:t>that specifies the</w:t>
      </w:r>
      <w:r w:rsidRPr="000770CB">
        <w:t xml:space="preserve"> day </w:t>
      </w:r>
      <w:r w:rsidR="00AA381D">
        <w:t>that</w:t>
      </w:r>
      <w:r w:rsidRPr="000770CB">
        <w:t xml:space="preserve"> is a collapsed insurer levy day</w:t>
      </w:r>
      <w:r w:rsidR="00AA381D">
        <w:t>.</w:t>
      </w:r>
      <w:r w:rsidR="00BC35C7">
        <w:t xml:space="preserve"> </w:t>
      </w:r>
      <w:r w:rsidR="00C27302" w:rsidRPr="00BC35C7">
        <w:rPr>
          <w:rStyle w:val="Referencingstyle"/>
        </w:rPr>
        <w:t>[Schedule 1, Part 1, Item 18]</w:t>
      </w:r>
    </w:p>
    <w:p w14:paraId="39D2C686" w14:textId="77777777" w:rsidR="00B16E2E" w:rsidRDefault="00B16E2E" w:rsidP="000F194A">
      <w:pPr>
        <w:pStyle w:val="base-text-paragraph"/>
      </w:pPr>
      <w:r>
        <w:t>Part 3B also establishes that a private health insurer is liable to pay a levy imposed on the insurer on the collapsed insurer levy day</w:t>
      </w:r>
      <w:r w:rsidR="00663A92">
        <w:t>.</w:t>
      </w:r>
      <w:r w:rsidR="009D127D">
        <w:t xml:space="preserve"> A</w:t>
      </w:r>
      <w:r>
        <w:t xml:space="preserve"> collapsed insurer levy day is the day that levy is due and payable as specified in a legislative instrument</w:t>
      </w:r>
      <w:r w:rsidR="006E124A">
        <w:t xml:space="preserve"> (the levy determination)</w:t>
      </w:r>
      <w:r>
        <w:t xml:space="preserve"> issued under the </w:t>
      </w:r>
      <w:r w:rsidRPr="00202678">
        <w:t>Collapsed Insurer Levy Act</w:t>
      </w:r>
      <w:r w:rsidR="00AA381D">
        <w:t>.</w:t>
      </w:r>
      <w:r w:rsidRPr="00202678">
        <w:t xml:space="preserve"> </w:t>
      </w:r>
      <w:r w:rsidR="00C27302" w:rsidRPr="00BC35C7">
        <w:rPr>
          <w:rStyle w:val="Referencingstyle"/>
        </w:rPr>
        <w:t>[Schedule 1, Part</w:t>
      </w:r>
      <w:r w:rsidR="009D127D">
        <w:rPr>
          <w:rStyle w:val="Referencingstyle"/>
        </w:rPr>
        <w:t> </w:t>
      </w:r>
      <w:r w:rsidR="00C27302" w:rsidRPr="00BC35C7">
        <w:rPr>
          <w:rStyle w:val="Referencingstyle"/>
        </w:rPr>
        <w:t>1, Item 18]</w:t>
      </w:r>
    </w:p>
    <w:p w14:paraId="6616E535" w14:textId="77777777" w:rsidR="00B16E2E" w:rsidRDefault="00B16E2E" w:rsidP="000F194A">
      <w:pPr>
        <w:pStyle w:val="base-text-paragraph"/>
      </w:pPr>
      <w:r>
        <w:t>Section 26M has been inserted to establish that if any levy payable has not been paid by the due date</w:t>
      </w:r>
      <w:r w:rsidR="0031557C">
        <w:t>,</w:t>
      </w:r>
      <w:r>
        <w:t xml:space="preserve"> and remains unpaid after the penalty calculation day</w:t>
      </w:r>
      <w:r w:rsidR="0031557C">
        <w:t>,</w:t>
      </w:r>
      <w:r>
        <w:t xml:space="preserve"> then the insurer is liable to pay a late payment penalty at the </w:t>
      </w:r>
      <w:r w:rsidR="006E124A">
        <w:t xml:space="preserve">applicable </w:t>
      </w:r>
      <w:r>
        <w:t xml:space="preserve">rate </w:t>
      </w:r>
      <w:r w:rsidR="006E124A">
        <w:t>which will be</w:t>
      </w:r>
      <w:r>
        <w:t xml:space="preserve"> either 15</w:t>
      </w:r>
      <w:r w:rsidR="00AA381D">
        <w:t> </w:t>
      </w:r>
      <w:r>
        <w:t>per</w:t>
      </w:r>
      <w:r w:rsidR="00AA381D">
        <w:t> </w:t>
      </w:r>
      <w:r>
        <w:t>cent, or a lower rate if specified by the Minister in a legislative instrument</w:t>
      </w:r>
      <w:r w:rsidR="00AA381D">
        <w:t>.</w:t>
      </w:r>
      <w:r w:rsidR="00BC35C7">
        <w:t xml:space="preserve"> </w:t>
      </w:r>
      <w:r w:rsidR="00C27302">
        <w:rPr>
          <w:rStyle w:val="Referencingstyle"/>
        </w:rPr>
        <w:t>[Schedule 1, Part </w:t>
      </w:r>
      <w:r w:rsidR="00C27302" w:rsidRPr="00BC35C7">
        <w:rPr>
          <w:rStyle w:val="Referencingstyle"/>
        </w:rPr>
        <w:t>1, Item 18]</w:t>
      </w:r>
    </w:p>
    <w:p w14:paraId="17641CFD" w14:textId="77777777" w:rsidR="00B16E2E" w:rsidRDefault="00B16E2E" w:rsidP="000F194A">
      <w:pPr>
        <w:pStyle w:val="base-text-paragraph"/>
      </w:pPr>
      <w:r>
        <w:t xml:space="preserve">The </w:t>
      </w:r>
      <w:r w:rsidRPr="006E124A">
        <w:rPr>
          <w:b/>
          <w:i/>
        </w:rPr>
        <w:t>penalty calculation day</w:t>
      </w:r>
      <w:r>
        <w:t xml:space="preserve"> </w:t>
      </w:r>
      <w:r w:rsidR="006E124A">
        <w:t xml:space="preserve">under section 26M </w:t>
      </w:r>
      <w:r>
        <w:t>is:</w:t>
      </w:r>
    </w:p>
    <w:p w14:paraId="76B8DD9D" w14:textId="77777777" w:rsidR="00B16E2E" w:rsidRPr="000770CB" w:rsidRDefault="00B16E2E" w:rsidP="00B34737">
      <w:pPr>
        <w:pStyle w:val="dotpoint"/>
      </w:pPr>
      <w:r w:rsidRPr="000770CB">
        <w:t>if the levy is paid on or after the first day of a month and before the sixth day of that month—the 20th day of the immediately preceding month; or</w:t>
      </w:r>
    </w:p>
    <w:p w14:paraId="2D1AC9B8" w14:textId="77777777" w:rsidR="00B16E2E" w:rsidRPr="000770CB" w:rsidRDefault="00B16E2E" w:rsidP="00B34737">
      <w:pPr>
        <w:pStyle w:val="dotpoint"/>
      </w:pPr>
      <w:r w:rsidRPr="000770CB">
        <w:t>if the levy is paid on or after the sixth day of a month and before the 20th day of that month—the sixth day of that month</w:t>
      </w:r>
      <w:r w:rsidR="00BC35C7" w:rsidRPr="000770CB">
        <w:t>;</w:t>
      </w:r>
      <w:r w:rsidRPr="000770CB">
        <w:t xml:space="preserve"> or</w:t>
      </w:r>
    </w:p>
    <w:p w14:paraId="77B97115" w14:textId="77777777" w:rsidR="00B16E2E" w:rsidRPr="000770CB" w:rsidRDefault="00B16E2E" w:rsidP="00B34737">
      <w:pPr>
        <w:pStyle w:val="dotpoint"/>
      </w:pPr>
      <w:r w:rsidRPr="000770CB">
        <w:t>if the levy is paid on or after the 20th day of a month and on or before the last day of that month—the 20th day of that month</w:t>
      </w:r>
      <w:r w:rsidR="00AA381D">
        <w:t>.</w:t>
      </w:r>
      <w:r w:rsidR="00BC35C7">
        <w:t xml:space="preserve"> </w:t>
      </w:r>
      <w:r w:rsidR="00C27302" w:rsidRPr="00BC35C7">
        <w:rPr>
          <w:rStyle w:val="Referencingstyle"/>
        </w:rPr>
        <w:t>[Schedule 1, Part 1, Item 18]</w:t>
      </w:r>
    </w:p>
    <w:p w14:paraId="20341948" w14:textId="77777777" w:rsidR="00B16E2E" w:rsidRDefault="00B16E2E" w:rsidP="000F194A">
      <w:pPr>
        <w:pStyle w:val="base-text-paragraph"/>
      </w:pPr>
      <w:r>
        <w:t>The levy and late payment penalty are payable to APRA on behalf of the Commonwealth</w:t>
      </w:r>
      <w:r w:rsidR="00AA381D">
        <w:t>.</w:t>
      </w:r>
      <w:r w:rsidR="00BC35C7">
        <w:t xml:space="preserve"> </w:t>
      </w:r>
      <w:r w:rsidR="00AA381D">
        <w:t>H</w:t>
      </w:r>
      <w:r>
        <w:t>owever the Minister may waive (or delegate the power to APRA to waive) any levy or late payment penalty payable</w:t>
      </w:r>
      <w:r w:rsidR="00712F50">
        <w:t>.</w:t>
      </w:r>
      <w:r w:rsidR="00BC35C7">
        <w:t xml:space="preserve"> </w:t>
      </w:r>
      <w:r w:rsidR="006E124A">
        <w:t>If no waiver is given of any levy that is due and payable, and/or any late payment penalty that is due and payable, APRA may bring proceedings, on behalf of the Commonwealth, to recover those amounts</w:t>
      </w:r>
      <w:r w:rsidR="00AA381D">
        <w:t>.</w:t>
      </w:r>
      <w:r w:rsidR="00BC35C7">
        <w:t xml:space="preserve"> </w:t>
      </w:r>
      <w:r w:rsidR="00C27302" w:rsidRPr="00BC35C7">
        <w:rPr>
          <w:rStyle w:val="Referencingstyle"/>
        </w:rPr>
        <w:t>[Schedule 1, Part 1, Item 18]</w:t>
      </w:r>
    </w:p>
    <w:p w14:paraId="09BAB34E" w14:textId="77777777" w:rsidR="00E60792" w:rsidRDefault="00C27302" w:rsidP="000F194A">
      <w:pPr>
        <w:pStyle w:val="base-text-paragraph"/>
      </w:pPr>
      <w:r>
        <w:t>S</w:t>
      </w:r>
      <w:r w:rsidR="00E60792">
        <w:t xml:space="preserve">ection 26R makes clear that no law made before or after the commencement of this section exempts an insurer from the liability to pay a levy, unless the exemption expressly refers to the </w:t>
      </w:r>
      <w:r w:rsidR="00AA381D">
        <w:t>C</w:t>
      </w:r>
      <w:r w:rsidR="00E60792">
        <w:t xml:space="preserve">ollapsed </w:t>
      </w:r>
      <w:r w:rsidR="00AA381D">
        <w:t>I</w:t>
      </w:r>
      <w:r w:rsidR="00E60792">
        <w:t xml:space="preserve">nsurer </w:t>
      </w:r>
      <w:r w:rsidR="00AA381D">
        <w:t>L</w:t>
      </w:r>
      <w:r w:rsidR="00E60792">
        <w:t>evy</w:t>
      </w:r>
      <w:r w:rsidR="00AA381D">
        <w:t>.</w:t>
      </w:r>
      <w:r w:rsidR="00BC35C7">
        <w:t xml:space="preserve"> </w:t>
      </w:r>
      <w:r w:rsidRPr="00BC35C7">
        <w:rPr>
          <w:rStyle w:val="Referencingstyle"/>
        </w:rPr>
        <w:t>[Schedule 1, Part 1, Item 18]</w:t>
      </w:r>
    </w:p>
    <w:p w14:paraId="5A7D6A23" w14:textId="77777777" w:rsidR="00E60792" w:rsidRDefault="00E60792" w:rsidP="000F194A">
      <w:pPr>
        <w:pStyle w:val="base-text-paragraph"/>
      </w:pPr>
      <w:r>
        <w:t xml:space="preserve">Subsection 27(10) </w:t>
      </w:r>
      <w:r w:rsidR="006606FE">
        <w:t>is amended to</w:t>
      </w:r>
      <w:r>
        <w:t xml:space="preserve"> make clear that the decision maker in relation to </w:t>
      </w:r>
      <w:r w:rsidR="009D127D">
        <w:t xml:space="preserve">a request for waiver of late payment penalty relating to </w:t>
      </w:r>
      <w:r>
        <w:t xml:space="preserve">the </w:t>
      </w:r>
      <w:r w:rsidR="00AA381D">
        <w:t>C</w:t>
      </w:r>
      <w:r>
        <w:t xml:space="preserve">ollapsed </w:t>
      </w:r>
      <w:r w:rsidR="00AA381D">
        <w:t>I</w:t>
      </w:r>
      <w:r>
        <w:t>nsur</w:t>
      </w:r>
      <w:r w:rsidR="00AA381D">
        <w:t>er</w:t>
      </w:r>
      <w:r>
        <w:t xml:space="preserve"> </w:t>
      </w:r>
      <w:r w:rsidR="00AA381D">
        <w:t>L</w:t>
      </w:r>
      <w:r>
        <w:t xml:space="preserve">evy is the Minister and that a decision of the Minister in relation to the </w:t>
      </w:r>
      <w:r w:rsidR="00AA381D">
        <w:t>C</w:t>
      </w:r>
      <w:r>
        <w:t xml:space="preserve">ollapsed </w:t>
      </w:r>
      <w:r w:rsidR="00AA381D">
        <w:t>I</w:t>
      </w:r>
      <w:r>
        <w:t xml:space="preserve">nsurer </w:t>
      </w:r>
      <w:r w:rsidR="00AA381D">
        <w:t>L</w:t>
      </w:r>
      <w:r>
        <w:t>evy is a reviewable decision</w:t>
      </w:r>
      <w:r w:rsidR="00AA381D">
        <w:t>.</w:t>
      </w:r>
      <w:r w:rsidR="00BC35C7">
        <w:t xml:space="preserve"> </w:t>
      </w:r>
      <w:r w:rsidR="00BC35C7" w:rsidRPr="00BC35C7">
        <w:rPr>
          <w:rStyle w:val="Referencingstyle"/>
        </w:rPr>
        <w:t>[Schedule 1, Part 1, Item</w:t>
      </w:r>
      <w:r w:rsidR="00712F50">
        <w:rPr>
          <w:rStyle w:val="Referencingstyle"/>
        </w:rPr>
        <w:t>s 19 and</w:t>
      </w:r>
      <w:r w:rsidR="00BC35C7" w:rsidRPr="00BC35C7">
        <w:rPr>
          <w:rStyle w:val="Referencingstyle"/>
        </w:rPr>
        <w:t xml:space="preserve"> </w:t>
      </w:r>
      <w:r w:rsidR="00BC35C7">
        <w:rPr>
          <w:rStyle w:val="Referencingstyle"/>
        </w:rPr>
        <w:t>20</w:t>
      </w:r>
      <w:r w:rsidR="00BC35C7" w:rsidRPr="00BC35C7">
        <w:rPr>
          <w:rStyle w:val="Referencingstyle"/>
        </w:rPr>
        <w:t>]</w:t>
      </w:r>
    </w:p>
    <w:p w14:paraId="185DA067" w14:textId="77777777" w:rsidR="00446279" w:rsidRPr="00446279" w:rsidRDefault="00446279" w:rsidP="00E93AB0">
      <w:pPr>
        <w:pStyle w:val="Heading4"/>
      </w:pPr>
      <w:r w:rsidRPr="00446279">
        <w:t>Financial Sector (Collection of Data) Act 2001</w:t>
      </w:r>
    </w:p>
    <w:p w14:paraId="5ADF412B" w14:textId="77777777" w:rsidR="00A74318" w:rsidRDefault="00A74318" w:rsidP="000F194A">
      <w:pPr>
        <w:pStyle w:val="base-text-paragraph"/>
      </w:pPr>
      <w:r>
        <w:t xml:space="preserve">Under the </w:t>
      </w:r>
      <w:r w:rsidR="003C2AA4">
        <w:rPr>
          <w:lang w:val="en-US" w:eastAsia="en-US"/>
        </w:rPr>
        <w:t>FS(CoD) Act</w:t>
      </w:r>
      <w:r>
        <w:t xml:space="preserve">, APRA has power to make reporting standards requiring financial sector entities to provide information to APRA as specified in the standards. </w:t>
      </w:r>
    </w:p>
    <w:p w14:paraId="41D3FFD7" w14:textId="77777777" w:rsidR="00A74318" w:rsidRDefault="00A74318" w:rsidP="000F194A">
      <w:pPr>
        <w:pStyle w:val="base-text-paragraph"/>
      </w:pPr>
      <w:r>
        <w:t xml:space="preserve">The </w:t>
      </w:r>
      <w:r w:rsidR="003C2AA4">
        <w:rPr>
          <w:lang w:val="en-US" w:eastAsia="en-US"/>
        </w:rPr>
        <w:t>FS(CoD) Act</w:t>
      </w:r>
      <w:r w:rsidR="003C2AA4">
        <w:t xml:space="preserve"> </w:t>
      </w:r>
      <w:r>
        <w:t xml:space="preserve">covers </w:t>
      </w:r>
      <w:r w:rsidRPr="00064D62">
        <w:rPr>
          <w:i/>
        </w:rPr>
        <w:t>financial sector entities</w:t>
      </w:r>
      <w:r w:rsidR="004C3F99">
        <w:rPr>
          <w:b/>
          <w:i/>
        </w:rPr>
        <w:t xml:space="preserve"> </w:t>
      </w:r>
      <w:r w:rsidR="004C3F99" w:rsidRPr="004C3F99">
        <w:t>(subsection</w:t>
      </w:r>
      <w:r w:rsidR="00C27302">
        <w:t> </w:t>
      </w:r>
      <w:r w:rsidR="004C3F99" w:rsidRPr="004C3F99">
        <w:t>5(2))</w:t>
      </w:r>
      <w:r>
        <w:t xml:space="preserve">, which includes both regulated entities </w:t>
      </w:r>
      <w:r w:rsidR="003C2AA4">
        <w:t>(that is, bodies regulated by APRA within the meaning of subsection 3(2) of the APRA</w:t>
      </w:r>
      <w:r w:rsidR="00C27302">
        <w:t> </w:t>
      </w:r>
      <w:r w:rsidR="003C2AA4">
        <w:t xml:space="preserve">Act) </w:t>
      </w:r>
      <w:r>
        <w:t>and registered entities</w:t>
      </w:r>
      <w:r w:rsidR="003C2AA4">
        <w:t xml:space="preserve"> (these are non-regulated entities that conduct certain </w:t>
      </w:r>
      <w:r w:rsidR="00881164">
        <w:t>forms of financial business, for example</w:t>
      </w:r>
      <w:r w:rsidR="003C2AA4">
        <w:t xml:space="preserve"> finance companies)</w:t>
      </w:r>
      <w:r>
        <w:t>.</w:t>
      </w:r>
    </w:p>
    <w:p w14:paraId="7D0AA030" w14:textId="77777777" w:rsidR="00A74318" w:rsidRDefault="003C2AA4" w:rsidP="000F194A">
      <w:pPr>
        <w:pStyle w:val="base-text-paragraph"/>
      </w:pPr>
      <w:r>
        <w:t>A p</w:t>
      </w:r>
      <w:r w:rsidR="00A74318">
        <w:t>rivate health insurer will</w:t>
      </w:r>
      <w:r>
        <w:t xml:space="preserve"> be</w:t>
      </w:r>
      <w:r w:rsidR="00A74318">
        <w:t xml:space="preserve"> a </w:t>
      </w:r>
      <w:r w:rsidR="00A74318" w:rsidRPr="005C1F4D">
        <w:rPr>
          <w:i/>
        </w:rPr>
        <w:t>regulated entity</w:t>
      </w:r>
      <w:r w:rsidR="00A74318">
        <w:t xml:space="preserve"> within the meaning of subsection 5(4) of the Act, consistent with the amendment to </w:t>
      </w:r>
      <w:r>
        <w:t xml:space="preserve">subsection 3(2) </w:t>
      </w:r>
      <w:r w:rsidR="00A74318">
        <w:t xml:space="preserve">the APRA Act to include </w:t>
      </w:r>
      <w:r>
        <w:t xml:space="preserve">a </w:t>
      </w:r>
      <w:r w:rsidR="00A74318">
        <w:t xml:space="preserve">private health insurer as a </w:t>
      </w:r>
      <w:r w:rsidR="00A74318" w:rsidRPr="005C1F4D">
        <w:rPr>
          <w:i/>
        </w:rPr>
        <w:t>body regulated by APRA</w:t>
      </w:r>
      <w:r w:rsidR="00A74318">
        <w:t xml:space="preserve">. </w:t>
      </w:r>
      <w:r w:rsidR="009D127D">
        <w:t>Accordingly, APRA will have power to collect data from the insurer under the FS(CoD) Act.</w:t>
      </w:r>
    </w:p>
    <w:p w14:paraId="1BB03D69" w14:textId="77777777" w:rsidR="004253BF" w:rsidRDefault="004253BF" w:rsidP="000F194A">
      <w:pPr>
        <w:pStyle w:val="base-text-paragraph"/>
      </w:pPr>
      <w:r>
        <w:t xml:space="preserve">The </w:t>
      </w:r>
      <w:r w:rsidR="003C2AA4">
        <w:rPr>
          <w:lang w:val="en-US" w:eastAsia="en-US"/>
        </w:rPr>
        <w:t>FS(CoD) Act</w:t>
      </w:r>
      <w:r w:rsidR="003C2AA4">
        <w:t xml:space="preserve"> </w:t>
      </w:r>
      <w:r>
        <w:t>applies to all other industries regulated by APRA.</w:t>
      </w:r>
    </w:p>
    <w:p w14:paraId="5330B53E" w14:textId="77777777" w:rsidR="00A74318" w:rsidRDefault="003C2AA4" w:rsidP="000F194A">
      <w:pPr>
        <w:pStyle w:val="base-text-paragraph"/>
      </w:pPr>
      <w:r>
        <w:t>A pr</w:t>
      </w:r>
      <w:r w:rsidR="00A74318">
        <w:t xml:space="preserve">ivate health insurer will not be a </w:t>
      </w:r>
      <w:r w:rsidR="00A74318" w:rsidRPr="005C1F4D">
        <w:rPr>
          <w:i/>
        </w:rPr>
        <w:t>registered entity</w:t>
      </w:r>
      <w:r w:rsidR="00A74318">
        <w:t xml:space="preserve"> under the </w:t>
      </w:r>
      <w:r>
        <w:rPr>
          <w:lang w:val="en-US" w:eastAsia="en-US"/>
        </w:rPr>
        <w:t>FS(CoD) Act</w:t>
      </w:r>
      <w:r w:rsidR="00A74318">
        <w:t>.</w:t>
      </w:r>
      <w:r w:rsidR="004C3F99">
        <w:t xml:space="preserve"> Therefore, </w:t>
      </w:r>
      <w:r w:rsidR="00A74318">
        <w:t xml:space="preserve">Part 2 of the </w:t>
      </w:r>
      <w:r>
        <w:rPr>
          <w:lang w:val="en-US" w:eastAsia="en-US"/>
        </w:rPr>
        <w:t>FS(CoD) Act</w:t>
      </w:r>
      <w:r w:rsidR="00A74318">
        <w:t xml:space="preserve"> will not apply to private</w:t>
      </w:r>
      <w:r w:rsidR="004C3F99">
        <w:t xml:space="preserve"> health insurers</w:t>
      </w:r>
      <w:r w:rsidR="00A74318">
        <w:t>.</w:t>
      </w:r>
    </w:p>
    <w:p w14:paraId="0EA5EC09" w14:textId="77777777" w:rsidR="00C27302" w:rsidRDefault="00A74318" w:rsidP="000F194A">
      <w:pPr>
        <w:pStyle w:val="base-text-paragraph"/>
      </w:pPr>
      <w:r>
        <w:t xml:space="preserve">The purposes for which APRA may collect information is outlined in the object of the </w:t>
      </w:r>
      <w:r w:rsidR="002E20B2" w:rsidRPr="002E20B2">
        <w:t xml:space="preserve">FS(CoD) </w:t>
      </w:r>
      <w:r w:rsidR="002E20B2">
        <w:t>A</w:t>
      </w:r>
      <w:r>
        <w:t>ct (section 3).</w:t>
      </w:r>
      <w:r w:rsidRPr="00F63432">
        <w:t xml:space="preserve"> </w:t>
      </w:r>
      <w:r>
        <w:t>Currently, APRA can collect information for the purpose of</w:t>
      </w:r>
      <w:r w:rsidR="008B35A0">
        <w:t>:</w:t>
      </w:r>
      <w:r>
        <w:t xml:space="preserve"> </w:t>
      </w:r>
    </w:p>
    <w:p w14:paraId="0E5CC6F3" w14:textId="77777777" w:rsidR="00C27302" w:rsidRDefault="003C2AA4" w:rsidP="00C27302">
      <w:pPr>
        <w:pStyle w:val="dotpoint"/>
      </w:pPr>
      <w:r>
        <w:t xml:space="preserve">assisting the prudential regulation or monitoring of bodies in the financial sector; </w:t>
      </w:r>
    </w:p>
    <w:p w14:paraId="18491C2A" w14:textId="77777777" w:rsidR="00C27302" w:rsidRDefault="00A74318" w:rsidP="00C27302">
      <w:pPr>
        <w:pStyle w:val="dotpoint"/>
      </w:pPr>
      <w:r>
        <w:t xml:space="preserve">enabling APRA to publish information; </w:t>
      </w:r>
    </w:p>
    <w:p w14:paraId="47CA4076" w14:textId="77777777" w:rsidR="00C27302" w:rsidRDefault="00A74318" w:rsidP="00C27302">
      <w:pPr>
        <w:pStyle w:val="dotpoint"/>
      </w:pPr>
      <w:r>
        <w:t xml:space="preserve">assisting another financial sector agency to perform its functions or exercise its powers; and </w:t>
      </w:r>
    </w:p>
    <w:p w14:paraId="3517DA77" w14:textId="77777777" w:rsidR="00A74318" w:rsidRDefault="00A74318" w:rsidP="00C27302">
      <w:pPr>
        <w:pStyle w:val="dotpoint"/>
      </w:pPr>
      <w:r>
        <w:t>assisting the Minister (a Treasury Minister) to formulate financial policy.</w:t>
      </w:r>
    </w:p>
    <w:p w14:paraId="6F24DAC6" w14:textId="77777777" w:rsidR="00FF6CF5" w:rsidRPr="00FF6CF5" w:rsidRDefault="00FF6CF5" w:rsidP="000F194A">
      <w:pPr>
        <w:pStyle w:val="base-text-paragraph"/>
        <w:rPr>
          <w:rStyle w:val="Referencingstyle"/>
          <w:b w:val="0"/>
          <w:i w:val="0"/>
          <w:sz w:val="22"/>
        </w:rPr>
      </w:pPr>
      <w:r>
        <w:t xml:space="preserve">To put it beyond doubt that APRA can collect information for the purposes of administering the </w:t>
      </w:r>
      <w:r w:rsidR="00DA3F49">
        <w:t>R</w:t>
      </w:r>
      <w:r>
        <w:t xml:space="preserve">isk </w:t>
      </w:r>
      <w:r w:rsidR="00DA3F49">
        <w:t>E</w:t>
      </w:r>
      <w:r>
        <w:t xml:space="preserve">qualisation </w:t>
      </w:r>
      <w:r w:rsidR="00DA3F49">
        <w:t>T</w:t>
      </w:r>
      <w:r>
        <w:t xml:space="preserve">rust </w:t>
      </w:r>
      <w:r w:rsidR="00DA3F49">
        <w:t>F</w:t>
      </w:r>
      <w:r>
        <w:t xml:space="preserve">und, as well as for APRA’s core prudential purposes (including supervision of private health insurers), the object of the </w:t>
      </w:r>
      <w:r w:rsidR="00C27302">
        <w:t>A</w:t>
      </w:r>
      <w:r>
        <w:t xml:space="preserve">ct has been amended to enable APRA to perform its functions or exercise its powers under other laws. </w:t>
      </w:r>
      <w:r>
        <w:rPr>
          <w:rStyle w:val="Referencingstyle"/>
        </w:rPr>
        <w:t>[Schedule</w:t>
      </w:r>
      <w:r w:rsidR="00C27302">
        <w:rPr>
          <w:rStyle w:val="Referencingstyle"/>
        </w:rPr>
        <w:t> </w:t>
      </w:r>
      <w:r>
        <w:rPr>
          <w:rStyle w:val="Referencingstyle"/>
        </w:rPr>
        <w:t>1, Part 1, item 21</w:t>
      </w:r>
      <w:r w:rsidRPr="00AB4B0B">
        <w:rPr>
          <w:rStyle w:val="Referencingstyle"/>
        </w:rPr>
        <w:t>]</w:t>
      </w:r>
    </w:p>
    <w:p w14:paraId="73E9CC12" w14:textId="77777777" w:rsidR="00FF6CF5" w:rsidRDefault="00FF6CF5" w:rsidP="000F194A">
      <w:pPr>
        <w:pStyle w:val="base-text-paragraph"/>
      </w:pPr>
      <w:r>
        <w:t>There is also a minor consequential amendment to paragraph</w:t>
      </w:r>
      <w:r w:rsidR="00AF6ECD">
        <w:t> </w:t>
      </w:r>
      <w:r>
        <w:t xml:space="preserve">7(2)(d) of the </w:t>
      </w:r>
      <w:r w:rsidR="002E20B2" w:rsidRPr="002E20B2">
        <w:t xml:space="preserve">FS(CoD) </w:t>
      </w:r>
      <w:r>
        <w:t xml:space="preserve">Act to update the definition of </w:t>
      </w:r>
      <w:r w:rsidR="00064D62">
        <w:t>‘</w:t>
      </w:r>
      <w:r>
        <w:t>private health insurer</w:t>
      </w:r>
      <w:r w:rsidR="00064D62">
        <w:t>’</w:t>
      </w:r>
      <w:r>
        <w:t xml:space="preserve"> to refer to an entity registered under the </w:t>
      </w:r>
      <w:r w:rsidR="00E9202F">
        <w:t>Prudential Supervision Bill</w:t>
      </w:r>
      <w:r>
        <w:t>.</w:t>
      </w:r>
      <w:r w:rsidDel="008B35A0">
        <w:t xml:space="preserve"> </w:t>
      </w:r>
      <w:r w:rsidR="00C27302">
        <w:rPr>
          <w:rStyle w:val="Referencingstyle"/>
        </w:rPr>
        <w:t>[Schedule 1, Part 1, item 22</w:t>
      </w:r>
      <w:r w:rsidR="00C27302" w:rsidRPr="00AB4B0B">
        <w:rPr>
          <w:rStyle w:val="Referencingstyle"/>
        </w:rPr>
        <w:t>]</w:t>
      </w:r>
    </w:p>
    <w:p w14:paraId="6B46CF57" w14:textId="77777777" w:rsidR="004253BF" w:rsidRDefault="004253BF" w:rsidP="000F194A">
      <w:pPr>
        <w:pStyle w:val="base-text-paragraph"/>
      </w:pPr>
      <w:r>
        <w:t xml:space="preserve">The power to make reporting standards </w:t>
      </w:r>
      <w:r w:rsidR="009D127D">
        <w:t>will replace</w:t>
      </w:r>
      <w:r>
        <w:t xml:space="preserve"> a range of existing powers used by </w:t>
      </w:r>
      <w:r w:rsidR="00C23A99">
        <w:t xml:space="preserve">the Council </w:t>
      </w:r>
      <w:r>
        <w:t>to impose obligations to report data into a single legislative power.</w:t>
      </w:r>
    </w:p>
    <w:p w14:paraId="168D1FBD" w14:textId="77777777" w:rsidR="004253BF" w:rsidRDefault="004253BF" w:rsidP="000F194A">
      <w:pPr>
        <w:pStyle w:val="base-text-paragraph"/>
      </w:pPr>
      <w:r>
        <w:t xml:space="preserve">A reporting standard is a legislative instrument. Under </w:t>
      </w:r>
      <w:r w:rsidR="00FF6CF5">
        <w:t xml:space="preserve">the </w:t>
      </w:r>
      <w:r w:rsidR="00FF6CF5">
        <w:rPr>
          <w:lang w:val="en-US" w:eastAsia="en-US"/>
        </w:rPr>
        <w:t>FS(CoD) Act</w:t>
      </w:r>
      <w:r>
        <w:t xml:space="preserve">, regulated institutions must comply with reporting standards. </w:t>
      </w:r>
    </w:p>
    <w:p w14:paraId="3F075520" w14:textId="77777777" w:rsidR="004253BF" w:rsidRDefault="004253BF" w:rsidP="000F194A">
      <w:pPr>
        <w:pStyle w:val="base-text-paragraph"/>
      </w:pPr>
      <w:r>
        <w:t>Each reporting standard sets out</w:t>
      </w:r>
      <w:r w:rsidR="009D127D">
        <w:t xml:space="preserve"> or states</w:t>
      </w:r>
      <w:r>
        <w:t>:</w:t>
      </w:r>
    </w:p>
    <w:p w14:paraId="175980B3" w14:textId="77777777" w:rsidR="004253BF" w:rsidRDefault="004253BF" w:rsidP="004253BF">
      <w:pPr>
        <w:pStyle w:val="dotpoint"/>
      </w:pPr>
      <w:r>
        <w:t>the purpose for which data is being collected;</w:t>
      </w:r>
    </w:p>
    <w:p w14:paraId="5FAAFEDC" w14:textId="77777777" w:rsidR="004253BF" w:rsidRDefault="004253BF" w:rsidP="004253BF">
      <w:pPr>
        <w:pStyle w:val="dotpoint"/>
      </w:pPr>
      <w:r>
        <w:t>the legal authority under which it is collected;</w:t>
      </w:r>
    </w:p>
    <w:p w14:paraId="3E0021BA" w14:textId="77777777" w:rsidR="004253BF" w:rsidRDefault="004253BF" w:rsidP="004253BF">
      <w:pPr>
        <w:pStyle w:val="dotpoint"/>
      </w:pPr>
      <w:r>
        <w:t>that specified data in an attached form is to be provided according to prescribed instructions;</w:t>
      </w:r>
    </w:p>
    <w:p w14:paraId="261AB450" w14:textId="77777777" w:rsidR="004253BF" w:rsidRDefault="004253BF" w:rsidP="004253BF">
      <w:pPr>
        <w:pStyle w:val="dotpoint"/>
      </w:pPr>
      <w:r>
        <w:t>the method and timing for submission;</w:t>
      </w:r>
    </w:p>
    <w:p w14:paraId="69842F6F" w14:textId="77777777" w:rsidR="004253BF" w:rsidRDefault="004253BF" w:rsidP="004253BF">
      <w:pPr>
        <w:pStyle w:val="dotpoint"/>
      </w:pPr>
      <w:r>
        <w:t>the required approach to auditing and quality control; and</w:t>
      </w:r>
    </w:p>
    <w:p w14:paraId="0F1CB561" w14:textId="77777777" w:rsidR="004253BF" w:rsidRDefault="004253BF" w:rsidP="004253BF">
      <w:pPr>
        <w:pStyle w:val="dotpoint"/>
      </w:pPr>
      <w:r>
        <w:t>who can authorise the submission of data on behalf of a private health insurer.</w:t>
      </w:r>
    </w:p>
    <w:p w14:paraId="5B670DF9" w14:textId="77777777" w:rsidR="004253BF" w:rsidRDefault="004253BF" w:rsidP="000F194A">
      <w:pPr>
        <w:pStyle w:val="base-text-paragraph"/>
      </w:pPr>
      <w:r>
        <w:t>Each reporting standard specifies the information that must be provided, and attaches the related instructions specifying how the form is to be completed.</w:t>
      </w:r>
    </w:p>
    <w:p w14:paraId="24547DE1" w14:textId="5064EB62" w:rsidR="00D76D1D" w:rsidRPr="00E95DF9" w:rsidRDefault="001B302F" w:rsidP="000F194A">
      <w:pPr>
        <w:pStyle w:val="base-text-paragraph"/>
      </w:pPr>
      <w:r w:rsidRPr="00E95DF9">
        <w:t xml:space="preserve">Data submitted to APRA under </w:t>
      </w:r>
      <w:r w:rsidR="00FF6CF5" w:rsidRPr="00E95DF9">
        <w:t xml:space="preserve">the </w:t>
      </w:r>
      <w:r w:rsidR="00FF6CF5" w:rsidRPr="00E95DF9">
        <w:rPr>
          <w:lang w:val="en-US" w:eastAsia="en-US"/>
        </w:rPr>
        <w:t>FS(CoD) Act</w:t>
      </w:r>
      <w:r w:rsidRPr="00E95DF9">
        <w:t xml:space="preserve"> is protected information under section 56 of the APRA Act. </w:t>
      </w:r>
      <w:r w:rsidR="00D76D1D" w:rsidRPr="00E95DF9">
        <w:t>However, APRA can ensure the continued release and publication of data in a number of ways, including:</w:t>
      </w:r>
    </w:p>
    <w:p w14:paraId="78F8F4F1" w14:textId="4AA6E644" w:rsidR="00D76D1D" w:rsidRPr="00E95DF9" w:rsidRDefault="00D76D1D" w:rsidP="00C01E75">
      <w:pPr>
        <w:pStyle w:val="dotpoint"/>
      </w:pPr>
      <w:r w:rsidRPr="00E95DF9">
        <w:t>APRA can release protected information under subsection 56(4) of the APRA Act, when the person to whose affairs the information or document relates has agreed in writing to the disclosure or production of the information; or</w:t>
      </w:r>
    </w:p>
    <w:p w14:paraId="7748D3DC" w14:textId="2737ADCA" w:rsidR="00D76D1D" w:rsidRPr="00E95DF9" w:rsidRDefault="00D76D1D" w:rsidP="00C01E75">
      <w:pPr>
        <w:pStyle w:val="dotpoint"/>
      </w:pPr>
      <w:r w:rsidRPr="00E95DF9">
        <w:t xml:space="preserve">APRA can determine </w:t>
      </w:r>
      <w:r w:rsidR="001B302F" w:rsidRPr="00E95DF9">
        <w:t>the data to be non-confidential</w:t>
      </w:r>
      <w:r w:rsidRPr="00E95DF9">
        <w:t xml:space="preserve">, </w:t>
      </w:r>
      <w:r w:rsidR="00F140CA" w:rsidRPr="00E95DF9">
        <w:t xml:space="preserve">following consultation with industry, </w:t>
      </w:r>
      <w:r w:rsidRPr="00E95DF9">
        <w:t>under the process outlined in section 57 of the APRA Act, to enable the continued release and publication of data; or</w:t>
      </w:r>
    </w:p>
    <w:p w14:paraId="264D0304" w14:textId="37298F0C" w:rsidR="00D76D1D" w:rsidRPr="00E95DF9" w:rsidRDefault="00D76D1D" w:rsidP="00C01E75">
      <w:pPr>
        <w:pStyle w:val="dotpoint"/>
      </w:pPr>
      <w:r w:rsidRPr="00E95DF9">
        <w:t xml:space="preserve">APRA can disclose protected information or the production of a protected document if the publication </w:t>
      </w:r>
      <w:r w:rsidR="00DF0A9F" w:rsidRPr="00E95DF9">
        <w:t xml:space="preserve">is to another person and </w:t>
      </w:r>
      <w:r w:rsidRPr="00E95DF9">
        <w:t xml:space="preserve">is approved by APRA by an instrument in writing under paragraph 56(5)(b) of the APRA Act. </w:t>
      </w:r>
    </w:p>
    <w:p w14:paraId="7FDCAC78" w14:textId="19E163AE" w:rsidR="00D76D1D" w:rsidRPr="00E95DF9" w:rsidRDefault="00D76D1D">
      <w:pPr>
        <w:pStyle w:val="base-text-paragraph"/>
      </w:pPr>
      <w:r w:rsidRPr="00E95DF9">
        <w:t xml:space="preserve">Under subsection 56(4) of the APRA Act, </w:t>
      </w:r>
      <w:r w:rsidR="00000D07" w:rsidRPr="00E95DF9">
        <w:t xml:space="preserve">APRA would require a one-off written </w:t>
      </w:r>
      <w:r w:rsidRPr="00E95DF9">
        <w:t xml:space="preserve">consent from individual insurers. This is </w:t>
      </w:r>
      <w:r w:rsidR="00CA1B00" w:rsidRPr="00E95DF9">
        <w:t xml:space="preserve">broadly </w:t>
      </w:r>
      <w:r w:rsidRPr="00E95DF9">
        <w:t>consistent with section 323-25 of the PHI Act, which provides that the Council may disclose information to a person(s) who is expressly or impliedly authorised by the person whom the information relates to obtain it.</w:t>
      </w:r>
    </w:p>
    <w:p w14:paraId="7FDC48AF" w14:textId="53C1AE51" w:rsidR="00000D07" w:rsidRPr="00E95DF9" w:rsidRDefault="00000D07">
      <w:pPr>
        <w:pStyle w:val="base-text-paragraph"/>
      </w:pPr>
      <w:r w:rsidRPr="00E95DF9">
        <w:t xml:space="preserve">If the data is declared non-confidential under section 57 of the APRA Act, all such data would also become available for a third party to make a request under the </w:t>
      </w:r>
      <w:r w:rsidRPr="00E95DF9">
        <w:rPr>
          <w:i/>
        </w:rPr>
        <w:t>Freedom of Information Act 1982</w:t>
      </w:r>
      <w:r w:rsidRPr="00E95DF9">
        <w:t xml:space="preserve"> as the data will be non-confidential generally. APRA </w:t>
      </w:r>
      <w:r w:rsidR="00F140CA" w:rsidRPr="00E95DF9">
        <w:t>may</w:t>
      </w:r>
      <w:r w:rsidRPr="00E95DF9">
        <w:t xml:space="preserve"> then</w:t>
      </w:r>
      <w:r w:rsidR="00CA4A40" w:rsidRPr="00E95DF9">
        <w:t xml:space="preserve"> </w:t>
      </w:r>
      <w:r w:rsidRPr="00E95DF9">
        <w:t xml:space="preserve">be obliged to release the data in accordance with that Act. Similar situations currently exist in other industries regulated by APRA where data is non-confidential but not published. </w:t>
      </w:r>
    </w:p>
    <w:p w14:paraId="7B3A9ED4" w14:textId="77777777" w:rsidR="00C44C45" w:rsidRDefault="00C44C45" w:rsidP="00E93AB0">
      <w:pPr>
        <w:pStyle w:val="Heading4"/>
      </w:pPr>
      <w:r>
        <w:t>Income Tax Assessment Act 1997</w:t>
      </w:r>
    </w:p>
    <w:p w14:paraId="12EC242E" w14:textId="77777777" w:rsidR="00E543CF" w:rsidRPr="00EB4753" w:rsidRDefault="00E543CF" w:rsidP="000F194A">
      <w:pPr>
        <w:pStyle w:val="base-text-paragraph"/>
        <w:rPr>
          <w:rStyle w:val="Referencingstyle"/>
          <w:b w:val="0"/>
          <w:i w:val="0"/>
          <w:sz w:val="22"/>
        </w:rPr>
      </w:pPr>
      <w:r w:rsidRPr="00E543CF">
        <w:t>Consistent with the broader changes, amendments</w:t>
      </w:r>
      <w:r w:rsidR="00C27302">
        <w:t xml:space="preserve"> to the ITAA 1997</w:t>
      </w:r>
      <w:r w:rsidRPr="00E543CF">
        <w:t xml:space="preserve"> update existing definitions of ‘private health insurer’ and ‘policy holder’ in the ITAA 1997 to refer to the </w:t>
      </w:r>
      <w:r w:rsidR="00E9202F">
        <w:t>Prudential Supervision Bill</w:t>
      </w:r>
      <w:r w:rsidRPr="00E543CF">
        <w:t xml:space="preserve">. </w:t>
      </w:r>
      <w:r w:rsidRPr="00E543CF">
        <w:rPr>
          <w:rStyle w:val="Referencingstyle"/>
        </w:rPr>
        <w:t>[</w:t>
      </w:r>
      <w:r>
        <w:rPr>
          <w:rStyle w:val="Referencingstyle"/>
        </w:rPr>
        <w:t xml:space="preserve">Schedule 1, Part 1, </w:t>
      </w:r>
      <w:r w:rsidRPr="00E543CF">
        <w:rPr>
          <w:rStyle w:val="Referencingstyle"/>
        </w:rPr>
        <w:t xml:space="preserve">Items </w:t>
      </w:r>
      <w:r>
        <w:rPr>
          <w:rStyle w:val="Referencingstyle"/>
        </w:rPr>
        <w:t>23</w:t>
      </w:r>
      <w:r w:rsidRPr="00E543CF">
        <w:rPr>
          <w:rStyle w:val="Referencingstyle"/>
        </w:rPr>
        <w:t xml:space="preserve">, </w:t>
      </w:r>
      <w:r>
        <w:rPr>
          <w:rStyle w:val="Referencingstyle"/>
        </w:rPr>
        <w:t>24</w:t>
      </w:r>
      <w:r w:rsidRPr="00E543CF">
        <w:rPr>
          <w:rStyle w:val="Referencingstyle"/>
        </w:rPr>
        <w:t xml:space="preserve">, </w:t>
      </w:r>
      <w:r>
        <w:rPr>
          <w:rStyle w:val="Referencingstyle"/>
        </w:rPr>
        <w:t>25</w:t>
      </w:r>
      <w:r w:rsidRPr="00E543CF">
        <w:rPr>
          <w:rStyle w:val="Referencingstyle"/>
        </w:rPr>
        <w:t xml:space="preserve">, </w:t>
      </w:r>
      <w:r>
        <w:rPr>
          <w:rStyle w:val="Referencingstyle"/>
        </w:rPr>
        <w:t>28</w:t>
      </w:r>
      <w:r w:rsidRPr="00E543CF">
        <w:rPr>
          <w:rStyle w:val="Referencingstyle"/>
        </w:rPr>
        <w:t xml:space="preserve">, </w:t>
      </w:r>
      <w:r>
        <w:rPr>
          <w:rStyle w:val="Referencingstyle"/>
        </w:rPr>
        <w:t>30</w:t>
      </w:r>
      <w:r w:rsidRPr="00E543CF">
        <w:rPr>
          <w:rStyle w:val="Referencingstyle"/>
        </w:rPr>
        <w:t xml:space="preserve">, </w:t>
      </w:r>
      <w:r>
        <w:rPr>
          <w:rStyle w:val="Referencingstyle"/>
        </w:rPr>
        <w:t>31</w:t>
      </w:r>
      <w:r w:rsidRPr="00E543CF">
        <w:rPr>
          <w:rStyle w:val="Referencingstyle"/>
        </w:rPr>
        <w:t xml:space="preserve">, </w:t>
      </w:r>
      <w:r>
        <w:rPr>
          <w:rStyle w:val="Referencingstyle"/>
        </w:rPr>
        <w:t>32 and 33</w:t>
      </w:r>
      <w:r w:rsidRPr="00E543CF">
        <w:rPr>
          <w:rStyle w:val="Referencingstyle"/>
        </w:rPr>
        <w:t>]</w:t>
      </w:r>
      <w:r w:rsidRPr="00EB4753">
        <w:rPr>
          <w:rStyle w:val="Referencingstyle"/>
          <w:b w:val="0"/>
          <w:i w:val="0"/>
          <w:sz w:val="22"/>
        </w:rPr>
        <w:t xml:space="preserve">  </w:t>
      </w:r>
    </w:p>
    <w:p w14:paraId="0834A140" w14:textId="77777777" w:rsidR="00E543CF" w:rsidRPr="00EB4753" w:rsidRDefault="00E543CF" w:rsidP="000F194A">
      <w:pPr>
        <w:pStyle w:val="base-text-paragraph"/>
        <w:rPr>
          <w:rStyle w:val="Referencingstyle"/>
          <w:b w:val="0"/>
          <w:i w:val="0"/>
          <w:sz w:val="22"/>
        </w:rPr>
      </w:pPr>
      <w:r w:rsidRPr="00E543CF">
        <w:t>Recognising that APRA will now be approv</w:t>
      </w:r>
      <w:r w:rsidR="00602695">
        <w:t xml:space="preserve">ing the demutualisations of not </w:t>
      </w:r>
      <w:r w:rsidRPr="00E543CF">
        <w:t>for</w:t>
      </w:r>
      <w:r w:rsidR="00602695">
        <w:t xml:space="preserve"> </w:t>
      </w:r>
      <w:r w:rsidRPr="00E543CF">
        <w:t xml:space="preserve">profit private health insurers additional changes are made to Division 315 ‘Demutualisation of private health insurers’ of the ITAA 1997 to reflect these new processes. </w:t>
      </w:r>
      <w:r w:rsidRPr="00E543CF">
        <w:rPr>
          <w:rStyle w:val="Referencingstyle"/>
        </w:rPr>
        <w:t>[</w:t>
      </w:r>
      <w:r>
        <w:rPr>
          <w:rStyle w:val="Referencingstyle"/>
        </w:rPr>
        <w:t>Schedule 1, Part</w:t>
      </w:r>
      <w:r w:rsidR="00C27302">
        <w:rPr>
          <w:rStyle w:val="Referencingstyle"/>
        </w:rPr>
        <w:t> </w:t>
      </w:r>
      <w:r>
        <w:rPr>
          <w:rStyle w:val="Referencingstyle"/>
        </w:rPr>
        <w:t xml:space="preserve">1, </w:t>
      </w:r>
      <w:r w:rsidRPr="00E543CF">
        <w:rPr>
          <w:rStyle w:val="Referencingstyle"/>
        </w:rPr>
        <w:t xml:space="preserve">Items </w:t>
      </w:r>
      <w:r>
        <w:rPr>
          <w:rStyle w:val="Referencingstyle"/>
        </w:rPr>
        <w:t>26</w:t>
      </w:r>
      <w:r w:rsidRPr="00E543CF">
        <w:rPr>
          <w:rStyle w:val="Referencingstyle"/>
        </w:rPr>
        <w:t xml:space="preserve">, </w:t>
      </w:r>
      <w:r>
        <w:rPr>
          <w:rStyle w:val="Referencingstyle"/>
        </w:rPr>
        <w:t>27</w:t>
      </w:r>
      <w:r w:rsidRPr="00E543CF">
        <w:rPr>
          <w:rStyle w:val="Referencingstyle"/>
        </w:rPr>
        <w:t xml:space="preserve">, </w:t>
      </w:r>
      <w:r>
        <w:rPr>
          <w:rStyle w:val="Referencingstyle"/>
        </w:rPr>
        <w:t>and 29</w:t>
      </w:r>
      <w:r w:rsidRPr="00E543CF">
        <w:rPr>
          <w:rStyle w:val="Referencingstyle"/>
        </w:rPr>
        <w:t>]</w:t>
      </w:r>
    </w:p>
    <w:p w14:paraId="661AD1FD" w14:textId="77777777" w:rsidR="00C44C45" w:rsidRDefault="00C44C45" w:rsidP="00E93AB0">
      <w:pPr>
        <w:pStyle w:val="Heading4"/>
      </w:pPr>
      <w:r>
        <w:t>Life Insurance Act 1995</w:t>
      </w:r>
    </w:p>
    <w:p w14:paraId="2DF6CA87" w14:textId="77777777" w:rsidR="00EB4753" w:rsidRPr="00EB4753" w:rsidRDefault="0039684B" w:rsidP="000F194A">
      <w:pPr>
        <w:pStyle w:val="base-text-paragraph"/>
        <w:rPr>
          <w:rStyle w:val="Referencingstyle"/>
          <w:b w:val="0"/>
          <w:i w:val="0"/>
          <w:sz w:val="22"/>
          <w:szCs w:val="22"/>
        </w:rPr>
      </w:pPr>
      <w:r>
        <w:t>Section 16ZB of the Life Insurance Act, which relates to</w:t>
      </w:r>
      <w:r w:rsidRPr="00FB1279">
        <w:t xml:space="preserve"> friendly societies carrying on health insurance business</w:t>
      </w:r>
      <w:r>
        <w:t xml:space="preserve">, has been amended to include a reference to the </w:t>
      </w:r>
      <w:r w:rsidR="00E9202F">
        <w:t>Prudential Supervision Bill</w:t>
      </w:r>
      <w:r>
        <w:t xml:space="preserve">. </w:t>
      </w:r>
      <w:r w:rsidR="00EB4753" w:rsidRPr="00E543CF">
        <w:rPr>
          <w:rStyle w:val="Referencingstyle"/>
        </w:rPr>
        <w:t>[</w:t>
      </w:r>
      <w:r w:rsidR="00EB4753">
        <w:rPr>
          <w:rStyle w:val="Referencingstyle"/>
        </w:rPr>
        <w:t xml:space="preserve">Schedule 1, Part 1, </w:t>
      </w:r>
      <w:r w:rsidR="00EB4753" w:rsidRPr="00E543CF">
        <w:rPr>
          <w:rStyle w:val="Referencingstyle"/>
        </w:rPr>
        <w:t>Item</w:t>
      </w:r>
      <w:r w:rsidR="00EB4753">
        <w:rPr>
          <w:rStyle w:val="Referencingstyle"/>
        </w:rPr>
        <w:t xml:space="preserve"> 34</w:t>
      </w:r>
      <w:r w:rsidR="00EB4753" w:rsidRPr="00E543CF">
        <w:rPr>
          <w:rStyle w:val="Referencingstyle"/>
        </w:rPr>
        <w:t>]</w:t>
      </w:r>
    </w:p>
    <w:p w14:paraId="6FC45AEE" w14:textId="77777777" w:rsidR="00C44C45" w:rsidRDefault="00C44C45" w:rsidP="00E93AB0">
      <w:pPr>
        <w:pStyle w:val="Heading4"/>
      </w:pPr>
      <w:r>
        <w:t>Medibank Private Sale Act 2006</w:t>
      </w:r>
    </w:p>
    <w:p w14:paraId="5AE15E03" w14:textId="77777777" w:rsidR="00CC3C70" w:rsidRDefault="00CC3C70" w:rsidP="000F194A">
      <w:pPr>
        <w:pStyle w:val="base-text-paragraph"/>
      </w:pPr>
      <w:r>
        <w:t xml:space="preserve">Consequential amendments are made to Schedule 2 to the </w:t>
      </w:r>
      <w:r w:rsidRPr="00C91013">
        <w:t>Medibank Private Sale Act</w:t>
      </w:r>
      <w:r>
        <w:t>.</w:t>
      </w:r>
      <w:r w:rsidDel="006F4E07">
        <w:t xml:space="preserve"> </w:t>
      </w:r>
      <w:r>
        <w:t>Medibank Private and its Board, among others, may still be required to undertake activities which assist the sale.</w:t>
      </w:r>
      <w:r w:rsidRPr="0022160C">
        <w:t xml:space="preserve"> </w:t>
      </w:r>
      <w:r>
        <w:t xml:space="preserve"> </w:t>
      </w:r>
    </w:p>
    <w:p w14:paraId="12E0752E" w14:textId="77777777" w:rsidR="00CC3C70" w:rsidRDefault="00CC3C70" w:rsidP="000F194A">
      <w:pPr>
        <w:pStyle w:val="base-text-paragraph"/>
      </w:pPr>
      <w:r>
        <w:t xml:space="preserve">Schedule 2 of the Medibank Private Sale Act contains provisions designed to facilitate the sale. A number of these provisions are expressed to operate despite the PHI Act and </w:t>
      </w:r>
      <w:r w:rsidR="00347C80">
        <w:t xml:space="preserve">have been </w:t>
      </w:r>
      <w:r>
        <w:t xml:space="preserve">amended to add a reference to the </w:t>
      </w:r>
      <w:r w:rsidR="00E9202F">
        <w:t>Prudential Supervision Bill</w:t>
      </w:r>
      <w:r>
        <w:t xml:space="preserve"> or to replace reference to a specific provision of the PHI Act with an updated reference to the replacement provision in the </w:t>
      </w:r>
      <w:r w:rsidR="00E9202F">
        <w:t>Prudential Supervision Bill</w:t>
      </w:r>
      <w:r>
        <w:t xml:space="preserve">.   </w:t>
      </w:r>
    </w:p>
    <w:p w14:paraId="47FC2241" w14:textId="77777777" w:rsidR="00675D21" w:rsidRDefault="00CC3C70" w:rsidP="000F194A">
      <w:pPr>
        <w:pStyle w:val="base-text-paragraph"/>
      </w:pPr>
      <w:r>
        <w:t xml:space="preserve">Item 9 of Schedule 2 to the </w:t>
      </w:r>
      <w:r w:rsidRPr="003B11CF">
        <w:t>Medibank Private Sale Act</w:t>
      </w:r>
      <w:r w:rsidRPr="0022160C">
        <w:rPr>
          <w:i/>
        </w:rPr>
        <w:t xml:space="preserve"> </w:t>
      </w:r>
      <w:r>
        <w:t>is a provision often seen in ‘privatisation’</w:t>
      </w:r>
      <w:r w:rsidR="00675D21">
        <w:t xml:space="preserve"> legislation and provides that</w:t>
      </w:r>
      <w:r>
        <w:t xml:space="preserve"> Medibank P</w:t>
      </w:r>
      <w:r w:rsidR="00675D21">
        <w:t>rivate, or a member of the</w:t>
      </w:r>
      <w:r>
        <w:t xml:space="preserve"> Medibank Private Board, may give assistance to the Commonwealth in connection with the sale, either on their own initiative or when requested in writing by the Minister for Finance. </w:t>
      </w:r>
    </w:p>
    <w:p w14:paraId="2EBAE876" w14:textId="77777777" w:rsidR="00CC3C70" w:rsidRDefault="00CC3C70" w:rsidP="000F194A">
      <w:pPr>
        <w:pStyle w:val="base-text-paragraph"/>
      </w:pPr>
      <w:r>
        <w:t>Subitem 9(7) provide</w:t>
      </w:r>
      <w:r w:rsidR="00675D21">
        <w:t>s</w:t>
      </w:r>
      <w:r>
        <w:t xml:space="preserve"> that, to avoid doubt, the giving of that assistance, and certain actions by the Minister under item 9, will not result in liability or remedy under </w:t>
      </w:r>
      <w:r w:rsidR="009D127D">
        <w:t>particular</w:t>
      </w:r>
      <w:r>
        <w:t xml:space="preserve"> Acts, includ</w:t>
      </w:r>
      <w:r w:rsidR="00675D21">
        <w:t>ing the PHI Act. The subitem has been</w:t>
      </w:r>
      <w:r>
        <w:t xml:space="preserve"> amended to add a reference to the </w:t>
      </w:r>
      <w:r w:rsidR="00E9202F">
        <w:t>Prudential Supervision Bill</w:t>
      </w:r>
      <w:r>
        <w:t xml:space="preserve"> so that there will be no liability under that </w:t>
      </w:r>
      <w:r w:rsidR="00064D62">
        <w:t xml:space="preserve">Bill </w:t>
      </w:r>
      <w:r>
        <w:t xml:space="preserve">in relation to matters covered by the subitem. This gives the sale company and its board (among others) confidence that acts undertaken in pursuance of the sale do not cause them to breach a law or duty. </w:t>
      </w:r>
      <w:r w:rsidR="001F548D">
        <w:rPr>
          <w:rStyle w:val="Referencingstyle"/>
        </w:rPr>
        <w:t xml:space="preserve">[Schedule 1, Part 1, item </w:t>
      </w:r>
      <w:r w:rsidR="005E31E6">
        <w:rPr>
          <w:rStyle w:val="Referencingstyle"/>
        </w:rPr>
        <w:t>35</w:t>
      </w:r>
      <w:r w:rsidR="00CF6360" w:rsidRPr="00AB4B0B">
        <w:rPr>
          <w:rStyle w:val="Referencingstyle"/>
        </w:rPr>
        <w:t>]</w:t>
      </w:r>
    </w:p>
    <w:p w14:paraId="5374D055" w14:textId="77777777" w:rsidR="001F548D" w:rsidRDefault="00CC3C70" w:rsidP="000F194A">
      <w:pPr>
        <w:pStyle w:val="base-text-paragraph"/>
      </w:pPr>
      <w:r>
        <w:t xml:space="preserve">Item 10 of Schedule 2 to the Medibank Private Sale Act contains ancillary provisions in support of item 9.  Subitem 10(7) provides that Medibank Private may make a payment from the Medibank Private fund (which is a health benefits fund) for the purpose of paying expenses incurred by it in relation to giving assistance under item 9 or paying expenses incurred by a member of a Medibank Private Board in relation to giving such assistance.  </w:t>
      </w:r>
    </w:p>
    <w:p w14:paraId="43692213" w14:textId="77777777" w:rsidR="00CC3C70" w:rsidRDefault="00CC3C70" w:rsidP="000F194A">
      <w:pPr>
        <w:pStyle w:val="base-text-paragraph"/>
      </w:pPr>
      <w:r>
        <w:t xml:space="preserve">Subitem 10(8) provides that this will not breach section 137-10 of the PHI Act, which limits the payment of expenses from a health benefits fund to certain purposes. Given section 137-10 of the PHI Act is being repealed and replaced with section 28 of the </w:t>
      </w:r>
      <w:r w:rsidR="00E9202F">
        <w:t>Prudential Supervision Bill</w:t>
      </w:r>
      <w:r>
        <w:t xml:space="preserve">, the reference has been amended to </w:t>
      </w:r>
      <w:r w:rsidR="00EB4753">
        <w:t xml:space="preserve">refer to </w:t>
      </w:r>
      <w:r>
        <w:t xml:space="preserve">section 28 of the </w:t>
      </w:r>
      <w:r w:rsidR="00E9202F">
        <w:t>Prudential Supervision Bill</w:t>
      </w:r>
      <w:r>
        <w:t>.</w:t>
      </w:r>
      <w:r w:rsidR="001F548D">
        <w:t xml:space="preserve"> </w:t>
      </w:r>
      <w:r w:rsidR="001F548D">
        <w:rPr>
          <w:rStyle w:val="Referencingstyle"/>
        </w:rPr>
        <w:t>[Schedule 1, Part 1, item</w:t>
      </w:r>
      <w:r w:rsidR="00EB4753">
        <w:rPr>
          <w:rStyle w:val="Referencingstyle"/>
        </w:rPr>
        <w:t> </w:t>
      </w:r>
      <w:r w:rsidR="005E31E6">
        <w:rPr>
          <w:rStyle w:val="Referencingstyle"/>
        </w:rPr>
        <w:t>36</w:t>
      </w:r>
      <w:r w:rsidR="001F548D" w:rsidRPr="00AB4B0B">
        <w:rPr>
          <w:rStyle w:val="Referencingstyle"/>
        </w:rPr>
        <w:t>]</w:t>
      </w:r>
    </w:p>
    <w:p w14:paraId="334CFA89" w14:textId="77777777" w:rsidR="00F91226" w:rsidRDefault="00CC3C70" w:rsidP="000F194A">
      <w:pPr>
        <w:pStyle w:val="base-text-paragraph"/>
      </w:pPr>
      <w:r>
        <w:t xml:space="preserve">Assistance provided under item 9 of Schedule 2 to the Medibank Private Sale Act may take the form of the </w:t>
      </w:r>
      <w:r w:rsidR="00F91226">
        <w:t>provision of information.  Item </w:t>
      </w:r>
      <w:r>
        <w:t xml:space="preserve">14 provides that the fact that particular information was requested or required under item 9 is not a ground on which Medibank (or the holding company) can be required to disclose or notify that or other information under a provision of an Act listed in item 14, which includes the PHI Act.  </w:t>
      </w:r>
    </w:p>
    <w:p w14:paraId="2B342620" w14:textId="77777777" w:rsidR="00CC3C70" w:rsidRDefault="00CC3C70" w:rsidP="00D75113">
      <w:pPr>
        <w:pStyle w:val="base-text-paragraph"/>
        <w:keepNext/>
        <w:keepLines/>
      </w:pPr>
      <w:r>
        <w:t xml:space="preserve">The purpose of item 14 is to ensure that disclosure of information under item 9 does not result in the company losing any right, that might otherwise have had, to resist a purported requirement, under one of the listed Acts, to disclose the information (for example, to resist on the basis that the information is subject to legal professional privilege).  Item 14 is amended to list the </w:t>
      </w:r>
      <w:r w:rsidR="00E9202F">
        <w:t>Prudential Supervision Bill</w:t>
      </w:r>
      <w:r>
        <w:t xml:space="preserve"> and the </w:t>
      </w:r>
      <w:r w:rsidR="00EB4753">
        <w:t>FS(CoD</w:t>
      </w:r>
      <w:r>
        <w:t xml:space="preserve">) Act, which both contain provisions for the submission of information to APRA. </w:t>
      </w:r>
      <w:r w:rsidR="001F548D">
        <w:rPr>
          <w:rStyle w:val="Referencingstyle"/>
        </w:rPr>
        <w:t>[</w:t>
      </w:r>
      <w:r w:rsidR="001F548D" w:rsidRPr="001F548D">
        <w:rPr>
          <w:rStyle w:val="Referencingstyle"/>
        </w:rPr>
        <w:t xml:space="preserve">Schedule 1, Part 1, item </w:t>
      </w:r>
      <w:r w:rsidR="005E31E6">
        <w:rPr>
          <w:rStyle w:val="Referencingstyle"/>
        </w:rPr>
        <w:t>37</w:t>
      </w:r>
      <w:r w:rsidR="001F548D" w:rsidRPr="00AB4B0B">
        <w:rPr>
          <w:rStyle w:val="Referencingstyle"/>
        </w:rPr>
        <w:t>]</w:t>
      </w:r>
      <w:r w:rsidR="001F548D">
        <w:rPr>
          <w:rStyle w:val="Referencingstyle"/>
        </w:rPr>
        <w:t xml:space="preserve"> </w:t>
      </w:r>
      <w:r>
        <w:t xml:space="preserve">The </w:t>
      </w:r>
      <w:r w:rsidR="00E9202F">
        <w:t>Prudential Supervision Bill</w:t>
      </w:r>
      <w:r>
        <w:t xml:space="preserve"> provides APRA with investigatory powers, including a power to require a private health insurer to </w:t>
      </w:r>
      <w:r w:rsidR="005C1F4D">
        <w:t>provide information (section </w:t>
      </w:r>
      <w:r>
        <w:t xml:space="preserve">127) and to produce documents (section 128).  </w:t>
      </w:r>
    </w:p>
    <w:p w14:paraId="0AA750A0" w14:textId="77777777" w:rsidR="00CC3C70" w:rsidRDefault="00CC3C70" w:rsidP="000F194A">
      <w:pPr>
        <w:pStyle w:val="base-text-paragraph"/>
      </w:pPr>
      <w:r>
        <w:t>Item 15 of Schedule 2 to the Medibank Private Sale Act provides that the Minister for Finance may prepare a written statement a</w:t>
      </w:r>
      <w:r w:rsidR="00F91226">
        <w:t>bout the privatisation and give</w:t>
      </w:r>
      <w:r w:rsidR="00006875">
        <w:t xml:space="preserve"> the statement to</w:t>
      </w:r>
      <w:r>
        <w:t xml:space="preserve"> Medibank</w:t>
      </w:r>
      <w:r w:rsidR="00006875">
        <w:t>,</w:t>
      </w:r>
      <w:r>
        <w:t xml:space="preserve"> together</w:t>
      </w:r>
      <w:r w:rsidR="00006875">
        <w:t xml:space="preserve"> with</w:t>
      </w:r>
      <w:r>
        <w:t xml:space="preserve"> a direction to the company to take steps to provide the statement to contributors to the Medibank Private fund and make a copy available on the company’s website.  Subitem 15(3) provides, for the avoidance of doubt, that complying with such a direction does not result in a contravention of, or liability or a remedy under, various Acts incl</w:t>
      </w:r>
      <w:r w:rsidR="00347C80">
        <w:t>uding the PHI Act.  This item has been</w:t>
      </w:r>
      <w:r>
        <w:t xml:space="preserve"> amended to include a reference to t</w:t>
      </w:r>
      <w:r w:rsidR="001F548D">
        <w:t xml:space="preserve">he </w:t>
      </w:r>
      <w:r w:rsidR="00E9202F">
        <w:t>Prudential Supervision Bill</w:t>
      </w:r>
      <w:r w:rsidR="001F548D">
        <w:t xml:space="preserve">. </w:t>
      </w:r>
      <w:r w:rsidR="001F548D">
        <w:rPr>
          <w:rStyle w:val="Referencingstyle"/>
        </w:rPr>
        <w:t>[Schedule 1, Part</w:t>
      </w:r>
      <w:r w:rsidR="00EB4753">
        <w:rPr>
          <w:rStyle w:val="Referencingstyle"/>
        </w:rPr>
        <w:t> </w:t>
      </w:r>
      <w:r w:rsidR="001F548D">
        <w:rPr>
          <w:rStyle w:val="Referencingstyle"/>
        </w:rPr>
        <w:t xml:space="preserve">1, item </w:t>
      </w:r>
      <w:r w:rsidR="005E31E6">
        <w:rPr>
          <w:rStyle w:val="Referencingstyle"/>
        </w:rPr>
        <w:t>38</w:t>
      </w:r>
      <w:r w:rsidR="001F548D" w:rsidRPr="00AB4B0B">
        <w:rPr>
          <w:rStyle w:val="Referencingstyle"/>
        </w:rPr>
        <w:t>]</w:t>
      </w:r>
    </w:p>
    <w:p w14:paraId="4FCCCA0A" w14:textId="77777777" w:rsidR="00CC3C70" w:rsidRDefault="00CC3C70" w:rsidP="000F194A">
      <w:pPr>
        <w:pStyle w:val="base-text-paragraph"/>
      </w:pPr>
      <w:r>
        <w:t>Item 16 of Schedule 2 to the Medibank Private Sale Act provides that Medibank Private may make a payment from the Medibank Private fund (the health benefits fund) for the purpose of applying expenses incurred by complying with a di</w:t>
      </w:r>
      <w:r w:rsidR="00347C80">
        <w:t>rection under item 15. Subitem </w:t>
      </w:r>
      <w:r>
        <w:t>16(2) provides that such a payment does not contravene section 137-10 of the PHI Act which, as noted above, limits the kinds of expenses to that can be paid out of a health</w:t>
      </w:r>
      <w:r w:rsidR="00347C80">
        <w:t xml:space="preserve"> benefits fund.  This subitem has been</w:t>
      </w:r>
      <w:r>
        <w:t xml:space="preserve"> amended to refer to section 28 of the </w:t>
      </w:r>
      <w:r w:rsidR="00E9202F">
        <w:t>Prudential Supervision Bill</w:t>
      </w:r>
      <w:r>
        <w:t>, which, as noted, replicate</w:t>
      </w:r>
      <w:r w:rsidR="001F548D">
        <w:t xml:space="preserve">s and replaces section 137-10. </w:t>
      </w:r>
      <w:r w:rsidR="001F548D">
        <w:rPr>
          <w:rStyle w:val="Referencingstyle"/>
        </w:rPr>
        <w:t xml:space="preserve">[Schedule 1, Part 1, item </w:t>
      </w:r>
      <w:r w:rsidR="005E31E6">
        <w:rPr>
          <w:rStyle w:val="Referencingstyle"/>
        </w:rPr>
        <w:t>39</w:t>
      </w:r>
      <w:r w:rsidR="001F548D" w:rsidRPr="00AB4B0B">
        <w:rPr>
          <w:rStyle w:val="Referencingstyle"/>
        </w:rPr>
        <w:t>]</w:t>
      </w:r>
    </w:p>
    <w:p w14:paraId="7E6FB925" w14:textId="77777777" w:rsidR="00CC3C70" w:rsidRDefault="00CC3C70" w:rsidP="000F194A">
      <w:pPr>
        <w:pStyle w:val="base-text-paragraph"/>
      </w:pPr>
      <w:r>
        <w:t>A similar amendment is made to subitem 21(</w:t>
      </w:r>
      <w:r w:rsidR="00DE71EE">
        <w:t>2</w:t>
      </w:r>
      <w:r>
        <w:t xml:space="preserve">), which allows the company to make a payment from the Medibank Private fund for the purpose of paying an expense incurred by modifying its constitution or rules, and providing information to contributors in relation to that, in accordance with a requirement under item 20. </w:t>
      </w:r>
      <w:r w:rsidR="001F548D">
        <w:rPr>
          <w:rStyle w:val="Referencingstyle"/>
        </w:rPr>
        <w:t xml:space="preserve">[Schedule 1, Part 1, item </w:t>
      </w:r>
      <w:r w:rsidR="005E31E6">
        <w:rPr>
          <w:rStyle w:val="Referencingstyle"/>
        </w:rPr>
        <w:t>39</w:t>
      </w:r>
      <w:r w:rsidR="001F548D" w:rsidRPr="00AB4B0B">
        <w:rPr>
          <w:rStyle w:val="Referencingstyle"/>
        </w:rPr>
        <w:t>]</w:t>
      </w:r>
    </w:p>
    <w:p w14:paraId="1F1EC6A4" w14:textId="77777777" w:rsidR="00CC3C70" w:rsidRDefault="00CC3C70" w:rsidP="000F194A">
      <w:pPr>
        <w:pStyle w:val="base-text-paragraph"/>
      </w:pPr>
      <w:r w:rsidRPr="00C51265">
        <w:t>Although the Commonwealth</w:t>
      </w:r>
      <w:r>
        <w:t xml:space="preserve"> will no longer be directing Medibank Private</w:t>
      </w:r>
      <w:r w:rsidRPr="00C51265">
        <w:t xml:space="preserve"> in regards to information statements, subitem</w:t>
      </w:r>
      <w:r>
        <w:t>s</w:t>
      </w:r>
      <w:r w:rsidRPr="00C51265">
        <w:t xml:space="preserve"> </w:t>
      </w:r>
      <w:r>
        <w:t>16(2) and 21(2) may both be relevant if a d</w:t>
      </w:r>
      <w:r w:rsidRPr="00C51265">
        <w:t xml:space="preserve">irection has been provided in the past. </w:t>
      </w:r>
      <w:r>
        <w:t>This is relevant as the Department of</w:t>
      </w:r>
      <w:r w:rsidRPr="00C51265">
        <w:t xml:space="preserve"> F</w:t>
      </w:r>
      <w:r w:rsidR="00347C80">
        <w:t xml:space="preserve">inance is still working with Medibank Private on the reimbursement of </w:t>
      </w:r>
      <w:r w:rsidR="00D662BF">
        <w:t xml:space="preserve">Medibank Private’s </w:t>
      </w:r>
      <w:r w:rsidRPr="00C51265">
        <w:t>sale costs.</w:t>
      </w:r>
    </w:p>
    <w:p w14:paraId="7AB74157" w14:textId="77777777" w:rsidR="00CC3C70" w:rsidRDefault="00347C80" w:rsidP="00D75113">
      <w:pPr>
        <w:pStyle w:val="base-text-paragraph"/>
        <w:keepNext/>
        <w:keepLines/>
      </w:pPr>
      <w:r>
        <w:t>A similar amendment has</w:t>
      </w:r>
      <w:r w:rsidR="00CC3C70">
        <w:t xml:space="preserve"> also</w:t>
      </w:r>
      <w:r>
        <w:t xml:space="preserve"> been</w:t>
      </w:r>
      <w:r w:rsidR="00CC3C70">
        <w:t xml:space="preserve"> made to subitem 2</w:t>
      </w:r>
      <w:r w:rsidR="00DE71EE">
        <w:t>2</w:t>
      </w:r>
      <w:r w:rsidR="00CC3C70">
        <w:t>(</w:t>
      </w:r>
      <w:r w:rsidR="00DE71EE">
        <w:t>3</w:t>
      </w:r>
      <w:r w:rsidR="00CC3C70">
        <w:t xml:space="preserve">), which relates to the recovery of expenses of preparing an information statement of the kind referred to in item 22, relating to modifications to rules and the constitution. </w:t>
      </w:r>
      <w:r w:rsidR="001F548D">
        <w:rPr>
          <w:rStyle w:val="Referencingstyle"/>
        </w:rPr>
        <w:t>[Schedule 1, Part 1, item</w:t>
      </w:r>
      <w:r w:rsidR="005E31E6">
        <w:rPr>
          <w:rStyle w:val="Referencingstyle"/>
        </w:rPr>
        <w:t xml:space="preserve"> 40</w:t>
      </w:r>
      <w:r w:rsidR="001F548D" w:rsidRPr="00AB4B0B">
        <w:rPr>
          <w:rStyle w:val="Referencingstyle"/>
        </w:rPr>
        <w:t>]</w:t>
      </w:r>
      <w:r w:rsidR="00CC3C70">
        <w:t xml:space="preserve"> </w:t>
      </w:r>
    </w:p>
    <w:p w14:paraId="6352968C" w14:textId="77777777" w:rsidR="00C8358E" w:rsidRDefault="00CC3C70" w:rsidP="000F194A">
      <w:pPr>
        <w:pStyle w:val="base-text-paragraph"/>
      </w:pPr>
      <w:r>
        <w:t>Subitem</w:t>
      </w:r>
      <w:r w:rsidR="00C8358E">
        <w:t>s 23(2) and</w:t>
      </w:r>
      <w:r>
        <w:t xml:space="preserve"> 58(8) </w:t>
      </w:r>
      <w:r w:rsidR="00C8358E">
        <w:t>have been</w:t>
      </w:r>
      <w:r>
        <w:t xml:space="preserve"> similarly updated to refer to section 28 of the </w:t>
      </w:r>
      <w:r w:rsidR="00E9202F">
        <w:t>Prudential Supervision Bill</w:t>
      </w:r>
      <w:r>
        <w:t xml:space="preserve">. </w:t>
      </w:r>
      <w:r w:rsidR="00C8358E">
        <w:rPr>
          <w:rStyle w:val="Referencingstyle"/>
        </w:rPr>
        <w:t>[Schedule 1, Part 1, item 41</w:t>
      </w:r>
      <w:r w:rsidR="00C8358E" w:rsidRPr="00AB4B0B">
        <w:rPr>
          <w:rStyle w:val="Referencingstyle"/>
        </w:rPr>
        <w:t>]</w:t>
      </w:r>
    </w:p>
    <w:p w14:paraId="72666115" w14:textId="77777777" w:rsidR="00CC3C70" w:rsidRPr="00CD275C" w:rsidRDefault="00CC3C70" w:rsidP="000F194A">
      <w:pPr>
        <w:pStyle w:val="base-text-paragraph"/>
      </w:pPr>
      <w:r>
        <w:t>Su</w:t>
      </w:r>
      <w:r w:rsidR="00D662BF">
        <w:t xml:space="preserve">bitems 58(5) and </w:t>
      </w:r>
      <w:r w:rsidR="001F548D">
        <w:t>58</w:t>
      </w:r>
      <w:r w:rsidR="00D662BF">
        <w:t>(6) require Medibank Private</w:t>
      </w:r>
      <w:r>
        <w:t xml:space="preserve"> to pay compensation where the operation of item 20 (change of profit status – modifying Medibank Private’s constitution and rules) or item 57 (which provides that an amount shown in the company’s account as retained earnings is taken to be profits) results in an acquisition of property from the person on other than just terms. Subitem 58(7) provides that the company may make the compensation payment from the Medibank Private fund. Subitem 58(8) provides that this will not contravene section 137-10 of the PHI Act and, as noted, this will be updated to refer to section 28 of the </w:t>
      </w:r>
      <w:r w:rsidR="00E9202F">
        <w:t>Prudential Supervision Bill</w:t>
      </w:r>
      <w:r>
        <w:t xml:space="preserve">. </w:t>
      </w:r>
    </w:p>
    <w:p w14:paraId="5CA755DE" w14:textId="77777777" w:rsidR="00446279" w:rsidRDefault="00446279" w:rsidP="00E93AB0">
      <w:pPr>
        <w:pStyle w:val="Heading4"/>
      </w:pPr>
      <w:r>
        <w:t>Private Health Insurance Act 2007</w:t>
      </w:r>
    </w:p>
    <w:p w14:paraId="1A960D94" w14:textId="77777777" w:rsidR="006E2DFD" w:rsidRDefault="004149AF">
      <w:pPr>
        <w:pStyle w:val="Heading5"/>
      </w:pPr>
      <w:r>
        <w:t xml:space="preserve">Chapter 1 – Introduction </w:t>
      </w:r>
    </w:p>
    <w:p w14:paraId="099397C6" w14:textId="77777777" w:rsidR="006E2DFD" w:rsidRDefault="006E2DFD" w:rsidP="000F194A">
      <w:pPr>
        <w:pStyle w:val="base-text-paragraph"/>
      </w:pPr>
      <w:r>
        <w:t xml:space="preserve">The prudential regulation of the private health insurance industry </w:t>
      </w:r>
      <w:r w:rsidR="002B7431">
        <w:t xml:space="preserve">will be </w:t>
      </w:r>
      <w:r>
        <w:t xml:space="preserve">the responsibility of APRA under the </w:t>
      </w:r>
      <w:r w:rsidR="00E9202F">
        <w:t>Prudential Supervision Bill</w:t>
      </w:r>
      <w:r>
        <w:t>.</w:t>
      </w:r>
    </w:p>
    <w:p w14:paraId="7E323276" w14:textId="77777777" w:rsidR="002B7431" w:rsidRDefault="002B7431" w:rsidP="000F194A">
      <w:pPr>
        <w:pStyle w:val="base-text-paragraph"/>
      </w:pPr>
      <w:r w:rsidRPr="00C85607">
        <w:t xml:space="preserve">The whole of the PHI Act will continue to be </w:t>
      </w:r>
      <w:r w:rsidR="007B401A">
        <w:t>administered</w:t>
      </w:r>
      <w:r w:rsidRPr="00C85607">
        <w:t xml:space="preserve">, by the Administrative Arrangements Orders, </w:t>
      </w:r>
      <w:r w:rsidR="007B401A">
        <w:t>by the Department of</w:t>
      </w:r>
      <w:r w:rsidRPr="00C85607">
        <w:t xml:space="preserve"> Health (despite APRA’s role under some provisions relating to levies). A</w:t>
      </w:r>
      <w:r>
        <w:t>n inter</w:t>
      </w:r>
      <w:r w:rsidR="007B401A">
        <w:noBreakHyphen/>
      </w:r>
      <w:r>
        <w:t xml:space="preserve">departmental agreement </w:t>
      </w:r>
      <w:r w:rsidRPr="00C85607">
        <w:t xml:space="preserve">will be used to deal with APRA’s role under the </w:t>
      </w:r>
      <w:r>
        <w:t xml:space="preserve">PHI </w:t>
      </w:r>
      <w:r w:rsidRPr="00C85607">
        <w:t>Act.</w:t>
      </w:r>
    </w:p>
    <w:p w14:paraId="66C6C729" w14:textId="77777777" w:rsidR="006E2DFD" w:rsidRDefault="002B7431" w:rsidP="000F194A">
      <w:pPr>
        <w:pStyle w:val="base-text-paragraph"/>
      </w:pPr>
      <w:r>
        <w:t>The PHI Act has been amended to abolish the Council and repeal provisions relating to the Council and its functions and responsibilities. A</w:t>
      </w:r>
      <w:r w:rsidR="006E2DFD">
        <w:t xml:space="preserve">s a result, a number of amendments have been made to the introductory provisions of the </w:t>
      </w:r>
      <w:r w:rsidR="00B83F6C">
        <w:t>PHI Act</w:t>
      </w:r>
      <w:r w:rsidR="006E2DFD">
        <w:t xml:space="preserve"> to reflect its revised scope.  </w:t>
      </w:r>
    </w:p>
    <w:p w14:paraId="72D3581E" w14:textId="77777777" w:rsidR="006E2DFD" w:rsidRDefault="006E2DFD" w:rsidP="000F194A">
      <w:pPr>
        <w:pStyle w:val="base-text-paragraph"/>
      </w:pPr>
      <w:r>
        <w:t>Item 1 of the table to subsection 1-10(6)</w:t>
      </w:r>
      <w:r w:rsidR="002B7431">
        <w:t xml:space="preserve"> of the PHI Act</w:t>
      </w:r>
      <w:r>
        <w:t xml:space="preserve">, which dealt with how references to the Council throughout the </w:t>
      </w:r>
      <w:r w:rsidR="00B83F6C">
        <w:t>PHI</w:t>
      </w:r>
      <w:r w:rsidR="00EB4753">
        <w:t> </w:t>
      </w:r>
      <w:r w:rsidR="00B83F6C">
        <w:t>Act</w:t>
      </w:r>
      <w:r>
        <w:t xml:space="preserve"> were identified, has been repealed</w:t>
      </w:r>
      <w:r w:rsidR="002B7431">
        <w:t xml:space="preserve"> as they are redundant</w:t>
      </w:r>
      <w:r>
        <w:t>.</w:t>
      </w:r>
      <w:r w:rsidDel="0094444C">
        <w:t xml:space="preserve"> </w:t>
      </w:r>
      <w:r w:rsidRPr="00AB4B0B">
        <w:rPr>
          <w:rStyle w:val="Referencingstyle"/>
        </w:rPr>
        <w:t>[Schedule 1, Part 1, item</w:t>
      </w:r>
      <w:r w:rsidR="00F20BDA">
        <w:rPr>
          <w:rStyle w:val="Referencingstyle"/>
        </w:rPr>
        <w:t> </w:t>
      </w:r>
      <w:r w:rsidR="007407AD">
        <w:rPr>
          <w:rStyle w:val="Referencingstyle"/>
        </w:rPr>
        <w:t>42</w:t>
      </w:r>
      <w:r w:rsidRPr="00AB4B0B">
        <w:rPr>
          <w:rStyle w:val="Referencingstyle"/>
        </w:rPr>
        <w:t>]</w:t>
      </w:r>
    </w:p>
    <w:p w14:paraId="30E86A24" w14:textId="77777777" w:rsidR="006E2DFD" w:rsidRDefault="006E2DFD" w:rsidP="000F194A">
      <w:pPr>
        <w:pStyle w:val="base-text-paragraph"/>
      </w:pPr>
      <w:r>
        <w:t xml:space="preserve">Paragraph 3-1(c) </w:t>
      </w:r>
      <w:r w:rsidR="002B7431">
        <w:t>has been</w:t>
      </w:r>
      <w:r>
        <w:t xml:space="preserve"> repealed to reflect that the </w:t>
      </w:r>
      <w:r w:rsidR="00B83F6C">
        <w:t>PHI Act</w:t>
      </w:r>
      <w:r>
        <w:t xml:space="preserve"> no longer imposes requirements about how insurers conduct health insurance business. These will now be imposed under the </w:t>
      </w:r>
      <w:r w:rsidR="00E9202F">
        <w:t>Prudential Supervision Bill</w:t>
      </w:r>
      <w:r>
        <w:t>. A minor technical amendment has been made to paragraph 3-1(b) as a consequence of the repeal of paragraph</w:t>
      </w:r>
      <w:r w:rsidR="00EB4753">
        <w:t> </w:t>
      </w:r>
      <w:r>
        <w:t>31(c).</w:t>
      </w:r>
      <w:r w:rsidDel="00124EFD">
        <w:t xml:space="preserve"> </w:t>
      </w:r>
      <w:r w:rsidRPr="006016C0">
        <w:rPr>
          <w:rStyle w:val="Referencingstyle"/>
        </w:rPr>
        <w:t xml:space="preserve">[Schedule 1, Part 1, items </w:t>
      </w:r>
      <w:r w:rsidR="007407AD">
        <w:rPr>
          <w:rStyle w:val="Referencingstyle"/>
        </w:rPr>
        <w:t>43</w:t>
      </w:r>
      <w:r w:rsidR="002B7431">
        <w:rPr>
          <w:rStyle w:val="Referencingstyle"/>
        </w:rPr>
        <w:t xml:space="preserve"> and </w:t>
      </w:r>
      <w:r w:rsidR="007407AD">
        <w:rPr>
          <w:rStyle w:val="Referencingstyle"/>
        </w:rPr>
        <w:t>4</w:t>
      </w:r>
      <w:r w:rsidR="00124EFD">
        <w:rPr>
          <w:rStyle w:val="Referencingstyle"/>
        </w:rPr>
        <w:t>4</w:t>
      </w:r>
      <w:r w:rsidRPr="006016C0">
        <w:rPr>
          <w:rStyle w:val="Referencingstyle"/>
        </w:rPr>
        <w:t>]</w:t>
      </w:r>
    </w:p>
    <w:p w14:paraId="5F3CA8A4" w14:textId="0C8526BF" w:rsidR="006E2DFD" w:rsidRDefault="006E2DFD" w:rsidP="000F194A">
      <w:pPr>
        <w:pStyle w:val="base-text-paragraph"/>
      </w:pPr>
      <w:r>
        <w:t xml:space="preserve">A </w:t>
      </w:r>
      <w:r w:rsidR="002B7431">
        <w:t>n</w:t>
      </w:r>
      <w:r>
        <w:t xml:space="preserve">ote is inserted at the end of section 3-1 to signpost to readers that the </w:t>
      </w:r>
      <w:r w:rsidR="00E9202F">
        <w:t>Prudential Supervision Bill</w:t>
      </w:r>
      <w:r w:rsidDel="00F20BDA">
        <w:t xml:space="preserve"> </w:t>
      </w:r>
      <w:r>
        <w:t xml:space="preserve">sets out the registration process for private health insurers, imposes requirements about how insurers conduct health insurance business and deals with other matters in relation to the prudential supervision of insurers. </w:t>
      </w:r>
      <w:r w:rsidR="0068426C">
        <w:rPr>
          <w:rStyle w:val="Referencingstyle"/>
        </w:rPr>
        <w:t>[Schedule 1</w:t>
      </w:r>
      <w:r w:rsidRPr="00F20279">
        <w:rPr>
          <w:rStyle w:val="Referencingstyle"/>
        </w:rPr>
        <w:t>, Part</w:t>
      </w:r>
      <w:r w:rsidR="00064D62">
        <w:rPr>
          <w:rStyle w:val="Referencingstyle"/>
        </w:rPr>
        <w:t> </w:t>
      </w:r>
      <w:r w:rsidRPr="00F20279">
        <w:rPr>
          <w:rStyle w:val="Referencingstyle"/>
        </w:rPr>
        <w:t xml:space="preserve">1, item </w:t>
      </w:r>
      <w:r w:rsidR="007407AD">
        <w:rPr>
          <w:rStyle w:val="Referencingstyle"/>
        </w:rPr>
        <w:t>45</w:t>
      </w:r>
      <w:r w:rsidRPr="00F20279">
        <w:rPr>
          <w:rStyle w:val="Referencingstyle"/>
        </w:rPr>
        <w:t>]</w:t>
      </w:r>
    </w:p>
    <w:p w14:paraId="351E72F2" w14:textId="77777777" w:rsidR="006E2DFD" w:rsidRDefault="006E2DFD" w:rsidP="000F194A">
      <w:pPr>
        <w:pStyle w:val="base-text-paragraph"/>
      </w:pPr>
      <w:r>
        <w:t xml:space="preserve">A new section 3-15, which gives an overview of Chapter 4 of the PHI Act, is substituted to reflect the revised contents of Chapter 4 following the removal of the functions that were previously performed by the Council. </w:t>
      </w:r>
      <w:r w:rsidR="002B7431">
        <w:t>Chapter 4 now defines the concepts of health insurance business and health benefits funds and deals with some relate</w:t>
      </w:r>
      <w:r w:rsidR="00064D62">
        <w:t xml:space="preserve">d matters. </w:t>
      </w:r>
      <w:r w:rsidR="002B7431">
        <w:t>It also imposes a number of miscellaneous obligations on private health insurers.</w:t>
      </w:r>
      <w:r w:rsidR="002B7431" w:rsidRPr="00F20279">
        <w:rPr>
          <w:rStyle w:val="Referencingstyle"/>
        </w:rPr>
        <w:t xml:space="preserve"> </w:t>
      </w:r>
      <w:r w:rsidRPr="00F20279">
        <w:rPr>
          <w:rStyle w:val="Referencingstyle"/>
        </w:rPr>
        <w:t>[</w:t>
      </w:r>
      <w:r w:rsidR="00F20279">
        <w:rPr>
          <w:rStyle w:val="Referencingstyle"/>
        </w:rPr>
        <w:t>Schedule 1, Part 1, item</w:t>
      </w:r>
      <w:r w:rsidR="00F20BDA">
        <w:rPr>
          <w:rStyle w:val="Referencingstyle"/>
        </w:rPr>
        <w:t xml:space="preserve"> </w:t>
      </w:r>
      <w:r w:rsidR="007407AD">
        <w:rPr>
          <w:rStyle w:val="Referencingstyle"/>
        </w:rPr>
        <w:t>46</w:t>
      </w:r>
      <w:r w:rsidR="00F20279">
        <w:rPr>
          <w:rStyle w:val="Referencingstyle"/>
        </w:rPr>
        <w:t>]</w:t>
      </w:r>
    </w:p>
    <w:p w14:paraId="6C2C7FCF" w14:textId="77777777" w:rsidR="002B7431" w:rsidRDefault="002B7431" w:rsidP="00E93AB0">
      <w:pPr>
        <w:pStyle w:val="Heading5"/>
      </w:pPr>
      <w:r>
        <w:t>Chapter 2 – Incentives</w:t>
      </w:r>
    </w:p>
    <w:p w14:paraId="0230167F" w14:textId="77777777" w:rsidR="002B7431" w:rsidRPr="00494DB0" w:rsidRDefault="002B7431" w:rsidP="000F194A">
      <w:pPr>
        <w:pStyle w:val="base-text-paragraph"/>
      </w:pPr>
      <w:r>
        <w:t xml:space="preserve">Chapter 2 establishes the premiums reduction scheme (the Australian Government Rebate on private health insurance) and the lifetime health cover scheme.  No amendments have been made to Chapter 2. </w:t>
      </w:r>
    </w:p>
    <w:p w14:paraId="09DBC801" w14:textId="77777777" w:rsidR="006E2DFD" w:rsidRDefault="006E2DFD" w:rsidP="00E93AB0">
      <w:pPr>
        <w:pStyle w:val="Heading5"/>
      </w:pPr>
      <w:r>
        <w:t xml:space="preserve">Chapter 3 </w:t>
      </w:r>
      <w:r w:rsidR="004149AF">
        <w:t>–</w:t>
      </w:r>
      <w:r>
        <w:t xml:space="preserve"> </w:t>
      </w:r>
      <w:r w:rsidR="004149AF">
        <w:t xml:space="preserve">Complying </w:t>
      </w:r>
      <w:r>
        <w:t>Health Insurance Products</w:t>
      </w:r>
    </w:p>
    <w:p w14:paraId="4F9474E1" w14:textId="77777777" w:rsidR="006E2DFD" w:rsidRDefault="006E2DFD" w:rsidP="000F194A">
      <w:pPr>
        <w:pStyle w:val="base-text-paragraph"/>
      </w:pPr>
      <w:r>
        <w:t xml:space="preserve">Chapter 3 of the </w:t>
      </w:r>
      <w:r w:rsidR="00B83F6C">
        <w:t>PHI Act</w:t>
      </w:r>
      <w:r>
        <w:t xml:space="preserve"> sets out requirements for complying health insurance products, establishes the principle of community rating, and also includes a number of requirements for insurers to keep consumers and relevant Commonwealth government agencies informed about the health insurance they offer.  </w:t>
      </w:r>
    </w:p>
    <w:p w14:paraId="0D54B426" w14:textId="77777777" w:rsidR="006E2DFD" w:rsidRDefault="006E2DFD" w:rsidP="000F194A">
      <w:pPr>
        <w:pStyle w:val="base-text-paragraph"/>
      </w:pPr>
      <w:r>
        <w:t xml:space="preserve">A limited number of amendments have been made to Chapter 3. </w:t>
      </w:r>
    </w:p>
    <w:p w14:paraId="058FC6E3" w14:textId="77777777" w:rsidR="006E2DFD" w:rsidRPr="00494DB0" w:rsidRDefault="006E2DFD" w:rsidP="000F194A">
      <w:pPr>
        <w:pStyle w:val="base-text-paragraph"/>
        <w:rPr>
          <w:rStyle w:val="Referencingstyle"/>
          <w:b w:val="0"/>
          <w:i w:val="0"/>
          <w:sz w:val="22"/>
        </w:rPr>
      </w:pPr>
      <w:r>
        <w:t xml:space="preserve">The </w:t>
      </w:r>
      <w:r w:rsidR="00B83F6C">
        <w:t>PHI Act</w:t>
      </w:r>
      <w:r>
        <w:t xml:space="preserve"> prohibits an insurer from offering health insurance business in any form other than a complying health insurance p</w:t>
      </w:r>
      <w:r w:rsidR="002B7431">
        <w:t>olicy</w:t>
      </w:r>
      <w:r>
        <w:t xml:space="preserve"> and also from offering or advertising policies including health insurance business that are not in the form of complying health insurance policies.  Section 84-10 of the PHI Act deals with the granting of </w:t>
      </w:r>
      <w:r w:rsidR="00FE47F3">
        <w:t xml:space="preserve">and </w:t>
      </w:r>
      <w:r>
        <w:t>injunction against a</w:t>
      </w:r>
      <w:r w:rsidR="00FE47F3">
        <w:t>n</w:t>
      </w:r>
      <w:r>
        <w:t xml:space="preserve"> insurer who is </w:t>
      </w:r>
      <w:r w:rsidR="00FE47F3">
        <w:t xml:space="preserve">contravening, or </w:t>
      </w:r>
      <w:r>
        <w:t>is proposing to contravene</w:t>
      </w:r>
      <w:r w:rsidR="00FE47F3">
        <w:t>,</w:t>
      </w:r>
      <w:r>
        <w:t xml:space="preserve"> these prohibitions. Paragraph 84-10(3)(b) has been repealed to remove reference to the Council's power to apply for </w:t>
      </w:r>
      <w:r w:rsidR="00FE47F3">
        <w:t xml:space="preserve">such </w:t>
      </w:r>
      <w:r w:rsidR="00064D62">
        <w:t xml:space="preserve">an injunction. </w:t>
      </w:r>
      <w:r>
        <w:t>The Health Minister and other persons retain the capacity to apply for an injunction under section 84-10.</w:t>
      </w:r>
      <w:r w:rsidDel="00124EFD">
        <w:t xml:space="preserve"> </w:t>
      </w:r>
      <w:r w:rsidRPr="00F20279">
        <w:rPr>
          <w:rStyle w:val="Referencingstyle"/>
        </w:rPr>
        <w:t xml:space="preserve">[Schedule 1, Part 1, </w:t>
      </w:r>
      <w:r w:rsidR="00F20279">
        <w:rPr>
          <w:rStyle w:val="Referencingstyle"/>
        </w:rPr>
        <w:t xml:space="preserve">item </w:t>
      </w:r>
      <w:r w:rsidR="007407AD">
        <w:rPr>
          <w:rStyle w:val="Referencingstyle"/>
        </w:rPr>
        <w:t>47</w:t>
      </w:r>
      <w:r w:rsidR="00F20279">
        <w:rPr>
          <w:rStyle w:val="Referencingstyle"/>
        </w:rPr>
        <w:t>]</w:t>
      </w:r>
    </w:p>
    <w:p w14:paraId="77CDA4F7" w14:textId="77777777" w:rsidR="00FE47F3" w:rsidRPr="00965776" w:rsidRDefault="00FE47F3" w:rsidP="00D75113">
      <w:pPr>
        <w:pStyle w:val="base-text-paragraph"/>
        <w:keepNext/>
        <w:keepLines/>
      </w:pPr>
      <w:r>
        <w:t xml:space="preserve">Section 90-1, which introduces Part 3-4, has been amended to reflect that insurers no longer have obligations under this Part to provide information to the Council about their health insurance business. </w:t>
      </w:r>
      <w:r w:rsidRPr="00494DB0">
        <w:rPr>
          <w:rStyle w:val="Referencingstyle"/>
        </w:rPr>
        <w:t>[Schedule</w:t>
      </w:r>
      <w:r>
        <w:rPr>
          <w:rStyle w:val="Referencingstyle"/>
        </w:rPr>
        <w:t> </w:t>
      </w:r>
      <w:r w:rsidRPr="00494DB0">
        <w:rPr>
          <w:rStyle w:val="Referencingstyle"/>
        </w:rPr>
        <w:t xml:space="preserve">1, Part 1, item </w:t>
      </w:r>
      <w:r w:rsidR="007407AD">
        <w:rPr>
          <w:rStyle w:val="Referencingstyle"/>
        </w:rPr>
        <w:t>48</w:t>
      </w:r>
      <w:r w:rsidRPr="00494DB0">
        <w:rPr>
          <w:rStyle w:val="Referencingstyle"/>
        </w:rPr>
        <w:t>]</w:t>
      </w:r>
    </w:p>
    <w:p w14:paraId="273E81E8" w14:textId="77777777" w:rsidR="00FE47F3" w:rsidRDefault="00FE47F3" w:rsidP="000F194A">
      <w:pPr>
        <w:pStyle w:val="base-text-paragraph"/>
      </w:pPr>
      <w:r>
        <w:t>Subsection 93-20(4) of the PHI Act sets out an insurer's obligation to notify policy-holders when the health benefits fund to which their policy is referable is changed. One of the reasons a policy may become referable to a new fund is a restructure, merger or acquisition of the fund to which it was originally referable. Division</w:t>
      </w:r>
      <w:r w:rsidR="00EB4753">
        <w:t> </w:t>
      </w:r>
      <w:r>
        <w:t>146 of the PHI Act, which dealt with these matters, has been repealed. The restructure, merger and acquisition of health benefits funds ar</w:t>
      </w:r>
      <w:r w:rsidR="00F77F80">
        <w:t>e now dealt with under Division </w:t>
      </w:r>
      <w:r>
        <w:t xml:space="preserve">4 of Part 3 of the </w:t>
      </w:r>
      <w:r w:rsidR="00E9202F">
        <w:t>Prudential Supervision Bill</w:t>
      </w:r>
      <w:r w:rsidR="005C1F4D">
        <w:t>. The note to subsection 93</w:t>
      </w:r>
      <w:r w:rsidR="005C1F4D">
        <w:noBreakHyphen/>
      </w:r>
      <w:r>
        <w:t xml:space="preserve">20(4) has been amended to refer to Division 4 of Part 3 of the </w:t>
      </w:r>
      <w:r w:rsidR="00E9202F">
        <w:t>Prudential Supervision Bill</w:t>
      </w:r>
      <w:r>
        <w:t xml:space="preserve">. </w:t>
      </w:r>
      <w:r w:rsidRPr="00494DB0">
        <w:rPr>
          <w:rStyle w:val="Referencingstyle"/>
        </w:rPr>
        <w:t xml:space="preserve">[Schedule 1, Part 1, item </w:t>
      </w:r>
      <w:r w:rsidR="007407AD">
        <w:rPr>
          <w:rStyle w:val="Referencingstyle"/>
        </w:rPr>
        <w:t>49</w:t>
      </w:r>
      <w:r w:rsidRPr="00494DB0">
        <w:rPr>
          <w:rStyle w:val="Referencingstyle"/>
        </w:rPr>
        <w:t>]</w:t>
      </w:r>
      <w:r w:rsidRPr="00FE47F3">
        <w:rPr>
          <w:rStyle w:val="Referencingstyle"/>
          <w:b w:val="0"/>
        </w:rPr>
        <w:t>.</w:t>
      </w:r>
      <w:r>
        <w:rPr>
          <w:rStyle w:val="Referencingstyle"/>
        </w:rPr>
        <w:t xml:space="preserve"> </w:t>
      </w:r>
    </w:p>
    <w:p w14:paraId="240A6398" w14:textId="77777777" w:rsidR="006E2DFD" w:rsidRDefault="006E2DFD" w:rsidP="000F194A">
      <w:pPr>
        <w:pStyle w:val="base-text-paragraph"/>
      </w:pPr>
      <w:r>
        <w:t xml:space="preserve">Division 96 of the </w:t>
      </w:r>
      <w:r w:rsidR="00B83F6C">
        <w:t>PHI Act</w:t>
      </w:r>
      <w:r>
        <w:t xml:space="preserve"> </w:t>
      </w:r>
      <w:r w:rsidR="00FE47F3">
        <w:t>sets out</w:t>
      </w:r>
      <w:r>
        <w:t xml:space="preserve"> various obligations on insurers to provide information about their complying health insurance products and policies to a number of Commonwealth Government agencies.  A number of amendments to Division 96 have been made:</w:t>
      </w:r>
    </w:p>
    <w:p w14:paraId="3D9B8E8B" w14:textId="77777777" w:rsidR="006E2DFD" w:rsidRPr="00F20279" w:rsidRDefault="006E2DFD" w:rsidP="00F20279">
      <w:pPr>
        <w:pStyle w:val="dotpoint"/>
        <w:rPr>
          <w:rStyle w:val="Referencingstyle"/>
        </w:rPr>
      </w:pPr>
      <w:r>
        <w:t xml:space="preserve">Paragraphs 96-1(b), 96-5(b) and 96-10(b) required insurers to give Standard Information Statements (SISs) to the Council on request, when a new complying health insurance product was </w:t>
      </w:r>
      <w:r w:rsidR="00FE47F3">
        <w:t xml:space="preserve">made </w:t>
      </w:r>
      <w:r>
        <w:t xml:space="preserve">available or when a product changed. Insurers will not be required to provide SISs to APRA under the </w:t>
      </w:r>
      <w:r w:rsidR="00B83F6C">
        <w:t>PHI Act</w:t>
      </w:r>
      <w:r w:rsidR="00FE47F3">
        <w:t xml:space="preserve"> and these provisions have been repealed</w:t>
      </w:r>
      <w:r>
        <w:t xml:space="preserve">. </w:t>
      </w:r>
      <w:r w:rsidRPr="00F20279">
        <w:rPr>
          <w:rStyle w:val="Referencingstyle"/>
        </w:rPr>
        <w:t xml:space="preserve">[Schedule 1, Part 1, item </w:t>
      </w:r>
      <w:r w:rsidR="007407AD">
        <w:rPr>
          <w:rStyle w:val="Referencingstyle"/>
        </w:rPr>
        <w:t>51</w:t>
      </w:r>
      <w:r w:rsidRPr="00F20279">
        <w:rPr>
          <w:rStyle w:val="Referencingstyle"/>
        </w:rPr>
        <w:t>]</w:t>
      </w:r>
    </w:p>
    <w:p w14:paraId="13B8398C" w14:textId="77777777" w:rsidR="006E2DFD" w:rsidRDefault="006E2DFD" w:rsidP="00F20279">
      <w:pPr>
        <w:pStyle w:val="dotpoint"/>
      </w:pPr>
      <w:r>
        <w:t xml:space="preserve">Paragraph 96-15(1)(b) has been repealed to remove the requirement for insurers to give </w:t>
      </w:r>
      <w:r w:rsidR="00FE47F3">
        <w:t xml:space="preserve">additional </w:t>
      </w:r>
      <w:r>
        <w:t>information to the Council regarding complying health insurance products or policies on request.</w:t>
      </w:r>
      <w:r w:rsidDel="000B1B5D">
        <w:t xml:space="preserve"> </w:t>
      </w:r>
      <w:r>
        <w:t xml:space="preserve">Insurers will not be required to give information to APRA about complying health insurance products or policies under the </w:t>
      </w:r>
      <w:r w:rsidR="00B83F6C">
        <w:t>PHI Act</w:t>
      </w:r>
      <w:r>
        <w:t xml:space="preserve">. </w:t>
      </w:r>
      <w:r w:rsidRPr="00F20279">
        <w:rPr>
          <w:rStyle w:val="Referencingstyle"/>
        </w:rPr>
        <w:t>[Schedule 1, Part 1, item</w:t>
      </w:r>
      <w:r w:rsidR="00F20BDA">
        <w:rPr>
          <w:rStyle w:val="Referencingstyle"/>
        </w:rPr>
        <w:t> </w:t>
      </w:r>
      <w:r w:rsidR="007407AD">
        <w:rPr>
          <w:rStyle w:val="Referencingstyle"/>
        </w:rPr>
        <w:t>51</w:t>
      </w:r>
      <w:r w:rsidRPr="00F20279">
        <w:rPr>
          <w:rStyle w:val="Referencingstyle"/>
        </w:rPr>
        <w:t>]</w:t>
      </w:r>
    </w:p>
    <w:p w14:paraId="1D847B8A" w14:textId="77777777" w:rsidR="006E2DFD" w:rsidRDefault="006E2DFD" w:rsidP="00AC56C3">
      <w:pPr>
        <w:pStyle w:val="dotpoint"/>
        <w:keepNext/>
        <w:keepLines/>
        <w:ind w:left="2269" w:hanging="284"/>
      </w:pPr>
      <w:r>
        <w:t>As a result of the amendments to sections 96-1, 96-5, 96-10 and 96-15, the offence under section 96-20 for failing to give information to a person when required by th</w:t>
      </w:r>
      <w:r w:rsidR="00FE47F3">
        <w:t xml:space="preserve">ose provisions </w:t>
      </w:r>
      <w:r>
        <w:t>will have no application in relation to the Council. The heading to section 96-20 has therefore been amended to remove reference to the Council.</w:t>
      </w:r>
      <w:r w:rsidRPr="00F20279" w:rsidDel="000B1B5D">
        <w:rPr>
          <w:rStyle w:val="Referencingstyle"/>
        </w:rPr>
        <w:t xml:space="preserve"> </w:t>
      </w:r>
      <w:r w:rsidRPr="00F20279">
        <w:rPr>
          <w:rStyle w:val="Referencingstyle"/>
        </w:rPr>
        <w:t xml:space="preserve">[Schedule 1, Part </w:t>
      </w:r>
      <w:r w:rsidR="00B838E5">
        <w:rPr>
          <w:rStyle w:val="Referencingstyle"/>
        </w:rPr>
        <w:t>1</w:t>
      </w:r>
      <w:r w:rsidRPr="00F20279">
        <w:rPr>
          <w:rStyle w:val="Referencingstyle"/>
        </w:rPr>
        <w:t xml:space="preserve">, item </w:t>
      </w:r>
      <w:r w:rsidR="007407AD">
        <w:rPr>
          <w:rStyle w:val="Referencingstyle"/>
        </w:rPr>
        <w:t>52</w:t>
      </w:r>
      <w:r w:rsidRPr="00F20279">
        <w:rPr>
          <w:rStyle w:val="Referencingstyle"/>
        </w:rPr>
        <w:t>]</w:t>
      </w:r>
    </w:p>
    <w:p w14:paraId="7E842223" w14:textId="77777777" w:rsidR="006E2DFD" w:rsidRPr="00494DB0" w:rsidRDefault="00FE47F3" w:rsidP="00F20279">
      <w:pPr>
        <w:pStyle w:val="dotpoint"/>
        <w:rPr>
          <w:rStyle w:val="Referencingstyle"/>
          <w:b w:val="0"/>
          <w:i w:val="0"/>
          <w:sz w:val="22"/>
        </w:rPr>
      </w:pPr>
      <w:r>
        <w:t>Paragraph 96-25(b) provides that the Private Health Insurance (Complying Product) Rules may set out persons to who</w:t>
      </w:r>
      <w:r w:rsidR="001535D1">
        <w:t>m information specified in the r</w:t>
      </w:r>
      <w:r>
        <w:t>ules must be given. Reference to the Council has been repealed</w:t>
      </w:r>
      <w:r w:rsidR="003C5C88">
        <w:t>.</w:t>
      </w:r>
      <w:r w:rsidDel="00FE47F3">
        <w:t xml:space="preserve"> </w:t>
      </w:r>
      <w:r w:rsidR="006E2DFD" w:rsidRPr="00F20279">
        <w:rPr>
          <w:rStyle w:val="Referencingstyle"/>
        </w:rPr>
        <w:t xml:space="preserve">[Schedule 1, Part </w:t>
      </w:r>
      <w:r w:rsidR="00B838E5">
        <w:rPr>
          <w:rStyle w:val="Referencingstyle"/>
        </w:rPr>
        <w:t>1</w:t>
      </w:r>
      <w:r w:rsidR="006E2DFD" w:rsidRPr="00F20279">
        <w:rPr>
          <w:rStyle w:val="Referencingstyle"/>
        </w:rPr>
        <w:t xml:space="preserve">, item </w:t>
      </w:r>
      <w:r w:rsidR="00066ABC">
        <w:rPr>
          <w:rStyle w:val="Referencingstyle"/>
        </w:rPr>
        <w:t>53</w:t>
      </w:r>
      <w:r w:rsidR="006E2DFD" w:rsidRPr="00F20279">
        <w:rPr>
          <w:rStyle w:val="Referencingstyle"/>
        </w:rPr>
        <w:t>]</w:t>
      </w:r>
    </w:p>
    <w:p w14:paraId="2E1EA415" w14:textId="77777777" w:rsidR="00FE47F3" w:rsidRDefault="00FE47F3" w:rsidP="000F194A">
      <w:pPr>
        <w:pStyle w:val="base-text-paragraph"/>
      </w:pPr>
      <w:r>
        <w:t>No amendments have been made to the requirements for complying health insurance products and policies, including the requirement that policies meet the community rating requirement and the requirement to offer minimum benefits. The Health</w:t>
      </w:r>
      <w:r w:rsidR="003C5C88">
        <w:t xml:space="preserve"> Minister</w:t>
      </w:r>
      <w:r>
        <w:t xml:space="preserve"> will also continue to approve increases to insurance premiums.</w:t>
      </w:r>
      <w:r w:rsidDel="000B1B5D">
        <w:t xml:space="preserve"> </w:t>
      </w:r>
    </w:p>
    <w:p w14:paraId="68898DC5" w14:textId="77777777" w:rsidR="006E2DFD" w:rsidRDefault="006E2DFD" w:rsidP="000F194A">
      <w:pPr>
        <w:pStyle w:val="base-text-paragraph"/>
      </w:pPr>
      <w:r>
        <w:t xml:space="preserve">An amendment to the heading of Division 96 to reflect that insurers no longer have obligations to provide information to the Council under the Division has also been made. </w:t>
      </w:r>
      <w:r w:rsidRPr="00F20279">
        <w:rPr>
          <w:rStyle w:val="Referencingstyle"/>
        </w:rPr>
        <w:t xml:space="preserve">[Schedule 1, Part </w:t>
      </w:r>
      <w:r w:rsidR="00B838E5">
        <w:rPr>
          <w:rStyle w:val="Referencingstyle"/>
        </w:rPr>
        <w:t>1</w:t>
      </w:r>
      <w:r w:rsidRPr="00F20279">
        <w:rPr>
          <w:rStyle w:val="Referencingstyle"/>
        </w:rPr>
        <w:t>, item</w:t>
      </w:r>
      <w:r w:rsidR="00EB4753">
        <w:rPr>
          <w:rStyle w:val="Referencingstyle"/>
        </w:rPr>
        <w:t> </w:t>
      </w:r>
      <w:r w:rsidR="00066ABC">
        <w:rPr>
          <w:rStyle w:val="Referencingstyle"/>
        </w:rPr>
        <w:t>50</w:t>
      </w:r>
      <w:r w:rsidRPr="00F20279">
        <w:rPr>
          <w:rStyle w:val="Referencingstyle"/>
        </w:rPr>
        <w:t>]</w:t>
      </w:r>
    </w:p>
    <w:p w14:paraId="0010BE19" w14:textId="77777777" w:rsidR="006E2DFD" w:rsidRDefault="006E2DFD" w:rsidP="00E93AB0">
      <w:pPr>
        <w:pStyle w:val="Heading5"/>
      </w:pPr>
      <w:r>
        <w:t xml:space="preserve">Chapter 4 </w:t>
      </w:r>
      <w:r w:rsidR="004149AF">
        <w:t>–</w:t>
      </w:r>
      <w:r>
        <w:t xml:space="preserve"> </w:t>
      </w:r>
      <w:r w:rsidR="004149AF">
        <w:t xml:space="preserve">Private </w:t>
      </w:r>
      <w:r>
        <w:t>health insurers</w:t>
      </w:r>
    </w:p>
    <w:p w14:paraId="1D597E68" w14:textId="77777777" w:rsidR="006E2DFD" w:rsidRDefault="006E2DFD" w:rsidP="000F194A">
      <w:pPr>
        <w:pStyle w:val="base-text-paragraph"/>
      </w:pPr>
      <w:r>
        <w:t xml:space="preserve">Chapter 4 of the </w:t>
      </w:r>
      <w:r w:rsidR="00B83F6C">
        <w:t>PHI Act</w:t>
      </w:r>
      <w:r>
        <w:t xml:space="preserve"> defined the concepts of health insurance business</w:t>
      </w:r>
      <w:r w:rsidR="00FE47F3">
        <w:t>,</w:t>
      </w:r>
      <w:r>
        <w:t xml:space="preserve"> health-related business</w:t>
      </w:r>
      <w:r w:rsidR="00FE47F3">
        <w:t xml:space="preserve"> and a health benefits fund. It is also</w:t>
      </w:r>
      <w:r>
        <w:t xml:space="preserve"> prohibited </w:t>
      </w:r>
      <w:r w:rsidR="00FE47F3">
        <w:t>for</w:t>
      </w:r>
      <w:r>
        <w:t xml:space="preserve"> anyone other than a registered private health insurer from carrying on health insurance business and regulated the operation of health benefits funds by insurers, which was overseen by the Council.  </w:t>
      </w:r>
    </w:p>
    <w:p w14:paraId="0D530D8A" w14:textId="77777777" w:rsidR="00FE47F3" w:rsidRDefault="00FE47F3" w:rsidP="00E93AB0">
      <w:pPr>
        <w:pStyle w:val="Heading6"/>
      </w:pPr>
      <w:r>
        <w:t>Part 4-1 – Introduction</w:t>
      </w:r>
    </w:p>
    <w:p w14:paraId="463B1943" w14:textId="77777777" w:rsidR="00FE47F3" w:rsidRPr="009D127D" w:rsidRDefault="00FE47F3" w:rsidP="000F194A">
      <w:pPr>
        <w:pStyle w:val="base-text-paragraph"/>
        <w:rPr>
          <w:rStyle w:val="Referencingstyle"/>
          <w:b w:val="0"/>
          <w:i w:val="0"/>
          <w:sz w:val="22"/>
        </w:rPr>
      </w:pPr>
      <w:r>
        <w:t>Chapter 4 still defines the key concepts of health insurance business and a health benefits fund, and imposes miscellaneous obligations on insurers. The heading and introduction to the Chapter in Part 4-1 have been amended to reflect its revised content.</w:t>
      </w:r>
      <w:r w:rsidDel="0094444C">
        <w:t xml:space="preserve"> </w:t>
      </w:r>
      <w:r w:rsidRPr="00246180">
        <w:rPr>
          <w:rStyle w:val="Referencingstyle"/>
        </w:rPr>
        <w:t>[Schedule</w:t>
      </w:r>
      <w:r w:rsidR="00464E54">
        <w:rPr>
          <w:rStyle w:val="Referencingstyle"/>
        </w:rPr>
        <w:t> </w:t>
      </w:r>
      <w:r w:rsidRPr="00246180">
        <w:rPr>
          <w:rStyle w:val="Referencingstyle"/>
        </w:rPr>
        <w:t>1, Part</w:t>
      </w:r>
      <w:r w:rsidR="00066ABC">
        <w:rPr>
          <w:rStyle w:val="Referencingstyle"/>
        </w:rPr>
        <w:t> </w:t>
      </w:r>
      <w:r w:rsidRPr="00246180">
        <w:rPr>
          <w:rStyle w:val="Referencingstyle"/>
        </w:rPr>
        <w:t xml:space="preserve">1, items </w:t>
      </w:r>
      <w:r w:rsidR="00066ABC">
        <w:rPr>
          <w:rStyle w:val="Referencingstyle"/>
        </w:rPr>
        <w:t>54</w:t>
      </w:r>
      <w:r w:rsidRPr="00246180">
        <w:rPr>
          <w:rStyle w:val="Referencingstyle"/>
        </w:rPr>
        <w:t xml:space="preserve"> and </w:t>
      </w:r>
      <w:r w:rsidR="00066ABC">
        <w:rPr>
          <w:rStyle w:val="Referencingstyle"/>
        </w:rPr>
        <w:t>55</w:t>
      </w:r>
      <w:r w:rsidRPr="00246180">
        <w:rPr>
          <w:rStyle w:val="Referencingstyle"/>
        </w:rPr>
        <w:t>]</w:t>
      </w:r>
    </w:p>
    <w:p w14:paraId="6444E6AB" w14:textId="77777777" w:rsidR="00FE47F3" w:rsidRDefault="00FE47F3" w:rsidP="00E93AB0">
      <w:pPr>
        <w:pStyle w:val="Heading6"/>
      </w:pPr>
      <w:r>
        <w:t>Part 4-2 – Health insurance business</w:t>
      </w:r>
    </w:p>
    <w:p w14:paraId="42522B54" w14:textId="77777777" w:rsidR="00FE47F3" w:rsidRPr="00FE47F3" w:rsidRDefault="00FE47F3" w:rsidP="000F194A">
      <w:pPr>
        <w:pStyle w:val="base-text-paragraph"/>
        <w:rPr>
          <w:rStyle w:val="Referencingstyle"/>
          <w:b w:val="0"/>
          <w:i w:val="0"/>
          <w:sz w:val="22"/>
        </w:rPr>
      </w:pPr>
      <w:r>
        <w:t>The most significant change to Part 4-2 is the repeal of Division</w:t>
      </w:r>
      <w:r w:rsidR="004478AC">
        <w:t> </w:t>
      </w:r>
      <w:r>
        <w:t>118, which prohibited insurers from carrying on health insurance business without registration and enabled an injunction to be sought restraining a person from carrying on health insurance business while not registered.</w:t>
      </w:r>
      <w:r w:rsidDel="0094444C">
        <w:t xml:space="preserve"> </w:t>
      </w:r>
      <w:r w:rsidRPr="00246180">
        <w:rPr>
          <w:rStyle w:val="Referencingstyle"/>
        </w:rPr>
        <w:t xml:space="preserve">[Schedule 1, Part 1, item </w:t>
      </w:r>
      <w:r w:rsidR="00066ABC">
        <w:rPr>
          <w:rStyle w:val="Referencingstyle"/>
        </w:rPr>
        <w:t>59</w:t>
      </w:r>
      <w:r w:rsidRPr="00246180">
        <w:rPr>
          <w:rStyle w:val="Referencingstyle"/>
        </w:rPr>
        <w:t>]</w:t>
      </w:r>
    </w:p>
    <w:p w14:paraId="6554FCFF" w14:textId="77777777" w:rsidR="00FE47F3" w:rsidRDefault="00FE47F3" w:rsidP="000F194A">
      <w:pPr>
        <w:pStyle w:val="base-text-paragraph"/>
      </w:pPr>
      <w:r>
        <w:t xml:space="preserve">Corresponding provisions are now found in Division 2 of Part 2 of the </w:t>
      </w:r>
      <w:r w:rsidR="00E9202F">
        <w:t>Prudential Supervision Bill</w:t>
      </w:r>
      <w:r>
        <w:t>.</w:t>
      </w:r>
    </w:p>
    <w:p w14:paraId="087AA76B" w14:textId="77777777" w:rsidR="00FE47F3" w:rsidRPr="00822558" w:rsidRDefault="00FE47F3" w:rsidP="000F194A">
      <w:pPr>
        <w:pStyle w:val="base-text-paragraph"/>
        <w:rPr>
          <w:rStyle w:val="Referencingstyle"/>
          <w:b w:val="0"/>
          <w:i w:val="0"/>
          <w:sz w:val="22"/>
        </w:rPr>
      </w:pPr>
      <w:r>
        <w:t xml:space="preserve">Consequential amendments have been made to the heading to Part 4-2 and to sections 115-1 and 115-5 to reflect that Part 4-2 no longer deals with </w:t>
      </w:r>
      <w:r w:rsidRPr="009944AD">
        <w:t xml:space="preserve">the </w:t>
      </w:r>
      <w:r w:rsidRPr="00C85607">
        <w:t>carrying on of health insurance business</w:t>
      </w:r>
      <w:r w:rsidRPr="00E93AB0">
        <w:t>.</w:t>
      </w:r>
      <w:r w:rsidRPr="00E93AB0" w:rsidDel="0094444C">
        <w:t xml:space="preserve"> </w:t>
      </w:r>
      <w:r w:rsidRPr="00652C24">
        <w:rPr>
          <w:rStyle w:val="Referencingstyle"/>
        </w:rPr>
        <w:t xml:space="preserve">[Schedule 1, Part 1, items </w:t>
      </w:r>
      <w:r w:rsidR="00066ABC" w:rsidRPr="00652C24">
        <w:rPr>
          <w:rStyle w:val="Referencingstyle"/>
        </w:rPr>
        <w:t>56</w:t>
      </w:r>
      <w:r w:rsidRPr="00B2761E">
        <w:rPr>
          <w:rStyle w:val="Referencingstyle"/>
        </w:rPr>
        <w:t xml:space="preserve"> and </w:t>
      </w:r>
      <w:r w:rsidR="00066ABC" w:rsidRPr="00B2761E">
        <w:rPr>
          <w:rStyle w:val="Referencingstyle"/>
        </w:rPr>
        <w:t>57</w:t>
      </w:r>
      <w:r w:rsidRPr="00B2761E">
        <w:rPr>
          <w:rStyle w:val="Referencingstyle"/>
        </w:rPr>
        <w:t>]</w:t>
      </w:r>
      <w:r w:rsidRPr="00581F42">
        <w:rPr>
          <w:rStyle w:val="Referencingstyle"/>
          <w:b w:val="0"/>
        </w:rPr>
        <w:t xml:space="preserve">  </w:t>
      </w:r>
    </w:p>
    <w:p w14:paraId="6475731C" w14:textId="77777777" w:rsidR="00FE47F3" w:rsidRDefault="00FE47F3" w:rsidP="000F194A">
      <w:pPr>
        <w:pStyle w:val="base-text-paragraph"/>
      </w:pPr>
      <w:r>
        <w:t>The definitions of health insurance business, general treatment and hospital treatment in Part 4-2 have not been amended and continue to be found in sections 121-1 to 121-30. There have also been no amendments to requirements for the making of hospital declarations under section 121-5.</w:t>
      </w:r>
    </w:p>
    <w:p w14:paraId="08CDDEB4" w14:textId="77777777" w:rsidR="00FE47F3" w:rsidRDefault="00FE47F3" w:rsidP="000F194A">
      <w:pPr>
        <w:pStyle w:val="base-text-paragraph"/>
      </w:pPr>
      <w:r>
        <w:t>The Health</w:t>
      </w:r>
      <w:r w:rsidR="004478AC">
        <w:t xml:space="preserve"> Minister</w:t>
      </w:r>
      <w:r>
        <w:t xml:space="preserve"> will continue to make Private Health Insurance (Health Insurance Business) Rules for the purposes of Part</w:t>
      </w:r>
      <w:r w:rsidR="00464E54">
        <w:t> </w:t>
      </w:r>
      <w:r>
        <w:t>4-2.</w:t>
      </w:r>
      <w:r w:rsidDel="0094444C">
        <w:t xml:space="preserve"> </w:t>
      </w:r>
      <w:r>
        <w:t>However secti</w:t>
      </w:r>
      <w:r w:rsidR="001535D1">
        <w:t>on 115-5, which deals with the r</w:t>
      </w:r>
      <w:r>
        <w:t>ules, has been repealed an</w:t>
      </w:r>
      <w:r w:rsidR="001535D1">
        <w:t>d replaced to reflect that the r</w:t>
      </w:r>
      <w:r>
        <w:t>ules will no longer include matters relating to the carrying on of health insurance business such as the operation of health benefits funds.</w:t>
      </w:r>
      <w:r w:rsidDel="0094444C">
        <w:t xml:space="preserve"> </w:t>
      </w:r>
      <w:r w:rsidRPr="00246180">
        <w:rPr>
          <w:b/>
          <w:i/>
          <w:sz w:val="18"/>
        </w:rPr>
        <w:t xml:space="preserve">[Schedule 1, Part 1, item </w:t>
      </w:r>
      <w:r w:rsidR="00066ABC">
        <w:rPr>
          <w:b/>
          <w:i/>
          <w:sz w:val="18"/>
        </w:rPr>
        <w:t>58</w:t>
      </w:r>
      <w:r w:rsidRPr="00246180">
        <w:rPr>
          <w:b/>
          <w:i/>
          <w:sz w:val="18"/>
        </w:rPr>
        <w:t>]</w:t>
      </w:r>
    </w:p>
    <w:p w14:paraId="5CE55796" w14:textId="77777777" w:rsidR="004478AC" w:rsidRDefault="00FE47F3" w:rsidP="000F194A">
      <w:pPr>
        <w:pStyle w:val="base-text-paragraph"/>
      </w:pPr>
      <w:r>
        <w:t xml:space="preserve">As APRA, the new prudential regulator of private health insurers and health insurance business, sits within a different portfolio, new subsection 115-5(2) provides that before making Private Health Insurance (Health Insurance Business) Rules the Health </w:t>
      </w:r>
      <w:r w:rsidR="00B2761E">
        <w:t>Minister</w:t>
      </w:r>
      <w:r>
        <w:t xml:space="preserve"> is to consult with APRA. A failure to consult does </w:t>
      </w:r>
      <w:r w:rsidR="001535D1">
        <w:t>not affect the validity of the r</w:t>
      </w:r>
      <w:r>
        <w:t>ules.</w:t>
      </w:r>
      <w:r w:rsidDel="0094444C">
        <w:t xml:space="preserve"> </w:t>
      </w:r>
      <w:r w:rsidR="004478AC" w:rsidRPr="004478AC">
        <w:rPr>
          <w:b/>
          <w:i/>
          <w:sz w:val="18"/>
          <w:szCs w:val="18"/>
        </w:rPr>
        <w:t xml:space="preserve">[Schedule 1, Part 1, item </w:t>
      </w:r>
      <w:r w:rsidR="00066ABC">
        <w:rPr>
          <w:b/>
          <w:i/>
          <w:sz w:val="18"/>
          <w:szCs w:val="18"/>
        </w:rPr>
        <w:t>58</w:t>
      </w:r>
      <w:r w:rsidR="004478AC" w:rsidRPr="004478AC">
        <w:rPr>
          <w:b/>
          <w:i/>
          <w:sz w:val="18"/>
          <w:szCs w:val="18"/>
        </w:rPr>
        <w:t>]</w:t>
      </w:r>
    </w:p>
    <w:p w14:paraId="655DF82C" w14:textId="77777777" w:rsidR="00C74D5E" w:rsidRDefault="00C74D5E" w:rsidP="00E93AB0">
      <w:pPr>
        <w:pStyle w:val="Heading6"/>
      </w:pPr>
      <w:r>
        <w:t>Part 4-3 – Registration</w:t>
      </w:r>
    </w:p>
    <w:p w14:paraId="6106924A" w14:textId="77777777" w:rsidR="006E2DFD" w:rsidRPr="00965776" w:rsidRDefault="006E2DFD" w:rsidP="000F194A">
      <w:pPr>
        <w:pStyle w:val="base-text-paragraph"/>
        <w:rPr>
          <w:rStyle w:val="Referencingstyle"/>
          <w:b w:val="0"/>
          <w:i w:val="0"/>
          <w:sz w:val="22"/>
        </w:rPr>
      </w:pPr>
      <w:r>
        <w:t>Part 4-3, which provided for the registration of bodies as insurers</w:t>
      </w:r>
      <w:r w:rsidR="002508BE">
        <w:t xml:space="preserve"> has been repealed</w:t>
      </w:r>
      <w:r>
        <w:t>.</w:t>
      </w:r>
      <w:r w:rsidDel="0094444C">
        <w:t xml:space="preserve"> </w:t>
      </w:r>
      <w:r>
        <w:t xml:space="preserve">Registration of insurers will be managed by APRA under Division 3 of Part 2 of the </w:t>
      </w:r>
      <w:r w:rsidR="00E9202F">
        <w:t>Prudential Supervision Bill</w:t>
      </w:r>
      <w:r>
        <w:t>.</w:t>
      </w:r>
      <w:r w:rsidRPr="007B401A">
        <w:rPr>
          <w:b/>
          <w:i/>
          <w:sz w:val="18"/>
        </w:rPr>
        <w:t xml:space="preserve"> </w:t>
      </w:r>
      <w:r w:rsidR="007B401A" w:rsidRPr="004478AC">
        <w:rPr>
          <w:b/>
          <w:i/>
          <w:sz w:val="18"/>
          <w:szCs w:val="18"/>
        </w:rPr>
        <w:t xml:space="preserve">[Schedule 1, Part 1, item </w:t>
      </w:r>
      <w:r w:rsidR="007B401A">
        <w:rPr>
          <w:b/>
          <w:i/>
          <w:sz w:val="18"/>
          <w:szCs w:val="18"/>
        </w:rPr>
        <w:t>60</w:t>
      </w:r>
      <w:r w:rsidR="007B401A" w:rsidRPr="004478AC">
        <w:rPr>
          <w:b/>
          <w:i/>
          <w:sz w:val="18"/>
          <w:szCs w:val="18"/>
        </w:rPr>
        <w:t>]</w:t>
      </w:r>
      <w:r>
        <w:t xml:space="preserve"> </w:t>
      </w:r>
    </w:p>
    <w:p w14:paraId="542706B6" w14:textId="77777777" w:rsidR="00C74D5E" w:rsidRDefault="00C74D5E" w:rsidP="00E93AB0">
      <w:pPr>
        <w:pStyle w:val="Heading6"/>
      </w:pPr>
      <w:r>
        <w:t>Part 4-4 – Health benefits funds</w:t>
      </w:r>
    </w:p>
    <w:p w14:paraId="7839482F" w14:textId="77777777" w:rsidR="00C74D5E" w:rsidRPr="003A7C89" w:rsidRDefault="00C74D5E" w:rsidP="000F194A">
      <w:pPr>
        <w:pStyle w:val="base-text-paragraph"/>
      </w:pPr>
      <w:r w:rsidRPr="00C85607">
        <w:t>Part 4</w:t>
      </w:r>
      <w:r w:rsidRPr="00C85607">
        <w:noBreakHyphen/>
        <w:t>4 of the PHI Act will contain a single Division 131, which will have the same heading as the Part. This is the same structure as is currently used for Part 4</w:t>
      </w:r>
      <w:r w:rsidRPr="00C85607">
        <w:noBreakHyphen/>
        <w:t>3 of the PHI Act. Division 131 will also contain an equivalent to current section 137</w:t>
      </w:r>
      <w:r w:rsidRPr="00C85607">
        <w:noBreakHyphen/>
        <w:t>30 of the PHI Act, which then allows for the whole of Division 137 to be repealed.</w:t>
      </w:r>
      <w:r w:rsidR="000D7CA1">
        <w:t xml:space="preserve"> </w:t>
      </w:r>
      <w:r w:rsidR="000D7CA1" w:rsidRPr="00F20279">
        <w:rPr>
          <w:rStyle w:val="Referencingstyle"/>
        </w:rPr>
        <w:t>[Schedule 1, Part 1, item</w:t>
      </w:r>
      <w:r w:rsidR="000D7CA1">
        <w:rPr>
          <w:rStyle w:val="Referencingstyle"/>
        </w:rPr>
        <w:t>s </w:t>
      </w:r>
      <w:r w:rsidR="00066ABC">
        <w:rPr>
          <w:rStyle w:val="Referencingstyle"/>
        </w:rPr>
        <w:t>6</w:t>
      </w:r>
      <w:r w:rsidR="007B401A">
        <w:rPr>
          <w:rStyle w:val="Referencingstyle"/>
        </w:rPr>
        <w:t>1</w:t>
      </w:r>
      <w:r w:rsidR="000D7CA1">
        <w:rPr>
          <w:rStyle w:val="Referencingstyle"/>
        </w:rPr>
        <w:t>-</w:t>
      </w:r>
      <w:r w:rsidR="00066ABC">
        <w:rPr>
          <w:rStyle w:val="Referencingstyle"/>
        </w:rPr>
        <w:t>64</w:t>
      </w:r>
      <w:r w:rsidR="000D7CA1" w:rsidRPr="00F20279">
        <w:rPr>
          <w:rStyle w:val="Referencingstyle"/>
        </w:rPr>
        <w:t>]</w:t>
      </w:r>
    </w:p>
    <w:p w14:paraId="48932BA2" w14:textId="77777777" w:rsidR="006E2DFD" w:rsidRDefault="006E2DFD" w:rsidP="000F194A">
      <w:pPr>
        <w:pStyle w:val="base-text-paragraph"/>
      </w:pPr>
      <w:r>
        <w:t>Divisions 134, 137, 146, 149 and 152, which required private health insurers to have health benefits funds, regulated the operation of health benefits funds and their restructure, merger and acquisition and termination, and established special duties and liabilities of directors of insurers in relation to contraventions of the Act in relation to funds. These</w:t>
      </w:r>
      <w:r w:rsidR="007B401A">
        <w:t xml:space="preserve"> Divisions have been repealed and these</w:t>
      </w:r>
      <w:r>
        <w:t xml:space="preserve"> matters will be </w:t>
      </w:r>
      <w:r w:rsidR="009D4EA4">
        <w:t>supervised</w:t>
      </w:r>
      <w:r>
        <w:t xml:space="preserve"> by APRA under Divisions </w:t>
      </w:r>
      <w:r w:rsidR="00C74D5E">
        <w:t>2 to 5, 8</w:t>
      </w:r>
      <w:r>
        <w:t xml:space="preserve"> and 9 of Part</w:t>
      </w:r>
      <w:r w:rsidR="00C74D5E">
        <w:t> </w:t>
      </w:r>
      <w:r>
        <w:t xml:space="preserve">3 of the </w:t>
      </w:r>
      <w:r w:rsidR="00E9202F">
        <w:t>Prudential Supervision Bill</w:t>
      </w:r>
      <w:r>
        <w:t>.</w:t>
      </w:r>
      <w:r w:rsidR="00C74D5E" w:rsidDel="0094444C">
        <w:t xml:space="preserve"> </w:t>
      </w:r>
      <w:r w:rsidRPr="00F20279">
        <w:rPr>
          <w:rStyle w:val="Referencingstyle"/>
        </w:rPr>
        <w:t xml:space="preserve">[Schedule 1, Part 1, item </w:t>
      </w:r>
      <w:r w:rsidR="00066ABC">
        <w:rPr>
          <w:rStyle w:val="Referencingstyle"/>
        </w:rPr>
        <w:t>65</w:t>
      </w:r>
      <w:r w:rsidRPr="00F20279">
        <w:rPr>
          <w:rStyle w:val="Referencingstyle"/>
        </w:rPr>
        <w:t>]</w:t>
      </w:r>
    </w:p>
    <w:p w14:paraId="50FDC9BB" w14:textId="77777777" w:rsidR="006E2DFD" w:rsidRPr="00F20279" w:rsidRDefault="006E2DFD" w:rsidP="000F194A">
      <w:pPr>
        <w:pStyle w:val="base-text-paragraph"/>
        <w:rPr>
          <w:rStyle w:val="Referencingstyle"/>
        </w:rPr>
      </w:pPr>
      <w:r>
        <w:t>Divisions 140, 143 and 163, which enabled the Council to establish solvency, capital adequacy and prudential standards and issue binding directions to insurers on these matters</w:t>
      </w:r>
      <w:r w:rsidR="00C74D5E">
        <w:t>, have also been repealed</w:t>
      </w:r>
      <w:r>
        <w:t>.</w:t>
      </w:r>
      <w:r w:rsidDel="0094444C">
        <w:t xml:space="preserve"> </w:t>
      </w:r>
      <w:r>
        <w:t xml:space="preserve">APRA's general prudential standard and direction making powers are contained in Part 4 of the </w:t>
      </w:r>
      <w:r w:rsidR="00E9202F">
        <w:t>Prudential Supervision Bill</w:t>
      </w:r>
      <w:r>
        <w:t xml:space="preserve">. </w:t>
      </w:r>
      <w:r w:rsidRPr="00F20279">
        <w:rPr>
          <w:rStyle w:val="Referencingstyle"/>
        </w:rPr>
        <w:t xml:space="preserve">[Schedule 1, Part 1, </w:t>
      </w:r>
      <w:r w:rsidRPr="00965776">
        <w:rPr>
          <w:rStyle w:val="Referencingstyle"/>
        </w:rPr>
        <w:t>item</w:t>
      </w:r>
      <w:r w:rsidR="007B401A">
        <w:rPr>
          <w:rStyle w:val="Referencingstyle"/>
        </w:rPr>
        <w:t>s</w:t>
      </w:r>
      <w:r w:rsidR="00C74D5E">
        <w:rPr>
          <w:rStyle w:val="Referencingstyle"/>
        </w:rPr>
        <w:t xml:space="preserve"> </w:t>
      </w:r>
      <w:r w:rsidR="00066ABC">
        <w:rPr>
          <w:rStyle w:val="Referencingstyle"/>
        </w:rPr>
        <w:t>65</w:t>
      </w:r>
      <w:r w:rsidR="007B401A">
        <w:rPr>
          <w:rStyle w:val="Referencingstyle"/>
        </w:rPr>
        <w:t xml:space="preserve"> and 71</w:t>
      </w:r>
      <w:r w:rsidR="00F20279">
        <w:rPr>
          <w:rStyle w:val="Referencingstyle"/>
        </w:rPr>
        <w:t>]</w:t>
      </w:r>
    </w:p>
    <w:p w14:paraId="3330E9A5" w14:textId="77777777" w:rsidR="00C74D5E" w:rsidRPr="003A7C89" w:rsidRDefault="00C74D5E" w:rsidP="000F194A">
      <w:pPr>
        <w:pStyle w:val="base-text-paragraph"/>
      </w:pPr>
      <w:r w:rsidRPr="00C85607">
        <w:t>Section 131-5</w:t>
      </w:r>
      <w:r w:rsidRPr="003A7C89">
        <w:t xml:space="preserve"> of the PHI Act </w:t>
      </w:r>
      <w:r w:rsidR="009D4EA4">
        <w:t>will include</w:t>
      </w:r>
      <w:r w:rsidRPr="00C85607">
        <w:t xml:space="preserve"> a requirement for the </w:t>
      </w:r>
      <w:r>
        <w:t xml:space="preserve">Health </w:t>
      </w:r>
      <w:r w:rsidRPr="00C85607">
        <w:t>Minister to consult</w:t>
      </w:r>
      <w:r>
        <w:t xml:space="preserve"> with</w:t>
      </w:r>
      <w:r w:rsidR="001535D1">
        <w:t xml:space="preserve"> APRA before making r</w:t>
      </w:r>
      <w:r w:rsidRPr="00C85607">
        <w:t>ules for the purposes of section 131</w:t>
      </w:r>
      <w:r w:rsidRPr="00C85607">
        <w:noBreakHyphen/>
        <w:t>15</w:t>
      </w:r>
      <w:r>
        <w:t xml:space="preserve"> of the PHI Act</w:t>
      </w:r>
      <w:r w:rsidRPr="00C85607">
        <w:t>. The only other purposes</w:t>
      </w:r>
      <w:r w:rsidR="001535D1">
        <w:t>, in Part 4</w:t>
      </w:r>
      <w:r w:rsidR="001535D1">
        <w:noBreakHyphen/>
        <w:t>4, for which these r</w:t>
      </w:r>
      <w:r w:rsidRPr="00C85607">
        <w:t>ules will be able to be made after thes</w:t>
      </w:r>
      <w:r w:rsidRPr="003A7C89">
        <w:t>e amendments commence is</w:t>
      </w:r>
      <w:r>
        <w:t xml:space="preserve"> to the </w:t>
      </w:r>
      <w:r w:rsidRPr="00C85607">
        <w:t>new subsections 131</w:t>
      </w:r>
      <w:r w:rsidRPr="00C85607">
        <w:noBreakHyphen/>
      </w:r>
      <w:r w:rsidRPr="003A7C89">
        <w:t>20(1) and (2), an</w:t>
      </w:r>
      <w:r w:rsidRPr="00164DEB">
        <w:t xml:space="preserve">d </w:t>
      </w:r>
      <w:r w:rsidRPr="00C85607">
        <w:t xml:space="preserve">new </w:t>
      </w:r>
      <w:r>
        <w:t>section 1</w:t>
      </w:r>
      <w:r w:rsidRPr="00C85607">
        <w:t>31</w:t>
      </w:r>
      <w:r w:rsidRPr="00C85607">
        <w:noBreakHyphen/>
        <w:t>25 (which is a relocated version of current section 137</w:t>
      </w:r>
      <w:r w:rsidRPr="00C85607">
        <w:noBreakHyphen/>
        <w:t>30</w:t>
      </w:r>
      <w:r>
        <w:t xml:space="preserve"> of the PHI Act</w:t>
      </w:r>
      <w:r w:rsidRPr="00C85607">
        <w:t>). The consultation requirement in sub</w:t>
      </w:r>
      <w:r>
        <w:t>section</w:t>
      </w:r>
      <w:r w:rsidRPr="00C85607">
        <w:t xml:space="preserve"> (2) above will not apply to rules made for those provisions.</w:t>
      </w:r>
    </w:p>
    <w:p w14:paraId="76802931" w14:textId="77777777" w:rsidR="00C74D5E" w:rsidRDefault="00C74D5E" w:rsidP="000F194A">
      <w:pPr>
        <w:pStyle w:val="base-text-paragraph"/>
      </w:pPr>
      <w:r>
        <w:t>Sections 131-10 and 131-15 of the PHI Act continue to define a health benefits fund and health-related business, respectively. No amendments have been made to these definitions.</w:t>
      </w:r>
    </w:p>
    <w:p w14:paraId="2DB93D3B" w14:textId="77777777" w:rsidR="00C74D5E" w:rsidRPr="0000423A" w:rsidRDefault="00C74D5E" w:rsidP="000F194A">
      <w:pPr>
        <w:pStyle w:val="base-text-paragraph"/>
      </w:pPr>
      <w:r>
        <w:t>The Health</w:t>
      </w:r>
      <w:r w:rsidR="001D0A10">
        <w:t xml:space="preserve"> Minister</w:t>
      </w:r>
      <w:r>
        <w:t xml:space="preserve"> will continue to make </w:t>
      </w:r>
      <w:r w:rsidRPr="00D0278F">
        <w:t>Private Health Insurance (Health Benefits Fund Policy) Rules</w:t>
      </w:r>
      <w:r>
        <w:t xml:space="preserve"> for the purposes of Part 4</w:t>
      </w:r>
      <w:r>
        <w:noBreakHyphen/>
        <w:t>4. However, section 131-5 has been amended to provide that p</w:t>
      </w:r>
      <w:r w:rsidRPr="00D0278F">
        <w:t>rior to making Private Health Insurance (Health Benefits Fund Policy) Rules</w:t>
      </w:r>
      <w:r>
        <w:t xml:space="preserve"> relating to the definition of health-related business</w:t>
      </w:r>
      <w:r w:rsidRPr="00D0278F">
        <w:t xml:space="preserve">, the Minister </w:t>
      </w:r>
      <w:r>
        <w:t>must</w:t>
      </w:r>
      <w:r w:rsidRPr="00D0278F">
        <w:t xml:space="preserve"> consult with APRA. </w:t>
      </w:r>
      <w:r>
        <w:t>However, a failure to c</w:t>
      </w:r>
      <w:r w:rsidR="001535D1">
        <w:t>onsult will not invalidate the r</w:t>
      </w:r>
      <w:r>
        <w:t xml:space="preserve">ules. </w:t>
      </w:r>
      <w:r w:rsidRPr="003219BC">
        <w:rPr>
          <w:b/>
          <w:i/>
          <w:sz w:val="18"/>
        </w:rPr>
        <w:t xml:space="preserve">[Schedule 1, Part 1, item </w:t>
      </w:r>
      <w:r w:rsidR="00066ABC">
        <w:rPr>
          <w:b/>
          <w:i/>
          <w:sz w:val="18"/>
        </w:rPr>
        <w:t>63</w:t>
      </w:r>
      <w:r w:rsidRPr="003219BC">
        <w:rPr>
          <w:b/>
          <w:i/>
          <w:sz w:val="18"/>
        </w:rPr>
        <w:t>]</w:t>
      </w:r>
    </w:p>
    <w:p w14:paraId="366EC0CC" w14:textId="77777777" w:rsidR="00C74D5E" w:rsidRPr="00965776" w:rsidRDefault="00C74D5E" w:rsidP="000F194A">
      <w:pPr>
        <w:pStyle w:val="base-text-paragraph"/>
      </w:pPr>
      <w:r w:rsidRPr="00D14DE3">
        <w:t xml:space="preserve">A </w:t>
      </w:r>
      <w:r>
        <w:t xml:space="preserve">new </w:t>
      </w:r>
      <w:r w:rsidRPr="00D14DE3">
        <w:t>section 131-20</w:t>
      </w:r>
      <w:r>
        <w:t xml:space="preserve"> has been</w:t>
      </w:r>
      <w:r w:rsidRPr="00D14DE3">
        <w:t xml:space="preserve"> inserted </w:t>
      </w:r>
      <w:r>
        <w:t>into Part 4-4.</w:t>
      </w:r>
      <w:r w:rsidDel="002A1F0F">
        <w:t xml:space="preserve"> </w:t>
      </w:r>
      <w:r>
        <w:t xml:space="preserve">Subsection 131-20(1) </w:t>
      </w:r>
      <w:r w:rsidRPr="00D14DE3">
        <w:t>provid</w:t>
      </w:r>
      <w:r>
        <w:t>es</w:t>
      </w:r>
      <w:r w:rsidRPr="00D14DE3">
        <w:t xml:space="preserve"> that the Private Health Insurance (Health Benefits Fund Policy) Rules</w:t>
      </w:r>
      <w:r>
        <w:t>, made by the Health</w:t>
      </w:r>
      <w:r w:rsidR="001D0A10">
        <w:t xml:space="preserve"> Minister</w:t>
      </w:r>
      <w:r>
        <w:t>,</w:t>
      </w:r>
      <w:r w:rsidRPr="00D14DE3">
        <w:t xml:space="preserve"> may specify risk equalisation jurisdictions. </w:t>
      </w:r>
      <w:r w:rsidRPr="00965776">
        <w:rPr>
          <w:rStyle w:val="Referencingstyle"/>
        </w:rPr>
        <w:t xml:space="preserve">[Schedule 1, Part 1, item </w:t>
      </w:r>
      <w:r w:rsidR="00066ABC">
        <w:rPr>
          <w:rStyle w:val="Referencingstyle"/>
        </w:rPr>
        <w:t>64</w:t>
      </w:r>
      <w:r w:rsidRPr="00965776">
        <w:rPr>
          <w:rStyle w:val="Referencingstyle"/>
        </w:rPr>
        <w:t>]</w:t>
      </w:r>
    </w:p>
    <w:p w14:paraId="51E72D12" w14:textId="196026F4" w:rsidR="00C74D5E" w:rsidRDefault="00C74D5E" w:rsidP="000F194A">
      <w:pPr>
        <w:pStyle w:val="base-text-paragraph"/>
      </w:pPr>
      <w:r w:rsidRPr="00982076">
        <w:t>The Private Health Insurance (Health Benefits Fund Policy) Rules do not currently specify any circumstances in which a private health insurer may have more than one health benefits fund.</w:t>
      </w:r>
      <w:r w:rsidRPr="00982076" w:rsidDel="002A1F0F">
        <w:t xml:space="preserve"> </w:t>
      </w:r>
      <w:r w:rsidRPr="00982076">
        <w:t xml:space="preserve">The </w:t>
      </w:r>
      <w:r w:rsidR="007A0375">
        <w:t>‘</w:t>
      </w:r>
      <w:r w:rsidRPr="00982076">
        <w:t>necessary or convenient</w:t>
      </w:r>
      <w:r w:rsidR="007A0375">
        <w:t>’</w:t>
      </w:r>
      <w:r w:rsidRPr="00982076">
        <w:t xml:space="preserve"> rule making power for the matters dealt with in the above subsections will be provided by </w:t>
      </w:r>
      <w:r>
        <w:t xml:space="preserve">the </w:t>
      </w:r>
      <w:r w:rsidRPr="00982076">
        <w:t>current para</w:t>
      </w:r>
      <w:r>
        <w:t>graph</w:t>
      </w:r>
      <w:r w:rsidRPr="00982076">
        <w:t xml:space="preserve"> 333 20(1)(b) of the PHI Act.</w:t>
      </w:r>
    </w:p>
    <w:p w14:paraId="2CB8F903" w14:textId="77777777" w:rsidR="00C74D5E" w:rsidRDefault="00C74D5E" w:rsidP="000F194A">
      <w:pPr>
        <w:pStyle w:val="base-text-paragraph"/>
      </w:pPr>
      <w:r w:rsidRPr="00D14DE3">
        <w:t xml:space="preserve">The risk equalisation jurisdictions </w:t>
      </w:r>
      <w:r>
        <w:t xml:space="preserve">were </w:t>
      </w:r>
      <w:r w:rsidRPr="00D14DE3">
        <w:t xml:space="preserve">previously specified </w:t>
      </w:r>
      <w:r>
        <w:t xml:space="preserve">in the </w:t>
      </w:r>
      <w:r w:rsidRPr="00D14DE3">
        <w:t>Private Health Insurance (Health Benefits Fund Administration) Rules</w:t>
      </w:r>
      <w:r>
        <w:t xml:space="preserve"> made by the Council</w:t>
      </w:r>
      <w:r w:rsidRPr="00D14DE3">
        <w:t xml:space="preserve">. </w:t>
      </w:r>
      <w:r>
        <w:t xml:space="preserve">With the transfer of the Council’s functions to APRA, </w:t>
      </w:r>
      <w:r w:rsidR="001535D1">
        <w:t>those r</w:t>
      </w:r>
      <w:r w:rsidRPr="00D14DE3">
        <w:t xml:space="preserve">ules </w:t>
      </w:r>
      <w:r>
        <w:t>are no longer made and t</w:t>
      </w:r>
      <w:r w:rsidR="001535D1">
        <w:t>he matters dealt with in those r</w:t>
      </w:r>
      <w:r>
        <w:t>ules will generally be covered in APRA Rules.</w:t>
      </w:r>
      <w:r w:rsidDel="002A1F0F">
        <w:t xml:space="preserve"> </w:t>
      </w:r>
      <w:r>
        <w:t>However, as the Health</w:t>
      </w:r>
      <w:r w:rsidR="001D0A10">
        <w:t xml:space="preserve"> Minister</w:t>
      </w:r>
      <w:r>
        <w:t xml:space="preserve"> retains overall policy responsibility for risk equalisation, the specification of risk equalisation jurisdictions has not been transferred to APRA.</w:t>
      </w:r>
    </w:p>
    <w:p w14:paraId="4F35AA07" w14:textId="77777777" w:rsidR="001D0A10" w:rsidRDefault="00C74D5E" w:rsidP="000F194A">
      <w:pPr>
        <w:pStyle w:val="base-text-paragraph"/>
      </w:pPr>
      <w:r>
        <w:t xml:space="preserve">Subsection 131-20(2) provides that the </w:t>
      </w:r>
      <w:r w:rsidRPr="00D14DE3">
        <w:t>Health Insurance (He</w:t>
      </w:r>
      <w:r>
        <w:t xml:space="preserve">alth Benefits Fund Policy) Rules may also set out circumstances in which an insurer may have more than one health benefits fund in respect of a risk equalisation jurisdiction, despite subsection 23(4) of the </w:t>
      </w:r>
      <w:r w:rsidR="00E9202F">
        <w:t>Prudential Supervision Bill</w:t>
      </w:r>
      <w:r>
        <w:t xml:space="preserve">. </w:t>
      </w:r>
      <w:r w:rsidR="00E06F47">
        <w:rPr>
          <w:rStyle w:val="Referencingstyle"/>
        </w:rPr>
        <w:t xml:space="preserve">[Schedule 1, Part 1, item </w:t>
      </w:r>
      <w:r w:rsidR="00066ABC">
        <w:rPr>
          <w:rStyle w:val="Referencingstyle"/>
        </w:rPr>
        <w:t>64</w:t>
      </w:r>
      <w:r w:rsidR="00E06F47" w:rsidRPr="00965776">
        <w:rPr>
          <w:rStyle w:val="Referencingstyle"/>
        </w:rPr>
        <w:t>]</w:t>
      </w:r>
      <w:r w:rsidR="00E06F47" w:rsidRPr="001D0A10">
        <w:t xml:space="preserve">  </w:t>
      </w:r>
    </w:p>
    <w:p w14:paraId="58C8A263" w14:textId="77777777" w:rsidR="00C74D5E" w:rsidRDefault="001535D1" w:rsidP="000F194A">
      <w:pPr>
        <w:pStyle w:val="base-text-paragraph"/>
      </w:pPr>
      <w:r>
        <w:t>The power for the r</w:t>
      </w:r>
      <w:r w:rsidR="00C74D5E">
        <w:t>ules to allow insurers to have multiple funds per risk equalisation jurisdiction in certain circumstances was previously provided for in subsection 134-1(4) of the PHI Act, which has been repealed</w:t>
      </w:r>
      <w:r w:rsidR="00C74D5E" w:rsidRPr="00982076">
        <w:t>.</w:t>
      </w:r>
      <w:r w:rsidR="001D0A10" w:rsidRPr="00D14DE3">
        <w:t xml:space="preserve"> </w:t>
      </w:r>
      <w:r w:rsidR="001D0A10">
        <w:rPr>
          <w:rStyle w:val="Referencingstyle"/>
        </w:rPr>
        <w:t xml:space="preserve">[Schedule 1, Part 1, item </w:t>
      </w:r>
      <w:r w:rsidR="00066ABC">
        <w:rPr>
          <w:rStyle w:val="Referencingstyle"/>
        </w:rPr>
        <w:t>65</w:t>
      </w:r>
      <w:r w:rsidR="001D0A10" w:rsidRPr="00965776">
        <w:rPr>
          <w:rStyle w:val="Referencingstyle"/>
        </w:rPr>
        <w:t>]</w:t>
      </w:r>
      <w:r w:rsidR="001D0A10" w:rsidRPr="001D0A10">
        <w:t xml:space="preserve">  </w:t>
      </w:r>
    </w:p>
    <w:p w14:paraId="240A939F" w14:textId="77777777" w:rsidR="00C74D5E" w:rsidRDefault="00C74D5E" w:rsidP="000F194A">
      <w:pPr>
        <w:pStyle w:val="base-text-paragraph"/>
      </w:pPr>
      <w:r>
        <w:t>A new section 131-25 has also been added to Part 4-4. Where an insurer has a health benefits fund in respect of both health insurance business and some or all of its health-related business, the insurer must comply with any requirements in the Private Health Insurance (Health Benefits Fund Policy) Rules about the conduct of the health-benefits business.</w:t>
      </w:r>
      <w:r w:rsidDel="002A1F0F">
        <w:t xml:space="preserve"> </w:t>
      </w:r>
      <w:r>
        <w:t xml:space="preserve">New section 131-25 replaces section 137-30, which was repealed as part of the repeal of Division 137 and was identical in terms to section 131-25. </w:t>
      </w:r>
      <w:r w:rsidRPr="00965776">
        <w:rPr>
          <w:rStyle w:val="Referencingstyle"/>
        </w:rPr>
        <w:t xml:space="preserve">[Schedule 1, Part 1, item </w:t>
      </w:r>
      <w:r w:rsidR="00066ABC">
        <w:rPr>
          <w:rStyle w:val="Referencingstyle"/>
        </w:rPr>
        <w:t>65</w:t>
      </w:r>
      <w:r w:rsidRPr="00965776">
        <w:rPr>
          <w:rStyle w:val="Referencingstyle"/>
        </w:rPr>
        <w:t>]</w:t>
      </w:r>
    </w:p>
    <w:p w14:paraId="44CE0491" w14:textId="77777777" w:rsidR="00C74D5E" w:rsidRDefault="00C74D5E" w:rsidP="000F194A">
      <w:pPr>
        <w:pStyle w:val="base-text-paragraph"/>
      </w:pPr>
      <w:r>
        <w:t xml:space="preserve">A number of minor technical amendments to the heading to and introduction for Division 131 have also been made to reflect its revised scope. </w:t>
      </w:r>
      <w:r w:rsidRPr="00965776">
        <w:rPr>
          <w:rStyle w:val="Referencingstyle"/>
        </w:rPr>
        <w:t xml:space="preserve">[Schedule 1, Part 1, items </w:t>
      </w:r>
      <w:r w:rsidR="00066ABC">
        <w:rPr>
          <w:rStyle w:val="Referencingstyle"/>
        </w:rPr>
        <w:t>61</w:t>
      </w:r>
      <w:r w:rsidRPr="00965776">
        <w:rPr>
          <w:rStyle w:val="Referencingstyle"/>
        </w:rPr>
        <w:t xml:space="preserve"> and </w:t>
      </w:r>
      <w:r w:rsidR="00066ABC">
        <w:rPr>
          <w:rStyle w:val="Referencingstyle"/>
        </w:rPr>
        <w:t>62</w:t>
      </w:r>
      <w:r w:rsidRPr="00965776">
        <w:rPr>
          <w:rStyle w:val="Referencingstyle"/>
        </w:rPr>
        <w:t>]</w:t>
      </w:r>
      <w:r>
        <w:t xml:space="preserve">  </w:t>
      </w:r>
    </w:p>
    <w:p w14:paraId="2E92054B" w14:textId="77777777" w:rsidR="00C74D5E" w:rsidRDefault="00C74D5E" w:rsidP="00E93AB0">
      <w:pPr>
        <w:pStyle w:val="Heading6"/>
      </w:pPr>
      <w:r>
        <w:t>Part 4-5 – Miscellaneous obligations of private health insurers</w:t>
      </w:r>
    </w:p>
    <w:p w14:paraId="32E1E730" w14:textId="77777777" w:rsidR="00C74D5E" w:rsidRPr="00E11D74" w:rsidRDefault="00C74D5E" w:rsidP="000F194A">
      <w:pPr>
        <w:pStyle w:val="base-text-paragraph"/>
      </w:pPr>
      <w:r>
        <w:t xml:space="preserve">Part 4-5 of the PHI Act sets out a number of miscellaneous </w:t>
      </w:r>
      <w:r w:rsidRPr="00E11D74">
        <w:t xml:space="preserve">obligations of insurers.  </w:t>
      </w:r>
    </w:p>
    <w:p w14:paraId="1F6EE738" w14:textId="77777777" w:rsidR="00C74D5E" w:rsidRPr="00E11D74" w:rsidRDefault="00C74D5E" w:rsidP="00AC56C3">
      <w:pPr>
        <w:pStyle w:val="base-text-paragraph"/>
        <w:keepNext/>
        <w:keepLines/>
      </w:pPr>
      <w:r w:rsidRPr="00E11D74">
        <w:t>The following Divisions have been repealed from the PHI Act:</w:t>
      </w:r>
    </w:p>
    <w:p w14:paraId="7CA90D75" w14:textId="77777777" w:rsidR="006E2DFD" w:rsidRPr="00F20279" w:rsidRDefault="006E2DFD" w:rsidP="00AC56C3">
      <w:pPr>
        <w:pStyle w:val="dotpoint"/>
        <w:keepNext/>
        <w:keepLines/>
        <w:rPr>
          <w:rStyle w:val="Referencingstyle"/>
        </w:rPr>
      </w:pPr>
      <w:r>
        <w:t>Division 160, which dealt with appointed actuaries of private health insurers.</w:t>
      </w:r>
      <w:r w:rsidDel="008C76CD">
        <w:t xml:space="preserve"> </w:t>
      </w:r>
      <w:r>
        <w:t xml:space="preserve">Appointed actuaries are now dealt with under Division 2 of Part 5 of the </w:t>
      </w:r>
      <w:r w:rsidR="00E9202F">
        <w:t>Prudential Supervision Bill</w:t>
      </w:r>
      <w:r>
        <w:t xml:space="preserve">. </w:t>
      </w:r>
      <w:r w:rsidRPr="00F20279">
        <w:rPr>
          <w:rStyle w:val="Referencingstyle"/>
        </w:rPr>
        <w:t>[Schedule 1, Part 1</w:t>
      </w:r>
      <w:r w:rsidR="00F20279">
        <w:rPr>
          <w:rStyle w:val="Referencingstyle"/>
        </w:rPr>
        <w:t xml:space="preserve">, item </w:t>
      </w:r>
      <w:r w:rsidR="00066ABC">
        <w:rPr>
          <w:rStyle w:val="Referencingstyle"/>
        </w:rPr>
        <w:t>71</w:t>
      </w:r>
      <w:r w:rsidR="00F20279">
        <w:rPr>
          <w:rStyle w:val="Referencingstyle"/>
        </w:rPr>
        <w:t>]</w:t>
      </w:r>
    </w:p>
    <w:p w14:paraId="7C763198" w14:textId="77777777" w:rsidR="00965776" w:rsidRDefault="00965776" w:rsidP="00F20279">
      <w:pPr>
        <w:pStyle w:val="dotpoint"/>
      </w:pPr>
      <w:r>
        <w:t>Division 163, which enabled the Council to establish prudential standards and issue binding prudential directions.</w:t>
      </w:r>
      <w:r w:rsidDel="008C76CD">
        <w:t xml:space="preserve"> </w:t>
      </w:r>
      <w:r>
        <w:t xml:space="preserve">APRA's general prudential standard and direction making powers are contained in Part 4 of the </w:t>
      </w:r>
      <w:r w:rsidR="00E9202F">
        <w:t>Prudential Supervision Bill</w:t>
      </w:r>
      <w:r>
        <w:t xml:space="preserve">. </w:t>
      </w:r>
      <w:r w:rsidRPr="00C85607">
        <w:rPr>
          <w:rStyle w:val="Referencingstyle"/>
        </w:rPr>
        <w:t xml:space="preserve">[Schedule 1, Part 1, item </w:t>
      </w:r>
      <w:r w:rsidR="00066ABC">
        <w:rPr>
          <w:rStyle w:val="Referencingstyle"/>
        </w:rPr>
        <w:t>71</w:t>
      </w:r>
      <w:r w:rsidRPr="00C85607">
        <w:rPr>
          <w:rStyle w:val="Referencingstyle"/>
        </w:rPr>
        <w:t>]</w:t>
      </w:r>
    </w:p>
    <w:p w14:paraId="5D598A3B" w14:textId="77777777" w:rsidR="006E2DFD" w:rsidRPr="00965776" w:rsidRDefault="006E2DFD" w:rsidP="00F20279">
      <w:pPr>
        <w:pStyle w:val="dotpoint"/>
        <w:rPr>
          <w:rStyle w:val="Referencingstyle"/>
          <w:b w:val="0"/>
          <w:i w:val="0"/>
          <w:sz w:val="22"/>
        </w:rPr>
      </w:pPr>
      <w:r>
        <w:t>Division 166, which prohibited insurers from allowing disqualified persons from acting as directors or in senior management positions. This i</w:t>
      </w:r>
      <w:r w:rsidR="00470FCC">
        <w:t>s now dealt with under Division </w:t>
      </w:r>
      <w:r>
        <w:t xml:space="preserve">3 of Part 5 of the </w:t>
      </w:r>
      <w:r w:rsidR="00E9202F">
        <w:t>Prudential Supervision Bill</w:t>
      </w:r>
      <w:r>
        <w:t xml:space="preserve">. </w:t>
      </w:r>
      <w:r w:rsidRPr="00F20279">
        <w:rPr>
          <w:rStyle w:val="Referencingstyle"/>
        </w:rPr>
        <w:t xml:space="preserve">[Schedule 1, Part 1, item </w:t>
      </w:r>
      <w:r w:rsidR="00066ABC">
        <w:rPr>
          <w:rStyle w:val="Referencingstyle"/>
        </w:rPr>
        <w:t>71</w:t>
      </w:r>
      <w:r w:rsidRPr="00F20279">
        <w:rPr>
          <w:rStyle w:val="Referencingstyle"/>
        </w:rPr>
        <w:t>]</w:t>
      </w:r>
    </w:p>
    <w:p w14:paraId="4F18D692" w14:textId="77777777" w:rsidR="00965776" w:rsidRPr="00965776" w:rsidRDefault="00965776" w:rsidP="00965776">
      <w:pPr>
        <w:pStyle w:val="dotpoint"/>
        <w:rPr>
          <w:rStyle w:val="Referencingstyle"/>
          <w:b w:val="0"/>
          <w:i w:val="0"/>
          <w:sz w:val="22"/>
        </w:rPr>
      </w:pPr>
      <w:r w:rsidRPr="00E11D74">
        <w:t xml:space="preserve">Sections 169-1, 169-5 and 169-15, which required insurers to provide </w:t>
      </w:r>
      <w:r>
        <w:t>the Council</w:t>
      </w:r>
      <w:r w:rsidRPr="00E11D74">
        <w:t xml:space="preserve"> with copies of any reports to policy holders and annual financial accounts and statements, and also to keep </w:t>
      </w:r>
      <w:r>
        <w:t>the Council</w:t>
      </w:r>
      <w:r w:rsidRPr="00E11D74">
        <w:t xml:space="preserve"> and the Secretary of the Department of Health informed about the identity of the chief executive officer of the insurer, have all been repealed. </w:t>
      </w:r>
      <w:r w:rsidRPr="00965776">
        <w:rPr>
          <w:rStyle w:val="Referencingstyle"/>
        </w:rPr>
        <w:t>[Schedule 1, Part</w:t>
      </w:r>
      <w:r>
        <w:rPr>
          <w:rStyle w:val="Referencingstyle"/>
        </w:rPr>
        <w:t> </w:t>
      </w:r>
      <w:r w:rsidRPr="00965776">
        <w:rPr>
          <w:rStyle w:val="Referencingstyle"/>
        </w:rPr>
        <w:t xml:space="preserve">1, items </w:t>
      </w:r>
      <w:r w:rsidR="00066ABC">
        <w:rPr>
          <w:rStyle w:val="Referencingstyle"/>
        </w:rPr>
        <w:t>73</w:t>
      </w:r>
      <w:r w:rsidRPr="00965776">
        <w:rPr>
          <w:rStyle w:val="Referencingstyle"/>
        </w:rPr>
        <w:t xml:space="preserve"> and </w:t>
      </w:r>
      <w:r w:rsidR="00066ABC">
        <w:rPr>
          <w:rStyle w:val="Referencingstyle"/>
        </w:rPr>
        <w:t>75</w:t>
      </w:r>
      <w:r w:rsidRPr="00965776">
        <w:rPr>
          <w:rStyle w:val="Referencingstyle"/>
        </w:rPr>
        <w:t>]</w:t>
      </w:r>
    </w:p>
    <w:p w14:paraId="06EC706A" w14:textId="77777777" w:rsidR="00965776" w:rsidRPr="00FE1C08" w:rsidRDefault="00965776" w:rsidP="000F194A">
      <w:pPr>
        <w:pStyle w:val="base-text-paragraph"/>
      </w:pPr>
      <w:r>
        <w:t>However i</w:t>
      </w:r>
      <w:r w:rsidRPr="00FE1C08">
        <w:t>nsurers</w:t>
      </w:r>
      <w:r>
        <w:t xml:space="preserve"> will still be </w:t>
      </w:r>
      <w:r w:rsidRPr="00FE1C08">
        <w:t>required to notify the Secretary of the Department of Health about any proposed changes to their rules</w:t>
      </w:r>
      <w:r>
        <w:t xml:space="preserve"> under section 169-10</w:t>
      </w:r>
      <w:r w:rsidRPr="00FE1C08">
        <w:t xml:space="preserve">. </w:t>
      </w:r>
      <w:r>
        <w:t>I</w:t>
      </w:r>
      <w:r w:rsidRPr="00FE1C08">
        <w:t xml:space="preserve">f the </w:t>
      </w:r>
      <w:r w:rsidR="00E06F47">
        <w:t>Health Minister</w:t>
      </w:r>
      <w:r w:rsidRPr="00FE1C08">
        <w:t xml:space="preserve"> directs an insurer not to make the proposed change the Minister must give a copy of the direction to APRA</w:t>
      </w:r>
      <w:r>
        <w:t xml:space="preserve"> (rather than the Council)</w:t>
      </w:r>
      <w:r w:rsidRPr="00FE1C08">
        <w:t xml:space="preserve">. </w:t>
      </w:r>
      <w:r w:rsidRPr="003219BC">
        <w:rPr>
          <w:rStyle w:val="Referencingstyle"/>
        </w:rPr>
        <w:t xml:space="preserve">[Schedule 1, Part 1, item </w:t>
      </w:r>
      <w:r w:rsidR="00066ABC">
        <w:rPr>
          <w:rStyle w:val="Referencingstyle"/>
        </w:rPr>
        <w:t>74</w:t>
      </w:r>
      <w:r w:rsidRPr="003219BC">
        <w:rPr>
          <w:rStyle w:val="Referencingstyle"/>
        </w:rPr>
        <w:t>]</w:t>
      </w:r>
    </w:p>
    <w:p w14:paraId="37A15006" w14:textId="77777777" w:rsidR="00965776" w:rsidRDefault="00965776" w:rsidP="000F194A">
      <w:pPr>
        <w:pStyle w:val="base-text-paragraph"/>
      </w:pPr>
      <w:r>
        <w:t>Division 172 sets out a number of miscellaneous obligations on insurers. Rules relating to agreements between insurers and medical practitioners in section 172-5 are unchanged, as is the requirement under section 172-10 for insurers to give the Secretary of the Department of Health certain information specified in the Private Health Insurance (Data Provision) Rules.</w:t>
      </w:r>
    </w:p>
    <w:p w14:paraId="4287D4E4" w14:textId="77777777" w:rsidR="00965776" w:rsidRPr="00684075" w:rsidRDefault="00965776" w:rsidP="000F194A">
      <w:pPr>
        <w:pStyle w:val="base-text-paragraph"/>
        <w:rPr>
          <w:rStyle w:val="Referencingstyle"/>
          <w:b w:val="0"/>
          <w:i w:val="0"/>
          <w:sz w:val="22"/>
        </w:rPr>
      </w:pPr>
      <w:r>
        <w:t>The prohibition in section 172-15 on an insurer using its money to pay a penalty imposed on a director or officer because of an offence under the PHI Act, or an amount that a director or officer is liable to pay as a result of an order made under Division 203 of the PHI Act, or to reimburse a director or officer in respect of such penalties or liabilities, remains. However, redundant references in the section to provisions of the PHI Act repealed as part of these amendments have been removed.</w:t>
      </w:r>
      <w:r w:rsidDel="008C76CD">
        <w:t xml:space="preserve"> </w:t>
      </w:r>
      <w:r w:rsidRPr="00965776">
        <w:rPr>
          <w:rStyle w:val="Referencingstyle"/>
        </w:rPr>
        <w:t xml:space="preserve">[Schedule 1, Part 1, item </w:t>
      </w:r>
      <w:r w:rsidR="00066ABC">
        <w:rPr>
          <w:rStyle w:val="Referencingstyle"/>
        </w:rPr>
        <w:t>78</w:t>
      </w:r>
      <w:r w:rsidRPr="00965776">
        <w:rPr>
          <w:rStyle w:val="Referencingstyle"/>
        </w:rPr>
        <w:t>]</w:t>
      </w:r>
      <w:r w:rsidRPr="003219BC">
        <w:rPr>
          <w:rStyle w:val="Referencingstyle"/>
        </w:rPr>
        <w:t xml:space="preserve"> </w:t>
      </w:r>
    </w:p>
    <w:p w14:paraId="6FFEF914" w14:textId="77777777" w:rsidR="00965776" w:rsidRPr="00E56261" w:rsidRDefault="006E2DFD" w:rsidP="000F194A">
      <w:pPr>
        <w:pStyle w:val="base-text-paragraph"/>
        <w:rPr>
          <w:rStyle w:val="Referencingstyle"/>
          <w:b w:val="0"/>
          <w:i w:val="0"/>
          <w:sz w:val="22"/>
        </w:rPr>
      </w:pPr>
      <w:r>
        <w:t xml:space="preserve">A number of minor consequential amendments to </w:t>
      </w:r>
      <w:r w:rsidR="00965776">
        <w:t xml:space="preserve">Part 4-5 of the PHI Act have been made to reflect the revised contents of the Chapter resultant on the abolition of </w:t>
      </w:r>
      <w:r w:rsidR="00E06F47">
        <w:t>the Council</w:t>
      </w:r>
      <w:r w:rsidR="00965776">
        <w:t xml:space="preserve"> and the transfer of its functions to APRA</w:t>
      </w:r>
      <w:r w:rsidR="00965776" w:rsidRPr="0000423A">
        <w:t xml:space="preserve">.  </w:t>
      </w:r>
      <w:r w:rsidR="00965776" w:rsidRPr="003219BC">
        <w:rPr>
          <w:rStyle w:val="Referencingstyle"/>
        </w:rPr>
        <w:t xml:space="preserve">[Schedule 1, Part 1, items </w:t>
      </w:r>
      <w:r w:rsidR="00066ABC">
        <w:rPr>
          <w:rStyle w:val="Referencingstyle"/>
        </w:rPr>
        <w:t>66</w:t>
      </w:r>
      <w:r w:rsidR="00965776" w:rsidRPr="003219BC">
        <w:rPr>
          <w:rStyle w:val="Referencingstyle"/>
        </w:rPr>
        <w:t xml:space="preserve"> to </w:t>
      </w:r>
      <w:r w:rsidR="00066ABC">
        <w:rPr>
          <w:rStyle w:val="Referencingstyle"/>
        </w:rPr>
        <w:t>70</w:t>
      </w:r>
      <w:r w:rsidR="00965776" w:rsidRPr="003219BC">
        <w:rPr>
          <w:rStyle w:val="Referencingstyle"/>
        </w:rPr>
        <w:t xml:space="preserve">, </w:t>
      </w:r>
      <w:r w:rsidR="00066ABC">
        <w:rPr>
          <w:rStyle w:val="Referencingstyle"/>
        </w:rPr>
        <w:t>72</w:t>
      </w:r>
      <w:r w:rsidR="00965776" w:rsidRPr="003219BC">
        <w:rPr>
          <w:rStyle w:val="Referencingstyle"/>
        </w:rPr>
        <w:t xml:space="preserve"> and </w:t>
      </w:r>
      <w:r w:rsidR="00066ABC">
        <w:rPr>
          <w:rStyle w:val="Referencingstyle"/>
        </w:rPr>
        <w:t>76</w:t>
      </w:r>
      <w:r w:rsidR="00965776" w:rsidRPr="003219BC">
        <w:rPr>
          <w:rStyle w:val="Referencingstyle"/>
        </w:rPr>
        <w:t>]</w:t>
      </w:r>
    </w:p>
    <w:p w14:paraId="23A674B2" w14:textId="77777777" w:rsidR="00965776" w:rsidRPr="00D67900" w:rsidRDefault="00965776" w:rsidP="000F194A">
      <w:pPr>
        <w:pStyle w:val="base-text-paragraph"/>
      </w:pPr>
      <w:r>
        <w:t xml:space="preserve">With the abolition of </w:t>
      </w:r>
      <w:r w:rsidR="00E06F47" w:rsidRPr="00D67900">
        <w:t>the</w:t>
      </w:r>
      <w:r w:rsidR="00E06F47">
        <w:t xml:space="preserve"> Council</w:t>
      </w:r>
      <w:r>
        <w:t xml:space="preserve"> and APRA's assumption of the prudential supervision of private health insurers under the </w:t>
      </w:r>
      <w:r w:rsidR="00E9202F">
        <w:t>Prudential Supervision Bill</w:t>
      </w:r>
      <w:r>
        <w:t>, the majority of Chapter 4 of the PHI Act became redundant</w:t>
      </w:r>
      <w:r w:rsidR="00D67900" w:rsidRPr="00D67900">
        <w:t xml:space="preserve"> and</w:t>
      </w:r>
      <w:r w:rsidRPr="00D67900">
        <w:t xml:space="preserve"> have been repealed.  </w:t>
      </w:r>
    </w:p>
    <w:p w14:paraId="43D79107" w14:textId="77777777" w:rsidR="006E2DFD" w:rsidRPr="00252342" w:rsidRDefault="004149AF" w:rsidP="00E93AB0">
      <w:pPr>
        <w:pStyle w:val="Heading5"/>
      </w:pPr>
      <w:r w:rsidRPr="003C5C88">
        <w:t xml:space="preserve">Chapter 5 – Enforcement </w:t>
      </w:r>
    </w:p>
    <w:p w14:paraId="3FE39482" w14:textId="77777777" w:rsidR="00965776" w:rsidRPr="00E11D74" w:rsidRDefault="006E2DFD" w:rsidP="000F194A">
      <w:pPr>
        <w:pStyle w:val="base-text-paragraph"/>
      </w:pPr>
      <w:r>
        <w:t xml:space="preserve">Chapter 5 of the </w:t>
      </w:r>
      <w:r w:rsidR="00B83F6C">
        <w:t>PHI Act</w:t>
      </w:r>
      <w:r>
        <w:t xml:space="preserve"> previously provided for the main enforcement powers of both the Health</w:t>
      </w:r>
      <w:r w:rsidR="00E56261">
        <w:t xml:space="preserve"> Minister</w:t>
      </w:r>
      <w:r>
        <w:t xml:space="preserve"> and the Council. </w:t>
      </w:r>
      <w:r w:rsidR="00965776">
        <w:t xml:space="preserve">APRA’s enforcement </w:t>
      </w:r>
      <w:r w:rsidR="00965776" w:rsidRPr="00E11D74">
        <w:t xml:space="preserve">powers in relation to prudential supervision of the private health insurance industry are located in the </w:t>
      </w:r>
      <w:r w:rsidR="00E9202F">
        <w:t>Prudential Supervision Bill</w:t>
      </w:r>
      <w:r w:rsidR="00965776" w:rsidRPr="00E11D74">
        <w:t xml:space="preserve">. References to </w:t>
      </w:r>
      <w:r w:rsidR="00E56261">
        <w:t>t</w:t>
      </w:r>
      <w:r w:rsidR="00965776">
        <w:t>he Council'</w:t>
      </w:r>
      <w:r w:rsidR="00965776" w:rsidRPr="00E11D74">
        <w:t>s enforcement powers have been repealed from Chapter 5.</w:t>
      </w:r>
    </w:p>
    <w:p w14:paraId="18C50656" w14:textId="77777777" w:rsidR="006E2DFD" w:rsidRDefault="00965776" w:rsidP="000F194A">
      <w:pPr>
        <w:pStyle w:val="base-text-paragraph"/>
      </w:pPr>
      <w:r>
        <w:t xml:space="preserve">The nature of </w:t>
      </w:r>
      <w:r w:rsidR="00464E54">
        <w:t xml:space="preserve">the </w:t>
      </w:r>
      <w:r>
        <w:t>Health</w:t>
      </w:r>
      <w:r w:rsidR="00E56261">
        <w:t xml:space="preserve"> Minister’s</w:t>
      </w:r>
      <w:r>
        <w:t xml:space="preserve"> current enforcement powers under Chapter 5 is largely unchanged. However some minor amendments to clarify the limits of the enforcement responsibilities of the Minister under the PHI Act have been made, given that APRA will have exclusive responsibility for enforcing the prudential regulation of insurer under the </w:t>
      </w:r>
      <w:r w:rsidR="00E9202F">
        <w:t>Prudential Supervision Bill</w:t>
      </w:r>
      <w:r>
        <w:t>.</w:t>
      </w:r>
    </w:p>
    <w:p w14:paraId="5990D32E" w14:textId="77777777" w:rsidR="00965776" w:rsidRDefault="00965776" w:rsidP="00E93AB0">
      <w:pPr>
        <w:pStyle w:val="Heading6"/>
      </w:pPr>
      <w:r>
        <w:t>Parts 5-1 and 5-2 – Introduction and general enforcement methods</w:t>
      </w:r>
    </w:p>
    <w:p w14:paraId="24025F8F" w14:textId="77777777" w:rsidR="006E2DFD" w:rsidRDefault="006E2DFD" w:rsidP="000F194A">
      <w:pPr>
        <w:pStyle w:val="base-text-paragraph"/>
      </w:pPr>
      <w:r>
        <w:t xml:space="preserve">Minor technical amendments have been made to sections 180-1 and 185-1, which provide introductions to the enforcement mechanisms in Chapter 5 and Division 185 of the </w:t>
      </w:r>
      <w:r w:rsidR="00B83F6C">
        <w:t>PHI Act</w:t>
      </w:r>
      <w:r>
        <w:t>, respectively, to reflect the removal of any enforcement role for the Council.</w:t>
      </w:r>
      <w:r w:rsidDel="008C76CD">
        <w:t xml:space="preserve"> </w:t>
      </w:r>
      <w:r w:rsidRPr="00AB4B0B">
        <w:rPr>
          <w:rStyle w:val="Referencingstyle"/>
        </w:rPr>
        <w:t>[Schedule 1, Part 1, items</w:t>
      </w:r>
      <w:r w:rsidR="00E56261">
        <w:rPr>
          <w:rStyle w:val="Referencingstyle"/>
        </w:rPr>
        <w:t> </w:t>
      </w:r>
      <w:r w:rsidR="00066ABC">
        <w:rPr>
          <w:rStyle w:val="Referencingstyle"/>
        </w:rPr>
        <w:t>79</w:t>
      </w:r>
      <w:r w:rsidR="00E56261">
        <w:rPr>
          <w:rStyle w:val="Referencingstyle"/>
        </w:rPr>
        <w:t> </w:t>
      </w:r>
      <w:r w:rsidR="00965776">
        <w:rPr>
          <w:rStyle w:val="Referencingstyle"/>
        </w:rPr>
        <w:t xml:space="preserve">and </w:t>
      </w:r>
      <w:r w:rsidR="00066ABC">
        <w:rPr>
          <w:rStyle w:val="Referencingstyle"/>
        </w:rPr>
        <w:t>80</w:t>
      </w:r>
      <w:r w:rsidRPr="00AB4B0B">
        <w:rPr>
          <w:rStyle w:val="Referencingstyle"/>
        </w:rPr>
        <w:t>]</w:t>
      </w:r>
    </w:p>
    <w:p w14:paraId="0A18AE3F" w14:textId="77777777" w:rsidR="00965776" w:rsidRDefault="006E2DFD" w:rsidP="000F194A">
      <w:pPr>
        <w:pStyle w:val="base-text-paragraph"/>
      </w:pPr>
      <w:r>
        <w:t xml:space="preserve">Section 185-5 defines the 'enforceable obligations' of insurers and other persons under the </w:t>
      </w:r>
      <w:r w:rsidR="00B83F6C">
        <w:t>PHI Act</w:t>
      </w:r>
      <w:r>
        <w:t xml:space="preserve">.  </w:t>
      </w:r>
    </w:p>
    <w:p w14:paraId="6FE14A53" w14:textId="77777777" w:rsidR="00965776" w:rsidRDefault="00965776" w:rsidP="000F194A">
      <w:pPr>
        <w:pStyle w:val="base-text-paragraph"/>
      </w:pPr>
      <w:r>
        <w:t xml:space="preserve">There will be overlap between definitions of enforceable obligation in the </w:t>
      </w:r>
      <w:r w:rsidR="00E9202F">
        <w:t>Prudential Supervision Bill</w:t>
      </w:r>
      <w:r>
        <w:t xml:space="preserve"> and the PHI Act. </w:t>
      </w:r>
    </w:p>
    <w:p w14:paraId="30ED4F22" w14:textId="77777777" w:rsidR="00965776" w:rsidRDefault="00965776" w:rsidP="000F194A">
      <w:pPr>
        <w:pStyle w:val="base-text-paragraph"/>
      </w:pPr>
      <w:r>
        <w:t xml:space="preserve">The definition of enforceable obligation in the </w:t>
      </w:r>
      <w:r w:rsidR="00E9202F">
        <w:t>Prudential Supervision Bill</w:t>
      </w:r>
      <w:r>
        <w:t xml:space="preserve"> will cover </w:t>
      </w:r>
      <w:r w:rsidR="00AC56C3">
        <w:t>‘</w:t>
      </w:r>
      <w:r>
        <w:t>a provision of the risk equalisation fund legislation</w:t>
      </w:r>
      <w:r w:rsidR="00AC56C3">
        <w:t>’</w:t>
      </w:r>
      <w:r>
        <w:t xml:space="preserve"> which is defined in section 4 to include the provisions of the PHI Act as they apply in relation to the Risk Equalisation Levy and the Risk Equalisation Trust Fund. </w:t>
      </w:r>
    </w:p>
    <w:p w14:paraId="1B01A44B" w14:textId="77777777" w:rsidR="00965776" w:rsidRDefault="00965776" w:rsidP="000F194A">
      <w:pPr>
        <w:pStyle w:val="base-text-paragraph"/>
      </w:pPr>
      <w:r>
        <w:t>The same provisions of the PHI Act, as applying in relation to Risk Equalisation Levy and the R</w:t>
      </w:r>
      <w:r w:rsidR="00E56261">
        <w:t>isk Equalisation Trust Fund</w:t>
      </w:r>
      <w:r>
        <w:t>, will also be covered by the PHI Act under subsection 185(5).</w:t>
      </w:r>
    </w:p>
    <w:p w14:paraId="29089C07" w14:textId="77777777" w:rsidR="00965776" w:rsidRDefault="00965776" w:rsidP="000F194A">
      <w:pPr>
        <w:pStyle w:val="base-text-paragraph"/>
      </w:pPr>
      <w:r>
        <w:t>Restricted access insurer’s will be required to comply with their constitution or rules under subsection 15(3), and will be covered by both definitions.</w:t>
      </w:r>
    </w:p>
    <w:p w14:paraId="4A5676A9" w14:textId="77777777" w:rsidR="00965776" w:rsidRPr="0032302F" w:rsidRDefault="00965776" w:rsidP="000F194A">
      <w:pPr>
        <w:pStyle w:val="base-text-paragraph"/>
      </w:pPr>
      <w:r>
        <w:t>A</w:t>
      </w:r>
      <w:r w:rsidRPr="0032302F">
        <w:t xml:space="preserve"> </w:t>
      </w:r>
      <w:r w:rsidR="00746555">
        <w:t>Memorandum of Understanding</w:t>
      </w:r>
      <w:r w:rsidRPr="0032302F">
        <w:t xml:space="preserve"> between </w:t>
      </w:r>
      <w:r w:rsidR="00746555">
        <w:t xml:space="preserve">the Department of </w:t>
      </w:r>
      <w:r w:rsidRPr="0032302F">
        <w:t xml:space="preserve">Health and APRA </w:t>
      </w:r>
      <w:r w:rsidRPr="00C85607">
        <w:t>will determine the responsible agency for</w:t>
      </w:r>
      <w:r w:rsidRPr="0032302F">
        <w:t xml:space="preserve"> enforcement action in relation to a breach in an area of overlap.</w:t>
      </w:r>
    </w:p>
    <w:p w14:paraId="7212FB1F" w14:textId="77777777" w:rsidR="00746555" w:rsidRPr="00746555" w:rsidRDefault="006E2DFD" w:rsidP="000F194A">
      <w:pPr>
        <w:pStyle w:val="base-text-paragraph"/>
      </w:pPr>
      <w:r>
        <w:t xml:space="preserve">Paragraph 185-5(b) has been amended to remove reference to provisions of rules made by the Council under section 333-25 of the </w:t>
      </w:r>
      <w:r w:rsidR="00470FCC">
        <w:t>PHI </w:t>
      </w:r>
      <w:r>
        <w:t xml:space="preserve">Act as </w:t>
      </w:r>
      <w:r w:rsidR="00746555">
        <w:t xml:space="preserve">being </w:t>
      </w:r>
      <w:r>
        <w:t xml:space="preserve">enforceable obligations under the </w:t>
      </w:r>
      <w:r w:rsidR="00B83F6C">
        <w:t>PHI Act</w:t>
      </w:r>
      <w:r>
        <w:t xml:space="preserve">. </w:t>
      </w:r>
      <w:r w:rsidR="00746555" w:rsidRPr="00494DB0">
        <w:rPr>
          <w:rStyle w:val="Referencingstyle"/>
        </w:rPr>
        <w:t>[Schedule 1, Part 1, item</w:t>
      </w:r>
      <w:r w:rsidR="00746555">
        <w:rPr>
          <w:rStyle w:val="Referencingstyle"/>
        </w:rPr>
        <w:t> </w:t>
      </w:r>
      <w:r w:rsidR="00066ABC">
        <w:rPr>
          <w:rStyle w:val="Referencingstyle"/>
        </w:rPr>
        <w:t>81</w:t>
      </w:r>
      <w:r w:rsidR="00746555" w:rsidRPr="00494DB0">
        <w:rPr>
          <w:rStyle w:val="Referencingstyle"/>
        </w:rPr>
        <w:t>]</w:t>
      </w:r>
    </w:p>
    <w:p w14:paraId="5D38CA46" w14:textId="77777777" w:rsidR="00746555" w:rsidRDefault="00746555" w:rsidP="000F194A">
      <w:pPr>
        <w:pStyle w:val="base-text-paragraph"/>
      </w:pPr>
      <w:r>
        <w:t>Although APRA will take over responsibility for making one of the sets of rules formerly made by the Council, the Private Health (Risk Equalisation Administration) Rules, enforceme</w:t>
      </w:r>
      <w:r w:rsidR="001535D1">
        <w:t>nt powers in relation to those r</w:t>
      </w:r>
      <w:r>
        <w:t xml:space="preserve">ules will sit exclusively with APRA under the </w:t>
      </w:r>
      <w:r w:rsidR="00E9202F">
        <w:t>Prudential Supervision Bill</w:t>
      </w:r>
      <w:r>
        <w:t>.</w:t>
      </w:r>
    </w:p>
    <w:p w14:paraId="66B4BC90" w14:textId="77777777" w:rsidR="006E2DFD" w:rsidRPr="00494DB0" w:rsidRDefault="00746555" w:rsidP="000F194A">
      <w:pPr>
        <w:pStyle w:val="base-text-paragraph"/>
        <w:rPr>
          <w:rStyle w:val="Referencingstyle"/>
          <w:b w:val="0"/>
          <w:i w:val="0"/>
          <w:sz w:val="22"/>
        </w:rPr>
      </w:pPr>
      <w:r>
        <w:t>The enforceable obligations include, at paragraph 185-5(e), a provision in a restricted access insurer's constitution or rules included to meet requirements for its restricted access status (for example that it will not offer insurance to anyone outside its restricted access group).</w:t>
      </w:r>
      <w:r w:rsidDel="0008062B">
        <w:t xml:space="preserve"> </w:t>
      </w:r>
      <w:r>
        <w:t xml:space="preserve">Paragraph 185-5(e) has been amended to remove the reference to subsection 126-20(6) of the PHI Act and substitute a reference to subsection 15(3) of the </w:t>
      </w:r>
      <w:r w:rsidR="00E9202F">
        <w:t>Prudential Supervision Bill</w:t>
      </w:r>
      <w:r>
        <w:t xml:space="preserve">, which now details relevant requirements for a restricted access insurer's rules or constitution.  </w:t>
      </w:r>
      <w:r w:rsidR="006E2DFD" w:rsidRPr="00AB4B0B">
        <w:rPr>
          <w:rStyle w:val="Referencingstyle"/>
        </w:rPr>
        <w:t>[Schedule 1, Part 1, item</w:t>
      </w:r>
      <w:r w:rsidR="00464E54">
        <w:rPr>
          <w:rStyle w:val="Referencingstyle"/>
        </w:rPr>
        <w:t> </w:t>
      </w:r>
      <w:r w:rsidR="00066ABC">
        <w:rPr>
          <w:rStyle w:val="Referencingstyle"/>
        </w:rPr>
        <w:t>82</w:t>
      </w:r>
      <w:r w:rsidR="006E2DFD" w:rsidRPr="00AB4B0B">
        <w:rPr>
          <w:rStyle w:val="Referencingstyle"/>
        </w:rPr>
        <w:t>]</w:t>
      </w:r>
    </w:p>
    <w:p w14:paraId="3EB2D80C" w14:textId="77777777" w:rsidR="00746555" w:rsidRDefault="00746555" w:rsidP="000F194A">
      <w:pPr>
        <w:pStyle w:val="base-text-paragraph"/>
      </w:pPr>
      <w:r>
        <w:t>Whether a restricted access insurer complies with restrictions on the groups to which it offers insurance remains relevant for the community rating provisions in Chapter 3 of the PHI</w:t>
      </w:r>
      <w:r w:rsidR="00464E54">
        <w:t> </w:t>
      </w:r>
      <w:r>
        <w:t xml:space="preserve">Act.  </w:t>
      </w:r>
    </w:p>
    <w:p w14:paraId="6E17283C" w14:textId="77777777" w:rsidR="006E2DFD" w:rsidRDefault="006E2DFD" w:rsidP="000F194A">
      <w:pPr>
        <w:pStyle w:val="base-text-paragraph"/>
      </w:pPr>
      <w:r>
        <w:t xml:space="preserve">Section 185-10 has been repealed, as there will no longer be a concept of </w:t>
      </w:r>
      <w:r w:rsidR="0089370C">
        <w:t>‘</w:t>
      </w:r>
      <w:r>
        <w:t>Council-supervised obligations</w:t>
      </w:r>
      <w:r w:rsidR="0089370C">
        <w:t>’</w:t>
      </w:r>
      <w:r>
        <w:t xml:space="preserve"> under the </w:t>
      </w:r>
      <w:r w:rsidR="00B83F6C">
        <w:t>PHI Act</w:t>
      </w:r>
      <w:r>
        <w:t xml:space="preserve">. </w:t>
      </w:r>
      <w:r w:rsidRPr="00AB4B0B">
        <w:rPr>
          <w:rStyle w:val="Referencingstyle"/>
        </w:rPr>
        <w:t xml:space="preserve">[Schedule 1, Part </w:t>
      </w:r>
      <w:r w:rsidR="00D043C5">
        <w:rPr>
          <w:rStyle w:val="Referencingstyle"/>
        </w:rPr>
        <w:t>1</w:t>
      </w:r>
      <w:r w:rsidRPr="00AB4B0B">
        <w:rPr>
          <w:rStyle w:val="Referencingstyle"/>
        </w:rPr>
        <w:t xml:space="preserve">, item </w:t>
      </w:r>
      <w:r w:rsidR="00066ABC">
        <w:rPr>
          <w:rStyle w:val="Referencingstyle"/>
        </w:rPr>
        <w:t>83</w:t>
      </w:r>
      <w:r w:rsidRPr="00AB4B0B">
        <w:rPr>
          <w:rStyle w:val="Referencingstyle"/>
        </w:rPr>
        <w:t>]</w:t>
      </w:r>
    </w:p>
    <w:p w14:paraId="096F8AE0" w14:textId="77777777" w:rsidR="00746555" w:rsidRDefault="00746555" w:rsidP="00E93AB0">
      <w:pPr>
        <w:pStyle w:val="Heading6"/>
      </w:pPr>
      <w:r>
        <w:t>Division 188 – performance indicators</w:t>
      </w:r>
    </w:p>
    <w:p w14:paraId="172F5745" w14:textId="77777777" w:rsidR="00746555" w:rsidRDefault="00746555" w:rsidP="000F194A">
      <w:pPr>
        <w:pStyle w:val="base-text-paragraph"/>
      </w:pPr>
      <w:r>
        <w:t>No changes have been made to the Health</w:t>
      </w:r>
      <w:r w:rsidR="00B2761E">
        <w:t xml:space="preserve"> Minister</w:t>
      </w:r>
      <w:r>
        <w:t xml:space="preserve">’s capacity to set performance indicators for insurers in relation to community rating under Division 188.  </w:t>
      </w:r>
    </w:p>
    <w:p w14:paraId="0E33A5C5" w14:textId="77777777" w:rsidR="006E2DFD" w:rsidRDefault="004149AF" w:rsidP="00E93AB0">
      <w:pPr>
        <w:pStyle w:val="Heading6"/>
      </w:pPr>
      <w:r>
        <w:t xml:space="preserve">Division 191 – explanations </w:t>
      </w:r>
      <w:r w:rsidR="006E2DFD">
        <w:t>from insurers</w:t>
      </w:r>
    </w:p>
    <w:p w14:paraId="6E6B36C7" w14:textId="77777777" w:rsidR="006E2DFD" w:rsidRDefault="006E2DFD" w:rsidP="000F194A">
      <w:pPr>
        <w:pStyle w:val="base-text-paragraph"/>
      </w:pPr>
      <w:r>
        <w:t xml:space="preserve">Division 191 deals with seeking explanations from insurers about their operations.  Section 191-1 has been amended to remove all references to the Council's power to seek explanations from insurers.  </w:t>
      </w:r>
      <w:r w:rsidRPr="00AB4B0B">
        <w:rPr>
          <w:rStyle w:val="Referencingstyle"/>
        </w:rPr>
        <w:t>[</w:t>
      </w:r>
      <w:r w:rsidR="00AB4B0B">
        <w:rPr>
          <w:rStyle w:val="Referencingstyle"/>
        </w:rPr>
        <w:t xml:space="preserve">Schedule 1, Part 1, item </w:t>
      </w:r>
      <w:r w:rsidR="00066ABC">
        <w:rPr>
          <w:rStyle w:val="Referencingstyle"/>
        </w:rPr>
        <w:t>84</w:t>
      </w:r>
      <w:r w:rsidR="00AB4B0B">
        <w:rPr>
          <w:rStyle w:val="Referencingstyle"/>
        </w:rPr>
        <w:t>]</w:t>
      </w:r>
    </w:p>
    <w:p w14:paraId="222163AF" w14:textId="77777777" w:rsidR="006E2DFD" w:rsidRDefault="006E2DFD" w:rsidP="000F194A">
      <w:pPr>
        <w:pStyle w:val="base-text-paragraph"/>
      </w:pPr>
      <w:r>
        <w:t>The Health</w:t>
      </w:r>
      <w:r w:rsidR="00B2761E">
        <w:t xml:space="preserve"> Minister</w:t>
      </w:r>
      <w:r>
        <w:t xml:space="preserve"> will retain current powers to ask an insurer for an explanation of its operations if the Minister believes that, having regard to information available to the Minister or performance indicators specified in the Private Health Insurance (Complying Product) Rules, as </w:t>
      </w:r>
      <w:r w:rsidR="00746555">
        <w:t xml:space="preserve">an </w:t>
      </w:r>
      <w:r>
        <w:t xml:space="preserve">insurer might have contravened an enforceable obligation under the </w:t>
      </w:r>
      <w:r w:rsidR="00B83F6C">
        <w:t>PHI Act</w:t>
      </w:r>
      <w:r w:rsidR="00470FCC">
        <w:t xml:space="preserve">. </w:t>
      </w:r>
      <w:r>
        <w:t xml:space="preserve">The Minister will have no power under Division 191 to ask insurers for an explanation of their operations in respect of their obligations under the </w:t>
      </w:r>
      <w:r w:rsidR="00E9202F">
        <w:t>Prudential Supervision Bill</w:t>
      </w:r>
      <w:r>
        <w:t xml:space="preserve">.  </w:t>
      </w:r>
    </w:p>
    <w:p w14:paraId="75F9FFEC" w14:textId="77777777" w:rsidR="006E2DFD" w:rsidRDefault="006E2DFD" w:rsidP="000F194A">
      <w:pPr>
        <w:pStyle w:val="base-text-paragraph"/>
      </w:pPr>
      <w:r>
        <w:t>A number of technical drafting amendments to Division</w:t>
      </w:r>
      <w:r w:rsidR="00464E54">
        <w:t> </w:t>
      </w:r>
      <w:r>
        <w:t xml:space="preserve">191 have been made as a result of the removal of references to the Council.  </w:t>
      </w:r>
      <w:r w:rsidRPr="00AB4B0B">
        <w:rPr>
          <w:rStyle w:val="Referencingstyle"/>
        </w:rPr>
        <w:t xml:space="preserve">[Schedule 1, Part 1, items </w:t>
      </w:r>
      <w:r w:rsidR="00066ABC">
        <w:rPr>
          <w:rStyle w:val="Referencingstyle"/>
        </w:rPr>
        <w:t>85</w:t>
      </w:r>
      <w:r w:rsidR="00746555">
        <w:rPr>
          <w:rStyle w:val="Referencingstyle"/>
        </w:rPr>
        <w:t>-</w:t>
      </w:r>
      <w:r w:rsidR="00066ABC">
        <w:rPr>
          <w:rStyle w:val="Referencingstyle"/>
        </w:rPr>
        <w:t>8</w:t>
      </w:r>
      <w:r w:rsidR="00D50F06">
        <w:rPr>
          <w:rStyle w:val="Referencingstyle"/>
        </w:rPr>
        <w:t>7</w:t>
      </w:r>
      <w:r w:rsidRPr="00AB4B0B">
        <w:rPr>
          <w:rStyle w:val="Referencingstyle"/>
        </w:rPr>
        <w:t>]</w:t>
      </w:r>
    </w:p>
    <w:p w14:paraId="12DBE84A" w14:textId="77777777" w:rsidR="006E2DFD" w:rsidRDefault="006E2DFD" w:rsidP="00E93AB0">
      <w:pPr>
        <w:pStyle w:val="Heading6"/>
      </w:pPr>
      <w:r>
        <w:t xml:space="preserve">Division 194 </w:t>
      </w:r>
      <w:r w:rsidR="004149AF">
        <w:t>–</w:t>
      </w:r>
      <w:r>
        <w:t xml:space="preserve"> investigatio</w:t>
      </w:r>
      <w:r w:rsidR="004149AF">
        <w:t xml:space="preserve">ns </w:t>
      </w:r>
    </w:p>
    <w:p w14:paraId="196B138F" w14:textId="77777777" w:rsidR="006E2DFD" w:rsidRDefault="006E2DFD" w:rsidP="000F194A">
      <w:pPr>
        <w:pStyle w:val="base-text-paragraph"/>
      </w:pPr>
      <w:r>
        <w:t xml:space="preserve">Division 194 of the </w:t>
      </w:r>
      <w:r w:rsidR="00B83F6C">
        <w:t>PHI Act</w:t>
      </w:r>
      <w:r>
        <w:t xml:space="preserve"> enables investigations into the operations of private health insurers. An investigation may involve giving officers, employees or agents of an insurer a notice to produce documents, give information or evidence. It may also involve examination of the books of an insurer.  </w:t>
      </w:r>
    </w:p>
    <w:p w14:paraId="3BDA2306" w14:textId="77777777" w:rsidR="00746555" w:rsidRDefault="00746555" w:rsidP="000F194A">
      <w:pPr>
        <w:pStyle w:val="base-text-paragraph"/>
      </w:pPr>
      <w:r>
        <w:t xml:space="preserve">Section 194-1A has been inserted to establish the circumstances in which the powers under Division 194 may be exercised. It provides that the powers may only be exercised for the purposes of the PHI Act but may not be exercised for the purpose of the </w:t>
      </w:r>
      <w:r w:rsidR="00470FCC">
        <w:t>PHI Act</w:t>
      </w:r>
      <w:r>
        <w:t xml:space="preserve"> as it relates to Risk Equalisation Levy or the Risk Equalisation Special Account. APRA will have investigative powers in relation to these matters under the </w:t>
      </w:r>
      <w:r w:rsidR="00E9202F">
        <w:t>Prudential Supervision Bill</w:t>
      </w:r>
      <w:r>
        <w:t xml:space="preserve">. </w:t>
      </w:r>
      <w:r w:rsidR="00D50F06">
        <w:t>Section 194-1 has been repealed as it is redundant.</w:t>
      </w:r>
      <w:r w:rsidDel="0008062B">
        <w:t xml:space="preserve"> </w:t>
      </w:r>
      <w:r w:rsidRPr="00531073">
        <w:rPr>
          <w:rStyle w:val="Referencingstyle"/>
        </w:rPr>
        <w:t>[Schedule 1, Part 1, item</w:t>
      </w:r>
      <w:r w:rsidR="00D50F06">
        <w:rPr>
          <w:rStyle w:val="Referencingstyle"/>
        </w:rPr>
        <w:t xml:space="preserve">s </w:t>
      </w:r>
      <w:r w:rsidR="00066ABC">
        <w:rPr>
          <w:rStyle w:val="Referencingstyle"/>
        </w:rPr>
        <w:t>88</w:t>
      </w:r>
      <w:r w:rsidR="00D50F06">
        <w:rPr>
          <w:rStyle w:val="Referencingstyle"/>
        </w:rPr>
        <w:t xml:space="preserve"> and 91</w:t>
      </w:r>
      <w:r w:rsidRPr="00531073">
        <w:rPr>
          <w:rStyle w:val="Referencingstyle"/>
        </w:rPr>
        <w:t>]</w:t>
      </w:r>
    </w:p>
    <w:p w14:paraId="3A7E815C" w14:textId="77777777" w:rsidR="006E2DFD" w:rsidRPr="00FC1EFE" w:rsidRDefault="006E2DFD" w:rsidP="000F194A">
      <w:pPr>
        <w:pStyle w:val="base-text-paragraph"/>
        <w:rPr>
          <w:rStyle w:val="Referencingstyle"/>
          <w:b w:val="0"/>
          <w:i w:val="0"/>
          <w:sz w:val="22"/>
        </w:rPr>
      </w:pPr>
      <w:r>
        <w:t xml:space="preserve">Subsection 194-30, which expressly enabled the </w:t>
      </w:r>
      <w:r w:rsidR="00E56261">
        <w:t xml:space="preserve">Health </w:t>
      </w:r>
      <w:r>
        <w:t>Minister to consult the Council and ask it to take over part of an investigation where the Minister bel</w:t>
      </w:r>
      <w:r w:rsidR="00600030">
        <w:t>ieved issues concerning Council</w:t>
      </w:r>
      <w:r w:rsidR="00600030">
        <w:noBreakHyphen/>
      </w:r>
      <w:r>
        <w:t xml:space="preserve">supervised obligations had been raised, has also been repealed. </w:t>
      </w:r>
      <w:r w:rsidR="00746555">
        <w:t xml:space="preserve">The </w:t>
      </w:r>
      <w:r w:rsidR="00E56261">
        <w:t xml:space="preserve">Health </w:t>
      </w:r>
      <w:r w:rsidR="00746555">
        <w:t xml:space="preserve">Minister </w:t>
      </w:r>
      <w:r w:rsidR="00E56261">
        <w:t xml:space="preserve">and </w:t>
      </w:r>
      <w:r w:rsidR="00746555">
        <w:t>APRA will consult more generally under a Memorandum of Understanding.</w:t>
      </w:r>
      <w:r w:rsidR="00746555" w:rsidDel="0008062B">
        <w:t xml:space="preserve"> </w:t>
      </w:r>
      <w:r w:rsidRPr="00AB4B0B">
        <w:rPr>
          <w:rStyle w:val="Referencingstyle"/>
        </w:rPr>
        <w:t xml:space="preserve">[Schedule 1, Part 1, item </w:t>
      </w:r>
      <w:r w:rsidR="00066ABC">
        <w:rPr>
          <w:rStyle w:val="Referencingstyle"/>
        </w:rPr>
        <w:t>97</w:t>
      </w:r>
      <w:r w:rsidRPr="00AB4B0B">
        <w:rPr>
          <w:rStyle w:val="Referencingstyle"/>
        </w:rPr>
        <w:t xml:space="preserve">]  </w:t>
      </w:r>
    </w:p>
    <w:p w14:paraId="22357AA5" w14:textId="77777777" w:rsidR="00746555" w:rsidRDefault="00746555" w:rsidP="000F194A">
      <w:pPr>
        <w:pStyle w:val="base-text-paragraph"/>
      </w:pPr>
      <w:r>
        <w:t>A number of consequential amendments have been made to Division 194 to reflect that the Health</w:t>
      </w:r>
      <w:r w:rsidR="00E56261">
        <w:t xml:space="preserve"> Minister</w:t>
      </w:r>
      <w:r>
        <w:t xml:space="preserve"> is the only person who may now exercise powers to conduct investigations under the Division.</w:t>
      </w:r>
      <w:r w:rsidDel="0008062B">
        <w:t xml:space="preserve"> </w:t>
      </w:r>
      <w:r w:rsidRPr="00531073">
        <w:rPr>
          <w:rStyle w:val="Referencingstyle"/>
        </w:rPr>
        <w:t xml:space="preserve">[Schedule 1, Part 1, items </w:t>
      </w:r>
      <w:r w:rsidR="00066ABC">
        <w:rPr>
          <w:rStyle w:val="Referencingstyle"/>
        </w:rPr>
        <w:t>89</w:t>
      </w:r>
      <w:r w:rsidRPr="00531073">
        <w:rPr>
          <w:rStyle w:val="Referencingstyle"/>
        </w:rPr>
        <w:t xml:space="preserve"> and </w:t>
      </w:r>
      <w:r w:rsidR="00066ABC">
        <w:rPr>
          <w:rStyle w:val="Referencingstyle"/>
        </w:rPr>
        <w:t>90</w:t>
      </w:r>
      <w:r w:rsidRPr="00531073">
        <w:rPr>
          <w:rStyle w:val="Referencingstyle"/>
        </w:rPr>
        <w:t xml:space="preserve">, </w:t>
      </w:r>
      <w:r w:rsidR="00066ABC">
        <w:rPr>
          <w:rStyle w:val="Referencingstyle"/>
        </w:rPr>
        <w:t>92</w:t>
      </w:r>
      <w:r w:rsidRPr="00531073">
        <w:rPr>
          <w:rStyle w:val="Referencingstyle"/>
        </w:rPr>
        <w:t xml:space="preserve"> to </w:t>
      </w:r>
      <w:r w:rsidR="00066ABC">
        <w:rPr>
          <w:rStyle w:val="Referencingstyle"/>
        </w:rPr>
        <w:t>96</w:t>
      </w:r>
      <w:r w:rsidRPr="00531073">
        <w:rPr>
          <w:rStyle w:val="Referencingstyle"/>
        </w:rPr>
        <w:t xml:space="preserve"> and </w:t>
      </w:r>
      <w:r w:rsidR="00066ABC">
        <w:rPr>
          <w:rStyle w:val="Referencingstyle"/>
        </w:rPr>
        <w:t>98</w:t>
      </w:r>
      <w:r w:rsidRPr="00531073">
        <w:rPr>
          <w:rStyle w:val="Referencingstyle"/>
        </w:rPr>
        <w:t xml:space="preserve"> to </w:t>
      </w:r>
      <w:r w:rsidR="00066ABC">
        <w:rPr>
          <w:rStyle w:val="Referencingstyle"/>
        </w:rPr>
        <w:t>100</w:t>
      </w:r>
      <w:r w:rsidRPr="00531073">
        <w:rPr>
          <w:rStyle w:val="Referencingstyle"/>
        </w:rPr>
        <w:t>]</w:t>
      </w:r>
      <w:r w:rsidRPr="00746555">
        <w:t xml:space="preserve">  </w:t>
      </w:r>
    </w:p>
    <w:p w14:paraId="78AEC5B5" w14:textId="77777777" w:rsidR="006E2DFD" w:rsidRDefault="006E2DFD" w:rsidP="000F194A">
      <w:pPr>
        <w:pStyle w:val="base-text-paragraph"/>
      </w:pPr>
      <w:r>
        <w:t xml:space="preserve">There has been no other change to the powers of the Health </w:t>
      </w:r>
      <w:r w:rsidR="00B2761E">
        <w:t xml:space="preserve">Minister </w:t>
      </w:r>
      <w:r>
        <w:t xml:space="preserve">under Division 194.  </w:t>
      </w:r>
    </w:p>
    <w:p w14:paraId="63E3B2AD" w14:textId="77777777" w:rsidR="006E2DFD" w:rsidRDefault="004149AF" w:rsidP="00E93AB0">
      <w:pPr>
        <w:pStyle w:val="Heading6"/>
      </w:pPr>
      <w:r>
        <w:t xml:space="preserve">Division 197 – enforceable </w:t>
      </w:r>
      <w:r w:rsidR="006E2DFD">
        <w:t>undertakings</w:t>
      </w:r>
    </w:p>
    <w:p w14:paraId="314A95DA" w14:textId="77777777" w:rsidR="006E2DFD" w:rsidRPr="00464E54" w:rsidRDefault="006E2DFD" w:rsidP="000F194A">
      <w:pPr>
        <w:pStyle w:val="base-text-paragraph"/>
        <w:rPr>
          <w:rStyle w:val="Referencingstyle"/>
          <w:b w:val="0"/>
          <w:i w:val="0"/>
          <w:sz w:val="22"/>
        </w:rPr>
      </w:pPr>
      <w:r>
        <w:t xml:space="preserve">Division 197 of the </w:t>
      </w:r>
      <w:r w:rsidR="00B83F6C">
        <w:t>PHI Act</w:t>
      </w:r>
      <w:r>
        <w:t xml:space="preserve"> deals with enforceable undertaking that may be sough</w:t>
      </w:r>
      <w:r w:rsidR="00470FCC">
        <w:t>t from private health insurers.</w:t>
      </w:r>
      <w:r>
        <w:t xml:space="preserve"> All references to the Council's power to seek and accept an undertaking from an insurer have been repealed.  </w:t>
      </w:r>
      <w:r w:rsidRPr="00AB4B0B">
        <w:rPr>
          <w:rStyle w:val="Referencingstyle"/>
        </w:rPr>
        <w:t xml:space="preserve">[Schedule 1, Part 1, items </w:t>
      </w:r>
      <w:r w:rsidR="00066ABC">
        <w:rPr>
          <w:rStyle w:val="Referencingstyle"/>
        </w:rPr>
        <w:t>101</w:t>
      </w:r>
      <w:r w:rsidR="00746555">
        <w:rPr>
          <w:rStyle w:val="Referencingstyle"/>
        </w:rPr>
        <w:t>-</w:t>
      </w:r>
      <w:r w:rsidR="00066ABC">
        <w:rPr>
          <w:rStyle w:val="Referencingstyle"/>
        </w:rPr>
        <w:t>104</w:t>
      </w:r>
      <w:r w:rsidRPr="00AB4B0B">
        <w:rPr>
          <w:rStyle w:val="Referencingstyle"/>
        </w:rPr>
        <w:t>]</w:t>
      </w:r>
    </w:p>
    <w:p w14:paraId="1563A177" w14:textId="77777777" w:rsidR="006E2DFD" w:rsidRDefault="006E2DFD" w:rsidP="000F194A">
      <w:pPr>
        <w:pStyle w:val="base-text-paragraph"/>
      </w:pPr>
      <w:r>
        <w:t xml:space="preserve">The </w:t>
      </w:r>
      <w:r w:rsidR="00600030">
        <w:t>Health</w:t>
      </w:r>
      <w:r w:rsidR="00E56261">
        <w:t xml:space="preserve"> Minister</w:t>
      </w:r>
      <w:r w:rsidR="00600030">
        <w:t xml:space="preserve"> will </w:t>
      </w:r>
      <w:r>
        <w:t xml:space="preserve">retain the powers to seek and accept undertakings under the </w:t>
      </w:r>
      <w:r w:rsidR="00B83F6C">
        <w:t>PHI Act</w:t>
      </w:r>
      <w:r>
        <w:t xml:space="preserve"> and to apply to the Federal Court to enforce an undertaking if the Minister considers an insurer has contravened the terms of an undertaking (see sections 197-1 and 197-5).  An insurer also retains the capacity to withdraw or vary an undertaking at any time, with the consent of the Minister (see subsection 197-1(3)).  </w:t>
      </w:r>
    </w:p>
    <w:p w14:paraId="2A3620D5" w14:textId="77777777" w:rsidR="006E2DFD" w:rsidRDefault="006E2DFD" w:rsidP="000F194A">
      <w:pPr>
        <w:pStyle w:val="base-text-paragraph"/>
      </w:pPr>
      <w:r>
        <w:t xml:space="preserve">APRA will have the power to accept undertakings from insurers under Part 7 of the </w:t>
      </w:r>
      <w:r w:rsidR="00E9202F">
        <w:t>Prudential Supervision Bill</w:t>
      </w:r>
      <w:r>
        <w:t xml:space="preserve"> in connection with matters in relation to which APRA has powers or functions under </w:t>
      </w:r>
      <w:r w:rsidR="00470FCC">
        <w:t>the Prudential Supervision Bill</w:t>
      </w:r>
      <w:r>
        <w:t xml:space="preserve"> or the legislation governing the Risk Equalisation Special Account or Risk Equalisation Levy.</w:t>
      </w:r>
    </w:p>
    <w:p w14:paraId="7996539B" w14:textId="77777777" w:rsidR="006E2DFD" w:rsidRDefault="006E2DFD" w:rsidP="00E93AB0">
      <w:pPr>
        <w:pStyle w:val="Heading6"/>
      </w:pPr>
      <w:r>
        <w:t xml:space="preserve">Division 200 </w:t>
      </w:r>
      <w:r w:rsidR="004149AF">
        <w:t>–</w:t>
      </w:r>
      <w:r>
        <w:t xml:space="preserve"> direction</w:t>
      </w:r>
      <w:r w:rsidR="004149AF">
        <w:t xml:space="preserve">s </w:t>
      </w:r>
    </w:p>
    <w:p w14:paraId="17126569" w14:textId="77777777" w:rsidR="006E2DFD" w:rsidRDefault="006E2DFD" w:rsidP="000F194A">
      <w:pPr>
        <w:pStyle w:val="base-text-paragraph"/>
      </w:pPr>
      <w:r>
        <w:t xml:space="preserve">Division 200 of the </w:t>
      </w:r>
      <w:r w:rsidR="00B83F6C">
        <w:t>PHI Act</w:t>
      </w:r>
      <w:r>
        <w:t xml:space="preserve"> previously enabled the Health </w:t>
      </w:r>
      <w:r w:rsidR="00B2761E">
        <w:t>Minister</w:t>
      </w:r>
      <w:r>
        <w:t xml:space="preserve"> or the Council to give a direction to an insurer requiring the insurer to modify its day to day operations or its rules in a particular respect </w:t>
      </w:r>
      <w:r w:rsidR="00746555">
        <w:t>and</w:t>
      </w:r>
      <w:r>
        <w:t xml:space="preserve">, for a restricted access insurer, to modify its rules or constitution in order to comply with requirements relating to its restricted access status.  </w:t>
      </w:r>
    </w:p>
    <w:p w14:paraId="37C9299D" w14:textId="77777777" w:rsidR="00746555" w:rsidRPr="00746555" w:rsidRDefault="00746555" w:rsidP="00267EBD">
      <w:pPr>
        <w:pStyle w:val="base-text-paragraph"/>
        <w:keepNext/>
        <w:keepLines/>
      </w:pPr>
      <w:r>
        <w:t>All reference to the Council's power to give directions to insurers has been removed by the substitution of new subsections 200-1(1) and (2) and the amendment of subsection 200-1(3). New subsections 200</w:t>
      </w:r>
      <w:r>
        <w:noBreakHyphen/>
        <w:t xml:space="preserve">1(1) and (2) also contain an updated reference to subsection 15(3) of the </w:t>
      </w:r>
      <w:r w:rsidR="00E9202F">
        <w:t>Prudential Supervision Bill</w:t>
      </w:r>
      <w:r>
        <w:t xml:space="preserve">, under which the requirements with which the rules or constitution of a restricted access insurers must comply are set. </w:t>
      </w:r>
      <w:r w:rsidRPr="00531073">
        <w:rPr>
          <w:rStyle w:val="Referencingstyle"/>
        </w:rPr>
        <w:t xml:space="preserve">[Schedule 1, Part 1, item </w:t>
      </w:r>
      <w:r w:rsidR="00066ABC">
        <w:rPr>
          <w:rStyle w:val="Referencingstyle"/>
        </w:rPr>
        <w:t>107</w:t>
      </w:r>
      <w:r w:rsidRPr="00531073">
        <w:rPr>
          <w:rStyle w:val="Referencingstyle"/>
        </w:rPr>
        <w:t>]</w:t>
      </w:r>
    </w:p>
    <w:p w14:paraId="3B4E35EA" w14:textId="77777777" w:rsidR="006E2DFD" w:rsidRPr="00494DB0" w:rsidRDefault="006E2DFD" w:rsidP="000F194A">
      <w:pPr>
        <w:pStyle w:val="base-text-paragraph"/>
        <w:rPr>
          <w:rStyle w:val="Referencingstyle"/>
          <w:b w:val="0"/>
          <w:i w:val="0"/>
          <w:sz w:val="22"/>
        </w:rPr>
      </w:pPr>
      <w:r>
        <w:t>A number of technical drafting changes to reflect that the Minister now has exclusive power to issue directions under Division</w:t>
      </w:r>
      <w:r w:rsidR="00464E54">
        <w:t> </w:t>
      </w:r>
      <w:r>
        <w:t>200 have also been made.</w:t>
      </w:r>
      <w:r w:rsidRPr="00AB4B0B">
        <w:rPr>
          <w:rStyle w:val="Referencingstyle"/>
        </w:rPr>
        <w:t xml:space="preserve">[Schedule 1, Part 1, items </w:t>
      </w:r>
      <w:r w:rsidR="00066ABC">
        <w:rPr>
          <w:rStyle w:val="Referencingstyle"/>
        </w:rPr>
        <w:t>105</w:t>
      </w:r>
      <w:r w:rsidR="00746555">
        <w:rPr>
          <w:rStyle w:val="Referencingstyle"/>
        </w:rPr>
        <w:t>,</w:t>
      </w:r>
      <w:r w:rsidR="00066ABC">
        <w:rPr>
          <w:rStyle w:val="Referencingstyle"/>
        </w:rPr>
        <w:t xml:space="preserve"> 106</w:t>
      </w:r>
      <w:r w:rsidR="00746555">
        <w:rPr>
          <w:rStyle w:val="Referencingstyle"/>
        </w:rPr>
        <w:t xml:space="preserve"> and </w:t>
      </w:r>
      <w:r w:rsidR="00066ABC">
        <w:rPr>
          <w:rStyle w:val="Referencingstyle"/>
        </w:rPr>
        <w:t>108</w:t>
      </w:r>
      <w:r w:rsidR="00746555">
        <w:rPr>
          <w:rStyle w:val="Referencingstyle"/>
        </w:rPr>
        <w:t xml:space="preserve"> to </w:t>
      </w:r>
      <w:r w:rsidR="00066ABC">
        <w:rPr>
          <w:rStyle w:val="Referencingstyle"/>
        </w:rPr>
        <w:t>111</w:t>
      </w:r>
      <w:r w:rsidR="00AB4B0B" w:rsidRPr="00AB4B0B">
        <w:rPr>
          <w:rStyle w:val="Referencingstyle"/>
        </w:rPr>
        <w:t>]</w:t>
      </w:r>
    </w:p>
    <w:p w14:paraId="42772F98" w14:textId="77777777" w:rsidR="00746555" w:rsidRDefault="00746555" w:rsidP="000F194A">
      <w:pPr>
        <w:pStyle w:val="base-text-paragraph"/>
      </w:pPr>
      <w:r>
        <w:t>The Health Minister will not be required to provide a copy of any direction to APRA.</w:t>
      </w:r>
      <w:r w:rsidDel="00747CBA">
        <w:t xml:space="preserve"> </w:t>
      </w:r>
      <w:r>
        <w:t>This is because the Health</w:t>
      </w:r>
      <w:r w:rsidR="00E56261">
        <w:t xml:space="preserve"> Minister</w:t>
      </w:r>
      <w:r>
        <w:t xml:space="preserve"> and APRA will consult more generally under a Memorandum of Understanding.</w:t>
      </w:r>
    </w:p>
    <w:p w14:paraId="7169AF09" w14:textId="77777777" w:rsidR="006E2DFD" w:rsidRDefault="006E2DFD" w:rsidP="000F194A">
      <w:pPr>
        <w:pStyle w:val="base-text-paragraph"/>
      </w:pPr>
      <w:r>
        <w:t xml:space="preserve">APRA's main prudential direction making power, including in relation to enforceable obligations under the </w:t>
      </w:r>
      <w:r w:rsidR="00E9202F">
        <w:t>Prudential Supervision Bill</w:t>
      </w:r>
      <w:r>
        <w:t xml:space="preserve">, is in Division 3 of Part 4 of that </w:t>
      </w:r>
      <w:r w:rsidR="0089370C">
        <w:t>Bill.</w:t>
      </w:r>
      <w:r>
        <w:t xml:space="preserve"> </w:t>
      </w:r>
    </w:p>
    <w:p w14:paraId="7E6CDDC8" w14:textId="77777777" w:rsidR="006E2DFD" w:rsidRDefault="006E2DFD" w:rsidP="000F194A">
      <w:pPr>
        <w:pStyle w:val="base-text-paragraph"/>
      </w:pPr>
      <w:r>
        <w:t xml:space="preserve">There has been no alteration to the grounds on which the Health </w:t>
      </w:r>
      <w:r w:rsidR="00B2761E">
        <w:t xml:space="preserve">Minister </w:t>
      </w:r>
      <w:r>
        <w:t xml:space="preserve">may issue a direction to an insurer, namely if the Minister considers it will assist in preventing improper discrimination or considers there appears to be a contravention of an enforceable obligation under the </w:t>
      </w:r>
      <w:r w:rsidR="00B83F6C">
        <w:t>PHI Act</w:t>
      </w:r>
      <w:r>
        <w:t xml:space="preserve"> involving improper discrimination.  There has also been no alteration to the nature of the directions that the Minister may give.  </w:t>
      </w:r>
    </w:p>
    <w:p w14:paraId="3185490E" w14:textId="77777777" w:rsidR="006E2DFD" w:rsidRDefault="006E2DFD" w:rsidP="00E93AB0">
      <w:pPr>
        <w:pStyle w:val="Heading6"/>
      </w:pPr>
      <w:r>
        <w:t xml:space="preserve">Division 203 </w:t>
      </w:r>
      <w:r w:rsidR="004149AF">
        <w:t>–</w:t>
      </w:r>
      <w:r>
        <w:t xml:space="preserve"> remedie</w:t>
      </w:r>
      <w:r w:rsidR="004149AF">
        <w:t xml:space="preserve">s </w:t>
      </w:r>
    </w:p>
    <w:p w14:paraId="61505A40" w14:textId="77777777" w:rsidR="006E2DFD" w:rsidRDefault="006E2DFD" w:rsidP="000F194A">
      <w:pPr>
        <w:pStyle w:val="base-text-paragraph"/>
      </w:pPr>
      <w:r>
        <w:t xml:space="preserve">Division 203 sets out the remedies available in the Federal Court where an insurer has contravened its enforceable obligations under the </w:t>
      </w:r>
      <w:r w:rsidR="00B83F6C">
        <w:t>PHI Act</w:t>
      </w:r>
      <w:r>
        <w:t>. These remedies were previously available on application to the Federal Court by the Health</w:t>
      </w:r>
      <w:r w:rsidR="006F3113">
        <w:t xml:space="preserve"> Minister</w:t>
      </w:r>
      <w:r>
        <w:t xml:space="preserve"> or the Council.  </w:t>
      </w:r>
    </w:p>
    <w:p w14:paraId="62A343FB" w14:textId="77777777" w:rsidR="00746555" w:rsidRDefault="006E2DFD" w:rsidP="000F194A">
      <w:pPr>
        <w:pStyle w:val="base-text-paragraph"/>
      </w:pPr>
      <w:r>
        <w:t>The Division has been amended to repeal all references to the Council</w:t>
      </w:r>
      <w:r w:rsidR="00746555">
        <w:t xml:space="preserve">, including references to the Council’s former powers to apply to the Federal Court for declarations and orders and to require a person to give assistance in relation to an application by the Council. </w:t>
      </w:r>
      <w:r w:rsidR="00746555" w:rsidRPr="00494DB0">
        <w:rPr>
          <w:rStyle w:val="Referencingstyle"/>
        </w:rPr>
        <w:t>[Schedule 1, Part</w:t>
      </w:r>
      <w:r w:rsidR="00746555">
        <w:rPr>
          <w:rStyle w:val="Referencingstyle"/>
        </w:rPr>
        <w:t> </w:t>
      </w:r>
      <w:r w:rsidR="00746555" w:rsidRPr="00494DB0">
        <w:rPr>
          <w:rStyle w:val="Referencingstyle"/>
        </w:rPr>
        <w:t xml:space="preserve">1, items </w:t>
      </w:r>
      <w:r w:rsidR="00066ABC">
        <w:rPr>
          <w:rStyle w:val="Referencingstyle"/>
        </w:rPr>
        <w:t>112</w:t>
      </w:r>
      <w:r w:rsidR="00746555" w:rsidRPr="00494DB0">
        <w:rPr>
          <w:rStyle w:val="Referencingstyle"/>
        </w:rPr>
        <w:t xml:space="preserve"> to </w:t>
      </w:r>
      <w:r w:rsidR="00066ABC">
        <w:rPr>
          <w:rStyle w:val="Referencingstyle"/>
        </w:rPr>
        <w:t>122</w:t>
      </w:r>
      <w:r w:rsidR="00746555" w:rsidRPr="00494DB0">
        <w:rPr>
          <w:rStyle w:val="Referencingstyle"/>
        </w:rPr>
        <w:t>]</w:t>
      </w:r>
      <w:r w:rsidR="00746555" w:rsidRPr="00746555">
        <w:rPr>
          <w:rStyle w:val="Referencingstyle"/>
          <w:b w:val="0"/>
        </w:rPr>
        <w:t xml:space="preserve">  </w:t>
      </w:r>
    </w:p>
    <w:p w14:paraId="2C73E241" w14:textId="77777777" w:rsidR="006E2DFD" w:rsidRDefault="006E2DFD" w:rsidP="000F194A">
      <w:pPr>
        <w:pStyle w:val="base-text-paragraph"/>
      </w:pPr>
      <w:r>
        <w:t>The Health</w:t>
      </w:r>
      <w:r w:rsidR="006F3113">
        <w:t xml:space="preserve"> Minister</w:t>
      </w:r>
      <w:r>
        <w:t xml:space="preserve"> remains able to seek a number of remedies from the Federal Court, specifically a declaration of contravention and one or more of a pecuniary penalty order, a compensation order, an adverse publicity order or any other order the Minister considers appropriate (see section 203-1).</w:t>
      </w:r>
      <w:r w:rsidDel="00747CBA">
        <w:t xml:space="preserve"> </w:t>
      </w:r>
      <w:r>
        <w:t xml:space="preserve">There also has been no change to the grounds on which the Minister may seek a remedy, namely where the Minister is satisfied an insurer has contravened an enforceable obligation.  </w:t>
      </w:r>
    </w:p>
    <w:p w14:paraId="74BBAAEE" w14:textId="77777777" w:rsidR="006E2DFD" w:rsidRDefault="006E2DFD" w:rsidP="000F194A">
      <w:pPr>
        <w:pStyle w:val="base-text-paragraph"/>
      </w:pPr>
      <w:r>
        <w:t xml:space="preserve">Under Part 8 of the </w:t>
      </w:r>
      <w:r w:rsidR="00E9202F">
        <w:t>Prudential Supervision Bill</w:t>
      </w:r>
      <w:r w:rsidR="00E27BD7">
        <w:t>,</w:t>
      </w:r>
      <w:r>
        <w:t xml:space="preserve"> APRA is able to seek remedies in the Federal Court for breaches of enforceable obligations under that </w:t>
      </w:r>
      <w:r w:rsidR="00AD7707">
        <w:t>Bill</w:t>
      </w:r>
      <w:r>
        <w:t xml:space="preserve">.  </w:t>
      </w:r>
    </w:p>
    <w:p w14:paraId="5E996C10" w14:textId="77777777" w:rsidR="006E2DFD" w:rsidRDefault="004149AF" w:rsidP="00E93AB0">
      <w:pPr>
        <w:pStyle w:val="Heading6"/>
      </w:pPr>
      <w:r>
        <w:t xml:space="preserve">Part 5-3 – health </w:t>
      </w:r>
      <w:r w:rsidR="006E2DFD">
        <w:t>benefits fund enforcement</w:t>
      </w:r>
    </w:p>
    <w:p w14:paraId="3ED3888A" w14:textId="77777777" w:rsidR="00494DB0" w:rsidRPr="00494DB0" w:rsidRDefault="00494DB0" w:rsidP="000F194A">
      <w:pPr>
        <w:pStyle w:val="base-text-paragraph"/>
        <w:rPr>
          <w:rStyle w:val="Referencingstyle"/>
          <w:b w:val="0"/>
          <w:i w:val="0"/>
          <w:sz w:val="22"/>
        </w:rPr>
      </w:pPr>
      <w:r>
        <w:t>Part 5-3 of the PHI Act, dealt with the enforcement of health benefits fund requirements, including investigations into the affairs of private health insurers by appointed inspectors and the external management of health benefits funds. Powers under Part 5-3 of the PHI</w:t>
      </w:r>
      <w:r w:rsidR="00FF04C3">
        <w:t> </w:t>
      </w:r>
      <w:r>
        <w:t xml:space="preserve">Act were exclusively exercised by the Council and the Part has been repealed in its entirety. </w:t>
      </w:r>
      <w:r w:rsidRPr="00494DB0">
        <w:rPr>
          <w:rStyle w:val="Referencingstyle"/>
        </w:rPr>
        <w:t xml:space="preserve">[Schedule 1, Part 1, item </w:t>
      </w:r>
      <w:r w:rsidR="00066ABC">
        <w:rPr>
          <w:rStyle w:val="Referencingstyle"/>
        </w:rPr>
        <w:t>123</w:t>
      </w:r>
      <w:r w:rsidRPr="00494DB0">
        <w:rPr>
          <w:rStyle w:val="Referencingstyle"/>
        </w:rPr>
        <w:t>]</w:t>
      </w:r>
    </w:p>
    <w:p w14:paraId="5429F118" w14:textId="77777777" w:rsidR="00494DB0" w:rsidRDefault="00494DB0" w:rsidP="000F194A">
      <w:pPr>
        <w:pStyle w:val="base-text-paragraph"/>
      </w:pPr>
      <w:r>
        <w:t xml:space="preserve">APRA has similar powers under Divisions 3 and 4 of Part 6 and Division 6 of Part 3 of the </w:t>
      </w:r>
      <w:r w:rsidR="00E9202F">
        <w:t>Prudential Supervision Bill</w:t>
      </w:r>
      <w:r>
        <w:t xml:space="preserve"> to investigate the affairs of insurers and to place health benefits funds into external management where this is in the best interests of policy holders. </w:t>
      </w:r>
    </w:p>
    <w:p w14:paraId="68131330" w14:textId="77777777" w:rsidR="006E2DFD" w:rsidRDefault="006E2DFD" w:rsidP="00E93AB0">
      <w:pPr>
        <w:pStyle w:val="Heading5"/>
      </w:pPr>
      <w:r>
        <w:t xml:space="preserve">Chapter 6 </w:t>
      </w:r>
      <w:r w:rsidR="004149AF">
        <w:t>–</w:t>
      </w:r>
      <w:r>
        <w:t xml:space="preserve"> Administratio</w:t>
      </w:r>
      <w:r w:rsidR="004149AF">
        <w:t xml:space="preserve">n </w:t>
      </w:r>
    </w:p>
    <w:p w14:paraId="3ED400BD" w14:textId="77777777" w:rsidR="00494DB0" w:rsidRDefault="00494DB0">
      <w:pPr>
        <w:pStyle w:val="Heading6"/>
      </w:pPr>
      <w:r>
        <w:t xml:space="preserve">Parts 6-1 and 6-3 – Introduction and </w:t>
      </w:r>
      <w:r w:rsidRPr="006E2DFD">
        <w:t>th</w:t>
      </w:r>
      <w:r>
        <w:t>e Council</w:t>
      </w:r>
    </w:p>
    <w:p w14:paraId="662D2681" w14:textId="77777777" w:rsidR="00494DB0" w:rsidRPr="00464E54" w:rsidRDefault="00494DB0" w:rsidP="000F194A">
      <w:pPr>
        <w:pStyle w:val="base-text-paragraph"/>
        <w:rPr>
          <w:rStyle w:val="Referencingstyle"/>
          <w:b w:val="0"/>
          <w:i w:val="0"/>
          <w:sz w:val="22"/>
        </w:rPr>
      </w:pPr>
      <w:r>
        <w:t>Part 6-1 of the PHI Act sets out the contents of Chapter 6. Paragraphs 203-1(b) and (d), which referred to former functions of the Council have been repealed.</w:t>
      </w:r>
      <w:r w:rsidDel="00747CBA">
        <w:t xml:space="preserve"> </w:t>
      </w:r>
      <w:r w:rsidRPr="00C872F8">
        <w:rPr>
          <w:rStyle w:val="Referencingstyle"/>
        </w:rPr>
        <w:t xml:space="preserve">[Schedule 1, Part 1, item </w:t>
      </w:r>
      <w:r w:rsidR="00066ABC">
        <w:rPr>
          <w:rStyle w:val="Referencingstyle"/>
        </w:rPr>
        <w:t>124</w:t>
      </w:r>
      <w:r w:rsidRPr="00C872F8">
        <w:rPr>
          <w:rStyle w:val="Referencingstyle"/>
        </w:rPr>
        <w:t>]</w:t>
      </w:r>
      <w:r w:rsidRPr="00494DB0">
        <w:rPr>
          <w:rStyle w:val="Referencingstyle"/>
        </w:rPr>
        <w:t xml:space="preserve"> </w:t>
      </w:r>
    </w:p>
    <w:p w14:paraId="6D2B0684" w14:textId="77777777" w:rsidR="00494DB0" w:rsidRPr="00464E54" w:rsidRDefault="00494DB0" w:rsidP="000F194A">
      <w:pPr>
        <w:pStyle w:val="base-text-paragraph"/>
        <w:rPr>
          <w:rStyle w:val="Referencingstyle"/>
          <w:b w:val="0"/>
          <w:i w:val="0"/>
          <w:sz w:val="22"/>
        </w:rPr>
      </w:pPr>
      <w:r>
        <w:t xml:space="preserve">A consequential amendment has also been made to change reference in paragraph 203-1(f) to the Risk Equalisation Trust Fund to a reference to the Risk Equalisation Special Account. </w:t>
      </w:r>
      <w:r w:rsidRPr="00C872F8">
        <w:rPr>
          <w:rStyle w:val="Referencingstyle"/>
        </w:rPr>
        <w:t>[Schedule 1, Part 1, item</w:t>
      </w:r>
      <w:r>
        <w:rPr>
          <w:rStyle w:val="Referencingstyle"/>
        </w:rPr>
        <w:t> </w:t>
      </w:r>
      <w:r w:rsidR="00066ABC">
        <w:rPr>
          <w:rStyle w:val="Referencingstyle"/>
        </w:rPr>
        <w:t>125</w:t>
      </w:r>
      <w:r w:rsidRPr="00C872F8">
        <w:rPr>
          <w:rStyle w:val="Referencingstyle"/>
        </w:rPr>
        <w:t>]</w:t>
      </w:r>
    </w:p>
    <w:p w14:paraId="26A5E61F" w14:textId="77777777" w:rsidR="006E2DFD" w:rsidRPr="00494DB0" w:rsidRDefault="006E2DFD" w:rsidP="000F194A">
      <w:pPr>
        <w:pStyle w:val="base-text-paragraph"/>
        <w:rPr>
          <w:rStyle w:val="Referencingstyle"/>
          <w:b w:val="0"/>
          <w:i w:val="0"/>
          <w:sz w:val="22"/>
        </w:rPr>
      </w:pPr>
      <w:r>
        <w:t xml:space="preserve">Part 6-3 of the </w:t>
      </w:r>
      <w:r w:rsidR="00B83F6C">
        <w:t>PHI Act</w:t>
      </w:r>
      <w:r>
        <w:t xml:space="preserve"> established the Council, provided for its general purposes, functions and powers and set out governance arrangements for the Council and its staff.</w:t>
      </w:r>
      <w:r w:rsidDel="00DC1A85">
        <w:t xml:space="preserve"> </w:t>
      </w:r>
      <w:r>
        <w:t>Part 6-3 has been repealed in its entirety, with the effect of abolishing the Council.</w:t>
      </w:r>
      <w:r w:rsidDel="00DC1A85">
        <w:t xml:space="preserve"> </w:t>
      </w:r>
      <w:r w:rsidRPr="00AB4B0B">
        <w:rPr>
          <w:rStyle w:val="Referencingstyle"/>
        </w:rPr>
        <w:t>[S</w:t>
      </w:r>
      <w:r w:rsidR="00AB4B0B" w:rsidRPr="00AB4B0B">
        <w:rPr>
          <w:rStyle w:val="Referencingstyle"/>
        </w:rPr>
        <w:t>chedule 1, Part 1, item</w:t>
      </w:r>
      <w:r w:rsidR="00FF04C3">
        <w:rPr>
          <w:rStyle w:val="Referencingstyle"/>
        </w:rPr>
        <w:t> </w:t>
      </w:r>
      <w:r w:rsidR="00066ABC">
        <w:rPr>
          <w:rStyle w:val="Referencingstyle"/>
        </w:rPr>
        <w:t>126</w:t>
      </w:r>
      <w:r w:rsidR="00AB4B0B" w:rsidRPr="00AB4B0B">
        <w:rPr>
          <w:rStyle w:val="Referencingstyle"/>
        </w:rPr>
        <w:t>]</w:t>
      </w:r>
    </w:p>
    <w:p w14:paraId="457A09F4" w14:textId="77777777" w:rsidR="00494DB0" w:rsidRDefault="00494DB0" w:rsidP="00E93AB0">
      <w:pPr>
        <w:pStyle w:val="Heading6"/>
      </w:pPr>
      <w:r>
        <w:t>Part 6-4 – administration of premiums reduction scheme</w:t>
      </w:r>
    </w:p>
    <w:p w14:paraId="75DCB58C" w14:textId="77777777" w:rsidR="006E2DFD" w:rsidRDefault="00494DB0" w:rsidP="000F194A">
      <w:pPr>
        <w:pStyle w:val="base-text-paragraph"/>
      </w:pPr>
      <w:r>
        <w:t xml:space="preserve">No amendments have been made to Part 6-4 and the administration of the premiums reduction scheme by the Department of Human Services will not be affected by the transfer of the Council’s functions to APRA.  </w:t>
      </w:r>
    </w:p>
    <w:p w14:paraId="2F2DA8E2" w14:textId="77777777" w:rsidR="006E2DFD" w:rsidRDefault="006E2DFD" w:rsidP="00AD7707">
      <w:pPr>
        <w:pStyle w:val="Heading6"/>
        <w:keepLines/>
      </w:pPr>
      <w:r>
        <w:t xml:space="preserve">Part 6-5 </w:t>
      </w:r>
      <w:r w:rsidR="004149AF">
        <w:t>–</w:t>
      </w:r>
      <w:r>
        <w:t xml:space="preserve"> matter</w:t>
      </w:r>
      <w:r w:rsidR="004149AF">
        <w:t xml:space="preserve">s </w:t>
      </w:r>
      <w:r>
        <w:t>incidental to external and terminating management</w:t>
      </w:r>
    </w:p>
    <w:p w14:paraId="05B4A4AC" w14:textId="77777777" w:rsidR="00494DB0" w:rsidRDefault="006E2DFD" w:rsidP="00AD7707">
      <w:pPr>
        <w:pStyle w:val="base-text-paragraph"/>
        <w:keepNext/>
        <w:keepLines/>
      </w:pPr>
      <w:r>
        <w:t xml:space="preserve">Part 6-5 of the </w:t>
      </w:r>
      <w:r w:rsidR="00B83F6C">
        <w:t>PHI Act</w:t>
      </w:r>
      <w:r>
        <w:t xml:space="preserve"> sets out a number of matters relating to the external management and terminating management of health benefits funds. These included the powers of external and terminating managers, obligations on directors and officers of insurers to deliver certain records to mangers and dealing with the property of a fund under management.  </w:t>
      </w:r>
    </w:p>
    <w:p w14:paraId="7E1E014B" w14:textId="77777777" w:rsidR="006E2DFD" w:rsidRDefault="006E2DFD" w:rsidP="000F194A">
      <w:pPr>
        <w:pStyle w:val="base-text-paragraph"/>
      </w:pPr>
      <w:r>
        <w:t xml:space="preserve">The external management and terminating management of health benefits funds is now regulated under Part 3 of the </w:t>
      </w:r>
      <w:r w:rsidR="00E9202F">
        <w:t>Prudential Supervision Bill</w:t>
      </w:r>
      <w:r>
        <w:t xml:space="preserve"> and Part 6-5 of the </w:t>
      </w:r>
      <w:r w:rsidR="00B83F6C">
        <w:t>PHI Act</w:t>
      </w:r>
      <w:r>
        <w:t xml:space="preserve"> has therefore been repealed</w:t>
      </w:r>
      <w:r w:rsidR="00494DB0">
        <w:t xml:space="preserve"> in its entirety</w:t>
      </w:r>
      <w:r>
        <w:t xml:space="preserve">. </w:t>
      </w:r>
      <w:r w:rsidRPr="00AB4B0B">
        <w:rPr>
          <w:rStyle w:val="Referencingstyle"/>
        </w:rPr>
        <w:t>[S</w:t>
      </w:r>
      <w:r w:rsidR="00AB4B0B" w:rsidRPr="00AB4B0B">
        <w:rPr>
          <w:rStyle w:val="Referencingstyle"/>
        </w:rPr>
        <w:t xml:space="preserve">chedule 1, Part 1, item </w:t>
      </w:r>
      <w:r w:rsidR="00066ABC">
        <w:rPr>
          <w:rStyle w:val="Referencingstyle"/>
        </w:rPr>
        <w:t>126</w:t>
      </w:r>
      <w:r w:rsidR="00AB4B0B" w:rsidRPr="00AB4B0B">
        <w:rPr>
          <w:rStyle w:val="Referencingstyle"/>
        </w:rPr>
        <w:t>]</w:t>
      </w:r>
    </w:p>
    <w:p w14:paraId="60249DE5" w14:textId="77777777" w:rsidR="006E2DFD" w:rsidRDefault="006E2DFD" w:rsidP="00E93AB0">
      <w:pPr>
        <w:pStyle w:val="Heading6"/>
      </w:pPr>
      <w:r>
        <w:t xml:space="preserve">Part 6-6 </w:t>
      </w:r>
      <w:r w:rsidR="004149AF">
        <w:t>–</w:t>
      </w:r>
      <w:r>
        <w:t xml:space="preserve"> privat</w:t>
      </w:r>
      <w:r w:rsidR="004149AF">
        <w:t xml:space="preserve">e </w:t>
      </w:r>
      <w:r>
        <w:t>health insurance levies</w:t>
      </w:r>
    </w:p>
    <w:p w14:paraId="77CA3992" w14:textId="77777777" w:rsidR="006E2DFD" w:rsidRDefault="006E2DFD" w:rsidP="000F194A">
      <w:pPr>
        <w:pStyle w:val="base-text-paragraph"/>
      </w:pPr>
      <w:r>
        <w:t xml:space="preserve">Part 6-6 of the </w:t>
      </w:r>
      <w:r w:rsidR="00B83F6C">
        <w:t>PHI Act</w:t>
      </w:r>
      <w:r>
        <w:t xml:space="preserve"> deals with matters relating to the collection and administration of private health insurance levies.  </w:t>
      </w:r>
    </w:p>
    <w:p w14:paraId="240F9F03" w14:textId="77777777" w:rsidR="006E2DFD" w:rsidRDefault="006E2DFD" w:rsidP="000F194A">
      <w:pPr>
        <w:pStyle w:val="base-text-paragraph"/>
      </w:pPr>
      <w:r>
        <w:t>APRA has taken full responsibility for the Collapsed Insurer Levy and the Prudential Supervisory Levy, which replaces the Council Administration Levy.</w:t>
      </w:r>
      <w:r w:rsidDel="00DC1A85">
        <w:t xml:space="preserve"> </w:t>
      </w:r>
      <w:r>
        <w:t xml:space="preserve">The collection and administration of these two levies by APRA will be in accordance with the relevant levy imposition Acts, including the </w:t>
      </w:r>
      <w:r w:rsidRPr="00B82129">
        <w:t xml:space="preserve">Supervisory Levy Imposition </w:t>
      </w:r>
      <w:r w:rsidR="00663A92">
        <w:t>Bill</w:t>
      </w:r>
      <w:r>
        <w:t xml:space="preserve">, and with the </w:t>
      </w:r>
      <w:r w:rsidR="00A866AA">
        <w:t>FISLC</w:t>
      </w:r>
      <w:r w:rsidR="00470FCC">
        <w:t> </w:t>
      </w:r>
      <w:r w:rsidR="006D60BA">
        <w:t>Act</w:t>
      </w:r>
      <w:r>
        <w:t xml:space="preserve">.  </w:t>
      </w:r>
    </w:p>
    <w:p w14:paraId="0653EB11" w14:textId="77777777" w:rsidR="006E2DFD" w:rsidRDefault="006E2DFD" w:rsidP="000F194A">
      <w:pPr>
        <w:pStyle w:val="base-text-paragraph"/>
      </w:pPr>
      <w:r>
        <w:t>While the Health</w:t>
      </w:r>
      <w:r w:rsidR="006D60BA">
        <w:t xml:space="preserve"> Minister</w:t>
      </w:r>
      <w:r>
        <w:t xml:space="preserve"> retains overall policy responsibility for the Risk Equalisation Levy, APRA will take over from the Council responsibility for the collection of the levy. APRA will administer the Risk Equalisation Levy in accordance with the </w:t>
      </w:r>
      <w:r w:rsidR="000F6584" w:rsidRPr="004B26EC">
        <w:t xml:space="preserve">Risk Equalisation Levy </w:t>
      </w:r>
      <w:r w:rsidR="00470FCC">
        <w:t>Amendment Bill</w:t>
      </w:r>
      <w:r w:rsidR="000F6584">
        <w:t xml:space="preserve"> </w:t>
      </w:r>
      <w:r>
        <w:t>and Part</w:t>
      </w:r>
      <w:r w:rsidR="00464E54">
        <w:t> </w:t>
      </w:r>
      <w:r>
        <w:t xml:space="preserve">6-6 of the </w:t>
      </w:r>
      <w:r w:rsidR="00B83F6C">
        <w:t>PHI Act</w:t>
      </w:r>
      <w:r>
        <w:t>.</w:t>
      </w:r>
    </w:p>
    <w:p w14:paraId="5C6DAEC2" w14:textId="77777777" w:rsidR="006E2DFD" w:rsidRDefault="006E2DFD" w:rsidP="000F194A">
      <w:pPr>
        <w:pStyle w:val="base-text-paragraph"/>
      </w:pPr>
      <w:r>
        <w:t xml:space="preserve">The remaining private health insurance levies under the </w:t>
      </w:r>
      <w:r w:rsidR="00267EBD">
        <w:t>PHI </w:t>
      </w:r>
      <w:r w:rsidR="00B83F6C">
        <w:t>Act</w:t>
      </w:r>
      <w:r w:rsidR="00E27BD7">
        <w:t xml:space="preserve">, the </w:t>
      </w:r>
      <w:r>
        <w:t>National Joint Replacement Register Levy</w:t>
      </w:r>
      <w:r w:rsidR="00E27BD7">
        <w:t xml:space="preserve"> and </w:t>
      </w:r>
      <w:r>
        <w:t>the Complaints</w:t>
      </w:r>
      <w:r w:rsidR="00E27BD7">
        <w:t xml:space="preserve"> Levy, </w:t>
      </w:r>
      <w:r w:rsidR="00494DB0">
        <w:t xml:space="preserve">which funds the operation of the Private Health Insurance Ombudsman, </w:t>
      </w:r>
      <w:r w:rsidR="00E27BD7">
        <w:t>will remain under the PHI Act and no amendments have been made</w:t>
      </w:r>
      <w:r w:rsidR="00494DB0">
        <w:t xml:space="preserve"> to their operation</w:t>
      </w:r>
      <w:r>
        <w:t>.</w:t>
      </w:r>
    </w:p>
    <w:p w14:paraId="76D64288" w14:textId="77777777" w:rsidR="006E2DFD" w:rsidRDefault="006E2DFD" w:rsidP="00E93AB0">
      <w:pPr>
        <w:pStyle w:val="Heading6"/>
      </w:pPr>
      <w:r>
        <w:t>Divisions 304 and 307</w:t>
      </w:r>
      <w:r w:rsidR="004149AF">
        <w:t xml:space="preserve"> – </w:t>
      </w:r>
      <w:r w:rsidR="00E27BD7">
        <w:t>Collection and recovery of private health insurance levies</w:t>
      </w:r>
    </w:p>
    <w:p w14:paraId="14C3577E" w14:textId="77777777" w:rsidR="006E2DFD" w:rsidRDefault="006E2DFD" w:rsidP="000F194A">
      <w:pPr>
        <w:pStyle w:val="base-text-paragraph"/>
      </w:pPr>
      <w:r>
        <w:t xml:space="preserve">Divisions 304 and 307 of the </w:t>
      </w:r>
      <w:r w:rsidR="00B83F6C">
        <w:t>PHI Act</w:t>
      </w:r>
      <w:r>
        <w:t xml:space="preserve"> contain a general introduction to Part 6-6 and set out when private health insurance levies are payable, penalties for late payment of levies and waiver of levies and late payment penalties.  </w:t>
      </w:r>
    </w:p>
    <w:p w14:paraId="25002875" w14:textId="77777777" w:rsidR="00494DB0" w:rsidRDefault="006E2DFD" w:rsidP="000F194A">
      <w:pPr>
        <w:pStyle w:val="base-text-paragraph"/>
      </w:pPr>
      <w:r>
        <w:t>All reference</w:t>
      </w:r>
      <w:r w:rsidR="00494DB0">
        <w:t>s</w:t>
      </w:r>
      <w:r>
        <w:t xml:space="preserve"> to the Collapsed Insurer </w:t>
      </w:r>
      <w:r w:rsidR="006D60BA">
        <w:t xml:space="preserve">Levy </w:t>
      </w:r>
      <w:r>
        <w:t>and Council Administration Lev</w:t>
      </w:r>
      <w:r w:rsidR="006D60BA">
        <w:t>y</w:t>
      </w:r>
      <w:r>
        <w:t xml:space="preserve"> </w:t>
      </w:r>
      <w:r w:rsidR="00494DB0">
        <w:t xml:space="preserve">and the Council’s administration of those levies </w:t>
      </w:r>
      <w:r>
        <w:t xml:space="preserve">have been repealed from Divisions 304 and 307 </w:t>
      </w:r>
      <w:r w:rsidRPr="00600DFB">
        <w:rPr>
          <w:rStyle w:val="Referencingstyle"/>
        </w:rPr>
        <w:t xml:space="preserve">[Schedule 1, Part 1, items </w:t>
      </w:r>
      <w:r w:rsidR="00066ABC">
        <w:rPr>
          <w:rStyle w:val="Referencingstyle"/>
        </w:rPr>
        <w:t>127</w:t>
      </w:r>
      <w:r w:rsidR="00494DB0">
        <w:rPr>
          <w:rStyle w:val="Referencingstyle"/>
        </w:rPr>
        <w:t xml:space="preserve">, </w:t>
      </w:r>
      <w:r w:rsidR="00066ABC">
        <w:rPr>
          <w:rStyle w:val="Referencingstyle"/>
        </w:rPr>
        <w:t>129</w:t>
      </w:r>
      <w:r w:rsidR="00267EBD">
        <w:rPr>
          <w:rStyle w:val="Referencingstyle"/>
        </w:rPr>
        <w:t> to </w:t>
      </w:r>
      <w:r w:rsidR="00066ABC">
        <w:rPr>
          <w:rStyle w:val="Referencingstyle"/>
        </w:rPr>
        <w:t>132</w:t>
      </w:r>
      <w:r w:rsidR="00494DB0">
        <w:rPr>
          <w:rStyle w:val="Referencingstyle"/>
        </w:rPr>
        <w:t xml:space="preserve"> and </w:t>
      </w:r>
      <w:r w:rsidR="00066ABC">
        <w:rPr>
          <w:rStyle w:val="Referencingstyle"/>
        </w:rPr>
        <w:t>134</w:t>
      </w:r>
      <w:r w:rsidR="00494DB0">
        <w:rPr>
          <w:rStyle w:val="Referencingstyle"/>
        </w:rPr>
        <w:t xml:space="preserve"> to </w:t>
      </w:r>
      <w:r w:rsidR="00066ABC">
        <w:rPr>
          <w:rStyle w:val="Referencingstyle"/>
        </w:rPr>
        <w:t>136</w:t>
      </w:r>
      <w:r w:rsidRPr="00600DFB">
        <w:rPr>
          <w:rStyle w:val="Referencingstyle"/>
        </w:rPr>
        <w:t>].</w:t>
      </w:r>
      <w:r>
        <w:t xml:space="preserve">  </w:t>
      </w:r>
    </w:p>
    <w:p w14:paraId="121CE660" w14:textId="77777777" w:rsidR="006E2DFD" w:rsidRDefault="006E2DFD" w:rsidP="000F194A">
      <w:pPr>
        <w:pStyle w:val="base-text-paragraph"/>
      </w:pPr>
      <w:r>
        <w:t xml:space="preserve">A </w:t>
      </w:r>
      <w:r w:rsidR="00494DB0">
        <w:t>n</w:t>
      </w:r>
      <w:r>
        <w:t>ote has been added at the end of section 304-10 informing readers that insurers are liable to pay the Collapsed Insurer and Supervisory Levies</w:t>
      </w:r>
      <w:r w:rsidR="00494DB0">
        <w:t>,</w:t>
      </w:r>
      <w:r>
        <w:t xml:space="preserve"> that Part 6-6 of the </w:t>
      </w:r>
      <w:r w:rsidR="00B83F6C">
        <w:t>PHI Act</w:t>
      </w:r>
      <w:r>
        <w:t xml:space="preserve"> does not apply in relation to those levies</w:t>
      </w:r>
      <w:r w:rsidR="00494DB0">
        <w:t xml:space="preserve"> and that the collection of those levies is dealt with in the </w:t>
      </w:r>
      <w:r w:rsidR="00A866AA">
        <w:t>FISLC</w:t>
      </w:r>
      <w:r w:rsidR="006D60BA" w:rsidRPr="006D60BA">
        <w:t xml:space="preserve"> Act</w:t>
      </w:r>
      <w:r w:rsidR="00494DB0">
        <w:t>.</w:t>
      </w:r>
      <w:r>
        <w:t xml:space="preserve"> </w:t>
      </w:r>
      <w:r w:rsidR="00AB4B0B">
        <w:rPr>
          <w:rStyle w:val="Referencingstyle"/>
        </w:rPr>
        <w:t xml:space="preserve">[Schedule 1, Part 1, item </w:t>
      </w:r>
      <w:r w:rsidR="00066ABC">
        <w:rPr>
          <w:rStyle w:val="Referencingstyle"/>
        </w:rPr>
        <w:t>128</w:t>
      </w:r>
      <w:r w:rsidR="00AB4B0B">
        <w:rPr>
          <w:rStyle w:val="Referencingstyle"/>
        </w:rPr>
        <w:t>]</w:t>
      </w:r>
    </w:p>
    <w:p w14:paraId="79BEAA7E" w14:textId="77777777" w:rsidR="006E2DFD" w:rsidRDefault="006E2DFD" w:rsidP="000F194A">
      <w:pPr>
        <w:pStyle w:val="base-text-paragraph"/>
      </w:pPr>
      <w:r>
        <w:t>Amendments to Division 307 in relation to the Risk Equalisation Levy are:</w:t>
      </w:r>
    </w:p>
    <w:p w14:paraId="229F97C4" w14:textId="77777777" w:rsidR="006E2DFD" w:rsidRPr="00AB4B0B" w:rsidRDefault="00494DB0" w:rsidP="006E2DFD">
      <w:pPr>
        <w:pStyle w:val="dotpoint"/>
        <w:rPr>
          <w:rStyle w:val="Referencingstyle"/>
        </w:rPr>
      </w:pPr>
      <w:r>
        <w:t>R</w:t>
      </w:r>
      <w:r w:rsidR="006E2DFD">
        <w:t xml:space="preserve">isk </w:t>
      </w:r>
      <w:r>
        <w:t>E</w:t>
      </w:r>
      <w:r w:rsidR="006E2DFD">
        <w:t xml:space="preserve">qualisation </w:t>
      </w:r>
      <w:r>
        <w:t>L</w:t>
      </w:r>
      <w:r w:rsidR="006E2DFD">
        <w:t>evy</w:t>
      </w:r>
      <w:r>
        <w:t>,</w:t>
      </w:r>
      <w:r w:rsidR="006E2DFD">
        <w:t xml:space="preserve"> as well as any late payment penalty in respect of the </w:t>
      </w:r>
      <w:r>
        <w:t>L</w:t>
      </w:r>
      <w:r w:rsidR="006E2DFD">
        <w:t>evy</w:t>
      </w:r>
      <w:r>
        <w:t>,</w:t>
      </w:r>
      <w:r w:rsidR="006E2DFD">
        <w:t xml:space="preserve"> is to be paid to APRA</w:t>
      </w:r>
      <w:r w:rsidR="006D60BA">
        <w:t>,</w:t>
      </w:r>
      <w:r w:rsidR="006E2DFD">
        <w:t xml:space="preserve"> on behalf of the Commonwealth, in accordance with subsection 307</w:t>
      </w:r>
      <w:r w:rsidR="006D60BA">
        <w:noBreakHyphen/>
      </w:r>
      <w:r w:rsidR="006E2DFD">
        <w:t>10(2), for the purpose of the Private Health Insurance Risk Equalisation Special Account (formerly the Risk Equalisation Trust Fund)</w:t>
      </w:r>
      <w:r w:rsidR="00AD4657">
        <w:t>;</w:t>
      </w:r>
      <w:r w:rsidR="006E2DFD">
        <w:t xml:space="preserve"> </w:t>
      </w:r>
      <w:r w:rsidR="006E2DFD" w:rsidRPr="00AB4B0B">
        <w:rPr>
          <w:rStyle w:val="Referencingstyle"/>
        </w:rPr>
        <w:t xml:space="preserve">[Schedule 1, Part 1, item </w:t>
      </w:r>
      <w:r w:rsidR="00066ABC">
        <w:rPr>
          <w:rStyle w:val="Referencingstyle"/>
        </w:rPr>
        <w:t>132</w:t>
      </w:r>
      <w:r w:rsidR="00AB4B0B">
        <w:rPr>
          <w:rStyle w:val="Referencingstyle"/>
        </w:rPr>
        <w:t>]</w:t>
      </w:r>
      <w:r w:rsidR="006E2DFD" w:rsidRPr="00AB4B0B">
        <w:rPr>
          <w:rStyle w:val="Referencingstyle"/>
        </w:rPr>
        <w:t xml:space="preserve">  </w:t>
      </w:r>
    </w:p>
    <w:p w14:paraId="5F8DF492" w14:textId="77777777" w:rsidR="006E2DFD" w:rsidRDefault="006E2DFD" w:rsidP="006E2DFD">
      <w:pPr>
        <w:pStyle w:val="dotpoint"/>
      </w:pPr>
      <w:r>
        <w:t xml:space="preserve">subsection 307-15(3) has been amended to allow APRA (as agent of the Commonwealth) to recover a debt to the Commonwealth that is </w:t>
      </w:r>
      <w:r w:rsidR="00494DB0">
        <w:t>R</w:t>
      </w:r>
      <w:r>
        <w:t xml:space="preserve">isk </w:t>
      </w:r>
      <w:r w:rsidR="00494DB0">
        <w:t>E</w:t>
      </w:r>
      <w:r>
        <w:t xml:space="preserve">qualisation </w:t>
      </w:r>
      <w:r w:rsidR="00494DB0">
        <w:t>L</w:t>
      </w:r>
      <w:r>
        <w:t>evy that is due and payable or any late payment penalty in respect of the levy</w:t>
      </w:r>
      <w:r w:rsidR="00AD4657">
        <w:t>; and</w:t>
      </w:r>
      <w:r w:rsidR="00267EBD">
        <w:t xml:space="preserve"> </w:t>
      </w:r>
      <w:r w:rsidRPr="00AB4B0B">
        <w:rPr>
          <w:rStyle w:val="Referencingstyle"/>
        </w:rPr>
        <w:t xml:space="preserve">[Schedule 1, </w:t>
      </w:r>
      <w:r w:rsidR="00AB4B0B" w:rsidRPr="00AB4B0B">
        <w:rPr>
          <w:rStyle w:val="Referencingstyle"/>
        </w:rPr>
        <w:t xml:space="preserve">Part 1, item </w:t>
      </w:r>
      <w:r w:rsidR="00066ABC">
        <w:rPr>
          <w:rStyle w:val="Referencingstyle"/>
        </w:rPr>
        <w:t>133</w:t>
      </w:r>
      <w:r w:rsidR="00AB4B0B" w:rsidRPr="00AB4B0B">
        <w:rPr>
          <w:rStyle w:val="Referencingstyle"/>
        </w:rPr>
        <w:t>]</w:t>
      </w:r>
    </w:p>
    <w:p w14:paraId="63EC71FC" w14:textId="77777777" w:rsidR="006E2DFD" w:rsidRDefault="006E2DFD" w:rsidP="006E2DFD">
      <w:pPr>
        <w:pStyle w:val="dotpoint"/>
      </w:pPr>
      <w:r>
        <w:t xml:space="preserve">subsection 307-20(2) has been amended to provide that APRA </w:t>
      </w:r>
      <w:r w:rsidR="00494DB0">
        <w:t>(rather than the Council)</w:t>
      </w:r>
      <w:r>
        <w:t xml:space="preserve"> may waive the whole or part of an amount of late payment penalty in respect of an unpaid amount of risk equalisation levy if APRA considers that there are good reasons for doing so. </w:t>
      </w:r>
      <w:r w:rsidRPr="00AB4B0B">
        <w:rPr>
          <w:rStyle w:val="Referencingstyle"/>
        </w:rPr>
        <w:t>[S</w:t>
      </w:r>
      <w:r w:rsidR="00AB4B0B" w:rsidRPr="00AB4B0B">
        <w:rPr>
          <w:rStyle w:val="Referencingstyle"/>
        </w:rPr>
        <w:t>chedule 1, Part 1, item</w:t>
      </w:r>
      <w:r w:rsidR="00494DB0">
        <w:rPr>
          <w:rStyle w:val="Referencingstyle"/>
        </w:rPr>
        <w:t xml:space="preserve">s </w:t>
      </w:r>
      <w:r w:rsidR="00066ABC">
        <w:rPr>
          <w:rStyle w:val="Referencingstyle"/>
        </w:rPr>
        <w:t>134</w:t>
      </w:r>
      <w:r w:rsidR="00494DB0">
        <w:rPr>
          <w:rStyle w:val="Referencingstyle"/>
        </w:rPr>
        <w:t xml:space="preserve"> and</w:t>
      </w:r>
      <w:r w:rsidR="006D60BA">
        <w:rPr>
          <w:rStyle w:val="Referencingstyle"/>
        </w:rPr>
        <w:t> </w:t>
      </w:r>
      <w:r w:rsidR="00066ABC">
        <w:rPr>
          <w:rStyle w:val="Referencingstyle"/>
        </w:rPr>
        <w:t>135</w:t>
      </w:r>
      <w:r w:rsidR="00AB4B0B" w:rsidRPr="00AB4B0B">
        <w:rPr>
          <w:rStyle w:val="Referencingstyle"/>
        </w:rPr>
        <w:t>]</w:t>
      </w:r>
    </w:p>
    <w:p w14:paraId="00DDAE70" w14:textId="77777777" w:rsidR="006E2DFD" w:rsidRDefault="006E2DFD" w:rsidP="00E93AB0">
      <w:pPr>
        <w:pStyle w:val="Heading6"/>
      </w:pPr>
      <w:r>
        <w:t>Division 310</w:t>
      </w:r>
      <w:r w:rsidR="004149AF">
        <w:t xml:space="preserve"> – </w:t>
      </w:r>
      <w:r w:rsidR="007B2E05">
        <w:t>requirements of private health insurers</w:t>
      </w:r>
    </w:p>
    <w:p w14:paraId="5379A2A7" w14:textId="77777777" w:rsidR="006E2DFD" w:rsidRDefault="006E2DFD" w:rsidP="000F194A">
      <w:pPr>
        <w:pStyle w:val="base-text-paragraph"/>
      </w:pPr>
      <w:r>
        <w:t xml:space="preserve">Division 310 imposes requirements on private health insurers to lodge returns with the Commonwealth for the purposes of certain private health insurance levies, retain records relating to levies and provide documents relevant to whether the insurer is liable to pay a private health insurance levy or the amount of levy payable.  </w:t>
      </w:r>
    </w:p>
    <w:p w14:paraId="7C61C1B3" w14:textId="77777777" w:rsidR="00136B62" w:rsidRDefault="00136B62" w:rsidP="000F194A">
      <w:pPr>
        <w:pStyle w:val="base-text-paragraph"/>
      </w:pPr>
      <w:r w:rsidRPr="00136B62">
        <w:t xml:space="preserve">Section 310-1 of the PHI Act previously required private health insurers to lodge returns </w:t>
      </w:r>
      <w:r w:rsidR="00A95202">
        <w:t>with the Council</w:t>
      </w:r>
      <w:r w:rsidRPr="00136B62">
        <w:t xml:space="preserve"> in respect of the Collapsed Insurer and Council Administration Levies and with the Secretary of the Department of Health in respect of the Complaints Levy. All references to the Council and the Collapsed Insurer and Council Administration Levies have been repealed from Division</w:t>
      </w:r>
      <w:r w:rsidR="00464E54">
        <w:t> </w:t>
      </w:r>
      <w:r w:rsidRPr="00136B62">
        <w:t xml:space="preserve">310, with consequential technical changes made to reflect that the section </w:t>
      </w:r>
      <w:r w:rsidR="00A95202">
        <w:t xml:space="preserve">now </w:t>
      </w:r>
      <w:r w:rsidRPr="00136B62">
        <w:t xml:space="preserve">only applies to the Complaints Levy. </w:t>
      </w:r>
      <w:r w:rsidRPr="00136B62">
        <w:rPr>
          <w:rStyle w:val="Referencingstyle"/>
        </w:rPr>
        <w:t xml:space="preserve">[Schedule 1, Part 1, items </w:t>
      </w:r>
      <w:r w:rsidR="00066ABC">
        <w:rPr>
          <w:rStyle w:val="Referencingstyle"/>
        </w:rPr>
        <w:t>137</w:t>
      </w:r>
      <w:r w:rsidR="00A95202">
        <w:rPr>
          <w:rStyle w:val="Referencingstyle"/>
        </w:rPr>
        <w:t xml:space="preserve"> to </w:t>
      </w:r>
      <w:r w:rsidR="00066ABC">
        <w:rPr>
          <w:rStyle w:val="Referencingstyle"/>
        </w:rPr>
        <w:t>139</w:t>
      </w:r>
      <w:r w:rsidRPr="00136B62">
        <w:rPr>
          <w:rStyle w:val="Referencingstyle"/>
        </w:rPr>
        <w:t>]</w:t>
      </w:r>
      <w:r>
        <w:t xml:space="preserve"> </w:t>
      </w:r>
    </w:p>
    <w:p w14:paraId="4D50DDF2" w14:textId="77777777" w:rsidR="006E2DFD" w:rsidRDefault="006E2DFD" w:rsidP="000F194A">
      <w:pPr>
        <w:pStyle w:val="base-text-paragraph"/>
      </w:pPr>
      <w:r>
        <w:t xml:space="preserve">Section 310-5 of the </w:t>
      </w:r>
      <w:r w:rsidR="00B83F6C">
        <w:t>PHI Act</w:t>
      </w:r>
      <w:r>
        <w:t xml:space="preserve"> imposes requirements on insurers to retain records relevant to whether the insurer is liable to pay a private health insurance levy or the amount of levy payable. Insurers will still be required </w:t>
      </w:r>
      <w:r w:rsidR="00F97C69">
        <w:t>under section 310-5</w:t>
      </w:r>
      <w:r>
        <w:t xml:space="preserve"> to keep records relevant to the remaining private health insurance levies </w:t>
      </w:r>
      <w:r w:rsidR="00F97C69">
        <w:t>remaining under the PHI Act</w:t>
      </w:r>
      <w:r>
        <w:t xml:space="preserve">.  </w:t>
      </w:r>
    </w:p>
    <w:p w14:paraId="325F78BD" w14:textId="77777777" w:rsidR="006E2DFD" w:rsidRDefault="006E2DFD" w:rsidP="000F194A">
      <w:pPr>
        <w:pStyle w:val="base-text-paragraph"/>
      </w:pPr>
      <w:r>
        <w:t xml:space="preserve">Subsection 310-5(2) of the </w:t>
      </w:r>
      <w:r w:rsidR="00B83F6C">
        <w:t>PHI Act</w:t>
      </w:r>
      <w:r>
        <w:t xml:space="preserve"> has been amended to allow the Secretary of the Department of Health, rather than the Council, to approve a form of records</w:t>
      </w:r>
      <w:r w:rsidR="00F97C69">
        <w:t>, other than an electronic form,</w:t>
      </w:r>
      <w:r>
        <w:t xml:space="preserve"> in which documents relevant to the Complaints Levy may be kept and to allow APRA to </w:t>
      </w:r>
      <w:r w:rsidR="00F97C69">
        <w:t xml:space="preserve">do the same in relation to </w:t>
      </w:r>
      <w:r>
        <w:t>documents relevant to the Risk Equalisation Levy.</w:t>
      </w:r>
      <w:r w:rsidDel="001403BD">
        <w:t xml:space="preserve"> </w:t>
      </w:r>
      <w:r w:rsidRPr="00AB4B0B">
        <w:rPr>
          <w:rStyle w:val="Referencingstyle"/>
        </w:rPr>
        <w:t>[Schedule 1, Part 1</w:t>
      </w:r>
      <w:r w:rsidRPr="00136B62">
        <w:rPr>
          <w:rStyle w:val="Referencingstyle"/>
        </w:rPr>
        <w:t xml:space="preserve">, item </w:t>
      </w:r>
      <w:r w:rsidR="00066ABC">
        <w:rPr>
          <w:rStyle w:val="Referencingstyle"/>
        </w:rPr>
        <w:t>140</w:t>
      </w:r>
      <w:r w:rsidRPr="00136B62">
        <w:rPr>
          <w:rStyle w:val="Referencingstyle"/>
        </w:rPr>
        <w:t>]</w:t>
      </w:r>
      <w:r w:rsidRPr="00AB4B0B">
        <w:rPr>
          <w:rStyle w:val="Referencingstyle"/>
        </w:rPr>
        <w:t xml:space="preserve">  </w:t>
      </w:r>
    </w:p>
    <w:p w14:paraId="13A7ACC0" w14:textId="77777777" w:rsidR="00F97C69" w:rsidRPr="00464E54" w:rsidRDefault="006E2DFD" w:rsidP="000F194A">
      <w:pPr>
        <w:pStyle w:val="base-text-paragraph"/>
      </w:pPr>
      <w:r>
        <w:t>S</w:t>
      </w:r>
      <w:r w:rsidR="00F97C69">
        <w:t>ubs</w:t>
      </w:r>
      <w:r>
        <w:t>ection 310</w:t>
      </w:r>
      <w:r w:rsidR="00F97C69">
        <w:t>-10(1)</w:t>
      </w:r>
      <w:r>
        <w:t xml:space="preserve"> of the </w:t>
      </w:r>
      <w:r w:rsidR="00B83F6C">
        <w:t>PHI Act</w:t>
      </w:r>
      <w:r>
        <w:t xml:space="preserve"> previously provided for the Council to request information or records from an insurer if i</w:t>
      </w:r>
      <w:r w:rsidR="00F97C69">
        <w:t>t</w:t>
      </w:r>
      <w:r>
        <w:t xml:space="preserve"> believed that the insurer was capable of giving information relevant to whether the insurer was liable to pay any private health insurance levy (other than the Complaints Levy) or the amount of levy payable. Subsection 310</w:t>
      </w:r>
      <w:r w:rsidR="00F97C69">
        <w:t>-10</w:t>
      </w:r>
      <w:r>
        <w:t xml:space="preserve">(1) of the </w:t>
      </w:r>
      <w:r w:rsidR="00B83F6C">
        <w:t>PHI Act</w:t>
      </w:r>
      <w:r>
        <w:t xml:space="preserve"> has been amended to give APRA the power to ask insurers for information or records relevant to whether the insurer is liable to pay the Risk Equalisation Levy or the amount of that levy the insurer is liable to pay.  </w:t>
      </w:r>
      <w:r w:rsidR="00F97C69" w:rsidRPr="00531073">
        <w:rPr>
          <w:rStyle w:val="Referencingstyle"/>
        </w:rPr>
        <w:t>[Schedule 1, Part 1, item 1</w:t>
      </w:r>
      <w:r w:rsidR="00494CD8">
        <w:rPr>
          <w:rStyle w:val="Referencingstyle"/>
        </w:rPr>
        <w:t>41</w:t>
      </w:r>
      <w:r w:rsidR="00F97C69" w:rsidRPr="00531073">
        <w:rPr>
          <w:rStyle w:val="Referencingstyle"/>
        </w:rPr>
        <w:t xml:space="preserve"> and </w:t>
      </w:r>
      <w:r w:rsidR="00494CD8">
        <w:rPr>
          <w:rStyle w:val="Referencingstyle"/>
        </w:rPr>
        <w:t>142</w:t>
      </w:r>
      <w:r w:rsidR="00F97C69" w:rsidRPr="00531073">
        <w:rPr>
          <w:rStyle w:val="Referencingstyle"/>
        </w:rPr>
        <w:t>]</w:t>
      </w:r>
    </w:p>
    <w:p w14:paraId="229AFD2C" w14:textId="77777777" w:rsidR="00F97C69" w:rsidRPr="00464E54" w:rsidRDefault="00F97C69" w:rsidP="000F194A">
      <w:pPr>
        <w:pStyle w:val="base-text-paragraph"/>
      </w:pPr>
      <w:r>
        <w:t>As was the case</w:t>
      </w:r>
      <w:r w:rsidR="006E2DFD">
        <w:t xml:space="preserve"> for the Council, APRA's belief must be on reasonable grounds. </w:t>
      </w:r>
      <w:r>
        <w:t>The Secretary of the Department of Health has similar powers in relation to the Complaints Levy and these remain unchanged.</w:t>
      </w:r>
    </w:p>
    <w:p w14:paraId="2EEF3609" w14:textId="77777777" w:rsidR="006E2DFD" w:rsidRPr="00464E54" w:rsidRDefault="00F97C69" w:rsidP="000F194A">
      <w:pPr>
        <w:pStyle w:val="base-text-paragraph"/>
        <w:rPr>
          <w:rStyle w:val="Referencingstyle"/>
          <w:b w:val="0"/>
          <w:i w:val="0"/>
          <w:sz w:val="22"/>
        </w:rPr>
      </w:pPr>
      <w:r>
        <w:t xml:space="preserve">APRA does not have power under section 310-10 to ask insurers for documents or records relating to the Collapsed Insurer or Prudential Supervisory Levies. </w:t>
      </w:r>
    </w:p>
    <w:p w14:paraId="29F8C1D3" w14:textId="77777777" w:rsidR="006E2DFD" w:rsidRDefault="006E2DFD" w:rsidP="00E93AB0">
      <w:pPr>
        <w:pStyle w:val="Heading6"/>
      </w:pPr>
      <w:r>
        <w:t>Division 313</w:t>
      </w:r>
      <w:r w:rsidR="004149AF">
        <w:t xml:space="preserve"> – </w:t>
      </w:r>
      <w:r w:rsidR="007B147E">
        <w:t>Power to enter premises and search for documents</w:t>
      </w:r>
      <w:r w:rsidR="004149AF">
        <w:t xml:space="preserve"> </w:t>
      </w:r>
    </w:p>
    <w:p w14:paraId="47308B3A" w14:textId="77777777" w:rsidR="006E2DFD" w:rsidRDefault="006E2DFD" w:rsidP="000F194A">
      <w:pPr>
        <w:pStyle w:val="base-text-paragraph"/>
      </w:pPr>
      <w:r>
        <w:t xml:space="preserve">Division 313 of the </w:t>
      </w:r>
      <w:r w:rsidR="00B83F6C">
        <w:t>PHI Act</w:t>
      </w:r>
      <w:r>
        <w:t xml:space="preserve"> provides powers to enter premises, either with the consent of the occupier or under a warrant issued by a magistrate, to search for documents containing information relevant to whether an insurer is liable to pay a private health insurance levy or the amount of levy that</w:t>
      </w:r>
      <w:r w:rsidR="00267EBD">
        <w:t xml:space="preserve"> the insurer is liable to pay. </w:t>
      </w:r>
      <w:r>
        <w:t>Formerly, either a member of the staff of the Council or a person authorised in writing by the Health</w:t>
      </w:r>
      <w:r w:rsidR="007021C7">
        <w:t xml:space="preserve"> Minister</w:t>
      </w:r>
      <w:r>
        <w:t xml:space="preserve"> could exercise powers under the Division.  </w:t>
      </w:r>
    </w:p>
    <w:p w14:paraId="2C5A062A" w14:textId="77777777" w:rsidR="007B147E" w:rsidRDefault="007B147E" w:rsidP="000F194A">
      <w:pPr>
        <w:pStyle w:val="base-text-paragraph"/>
      </w:pPr>
      <w:r>
        <w:t xml:space="preserve">The only levy-related documents that may be searched for now under Division 313 are documents relevant to liability to pay the Complaints Levy or the amount of Complaints levy for which an insurer may be liable. </w:t>
      </w:r>
    </w:p>
    <w:p w14:paraId="14AB47C9" w14:textId="77777777" w:rsidR="00F97C69" w:rsidRPr="00464E54" w:rsidRDefault="00F97C69" w:rsidP="000F194A">
      <w:pPr>
        <w:pStyle w:val="base-text-paragraph"/>
        <w:rPr>
          <w:rStyle w:val="Referencingstyle"/>
          <w:b w:val="0"/>
          <w:i w:val="0"/>
          <w:sz w:val="22"/>
        </w:rPr>
      </w:pPr>
      <w:r>
        <w:t>All references to the Council have been repealed from Division 313 and APRA will not exerc</w:t>
      </w:r>
      <w:r w:rsidR="00267EBD">
        <w:t xml:space="preserve">ise powers under Division 313. </w:t>
      </w:r>
      <w:r>
        <w:t xml:space="preserve">Subsection 313-1(1) has been amended to reflect that only persons authorised in writing by the Health </w:t>
      </w:r>
      <w:r w:rsidR="007021C7">
        <w:t xml:space="preserve">Minister </w:t>
      </w:r>
      <w:r>
        <w:t xml:space="preserve">may now enter premises for the purposes of the Division, either with consent or a pursuant to a warrant.  </w:t>
      </w:r>
      <w:r w:rsidRPr="00531073">
        <w:rPr>
          <w:rStyle w:val="Referencingstyle"/>
        </w:rPr>
        <w:t xml:space="preserve">[Schedule 1, Part 1, item </w:t>
      </w:r>
      <w:r w:rsidR="00494CD8">
        <w:rPr>
          <w:rStyle w:val="Referencingstyle"/>
        </w:rPr>
        <w:t>144</w:t>
      </w:r>
      <w:r w:rsidRPr="00531073">
        <w:rPr>
          <w:rStyle w:val="Referencingstyle"/>
        </w:rPr>
        <w:t>]</w:t>
      </w:r>
      <w:r w:rsidRPr="00464E54">
        <w:rPr>
          <w:rStyle w:val="Referencingstyle"/>
          <w:b w:val="0"/>
          <w:i w:val="0"/>
          <w:sz w:val="22"/>
        </w:rPr>
        <w:t xml:space="preserve">  </w:t>
      </w:r>
    </w:p>
    <w:p w14:paraId="09EDAB49" w14:textId="77777777" w:rsidR="00F97C69" w:rsidRPr="00464E54" w:rsidRDefault="00F97C69" w:rsidP="000F194A">
      <w:pPr>
        <w:pStyle w:val="base-text-paragraph"/>
        <w:rPr>
          <w:rStyle w:val="Referencingstyle"/>
          <w:b w:val="0"/>
          <w:i w:val="0"/>
          <w:sz w:val="22"/>
        </w:rPr>
      </w:pPr>
      <w:r>
        <w:t>Additionally, subsection 313-1(2) has been amended with the effect that the only documents that may be searched for under Division</w:t>
      </w:r>
      <w:r w:rsidR="00921FF9">
        <w:t> </w:t>
      </w:r>
      <w:r>
        <w:t xml:space="preserve">313 are documents relevant to liability to pay the Complaints Levy or the amount of Complaints Levy for which an insurer may be liable. </w:t>
      </w:r>
      <w:r w:rsidRPr="00531073">
        <w:rPr>
          <w:rStyle w:val="Referencingstyle"/>
        </w:rPr>
        <w:t>[Schedule</w:t>
      </w:r>
      <w:r w:rsidR="007021C7">
        <w:rPr>
          <w:rStyle w:val="Referencingstyle"/>
        </w:rPr>
        <w:t> </w:t>
      </w:r>
      <w:r w:rsidRPr="00531073">
        <w:rPr>
          <w:rStyle w:val="Referencingstyle"/>
        </w:rPr>
        <w:t xml:space="preserve">1, Part 1, item </w:t>
      </w:r>
      <w:r w:rsidR="00494CD8">
        <w:rPr>
          <w:rStyle w:val="Referencingstyle"/>
        </w:rPr>
        <w:t>145</w:t>
      </w:r>
      <w:r w:rsidRPr="00531073">
        <w:rPr>
          <w:rStyle w:val="Referencingstyle"/>
        </w:rPr>
        <w:t>]</w:t>
      </w:r>
    </w:p>
    <w:p w14:paraId="7DD0CB02" w14:textId="77777777" w:rsidR="00F97C69" w:rsidRPr="00531073" w:rsidRDefault="00F97C69" w:rsidP="000F194A">
      <w:pPr>
        <w:pStyle w:val="base-text-paragraph"/>
        <w:rPr>
          <w:rStyle w:val="Referencingstyle"/>
          <w:b w:val="0"/>
          <w:i w:val="0"/>
          <w:sz w:val="22"/>
        </w:rPr>
      </w:pPr>
      <w:r>
        <w:t xml:space="preserve">A consequential amendment to the heading to the section reflecting this has been made.  </w:t>
      </w:r>
      <w:r w:rsidRPr="00531073">
        <w:rPr>
          <w:rStyle w:val="Referencingstyle"/>
        </w:rPr>
        <w:t>[Schedule 1, Part 1, item</w:t>
      </w:r>
      <w:r w:rsidR="007021C7">
        <w:rPr>
          <w:rStyle w:val="Referencingstyle"/>
        </w:rPr>
        <w:t xml:space="preserve"> </w:t>
      </w:r>
      <w:r w:rsidR="00494CD8">
        <w:rPr>
          <w:rStyle w:val="Referencingstyle"/>
        </w:rPr>
        <w:t>143</w:t>
      </w:r>
      <w:r w:rsidRPr="00531073">
        <w:rPr>
          <w:rStyle w:val="Referencingstyle"/>
        </w:rPr>
        <w:t>]</w:t>
      </w:r>
    </w:p>
    <w:p w14:paraId="4E091478" w14:textId="77777777" w:rsidR="00F97C69" w:rsidRPr="00464E54" w:rsidRDefault="00F97C69" w:rsidP="000F194A">
      <w:pPr>
        <w:pStyle w:val="base-text-paragraph"/>
        <w:rPr>
          <w:rStyle w:val="Referencingstyle"/>
          <w:b w:val="0"/>
          <w:i w:val="0"/>
          <w:sz w:val="22"/>
        </w:rPr>
      </w:pPr>
      <w:r>
        <w:t xml:space="preserve">The Secretary of the Department of Health has taken over responsibility for issuing identity cards to authorised officers under section 313-20, formerly the responsibility of </w:t>
      </w:r>
      <w:r w:rsidR="007021C7">
        <w:t>the Council</w:t>
      </w:r>
      <w:r>
        <w:t xml:space="preserve">.  </w:t>
      </w:r>
      <w:r w:rsidRPr="00531073">
        <w:rPr>
          <w:rStyle w:val="Referencingstyle"/>
        </w:rPr>
        <w:t>[Schedule</w:t>
      </w:r>
      <w:r w:rsidR="00464E54">
        <w:rPr>
          <w:rStyle w:val="Referencingstyle"/>
        </w:rPr>
        <w:t> </w:t>
      </w:r>
      <w:r w:rsidRPr="00531073">
        <w:rPr>
          <w:rStyle w:val="Referencingstyle"/>
        </w:rPr>
        <w:t>1, Part</w:t>
      </w:r>
      <w:r w:rsidR="007021C7">
        <w:rPr>
          <w:rStyle w:val="Referencingstyle"/>
        </w:rPr>
        <w:t> </w:t>
      </w:r>
      <w:r w:rsidRPr="00531073">
        <w:rPr>
          <w:rStyle w:val="Referencingstyle"/>
        </w:rPr>
        <w:t xml:space="preserve">1, item </w:t>
      </w:r>
      <w:r w:rsidR="00494CD8">
        <w:rPr>
          <w:rStyle w:val="Referencingstyle"/>
        </w:rPr>
        <w:t>146</w:t>
      </w:r>
      <w:r w:rsidRPr="00531073">
        <w:rPr>
          <w:rStyle w:val="Referencingstyle"/>
        </w:rPr>
        <w:t>]</w:t>
      </w:r>
    </w:p>
    <w:p w14:paraId="4D632C77" w14:textId="77777777" w:rsidR="006E2DFD" w:rsidRDefault="006E2DFD" w:rsidP="00E93AB0">
      <w:pPr>
        <w:pStyle w:val="Heading6"/>
      </w:pPr>
      <w:r>
        <w:t xml:space="preserve">Part 6-7 </w:t>
      </w:r>
      <w:r w:rsidR="004149AF">
        <w:t xml:space="preserve">– </w:t>
      </w:r>
      <w:r>
        <w:t>Privat</w:t>
      </w:r>
      <w:r w:rsidR="004149AF">
        <w:t xml:space="preserve">e </w:t>
      </w:r>
      <w:r>
        <w:t>Health Insurance Risk Equalisation Special Account</w:t>
      </w:r>
    </w:p>
    <w:p w14:paraId="70ADA825" w14:textId="77777777" w:rsidR="006E2DFD" w:rsidRDefault="006E2DFD" w:rsidP="000F194A">
      <w:pPr>
        <w:pStyle w:val="base-text-paragraph"/>
      </w:pPr>
      <w:r>
        <w:t xml:space="preserve">Part 6-7 of the </w:t>
      </w:r>
      <w:r w:rsidR="00B83F6C">
        <w:t>PHI Act</w:t>
      </w:r>
      <w:r>
        <w:t xml:space="preserve"> deals with the Private Health Insurance Risk Equalisation Special Account, </w:t>
      </w:r>
      <w:r w:rsidR="004110B7">
        <w:t>the replacement for the</w:t>
      </w:r>
      <w:r>
        <w:t xml:space="preserve"> Private Health Insurance Risk Equalisation Trust Fund.  The Health</w:t>
      </w:r>
      <w:r w:rsidR="007021C7">
        <w:t xml:space="preserve"> Minister</w:t>
      </w:r>
      <w:r>
        <w:t xml:space="preserve"> will retain overall policy responsibility for the </w:t>
      </w:r>
      <w:r w:rsidR="00181060">
        <w:t xml:space="preserve">Special </w:t>
      </w:r>
      <w:r>
        <w:t>Account</w:t>
      </w:r>
      <w:r w:rsidR="004110B7">
        <w:t>,</w:t>
      </w:r>
      <w:r>
        <w:t xml:space="preserve"> </w:t>
      </w:r>
      <w:r w:rsidR="004110B7">
        <w:t xml:space="preserve">with </w:t>
      </w:r>
      <w:r>
        <w:t xml:space="preserve">APRA </w:t>
      </w:r>
      <w:r w:rsidR="004110B7">
        <w:t>having a similar role</w:t>
      </w:r>
      <w:r>
        <w:t xml:space="preserve"> administering the Account</w:t>
      </w:r>
      <w:r w:rsidR="004110B7">
        <w:t xml:space="preserve"> as the Council had administrating the Risk Equalisation Trust Fund.</w:t>
      </w:r>
      <w:r>
        <w:t xml:space="preserve"> </w:t>
      </w:r>
    </w:p>
    <w:p w14:paraId="51188841" w14:textId="77777777" w:rsidR="004110B7" w:rsidRDefault="004110B7" w:rsidP="000F194A">
      <w:pPr>
        <w:pStyle w:val="base-text-paragraph"/>
      </w:pPr>
      <w:r w:rsidRPr="004D0A81">
        <w:t xml:space="preserve">A </w:t>
      </w:r>
      <w:r w:rsidR="00921FF9">
        <w:t>S</w:t>
      </w:r>
      <w:r w:rsidRPr="004D0A81">
        <w:t xml:space="preserve">pecial </w:t>
      </w:r>
      <w:r w:rsidR="00921FF9">
        <w:t>A</w:t>
      </w:r>
      <w:r w:rsidRPr="004D0A81">
        <w:t>ccount is an appropriation mechanism that notionally sets aside amounts within the Consolidated Revenue Fund for exp</w:t>
      </w:r>
      <w:r w:rsidR="00181060">
        <w:t xml:space="preserve">enditure on specific purposes. </w:t>
      </w:r>
      <w:r>
        <w:t xml:space="preserve">The conversion of the Risk Equalisation Trust Fund into a </w:t>
      </w:r>
      <w:r w:rsidR="00921FF9">
        <w:t>S</w:t>
      </w:r>
      <w:r>
        <w:t xml:space="preserve">pecial </w:t>
      </w:r>
      <w:r w:rsidR="00921FF9">
        <w:t>A</w:t>
      </w:r>
      <w:r>
        <w:t xml:space="preserve">ccount is required because of the different financial arrangements of APRA and the Council.  </w:t>
      </w:r>
    </w:p>
    <w:p w14:paraId="35300659" w14:textId="77777777" w:rsidR="004110B7" w:rsidRDefault="004110B7" w:rsidP="000F194A">
      <w:pPr>
        <w:pStyle w:val="base-text-paragraph"/>
      </w:pPr>
      <w:r>
        <w:t>The Council was legally separate to the Commonwealth and could hold money, including the Trust Fund, on its own behalf and separately from</w:t>
      </w:r>
      <w:r w:rsidR="00181060">
        <w:t xml:space="preserve"> the Consolidated Revenue Fund.</w:t>
      </w:r>
      <w:r>
        <w:t xml:space="preserve"> While APRA is a body corporate legally separate to the Commonwealth, under its establishing legislation it holds all money on behalf of the Commonwealth.  </w:t>
      </w:r>
    </w:p>
    <w:p w14:paraId="0E704AEB" w14:textId="77777777" w:rsidR="006E2DFD" w:rsidRDefault="006E2DFD" w:rsidP="000F194A">
      <w:pPr>
        <w:pStyle w:val="base-text-paragraph"/>
      </w:pPr>
      <w:r>
        <w:t xml:space="preserve">A new Part 6-7 of the </w:t>
      </w:r>
      <w:r w:rsidR="00B83F6C">
        <w:t>PHI Act</w:t>
      </w:r>
      <w:r>
        <w:t xml:space="preserve"> has been substituted to effect the conversion.  </w:t>
      </w:r>
      <w:r w:rsidRPr="000711A1">
        <w:rPr>
          <w:rStyle w:val="Referencingstyle"/>
        </w:rPr>
        <w:t>[</w:t>
      </w:r>
      <w:r w:rsidR="000711A1" w:rsidRPr="000711A1">
        <w:rPr>
          <w:rStyle w:val="Referencingstyle"/>
        </w:rPr>
        <w:t xml:space="preserve">Schedule 1, Part 1, item </w:t>
      </w:r>
      <w:r w:rsidR="00494CD8">
        <w:rPr>
          <w:rStyle w:val="Referencingstyle"/>
        </w:rPr>
        <w:t>147</w:t>
      </w:r>
      <w:r w:rsidR="000711A1" w:rsidRPr="000711A1">
        <w:rPr>
          <w:rStyle w:val="Referencingstyle"/>
        </w:rPr>
        <w:t>]</w:t>
      </w:r>
    </w:p>
    <w:p w14:paraId="04F6D0E6" w14:textId="77777777" w:rsidR="006E2DFD" w:rsidRDefault="006E2DFD" w:rsidP="000F194A">
      <w:pPr>
        <w:pStyle w:val="base-text-paragraph"/>
      </w:pPr>
      <w:r>
        <w:t xml:space="preserve">Section 318-1 of the </w:t>
      </w:r>
      <w:r w:rsidR="00B83F6C">
        <w:t>PHI Act</w:t>
      </w:r>
      <w:r>
        <w:t xml:space="preserve"> establishes the Private Health Insurance Risk Equalisation Special Account Fund and declares it to be a special account for the purposes of the </w:t>
      </w:r>
      <w:r w:rsidRPr="007B147E">
        <w:rPr>
          <w:i/>
        </w:rPr>
        <w:t>Public Governance, Performance and Accountability Act 2013</w:t>
      </w:r>
      <w:r w:rsidR="000711A1">
        <w:t>.</w:t>
      </w:r>
      <w:r>
        <w:t xml:space="preserve">  </w:t>
      </w:r>
    </w:p>
    <w:p w14:paraId="0BB8AB86" w14:textId="77777777" w:rsidR="006E2DFD" w:rsidRDefault="006E2DFD" w:rsidP="000F194A">
      <w:pPr>
        <w:pStyle w:val="base-text-paragraph"/>
      </w:pPr>
      <w:r>
        <w:t xml:space="preserve">The conversion of the Risk Equalisation Trust Fund into the Risk Equalisation Special Account is not intended to result in any practical changes for insurers.  The same </w:t>
      </w:r>
      <w:r w:rsidR="004110B7">
        <w:t>kinds of</w:t>
      </w:r>
      <w:r>
        <w:t xml:space="preserve"> amounts will be payable into the Special Account under section 318-5 of the </w:t>
      </w:r>
      <w:r w:rsidR="00B83F6C">
        <w:t>PHI Act</w:t>
      </w:r>
      <w:r>
        <w:t xml:space="preserve"> as were payable into the Risk Equalisation Trust Fund, specifically:</w:t>
      </w:r>
    </w:p>
    <w:p w14:paraId="4698EE59" w14:textId="77777777" w:rsidR="006E2DFD" w:rsidRDefault="006E2DFD" w:rsidP="003C5C88">
      <w:pPr>
        <w:pStyle w:val="dotpoint"/>
      </w:pPr>
      <w:r>
        <w:t>amo</w:t>
      </w:r>
      <w:r w:rsidR="007B147E">
        <w:t xml:space="preserve">unts received by APRA by way of </w:t>
      </w:r>
      <w:r>
        <w:t>Risk Equalisation Levy and late payment penalty in respect of that levy (</w:t>
      </w:r>
      <w:r w:rsidR="00031DD7">
        <w:t>sub</w:t>
      </w:r>
      <w:r>
        <w:t>paragraph 318-5(a)</w:t>
      </w:r>
      <w:r w:rsidR="00031DD7">
        <w:t>(i) and (ii</w:t>
      </w:r>
      <w:r>
        <w:t>))</w:t>
      </w:r>
      <w:r w:rsidR="000711A1">
        <w:t>;</w:t>
      </w:r>
    </w:p>
    <w:p w14:paraId="73FCAEC9" w14:textId="77777777" w:rsidR="006E2DFD" w:rsidRDefault="006E2DFD" w:rsidP="006E2DFD">
      <w:pPr>
        <w:pStyle w:val="dotpoint"/>
      </w:pPr>
      <w:r>
        <w:t xml:space="preserve">amounts paid to APRA under paragraph 45(b) of the </w:t>
      </w:r>
      <w:r w:rsidR="00E9202F">
        <w:t>Prudential Supervision Bill</w:t>
      </w:r>
      <w:r>
        <w:t xml:space="preserve"> by a non-profit insurer where the insurer has assets left in its health benefits funds at the completion of a termination of those funds (</w:t>
      </w:r>
      <w:r w:rsidR="00031DD7">
        <w:t>sub</w:t>
      </w:r>
      <w:r w:rsidR="00181060">
        <w:t>paragraph </w:t>
      </w:r>
      <w:r>
        <w:t>318-5(b)</w:t>
      </w:r>
      <w:r w:rsidR="00031DD7">
        <w:t>(i))</w:t>
      </w:r>
      <w:r w:rsidR="000711A1">
        <w:t>;</w:t>
      </w:r>
      <w:r>
        <w:t xml:space="preserve"> </w:t>
      </w:r>
    </w:p>
    <w:p w14:paraId="3FCA48C9" w14:textId="77777777" w:rsidR="00031DD7" w:rsidRDefault="006E2DFD" w:rsidP="006E2DFD">
      <w:pPr>
        <w:pStyle w:val="dotpoint"/>
      </w:pPr>
      <w:r>
        <w:t xml:space="preserve">amounts paid to APRA under section 46 of the </w:t>
      </w:r>
      <w:r w:rsidR="00E9202F">
        <w:t>Prudential Supervision Bill</w:t>
      </w:r>
      <w:r>
        <w:t xml:space="preserve"> by the officers of an insurer where the insurer contravenes that </w:t>
      </w:r>
      <w:r w:rsidR="004D2CF7">
        <w:t xml:space="preserve">Bill </w:t>
      </w:r>
      <w:r>
        <w:t>in relation to the conduct of a health benefits fund, the contravention resulted in a loss to the fund and the fund has been terminated (</w:t>
      </w:r>
      <w:r w:rsidR="00031DD7">
        <w:t>sub</w:t>
      </w:r>
      <w:r w:rsidR="00181060">
        <w:t>paragraph </w:t>
      </w:r>
      <w:r>
        <w:t>318-5(b)</w:t>
      </w:r>
      <w:r w:rsidR="00031DD7">
        <w:t>(i)</w:t>
      </w:r>
      <w:r>
        <w:t>)</w:t>
      </w:r>
      <w:r w:rsidR="000711A1">
        <w:t>;</w:t>
      </w:r>
      <w:r w:rsidR="007B147E">
        <w:t xml:space="preserve"> </w:t>
      </w:r>
    </w:p>
    <w:p w14:paraId="4E5712EC" w14:textId="77777777" w:rsidR="006E2DFD" w:rsidRDefault="006E26B9" w:rsidP="006E2DFD">
      <w:pPr>
        <w:pStyle w:val="dotpoint"/>
      </w:pPr>
      <w:r>
        <w:t>re</w:t>
      </w:r>
      <w:r w:rsidR="00031DD7">
        <w:t>payments of collapsed insurer assistance payments (within the meaning of section 54</w:t>
      </w:r>
      <w:r w:rsidR="00181060">
        <w:t>H of the APRA Act (subparagraph </w:t>
      </w:r>
      <w:r w:rsidR="00031DD7">
        <w:t>318-5(b)(ii</w:t>
      </w:r>
      <w:r w:rsidR="006E2DFD">
        <w:t>))</w:t>
      </w:r>
      <w:r w:rsidR="000711A1">
        <w:t>;</w:t>
      </w:r>
      <w:r w:rsidR="007B147E">
        <w:t xml:space="preserve"> and</w:t>
      </w:r>
    </w:p>
    <w:p w14:paraId="7D7DC1A5" w14:textId="77777777" w:rsidR="00031DD7" w:rsidRDefault="006E2DFD" w:rsidP="00C872F8">
      <w:pPr>
        <w:pStyle w:val="dotpoint"/>
      </w:pPr>
      <w:r>
        <w:t xml:space="preserve">amounts </w:t>
      </w:r>
      <w:r w:rsidR="007B147E">
        <w:t>paid to the Commonwealth or APRA, by a State or Territory</w:t>
      </w:r>
      <w:r w:rsidR="00031DD7">
        <w:t>, for crediting to the Risk Equalisation Special Account</w:t>
      </w:r>
      <w:r w:rsidR="007B147E">
        <w:t xml:space="preserve"> </w:t>
      </w:r>
      <w:r>
        <w:t>(paragraph 318-5(c))</w:t>
      </w:r>
      <w:r w:rsidR="007B147E">
        <w:t>.</w:t>
      </w:r>
      <w:r w:rsidR="00031DD7">
        <w:t xml:space="preserve"> Note that the full amount of all risk equalisation levy payments, and related late payment penalty, is to be credited to the </w:t>
      </w:r>
      <w:r w:rsidR="00181060">
        <w:t xml:space="preserve">Special </w:t>
      </w:r>
      <w:r w:rsidR="00031DD7">
        <w:t>Account and is based on paragraph 318-5(1)(b) of the PHI Act.</w:t>
      </w:r>
      <w:r w:rsidR="006E26B9">
        <w:t xml:space="preserve"> </w:t>
      </w:r>
      <w:r w:rsidR="006E26B9">
        <w:rPr>
          <w:rStyle w:val="Referencingstyle"/>
        </w:rPr>
        <w:t>[Schedule 1, Part 1, item </w:t>
      </w:r>
      <w:r w:rsidR="00494CD8">
        <w:rPr>
          <w:rStyle w:val="Referencingstyle"/>
        </w:rPr>
        <w:t>147</w:t>
      </w:r>
      <w:r w:rsidR="006E26B9" w:rsidRPr="00E464DC">
        <w:rPr>
          <w:rStyle w:val="Referencingstyle"/>
        </w:rPr>
        <w:t>]</w:t>
      </w:r>
      <w:r w:rsidR="006E26B9">
        <w:t xml:space="preserve">  </w:t>
      </w:r>
    </w:p>
    <w:p w14:paraId="5C7AD5F2" w14:textId="77777777" w:rsidR="00031DD7" w:rsidRPr="00812182" w:rsidRDefault="00181060" w:rsidP="000F194A">
      <w:pPr>
        <w:pStyle w:val="base-text-paragraph"/>
      </w:pPr>
      <w:r>
        <w:t>A n</w:t>
      </w:r>
      <w:r w:rsidR="00031DD7" w:rsidRPr="00812182">
        <w:t xml:space="preserve">ote to section 318-5 provides that an Appropriation Act may contain a provision to the effect that, if any of the purposes of a </w:t>
      </w:r>
      <w:r w:rsidR="006E26B9">
        <w:t>S</w:t>
      </w:r>
      <w:r w:rsidR="00031DD7" w:rsidRPr="00812182">
        <w:t xml:space="preserve">pecial </w:t>
      </w:r>
      <w:r w:rsidR="006E26B9">
        <w:t>A</w:t>
      </w:r>
      <w:r w:rsidR="00031DD7" w:rsidRPr="00812182">
        <w:t xml:space="preserve">ccount is a purpose covered by an item in the Act, then amounts may be debited against the appropriation for that item and credited to the </w:t>
      </w:r>
      <w:r w:rsidR="006E26B9">
        <w:t>S</w:t>
      </w:r>
      <w:r w:rsidR="00031DD7" w:rsidRPr="00812182">
        <w:t xml:space="preserve">pecial </w:t>
      </w:r>
      <w:r w:rsidR="006E26B9">
        <w:t>A</w:t>
      </w:r>
      <w:r w:rsidR="00031DD7" w:rsidRPr="00812182">
        <w:t>ccount.</w:t>
      </w:r>
    </w:p>
    <w:p w14:paraId="6F6E7A41" w14:textId="77777777" w:rsidR="00812182" w:rsidRDefault="006E2DFD" w:rsidP="000F194A">
      <w:pPr>
        <w:pStyle w:val="base-text-paragraph"/>
      </w:pPr>
      <w:r>
        <w:t>Subsection 318-10(1) provides that the purpose of the Risk Equalisation Special Account is for APRA to make payments to insurers in accordance with the Private Health Insurance (Risk Equalisation Policy) Rules</w:t>
      </w:r>
      <w:r w:rsidR="00812182">
        <w:t xml:space="preserve"> to meet the expenses of administering the Account.</w:t>
      </w:r>
      <w:r w:rsidR="00812182" w:rsidRPr="00812182">
        <w:t xml:space="preserve"> </w:t>
      </w:r>
      <w:r w:rsidR="00812182">
        <w:t xml:space="preserve">A statement on the purposes of a </w:t>
      </w:r>
      <w:r w:rsidR="006E26B9">
        <w:t>S</w:t>
      </w:r>
      <w:r w:rsidR="00812182">
        <w:t xml:space="preserve">pecial </w:t>
      </w:r>
      <w:r w:rsidR="006E26B9">
        <w:t>A</w:t>
      </w:r>
      <w:r w:rsidR="00812182">
        <w:t xml:space="preserve">ccount is standard when establishing a statutory </w:t>
      </w:r>
      <w:r w:rsidR="006E26B9">
        <w:t>S</w:t>
      </w:r>
      <w:r w:rsidR="00812182">
        <w:t xml:space="preserve">pecial </w:t>
      </w:r>
      <w:r w:rsidR="006E26B9">
        <w:t>A</w:t>
      </w:r>
      <w:r w:rsidR="00812182">
        <w:t xml:space="preserve">ccount.  </w:t>
      </w:r>
    </w:p>
    <w:p w14:paraId="7C550B8B" w14:textId="77777777" w:rsidR="006E2DFD" w:rsidRDefault="006E2DFD" w:rsidP="000F194A">
      <w:pPr>
        <w:pStyle w:val="base-text-paragraph"/>
      </w:pPr>
      <w:r>
        <w:t xml:space="preserve">Subsection 318-10(2) provides that the </w:t>
      </w:r>
      <w:r w:rsidR="00812182">
        <w:t>Private Health Insurance (Risk Equalisation Policy)</w:t>
      </w:r>
      <w:r>
        <w:t xml:space="preserve"> Rules, which will continue to be made by the Health</w:t>
      </w:r>
      <w:r w:rsidR="00B2761E">
        <w:t xml:space="preserve"> Minister</w:t>
      </w:r>
      <w:r>
        <w:t xml:space="preserve">, must specify: </w:t>
      </w:r>
    </w:p>
    <w:p w14:paraId="65A8BE1E" w14:textId="77777777" w:rsidR="006E2DFD" w:rsidRDefault="006E2DFD" w:rsidP="003C5C88">
      <w:pPr>
        <w:pStyle w:val="dotpoint"/>
      </w:pPr>
      <w:r>
        <w:t xml:space="preserve">the circumstances in which </w:t>
      </w:r>
      <w:r w:rsidR="00812182">
        <w:t xml:space="preserve">funds can be debited from the Account for payment to </w:t>
      </w:r>
      <w:r>
        <w:t>private health insurers; and</w:t>
      </w:r>
    </w:p>
    <w:p w14:paraId="15927106" w14:textId="77777777" w:rsidR="006E2DFD" w:rsidRDefault="006E2DFD" w:rsidP="003C5C88">
      <w:pPr>
        <w:pStyle w:val="dotpoint"/>
      </w:pPr>
      <w:r>
        <w:t xml:space="preserve">the methods for working out the amount to be </w:t>
      </w:r>
      <w:r w:rsidR="00812182">
        <w:t>debited from</w:t>
      </w:r>
      <w:r>
        <w:t xml:space="preserve"> the Account to a private health insurer and the amount of Risk Equalisation Levy that an insurer is liable to pay.</w:t>
      </w:r>
      <w:r w:rsidR="006E26B9" w:rsidRPr="006E26B9">
        <w:rPr>
          <w:rStyle w:val="Referencingstyle"/>
        </w:rPr>
        <w:t xml:space="preserve"> </w:t>
      </w:r>
      <w:r w:rsidR="006E26B9" w:rsidRPr="00E464DC">
        <w:rPr>
          <w:rStyle w:val="Referencingstyle"/>
        </w:rPr>
        <w:t xml:space="preserve">[Schedule 1, Part 1, item </w:t>
      </w:r>
      <w:r w:rsidR="00494CD8">
        <w:rPr>
          <w:rStyle w:val="Referencingstyle"/>
        </w:rPr>
        <w:t>147</w:t>
      </w:r>
      <w:r w:rsidR="006E26B9" w:rsidRPr="00E464DC">
        <w:rPr>
          <w:rStyle w:val="Referencingstyle"/>
        </w:rPr>
        <w:t>]</w:t>
      </w:r>
      <w:r w:rsidR="006E26B9">
        <w:t xml:space="preserve">  </w:t>
      </w:r>
    </w:p>
    <w:p w14:paraId="2E06AAC7" w14:textId="77777777" w:rsidR="006E2DFD" w:rsidRDefault="006E2DFD" w:rsidP="000F194A">
      <w:pPr>
        <w:pStyle w:val="base-text-paragraph"/>
      </w:pPr>
      <w:r>
        <w:t xml:space="preserve">Subsection 318-10(3) requires the </w:t>
      </w:r>
      <w:r w:rsidR="00B2761E">
        <w:t>Health Minister</w:t>
      </w:r>
      <w:r>
        <w:t xml:space="preserve"> to </w:t>
      </w:r>
      <w:r w:rsidR="00812182">
        <w:t>consult with</w:t>
      </w:r>
      <w:r w:rsidR="002A7172">
        <w:t xml:space="preserve"> </w:t>
      </w:r>
      <w:r>
        <w:t xml:space="preserve">APRA </w:t>
      </w:r>
      <w:r w:rsidR="00812182">
        <w:t>before making</w:t>
      </w:r>
      <w:r>
        <w:t xml:space="preserve"> changes to the Private Health Insurance (Risk Equalisation Policy) Rules</w:t>
      </w:r>
      <w:r w:rsidR="00812182">
        <w:t>, noting that a failure to consult APRA does no</w:t>
      </w:r>
      <w:r w:rsidR="00181060">
        <w:t>t affect the validity of those r</w:t>
      </w:r>
      <w:r w:rsidR="00812182">
        <w:t xml:space="preserve">ules.  </w:t>
      </w:r>
      <w:r w:rsidR="00812182" w:rsidRPr="00E464DC">
        <w:rPr>
          <w:rStyle w:val="Referencingstyle"/>
        </w:rPr>
        <w:t xml:space="preserve">[Schedule 1, Part 1, item </w:t>
      </w:r>
      <w:r w:rsidR="00494CD8">
        <w:rPr>
          <w:rStyle w:val="Referencingstyle"/>
        </w:rPr>
        <w:t>147</w:t>
      </w:r>
      <w:r w:rsidR="00812182" w:rsidRPr="00E464DC">
        <w:rPr>
          <w:rStyle w:val="Referencingstyle"/>
        </w:rPr>
        <w:t>]</w:t>
      </w:r>
      <w:r>
        <w:t xml:space="preserve">  </w:t>
      </w:r>
    </w:p>
    <w:p w14:paraId="50D26597" w14:textId="77777777" w:rsidR="00812182" w:rsidRDefault="006E2DFD" w:rsidP="000F194A">
      <w:pPr>
        <w:pStyle w:val="base-text-paragraph"/>
      </w:pPr>
      <w:r>
        <w:t xml:space="preserve">Section 318-15 provides for the Private Health Insurance (Risk Equalisation Administration) Rules to be made setting out requirements </w:t>
      </w:r>
      <w:r w:rsidR="00812182">
        <w:t xml:space="preserve">for insurers that are liable to Risk Equalisation Levy to keep particular kinds of records, and also requirements about how records are to be kept. </w:t>
      </w:r>
    </w:p>
    <w:p w14:paraId="32902EC5" w14:textId="77777777" w:rsidR="00812182" w:rsidRPr="0004397B" w:rsidRDefault="00812182" w:rsidP="000F194A">
      <w:pPr>
        <w:pStyle w:val="base-text-paragraph"/>
      </w:pPr>
      <w:r w:rsidRPr="00C85607">
        <w:t>Requirements for provision of information to APRA will instead be dealt with by standards to be made under the FS</w:t>
      </w:r>
      <w:r>
        <w:t>(</w:t>
      </w:r>
      <w:r w:rsidRPr="00C85607">
        <w:t>C</w:t>
      </w:r>
      <w:r>
        <w:t>o</w:t>
      </w:r>
      <w:r w:rsidRPr="00C85607">
        <w:t>D</w:t>
      </w:r>
      <w:r>
        <w:t>)</w:t>
      </w:r>
      <w:r w:rsidR="00464E54">
        <w:t> </w:t>
      </w:r>
      <w:r w:rsidRPr="00C85607">
        <w:t>Act.</w:t>
      </w:r>
    </w:p>
    <w:p w14:paraId="605EF808" w14:textId="77777777" w:rsidR="006E2DFD" w:rsidRDefault="006E2DFD" w:rsidP="00E93AB0">
      <w:pPr>
        <w:pStyle w:val="Heading6"/>
      </w:pPr>
      <w:r>
        <w:t xml:space="preserve">Part 6-8 </w:t>
      </w:r>
      <w:r w:rsidR="004149AF">
        <w:t>–</w:t>
      </w:r>
      <w:r>
        <w:t xml:space="preserve"> disclosur</w:t>
      </w:r>
      <w:r w:rsidR="004149AF">
        <w:t>e</w:t>
      </w:r>
      <w:r>
        <w:t xml:space="preserve"> of information</w:t>
      </w:r>
    </w:p>
    <w:p w14:paraId="365E3B26" w14:textId="77777777" w:rsidR="006E2DFD" w:rsidRDefault="006E2DFD" w:rsidP="000F194A">
      <w:pPr>
        <w:pStyle w:val="base-text-paragraph"/>
      </w:pPr>
      <w:r>
        <w:t xml:space="preserve">Part 6-8 of the </w:t>
      </w:r>
      <w:r w:rsidR="00B83F6C">
        <w:t>PHI Act</w:t>
      </w:r>
      <w:r>
        <w:t xml:space="preserve"> deals with the disclosure of 'protected information'</w:t>
      </w:r>
      <w:r w:rsidR="00812182">
        <w:t>.</w:t>
      </w:r>
      <w:r>
        <w:t xml:space="preserve">  </w:t>
      </w:r>
    </w:p>
    <w:p w14:paraId="580FFE64" w14:textId="77777777" w:rsidR="006E2DFD" w:rsidRDefault="006E2DFD" w:rsidP="004D2CF7">
      <w:pPr>
        <w:pStyle w:val="base-text-paragraph"/>
        <w:keepNext/>
        <w:keepLines/>
      </w:pPr>
      <w:r>
        <w:t xml:space="preserve">Amendments to </w:t>
      </w:r>
      <w:r w:rsidR="00812182">
        <w:t xml:space="preserve">the Part </w:t>
      </w:r>
      <w:r>
        <w:t xml:space="preserve">are </w:t>
      </w:r>
      <w:r w:rsidR="000711A1">
        <w:t>required to</w:t>
      </w:r>
      <w:r>
        <w:t>:</w:t>
      </w:r>
    </w:p>
    <w:p w14:paraId="789F1725" w14:textId="77777777" w:rsidR="006E2DFD" w:rsidRDefault="000711A1" w:rsidP="004D2CF7">
      <w:pPr>
        <w:pStyle w:val="dotpoint"/>
        <w:keepNext/>
        <w:keepLines/>
      </w:pPr>
      <w:r>
        <w:t>enable</w:t>
      </w:r>
      <w:r w:rsidR="006E2DFD">
        <w:t xml:space="preserve"> </w:t>
      </w:r>
      <w:r w:rsidR="00812182">
        <w:t>the disclosure of</w:t>
      </w:r>
      <w:r w:rsidR="006E2DFD">
        <w:t xml:space="preserve"> protected information obtained under the </w:t>
      </w:r>
      <w:r w:rsidR="00B83F6C">
        <w:t>PHI Act</w:t>
      </w:r>
      <w:r w:rsidR="006E2DFD">
        <w:t xml:space="preserve"> </w:t>
      </w:r>
      <w:r>
        <w:t xml:space="preserve">to </w:t>
      </w:r>
      <w:r w:rsidR="006E2DFD">
        <w:t xml:space="preserve">APRA and APRA officers to assist them to carry out </w:t>
      </w:r>
      <w:r w:rsidR="00812182">
        <w:t xml:space="preserve">their </w:t>
      </w:r>
      <w:r w:rsidR="006E2DFD">
        <w:t xml:space="preserve">duties, functions and powers in relation to private health insurance; </w:t>
      </w:r>
    </w:p>
    <w:p w14:paraId="0A47D7F6" w14:textId="77777777" w:rsidR="006E2DFD" w:rsidRDefault="000711A1" w:rsidP="006E2DFD">
      <w:pPr>
        <w:pStyle w:val="dotpoint"/>
      </w:pPr>
      <w:r>
        <w:t>ensure</w:t>
      </w:r>
      <w:r w:rsidR="006E2DFD">
        <w:t xml:space="preserve"> that APRA officers performing functions under the </w:t>
      </w:r>
      <w:r w:rsidR="00B83F6C">
        <w:t>PHI Act</w:t>
      </w:r>
      <w:r w:rsidR="006E2DFD">
        <w:t xml:space="preserve"> (in relation to the Risk Equalisation Special Account or Risk Equalisation Levy) are not subject to the secrecy regime in the </w:t>
      </w:r>
      <w:r w:rsidR="00B83F6C">
        <w:t>PHI Act</w:t>
      </w:r>
      <w:r w:rsidR="00181060">
        <w:t xml:space="preserve">. </w:t>
      </w:r>
      <w:r w:rsidR="006E2DFD">
        <w:t xml:space="preserve">APRA officers will be subject to the secrecy regime in the </w:t>
      </w:r>
      <w:r w:rsidR="00B83F6C">
        <w:t>APRA Act</w:t>
      </w:r>
      <w:r w:rsidR="006E2DFD">
        <w:t xml:space="preserve"> when performing </w:t>
      </w:r>
      <w:r w:rsidR="00812182">
        <w:t>these functions</w:t>
      </w:r>
      <w:r w:rsidR="006E2DFD">
        <w:t xml:space="preserve">; and  </w:t>
      </w:r>
    </w:p>
    <w:p w14:paraId="0134B30A" w14:textId="77777777" w:rsidR="006E2DFD" w:rsidRDefault="006E2DFD" w:rsidP="006E2DFD">
      <w:pPr>
        <w:pStyle w:val="dotpoint"/>
      </w:pPr>
      <w:r>
        <w:t>repeal redundant provisions from Division 323.</w:t>
      </w:r>
    </w:p>
    <w:p w14:paraId="5DC542B9" w14:textId="77777777" w:rsidR="006E2DFD" w:rsidRDefault="006E2DFD" w:rsidP="000F194A">
      <w:pPr>
        <w:pStyle w:val="base-text-paragraph"/>
      </w:pPr>
      <w:r>
        <w:t xml:space="preserve">Under section 323-1 of the </w:t>
      </w:r>
      <w:r w:rsidR="00B83F6C">
        <w:t>PHI Act</w:t>
      </w:r>
      <w:r>
        <w:t xml:space="preserve">, a person commits an offence if the person has or had a duty, function or power under the </w:t>
      </w:r>
      <w:r w:rsidR="00181060">
        <w:t>PHI </w:t>
      </w:r>
      <w:r>
        <w:t xml:space="preserve">Act, the person discloses 'protected information' to another person and the disclosure is not an 'authorised disclosure'.  </w:t>
      </w:r>
    </w:p>
    <w:p w14:paraId="739DA6F8" w14:textId="77777777" w:rsidR="00812182" w:rsidRDefault="00812182" w:rsidP="000F194A">
      <w:pPr>
        <w:pStyle w:val="base-text-paragraph"/>
      </w:pPr>
      <w:r>
        <w:t xml:space="preserve">In order to exclude APRA officers from the PHI Act information disclosure regime: </w:t>
      </w:r>
    </w:p>
    <w:p w14:paraId="021B75C1" w14:textId="77777777" w:rsidR="00812182" w:rsidRDefault="00812182" w:rsidP="00812182">
      <w:pPr>
        <w:numPr>
          <w:ilvl w:val="0"/>
          <w:numId w:val="15"/>
        </w:numPr>
      </w:pPr>
      <w:r>
        <w:t>information obtained by a person in the course of performing an ‘APRA duty, function or power’ has been excluded from being 'protected infor</w:t>
      </w:r>
      <w:r w:rsidR="004D2CF7">
        <w:t>mation' as defined in paragraph </w:t>
      </w:r>
      <w:r>
        <w:t>323</w:t>
      </w:r>
      <w:r>
        <w:noBreakHyphen/>
        <w:t xml:space="preserve">1(2)(a); </w:t>
      </w:r>
      <w:r w:rsidR="002A7172">
        <w:t>and</w:t>
      </w:r>
      <w:r>
        <w:t xml:space="preserve"> </w:t>
      </w:r>
      <w:r w:rsidRPr="002A7172">
        <w:rPr>
          <w:rStyle w:val="Referencingstyle"/>
        </w:rPr>
        <w:t xml:space="preserve">[Schedule 1, Part 1, item </w:t>
      </w:r>
      <w:r w:rsidR="00494CD8">
        <w:rPr>
          <w:rStyle w:val="Referencingstyle"/>
        </w:rPr>
        <w:t>150</w:t>
      </w:r>
      <w:r w:rsidRPr="002A7172">
        <w:rPr>
          <w:rStyle w:val="Referencingstyle"/>
        </w:rPr>
        <w:t>]</w:t>
      </w:r>
      <w:r w:rsidRPr="00C85607">
        <w:t xml:space="preserve"> </w:t>
      </w:r>
    </w:p>
    <w:p w14:paraId="728111C0" w14:textId="77777777" w:rsidR="00812182" w:rsidRPr="000711A1" w:rsidRDefault="00812182" w:rsidP="00812182">
      <w:pPr>
        <w:numPr>
          <w:ilvl w:val="0"/>
          <w:numId w:val="15"/>
        </w:numPr>
        <w:rPr>
          <w:rStyle w:val="Referencingstyle"/>
        </w:rPr>
      </w:pPr>
      <w:r>
        <w:t xml:space="preserve">the offence for the disclosure of protected information will not apply where a person has or had an APRA duty, function or power. </w:t>
      </w:r>
      <w:r w:rsidRPr="002A7172">
        <w:rPr>
          <w:rStyle w:val="Referencingstyle"/>
        </w:rPr>
        <w:t xml:space="preserve">[Schedule 1, Part 1, item </w:t>
      </w:r>
      <w:r w:rsidR="00494CD8">
        <w:rPr>
          <w:rStyle w:val="Referencingstyle"/>
        </w:rPr>
        <w:t>148</w:t>
      </w:r>
      <w:r w:rsidRPr="002A7172">
        <w:rPr>
          <w:rStyle w:val="Referencingstyle"/>
        </w:rPr>
        <w:t>]</w:t>
      </w:r>
      <w:r>
        <w:rPr>
          <w:rStyle w:val="Referencingstyle"/>
        </w:rPr>
        <w:t xml:space="preserve">  </w:t>
      </w:r>
    </w:p>
    <w:p w14:paraId="5C92EC22" w14:textId="77777777" w:rsidR="00812182" w:rsidRDefault="00812182" w:rsidP="000F194A">
      <w:pPr>
        <w:pStyle w:val="base-text-paragraph"/>
      </w:pPr>
      <w:r>
        <w:t>A</w:t>
      </w:r>
      <w:r w:rsidRPr="0007647B">
        <w:t xml:space="preserve">n 'APRA private health insurance duty, function or power' </w:t>
      </w:r>
      <w:r>
        <w:t xml:space="preserve">is defined in new </w:t>
      </w:r>
      <w:r w:rsidRPr="0007647B">
        <w:t xml:space="preserve">subsection 323-1(1A).  </w:t>
      </w:r>
      <w:r w:rsidRPr="00B73918">
        <w:rPr>
          <w:rStyle w:val="Referencingstyle"/>
        </w:rPr>
        <w:t xml:space="preserve">[Schedule 1, Part 1, item </w:t>
      </w:r>
      <w:r w:rsidR="00494CD8">
        <w:rPr>
          <w:rStyle w:val="Referencingstyle"/>
        </w:rPr>
        <w:t>149</w:t>
      </w:r>
      <w:r w:rsidRPr="00B73918">
        <w:rPr>
          <w:rStyle w:val="Referencingstyle"/>
        </w:rPr>
        <w:t>]</w:t>
      </w:r>
      <w:r w:rsidRPr="0007647B">
        <w:t xml:space="preserve">  </w:t>
      </w:r>
    </w:p>
    <w:p w14:paraId="0B79CF2A" w14:textId="77777777" w:rsidR="00812182" w:rsidRPr="0007647B" w:rsidRDefault="00812182" w:rsidP="000F194A">
      <w:pPr>
        <w:pStyle w:val="base-text-paragraph"/>
      </w:pPr>
      <w:r>
        <w:t xml:space="preserve">It </w:t>
      </w:r>
      <w:r w:rsidRPr="0007647B">
        <w:t>is a duty, function or power of APRA, or that a person has as an officer of APRA, under:</w:t>
      </w:r>
    </w:p>
    <w:p w14:paraId="5B0D2691" w14:textId="77777777" w:rsidR="00812182" w:rsidRPr="0007647B" w:rsidRDefault="00812182" w:rsidP="00812182">
      <w:pPr>
        <w:numPr>
          <w:ilvl w:val="0"/>
          <w:numId w:val="15"/>
        </w:numPr>
      </w:pPr>
      <w:r w:rsidRPr="0007647B">
        <w:t xml:space="preserve">the PHI Act; </w:t>
      </w:r>
    </w:p>
    <w:p w14:paraId="228D7E3E" w14:textId="77777777" w:rsidR="00812182" w:rsidRPr="0007647B" w:rsidRDefault="00812182" w:rsidP="00812182">
      <w:pPr>
        <w:numPr>
          <w:ilvl w:val="0"/>
          <w:numId w:val="15"/>
        </w:numPr>
      </w:pPr>
      <w:r w:rsidRPr="0007647B">
        <w:t xml:space="preserve">the </w:t>
      </w:r>
      <w:r w:rsidR="00E9202F">
        <w:t>Prudential Supervision Bill</w:t>
      </w:r>
      <w:r w:rsidRPr="0007647B">
        <w:t xml:space="preserve">; or </w:t>
      </w:r>
    </w:p>
    <w:p w14:paraId="2930C3C7" w14:textId="77777777" w:rsidR="00812182" w:rsidRPr="0007647B" w:rsidRDefault="00812182" w:rsidP="00812182">
      <w:pPr>
        <w:numPr>
          <w:ilvl w:val="0"/>
          <w:numId w:val="15"/>
        </w:numPr>
      </w:pPr>
      <w:r w:rsidRPr="0007647B">
        <w:t xml:space="preserve">the </w:t>
      </w:r>
      <w:r w:rsidR="00A866AA">
        <w:t>FISLC</w:t>
      </w:r>
      <w:r w:rsidR="00C2229F">
        <w:t xml:space="preserve"> Act</w:t>
      </w:r>
      <w:r w:rsidRPr="0007647B">
        <w:t xml:space="preserve"> as </w:t>
      </w:r>
      <w:r>
        <w:t xml:space="preserve">that Act applies in relation to levies imposed on insurers </w:t>
      </w:r>
      <w:r w:rsidRPr="0007647B">
        <w:t xml:space="preserve">or </w:t>
      </w:r>
      <w:r>
        <w:t xml:space="preserve">the FS(CoD) Act as that </w:t>
      </w:r>
      <w:r w:rsidRPr="0007647B">
        <w:t>Act appl</w:t>
      </w:r>
      <w:r>
        <w:t xml:space="preserve">ies to </w:t>
      </w:r>
      <w:r w:rsidRPr="0007647B">
        <w:t xml:space="preserve">private health insurers.  </w:t>
      </w:r>
    </w:p>
    <w:p w14:paraId="4ED3660F" w14:textId="77777777" w:rsidR="00812182" w:rsidRDefault="00812182" w:rsidP="000F194A">
      <w:pPr>
        <w:pStyle w:val="base-text-paragraph"/>
      </w:pPr>
      <w:r w:rsidRPr="00C85607">
        <w:t xml:space="preserve">A </w:t>
      </w:r>
      <w:r>
        <w:t>n</w:t>
      </w:r>
      <w:r w:rsidRPr="00C85607">
        <w:t xml:space="preserve">ote has been included to </w:t>
      </w:r>
      <w:r>
        <w:t xml:space="preserve">new </w:t>
      </w:r>
      <w:r w:rsidRPr="00C85607">
        <w:t>subsection 323-1(1A) providing that the disclosure of information regime for information obtained under APRA private health insurance duties, functions and powers exists in Part 6 of the APRA Act, rather than Division 323 of the PHI Act</w:t>
      </w:r>
      <w:r>
        <w:t xml:space="preserve">. </w:t>
      </w:r>
    </w:p>
    <w:p w14:paraId="1EFF3334" w14:textId="77777777" w:rsidR="00812182" w:rsidRDefault="00812182" w:rsidP="000F194A">
      <w:pPr>
        <w:pStyle w:val="base-text-paragraph"/>
      </w:pPr>
      <w:r>
        <w:t xml:space="preserve">Section 323-5 of the PHI Act specifies a number of authorised disclosures that may be made in the course of official duties.  </w:t>
      </w:r>
    </w:p>
    <w:p w14:paraId="3F5C1EFE" w14:textId="77777777" w:rsidR="006E2DFD" w:rsidRDefault="006E2DFD" w:rsidP="000F194A">
      <w:pPr>
        <w:pStyle w:val="base-text-paragraph"/>
      </w:pPr>
      <w:r>
        <w:t xml:space="preserve">However, </w:t>
      </w:r>
      <w:r w:rsidR="00812182">
        <w:t xml:space="preserve">a new </w:t>
      </w:r>
      <w:r>
        <w:t>paragraph</w:t>
      </w:r>
      <w:r w:rsidR="00812182">
        <w:t xml:space="preserve">, paragraph </w:t>
      </w:r>
      <w:r>
        <w:t>323-5(aa)</w:t>
      </w:r>
      <w:r w:rsidR="00812182">
        <w:t>,</w:t>
      </w:r>
      <w:r>
        <w:t xml:space="preserve"> has been inserted in order to provide that a disclosure of information made for the purpose of enabling a</w:t>
      </w:r>
      <w:r w:rsidR="008C3170">
        <w:t>nother</w:t>
      </w:r>
      <w:r>
        <w:t xml:space="preserve"> person to perform or exercise an APRA private health insurance duty, function or power is an authorised disclosure under section 323-5 of the </w:t>
      </w:r>
      <w:r w:rsidR="00B83F6C">
        <w:t>PHI Act</w:t>
      </w:r>
      <w:r>
        <w:t xml:space="preserve">. </w:t>
      </w:r>
      <w:r w:rsidRPr="000711A1">
        <w:rPr>
          <w:rStyle w:val="Referencingstyle"/>
        </w:rPr>
        <w:t xml:space="preserve"> [</w:t>
      </w:r>
      <w:r w:rsidR="000711A1" w:rsidRPr="000711A1">
        <w:rPr>
          <w:rStyle w:val="Referencingstyle"/>
        </w:rPr>
        <w:t>Schedule 1, Part 1, item</w:t>
      </w:r>
      <w:r w:rsidR="008C3170">
        <w:rPr>
          <w:rStyle w:val="Referencingstyle"/>
        </w:rPr>
        <w:t> </w:t>
      </w:r>
      <w:r w:rsidR="00494CD8">
        <w:rPr>
          <w:rStyle w:val="Referencingstyle"/>
        </w:rPr>
        <w:t>153</w:t>
      </w:r>
      <w:r w:rsidR="000711A1" w:rsidRPr="000711A1">
        <w:rPr>
          <w:rStyle w:val="Referencingstyle"/>
        </w:rPr>
        <w:t>]</w:t>
      </w:r>
    </w:p>
    <w:p w14:paraId="4C1DCC97" w14:textId="77777777" w:rsidR="006E2DFD" w:rsidRDefault="008C3170" w:rsidP="000F194A">
      <w:pPr>
        <w:pStyle w:val="base-text-paragraph"/>
      </w:pPr>
      <w:r>
        <w:t xml:space="preserve">With the abolition of </w:t>
      </w:r>
      <w:r w:rsidR="002A7172">
        <w:t>the Council</w:t>
      </w:r>
      <w:r>
        <w:t xml:space="preserve">, references to equivalent authorised disclosures to and by </w:t>
      </w:r>
      <w:r w:rsidR="002A7172">
        <w:t>the Council</w:t>
      </w:r>
      <w:r>
        <w:t xml:space="preserve"> and employees of or consultants to </w:t>
      </w:r>
      <w:r w:rsidR="002A7172">
        <w:t>the Council</w:t>
      </w:r>
      <w:r>
        <w:t xml:space="preserve"> have been removed from section 323-10.  </w:t>
      </w:r>
      <w:r w:rsidRPr="006D5515">
        <w:rPr>
          <w:rStyle w:val="Referencingstyle"/>
        </w:rPr>
        <w:t xml:space="preserve">[Schedule 1, Part 1, item </w:t>
      </w:r>
      <w:r w:rsidR="00494CD8">
        <w:rPr>
          <w:rStyle w:val="Referencingstyle"/>
        </w:rPr>
        <w:t>154</w:t>
      </w:r>
      <w:r w:rsidRPr="006D5515">
        <w:rPr>
          <w:rStyle w:val="Referencingstyle"/>
        </w:rPr>
        <w:t>]</w:t>
      </w:r>
      <w:r>
        <w:rPr>
          <w:rStyle w:val="Referencingstyle"/>
        </w:rPr>
        <w:t>.</w:t>
      </w:r>
      <w:r w:rsidRPr="00C85607">
        <w:t xml:space="preserve"> </w:t>
      </w:r>
      <w:r>
        <w:t xml:space="preserve"> </w:t>
      </w:r>
      <w:r w:rsidR="006E2DFD">
        <w:t xml:space="preserve">This is because the disclosure of information by APRA is to be regulated under the APRA Act rather than the </w:t>
      </w:r>
      <w:r w:rsidR="00B83F6C">
        <w:t>PHI Act</w:t>
      </w:r>
      <w:r w:rsidR="006E2DFD">
        <w:t xml:space="preserve">.  </w:t>
      </w:r>
    </w:p>
    <w:p w14:paraId="2E3EA049" w14:textId="77777777" w:rsidR="006E2DFD" w:rsidRPr="00464E54" w:rsidRDefault="006E2DFD" w:rsidP="000F194A">
      <w:pPr>
        <w:pStyle w:val="base-text-paragraph"/>
        <w:rPr>
          <w:rStyle w:val="Referencingstyle"/>
          <w:b w:val="0"/>
          <w:i w:val="0"/>
          <w:sz w:val="22"/>
        </w:rPr>
      </w:pPr>
      <w:r>
        <w:t xml:space="preserve">Section 323-25 of the </w:t>
      </w:r>
      <w:r w:rsidR="00B83F6C">
        <w:t>PHI Act</w:t>
      </w:r>
      <w:r>
        <w:t xml:space="preserve"> previously provided for the </w:t>
      </w:r>
      <w:r w:rsidR="008C3170">
        <w:t>Council or</w:t>
      </w:r>
      <w:r>
        <w:t xml:space="preserve"> the Secretary of the Department of Health or the Council to disclose information to a person expressly or implied authorised to obtain it by the person to</w:t>
      </w:r>
      <w:r w:rsidR="004D2CF7">
        <w:t xml:space="preserve"> whom the information relates. </w:t>
      </w:r>
      <w:r>
        <w:t>All reference to the Council has been repealed from the section</w:t>
      </w:r>
      <w:r w:rsidR="008C3170">
        <w:t xml:space="preserve"> and only the Secretary remains able to make an authorised disclosure under this section.</w:t>
      </w:r>
      <w:r>
        <w:t xml:space="preserve">  </w:t>
      </w:r>
      <w:r w:rsidRPr="000711A1">
        <w:rPr>
          <w:rStyle w:val="Referencingstyle"/>
        </w:rPr>
        <w:t>[Schedule</w:t>
      </w:r>
      <w:r w:rsidR="002A7172">
        <w:rPr>
          <w:rStyle w:val="Referencingstyle"/>
        </w:rPr>
        <w:t> </w:t>
      </w:r>
      <w:r w:rsidRPr="000711A1">
        <w:rPr>
          <w:rStyle w:val="Referencingstyle"/>
        </w:rPr>
        <w:t>1,</w:t>
      </w:r>
      <w:r w:rsidR="000711A1">
        <w:rPr>
          <w:rStyle w:val="Referencingstyle"/>
        </w:rPr>
        <w:t xml:space="preserve"> Part 1, items </w:t>
      </w:r>
      <w:r w:rsidR="008C3170">
        <w:rPr>
          <w:rStyle w:val="Referencingstyle"/>
        </w:rPr>
        <w:t>1</w:t>
      </w:r>
      <w:r w:rsidR="00494CD8">
        <w:rPr>
          <w:rStyle w:val="Referencingstyle"/>
        </w:rPr>
        <w:t>55</w:t>
      </w:r>
      <w:r w:rsidR="008C3170">
        <w:rPr>
          <w:rStyle w:val="Referencingstyle"/>
        </w:rPr>
        <w:t xml:space="preserve"> and 1</w:t>
      </w:r>
      <w:r w:rsidR="00494CD8">
        <w:rPr>
          <w:rStyle w:val="Referencingstyle"/>
        </w:rPr>
        <w:t>56</w:t>
      </w:r>
      <w:r w:rsidR="000711A1">
        <w:rPr>
          <w:rStyle w:val="Referencingstyle"/>
        </w:rPr>
        <w:t>]</w:t>
      </w:r>
    </w:p>
    <w:p w14:paraId="3397EBC9" w14:textId="77777777" w:rsidR="008C3170" w:rsidRPr="00984DC2" w:rsidRDefault="006E2DFD" w:rsidP="000F194A">
      <w:pPr>
        <w:pStyle w:val="base-text-paragraph"/>
        <w:rPr>
          <w:rStyle w:val="Referencingstyle"/>
          <w:b w:val="0"/>
          <w:i w:val="0"/>
          <w:sz w:val="22"/>
        </w:rPr>
      </w:pPr>
      <w:r>
        <w:t xml:space="preserve">Section 323-35 </w:t>
      </w:r>
      <w:r w:rsidR="008C3170">
        <w:t>previously</w:t>
      </w:r>
      <w:r>
        <w:t xml:space="preserve"> enabled the Council to make an authorised disclosure of information to the extent necessary to perform its public information function (making statistics and other financial information about an insurer available to the public) and its agency cooperation function (cooperating with other regulatory agencies on matters affecting insurers and the private health insurance industry generally and providing information to the Private Health Insurance Ombudsman for the purposes of the State of the Health Funds Report).  </w:t>
      </w:r>
      <w:r w:rsidR="008C3170">
        <w:t xml:space="preserve">Section 323-35 has been repealed in its entirety.  </w:t>
      </w:r>
      <w:r w:rsidR="008C3170" w:rsidRPr="002A7172">
        <w:rPr>
          <w:rStyle w:val="Referencingstyle"/>
        </w:rPr>
        <w:t>[Schedule 1, Part 1, item 1</w:t>
      </w:r>
      <w:r w:rsidR="00494CD8">
        <w:rPr>
          <w:rStyle w:val="Referencingstyle"/>
        </w:rPr>
        <w:t>57</w:t>
      </w:r>
      <w:r w:rsidR="008C3170" w:rsidRPr="002A7172">
        <w:rPr>
          <w:rStyle w:val="Referencingstyle"/>
        </w:rPr>
        <w:t>]</w:t>
      </w:r>
    </w:p>
    <w:p w14:paraId="663D3AA2" w14:textId="77777777" w:rsidR="006E2DFD" w:rsidRDefault="006E2DFD" w:rsidP="000F194A">
      <w:pPr>
        <w:pStyle w:val="base-text-paragraph"/>
      </w:pPr>
      <w:r>
        <w:t>As a consequence, reference to disclosure under section 323-35 as a form of authorised disclosure has also been removed from subsection</w:t>
      </w:r>
      <w:r w:rsidR="00793BC3">
        <w:t> </w:t>
      </w:r>
      <w:r>
        <w:t xml:space="preserve">323-1(3).  </w:t>
      </w:r>
      <w:r w:rsidRPr="000711A1">
        <w:rPr>
          <w:rStyle w:val="Referencingstyle"/>
        </w:rPr>
        <w:t xml:space="preserve">[Schedule 1, </w:t>
      </w:r>
      <w:r w:rsidR="000711A1" w:rsidRPr="000711A1">
        <w:rPr>
          <w:rStyle w:val="Referencingstyle"/>
        </w:rPr>
        <w:t xml:space="preserve">Part 1, item </w:t>
      </w:r>
      <w:r w:rsidR="008C3170">
        <w:rPr>
          <w:rStyle w:val="Referencingstyle"/>
        </w:rPr>
        <w:t>1</w:t>
      </w:r>
      <w:r w:rsidR="00494CD8">
        <w:rPr>
          <w:rStyle w:val="Referencingstyle"/>
        </w:rPr>
        <w:t>51</w:t>
      </w:r>
      <w:r w:rsidR="000711A1" w:rsidRPr="000711A1">
        <w:rPr>
          <w:rStyle w:val="Referencingstyle"/>
        </w:rPr>
        <w:t>]</w:t>
      </w:r>
    </w:p>
    <w:p w14:paraId="55FF5708" w14:textId="77777777" w:rsidR="006E2DFD" w:rsidRPr="002A7172" w:rsidRDefault="006E2DFD" w:rsidP="000F194A">
      <w:pPr>
        <w:pStyle w:val="base-text-paragraph"/>
      </w:pPr>
      <w:r w:rsidRPr="002A7172">
        <w:t xml:space="preserve">Section </w:t>
      </w:r>
      <w:r w:rsidR="008C3170" w:rsidRPr="002A7172">
        <w:t>323-25</w:t>
      </w:r>
      <w:r w:rsidRPr="002A7172">
        <w:t xml:space="preserve"> is being inserted to ensure that a disclosure of information is an authorised disclosure</w:t>
      </w:r>
      <w:r w:rsidR="008505DB">
        <w:t>.</w:t>
      </w:r>
      <w:r w:rsidRPr="00793BC3">
        <w:rPr>
          <w:rStyle w:val="Referencingstyle"/>
        </w:rPr>
        <w:t xml:space="preserve"> </w:t>
      </w:r>
      <w:r w:rsidR="00793BC3" w:rsidRPr="000711A1">
        <w:rPr>
          <w:rStyle w:val="Referencingstyle"/>
        </w:rPr>
        <w:t xml:space="preserve">[Schedule 1, Part 1, item </w:t>
      </w:r>
      <w:r w:rsidR="00793BC3">
        <w:rPr>
          <w:rStyle w:val="Referencingstyle"/>
        </w:rPr>
        <w:t>155</w:t>
      </w:r>
      <w:r w:rsidR="00793BC3" w:rsidRPr="000711A1">
        <w:rPr>
          <w:rStyle w:val="Referencingstyle"/>
        </w:rPr>
        <w:t>]</w:t>
      </w:r>
      <w:r w:rsidRPr="002A7172">
        <w:t xml:space="preserve"> </w:t>
      </w:r>
    </w:p>
    <w:p w14:paraId="3FBAA340" w14:textId="77777777" w:rsidR="006E2DFD" w:rsidRPr="002A7172" w:rsidRDefault="006E2DFD" w:rsidP="000F194A">
      <w:pPr>
        <w:pStyle w:val="base-text-paragraph"/>
      </w:pPr>
      <w:r w:rsidRPr="002A7172">
        <w:t>Ordinarily, s</w:t>
      </w:r>
      <w:r w:rsidR="00B83F6C" w:rsidRPr="002A7172">
        <w:t>ection</w:t>
      </w:r>
      <w:r w:rsidRPr="002A7172">
        <w:t xml:space="preserve"> 323 prohibits disclosure if a person who has a duty, but not an APRA duty, discloses info that was obtained under </w:t>
      </w:r>
      <w:r w:rsidR="00B83F6C" w:rsidRPr="002A7172">
        <w:t>PHI</w:t>
      </w:r>
      <w:r w:rsidR="00793BC3">
        <w:t> </w:t>
      </w:r>
      <w:r w:rsidR="00B83F6C" w:rsidRPr="002A7172">
        <w:t>Act</w:t>
      </w:r>
      <w:r w:rsidRPr="002A7172">
        <w:t xml:space="preserve">, but not while doing an APRA duty. For transitioning staff, they will have obtained info while doing a </w:t>
      </w:r>
      <w:r w:rsidR="00B83F6C" w:rsidRPr="002A7172">
        <w:t>PHI Act</w:t>
      </w:r>
      <w:r w:rsidRPr="002A7172">
        <w:t xml:space="preserve"> duty and want to use it.  </w:t>
      </w:r>
    </w:p>
    <w:p w14:paraId="7615A3D1" w14:textId="77777777" w:rsidR="006E2DFD" w:rsidRDefault="00F20279" w:rsidP="00E93AB0">
      <w:pPr>
        <w:pStyle w:val="Heading6"/>
      </w:pPr>
      <w:r>
        <w:t xml:space="preserve">Part 6-9 – review </w:t>
      </w:r>
      <w:r w:rsidR="006E2DFD">
        <w:t>of decisions</w:t>
      </w:r>
    </w:p>
    <w:p w14:paraId="373A7366" w14:textId="77777777" w:rsidR="008C3170" w:rsidRPr="00464E54" w:rsidRDefault="006E2DFD" w:rsidP="000F194A">
      <w:pPr>
        <w:pStyle w:val="base-text-paragraph"/>
      </w:pPr>
      <w:r>
        <w:t xml:space="preserve">Part 6-9 of the </w:t>
      </w:r>
      <w:r w:rsidR="00B83F6C">
        <w:t>PHI Act</w:t>
      </w:r>
      <w:r>
        <w:t xml:space="preserve"> deals with review of decisions made under the Act by the A</w:t>
      </w:r>
      <w:r w:rsidR="008C3170">
        <w:t>AT</w:t>
      </w:r>
      <w:r>
        <w:t xml:space="preserve">. </w:t>
      </w:r>
    </w:p>
    <w:p w14:paraId="5869EE3D" w14:textId="77777777" w:rsidR="008C3170" w:rsidRDefault="006E2DFD" w:rsidP="000F194A">
      <w:pPr>
        <w:pStyle w:val="base-text-paragraph"/>
      </w:pPr>
      <w:r>
        <w:t xml:space="preserve">The table in section 328-5 of the </w:t>
      </w:r>
      <w:r w:rsidR="00B83F6C">
        <w:t>PHI Act</w:t>
      </w:r>
      <w:r>
        <w:t xml:space="preserve"> sets out decisions for which review by the A</w:t>
      </w:r>
      <w:r w:rsidR="008C3170">
        <w:t>AT</w:t>
      </w:r>
      <w:r>
        <w:t xml:space="preserve"> is available. Items 5 to 30 and item 44 of the table</w:t>
      </w:r>
      <w:r w:rsidR="008C3170">
        <w:t>, which related to decisions made exclusively by the Council,</w:t>
      </w:r>
      <w:r>
        <w:t xml:space="preserve"> have been repealed.</w:t>
      </w:r>
      <w:r w:rsidR="00793BC3">
        <w:t xml:space="preserve"> </w:t>
      </w:r>
      <w:r w:rsidR="00793BC3" w:rsidRPr="000711A1">
        <w:rPr>
          <w:rStyle w:val="Referencingstyle"/>
        </w:rPr>
        <w:t>[Schedule 1, Part 1, item</w:t>
      </w:r>
      <w:r w:rsidR="00793BC3">
        <w:rPr>
          <w:rStyle w:val="Referencingstyle"/>
        </w:rPr>
        <w:t>s</w:t>
      </w:r>
      <w:r w:rsidR="00793BC3" w:rsidRPr="000711A1">
        <w:rPr>
          <w:rStyle w:val="Referencingstyle"/>
        </w:rPr>
        <w:t xml:space="preserve"> </w:t>
      </w:r>
      <w:r w:rsidR="00793BC3">
        <w:rPr>
          <w:rStyle w:val="Referencingstyle"/>
        </w:rPr>
        <w:t>158 and 160</w:t>
      </w:r>
      <w:r w:rsidR="00793BC3" w:rsidRPr="000711A1">
        <w:rPr>
          <w:rStyle w:val="Referencingstyle"/>
        </w:rPr>
        <w:t>]</w:t>
      </w:r>
      <w:r>
        <w:t xml:space="preserve">  </w:t>
      </w:r>
    </w:p>
    <w:p w14:paraId="72E5805C" w14:textId="77777777" w:rsidR="006E2DFD" w:rsidRDefault="008C3170" w:rsidP="000F194A">
      <w:pPr>
        <w:pStyle w:val="base-text-paragraph"/>
      </w:pPr>
      <w:r>
        <w:t>AAT</w:t>
      </w:r>
      <w:r w:rsidR="006E2DFD">
        <w:t xml:space="preserve"> review of decisions made by APRA under the </w:t>
      </w:r>
      <w:r w:rsidR="00E9202F">
        <w:t>Prudential Supervision Bill</w:t>
      </w:r>
      <w:r w:rsidR="006E2DFD">
        <w:t xml:space="preserve">, is dealt with in section 167 of that </w:t>
      </w:r>
      <w:r w:rsidR="004D2CF7">
        <w:t xml:space="preserve">Bill. </w:t>
      </w:r>
      <w:r w:rsidR="006E2DFD">
        <w:t>Review of decisions in relation to the waiver of Collapsed Insurer Levy or late payment penalty for made under the</w:t>
      </w:r>
      <w:r w:rsidR="002A7172">
        <w:t xml:space="preserve"> </w:t>
      </w:r>
      <w:r w:rsidR="00A866AA">
        <w:t>FISLC</w:t>
      </w:r>
      <w:r w:rsidR="002A7172">
        <w:t xml:space="preserve"> Act</w:t>
      </w:r>
      <w:r w:rsidR="006E2DFD" w:rsidRPr="002A7172">
        <w:rPr>
          <w:i/>
        </w:rPr>
        <w:t xml:space="preserve"> </w:t>
      </w:r>
      <w:r w:rsidR="006E2DFD">
        <w:t>are dealt with in section</w:t>
      </w:r>
      <w:r w:rsidR="00494CD8">
        <w:t> </w:t>
      </w:r>
      <w:r w:rsidR="006E2DFD">
        <w:t xml:space="preserve">27 of that Act.  </w:t>
      </w:r>
    </w:p>
    <w:p w14:paraId="697A4055" w14:textId="77777777" w:rsidR="00E464DC" w:rsidRDefault="00E464DC" w:rsidP="000F194A">
      <w:pPr>
        <w:pStyle w:val="base-text-paragraph"/>
      </w:pPr>
      <w:r>
        <w:t xml:space="preserve">Item 43 of the table in section 328-5 previously excluded from review decisions not to waive or to only partially waive late payment penalty in respect of the Collapsed Insurer Levy, as review of such decisions was provided for by item 44 of the table.  </w:t>
      </w:r>
    </w:p>
    <w:p w14:paraId="1202E0E9" w14:textId="77777777" w:rsidR="006E2DFD" w:rsidRPr="00E464DC" w:rsidRDefault="006E2DFD" w:rsidP="000F194A">
      <w:pPr>
        <w:pStyle w:val="base-text-paragraph"/>
        <w:rPr>
          <w:rStyle w:val="Referencingstyle"/>
          <w:b w:val="0"/>
          <w:i w:val="0"/>
          <w:sz w:val="22"/>
        </w:rPr>
      </w:pPr>
      <w:r>
        <w:t xml:space="preserve">As the Collapsed Insurer Levy is no longer administered under the </w:t>
      </w:r>
      <w:r w:rsidR="00B83F6C">
        <w:t>PHI Act</w:t>
      </w:r>
      <w:r>
        <w:t xml:space="preserve"> this exclusion has become redundant and item 43 has been amended to remove reference </w:t>
      </w:r>
      <w:r w:rsidR="004D2CF7">
        <w:t xml:space="preserve">to the Collapsed Insurer Levy. </w:t>
      </w:r>
      <w:r>
        <w:t xml:space="preserve">Access to </w:t>
      </w:r>
      <w:r w:rsidR="00625CF3">
        <w:t>AAT</w:t>
      </w:r>
      <w:r>
        <w:t xml:space="preserve"> review of decisions not to waive or to only partially waive late payment penalty in respect of the Complaints Levy, the Risk Equalisation Levy and the National Joint Replacement Register Levy is s</w:t>
      </w:r>
      <w:r w:rsidR="004D2CF7">
        <w:t>till available under this item.</w:t>
      </w:r>
      <w:r w:rsidRPr="000711A1">
        <w:rPr>
          <w:rStyle w:val="Referencingstyle"/>
        </w:rPr>
        <w:t xml:space="preserve"> [Sc</w:t>
      </w:r>
      <w:r w:rsidR="000711A1" w:rsidRPr="000711A1">
        <w:rPr>
          <w:rStyle w:val="Referencingstyle"/>
        </w:rPr>
        <w:t>hedule 1, Part 1, item</w:t>
      </w:r>
      <w:r w:rsidR="00464E54">
        <w:rPr>
          <w:rStyle w:val="Referencingstyle"/>
        </w:rPr>
        <w:t> </w:t>
      </w:r>
      <w:r w:rsidR="00E464DC">
        <w:rPr>
          <w:rStyle w:val="Referencingstyle"/>
        </w:rPr>
        <w:t>1</w:t>
      </w:r>
      <w:r w:rsidR="00494CD8">
        <w:rPr>
          <w:rStyle w:val="Referencingstyle"/>
        </w:rPr>
        <w:t>59</w:t>
      </w:r>
      <w:r w:rsidR="000711A1" w:rsidRPr="000711A1">
        <w:rPr>
          <w:rStyle w:val="Referencingstyle"/>
        </w:rPr>
        <w:t>]</w:t>
      </w:r>
    </w:p>
    <w:p w14:paraId="137B10EE" w14:textId="77777777" w:rsidR="00E464DC" w:rsidRDefault="00E464DC" w:rsidP="000F194A">
      <w:pPr>
        <w:pStyle w:val="base-text-paragraph"/>
      </w:pPr>
      <w:r>
        <w:t xml:space="preserve">Access to AAT review of decisions by the </w:t>
      </w:r>
      <w:r w:rsidR="002A7172">
        <w:t xml:space="preserve">Health </w:t>
      </w:r>
      <w:r>
        <w:t xml:space="preserve">Minister not to waive or to only partially waive late payment penalty in respect of the Complaints Levy, the National Joint Replacement Register Levy is still available under this item. </w:t>
      </w:r>
      <w:r w:rsidRPr="000711A1">
        <w:rPr>
          <w:rStyle w:val="Referencingstyle"/>
        </w:rPr>
        <w:t xml:space="preserve"> </w:t>
      </w:r>
      <w:r>
        <w:t xml:space="preserve">AAT review of similar decisions by APRA in respect </w:t>
      </w:r>
      <w:r w:rsidRPr="00AA67F8">
        <w:t xml:space="preserve">of </w:t>
      </w:r>
      <w:r w:rsidRPr="00C85607">
        <w:t>the Risk Equalisation Levy</w:t>
      </w:r>
      <w:r>
        <w:t xml:space="preserve"> will also be available under item 43 of table to section 328-5.</w:t>
      </w:r>
    </w:p>
    <w:p w14:paraId="73453C78" w14:textId="77777777" w:rsidR="00E464DC" w:rsidRDefault="00E464DC" w:rsidP="000F194A">
      <w:pPr>
        <w:pStyle w:val="base-text-paragraph"/>
      </w:pPr>
      <w:r>
        <w:t>The general introduction to Part 6-9 in section 328-1 has been amended to remove the reference to the review of decisions made by the Council (among others) and substitute reference to APRA.</w:t>
      </w:r>
    </w:p>
    <w:p w14:paraId="422DC8C5" w14:textId="77777777" w:rsidR="006E2DFD" w:rsidRDefault="006E2DFD" w:rsidP="00E93AB0">
      <w:pPr>
        <w:pStyle w:val="Heading6"/>
      </w:pPr>
      <w:r>
        <w:t xml:space="preserve">Part 6-10 </w:t>
      </w:r>
      <w:r w:rsidR="00F20279">
        <w:t xml:space="preserve">– Miscellaneous </w:t>
      </w:r>
    </w:p>
    <w:p w14:paraId="717C0D19" w14:textId="77777777" w:rsidR="006E2DFD" w:rsidRDefault="006E2DFD" w:rsidP="000F194A">
      <w:pPr>
        <w:pStyle w:val="base-text-paragraph"/>
      </w:pPr>
      <w:r>
        <w:t>Part 6-</w:t>
      </w:r>
      <w:r w:rsidR="00E464DC">
        <w:t>10</w:t>
      </w:r>
      <w:r>
        <w:t xml:space="preserve"> of the </w:t>
      </w:r>
      <w:r w:rsidR="00B83F6C">
        <w:t>PHI Act</w:t>
      </w:r>
      <w:r>
        <w:t xml:space="preserve"> deals with a number of miscellaneous matters, including the delegation of powers, the making of approved forms and Private Health Insurance Rules made under the Act.   </w:t>
      </w:r>
    </w:p>
    <w:p w14:paraId="3F0F68A0" w14:textId="77777777" w:rsidR="00E464DC" w:rsidRDefault="00E464DC" w:rsidP="000F194A">
      <w:pPr>
        <w:pStyle w:val="base-text-paragraph"/>
      </w:pPr>
      <w:r>
        <w:t>With the abolition of the Council, ref</w:t>
      </w:r>
      <w:r w:rsidR="00625CF3">
        <w:t>erence in subsection </w:t>
      </w:r>
      <w:r>
        <w:t>333</w:t>
      </w:r>
      <w:r>
        <w:noBreakHyphen/>
        <w:t>1(1) to the Health</w:t>
      </w:r>
      <w:r w:rsidR="002A7172">
        <w:t xml:space="preserve"> Minister</w:t>
      </w:r>
      <w:r>
        <w:t xml:space="preserve"> delegating powers to </w:t>
      </w:r>
      <w:r w:rsidR="002A7172">
        <w:t>the Council</w:t>
      </w:r>
      <w:r>
        <w:t xml:space="preserve"> is redundant and has been repealed. </w:t>
      </w:r>
      <w:r w:rsidRPr="00E464DC">
        <w:rPr>
          <w:rStyle w:val="Referencingstyle"/>
        </w:rPr>
        <w:t>[Schedule 1, Part 1, items 1</w:t>
      </w:r>
      <w:r w:rsidR="00494CD8">
        <w:rPr>
          <w:rStyle w:val="Referencingstyle"/>
        </w:rPr>
        <w:t>61</w:t>
      </w:r>
      <w:r w:rsidR="00625CF3">
        <w:rPr>
          <w:rStyle w:val="Referencingstyle"/>
        </w:rPr>
        <w:t xml:space="preserve"> and </w:t>
      </w:r>
      <w:r w:rsidRPr="00E464DC">
        <w:rPr>
          <w:rStyle w:val="Referencingstyle"/>
        </w:rPr>
        <w:t>1</w:t>
      </w:r>
      <w:r w:rsidR="00494CD8">
        <w:rPr>
          <w:rStyle w:val="Referencingstyle"/>
        </w:rPr>
        <w:t>62</w:t>
      </w:r>
      <w:r w:rsidRPr="00E464DC">
        <w:rPr>
          <w:rStyle w:val="Referencingstyle"/>
        </w:rPr>
        <w:t>]</w:t>
      </w:r>
      <w:r>
        <w:t xml:space="preserve">  </w:t>
      </w:r>
    </w:p>
    <w:p w14:paraId="4D2D955F" w14:textId="77777777" w:rsidR="006E2DFD" w:rsidRDefault="006E2DFD" w:rsidP="000F194A">
      <w:pPr>
        <w:pStyle w:val="base-text-paragraph"/>
      </w:pPr>
      <w:r>
        <w:t xml:space="preserve">Section 333-10 of the </w:t>
      </w:r>
      <w:r w:rsidR="00B83F6C">
        <w:t>PHI Act</w:t>
      </w:r>
      <w:r>
        <w:t xml:space="preserve"> provides for the making of approved forms. The Council previously approve</w:t>
      </w:r>
      <w:r w:rsidR="00E464DC">
        <w:t>d</w:t>
      </w:r>
      <w:r>
        <w:t xml:space="preserve"> a range of forms, mainly forms for applications and notices made under Part 4 of the </w:t>
      </w:r>
      <w:r w:rsidR="00651C43">
        <w:t>PHI </w:t>
      </w:r>
      <w:r w:rsidR="00B83F6C">
        <w:t>Act</w:t>
      </w:r>
      <w:r>
        <w:t xml:space="preserve"> in relation to the operation of health benefits funds. All reference to the Council's power to approve forms for the purposes of the </w:t>
      </w:r>
      <w:r w:rsidR="00B83F6C">
        <w:t>PHI Act</w:t>
      </w:r>
      <w:r>
        <w:t xml:space="preserve"> has been removed from section 333-10 by the repeal of item 3 of the table to subsection 333-10(1).</w:t>
      </w:r>
      <w:r w:rsidRPr="000711A1" w:rsidDel="00AE3C03">
        <w:rPr>
          <w:rStyle w:val="Referencingstyle"/>
        </w:rPr>
        <w:t xml:space="preserve"> </w:t>
      </w:r>
      <w:r w:rsidR="000711A1" w:rsidRPr="000711A1">
        <w:rPr>
          <w:rStyle w:val="Referencingstyle"/>
        </w:rPr>
        <w:t xml:space="preserve">[Schedule 1, Part 1, item </w:t>
      </w:r>
      <w:r w:rsidR="00E464DC">
        <w:rPr>
          <w:rStyle w:val="Referencingstyle"/>
        </w:rPr>
        <w:t>1</w:t>
      </w:r>
      <w:r w:rsidR="00494CD8">
        <w:rPr>
          <w:rStyle w:val="Referencingstyle"/>
        </w:rPr>
        <w:t>63</w:t>
      </w:r>
      <w:r w:rsidR="000711A1" w:rsidRPr="000711A1">
        <w:rPr>
          <w:rStyle w:val="Referencingstyle"/>
        </w:rPr>
        <w:t>]</w:t>
      </w:r>
    </w:p>
    <w:p w14:paraId="68C82FC8" w14:textId="77777777" w:rsidR="006E2DFD" w:rsidRDefault="006E2DFD" w:rsidP="000F194A">
      <w:pPr>
        <w:pStyle w:val="base-text-paragraph"/>
      </w:pPr>
      <w:r>
        <w:t xml:space="preserve">Sections 333-20 and 333-25 of the </w:t>
      </w:r>
      <w:r w:rsidR="00B83F6C">
        <w:t>PHI Act</w:t>
      </w:r>
      <w:r>
        <w:t xml:space="preserve"> emp</w:t>
      </w:r>
      <w:r w:rsidR="001535D1">
        <w:t>ower the making of legislative r</w:t>
      </w:r>
      <w:r>
        <w:t xml:space="preserve">ules under the Act. With the transfer of the prudential regulation of private health insurers to </w:t>
      </w:r>
      <w:r w:rsidR="00E464DC">
        <w:t>APRA</w:t>
      </w:r>
      <w:r w:rsidR="001535D1">
        <w:t>, some matters dealt with in r</w:t>
      </w:r>
      <w:r>
        <w:t xml:space="preserve">ules previously made by the </w:t>
      </w:r>
      <w:r w:rsidR="00B2761E">
        <w:t>Health Minister</w:t>
      </w:r>
      <w:r>
        <w:t xml:space="preserve"> or the Council are now dealt with in corresponding APRA Rules made under the </w:t>
      </w:r>
      <w:r w:rsidR="00E9202F">
        <w:t>Prudential Supervision Bill</w:t>
      </w:r>
      <w:r>
        <w:t>, or have become wholly redundant. As a result, referen</w:t>
      </w:r>
      <w:r w:rsidR="001535D1">
        <w:t>ces to the making of following r</w:t>
      </w:r>
      <w:r>
        <w:t xml:space="preserve">ules have been repealed from sections 333-20 and 333-25 of the </w:t>
      </w:r>
      <w:r w:rsidR="007D5441">
        <w:t>PHI </w:t>
      </w:r>
      <w:r w:rsidR="00B83F6C">
        <w:t>Act</w:t>
      </w:r>
      <w:r>
        <w:t xml:space="preserve">: </w:t>
      </w:r>
    </w:p>
    <w:p w14:paraId="62DDF66D" w14:textId="77777777" w:rsidR="00E464DC" w:rsidRDefault="00E464DC" w:rsidP="00E464DC">
      <w:pPr>
        <w:pStyle w:val="dotpoint"/>
      </w:pPr>
      <w:r>
        <w:t xml:space="preserve">the Private Health Insurance (Registration) Rules; </w:t>
      </w:r>
    </w:p>
    <w:p w14:paraId="7843AD94" w14:textId="77777777" w:rsidR="00E464DC" w:rsidRDefault="00E464DC" w:rsidP="00E464DC">
      <w:pPr>
        <w:pStyle w:val="dotpoint"/>
      </w:pPr>
      <w:r>
        <w:t xml:space="preserve">Private Health Insurance (Health Benefits Fund Enforcement) Rules; </w:t>
      </w:r>
    </w:p>
    <w:p w14:paraId="5766FBE1" w14:textId="77777777" w:rsidR="00E464DC" w:rsidRDefault="00E464DC" w:rsidP="00E464DC">
      <w:pPr>
        <w:pStyle w:val="dotpoint"/>
      </w:pPr>
      <w:r>
        <w:t xml:space="preserve">Private Health Insurance (Management) Rules; and </w:t>
      </w:r>
    </w:p>
    <w:p w14:paraId="24D9BCFC" w14:textId="77777777" w:rsidR="00E464DC" w:rsidRPr="00E464DC" w:rsidRDefault="00E464DC" w:rsidP="00E464DC">
      <w:pPr>
        <w:pStyle w:val="dotpoint"/>
        <w:rPr>
          <w:rStyle w:val="Referencingstyle"/>
        </w:rPr>
      </w:pPr>
      <w:r>
        <w:t xml:space="preserve">Private Health Insurance (Council) Rules. </w:t>
      </w:r>
      <w:r w:rsidRPr="00E464DC">
        <w:rPr>
          <w:rStyle w:val="Referencingstyle"/>
        </w:rPr>
        <w:t>[Schedule 1, Part 1, item 1</w:t>
      </w:r>
      <w:r w:rsidR="00494CD8">
        <w:rPr>
          <w:rStyle w:val="Referencingstyle"/>
        </w:rPr>
        <w:t>64</w:t>
      </w:r>
      <w:r w:rsidRPr="00E464DC">
        <w:rPr>
          <w:rStyle w:val="Referencingstyle"/>
        </w:rPr>
        <w:t>]</w:t>
      </w:r>
    </w:p>
    <w:p w14:paraId="5033C5A5" w14:textId="77777777" w:rsidR="00E464DC" w:rsidRPr="00984DC2" w:rsidRDefault="00E464DC" w:rsidP="000F194A">
      <w:pPr>
        <w:pStyle w:val="base-text-paragraph"/>
        <w:rPr>
          <w:rStyle w:val="Referencingstyle"/>
          <w:b w:val="0"/>
          <w:i w:val="0"/>
          <w:sz w:val="22"/>
        </w:rPr>
      </w:pPr>
      <w:r>
        <w:t>A note has been inserted to advise that t</w:t>
      </w:r>
      <w:r w:rsidRPr="00205DFF">
        <w:t>here are consultation requirements that appl</w:t>
      </w:r>
      <w:r w:rsidR="001535D1">
        <w:t>y in relation to the making of r</w:t>
      </w:r>
      <w:r w:rsidRPr="00205DFF">
        <w:t>ules mentioned in items 6, 8 and 15 of the above table: see subsections 115</w:t>
      </w:r>
      <w:r>
        <w:noBreakHyphen/>
      </w:r>
      <w:r w:rsidRPr="00205DFF">
        <w:t>5(2), 131</w:t>
      </w:r>
      <w:r>
        <w:noBreakHyphen/>
      </w:r>
      <w:r w:rsidRPr="00205DFF">
        <w:t>5(2) and 318</w:t>
      </w:r>
      <w:r>
        <w:noBreakHyphen/>
      </w:r>
      <w:r w:rsidRPr="00205DFF">
        <w:t>10(3).</w:t>
      </w:r>
      <w:r w:rsidRPr="002A7172" w:rsidDel="00B6201C">
        <w:t xml:space="preserve"> </w:t>
      </w:r>
      <w:r w:rsidRPr="00E464DC">
        <w:rPr>
          <w:rStyle w:val="Referencingstyle"/>
        </w:rPr>
        <w:t>[Schedule 1, Part 1, item 1</w:t>
      </w:r>
      <w:r w:rsidR="00494CD8">
        <w:rPr>
          <w:rStyle w:val="Referencingstyle"/>
        </w:rPr>
        <w:t>65</w:t>
      </w:r>
      <w:r w:rsidRPr="00E464DC">
        <w:rPr>
          <w:rStyle w:val="Referencingstyle"/>
        </w:rPr>
        <w:t>]</w:t>
      </w:r>
    </w:p>
    <w:p w14:paraId="6D322A53" w14:textId="77777777" w:rsidR="00E464DC" w:rsidRPr="00464E54" w:rsidRDefault="00E464DC" w:rsidP="000F194A">
      <w:pPr>
        <w:pStyle w:val="base-text-paragraph"/>
        <w:rPr>
          <w:rStyle w:val="Referencingstyle"/>
          <w:b w:val="0"/>
          <w:i w:val="0"/>
          <w:sz w:val="22"/>
        </w:rPr>
      </w:pPr>
      <w:r>
        <w:t>Section 333-25,</w:t>
      </w:r>
      <w:r w:rsidRPr="00AE4277">
        <w:t xml:space="preserve"> </w:t>
      </w:r>
      <w:r>
        <w:t>which previously dealt with Private Health Insurance Rules made by the Council, has been replaced with a new section 333-25. The new section provides that APRA may make Private Health Insurance (Risk Equalisation Administration) Rules providing for matters mentioned in section 318-15 (record-keeping for insurers liable for the Risk Equalisation Levy). It also provides that, to the extent that Private Health Insurance (Risk Equalisation Administration) Rules d</w:t>
      </w:r>
      <w:r w:rsidR="00625CF3">
        <w:t>eal with matters dealt with in r</w:t>
      </w:r>
      <w:r>
        <w:t xml:space="preserve">ules made by the Health </w:t>
      </w:r>
      <w:r w:rsidR="00B2761E">
        <w:t>Minister</w:t>
      </w:r>
      <w:r>
        <w:t xml:space="preserve"> under section 333-20, they must not be inconsistent.</w:t>
      </w:r>
      <w:r w:rsidDel="00AE3C03">
        <w:t xml:space="preserve"> </w:t>
      </w:r>
      <w:r w:rsidRPr="00E834F2">
        <w:rPr>
          <w:rStyle w:val="Referencingstyle"/>
        </w:rPr>
        <w:t>[Schedule 1, Part 1, item 1</w:t>
      </w:r>
      <w:r w:rsidR="00494CD8">
        <w:rPr>
          <w:rStyle w:val="Referencingstyle"/>
        </w:rPr>
        <w:t>66</w:t>
      </w:r>
      <w:r w:rsidRPr="00E834F2">
        <w:rPr>
          <w:rStyle w:val="Referencingstyle"/>
        </w:rPr>
        <w:t>]</w:t>
      </w:r>
    </w:p>
    <w:p w14:paraId="388E94C2" w14:textId="77777777" w:rsidR="00E464DC" w:rsidRPr="00464E54" w:rsidRDefault="00E464DC" w:rsidP="000F194A">
      <w:pPr>
        <w:pStyle w:val="base-text-paragraph"/>
        <w:rPr>
          <w:rStyle w:val="Referencingstyle"/>
          <w:b w:val="0"/>
          <w:i w:val="0"/>
          <w:sz w:val="22"/>
        </w:rPr>
      </w:pPr>
      <w:r>
        <w:t>Section 333-25 enabled the making of Private Health Insurance (Health Benefits Fund Administration) Rules and Private Health Insurance (Insurer Obl</w:t>
      </w:r>
      <w:r w:rsidR="007D5441">
        <w:t xml:space="preserve">igation) Rules by the Council. </w:t>
      </w:r>
      <w:r>
        <w:t xml:space="preserve">Matters </w:t>
      </w:r>
      <w:r w:rsidR="00625CF3">
        <w:t>previously dealt with in those r</w:t>
      </w:r>
      <w:r>
        <w:t xml:space="preserve">ules will be included in APRA Rules made under the </w:t>
      </w:r>
      <w:r w:rsidR="00E9202F">
        <w:t>Prudential Supervision Bill</w:t>
      </w:r>
      <w:r w:rsidRPr="00C85607">
        <w:t xml:space="preserve">. </w:t>
      </w:r>
    </w:p>
    <w:p w14:paraId="50EDB1D0" w14:textId="77777777" w:rsidR="006E2DFD" w:rsidRDefault="00F20279" w:rsidP="00E93AB0">
      <w:pPr>
        <w:pStyle w:val="Heading6"/>
      </w:pPr>
      <w:r>
        <w:t xml:space="preserve">Schedule 1 – Dictionary </w:t>
      </w:r>
    </w:p>
    <w:p w14:paraId="49CB6283" w14:textId="77777777" w:rsidR="006E2DFD" w:rsidRDefault="006E2DFD" w:rsidP="007D5441">
      <w:pPr>
        <w:pStyle w:val="base-text-paragraph"/>
        <w:tabs>
          <w:tab w:val="clear" w:pos="1985"/>
          <w:tab w:val="num" w:pos="1986"/>
        </w:tabs>
      </w:pPr>
      <w:r>
        <w:t>The following definitions are being repealed from the Dictionary in Schedule 1</w:t>
      </w:r>
      <w:r w:rsidR="00E464DC" w:rsidRPr="00E464DC">
        <w:t xml:space="preserve"> </w:t>
      </w:r>
      <w:r w:rsidR="00E464DC">
        <w:t>as</w:t>
      </w:r>
      <w:r w:rsidR="00E464DC" w:rsidRPr="00C85607">
        <w:t xml:space="preserve"> they are expressions that will no longer be used in the PHI </w:t>
      </w:r>
      <w:r w:rsidR="007D5441">
        <w:t xml:space="preserve">Act after it is amended by the </w:t>
      </w:r>
      <w:r w:rsidR="007D5441" w:rsidRPr="007D5441">
        <w:t>Consequential Amendments and Transitional Provisions Bill</w:t>
      </w:r>
      <w:r w:rsidR="00E464DC" w:rsidRPr="00C85607">
        <w:t xml:space="preserve">. </w:t>
      </w:r>
      <w:r w:rsidR="005E31E6">
        <w:rPr>
          <w:rStyle w:val="Referencingstyle"/>
        </w:rPr>
        <w:t>[Schedule 1, Part 1, item</w:t>
      </w:r>
      <w:r w:rsidR="00793BC3">
        <w:rPr>
          <w:rStyle w:val="Referencingstyle"/>
        </w:rPr>
        <w:t>s</w:t>
      </w:r>
      <w:r w:rsidR="005E31E6">
        <w:rPr>
          <w:rStyle w:val="Referencingstyle"/>
        </w:rPr>
        <w:t xml:space="preserve"> </w:t>
      </w:r>
      <w:r w:rsidR="00793BC3">
        <w:rPr>
          <w:rStyle w:val="Referencingstyle"/>
        </w:rPr>
        <w:t>167,</w:t>
      </w:r>
      <w:r w:rsidR="005E31E6">
        <w:rPr>
          <w:rStyle w:val="Referencingstyle"/>
        </w:rPr>
        <w:t xml:space="preserve"> 1</w:t>
      </w:r>
      <w:r w:rsidR="00494CD8">
        <w:rPr>
          <w:rStyle w:val="Referencingstyle"/>
        </w:rPr>
        <w:t>69</w:t>
      </w:r>
      <w:r w:rsidR="005E31E6">
        <w:rPr>
          <w:rStyle w:val="Referencingstyle"/>
        </w:rPr>
        <w:t>, 1</w:t>
      </w:r>
      <w:r w:rsidR="00494CD8">
        <w:rPr>
          <w:rStyle w:val="Referencingstyle"/>
        </w:rPr>
        <w:t>71</w:t>
      </w:r>
      <w:r w:rsidR="005E31E6">
        <w:rPr>
          <w:rStyle w:val="Referencingstyle"/>
        </w:rPr>
        <w:t>, 1</w:t>
      </w:r>
      <w:r w:rsidR="00494CD8">
        <w:rPr>
          <w:rStyle w:val="Referencingstyle"/>
        </w:rPr>
        <w:t>73</w:t>
      </w:r>
      <w:r w:rsidR="005E31E6">
        <w:rPr>
          <w:rStyle w:val="Referencingstyle"/>
        </w:rPr>
        <w:t>, and 1</w:t>
      </w:r>
      <w:r w:rsidR="00494CD8">
        <w:rPr>
          <w:rStyle w:val="Referencingstyle"/>
        </w:rPr>
        <w:t>77</w:t>
      </w:r>
      <w:r w:rsidR="005E31E6" w:rsidRPr="00E834F2">
        <w:rPr>
          <w:rStyle w:val="Referencingstyle"/>
        </w:rPr>
        <w:t>]</w:t>
      </w:r>
      <w:r w:rsidR="005E31E6" w:rsidDel="00777480">
        <w:rPr>
          <w:rStyle w:val="Referencingstyle"/>
        </w:rPr>
        <w:t xml:space="preserve"> </w:t>
      </w:r>
      <w:r w:rsidR="00625CF3">
        <w:rPr>
          <w:rStyle w:val="Referencingstyle"/>
        </w:rPr>
        <w:t xml:space="preserve"> </w:t>
      </w:r>
      <w:r w:rsidR="00E464DC" w:rsidRPr="00C85607">
        <w:t>For example, the definition of policy liability is being repealed because that expression is currently used only in sections 137</w:t>
      </w:r>
      <w:r w:rsidR="00E464DC" w:rsidRPr="00C85607">
        <w:noBreakHyphen/>
        <w:t>10(2), 146</w:t>
      </w:r>
      <w:r w:rsidR="00E464DC" w:rsidRPr="00C85607">
        <w:noBreakHyphen/>
        <w:t>1(4), 146</w:t>
      </w:r>
      <w:r w:rsidR="00E464DC" w:rsidRPr="00C85607">
        <w:noBreakHyphen/>
        <w:t>5(5) and in the dictionary definition of net asset position: all those provisions are being repealed by th</w:t>
      </w:r>
      <w:r w:rsidR="007D5441">
        <w:t>e</w:t>
      </w:r>
      <w:r w:rsidR="007D5441" w:rsidRPr="007D5441">
        <w:rPr>
          <w:lang w:val="en-US" w:eastAsia="en-US"/>
        </w:rPr>
        <w:t xml:space="preserve"> </w:t>
      </w:r>
      <w:r w:rsidR="007D5441">
        <w:rPr>
          <w:lang w:val="en-US" w:eastAsia="en-US"/>
        </w:rPr>
        <w:t>Consequential Amendments and Transitional Provisions Bill</w:t>
      </w:r>
      <w:r>
        <w:t>:</w:t>
      </w:r>
    </w:p>
    <w:p w14:paraId="1A8F0F4A" w14:textId="77777777" w:rsidR="006E2DFD" w:rsidRDefault="006E2DFD" w:rsidP="00B83F6C">
      <w:pPr>
        <w:pStyle w:val="dotpoint"/>
      </w:pPr>
      <w:r>
        <w:t>ADI</w:t>
      </w:r>
      <w:r w:rsidR="00651C43">
        <w:t>;</w:t>
      </w:r>
    </w:p>
    <w:p w14:paraId="7D4A393C" w14:textId="77777777" w:rsidR="006E2DFD" w:rsidRDefault="00E464DC" w:rsidP="00B83F6C">
      <w:pPr>
        <w:pStyle w:val="dotpoint"/>
      </w:pPr>
      <w:r>
        <w:t>a</w:t>
      </w:r>
      <w:r w:rsidR="006E2DFD">
        <w:t>pplication provision</w:t>
      </w:r>
      <w:r w:rsidR="00651C43">
        <w:t>;</w:t>
      </w:r>
    </w:p>
    <w:p w14:paraId="2382AB35" w14:textId="77777777" w:rsidR="006E2DFD" w:rsidRDefault="00E464DC" w:rsidP="00B83F6C">
      <w:pPr>
        <w:pStyle w:val="dotpoint"/>
      </w:pPr>
      <w:r>
        <w:t>a</w:t>
      </w:r>
      <w:r w:rsidR="006E2DFD">
        <w:t>pplied Corporations Act provision</w:t>
      </w:r>
      <w:r w:rsidR="00651C43">
        <w:t>;</w:t>
      </w:r>
    </w:p>
    <w:p w14:paraId="66EEE632" w14:textId="77777777" w:rsidR="006E2DFD" w:rsidRDefault="00E464DC" w:rsidP="00B83F6C">
      <w:pPr>
        <w:pStyle w:val="dotpoint"/>
      </w:pPr>
      <w:r>
        <w:t>a</w:t>
      </w:r>
      <w:r w:rsidR="006E2DFD">
        <w:t>ppointed actuary</w:t>
      </w:r>
      <w:r w:rsidR="00651C43">
        <w:t>;</w:t>
      </w:r>
    </w:p>
    <w:p w14:paraId="7601F31D" w14:textId="77777777" w:rsidR="006E2DFD" w:rsidRDefault="00777480" w:rsidP="00B83F6C">
      <w:pPr>
        <w:pStyle w:val="dotpoint"/>
      </w:pPr>
      <w:r>
        <w:t>a</w:t>
      </w:r>
      <w:r w:rsidR="006E2DFD">
        <w:t>ssets</w:t>
      </w:r>
      <w:r w:rsidR="00651C43">
        <w:t>;</w:t>
      </w:r>
    </w:p>
    <w:p w14:paraId="43D88F67" w14:textId="77777777" w:rsidR="006E2DFD" w:rsidRDefault="00E464DC" w:rsidP="00B83F6C">
      <w:pPr>
        <w:pStyle w:val="dotpoint"/>
      </w:pPr>
      <w:r>
        <w:t>c</w:t>
      </w:r>
      <w:r w:rsidR="006E2DFD">
        <w:t>apital adequacy direction</w:t>
      </w:r>
      <w:r w:rsidR="00651C43">
        <w:t>;</w:t>
      </w:r>
    </w:p>
    <w:p w14:paraId="66024399" w14:textId="77777777" w:rsidR="006E2DFD" w:rsidRDefault="00E464DC" w:rsidP="00B83F6C">
      <w:pPr>
        <w:pStyle w:val="dotpoint"/>
      </w:pPr>
      <w:r>
        <w:t>c</w:t>
      </w:r>
      <w:r w:rsidR="006E2DFD">
        <w:t>apital adequacy standard</w:t>
      </w:r>
      <w:r w:rsidR="00651C43">
        <w:t>;</w:t>
      </w:r>
    </w:p>
    <w:p w14:paraId="7FE834F9" w14:textId="77777777" w:rsidR="006E2DFD" w:rsidRDefault="00E464DC" w:rsidP="00B83F6C">
      <w:pPr>
        <w:pStyle w:val="dotpoint"/>
      </w:pPr>
      <w:r>
        <w:t>c</w:t>
      </w:r>
      <w:r w:rsidR="00651C43">
        <w:t>ensus day;</w:t>
      </w:r>
    </w:p>
    <w:p w14:paraId="0A451FFC" w14:textId="77777777" w:rsidR="006E2DFD" w:rsidRDefault="006E2DFD" w:rsidP="00B83F6C">
      <w:pPr>
        <w:pStyle w:val="dotpoint"/>
      </w:pPr>
      <w:r>
        <w:t>Chief Executive Officer</w:t>
      </w:r>
      <w:r w:rsidR="00651C43">
        <w:t>;</w:t>
      </w:r>
    </w:p>
    <w:p w14:paraId="18E8ACD7" w14:textId="77777777" w:rsidR="006E2DFD" w:rsidRDefault="00E464DC" w:rsidP="00B83F6C">
      <w:pPr>
        <w:pStyle w:val="dotpoint"/>
      </w:pPr>
      <w:r>
        <w:t>c</w:t>
      </w:r>
      <w:r w:rsidR="006E2DFD">
        <w:t>ollapsed insurer levy</w:t>
      </w:r>
      <w:r w:rsidR="00651C43">
        <w:t>;</w:t>
      </w:r>
    </w:p>
    <w:p w14:paraId="313B609D" w14:textId="77777777" w:rsidR="006E2DFD" w:rsidRDefault="006E2DFD" w:rsidP="00B83F6C">
      <w:pPr>
        <w:pStyle w:val="dotpoint"/>
      </w:pPr>
      <w:r>
        <w:t>Commissioner</w:t>
      </w:r>
      <w:r w:rsidR="00651C43">
        <w:t>;</w:t>
      </w:r>
    </w:p>
    <w:p w14:paraId="4DF63CD4" w14:textId="77777777" w:rsidR="006E2DFD" w:rsidRDefault="006E2DFD" w:rsidP="00B83F6C">
      <w:pPr>
        <w:pStyle w:val="dotpoint"/>
      </w:pPr>
      <w:r>
        <w:t>Council</w:t>
      </w:r>
      <w:r w:rsidR="00651C43">
        <w:t>;</w:t>
      </w:r>
    </w:p>
    <w:p w14:paraId="7A886A07" w14:textId="77777777" w:rsidR="006E2DFD" w:rsidRDefault="006E2DFD" w:rsidP="00B83F6C">
      <w:pPr>
        <w:pStyle w:val="dotpoint"/>
      </w:pPr>
      <w:r>
        <w:t>Council administration levy</w:t>
      </w:r>
      <w:r w:rsidR="00651C43">
        <w:t>;</w:t>
      </w:r>
    </w:p>
    <w:p w14:paraId="5E5886A7" w14:textId="77777777" w:rsidR="006E2DFD" w:rsidRDefault="006E2DFD" w:rsidP="00B83F6C">
      <w:pPr>
        <w:pStyle w:val="dotpoint"/>
      </w:pPr>
      <w:r>
        <w:t>Council-supervised obligation</w:t>
      </w:r>
      <w:r w:rsidR="00651C43">
        <w:t>;</w:t>
      </w:r>
    </w:p>
    <w:p w14:paraId="0532951B" w14:textId="77777777" w:rsidR="006E2DFD" w:rsidRDefault="00651C43" w:rsidP="00B83F6C">
      <w:pPr>
        <w:pStyle w:val="dotpoint"/>
      </w:pPr>
      <w:r>
        <w:t xml:space="preserve">Deputy </w:t>
      </w:r>
      <w:r w:rsidR="00E464DC">
        <w:t>C</w:t>
      </w:r>
      <w:r>
        <w:t>ommissioner;</w:t>
      </w:r>
    </w:p>
    <w:p w14:paraId="008ED786" w14:textId="77777777" w:rsidR="006E2DFD" w:rsidRDefault="00E464DC" w:rsidP="00B83F6C">
      <w:pPr>
        <w:pStyle w:val="dotpoint"/>
      </w:pPr>
      <w:r>
        <w:t>d</w:t>
      </w:r>
      <w:r w:rsidR="006E2DFD">
        <w:t>isqualified person</w:t>
      </w:r>
      <w:r w:rsidR="00651C43">
        <w:t>;</w:t>
      </w:r>
    </w:p>
    <w:p w14:paraId="02EED154" w14:textId="77777777" w:rsidR="006E2DFD" w:rsidRDefault="00E464DC" w:rsidP="00B83F6C">
      <w:pPr>
        <w:pStyle w:val="dotpoint"/>
      </w:pPr>
      <w:r>
        <w:t>e</w:t>
      </w:r>
      <w:r w:rsidR="006E2DFD">
        <w:t>xternal management</w:t>
      </w:r>
      <w:r w:rsidR="00651C43">
        <w:t>;</w:t>
      </w:r>
    </w:p>
    <w:p w14:paraId="1EE125FC" w14:textId="77777777" w:rsidR="006E2DFD" w:rsidRDefault="00E464DC" w:rsidP="00B83F6C">
      <w:pPr>
        <w:pStyle w:val="dotpoint"/>
      </w:pPr>
      <w:r>
        <w:t>e</w:t>
      </w:r>
      <w:r w:rsidR="006E2DFD">
        <w:t>xternal manager</w:t>
      </w:r>
      <w:r w:rsidR="00651C43">
        <w:t>;</w:t>
      </w:r>
    </w:p>
    <w:p w14:paraId="3E7B08CD" w14:textId="77777777" w:rsidR="006E2DFD" w:rsidRDefault="00E464DC" w:rsidP="00B83F6C">
      <w:pPr>
        <w:pStyle w:val="dotpoint"/>
      </w:pPr>
      <w:r>
        <w:t>f</w:t>
      </w:r>
      <w:r w:rsidR="006E2DFD">
        <w:t>ringe benefit</w:t>
      </w:r>
      <w:r w:rsidR="00651C43">
        <w:t>;</w:t>
      </w:r>
    </w:p>
    <w:p w14:paraId="110D8046" w14:textId="77777777" w:rsidR="006E2DFD" w:rsidRDefault="006E2DFD" w:rsidP="00B83F6C">
      <w:pPr>
        <w:pStyle w:val="dotpoint"/>
      </w:pPr>
      <w:r>
        <w:t>Human Services Department</w:t>
      </w:r>
      <w:r w:rsidR="00651C43">
        <w:t>;</w:t>
      </w:r>
    </w:p>
    <w:p w14:paraId="4DFEA67D" w14:textId="77777777" w:rsidR="006E2DFD" w:rsidRDefault="006E2DFD" w:rsidP="00B83F6C">
      <w:pPr>
        <w:pStyle w:val="dotpoint"/>
      </w:pPr>
      <w:r>
        <w:t>Human Services Minister</w:t>
      </w:r>
      <w:r w:rsidR="00651C43">
        <w:t>;</w:t>
      </w:r>
    </w:p>
    <w:p w14:paraId="3D45F7EE" w14:textId="77777777" w:rsidR="006E2DFD" w:rsidRDefault="00E464DC" w:rsidP="00B83F6C">
      <w:pPr>
        <w:pStyle w:val="dotpoint"/>
      </w:pPr>
      <w:r>
        <w:t>i</w:t>
      </w:r>
      <w:r w:rsidR="006E2DFD">
        <w:t>nspector</w:t>
      </w:r>
      <w:r w:rsidR="00651C43">
        <w:t>;</w:t>
      </w:r>
    </w:p>
    <w:p w14:paraId="40453C3A" w14:textId="77777777" w:rsidR="006E2DFD" w:rsidRDefault="00E464DC" w:rsidP="00B83F6C">
      <w:pPr>
        <w:pStyle w:val="dotpoint"/>
      </w:pPr>
      <w:r>
        <w:t>m</w:t>
      </w:r>
      <w:r w:rsidR="006E2DFD">
        <w:t>akes a capital payment</w:t>
      </w:r>
      <w:r w:rsidR="00651C43">
        <w:t>;</w:t>
      </w:r>
    </w:p>
    <w:p w14:paraId="3B2463F3" w14:textId="77777777" w:rsidR="006E2DFD" w:rsidRDefault="00E464DC" w:rsidP="00B83F6C">
      <w:pPr>
        <w:pStyle w:val="dotpoint"/>
      </w:pPr>
      <w:r>
        <w:t>m</w:t>
      </w:r>
      <w:r w:rsidR="006E2DFD">
        <w:t>anager</w:t>
      </w:r>
      <w:r w:rsidR="00651C43">
        <w:t>;</w:t>
      </w:r>
    </w:p>
    <w:p w14:paraId="7E1B23CF" w14:textId="77777777" w:rsidR="006E2DFD" w:rsidRDefault="00E464DC" w:rsidP="00B83F6C">
      <w:pPr>
        <w:pStyle w:val="dotpoint"/>
      </w:pPr>
      <w:r>
        <w:t>m</w:t>
      </w:r>
      <w:r w:rsidR="006E2DFD">
        <w:t>ember</w:t>
      </w:r>
      <w:r w:rsidR="00651C43">
        <w:t>;</w:t>
      </w:r>
    </w:p>
    <w:p w14:paraId="7239C7CA" w14:textId="77777777" w:rsidR="006E2DFD" w:rsidRDefault="00E464DC" w:rsidP="00B83F6C">
      <w:pPr>
        <w:pStyle w:val="dotpoint"/>
      </w:pPr>
      <w:r>
        <w:t>n</w:t>
      </w:r>
      <w:r w:rsidR="006E2DFD">
        <w:t>et asset position</w:t>
      </w:r>
      <w:r w:rsidR="00651C43">
        <w:t>;</w:t>
      </w:r>
    </w:p>
    <w:p w14:paraId="2DB27982" w14:textId="77777777" w:rsidR="006E2DFD" w:rsidRDefault="00E464DC" w:rsidP="00B83F6C">
      <w:pPr>
        <w:pStyle w:val="dotpoint"/>
      </w:pPr>
      <w:r>
        <w:t>p</w:t>
      </w:r>
      <w:r w:rsidR="006E2DFD">
        <w:t>olicy group</w:t>
      </w:r>
      <w:r w:rsidR="00651C43">
        <w:t>;</w:t>
      </w:r>
    </w:p>
    <w:p w14:paraId="32EC4413" w14:textId="77777777" w:rsidR="006E2DFD" w:rsidRDefault="00E464DC" w:rsidP="00B83F6C">
      <w:pPr>
        <w:pStyle w:val="dotpoint"/>
      </w:pPr>
      <w:r>
        <w:t>p</w:t>
      </w:r>
      <w:r w:rsidR="006E2DFD">
        <w:t>olicy liability</w:t>
      </w:r>
      <w:r w:rsidR="00651C43">
        <w:t>;</w:t>
      </w:r>
    </w:p>
    <w:p w14:paraId="2CFC4A32" w14:textId="77777777" w:rsidR="006E2DFD" w:rsidRDefault="00E464DC" w:rsidP="00B83F6C">
      <w:pPr>
        <w:pStyle w:val="dotpoint"/>
      </w:pPr>
      <w:r>
        <w:t>p</w:t>
      </w:r>
      <w:r w:rsidR="006E2DFD">
        <w:t>rudential direction</w:t>
      </w:r>
      <w:r w:rsidR="00651C43">
        <w:t>;</w:t>
      </w:r>
    </w:p>
    <w:p w14:paraId="65B729F7" w14:textId="77777777" w:rsidR="006E2DFD" w:rsidRDefault="00E464DC" w:rsidP="00B83F6C">
      <w:pPr>
        <w:pStyle w:val="dotpoint"/>
      </w:pPr>
      <w:r>
        <w:t>p</w:t>
      </w:r>
      <w:r w:rsidR="006E2DFD">
        <w:t>rudential matters</w:t>
      </w:r>
      <w:r w:rsidR="00651C43">
        <w:t>;</w:t>
      </w:r>
    </w:p>
    <w:p w14:paraId="3ED1E5B6" w14:textId="77777777" w:rsidR="006E2DFD" w:rsidRDefault="00E464DC" w:rsidP="00B83F6C">
      <w:pPr>
        <w:pStyle w:val="dotpoint"/>
      </w:pPr>
      <w:r>
        <w:t>p</w:t>
      </w:r>
      <w:r w:rsidR="006E2DFD">
        <w:t>rudential standard</w:t>
      </w:r>
      <w:r w:rsidR="00651C43">
        <w:t>;</w:t>
      </w:r>
    </w:p>
    <w:p w14:paraId="1566500F" w14:textId="77777777" w:rsidR="006E2DFD" w:rsidRDefault="00E464DC" w:rsidP="00B83F6C">
      <w:pPr>
        <w:pStyle w:val="dotpoint"/>
      </w:pPr>
      <w:r>
        <w:t>r</w:t>
      </w:r>
      <w:r w:rsidR="006E2DFD">
        <w:t>egistered as a for profit insurer</w:t>
      </w:r>
      <w:r w:rsidR="00651C43">
        <w:t>;</w:t>
      </w:r>
    </w:p>
    <w:p w14:paraId="111A1A3B" w14:textId="77777777" w:rsidR="006E2DFD" w:rsidRDefault="00E464DC" w:rsidP="00B83F6C">
      <w:pPr>
        <w:pStyle w:val="dotpoint"/>
      </w:pPr>
      <w:r>
        <w:t>r</w:t>
      </w:r>
      <w:r w:rsidR="006E2DFD">
        <w:t>esponsible insurer</w:t>
      </w:r>
      <w:r w:rsidR="00651C43">
        <w:t>;</w:t>
      </w:r>
    </w:p>
    <w:p w14:paraId="316D078D" w14:textId="77777777" w:rsidR="006E2DFD" w:rsidRDefault="00E464DC" w:rsidP="00B83F6C">
      <w:pPr>
        <w:pStyle w:val="dotpoint"/>
      </w:pPr>
      <w:r>
        <w:t>r</w:t>
      </w:r>
      <w:r w:rsidR="006E2DFD">
        <w:t>estricted access group</w:t>
      </w:r>
      <w:r w:rsidR="00651C43">
        <w:t>;</w:t>
      </w:r>
    </w:p>
    <w:p w14:paraId="3EC775F4" w14:textId="77777777" w:rsidR="006E2DFD" w:rsidRDefault="00DA3F49" w:rsidP="00B83F6C">
      <w:pPr>
        <w:pStyle w:val="dotpoint"/>
      </w:pPr>
      <w:r>
        <w:t>R</w:t>
      </w:r>
      <w:r w:rsidR="006E2DFD">
        <w:t>isk Equalisation Trust Fund</w:t>
      </w:r>
      <w:r w:rsidR="00651C43">
        <w:t>;</w:t>
      </w:r>
    </w:p>
    <w:p w14:paraId="0504E14B" w14:textId="77777777" w:rsidR="006E2DFD" w:rsidRDefault="00E464DC" w:rsidP="00B83F6C">
      <w:pPr>
        <w:pStyle w:val="dotpoint"/>
      </w:pPr>
      <w:r>
        <w:t>s</w:t>
      </w:r>
      <w:r w:rsidR="006E2DFD">
        <w:t>enior manager</w:t>
      </w:r>
      <w:r w:rsidR="00651C43">
        <w:t>;</w:t>
      </w:r>
    </w:p>
    <w:p w14:paraId="2743B0F2" w14:textId="77777777" w:rsidR="006E2DFD" w:rsidRDefault="00E464DC" w:rsidP="00B83F6C">
      <w:pPr>
        <w:pStyle w:val="dotpoint"/>
      </w:pPr>
      <w:r>
        <w:t>s</w:t>
      </w:r>
      <w:r w:rsidR="006E2DFD">
        <w:t>olvency direction</w:t>
      </w:r>
      <w:r w:rsidR="00651C43">
        <w:t>;</w:t>
      </w:r>
    </w:p>
    <w:p w14:paraId="6AE7FE51" w14:textId="77777777" w:rsidR="006E2DFD" w:rsidRDefault="00E464DC" w:rsidP="00B83F6C">
      <w:pPr>
        <w:pStyle w:val="dotpoint"/>
      </w:pPr>
      <w:r>
        <w:t>s</w:t>
      </w:r>
      <w:r w:rsidR="006E2DFD">
        <w:t>olvency standard</w:t>
      </w:r>
      <w:r w:rsidR="00651C43">
        <w:t>;</w:t>
      </w:r>
    </w:p>
    <w:p w14:paraId="6114516D" w14:textId="77777777" w:rsidR="006E2DFD" w:rsidRDefault="00E464DC" w:rsidP="00B83F6C">
      <w:pPr>
        <w:pStyle w:val="dotpoint"/>
      </w:pPr>
      <w:r>
        <w:t>t</w:t>
      </w:r>
      <w:r w:rsidR="006E2DFD">
        <w:t>erminating management</w:t>
      </w:r>
      <w:r w:rsidR="00651C43">
        <w:t>;</w:t>
      </w:r>
    </w:p>
    <w:p w14:paraId="6384A0EE" w14:textId="77777777" w:rsidR="006E2DFD" w:rsidRDefault="00E464DC" w:rsidP="00B83F6C">
      <w:pPr>
        <w:pStyle w:val="dotpoint"/>
      </w:pPr>
      <w:r>
        <w:t>t</w:t>
      </w:r>
      <w:r w:rsidR="006E2DFD">
        <w:t>erminating manager</w:t>
      </w:r>
      <w:r w:rsidR="00651C43">
        <w:t>;</w:t>
      </w:r>
    </w:p>
    <w:p w14:paraId="721EBE99" w14:textId="77777777" w:rsidR="006E2DFD" w:rsidRDefault="00E464DC" w:rsidP="00B83F6C">
      <w:pPr>
        <w:pStyle w:val="dotpoint"/>
      </w:pPr>
      <w:r>
        <w:t>t</w:t>
      </w:r>
      <w:r w:rsidR="006E2DFD">
        <w:t>ermination day</w:t>
      </w:r>
      <w:r w:rsidR="00651C43">
        <w:t>; and</w:t>
      </w:r>
    </w:p>
    <w:p w14:paraId="2082E241" w14:textId="77777777" w:rsidR="006E2DFD" w:rsidRDefault="00E464DC" w:rsidP="00B83F6C">
      <w:pPr>
        <w:pStyle w:val="dotpoint"/>
      </w:pPr>
      <w:r>
        <w:t>v</w:t>
      </w:r>
      <w:r w:rsidR="006E2DFD">
        <w:t>oluntary deed of arrangement</w:t>
      </w:r>
      <w:r w:rsidR="00651C43">
        <w:t>.</w:t>
      </w:r>
    </w:p>
    <w:p w14:paraId="582E9607" w14:textId="77777777" w:rsidR="00E464DC" w:rsidRDefault="006E2DFD" w:rsidP="000F194A">
      <w:pPr>
        <w:pStyle w:val="base-text-paragraph"/>
      </w:pPr>
      <w:r>
        <w:t xml:space="preserve">The </w:t>
      </w:r>
      <w:r w:rsidR="00E464DC">
        <w:t xml:space="preserve">definition of </w:t>
      </w:r>
      <w:r w:rsidR="00E464DC" w:rsidRPr="00C85607">
        <w:t>personal information in the PHI Act</w:t>
      </w:r>
      <w:r w:rsidR="00E464DC">
        <w:t xml:space="preserve"> has been retained</w:t>
      </w:r>
      <w:r w:rsidR="00E464DC" w:rsidRPr="00C85607">
        <w:t>.</w:t>
      </w:r>
      <w:r w:rsidR="00FC1EFE">
        <w:t xml:space="preserve"> </w:t>
      </w:r>
      <w:r w:rsidR="00E464DC">
        <w:t>It is noted that a</w:t>
      </w:r>
      <w:r w:rsidR="00E464DC" w:rsidRPr="00C85607">
        <w:t xml:space="preserve">fter the amendments made by </w:t>
      </w:r>
      <w:r w:rsidR="007D5441" w:rsidRPr="00C85607">
        <w:t>th</w:t>
      </w:r>
      <w:r w:rsidR="007D5441">
        <w:t>e</w:t>
      </w:r>
      <w:r w:rsidR="007D5441" w:rsidRPr="007D5441">
        <w:rPr>
          <w:lang w:val="en-US" w:eastAsia="en-US"/>
        </w:rPr>
        <w:t xml:space="preserve"> </w:t>
      </w:r>
      <w:r w:rsidR="007D5441">
        <w:rPr>
          <w:lang w:val="en-US" w:eastAsia="en-US"/>
        </w:rPr>
        <w:t>Consequential Amendments and Transitional Provisions Bill</w:t>
      </w:r>
      <w:r w:rsidR="00E464DC" w:rsidRPr="00C85607">
        <w:t xml:space="preserve"> and the </w:t>
      </w:r>
      <w:r w:rsidR="003830D5">
        <w:t>Private Health Insurance Amendment Bill (No. 2) 2014</w:t>
      </w:r>
      <w:r w:rsidR="00E464DC" w:rsidRPr="00C85607">
        <w:t>, the PHI Act will not actually use the expression personal information.</w:t>
      </w:r>
      <w:r w:rsidR="00FC1EFE">
        <w:t xml:space="preserve"> </w:t>
      </w:r>
      <w:r w:rsidR="00E464DC" w:rsidRPr="00C85607">
        <w:t xml:space="preserve">However, the definition </w:t>
      </w:r>
      <w:r w:rsidR="00E464DC">
        <w:t>is retained</w:t>
      </w:r>
      <w:r w:rsidR="00E464DC" w:rsidRPr="00C85607">
        <w:t xml:space="preserve"> because the </w:t>
      </w:r>
      <w:r w:rsidR="003830D5">
        <w:t>Private Health Insurance Amendment Bill (No. 2) 2014</w:t>
      </w:r>
      <w:r w:rsidR="00E464DC" w:rsidRPr="00C85607">
        <w:t xml:space="preserve"> includes a provision inserting into s</w:t>
      </w:r>
      <w:r w:rsidR="00FC1EFE">
        <w:t>ection</w:t>
      </w:r>
      <w:r w:rsidR="00E464DC" w:rsidRPr="00C85607">
        <w:t xml:space="preserve"> 3(1) of the Ombudsman Act a defi</w:t>
      </w:r>
      <w:r w:rsidR="007D5441">
        <w:t>nition of ‘personal information’</w:t>
      </w:r>
      <w:r w:rsidR="00E464DC" w:rsidRPr="00C85607">
        <w:t xml:space="preserve"> that cross</w:t>
      </w:r>
      <w:r w:rsidR="00E464DC" w:rsidRPr="00C85607">
        <w:noBreakHyphen/>
        <w:t>refers to the definition of personal information in the PHI Act.</w:t>
      </w:r>
    </w:p>
    <w:p w14:paraId="0E3E7026" w14:textId="77777777" w:rsidR="00E464DC" w:rsidRDefault="00E464DC" w:rsidP="000F194A">
      <w:pPr>
        <w:pStyle w:val="base-text-paragraph"/>
      </w:pPr>
      <w:r w:rsidRPr="00C85607">
        <w:t xml:space="preserve">The definition of </w:t>
      </w:r>
      <w:r w:rsidR="007D5441">
        <w:t>‘</w:t>
      </w:r>
      <w:r w:rsidRPr="00C85607">
        <w:t>private health insurer</w:t>
      </w:r>
      <w:r w:rsidR="007D5441">
        <w:t>’</w:t>
      </w:r>
      <w:r w:rsidRPr="00C85607">
        <w:t xml:space="preserve"> mirrors the definition</w:t>
      </w:r>
      <w:r w:rsidRPr="005E31E6">
        <w:t xml:space="preserve"> </w:t>
      </w:r>
      <w:r>
        <w:t>in the PHI Act in order to reduce the risk of cross-referencing becoming unlinked.</w:t>
      </w:r>
    </w:p>
    <w:p w14:paraId="0C6120F9" w14:textId="77777777" w:rsidR="006E2DFD" w:rsidRDefault="00FC1EFE" w:rsidP="000F194A">
      <w:pPr>
        <w:pStyle w:val="base-text-paragraph"/>
      </w:pPr>
      <w:r>
        <w:t>New definition</w:t>
      </w:r>
      <w:r w:rsidR="005E31E6">
        <w:t>s</w:t>
      </w:r>
      <w:r>
        <w:t xml:space="preserve"> for t</w:t>
      </w:r>
      <w:r w:rsidR="006E2DFD">
        <w:t xml:space="preserve">he following </w:t>
      </w:r>
      <w:r>
        <w:t>term</w:t>
      </w:r>
      <w:r w:rsidR="006E2DFD">
        <w:t xml:space="preserve">s have been inserted into the Dictionary in Schedule 1 </w:t>
      </w:r>
      <w:r w:rsidR="006E2DFD" w:rsidRPr="000711A1">
        <w:rPr>
          <w:rStyle w:val="Referencingstyle"/>
        </w:rPr>
        <w:t xml:space="preserve">[Schedule 1, Part 1, items </w:t>
      </w:r>
      <w:r>
        <w:rPr>
          <w:rStyle w:val="Referencingstyle"/>
        </w:rPr>
        <w:t>1</w:t>
      </w:r>
      <w:r w:rsidR="00494CD8">
        <w:rPr>
          <w:rStyle w:val="Referencingstyle"/>
        </w:rPr>
        <w:t>68</w:t>
      </w:r>
      <w:r>
        <w:rPr>
          <w:rStyle w:val="Referencingstyle"/>
        </w:rPr>
        <w:t xml:space="preserve"> and 1</w:t>
      </w:r>
      <w:r w:rsidR="00494CD8">
        <w:rPr>
          <w:rStyle w:val="Referencingstyle"/>
        </w:rPr>
        <w:t>76</w:t>
      </w:r>
      <w:r w:rsidR="006E2DFD" w:rsidRPr="000711A1">
        <w:rPr>
          <w:rStyle w:val="Referencingstyle"/>
        </w:rPr>
        <w:t>]</w:t>
      </w:r>
      <w:r w:rsidR="006E2DFD">
        <w:t>:</w:t>
      </w:r>
    </w:p>
    <w:p w14:paraId="053AA8A8" w14:textId="77777777" w:rsidR="006E2DFD" w:rsidRDefault="006E2DFD" w:rsidP="00B83F6C">
      <w:pPr>
        <w:pStyle w:val="dotpoint"/>
      </w:pPr>
      <w:r w:rsidRPr="00F20279">
        <w:rPr>
          <w:b/>
          <w:i/>
        </w:rPr>
        <w:t>APRA</w:t>
      </w:r>
      <w:r>
        <w:t xml:space="preserve"> </w:t>
      </w:r>
      <w:r w:rsidR="00FC1EFE">
        <w:t xml:space="preserve">– defined as </w:t>
      </w:r>
      <w:r>
        <w:t>mean</w:t>
      </w:r>
      <w:r w:rsidR="00FC1EFE">
        <w:t>ing</w:t>
      </w:r>
      <w:r>
        <w:t xml:space="preserve"> the Australian Prudential Regulation Authority</w:t>
      </w:r>
      <w:r w:rsidR="00FC1EFE">
        <w:t xml:space="preserve">; </w:t>
      </w:r>
    </w:p>
    <w:p w14:paraId="3664F159" w14:textId="77777777" w:rsidR="00FC1EFE" w:rsidRDefault="007D5441" w:rsidP="00FC1EFE">
      <w:pPr>
        <w:pStyle w:val="dotpoint"/>
      </w:pPr>
      <w:r w:rsidRPr="00F2667C">
        <w:t>‘</w:t>
      </w:r>
      <w:r w:rsidR="00FC1EFE" w:rsidRPr="001535D1">
        <w:t>APRA private health insurance duty, function or power</w:t>
      </w:r>
      <w:r w:rsidRPr="001535D1">
        <w:t>’</w:t>
      </w:r>
      <w:r w:rsidR="00FC1EFE">
        <w:rPr>
          <w:b/>
          <w:i/>
        </w:rPr>
        <w:t xml:space="preserve"> </w:t>
      </w:r>
      <w:r w:rsidR="00FC1EFE" w:rsidRPr="005E31E6">
        <w:rPr>
          <w:b/>
        </w:rPr>
        <w:t>–</w:t>
      </w:r>
      <w:r w:rsidR="00FC1EFE">
        <w:rPr>
          <w:b/>
          <w:i/>
        </w:rPr>
        <w:t xml:space="preserve"> </w:t>
      </w:r>
      <w:r w:rsidR="00FC1EFE">
        <w:t>readers are referred to subsection 323-1(1A). This definition is relevant for identifying the types of information protected under the disclosure of information provisions of the PHI Act in Division 323; and</w:t>
      </w:r>
    </w:p>
    <w:p w14:paraId="598BC5A3" w14:textId="77777777" w:rsidR="00FC1EFE" w:rsidRDefault="007D5441" w:rsidP="00FC1EFE">
      <w:pPr>
        <w:pStyle w:val="dotpoint"/>
      </w:pPr>
      <w:r w:rsidRPr="00F2667C">
        <w:t>‘</w:t>
      </w:r>
      <w:r w:rsidR="00FC1EFE" w:rsidRPr="001535D1">
        <w:t>Risk Equalisation Special Account</w:t>
      </w:r>
      <w:r w:rsidRPr="001535D1">
        <w:t>’</w:t>
      </w:r>
      <w:r w:rsidR="00FC1EFE">
        <w:rPr>
          <w:b/>
          <w:i/>
        </w:rPr>
        <w:t xml:space="preserve"> </w:t>
      </w:r>
      <w:r w:rsidR="00FC1EFE">
        <w:t>– readers are referred to subsection 3</w:t>
      </w:r>
      <w:r>
        <w:t xml:space="preserve">18-1(1) of the PHI Act. </w:t>
      </w:r>
      <w:r w:rsidR="00FC1EFE">
        <w:t xml:space="preserve">The Risk Equalisation Special Account replaces the Risk Equalisation Trust Fund. </w:t>
      </w:r>
    </w:p>
    <w:p w14:paraId="6229E40A" w14:textId="77777777" w:rsidR="00FC1EFE" w:rsidRDefault="00FC1EFE" w:rsidP="007D5441">
      <w:pPr>
        <w:pStyle w:val="base-text-paragraph"/>
        <w:tabs>
          <w:tab w:val="clear" w:pos="1985"/>
          <w:tab w:val="num" w:pos="1986"/>
        </w:tabs>
      </w:pPr>
      <w:r>
        <w:t xml:space="preserve">The definition of </w:t>
      </w:r>
      <w:r w:rsidRPr="007D5441">
        <w:rPr>
          <w:b/>
          <w:i/>
        </w:rPr>
        <w:t>private health insurer</w:t>
      </w:r>
      <w:r>
        <w:t xml:space="preserve"> in the Dictionary has been amended to </w:t>
      </w:r>
      <w:r w:rsidR="007D5441">
        <w:t>‘</w:t>
      </w:r>
      <w:r w:rsidRPr="007D5441">
        <w:rPr>
          <w:b/>
          <w:i/>
        </w:rPr>
        <w:t>private health insurer</w:t>
      </w:r>
      <w:r>
        <w:t xml:space="preserve"> means a body that is registered under Division 3 of Part 2 of </w:t>
      </w:r>
      <w:r w:rsidR="007D5441" w:rsidRPr="00F77F80">
        <w:t>Prudential Supervision Bill</w:t>
      </w:r>
      <w:r w:rsidR="00F77F80" w:rsidRPr="00F77F80">
        <w:t>’</w:t>
      </w:r>
      <w:r>
        <w:t xml:space="preserve"> to reflect that APRA has assumed the role of registering insurers under that </w:t>
      </w:r>
      <w:r w:rsidR="007D5441">
        <w:t>Bill</w:t>
      </w:r>
      <w:r>
        <w:t>.</w:t>
      </w:r>
      <w:r w:rsidRPr="005E31E6">
        <w:rPr>
          <w:rStyle w:val="Referencingstyle"/>
        </w:rPr>
        <w:t xml:space="preserve"> </w:t>
      </w:r>
      <w:r w:rsidRPr="00FC1EFE">
        <w:rPr>
          <w:rStyle w:val="Referencingstyle"/>
        </w:rPr>
        <w:t>[Schedule 1, Part 1, item</w:t>
      </w:r>
      <w:r w:rsidR="00464E54">
        <w:rPr>
          <w:rStyle w:val="Referencingstyle"/>
        </w:rPr>
        <w:t> </w:t>
      </w:r>
      <w:r w:rsidRPr="00FC1EFE">
        <w:rPr>
          <w:rStyle w:val="Referencingstyle"/>
        </w:rPr>
        <w:t>1</w:t>
      </w:r>
      <w:r w:rsidR="00494CD8">
        <w:rPr>
          <w:rStyle w:val="Referencingstyle"/>
        </w:rPr>
        <w:t>70</w:t>
      </w:r>
      <w:r w:rsidRPr="00FC1EFE">
        <w:rPr>
          <w:rStyle w:val="Referencingstyle"/>
        </w:rPr>
        <w:t>]</w:t>
      </w:r>
    </w:p>
    <w:p w14:paraId="7C1E4E10" w14:textId="77777777" w:rsidR="006E2DFD" w:rsidRDefault="006E2DFD" w:rsidP="000F194A">
      <w:pPr>
        <w:pStyle w:val="base-text-paragraph"/>
      </w:pPr>
      <w:r>
        <w:t xml:space="preserve">The definition of </w:t>
      </w:r>
      <w:r w:rsidRPr="00F20279">
        <w:rPr>
          <w:b/>
          <w:i/>
        </w:rPr>
        <w:t>restricted access insurer</w:t>
      </w:r>
      <w:r>
        <w:t xml:space="preserve"> in the Dictionary </w:t>
      </w:r>
      <w:r w:rsidR="007D5441">
        <w:t>has also been amended to ‘</w:t>
      </w:r>
      <w:r w:rsidRPr="00F20279">
        <w:rPr>
          <w:b/>
          <w:i/>
        </w:rPr>
        <w:t>restricted access insurer</w:t>
      </w:r>
      <w:r>
        <w:t xml:space="preserve"> has the same meaning as in the </w:t>
      </w:r>
      <w:r w:rsidR="00E9202F">
        <w:t>Prudential Supervision Bill</w:t>
      </w:r>
      <w:r w:rsidR="007D5441">
        <w:t>’</w:t>
      </w:r>
      <w:r>
        <w:t xml:space="preserve">.  </w:t>
      </w:r>
      <w:r w:rsidR="00FC1EFE">
        <w:t xml:space="preserve">That </w:t>
      </w:r>
      <w:r w:rsidR="007D5441">
        <w:t>Bill</w:t>
      </w:r>
      <w:r>
        <w:t xml:space="preserve"> defines a restricted access insurer as an insurer registered under </w:t>
      </w:r>
      <w:r w:rsidR="00FC1EFE">
        <w:t xml:space="preserve">Division 3 of </w:t>
      </w:r>
      <w:r>
        <w:t xml:space="preserve">Part 2 of that </w:t>
      </w:r>
      <w:r w:rsidR="007D5441">
        <w:t xml:space="preserve">Bill </w:t>
      </w:r>
      <w:r>
        <w:t xml:space="preserve">as a restricted access insurer. </w:t>
      </w:r>
      <w:r w:rsidR="007D5441">
        <w:rPr>
          <w:rStyle w:val="Referencingstyle"/>
        </w:rPr>
        <w:t>[Schedule </w:t>
      </w:r>
      <w:r w:rsidRPr="000711A1">
        <w:rPr>
          <w:rStyle w:val="Referencingstyle"/>
        </w:rPr>
        <w:t xml:space="preserve">1, Part 1, item </w:t>
      </w:r>
      <w:r w:rsidR="00FC1EFE">
        <w:rPr>
          <w:rStyle w:val="Referencingstyle"/>
        </w:rPr>
        <w:t>1</w:t>
      </w:r>
      <w:r w:rsidR="00494CD8">
        <w:rPr>
          <w:rStyle w:val="Referencingstyle"/>
        </w:rPr>
        <w:t>74</w:t>
      </w:r>
      <w:r w:rsidRPr="000711A1">
        <w:rPr>
          <w:rStyle w:val="Referencingstyle"/>
        </w:rPr>
        <w:t>]</w:t>
      </w:r>
    </w:p>
    <w:p w14:paraId="31A5B460" w14:textId="77777777" w:rsidR="006E2DFD" w:rsidRDefault="006E2DFD" w:rsidP="000F194A">
      <w:pPr>
        <w:pStyle w:val="base-text-paragraph"/>
      </w:pPr>
      <w:r>
        <w:t xml:space="preserve">The definition of </w:t>
      </w:r>
      <w:r w:rsidR="007D5441">
        <w:t>‘</w:t>
      </w:r>
      <w:r w:rsidRPr="00F2667C">
        <w:t>referable</w:t>
      </w:r>
      <w:r w:rsidR="007D5441">
        <w:t>’</w:t>
      </w:r>
      <w:r>
        <w:t>, which specifies the health benefits fund, previously provided that a policy was referable to a fund if:</w:t>
      </w:r>
    </w:p>
    <w:p w14:paraId="3D058464" w14:textId="77777777" w:rsidR="006E2DFD" w:rsidRDefault="006E2DFD" w:rsidP="00B83F6C">
      <w:pPr>
        <w:pStyle w:val="dotpoint"/>
      </w:pPr>
      <w:r>
        <w:t xml:space="preserve">it was identified by an insurer as referable to the fund </w:t>
      </w:r>
      <w:r w:rsidR="00FC1EFE">
        <w:t>under section 93-15 of the PHI Act</w:t>
      </w:r>
      <w:r>
        <w:t xml:space="preserve"> when an adult first became insured under the policy and had not been made referable to another fund under a restructure, merger or acquisition of funds under Division 146 of the </w:t>
      </w:r>
      <w:r w:rsidR="00B83F6C">
        <w:t>PHI Act</w:t>
      </w:r>
      <w:r>
        <w:t xml:space="preserve">; or  </w:t>
      </w:r>
    </w:p>
    <w:p w14:paraId="17B4CF0A" w14:textId="77777777" w:rsidR="006E2DFD" w:rsidRDefault="006E2DFD" w:rsidP="00B83F6C">
      <w:pPr>
        <w:pStyle w:val="dotpoint"/>
      </w:pPr>
      <w:r>
        <w:t xml:space="preserve">had been made referable to the fund under Division 146. </w:t>
      </w:r>
    </w:p>
    <w:p w14:paraId="0E777CE4" w14:textId="77777777" w:rsidR="006E2DFD" w:rsidRPr="00FC1EFE" w:rsidRDefault="006E2DFD" w:rsidP="000F194A">
      <w:pPr>
        <w:pStyle w:val="base-text-paragraph"/>
        <w:rPr>
          <w:rStyle w:val="Referencingstyle"/>
          <w:b w:val="0"/>
          <w:i w:val="0"/>
          <w:sz w:val="22"/>
        </w:rPr>
      </w:pPr>
      <w:r>
        <w:t xml:space="preserve">The reference to Division 146 of the </w:t>
      </w:r>
      <w:r w:rsidR="00B83F6C">
        <w:t>PHI Act</w:t>
      </w:r>
      <w:r>
        <w:t xml:space="preserve"> has been updated to refer to Division 4 of Part 3 of the </w:t>
      </w:r>
      <w:r w:rsidR="00E9202F">
        <w:t>Prudential Supervision Bill</w:t>
      </w:r>
      <w:r>
        <w:t xml:space="preserve">, under which restructures, mergers and acquisitions of health benefits funds </w:t>
      </w:r>
      <w:r w:rsidR="00FC1EFE">
        <w:t>are</w:t>
      </w:r>
      <w:r>
        <w:t xml:space="preserve"> now regulated. </w:t>
      </w:r>
      <w:r w:rsidRPr="000711A1">
        <w:rPr>
          <w:rStyle w:val="Referencingstyle"/>
        </w:rPr>
        <w:t xml:space="preserve"> [Schedule 1, Part 1, item </w:t>
      </w:r>
      <w:r w:rsidR="00494CD8">
        <w:rPr>
          <w:rStyle w:val="Referencingstyle"/>
        </w:rPr>
        <w:t>172</w:t>
      </w:r>
      <w:r w:rsidRPr="000711A1">
        <w:rPr>
          <w:rStyle w:val="Referencingstyle"/>
        </w:rPr>
        <w:t>]</w:t>
      </w:r>
    </w:p>
    <w:p w14:paraId="18FEEA88" w14:textId="77777777" w:rsidR="00FC1EFE" w:rsidRPr="00464E54" w:rsidRDefault="00FC1EFE" w:rsidP="000F194A">
      <w:pPr>
        <w:pStyle w:val="base-text-paragraph"/>
        <w:rPr>
          <w:rStyle w:val="Referencingstyle"/>
          <w:b w:val="0"/>
          <w:i w:val="0"/>
          <w:sz w:val="22"/>
        </w:rPr>
      </w:pPr>
      <w:r w:rsidRPr="00C85607">
        <w:t xml:space="preserve">The </w:t>
      </w:r>
      <w:r>
        <w:t xml:space="preserve">definition of </w:t>
      </w:r>
      <w:r w:rsidR="007D5441">
        <w:t>‘</w:t>
      </w:r>
      <w:r w:rsidRPr="00F2667C">
        <w:t>risk equalisation jurisdiction</w:t>
      </w:r>
      <w:r w:rsidR="007D5441">
        <w:t>’</w:t>
      </w:r>
      <w:r>
        <w:t xml:space="preserve"> has also been amended to refer readers to subsection 131-20(1) of the PHI Act, which provides that an area is a risk equalisation jurisdictions if Private Health Insurance (Health Benefits </w:t>
      </w:r>
      <w:r w:rsidR="00140408">
        <w:t xml:space="preserve">Fund Policy) Rules so provide. </w:t>
      </w:r>
      <w:r>
        <w:t xml:space="preserve">These rules are made by the Health </w:t>
      </w:r>
      <w:r w:rsidR="00B2761E">
        <w:t>Minister</w:t>
      </w:r>
      <w:r>
        <w:t xml:space="preserve"> (following consultation with APRA). The jurisdictions were previously set in the Private Health Insurance (Health Benefits Fund Administration) Rules made under subsection 146</w:t>
      </w:r>
      <w:r>
        <w:noBreakHyphen/>
        <w:t xml:space="preserve">1(6) of the PHI Act, which has been repealed. </w:t>
      </w:r>
      <w:r>
        <w:rPr>
          <w:rStyle w:val="Referencingstyle"/>
        </w:rPr>
        <w:t>[Schedule 1, Part 1, item </w:t>
      </w:r>
      <w:r w:rsidRPr="00FC1EFE">
        <w:rPr>
          <w:rStyle w:val="Referencingstyle"/>
        </w:rPr>
        <w:t>1</w:t>
      </w:r>
      <w:r w:rsidR="00494CD8">
        <w:rPr>
          <w:rStyle w:val="Referencingstyle"/>
        </w:rPr>
        <w:t>75</w:t>
      </w:r>
      <w:r w:rsidRPr="00FC1EFE">
        <w:rPr>
          <w:rStyle w:val="Referencingstyle"/>
        </w:rPr>
        <w:t>]</w:t>
      </w:r>
    </w:p>
    <w:p w14:paraId="067823A0" w14:textId="77777777" w:rsidR="007760B4" w:rsidRPr="00E93AB0" w:rsidRDefault="007760B4" w:rsidP="00AC2784">
      <w:pPr>
        <w:pStyle w:val="Heading3"/>
      </w:pPr>
      <w:r w:rsidRPr="00E93AB0">
        <w:t>Division 2 – Other amendments</w:t>
      </w:r>
    </w:p>
    <w:p w14:paraId="49FB57CA" w14:textId="77777777" w:rsidR="007760B4" w:rsidRDefault="007760B4" w:rsidP="00AC2784">
      <w:pPr>
        <w:pStyle w:val="Heading4"/>
      </w:pPr>
      <w:r>
        <w:t>Ombudsman Act 1976</w:t>
      </w:r>
    </w:p>
    <w:p w14:paraId="4A63AFBB" w14:textId="77777777" w:rsidR="007760B4" w:rsidRDefault="007760B4" w:rsidP="000F194A">
      <w:pPr>
        <w:pStyle w:val="base-text-paragraph"/>
      </w:pPr>
      <w:r>
        <w:t xml:space="preserve">To enable the sharing of information, the secrecy provisions in section 35 of the </w:t>
      </w:r>
      <w:r w:rsidRPr="009A49D5">
        <w:rPr>
          <w:i/>
        </w:rPr>
        <w:t>Ombudsman Act 1976</w:t>
      </w:r>
      <w:r>
        <w:t xml:space="preserve"> have been amended.  </w:t>
      </w:r>
    </w:p>
    <w:p w14:paraId="6D59807B" w14:textId="77777777" w:rsidR="007760B4" w:rsidRDefault="009258B0" w:rsidP="000F194A">
      <w:pPr>
        <w:pStyle w:val="base-text-paragraph"/>
      </w:pPr>
      <w:r>
        <w:t>Sub</w:t>
      </w:r>
      <w:r w:rsidR="007760B4">
        <w:t xml:space="preserve">ection 35(6D) provides that an officer may, if the disclosure is made in accordance with any requirements of the Private Health Insurance (Information Disclosure) Rules, disclose the information to certain people.  </w:t>
      </w:r>
    </w:p>
    <w:p w14:paraId="1DA2EFF0" w14:textId="77777777" w:rsidR="007760B4" w:rsidRDefault="007760B4" w:rsidP="000F194A">
      <w:pPr>
        <w:pStyle w:val="base-text-paragraph"/>
      </w:pPr>
      <w:r>
        <w:t>The Private Health Insurance Ombudsman could previously disclose these categories of information to the same recipients under section 323-10 of the PHI Act, which also provides for the sharing of information about insurers between agencies.</w:t>
      </w:r>
    </w:p>
    <w:p w14:paraId="0EDB8A68" w14:textId="77777777" w:rsidR="007760B4" w:rsidRDefault="007760B4" w:rsidP="000F194A">
      <w:pPr>
        <w:pStyle w:val="base-text-paragraph"/>
      </w:pPr>
      <w:r>
        <w:t xml:space="preserve">As the Council will no longer exist, </w:t>
      </w:r>
      <w:r w:rsidR="009258B0">
        <w:t>sub</w:t>
      </w:r>
      <w:r>
        <w:t>section 35(6D) has been amended to repeal:</w:t>
      </w:r>
    </w:p>
    <w:p w14:paraId="17595E72" w14:textId="77777777" w:rsidR="007760B4" w:rsidRDefault="007760B4" w:rsidP="007760B4">
      <w:pPr>
        <w:pStyle w:val="dotpoint"/>
      </w:pPr>
      <w:r>
        <w:t>a member of the Council (</w:t>
      </w:r>
      <w:r w:rsidR="009258B0">
        <w:t>paragraph</w:t>
      </w:r>
      <w:r>
        <w:t>35(6D)(d); and</w:t>
      </w:r>
    </w:p>
    <w:p w14:paraId="5A890AC3" w14:textId="77777777" w:rsidR="007760B4" w:rsidRDefault="007760B4" w:rsidP="007760B4">
      <w:pPr>
        <w:pStyle w:val="dotpoint"/>
      </w:pPr>
      <w:r>
        <w:t>a person employed, or a consultant engaged, by the Council (</w:t>
      </w:r>
      <w:r w:rsidR="009258B0">
        <w:t>paragraph</w:t>
      </w:r>
      <w:r>
        <w:t xml:space="preserve">35(6D)(e). </w:t>
      </w:r>
      <w:r>
        <w:rPr>
          <w:rStyle w:val="Referencingstyle"/>
        </w:rPr>
        <w:t xml:space="preserve">[Schedule 1, Part 1, item </w:t>
      </w:r>
      <w:r w:rsidR="00793BC3">
        <w:rPr>
          <w:rStyle w:val="Referencingstyle"/>
        </w:rPr>
        <w:t>178</w:t>
      </w:r>
      <w:r w:rsidRPr="00AB4B0B">
        <w:rPr>
          <w:rStyle w:val="Referencingstyle"/>
        </w:rPr>
        <w:t>]</w:t>
      </w:r>
    </w:p>
    <w:p w14:paraId="566EC264" w14:textId="77777777" w:rsidR="007760B4" w:rsidRDefault="007760B4" w:rsidP="00D75113">
      <w:pPr>
        <w:pStyle w:val="base-text-paragraph"/>
        <w:keepNext/>
        <w:keepLines/>
      </w:pPr>
      <w:r>
        <w:t>Instead of the Council, information is now able to be disclosed to:</w:t>
      </w:r>
    </w:p>
    <w:p w14:paraId="72245137" w14:textId="77777777" w:rsidR="007760B4" w:rsidRDefault="007760B4" w:rsidP="00D75113">
      <w:pPr>
        <w:pStyle w:val="dotpoint"/>
        <w:keepNext/>
        <w:keepLines/>
      </w:pPr>
      <w:r>
        <w:t>an APRA member (within the meaning of the APRA Act); or</w:t>
      </w:r>
    </w:p>
    <w:p w14:paraId="764C917B" w14:textId="77777777" w:rsidR="007760B4" w:rsidRDefault="007760B4" w:rsidP="007760B4">
      <w:pPr>
        <w:pStyle w:val="dotpoint"/>
      </w:pPr>
      <w:r>
        <w:t xml:space="preserve">an APRA staff member </w:t>
      </w:r>
      <w:r w:rsidR="00140408">
        <w:t>(within the meaning of the APRA </w:t>
      </w:r>
      <w:r>
        <w:t>Act);</w:t>
      </w:r>
    </w:p>
    <w:p w14:paraId="7276081A" w14:textId="77777777" w:rsidR="007760B4" w:rsidRDefault="007760B4" w:rsidP="007760B4">
      <w:pPr>
        <w:pStyle w:val="base-text-paragraphnonumbers"/>
      </w:pPr>
      <w:r>
        <w:t xml:space="preserve">in addition to the other people listed in </w:t>
      </w:r>
      <w:r w:rsidR="009258B0">
        <w:t>sub</w:t>
      </w:r>
      <w:r>
        <w:t xml:space="preserve">section 35(6D). </w:t>
      </w:r>
      <w:r>
        <w:rPr>
          <w:rStyle w:val="Referencingstyle"/>
        </w:rPr>
        <w:t>[Schedule 1, Part</w:t>
      </w:r>
      <w:r w:rsidR="00793BC3">
        <w:rPr>
          <w:rStyle w:val="Referencingstyle"/>
        </w:rPr>
        <w:t> </w:t>
      </w:r>
      <w:r>
        <w:rPr>
          <w:rStyle w:val="Referencingstyle"/>
        </w:rPr>
        <w:t>1, item 1</w:t>
      </w:r>
      <w:r w:rsidR="00793BC3">
        <w:rPr>
          <w:rStyle w:val="Referencingstyle"/>
        </w:rPr>
        <w:t>78</w:t>
      </w:r>
      <w:r w:rsidRPr="00AB4B0B">
        <w:rPr>
          <w:rStyle w:val="Referencingstyle"/>
        </w:rPr>
        <w:t>]</w:t>
      </w:r>
    </w:p>
    <w:p w14:paraId="3521C75B" w14:textId="77777777" w:rsidR="007760B4" w:rsidRDefault="007760B4" w:rsidP="007760B4">
      <w:pPr>
        <w:pStyle w:val="Heading4"/>
      </w:pPr>
      <w:r>
        <w:t>Private Health Insurance Act 2007</w:t>
      </w:r>
    </w:p>
    <w:p w14:paraId="6BE9B5EA" w14:textId="77777777" w:rsidR="00A36E5D" w:rsidRDefault="00A36E5D" w:rsidP="000F194A">
      <w:pPr>
        <w:pStyle w:val="base-text-paragraph"/>
      </w:pPr>
      <w:r>
        <w:t xml:space="preserve">Section 323-10 of the PHI Act makes the sharing of certain information between specified persons, including the Secretary of the Department of Health, APS employees within the Department of Health, the Private Health Insurance Ombudsman and the Chief Executive Medicare (eligible persons), an authorised disclosure. The information must not be information of a kind specified in the Private Health Insurance (Information Disclosure) Rules as information that may not be shared under the section.  </w:t>
      </w:r>
    </w:p>
    <w:p w14:paraId="7FF4B343" w14:textId="77777777" w:rsidR="00A36E5D" w:rsidRPr="00464E54" w:rsidRDefault="00A36E5D" w:rsidP="000F194A">
      <w:pPr>
        <w:pStyle w:val="base-text-paragraph"/>
        <w:rPr>
          <w:rStyle w:val="Referencingstyle"/>
          <w:b w:val="0"/>
          <w:i w:val="0"/>
          <w:sz w:val="22"/>
        </w:rPr>
      </w:pPr>
      <w:r>
        <w:t xml:space="preserve">Section 323-10 has been amended to allow eligible persons to disclose information about private health insurers, applicants to become an insurer, persons carrying on health insurance business and directors and officers of insurers to APRA, an APRA member or APRA staff member as an authorised disclosure. </w:t>
      </w:r>
      <w:r>
        <w:rPr>
          <w:rStyle w:val="Referencingstyle"/>
        </w:rPr>
        <w:t>[Schedule 1, Part 1, item 179</w:t>
      </w:r>
      <w:r w:rsidRPr="00AB4B0B">
        <w:rPr>
          <w:rStyle w:val="Referencingstyle"/>
        </w:rPr>
        <w:t>]</w:t>
      </w:r>
    </w:p>
    <w:p w14:paraId="698E08D9" w14:textId="77777777" w:rsidR="00A36E5D" w:rsidRPr="00A36E5D" w:rsidRDefault="00A36E5D" w:rsidP="000F194A">
      <w:pPr>
        <w:pStyle w:val="base-text-paragraph"/>
        <w:rPr>
          <w:rStyle w:val="Referencingstyle"/>
          <w:b w:val="0"/>
          <w:i w:val="0"/>
          <w:sz w:val="22"/>
        </w:rPr>
      </w:pPr>
      <w:r>
        <w:t>An</w:t>
      </w:r>
      <w:r w:rsidRPr="00205DFF">
        <w:t xml:space="preserve"> amendment </w:t>
      </w:r>
      <w:r>
        <w:t xml:space="preserve">to </w:t>
      </w:r>
      <w:r w:rsidRPr="00205DFF">
        <w:t>new subsection 323</w:t>
      </w:r>
      <w:r>
        <w:noBreakHyphen/>
      </w:r>
      <w:r w:rsidRPr="00205DFF">
        <w:t>10(1A),</w:t>
      </w:r>
      <w:r>
        <w:t xml:space="preserve"> a</w:t>
      </w:r>
      <w:r w:rsidRPr="00205DFF">
        <w:t xml:space="preserve">s proposed to be inserted by item 17 of Schedule 1 to the </w:t>
      </w:r>
      <w:r w:rsidR="003830D5">
        <w:t>Private Health Insurance Amendment Bill (No. 2) 2014</w:t>
      </w:r>
      <w:r>
        <w:t xml:space="preserve"> has been made</w:t>
      </w:r>
      <w:r w:rsidRPr="00205DFF">
        <w:t xml:space="preserve">. The current intention is that this Bill be drafted on the assumption that the </w:t>
      </w:r>
      <w:r w:rsidR="003830D5">
        <w:t xml:space="preserve">Private Health Insurance Amendment Bill (No. 2) 2014 </w:t>
      </w:r>
      <w:r w:rsidRPr="00205DFF">
        <w:t>will commence on the same day as, or after (but not before) these amendments.</w:t>
      </w:r>
      <w:r>
        <w:t xml:space="preserve"> The commencement provision </w:t>
      </w:r>
      <w:r w:rsidRPr="00205DFF">
        <w:t xml:space="preserve">ensure that the </w:t>
      </w:r>
      <w:r>
        <w:t xml:space="preserve">amendment to </w:t>
      </w:r>
      <w:r w:rsidRPr="00205DFF">
        <w:t>subsection 323</w:t>
      </w:r>
      <w:r>
        <w:noBreakHyphen/>
        <w:t>10(1A) will</w:t>
      </w:r>
      <w:r w:rsidRPr="00205DFF">
        <w:t xml:space="preserve"> commence immediately after item 17 of the </w:t>
      </w:r>
      <w:r w:rsidR="003830D5">
        <w:t>Private Health Insurance Amendment Bill (No. 2) 2014</w:t>
      </w:r>
      <w:r>
        <w:t xml:space="preserve">. </w:t>
      </w:r>
      <w:r>
        <w:rPr>
          <w:rStyle w:val="Referencingstyle"/>
        </w:rPr>
        <w:t>[Schedule 1, Part 1, item 179</w:t>
      </w:r>
      <w:r w:rsidRPr="00AB4B0B">
        <w:rPr>
          <w:rStyle w:val="Referencingstyle"/>
        </w:rPr>
        <w:t>]</w:t>
      </w:r>
    </w:p>
    <w:p w14:paraId="08F66240" w14:textId="77777777" w:rsidR="002E1986" w:rsidRDefault="002E1986" w:rsidP="000F194A">
      <w:pPr>
        <w:pStyle w:val="base-text-paragraph"/>
      </w:pPr>
      <w:r>
        <w:t>Section 328-1 has been amended to remove reference to the Council and replace it with APRA. The reference to APRA is needed because APRA will, in relation to late payment penalty on the risk equalisation levy, be making decisions which are reviewable because of item 43 of the table in section 328-5.</w:t>
      </w:r>
      <w:r w:rsidRPr="002E1986">
        <w:rPr>
          <w:rStyle w:val="Referencingstyle"/>
        </w:rPr>
        <w:t xml:space="preserve"> </w:t>
      </w:r>
      <w:r>
        <w:rPr>
          <w:rStyle w:val="Referencingstyle"/>
        </w:rPr>
        <w:t>[Schedule 1, Part 1, item 180</w:t>
      </w:r>
      <w:r w:rsidRPr="00AB4B0B">
        <w:rPr>
          <w:rStyle w:val="Referencingstyle"/>
        </w:rPr>
        <w:t>]</w:t>
      </w:r>
    </w:p>
    <w:p w14:paraId="6F23D690" w14:textId="77777777" w:rsidR="007760B4" w:rsidRDefault="00536C27">
      <w:pPr>
        <w:pStyle w:val="Heading4"/>
      </w:pPr>
      <w:r>
        <w:t>Private Health Insurance (Prudential Supervision) Act 2015</w:t>
      </w:r>
    </w:p>
    <w:p w14:paraId="4CEB3DAF" w14:textId="77777777" w:rsidR="006E7776" w:rsidRDefault="006E7776" w:rsidP="000F194A">
      <w:pPr>
        <w:pStyle w:val="base-text-paragraph"/>
      </w:pPr>
      <w:r>
        <w:t xml:space="preserve">The </w:t>
      </w:r>
      <w:r w:rsidR="00E9202F">
        <w:t>Prudential Supervision Bill</w:t>
      </w:r>
      <w:r>
        <w:t xml:space="preserve"> will be extended to Norfolk Island on and after the commencement of Part 1 of Schedule 2 to the </w:t>
      </w:r>
      <w:r w:rsidRPr="00C7718A">
        <w:rPr>
          <w:i/>
        </w:rPr>
        <w:t>Norfolk Island Legislation Amendment Act 2015</w:t>
      </w:r>
      <w:r>
        <w:t xml:space="preserve"> </w:t>
      </w:r>
      <w:r>
        <w:rPr>
          <w:rStyle w:val="Referencingstyle"/>
        </w:rPr>
        <w:t>[</w:t>
      </w:r>
      <w:r w:rsidR="009D487B">
        <w:rPr>
          <w:rStyle w:val="Referencingstyle"/>
        </w:rPr>
        <w:t xml:space="preserve">Schedule 1, </w:t>
      </w:r>
      <w:r>
        <w:rPr>
          <w:rStyle w:val="Referencingstyle"/>
        </w:rPr>
        <w:t>Part 1, item</w:t>
      </w:r>
      <w:r w:rsidRPr="00C7718A">
        <w:rPr>
          <w:rStyle w:val="Referencingstyle"/>
        </w:rPr>
        <w:t xml:space="preserve"> </w:t>
      </w:r>
      <w:r w:rsidR="009D487B">
        <w:rPr>
          <w:rStyle w:val="Referencingstyle"/>
        </w:rPr>
        <w:t>181</w:t>
      </w:r>
      <w:r w:rsidRPr="00C7718A">
        <w:rPr>
          <w:rStyle w:val="Referencingstyle"/>
        </w:rPr>
        <w:t>]</w:t>
      </w:r>
      <w:r>
        <w:t>.</w:t>
      </w:r>
    </w:p>
    <w:p w14:paraId="77AA47A6" w14:textId="789BA9EE" w:rsidR="009D487B" w:rsidRDefault="009D487B" w:rsidP="000F194A">
      <w:pPr>
        <w:pStyle w:val="base-text-paragraph"/>
      </w:pPr>
      <w:r>
        <w:t xml:space="preserve">Paragraph 92(7)(b) will be amended to update the reference from the </w:t>
      </w:r>
      <w:r w:rsidRPr="003626B5">
        <w:t>Legislative Instruments Act</w:t>
      </w:r>
      <w:r>
        <w:rPr>
          <w:i/>
        </w:rPr>
        <w:t xml:space="preserve"> </w:t>
      </w:r>
      <w:r>
        <w:t xml:space="preserve">to the </w:t>
      </w:r>
      <w:r>
        <w:rPr>
          <w:i/>
        </w:rPr>
        <w:t>Legislation Act 2003.</w:t>
      </w:r>
      <w:r>
        <w:t xml:space="preserve"> The amendment is contingent on </w:t>
      </w:r>
      <w:r w:rsidR="009B437F">
        <w:t xml:space="preserve">the </w:t>
      </w:r>
      <w:r w:rsidR="00707986">
        <w:t>commencement</w:t>
      </w:r>
      <w:r>
        <w:t xml:space="preserve"> of the Acts and Instruments (Framework Reform) Bill 2014.</w:t>
      </w:r>
      <w:r w:rsidR="00A67940">
        <w:t xml:space="preserve"> </w:t>
      </w:r>
      <w:r w:rsidR="00A67940">
        <w:rPr>
          <w:rStyle w:val="Referencingstyle"/>
        </w:rPr>
        <w:t>[Schedule 1, Part 1, item</w:t>
      </w:r>
      <w:r w:rsidR="00A67940" w:rsidRPr="00C7718A">
        <w:rPr>
          <w:rStyle w:val="Referencingstyle"/>
        </w:rPr>
        <w:t xml:space="preserve"> </w:t>
      </w:r>
      <w:r w:rsidR="00A67940">
        <w:rPr>
          <w:rStyle w:val="Referencingstyle"/>
        </w:rPr>
        <w:t>182</w:t>
      </w:r>
      <w:r w:rsidR="00A67940" w:rsidRPr="00C7718A">
        <w:rPr>
          <w:rStyle w:val="Referencingstyle"/>
        </w:rPr>
        <w:t>]</w:t>
      </w:r>
    </w:p>
    <w:p w14:paraId="5A8BACC8" w14:textId="77777777" w:rsidR="009D487B" w:rsidRDefault="009D487B" w:rsidP="009D487B">
      <w:pPr>
        <w:pStyle w:val="Heading4"/>
      </w:pPr>
      <w:r>
        <w:t>Part 2 – Repeals</w:t>
      </w:r>
    </w:p>
    <w:p w14:paraId="3B7049B3" w14:textId="77777777" w:rsidR="00A67940" w:rsidRDefault="00A67940" w:rsidP="000F194A">
      <w:pPr>
        <w:pStyle w:val="base-text-paragraph"/>
      </w:pPr>
      <w:r>
        <w:t xml:space="preserve">The </w:t>
      </w:r>
      <w:r w:rsidRPr="00A67940">
        <w:t>Private Health Insurance (Council Administration Levy) Act 2003</w:t>
      </w:r>
      <w:r>
        <w:t xml:space="preserve"> has been repealed in its entirety. </w:t>
      </w:r>
      <w:r>
        <w:rPr>
          <w:rStyle w:val="Referencingstyle"/>
        </w:rPr>
        <w:t>[Schedule 1, Part 1, item</w:t>
      </w:r>
      <w:r w:rsidRPr="00C7718A">
        <w:rPr>
          <w:rStyle w:val="Referencingstyle"/>
        </w:rPr>
        <w:t xml:space="preserve"> </w:t>
      </w:r>
      <w:r>
        <w:rPr>
          <w:rStyle w:val="Referencingstyle"/>
        </w:rPr>
        <w:t>183</w:t>
      </w:r>
      <w:r w:rsidRPr="00C7718A">
        <w:rPr>
          <w:rStyle w:val="Referencingstyle"/>
        </w:rPr>
        <w:t>]</w:t>
      </w:r>
    </w:p>
    <w:p w14:paraId="5DC83815" w14:textId="77777777" w:rsidR="00175E1D" w:rsidRDefault="005947E7" w:rsidP="00175E1D">
      <w:pPr>
        <w:pStyle w:val="Heading2"/>
      </w:pPr>
      <w:r w:rsidRPr="00E93AB0">
        <w:t xml:space="preserve">Schedule 2 </w:t>
      </w:r>
      <w:r w:rsidRPr="009D487B">
        <w:rPr>
          <w:b w:val="0"/>
        </w:rPr>
        <w:t xml:space="preserve">– </w:t>
      </w:r>
      <w:r w:rsidRPr="005947E7">
        <w:t>T</w:t>
      </w:r>
      <w:r w:rsidR="00175E1D" w:rsidRPr="005947E7">
        <w:t>ransitional</w:t>
      </w:r>
      <w:r w:rsidR="00175E1D">
        <w:t xml:space="preserve"> provisions</w:t>
      </w:r>
    </w:p>
    <w:p w14:paraId="651C7896" w14:textId="77777777" w:rsidR="00236AF9" w:rsidRDefault="00236AF9" w:rsidP="000F194A">
      <w:pPr>
        <w:pStyle w:val="base-text-paragraph"/>
      </w:pPr>
      <w:r>
        <w:t>A number of transitional p</w:t>
      </w:r>
      <w:r w:rsidR="00334055">
        <w:t>rovisions have been provided</w:t>
      </w:r>
      <w:r>
        <w:t xml:space="preserve"> relating to the repeal </w:t>
      </w:r>
      <w:r w:rsidR="00334055">
        <w:t xml:space="preserve">of </w:t>
      </w:r>
      <w:r w:rsidR="00603C07">
        <w:t xml:space="preserve">provisions establishing </w:t>
      </w:r>
      <w:r w:rsidR="00C23A99">
        <w:t>the Council</w:t>
      </w:r>
      <w:r w:rsidR="00603C07">
        <w:t xml:space="preserve"> and the t</w:t>
      </w:r>
      <w:r>
        <w:t xml:space="preserve">ransfer of functions </w:t>
      </w:r>
      <w:r w:rsidR="00334055">
        <w:t xml:space="preserve">of the Council </w:t>
      </w:r>
      <w:r>
        <w:t xml:space="preserve">to APRA. </w:t>
      </w:r>
    </w:p>
    <w:p w14:paraId="104AEF1B" w14:textId="77777777" w:rsidR="00334055" w:rsidRDefault="00236AF9" w:rsidP="000F194A">
      <w:pPr>
        <w:pStyle w:val="base-text-paragraph"/>
      </w:pPr>
      <w:r>
        <w:t xml:space="preserve">Such provisions are needed </w:t>
      </w:r>
      <w:r w:rsidR="00334055">
        <w:t xml:space="preserve">to </w:t>
      </w:r>
      <w:r>
        <w:t>ensure that</w:t>
      </w:r>
      <w:r w:rsidR="002F6B4B">
        <w:t xml:space="preserve"> legal</w:t>
      </w:r>
      <w:r>
        <w:t xml:space="preserve"> act</w:t>
      </w:r>
      <w:r w:rsidR="002F6B4B">
        <w:t xml:space="preserve">ions undertaken or deemed to be undertaken under the PHI Act immediately before the transition time are taken to be undertaken under equivalent provisions in the </w:t>
      </w:r>
      <w:r w:rsidR="00E9202F">
        <w:t>Prudential Supervision Bill</w:t>
      </w:r>
      <w:r w:rsidR="002F6B4B">
        <w:t xml:space="preserve">. </w:t>
      </w:r>
      <w:r w:rsidR="00F22E7D">
        <w:t xml:space="preserve">This includes certain instruments.  </w:t>
      </w:r>
    </w:p>
    <w:p w14:paraId="25C3A5C5" w14:textId="77777777" w:rsidR="00334055" w:rsidRDefault="00F22E7D" w:rsidP="000F194A">
      <w:pPr>
        <w:pStyle w:val="base-text-paragraph"/>
      </w:pPr>
      <w:r>
        <w:t xml:space="preserve">However, it should be noted that </w:t>
      </w:r>
      <w:r w:rsidR="00396F46">
        <w:t>the Council’s</w:t>
      </w:r>
      <w:r>
        <w:t xml:space="preserve"> capital, solvency and prudential standards are not grandfathered under the transitional provisions. Instead APRA will be making new prudential standards (including prudential standards relating to capital and solvency) under the </w:t>
      </w:r>
      <w:r w:rsidR="00E9202F">
        <w:t>Prudential Supervision Bill</w:t>
      </w:r>
      <w:r>
        <w:t xml:space="preserve"> to take effect on commencement of that </w:t>
      </w:r>
      <w:r w:rsidR="00CA00F8">
        <w:t>Bill</w:t>
      </w:r>
      <w:r>
        <w:t xml:space="preserve">.  </w:t>
      </w:r>
    </w:p>
    <w:p w14:paraId="5DBB2A91" w14:textId="77777777" w:rsidR="00236AF9" w:rsidRDefault="00334055" w:rsidP="000F194A">
      <w:pPr>
        <w:pStyle w:val="base-text-paragraph"/>
      </w:pPr>
      <w:r>
        <w:t>The new</w:t>
      </w:r>
      <w:r w:rsidR="00F22E7D">
        <w:t xml:space="preserve"> prudential standards will largely replicate the requirements of </w:t>
      </w:r>
      <w:r w:rsidR="00396F46">
        <w:t>the Council</w:t>
      </w:r>
      <w:r w:rsidR="00F22E7D">
        <w:t xml:space="preserve">’s capital, solvency and prudential standards. Accordingly it will not be necessary for the transitional provisions to preserve the </w:t>
      </w:r>
      <w:r w:rsidR="00396F46">
        <w:t>Council’s</w:t>
      </w:r>
      <w:r w:rsidR="00F22E7D">
        <w:t xml:space="preserve"> standards</w:t>
      </w:r>
    </w:p>
    <w:p w14:paraId="705CD8C3" w14:textId="77777777" w:rsidR="00F5323F" w:rsidRDefault="00F5323F" w:rsidP="00F5323F">
      <w:pPr>
        <w:pStyle w:val="Heading3"/>
      </w:pPr>
      <w:r>
        <w:t>Part 2 – Specific transitional provisions</w:t>
      </w:r>
    </w:p>
    <w:p w14:paraId="34F493BF" w14:textId="77777777" w:rsidR="00236AF9" w:rsidRDefault="00236AF9" w:rsidP="00F5323F">
      <w:pPr>
        <w:pStyle w:val="Heading4"/>
      </w:pPr>
      <w:r>
        <w:t>Division 1 – Registration of private health insurers</w:t>
      </w:r>
    </w:p>
    <w:p w14:paraId="25D4D73C" w14:textId="77777777" w:rsidR="00696214" w:rsidRDefault="00696214" w:rsidP="00F5323F">
      <w:pPr>
        <w:pStyle w:val="Heading5"/>
      </w:pPr>
      <w:r>
        <w:t>Proceedings for injunctions relating to carrying on health insurance business without registration</w:t>
      </w:r>
    </w:p>
    <w:p w14:paraId="7151F242" w14:textId="77777777" w:rsidR="00236AF9" w:rsidRPr="000E594C" w:rsidRDefault="00236AF9" w:rsidP="000F194A">
      <w:pPr>
        <w:pStyle w:val="base-text-paragraph"/>
        <w:rPr>
          <w:rStyle w:val="Referencingstyle"/>
          <w:b w:val="0"/>
          <w:i w:val="0"/>
          <w:sz w:val="22"/>
          <w:szCs w:val="22"/>
        </w:rPr>
      </w:pPr>
      <w:r>
        <w:t xml:space="preserve">If proceedings for </w:t>
      </w:r>
      <w:r w:rsidR="009D4EA4">
        <w:t xml:space="preserve">an </w:t>
      </w:r>
      <w:r>
        <w:t>injunction relating to carrying on health insurance business without registration are pending in the Federal Court under section of the 118-5 of the PHI Act, immediately before the tr</w:t>
      </w:r>
      <w:r w:rsidR="00696214">
        <w:t>ansition time, then these proceedings will continue. If the proceedings were commenced by the Health Minister or Council then they will continue as if the proceedings had been commenced by an application by APRA under section 11 o</w:t>
      </w:r>
      <w:r w:rsidR="005C3612">
        <w:t xml:space="preserve">f the </w:t>
      </w:r>
      <w:r w:rsidR="00E9202F">
        <w:t>Prudential Supervision Bill</w:t>
      </w:r>
      <w:r w:rsidR="009D4EA4">
        <w:t>, therefore APRA will take them over</w:t>
      </w:r>
      <w:r w:rsidR="00CD444A">
        <w:t>.</w:t>
      </w:r>
      <w:r w:rsidR="005C3612">
        <w:t xml:space="preserve"> </w:t>
      </w:r>
      <w:r w:rsidR="0068748B" w:rsidRPr="00530EBE">
        <w:rPr>
          <w:rStyle w:val="Referencingstyle"/>
        </w:rPr>
        <w:t xml:space="preserve">[Schedule 2, Part 2, </w:t>
      </w:r>
      <w:r w:rsidR="005C3612" w:rsidRPr="00530EBE">
        <w:rPr>
          <w:rStyle w:val="Referencingstyle"/>
        </w:rPr>
        <w:t>item 2, subitems 1 and 2]</w:t>
      </w:r>
    </w:p>
    <w:p w14:paraId="6FC7C988" w14:textId="77777777" w:rsidR="005C3612" w:rsidRPr="000E594C" w:rsidRDefault="00696214" w:rsidP="000F194A">
      <w:pPr>
        <w:pStyle w:val="base-text-paragraph"/>
        <w:rPr>
          <w:rStyle w:val="Referencingstyle"/>
          <w:b w:val="0"/>
          <w:i w:val="0"/>
          <w:sz w:val="22"/>
          <w:szCs w:val="22"/>
        </w:rPr>
      </w:pPr>
      <w:r>
        <w:t xml:space="preserve">If proceedings were initiated by someone else, then the proceedings will continue as if that person had standing to commence the proceedings under section 11 of the </w:t>
      </w:r>
      <w:r w:rsidR="00E9202F">
        <w:t>Prudential Supervision Bill</w:t>
      </w:r>
      <w:r w:rsidR="009D4EA4">
        <w:t>, therefore that person will continue to bring the proceedings</w:t>
      </w:r>
      <w:r w:rsidR="00D33527">
        <w:t>.</w:t>
      </w:r>
      <w:r w:rsidR="005C3612">
        <w:t xml:space="preserve"> </w:t>
      </w:r>
      <w:r w:rsidR="005C3612" w:rsidRPr="00530EBE">
        <w:rPr>
          <w:rStyle w:val="Referencingstyle"/>
        </w:rPr>
        <w:t>[Schedule 2, Part 2, item 2, subitem 3]</w:t>
      </w:r>
    </w:p>
    <w:p w14:paraId="5E8B5479" w14:textId="77777777" w:rsidR="00696214" w:rsidRPr="00236AF9" w:rsidRDefault="00696214" w:rsidP="00F5323F">
      <w:pPr>
        <w:pStyle w:val="Heading5"/>
      </w:pPr>
      <w:r>
        <w:t>Continuing the registration of private health insurers</w:t>
      </w:r>
    </w:p>
    <w:p w14:paraId="22349FB8" w14:textId="77777777" w:rsidR="00696214" w:rsidRPr="000E594C" w:rsidRDefault="00696214" w:rsidP="000F194A">
      <w:pPr>
        <w:pStyle w:val="base-text-paragraph"/>
        <w:rPr>
          <w:rStyle w:val="Referencingstyle"/>
          <w:b w:val="0"/>
          <w:i w:val="0"/>
          <w:sz w:val="22"/>
          <w:szCs w:val="22"/>
        </w:rPr>
      </w:pPr>
      <w:r>
        <w:t xml:space="preserve">If before transition, an insurer is registered under Part 4-3 of the PHI Act, then from the transition time the registration is taken to be a registration of the body under Division 3 of Part 2 of the </w:t>
      </w:r>
      <w:r w:rsidR="00E9202F">
        <w:t>Prudential Supervision Bill</w:t>
      </w:r>
      <w:r>
        <w:t xml:space="preserve"> subject to the same terms and conditions as would have applied immediately before the transition time</w:t>
      </w:r>
      <w:r w:rsidR="00D33527">
        <w:t>.</w:t>
      </w:r>
      <w:r w:rsidR="005C3612">
        <w:t xml:space="preserve"> </w:t>
      </w:r>
      <w:r w:rsidR="005C3612" w:rsidRPr="00530EBE">
        <w:rPr>
          <w:rStyle w:val="Referencingstyle"/>
        </w:rPr>
        <w:t>[Schedule 2, Part 2, item 3, subitem 1(a) and (b)]</w:t>
      </w:r>
    </w:p>
    <w:p w14:paraId="57E00FB0" w14:textId="77777777" w:rsidR="005C3612" w:rsidRPr="005C3612" w:rsidRDefault="00696214" w:rsidP="000F194A">
      <w:pPr>
        <w:pStyle w:val="base-text-paragraph"/>
      </w:pPr>
      <w:r>
        <w:t>Registrations will also retain the appropriate status as under the PHI Act, whether it be a restricted access insurer or a for profit insurer</w:t>
      </w:r>
      <w:r w:rsidR="00D33527">
        <w:t>.</w:t>
      </w:r>
      <w:r w:rsidR="005C3612">
        <w:t xml:space="preserve"> </w:t>
      </w:r>
      <w:r w:rsidR="005C3612" w:rsidRPr="00530EBE">
        <w:rPr>
          <w:rStyle w:val="Referencingstyle"/>
        </w:rPr>
        <w:t>[Schedule 2, Part 2, item 3, subitem 1(c)]</w:t>
      </w:r>
    </w:p>
    <w:p w14:paraId="49C6B578" w14:textId="77777777" w:rsidR="005C3612" w:rsidRPr="000E594C" w:rsidRDefault="003C5F52" w:rsidP="000F194A">
      <w:pPr>
        <w:pStyle w:val="base-text-paragraph"/>
        <w:rPr>
          <w:rStyle w:val="Referencingstyle"/>
          <w:b w:val="0"/>
          <w:i w:val="0"/>
          <w:sz w:val="22"/>
          <w:szCs w:val="22"/>
        </w:rPr>
      </w:pPr>
      <w:r>
        <w:t xml:space="preserve">At the transition time, an insurer can, in writing, request </w:t>
      </w:r>
      <w:r w:rsidR="00771FC7" w:rsidRPr="003C5F52">
        <w:t>APRA</w:t>
      </w:r>
      <w:r>
        <w:t xml:space="preserve"> to</w:t>
      </w:r>
      <w:r w:rsidR="00771FC7" w:rsidRPr="003C5F52">
        <w:t xml:space="preserve"> vary the body’s registration terms and conditions by amending or revoking one or more of the terms and conditions</w:t>
      </w:r>
      <w:r w:rsidR="00D33527">
        <w:t>.</w:t>
      </w:r>
      <w:r w:rsidR="005C3612">
        <w:t xml:space="preserve"> </w:t>
      </w:r>
      <w:r w:rsidR="005C3612" w:rsidRPr="00530EBE">
        <w:rPr>
          <w:rStyle w:val="Referencingstyle"/>
        </w:rPr>
        <w:t>[Schedule 2, Part 2, item 3, subitem 3(a) and (b)]</w:t>
      </w:r>
    </w:p>
    <w:p w14:paraId="672C90F6" w14:textId="77777777" w:rsidR="003C5F52" w:rsidRDefault="00771FC7" w:rsidP="000F194A">
      <w:pPr>
        <w:pStyle w:val="base-text-paragraph"/>
      </w:pPr>
      <w:r w:rsidRPr="003C5F52">
        <w:t xml:space="preserve">This power allows amendment or revocation of one or more conditions, but it does not allow the imposition of additional terms or conditions. </w:t>
      </w:r>
    </w:p>
    <w:p w14:paraId="33C21B70" w14:textId="77777777" w:rsidR="00530EBE" w:rsidRPr="005C2906" w:rsidRDefault="00EE798F" w:rsidP="005C2906">
      <w:pPr>
        <w:pStyle w:val="base-text-paragraph"/>
        <w:tabs>
          <w:tab w:val="clear" w:pos="1985"/>
          <w:tab w:val="num" w:pos="1986"/>
        </w:tabs>
        <w:rPr>
          <w:szCs w:val="22"/>
        </w:rPr>
      </w:pPr>
      <w:r>
        <w:t xml:space="preserve">APRA may, by written notice to the insurer, vary the body’s registration terms and conditions, as per the </w:t>
      </w:r>
      <w:r w:rsidR="00530EBE">
        <w:t>insurer’s</w:t>
      </w:r>
      <w:r>
        <w:t xml:space="preserve"> request</w:t>
      </w:r>
      <w:r w:rsidR="005C2906">
        <w:t>.</w:t>
      </w:r>
      <w:r w:rsidR="005C2906" w:rsidRPr="005C2906">
        <w:t xml:space="preserve"> If APRA decides not to agre</w:t>
      </w:r>
      <w:r w:rsidR="005C2906">
        <w:t xml:space="preserve">e to the insurer’s request, </w:t>
      </w:r>
      <w:r w:rsidR="009D4EA4">
        <w:t>that</w:t>
      </w:r>
      <w:r w:rsidR="005C2906">
        <w:t xml:space="preserve"> </w:t>
      </w:r>
      <w:r w:rsidR="005C2906" w:rsidRPr="005C2906">
        <w:t>will not be a reviewable decision. This is because this provision is intended to allow APRA to ‘clean up’ obviously out-of-date registration conditions rather than to allow private health insurer</w:t>
      </w:r>
      <w:r w:rsidR="005C2906">
        <w:t>s to seek a more fundamental re</w:t>
      </w:r>
      <w:r w:rsidR="009D4EA4">
        <w:t>-</w:t>
      </w:r>
      <w:r w:rsidR="005C2906" w:rsidRPr="005C2906">
        <w:t xml:space="preserve">examination of existing conditions. This provides industry certainty about the continuation of registration conditions during the transition from regulation by the Council to APRA. </w:t>
      </w:r>
      <w:r w:rsidR="00530EBE" w:rsidRPr="005C2906">
        <w:rPr>
          <w:b/>
          <w:i/>
          <w:sz w:val="18"/>
          <w:szCs w:val="18"/>
        </w:rPr>
        <w:t>[Schedule 2, Part 2, item 3, subitem 4]</w:t>
      </w:r>
    </w:p>
    <w:p w14:paraId="38A36B02" w14:textId="77777777" w:rsidR="00771FC7" w:rsidRPr="003C5F52" w:rsidRDefault="00EE798F" w:rsidP="000F194A">
      <w:pPr>
        <w:pStyle w:val="base-text-paragraph"/>
      </w:pPr>
      <w:r>
        <w:t xml:space="preserve">This </w:t>
      </w:r>
      <w:r w:rsidR="00771FC7" w:rsidRPr="003C5F52">
        <w:t>provide</w:t>
      </w:r>
      <w:r>
        <w:t>s</w:t>
      </w:r>
      <w:r w:rsidR="00771FC7" w:rsidRPr="003C5F52">
        <w:t xml:space="preserve"> </w:t>
      </w:r>
      <w:r>
        <w:t>insurers with the op</w:t>
      </w:r>
      <w:r w:rsidR="00771FC7" w:rsidRPr="003C5F52">
        <w:t>portunity to review the</w:t>
      </w:r>
      <w:r>
        <w:t>ir registration</w:t>
      </w:r>
      <w:r w:rsidR="00771FC7" w:rsidRPr="003C5F52">
        <w:t xml:space="preserve"> terms and conditions and seek to update them if they are no longer valid or dated.</w:t>
      </w:r>
    </w:p>
    <w:p w14:paraId="704D04F7" w14:textId="77777777" w:rsidR="00771FC7" w:rsidRDefault="00771FC7" w:rsidP="00F5323F">
      <w:pPr>
        <w:pStyle w:val="Heading5"/>
      </w:pPr>
      <w:r>
        <w:t>Applications for registration as private health insurer</w:t>
      </w:r>
    </w:p>
    <w:p w14:paraId="55C45E62" w14:textId="77777777" w:rsidR="00530EBE" w:rsidRPr="00530EBE" w:rsidRDefault="00771FC7" w:rsidP="000F194A">
      <w:pPr>
        <w:pStyle w:val="base-text-paragraph"/>
      </w:pPr>
      <w:r>
        <w:t xml:space="preserve">Registration applications made under section </w:t>
      </w:r>
      <w:r w:rsidR="002F6B4B">
        <w:t>126-10 of the PHI </w:t>
      </w:r>
      <w:r>
        <w:t xml:space="preserve">Act, but not yet decided upon by the transition time, will continue to progress as if the application had been made under section 12 of the </w:t>
      </w:r>
      <w:r w:rsidR="00E9202F">
        <w:t>Prudential Supervision Bill</w:t>
      </w:r>
      <w:r>
        <w:t>.</w:t>
      </w:r>
      <w:r w:rsidR="00396F46">
        <w:t xml:space="preserve"> </w:t>
      </w:r>
      <w:r w:rsidR="00530EBE" w:rsidRPr="00530EBE">
        <w:rPr>
          <w:b/>
          <w:i/>
          <w:sz w:val="18"/>
          <w:szCs w:val="18"/>
        </w:rPr>
        <w:t>[Schedule 2, Part 2, item 4, subitem 1]</w:t>
      </w:r>
    </w:p>
    <w:p w14:paraId="6965A9BE" w14:textId="77777777" w:rsidR="00FF0FDB" w:rsidRDefault="00771FC7" w:rsidP="000F194A">
      <w:pPr>
        <w:pStyle w:val="base-text-paragraph"/>
      </w:pPr>
      <w:r>
        <w:t xml:space="preserve">For the purposes of whether </w:t>
      </w:r>
      <w:r w:rsidR="00810C7A">
        <w:t xml:space="preserve">APRA requires additional information </w:t>
      </w:r>
      <w:r>
        <w:t>(section 13)</w:t>
      </w:r>
      <w:r w:rsidR="00810C7A">
        <w:t xml:space="preserve"> or whether APRA can refuse an application</w:t>
      </w:r>
      <w:r>
        <w:t xml:space="preserve"> (section 17)</w:t>
      </w:r>
      <w:r w:rsidR="00810C7A">
        <w:t xml:space="preserve"> under</w:t>
      </w:r>
      <w:r>
        <w:t xml:space="preserve"> the </w:t>
      </w:r>
      <w:r w:rsidR="00E9202F">
        <w:t>Prudential Supervision Bill</w:t>
      </w:r>
      <w:r>
        <w:t>, the application is taken to have been made at the transition time.</w:t>
      </w:r>
      <w:r w:rsidR="00810C7A">
        <w:t xml:space="preserve"> </w:t>
      </w:r>
      <w:r w:rsidR="00396F46">
        <w:t>Accordingly, under section 13, APRA will have 90 days from the transition time, rather than the time the application was made, to give the applicant written notice requiring information about the application. Under section 17, deemed refusal of an application will occur 90 days after the transition time or 90 days after the applicant provides information under s 13 (as the case may be).</w:t>
      </w:r>
      <w:r w:rsidR="00D33527">
        <w:t xml:space="preserve"> </w:t>
      </w:r>
      <w:r w:rsidR="00530EBE" w:rsidRPr="00530EBE">
        <w:rPr>
          <w:b/>
          <w:i/>
          <w:sz w:val="18"/>
          <w:szCs w:val="18"/>
        </w:rPr>
        <w:t>[Schedule 2, Part 2, item 4, subitem 2]</w:t>
      </w:r>
    </w:p>
    <w:p w14:paraId="7C2DDD8C" w14:textId="77777777" w:rsidR="00530EBE" w:rsidRDefault="00810C7A" w:rsidP="000F194A">
      <w:pPr>
        <w:pStyle w:val="base-text-paragraph"/>
      </w:pPr>
      <w:r>
        <w:t>Further, if under section 126-15 of the PHI Act, the Council gave the applicant notice that further information was required</w:t>
      </w:r>
      <w:r w:rsidR="00396F46">
        <w:t xml:space="preserve"> for the purposes of the application</w:t>
      </w:r>
      <w:r>
        <w:t>, but the information has not yet been provided by the transition time, the notice is taken to have been given by APRA</w:t>
      </w:r>
      <w:r w:rsidR="00396F46">
        <w:t xml:space="preserve"> under section 13 of the </w:t>
      </w:r>
      <w:r w:rsidR="00E9202F">
        <w:t>Prudential Supervision Bill</w:t>
      </w:r>
      <w:r>
        <w:t xml:space="preserve"> at the transition time.</w:t>
      </w:r>
      <w:r w:rsidR="00530EBE" w:rsidRPr="00530EBE">
        <w:t xml:space="preserve"> </w:t>
      </w:r>
      <w:r w:rsidR="00530EBE" w:rsidRPr="00530EBE">
        <w:rPr>
          <w:b/>
          <w:i/>
          <w:sz w:val="18"/>
          <w:szCs w:val="18"/>
        </w:rPr>
        <w:t xml:space="preserve">[Schedule </w:t>
      </w:r>
      <w:r w:rsidR="00530EBE">
        <w:rPr>
          <w:b/>
          <w:i/>
          <w:sz w:val="18"/>
          <w:szCs w:val="18"/>
        </w:rPr>
        <w:t>2, Part 2, item 4, subitem 3</w:t>
      </w:r>
      <w:r w:rsidR="00530EBE" w:rsidRPr="00530EBE">
        <w:rPr>
          <w:b/>
          <w:i/>
          <w:sz w:val="18"/>
          <w:szCs w:val="18"/>
        </w:rPr>
        <w:t>]</w:t>
      </w:r>
    </w:p>
    <w:p w14:paraId="069949E9" w14:textId="77777777" w:rsidR="00396F46" w:rsidRDefault="00396F46" w:rsidP="000F194A">
      <w:pPr>
        <w:pStyle w:val="base-text-paragraph"/>
      </w:pPr>
      <w:r>
        <w:t>These transitional provisions will ensure that APRA has sufficient time to properly assess an application for registration made but not determined before the transition time.</w:t>
      </w:r>
    </w:p>
    <w:p w14:paraId="41B52179" w14:textId="77777777" w:rsidR="002F6B4B" w:rsidRDefault="002F6B4B" w:rsidP="00F5323F">
      <w:pPr>
        <w:pStyle w:val="Heading5"/>
      </w:pPr>
      <w:r>
        <w:t>Conversion to for profit status</w:t>
      </w:r>
    </w:p>
    <w:p w14:paraId="5CD1F0C7" w14:textId="77777777" w:rsidR="002F6B4B" w:rsidRDefault="002F6B4B" w:rsidP="000F194A">
      <w:pPr>
        <w:pStyle w:val="base-text-paragraph"/>
      </w:pPr>
      <w:r>
        <w:t>If under section 126-42 of the PHI Act, an insurer has been approved to convert to being registered as a for profit insurer</w:t>
      </w:r>
      <w:r w:rsidR="007F75B2">
        <w:t xml:space="preserve">, then the approval will continue as if it were made by APRA under section 20 of the </w:t>
      </w:r>
      <w:r w:rsidR="00E9202F">
        <w:t>Prudential Supervision Bill</w:t>
      </w:r>
      <w:r w:rsidR="007F75B2">
        <w:t>.</w:t>
      </w:r>
      <w:r w:rsidR="00530EBE" w:rsidRPr="00530EBE">
        <w:rPr>
          <w:b/>
          <w:i/>
          <w:sz w:val="18"/>
          <w:szCs w:val="18"/>
        </w:rPr>
        <w:t xml:space="preserve"> [Schedule </w:t>
      </w:r>
      <w:r w:rsidR="00530EBE">
        <w:rPr>
          <w:b/>
          <w:i/>
          <w:sz w:val="18"/>
          <w:szCs w:val="18"/>
        </w:rPr>
        <w:t>2, Part 2, item 5, subitem 1</w:t>
      </w:r>
      <w:r w:rsidR="00530EBE" w:rsidRPr="00530EBE">
        <w:rPr>
          <w:b/>
          <w:i/>
          <w:sz w:val="18"/>
          <w:szCs w:val="18"/>
        </w:rPr>
        <w:t>]</w:t>
      </w:r>
    </w:p>
    <w:p w14:paraId="7D0EE99E" w14:textId="77777777" w:rsidR="00CF3A49" w:rsidRDefault="007F75B2" w:rsidP="00D75113">
      <w:pPr>
        <w:pStyle w:val="base-text-paragraph"/>
        <w:keepNext/>
        <w:keepLines/>
      </w:pPr>
      <w:r>
        <w:t xml:space="preserve">If an application made to the Council has not yet been completed by the transition time, then section 20 of the </w:t>
      </w:r>
      <w:r w:rsidR="00E9202F">
        <w:t>Prudential Supervision Bill</w:t>
      </w:r>
      <w:r>
        <w:t xml:space="preserve"> will apply</w:t>
      </w:r>
      <w:r w:rsidR="00CF3A49">
        <w:t xml:space="preserve"> as if the application had been made under </w:t>
      </w:r>
      <w:r w:rsidR="00396F46">
        <w:t>that</w:t>
      </w:r>
      <w:r w:rsidR="00CF3A49">
        <w:t xml:space="preserve"> section.</w:t>
      </w:r>
      <w:r>
        <w:t xml:space="preserve"> </w:t>
      </w:r>
      <w:r w:rsidR="001535D1">
        <w:rPr>
          <w:b/>
          <w:i/>
          <w:sz w:val="18"/>
          <w:szCs w:val="18"/>
        </w:rPr>
        <w:t>[Schedule </w:t>
      </w:r>
      <w:r w:rsidR="00530EBE">
        <w:rPr>
          <w:b/>
          <w:i/>
          <w:sz w:val="18"/>
          <w:szCs w:val="18"/>
        </w:rPr>
        <w:t>2, Part 2, item 5, subitem 2</w:t>
      </w:r>
      <w:r w:rsidR="003746F7">
        <w:rPr>
          <w:b/>
          <w:i/>
          <w:sz w:val="18"/>
          <w:szCs w:val="18"/>
        </w:rPr>
        <w:t>(a)</w:t>
      </w:r>
      <w:r w:rsidR="00530EBE" w:rsidRPr="00530EBE">
        <w:rPr>
          <w:b/>
          <w:i/>
          <w:sz w:val="18"/>
          <w:szCs w:val="18"/>
        </w:rPr>
        <w:t>]</w:t>
      </w:r>
    </w:p>
    <w:p w14:paraId="40253EBF" w14:textId="77777777" w:rsidR="003746F7" w:rsidRDefault="007F75B2" w:rsidP="000F194A">
      <w:pPr>
        <w:pStyle w:val="base-text-paragraph"/>
      </w:pPr>
      <w:r>
        <w:t>In addition, acts undertaken by the Council (such as causing a notice to be published or giving an applicant notice requiring further information) will be deemed to have been taken by APRA.</w:t>
      </w:r>
      <w:r w:rsidR="003746F7" w:rsidRPr="003746F7">
        <w:rPr>
          <w:b/>
          <w:i/>
          <w:sz w:val="18"/>
          <w:szCs w:val="18"/>
        </w:rPr>
        <w:t xml:space="preserve"> [Schedule 2, Part</w:t>
      </w:r>
      <w:r w:rsidR="00793BC3">
        <w:rPr>
          <w:b/>
          <w:i/>
          <w:sz w:val="18"/>
          <w:szCs w:val="18"/>
        </w:rPr>
        <w:t> </w:t>
      </w:r>
      <w:r w:rsidR="003746F7" w:rsidRPr="003746F7">
        <w:rPr>
          <w:b/>
          <w:i/>
          <w:sz w:val="18"/>
          <w:szCs w:val="18"/>
        </w:rPr>
        <w:t>2, item 5, subitem</w:t>
      </w:r>
      <w:r w:rsidR="00793BC3">
        <w:rPr>
          <w:b/>
          <w:i/>
          <w:sz w:val="18"/>
          <w:szCs w:val="18"/>
        </w:rPr>
        <w:t>s</w:t>
      </w:r>
      <w:r w:rsidR="003746F7" w:rsidRPr="003746F7">
        <w:rPr>
          <w:b/>
          <w:i/>
          <w:sz w:val="18"/>
          <w:szCs w:val="18"/>
        </w:rPr>
        <w:t xml:space="preserve"> 2</w:t>
      </w:r>
      <w:r w:rsidR="003746F7">
        <w:rPr>
          <w:b/>
          <w:i/>
          <w:sz w:val="18"/>
          <w:szCs w:val="18"/>
        </w:rPr>
        <w:t>(b</w:t>
      </w:r>
      <w:r w:rsidR="003746F7" w:rsidRPr="003746F7">
        <w:rPr>
          <w:b/>
          <w:i/>
          <w:sz w:val="18"/>
          <w:szCs w:val="18"/>
        </w:rPr>
        <w:t>)</w:t>
      </w:r>
      <w:r w:rsidR="00793BC3">
        <w:rPr>
          <w:b/>
          <w:i/>
          <w:sz w:val="18"/>
          <w:szCs w:val="18"/>
        </w:rPr>
        <w:t xml:space="preserve"> and 2(c</w:t>
      </w:r>
      <w:r w:rsidR="003746F7" w:rsidRPr="003746F7">
        <w:rPr>
          <w:b/>
          <w:i/>
          <w:sz w:val="18"/>
          <w:szCs w:val="18"/>
        </w:rPr>
        <w:t>)]</w:t>
      </w:r>
    </w:p>
    <w:p w14:paraId="6FE4F209" w14:textId="77777777" w:rsidR="00CF3A49" w:rsidRDefault="00CF3A49" w:rsidP="00F5323F">
      <w:pPr>
        <w:pStyle w:val="Heading4"/>
      </w:pPr>
      <w:r>
        <w:t>Division 2 – Health benefits funds – restructures, mergers and acquisitions, and terminating and external management</w:t>
      </w:r>
    </w:p>
    <w:p w14:paraId="3D263C81" w14:textId="77777777" w:rsidR="00CF3A49" w:rsidRDefault="00CF3A49" w:rsidP="00F5323F">
      <w:pPr>
        <w:pStyle w:val="Heading5"/>
      </w:pPr>
      <w:r>
        <w:t>Restructures of health benefits funds</w:t>
      </w:r>
    </w:p>
    <w:p w14:paraId="7EEBF6CD" w14:textId="77777777" w:rsidR="003746F7" w:rsidRDefault="00CF3A49" w:rsidP="000F194A">
      <w:pPr>
        <w:pStyle w:val="base-text-paragraph"/>
      </w:pPr>
      <w:r>
        <w:t xml:space="preserve">If under section 146-1 of the PHI Act an approval was in place for a restructure, then from the transition time the approval </w:t>
      </w:r>
      <w:r w:rsidR="00396F46">
        <w:t xml:space="preserve">has effect </w:t>
      </w:r>
      <w:r>
        <w:t xml:space="preserve">as if it were made by APRA under section 32 of the </w:t>
      </w:r>
      <w:r w:rsidR="00E9202F">
        <w:t>Prudential Supervision Bill</w:t>
      </w:r>
      <w:r>
        <w:t>.</w:t>
      </w:r>
      <w:r w:rsidR="003746F7" w:rsidRPr="003746F7">
        <w:rPr>
          <w:i/>
          <w:sz w:val="18"/>
          <w:szCs w:val="18"/>
        </w:rPr>
        <w:t xml:space="preserve"> </w:t>
      </w:r>
      <w:r w:rsidR="003746F7" w:rsidRPr="00530EBE">
        <w:rPr>
          <w:b/>
          <w:i/>
          <w:sz w:val="18"/>
          <w:szCs w:val="18"/>
        </w:rPr>
        <w:t xml:space="preserve">[Schedule </w:t>
      </w:r>
      <w:r w:rsidR="003746F7">
        <w:rPr>
          <w:b/>
          <w:i/>
          <w:sz w:val="18"/>
          <w:szCs w:val="18"/>
        </w:rPr>
        <w:t>2, Part 2, item 6, subitem 1</w:t>
      </w:r>
      <w:r w:rsidR="003746F7" w:rsidRPr="00530EBE">
        <w:rPr>
          <w:b/>
          <w:i/>
          <w:sz w:val="18"/>
          <w:szCs w:val="18"/>
        </w:rPr>
        <w:t>]</w:t>
      </w:r>
    </w:p>
    <w:p w14:paraId="3D6823CA" w14:textId="77777777" w:rsidR="003746F7" w:rsidRDefault="00CF3A49" w:rsidP="000F194A">
      <w:pPr>
        <w:pStyle w:val="base-text-paragraph"/>
      </w:pPr>
      <w:r>
        <w:t xml:space="preserve">If an application made to the Council before the transition time under section 146-1 of the PHI Act has not yet been decided upon by the transition time, section 32 of the </w:t>
      </w:r>
      <w:r w:rsidR="00E9202F">
        <w:t>Prudential Supervision Bill</w:t>
      </w:r>
      <w:r>
        <w:t xml:space="preserve"> applies in relation to the application.</w:t>
      </w:r>
      <w:r w:rsidR="003746F7" w:rsidRPr="003746F7">
        <w:rPr>
          <w:i/>
          <w:sz w:val="18"/>
          <w:szCs w:val="18"/>
        </w:rPr>
        <w:t xml:space="preserve"> </w:t>
      </w:r>
      <w:r w:rsidR="003746F7" w:rsidRPr="003746F7">
        <w:rPr>
          <w:b/>
          <w:i/>
          <w:sz w:val="18"/>
          <w:szCs w:val="18"/>
        </w:rPr>
        <w:t>[Schedule 2, Part 2, item 5, subitem 2]</w:t>
      </w:r>
    </w:p>
    <w:p w14:paraId="5F31C609" w14:textId="77777777" w:rsidR="00CF3A49" w:rsidRDefault="00CF3A49" w:rsidP="00F5323F">
      <w:pPr>
        <w:pStyle w:val="Heading5"/>
      </w:pPr>
      <w:r>
        <w:t>Mergers and acquisitions of health benefits funds</w:t>
      </w:r>
    </w:p>
    <w:p w14:paraId="13873651" w14:textId="77777777" w:rsidR="0015780A" w:rsidRPr="0015780A" w:rsidRDefault="00CF3A49" w:rsidP="000F194A">
      <w:pPr>
        <w:pStyle w:val="base-text-paragraph"/>
      </w:pPr>
      <w:r>
        <w:t xml:space="preserve">If under section 146-5 of the PHI Act an approval was in place for a merger or acquisition, then from the transition time the approval </w:t>
      </w:r>
      <w:r w:rsidR="00396F46">
        <w:t>has effect</w:t>
      </w:r>
      <w:r>
        <w:t xml:space="preserve"> as if it were made by APRA under section 33 of the </w:t>
      </w:r>
      <w:r w:rsidR="00E9202F">
        <w:t>Prudential Supervision Bill</w:t>
      </w:r>
      <w:r>
        <w:t>.</w:t>
      </w:r>
      <w:r w:rsidR="0015780A" w:rsidRPr="0015780A">
        <w:rPr>
          <w:i/>
          <w:sz w:val="18"/>
          <w:szCs w:val="18"/>
        </w:rPr>
        <w:t xml:space="preserve"> </w:t>
      </w:r>
      <w:r w:rsidR="00530EBE" w:rsidRPr="0015780A">
        <w:rPr>
          <w:b/>
          <w:i/>
          <w:sz w:val="18"/>
          <w:szCs w:val="18"/>
        </w:rPr>
        <w:t xml:space="preserve">[Schedule </w:t>
      </w:r>
      <w:r w:rsidR="0015780A" w:rsidRPr="0015780A">
        <w:rPr>
          <w:b/>
          <w:i/>
          <w:sz w:val="18"/>
          <w:szCs w:val="18"/>
        </w:rPr>
        <w:t xml:space="preserve">2, Part 2, item </w:t>
      </w:r>
      <w:r w:rsidR="0015780A">
        <w:rPr>
          <w:b/>
          <w:i/>
          <w:sz w:val="18"/>
          <w:szCs w:val="18"/>
        </w:rPr>
        <w:t>7, subitem</w:t>
      </w:r>
      <w:r w:rsidR="006C4712">
        <w:rPr>
          <w:b/>
          <w:i/>
          <w:sz w:val="18"/>
          <w:szCs w:val="18"/>
        </w:rPr>
        <w:t> </w:t>
      </w:r>
      <w:r w:rsidR="0015780A">
        <w:rPr>
          <w:b/>
          <w:i/>
          <w:sz w:val="18"/>
          <w:szCs w:val="18"/>
        </w:rPr>
        <w:t>1</w:t>
      </w:r>
      <w:r w:rsidR="0015780A" w:rsidRPr="0015780A">
        <w:rPr>
          <w:b/>
          <w:i/>
          <w:sz w:val="18"/>
          <w:szCs w:val="18"/>
        </w:rPr>
        <w:t>)</w:t>
      </w:r>
      <w:r w:rsidR="00530EBE" w:rsidRPr="0015780A">
        <w:rPr>
          <w:b/>
          <w:i/>
          <w:sz w:val="18"/>
          <w:szCs w:val="18"/>
        </w:rPr>
        <w:t>]</w:t>
      </w:r>
    </w:p>
    <w:p w14:paraId="453B7C3F" w14:textId="77777777" w:rsidR="00CF3A49" w:rsidRDefault="00CF3A49" w:rsidP="000F194A">
      <w:pPr>
        <w:pStyle w:val="base-text-paragraph"/>
      </w:pPr>
      <w:r>
        <w:t>If an application made to the Council before the transition time under section 146-5 of the PHI Act has not yet been decided upon by the transition time, secti</w:t>
      </w:r>
      <w:r w:rsidR="00794DF0">
        <w:t>on 33</w:t>
      </w:r>
      <w:r>
        <w:t xml:space="preserve"> of the </w:t>
      </w:r>
      <w:r w:rsidR="00E9202F">
        <w:t>Prudential Supervision Bill</w:t>
      </w:r>
      <w:r>
        <w:t xml:space="preserve"> applies in relation to the application</w:t>
      </w:r>
      <w:r w:rsidR="0015780A">
        <w:t xml:space="preserve">. </w:t>
      </w:r>
      <w:r w:rsidR="0015780A" w:rsidRPr="0015780A">
        <w:rPr>
          <w:b/>
          <w:i/>
          <w:sz w:val="18"/>
          <w:szCs w:val="18"/>
        </w:rPr>
        <w:t>[Schedule 2, Part 2, item 7, subitem 2]</w:t>
      </w:r>
    </w:p>
    <w:p w14:paraId="161A46EB" w14:textId="77777777" w:rsidR="00CF3A49" w:rsidRDefault="00794DF0" w:rsidP="00F5323F">
      <w:pPr>
        <w:pStyle w:val="Heading5"/>
      </w:pPr>
      <w:r>
        <w:t>Terminating management and external management of health benefits funds</w:t>
      </w:r>
    </w:p>
    <w:p w14:paraId="091F6A89" w14:textId="77777777" w:rsidR="00794DF0" w:rsidRDefault="00794DF0" w:rsidP="000F194A">
      <w:pPr>
        <w:pStyle w:val="base-text-paragraph"/>
      </w:pPr>
      <w:r>
        <w:t xml:space="preserve">If under section 149-10 of the PHI Act an approval was in place for a termination of health benefits funds, then from the transition time the approval </w:t>
      </w:r>
      <w:r w:rsidR="00396F46">
        <w:t xml:space="preserve">has effect </w:t>
      </w:r>
      <w:r>
        <w:t>as if it were made by APRA under section 37 of</w:t>
      </w:r>
      <w:r w:rsidR="0015780A">
        <w:t xml:space="preserve"> the </w:t>
      </w:r>
      <w:r w:rsidR="00E9202F">
        <w:t>Prudential Supervision Bill</w:t>
      </w:r>
      <w:r w:rsidR="0015780A">
        <w:t xml:space="preserve">. </w:t>
      </w:r>
      <w:r w:rsidR="0015780A" w:rsidRPr="0015780A">
        <w:rPr>
          <w:b/>
          <w:i/>
          <w:sz w:val="18"/>
          <w:szCs w:val="18"/>
        </w:rPr>
        <w:t>[Schedule 2, Part 2, item 8, subitem 1]</w:t>
      </w:r>
      <w:r w:rsidR="0015780A">
        <w:t xml:space="preserve"> </w:t>
      </w:r>
    </w:p>
    <w:p w14:paraId="1546AFFC" w14:textId="77777777" w:rsidR="00396F46" w:rsidRDefault="00396F46" w:rsidP="00D75113">
      <w:pPr>
        <w:pStyle w:val="base-text-paragraph"/>
        <w:keepNext/>
        <w:keepLines/>
      </w:pPr>
      <w:r>
        <w:t xml:space="preserve">If under section 149-1 of the PHI Act an application for approval of a termination of health benefits funds had been made to the Council but not yet decided, then from the transition time the application is taken to have been made to APRA under section 35 of the </w:t>
      </w:r>
      <w:r w:rsidR="00E9202F">
        <w:t>Prudential Supervision Bill</w:t>
      </w:r>
      <w:r>
        <w:t>.</w:t>
      </w:r>
      <w:r w:rsidR="0015780A" w:rsidRPr="0015780A">
        <w:rPr>
          <w:b/>
          <w:i/>
          <w:sz w:val="18"/>
          <w:szCs w:val="18"/>
        </w:rPr>
        <w:t xml:space="preserve"> [Schedule 2, Part 2, item 8, subitem 2]</w:t>
      </w:r>
    </w:p>
    <w:p w14:paraId="53DA2273" w14:textId="77777777" w:rsidR="00794DF0" w:rsidRDefault="00794DF0" w:rsidP="000F194A">
      <w:pPr>
        <w:pStyle w:val="base-text-paragraph"/>
      </w:pPr>
      <w:r>
        <w:t xml:space="preserve">Further, for the purposes of sections 36 and 38 of the </w:t>
      </w:r>
      <w:r w:rsidR="00E9202F">
        <w:t>Prudential Supervision Bill</w:t>
      </w:r>
      <w:r>
        <w:t>, the application is taken to have been made by APRA at the transition time.</w:t>
      </w:r>
      <w:r w:rsidR="00396F46">
        <w:t xml:space="preserve"> Section 36 of the </w:t>
      </w:r>
      <w:r w:rsidR="00E9202F">
        <w:t>Prudential Supervision Bill</w:t>
      </w:r>
      <w:r w:rsidR="00396F46">
        <w:t xml:space="preserve"> is based on section</w:t>
      </w:r>
      <w:r w:rsidR="006C4712">
        <w:t> </w:t>
      </w:r>
      <w:r w:rsidR="00396F46">
        <w:t xml:space="preserve">149-5 of the PHI Act and provides that, within 28 days after a termination application is made, APRA may give the applicant written notice requiring the applicant to give such further information relating to the termination application as is specified in the notice. Section 38 of the </w:t>
      </w:r>
      <w:r w:rsidR="00E9202F">
        <w:t>Prudential Supervision Bill</w:t>
      </w:r>
      <w:r w:rsidR="00396F46">
        <w:t xml:space="preserve"> is based on section 149-15 of the PHI Act and provides that an application for termination is taken to have been refused if APRA does not notify the applicant of its decision the application within 90 days of it being made or within 90 days after information has been given in compliance with a notice seeking further information.</w:t>
      </w:r>
    </w:p>
    <w:p w14:paraId="72686FB0" w14:textId="77777777" w:rsidR="00794DF0" w:rsidRDefault="00396F46" w:rsidP="000F194A">
      <w:pPr>
        <w:pStyle w:val="base-text-paragraph"/>
      </w:pPr>
      <w:r>
        <w:t>T</w:t>
      </w:r>
      <w:r w:rsidR="00794DF0">
        <w:t xml:space="preserve">he </w:t>
      </w:r>
      <w:r w:rsidR="00165D61">
        <w:t>time</w:t>
      </w:r>
      <w:r w:rsidR="00794DF0">
        <w:t xml:space="preserve"> limit</w:t>
      </w:r>
      <w:r w:rsidR="00165D61">
        <w:t>s</w:t>
      </w:r>
      <w:r w:rsidR="00794DF0">
        <w:t xml:space="preserve"> specified in sections 36 and 38 will start to run </w:t>
      </w:r>
      <w:r>
        <w:t>from</w:t>
      </w:r>
      <w:r w:rsidR="00794DF0">
        <w:t xml:space="preserve"> the transition time.</w:t>
      </w:r>
      <w:r>
        <w:t xml:space="preserve"> This will ensure that, if an application for termination under Division 149 of the PHI Act is made but not determined before the transition time, APRA will have sufficient time to seek information and consider the application.</w:t>
      </w:r>
    </w:p>
    <w:p w14:paraId="2B91B1F1" w14:textId="77777777" w:rsidR="00794DF0" w:rsidRPr="0015780A" w:rsidRDefault="00FF0FDB" w:rsidP="000F194A">
      <w:pPr>
        <w:pStyle w:val="base-text-paragraph"/>
        <w:rPr>
          <w:sz w:val="18"/>
          <w:szCs w:val="18"/>
        </w:rPr>
      </w:pPr>
      <w:r>
        <w:t>In addition, if before the transition time, the Council gave the applicant notice under section 149-5 of the PHI Act requiring the provision of further information, and it has not yet been provided, then the notice is taken to have been given by APRA</w:t>
      </w:r>
      <w:r w:rsidR="00396F46">
        <w:t xml:space="preserve">, under section 36 of the </w:t>
      </w:r>
      <w:r w:rsidR="00E9202F">
        <w:t>Prudential Supervision Bill</w:t>
      </w:r>
      <w:r w:rsidR="00396F46">
        <w:t>,</w:t>
      </w:r>
      <w:r>
        <w:t xml:space="preserve"> at the transition time.</w:t>
      </w:r>
      <w:r w:rsidR="0015780A" w:rsidRPr="0015780A">
        <w:rPr>
          <w:b/>
          <w:i/>
          <w:sz w:val="18"/>
          <w:szCs w:val="18"/>
        </w:rPr>
        <w:t xml:space="preserve"> [Sched</w:t>
      </w:r>
      <w:r w:rsidR="0015780A">
        <w:rPr>
          <w:b/>
          <w:i/>
          <w:sz w:val="18"/>
          <w:szCs w:val="18"/>
        </w:rPr>
        <w:t>ule 2, Part 2, item 8, subitems 3 and 4</w:t>
      </w:r>
      <w:r w:rsidR="0015780A" w:rsidRPr="0015780A">
        <w:rPr>
          <w:b/>
          <w:i/>
          <w:sz w:val="18"/>
          <w:szCs w:val="18"/>
        </w:rPr>
        <w:t>]</w:t>
      </w:r>
    </w:p>
    <w:p w14:paraId="0F643FE6" w14:textId="77777777" w:rsidR="00396F46" w:rsidRDefault="00396F46" w:rsidP="000F194A">
      <w:pPr>
        <w:pStyle w:val="base-text-paragraph"/>
      </w:pPr>
      <w:r>
        <w:t xml:space="preserve">Appointment of terminating managers that are in force under the PHI Act immediately before the transition time will continue to have effect from the transition time as if it were made under section 37 of the </w:t>
      </w:r>
      <w:r w:rsidR="00E9202F">
        <w:t>Prudential Supervision Bill</w:t>
      </w:r>
      <w:r>
        <w:t xml:space="preserve"> (where the original appointment was made by the Council under section 149-10 of the PHI Act) or Division 7 of Part 3 of the </w:t>
      </w:r>
      <w:r w:rsidR="00E9202F">
        <w:t>Prudential Supervision Bill</w:t>
      </w:r>
      <w:r>
        <w:t xml:space="preserve"> (where the original appointment was made via the court process in Division 220 of the PHI Act).</w:t>
      </w:r>
      <w:r w:rsidR="0015780A" w:rsidRPr="0015780A">
        <w:rPr>
          <w:b/>
          <w:i/>
          <w:sz w:val="18"/>
          <w:szCs w:val="18"/>
        </w:rPr>
        <w:t xml:space="preserve"> [Sched</w:t>
      </w:r>
      <w:r w:rsidR="0015780A">
        <w:rPr>
          <w:b/>
          <w:i/>
          <w:sz w:val="18"/>
          <w:szCs w:val="18"/>
        </w:rPr>
        <w:t>ule 2, Part</w:t>
      </w:r>
      <w:r w:rsidR="00A36E5D">
        <w:rPr>
          <w:b/>
          <w:i/>
          <w:sz w:val="18"/>
          <w:szCs w:val="18"/>
        </w:rPr>
        <w:t> </w:t>
      </w:r>
      <w:r w:rsidR="0015780A">
        <w:rPr>
          <w:b/>
          <w:i/>
          <w:sz w:val="18"/>
          <w:szCs w:val="18"/>
        </w:rPr>
        <w:t>2, item 8, subitem 5</w:t>
      </w:r>
      <w:r w:rsidR="0015780A" w:rsidRPr="0015780A">
        <w:rPr>
          <w:b/>
          <w:i/>
          <w:sz w:val="18"/>
          <w:szCs w:val="18"/>
        </w:rPr>
        <w:t>]</w:t>
      </w:r>
    </w:p>
    <w:p w14:paraId="13F409C3" w14:textId="77777777" w:rsidR="00750AD0" w:rsidRDefault="00396F46" w:rsidP="000F194A">
      <w:pPr>
        <w:pStyle w:val="base-text-paragraph"/>
      </w:pPr>
      <w:r>
        <w:t xml:space="preserve">A health benefits fund that is under terminating management, or external management, immediately before the transition time will continue to be so under the </w:t>
      </w:r>
      <w:r w:rsidR="00E9202F">
        <w:t>Prudential Supervision Bill</w:t>
      </w:r>
      <w:r>
        <w:t xml:space="preserve">. Things done, by or in relation to the Council under the PHI Act will be taken to be done, by or in relation to APRA under the corresponding provision of the </w:t>
      </w:r>
      <w:r w:rsidR="00E9202F">
        <w:t>Prudential Supervision Bill</w:t>
      </w:r>
      <w:r>
        <w:t>. Things done by or in relation to the terminating manager or external manag</w:t>
      </w:r>
      <w:r w:rsidR="001535D1">
        <w:t>er under a provision of the PHI </w:t>
      </w:r>
      <w:r>
        <w:t xml:space="preserve">Act will, likewise, be taken to be done by or in relation to the terminating manager or external manager under the corresponding provision of the </w:t>
      </w:r>
      <w:r w:rsidR="00E9202F">
        <w:t>Prudential Supervision Bill</w:t>
      </w:r>
      <w:r>
        <w:t>.</w:t>
      </w:r>
      <w:r w:rsidR="00750AD0" w:rsidRPr="00750AD0">
        <w:rPr>
          <w:b/>
          <w:i/>
          <w:sz w:val="18"/>
          <w:szCs w:val="18"/>
        </w:rPr>
        <w:t xml:space="preserve"> [Schedule 2, Part 2, item 8, subitem </w:t>
      </w:r>
      <w:r w:rsidR="00750AD0">
        <w:rPr>
          <w:b/>
          <w:i/>
          <w:sz w:val="18"/>
          <w:szCs w:val="18"/>
        </w:rPr>
        <w:t>6</w:t>
      </w:r>
      <w:r w:rsidR="00750AD0" w:rsidRPr="00750AD0">
        <w:rPr>
          <w:b/>
          <w:i/>
          <w:sz w:val="18"/>
          <w:szCs w:val="18"/>
        </w:rPr>
        <w:t>]</w:t>
      </w:r>
    </w:p>
    <w:p w14:paraId="142741F4" w14:textId="77777777" w:rsidR="00750AD0" w:rsidRDefault="00396F46" w:rsidP="000F194A">
      <w:pPr>
        <w:pStyle w:val="base-text-paragraph"/>
      </w:pPr>
      <w:r>
        <w:t>The Minister</w:t>
      </w:r>
      <w:r w:rsidR="00A51F82">
        <w:t xml:space="preserve"> may make rules that relate to how a terminating management or external management is to continue under the </w:t>
      </w:r>
      <w:r w:rsidR="00E9202F">
        <w:t>Prudential Supervision Bill</w:t>
      </w:r>
      <w:r w:rsidR="00A51F82">
        <w:t xml:space="preserve">. </w:t>
      </w:r>
      <w:r w:rsidR="00750AD0" w:rsidRPr="00750AD0">
        <w:rPr>
          <w:b/>
          <w:i/>
          <w:sz w:val="18"/>
          <w:szCs w:val="18"/>
        </w:rPr>
        <w:t xml:space="preserve">[Schedule 2, Part 2, item 8, subitem </w:t>
      </w:r>
      <w:r w:rsidR="00750AD0">
        <w:rPr>
          <w:b/>
          <w:i/>
          <w:sz w:val="18"/>
          <w:szCs w:val="18"/>
        </w:rPr>
        <w:t>7</w:t>
      </w:r>
      <w:r w:rsidR="00750AD0" w:rsidRPr="00750AD0">
        <w:rPr>
          <w:b/>
          <w:i/>
          <w:sz w:val="18"/>
          <w:szCs w:val="18"/>
        </w:rPr>
        <w:t>]</w:t>
      </w:r>
    </w:p>
    <w:p w14:paraId="4119E563" w14:textId="77777777" w:rsidR="00A51F82" w:rsidRDefault="004F5882" w:rsidP="00F5323F">
      <w:pPr>
        <w:pStyle w:val="Heading4"/>
      </w:pPr>
      <w:r>
        <w:t>Division 3 – Other obligations of private health insurers</w:t>
      </w:r>
    </w:p>
    <w:p w14:paraId="1981E634" w14:textId="77777777" w:rsidR="004F5882" w:rsidRDefault="004F5882" w:rsidP="00F5323F">
      <w:pPr>
        <w:pStyle w:val="Heading5"/>
      </w:pPr>
      <w:r>
        <w:t>Directions</w:t>
      </w:r>
    </w:p>
    <w:p w14:paraId="27690733" w14:textId="77777777" w:rsidR="004F5882" w:rsidRPr="004F5882" w:rsidRDefault="004F5882" w:rsidP="000F194A">
      <w:pPr>
        <w:pStyle w:val="base-text-paragraph"/>
      </w:pPr>
      <w:r>
        <w:t>Directions given to a p</w:t>
      </w:r>
      <w:r w:rsidR="00AB7F1A">
        <w:t>rivate health insurer</w:t>
      </w:r>
      <w:r w:rsidR="00776605">
        <w:t xml:space="preserve"> that are</w:t>
      </w:r>
      <w:r w:rsidR="00AB7F1A">
        <w:t xml:space="preserve"> in force immediately before the transition time</w:t>
      </w:r>
      <w:r w:rsidR="00776605">
        <w:t xml:space="preserve"> </w:t>
      </w:r>
      <w:r w:rsidR="005A25F7">
        <w:t xml:space="preserve">will </w:t>
      </w:r>
      <w:r w:rsidR="009D4EA4">
        <w:t>continue in</w:t>
      </w:r>
      <w:r w:rsidR="005A25F7">
        <w:t xml:space="preserve"> effect as if it were a direction given by APRA under section 9</w:t>
      </w:r>
      <w:r w:rsidR="009D4EA4">
        <w:t>6</w:t>
      </w:r>
      <w:r w:rsidR="005A25F7">
        <w:t xml:space="preserve"> of the </w:t>
      </w:r>
      <w:r w:rsidR="00E9202F">
        <w:t>Prudential Supervision Bill</w:t>
      </w:r>
      <w:r w:rsidR="004B1F7B">
        <w:t>. This will apply for directions given under the following provisions of the PHI Act:</w:t>
      </w:r>
    </w:p>
    <w:p w14:paraId="0345ECBF" w14:textId="77777777" w:rsidR="009C071B" w:rsidRDefault="005A25F7" w:rsidP="00475EAD">
      <w:pPr>
        <w:pStyle w:val="dotpoint"/>
      </w:pPr>
      <w:r>
        <w:t>section 140-20 (solvency direction);</w:t>
      </w:r>
    </w:p>
    <w:p w14:paraId="2C981E39" w14:textId="77777777" w:rsidR="005A25F7" w:rsidRDefault="005A25F7" w:rsidP="00475EAD">
      <w:pPr>
        <w:pStyle w:val="dotpoint"/>
      </w:pPr>
      <w:r>
        <w:t xml:space="preserve">section 143-20 (capital adequacy directions); </w:t>
      </w:r>
    </w:p>
    <w:p w14:paraId="62CC4B72" w14:textId="77777777" w:rsidR="005A25F7" w:rsidRDefault="005A25F7" w:rsidP="00475EAD">
      <w:pPr>
        <w:pStyle w:val="dotpoint"/>
      </w:pPr>
      <w:r>
        <w:t xml:space="preserve">section </w:t>
      </w:r>
      <w:r w:rsidR="00CD2593">
        <w:t>163-15 (directions to comply with standards); and</w:t>
      </w:r>
    </w:p>
    <w:p w14:paraId="527743FB" w14:textId="77777777" w:rsidR="00CD2593" w:rsidRDefault="00CD2593" w:rsidP="00475EAD">
      <w:pPr>
        <w:pStyle w:val="dotpoint"/>
      </w:pPr>
      <w:r>
        <w:t>section 200-1 (other directions).</w:t>
      </w:r>
      <w:r w:rsidR="00793BC3">
        <w:t xml:space="preserve"> </w:t>
      </w:r>
      <w:r w:rsidR="00793BC3" w:rsidRPr="00750AD0">
        <w:rPr>
          <w:b/>
          <w:i/>
          <w:sz w:val="18"/>
          <w:szCs w:val="18"/>
        </w:rPr>
        <w:t>[Sche</w:t>
      </w:r>
      <w:r w:rsidR="00793BC3">
        <w:rPr>
          <w:b/>
          <w:i/>
          <w:sz w:val="18"/>
          <w:szCs w:val="18"/>
        </w:rPr>
        <w:t>dule 2, Part 2, item 9</w:t>
      </w:r>
      <w:r w:rsidR="000C35C0">
        <w:rPr>
          <w:b/>
          <w:i/>
          <w:sz w:val="18"/>
          <w:szCs w:val="18"/>
        </w:rPr>
        <w:t>, subitem 1</w:t>
      </w:r>
      <w:r w:rsidR="00793BC3" w:rsidRPr="00750AD0">
        <w:rPr>
          <w:b/>
          <w:i/>
          <w:sz w:val="18"/>
          <w:szCs w:val="18"/>
        </w:rPr>
        <w:t>]</w:t>
      </w:r>
    </w:p>
    <w:p w14:paraId="4477DFC8" w14:textId="77777777" w:rsidR="00396F46" w:rsidRDefault="00396F46" w:rsidP="000F194A">
      <w:pPr>
        <w:pStyle w:val="base-text-paragraph"/>
      </w:pPr>
      <w:r>
        <w:t>Section 10</w:t>
      </w:r>
      <w:r w:rsidR="00793BC3">
        <w:t>4</w:t>
      </w:r>
      <w:r>
        <w:t xml:space="preserve"> of the </w:t>
      </w:r>
      <w:r w:rsidR="00E9202F">
        <w:t>Prudential Supervision Bill</w:t>
      </w:r>
      <w:r>
        <w:t xml:space="preserve">, which sets penalties for non-compliance with an APRA direction under that </w:t>
      </w:r>
      <w:r w:rsidR="0070032B">
        <w:t xml:space="preserve">Bill </w:t>
      </w:r>
      <w:r>
        <w:t>will not apply in relation to a grandfathered Council direction, unless it was given under section 163-15 of the PHI Act. This is to ensure that the penalty under section 10</w:t>
      </w:r>
      <w:r w:rsidR="00793BC3">
        <w:t>4</w:t>
      </w:r>
      <w:r>
        <w:t xml:space="preserve"> only applies to a Council direction to which a criminal penalty already applied (</w:t>
      </w:r>
      <w:r w:rsidR="00793BC3">
        <w:t>that is,</w:t>
      </w:r>
      <w:r>
        <w:t xml:space="preserve"> to a direction under section</w:t>
      </w:r>
      <w:r w:rsidR="009D4EA4">
        <w:t> </w:t>
      </w:r>
      <w:r>
        <w:t>163</w:t>
      </w:r>
      <w:r w:rsidR="00793BC3">
        <w:noBreakHyphen/>
      </w:r>
      <w:r>
        <w:t>15).</w:t>
      </w:r>
      <w:r w:rsidR="000C35C0">
        <w:t xml:space="preserve"> </w:t>
      </w:r>
      <w:r w:rsidR="000C35C0" w:rsidRPr="00750AD0">
        <w:rPr>
          <w:b/>
          <w:i/>
          <w:sz w:val="18"/>
          <w:szCs w:val="18"/>
        </w:rPr>
        <w:t>[Sche</w:t>
      </w:r>
      <w:r w:rsidR="000C35C0">
        <w:rPr>
          <w:b/>
          <w:i/>
          <w:sz w:val="18"/>
          <w:szCs w:val="18"/>
        </w:rPr>
        <w:t>dule 2, Part 2, item 9, subitem 2</w:t>
      </w:r>
      <w:r w:rsidR="000C35C0" w:rsidRPr="00750AD0">
        <w:rPr>
          <w:b/>
          <w:i/>
          <w:sz w:val="18"/>
          <w:szCs w:val="18"/>
        </w:rPr>
        <w:t>]</w:t>
      </w:r>
    </w:p>
    <w:p w14:paraId="45D0CF34" w14:textId="77777777" w:rsidR="00CD2593" w:rsidRDefault="004B1F7B" w:rsidP="000F194A">
      <w:pPr>
        <w:pStyle w:val="base-text-paragraph"/>
      </w:pPr>
      <w:r>
        <w:t>If a direction is to apply for a certain period, then the direction will continue to cease to have effect at the end of the specified period.</w:t>
      </w:r>
      <w:r w:rsidR="000C35C0">
        <w:t xml:space="preserve"> </w:t>
      </w:r>
      <w:r w:rsidR="000C35C0" w:rsidRPr="00750AD0">
        <w:rPr>
          <w:b/>
          <w:i/>
          <w:sz w:val="18"/>
          <w:szCs w:val="18"/>
        </w:rPr>
        <w:t>[Sche</w:t>
      </w:r>
      <w:r w:rsidR="000C35C0">
        <w:rPr>
          <w:b/>
          <w:i/>
          <w:sz w:val="18"/>
          <w:szCs w:val="18"/>
        </w:rPr>
        <w:t>dule 2, Part 2, item 9, subitem 3</w:t>
      </w:r>
      <w:r w:rsidR="000C35C0" w:rsidRPr="00750AD0">
        <w:rPr>
          <w:b/>
          <w:i/>
          <w:sz w:val="18"/>
          <w:szCs w:val="18"/>
        </w:rPr>
        <w:t>]</w:t>
      </w:r>
    </w:p>
    <w:p w14:paraId="76A9C5AB" w14:textId="77777777" w:rsidR="004B1F7B" w:rsidRDefault="004B1F7B" w:rsidP="00F5323F">
      <w:pPr>
        <w:pStyle w:val="Heading5"/>
      </w:pPr>
      <w:r>
        <w:t>Actuaries</w:t>
      </w:r>
    </w:p>
    <w:p w14:paraId="6A1131C5" w14:textId="77777777" w:rsidR="004B1F7B" w:rsidRDefault="004B1F7B" w:rsidP="000F194A">
      <w:pPr>
        <w:pStyle w:val="base-text-paragraph"/>
      </w:pPr>
      <w:r>
        <w:t>Actuaries of private health insurers that are appointed under section 160-1 of the PHI Act immediately before the transition time will continue as if it were an appointment under section 10</w:t>
      </w:r>
      <w:r w:rsidR="009D4EA4">
        <w:t>6</w:t>
      </w:r>
      <w:r>
        <w:t xml:space="preserve"> of the </w:t>
      </w:r>
      <w:r w:rsidR="00E9202F">
        <w:t>Prudential Supervision Bill</w:t>
      </w:r>
      <w:r>
        <w:t>.</w:t>
      </w:r>
      <w:r w:rsidR="000C35C0">
        <w:t xml:space="preserve"> </w:t>
      </w:r>
      <w:r w:rsidR="000C35C0" w:rsidRPr="00750AD0">
        <w:rPr>
          <w:b/>
          <w:i/>
          <w:sz w:val="18"/>
          <w:szCs w:val="18"/>
        </w:rPr>
        <w:t>[Sche</w:t>
      </w:r>
      <w:r w:rsidR="000C35C0">
        <w:rPr>
          <w:b/>
          <w:i/>
          <w:sz w:val="18"/>
          <w:szCs w:val="18"/>
        </w:rPr>
        <w:t>dule 2, Part 2, item 10</w:t>
      </w:r>
      <w:r w:rsidR="000C35C0" w:rsidRPr="00750AD0">
        <w:rPr>
          <w:b/>
          <w:i/>
          <w:sz w:val="18"/>
          <w:szCs w:val="18"/>
        </w:rPr>
        <w:t>]</w:t>
      </w:r>
    </w:p>
    <w:p w14:paraId="30AF4E20" w14:textId="77777777" w:rsidR="004B1F7B" w:rsidRDefault="004B1F7B" w:rsidP="00F5323F">
      <w:pPr>
        <w:pStyle w:val="Heading5"/>
      </w:pPr>
      <w:r>
        <w:t>Disqualified persons</w:t>
      </w:r>
    </w:p>
    <w:p w14:paraId="5054E941" w14:textId="77777777" w:rsidR="00CD2593" w:rsidRDefault="004B1F7B" w:rsidP="000F194A">
      <w:pPr>
        <w:pStyle w:val="base-text-paragraph"/>
      </w:pPr>
      <w:r>
        <w:t xml:space="preserve">The definition of </w:t>
      </w:r>
      <w:r w:rsidR="0070032B">
        <w:t>‘</w:t>
      </w:r>
      <w:r w:rsidRPr="00276616">
        <w:t>disqualified person</w:t>
      </w:r>
      <w:r w:rsidR="0070032B">
        <w:t>’</w:t>
      </w:r>
      <w:r>
        <w:t xml:space="preserve"> (subsection 11</w:t>
      </w:r>
      <w:r w:rsidR="009D4EA4">
        <w:t>9</w:t>
      </w:r>
      <w:r>
        <w:t xml:space="preserve">(1)) in the </w:t>
      </w:r>
      <w:r w:rsidR="00E9202F">
        <w:t>Prudential Supervision Bill</w:t>
      </w:r>
      <w:r>
        <w:t xml:space="preserve"> also includes a person </w:t>
      </w:r>
      <w:r w:rsidR="00556E3A">
        <w:t>who</w:t>
      </w:r>
      <w:r>
        <w:t xml:space="preserve"> was disqualified under section 166-20 of the PHI Act.</w:t>
      </w:r>
      <w:r w:rsidR="000C35C0">
        <w:t xml:space="preserve"> </w:t>
      </w:r>
      <w:r w:rsidR="000C35C0" w:rsidRPr="00750AD0">
        <w:rPr>
          <w:b/>
          <w:i/>
          <w:sz w:val="18"/>
          <w:szCs w:val="18"/>
        </w:rPr>
        <w:t>[Sche</w:t>
      </w:r>
      <w:r w:rsidR="000C35C0">
        <w:rPr>
          <w:b/>
          <w:i/>
          <w:sz w:val="18"/>
          <w:szCs w:val="18"/>
        </w:rPr>
        <w:t>dule 2, Part 2, item 11</w:t>
      </w:r>
      <w:r w:rsidR="000C35C0" w:rsidRPr="00750AD0">
        <w:rPr>
          <w:b/>
          <w:i/>
          <w:sz w:val="18"/>
          <w:szCs w:val="18"/>
        </w:rPr>
        <w:t>]</w:t>
      </w:r>
    </w:p>
    <w:p w14:paraId="64855554" w14:textId="77777777" w:rsidR="00556E3A" w:rsidRDefault="00556E3A" w:rsidP="000F194A">
      <w:pPr>
        <w:pStyle w:val="base-text-paragraph"/>
      </w:pPr>
      <w:r>
        <w:t xml:space="preserve">APRA may revoke a disqualification grandfathered under the above provision upon application by the person or of its own initiative and the revocation will take effect on the day on which it is made. This ensures that a person disqualified by the Council’s administrative processes may seek to have their disqualification revoked by APRA via an administrative process, rather than having to approach the court under the new provisions in the </w:t>
      </w:r>
      <w:r w:rsidR="00E9202F">
        <w:t>Prudential Supervision Bill</w:t>
      </w:r>
      <w:r>
        <w:t>.</w:t>
      </w:r>
      <w:r w:rsidR="000C35C0">
        <w:t xml:space="preserve"> </w:t>
      </w:r>
      <w:r w:rsidR="000C35C0" w:rsidRPr="00750AD0">
        <w:rPr>
          <w:b/>
          <w:i/>
          <w:sz w:val="18"/>
          <w:szCs w:val="18"/>
        </w:rPr>
        <w:t>[Sche</w:t>
      </w:r>
      <w:r w:rsidR="000C35C0">
        <w:rPr>
          <w:b/>
          <w:i/>
          <w:sz w:val="18"/>
          <w:szCs w:val="18"/>
        </w:rPr>
        <w:t>dule 2, Part 2, item 11</w:t>
      </w:r>
      <w:r w:rsidR="000C35C0" w:rsidRPr="00750AD0">
        <w:rPr>
          <w:b/>
          <w:i/>
          <w:sz w:val="18"/>
          <w:szCs w:val="18"/>
        </w:rPr>
        <w:t>]</w:t>
      </w:r>
    </w:p>
    <w:p w14:paraId="6A2754E0" w14:textId="77777777" w:rsidR="00407414" w:rsidRDefault="00556E3A" w:rsidP="000F194A">
      <w:pPr>
        <w:pStyle w:val="base-text-paragraph"/>
      </w:pPr>
      <w:r>
        <w:t xml:space="preserve">When APRA makes a decision on an application for revocation of a grandfathered Council disqualification, </w:t>
      </w:r>
      <w:r w:rsidR="00407414">
        <w:t>APRA must give the person written notice of a revocation of the disqualification, or of a refusal to revoke the disqualification. APRA may also give notice in any other way that it considers appropriate.</w:t>
      </w:r>
      <w:r w:rsidR="000C35C0">
        <w:t xml:space="preserve"> </w:t>
      </w:r>
      <w:r w:rsidR="000C35C0" w:rsidRPr="00750AD0">
        <w:rPr>
          <w:b/>
          <w:i/>
          <w:sz w:val="18"/>
          <w:szCs w:val="18"/>
        </w:rPr>
        <w:t>[Sche</w:t>
      </w:r>
      <w:r w:rsidR="000C35C0">
        <w:rPr>
          <w:b/>
          <w:i/>
          <w:sz w:val="18"/>
          <w:szCs w:val="18"/>
        </w:rPr>
        <w:t>dule 2, Part 2, item 11</w:t>
      </w:r>
      <w:r w:rsidR="000C35C0" w:rsidRPr="00750AD0">
        <w:rPr>
          <w:b/>
          <w:i/>
          <w:sz w:val="18"/>
          <w:szCs w:val="18"/>
        </w:rPr>
        <w:t>]</w:t>
      </w:r>
    </w:p>
    <w:p w14:paraId="01EFFBA8" w14:textId="77777777" w:rsidR="009D4EA4" w:rsidRDefault="009D4EA4" w:rsidP="009D4EA4">
      <w:pPr>
        <w:pStyle w:val="base-text-paragraph"/>
        <w:tabs>
          <w:tab w:val="clear" w:pos="1985"/>
          <w:tab w:val="num" w:pos="1986"/>
        </w:tabs>
      </w:pPr>
      <w:r>
        <w:t>An application regarding a refusal of revocation of a grandfathered disqualification may be made to APRA for internal review and then, if dissatisfied with the decision on internal review, to the AAT for a review of a decision made by APRA.</w:t>
      </w:r>
    </w:p>
    <w:p w14:paraId="6E960D2F" w14:textId="77777777" w:rsidR="00652AA1" w:rsidRDefault="00652AA1" w:rsidP="00F5323F">
      <w:pPr>
        <w:pStyle w:val="Heading4"/>
      </w:pPr>
      <w:r>
        <w:t>Division 4 – Enforcement</w:t>
      </w:r>
    </w:p>
    <w:p w14:paraId="0D84A3EA" w14:textId="77777777" w:rsidR="00652AA1" w:rsidRDefault="00652AA1" w:rsidP="00F5323F">
      <w:pPr>
        <w:pStyle w:val="Heading5"/>
      </w:pPr>
      <w:r>
        <w:t>Investigations</w:t>
      </w:r>
    </w:p>
    <w:p w14:paraId="3490F856" w14:textId="77777777" w:rsidR="00556E3A" w:rsidRDefault="00556E3A" w:rsidP="000F194A">
      <w:pPr>
        <w:pStyle w:val="base-text-paragraph"/>
      </w:pPr>
      <w:r>
        <w:t xml:space="preserve">Investigations that the Council had commenced into a private health insurer under Division 194 or 214 of the PHI Act at the transition time, but were not yet completed, will continue under Division 194 or 214 of the PHI Act (as the case may be) as if the relevant investigation provisions remained in force. </w:t>
      </w:r>
      <w:r w:rsidR="000C35C0" w:rsidRPr="00750AD0">
        <w:rPr>
          <w:b/>
          <w:i/>
          <w:sz w:val="18"/>
          <w:szCs w:val="18"/>
        </w:rPr>
        <w:t>[Sche</w:t>
      </w:r>
      <w:r w:rsidR="000C35C0">
        <w:rPr>
          <w:b/>
          <w:i/>
          <w:sz w:val="18"/>
          <w:szCs w:val="18"/>
        </w:rPr>
        <w:t>dule 2, Part 2, item 12, subitems 1 and 2</w:t>
      </w:r>
      <w:r w:rsidR="000C35C0" w:rsidRPr="00750AD0">
        <w:rPr>
          <w:b/>
          <w:i/>
          <w:sz w:val="18"/>
          <w:szCs w:val="18"/>
        </w:rPr>
        <w:t>]</w:t>
      </w:r>
    </w:p>
    <w:p w14:paraId="3893DB27" w14:textId="77777777" w:rsidR="000C35C0" w:rsidRDefault="00556E3A" w:rsidP="000C35C0">
      <w:pPr>
        <w:pStyle w:val="base-text-paragraph"/>
      </w:pPr>
      <w:r>
        <w:t xml:space="preserve">The investigation will continue as if references to the Council in the grandfathered investigation provisions were references to APRA and things done, by or in relation to the Council, before the transition time, will be taken to have been </w:t>
      </w:r>
      <w:r w:rsidR="000C35C0">
        <w:t xml:space="preserve">done, by or in relation to APRA. </w:t>
      </w:r>
      <w:r w:rsidR="000C35C0" w:rsidRPr="00750AD0">
        <w:rPr>
          <w:b/>
          <w:i/>
          <w:sz w:val="18"/>
          <w:szCs w:val="18"/>
        </w:rPr>
        <w:t>[Sche</w:t>
      </w:r>
      <w:r w:rsidR="001535D1">
        <w:rPr>
          <w:b/>
          <w:i/>
          <w:sz w:val="18"/>
          <w:szCs w:val="18"/>
        </w:rPr>
        <w:t>dule 2, Part </w:t>
      </w:r>
      <w:r w:rsidR="000C35C0">
        <w:rPr>
          <w:b/>
          <w:i/>
          <w:sz w:val="18"/>
          <w:szCs w:val="18"/>
        </w:rPr>
        <w:t>2, item 12, subitems 1 and 2</w:t>
      </w:r>
      <w:r w:rsidR="000C35C0" w:rsidRPr="00750AD0">
        <w:rPr>
          <w:b/>
          <w:i/>
          <w:sz w:val="18"/>
          <w:szCs w:val="18"/>
        </w:rPr>
        <w:t>]</w:t>
      </w:r>
    </w:p>
    <w:p w14:paraId="1B4B2DD4" w14:textId="77777777" w:rsidR="00556E3A" w:rsidRDefault="00556E3A" w:rsidP="000F194A">
      <w:pPr>
        <w:pStyle w:val="base-text-paragraph"/>
      </w:pPr>
      <w:r>
        <w:t>An appointment of an inspector under section 214-1(1) of the will also continue as if APRA had appointed the inspector.</w:t>
      </w:r>
      <w:r w:rsidR="000C35C0">
        <w:t xml:space="preserve"> </w:t>
      </w:r>
      <w:r w:rsidR="000C35C0" w:rsidRPr="00750AD0">
        <w:rPr>
          <w:b/>
          <w:i/>
          <w:sz w:val="18"/>
          <w:szCs w:val="18"/>
        </w:rPr>
        <w:t>[Sche</w:t>
      </w:r>
      <w:r w:rsidR="000C35C0">
        <w:rPr>
          <w:b/>
          <w:i/>
          <w:sz w:val="18"/>
          <w:szCs w:val="18"/>
        </w:rPr>
        <w:t>dule 2, Part 2, item 12, subitem 3</w:t>
      </w:r>
      <w:r w:rsidR="000C35C0" w:rsidRPr="00750AD0">
        <w:rPr>
          <w:b/>
          <w:i/>
          <w:sz w:val="18"/>
          <w:szCs w:val="18"/>
        </w:rPr>
        <w:t>]</w:t>
      </w:r>
    </w:p>
    <w:p w14:paraId="2E29DC82" w14:textId="77777777" w:rsidR="000C35C0" w:rsidRDefault="00556E3A" w:rsidP="000C35C0">
      <w:pPr>
        <w:pStyle w:val="base-text-paragraph"/>
      </w:pPr>
      <w:r>
        <w:t>If r</w:t>
      </w:r>
      <w:r w:rsidR="001535D1">
        <w:t>equired, the Minister may make r</w:t>
      </w:r>
      <w:r>
        <w:t xml:space="preserve">ules </w:t>
      </w:r>
      <w:r w:rsidR="00552E0A">
        <w:t>under item 43</w:t>
      </w:r>
      <w:r w:rsidR="000C35C0">
        <w:t xml:space="preserve"> </w:t>
      </w:r>
      <w:r>
        <w:t>in relation to how an investigation will continue to apply.</w:t>
      </w:r>
      <w:r w:rsidR="000C35C0">
        <w:t xml:space="preserve"> </w:t>
      </w:r>
      <w:r w:rsidR="000C35C0" w:rsidRPr="00750AD0">
        <w:rPr>
          <w:b/>
          <w:i/>
          <w:sz w:val="18"/>
          <w:szCs w:val="18"/>
        </w:rPr>
        <w:t>[Sche</w:t>
      </w:r>
      <w:r w:rsidR="000C35C0">
        <w:rPr>
          <w:b/>
          <w:i/>
          <w:sz w:val="18"/>
          <w:szCs w:val="18"/>
        </w:rPr>
        <w:t>dule 2, Part 2, item 12, subitem 4</w:t>
      </w:r>
      <w:r w:rsidR="000C35C0" w:rsidRPr="00750AD0">
        <w:rPr>
          <w:b/>
          <w:i/>
          <w:sz w:val="18"/>
          <w:szCs w:val="18"/>
        </w:rPr>
        <w:t>]</w:t>
      </w:r>
    </w:p>
    <w:p w14:paraId="16FD2D70" w14:textId="77777777" w:rsidR="000C35C0" w:rsidRDefault="00556E3A" w:rsidP="000C35C0">
      <w:pPr>
        <w:pStyle w:val="base-text-paragraph"/>
      </w:pPr>
      <w:r>
        <w:t>Under Division 3, Part 6 of the Prudential Supervision Bill, APRA will be able to investigate breaches of Council</w:t>
      </w:r>
      <w:r>
        <w:noBreakHyphen/>
        <w:t>supervised obligations that occurred pre-transition. This will ensure that APRA can investigate breaches that occurred prior to the transition time, as well as breaches that occurred from that time.</w:t>
      </w:r>
      <w:r w:rsidR="000C35C0" w:rsidRPr="000C35C0">
        <w:t xml:space="preserve"> </w:t>
      </w:r>
      <w:r w:rsidR="000C35C0" w:rsidRPr="00750AD0">
        <w:rPr>
          <w:b/>
          <w:i/>
          <w:sz w:val="18"/>
          <w:szCs w:val="18"/>
        </w:rPr>
        <w:t>[Sche</w:t>
      </w:r>
      <w:r w:rsidR="000C35C0">
        <w:rPr>
          <w:b/>
          <w:i/>
          <w:sz w:val="18"/>
          <w:szCs w:val="18"/>
        </w:rPr>
        <w:t>dule 2, Part 2, item 12, subitem 5</w:t>
      </w:r>
      <w:r w:rsidR="000C35C0" w:rsidRPr="00750AD0">
        <w:rPr>
          <w:b/>
          <w:i/>
          <w:sz w:val="18"/>
          <w:szCs w:val="18"/>
        </w:rPr>
        <w:t>]</w:t>
      </w:r>
    </w:p>
    <w:p w14:paraId="09C4DCBC" w14:textId="77777777" w:rsidR="00EB1E69" w:rsidRDefault="00EB1E69" w:rsidP="00F5323F">
      <w:pPr>
        <w:pStyle w:val="Heading5"/>
      </w:pPr>
      <w:r>
        <w:t>Enforceable undertakings</w:t>
      </w:r>
    </w:p>
    <w:p w14:paraId="6054D0DE" w14:textId="77777777" w:rsidR="000C35C0" w:rsidRDefault="00EB1E69" w:rsidP="000C35C0">
      <w:pPr>
        <w:pStyle w:val="base-text-paragraph"/>
      </w:pPr>
      <w:r>
        <w:t xml:space="preserve">Enforceable undertakings that were accepted by the Council under subsection 197-1(2) of the PHI Act pre-transition will continue as if accepted by APRA under subsection 152(1) of the </w:t>
      </w:r>
      <w:r w:rsidR="00E9202F">
        <w:t>Prudential Supervision Bill</w:t>
      </w:r>
      <w:r>
        <w:t>.</w:t>
      </w:r>
      <w:r w:rsidR="000C35C0">
        <w:t xml:space="preserve"> </w:t>
      </w:r>
      <w:r w:rsidR="000C35C0" w:rsidRPr="00750AD0">
        <w:rPr>
          <w:b/>
          <w:i/>
          <w:sz w:val="18"/>
          <w:szCs w:val="18"/>
        </w:rPr>
        <w:t>[Sche</w:t>
      </w:r>
      <w:r w:rsidR="000C35C0">
        <w:rPr>
          <w:b/>
          <w:i/>
          <w:sz w:val="18"/>
          <w:szCs w:val="18"/>
        </w:rPr>
        <w:t>dule 2, Part 2, item 13</w:t>
      </w:r>
      <w:r w:rsidR="000C35C0" w:rsidRPr="00750AD0">
        <w:rPr>
          <w:b/>
          <w:i/>
          <w:sz w:val="18"/>
          <w:szCs w:val="18"/>
        </w:rPr>
        <w:t>]</w:t>
      </w:r>
    </w:p>
    <w:p w14:paraId="30DDB3CF" w14:textId="77777777" w:rsidR="00EB1E69" w:rsidRDefault="00EB1E69" w:rsidP="00F5323F">
      <w:pPr>
        <w:pStyle w:val="Heading5"/>
      </w:pPr>
      <w:r>
        <w:t>Federal Court remedies</w:t>
      </w:r>
    </w:p>
    <w:p w14:paraId="4447D9E6" w14:textId="77777777" w:rsidR="007628AC" w:rsidRDefault="007628AC" w:rsidP="000F194A">
      <w:pPr>
        <w:pStyle w:val="base-text-paragraph"/>
      </w:pPr>
      <w:r>
        <w:t>Proceedings commenced by the Council under Division 203 of the PHI Act will continue after transition with APRA substituted for the Council as a party. Division 203 of the PHI Act includes power for the Council to apply to the Federal Court seeking a declaration of contravention of a Council</w:t>
      </w:r>
      <w:r>
        <w:noBreakHyphen/>
        <w:t>supervised obligation under the PHI Act, and also seek certain other orders such as an order for pecuniary penalty or another order redressing the contravention.</w:t>
      </w:r>
      <w:r w:rsidR="000C35C0">
        <w:t xml:space="preserve"> </w:t>
      </w:r>
      <w:r w:rsidR="000C35C0" w:rsidRPr="00750AD0">
        <w:rPr>
          <w:b/>
          <w:i/>
          <w:sz w:val="18"/>
          <w:szCs w:val="18"/>
        </w:rPr>
        <w:t>[Sche</w:t>
      </w:r>
      <w:r w:rsidR="000C35C0">
        <w:rPr>
          <w:b/>
          <w:i/>
          <w:sz w:val="18"/>
          <w:szCs w:val="18"/>
        </w:rPr>
        <w:t>dule 2, Part 2, item 14</w:t>
      </w:r>
      <w:r w:rsidR="000C35C0" w:rsidRPr="00750AD0">
        <w:rPr>
          <w:b/>
          <w:i/>
          <w:sz w:val="18"/>
          <w:szCs w:val="18"/>
        </w:rPr>
        <w:t>]</w:t>
      </w:r>
    </w:p>
    <w:p w14:paraId="137F3442" w14:textId="77777777" w:rsidR="007628AC" w:rsidRDefault="007628AC" w:rsidP="000F194A">
      <w:pPr>
        <w:pStyle w:val="base-text-paragraph"/>
      </w:pPr>
      <w:r>
        <w:t>As a result, Division 203 will continue in relation to proceedings commenced, but not concluded, at the transition time. In continuing these proceedings, references in Division 203 to the Council shall be read as references to APRA and things done, by or in relation to the Council, prior to the transition time, will be taken to have been done, by or in relation to APRA.</w:t>
      </w:r>
      <w:r w:rsidR="000C35C0">
        <w:t xml:space="preserve"> </w:t>
      </w:r>
      <w:r w:rsidR="000C35C0" w:rsidRPr="00750AD0">
        <w:rPr>
          <w:b/>
          <w:i/>
          <w:sz w:val="18"/>
          <w:szCs w:val="18"/>
        </w:rPr>
        <w:t>[Sche</w:t>
      </w:r>
      <w:r w:rsidR="000C35C0">
        <w:rPr>
          <w:b/>
          <w:i/>
          <w:sz w:val="18"/>
          <w:szCs w:val="18"/>
        </w:rPr>
        <w:t>dule 2, Part 2, item 14</w:t>
      </w:r>
      <w:r w:rsidR="000C35C0" w:rsidRPr="00750AD0">
        <w:rPr>
          <w:b/>
          <w:i/>
          <w:sz w:val="18"/>
          <w:szCs w:val="18"/>
        </w:rPr>
        <w:t>]</w:t>
      </w:r>
    </w:p>
    <w:p w14:paraId="12048A71" w14:textId="77777777" w:rsidR="007628AC" w:rsidRDefault="007628AC" w:rsidP="000F194A">
      <w:pPr>
        <w:pStyle w:val="base-text-paragraph"/>
      </w:pPr>
      <w:r>
        <w:t xml:space="preserve">APRA is not able to commence proceedings under Division 203 after the transition time.  If APRA wants to commence proceedings after the transition time in relation to a contravention of a Council-supervised obligation that is continuing at the transition time, or to a contravention of such an obligation that occurred prior to transition time, proceedings will need to commence under Part 8 of the Prudential Supervision Bill. To this end, Part 8 of the </w:t>
      </w:r>
      <w:r w:rsidR="00E9202F">
        <w:t>Prudential Supervision Bill</w:t>
      </w:r>
      <w:r>
        <w:t xml:space="preserve"> will have effect as if references in that Part to enforceable obligations also included references to Council-supervised obligations.</w:t>
      </w:r>
      <w:r w:rsidR="000C35C0">
        <w:t xml:space="preserve"> </w:t>
      </w:r>
      <w:r w:rsidR="000C35C0" w:rsidRPr="00750AD0">
        <w:rPr>
          <w:b/>
          <w:i/>
          <w:sz w:val="18"/>
          <w:szCs w:val="18"/>
        </w:rPr>
        <w:t>[Sche</w:t>
      </w:r>
      <w:r w:rsidR="000C35C0">
        <w:rPr>
          <w:b/>
          <w:i/>
          <w:sz w:val="18"/>
          <w:szCs w:val="18"/>
        </w:rPr>
        <w:t>dule 2, Part 2, item 14</w:t>
      </w:r>
      <w:r w:rsidR="000C35C0" w:rsidRPr="00750AD0">
        <w:rPr>
          <w:b/>
          <w:i/>
          <w:sz w:val="18"/>
          <w:szCs w:val="18"/>
        </w:rPr>
        <w:t>]</w:t>
      </w:r>
    </w:p>
    <w:p w14:paraId="533FC8F2" w14:textId="77777777" w:rsidR="00B5504B" w:rsidRDefault="00B5504B" w:rsidP="00F5323F">
      <w:pPr>
        <w:pStyle w:val="Heading5"/>
      </w:pPr>
      <w:r>
        <w:t>Proceedings for injunctions relating to non-complying policies</w:t>
      </w:r>
    </w:p>
    <w:p w14:paraId="510CD915" w14:textId="77777777" w:rsidR="007628AC" w:rsidRDefault="007628AC" w:rsidP="000F194A">
      <w:pPr>
        <w:pStyle w:val="base-text-paragraph"/>
      </w:pPr>
      <w:r>
        <w:t>If immediately prior to the transition, proceedings for an injunction are pending in the Federal Court</w:t>
      </w:r>
      <w:r w:rsidR="00A423D4">
        <w:t xml:space="preserve"> under section 84-10 of the PHI Act (for example,</w:t>
      </w:r>
      <w:r>
        <w:t xml:space="preserve"> in relation to conduct concerning complying policies or false representation of policies as complying policies), and the proceedings were commenced by the Council, then the proceedings will continue, from the transition time, with the Health minister substituted for the Council as a party. </w:t>
      </w:r>
      <w:r w:rsidR="000C35C0" w:rsidRPr="00750AD0">
        <w:rPr>
          <w:b/>
          <w:i/>
          <w:sz w:val="18"/>
          <w:szCs w:val="18"/>
        </w:rPr>
        <w:t>[Sche</w:t>
      </w:r>
      <w:r w:rsidR="000C35C0">
        <w:rPr>
          <w:b/>
          <w:i/>
          <w:sz w:val="18"/>
          <w:szCs w:val="18"/>
        </w:rPr>
        <w:t>dule 2, Part 2, item 15</w:t>
      </w:r>
      <w:r w:rsidR="000C35C0" w:rsidRPr="00750AD0">
        <w:rPr>
          <w:b/>
          <w:i/>
          <w:sz w:val="18"/>
          <w:szCs w:val="18"/>
        </w:rPr>
        <w:t>]</w:t>
      </w:r>
    </w:p>
    <w:p w14:paraId="74F0ED6B" w14:textId="77777777" w:rsidR="00AC52DF" w:rsidRDefault="00AC52DF" w:rsidP="00F5323F">
      <w:pPr>
        <w:pStyle w:val="Heading4"/>
      </w:pPr>
      <w:r>
        <w:t>Division 5 – Financial matters</w:t>
      </w:r>
    </w:p>
    <w:p w14:paraId="59D10633" w14:textId="77777777" w:rsidR="00AC52DF" w:rsidRDefault="00AC52DF" w:rsidP="00F5323F">
      <w:pPr>
        <w:pStyle w:val="Heading5"/>
      </w:pPr>
      <w:r>
        <w:t>Crediting of Council money to special accounts</w:t>
      </w:r>
    </w:p>
    <w:p w14:paraId="42E7B4C2" w14:textId="77777777" w:rsidR="007628AC" w:rsidRDefault="007628AC" w:rsidP="000F194A">
      <w:pPr>
        <w:pStyle w:val="base-text-paragraph"/>
      </w:pPr>
      <w:r>
        <w:t>Upon transition, all money held by the Council (</w:t>
      </w:r>
      <w:r w:rsidRPr="003E2582">
        <w:rPr>
          <w:b/>
          <w:i/>
        </w:rPr>
        <w:t>Council money</w:t>
      </w:r>
      <w:r>
        <w:t xml:space="preserve">) must be credited to a special account. There are three special accounts under the new legislative regime: </w:t>
      </w:r>
    </w:p>
    <w:p w14:paraId="4E0E5556" w14:textId="77777777" w:rsidR="007628AC" w:rsidRDefault="007628AC" w:rsidP="007628AC">
      <w:pPr>
        <w:pStyle w:val="dotpoint"/>
      </w:pPr>
      <w:r>
        <w:t>a Risk Equalisation Special Account, established under Division 318 of the PHI Act, as amended;</w:t>
      </w:r>
    </w:p>
    <w:p w14:paraId="16EC9C70" w14:textId="77777777" w:rsidR="007628AC" w:rsidRDefault="007628AC" w:rsidP="007628AC">
      <w:pPr>
        <w:pStyle w:val="dotpoint"/>
      </w:pPr>
      <w:r>
        <w:t xml:space="preserve">a Collapsed Insurer Special Account, established under the new Division 2A of Part 5 of the APRA Act, as amended; and </w:t>
      </w:r>
    </w:p>
    <w:p w14:paraId="0E3A2026" w14:textId="77777777" w:rsidR="007628AC" w:rsidRDefault="007628AC" w:rsidP="007628AC">
      <w:pPr>
        <w:pStyle w:val="dotpoint"/>
      </w:pPr>
      <w:r>
        <w:t xml:space="preserve">the </w:t>
      </w:r>
      <w:r w:rsidR="009D4EA4">
        <w:t>(existing)</w:t>
      </w:r>
      <w:r>
        <w:t xml:space="preserve"> APRA Special Account, under Division 1 of Part 5 of the APRA Act, which relates mainly to APRA’s costs of administration.</w:t>
      </w:r>
      <w:r w:rsidR="000C35C0">
        <w:t xml:space="preserve"> </w:t>
      </w:r>
      <w:r w:rsidR="000C35C0" w:rsidRPr="00750AD0">
        <w:rPr>
          <w:b/>
          <w:i/>
          <w:sz w:val="18"/>
          <w:szCs w:val="18"/>
        </w:rPr>
        <w:t>[Sche</w:t>
      </w:r>
      <w:r w:rsidR="000C35C0">
        <w:rPr>
          <w:b/>
          <w:i/>
          <w:sz w:val="18"/>
          <w:szCs w:val="18"/>
        </w:rPr>
        <w:t>dule 2, Part 2, item 16, subitem 1</w:t>
      </w:r>
      <w:r w:rsidR="000C35C0" w:rsidRPr="00750AD0">
        <w:rPr>
          <w:b/>
          <w:i/>
          <w:sz w:val="18"/>
          <w:szCs w:val="18"/>
        </w:rPr>
        <w:t>]</w:t>
      </w:r>
    </w:p>
    <w:p w14:paraId="66F012C4" w14:textId="77777777" w:rsidR="00E300E1" w:rsidRDefault="00E300E1" w:rsidP="000F194A">
      <w:pPr>
        <w:pStyle w:val="base-text-paragraph"/>
      </w:pPr>
      <w:r>
        <w:t>For the Risk Equalisation Special Account, the following amounts should be credited:</w:t>
      </w:r>
    </w:p>
    <w:p w14:paraId="230CD58D" w14:textId="77777777" w:rsidR="00E300E1" w:rsidRDefault="00E300E1" w:rsidP="00E300E1">
      <w:pPr>
        <w:pStyle w:val="dotpoint"/>
      </w:pPr>
      <w:r>
        <w:t xml:space="preserve">amounts that were credited to the Risk Equalisation Trust Fund </w:t>
      </w:r>
      <w:r w:rsidR="007628AC">
        <w:t xml:space="preserve">immediately </w:t>
      </w:r>
      <w:r>
        <w:t>prior to transition;</w:t>
      </w:r>
    </w:p>
    <w:p w14:paraId="3E694EBA" w14:textId="77777777" w:rsidR="00E300E1" w:rsidRDefault="00E300E1" w:rsidP="00E300E1">
      <w:pPr>
        <w:pStyle w:val="dotpoint"/>
      </w:pPr>
      <w:r>
        <w:t>any amounts of Council money</w:t>
      </w:r>
      <w:r w:rsidR="007628AC">
        <w:t xml:space="preserve"> that, immediately before the transitional time,</w:t>
      </w:r>
      <w:r>
        <w:t xml:space="preserve"> </w:t>
      </w:r>
      <w:r w:rsidR="007628AC">
        <w:t xml:space="preserve">were </w:t>
      </w:r>
      <w:r>
        <w:t>requi</w:t>
      </w:r>
      <w:r w:rsidR="007628AC">
        <w:t>red by section 318-5 of the PHI </w:t>
      </w:r>
      <w:r>
        <w:t>Act, to be paid to the Risk Equalisation Trust Fund but that had not been paid prior to transition; and</w:t>
      </w:r>
    </w:p>
    <w:p w14:paraId="68FDFA81" w14:textId="77777777" w:rsidR="00E300E1" w:rsidRDefault="00E300E1" w:rsidP="00E300E1">
      <w:pPr>
        <w:pStyle w:val="dotpoint"/>
      </w:pPr>
      <w:r>
        <w:t xml:space="preserve">any other amount of Council money that consists of a repayment to the Council of a payment made, before the transition time, for the purpose of helping to meet liabilities as described in section 6 of the </w:t>
      </w:r>
      <w:r w:rsidR="00E93D04">
        <w:t>Collapsed Insurer Levy Act</w:t>
      </w:r>
      <w:r>
        <w:t>.</w:t>
      </w:r>
      <w:r w:rsidR="000C35C0">
        <w:t xml:space="preserve"> </w:t>
      </w:r>
      <w:r w:rsidR="000C35C0" w:rsidRPr="00750AD0">
        <w:rPr>
          <w:b/>
          <w:i/>
          <w:sz w:val="18"/>
          <w:szCs w:val="18"/>
        </w:rPr>
        <w:t>[Sche</w:t>
      </w:r>
      <w:r w:rsidR="000C35C0">
        <w:rPr>
          <w:b/>
          <w:i/>
          <w:sz w:val="18"/>
          <w:szCs w:val="18"/>
        </w:rPr>
        <w:t>dule 2, Part 2, item 16, subitem 2</w:t>
      </w:r>
      <w:r w:rsidR="000C35C0" w:rsidRPr="00750AD0">
        <w:rPr>
          <w:b/>
          <w:i/>
          <w:sz w:val="18"/>
          <w:szCs w:val="18"/>
        </w:rPr>
        <w:t>]</w:t>
      </w:r>
    </w:p>
    <w:p w14:paraId="728004E5" w14:textId="77777777" w:rsidR="007628AC" w:rsidRDefault="00973A73" w:rsidP="000F194A">
      <w:pPr>
        <w:pStyle w:val="base-text-paragraph"/>
      </w:pPr>
      <w:r>
        <w:t xml:space="preserve">In the event that </w:t>
      </w:r>
      <w:r w:rsidR="007628AC">
        <w:t xml:space="preserve">an </w:t>
      </w:r>
      <w:r w:rsidR="000C35C0">
        <w:t>i</w:t>
      </w:r>
      <w:r>
        <w:t>nsurer, that</w:t>
      </w:r>
      <w:r w:rsidR="007628AC">
        <w:t xml:space="preserve"> collapsed </w:t>
      </w:r>
      <w:r>
        <w:t>prior to</w:t>
      </w:r>
      <w:r w:rsidR="007628AC">
        <w:t xml:space="preserve"> the transition</w:t>
      </w:r>
      <w:r>
        <w:t>, receives</w:t>
      </w:r>
      <w:r w:rsidR="007628AC">
        <w:t xml:space="preserve"> proceeds from the </w:t>
      </w:r>
      <w:r>
        <w:t xml:space="preserve">insurer levy, repayments from the </w:t>
      </w:r>
      <w:r w:rsidR="000C35C0">
        <w:t>i</w:t>
      </w:r>
      <w:r>
        <w:t xml:space="preserve">nsurer will </w:t>
      </w:r>
      <w:r w:rsidR="007628AC">
        <w:t>be credited to the Risk Equalisation Special Account</w:t>
      </w:r>
      <w:r>
        <w:t>.</w:t>
      </w:r>
      <w:r w:rsidR="007628AC">
        <w:t xml:space="preserve"> This will enable the recovered amount to be returned to industry via an adjustment to the risk equalisation payment relating to each insurer.</w:t>
      </w:r>
    </w:p>
    <w:p w14:paraId="3448C3D2" w14:textId="77777777" w:rsidR="00E300E1" w:rsidRDefault="00E300E1" w:rsidP="00E24BF6">
      <w:pPr>
        <w:pStyle w:val="base-text-paragraph"/>
        <w:keepNext/>
        <w:keepLines/>
      </w:pPr>
      <w:r>
        <w:t xml:space="preserve">For the </w:t>
      </w:r>
      <w:r w:rsidR="00B81451">
        <w:t xml:space="preserve">Collapsed Insurer Special Account, the following amounts of Council money </w:t>
      </w:r>
      <w:r w:rsidR="009D4EA4">
        <w:t>are to</w:t>
      </w:r>
      <w:r w:rsidR="00B81451">
        <w:t xml:space="preserve"> be credited:</w:t>
      </w:r>
    </w:p>
    <w:p w14:paraId="668D283A" w14:textId="77777777" w:rsidR="00B81451" w:rsidRDefault="00B81451" w:rsidP="00E24BF6">
      <w:pPr>
        <w:pStyle w:val="dotpoint"/>
        <w:keepNext/>
        <w:keepLines/>
      </w:pPr>
      <w:r>
        <w:t xml:space="preserve">any amount that consists of </w:t>
      </w:r>
      <w:r w:rsidR="00A866AA">
        <w:t>C</w:t>
      </w:r>
      <w:r>
        <w:t xml:space="preserve">ollapsed </w:t>
      </w:r>
      <w:r w:rsidR="00A866AA">
        <w:t>I</w:t>
      </w:r>
      <w:r>
        <w:t xml:space="preserve">nsurer </w:t>
      </w:r>
      <w:r w:rsidR="00A866AA">
        <w:t>L</w:t>
      </w:r>
      <w:r>
        <w:t>evy, or a related late payment penalty, received by the Council before the transition time;</w:t>
      </w:r>
    </w:p>
    <w:p w14:paraId="504D2A36" w14:textId="77777777" w:rsidR="00B81451" w:rsidRDefault="00B81451" w:rsidP="00B81451">
      <w:pPr>
        <w:pStyle w:val="dotpoint"/>
      </w:pPr>
      <w:r>
        <w:t xml:space="preserve">any amount that consists on proceeds from investments made using </w:t>
      </w:r>
      <w:r w:rsidR="00A866AA">
        <w:t>C</w:t>
      </w:r>
      <w:r>
        <w:t xml:space="preserve">ollapsed </w:t>
      </w:r>
      <w:r w:rsidR="00A866AA">
        <w:t>I</w:t>
      </w:r>
      <w:r>
        <w:t xml:space="preserve">nsurer </w:t>
      </w:r>
      <w:r w:rsidR="00A866AA">
        <w:t>L</w:t>
      </w:r>
      <w:r>
        <w:t>evy, or related late payment penalty.</w:t>
      </w:r>
      <w:r w:rsidR="000C35C0">
        <w:t xml:space="preserve"> </w:t>
      </w:r>
      <w:r w:rsidR="000C35C0" w:rsidRPr="00750AD0">
        <w:rPr>
          <w:b/>
          <w:i/>
          <w:sz w:val="18"/>
          <w:szCs w:val="18"/>
        </w:rPr>
        <w:t>[Sche</w:t>
      </w:r>
      <w:r w:rsidR="000C35C0">
        <w:rPr>
          <w:b/>
          <w:i/>
          <w:sz w:val="18"/>
          <w:szCs w:val="18"/>
        </w:rPr>
        <w:t>dule 2, Part 2, item 16, subitem 3</w:t>
      </w:r>
      <w:r w:rsidR="000C35C0" w:rsidRPr="00750AD0">
        <w:rPr>
          <w:b/>
          <w:i/>
          <w:sz w:val="18"/>
          <w:szCs w:val="18"/>
        </w:rPr>
        <w:t>]</w:t>
      </w:r>
    </w:p>
    <w:p w14:paraId="3B593E19" w14:textId="77777777" w:rsidR="00B81451" w:rsidRDefault="00B81451" w:rsidP="000F194A">
      <w:pPr>
        <w:pStyle w:val="base-text-paragraph"/>
      </w:pPr>
      <w:r>
        <w:t>All other amounts of Council money will be credited to the APRA Special Account after the transition time.</w:t>
      </w:r>
      <w:r w:rsidR="000C35C0">
        <w:t xml:space="preserve"> </w:t>
      </w:r>
      <w:r w:rsidR="000C35C0" w:rsidRPr="00750AD0">
        <w:rPr>
          <w:b/>
          <w:i/>
          <w:sz w:val="18"/>
          <w:szCs w:val="18"/>
        </w:rPr>
        <w:t>[Sche</w:t>
      </w:r>
      <w:r w:rsidR="000C35C0">
        <w:rPr>
          <w:b/>
          <w:i/>
          <w:sz w:val="18"/>
          <w:szCs w:val="18"/>
        </w:rPr>
        <w:t>dule 2, Part 2, item 16, subitem 4</w:t>
      </w:r>
      <w:r w:rsidR="000C35C0" w:rsidRPr="00750AD0">
        <w:rPr>
          <w:b/>
          <w:i/>
          <w:sz w:val="18"/>
          <w:szCs w:val="18"/>
        </w:rPr>
        <w:t>]</w:t>
      </w:r>
    </w:p>
    <w:p w14:paraId="69B00ECF" w14:textId="77777777" w:rsidR="00B81451" w:rsidRDefault="00B81451" w:rsidP="000F194A">
      <w:pPr>
        <w:pStyle w:val="base-text-paragraph"/>
      </w:pPr>
      <w:r>
        <w:t>The purposes for which funds in APRA’s Special Account can be utilised are outlined in section 54 of the APRA Act.</w:t>
      </w:r>
    </w:p>
    <w:p w14:paraId="22351137" w14:textId="77777777" w:rsidR="00B81451" w:rsidRDefault="00B81451" w:rsidP="00F5323F">
      <w:pPr>
        <w:pStyle w:val="Heading5"/>
      </w:pPr>
      <w:r>
        <w:t>Collection and recovery of Council administration levy and collapsed insurer levy imposed before the transition time</w:t>
      </w:r>
    </w:p>
    <w:p w14:paraId="68E221AD" w14:textId="77777777" w:rsidR="007628AC" w:rsidRDefault="007628AC" w:rsidP="000F194A">
      <w:pPr>
        <w:pStyle w:val="base-text-paragraph"/>
      </w:pPr>
      <w:r>
        <w:t>If the imposition day for an amount of Council administration levy or collapsed insurer levy is prior to transition time, and the levy has not been paid, then Division 307 and section 328-5 (as it relates to decisions made under Division 307) of the PHI Act will continue to apply as if certain references to the Council were references to APRA (acting for and on behalf of the Commonwealth). Division 307 of the PHI Act contains the PHI Act levy collection provisions and section 328-5 provides for review by the AAT of various decisions, including a decision on Division 307 relating to the waiver of levy or late payment penalty on levy.</w:t>
      </w:r>
      <w:r w:rsidR="000C35C0">
        <w:t xml:space="preserve"> </w:t>
      </w:r>
      <w:r w:rsidR="000C35C0" w:rsidRPr="00750AD0">
        <w:rPr>
          <w:b/>
          <w:i/>
          <w:sz w:val="18"/>
          <w:szCs w:val="18"/>
        </w:rPr>
        <w:t>[Sche</w:t>
      </w:r>
      <w:r w:rsidR="000C35C0">
        <w:rPr>
          <w:b/>
          <w:i/>
          <w:sz w:val="18"/>
          <w:szCs w:val="18"/>
        </w:rPr>
        <w:t>dule 2, Part 2, item 17</w:t>
      </w:r>
      <w:r w:rsidR="000C35C0" w:rsidRPr="00750AD0">
        <w:rPr>
          <w:b/>
          <w:i/>
          <w:sz w:val="18"/>
          <w:szCs w:val="18"/>
        </w:rPr>
        <w:t>]</w:t>
      </w:r>
    </w:p>
    <w:p w14:paraId="4632DA9D" w14:textId="77777777" w:rsidR="00C67674" w:rsidRDefault="00C67674" w:rsidP="000F194A">
      <w:pPr>
        <w:pStyle w:val="base-text-paragraph"/>
      </w:pPr>
      <w:r>
        <w:t>Any amount paid or recovered (including related late payment penalties) relating to the Council administration</w:t>
      </w:r>
      <w:r w:rsidR="007628AC">
        <w:t xml:space="preserve"> levy</w:t>
      </w:r>
      <w:r>
        <w:t xml:space="preserve"> must be credited to the APRA Special Account. </w:t>
      </w:r>
      <w:r w:rsidR="000C35C0" w:rsidRPr="00750AD0">
        <w:rPr>
          <w:b/>
          <w:i/>
          <w:sz w:val="18"/>
          <w:szCs w:val="18"/>
        </w:rPr>
        <w:t>[Sche</w:t>
      </w:r>
      <w:r w:rsidR="000C35C0">
        <w:rPr>
          <w:b/>
          <w:i/>
          <w:sz w:val="18"/>
          <w:szCs w:val="18"/>
        </w:rPr>
        <w:t>dule 2, Part 2, item 16, subitem 3</w:t>
      </w:r>
      <w:r w:rsidR="000C35C0" w:rsidRPr="00750AD0">
        <w:rPr>
          <w:b/>
          <w:i/>
          <w:sz w:val="18"/>
          <w:szCs w:val="18"/>
        </w:rPr>
        <w:t>]</w:t>
      </w:r>
    </w:p>
    <w:p w14:paraId="27F9A10A" w14:textId="77777777" w:rsidR="003E2582" w:rsidRDefault="00C67674" w:rsidP="000F194A">
      <w:pPr>
        <w:pStyle w:val="base-text-paragraph"/>
      </w:pPr>
      <w:r>
        <w:t>Similarly, any amount paid or recovered (including related late payment penalties) relating to the collapsed insurer levy must be credited to the Collapsed Insurer Special Account.</w:t>
      </w:r>
      <w:r w:rsidR="000C35C0">
        <w:t xml:space="preserve"> </w:t>
      </w:r>
      <w:r w:rsidR="000C35C0" w:rsidRPr="00750AD0">
        <w:rPr>
          <w:b/>
          <w:i/>
          <w:sz w:val="18"/>
          <w:szCs w:val="18"/>
        </w:rPr>
        <w:t>[Sche</w:t>
      </w:r>
      <w:r w:rsidR="000C35C0">
        <w:rPr>
          <w:b/>
          <w:i/>
          <w:sz w:val="18"/>
          <w:szCs w:val="18"/>
        </w:rPr>
        <w:t>dule 2, Part 2, item 16, subitem 4</w:t>
      </w:r>
      <w:r w:rsidR="000C35C0" w:rsidRPr="00750AD0">
        <w:rPr>
          <w:b/>
          <w:i/>
          <w:sz w:val="18"/>
          <w:szCs w:val="18"/>
        </w:rPr>
        <w:t>]</w:t>
      </w:r>
    </w:p>
    <w:p w14:paraId="2EA3B49B" w14:textId="77777777" w:rsidR="00C67674" w:rsidRDefault="00513C40" w:rsidP="000F194A">
      <w:pPr>
        <w:pStyle w:val="base-text-paragraph"/>
      </w:pPr>
      <w:r>
        <w:t xml:space="preserve">The Private Health Insurance Supervisory </w:t>
      </w:r>
      <w:r w:rsidR="0070032B">
        <w:t>L</w:t>
      </w:r>
      <w:r>
        <w:t>evy Imposition Bill will, for the 2015-16 financial year, preserve the imposition dates and rates determined by the Private Health Insurance (Council Administration Levy) Rules as in force immediately before the transition time.</w:t>
      </w:r>
    </w:p>
    <w:p w14:paraId="59546C15" w14:textId="77777777" w:rsidR="00AC52DF" w:rsidRDefault="00513C40" w:rsidP="00F5323F">
      <w:pPr>
        <w:pStyle w:val="Heading5"/>
      </w:pPr>
      <w:r>
        <w:t>Entitlements to be paid an amount out of the Risk Equalisation Trust Fund</w:t>
      </w:r>
    </w:p>
    <w:p w14:paraId="16C3504D" w14:textId="77777777" w:rsidR="00513C40" w:rsidRDefault="00513C40" w:rsidP="000F194A">
      <w:pPr>
        <w:pStyle w:val="base-text-paragraph"/>
      </w:pPr>
      <w:r>
        <w:t xml:space="preserve">If immediately before the transition time, a private health insurer has an entitlement to be paid an amount </w:t>
      </w:r>
      <w:r w:rsidR="009D4EA4">
        <w:t>from</w:t>
      </w:r>
      <w:r>
        <w:t xml:space="preserve"> the Risk Equalisation Trust Fund that has not been met, then APRA must pay that amount after the transition time.  The amount must be debited from the Risk Equalisation Special Account.</w:t>
      </w:r>
      <w:r w:rsidR="00D74ADE">
        <w:t xml:space="preserve"> </w:t>
      </w:r>
      <w:r w:rsidR="00D74ADE" w:rsidRPr="00750AD0">
        <w:rPr>
          <w:b/>
          <w:i/>
          <w:sz w:val="18"/>
          <w:szCs w:val="18"/>
        </w:rPr>
        <w:t>[Sche</w:t>
      </w:r>
      <w:r w:rsidR="00D74ADE">
        <w:rPr>
          <w:b/>
          <w:i/>
          <w:sz w:val="18"/>
          <w:szCs w:val="18"/>
        </w:rPr>
        <w:t>dule 2, Part 2, item 18</w:t>
      </w:r>
      <w:r w:rsidR="00D74ADE" w:rsidRPr="00750AD0">
        <w:rPr>
          <w:b/>
          <w:i/>
          <w:sz w:val="18"/>
          <w:szCs w:val="18"/>
        </w:rPr>
        <w:t>]</w:t>
      </w:r>
    </w:p>
    <w:p w14:paraId="5DEC5850" w14:textId="77777777" w:rsidR="00513C40" w:rsidRDefault="00513C40" w:rsidP="00F5323F">
      <w:pPr>
        <w:pStyle w:val="Heading4"/>
      </w:pPr>
      <w:r>
        <w:t>Division 6 – Other matters</w:t>
      </w:r>
    </w:p>
    <w:p w14:paraId="4F04D3B2" w14:textId="77777777" w:rsidR="00513C40" w:rsidRDefault="00513C40" w:rsidP="00F5323F">
      <w:pPr>
        <w:pStyle w:val="Heading5"/>
      </w:pPr>
      <w:r>
        <w:t>Secrecy obligations</w:t>
      </w:r>
    </w:p>
    <w:p w14:paraId="073A3D51" w14:textId="77777777" w:rsidR="007628AC" w:rsidRDefault="007628AC" w:rsidP="000F194A">
      <w:pPr>
        <w:pStyle w:val="base-text-paragraph"/>
      </w:pPr>
      <w:r>
        <w:t xml:space="preserve">Sections 323-1 and 323-40 of the PHI Act prohibit certain persons, including staff of the Council, from disclosing information generally relating to private health insurers, unless the disclosure is an </w:t>
      </w:r>
      <w:r w:rsidR="0070032B">
        <w:t>‘</w:t>
      </w:r>
      <w:r>
        <w:t>authorised disclosure</w:t>
      </w:r>
      <w:r w:rsidR="0070032B">
        <w:t>’</w:t>
      </w:r>
      <w:r>
        <w:t xml:space="preserve"> within the meaning of the PHI Act. </w:t>
      </w:r>
    </w:p>
    <w:p w14:paraId="604F043F" w14:textId="77777777" w:rsidR="007628AC" w:rsidRDefault="007628AC" w:rsidP="000F194A">
      <w:pPr>
        <w:pStyle w:val="base-text-paragraph"/>
      </w:pPr>
      <w:r>
        <w:t>A disclosure of information, where that information was obtained under the PHI Act before the transition time, will be considered an authorised disclosure under sections 323-1 and 323-40 of the PHI Act (and therefore permissible) if the disclosure is:</w:t>
      </w:r>
    </w:p>
    <w:p w14:paraId="5262CB17" w14:textId="77777777" w:rsidR="008A1A91" w:rsidRDefault="008A1A91" w:rsidP="008A1A91">
      <w:pPr>
        <w:pStyle w:val="dotpoint"/>
      </w:pPr>
      <w:r>
        <w:t>made in the course of performing or exercising an APRA private health insurance duty, function or power (within the meaning of section 323-1 of the PHI Act); or</w:t>
      </w:r>
    </w:p>
    <w:p w14:paraId="331601E8" w14:textId="77777777" w:rsidR="008A1A91" w:rsidRDefault="008A1A91" w:rsidP="008A1A91">
      <w:pPr>
        <w:pStyle w:val="dotpoint"/>
      </w:pPr>
      <w:r>
        <w:t>one that the person would have been able to make under section 56 of the APRA Act, had the information been obtained in the course of performing such a duty, function or power.</w:t>
      </w:r>
      <w:r w:rsidR="00D74ADE">
        <w:t xml:space="preserve"> </w:t>
      </w:r>
      <w:r w:rsidR="00D74ADE" w:rsidRPr="00750AD0">
        <w:rPr>
          <w:b/>
          <w:i/>
          <w:sz w:val="18"/>
          <w:szCs w:val="18"/>
        </w:rPr>
        <w:t>[Sche</w:t>
      </w:r>
      <w:r w:rsidR="00D74ADE">
        <w:rPr>
          <w:b/>
          <w:i/>
          <w:sz w:val="18"/>
          <w:szCs w:val="18"/>
        </w:rPr>
        <w:t>dule 2, Part 2, item 19</w:t>
      </w:r>
      <w:r w:rsidR="00D74ADE" w:rsidRPr="00750AD0">
        <w:rPr>
          <w:b/>
          <w:i/>
          <w:sz w:val="18"/>
          <w:szCs w:val="18"/>
        </w:rPr>
        <w:t>]</w:t>
      </w:r>
    </w:p>
    <w:p w14:paraId="6E53DEDF" w14:textId="77777777" w:rsidR="007628AC" w:rsidRDefault="007628AC" w:rsidP="000F194A">
      <w:pPr>
        <w:pStyle w:val="base-text-paragraph"/>
      </w:pPr>
      <w:r>
        <w:t>This has the effect of preserving secrecy in relation to information transferred to APRA, and/or known</w:t>
      </w:r>
      <w:r w:rsidR="00B97FA8">
        <w:t xml:space="preserve"> by employees of the Council who have been</w:t>
      </w:r>
      <w:r>
        <w:t xml:space="preserve"> transferred to APRA, while ensuring that, if the information can be disclosed under a provision in APRA’s secrecy provision, it may be disclosed without havin</w:t>
      </w:r>
      <w:r w:rsidR="0070032B">
        <w:t>g to also be an ‘authorised disclosure’</w:t>
      </w:r>
      <w:r>
        <w:t xml:space="preserve"> under the PHI Act.  </w:t>
      </w:r>
    </w:p>
    <w:p w14:paraId="2299F6B1" w14:textId="77777777" w:rsidR="00513C40" w:rsidRDefault="00513C40" w:rsidP="00F5323F">
      <w:pPr>
        <w:pStyle w:val="Heading5"/>
      </w:pPr>
      <w:r>
        <w:t>Report on operations of private health insurers before transition time</w:t>
      </w:r>
    </w:p>
    <w:p w14:paraId="0799AA83" w14:textId="77777777" w:rsidR="00513C40" w:rsidRPr="00E50E96" w:rsidRDefault="00E50E96" w:rsidP="000F194A">
      <w:pPr>
        <w:pStyle w:val="base-text-paragraph"/>
      </w:pPr>
      <w:r>
        <w:t xml:space="preserve">If by the transitional time, the Council has not given a report in relation to a financial year ending at or before the transition time under section 364-15 of the PHI Act as in force immediately before the transition time, that section of the PHI Act is taken to continue in force as if the reference to the Council were instead a reference to APRA. </w:t>
      </w:r>
      <w:r>
        <w:rPr>
          <w:rStyle w:val="Referencingstyle"/>
        </w:rPr>
        <w:t>[Schedule 2</w:t>
      </w:r>
      <w:r w:rsidRPr="00E464DC">
        <w:rPr>
          <w:rStyle w:val="Referencingstyle"/>
        </w:rPr>
        <w:t xml:space="preserve">, Part </w:t>
      </w:r>
      <w:r>
        <w:rPr>
          <w:rStyle w:val="Referencingstyle"/>
        </w:rPr>
        <w:t>2</w:t>
      </w:r>
      <w:r w:rsidRPr="00E464DC">
        <w:rPr>
          <w:rStyle w:val="Referencingstyle"/>
        </w:rPr>
        <w:t>, item</w:t>
      </w:r>
      <w:r>
        <w:rPr>
          <w:rStyle w:val="Referencingstyle"/>
        </w:rPr>
        <w:t xml:space="preserve"> 20</w:t>
      </w:r>
      <w:r w:rsidRPr="00E464DC">
        <w:rPr>
          <w:rStyle w:val="Referencingstyle"/>
        </w:rPr>
        <w:t>]</w:t>
      </w:r>
      <w:r>
        <w:t xml:space="preserve">  </w:t>
      </w:r>
    </w:p>
    <w:p w14:paraId="2D2F1EA3" w14:textId="77777777" w:rsidR="00F5323F" w:rsidRDefault="00F5323F" w:rsidP="00F5323F">
      <w:pPr>
        <w:pStyle w:val="Heading3"/>
      </w:pPr>
      <w:r w:rsidRPr="00F5323F">
        <w:t>Part 3</w:t>
      </w:r>
      <w:r>
        <w:t xml:space="preserve"> – Gener</w:t>
      </w:r>
      <w:r w:rsidR="00B5125D">
        <w:t>al</w:t>
      </w:r>
      <w:r>
        <w:t xml:space="preserve"> transitional provisions</w:t>
      </w:r>
    </w:p>
    <w:p w14:paraId="03B70BCA" w14:textId="77777777" w:rsidR="00F5323F" w:rsidRDefault="00BC32D9" w:rsidP="00BC32D9">
      <w:pPr>
        <w:pStyle w:val="Heading4"/>
      </w:pPr>
      <w:r>
        <w:t>Division 1 – Transitional functions</w:t>
      </w:r>
    </w:p>
    <w:p w14:paraId="204BFD2E" w14:textId="77777777" w:rsidR="00BC32D9" w:rsidRDefault="00BC32D9" w:rsidP="000F194A">
      <w:pPr>
        <w:pStyle w:val="base-text-paragraph"/>
      </w:pPr>
      <w:r>
        <w:t xml:space="preserve">To allow both the Council and APRA to prepare </w:t>
      </w:r>
      <w:r w:rsidR="0045538A">
        <w:t>for the transfer</w:t>
      </w:r>
      <w:r>
        <w:t>, the functions of both the Council and APRA have been extended to allow such steps as may be necessary or convenient to prepare for or give effect to the abolition of th</w:t>
      </w:r>
      <w:r w:rsidR="0045538A">
        <w:t>e Council</w:t>
      </w:r>
      <w:r w:rsidR="004A5389">
        <w:t xml:space="preserve">, through the operation of this Schedule and the enactment of </w:t>
      </w:r>
      <w:r w:rsidR="0070032B">
        <w:t xml:space="preserve">the </w:t>
      </w:r>
      <w:r w:rsidR="0070032B">
        <w:rPr>
          <w:lang w:val="en-US" w:eastAsia="en-US"/>
        </w:rPr>
        <w:t>Consequential Amendments and Transitional Provisions Bill</w:t>
      </w:r>
      <w:r w:rsidR="004A5389">
        <w:t xml:space="preserve"> and the </w:t>
      </w:r>
      <w:r w:rsidR="00E9202F">
        <w:t>Prudential Supervision Bill</w:t>
      </w:r>
      <w:r w:rsidR="0045538A">
        <w:t>.</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F77F80">
        <w:rPr>
          <w:rStyle w:val="Referencingstyle"/>
        </w:rPr>
        <w:t> </w:t>
      </w:r>
      <w:r w:rsidR="00970FD0">
        <w:rPr>
          <w:rStyle w:val="Referencingstyle"/>
        </w:rPr>
        <w:t>21</w:t>
      </w:r>
      <w:r w:rsidR="00970FD0" w:rsidRPr="00E464DC">
        <w:rPr>
          <w:rStyle w:val="Referencingstyle"/>
        </w:rPr>
        <w:t>]</w:t>
      </w:r>
      <w:r w:rsidR="00970FD0">
        <w:t xml:space="preserve">  </w:t>
      </w:r>
    </w:p>
    <w:p w14:paraId="1E3C9B6A" w14:textId="77777777" w:rsidR="0045538A" w:rsidRDefault="0045538A" w:rsidP="000F194A">
      <w:pPr>
        <w:pStyle w:val="base-text-paragraph"/>
      </w:pPr>
      <w:r>
        <w:t>This will allow the Council and APRA</w:t>
      </w:r>
      <w:r w:rsidR="00777F24">
        <w:t xml:space="preserve"> to work together to ensure the transition is</w:t>
      </w:r>
      <w:r w:rsidR="00BB33C8">
        <w:t xml:space="preserve"> </w:t>
      </w:r>
      <w:r w:rsidR="00B5125D">
        <w:t>carried out effectively</w:t>
      </w:r>
      <w:r w:rsidR="00BB33C8">
        <w:t>.</w:t>
      </w:r>
    </w:p>
    <w:p w14:paraId="1622F2D9" w14:textId="77777777" w:rsidR="00BC32D9" w:rsidRDefault="00BC32D9" w:rsidP="000F194A">
      <w:pPr>
        <w:pStyle w:val="base-text-paragraph"/>
      </w:pPr>
      <w:r>
        <w:t xml:space="preserve">The </w:t>
      </w:r>
      <w:r w:rsidRPr="00777F24">
        <w:rPr>
          <w:b/>
          <w:i/>
        </w:rPr>
        <w:t>transition</w:t>
      </w:r>
      <w:r>
        <w:t xml:space="preserve"> </w:t>
      </w:r>
      <w:r w:rsidRPr="00777F24">
        <w:rPr>
          <w:b/>
          <w:i/>
        </w:rPr>
        <w:t>period</w:t>
      </w:r>
      <w:r>
        <w:t xml:space="preserve"> is defined as the period commencing from the day the </w:t>
      </w:r>
      <w:r w:rsidR="0070032B">
        <w:t>Bill</w:t>
      </w:r>
      <w:r>
        <w:t xml:space="preserve"> receives the Royal Assent and ends immediately before the transition time.</w:t>
      </w:r>
      <w:r w:rsidR="00B5125D">
        <w:t xml:space="preserve"> Transition time is defined in item 1 of Part 1 to Schedule 2 to mean the commencement of section 3 of the </w:t>
      </w:r>
      <w:r w:rsidR="00E9202F">
        <w:t>Prudential Supervision Bill</w:t>
      </w:r>
      <w:r w:rsidR="00B5125D">
        <w:t xml:space="preserve"> (which is when the substantive provisions of that Act are to come into effect).</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xml:space="preserve">, </w:t>
      </w:r>
      <w:r w:rsidR="00970FD0">
        <w:rPr>
          <w:rStyle w:val="Referencingstyle"/>
        </w:rPr>
        <w:t>sub</w:t>
      </w:r>
      <w:r w:rsidR="00970FD0" w:rsidRPr="00E464DC">
        <w:rPr>
          <w:rStyle w:val="Referencingstyle"/>
        </w:rPr>
        <w:t>item</w:t>
      </w:r>
      <w:r w:rsidR="00970FD0">
        <w:rPr>
          <w:rStyle w:val="Referencingstyle"/>
        </w:rPr>
        <w:t xml:space="preserve"> 21(3)</w:t>
      </w:r>
      <w:r w:rsidR="00970FD0" w:rsidRPr="00E464DC">
        <w:rPr>
          <w:rStyle w:val="Referencingstyle"/>
        </w:rPr>
        <w:t>]</w:t>
      </w:r>
      <w:r w:rsidR="00970FD0">
        <w:t xml:space="preserve">  </w:t>
      </w:r>
    </w:p>
    <w:p w14:paraId="55CB314B" w14:textId="77777777" w:rsidR="009B24BE" w:rsidRDefault="009B24BE" w:rsidP="00265C9B">
      <w:pPr>
        <w:pStyle w:val="Heading4"/>
      </w:pPr>
      <w:r>
        <w:t>Division 2 – Transfer of assets and liabilities</w:t>
      </w:r>
    </w:p>
    <w:p w14:paraId="6F2EE881" w14:textId="77777777" w:rsidR="00265C9B" w:rsidRPr="00265C9B" w:rsidRDefault="00265C9B" w:rsidP="00265C9B">
      <w:pPr>
        <w:pStyle w:val="Heading5"/>
      </w:pPr>
      <w:r>
        <w:t>Vesting of assets and liabilities</w:t>
      </w:r>
    </w:p>
    <w:p w14:paraId="759A8A08" w14:textId="77777777" w:rsidR="009B24BE" w:rsidRDefault="009B24BE" w:rsidP="000F194A">
      <w:pPr>
        <w:pStyle w:val="base-text-paragraph"/>
      </w:pPr>
      <w:r>
        <w:t>Immediately before the Council is abolished, the assets and liabilities of the Council will be transferred to APRA.</w:t>
      </w:r>
    </w:p>
    <w:p w14:paraId="44AE47C5" w14:textId="77777777" w:rsidR="0092297D" w:rsidRDefault="009B24BE" w:rsidP="000F194A">
      <w:pPr>
        <w:pStyle w:val="base-text-paragraph"/>
      </w:pPr>
      <w:r>
        <w:t xml:space="preserve">At the transition time, the assets will cease to be assets of the Council and become assets of APRA. For example, this would include </w:t>
      </w:r>
      <w:r w:rsidR="0092297D">
        <w:t xml:space="preserve">the remaining cash reserves and equipment of the Council </w:t>
      </w:r>
      <w:r w:rsidR="00B5125D">
        <w:t xml:space="preserve">among other assets, </w:t>
      </w:r>
      <w:r w:rsidR="0092297D">
        <w:t>immediately before the transition.</w:t>
      </w:r>
      <w:r w:rsidR="0092297D" w:rsidRPr="0092297D">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22</w:t>
      </w:r>
      <w:r w:rsidR="00970FD0" w:rsidRPr="00E464DC">
        <w:rPr>
          <w:rStyle w:val="Referencingstyle"/>
        </w:rPr>
        <w:t>]</w:t>
      </w:r>
      <w:r w:rsidR="00970FD0">
        <w:t xml:space="preserve">  </w:t>
      </w:r>
    </w:p>
    <w:p w14:paraId="6D043BF0" w14:textId="77777777" w:rsidR="0092297D" w:rsidRDefault="0092297D" w:rsidP="000F194A">
      <w:pPr>
        <w:pStyle w:val="base-text-paragraph"/>
      </w:pPr>
      <w:r>
        <w:t>Similarly, at the transition time, all liabilities will cease to be liabilities of the Council and will become liabilities of APRA. For example, APRA will be responsible for the Council’s liabilities including employees’ annual leave and any accounts payable</w:t>
      </w:r>
      <w:r w:rsidR="005C0D6C">
        <w:t>, immediately before, or</w:t>
      </w:r>
      <w:r>
        <w:t xml:space="preserve"> after</w:t>
      </w:r>
      <w:r w:rsidR="005C0D6C">
        <w:t>,</w:t>
      </w:r>
      <w:r>
        <w:t xml:space="preserve"> the transition time.</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23</w:t>
      </w:r>
      <w:r w:rsidR="00970FD0" w:rsidRPr="00E464DC">
        <w:rPr>
          <w:rStyle w:val="Referencingstyle"/>
        </w:rPr>
        <w:t>]</w:t>
      </w:r>
      <w:r w:rsidR="00970FD0">
        <w:t xml:space="preserve">  </w:t>
      </w:r>
    </w:p>
    <w:p w14:paraId="567C4B31" w14:textId="77777777" w:rsidR="00353154" w:rsidRDefault="00926092" w:rsidP="000F194A">
      <w:pPr>
        <w:pStyle w:val="base-text-paragraph"/>
      </w:pPr>
      <w:r>
        <w:t xml:space="preserve">The APRA Minister </w:t>
      </w:r>
      <w:r w:rsidR="004178D3">
        <w:t>may also</w:t>
      </w:r>
      <w:r>
        <w:t xml:space="preserve"> make a determination</w:t>
      </w:r>
      <w:r w:rsidR="009B24BE">
        <w:t>, in writing, that specified assets</w:t>
      </w:r>
      <w:r>
        <w:t xml:space="preserve"> or liabilities</w:t>
      </w:r>
      <w:r w:rsidR="009B24BE">
        <w:t xml:space="preserve"> will become assets of the Commonwealth.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xml:space="preserve">, </w:t>
      </w:r>
      <w:r w:rsidR="00970FD0">
        <w:rPr>
          <w:rStyle w:val="Referencingstyle"/>
        </w:rPr>
        <w:t>sub</w:t>
      </w:r>
      <w:r w:rsidR="00970FD0" w:rsidRPr="00E464DC">
        <w:rPr>
          <w:rStyle w:val="Referencingstyle"/>
        </w:rPr>
        <w:t>item</w:t>
      </w:r>
      <w:r w:rsidR="00970FD0">
        <w:rPr>
          <w:rStyle w:val="Referencingstyle"/>
        </w:rPr>
        <w:t>s 22(3)-(5) and 23(3)-(5)</w:t>
      </w:r>
      <w:r w:rsidR="00970FD0" w:rsidRPr="00E464DC">
        <w:rPr>
          <w:rStyle w:val="Referencingstyle"/>
        </w:rPr>
        <w:t>]</w:t>
      </w:r>
      <w:r w:rsidR="00970FD0">
        <w:t xml:space="preserve">  </w:t>
      </w:r>
    </w:p>
    <w:p w14:paraId="795D6AF1" w14:textId="77777777" w:rsidR="009B24BE" w:rsidRDefault="005C0D6C" w:rsidP="000F194A">
      <w:pPr>
        <w:pStyle w:val="base-text-paragraph"/>
      </w:pPr>
      <w:r>
        <w:t>It</w:t>
      </w:r>
      <w:r w:rsidR="0092297D">
        <w:t xml:space="preserve"> is expected that all assets</w:t>
      </w:r>
      <w:r w:rsidR="00926092">
        <w:t xml:space="preserve"> and liabilities </w:t>
      </w:r>
      <w:r>
        <w:t xml:space="preserve">held by the Council immediately before the transition time </w:t>
      </w:r>
      <w:r w:rsidR="00926092">
        <w:t xml:space="preserve">will transfer to </w:t>
      </w:r>
      <w:r w:rsidR="009B7CB9">
        <w:t>APRA</w:t>
      </w:r>
      <w:r>
        <w:t xml:space="preserve"> and such a determination would only be made should unfor</w:t>
      </w:r>
      <w:r w:rsidR="00970FD0">
        <w:t>e</w:t>
      </w:r>
      <w:r>
        <w:t>seen circumstances arise</w:t>
      </w:r>
      <w:r w:rsidR="00926092">
        <w:t>.</w:t>
      </w:r>
    </w:p>
    <w:p w14:paraId="0FDC9F15" w14:textId="77777777" w:rsidR="00265C9B" w:rsidRDefault="00265C9B" w:rsidP="00265C9B">
      <w:pPr>
        <w:pStyle w:val="Heading5"/>
      </w:pPr>
      <w:r>
        <w:t>Transfers of land may be registered</w:t>
      </w:r>
    </w:p>
    <w:p w14:paraId="1DCFA21A" w14:textId="77777777" w:rsidR="00B17F8B" w:rsidRDefault="00B17F8B" w:rsidP="000F194A">
      <w:pPr>
        <w:pStyle w:val="base-text-paragraph"/>
      </w:pPr>
      <w:r>
        <w:t>If required, the transitional provision</w:t>
      </w:r>
      <w:r w:rsidR="00265C9B">
        <w:t>s</w:t>
      </w:r>
      <w:r>
        <w:t xml:space="preserve"> also provide for the transfer of land </w:t>
      </w:r>
      <w:r w:rsidR="005C0D6C">
        <w:t xml:space="preserve">(including an interest in land under a lease) </w:t>
      </w:r>
      <w:r>
        <w:t xml:space="preserve">from the Council to APRA or the Commonwealth.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24</w:t>
      </w:r>
      <w:r w:rsidR="00970FD0" w:rsidRPr="00E464DC">
        <w:rPr>
          <w:rStyle w:val="Referencingstyle"/>
        </w:rPr>
        <w:t>]</w:t>
      </w:r>
      <w:r w:rsidR="00970FD0">
        <w:t xml:space="preserve">  </w:t>
      </w:r>
    </w:p>
    <w:p w14:paraId="418A7F22" w14:textId="77777777" w:rsidR="00926092" w:rsidRDefault="00B17F8B" w:rsidP="000F194A">
      <w:pPr>
        <w:pStyle w:val="base-text-paragraph"/>
      </w:pPr>
      <w:r>
        <w:t>The provision provides that to facilitate the land transfer, a certificate that is signed by the APRA Minister, identifies the land and states that the land is now vested in APRA or the Commonwealth, should be lodged with a land registration official. The certificate is not a legislative instrument</w:t>
      </w:r>
      <w:r w:rsidR="00B579A4">
        <w:t xml:space="preserve"> within the meaning of the Legislative Instruments Act and there is a statement to this effect for information purposes.</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24</w:t>
      </w:r>
      <w:r w:rsidR="00970FD0" w:rsidRPr="00E464DC">
        <w:rPr>
          <w:rStyle w:val="Referencingstyle"/>
        </w:rPr>
        <w:t>]</w:t>
      </w:r>
      <w:r w:rsidR="00970FD0">
        <w:t xml:space="preserve">  </w:t>
      </w:r>
    </w:p>
    <w:p w14:paraId="793C2453" w14:textId="77777777" w:rsidR="00B17F8B" w:rsidRDefault="00B17F8B" w:rsidP="000F194A">
      <w:pPr>
        <w:pStyle w:val="base-text-paragraph"/>
      </w:pPr>
      <w:r>
        <w:t xml:space="preserve">When the land registration official registers the matter in a </w:t>
      </w:r>
      <w:r w:rsidR="005C0D6C">
        <w:t xml:space="preserve">manner </w:t>
      </w:r>
      <w:r>
        <w:t>that is the same as, or similar to, the way in which dealings in land of that kind are registered, the deal will give effect to the certificate.</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24</w:t>
      </w:r>
      <w:r w:rsidR="00970FD0" w:rsidRPr="00E464DC">
        <w:rPr>
          <w:rStyle w:val="Referencingstyle"/>
        </w:rPr>
        <w:t>]</w:t>
      </w:r>
      <w:r w:rsidR="00970FD0">
        <w:t xml:space="preserve">  </w:t>
      </w:r>
    </w:p>
    <w:p w14:paraId="134A705A" w14:textId="77777777" w:rsidR="00B17F8B" w:rsidRDefault="00265C9B" w:rsidP="00265C9B">
      <w:pPr>
        <w:pStyle w:val="Heading5"/>
      </w:pPr>
      <w:r>
        <w:t>Certificates relating to vesting of assets other than land</w:t>
      </w:r>
    </w:p>
    <w:p w14:paraId="29C4EB43" w14:textId="77777777" w:rsidR="00265C9B" w:rsidRDefault="00265C9B" w:rsidP="000F194A">
      <w:pPr>
        <w:pStyle w:val="base-text-paragraph"/>
      </w:pPr>
      <w:r>
        <w:t xml:space="preserve">If required, the transitional provisions also provide for the </w:t>
      </w:r>
      <w:r w:rsidR="005C0D6C">
        <w:t xml:space="preserve">registration of </w:t>
      </w:r>
      <w:r>
        <w:t xml:space="preserve">transfer of assets other than land from the Council to APRA or the Commonwealth. </w:t>
      </w:r>
      <w:r w:rsidR="005C0D6C">
        <w:t>This would be relevant if, for example, an intellectual property interest, or a security interest associated with an asset, required registration.</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25</w:t>
      </w:r>
      <w:r w:rsidR="00970FD0" w:rsidRPr="00E464DC">
        <w:rPr>
          <w:rStyle w:val="Referencingstyle"/>
        </w:rPr>
        <w:t>]</w:t>
      </w:r>
      <w:r w:rsidR="00970FD0">
        <w:t xml:space="preserve">  </w:t>
      </w:r>
    </w:p>
    <w:p w14:paraId="02823685" w14:textId="77777777" w:rsidR="00265C9B" w:rsidRDefault="00265C9B" w:rsidP="000F194A">
      <w:pPr>
        <w:pStyle w:val="base-text-paragraph"/>
      </w:pPr>
      <w:r>
        <w:t>The provision provides that to facilitate the asset transfer (other than land), a certificate that is signed by the APRA Minister, identifies the asset and states that the asset is now vested in APRA or the Commonwealth, should be lodged with an assets official. The certificate is not a legislative instrument</w:t>
      </w:r>
      <w:r w:rsidR="00E97EBA">
        <w:t xml:space="preserve"> within the meaning of the Legislative Instruments Act and there is a statement to this effect for information purposes.</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25</w:t>
      </w:r>
      <w:r w:rsidR="00970FD0" w:rsidRPr="00E464DC">
        <w:rPr>
          <w:rStyle w:val="Referencingstyle"/>
        </w:rPr>
        <w:t>]</w:t>
      </w:r>
      <w:r w:rsidR="00970FD0">
        <w:t xml:space="preserve">  </w:t>
      </w:r>
    </w:p>
    <w:p w14:paraId="5872433D" w14:textId="77777777" w:rsidR="00265C9B" w:rsidRDefault="00265C9B" w:rsidP="000F194A">
      <w:pPr>
        <w:pStyle w:val="base-text-paragraph"/>
      </w:pPr>
      <w:r>
        <w:t>The assets official may deal with, and give effect to, the certificate as if it were a proper and appropriate instrument for transactions in relation to assets of that kind</w:t>
      </w:r>
      <w:r w:rsidR="00022E72">
        <w:t xml:space="preserve"> and make entries in the register.</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25</w:t>
      </w:r>
      <w:r w:rsidR="00970FD0" w:rsidRPr="00E464DC">
        <w:rPr>
          <w:rStyle w:val="Referencingstyle"/>
        </w:rPr>
        <w:t>]</w:t>
      </w:r>
      <w:r w:rsidR="00970FD0">
        <w:t xml:space="preserve">  </w:t>
      </w:r>
    </w:p>
    <w:p w14:paraId="328A5A79" w14:textId="77777777" w:rsidR="009B24BE" w:rsidRDefault="00022E72" w:rsidP="00022E72">
      <w:pPr>
        <w:pStyle w:val="Heading4"/>
      </w:pPr>
      <w:r>
        <w:t>Division 3 – Transfer of other matters</w:t>
      </w:r>
    </w:p>
    <w:p w14:paraId="00BDA03D" w14:textId="77777777" w:rsidR="00022E72" w:rsidRDefault="00022E72" w:rsidP="00022E72">
      <w:pPr>
        <w:pStyle w:val="Heading5"/>
      </w:pPr>
      <w:r>
        <w:t>Things done by, or in relation to, the Council</w:t>
      </w:r>
    </w:p>
    <w:p w14:paraId="05B8F431" w14:textId="77777777" w:rsidR="00022E72" w:rsidRDefault="004178D3" w:rsidP="000F194A">
      <w:pPr>
        <w:pStyle w:val="base-text-paragraph"/>
      </w:pPr>
      <w:r>
        <w:t xml:space="preserve">Any action done by, or in relation to, the Council before the transition time, will, following the transition time </w:t>
      </w:r>
      <w:r w:rsidR="0052637C">
        <w:t xml:space="preserve">have effect </w:t>
      </w:r>
      <w:r>
        <w:t>as if it had been done by, or in relation to, APRA.</w:t>
      </w:r>
      <w:r w:rsidR="00970FD0">
        <w:t xml:space="preserve"> </w:t>
      </w:r>
      <w:r w:rsidR="00970FD0" w:rsidRPr="00E464DC">
        <w:rPr>
          <w:rStyle w:val="Referencingstyle"/>
        </w:rPr>
        <w:t xml:space="preserve">[Schedule </w:t>
      </w:r>
      <w:r w:rsidR="00970FD0">
        <w:rPr>
          <w:rStyle w:val="Referencingstyle"/>
        </w:rPr>
        <w:t>2</w:t>
      </w:r>
      <w:r w:rsidR="00970FD0" w:rsidRPr="00E464DC">
        <w:rPr>
          <w:rStyle w:val="Referencingstyle"/>
        </w:rPr>
        <w:t xml:space="preserve">, Part </w:t>
      </w:r>
      <w:r w:rsidR="00970FD0">
        <w:rPr>
          <w:rStyle w:val="Referencingstyle"/>
        </w:rPr>
        <w:t>3</w:t>
      </w:r>
      <w:r w:rsidR="00970FD0" w:rsidRPr="00E464DC">
        <w:rPr>
          <w:rStyle w:val="Referencingstyle"/>
        </w:rPr>
        <w:t>, item</w:t>
      </w:r>
      <w:r w:rsidR="00970FD0">
        <w:rPr>
          <w:rStyle w:val="Referencingstyle"/>
        </w:rPr>
        <w:t xml:space="preserve"> 26</w:t>
      </w:r>
      <w:r w:rsidR="00970FD0" w:rsidRPr="00E464DC">
        <w:rPr>
          <w:rStyle w:val="Referencingstyle"/>
        </w:rPr>
        <w:t>]</w:t>
      </w:r>
      <w:r w:rsidR="00970FD0">
        <w:t xml:space="preserve">  </w:t>
      </w:r>
    </w:p>
    <w:p w14:paraId="237CBFD7" w14:textId="77777777" w:rsidR="004178D3" w:rsidRDefault="004178D3" w:rsidP="000F194A">
      <w:pPr>
        <w:pStyle w:val="base-text-paragraph"/>
      </w:pPr>
      <w:r>
        <w:t xml:space="preserve">The APRA Minister may also make a determination, in </w:t>
      </w:r>
      <w:r w:rsidR="00B97FA8">
        <w:t xml:space="preserve">writing, </w:t>
      </w:r>
      <w:r w:rsidR="00970FD0">
        <w:t>which</w:t>
      </w:r>
      <w:r>
        <w:t xml:space="preserve"> specifies that </w:t>
      </w:r>
      <w:r w:rsidR="00A44926">
        <w:t>a specified thing can be attributed to the Commonwealth.  Alternatively, the APRA Minister may also make a determination, in writing, which states that this item does not apply to a specified thing. A determination made under subitem</w:t>
      </w:r>
      <w:r w:rsidR="008F32E4">
        <w:t xml:space="preserve"> 3</w:t>
      </w:r>
      <w:r w:rsidR="00A44926">
        <w:t xml:space="preserve"> is not a legislative instrument</w:t>
      </w:r>
      <w:r w:rsidR="00E97EBA">
        <w:t xml:space="preserve"> within the meaning of the Legislative Instruments Act and there is a statement to this effect for information purposes.</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Part</w:t>
      </w:r>
      <w:r w:rsidR="00E97EBA">
        <w:rPr>
          <w:rStyle w:val="Referencingstyle"/>
        </w:rPr>
        <w:t> </w:t>
      </w:r>
      <w:r w:rsidR="00247713">
        <w:rPr>
          <w:rStyle w:val="Referencingstyle"/>
        </w:rPr>
        <w:t>3</w:t>
      </w:r>
      <w:r w:rsidR="00247713" w:rsidRPr="00E464DC">
        <w:rPr>
          <w:rStyle w:val="Referencingstyle"/>
        </w:rPr>
        <w:t>, item</w:t>
      </w:r>
      <w:r w:rsidR="00247713">
        <w:rPr>
          <w:rStyle w:val="Referencingstyle"/>
        </w:rPr>
        <w:t xml:space="preserve"> 26</w:t>
      </w:r>
      <w:r w:rsidR="00247713" w:rsidRPr="00E464DC">
        <w:rPr>
          <w:rStyle w:val="Referencingstyle"/>
        </w:rPr>
        <w:t>]</w:t>
      </w:r>
      <w:r w:rsidR="00247713">
        <w:t xml:space="preserve">  </w:t>
      </w:r>
    </w:p>
    <w:p w14:paraId="03D85762" w14:textId="77777777" w:rsidR="004178D3" w:rsidRDefault="005C0D6C" w:rsidP="000F194A">
      <w:pPr>
        <w:pStyle w:val="base-text-paragraph"/>
      </w:pPr>
      <w:r>
        <w:t>I</w:t>
      </w:r>
      <w:r w:rsidR="004178D3">
        <w:t xml:space="preserve">t is expected that all </w:t>
      </w:r>
      <w:r>
        <w:t>action</w:t>
      </w:r>
      <w:r w:rsidR="00E97EBA">
        <w:t>s</w:t>
      </w:r>
      <w:r>
        <w:t xml:space="preserve"> of the Council will be imputed to APRA and such a determination would only be used in unforeseen circumstances where there are sound reasons for imputing the action of thing to the Commonwealth rather than </w:t>
      </w:r>
      <w:r w:rsidR="004178D3">
        <w:t>APRA.</w:t>
      </w:r>
    </w:p>
    <w:p w14:paraId="1D9D0E9A" w14:textId="77777777" w:rsidR="008F32E4" w:rsidRDefault="008F32E4" w:rsidP="008F32E4">
      <w:pPr>
        <w:pStyle w:val="Heading5"/>
      </w:pPr>
      <w:r>
        <w:t>References in certain instruments to the Council</w:t>
      </w:r>
    </w:p>
    <w:p w14:paraId="2D45EA6C" w14:textId="77777777" w:rsidR="008F32E4" w:rsidRDefault="008F32E4" w:rsidP="000F194A">
      <w:pPr>
        <w:pStyle w:val="base-text-paragraph"/>
      </w:pPr>
      <w:r>
        <w:t xml:space="preserve">Instruments that are in force immediately before the transition time and contain a reference to the Council will </w:t>
      </w:r>
      <w:r w:rsidR="005C0D6C">
        <w:t xml:space="preserve">be taken to refer </w:t>
      </w:r>
      <w:r w:rsidR="009614BD">
        <w:t>to APRA.</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 item</w:t>
      </w:r>
      <w:r w:rsidR="00247713">
        <w:rPr>
          <w:rStyle w:val="Referencingstyle"/>
        </w:rPr>
        <w:t xml:space="preserve"> 27</w:t>
      </w:r>
      <w:r w:rsidR="00247713" w:rsidRPr="00E464DC">
        <w:rPr>
          <w:rStyle w:val="Referencingstyle"/>
        </w:rPr>
        <w:t>]</w:t>
      </w:r>
      <w:r w:rsidR="00247713">
        <w:t xml:space="preserve">  </w:t>
      </w:r>
    </w:p>
    <w:p w14:paraId="6E3F0377" w14:textId="77777777" w:rsidR="009614BD" w:rsidRDefault="009614BD" w:rsidP="000F194A">
      <w:pPr>
        <w:pStyle w:val="base-text-paragraph"/>
      </w:pPr>
      <w:r>
        <w:t>This will include instruments that relate to:</w:t>
      </w:r>
    </w:p>
    <w:p w14:paraId="0274E6B4" w14:textId="77777777" w:rsidR="009614BD" w:rsidRDefault="009614BD" w:rsidP="009614BD">
      <w:pPr>
        <w:pStyle w:val="dotpoint"/>
      </w:pPr>
      <w:r>
        <w:t xml:space="preserve">an asset or liability of the Council that will become an asset or liability of APRA under item </w:t>
      </w:r>
      <w:r w:rsidR="00247713">
        <w:t>22</w:t>
      </w:r>
      <w:r>
        <w:t xml:space="preserve"> or </w:t>
      </w:r>
      <w:r w:rsidR="00247713">
        <w:t>23</w:t>
      </w:r>
      <w:r>
        <w:t>;</w:t>
      </w:r>
    </w:p>
    <w:p w14:paraId="59C34A00" w14:textId="77777777" w:rsidR="009614BD" w:rsidRDefault="009614BD" w:rsidP="009614BD">
      <w:pPr>
        <w:pStyle w:val="dotpoint"/>
      </w:pPr>
      <w:r>
        <w:t xml:space="preserve">a thing done by, or in relation to, the Council that is taken to be done by, or in relation to, APRA under item </w:t>
      </w:r>
      <w:r w:rsidR="00247713">
        <w:t>26</w:t>
      </w:r>
      <w:r>
        <w: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 subitem 27(2)</w:t>
      </w:r>
      <w:r w:rsidR="00247713" w:rsidRPr="00E464DC">
        <w:rPr>
          <w:rStyle w:val="Referencingstyle"/>
        </w:rPr>
        <w:t>]</w:t>
      </w:r>
      <w:r w:rsidR="00247713">
        <w:t xml:space="preserve">  </w:t>
      </w:r>
    </w:p>
    <w:p w14:paraId="33FACE33" w14:textId="77777777" w:rsidR="001D46C0" w:rsidRDefault="001D46C0" w:rsidP="000F194A">
      <w:pPr>
        <w:pStyle w:val="base-text-paragraph"/>
      </w:pPr>
      <w:r>
        <w:t xml:space="preserve">An </w:t>
      </w:r>
      <w:r w:rsidRPr="00AF4DC3">
        <w:rPr>
          <w:b/>
          <w:i/>
        </w:rPr>
        <w:t>instrument</w:t>
      </w:r>
      <w:r>
        <w:t xml:space="preserve"> is defined to include:</w:t>
      </w:r>
    </w:p>
    <w:p w14:paraId="37C55019" w14:textId="77777777" w:rsidR="001D46C0" w:rsidRDefault="001D46C0" w:rsidP="001D46C0">
      <w:pPr>
        <w:pStyle w:val="dotpoint"/>
      </w:pPr>
      <w:r>
        <w:t>a contract, undertaking, deed or arrangement; and</w:t>
      </w:r>
    </w:p>
    <w:p w14:paraId="279E9332" w14:textId="77777777" w:rsidR="001D46C0" w:rsidRDefault="001D46C0" w:rsidP="001D46C0">
      <w:pPr>
        <w:pStyle w:val="dotpoint"/>
      </w:pPr>
      <w:r>
        <w:t>a notice, authority, order or instruction; and</w:t>
      </w:r>
    </w:p>
    <w:p w14:paraId="09819CEA" w14:textId="49D7B256" w:rsidR="001D46C0" w:rsidRDefault="001D46C0" w:rsidP="001D46C0">
      <w:pPr>
        <w:pStyle w:val="dotpoint"/>
      </w:pPr>
      <w:r>
        <w:t>an instrument made under an Act or under a legislative instrument.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w:t>
      </w:r>
      <w:r w:rsidR="00247713" w:rsidRPr="00E464DC">
        <w:rPr>
          <w:rStyle w:val="Referencingstyle"/>
        </w:rPr>
        <w:t>item</w:t>
      </w:r>
      <w:r w:rsidR="00365C62">
        <w:rPr>
          <w:rStyle w:val="Referencingstyle"/>
        </w:rPr>
        <w:t xml:space="preserve"> </w:t>
      </w:r>
      <w:r w:rsidR="00247713">
        <w:rPr>
          <w:rStyle w:val="Referencingstyle"/>
        </w:rPr>
        <w:t>27(8)</w:t>
      </w:r>
      <w:r w:rsidR="00247713" w:rsidRPr="00E464DC">
        <w:rPr>
          <w:rStyle w:val="Referencingstyle"/>
        </w:rPr>
        <w:t>]</w:t>
      </w:r>
      <w:r w:rsidR="00247713">
        <w:t xml:space="preserve">  </w:t>
      </w:r>
    </w:p>
    <w:p w14:paraId="4C6D75E1" w14:textId="77777777" w:rsidR="0052637C" w:rsidRDefault="0052637C" w:rsidP="00643498">
      <w:pPr>
        <w:pStyle w:val="base-text-paragraph"/>
        <w:keepNext/>
        <w:keepLines/>
      </w:pPr>
      <w:r>
        <w:t xml:space="preserve">This will only translate references to the Council in instruments that continue in force after the transition time.  It will not cover prudential standards or solvency or capital standards made by the Council. Such prudential standards will cease to have effect upon the repeal of the PHI Act and APRA will make wholly new prudential standards under the </w:t>
      </w:r>
      <w:r w:rsidR="00E9202F">
        <w:t>Prudential Supervision Bill</w:t>
      </w:r>
      <w:r>
        <w:t xml:space="preserve">. </w:t>
      </w:r>
    </w:p>
    <w:p w14:paraId="1E500D69" w14:textId="77777777" w:rsidR="001D46C0" w:rsidRDefault="001D46C0" w:rsidP="000F194A">
      <w:pPr>
        <w:pStyle w:val="base-text-paragraph"/>
      </w:pPr>
      <w:r>
        <w:t>An instrument does not include:</w:t>
      </w:r>
    </w:p>
    <w:p w14:paraId="001F325D" w14:textId="77777777" w:rsidR="001D46C0" w:rsidRDefault="001D46C0" w:rsidP="001D46C0">
      <w:pPr>
        <w:pStyle w:val="dotpoint"/>
      </w:pPr>
      <w:r>
        <w:t>an Act;</w:t>
      </w:r>
    </w:p>
    <w:p w14:paraId="47DBDC9F" w14:textId="77777777" w:rsidR="001D46C0" w:rsidRDefault="001D46C0" w:rsidP="001D46C0">
      <w:pPr>
        <w:pStyle w:val="dotpoint"/>
      </w:pPr>
      <w:r>
        <w:t xml:space="preserve">an instrument made under </w:t>
      </w:r>
      <w:r w:rsidR="00E97EBA">
        <w:t xml:space="preserve">the Consequential Amendments and Transitional Provisions </w:t>
      </w:r>
      <w:r w:rsidR="00643498">
        <w:t>Bill</w:t>
      </w:r>
      <w:r>
        <w:t xml:space="preserve">; or </w:t>
      </w:r>
    </w:p>
    <w:p w14:paraId="58AB9A80" w14:textId="2889F8E3" w:rsidR="001D46C0" w:rsidRDefault="001D46C0" w:rsidP="001D46C0">
      <w:pPr>
        <w:pStyle w:val="dotpoint"/>
      </w:pPr>
      <w:r>
        <w:t xml:space="preserve">an instrument specified in rules made under item </w:t>
      </w:r>
      <w:r w:rsidR="00247713">
        <w:t>43</w:t>
      </w:r>
      <w:r>
        <w:t>.</w:t>
      </w:r>
      <w:r w:rsidR="00247713">
        <w:t xml:space="preserve"> </w:t>
      </w:r>
      <w:r w:rsidR="00247713" w:rsidRPr="00E464DC">
        <w:rPr>
          <w:rStyle w:val="Referencingstyle"/>
        </w:rPr>
        <w:t>[Schedule</w:t>
      </w:r>
      <w:r w:rsidR="00E97EBA">
        <w:rPr>
          <w:rStyle w:val="Referencingstyle"/>
        </w:rPr>
        <w:t>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w:t>
      </w:r>
      <w:r w:rsidR="00247713" w:rsidRPr="00E464DC">
        <w:rPr>
          <w:rStyle w:val="Referencingstyle"/>
        </w:rPr>
        <w:t>item</w:t>
      </w:r>
      <w:r w:rsidR="00365C62">
        <w:rPr>
          <w:rStyle w:val="Referencingstyle"/>
        </w:rPr>
        <w:t xml:space="preserve"> </w:t>
      </w:r>
      <w:r w:rsidR="00247713">
        <w:rPr>
          <w:rStyle w:val="Referencingstyle"/>
        </w:rPr>
        <w:t>27(8)</w:t>
      </w:r>
      <w:r w:rsidR="00247713" w:rsidRPr="00E464DC">
        <w:rPr>
          <w:rStyle w:val="Referencingstyle"/>
        </w:rPr>
        <w:t>]</w:t>
      </w:r>
      <w:r w:rsidR="00247713">
        <w:t xml:space="preserve">  </w:t>
      </w:r>
    </w:p>
    <w:p w14:paraId="4A530773" w14:textId="77777777" w:rsidR="009614BD" w:rsidRDefault="0052637C" w:rsidP="000F194A">
      <w:pPr>
        <w:pStyle w:val="base-text-paragraph"/>
      </w:pPr>
      <w:r>
        <w:t>Where under one of the above provisions the Minister determines that an asset or liability should be transferred to the Commonwealth or that a thing should be imputed to the Commonwealth (for example, where a contract has been transferred to the Commonwealth)</w:t>
      </w:r>
      <w:r w:rsidR="0024757F">
        <w:t xml:space="preserve">, the transitional provisions also </w:t>
      </w:r>
      <w:r>
        <w:t xml:space="preserve">provide for </w:t>
      </w:r>
      <w:r w:rsidR="0024757F">
        <w:t xml:space="preserve">an </w:t>
      </w:r>
      <w:r>
        <w:t xml:space="preserve">associated </w:t>
      </w:r>
      <w:r w:rsidR="0024757F">
        <w:t xml:space="preserve">instrument </w:t>
      </w:r>
      <w:r>
        <w:t xml:space="preserve">(in the example, the contract) </w:t>
      </w:r>
      <w:r w:rsidR="0024757F">
        <w:t xml:space="preserve">that refers to the Council to be </w:t>
      </w:r>
      <w:r>
        <w:t xml:space="preserve">taken to refer </w:t>
      </w:r>
      <w:r w:rsidR="0024757F">
        <w:t xml:space="preserve">to the Commonwealth.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w:t>
      </w:r>
      <w:r w:rsidR="00247713" w:rsidRPr="00E464DC">
        <w:rPr>
          <w:rStyle w:val="Referencingstyle"/>
        </w:rPr>
        <w:t>item</w:t>
      </w:r>
      <w:r w:rsidR="00247713">
        <w:rPr>
          <w:rStyle w:val="Referencingstyle"/>
        </w:rPr>
        <w:t>27(4)</w:t>
      </w:r>
      <w:r w:rsidR="00247713" w:rsidRPr="00E464DC">
        <w:rPr>
          <w:rStyle w:val="Referencingstyle"/>
        </w:rPr>
        <w:t>]</w:t>
      </w:r>
      <w:r w:rsidR="00247713">
        <w:t xml:space="preserve">  </w:t>
      </w:r>
    </w:p>
    <w:p w14:paraId="6E51B6A5" w14:textId="77777777" w:rsidR="0024757F" w:rsidRDefault="00212E12" w:rsidP="000F194A">
      <w:pPr>
        <w:pStyle w:val="base-text-paragraph"/>
      </w:pPr>
      <w:r>
        <w:t>T</w:t>
      </w:r>
      <w:r w:rsidR="0024757F">
        <w:t xml:space="preserve">he APRA Minister </w:t>
      </w:r>
      <w:r w:rsidR="0052637C">
        <w:t xml:space="preserve">may </w:t>
      </w:r>
      <w:r w:rsidR="0024757F">
        <w:t xml:space="preserve">determine in writing that </w:t>
      </w:r>
      <w:r>
        <w:t>the reference to the Council, at and after the transition time, should be a reference to APRA or the Commonwealth.</w:t>
      </w:r>
      <w:r w:rsidR="0052637C">
        <w:t xml:space="preserve"> This power would be used to make it clear that a reference in an instrument to the Council should be taken to be a reference to the Commonwealth or APRA and would only be relevant if the Minister had determined that an asset should be transferred to the Commonwealth rather than APRA or that a thing or action should be imputed to the Commonwealth rather than APRA.</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w:t>
      </w:r>
      <w:r w:rsidR="00247713" w:rsidRPr="00E464DC">
        <w:rPr>
          <w:rStyle w:val="Referencingstyle"/>
        </w:rPr>
        <w:t>item</w:t>
      </w:r>
      <w:r w:rsidR="00247713">
        <w:rPr>
          <w:rStyle w:val="Referencingstyle"/>
        </w:rPr>
        <w:t>27(4)</w:t>
      </w:r>
      <w:r w:rsidR="00247713" w:rsidRPr="00E464DC">
        <w:rPr>
          <w:rStyle w:val="Referencingstyle"/>
        </w:rPr>
        <w:t>]</w:t>
      </w:r>
      <w:r w:rsidR="00247713">
        <w:t xml:space="preserve">  </w:t>
      </w:r>
    </w:p>
    <w:p w14:paraId="4FD8B90C" w14:textId="77777777" w:rsidR="009C6763" w:rsidRDefault="009C6763" w:rsidP="000F194A">
      <w:pPr>
        <w:pStyle w:val="base-text-paragraph"/>
      </w:pPr>
      <w:r>
        <w:t>The determination may be made before or after the transition time. A determination is not a legislative instrument.</w:t>
      </w:r>
    </w:p>
    <w:p w14:paraId="483FEAC9" w14:textId="77777777" w:rsidR="001D46C0" w:rsidRDefault="001D46C0" w:rsidP="00C03E5D">
      <w:pPr>
        <w:pStyle w:val="Heading5"/>
      </w:pPr>
      <w:r>
        <w:t>Legal proceedings of the Council</w:t>
      </w:r>
    </w:p>
    <w:p w14:paraId="571EEA4C" w14:textId="77777777" w:rsidR="001D46C0" w:rsidRDefault="00C03E5D" w:rsidP="000F194A">
      <w:pPr>
        <w:pStyle w:val="base-text-paragraph"/>
      </w:pPr>
      <w:r>
        <w:t xml:space="preserve">Any legal proceedings to which the Council was a party and are pending in any court of tribunal immediately before the transition time will </w:t>
      </w:r>
      <w:r w:rsidR="0052637C">
        <w:t xml:space="preserve">continue with </w:t>
      </w:r>
      <w:r>
        <w:t>APRA as a party to those proceedings</w:t>
      </w:r>
      <w:r w:rsidR="0052637C">
        <w:t>, in place of the Council,</w:t>
      </w:r>
      <w:r>
        <w:t xml:space="preserve"> from the transition time.</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28</w:t>
      </w:r>
      <w:r w:rsidR="00247713" w:rsidRPr="00E464DC">
        <w:rPr>
          <w:rStyle w:val="Referencingstyle"/>
        </w:rPr>
        <w:t>]</w:t>
      </w:r>
      <w:r w:rsidR="00247713">
        <w:t xml:space="preserve">  </w:t>
      </w:r>
    </w:p>
    <w:p w14:paraId="580F582C" w14:textId="77777777" w:rsidR="00C03E5D" w:rsidRDefault="00C03E5D" w:rsidP="000F194A">
      <w:pPr>
        <w:pStyle w:val="base-text-paragraph"/>
      </w:pPr>
      <w:r>
        <w:t>Alternatively, the APRA Minster may determine, in writing, that the Commonwealth is substituted for the Council as a party to those proceedings.</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28</w:t>
      </w:r>
      <w:r w:rsidR="00247713" w:rsidRPr="00E464DC">
        <w:rPr>
          <w:rStyle w:val="Referencingstyle"/>
        </w:rPr>
        <w:t>]</w:t>
      </w:r>
      <w:r w:rsidR="00247713">
        <w:t xml:space="preserve">  </w:t>
      </w:r>
    </w:p>
    <w:p w14:paraId="5FB685C5" w14:textId="77777777" w:rsidR="00C03E5D" w:rsidRDefault="00C03E5D" w:rsidP="000F194A">
      <w:pPr>
        <w:pStyle w:val="base-text-paragraph"/>
      </w:pPr>
      <w:r>
        <w:t>The APRA Minister can make a determination before or after the transition time and it is not a legislative instrument</w:t>
      </w:r>
      <w:r w:rsidR="00E97EBA">
        <w:t xml:space="preserve"> within the meaning of the Legislative Instruments Act and there is a statement to this effect for information purposes.</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28</w:t>
      </w:r>
      <w:r w:rsidR="00247713" w:rsidRPr="00E464DC">
        <w:rPr>
          <w:rStyle w:val="Referencingstyle"/>
        </w:rPr>
        <w:t>]</w:t>
      </w:r>
      <w:r w:rsidR="00247713">
        <w:t xml:space="preserve">  </w:t>
      </w:r>
    </w:p>
    <w:p w14:paraId="7836C515" w14:textId="77777777" w:rsidR="00C03E5D" w:rsidRDefault="00C03E5D" w:rsidP="00C03E5D">
      <w:pPr>
        <w:pStyle w:val="Heading5"/>
      </w:pPr>
      <w:r>
        <w:t>Transfer of Council’s records and documents</w:t>
      </w:r>
    </w:p>
    <w:p w14:paraId="6833B3C2" w14:textId="77777777" w:rsidR="00C03E5D" w:rsidRDefault="00C03E5D" w:rsidP="000F194A">
      <w:pPr>
        <w:pStyle w:val="base-text-paragraph"/>
      </w:pPr>
      <w:r>
        <w:t>Any records or documents that were in the possession of the Council immediately before the transition time will transfer to APRA after the transition time.</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29</w:t>
      </w:r>
      <w:r w:rsidR="00247713" w:rsidRPr="00E464DC">
        <w:rPr>
          <w:rStyle w:val="Referencingstyle"/>
        </w:rPr>
        <w:t>]</w:t>
      </w:r>
      <w:r w:rsidR="00247713">
        <w:t xml:space="preserve">  </w:t>
      </w:r>
    </w:p>
    <w:p w14:paraId="22840081" w14:textId="77777777" w:rsidR="00E11EF2" w:rsidRDefault="00E11EF2" w:rsidP="000F194A">
      <w:pPr>
        <w:pStyle w:val="base-text-paragraph"/>
      </w:pPr>
      <w:r>
        <w:t>Alternatively, the APRA Minster may determine, in writing, that a record or document should be transferred to the Commonwealth after the transition time.</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29</w:t>
      </w:r>
      <w:r w:rsidR="00247713" w:rsidRPr="00E464DC">
        <w:rPr>
          <w:rStyle w:val="Referencingstyle"/>
        </w:rPr>
        <w:t>]</w:t>
      </w:r>
      <w:r w:rsidR="00247713">
        <w:t xml:space="preserve">  </w:t>
      </w:r>
    </w:p>
    <w:p w14:paraId="3D142556" w14:textId="77777777" w:rsidR="00E11EF2" w:rsidRDefault="00E11EF2" w:rsidP="000F194A">
      <w:pPr>
        <w:pStyle w:val="base-text-paragraph"/>
      </w:pPr>
      <w:r>
        <w:t>The determination may be made before or after the transition time. A determination is not a legislative instrument.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29</w:t>
      </w:r>
      <w:r w:rsidR="00247713" w:rsidRPr="00E464DC">
        <w:rPr>
          <w:rStyle w:val="Referencingstyle"/>
        </w:rPr>
        <w:t>]</w:t>
      </w:r>
      <w:r w:rsidR="00247713">
        <w:t xml:space="preserve">  </w:t>
      </w:r>
    </w:p>
    <w:p w14:paraId="48E9313A" w14:textId="77777777" w:rsidR="00E11EF2" w:rsidRDefault="00E11EF2" w:rsidP="000F194A">
      <w:pPr>
        <w:pStyle w:val="base-text-paragraph"/>
      </w:pPr>
      <w:r>
        <w:t xml:space="preserve">For the purposes of </w:t>
      </w:r>
      <w:r w:rsidR="00254427">
        <w:t>the</w:t>
      </w:r>
      <w:r>
        <w:t xml:space="preserve"> </w:t>
      </w:r>
      <w:r w:rsidRPr="00254427">
        <w:rPr>
          <w:i/>
        </w:rPr>
        <w:t>Public Governance, Performance and Accountability Act 2013</w:t>
      </w:r>
      <w:r w:rsidR="00254427">
        <w:t>, sections 37 and 41 will apply to any records or documents transferred to an entity within the meaning of that Act</w:t>
      </w:r>
      <w:r w:rsidR="002349A5">
        <w:t xml:space="preserve"> (for example, APRA, and if relevant another Commonwealth agency to which records might be transferred</w:t>
      </w:r>
      <w:r w:rsidR="00254427">
        <w:t>) as if the records or document related to that entity.</w:t>
      </w:r>
      <w:r w:rsidR="002349A5">
        <w:t xml:space="preserve"> Section 37 provides for the accountable entity of a Commonwealth authority to keep records that properly record and explain the entity’s performance in achieving its purposes and section 41 provides in similar terms in relation to accounts that explain the entity’s transactions.</w:t>
      </w:r>
      <w:r w:rsidR="00247713">
        <w:t xml:space="preserve"> </w:t>
      </w:r>
      <w:r w:rsidR="00247713" w:rsidRPr="00E464DC">
        <w:rPr>
          <w:rStyle w:val="Referencingstyle"/>
        </w:rPr>
        <w:t>[Schedule</w:t>
      </w:r>
      <w:r w:rsidR="00E97EBA">
        <w:rPr>
          <w:rStyle w:val="Referencingstyle"/>
        </w:rPr>
        <w:t>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29(7)</w:t>
      </w:r>
      <w:r w:rsidR="00247713" w:rsidRPr="00E464DC">
        <w:rPr>
          <w:rStyle w:val="Referencingstyle"/>
        </w:rPr>
        <w:t>]</w:t>
      </w:r>
      <w:r w:rsidR="00247713">
        <w:t xml:space="preserve">  </w:t>
      </w:r>
    </w:p>
    <w:p w14:paraId="351267DF" w14:textId="77777777" w:rsidR="00254427" w:rsidRDefault="00254427" w:rsidP="00985CDB">
      <w:pPr>
        <w:pStyle w:val="Heading5"/>
      </w:pPr>
      <w:r w:rsidRPr="00254427">
        <w:t>Transfer of the Ombudsman investigations</w:t>
      </w:r>
    </w:p>
    <w:p w14:paraId="1E279BC6" w14:textId="77777777" w:rsidR="001A733C" w:rsidRDefault="002F1026" w:rsidP="000F194A">
      <w:pPr>
        <w:pStyle w:val="base-text-paragraph"/>
      </w:pPr>
      <w:r>
        <w:t xml:space="preserve">If, before the transition time, a complaint was made to the Commonwealth Ombudsman under the </w:t>
      </w:r>
      <w:r w:rsidRPr="002F1026">
        <w:rPr>
          <w:i/>
        </w:rPr>
        <w:t>Ombudsman Act 1976</w:t>
      </w:r>
      <w:r>
        <w:t xml:space="preserve"> in relation to something done by the Council, or the Ombudsman has been conducting an investigation in relation to such a matter and it has not been finally disposed of, the Ombudsman Act is to apply in relation to the matter as if APRA had done the thing that is subject to the complaint or investigation.  This will ensure that the Ombudsman’s processes can continue despite the transfer of functions and staff to APRA.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30</w:t>
      </w:r>
      <w:r w:rsidR="00247713" w:rsidRPr="00E464DC">
        <w:rPr>
          <w:rStyle w:val="Referencingstyle"/>
        </w:rPr>
        <w:t>]</w:t>
      </w:r>
      <w:r w:rsidR="00247713">
        <w:t xml:space="preserve">  </w:t>
      </w:r>
    </w:p>
    <w:p w14:paraId="708FB286" w14:textId="77777777" w:rsidR="001A733C" w:rsidRDefault="001A733C" w:rsidP="001A733C">
      <w:pPr>
        <w:pStyle w:val="Heading4"/>
      </w:pPr>
      <w:r>
        <w:t>Division 4 – Staff and officers of the Council</w:t>
      </w:r>
    </w:p>
    <w:p w14:paraId="53C0B657" w14:textId="77777777" w:rsidR="001A733C" w:rsidRDefault="001A733C" w:rsidP="001A733C">
      <w:pPr>
        <w:pStyle w:val="Heading5"/>
      </w:pPr>
      <w:r>
        <w:t>Transferring employees – transfer to APRA</w:t>
      </w:r>
    </w:p>
    <w:p w14:paraId="23200498" w14:textId="77777777" w:rsidR="001A733C" w:rsidRDefault="001A733C" w:rsidP="000F194A">
      <w:pPr>
        <w:pStyle w:val="base-text-paragraph"/>
      </w:pPr>
      <w:r>
        <w:t xml:space="preserve">In transferring the Council’s functions to APRA, </w:t>
      </w:r>
      <w:r w:rsidR="002F1026">
        <w:t>it is expect</w:t>
      </w:r>
      <w:r w:rsidR="00970FD0">
        <w:t>ed</w:t>
      </w:r>
      <w:r w:rsidR="002F1026">
        <w:t xml:space="preserve"> that all </w:t>
      </w:r>
      <w:r>
        <w:t xml:space="preserve">Council employees </w:t>
      </w:r>
      <w:r w:rsidR="002F1026">
        <w:t xml:space="preserve">at the transition time </w:t>
      </w:r>
      <w:r w:rsidR="00E74D3F">
        <w:t xml:space="preserve">will transfer </w:t>
      </w:r>
      <w:r>
        <w:t>to APRA to ensure regulatory continuity</w:t>
      </w:r>
      <w:r w:rsidR="00E74D3F">
        <w:t xml:space="preserve"> and transfer of knowledge of the industry</w:t>
      </w:r>
      <w:r>
        <w:t>.</w:t>
      </w:r>
    </w:p>
    <w:p w14:paraId="1E5CFEA8" w14:textId="77777777" w:rsidR="001A733C" w:rsidRDefault="001A733C" w:rsidP="000F194A">
      <w:pPr>
        <w:pStyle w:val="base-text-paragraph"/>
      </w:pPr>
      <w:r>
        <w:t xml:space="preserve">At the transition time, staff employed by the Council under subsection 273-15(1) of the PHI Act immediately before the transition time (a </w:t>
      </w:r>
      <w:r w:rsidRPr="001A733C">
        <w:rPr>
          <w:b/>
          <w:i/>
        </w:rPr>
        <w:t>transferring</w:t>
      </w:r>
      <w:r>
        <w:t xml:space="preserve"> </w:t>
      </w:r>
      <w:r w:rsidRPr="001A733C">
        <w:rPr>
          <w:b/>
          <w:i/>
        </w:rPr>
        <w:t>employee</w:t>
      </w:r>
      <w:r>
        <w:t>):</w:t>
      </w:r>
    </w:p>
    <w:p w14:paraId="70A238C9" w14:textId="77777777" w:rsidR="001A733C" w:rsidRDefault="00E74D3F" w:rsidP="001A733C">
      <w:pPr>
        <w:pStyle w:val="dotpoint"/>
      </w:pPr>
      <w:r>
        <w:t>cease</w:t>
      </w:r>
      <w:r w:rsidR="001A733C">
        <w:t xml:space="preserve"> to be employed by the Council; and</w:t>
      </w:r>
    </w:p>
    <w:p w14:paraId="1A697B58" w14:textId="77777777" w:rsidR="001A733C" w:rsidRDefault="00E74D3F" w:rsidP="001A733C">
      <w:pPr>
        <w:pStyle w:val="dotpoint"/>
      </w:pPr>
      <w:r>
        <w:t>are</w:t>
      </w:r>
      <w:r w:rsidR="001A733C">
        <w:t xml:space="preserve"> taken to have been appointed as an employee under section 45 of the APRA Act.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30</w:t>
      </w:r>
      <w:r w:rsidR="00247713" w:rsidRPr="00E464DC">
        <w:rPr>
          <w:rStyle w:val="Referencingstyle"/>
        </w:rPr>
        <w:t>]</w:t>
      </w:r>
      <w:r w:rsidR="00247713">
        <w:t xml:space="preserve">  </w:t>
      </w:r>
    </w:p>
    <w:p w14:paraId="5BADB06A" w14:textId="77777777" w:rsidR="001A733C" w:rsidRDefault="00633106" w:rsidP="000F194A">
      <w:pPr>
        <w:pStyle w:val="base-text-paragraph"/>
      </w:pPr>
      <w:r>
        <w:t>Section 45 of the APRA Act</w:t>
      </w:r>
      <w:r w:rsidR="000F050D">
        <w:t xml:space="preserve"> allows APRA to appoint permanent, temporary or casual staff as it considers necessary for the performance of its functions.</w:t>
      </w:r>
    </w:p>
    <w:p w14:paraId="3155BD5B" w14:textId="77777777" w:rsidR="007817C9" w:rsidRDefault="002F1026" w:rsidP="000F194A">
      <w:pPr>
        <w:pStyle w:val="base-text-paragraph"/>
      </w:pPr>
      <w:r>
        <w:t>A t</w:t>
      </w:r>
      <w:r w:rsidR="00E74D3F">
        <w:t>ransferring e</w:t>
      </w:r>
      <w:r w:rsidR="007817C9">
        <w:t xml:space="preserve">mployee </w:t>
      </w:r>
      <w:r>
        <w:t>is</w:t>
      </w:r>
      <w:r w:rsidR="007817C9">
        <w:t xml:space="preserve"> not entitled to receive any payment or other benefit as a result of the fact that he or she ceased being an employee of the Council.</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3</w:t>
      </w:r>
      <w:r w:rsidR="00FB0F45">
        <w:rPr>
          <w:rStyle w:val="Referencingstyle"/>
        </w:rPr>
        <w:t>1</w:t>
      </w:r>
      <w:r w:rsidR="00247713">
        <w:rPr>
          <w:rStyle w:val="Referencingstyle"/>
        </w:rPr>
        <w:t>(3)</w:t>
      </w:r>
      <w:r w:rsidR="00247713" w:rsidRPr="00E464DC">
        <w:rPr>
          <w:rStyle w:val="Referencingstyle"/>
        </w:rPr>
        <w:t>]</w:t>
      </w:r>
      <w:r w:rsidR="00247713">
        <w:t xml:space="preserve">  </w:t>
      </w:r>
    </w:p>
    <w:p w14:paraId="414E26A6" w14:textId="77777777" w:rsidR="007817C9" w:rsidRDefault="007817C9" w:rsidP="007817C9">
      <w:pPr>
        <w:pStyle w:val="Heading5"/>
      </w:pPr>
      <w:r>
        <w:t>Transferring employees – terms and conditions of employment with APRA</w:t>
      </w:r>
    </w:p>
    <w:p w14:paraId="6E2D78EE" w14:textId="77777777" w:rsidR="007817C9" w:rsidRDefault="002F1026" w:rsidP="000F194A">
      <w:pPr>
        <w:pStyle w:val="base-text-paragraph"/>
      </w:pPr>
      <w:r>
        <w:t>It is expected that the terms and conditions of employment of transferring staff will be set u</w:t>
      </w:r>
      <w:r w:rsidR="007817C9">
        <w:t xml:space="preserve">nder </w:t>
      </w:r>
      <w:r>
        <w:t xml:space="preserve">an enterprise agreement, under the </w:t>
      </w:r>
      <w:r>
        <w:rPr>
          <w:i/>
        </w:rPr>
        <w:t>Fair Work Act</w:t>
      </w:r>
      <w:r w:rsidRPr="002F1026">
        <w:rPr>
          <w:i/>
        </w:rPr>
        <w:t xml:space="preserve"> 2009</w:t>
      </w:r>
      <w:r>
        <w:t>, or in the case of certain senior staff by a separate agreement, and in all cases supplemented by terms and conditions determined under sub</w:t>
      </w:r>
      <w:r w:rsidR="007817C9" w:rsidRPr="002F1026">
        <w:t>section</w:t>
      </w:r>
      <w:r w:rsidR="007817C9">
        <w:t xml:space="preserve"> 45(2) of the APRA Act</w:t>
      </w:r>
      <w:r>
        <w:t>. The</w:t>
      </w:r>
      <w:r w:rsidR="007817C9">
        <w:t xml:space="preserve"> Chair of APRA has the </w:t>
      </w:r>
      <w:r w:rsidR="000F050D">
        <w:t>ability to determine terms and conditions of appointment (including remuneration) for APRA employees.</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32</w:t>
      </w:r>
      <w:r w:rsidR="00247713" w:rsidRPr="00E464DC">
        <w:rPr>
          <w:rStyle w:val="Referencingstyle"/>
        </w:rPr>
        <w:t>]</w:t>
      </w:r>
      <w:r w:rsidR="00247713">
        <w:t xml:space="preserve">  </w:t>
      </w:r>
    </w:p>
    <w:p w14:paraId="61853F5D" w14:textId="77777777" w:rsidR="000F050D" w:rsidRDefault="002F1026" w:rsidP="000F194A">
      <w:pPr>
        <w:pStyle w:val="base-text-paragraph"/>
      </w:pPr>
      <w:r>
        <w:t>A</w:t>
      </w:r>
      <w:r w:rsidR="000F050D">
        <w:t xml:space="preserve"> transferring employee’s terms and conditions of appointment </w:t>
      </w:r>
      <w:r>
        <w:t xml:space="preserve">must </w:t>
      </w:r>
      <w:r w:rsidR="000F050D">
        <w:t>be no less favourable, considered on an overall basis, than the terms and conditions of employment to which the employee was entitled, immediately before the transition time, as an employee of the Council.</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32(1)</w:t>
      </w:r>
      <w:r w:rsidR="00247713" w:rsidRPr="00E464DC">
        <w:rPr>
          <w:rStyle w:val="Referencingstyle"/>
        </w:rPr>
        <w:t>]</w:t>
      </w:r>
      <w:r w:rsidR="00247713">
        <w:t xml:space="preserve">  </w:t>
      </w:r>
    </w:p>
    <w:p w14:paraId="4FDCCB32" w14:textId="77777777" w:rsidR="000F050D" w:rsidRDefault="00BB08CA" w:rsidP="000F194A">
      <w:pPr>
        <w:pStyle w:val="base-text-paragraph"/>
      </w:pPr>
      <w:r>
        <w:t>However, where an enterprise agreement</w:t>
      </w:r>
      <w:r w:rsidR="00F30A4C">
        <w:t xml:space="preserve"> (within the meaning of the </w:t>
      </w:r>
      <w:r w:rsidR="00F30A4C" w:rsidRPr="00F30A4C">
        <w:rPr>
          <w:i/>
        </w:rPr>
        <w:t>Fair Work Act 2009</w:t>
      </w:r>
      <w:r w:rsidR="00F30A4C">
        <w:t xml:space="preserve">), </w:t>
      </w:r>
      <w:r>
        <w:t xml:space="preserve">made on or after the transition time, applies to employees of APRA as appointed under subsection </w:t>
      </w:r>
      <w:r w:rsidR="00F30A4C">
        <w:t>45(1) of the APRA Act, subitem 1</w:t>
      </w:r>
      <w:r>
        <w:t xml:space="preserve"> ceases to have effect.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32(2)</w:t>
      </w:r>
      <w:r w:rsidR="00247713">
        <w:t xml:space="preserve">  </w:t>
      </w:r>
    </w:p>
    <w:p w14:paraId="646C1308" w14:textId="77777777" w:rsidR="000F050D" w:rsidRDefault="000F050D" w:rsidP="000F194A">
      <w:pPr>
        <w:pStyle w:val="base-text-paragraph"/>
      </w:pPr>
      <w:r>
        <w:t xml:space="preserve">This will ensure that </w:t>
      </w:r>
      <w:r w:rsidR="002F1026">
        <w:t>an</w:t>
      </w:r>
      <w:r>
        <w:t xml:space="preserve"> employee that </w:t>
      </w:r>
      <w:r w:rsidR="002F1026">
        <w:t xml:space="preserve">is </w:t>
      </w:r>
      <w:r>
        <w:t xml:space="preserve">compulsorily transferred </w:t>
      </w:r>
      <w:r w:rsidR="002F1026">
        <w:t xml:space="preserve">is </w:t>
      </w:r>
      <w:r>
        <w:t>no worse off</w:t>
      </w:r>
      <w:r w:rsidR="002F1026">
        <w:t>, looking at their conditions on an overall basis,</w:t>
      </w:r>
      <w:r>
        <w:t xml:space="preserve"> as a result of the implementation of this Government decision.</w:t>
      </w:r>
    </w:p>
    <w:p w14:paraId="2122F9E4" w14:textId="77777777" w:rsidR="00BB08CA" w:rsidRDefault="00BB08CA" w:rsidP="000F194A">
      <w:pPr>
        <w:pStyle w:val="base-text-paragraph"/>
      </w:pPr>
      <w:r>
        <w:t>A determination made under subsection 45(2) of the APRA Act for the transferring employee is able to be made before or after the transition time and may take effect from the transition time or a later time.</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32(3)</w:t>
      </w:r>
      <w:r w:rsidR="00247713" w:rsidRPr="00E464DC">
        <w:rPr>
          <w:rStyle w:val="Referencingstyle"/>
        </w:rPr>
        <w:t>]</w:t>
      </w:r>
    </w:p>
    <w:p w14:paraId="55D96D74" w14:textId="77777777" w:rsidR="00BB08CA" w:rsidRDefault="00BB08CA" w:rsidP="000F194A">
      <w:pPr>
        <w:pStyle w:val="base-text-paragraph"/>
      </w:pPr>
      <w:r>
        <w:t xml:space="preserve">However, </w:t>
      </w:r>
      <w:r w:rsidR="00E74D3F">
        <w:t>to avoid doubt</w:t>
      </w:r>
      <w:r>
        <w:t>:</w:t>
      </w:r>
    </w:p>
    <w:p w14:paraId="1148DBE0" w14:textId="77777777" w:rsidR="00BB08CA" w:rsidRDefault="00BB08CA" w:rsidP="00BB08CA">
      <w:pPr>
        <w:pStyle w:val="dotpoint"/>
      </w:pPr>
      <w:r>
        <w:t xml:space="preserve">the Chair of APRA </w:t>
      </w:r>
      <w:r w:rsidR="00985CDB">
        <w:t>may determine</w:t>
      </w:r>
      <w:r>
        <w:t xml:space="preserve"> different terms and conditions of appointment </w:t>
      </w:r>
      <w:r w:rsidR="00F30A4C">
        <w:t>under subsection 45(2) of the APRA Act for different transferring employees</w:t>
      </w:r>
      <w:r>
        <w:t>; or</w:t>
      </w:r>
    </w:p>
    <w:p w14:paraId="3327E6F5" w14:textId="77777777" w:rsidR="00BB08CA" w:rsidRDefault="00BB08CA" w:rsidP="00BB08CA">
      <w:pPr>
        <w:pStyle w:val="dotpoint"/>
      </w:pPr>
      <w:r>
        <w:t>a transferring employee may be covered by either</w:t>
      </w:r>
      <w:r w:rsidR="0054785E">
        <w:t xml:space="preserve"> of the following instruments (whether made before or after the transition time)</w:t>
      </w:r>
      <w:r>
        <w:t>:</w:t>
      </w:r>
    </w:p>
    <w:p w14:paraId="1CD422E4" w14:textId="77777777" w:rsidR="00BB08CA" w:rsidRDefault="00BB08CA" w:rsidP="00BB08CA">
      <w:pPr>
        <w:pStyle w:val="dotpoint2"/>
      </w:pPr>
      <w:r>
        <w:t xml:space="preserve">a fair work instrument (within the meaning of the </w:t>
      </w:r>
      <w:r w:rsidRPr="0054785E">
        <w:rPr>
          <w:i/>
        </w:rPr>
        <w:t>Fair Work Act 2009</w:t>
      </w:r>
      <w:r>
        <w:t>);</w:t>
      </w:r>
    </w:p>
    <w:p w14:paraId="114B4F29" w14:textId="77777777" w:rsidR="00BB08CA" w:rsidRDefault="00BB08CA" w:rsidP="00BB08CA">
      <w:pPr>
        <w:pStyle w:val="dotpoint2"/>
      </w:pPr>
      <w:r>
        <w:t>a determination made under subsection 45(2) of the APRA Act.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subitem 32(4)</w:t>
      </w:r>
      <w:r w:rsidR="00247713" w:rsidRPr="00E464DC">
        <w:rPr>
          <w:rStyle w:val="Referencingstyle"/>
        </w:rPr>
        <w:t>]</w:t>
      </w:r>
      <w:r w:rsidR="00247713">
        <w:t xml:space="preserve">  </w:t>
      </w:r>
    </w:p>
    <w:p w14:paraId="11289291" w14:textId="77777777" w:rsidR="00F30A4C" w:rsidRDefault="00F30A4C" w:rsidP="00F30A4C">
      <w:pPr>
        <w:pStyle w:val="Heading5"/>
      </w:pPr>
      <w:r>
        <w:t>Transferring employees – accrued leave and prior service</w:t>
      </w:r>
    </w:p>
    <w:p w14:paraId="5C8B80C4" w14:textId="77777777" w:rsidR="00F30A4C" w:rsidRDefault="00F30A4C" w:rsidP="000F194A">
      <w:pPr>
        <w:pStyle w:val="base-text-paragraph"/>
      </w:pPr>
      <w:r>
        <w:t>All leave accrued by a transferring employee immediately before the transition time, in relation to a transferring employee’s employment by the Council, will be considered as leave in relation to periods of service as an employee of APRA appointed under section 45 of the APRA Act.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33</w:t>
      </w:r>
      <w:r w:rsidR="00247713" w:rsidRPr="00E464DC">
        <w:rPr>
          <w:rStyle w:val="Referencingstyle"/>
        </w:rPr>
        <w:t>]</w:t>
      </w:r>
      <w:r w:rsidR="00247713">
        <w:t xml:space="preserve">  </w:t>
      </w:r>
    </w:p>
    <w:p w14:paraId="6ED7D2F7" w14:textId="77777777" w:rsidR="00F30A4C" w:rsidRDefault="00F30A4C" w:rsidP="000F194A">
      <w:pPr>
        <w:pStyle w:val="base-text-paragraph"/>
      </w:pPr>
      <w:r>
        <w:t>Furthermore, the service of a transferring employee as an employee of the Council will be taken to have been continuous with his or her service as an employee of APRA appointed under section 45 of the APRA Act.</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 33</w:t>
      </w:r>
      <w:r w:rsidR="00247713" w:rsidRPr="00E464DC">
        <w:rPr>
          <w:rStyle w:val="Referencingstyle"/>
        </w:rPr>
        <w:t>]</w:t>
      </w:r>
      <w:r w:rsidR="00247713">
        <w:t xml:space="preserve">  </w:t>
      </w:r>
    </w:p>
    <w:p w14:paraId="68C53FEB" w14:textId="77777777" w:rsidR="00F30A4C" w:rsidRDefault="00F30A4C" w:rsidP="00F30A4C">
      <w:pPr>
        <w:pStyle w:val="Heading5"/>
      </w:pPr>
      <w:r>
        <w:t>Transferring employees – processes begun before transition time</w:t>
      </w:r>
    </w:p>
    <w:p w14:paraId="723213AD" w14:textId="77777777" w:rsidR="00B97FA8" w:rsidRDefault="00F30A4C" w:rsidP="000F194A">
      <w:pPr>
        <w:pStyle w:val="base-text-paragraph"/>
      </w:pPr>
      <w:r>
        <w:t xml:space="preserve"> </w:t>
      </w:r>
      <w:r w:rsidR="00B97FA8">
        <w:t xml:space="preserve">Rules made under item </w:t>
      </w:r>
      <w:r w:rsidR="00FB0F45">
        <w:t>34</w:t>
      </w:r>
      <w:r w:rsidR="00B97FA8">
        <w:t xml:space="preserve"> may provide for </w:t>
      </w:r>
      <w:r w:rsidR="00643498">
        <w:t>‘</w:t>
      </w:r>
      <w:r w:rsidR="00B97FA8" w:rsidRPr="00276616">
        <w:t>staffing</w:t>
      </w:r>
      <w:r w:rsidR="00B97FA8" w:rsidRPr="00643498">
        <w:t xml:space="preserve"> </w:t>
      </w:r>
      <w:r w:rsidR="00B97FA8" w:rsidRPr="00276616">
        <w:t>procedures</w:t>
      </w:r>
      <w:r w:rsidR="00643498">
        <w:t>’</w:t>
      </w:r>
      <w:r w:rsidR="00B97FA8">
        <w:t xml:space="preserve"> of the Council and APRA to apply, or to continue to apply, in relation to:</w:t>
      </w:r>
    </w:p>
    <w:p w14:paraId="0629D6FA" w14:textId="77777777" w:rsidR="00B97FA8" w:rsidRDefault="00B97FA8" w:rsidP="00B97FA8">
      <w:pPr>
        <w:pStyle w:val="dotpoint"/>
      </w:pPr>
      <w:r>
        <w:t>processes begun before, but not completed by, the transition time; or</w:t>
      </w:r>
    </w:p>
    <w:p w14:paraId="0E28E381" w14:textId="77777777" w:rsidR="00B97FA8" w:rsidRDefault="00B97FA8" w:rsidP="00B97FA8">
      <w:pPr>
        <w:pStyle w:val="dotpoint"/>
      </w:pPr>
      <w:r>
        <w:t>things done by, for or in relation to the Council or a transferring employee before that time.</w:t>
      </w:r>
      <w:r w:rsidR="00247713">
        <w:t xml:space="preserve"> </w:t>
      </w:r>
      <w:r w:rsidR="00247713" w:rsidRPr="00E464DC">
        <w:rPr>
          <w:rStyle w:val="Referencingstyle"/>
        </w:rPr>
        <w:t xml:space="preserve">[Schedule </w:t>
      </w:r>
      <w:r w:rsidR="00247713">
        <w:rPr>
          <w:rStyle w:val="Referencingstyle"/>
        </w:rPr>
        <w:t>2</w:t>
      </w:r>
      <w:r w:rsidR="00247713" w:rsidRPr="00E464DC">
        <w:rPr>
          <w:rStyle w:val="Referencingstyle"/>
        </w:rPr>
        <w:t xml:space="preserve">, Part </w:t>
      </w:r>
      <w:r w:rsidR="00247713">
        <w:rPr>
          <w:rStyle w:val="Referencingstyle"/>
        </w:rPr>
        <w:t>3</w:t>
      </w:r>
      <w:r w:rsidR="00247713" w:rsidRPr="00E464DC">
        <w:rPr>
          <w:rStyle w:val="Referencingstyle"/>
        </w:rPr>
        <w:t>,</w:t>
      </w:r>
      <w:r w:rsidR="00247713">
        <w:rPr>
          <w:rStyle w:val="Referencingstyle"/>
        </w:rPr>
        <w:t xml:space="preserve"> item</w:t>
      </w:r>
      <w:r w:rsidR="00B26030">
        <w:rPr>
          <w:rStyle w:val="Referencingstyle"/>
        </w:rPr>
        <w:t> 34</w:t>
      </w:r>
      <w:r w:rsidR="00247713" w:rsidRPr="00E464DC">
        <w:rPr>
          <w:rStyle w:val="Referencingstyle"/>
        </w:rPr>
        <w:t>]</w:t>
      </w:r>
      <w:r w:rsidR="00247713">
        <w:t xml:space="preserve">  </w:t>
      </w:r>
    </w:p>
    <w:p w14:paraId="51AC858F" w14:textId="77777777" w:rsidR="00B97FA8" w:rsidRDefault="00B97FA8" w:rsidP="000F194A">
      <w:pPr>
        <w:pStyle w:val="base-text-paragraph"/>
      </w:pPr>
      <w:r w:rsidRPr="00B97FA8">
        <w:rPr>
          <w:b/>
          <w:i/>
        </w:rPr>
        <w:t>Staffing</w:t>
      </w:r>
      <w:r>
        <w:t xml:space="preserve"> </w:t>
      </w:r>
      <w:r w:rsidRPr="00B97FA8">
        <w:rPr>
          <w:b/>
          <w:i/>
        </w:rPr>
        <w:t>procedures</w:t>
      </w:r>
      <w:r>
        <w:t xml:space="preserve"> includes procedures and policies related to:</w:t>
      </w:r>
    </w:p>
    <w:p w14:paraId="628C938B" w14:textId="77777777" w:rsidR="00B97FA8" w:rsidRDefault="00B97FA8" w:rsidP="00B97FA8">
      <w:pPr>
        <w:pStyle w:val="dotpoint"/>
      </w:pPr>
      <w:r>
        <w:t>recruitment, promotion or performance management; or</w:t>
      </w:r>
    </w:p>
    <w:p w14:paraId="4605181B" w14:textId="77777777" w:rsidR="00B97FA8" w:rsidRDefault="00B97FA8" w:rsidP="00B97FA8">
      <w:pPr>
        <w:pStyle w:val="dotpoint"/>
      </w:pPr>
      <w:r>
        <w:t>inefficiency, misconduct, forfeiture of position, fitness for duty or loss of essential qualifications; or</w:t>
      </w:r>
    </w:p>
    <w:p w14:paraId="4C7AB121" w14:textId="77777777" w:rsidR="00B97FA8" w:rsidRDefault="00B97FA8" w:rsidP="00B97FA8">
      <w:pPr>
        <w:pStyle w:val="dotpoint"/>
      </w:pPr>
      <w:r>
        <w:t>disciplinary action, grievance processes or reviews of or appeals</w:t>
      </w:r>
      <w:r w:rsidR="00986A01">
        <w:t xml:space="preserve"> against staffing decisions; or</w:t>
      </w:r>
    </w:p>
    <w:p w14:paraId="19EA195B" w14:textId="77777777" w:rsidR="00986A01" w:rsidRDefault="00986A01" w:rsidP="00B97FA8">
      <w:pPr>
        <w:pStyle w:val="dotpoint"/>
      </w:pPr>
      <w:r>
        <w:t>transfers, resignations or termination of employment; or</w:t>
      </w:r>
    </w:p>
    <w:p w14:paraId="44DB6DC8" w14:textId="77777777" w:rsidR="00986A01" w:rsidRDefault="00986A01" w:rsidP="00B97FA8">
      <w:pPr>
        <w:pStyle w:val="dotpoint"/>
      </w:pPr>
      <w:r>
        <w:t>leave.</w:t>
      </w:r>
      <w:r w:rsidR="00B26030">
        <w:t xml:space="preserve"> </w:t>
      </w:r>
      <w:r w:rsidR="00B26030" w:rsidRPr="00E464DC">
        <w:rPr>
          <w:rStyle w:val="Referencingstyle"/>
        </w:rPr>
        <w:t xml:space="preserve">[Schedule </w:t>
      </w:r>
      <w:r w:rsidR="00B26030">
        <w:rPr>
          <w:rStyle w:val="Referencingstyle"/>
        </w:rPr>
        <w:t>2</w:t>
      </w:r>
      <w:r w:rsidR="00B26030" w:rsidRPr="00E464DC">
        <w:rPr>
          <w:rStyle w:val="Referencingstyle"/>
        </w:rPr>
        <w:t xml:space="preserve">, Part </w:t>
      </w:r>
      <w:r w:rsidR="00B26030">
        <w:rPr>
          <w:rStyle w:val="Referencingstyle"/>
        </w:rPr>
        <w:t>3</w:t>
      </w:r>
      <w:r w:rsidR="00B26030" w:rsidRPr="00E464DC">
        <w:rPr>
          <w:rStyle w:val="Referencingstyle"/>
        </w:rPr>
        <w:t>,</w:t>
      </w:r>
      <w:r w:rsidR="00B26030">
        <w:rPr>
          <w:rStyle w:val="Referencingstyle"/>
        </w:rPr>
        <w:t xml:space="preserve"> subitem 34(2)</w:t>
      </w:r>
      <w:r w:rsidR="00B26030" w:rsidRPr="00E464DC">
        <w:rPr>
          <w:rStyle w:val="Referencingstyle"/>
        </w:rPr>
        <w:t>]</w:t>
      </w:r>
      <w:r w:rsidR="00B26030">
        <w:t xml:space="preserve">  </w:t>
      </w:r>
    </w:p>
    <w:p w14:paraId="310F7490" w14:textId="77777777" w:rsidR="00986A01" w:rsidRDefault="00986A01" w:rsidP="00986A01">
      <w:pPr>
        <w:pStyle w:val="Heading5"/>
      </w:pPr>
      <w:r>
        <w:t>Safety, Rehabilitation and Compensation Act 1998 – rehabilitation provisions</w:t>
      </w:r>
    </w:p>
    <w:p w14:paraId="38F78929" w14:textId="77777777" w:rsidR="00A02B4B" w:rsidRDefault="00B26030" w:rsidP="000F194A">
      <w:pPr>
        <w:pStyle w:val="base-text-paragraph"/>
      </w:pPr>
      <w:r>
        <w:t xml:space="preserve">Item </w:t>
      </w:r>
      <w:r w:rsidR="00F31F07">
        <w:t>35</w:t>
      </w:r>
      <w:r>
        <w:t xml:space="preserve"> provides that the </w:t>
      </w:r>
      <w:r w:rsidRPr="007543D7">
        <w:rPr>
          <w:i/>
        </w:rPr>
        <w:t>Safety, Rehabilitation and Compensation Act 1988</w:t>
      </w:r>
      <w:r>
        <w:t xml:space="preserve"> (the SRC Act) applies to an employee of the </w:t>
      </w:r>
      <w:r w:rsidR="00F31F07">
        <w:t>Council</w:t>
      </w:r>
      <w:r>
        <w:t xml:space="preserve">, who suffered an injury before the </w:t>
      </w:r>
      <w:r w:rsidR="00F31F07">
        <w:t>transition t</w:t>
      </w:r>
      <w:r>
        <w:t xml:space="preserve">ime, as if the employee had been an employee of </w:t>
      </w:r>
      <w:r w:rsidR="00F31F07">
        <w:t>APRA</w:t>
      </w:r>
      <w:r>
        <w:t xml:space="preserve">. </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item 35</w:t>
      </w:r>
      <w:r w:rsidR="00D4692A" w:rsidRPr="00E464DC">
        <w:rPr>
          <w:rStyle w:val="Referencingstyle"/>
        </w:rPr>
        <w:t>]</w:t>
      </w:r>
    </w:p>
    <w:p w14:paraId="0B55C35D" w14:textId="77777777" w:rsidR="00B26030" w:rsidRDefault="00A02B4B" w:rsidP="000F194A">
      <w:pPr>
        <w:pStyle w:val="base-text-paragraph"/>
      </w:pPr>
      <w:r>
        <w:t xml:space="preserve">An employee of the Council under subsection 273-15(1) of the PHI Act at any time, regardless of whether </w:t>
      </w:r>
      <w:r w:rsidR="00F31F07">
        <w:t>or not the person is a transferring employee</w:t>
      </w:r>
      <w:r>
        <w:t>, or an employee of the Council within the meaning of the SRC Act are covered.</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item 35</w:t>
      </w:r>
      <w:r w:rsidR="00D4692A" w:rsidRPr="00E464DC">
        <w:rPr>
          <w:rStyle w:val="Referencingstyle"/>
        </w:rPr>
        <w:t>]</w:t>
      </w:r>
    </w:p>
    <w:p w14:paraId="7434759D" w14:textId="77777777" w:rsidR="00B26030" w:rsidRPr="00DF36A3" w:rsidRDefault="00B26030" w:rsidP="000F194A">
      <w:pPr>
        <w:pStyle w:val="base-text-paragraph"/>
      </w:pPr>
      <w:r>
        <w:t xml:space="preserve">The item ensures that </w:t>
      </w:r>
      <w:r w:rsidR="00F31F07">
        <w:t>APRA</w:t>
      </w:r>
      <w:r>
        <w:t xml:space="preserve"> is the relevant employer of employees of the </w:t>
      </w:r>
      <w:r w:rsidR="00F31F07">
        <w:t>Council</w:t>
      </w:r>
      <w:r>
        <w:t xml:space="preserve"> (including employees who ceased employment with the </w:t>
      </w:r>
      <w:r w:rsidR="00F31F07">
        <w:t>Council</w:t>
      </w:r>
      <w:r>
        <w:t xml:space="preserve"> before the commencement time) in respect of an injury within the meaning of the SRC Act sustained before the commencement time.  </w:t>
      </w:r>
    </w:p>
    <w:p w14:paraId="1B90F608" w14:textId="77777777" w:rsidR="00DF36A3" w:rsidRDefault="00DF36A3" w:rsidP="00DF36A3">
      <w:pPr>
        <w:pStyle w:val="Heading5"/>
      </w:pPr>
      <w:r>
        <w:t>No transfer of Council officers or consultants</w:t>
      </w:r>
    </w:p>
    <w:p w14:paraId="233B5D43" w14:textId="77777777" w:rsidR="00696892" w:rsidRDefault="00696892" w:rsidP="000F194A">
      <w:pPr>
        <w:pStyle w:val="base-text-paragraph"/>
      </w:pPr>
      <w:r>
        <w:t xml:space="preserve">A </w:t>
      </w:r>
      <w:r w:rsidRPr="00696892">
        <w:t>Council officer</w:t>
      </w:r>
      <w:r>
        <w:t xml:space="preserve"> includes:</w:t>
      </w:r>
    </w:p>
    <w:p w14:paraId="37758A57" w14:textId="77777777" w:rsidR="000C41D1" w:rsidRDefault="00696892" w:rsidP="00696892">
      <w:pPr>
        <w:pStyle w:val="dotpoint"/>
      </w:pPr>
      <w:r>
        <w:t>the</w:t>
      </w:r>
      <w:r w:rsidR="000C41D1">
        <w:t xml:space="preserve"> Commissioner of Private Health Insurance Administration;</w:t>
      </w:r>
    </w:p>
    <w:p w14:paraId="3348EB85" w14:textId="77777777" w:rsidR="000C41D1" w:rsidRDefault="000C41D1" w:rsidP="00696892">
      <w:pPr>
        <w:pStyle w:val="dotpoint"/>
      </w:pPr>
      <w:r>
        <w:t>any other member of the Council;</w:t>
      </w:r>
    </w:p>
    <w:p w14:paraId="0F8024D6" w14:textId="77777777" w:rsidR="000C41D1" w:rsidRDefault="000C41D1" w:rsidP="00696892">
      <w:pPr>
        <w:pStyle w:val="dotpoint"/>
      </w:pPr>
      <w:r>
        <w:t>the Chief Executive Officer of the Council.</w:t>
      </w:r>
      <w:r w:rsidR="00D4692A" w:rsidRPr="00D4692A">
        <w:rPr>
          <w:rStyle w:val="Referencingstyle"/>
        </w:rPr>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36(2)</w:t>
      </w:r>
      <w:r w:rsidR="00D4692A" w:rsidRPr="00E464DC">
        <w:rPr>
          <w:rStyle w:val="Referencingstyle"/>
        </w:rPr>
        <w:t>]</w:t>
      </w:r>
    </w:p>
    <w:p w14:paraId="4211DF36" w14:textId="77777777" w:rsidR="00507F25" w:rsidRDefault="00507F25" w:rsidP="000F194A">
      <w:pPr>
        <w:pStyle w:val="base-text-paragraph"/>
      </w:pPr>
      <w:r>
        <w:t xml:space="preserve"> Nothing in </w:t>
      </w:r>
      <w:r w:rsidR="0054785E">
        <w:t>this Part</w:t>
      </w:r>
      <w:r>
        <w:t xml:space="preserve"> provides that the appointment of a Council officer immediately before the transition time </w:t>
      </w:r>
      <w:r w:rsidR="00B45D3E">
        <w:t>has effect at or after the transition time as if it were an appointment of the person in relation to APRA or the Commonwealth.</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item 36</w:t>
      </w:r>
      <w:r w:rsidR="00D4692A" w:rsidRPr="00E464DC">
        <w:rPr>
          <w:rStyle w:val="Referencingstyle"/>
        </w:rPr>
        <w:t>]</w:t>
      </w:r>
    </w:p>
    <w:p w14:paraId="42AD00AB" w14:textId="77777777" w:rsidR="00B45D3E" w:rsidRDefault="00B45D3E" w:rsidP="000F194A">
      <w:pPr>
        <w:pStyle w:val="base-text-paragraph"/>
      </w:pPr>
      <w:r>
        <w:t xml:space="preserve">Similarly, </w:t>
      </w:r>
      <w:r w:rsidR="00FC0C94">
        <w:t xml:space="preserve">nothing in </w:t>
      </w:r>
      <w:r w:rsidR="0054785E">
        <w:t>this Part</w:t>
      </w:r>
      <w:r w:rsidR="00FC0C94">
        <w:t xml:space="preserve"> provides that a person engaged as a consultant to the Council under subsection 273</w:t>
      </w:r>
      <w:r w:rsidR="00FC0C94">
        <w:noBreakHyphen/>
        <w:t>15(3) of the PHI Act immediately before the transition time becomes engaged at or after the transition time as a consultant under subsection 47(1) of the APRA Act.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item 36</w:t>
      </w:r>
      <w:r w:rsidR="00D4692A" w:rsidRPr="00E464DC">
        <w:rPr>
          <w:rStyle w:val="Referencingstyle"/>
        </w:rPr>
        <w:t>]</w:t>
      </w:r>
    </w:p>
    <w:p w14:paraId="01FF891A" w14:textId="77777777" w:rsidR="00867D79" w:rsidRDefault="00867D79" w:rsidP="00867D79">
      <w:pPr>
        <w:pStyle w:val="Heading4"/>
      </w:pPr>
      <w:r>
        <w:t>Division 5 - Annual reporting obligation</w:t>
      </w:r>
    </w:p>
    <w:p w14:paraId="433B49EA" w14:textId="77777777" w:rsidR="00867D79" w:rsidRDefault="00867D79" w:rsidP="00867D79">
      <w:pPr>
        <w:pStyle w:val="Heading5"/>
      </w:pPr>
      <w:r>
        <w:t>Final annual report for the Council</w:t>
      </w:r>
    </w:p>
    <w:p w14:paraId="548F7AF0" w14:textId="77777777" w:rsidR="00867D79" w:rsidRDefault="0085603A" w:rsidP="000F194A">
      <w:pPr>
        <w:pStyle w:val="base-text-paragraph"/>
      </w:pPr>
      <w:r>
        <w:t xml:space="preserve">APRA will </w:t>
      </w:r>
      <w:r w:rsidR="002F1026">
        <w:t>as</w:t>
      </w:r>
      <w:r w:rsidR="00970FD0">
        <w:t>s</w:t>
      </w:r>
      <w:r w:rsidR="002F1026">
        <w:t xml:space="preserve">ume </w:t>
      </w:r>
      <w:r>
        <w:t xml:space="preserve">the </w:t>
      </w:r>
      <w:r w:rsidR="002F1026">
        <w:t>residual</w:t>
      </w:r>
      <w:r>
        <w:t xml:space="preserve"> annual reporting obligation </w:t>
      </w:r>
      <w:r w:rsidR="00F2609A">
        <w:t xml:space="preserve">of the Council.  In doing so, the Chair of APRA must prepare and give a report (the </w:t>
      </w:r>
      <w:r w:rsidR="00F2609A" w:rsidRPr="00F2609A">
        <w:rPr>
          <w:b/>
          <w:i/>
        </w:rPr>
        <w:t>final report</w:t>
      </w:r>
      <w:r w:rsidR="00F2609A">
        <w:t xml:space="preserve">) on the activities of the Council during the </w:t>
      </w:r>
      <w:r w:rsidR="00F2609A" w:rsidRPr="00F2609A">
        <w:rPr>
          <w:b/>
          <w:i/>
        </w:rPr>
        <w:t>final reporting period</w:t>
      </w:r>
      <w:r w:rsidR="00F2609A">
        <w:t xml:space="preserve"> to the APRA Minister for presentation to the Parliament.</w:t>
      </w:r>
      <w:r w:rsidR="00D4692A" w:rsidRPr="00D4692A">
        <w:rPr>
          <w:rStyle w:val="Referencingstyle"/>
        </w:rPr>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item 37</w:t>
      </w:r>
      <w:r w:rsidR="00D4692A" w:rsidRPr="00E464DC">
        <w:rPr>
          <w:rStyle w:val="Referencingstyle"/>
        </w:rPr>
        <w:t>]</w:t>
      </w:r>
    </w:p>
    <w:p w14:paraId="1F6C2D5E" w14:textId="77777777" w:rsidR="0085603A" w:rsidRDefault="00F2609A" w:rsidP="00D44BA5">
      <w:pPr>
        <w:pStyle w:val="base-text-paragraph"/>
        <w:keepNext/>
        <w:keepLines/>
      </w:pPr>
      <w:r>
        <w:t xml:space="preserve">The </w:t>
      </w:r>
      <w:r w:rsidRPr="00F2609A">
        <w:rPr>
          <w:b/>
          <w:i/>
        </w:rPr>
        <w:t>final reporting period</w:t>
      </w:r>
      <w:r>
        <w:t xml:space="preserve"> is de</w:t>
      </w:r>
      <w:r w:rsidR="00497FDE">
        <w:t>fined as the period:</w:t>
      </w:r>
    </w:p>
    <w:p w14:paraId="1415435F" w14:textId="77777777" w:rsidR="00497FDE" w:rsidRDefault="00497FDE" w:rsidP="00D44BA5">
      <w:pPr>
        <w:pStyle w:val="dotpoint"/>
        <w:keepNext/>
        <w:keepLines/>
      </w:pPr>
      <w:r>
        <w:t>beginning:</w:t>
      </w:r>
    </w:p>
    <w:p w14:paraId="0EC64D49" w14:textId="77777777" w:rsidR="00497FDE" w:rsidRDefault="00497FDE" w:rsidP="00D44BA5">
      <w:pPr>
        <w:pStyle w:val="dotpoint2"/>
        <w:keepNext/>
        <w:keepLines/>
      </w:pPr>
      <w:r>
        <w:t xml:space="preserve">if, by the transition time, no annual report for the Council has been given to the </w:t>
      </w:r>
      <w:r w:rsidR="000A692D">
        <w:t xml:space="preserve">Health </w:t>
      </w:r>
      <w:r>
        <w:t xml:space="preserve">Minister for the most recent reporting period for the Council that ended before the transition time </w:t>
      </w:r>
      <w:r w:rsidR="005A780C">
        <w:t>– at the start of that reporting period; or</w:t>
      </w:r>
    </w:p>
    <w:p w14:paraId="688F9EB7" w14:textId="77777777" w:rsidR="005A780C" w:rsidRDefault="005A780C" w:rsidP="00497FDE">
      <w:pPr>
        <w:pStyle w:val="dotpoint2"/>
      </w:pPr>
      <w:r>
        <w:t>otherwise – at the start of the reporting period for the Council that includes the transition time; and</w:t>
      </w:r>
    </w:p>
    <w:p w14:paraId="68C8D155" w14:textId="77777777" w:rsidR="005A780C" w:rsidRDefault="005A780C" w:rsidP="005A780C">
      <w:pPr>
        <w:pStyle w:val="dotpoint"/>
      </w:pPr>
      <w:r>
        <w:t>ending immediately before the transition time.</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37(6)</w:t>
      </w:r>
      <w:r w:rsidR="00D4692A" w:rsidRPr="00E464DC">
        <w:rPr>
          <w:rStyle w:val="Referencingstyle"/>
        </w:rPr>
        <w:t>]</w:t>
      </w:r>
    </w:p>
    <w:p w14:paraId="7B139792" w14:textId="77777777" w:rsidR="002F1026" w:rsidRDefault="002F1026" w:rsidP="000F194A">
      <w:pPr>
        <w:pStyle w:val="base-text-paragraph"/>
      </w:pPr>
      <w:r>
        <w:t>In practice this means that if the transition day is 1 July 2015, APRA will fulfil the requirement to publish an annual report in respect of the 2014-15 financial year on behalf of the Council. If the transition time is later but before the Council has given its 2015-15 annual report to the Health Minister (for example, a transition day of 1 September 2015) then APRA will prepare a final report on behalf of the Council covering the period from 1 July 2014 to the transition day (in the example, 1 July 2014 to 31 August 2015). If the transition time is after the Council has provided its 2014-15 annual report to the Health Minister, APRA will prepare a final report for the period 1 July 2015 to the end of the day that is immediately before the transition time.</w:t>
      </w:r>
    </w:p>
    <w:p w14:paraId="39AAB93F" w14:textId="77777777" w:rsidR="000173C1" w:rsidRDefault="000173C1" w:rsidP="000F194A">
      <w:pPr>
        <w:pStyle w:val="base-text-paragraph"/>
      </w:pPr>
      <w:r>
        <w:t>Sections 39, 40, 42, 43 and 46 of the</w:t>
      </w:r>
      <w:r>
        <w:rPr>
          <w:i/>
        </w:rPr>
        <w:t xml:space="preserve"> Public Governance, Performance and Accountability Act 2013</w:t>
      </w:r>
      <w:r>
        <w:t>, and associated rules made for the purposes of those sections, apply in relation to the Council and the final reporting as if references in those sections and rules:</w:t>
      </w:r>
    </w:p>
    <w:p w14:paraId="65916D71" w14:textId="77777777" w:rsidR="000173C1" w:rsidRDefault="000173C1" w:rsidP="000173C1">
      <w:pPr>
        <w:pStyle w:val="dotpoint"/>
      </w:pPr>
      <w:r>
        <w:t xml:space="preserve">to an </w:t>
      </w:r>
      <w:r w:rsidRPr="00D24A9B">
        <w:rPr>
          <w:b/>
          <w:i/>
        </w:rPr>
        <w:t>annual report</w:t>
      </w:r>
      <w:r>
        <w:t xml:space="preserve"> for a Commonwealth entity were references to the final report; and</w:t>
      </w:r>
    </w:p>
    <w:p w14:paraId="172073CD" w14:textId="77777777" w:rsidR="000173C1" w:rsidRDefault="000173C1" w:rsidP="000173C1">
      <w:pPr>
        <w:pStyle w:val="dotpoint"/>
      </w:pPr>
      <w:r>
        <w:t xml:space="preserve">to a </w:t>
      </w:r>
      <w:r w:rsidRPr="00D24A9B">
        <w:rPr>
          <w:b/>
          <w:i/>
        </w:rPr>
        <w:t>reporting period</w:t>
      </w:r>
      <w:r>
        <w:t xml:space="preserve"> for a Commonwealth entity were references to the final reporting period; and</w:t>
      </w:r>
    </w:p>
    <w:p w14:paraId="53073A97" w14:textId="77777777" w:rsidR="000173C1" w:rsidRDefault="000173C1" w:rsidP="000173C1">
      <w:pPr>
        <w:pStyle w:val="dotpoint"/>
      </w:pPr>
      <w:r>
        <w:t>to a Commonwealth entity were references to the Council; and</w:t>
      </w:r>
    </w:p>
    <w:p w14:paraId="575F98C2" w14:textId="77777777" w:rsidR="000173C1" w:rsidRDefault="000173C1" w:rsidP="000173C1">
      <w:pPr>
        <w:pStyle w:val="dotpoint"/>
      </w:pPr>
      <w:r>
        <w:t>to the accountable authority for a Commonwealth entity were references to the Chair of APRA; and</w:t>
      </w:r>
    </w:p>
    <w:p w14:paraId="09742585" w14:textId="77777777" w:rsidR="000173C1" w:rsidRDefault="000173C1" w:rsidP="000173C1">
      <w:pPr>
        <w:pStyle w:val="dotpoint"/>
      </w:pPr>
      <w:r>
        <w:t>to the responsible Minister for a Commonwealth entity were references to the APRA Minister.</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37(2)</w:t>
      </w:r>
      <w:r w:rsidR="00D4692A" w:rsidRPr="00E464DC">
        <w:rPr>
          <w:rStyle w:val="Referencingstyle"/>
        </w:rPr>
        <w:t>]</w:t>
      </w:r>
    </w:p>
    <w:p w14:paraId="47D00707" w14:textId="77777777" w:rsidR="005A780C" w:rsidRDefault="005A780C" w:rsidP="000F194A">
      <w:pPr>
        <w:pStyle w:val="base-text-paragraph"/>
      </w:pPr>
      <w:r>
        <w:t xml:space="preserve">A </w:t>
      </w:r>
      <w:r w:rsidRPr="000A692D">
        <w:rPr>
          <w:b/>
          <w:i/>
        </w:rPr>
        <w:t>reporting period</w:t>
      </w:r>
      <w:r>
        <w:t xml:space="preserve"> for the Council means the reporting period for the Council under the Public Governance, </w:t>
      </w:r>
      <w:r w:rsidRPr="000A692D">
        <w:rPr>
          <w:i/>
        </w:rPr>
        <w:t>Performance and Accountability Act 2013</w:t>
      </w:r>
      <w:r>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37(6)</w:t>
      </w:r>
      <w:r w:rsidR="00D4692A" w:rsidRPr="00E464DC">
        <w:rPr>
          <w:rStyle w:val="Referencingstyle"/>
        </w:rPr>
        <w:t>]</w:t>
      </w:r>
    </w:p>
    <w:p w14:paraId="12AA7BBA" w14:textId="77777777" w:rsidR="005A780C" w:rsidRPr="00D24A9B" w:rsidRDefault="0036531D" w:rsidP="000F194A">
      <w:pPr>
        <w:pStyle w:val="base-text-paragraph"/>
      </w:pPr>
      <w:r>
        <w:t xml:space="preserve">The </w:t>
      </w:r>
      <w:r w:rsidRPr="000A692D">
        <w:rPr>
          <w:b/>
          <w:i/>
        </w:rPr>
        <w:t>annual report</w:t>
      </w:r>
      <w:r>
        <w:t xml:space="preserve"> is a report under section 46 of the </w:t>
      </w:r>
      <w:r w:rsidRPr="0036531D">
        <w:t xml:space="preserve">Public Governance, </w:t>
      </w:r>
      <w:r w:rsidRPr="000A692D">
        <w:rPr>
          <w:i/>
        </w:rPr>
        <w:t>Performance and Accountability Act 2013</w:t>
      </w:r>
      <w:r w:rsidRPr="0036531D">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37(6)</w:t>
      </w:r>
      <w:r w:rsidR="00D4692A" w:rsidRPr="00E464DC">
        <w:rPr>
          <w:rStyle w:val="Referencingstyle"/>
        </w:rPr>
        <w:t>]</w:t>
      </w:r>
    </w:p>
    <w:p w14:paraId="31593C6D" w14:textId="77777777" w:rsidR="002F1026" w:rsidRPr="00D24A9B" w:rsidRDefault="002F1026" w:rsidP="000F194A">
      <w:pPr>
        <w:pStyle w:val="base-text-paragraph"/>
      </w:pPr>
      <w:r>
        <w:t>These provisions will ensure that both the financial reporting and report on operations are dealt with in the final annual report in the normal way.</w:t>
      </w:r>
    </w:p>
    <w:p w14:paraId="477001BB" w14:textId="77777777" w:rsidR="00D24A9B" w:rsidRDefault="00D96188" w:rsidP="000F194A">
      <w:pPr>
        <w:pStyle w:val="base-text-paragraph"/>
      </w:pPr>
      <w:r>
        <w:t>The Chair of APRA must give the final report to the APRA Minister by the 15</w:t>
      </w:r>
      <w:r w:rsidRPr="00D96188">
        <w:rPr>
          <w:vertAlign w:val="superscript"/>
        </w:rPr>
        <w:t>th</w:t>
      </w:r>
      <w:r>
        <w:t xml:space="preserve"> day of the fourth month after the end of the final reporting period. </w:t>
      </w:r>
      <w:r w:rsidR="002F1026">
        <w:t xml:space="preserve">As explained above, the end of the reporting period will be the end of the day that falls immediately before the transition time.  </w:t>
      </w:r>
      <w:r>
        <w:t>The APRA Minister may grant an extension of time in special circumstances.</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37(3)</w:t>
      </w:r>
      <w:r w:rsidR="00D4692A" w:rsidRPr="00E464DC">
        <w:rPr>
          <w:rStyle w:val="Referencingstyle"/>
        </w:rPr>
        <w:t>]</w:t>
      </w:r>
    </w:p>
    <w:p w14:paraId="2EFF3E7F" w14:textId="77777777" w:rsidR="00D96188" w:rsidRDefault="00D96188" w:rsidP="000F194A">
      <w:pPr>
        <w:pStyle w:val="base-text-paragraph"/>
      </w:pPr>
      <w:r>
        <w:t>As soon as possible after receiving the report, the APRA Minister must table the final report in each House of the Parliament.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37(4)</w:t>
      </w:r>
      <w:r w:rsidR="00D4692A" w:rsidRPr="00E464DC">
        <w:rPr>
          <w:rStyle w:val="Referencingstyle"/>
        </w:rPr>
        <w:t>]</w:t>
      </w:r>
    </w:p>
    <w:p w14:paraId="110D66A1" w14:textId="77777777" w:rsidR="00D96188" w:rsidRDefault="00D96188" w:rsidP="000F194A">
      <w:pPr>
        <w:pStyle w:val="base-text-paragraph"/>
      </w:pPr>
      <w:r>
        <w:t>Also, APRA must publish the final report on its website as soon as possible after the report has been tabled in the House of Representatives.</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3</w:t>
      </w:r>
      <w:r w:rsidR="00D4692A" w:rsidRPr="00E464DC">
        <w:rPr>
          <w:rStyle w:val="Referencingstyle"/>
        </w:rPr>
        <w:t>,</w:t>
      </w:r>
      <w:r w:rsidR="00D4692A">
        <w:rPr>
          <w:rStyle w:val="Referencingstyle"/>
        </w:rPr>
        <w:t xml:space="preserve"> subitem 37(5)</w:t>
      </w:r>
      <w:r w:rsidR="00D4692A" w:rsidRPr="00E464DC">
        <w:rPr>
          <w:rStyle w:val="Referencingstyle"/>
        </w:rPr>
        <w:t>]</w:t>
      </w:r>
    </w:p>
    <w:p w14:paraId="4A26F5D2" w14:textId="77777777" w:rsidR="00F5323F" w:rsidRDefault="00F5323F" w:rsidP="00F5323F">
      <w:pPr>
        <w:pStyle w:val="Heading3"/>
      </w:pPr>
      <w:r>
        <w:t xml:space="preserve">Part 4 – </w:t>
      </w:r>
      <w:r w:rsidR="00867D79">
        <w:t>Miscellaneous</w:t>
      </w:r>
    </w:p>
    <w:p w14:paraId="53B15021" w14:textId="77777777" w:rsidR="00C40DA1" w:rsidRDefault="00C40DA1" w:rsidP="00C40DA1">
      <w:pPr>
        <w:pStyle w:val="Heading5"/>
      </w:pPr>
      <w:r>
        <w:t>Relationship</w:t>
      </w:r>
      <w:r w:rsidR="00237BBC">
        <w:t xml:space="preserve"> between Part 3 and other provisions</w:t>
      </w:r>
    </w:p>
    <w:p w14:paraId="545BEFD5" w14:textId="77777777" w:rsidR="00D70461" w:rsidRDefault="00F725B7" w:rsidP="000F194A">
      <w:pPr>
        <w:pStyle w:val="base-text-paragraph"/>
      </w:pPr>
      <w:r>
        <w:t xml:space="preserve">The general transitional provisions in </w:t>
      </w:r>
      <w:r w:rsidR="00237BBC">
        <w:t xml:space="preserve">Part 3 </w:t>
      </w:r>
      <w:r>
        <w:t xml:space="preserve">of Schedule 2 </w:t>
      </w:r>
      <w:r w:rsidR="00237BBC">
        <w:t>ha</w:t>
      </w:r>
      <w:r>
        <w:t>ve</w:t>
      </w:r>
      <w:r w:rsidR="00237BBC">
        <w:t xml:space="preserve"> effect subject to </w:t>
      </w:r>
      <w:r>
        <w:t xml:space="preserve">the more specific transitional provisions in </w:t>
      </w:r>
      <w:r w:rsidR="00237BBC">
        <w:t xml:space="preserve">Part 2 and </w:t>
      </w:r>
      <w:r w:rsidR="001535D1">
        <w:t>any rules made under item 43</w:t>
      </w:r>
      <w:r w:rsidR="00237BBC">
        <w:t xml:space="preserve">. </w:t>
      </w:r>
      <w:r w:rsidR="00D70461">
        <w:t>Part 2 outlines the transitional provisions which preserve</w:t>
      </w:r>
      <w:r>
        <w:t>, among other things,</w:t>
      </w:r>
      <w:r w:rsidR="00D70461">
        <w:t xml:space="preserve"> legal actions </w:t>
      </w:r>
      <w:r>
        <w:t xml:space="preserve">(including injunction applications and proceedings for a pecuniary penalty) </w:t>
      </w:r>
      <w:r w:rsidR="00D70461">
        <w:t>undertaken under the PHI Act immediately before the transition time</w:t>
      </w:r>
      <w:r>
        <w:t xml:space="preserve">.  </w:t>
      </w:r>
      <w:r w:rsidR="00985CDB">
        <w:t>T</w:t>
      </w:r>
      <w:r>
        <w:t>hese will be</w:t>
      </w:r>
      <w:r w:rsidR="00D70461">
        <w:t xml:space="preserve"> taken </w:t>
      </w:r>
      <w:r w:rsidR="00985CDB">
        <w:t>over</w:t>
      </w:r>
      <w:r w:rsidR="00D70461">
        <w:t xml:space="preserve"> </w:t>
      </w:r>
      <w:r>
        <w:t xml:space="preserve">by APRA </w:t>
      </w:r>
      <w:r w:rsidR="00D70461">
        <w:t xml:space="preserve">under equivalent provisions in the </w:t>
      </w:r>
      <w:r w:rsidR="00E9202F">
        <w:t>Prudential Supervision Bill</w:t>
      </w:r>
      <w:r w:rsidR="00985CDB">
        <w:t>, or modified provisions of the PHI Act,</w:t>
      </w:r>
      <w:r>
        <w:t xml:space="preserve"> but this will be achieved by the specific provisions in Part 2 and not by the general provisions relating to court proceedings in Part 3</w:t>
      </w:r>
      <w:r w:rsidR="00D70461">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38</w:t>
      </w:r>
      <w:r w:rsidR="00D4692A" w:rsidRPr="00E464DC">
        <w:rPr>
          <w:rStyle w:val="Referencingstyle"/>
        </w:rPr>
        <w:t>]</w:t>
      </w:r>
    </w:p>
    <w:p w14:paraId="660CA328" w14:textId="77777777" w:rsidR="00237BBC" w:rsidRDefault="00237BBC" w:rsidP="00237BBC">
      <w:pPr>
        <w:pStyle w:val="Heading5"/>
      </w:pPr>
      <w:r>
        <w:t>Exemption from stamp duty and other State or Territory taxes</w:t>
      </w:r>
    </w:p>
    <w:p w14:paraId="0DDC1B23" w14:textId="77777777" w:rsidR="00D70461" w:rsidRDefault="00D70461" w:rsidP="000F194A">
      <w:pPr>
        <w:pStyle w:val="base-text-paragraph"/>
      </w:pPr>
      <w:r>
        <w:t xml:space="preserve">Item </w:t>
      </w:r>
      <w:r w:rsidR="00D4692A">
        <w:t>39</w:t>
      </w:r>
      <w:r>
        <w:t xml:space="preserve"> provides that no stamp duty or other tax is payable under a law of a State or a Territory in respect of an exempt matter, or anything connected with an exempt matter.</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39</w:t>
      </w:r>
      <w:r w:rsidR="00D4692A" w:rsidRPr="00E464DC">
        <w:rPr>
          <w:rStyle w:val="Referencingstyle"/>
        </w:rPr>
        <w:t>]</w:t>
      </w:r>
    </w:p>
    <w:p w14:paraId="5009CCE1" w14:textId="77777777" w:rsidR="00237BBC" w:rsidRDefault="00D70461" w:rsidP="000F194A">
      <w:pPr>
        <w:pStyle w:val="base-text-paragraph"/>
      </w:pPr>
      <w:r>
        <w:t xml:space="preserve">For this purpose, an </w:t>
      </w:r>
      <w:r w:rsidRPr="00D70461">
        <w:rPr>
          <w:b/>
          <w:i/>
        </w:rPr>
        <w:t>exempt matter</w:t>
      </w:r>
      <w:r>
        <w:t xml:space="preserve"> is:</w:t>
      </w:r>
    </w:p>
    <w:p w14:paraId="2305B24D" w14:textId="77777777" w:rsidR="00D70461" w:rsidRDefault="00D70461" w:rsidP="00D70461">
      <w:pPr>
        <w:pStyle w:val="dotpoint"/>
      </w:pPr>
      <w:r>
        <w:t>the vesting of an asset or liability under this Schedule; or</w:t>
      </w:r>
    </w:p>
    <w:p w14:paraId="2C95F04B" w14:textId="77777777" w:rsidR="00D70461" w:rsidRDefault="00D70461" w:rsidP="00D70461">
      <w:pPr>
        <w:pStyle w:val="dotpoint"/>
      </w:pPr>
      <w:r>
        <w:t>the operation of this Schedule in any other respect.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39(2)</w:t>
      </w:r>
      <w:r w:rsidR="00D4692A" w:rsidRPr="00E464DC">
        <w:rPr>
          <w:rStyle w:val="Referencingstyle"/>
        </w:rPr>
        <w:t>]</w:t>
      </w:r>
    </w:p>
    <w:p w14:paraId="0F302931" w14:textId="77777777" w:rsidR="00D70461" w:rsidRDefault="00D70461" w:rsidP="000F194A">
      <w:pPr>
        <w:pStyle w:val="base-text-paragraph"/>
      </w:pPr>
      <w:r>
        <w:t>The APRA Minister may certify in writing:</w:t>
      </w:r>
    </w:p>
    <w:p w14:paraId="45A8FC44" w14:textId="77777777" w:rsidR="00D70461" w:rsidRDefault="00D70461" w:rsidP="00D70461">
      <w:pPr>
        <w:pStyle w:val="dotpoint"/>
      </w:pPr>
      <w:r>
        <w:t>that a specified matter is an exempt matter; or</w:t>
      </w:r>
    </w:p>
    <w:p w14:paraId="7EE290C5" w14:textId="77777777" w:rsidR="00D70461" w:rsidRDefault="00D70461" w:rsidP="00D70461">
      <w:pPr>
        <w:pStyle w:val="dotpoint"/>
      </w:pPr>
      <w:r>
        <w:t>that a specified thing was connected with a specified exempt matter.</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39(3)</w:t>
      </w:r>
      <w:r w:rsidR="00D4692A" w:rsidRPr="00E464DC">
        <w:rPr>
          <w:rStyle w:val="Referencingstyle"/>
        </w:rPr>
        <w:t>]</w:t>
      </w:r>
    </w:p>
    <w:p w14:paraId="54D8CE20" w14:textId="77777777" w:rsidR="00D70461" w:rsidRDefault="00D70461" w:rsidP="000F194A">
      <w:pPr>
        <w:pStyle w:val="base-text-paragraph"/>
      </w:pPr>
      <w:r>
        <w:t xml:space="preserve">A certificate under subitem 3 is not a legislative instrument </w:t>
      </w:r>
      <w:r w:rsidR="00985CDB">
        <w:t>within the meaning of the Legislative Instruments Act and there is a statement to this effect for information purposes. A certificate will be</w:t>
      </w:r>
      <w:r>
        <w:t xml:space="preserve"> prima facie evidence of the matters stated in the certificate in all courts, for all purposes (other than for the purposes of criminal proceedings).</w:t>
      </w:r>
      <w:r w:rsidR="00F725B7">
        <w:t xml:space="preserve"> The certificate is merely for evidentiary purposes and the making of a certificate is not a precondition for the application of the exemption from stamp duty and other tax as the exemption applies because of </w:t>
      </w:r>
      <w:r w:rsidR="00D4692A">
        <w:t>subitem 39</w:t>
      </w:r>
      <w:r w:rsidR="00F725B7">
        <w:t>(1).</w:t>
      </w:r>
    </w:p>
    <w:p w14:paraId="1C688582" w14:textId="77777777" w:rsidR="00237BBC" w:rsidRDefault="00237BBC" w:rsidP="00237BBC">
      <w:pPr>
        <w:pStyle w:val="Heading5"/>
      </w:pPr>
      <w:r>
        <w:t>Certificates taken to be authentic</w:t>
      </w:r>
    </w:p>
    <w:p w14:paraId="70D68492" w14:textId="77777777" w:rsidR="00850A97" w:rsidRDefault="00850A97" w:rsidP="000F194A">
      <w:pPr>
        <w:pStyle w:val="base-text-paragraph"/>
      </w:pPr>
      <w:r>
        <w:t>A document that appears to be a certificate made or issued under a particular provision of this Schedule is taken to be such a certificate and is taken to be properly given unless the contrary is established.</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40</w:t>
      </w:r>
      <w:r w:rsidR="00D4692A" w:rsidRPr="00E464DC">
        <w:rPr>
          <w:rStyle w:val="Referencingstyle"/>
        </w:rPr>
        <w:t>]</w:t>
      </w:r>
    </w:p>
    <w:p w14:paraId="70A8C5A7" w14:textId="77777777" w:rsidR="00D70461" w:rsidRDefault="00D70461" w:rsidP="00D70461">
      <w:pPr>
        <w:pStyle w:val="Heading5"/>
      </w:pPr>
      <w:r>
        <w:t>Delegation by APRA Minister</w:t>
      </w:r>
    </w:p>
    <w:p w14:paraId="15B3982C" w14:textId="77777777" w:rsidR="00D70461" w:rsidRDefault="00850A97" w:rsidP="000F194A">
      <w:pPr>
        <w:pStyle w:val="base-text-paragraph"/>
      </w:pPr>
      <w:r>
        <w:t>If required, the APRA Minister may delegate all or any of his or her powers and functions to:</w:t>
      </w:r>
    </w:p>
    <w:p w14:paraId="25E1973E" w14:textId="77777777" w:rsidR="00850A97" w:rsidRDefault="00850A97" w:rsidP="00850A97">
      <w:pPr>
        <w:pStyle w:val="dotpoint"/>
      </w:pPr>
      <w:r>
        <w:t>the Secretary of the Department responsible for administering the APRA Act; or</w:t>
      </w:r>
    </w:p>
    <w:p w14:paraId="5A73F565" w14:textId="77777777" w:rsidR="00850A97" w:rsidRDefault="00850A97" w:rsidP="00850A97">
      <w:pPr>
        <w:pStyle w:val="dotpoint"/>
      </w:pPr>
      <w:r>
        <w:t>an SES employee, or acting SES employee, in that Department.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41(1)</w:t>
      </w:r>
      <w:r w:rsidR="00D4692A" w:rsidRPr="00E464DC">
        <w:rPr>
          <w:rStyle w:val="Referencingstyle"/>
        </w:rPr>
        <w:t>]</w:t>
      </w:r>
    </w:p>
    <w:p w14:paraId="2D9A15A9" w14:textId="77777777" w:rsidR="00850A97" w:rsidRDefault="000A692D" w:rsidP="000F194A">
      <w:pPr>
        <w:pStyle w:val="base-text-paragraph"/>
      </w:pPr>
      <w:r>
        <w:t>‘</w:t>
      </w:r>
      <w:r w:rsidR="00850A97" w:rsidRPr="003626B5">
        <w:t>SES employee</w:t>
      </w:r>
      <w:r>
        <w:t>’</w:t>
      </w:r>
      <w:r w:rsidR="00850A97">
        <w:t xml:space="preserve"> and </w:t>
      </w:r>
      <w:r>
        <w:t>‘</w:t>
      </w:r>
      <w:r w:rsidR="00850A97" w:rsidRPr="003626B5">
        <w:t>acting SES employee</w:t>
      </w:r>
      <w:r>
        <w:t>’</w:t>
      </w:r>
      <w:r w:rsidR="00850A97">
        <w:t xml:space="preserve"> are defined in the </w:t>
      </w:r>
      <w:r w:rsidR="00850A97" w:rsidRPr="000A692D">
        <w:rPr>
          <w:i/>
        </w:rPr>
        <w:t>Acts Interpretation Act 1901</w:t>
      </w:r>
      <w:r w:rsidR="00850A97">
        <w:t>.</w:t>
      </w:r>
    </w:p>
    <w:p w14:paraId="0B3DB270" w14:textId="77777777" w:rsidR="00850A97" w:rsidRDefault="008D59FF" w:rsidP="000F194A">
      <w:pPr>
        <w:pStyle w:val="base-text-paragraph"/>
      </w:pPr>
      <w:r>
        <w:t>Any delegate of the APRA Minister must comply with any directions.</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41(2)</w:t>
      </w:r>
      <w:r w:rsidR="00D4692A" w:rsidRPr="00E464DC">
        <w:rPr>
          <w:rStyle w:val="Referencingstyle"/>
        </w:rPr>
        <w:t>]</w:t>
      </w:r>
    </w:p>
    <w:p w14:paraId="58F33573" w14:textId="77777777" w:rsidR="008D59FF" w:rsidRDefault="008D59FF" w:rsidP="000F194A">
      <w:pPr>
        <w:pStyle w:val="base-text-paragraph"/>
      </w:pPr>
      <w:r>
        <w:t>The delegation power of the APRA Minister does not apply to a power to make, vary or revoke a legislative instrument</w:t>
      </w:r>
      <w:r w:rsidR="00F725B7">
        <w:t xml:space="preserve"> (such as transitional rules under </w:t>
      </w:r>
      <w:r w:rsidR="00D4692A">
        <w:t>43</w:t>
      </w:r>
      <w:r w:rsidR="00F725B7">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41(3)</w:t>
      </w:r>
      <w:r w:rsidR="00D4692A" w:rsidRPr="00E464DC">
        <w:rPr>
          <w:rStyle w:val="Referencingstyle"/>
        </w:rPr>
        <w:t>]</w:t>
      </w:r>
    </w:p>
    <w:p w14:paraId="0556508D" w14:textId="77777777" w:rsidR="00D70461" w:rsidRDefault="00D70461" w:rsidP="00D70461">
      <w:pPr>
        <w:pStyle w:val="Heading5"/>
      </w:pPr>
      <w:r>
        <w:t>Compensation for acquisition of property</w:t>
      </w:r>
    </w:p>
    <w:p w14:paraId="5B5CE78B" w14:textId="77777777" w:rsidR="00D70461" w:rsidRDefault="005912A4" w:rsidP="000F194A">
      <w:pPr>
        <w:pStyle w:val="base-text-paragraph"/>
      </w:pPr>
      <w:r>
        <w:t xml:space="preserve">If the operation of </w:t>
      </w:r>
      <w:r w:rsidR="00607251">
        <w:t xml:space="preserve">the </w:t>
      </w:r>
      <w:r w:rsidR="00607251">
        <w:rPr>
          <w:lang w:val="en-US" w:eastAsia="en-US"/>
        </w:rPr>
        <w:t>Consequential Amendments and Transitional Provisions Bill</w:t>
      </w:r>
      <w:r w:rsidR="00607251">
        <w:t xml:space="preserve"> </w:t>
      </w:r>
      <w:r>
        <w:t>were to result in an acquisition of property (within the meaning of paragraph 51(xxxi) of the Constitution) from a person otherwise than on just terms (within the meaning of that paragraph), the Commonwealth is liable to pay a reasonable amount of compensation to the person.</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42</w:t>
      </w:r>
      <w:r w:rsidR="00D4692A" w:rsidRPr="00E464DC">
        <w:rPr>
          <w:rStyle w:val="Referencingstyle"/>
        </w:rPr>
        <w:t>]</w:t>
      </w:r>
    </w:p>
    <w:p w14:paraId="162BB3CA" w14:textId="77777777" w:rsidR="005912A4" w:rsidRDefault="005912A4" w:rsidP="000F194A">
      <w:pPr>
        <w:pStyle w:val="base-text-paragraph"/>
      </w:pPr>
      <w:r>
        <w:t>The person may institute proceedings in a court if the Commonwealth and the person cannot agree on the amount of the compensation.  The court would determine a reasonable amount of compensation and would recover the amount for the Commonwealth.</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42</w:t>
      </w:r>
      <w:r w:rsidR="00D4692A" w:rsidRPr="00E464DC">
        <w:rPr>
          <w:rStyle w:val="Referencingstyle"/>
        </w:rPr>
        <w:t>]</w:t>
      </w:r>
    </w:p>
    <w:p w14:paraId="259CFC44" w14:textId="77777777" w:rsidR="00D70461" w:rsidRDefault="00D70461" w:rsidP="00D70461">
      <w:pPr>
        <w:pStyle w:val="Heading5"/>
      </w:pPr>
      <w:r>
        <w:t>Transitional rules</w:t>
      </w:r>
    </w:p>
    <w:p w14:paraId="128672CE" w14:textId="77777777" w:rsidR="00D70461" w:rsidRDefault="00985CDB" w:rsidP="000F194A">
      <w:pPr>
        <w:pStyle w:val="base-text-paragraph"/>
      </w:pPr>
      <w:r>
        <w:t>T</w:t>
      </w:r>
      <w:r w:rsidR="008F1DE7">
        <w:t>he APRA Minister may, by legislative instrument, make rules regarding transitional matters relating to:</w:t>
      </w:r>
    </w:p>
    <w:p w14:paraId="4AEF01DB" w14:textId="77777777" w:rsidR="008F1DE7" w:rsidRDefault="008F1DE7" w:rsidP="00607251">
      <w:pPr>
        <w:pStyle w:val="dotpoint"/>
      </w:pPr>
      <w:r>
        <w:t xml:space="preserve">the amendments or repeals made by </w:t>
      </w:r>
      <w:r w:rsidR="00607251" w:rsidRPr="00607251">
        <w:t>the Consequential Amendments and Transitional Provisions Bill</w:t>
      </w:r>
      <w:r>
        <w:t>; or</w:t>
      </w:r>
    </w:p>
    <w:p w14:paraId="4E27112A" w14:textId="77777777" w:rsidR="008F1DE7" w:rsidRDefault="008F1DE7" w:rsidP="00607251">
      <w:pPr>
        <w:pStyle w:val="dotpoint"/>
      </w:pPr>
      <w:r>
        <w:t xml:space="preserve">the enactment of </w:t>
      </w:r>
      <w:r w:rsidR="00607251" w:rsidRPr="00607251">
        <w:t xml:space="preserve">the Consequential Amendments and Transitional Provisions Bill </w:t>
      </w:r>
      <w:r>
        <w:t xml:space="preserve">or the </w:t>
      </w:r>
      <w:r w:rsidR="00E9202F">
        <w:t>Prudential Supervision Bill</w:t>
      </w:r>
      <w:r>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item 43</w:t>
      </w:r>
      <w:r w:rsidR="00D4692A" w:rsidRPr="00E464DC">
        <w:rPr>
          <w:rStyle w:val="Referencingstyle"/>
        </w:rPr>
        <w:t>]</w:t>
      </w:r>
    </w:p>
    <w:p w14:paraId="4BCA5398" w14:textId="77777777" w:rsidR="0054785E" w:rsidRDefault="0054785E" w:rsidP="000F194A">
      <w:pPr>
        <w:pStyle w:val="base-text-paragraph"/>
      </w:pPr>
      <w:r>
        <w:t xml:space="preserve">The rules are intended to be used </w:t>
      </w:r>
      <w:r w:rsidR="00F725B7">
        <w:t>where</w:t>
      </w:r>
      <w:r>
        <w:t xml:space="preserve"> the transition provisions do not cover a situation that may arise during the transition</w:t>
      </w:r>
      <w:r w:rsidR="00F725B7">
        <w:t xml:space="preserve"> but cannot be predicted with any certainty or catered for in detail prior to it occurring (for example, to enable the making of rules, for the purposes of </w:t>
      </w:r>
      <w:r w:rsidR="00EE70B7">
        <w:t>item 34</w:t>
      </w:r>
      <w:r w:rsidR="00F725B7">
        <w:t>, catering for the continuation of a process commenced by the Council, in relation to transferring staff)</w:t>
      </w:r>
      <w:r>
        <w:t>.</w:t>
      </w:r>
      <w:r w:rsidR="00985CDB">
        <w:t xml:space="preserve"> A number of the general transitional provisions expressly refer to particular situations being catered for in transitional rules, if necessary.</w:t>
      </w:r>
    </w:p>
    <w:p w14:paraId="2BF5D82B" w14:textId="77777777" w:rsidR="008F1DE7" w:rsidRDefault="00C30550" w:rsidP="00D75113">
      <w:pPr>
        <w:pStyle w:val="base-text-paragraph"/>
        <w:keepNext/>
        <w:keepLines/>
      </w:pPr>
      <w:r>
        <w:t>The rules may not:</w:t>
      </w:r>
    </w:p>
    <w:p w14:paraId="1172BD52" w14:textId="77777777" w:rsidR="00C30550" w:rsidRDefault="00C30550" w:rsidP="00D75113">
      <w:pPr>
        <w:pStyle w:val="dotpoint"/>
        <w:keepNext/>
        <w:keepLines/>
      </w:pPr>
      <w:r>
        <w:t>create an offence or civil penalty provision;</w:t>
      </w:r>
    </w:p>
    <w:p w14:paraId="79D5A224" w14:textId="77777777" w:rsidR="00C30550" w:rsidRDefault="00C30550" w:rsidP="00C30550">
      <w:pPr>
        <w:pStyle w:val="dotpoint"/>
      </w:pPr>
      <w:r>
        <w:t>provide:</w:t>
      </w:r>
    </w:p>
    <w:p w14:paraId="13BA377E" w14:textId="77777777" w:rsidR="00C30550" w:rsidRDefault="00C30550" w:rsidP="00C30550">
      <w:pPr>
        <w:pStyle w:val="dotpoint2"/>
      </w:pPr>
      <w:r>
        <w:t>powers of arrest or detention; or</w:t>
      </w:r>
    </w:p>
    <w:p w14:paraId="69EF8C5A" w14:textId="77777777" w:rsidR="00C30550" w:rsidRDefault="00C30550" w:rsidP="00C30550">
      <w:pPr>
        <w:pStyle w:val="dotpoint2"/>
      </w:pPr>
      <w:r>
        <w:t>powers relating to entry, search or seizure;</w:t>
      </w:r>
    </w:p>
    <w:p w14:paraId="25E83FA6" w14:textId="77777777" w:rsidR="00C30550" w:rsidRDefault="00C30550" w:rsidP="00C30550">
      <w:pPr>
        <w:pStyle w:val="dotpoint"/>
      </w:pPr>
      <w:r>
        <w:t>impose a tax;</w:t>
      </w:r>
    </w:p>
    <w:p w14:paraId="59DE8CCF" w14:textId="77777777" w:rsidR="00C30550" w:rsidRDefault="00C30550" w:rsidP="00607251">
      <w:pPr>
        <w:pStyle w:val="dotpoint"/>
      </w:pPr>
      <w:r>
        <w:t xml:space="preserve">set an amount to be appropriated from the Consolidated Revenue Fund under an appropriate in </w:t>
      </w:r>
      <w:r w:rsidR="00607251" w:rsidRPr="00607251">
        <w:t>the Consequential Amendments and Transitional Provisions Bill</w:t>
      </w:r>
      <w:r>
        <w:t>;</w:t>
      </w:r>
    </w:p>
    <w:p w14:paraId="49CCC24E" w14:textId="77777777" w:rsidR="00C30550" w:rsidRDefault="00C30550" w:rsidP="00607251">
      <w:pPr>
        <w:pStyle w:val="dotpoint"/>
      </w:pPr>
      <w:r>
        <w:t xml:space="preserve">directly amend the text of </w:t>
      </w:r>
      <w:r w:rsidR="00607251" w:rsidRPr="00607251">
        <w:t>the Consequential Amendments and Transitional Provisions Bill</w:t>
      </w:r>
      <w:r>
        <w:t>.</w:t>
      </w:r>
      <w:r w:rsidR="00D4692A">
        <w:t xml:space="preserve"> </w:t>
      </w:r>
      <w:r w:rsidR="00D4692A" w:rsidRPr="00E464DC">
        <w:rPr>
          <w:rStyle w:val="Referencingstyle"/>
        </w:rPr>
        <w:t xml:space="preserve">[Schedule </w:t>
      </w:r>
      <w:r w:rsidR="00D4692A">
        <w:rPr>
          <w:rStyle w:val="Referencingstyle"/>
        </w:rPr>
        <w:t>2</w:t>
      </w:r>
      <w:r w:rsidR="00D4692A" w:rsidRPr="00E464DC">
        <w:rPr>
          <w:rStyle w:val="Referencingstyle"/>
        </w:rPr>
        <w:t xml:space="preserve">, Part </w:t>
      </w:r>
      <w:r w:rsidR="00D4692A">
        <w:rPr>
          <w:rStyle w:val="Referencingstyle"/>
        </w:rPr>
        <w:t>4</w:t>
      </w:r>
      <w:r w:rsidR="00D4692A" w:rsidRPr="00E464DC">
        <w:rPr>
          <w:rStyle w:val="Referencingstyle"/>
        </w:rPr>
        <w:t>,</w:t>
      </w:r>
      <w:r w:rsidR="00D4692A">
        <w:rPr>
          <w:rStyle w:val="Referencingstyle"/>
        </w:rPr>
        <w:t xml:space="preserve"> subitem 43(3)</w:t>
      </w:r>
      <w:r w:rsidR="00D4692A" w:rsidRPr="00E464DC">
        <w:rPr>
          <w:rStyle w:val="Referencingstyle"/>
        </w:rPr>
        <w:t>]</w:t>
      </w:r>
    </w:p>
    <w:p w14:paraId="4F4713C2" w14:textId="77777777" w:rsidR="00C30550" w:rsidRPr="00D70461" w:rsidRDefault="00607251" w:rsidP="00607251">
      <w:pPr>
        <w:pStyle w:val="base-text-paragraph"/>
        <w:tabs>
          <w:tab w:val="clear" w:pos="1985"/>
          <w:tab w:val="num" w:pos="1986"/>
        </w:tabs>
      </w:pPr>
      <w:r>
        <w:t>T</w:t>
      </w:r>
      <w:r w:rsidRPr="00607251">
        <w:t xml:space="preserve">he Consequential Amendments and Transitional Provisions Bill </w:t>
      </w:r>
      <w:r w:rsidR="00C30550">
        <w:t>(other than subitem (3)</w:t>
      </w:r>
      <w:r w:rsidR="00D4692A">
        <w:t>)</w:t>
      </w:r>
      <w:r w:rsidR="00C30550">
        <w:t xml:space="preserve"> does not limit the rules that may be made.</w:t>
      </w:r>
    </w:p>
    <w:p w14:paraId="38B99B62" w14:textId="77777777" w:rsidR="00DA4F4A" w:rsidRPr="005F23A2" w:rsidRDefault="00DA4F4A" w:rsidP="000F194A">
      <w:pPr>
        <w:pStyle w:val="base-text-paragraph"/>
        <w:sectPr w:rsidR="00DA4F4A" w:rsidRPr="005F23A2" w:rsidSect="00446279">
          <w:headerReference w:type="even" r:id="rId79"/>
          <w:headerReference w:type="default" r:id="rId80"/>
          <w:footerReference w:type="even" r:id="rId81"/>
          <w:footerReference w:type="default" r:id="rId82"/>
          <w:footerReference w:type="first" r:id="rId83"/>
          <w:type w:val="oddPage"/>
          <w:pgSz w:w="11906" w:h="16838" w:code="9"/>
          <w:pgMar w:top="2466" w:right="2098" w:bottom="2466" w:left="2098" w:header="1559" w:footer="1899" w:gutter="0"/>
          <w:cols w:space="708"/>
          <w:titlePg/>
          <w:docGrid w:linePitch="360"/>
        </w:sectPr>
      </w:pPr>
    </w:p>
    <w:p w14:paraId="438AD2AC" w14:textId="77777777" w:rsidR="00B05C63" w:rsidRPr="00F51A71" w:rsidRDefault="00B05C63" w:rsidP="00DD7789">
      <w:pPr>
        <w:pStyle w:val="ChapterHeading"/>
        <w:numPr>
          <w:ilvl w:val="0"/>
          <w:numId w:val="105"/>
        </w:numPr>
        <w:tabs>
          <w:tab w:val="clear" w:pos="1134"/>
          <w:tab w:val="num" w:pos="360"/>
        </w:tabs>
      </w:pPr>
      <w:r w:rsidRPr="00F51A71">
        <w:br/>
      </w:r>
      <w:bookmarkStart w:id="249" w:name="_Toc416957164"/>
      <w:bookmarkStart w:id="250" w:name="_Toc418177771"/>
      <w:bookmarkStart w:id="251" w:name="_Toc418249768"/>
      <w:r w:rsidR="009D4762">
        <w:t xml:space="preserve">Private Health Insurance </w:t>
      </w:r>
      <w:r w:rsidR="009C071B">
        <w:t>Supervisory Levy</w:t>
      </w:r>
      <w:bookmarkEnd w:id="249"/>
      <w:bookmarkEnd w:id="250"/>
      <w:bookmarkEnd w:id="251"/>
      <w:r w:rsidR="009C071B">
        <w:t xml:space="preserve"> </w:t>
      </w:r>
    </w:p>
    <w:p w14:paraId="3FC0E2AE" w14:textId="77777777" w:rsidR="00B05C63" w:rsidRDefault="00B05C63" w:rsidP="00B05C63">
      <w:pPr>
        <w:pStyle w:val="Heading2"/>
      </w:pPr>
      <w:r>
        <w:t>Outline of chapter</w:t>
      </w:r>
    </w:p>
    <w:p w14:paraId="65C51103" w14:textId="77777777" w:rsidR="00DA520B" w:rsidRDefault="009646AD" w:rsidP="000F194A">
      <w:pPr>
        <w:pStyle w:val="base-text-paragraph"/>
      </w:pPr>
      <w:r>
        <w:t xml:space="preserve">Chapter 12 </w:t>
      </w:r>
      <w:r w:rsidR="00426806">
        <w:t>relates</w:t>
      </w:r>
      <w:r w:rsidR="00B05C63">
        <w:t xml:space="preserve"> to </w:t>
      </w:r>
      <w:r w:rsidR="007356C4">
        <w:t>the new</w:t>
      </w:r>
      <w:r w:rsidR="00B05C63">
        <w:t xml:space="preserve"> </w:t>
      </w:r>
      <w:r w:rsidR="00B05C63" w:rsidRPr="00A16811">
        <w:t xml:space="preserve">Private Health </w:t>
      </w:r>
      <w:r w:rsidR="007356C4" w:rsidRPr="00A16811">
        <w:t>Insurance Supervisory Levy Imposition Bill 2015</w:t>
      </w:r>
      <w:r w:rsidR="00EE236E">
        <w:t xml:space="preserve"> (</w:t>
      </w:r>
      <w:r w:rsidR="00EE236E" w:rsidRPr="00A16811">
        <w:t>Supervisory Levy Imposition Bill</w:t>
      </w:r>
      <w:r w:rsidR="00EE236E">
        <w:t>)</w:t>
      </w:r>
      <w:r w:rsidR="007356C4" w:rsidRPr="00A16811">
        <w:t>.</w:t>
      </w:r>
      <w:r w:rsidR="007356C4">
        <w:t xml:space="preserve"> </w:t>
      </w:r>
    </w:p>
    <w:p w14:paraId="542A9E31" w14:textId="77777777" w:rsidR="00C341C2" w:rsidRDefault="00C341C2" w:rsidP="000F194A">
      <w:pPr>
        <w:pStyle w:val="base-text-paragraph"/>
      </w:pPr>
      <w:r>
        <w:t xml:space="preserve">Unless otherwise stated, all references in this Chapter relate to the </w:t>
      </w:r>
      <w:r>
        <w:rPr>
          <w:rStyle w:val="Referencingstyle"/>
          <w:b w:val="0"/>
          <w:i w:val="0"/>
          <w:sz w:val="22"/>
        </w:rPr>
        <w:t>Supervisory Levy Imposition Bill.</w:t>
      </w:r>
    </w:p>
    <w:p w14:paraId="0203B28B" w14:textId="77777777" w:rsidR="00B05C63" w:rsidRDefault="00B05C63" w:rsidP="001A14DD">
      <w:pPr>
        <w:pStyle w:val="Heading2"/>
        <w:spacing w:before="360"/>
      </w:pPr>
      <w:r>
        <w:t>Summary of new law</w:t>
      </w:r>
    </w:p>
    <w:p w14:paraId="62E531D2" w14:textId="77777777" w:rsidR="00DA520B" w:rsidRDefault="00DA520B" w:rsidP="000F194A">
      <w:pPr>
        <w:pStyle w:val="base-text-paragraph"/>
      </w:pPr>
      <w:r w:rsidRPr="00DA520B">
        <w:t>The</w:t>
      </w:r>
      <w:r w:rsidRPr="00DA520B">
        <w:rPr>
          <w:i/>
        </w:rPr>
        <w:t xml:space="preserve"> </w:t>
      </w:r>
      <w:r w:rsidRPr="00A67940">
        <w:t xml:space="preserve">Private Health Insurance Supervisory Levy Imposition </w:t>
      </w:r>
      <w:r w:rsidR="00A67940">
        <w:t>Bill</w:t>
      </w:r>
      <w:r w:rsidRPr="00A67940">
        <w:t xml:space="preserve"> </w:t>
      </w:r>
      <w:r>
        <w:t xml:space="preserve">effectively replaces the </w:t>
      </w:r>
      <w:r w:rsidRPr="00DA520B">
        <w:rPr>
          <w:i/>
        </w:rPr>
        <w:t>Private Health Insurance (Council Administration Levy) Act 2003</w:t>
      </w:r>
      <w:r w:rsidR="00A16811">
        <w:rPr>
          <w:i/>
        </w:rPr>
        <w:t>,</w:t>
      </w:r>
      <w:r w:rsidR="00A16811">
        <w:t xml:space="preserve"> which is being repealed by item 183</w:t>
      </w:r>
      <w:r w:rsidR="00233B4A">
        <w:t xml:space="preserve"> of the </w:t>
      </w:r>
      <w:r w:rsidR="00233B4A">
        <w:rPr>
          <w:lang w:val="en-US" w:eastAsia="en-US"/>
        </w:rPr>
        <w:t>Consequential Amendments and Transitional Provisions Bill</w:t>
      </w:r>
      <w:r w:rsidR="00A16811">
        <w:rPr>
          <w:i/>
        </w:rPr>
        <w:t xml:space="preserve">. </w:t>
      </w:r>
    </w:p>
    <w:p w14:paraId="0DB52F65" w14:textId="77777777" w:rsidR="00DA520B" w:rsidRDefault="00A16811" w:rsidP="00EE236E">
      <w:pPr>
        <w:pStyle w:val="base-text-paragraph"/>
        <w:tabs>
          <w:tab w:val="clear" w:pos="1985"/>
          <w:tab w:val="num" w:pos="1986"/>
        </w:tabs>
      </w:pPr>
      <w:r>
        <w:t xml:space="preserve">The </w:t>
      </w:r>
      <w:r w:rsidR="00EE236E" w:rsidRPr="00EE236E">
        <w:t>Supervisory Levy Imposition Bill</w:t>
      </w:r>
      <w:r>
        <w:t xml:space="preserve"> </w:t>
      </w:r>
      <w:r w:rsidR="00D241FF">
        <w:t xml:space="preserve">establishes the legislative </w:t>
      </w:r>
      <w:r>
        <w:t>framework for the calculation, and collection</w:t>
      </w:r>
      <w:r w:rsidR="00D241FF">
        <w:t xml:space="preserve">, </w:t>
      </w:r>
      <w:r>
        <w:t xml:space="preserve">of </w:t>
      </w:r>
      <w:r w:rsidR="00D241FF">
        <w:t>a supervisory levy to recover APRA</w:t>
      </w:r>
      <w:r w:rsidR="007356C4">
        <w:t>’s</w:t>
      </w:r>
      <w:r w:rsidR="00D241FF">
        <w:t xml:space="preserve"> costs incurred in regulating the private health insurance industry. It will be administered by APRA. </w:t>
      </w:r>
    </w:p>
    <w:p w14:paraId="7AE7E199" w14:textId="77777777" w:rsidR="001A14DD" w:rsidRDefault="001A14DD" w:rsidP="000F194A">
      <w:pPr>
        <w:pStyle w:val="base-text-paragraph"/>
      </w:pPr>
      <w:r>
        <w:t xml:space="preserve">In 2015-16, the levy will be collected on a quarterly basis in line with the existing </w:t>
      </w:r>
      <w:r w:rsidRPr="00A16811">
        <w:t>Private Health Insurance (Council Administration Levy) Rules 2007</w:t>
      </w:r>
      <w:r>
        <w:t xml:space="preserve">. </w:t>
      </w:r>
    </w:p>
    <w:p w14:paraId="2CC6955B" w14:textId="77777777" w:rsidR="007356C4" w:rsidRDefault="007356C4" w:rsidP="000F194A">
      <w:pPr>
        <w:pStyle w:val="base-text-paragraph"/>
      </w:pPr>
      <w:r>
        <w:t>From the 2016-17 financial year, t</w:t>
      </w:r>
      <w:r w:rsidR="00D241FF">
        <w:t>he new levy will be collected annua</w:t>
      </w:r>
      <w:r w:rsidR="00A16811">
        <w:t>lly from private health insurers</w:t>
      </w:r>
      <w:r w:rsidR="00D241FF">
        <w:t xml:space="preserve"> and will be calculated for each insurer w</w:t>
      </w:r>
      <w:r w:rsidR="00A16811">
        <w:t xml:space="preserve">ith reference to the number of </w:t>
      </w:r>
      <w:r w:rsidR="00A16811" w:rsidRPr="00CF2A8C">
        <w:t xml:space="preserve">single equivalent </w:t>
      </w:r>
      <w:r w:rsidR="00C53743" w:rsidRPr="00C53743">
        <w:t>u</w:t>
      </w:r>
      <w:r w:rsidR="00C53743" w:rsidRPr="00CF2A8C">
        <w:t>nits</w:t>
      </w:r>
      <w:r w:rsidR="00D241FF">
        <w:t xml:space="preserve"> that they provide health insurance products to. </w:t>
      </w:r>
    </w:p>
    <w:p w14:paraId="595C97C1" w14:textId="77777777" w:rsidR="00B05C63" w:rsidRDefault="00B05C63" w:rsidP="001B1E99">
      <w:pPr>
        <w:pStyle w:val="Heading2"/>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05C63" w:rsidRPr="004666B8" w14:paraId="4E785077" w14:textId="77777777" w:rsidTr="00B05C63">
        <w:tc>
          <w:tcPr>
            <w:tcW w:w="3275" w:type="dxa"/>
          </w:tcPr>
          <w:p w14:paraId="50369CD5" w14:textId="77777777" w:rsidR="00B05C63" w:rsidRPr="004666B8" w:rsidRDefault="00B05C63" w:rsidP="00B05C63">
            <w:pPr>
              <w:pStyle w:val="tableheaderwithintable"/>
              <w:rPr>
                <w:lang w:val="en-US" w:eastAsia="en-US"/>
              </w:rPr>
            </w:pPr>
            <w:r w:rsidRPr="004666B8">
              <w:rPr>
                <w:lang w:val="en-US" w:eastAsia="en-US"/>
              </w:rPr>
              <w:t>New law</w:t>
            </w:r>
          </w:p>
        </w:tc>
        <w:tc>
          <w:tcPr>
            <w:tcW w:w="3276" w:type="dxa"/>
          </w:tcPr>
          <w:p w14:paraId="5A2B696D" w14:textId="77777777" w:rsidR="00B05C63" w:rsidRPr="004666B8" w:rsidRDefault="00B05C63" w:rsidP="00B05C63">
            <w:pPr>
              <w:pStyle w:val="tableheaderwithintable"/>
              <w:rPr>
                <w:lang w:val="en-US" w:eastAsia="en-US"/>
              </w:rPr>
            </w:pPr>
            <w:r w:rsidRPr="004666B8">
              <w:rPr>
                <w:lang w:val="en-US" w:eastAsia="en-US"/>
              </w:rPr>
              <w:t>Current law</w:t>
            </w:r>
          </w:p>
        </w:tc>
      </w:tr>
      <w:tr w:rsidR="007628AC" w:rsidRPr="004666B8" w14:paraId="0A01C70B" w14:textId="77777777" w:rsidTr="00B05C63">
        <w:tc>
          <w:tcPr>
            <w:tcW w:w="3275" w:type="dxa"/>
          </w:tcPr>
          <w:p w14:paraId="78B3C536" w14:textId="77777777" w:rsidR="007628AC" w:rsidRPr="004666B8" w:rsidRDefault="007628AC" w:rsidP="00B05C63">
            <w:pPr>
              <w:pStyle w:val="tabletext"/>
              <w:rPr>
                <w:lang w:val="en-US" w:eastAsia="en-US"/>
              </w:rPr>
            </w:pPr>
            <w:r>
              <w:rPr>
                <w:lang w:val="en-US" w:eastAsia="en-US"/>
              </w:rPr>
              <w:t>The Private Health Insurance Supervisory levy will be collected annually by APRA (other than in relation to 2015-16 where it will be collected on a quarterly basis).</w:t>
            </w:r>
          </w:p>
        </w:tc>
        <w:tc>
          <w:tcPr>
            <w:tcW w:w="3276" w:type="dxa"/>
          </w:tcPr>
          <w:p w14:paraId="23A19C9C" w14:textId="77777777" w:rsidR="007628AC" w:rsidRPr="004666B8" w:rsidRDefault="007628AC" w:rsidP="00CF4425">
            <w:pPr>
              <w:pStyle w:val="tabletext"/>
              <w:rPr>
                <w:lang w:val="en-US" w:eastAsia="en-US"/>
              </w:rPr>
            </w:pPr>
            <w:r>
              <w:rPr>
                <w:lang w:val="en-US" w:eastAsia="en-US"/>
              </w:rPr>
              <w:t xml:space="preserve">The Private Health Insurance (Council Administration) Levy is collected </w:t>
            </w:r>
            <w:r w:rsidR="00CF4425">
              <w:rPr>
                <w:lang w:val="en-US" w:eastAsia="en-US"/>
              </w:rPr>
              <w:t>up to four times a year (with up to two supplementary levy days)</w:t>
            </w:r>
            <w:r>
              <w:rPr>
                <w:lang w:val="en-US" w:eastAsia="en-US"/>
              </w:rPr>
              <w:t xml:space="preserve"> by </w:t>
            </w:r>
            <w:r w:rsidR="00C23A99">
              <w:rPr>
                <w:lang w:val="en-US" w:eastAsia="en-US"/>
              </w:rPr>
              <w:t>the Council</w:t>
            </w:r>
            <w:r>
              <w:rPr>
                <w:lang w:val="en-US" w:eastAsia="en-US"/>
              </w:rPr>
              <w:t>.</w:t>
            </w:r>
          </w:p>
        </w:tc>
      </w:tr>
    </w:tbl>
    <w:p w14:paraId="013DB795" w14:textId="77777777" w:rsidR="00B05C63" w:rsidRPr="001B1E99" w:rsidRDefault="00B05C63" w:rsidP="001B1E99">
      <w:pPr>
        <w:pStyle w:val="Heading2"/>
      </w:pPr>
      <w:r w:rsidRPr="001B1E99">
        <w:t>Detailed explanation of new law</w:t>
      </w:r>
    </w:p>
    <w:p w14:paraId="37B886A7" w14:textId="77777777" w:rsidR="00D2026D" w:rsidRDefault="008C4B39" w:rsidP="00EE236E">
      <w:pPr>
        <w:pStyle w:val="base-text-paragraph"/>
        <w:tabs>
          <w:tab w:val="clear" w:pos="1985"/>
          <w:tab w:val="num" w:pos="1986"/>
        </w:tabs>
      </w:pPr>
      <w:r>
        <w:t xml:space="preserve">The </w:t>
      </w:r>
      <w:r w:rsidR="00EE236E" w:rsidRPr="00EE236E">
        <w:t>Supervisory Levy Imposition Bill</w:t>
      </w:r>
      <w:r w:rsidR="00EE236E" w:rsidRPr="00EE236E" w:rsidDel="00EE236E">
        <w:t xml:space="preserve"> </w:t>
      </w:r>
      <w:r w:rsidR="0035161B">
        <w:t>is a</w:t>
      </w:r>
      <w:r w:rsidR="00EE236E">
        <w:t xml:space="preserve"> Bill</w:t>
      </w:r>
      <w:r w:rsidR="0035161B">
        <w:t xml:space="preserve"> to impose a levy on bodies registered as private health insurers under the </w:t>
      </w:r>
      <w:r w:rsidR="00E9202F">
        <w:t>Prudential Supervision Bill</w:t>
      </w:r>
      <w:r w:rsidR="0035161B" w:rsidRPr="00F22E7D">
        <w:t>.</w:t>
      </w:r>
    </w:p>
    <w:p w14:paraId="3D127F00" w14:textId="77777777" w:rsidR="00D2026D" w:rsidRDefault="00A144F4" w:rsidP="000F194A">
      <w:pPr>
        <w:pStyle w:val="base-text-paragraph"/>
      </w:pPr>
      <w:r>
        <w:t>The supervisory levy will be</w:t>
      </w:r>
      <w:r w:rsidR="00D2026D">
        <w:t xml:space="preserve"> collected to recover APRA’s</w:t>
      </w:r>
      <w:r w:rsidR="00A16811">
        <w:t xml:space="preserve"> costs of regulating private health insurers</w:t>
      </w:r>
      <w:r>
        <w:t xml:space="preserve"> and be</w:t>
      </w:r>
      <w:r w:rsidR="00D2026D">
        <w:t xml:space="preserve"> deposited in APRA’s </w:t>
      </w:r>
      <w:r w:rsidR="00CF2A8C">
        <w:t>S</w:t>
      </w:r>
      <w:r w:rsidR="00D2026D">
        <w:t xml:space="preserve">pecial </w:t>
      </w:r>
      <w:r w:rsidR="00CF2A8C">
        <w:t>A</w:t>
      </w:r>
      <w:r w:rsidR="00D2026D">
        <w:t xml:space="preserve">ccount. APRA collects similar levies for the other industries that it prudentially regulates, including life and general insurers. </w:t>
      </w:r>
      <w:r w:rsidR="00CF2A8C">
        <w:t xml:space="preserve">Consistent with the collection of APRA’s other supervisory levies, the levies will be </w:t>
      </w:r>
      <w:r w:rsidR="00985CDB">
        <w:t>set</w:t>
      </w:r>
      <w:r w:rsidR="00CF2A8C">
        <w:t xml:space="preserve"> by a determination from the Minister. </w:t>
      </w:r>
    </w:p>
    <w:p w14:paraId="099EE923" w14:textId="77777777" w:rsidR="0035161B" w:rsidRDefault="00D2026D" w:rsidP="000F194A">
      <w:pPr>
        <w:pStyle w:val="base-text-paragraph"/>
      </w:pPr>
      <w:r>
        <w:t>In line with the Government’s Cost Recovery Guidelines, the amount to be collected is based on what APRA expects to expend in the reg</w:t>
      </w:r>
      <w:r w:rsidR="000042BB">
        <w:t>ulation of the private health insurance</w:t>
      </w:r>
      <w:r w:rsidR="0035161B">
        <w:t xml:space="preserve"> </w:t>
      </w:r>
      <w:r>
        <w:t>industry in the coming year. This amount, and the method</w:t>
      </w:r>
      <w:r w:rsidR="000042BB">
        <w:t xml:space="preserve"> of allocating it within the private health insurance</w:t>
      </w:r>
      <w:r>
        <w:t xml:space="preserve"> industry (that is, the rate per </w:t>
      </w:r>
      <w:r w:rsidRPr="00CF2A8C">
        <w:t>single equivalent units</w:t>
      </w:r>
      <w:r>
        <w:t xml:space="preserve">), will be outlined in an annual discussion paper released after the Commonwealth Budget. The Government welcomes submissions on this paper. </w:t>
      </w:r>
    </w:p>
    <w:p w14:paraId="306297CB" w14:textId="77777777" w:rsidR="00D2026D" w:rsidRDefault="00D2026D" w:rsidP="000F194A">
      <w:pPr>
        <w:pStyle w:val="base-text-paragraph"/>
      </w:pPr>
      <w:r>
        <w:t xml:space="preserve">At the end of each financial year, APRA also publish a Cost Recovery Impact Statement to demonstrate how the costs of their activities have been allocated to each industry. </w:t>
      </w:r>
    </w:p>
    <w:p w14:paraId="51660370" w14:textId="77777777" w:rsidR="00A144F4" w:rsidRPr="00CF2A8C" w:rsidRDefault="00A144F4" w:rsidP="000F194A">
      <w:pPr>
        <w:pStyle w:val="base-text-paragraph"/>
      </w:pPr>
      <w:r w:rsidRPr="00CF2A8C">
        <w:t xml:space="preserve">Where APRA collects more to supervise an industry than is required, APRA endeavours to return these funds to industry (through an adjustment to levies applying in subsequent years) as soon as possible. </w:t>
      </w:r>
    </w:p>
    <w:p w14:paraId="519EBE79" w14:textId="77777777" w:rsidR="00A144F4" w:rsidRDefault="00A144F4" w:rsidP="00EE236E">
      <w:pPr>
        <w:pStyle w:val="base-text-paragraph"/>
        <w:tabs>
          <w:tab w:val="clear" w:pos="1985"/>
          <w:tab w:val="num" w:pos="1986"/>
        </w:tabs>
      </w:pPr>
      <w:r>
        <w:t xml:space="preserve">Sections 1 and 2 (the short title and commencement provisions) are taken to commence when the </w:t>
      </w:r>
      <w:r w:rsidR="00EE236E" w:rsidRPr="00EE236E">
        <w:t xml:space="preserve">Supervisory Levy Imposition Bill </w:t>
      </w:r>
      <w:r>
        <w:t>receives Royal Assent. Sections 3-</w:t>
      </w:r>
      <w:r w:rsidR="00151CD6">
        <w:t>8</w:t>
      </w:r>
      <w:r>
        <w:t xml:space="preserve"> (the substantive provisions) are taken to take affect at the same time as section 3 </w:t>
      </w:r>
      <w:r w:rsidRPr="00350570">
        <w:t xml:space="preserve">of the </w:t>
      </w:r>
      <w:r w:rsidR="00E9202F">
        <w:t>Prudential Supervision Bill</w:t>
      </w:r>
      <w:r w:rsidRPr="00350570">
        <w:t xml:space="preserve"> commences</w:t>
      </w:r>
      <w:r w:rsidR="0077730C">
        <w:t xml:space="preserve"> </w:t>
      </w:r>
      <w:r w:rsidR="00334055">
        <w:rPr>
          <w:rStyle w:val="Referencingstyle"/>
        </w:rPr>
        <w:t>[Part 1,</w:t>
      </w:r>
      <w:r w:rsidR="00D02282">
        <w:rPr>
          <w:rStyle w:val="Referencingstyle"/>
        </w:rPr>
        <w:t>section</w:t>
      </w:r>
      <w:r w:rsidR="00334055">
        <w:rPr>
          <w:rStyle w:val="Referencingstyle"/>
        </w:rPr>
        <w:t xml:space="preserve"> </w:t>
      </w:r>
      <w:r w:rsidR="0077730C">
        <w:rPr>
          <w:rStyle w:val="Referencingstyle"/>
        </w:rPr>
        <w:t>2]</w:t>
      </w:r>
      <w:r w:rsidRPr="00350570">
        <w:t>.</w:t>
      </w:r>
    </w:p>
    <w:p w14:paraId="51FDF92E" w14:textId="77777777" w:rsidR="0035161B" w:rsidRDefault="00151CD6" w:rsidP="00EE236E">
      <w:pPr>
        <w:pStyle w:val="base-text-paragraph"/>
        <w:tabs>
          <w:tab w:val="clear" w:pos="1985"/>
          <w:tab w:val="num" w:pos="1986"/>
        </w:tabs>
      </w:pPr>
      <w:r>
        <w:t xml:space="preserve">Section 3 </w:t>
      </w:r>
      <w:r w:rsidR="0035161B">
        <w:t xml:space="preserve">notes that the </w:t>
      </w:r>
      <w:r w:rsidR="00EE236E" w:rsidRPr="00EE236E">
        <w:t>Supervisory Levy Imposition Bill</w:t>
      </w:r>
      <w:r w:rsidR="0035161B">
        <w:t xml:space="preserve"> binds the Crown in each of its capacities</w:t>
      </w:r>
      <w:r w:rsidR="00E93B70">
        <w:t xml:space="preserve"> </w:t>
      </w:r>
      <w:r w:rsidR="00334055">
        <w:rPr>
          <w:rStyle w:val="Referencingstyle"/>
        </w:rPr>
        <w:t xml:space="preserve">[Part 1, </w:t>
      </w:r>
      <w:r w:rsidR="00D02282">
        <w:rPr>
          <w:rStyle w:val="Referencingstyle"/>
        </w:rPr>
        <w:t>section</w:t>
      </w:r>
      <w:r w:rsidR="00E93B70">
        <w:rPr>
          <w:rStyle w:val="Referencingstyle"/>
        </w:rPr>
        <w:t xml:space="preserve"> 3]</w:t>
      </w:r>
      <w:r w:rsidR="0035161B">
        <w:t xml:space="preserve">. </w:t>
      </w:r>
    </w:p>
    <w:p w14:paraId="174D2FA8" w14:textId="77777777" w:rsidR="00151CD6" w:rsidRDefault="00151CD6" w:rsidP="003D5945">
      <w:pPr>
        <w:pStyle w:val="base-text-paragraph"/>
        <w:tabs>
          <w:tab w:val="clear" w:pos="1985"/>
          <w:tab w:val="num" w:pos="1986"/>
        </w:tabs>
      </w:pPr>
      <w:r>
        <w:t xml:space="preserve">Section 4 extends the application of the </w:t>
      </w:r>
      <w:r w:rsidR="003D5945" w:rsidRPr="003D5945">
        <w:t>Supervisory Levy Imposition Bill</w:t>
      </w:r>
      <w:r>
        <w:t xml:space="preserve"> to Norfolk Island on and</w:t>
      </w:r>
      <w:r w:rsidR="00CE4BF2">
        <w:t xml:space="preserve"> after the commencement of Part </w:t>
      </w:r>
      <w:r>
        <w:t xml:space="preserve">1 of Schedule 2 to the </w:t>
      </w:r>
      <w:r w:rsidRPr="003D5945">
        <w:rPr>
          <w:i/>
        </w:rPr>
        <w:t>Norfolk Island Legislation Amendment Act 2015</w:t>
      </w:r>
      <w:r w:rsidR="00C7718A">
        <w:t xml:space="preserve"> </w:t>
      </w:r>
      <w:r w:rsidR="00334055">
        <w:rPr>
          <w:rStyle w:val="Referencingstyle"/>
        </w:rPr>
        <w:t xml:space="preserve">[Part 1, </w:t>
      </w:r>
      <w:r w:rsidR="00D02282">
        <w:rPr>
          <w:rStyle w:val="Referencingstyle"/>
        </w:rPr>
        <w:t xml:space="preserve">section </w:t>
      </w:r>
      <w:r w:rsidR="00C7718A" w:rsidRPr="00C7718A">
        <w:rPr>
          <w:rStyle w:val="Referencingstyle"/>
        </w:rPr>
        <w:t>4]</w:t>
      </w:r>
      <w:r w:rsidR="00C7718A">
        <w:t>.</w:t>
      </w:r>
    </w:p>
    <w:p w14:paraId="072A00A0" w14:textId="77777777" w:rsidR="0035161B" w:rsidRDefault="0035161B" w:rsidP="00A64E52">
      <w:pPr>
        <w:pStyle w:val="base-text-paragraph"/>
        <w:keepNext/>
        <w:keepLines/>
      </w:pPr>
      <w:r>
        <w:t xml:space="preserve">Section </w:t>
      </w:r>
      <w:r w:rsidR="003F3133">
        <w:t>5</w:t>
      </w:r>
      <w:r>
        <w:t xml:space="preserve"> inserts the following definitions</w:t>
      </w:r>
      <w:r w:rsidR="00E93B70">
        <w:t xml:space="preserve"> </w:t>
      </w:r>
      <w:r w:rsidR="00E93B70">
        <w:rPr>
          <w:rStyle w:val="Referencingstyle"/>
        </w:rPr>
        <w:t xml:space="preserve">[Part 1, Section </w:t>
      </w:r>
      <w:r w:rsidR="003F3133">
        <w:rPr>
          <w:rStyle w:val="Referencingstyle"/>
        </w:rPr>
        <w:t>5</w:t>
      </w:r>
      <w:r w:rsidR="00E93B70">
        <w:rPr>
          <w:rStyle w:val="Referencingstyle"/>
        </w:rPr>
        <w:t>]</w:t>
      </w:r>
      <w:r>
        <w:t>:</w:t>
      </w:r>
    </w:p>
    <w:p w14:paraId="71669D44" w14:textId="77777777" w:rsidR="0035161B" w:rsidRPr="00350570" w:rsidRDefault="0035161B" w:rsidP="00A64E52">
      <w:pPr>
        <w:pStyle w:val="dotpoint"/>
        <w:keepNext/>
        <w:keepLines/>
      </w:pPr>
      <w:r w:rsidRPr="0077730C">
        <w:rPr>
          <w:b/>
          <w:i/>
        </w:rPr>
        <w:t>census day</w:t>
      </w:r>
      <w:r w:rsidRPr="0035161B">
        <w:t xml:space="preserve"> </w:t>
      </w:r>
      <w:r w:rsidRPr="00350570">
        <w:t>for a financial year means the day that specified as the census day for the financial year</w:t>
      </w:r>
      <w:r w:rsidR="001A14DD">
        <w:t xml:space="preserve"> in the levy determination</w:t>
      </w:r>
      <w:r w:rsidR="00C44882">
        <w:t>;</w:t>
      </w:r>
    </w:p>
    <w:p w14:paraId="08AC1AD0" w14:textId="77777777" w:rsidR="0035161B" w:rsidRPr="00350570" w:rsidRDefault="0035161B" w:rsidP="0035161B">
      <w:pPr>
        <w:pStyle w:val="dotpoint"/>
      </w:pPr>
      <w:r w:rsidRPr="0077730C">
        <w:rPr>
          <w:b/>
          <w:i/>
        </w:rPr>
        <w:t>complying health insurance policy</w:t>
      </w:r>
      <w:r w:rsidRPr="0035161B">
        <w:t xml:space="preserve"> </w:t>
      </w:r>
      <w:r w:rsidRPr="00350570">
        <w:t xml:space="preserve">has the same meaning as in the </w:t>
      </w:r>
      <w:r w:rsidR="00C44882">
        <w:t>PHI Act;</w:t>
      </w:r>
    </w:p>
    <w:p w14:paraId="4D8D609F" w14:textId="77777777" w:rsidR="0035161B" w:rsidRPr="00350570" w:rsidRDefault="0035161B" w:rsidP="0035161B">
      <w:pPr>
        <w:pStyle w:val="dotpoint"/>
      </w:pPr>
      <w:r w:rsidRPr="0077730C">
        <w:rPr>
          <w:b/>
          <w:i/>
        </w:rPr>
        <w:t>levy determination</w:t>
      </w:r>
      <w:r w:rsidR="00C44882">
        <w:t xml:space="preserve"> means the </w:t>
      </w:r>
      <w:r>
        <w:t xml:space="preserve">legislative instrument </w:t>
      </w:r>
      <w:r w:rsidR="00C44882">
        <w:t xml:space="preserve">referred to in subsection 7(4) </w:t>
      </w:r>
      <w:r>
        <w:t>determining the levy amount that is payable in respect of a complying health insurance policy</w:t>
      </w:r>
      <w:r w:rsidR="00C44882">
        <w:t>;</w:t>
      </w:r>
    </w:p>
    <w:p w14:paraId="43C0A368" w14:textId="77777777" w:rsidR="0035161B" w:rsidRPr="00350570" w:rsidRDefault="0035161B" w:rsidP="0035161B">
      <w:pPr>
        <w:pStyle w:val="dotpoint"/>
      </w:pPr>
      <w:r w:rsidRPr="00A144F4">
        <w:rPr>
          <w:b/>
          <w:i/>
        </w:rPr>
        <w:t>levy imposition day</w:t>
      </w:r>
      <w:r w:rsidRPr="00350570">
        <w:t>, in relation to a private health insurer for a financial year, means:</w:t>
      </w:r>
    </w:p>
    <w:p w14:paraId="504998FC" w14:textId="77777777" w:rsidR="0035161B" w:rsidRPr="00350570" w:rsidRDefault="0035161B" w:rsidP="0035161B">
      <w:pPr>
        <w:pStyle w:val="dotpoint"/>
        <w:numPr>
          <w:ilvl w:val="0"/>
          <w:numId w:val="0"/>
        </w:numPr>
        <w:ind w:left="2268"/>
      </w:pPr>
      <w:r w:rsidRPr="00350570">
        <w:t>(a)</w:t>
      </w:r>
      <w:r w:rsidRPr="00350570">
        <w:tab/>
        <w:t>if the private health insurer is a private health insurer on 1 July of the financial year—that day; or</w:t>
      </w:r>
    </w:p>
    <w:p w14:paraId="327ECAF9" w14:textId="77777777" w:rsidR="0035161B" w:rsidRPr="00350570" w:rsidRDefault="0035161B" w:rsidP="0035161B">
      <w:pPr>
        <w:pStyle w:val="dotpoint"/>
        <w:numPr>
          <w:ilvl w:val="0"/>
          <w:numId w:val="0"/>
        </w:numPr>
        <w:ind w:left="2268"/>
      </w:pPr>
      <w:r w:rsidRPr="00350570">
        <w:t>(b)</w:t>
      </w:r>
      <w:r w:rsidRPr="00350570">
        <w:tab/>
        <w:t>in any other case—the day, during the financial year, on which the private health insurer becomes a private health insurer.</w:t>
      </w:r>
    </w:p>
    <w:p w14:paraId="453D7A9D" w14:textId="77777777" w:rsidR="0035161B" w:rsidRPr="00350570" w:rsidRDefault="0035161B" w:rsidP="0035161B">
      <w:pPr>
        <w:pStyle w:val="dotpoint"/>
      </w:pPr>
      <w:r w:rsidRPr="0077730C">
        <w:rPr>
          <w:b/>
          <w:i/>
        </w:rPr>
        <w:t>private health insurer</w:t>
      </w:r>
      <w:r w:rsidRPr="0035161B">
        <w:t xml:space="preserve"> </w:t>
      </w:r>
      <w:r w:rsidRPr="00350570">
        <w:t xml:space="preserve">has the same meaning as in the </w:t>
      </w:r>
      <w:r w:rsidR="00E9202F">
        <w:t>Prudential Supervision Bill</w:t>
      </w:r>
      <w:r w:rsidRPr="00350570">
        <w:t>.</w:t>
      </w:r>
    </w:p>
    <w:p w14:paraId="6295AFCD" w14:textId="77777777" w:rsidR="0035161B" w:rsidRPr="00350570" w:rsidRDefault="0035161B" w:rsidP="0035161B">
      <w:pPr>
        <w:pStyle w:val="dotpoint"/>
      </w:pPr>
      <w:r w:rsidRPr="0077730C">
        <w:rPr>
          <w:b/>
          <w:i/>
        </w:rPr>
        <w:t>supervisory levy</w:t>
      </w:r>
      <w:r w:rsidRPr="00350570">
        <w:t xml:space="preserve"> means </w:t>
      </w:r>
      <w:r>
        <w:t>a levy payable in accordance with subsection 8(4A) or (4C) of the</w:t>
      </w:r>
      <w:r w:rsidR="00753791">
        <w:rPr>
          <w:i/>
        </w:rPr>
        <w:t xml:space="preserve"> </w:t>
      </w:r>
      <w:r w:rsidR="00A866AA">
        <w:rPr>
          <w:lang w:val="en-US" w:eastAsia="en-US"/>
        </w:rPr>
        <w:t>FISLC</w:t>
      </w:r>
      <w:r w:rsidR="00753791">
        <w:rPr>
          <w:lang w:val="en-US" w:eastAsia="en-US"/>
        </w:rPr>
        <w:t xml:space="preserve"> Act</w:t>
      </w:r>
      <w:r w:rsidRPr="00350570">
        <w:t>.</w:t>
      </w:r>
    </w:p>
    <w:p w14:paraId="2386325A" w14:textId="77777777" w:rsidR="00FF7C95" w:rsidRPr="00350570" w:rsidRDefault="0035161B" w:rsidP="000F194A">
      <w:pPr>
        <w:pStyle w:val="base-text-paragraph"/>
      </w:pPr>
      <w:r>
        <w:t xml:space="preserve">Section </w:t>
      </w:r>
      <w:r w:rsidR="003F3133">
        <w:t>6</w:t>
      </w:r>
      <w:r>
        <w:t xml:space="preserve"> </w:t>
      </w:r>
      <w:r w:rsidR="00FA4083">
        <w:t>imposes</w:t>
      </w:r>
      <w:r w:rsidR="00FF7C95">
        <w:t xml:space="preserve"> a levy payable in accordance with subsection</w:t>
      </w:r>
      <w:r w:rsidR="00684075">
        <w:t> </w:t>
      </w:r>
      <w:r w:rsidR="00FF7C95">
        <w:t xml:space="preserve">8(4A) or (4C) of the </w:t>
      </w:r>
      <w:r w:rsidR="00A866AA">
        <w:rPr>
          <w:lang w:val="en-US" w:eastAsia="en-US"/>
        </w:rPr>
        <w:t>FISLC</w:t>
      </w:r>
      <w:r w:rsidR="00753791" w:rsidRPr="00233B4A">
        <w:rPr>
          <w:lang w:val="en-US" w:eastAsia="en-US"/>
        </w:rPr>
        <w:t xml:space="preserve"> Act</w:t>
      </w:r>
      <w:r w:rsidR="00233B4A" w:rsidRPr="00233B4A">
        <w:rPr>
          <w:lang w:val="en-US" w:eastAsia="en-US"/>
        </w:rPr>
        <w:t>, as amended by the Consequential Amendments and Transitional Provisions Bill</w:t>
      </w:r>
      <w:r w:rsidR="00FA4083" w:rsidRPr="00233B4A">
        <w:rPr>
          <w:lang w:val="en-US" w:eastAsia="en-US"/>
        </w:rPr>
        <w:t>. Subsection 8(4A) relates to the 2015-16 financial year and subsection 8(4C) relates to subsequent financial years.</w:t>
      </w:r>
      <w:r w:rsidR="0077730C" w:rsidRPr="00233B4A">
        <w:rPr>
          <w:lang w:val="en-US" w:eastAsia="en-US"/>
        </w:rPr>
        <w:t xml:space="preserve"> </w:t>
      </w:r>
      <w:r w:rsidR="00334055">
        <w:rPr>
          <w:rStyle w:val="Referencingstyle"/>
        </w:rPr>
        <w:t xml:space="preserve">[Part 1, </w:t>
      </w:r>
      <w:r w:rsidR="00D02282">
        <w:rPr>
          <w:rStyle w:val="Referencingstyle"/>
        </w:rPr>
        <w:t>section</w:t>
      </w:r>
      <w:r w:rsidR="0077730C">
        <w:rPr>
          <w:rStyle w:val="Referencingstyle"/>
        </w:rPr>
        <w:t xml:space="preserve"> </w:t>
      </w:r>
      <w:r w:rsidR="003F3133">
        <w:rPr>
          <w:rStyle w:val="Referencingstyle"/>
        </w:rPr>
        <w:t>6</w:t>
      </w:r>
      <w:r w:rsidR="0077730C">
        <w:rPr>
          <w:rStyle w:val="Referencingstyle"/>
        </w:rPr>
        <w:t>]</w:t>
      </w:r>
      <w:r w:rsidR="00FF7C95" w:rsidRPr="00350570">
        <w:t>.</w:t>
      </w:r>
    </w:p>
    <w:p w14:paraId="6E46693B" w14:textId="77777777" w:rsidR="0035161B" w:rsidRDefault="00FF7C95" w:rsidP="000F194A">
      <w:pPr>
        <w:pStyle w:val="base-text-paragraph"/>
      </w:pPr>
      <w:r>
        <w:t xml:space="preserve">Section </w:t>
      </w:r>
      <w:r w:rsidR="003F3133">
        <w:t>7</w:t>
      </w:r>
      <w:r>
        <w:t xml:space="preserve"> establishes the amount of supervisory levy payable for quarters in the financial year starting on 1 July 2015 (ending 30</w:t>
      </w:r>
      <w:r w:rsidR="00C53743">
        <w:t> </w:t>
      </w:r>
      <w:r>
        <w:t>June</w:t>
      </w:r>
      <w:r w:rsidR="00C53743">
        <w:t> </w:t>
      </w:r>
      <w:r>
        <w:t>2016). For these quarters</w:t>
      </w:r>
      <w:r w:rsidR="001A14DD">
        <w:t>,</w:t>
      </w:r>
      <w:r>
        <w:t xml:space="preserve"> the amount of levy payable is the amount of </w:t>
      </w:r>
      <w:r w:rsidR="00233B4A">
        <w:t xml:space="preserve">the </w:t>
      </w:r>
      <w:r>
        <w:t xml:space="preserve">Council Administration Levy that would have been payable in the relevant quarter under the </w:t>
      </w:r>
      <w:r w:rsidRPr="00233B4A">
        <w:t>Private Health Insurance (Council Administration Levy) Rules 2007,</w:t>
      </w:r>
      <w:r>
        <w:t xml:space="preserve"> </w:t>
      </w:r>
      <w:r w:rsidR="00233B4A">
        <w:t xml:space="preserve">as </w:t>
      </w:r>
      <w:r>
        <w:t>if that instrument and other relevant legislation had continued to be in effect</w:t>
      </w:r>
      <w:r w:rsidR="0080594B">
        <w:t>.</w:t>
      </w:r>
      <w:r w:rsidR="00E93B70">
        <w:t xml:space="preserve"> </w:t>
      </w:r>
      <w:r w:rsidR="00334055">
        <w:rPr>
          <w:rStyle w:val="Referencingstyle"/>
        </w:rPr>
        <w:t>[Part 1,</w:t>
      </w:r>
      <w:r w:rsidR="00D02282">
        <w:rPr>
          <w:rStyle w:val="Referencingstyle"/>
        </w:rPr>
        <w:t>section</w:t>
      </w:r>
      <w:r w:rsidR="00334055">
        <w:rPr>
          <w:rStyle w:val="Referencingstyle"/>
        </w:rPr>
        <w:t xml:space="preserve"> </w:t>
      </w:r>
      <w:r w:rsidR="003F3133">
        <w:rPr>
          <w:rStyle w:val="Referencingstyle"/>
        </w:rPr>
        <w:t>7</w:t>
      </w:r>
      <w:r w:rsidR="00CE4BF2">
        <w:rPr>
          <w:rStyle w:val="Referencingstyle"/>
        </w:rPr>
        <w:t>, Subsections (1) and </w:t>
      </w:r>
      <w:r w:rsidR="00E93B70">
        <w:rPr>
          <w:rStyle w:val="Referencingstyle"/>
        </w:rPr>
        <w:t>(2)]</w:t>
      </w:r>
    </w:p>
    <w:p w14:paraId="1E3FE1AA" w14:textId="77777777" w:rsidR="00FF7C95" w:rsidRDefault="00FF7C95" w:rsidP="000F194A">
      <w:pPr>
        <w:pStyle w:val="base-text-paragraph"/>
      </w:pPr>
      <w:r>
        <w:t xml:space="preserve">This is in order to align the levy payable by private health insurance entities in 2015-16 with the levy that they would have paid to </w:t>
      </w:r>
      <w:r w:rsidR="00FA4083">
        <w:t xml:space="preserve">the </w:t>
      </w:r>
      <w:r>
        <w:t xml:space="preserve">Council if it had continued to </w:t>
      </w:r>
      <w:r w:rsidR="001A14DD">
        <w:t>operate</w:t>
      </w:r>
      <w:r>
        <w:t xml:space="preserve">. </w:t>
      </w:r>
    </w:p>
    <w:p w14:paraId="13C0F986" w14:textId="77777777" w:rsidR="00FF7C95" w:rsidRDefault="00FF7C95" w:rsidP="000F194A">
      <w:pPr>
        <w:pStyle w:val="base-text-paragraph"/>
      </w:pPr>
      <w:r>
        <w:t xml:space="preserve">Section </w:t>
      </w:r>
      <w:r w:rsidR="003F3133">
        <w:t>8</w:t>
      </w:r>
      <w:r>
        <w:t xml:space="preserve"> establishes how the amount of </w:t>
      </w:r>
      <w:r w:rsidR="00233B4A">
        <w:t xml:space="preserve">the </w:t>
      </w:r>
      <w:r w:rsidR="00D02282">
        <w:t>s</w:t>
      </w:r>
      <w:r w:rsidR="00233B4A">
        <w:t xml:space="preserve">upervisory </w:t>
      </w:r>
      <w:r w:rsidR="00D02282">
        <w:t>l</w:t>
      </w:r>
      <w:r>
        <w:t>evy payable by a private health insurer will be determined for the 2016-17 (</w:t>
      </w:r>
      <w:r w:rsidR="00FA4083">
        <w:t xml:space="preserve">and </w:t>
      </w:r>
      <w:r>
        <w:t xml:space="preserve">later) financial years. It applies to </w:t>
      </w:r>
      <w:r w:rsidR="001A14DD">
        <w:t>any</w:t>
      </w:r>
      <w:r>
        <w:t xml:space="preserve"> levy</w:t>
      </w:r>
      <w:r w:rsidR="001A14DD">
        <w:t xml:space="preserve"> amounts</w:t>
      </w:r>
      <w:r>
        <w:t xml:space="preserve"> payable in accordance with subsection 8(4C) of the </w:t>
      </w:r>
      <w:r w:rsidR="00A866AA">
        <w:t>FISLC</w:t>
      </w:r>
      <w:r w:rsidR="00FA4083" w:rsidRPr="00233B4A">
        <w:t xml:space="preserve"> Act</w:t>
      </w:r>
      <w:r w:rsidR="00233B4A" w:rsidRPr="00233B4A">
        <w:t>, as amended by the Consequential Amendments and Transitional Provisions Bill</w:t>
      </w:r>
      <w:r w:rsidR="0080594B">
        <w:t>.</w:t>
      </w:r>
      <w:r w:rsidR="00E93B70" w:rsidRPr="00233B4A">
        <w:t xml:space="preserve"> </w:t>
      </w:r>
      <w:r w:rsidR="00334055">
        <w:rPr>
          <w:rStyle w:val="Referencingstyle"/>
        </w:rPr>
        <w:t xml:space="preserve">[Part 1, </w:t>
      </w:r>
      <w:r w:rsidR="00D02282">
        <w:rPr>
          <w:rStyle w:val="Referencingstyle"/>
        </w:rPr>
        <w:t xml:space="preserve">section </w:t>
      </w:r>
      <w:r w:rsidR="003F3133">
        <w:rPr>
          <w:rStyle w:val="Referencingstyle"/>
        </w:rPr>
        <w:t>8</w:t>
      </w:r>
      <w:r w:rsidR="00E93B70">
        <w:rPr>
          <w:rStyle w:val="Referencingstyle"/>
        </w:rPr>
        <w:t>, Subsection (1)]</w:t>
      </w:r>
    </w:p>
    <w:p w14:paraId="6D313715" w14:textId="77777777" w:rsidR="00FF7C95" w:rsidRDefault="007F26D3" w:rsidP="000F194A">
      <w:pPr>
        <w:pStyle w:val="base-text-paragraph"/>
      </w:pPr>
      <w:r>
        <w:t>Subsection 8</w:t>
      </w:r>
      <w:r w:rsidR="00626718">
        <w:t>(2) states that t</w:t>
      </w:r>
      <w:r w:rsidR="00FF7C95">
        <w:t xml:space="preserve">he amount of </w:t>
      </w:r>
      <w:r w:rsidR="00626718">
        <w:t xml:space="preserve">supervisory </w:t>
      </w:r>
      <w:r w:rsidR="00FF7C95">
        <w:t xml:space="preserve">levy payable will be the sum of the levy amounts (that is, </w:t>
      </w:r>
      <w:r w:rsidR="001A14DD">
        <w:t>the amounts for both</w:t>
      </w:r>
      <w:r w:rsidR="00FF7C95">
        <w:t xml:space="preserve"> </w:t>
      </w:r>
      <w:r w:rsidR="00626718">
        <w:t xml:space="preserve">complying </w:t>
      </w:r>
      <w:r w:rsidR="00FF7C95">
        <w:t>single and joint health insurance policies) calculated using the levy deter</w:t>
      </w:r>
      <w:r w:rsidR="00626718">
        <w:t>mination for the relevant year. The number of complying single and joint health insurance policies will be calculated on either:</w:t>
      </w:r>
    </w:p>
    <w:p w14:paraId="141B23AE" w14:textId="77777777" w:rsidR="00626718" w:rsidRDefault="00C53743" w:rsidP="00626718">
      <w:pPr>
        <w:pStyle w:val="dotpoint"/>
      </w:pPr>
      <w:r>
        <w:t>t</w:t>
      </w:r>
      <w:r w:rsidR="00626718">
        <w:t>he census day for the financial year; or</w:t>
      </w:r>
    </w:p>
    <w:p w14:paraId="70349835" w14:textId="77777777" w:rsidR="00626718" w:rsidRPr="00350570" w:rsidRDefault="00C53743" w:rsidP="00626718">
      <w:pPr>
        <w:pStyle w:val="dotpoint"/>
      </w:pPr>
      <w:r>
        <w:t>i</w:t>
      </w:r>
      <w:r w:rsidR="00626718">
        <w:t>f the levy imposition day for an insurer for the levy year is later than that census day, the levy imposition day</w:t>
      </w:r>
      <w:r w:rsidR="0080594B">
        <w:t>.</w:t>
      </w:r>
      <w:r w:rsidR="00E93B70">
        <w:t xml:space="preserve"> </w:t>
      </w:r>
      <w:r w:rsidR="007F26D3">
        <w:rPr>
          <w:rStyle w:val="Referencingstyle"/>
        </w:rPr>
        <w:t>[</w:t>
      </w:r>
      <w:r w:rsidR="00334055">
        <w:rPr>
          <w:rStyle w:val="Referencingstyle"/>
        </w:rPr>
        <w:t xml:space="preserve">Part 1, </w:t>
      </w:r>
      <w:r w:rsidR="00D02282">
        <w:rPr>
          <w:rStyle w:val="Referencingstyle"/>
        </w:rPr>
        <w:t xml:space="preserve">section </w:t>
      </w:r>
      <w:r w:rsidR="007F26D3">
        <w:rPr>
          <w:rStyle w:val="Referencingstyle"/>
        </w:rPr>
        <w:t>8</w:t>
      </w:r>
      <w:r w:rsidR="00E93B70">
        <w:rPr>
          <w:rStyle w:val="Referencingstyle"/>
        </w:rPr>
        <w:t>, Subsection (2)]</w:t>
      </w:r>
    </w:p>
    <w:p w14:paraId="2CC02CD4" w14:textId="77777777" w:rsidR="00626718" w:rsidRDefault="00626718" w:rsidP="000F194A">
      <w:pPr>
        <w:pStyle w:val="base-text-paragraph"/>
      </w:pPr>
      <w:r>
        <w:t xml:space="preserve">Subsection </w:t>
      </w:r>
      <w:r w:rsidR="003F3133">
        <w:t>8</w:t>
      </w:r>
      <w:r>
        <w:t xml:space="preserve">(3) provides the mechanism to calculate the levy payable if the levy imposition day for the private health insurer is later than 1 July in the financial year. </w:t>
      </w:r>
      <w:r w:rsidR="00753791">
        <w:t xml:space="preserve">This will be relevant where an insurer is registered as a private health insurer after 1 July in a </w:t>
      </w:r>
      <w:r w:rsidR="00807199">
        <w:t xml:space="preserve">particular </w:t>
      </w:r>
      <w:r w:rsidR="00753791">
        <w:t>year</w:t>
      </w:r>
      <w:r w:rsidR="00807199">
        <w:t>.</w:t>
      </w:r>
      <w:r w:rsidR="00E93B70">
        <w:t xml:space="preserve"> </w:t>
      </w:r>
    </w:p>
    <w:p w14:paraId="6384995B" w14:textId="77777777" w:rsidR="00626718" w:rsidRDefault="00626718" w:rsidP="000F194A">
      <w:pPr>
        <w:pStyle w:val="base-text-paragraph"/>
      </w:pPr>
      <w:r>
        <w:t>This formula</w:t>
      </w:r>
      <w:r w:rsidRPr="00753791">
        <w:t xml:space="preserve"> </w:t>
      </w:r>
      <w:r w:rsidR="00753791" w:rsidRPr="00753791">
        <w:t>prorates</w:t>
      </w:r>
      <w:r>
        <w:t xml:space="preserve"> the levy that would have been payable by the insurer if their levy had been calculated </w:t>
      </w:r>
      <w:r w:rsidR="00753791">
        <w:t>on 1 July</w:t>
      </w:r>
      <w:r>
        <w:t xml:space="preserve"> on the basis of the number of days remaining in the year (including the levy imposition day</w:t>
      </w:r>
      <w:r w:rsidR="00985CDB">
        <w:t>)</w:t>
      </w:r>
      <w:r>
        <w:t xml:space="preserve">. </w:t>
      </w:r>
    </w:p>
    <w:p w14:paraId="70FC17D0" w14:textId="77777777" w:rsidR="00626718" w:rsidRDefault="00626718" w:rsidP="000F194A">
      <w:pPr>
        <w:pStyle w:val="base-text-paragraph"/>
      </w:pPr>
      <w:r>
        <w:t xml:space="preserve">That is, if the levy payable for an insurer would have been $365 for a financial year if </w:t>
      </w:r>
      <w:r w:rsidR="00753791">
        <w:t>the imposition day was 1 July</w:t>
      </w:r>
      <w:r>
        <w:t>, but instead it is to be calculated on a sep</w:t>
      </w:r>
      <w:r w:rsidR="00807199">
        <w:t>arate ‘levy imposition day’ (for example</w:t>
      </w:r>
      <w:r>
        <w:t xml:space="preserve">, </w:t>
      </w:r>
      <w:r w:rsidR="00807199">
        <w:t xml:space="preserve">on </w:t>
      </w:r>
      <w:r>
        <w:t>July 30), the levy payable will equal</w:t>
      </w:r>
      <w:r w:rsidR="00807199">
        <w:t xml:space="preserve"> to</w:t>
      </w:r>
      <w:r>
        <w:t xml:space="preserve">: $365/655 x (1+334). That is, $335. </w:t>
      </w:r>
      <w:r w:rsidR="00334055">
        <w:rPr>
          <w:rStyle w:val="Referencingstyle"/>
        </w:rPr>
        <w:t xml:space="preserve">[Part 1, </w:t>
      </w:r>
      <w:r w:rsidR="00D02282">
        <w:rPr>
          <w:rStyle w:val="Referencingstyle"/>
        </w:rPr>
        <w:t>section</w:t>
      </w:r>
      <w:r w:rsidR="00807199">
        <w:rPr>
          <w:rStyle w:val="Referencingstyle"/>
        </w:rPr>
        <w:t xml:space="preserve"> 8, Subsection (3)]</w:t>
      </w:r>
    </w:p>
    <w:p w14:paraId="122A8C03" w14:textId="77777777" w:rsidR="00626718" w:rsidRDefault="00626718" w:rsidP="000F194A">
      <w:pPr>
        <w:pStyle w:val="base-text-paragraph"/>
      </w:pPr>
      <w:r>
        <w:t xml:space="preserve">Subsections </w:t>
      </w:r>
      <w:r w:rsidR="003F3133">
        <w:t>8</w:t>
      </w:r>
      <w:r>
        <w:t xml:space="preserve">(4) to </w:t>
      </w:r>
      <w:r w:rsidR="003F3133">
        <w:t>8</w:t>
      </w:r>
      <w:r>
        <w:t xml:space="preserve">(7) outline that from 1 July 2016 </w:t>
      </w:r>
      <w:r w:rsidR="00334055">
        <w:rPr>
          <w:rStyle w:val="Referencingstyle"/>
        </w:rPr>
        <w:t>[Part 1, item</w:t>
      </w:r>
      <w:r w:rsidR="00684075">
        <w:rPr>
          <w:rStyle w:val="Referencingstyle"/>
        </w:rPr>
        <w:t> </w:t>
      </w:r>
      <w:r w:rsidR="00807199">
        <w:rPr>
          <w:rStyle w:val="Referencingstyle"/>
        </w:rPr>
        <w:t>8</w:t>
      </w:r>
      <w:r w:rsidR="00E93B70">
        <w:rPr>
          <w:rStyle w:val="Referencingstyle"/>
        </w:rPr>
        <w:t>, Subsection (4)]</w:t>
      </w:r>
      <w:r w:rsidR="00E93B70">
        <w:t xml:space="preserve"> </w:t>
      </w:r>
      <w:r>
        <w:t>the Minister must make a levy det</w:t>
      </w:r>
      <w:r w:rsidR="00807199">
        <w:t xml:space="preserve">ermination </w:t>
      </w:r>
      <w:r w:rsidR="001042BC">
        <w:t xml:space="preserve">to determine the levy amount payable </w:t>
      </w:r>
      <w:r w:rsidR="00E93B70">
        <w:t>or a method for calculating the levy amount payable</w:t>
      </w:r>
      <w:r w:rsidR="00CE4BF2">
        <w:t>.</w:t>
      </w:r>
      <w:r w:rsidR="00E93B70">
        <w:t xml:space="preserve"> </w:t>
      </w:r>
      <w:r w:rsidR="00334055">
        <w:rPr>
          <w:rStyle w:val="Referencingstyle"/>
        </w:rPr>
        <w:t xml:space="preserve">[Part 1, </w:t>
      </w:r>
      <w:r w:rsidR="00D02282">
        <w:rPr>
          <w:rStyle w:val="Referencingstyle"/>
        </w:rPr>
        <w:t xml:space="preserve">section </w:t>
      </w:r>
      <w:r w:rsidR="004D7822">
        <w:rPr>
          <w:rStyle w:val="Referencingstyle"/>
        </w:rPr>
        <w:t>8</w:t>
      </w:r>
      <w:r w:rsidR="00E93B70">
        <w:rPr>
          <w:rStyle w:val="Referencingstyle"/>
        </w:rPr>
        <w:t>, Subsection (6)]</w:t>
      </w:r>
      <w:r w:rsidR="001042BC">
        <w:t xml:space="preserve"> This determination must:</w:t>
      </w:r>
    </w:p>
    <w:p w14:paraId="054A15E7" w14:textId="77777777" w:rsidR="003F3133" w:rsidRDefault="003F3133" w:rsidP="003F3133">
      <w:pPr>
        <w:pStyle w:val="dotpoint"/>
      </w:pPr>
      <w:r>
        <w:t xml:space="preserve">specify a day in the financial year as the census day </w:t>
      </w:r>
      <w:r w:rsidR="00334055">
        <w:rPr>
          <w:rStyle w:val="Referencingstyle"/>
        </w:rPr>
        <w:t xml:space="preserve">[Part 1, </w:t>
      </w:r>
      <w:r w:rsidR="00D02282">
        <w:rPr>
          <w:rStyle w:val="Referencingstyle"/>
        </w:rPr>
        <w:t xml:space="preserve">section </w:t>
      </w:r>
      <w:r>
        <w:rPr>
          <w:rStyle w:val="Referencingstyle"/>
        </w:rPr>
        <w:t>8, Subsection (5)]</w:t>
      </w:r>
      <w:r>
        <w:t>; and</w:t>
      </w:r>
    </w:p>
    <w:p w14:paraId="0636E4FC" w14:textId="77777777" w:rsidR="003F3133" w:rsidRDefault="003F3133" w:rsidP="00D75113">
      <w:pPr>
        <w:pStyle w:val="dotpoint"/>
        <w:keepNext/>
        <w:keepLines/>
        <w:ind w:left="2269" w:hanging="284"/>
      </w:pPr>
      <w:r>
        <w:t xml:space="preserve">provide for the levy amount to be calculated with regard to the number of complying health insurance policies on issue on the census day, </w:t>
      </w:r>
      <w:r w:rsidR="00985CDB">
        <w:t>to</w:t>
      </w:r>
      <w:r>
        <w:t xml:space="preserve"> be calculated by applying different levy amounts depending on the number of people insured (for example to single and joint health insurance policies), and may determine a levy amount of zero </w:t>
      </w:r>
      <w:r w:rsidR="00334055">
        <w:rPr>
          <w:rStyle w:val="Referencingstyle"/>
        </w:rPr>
        <w:t>[Part 1,</w:t>
      </w:r>
      <w:r w:rsidR="00D02282">
        <w:rPr>
          <w:rStyle w:val="Referencingstyle"/>
        </w:rPr>
        <w:t>section</w:t>
      </w:r>
      <w:r w:rsidR="00334055">
        <w:rPr>
          <w:rStyle w:val="Referencingstyle"/>
        </w:rPr>
        <w:t xml:space="preserve"> </w:t>
      </w:r>
      <w:r>
        <w:rPr>
          <w:rStyle w:val="Referencingstyle"/>
        </w:rPr>
        <w:t>8, Subsection (7)(a),(b), and (c)]</w:t>
      </w:r>
      <w:r>
        <w:t>; and</w:t>
      </w:r>
    </w:p>
    <w:p w14:paraId="02FB5584" w14:textId="77777777" w:rsidR="001042BC" w:rsidRDefault="003F3133" w:rsidP="00CF2A8C">
      <w:pPr>
        <w:pStyle w:val="dotpoint"/>
      </w:pPr>
      <w:r>
        <w:t xml:space="preserve">ensure that the levy amount per single health insurance policy cannot exceed $2 and the levy amount for all other health insurance policies cannot exceed $4 </w:t>
      </w:r>
      <w:r>
        <w:rPr>
          <w:rStyle w:val="Referencingstyle"/>
        </w:rPr>
        <w:t>[P</w:t>
      </w:r>
      <w:r w:rsidR="00334055">
        <w:rPr>
          <w:rStyle w:val="Referencingstyle"/>
        </w:rPr>
        <w:t xml:space="preserve">art 1, </w:t>
      </w:r>
      <w:r w:rsidR="00D02282">
        <w:rPr>
          <w:rStyle w:val="Referencingstyle"/>
        </w:rPr>
        <w:t xml:space="preserve">section </w:t>
      </w:r>
      <w:r>
        <w:rPr>
          <w:rStyle w:val="Referencingstyle"/>
        </w:rPr>
        <w:t xml:space="preserve"> 8, Subsection (7)(d)]</w:t>
      </w:r>
      <w:r>
        <w:t xml:space="preserve">. </w:t>
      </w:r>
    </w:p>
    <w:p w14:paraId="6E6CC991" w14:textId="77777777" w:rsidR="004C2C59" w:rsidRDefault="004C2C59" w:rsidP="000F194A">
      <w:pPr>
        <w:pStyle w:val="base-text-paragraph"/>
        <w:sectPr w:rsidR="004C2C59" w:rsidSect="00446279">
          <w:headerReference w:type="even" r:id="rId84"/>
          <w:headerReference w:type="default" r:id="rId85"/>
          <w:footerReference w:type="even" r:id="rId86"/>
          <w:footerReference w:type="default" r:id="rId87"/>
          <w:footerReference w:type="first" r:id="rId88"/>
          <w:type w:val="oddPage"/>
          <w:pgSz w:w="11906" w:h="16838" w:code="9"/>
          <w:pgMar w:top="2466" w:right="2098" w:bottom="2466" w:left="2098" w:header="1559" w:footer="1899" w:gutter="0"/>
          <w:cols w:space="708"/>
          <w:titlePg/>
          <w:docGrid w:linePitch="360"/>
        </w:sectPr>
      </w:pPr>
    </w:p>
    <w:p w14:paraId="5E7DB16A" w14:textId="77777777" w:rsidR="009C071B" w:rsidRPr="00F51A71" w:rsidRDefault="009C071B" w:rsidP="009C071B">
      <w:pPr>
        <w:pStyle w:val="ChapterHeading"/>
        <w:numPr>
          <w:ilvl w:val="0"/>
          <w:numId w:val="28"/>
        </w:numPr>
        <w:tabs>
          <w:tab w:val="clear" w:pos="1134"/>
          <w:tab w:val="num" w:pos="360"/>
        </w:tabs>
      </w:pPr>
      <w:r w:rsidRPr="00F51A71">
        <w:br/>
      </w:r>
      <w:bookmarkStart w:id="252" w:name="_Toc416957165"/>
      <w:bookmarkStart w:id="253" w:name="_Toc418177772"/>
      <w:bookmarkStart w:id="254" w:name="_Toc418249769"/>
      <w:r w:rsidR="00FA013A">
        <w:t xml:space="preserve">Private Health Insurance </w:t>
      </w:r>
      <w:r w:rsidR="00293C49">
        <w:t>Risk Equalisation Levy</w:t>
      </w:r>
      <w:bookmarkEnd w:id="252"/>
      <w:bookmarkEnd w:id="253"/>
      <w:bookmarkEnd w:id="254"/>
    </w:p>
    <w:p w14:paraId="170C2586" w14:textId="77777777" w:rsidR="009C071B" w:rsidRDefault="009C071B" w:rsidP="00446279">
      <w:pPr>
        <w:pStyle w:val="Heading2"/>
      </w:pPr>
      <w:r>
        <w:t>Outline of chapter</w:t>
      </w:r>
    </w:p>
    <w:p w14:paraId="48083C61" w14:textId="77777777" w:rsidR="004D7822" w:rsidRDefault="004D7822" w:rsidP="00895A95">
      <w:pPr>
        <w:pStyle w:val="base-text-paragraph"/>
        <w:tabs>
          <w:tab w:val="clear" w:pos="1985"/>
          <w:tab w:val="num" w:pos="1986"/>
        </w:tabs>
      </w:pPr>
      <w:r>
        <w:t xml:space="preserve">Chapter 12 relates to amendments to the </w:t>
      </w:r>
      <w:r w:rsidR="00895A95" w:rsidRPr="003626B5">
        <w:t>Risk</w:t>
      </w:r>
      <w:r w:rsidR="00C341C2">
        <w:t> </w:t>
      </w:r>
      <w:r w:rsidR="00895A95" w:rsidRPr="003626B5">
        <w:t>Equalisation</w:t>
      </w:r>
      <w:r w:rsidR="00C341C2">
        <w:t> </w:t>
      </w:r>
      <w:r w:rsidR="00895A95" w:rsidRPr="003626B5">
        <w:t>Levy</w:t>
      </w:r>
      <w:r w:rsidR="00C341C2">
        <w:t> </w:t>
      </w:r>
      <w:r w:rsidR="00895A95" w:rsidRPr="00CE4BF2">
        <w:t>Act</w:t>
      </w:r>
      <w:r>
        <w:t xml:space="preserve">. </w:t>
      </w:r>
    </w:p>
    <w:p w14:paraId="7F011FA3" w14:textId="77777777" w:rsidR="00C341C2" w:rsidRDefault="00C341C2" w:rsidP="00895A95">
      <w:pPr>
        <w:pStyle w:val="base-text-paragraph"/>
        <w:tabs>
          <w:tab w:val="clear" w:pos="1985"/>
          <w:tab w:val="num" w:pos="1986"/>
        </w:tabs>
      </w:pPr>
      <w:r>
        <w:t xml:space="preserve">Unless otherwise stated, all references in this Chapter relate to the </w:t>
      </w:r>
      <w:r>
        <w:rPr>
          <w:rStyle w:val="Referencingstyle"/>
          <w:b w:val="0"/>
          <w:i w:val="0"/>
          <w:sz w:val="22"/>
        </w:rPr>
        <w:t>Risk Equalisation Levy Amendment Bill.</w:t>
      </w:r>
    </w:p>
    <w:p w14:paraId="6927BE94" w14:textId="77777777" w:rsidR="009C071B" w:rsidRDefault="009C071B" w:rsidP="00446279">
      <w:pPr>
        <w:pStyle w:val="Heading2"/>
      </w:pPr>
      <w:r>
        <w:t>Summary of new law</w:t>
      </w:r>
    </w:p>
    <w:p w14:paraId="34C7121A" w14:textId="77777777" w:rsidR="004C2C59" w:rsidRPr="00A44FD5" w:rsidRDefault="004C2C59" w:rsidP="00895A95">
      <w:pPr>
        <w:pStyle w:val="base-text-paragraph"/>
        <w:tabs>
          <w:tab w:val="clear" w:pos="1985"/>
          <w:tab w:val="num" w:pos="1986"/>
        </w:tabs>
      </w:pPr>
      <w:r>
        <w:t xml:space="preserve">The </w:t>
      </w:r>
      <w:r w:rsidR="00EF6D1C">
        <w:t>Risk Equalisation Levy</w:t>
      </w:r>
      <w:r w:rsidR="00EF6D1C" w:rsidRPr="004C2C59">
        <w:t xml:space="preserve"> Amendment Bill </w:t>
      </w:r>
      <w:r>
        <w:t xml:space="preserve">amends the </w:t>
      </w:r>
      <w:r w:rsidR="00895A95" w:rsidRPr="003626B5">
        <w:t xml:space="preserve">Risk Equalisation Levy </w:t>
      </w:r>
      <w:r w:rsidR="00895A95" w:rsidRPr="00CE4BF2">
        <w:t>Act</w:t>
      </w:r>
      <w:r w:rsidRPr="004B26EC">
        <w:t xml:space="preserve"> </w:t>
      </w:r>
      <w:r>
        <w:t xml:space="preserve">to give APRA the functions of the Council under the </w:t>
      </w:r>
      <w:r w:rsidR="000F6584" w:rsidRPr="00CE4BF2">
        <w:t>Risk Equalisation Levy</w:t>
      </w:r>
      <w:r w:rsidR="000F6584" w:rsidRPr="003626B5">
        <w:t xml:space="preserve"> Act</w:t>
      </w:r>
      <w:r w:rsidRPr="004B26EC">
        <w:t xml:space="preserve">. </w:t>
      </w:r>
    </w:p>
    <w:p w14:paraId="540E3D38" w14:textId="77777777" w:rsidR="009C071B" w:rsidRDefault="009C071B" w:rsidP="00446279">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9C071B" w:rsidRPr="004666B8" w14:paraId="63E24161" w14:textId="77777777" w:rsidTr="00276616">
        <w:trPr>
          <w:tblHeader/>
        </w:trPr>
        <w:tc>
          <w:tcPr>
            <w:tcW w:w="3275" w:type="dxa"/>
          </w:tcPr>
          <w:p w14:paraId="414F7C03" w14:textId="77777777" w:rsidR="009C071B" w:rsidRPr="004666B8" w:rsidRDefault="009C071B" w:rsidP="00446279">
            <w:pPr>
              <w:pStyle w:val="tableheaderwithintable"/>
              <w:rPr>
                <w:lang w:val="en-US" w:eastAsia="en-US"/>
              </w:rPr>
            </w:pPr>
            <w:r w:rsidRPr="004666B8">
              <w:rPr>
                <w:lang w:val="en-US" w:eastAsia="en-US"/>
              </w:rPr>
              <w:t>New law</w:t>
            </w:r>
          </w:p>
        </w:tc>
        <w:tc>
          <w:tcPr>
            <w:tcW w:w="3276" w:type="dxa"/>
          </w:tcPr>
          <w:p w14:paraId="215563CC" w14:textId="77777777" w:rsidR="009C071B" w:rsidRPr="004666B8" w:rsidRDefault="009C071B" w:rsidP="00446279">
            <w:pPr>
              <w:pStyle w:val="tableheaderwithintable"/>
              <w:rPr>
                <w:lang w:val="en-US" w:eastAsia="en-US"/>
              </w:rPr>
            </w:pPr>
            <w:r w:rsidRPr="004666B8">
              <w:rPr>
                <w:lang w:val="en-US" w:eastAsia="en-US"/>
              </w:rPr>
              <w:t>Current law</w:t>
            </w:r>
          </w:p>
        </w:tc>
      </w:tr>
      <w:tr w:rsidR="009C071B" w:rsidRPr="004666B8" w14:paraId="4860D6B8" w14:textId="77777777" w:rsidTr="00446279">
        <w:tc>
          <w:tcPr>
            <w:tcW w:w="3275" w:type="dxa"/>
          </w:tcPr>
          <w:p w14:paraId="79F30FE2" w14:textId="77777777" w:rsidR="007D0604" w:rsidRDefault="007D0604" w:rsidP="007D0604">
            <w:pPr>
              <w:pStyle w:val="tabletext"/>
              <w:rPr>
                <w:sz w:val="22"/>
                <w:szCs w:val="22"/>
                <w:lang w:val="en-US" w:eastAsia="en-US"/>
              </w:rPr>
            </w:pPr>
            <w:r w:rsidRPr="007334E6">
              <w:rPr>
                <w:sz w:val="22"/>
                <w:szCs w:val="22"/>
                <w:lang w:val="en-US" w:eastAsia="en-US"/>
              </w:rPr>
              <w:t>Reflects current legislation</w:t>
            </w:r>
          </w:p>
          <w:p w14:paraId="7CB555A5" w14:textId="77777777" w:rsidR="009C071B" w:rsidRPr="007334E6" w:rsidRDefault="009C071B" w:rsidP="00446279">
            <w:pPr>
              <w:pStyle w:val="tabletext"/>
              <w:rPr>
                <w:sz w:val="22"/>
                <w:szCs w:val="22"/>
                <w:lang w:val="en-US" w:eastAsia="en-US"/>
              </w:rPr>
            </w:pPr>
          </w:p>
        </w:tc>
        <w:tc>
          <w:tcPr>
            <w:tcW w:w="3276" w:type="dxa"/>
          </w:tcPr>
          <w:p w14:paraId="53A3A795" w14:textId="77777777" w:rsidR="009C071B" w:rsidRPr="007334E6" w:rsidRDefault="007D0604" w:rsidP="00446279">
            <w:pPr>
              <w:pStyle w:val="tabletext"/>
              <w:rPr>
                <w:sz w:val="22"/>
                <w:szCs w:val="22"/>
                <w:lang w:val="en-US" w:eastAsia="en-US"/>
              </w:rPr>
            </w:pPr>
            <w:r>
              <w:rPr>
                <w:sz w:val="22"/>
                <w:szCs w:val="22"/>
                <w:lang w:val="en-US" w:eastAsia="en-US"/>
              </w:rPr>
              <w:t xml:space="preserve">The </w:t>
            </w:r>
            <w:r w:rsidRPr="007334E6">
              <w:rPr>
                <w:sz w:val="22"/>
                <w:szCs w:val="22"/>
                <w:lang w:val="en-US" w:eastAsia="en-US"/>
              </w:rPr>
              <w:t>Risk Equalisation Levy is imposed to allow for cross</w:t>
            </w:r>
            <w:r>
              <w:rPr>
                <w:sz w:val="22"/>
                <w:szCs w:val="22"/>
                <w:lang w:val="en-US" w:eastAsia="en-US"/>
              </w:rPr>
              <w:noBreakHyphen/>
            </w:r>
            <w:r w:rsidRPr="007334E6">
              <w:rPr>
                <w:sz w:val="22"/>
                <w:szCs w:val="22"/>
                <w:lang w:val="en-US" w:eastAsia="en-US"/>
              </w:rPr>
              <w:t>subsidisation of high</w:t>
            </w:r>
            <w:r w:rsidRPr="007334E6">
              <w:rPr>
                <w:sz w:val="22"/>
                <w:szCs w:val="22"/>
                <w:lang w:val="en-US" w:eastAsia="en-US"/>
              </w:rPr>
              <w:noBreakHyphen/>
              <w:t>cost policy holders between insurers, to assist insurers offset the costs of complying with the community rating principle.</w:t>
            </w:r>
          </w:p>
        </w:tc>
      </w:tr>
      <w:tr w:rsidR="00A80176" w:rsidRPr="004666B8" w14:paraId="7B09D25C" w14:textId="77777777" w:rsidTr="00446279">
        <w:tc>
          <w:tcPr>
            <w:tcW w:w="3275" w:type="dxa"/>
          </w:tcPr>
          <w:p w14:paraId="461A37A5" w14:textId="77777777" w:rsidR="00A80176" w:rsidRPr="007334E6" w:rsidRDefault="007D0604" w:rsidP="00446279">
            <w:pPr>
              <w:pStyle w:val="tabletext"/>
              <w:rPr>
                <w:sz w:val="22"/>
                <w:szCs w:val="22"/>
                <w:lang w:val="en-US" w:eastAsia="en-US"/>
              </w:rPr>
            </w:pPr>
            <w:r w:rsidRPr="007334E6">
              <w:rPr>
                <w:sz w:val="22"/>
                <w:szCs w:val="22"/>
                <w:lang w:val="en-US" w:eastAsia="en-US"/>
              </w:rPr>
              <w:t>Reflects current legislation</w:t>
            </w:r>
          </w:p>
        </w:tc>
        <w:tc>
          <w:tcPr>
            <w:tcW w:w="3276" w:type="dxa"/>
          </w:tcPr>
          <w:p w14:paraId="76D596DF" w14:textId="77777777" w:rsidR="00A80176" w:rsidRPr="007334E6" w:rsidRDefault="007D0604" w:rsidP="00CE4BF2">
            <w:pPr>
              <w:pStyle w:val="tabletext"/>
              <w:rPr>
                <w:sz w:val="22"/>
                <w:szCs w:val="22"/>
                <w:lang w:val="en-US" w:eastAsia="en-US"/>
              </w:rPr>
            </w:pPr>
            <w:r w:rsidRPr="007334E6">
              <w:rPr>
                <w:sz w:val="22"/>
                <w:szCs w:val="22"/>
                <w:lang w:val="en-US" w:eastAsia="en-US"/>
              </w:rPr>
              <w:t>Risk Equalisation Levy imposition days are set by the Health</w:t>
            </w:r>
            <w:r w:rsidR="00CE4BF2">
              <w:rPr>
                <w:sz w:val="22"/>
                <w:szCs w:val="22"/>
                <w:lang w:val="en-US" w:eastAsia="en-US"/>
              </w:rPr>
              <w:t xml:space="preserve"> Minister</w:t>
            </w:r>
            <w:r w:rsidRPr="007334E6">
              <w:rPr>
                <w:sz w:val="22"/>
                <w:szCs w:val="22"/>
                <w:lang w:val="en-US" w:eastAsia="en-US"/>
              </w:rPr>
              <w:t xml:space="preserve"> in the Private Health Insurance (Risk Equalisat</w:t>
            </w:r>
            <w:r w:rsidR="00C07FC4">
              <w:rPr>
                <w:sz w:val="22"/>
                <w:szCs w:val="22"/>
                <w:lang w:val="en-US" w:eastAsia="en-US"/>
              </w:rPr>
              <w:t xml:space="preserve">ion Levy) Rules. A maximum of four </w:t>
            </w:r>
            <w:r w:rsidRPr="007334E6">
              <w:rPr>
                <w:sz w:val="22"/>
                <w:szCs w:val="22"/>
                <w:lang w:val="en-US" w:eastAsia="en-US"/>
              </w:rPr>
              <w:t>days per financial year may be set</w:t>
            </w:r>
            <w:r w:rsidR="00C07FC4">
              <w:rPr>
                <w:sz w:val="22"/>
                <w:szCs w:val="22"/>
                <w:lang w:val="en-US" w:eastAsia="en-US"/>
              </w:rPr>
              <w:t>, plus a maximum of two</w:t>
            </w:r>
            <w:r w:rsidR="00CF4425" w:rsidRPr="00CF4425">
              <w:rPr>
                <w:sz w:val="22"/>
                <w:szCs w:val="22"/>
                <w:lang w:val="en-US" w:eastAsia="en-US"/>
              </w:rPr>
              <w:t xml:space="preserve"> supplementary imposition days.</w:t>
            </w:r>
            <w:r w:rsidRPr="007334E6">
              <w:rPr>
                <w:sz w:val="22"/>
                <w:szCs w:val="22"/>
                <w:lang w:val="en-US" w:eastAsia="en-US"/>
              </w:rPr>
              <w:t xml:space="preserve"> </w:t>
            </w:r>
          </w:p>
        </w:tc>
      </w:tr>
      <w:tr w:rsidR="00A80176" w:rsidRPr="004666B8" w14:paraId="368AE77C" w14:textId="77777777" w:rsidTr="00446279">
        <w:tc>
          <w:tcPr>
            <w:tcW w:w="3275" w:type="dxa"/>
          </w:tcPr>
          <w:p w14:paraId="42D7FC3F" w14:textId="77777777" w:rsidR="00A80176" w:rsidRPr="007334E6" w:rsidRDefault="00A80176" w:rsidP="00875793">
            <w:pPr>
              <w:pStyle w:val="tabletext"/>
              <w:keepNext/>
              <w:keepLines/>
              <w:rPr>
                <w:sz w:val="22"/>
                <w:szCs w:val="22"/>
                <w:lang w:val="en-US" w:eastAsia="en-US"/>
              </w:rPr>
            </w:pPr>
            <w:r w:rsidRPr="007334E6">
              <w:rPr>
                <w:sz w:val="22"/>
                <w:szCs w:val="22"/>
                <w:lang w:val="en-US" w:eastAsia="en-US"/>
              </w:rPr>
              <w:t xml:space="preserve">The rate of </w:t>
            </w:r>
            <w:r w:rsidR="007334E6">
              <w:rPr>
                <w:sz w:val="22"/>
                <w:szCs w:val="22"/>
                <w:lang w:val="en-US" w:eastAsia="en-US"/>
              </w:rPr>
              <w:t>the Risk Equalisation L</w:t>
            </w:r>
            <w:r w:rsidRPr="007334E6">
              <w:rPr>
                <w:sz w:val="22"/>
                <w:szCs w:val="22"/>
                <w:lang w:val="en-US" w:eastAsia="en-US"/>
              </w:rPr>
              <w:t>evy is determined in writing by APRA. APRA must comply with the Private Health Insurance (Risk Equalisation Levy) Rules when setting the rate of levy.</w:t>
            </w:r>
          </w:p>
        </w:tc>
        <w:tc>
          <w:tcPr>
            <w:tcW w:w="3276" w:type="dxa"/>
          </w:tcPr>
          <w:p w14:paraId="72F4DB38" w14:textId="77777777" w:rsidR="00A80176" w:rsidRPr="007334E6" w:rsidRDefault="007D0604" w:rsidP="00875793">
            <w:pPr>
              <w:pStyle w:val="tabletext"/>
              <w:keepNext/>
              <w:keepLines/>
              <w:rPr>
                <w:sz w:val="22"/>
                <w:szCs w:val="22"/>
                <w:lang w:val="en-US" w:eastAsia="en-US"/>
              </w:rPr>
            </w:pPr>
            <w:r w:rsidRPr="007334E6">
              <w:rPr>
                <w:sz w:val="22"/>
                <w:szCs w:val="22"/>
                <w:lang w:val="en-US" w:eastAsia="en-US"/>
              </w:rPr>
              <w:t xml:space="preserve">The rate of </w:t>
            </w:r>
            <w:r>
              <w:rPr>
                <w:sz w:val="22"/>
                <w:szCs w:val="22"/>
                <w:lang w:val="en-US" w:eastAsia="en-US"/>
              </w:rPr>
              <w:t>the Risk Equalisation L</w:t>
            </w:r>
            <w:r w:rsidRPr="007334E6">
              <w:rPr>
                <w:sz w:val="22"/>
                <w:szCs w:val="22"/>
                <w:lang w:val="en-US" w:eastAsia="en-US"/>
              </w:rPr>
              <w:t xml:space="preserve">evy is determined in writing by </w:t>
            </w:r>
            <w:r>
              <w:rPr>
                <w:sz w:val="22"/>
                <w:szCs w:val="22"/>
                <w:lang w:val="en-US" w:eastAsia="en-US"/>
              </w:rPr>
              <w:t>the Council</w:t>
            </w:r>
            <w:r w:rsidRPr="007334E6">
              <w:rPr>
                <w:sz w:val="22"/>
                <w:szCs w:val="22"/>
                <w:lang w:val="en-US" w:eastAsia="en-US"/>
              </w:rPr>
              <w:t xml:space="preserve">. </w:t>
            </w:r>
            <w:r>
              <w:rPr>
                <w:sz w:val="22"/>
                <w:szCs w:val="22"/>
                <w:lang w:val="en-US" w:eastAsia="en-US"/>
              </w:rPr>
              <w:t>The Council</w:t>
            </w:r>
            <w:r w:rsidRPr="007334E6">
              <w:rPr>
                <w:sz w:val="22"/>
                <w:szCs w:val="22"/>
                <w:lang w:val="en-US" w:eastAsia="en-US"/>
              </w:rPr>
              <w:t xml:space="preserve"> must comply with the Private Health Insurance (Risk Equalisation Levy) Rules when setting the rate of levy.</w:t>
            </w:r>
          </w:p>
        </w:tc>
      </w:tr>
      <w:tr w:rsidR="00A80176" w:rsidRPr="004666B8" w14:paraId="0B1BC079" w14:textId="77777777" w:rsidTr="00446279">
        <w:tc>
          <w:tcPr>
            <w:tcW w:w="3275" w:type="dxa"/>
          </w:tcPr>
          <w:p w14:paraId="09DF4882" w14:textId="77777777" w:rsidR="00A80176" w:rsidRPr="007334E6" w:rsidRDefault="007D0604" w:rsidP="00446279">
            <w:pPr>
              <w:pStyle w:val="tabletext"/>
              <w:rPr>
                <w:sz w:val="22"/>
                <w:szCs w:val="22"/>
                <w:lang w:val="en-US" w:eastAsia="en-US"/>
              </w:rPr>
            </w:pPr>
            <w:r>
              <w:rPr>
                <w:sz w:val="22"/>
                <w:szCs w:val="22"/>
                <w:lang w:val="en-US" w:eastAsia="en-US"/>
              </w:rPr>
              <w:t>Reflects current legislation.</w:t>
            </w:r>
          </w:p>
        </w:tc>
        <w:tc>
          <w:tcPr>
            <w:tcW w:w="3276" w:type="dxa"/>
          </w:tcPr>
          <w:p w14:paraId="55ED4924" w14:textId="77777777" w:rsidR="00A80176" w:rsidRPr="007334E6" w:rsidRDefault="007D0604" w:rsidP="00446279">
            <w:pPr>
              <w:pStyle w:val="tabletext"/>
              <w:rPr>
                <w:sz w:val="22"/>
                <w:szCs w:val="22"/>
                <w:lang w:val="en-US" w:eastAsia="en-US"/>
              </w:rPr>
            </w:pPr>
            <w:r w:rsidRPr="007334E6">
              <w:rPr>
                <w:sz w:val="22"/>
                <w:szCs w:val="22"/>
                <w:lang w:val="en-US" w:eastAsia="en-US"/>
              </w:rPr>
              <w:t>A maximum of two supplementary risk equalisation levy days and the rate of supplementary levy may be set through determinations made by the Health Minister. The Minister must comply with the Private Health Insurance (Risk Equalisation Levy) Rules when setting the rate of supplementary levy.</w:t>
            </w:r>
          </w:p>
        </w:tc>
      </w:tr>
      <w:tr w:rsidR="00A80176" w:rsidRPr="004666B8" w14:paraId="25C23DDD" w14:textId="77777777" w:rsidTr="00446279">
        <w:tc>
          <w:tcPr>
            <w:tcW w:w="3275" w:type="dxa"/>
          </w:tcPr>
          <w:p w14:paraId="42B3A5FE" w14:textId="77777777" w:rsidR="00A80176" w:rsidRPr="007334E6" w:rsidRDefault="00A80176" w:rsidP="00446279">
            <w:pPr>
              <w:pStyle w:val="tabletext"/>
              <w:rPr>
                <w:sz w:val="22"/>
                <w:szCs w:val="22"/>
                <w:lang w:val="en-US" w:eastAsia="en-US"/>
              </w:rPr>
            </w:pPr>
            <w:r w:rsidRPr="007334E6">
              <w:rPr>
                <w:sz w:val="22"/>
                <w:szCs w:val="22"/>
                <w:lang w:val="en-US" w:eastAsia="en-US"/>
              </w:rPr>
              <w:t>Before setting supplementary risk equalisation levy days and the rate of any supplementary levy, the Minister must obtain and take into account advice from APRA.</w:t>
            </w:r>
          </w:p>
        </w:tc>
        <w:tc>
          <w:tcPr>
            <w:tcW w:w="3276" w:type="dxa"/>
          </w:tcPr>
          <w:p w14:paraId="00F3D86B" w14:textId="77777777" w:rsidR="00A80176" w:rsidRPr="007334E6" w:rsidRDefault="007D0604" w:rsidP="007334E6">
            <w:pPr>
              <w:pStyle w:val="tabletext"/>
              <w:rPr>
                <w:sz w:val="22"/>
                <w:szCs w:val="22"/>
                <w:lang w:val="en-US" w:eastAsia="en-US"/>
              </w:rPr>
            </w:pPr>
            <w:r w:rsidRPr="007334E6">
              <w:rPr>
                <w:sz w:val="22"/>
                <w:szCs w:val="22"/>
                <w:lang w:val="en-US" w:eastAsia="en-US"/>
              </w:rPr>
              <w:t xml:space="preserve">Before setting supplementary risk equalisation levy days and the rate of any supplementary levy, the Minister must obtain and take into account advice from </w:t>
            </w:r>
            <w:r>
              <w:rPr>
                <w:sz w:val="22"/>
                <w:szCs w:val="22"/>
                <w:lang w:val="en-US" w:eastAsia="en-US"/>
              </w:rPr>
              <w:t>the Council</w:t>
            </w:r>
            <w:r w:rsidRPr="007334E6">
              <w:rPr>
                <w:sz w:val="22"/>
                <w:szCs w:val="22"/>
                <w:lang w:val="en-US" w:eastAsia="en-US"/>
              </w:rPr>
              <w:t>.</w:t>
            </w:r>
          </w:p>
        </w:tc>
      </w:tr>
      <w:tr w:rsidR="00A80176" w:rsidRPr="004666B8" w14:paraId="0F94307A" w14:textId="77777777" w:rsidTr="00446279">
        <w:tc>
          <w:tcPr>
            <w:tcW w:w="3275" w:type="dxa"/>
          </w:tcPr>
          <w:p w14:paraId="27CC1B95" w14:textId="77777777" w:rsidR="007D0604" w:rsidRDefault="007D0604" w:rsidP="007D0604">
            <w:pPr>
              <w:pStyle w:val="tabletext"/>
              <w:rPr>
                <w:sz w:val="22"/>
                <w:szCs w:val="22"/>
                <w:lang w:val="en-US" w:eastAsia="en-US"/>
              </w:rPr>
            </w:pPr>
            <w:r>
              <w:rPr>
                <w:sz w:val="22"/>
                <w:szCs w:val="22"/>
                <w:lang w:val="en-US" w:eastAsia="en-US"/>
              </w:rPr>
              <w:t>Reflects current legislation</w:t>
            </w:r>
          </w:p>
          <w:p w14:paraId="5C4AEF5E" w14:textId="77777777" w:rsidR="00A80176" w:rsidRPr="007334E6" w:rsidRDefault="00A80176" w:rsidP="00446279">
            <w:pPr>
              <w:pStyle w:val="tabletext"/>
              <w:rPr>
                <w:sz w:val="22"/>
                <w:szCs w:val="22"/>
                <w:lang w:val="en-US" w:eastAsia="en-US"/>
              </w:rPr>
            </w:pPr>
          </w:p>
        </w:tc>
        <w:tc>
          <w:tcPr>
            <w:tcW w:w="3276" w:type="dxa"/>
          </w:tcPr>
          <w:p w14:paraId="41CDCF3D" w14:textId="77777777" w:rsidR="00A80176" w:rsidRPr="007334E6" w:rsidRDefault="007D0604" w:rsidP="00446279">
            <w:pPr>
              <w:pStyle w:val="tabletext"/>
              <w:rPr>
                <w:sz w:val="22"/>
                <w:szCs w:val="22"/>
                <w:lang w:val="en-US" w:eastAsia="en-US"/>
              </w:rPr>
            </w:pPr>
            <w:r w:rsidRPr="007334E6">
              <w:rPr>
                <w:sz w:val="22"/>
                <w:szCs w:val="22"/>
                <w:lang w:val="en-US" w:eastAsia="en-US"/>
              </w:rPr>
              <w:t>Health Minister may make Private Health Insurance (Risk Equalisation Levy) Rules required or permitted or necessary or convenient for operation of Act.</w:t>
            </w:r>
          </w:p>
        </w:tc>
      </w:tr>
      <w:tr w:rsidR="00A80176" w:rsidRPr="004666B8" w14:paraId="69A16C1D" w14:textId="77777777" w:rsidTr="00446279">
        <w:tc>
          <w:tcPr>
            <w:tcW w:w="3275" w:type="dxa"/>
          </w:tcPr>
          <w:p w14:paraId="43147F94" w14:textId="77777777" w:rsidR="007D0604" w:rsidRDefault="007D0604" w:rsidP="007D0604">
            <w:pPr>
              <w:pStyle w:val="tabletext"/>
              <w:rPr>
                <w:sz w:val="22"/>
                <w:szCs w:val="22"/>
                <w:lang w:val="en-US" w:eastAsia="en-US"/>
              </w:rPr>
            </w:pPr>
            <w:r>
              <w:rPr>
                <w:sz w:val="22"/>
                <w:szCs w:val="22"/>
                <w:lang w:val="en-US" w:eastAsia="en-US"/>
              </w:rPr>
              <w:t>Reflects current legislation</w:t>
            </w:r>
          </w:p>
          <w:p w14:paraId="046F20A5" w14:textId="77777777" w:rsidR="00A80176" w:rsidRPr="007334E6" w:rsidRDefault="00A80176" w:rsidP="00446279">
            <w:pPr>
              <w:pStyle w:val="tabletext"/>
              <w:rPr>
                <w:sz w:val="22"/>
                <w:szCs w:val="22"/>
                <w:lang w:val="en-US" w:eastAsia="en-US"/>
              </w:rPr>
            </w:pPr>
          </w:p>
        </w:tc>
        <w:tc>
          <w:tcPr>
            <w:tcW w:w="3276" w:type="dxa"/>
          </w:tcPr>
          <w:p w14:paraId="3643FF2F" w14:textId="77777777" w:rsidR="00A80176" w:rsidRPr="007334E6" w:rsidRDefault="007D0604" w:rsidP="00446279">
            <w:pPr>
              <w:pStyle w:val="tabletext"/>
              <w:rPr>
                <w:sz w:val="22"/>
                <w:szCs w:val="22"/>
                <w:lang w:val="en-US" w:eastAsia="en-US"/>
              </w:rPr>
            </w:pPr>
            <w:r w:rsidRPr="007334E6">
              <w:rPr>
                <w:sz w:val="22"/>
                <w:szCs w:val="22"/>
                <w:lang w:val="en-US" w:eastAsia="en-US"/>
              </w:rPr>
              <w:t>Governor-General may make regulations required or permitted or necessary or convenient for operation of Act.  Before the Governor-General makes regulations, the Minister must take into account any relevant recommendation by APRA.</w:t>
            </w:r>
          </w:p>
        </w:tc>
      </w:tr>
      <w:tr w:rsidR="00A80176" w:rsidRPr="004666B8" w14:paraId="4EC97818" w14:textId="77777777" w:rsidTr="00446279">
        <w:tc>
          <w:tcPr>
            <w:tcW w:w="3275" w:type="dxa"/>
          </w:tcPr>
          <w:p w14:paraId="70BD7DA8" w14:textId="77777777" w:rsidR="00A80176" w:rsidRPr="007334E6" w:rsidRDefault="00A80176" w:rsidP="00875793">
            <w:pPr>
              <w:pStyle w:val="tabletext"/>
              <w:keepNext/>
              <w:keepLines/>
              <w:rPr>
                <w:sz w:val="22"/>
                <w:szCs w:val="22"/>
                <w:lang w:val="en-US" w:eastAsia="en-US"/>
              </w:rPr>
            </w:pPr>
            <w:r w:rsidRPr="007334E6">
              <w:rPr>
                <w:sz w:val="22"/>
                <w:szCs w:val="22"/>
                <w:lang w:val="en-US" w:eastAsia="en-US"/>
              </w:rPr>
              <w:t xml:space="preserve">No equivalent provisions in Act as amended.  </w:t>
            </w:r>
          </w:p>
        </w:tc>
        <w:tc>
          <w:tcPr>
            <w:tcW w:w="3276" w:type="dxa"/>
          </w:tcPr>
          <w:p w14:paraId="308A902A" w14:textId="77777777" w:rsidR="00A80176" w:rsidRPr="007334E6" w:rsidRDefault="00A80176" w:rsidP="00875793">
            <w:pPr>
              <w:pStyle w:val="tabletext"/>
              <w:keepNext/>
              <w:keepLines/>
              <w:rPr>
                <w:sz w:val="22"/>
                <w:szCs w:val="22"/>
                <w:lang w:val="en-US" w:eastAsia="en-US"/>
              </w:rPr>
            </w:pPr>
            <w:r w:rsidRPr="007334E6">
              <w:rPr>
                <w:sz w:val="22"/>
                <w:szCs w:val="22"/>
                <w:lang w:val="en-US" w:eastAsia="en-US"/>
              </w:rPr>
              <w:t xml:space="preserve">Amounts purportedly determined by </w:t>
            </w:r>
            <w:r w:rsidR="00E357BD" w:rsidRPr="007334E6">
              <w:rPr>
                <w:sz w:val="22"/>
                <w:szCs w:val="22"/>
                <w:lang w:val="en-US" w:eastAsia="en-US"/>
              </w:rPr>
              <w:t>the Council</w:t>
            </w:r>
            <w:r w:rsidRPr="007334E6">
              <w:rPr>
                <w:sz w:val="22"/>
                <w:szCs w:val="22"/>
                <w:lang w:val="en-US" w:eastAsia="en-US"/>
              </w:rPr>
              <w:t xml:space="preserve"> before 1 July 2004 that re</w:t>
            </w:r>
            <w:r w:rsidR="00CE4BF2">
              <w:rPr>
                <w:sz w:val="22"/>
                <w:szCs w:val="22"/>
                <w:lang w:val="en-US" w:eastAsia="en-US"/>
              </w:rPr>
              <w:t>gistered health benefits organis</w:t>
            </w:r>
            <w:r w:rsidRPr="007334E6">
              <w:rPr>
                <w:sz w:val="22"/>
                <w:szCs w:val="22"/>
                <w:lang w:val="en-US" w:eastAsia="en-US"/>
              </w:rPr>
              <w:t>ations had to pay into the Reinsurance Trust Fund taken to hav</w:t>
            </w:r>
            <w:r w:rsidR="00CE4BF2">
              <w:rPr>
                <w:sz w:val="22"/>
                <w:szCs w:val="22"/>
                <w:lang w:val="en-US" w:eastAsia="en-US"/>
              </w:rPr>
              <w:t>e been validly levied on organis</w:t>
            </w:r>
            <w:r w:rsidRPr="007334E6">
              <w:rPr>
                <w:sz w:val="22"/>
                <w:szCs w:val="22"/>
                <w:lang w:val="en-US" w:eastAsia="en-US"/>
              </w:rPr>
              <w:t>ation. Any associated late payment penalty taken to have</w:t>
            </w:r>
            <w:r w:rsidR="00CE4BF2">
              <w:rPr>
                <w:sz w:val="22"/>
                <w:szCs w:val="22"/>
                <w:lang w:val="en-US" w:eastAsia="en-US"/>
              </w:rPr>
              <w:t xml:space="preserve"> been validly imposed on organis</w:t>
            </w:r>
            <w:r w:rsidRPr="007334E6">
              <w:rPr>
                <w:sz w:val="22"/>
                <w:szCs w:val="22"/>
                <w:lang w:val="en-US" w:eastAsia="en-US"/>
              </w:rPr>
              <w:t xml:space="preserve">ation.  </w:t>
            </w:r>
          </w:p>
        </w:tc>
      </w:tr>
    </w:tbl>
    <w:p w14:paraId="22110C95" w14:textId="77777777" w:rsidR="009C071B" w:rsidRDefault="009C071B" w:rsidP="00446279">
      <w:pPr>
        <w:pStyle w:val="Heading2"/>
      </w:pPr>
      <w:r>
        <w:t>Detailed explanation of new law</w:t>
      </w:r>
    </w:p>
    <w:p w14:paraId="031C7E22" w14:textId="77777777" w:rsidR="004C2C59" w:rsidRDefault="004C2C59" w:rsidP="000F194A">
      <w:pPr>
        <w:pStyle w:val="base-text-paragraph"/>
      </w:pPr>
      <w:r>
        <w:t xml:space="preserve">The </w:t>
      </w:r>
      <w:r w:rsidR="000F6584" w:rsidRPr="003626B5">
        <w:t>Risk Equalisation Levy Act</w:t>
      </w:r>
      <w:r w:rsidR="00875793" w:rsidRPr="00056CA0">
        <w:rPr>
          <w:i/>
        </w:rPr>
        <w:t xml:space="preserve"> </w:t>
      </w:r>
      <w:r>
        <w:t xml:space="preserve">provides for the imposition of the </w:t>
      </w:r>
      <w:r w:rsidR="00CF2A8C">
        <w:t>R</w:t>
      </w:r>
      <w:r>
        <w:t xml:space="preserve">isk </w:t>
      </w:r>
      <w:r w:rsidR="00CF2A8C">
        <w:t>E</w:t>
      </w:r>
      <w:r>
        <w:t xml:space="preserve">qualisation </w:t>
      </w:r>
      <w:r w:rsidR="00CF2A8C">
        <w:t>L</w:t>
      </w:r>
      <w:r>
        <w:t xml:space="preserve">evy on private health insurers. </w:t>
      </w:r>
    </w:p>
    <w:p w14:paraId="771F9532" w14:textId="77777777" w:rsidR="004C2C59" w:rsidRPr="008F726E" w:rsidRDefault="004C2C59" w:rsidP="000F194A">
      <w:pPr>
        <w:pStyle w:val="base-text-paragraph"/>
      </w:pPr>
      <w:r>
        <w:t xml:space="preserve">The </w:t>
      </w:r>
      <w:r w:rsidR="00A80176">
        <w:t>R</w:t>
      </w:r>
      <w:r>
        <w:t xml:space="preserve">isk </w:t>
      </w:r>
      <w:r w:rsidR="00A80176">
        <w:t>E</w:t>
      </w:r>
      <w:r>
        <w:t xml:space="preserve">qualisation </w:t>
      </w:r>
      <w:r w:rsidR="00A80176">
        <w:t>L</w:t>
      </w:r>
      <w:r>
        <w:t xml:space="preserve">evy supports funding for the </w:t>
      </w:r>
      <w:r w:rsidR="00A80176">
        <w:t xml:space="preserve">Private Health Insurance </w:t>
      </w:r>
      <w:r>
        <w:t>Risk Equalisation Special Account (formerly known as the Risk Equalisation Trust Fund). The purpose of the Risk Equalisation Special Account is to ensure that no insurer is unduly impacted by costly claims because of the risk profile of its members</w:t>
      </w:r>
      <w:r w:rsidR="00A80176">
        <w:t>. It does this</w:t>
      </w:r>
      <w:r>
        <w:t xml:space="preserve"> by allowing for internal cross-subsidisation for aged, chronic and long-term acute care patients and other high-cost policy-holders within the private health insurance industry. This assists insurers to offset the effects of complying with the principle of community rating established under the </w:t>
      </w:r>
      <w:r w:rsidR="00B83F6C" w:rsidRPr="00E357BD">
        <w:t>PHI Act</w:t>
      </w:r>
      <w:r>
        <w:t>.</w:t>
      </w:r>
    </w:p>
    <w:p w14:paraId="11AB9DE0" w14:textId="77777777" w:rsidR="00CF2A8C" w:rsidRDefault="00921FF9" w:rsidP="000F194A">
      <w:pPr>
        <w:pStyle w:val="base-text-paragraph"/>
      </w:pPr>
      <w:r w:rsidRPr="00921FF9">
        <w:t xml:space="preserve">The Health Minister will retain overall policy responsibility for the </w:t>
      </w:r>
      <w:r>
        <w:t>Risk Equalisation Levy</w:t>
      </w:r>
      <w:r w:rsidRPr="00921FF9">
        <w:t xml:space="preserve">, with APRA having a similar role administering the Account as the Council had administrating the Risk Equalisation Trust Fund. </w:t>
      </w:r>
      <w:r>
        <w:t xml:space="preserve">APRA will not assume any of the Council’s existing powers under Division 313 of the PHI Act. APRA will have the power to investigate in relation to the Risk Equalisation Levy under Part 6 of the </w:t>
      </w:r>
      <w:r w:rsidR="00E9202F">
        <w:t>Prudential Supervision Bill</w:t>
      </w:r>
      <w:r>
        <w:t>.</w:t>
      </w:r>
    </w:p>
    <w:p w14:paraId="7FD44468" w14:textId="77777777" w:rsidR="002153BA" w:rsidRDefault="002153BA" w:rsidP="004C2C59">
      <w:pPr>
        <w:pStyle w:val="Heading2"/>
      </w:pPr>
      <w:r>
        <w:t>Definitions</w:t>
      </w:r>
    </w:p>
    <w:p w14:paraId="0D51462A" w14:textId="77777777" w:rsidR="002153BA" w:rsidRPr="00EF6D1C" w:rsidRDefault="002153BA" w:rsidP="00EF6D1C">
      <w:pPr>
        <w:pStyle w:val="base-text-paragraph"/>
        <w:tabs>
          <w:tab w:val="clear" w:pos="1985"/>
          <w:tab w:val="num" w:pos="1986"/>
        </w:tabs>
        <w:rPr>
          <w:rStyle w:val="Referencingstyle"/>
          <w:b w:val="0"/>
          <w:i w:val="0"/>
          <w:sz w:val="22"/>
        </w:rPr>
      </w:pPr>
      <w:r w:rsidRPr="003626B5">
        <w:rPr>
          <w:b/>
          <w:i/>
        </w:rPr>
        <w:t>APRA</w:t>
      </w:r>
      <w:r>
        <w:t xml:space="preserve"> has been defined in the </w:t>
      </w:r>
      <w:r w:rsidR="00EF6D1C" w:rsidRPr="00EF6D1C">
        <w:t xml:space="preserve">Risk Equalisation Levy Amendment Bill </w:t>
      </w:r>
      <w:r>
        <w:t xml:space="preserve">as the Australian Prudential Regulation Authority </w:t>
      </w:r>
      <w:r>
        <w:rPr>
          <w:rStyle w:val="Referencingstyle"/>
        </w:rPr>
        <w:t>[Schedule 1, Part 1, Item 1].</w:t>
      </w:r>
    </w:p>
    <w:p w14:paraId="01FD80D2" w14:textId="77777777" w:rsidR="002153BA" w:rsidRPr="002153BA" w:rsidRDefault="002153BA" w:rsidP="000F194A">
      <w:pPr>
        <w:pStyle w:val="base-text-paragraph"/>
      </w:pPr>
      <w:r>
        <w:t>The definition of Council</w:t>
      </w:r>
      <w:r w:rsidR="00FC4655">
        <w:t>,</w:t>
      </w:r>
      <w:r>
        <w:t xml:space="preserve"> registered he</w:t>
      </w:r>
      <w:r w:rsidR="00DA3F49">
        <w:t>alth benefits organisation and R</w:t>
      </w:r>
      <w:r>
        <w:t xml:space="preserve">isk </w:t>
      </w:r>
      <w:r w:rsidR="00DA3F49">
        <w:t>E</w:t>
      </w:r>
      <w:r>
        <w:t xml:space="preserve">qualisation </w:t>
      </w:r>
      <w:r w:rsidR="00DA3F49">
        <w:t>T</w:t>
      </w:r>
      <w:r>
        <w:t xml:space="preserve">rust </w:t>
      </w:r>
      <w:r w:rsidR="00DA3F49">
        <w:t>F</w:t>
      </w:r>
      <w:r>
        <w:t>und have been repealed</w:t>
      </w:r>
      <w:r w:rsidR="00FC4655">
        <w:t xml:space="preserve"> as they are no longer needed</w:t>
      </w:r>
      <w:r>
        <w:t xml:space="preserve">. </w:t>
      </w:r>
      <w:r w:rsidR="00FC4655">
        <w:rPr>
          <w:rStyle w:val="Referencingstyle"/>
        </w:rPr>
        <w:t>[Schedule 1, Part 1, Items 2 and 3]</w:t>
      </w:r>
    </w:p>
    <w:p w14:paraId="7543974E" w14:textId="77777777" w:rsidR="004C2C59" w:rsidRDefault="004C2C59" w:rsidP="004C2C59">
      <w:pPr>
        <w:pStyle w:val="Heading2"/>
      </w:pPr>
      <w:r>
        <w:t>Rate of risk equalisation to be imposed on a risk equalisation levy day</w:t>
      </w:r>
    </w:p>
    <w:p w14:paraId="3D10932F" w14:textId="77777777" w:rsidR="00A80176" w:rsidRDefault="00A80176" w:rsidP="000F194A">
      <w:pPr>
        <w:pStyle w:val="base-text-paragraph"/>
      </w:pPr>
      <w:r>
        <w:t>As was previously the case, the Risk Equalisation Levy is imposed on an insurer on each day (</w:t>
      </w:r>
      <w:r w:rsidRPr="00F5769B">
        <w:t xml:space="preserve">to a maximum of </w:t>
      </w:r>
      <w:r w:rsidR="002153BA">
        <w:t>four</w:t>
      </w:r>
      <w:r w:rsidR="003320A8">
        <w:t>) as</w:t>
      </w:r>
      <w:r>
        <w:t xml:space="preserve"> specified in Private Health Insurance (Risk Equalisation Policy) Rules made by the Health </w:t>
      </w:r>
      <w:r w:rsidR="00B2761E">
        <w:t xml:space="preserve">Minister </w:t>
      </w:r>
      <w:r>
        <w:t xml:space="preserve">(see section 6 of the </w:t>
      </w:r>
      <w:r w:rsidRPr="004B26EC">
        <w:t>Risk Equalisation Levy Act</w:t>
      </w:r>
      <w:r>
        <w:t xml:space="preserve">).  </w:t>
      </w:r>
    </w:p>
    <w:p w14:paraId="3FEB489E" w14:textId="77777777" w:rsidR="004C2C59" w:rsidRDefault="004C2C59" w:rsidP="000F194A">
      <w:pPr>
        <w:pStyle w:val="base-text-paragraph"/>
      </w:pPr>
      <w:r>
        <w:t>Subsection</w:t>
      </w:r>
      <w:r w:rsidR="00473C43">
        <w:t>s</w:t>
      </w:r>
      <w:r>
        <w:t xml:space="preserve"> 7(1)</w:t>
      </w:r>
      <w:r w:rsidR="00473C43">
        <w:t xml:space="preserve"> and (2)</w:t>
      </w:r>
      <w:r>
        <w:t xml:space="preserve"> of the </w:t>
      </w:r>
      <w:r w:rsidR="00473C43" w:rsidRPr="004B26EC">
        <w:t xml:space="preserve">Risk Equalisation Levy </w:t>
      </w:r>
      <w:r w:rsidRPr="004B26EC">
        <w:t xml:space="preserve">Act </w:t>
      </w:r>
      <w:r>
        <w:t>has been amended to give APRA the Council’s former function of determining in writing the rate of risk equalisation levy to be imposed on a risk equalisation levy day</w:t>
      </w:r>
      <w:r w:rsidR="00CC6EB1">
        <w:t>.</w:t>
      </w:r>
      <w:r w:rsidR="002153BA">
        <w:t xml:space="preserve"> </w:t>
      </w:r>
      <w:r w:rsidR="002153BA">
        <w:rPr>
          <w:rStyle w:val="Referencingstyle"/>
        </w:rPr>
        <w:t>[Schedule 1, Part 1, Item 5]</w:t>
      </w:r>
      <w:r>
        <w:t xml:space="preserve">  </w:t>
      </w:r>
    </w:p>
    <w:p w14:paraId="404DA75F" w14:textId="77777777" w:rsidR="004C2C59" w:rsidRDefault="004C2C59" w:rsidP="000F194A">
      <w:pPr>
        <w:pStyle w:val="base-text-paragraph"/>
      </w:pPr>
      <w:r>
        <w:t>In determining the rate of risk equalisation levy APRA must comply with the Private Health Insurance (Risk Equalisation Policy) Rules, as did the Council</w:t>
      </w:r>
      <w:r w:rsidR="00CC6EB1">
        <w:t>.</w:t>
      </w:r>
      <w:r>
        <w:t xml:space="preserve"> </w:t>
      </w:r>
      <w:r w:rsidRPr="00F5769B">
        <w:rPr>
          <w:rStyle w:val="Referencingstyle"/>
        </w:rPr>
        <w:t>[Schedule 1, Part 1, item 5]</w:t>
      </w:r>
    </w:p>
    <w:p w14:paraId="7E1AB668" w14:textId="77777777" w:rsidR="004C2C59" w:rsidRDefault="004C2C59" w:rsidP="004C2C59">
      <w:pPr>
        <w:pStyle w:val="Heading2"/>
      </w:pPr>
      <w:r>
        <w:t>Imposition of risk equalisation on a supplementary risk equalisation levy day</w:t>
      </w:r>
    </w:p>
    <w:p w14:paraId="61D4BE3F" w14:textId="77777777" w:rsidR="004C2C59" w:rsidRDefault="004135CE" w:rsidP="000F194A">
      <w:pPr>
        <w:pStyle w:val="base-text-paragraph"/>
      </w:pPr>
      <w:r>
        <w:t xml:space="preserve">As well as the </w:t>
      </w:r>
      <w:r w:rsidRPr="00F5769B">
        <w:t xml:space="preserve">maximum of </w:t>
      </w:r>
      <w:r w:rsidR="002153BA" w:rsidRPr="00F5769B">
        <w:t>four</w:t>
      </w:r>
      <w:r>
        <w:t xml:space="preserve"> risk equalisation levy day</w:t>
      </w:r>
      <w:r w:rsidR="002153BA">
        <w:t>s</w:t>
      </w:r>
      <w:r>
        <w:t xml:space="preserve"> for a financial year, </w:t>
      </w:r>
      <w:r w:rsidR="00473C43">
        <w:t xml:space="preserve">the </w:t>
      </w:r>
      <w:r>
        <w:t xml:space="preserve">Risk Equalisation Levy may also be imposed on insurers </w:t>
      </w:r>
      <w:r w:rsidR="002153BA">
        <w:t>on</w:t>
      </w:r>
      <w:r w:rsidR="004C2C59">
        <w:t xml:space="preserve"> up to two additional supplementary risk equalisation levy days determined by the Health </w:t>
      </w:r>
      <w:r w:rsidR="00B2761E">
        <w:t>Minister</w:t>
      </w:r>
      <w:r w:rsidR="004C2C59">
        <w:t xml:space="preserve"> (see section 6</w:t>
      </w:r>
      <w:r w:rsidR="00473C43" w:rsidRPr="00473C43">
        <w:t xml:space="preserve"> </w:t>
      </w:r>
      <w:r w:rsidR="00473C43">
        <w:t xml:space="preserve">of the </w:t>
      </w:r>
      <w:r w:rsidR="00473C43" w:rsidRPr="004B26EC">
        <w:t>Risk Equalisation Levy Act</w:t>
      </w:r>
      <w:r w:rsidR="004C2C59">
        <w:t xml:space="preserve">). </w:t>
      </w:r>
      <w:r>
        <w:t xml:space="preserve">The rate of levy to be imposed on supplementary risk equalisation levy days is determined by the Health </w:t>
      </w:r>
      <w:r w:rsidR="00B2761E">
        <w:t>Minister</w:t>
      </w:r>
      <w:r>
        <w:t xml:space="preserve"> (see section 7</w:t>
      </w:r>
      <w:r w:rsidR="00473C43" w:rsidRPr="00473C43">
        <w:t xml:space="preserve"> </w:t>
      </w:r>
      <w:r w:rsidR="00473C43">
        <w:t xml:space="preserve">of the </w:t>
      </w:r>
      <w:r w:rsidR="00473C43" w:rsidRPr="004B26EC">
        <w:t>Risk Equalisation Levy Act</w:t>
      </w:r>
      <w:r>
        <w:t>).</w:t>
      </w:r>
      <w:r w:rsidR="002153BA">
        <w:t xml:space="preserve"> </w:t>
      </w:r>
    </w:p>
    <w:p w14:paraId="39936A80" w14:textId="77777777" w:rsidR="004C2C59" w:rsidRDefault="004C2C59" w:rsidP="000F194A">
      <w:pPr>
        <w:pStyle w:val="base-text-paragraph"/>
      </w:pPr>
      <w:r>
        <w:t xml:space="preserve">Section 8 of the </w:t>
      </w:r>
      <w:r w:rsidR="00473C43" w:rsidRPr="004B26EC">
        <w:t xml:space="preserve">Risk Equalisation Levy </w:t>
      </w:r>
      <w:r w:rsidRPr="004B26EC">
        <w:t xml:space="preserve">Act </w:t>
      </w:r>
      <w:r>
        <w:t>has been amended to require the Health</w:t>
      </w:r>
      <w:r w:rsidR="00B2761E">
        <w:t xml:space="preserve"> Minister</w:t>
      </w:r>
      <w:r>
        <w:t>, before exercising his or her powers, to determine supplementary risk equalisation levy days and the rate of risk equalisation levy to be imposed on those days, to obtain and take into account</w:t>
      </w:r>
      <w:r w:rsidR="00473C43">
        <w:t>,</w:t>
      </w:r>
      <w:r>
        <w:t xml:space="preserve"> advice from APRA on:</w:t>
      </w:r>
    </w:p>
    <w:p w14:paraId="676994C1" w14:textId="77777777" w:rsidR="004C2C59" w:rsidRDefault="004C2C59" w:rsidP="00B82F99">
      <w:pPr>
        <w:pStyle w:val="dotpoint"/>
      </w:pPr>
      <w:r>
        <w:t>whether to determine a supplementary risk equalisation levy day and the day or days that are to be supplementary risk equalisation levy days; and</w:t>
      </w:r>
    </w:p>
    <w:p w14:paraId="587C8B4D" w14:textId="77777777" w:rsidR="004C2C59" w:rsidRDefault="004C2C59" w:rsidP="00B82F99">
      <w:pPr>
        <w:pStyle w:val="dotpoint"/>
      </w:pPr>
      <w:r>
        <w:t xml:space="preserve">the rate of risk equalisation levy to be imposed on the supplementary risk equalisation levy day or days. </w:t>
      </w:r>
      <w:r w:rsidRPr="00F5769B">
        <w:rPr>
          <w:rStyle w:val="Referencingstyle"/>
        </w:rPr>
        <w:t>[Schedule 1, Part 1, items 6 and 7]</w:t>
      </w:r>
    </w:p>
    <w:p w14:paraId="3CF8E4FC" w14:textId="77777777" w:rsidR="004C2C59" w:rsidRDefault="004C2C59" w:rsidP="000F194A">
      <w:pPr>
        <w:pStyle w:val="base-text-paragraph"/>
      </w:pPr>
      <w:r>
        <w:t>The Minister formerly obtained this advice from the Council.</w:t>
      </w:r>
    </w:p>
    <w:p w14:paraId="3375737C" w14:textId="77777777" w:rsidR="004C2C59" w:rsidRDefault="004C2C59" w:rsidP="004C2C59">
      <w:pPr>
        <w:pStyle w:val="Heading2"/>
      </w:pPr>
      <w:r>
        <w:t>Repeal of redundant validation provisions</w:t>
      </w:r>
    </w:p>
    <w:p w14:paraId="3BDC3104" w14:textId="77777777" w:rsidR="004C2C59" w:rsidRDefault="004C2C59" w:rsidP="000F194A">
      <w:pPr>
        <w:pStyle w:val="base-text-paragraph"/>
      </w:pPr>
      <w:r>
        <w:t xml:space="preserve">Sections 9 and 10 of the </w:t>
      </w:r>
      <w:r w:rsidRPr="004B26EC">
        <w:t xml:space="preserve">Risk Equalisation Levy Act </w:t>
      </w:r>
      <w:r>
        <w:t xml:space="preserve">validated amounts that the Council purported to require registered health benefits organisations (as insurers were known under the </w:t>
      </w:r>
      <w:r>
        <w:rPr>
          <w:i/>
        </w:rPr>
        <w:t>National Health Act</w:t>
      </w:r>
      <w:r w:rsidR="00DF365E">
        <w:rPr>
          <w:i/>
        </w:rPr>
        <w:t> </w:t>
      </w:r>
      <w:r>
        <w:rPr>
          <w:i/>
        </w:rPr>
        <w:t>1953</w:t>
      </w:r>
      <w:r>
        <w:t xml:space="preserve">) to pay to the Reinsurance Trust Fund before 1 </w:t>
      </w:r>
      <w:r w:rsidR="00FC4655">
        <w:t>July 2004. There were concerns that t</w:t>
      </w:r>
      <w:r>
        <w:t xml:space="preserve">hese amounts had not been validly levied on registered health benefits organisations due to a technical defect in the method of imposition.  </w:t>
      </w:r>
    </w:p>
    <w:p w14:paraId="09513F8C" w14:textId="77777777" w:rsidR="004C2C59" w:rsidRPr="004C2C59" w:rsidRDefault="004C2C59" w:rsidP="000F194A">
      <w:pPr>
        <w:pStyle w:val="base-text-paragraph"/>
        <w:rPr>
          <w:rStyle w:val="Referencingstyle"/>
          <w:b w:val="0"/>
          <w:i w:val="0"/>
          <w:sz w:val="22"/>
        </w:rPr>
      </w:pPr>
      <w:r>
        <w:t xml:space="preserve">Sections 9 and 10 have had effect to validate relevant amounts and the opportunity has been taken to repeal them.  The repeal of the sections does not affect their previous operation or liabilities incurred under them (see section 7 of the </w:t>
      </w:r>
      <w:r>
        <w:rPr>
          <w:i/>
        </w:rPr>
        <w:t>Acts Interpretation Act 1901</w:t>
      </w:r>
      <w:r w:rsidR="00473C43">
        <w:t>)</w:t>
      </w:r>
      <w:r w:rsidR="00CC6EB1">
        <w:t>.</w:t>
      </w:r>
      <w:r w:rsidR="00473C43">
        <w:t xml:space="preserve"> </w:t>
      </w:r>
      <w:r w:rsidR="00473C43">
        <w:rPr>
          <w:rStyle w:val="Referencingstyle"/>
        </w:rPr>
        <w:t xml:space="preserve">[Schedule 1, Part 1, item </w:t>
      </w:r>
      <w:r w:rsidRPr="00F5769B">
        <w:rPr>
          <w:rStyle w:val="Referencingstyle"/>
        </w:rPr>
        <w:t>8]</w:t>
      </w:r>
      <w:r>
        <w:rPr>
          <w:rStyle w:val="Referencingstyle"/>
        </w:rPr>
        <w:t xml:space="preserve"> </w:t>
      </w:r>
    </w:p>
    <w:p w14:paraId="0CFF9037" w14:textId="77777777" w:rsidR="004C2C59" w:rsidRDefault="004C2C59" w:rsidP="004C2C59">
      <w:pPr>
        <w:pStyle w:val="Heading2"/>
      </w:pPr>
      <w:r>
        <w:t>Regulation making power</w:t>
      </w:r>
    </w:p>
    <w:p w14:paraId="434C43DB" w14:textId="77777777" w:rsidR="004C2C59" w:rsidRDefault="004C2C59" w:rsidP="000F194A">
      <w:pPr>
        <w:pStyle w:val="base-text-paragraph"/>
      </w:pPr>
      <w:r>
        <w:t xml:space="preserve">Under section 11 of the </w:t>
      </w:r>
      <w:r w:rsidRPr="004B26EC">
        <w:t xml:space="preserve">Risk Equalisation </w:t>
      </w:r>
      <w:r w:rsidR="00473C43" w:rsidRPr="004B26EC">
        <w:t xml:space="preserve">Levy </w:t>
      </w:r>
      <w:r w:rsidRPr="004B26EC">
        <w:t>Act</w:t>
      </w:r>
      <w:r w:rsidRPr="00C060C9">
        <w:t xml:space="preserve"> </w:t>
      </w:r>
      <w:r>
        <w:t xml:space="preserve">the Governor-General may make regulations prescribing matters required or permitted to be prescribed by the Act, or necessary or convenient to be prescribed for carrying out or giving effect to the Act.  </w:t>
      </w:r>
    </w:p>
    <w:p w14:paraId="5FD3F309" w14:textId="77777777" w:rsidR="004C2C59" w:rsidRDefault="004C2C59" w:rsidP="000F194A">
      <w:pPr>
        <w:pStyle w:val="base-text-paragraph"/>
      </w:pPr>
      <w:r>
        <w:t xml:space="preserve">Subsection 11(2) has been amended so that prior to the Governor-General making regulations the Health </w:t>
      </w:r>
      <w:r w:rsidR="00B2761E">
        <w:t xml:space="preserve">Minister </w:t>
      </w:r>
      <w:r>
        <w:t xml:space="preserve">must take into consideration any relevant recommendations made to the Minister by APRA. The subsection previously referred to recommendations made to the Minister by the Council. </w:t>
      </w:r>
      <w:r w:rsidRPr="00F5769B">
        <w:rPr>
          <w:rStyle w:val="Referencingstyle"/>
        </w:rPr>
        <w:t xml:space="preserve">[Schedule 1, Part 1, </w:t>
      </w:r>
      <w:r w:rsidR="002153BA" w:rsidRPr="00F5769B">
        <w:rPr>
          <w:rStyle w:val="Referencingstyle"/>
        </w:rPr>
        <w:t>I</w:t>
      </w:r>
      <w:r w:rsidRPr="00F5769B">
        <w:rPr>
          <w:rStyle w:val="Referencingstyle"/>
        </w:rPr>
        <w:t>tem 9]</w:t>
      </w:r>
    </w:p>
    <w:p w14:paraId="611F8F3D" w14:textId="77777777" w:rsidR="009C071B" w:rsidRPr="00F5769B" w:rsidRDefault="009C071B" w:rsidP="00446279">
      <w:pPr>
        <w:pStyle w:val="Heading2"/>
        <w:rPr>
          <w:rStyle w:val="Referencingstyle"/>
          <w:i w:val="0"/>
          <w:sz w:val="22"/>
        </w:rPr>
      </w:pPr>
      <w:r>
        <w:t>Application and transitional provisions</w:t>
      </w:r>
    </w:p>
    <w:p w14:paraId="12C6F160" w14:textId="77777777" w:rsidR="009C071B" w:rsidRPr="008F726E" w:rsidRDefault="004135CE" w:rsidP="00DF365E">
      <w:pPr>
        <w:pStyle w:val="base-text-paragraph"/>
        <w:tabs>
          <w:tab w:val="clear" w:pos="1985"/>
          <w:tab w:val="num" w:pos="1986"/>
        </w:tabs>
      </w:pPr>
      <w:r>
        <w:t xml:space="preserve">Any determinations made by </w:t>
      </w:r>
      <w:r w:rsidR="00E357BD">
        <w:t>the Council</w:t>
      </w:r>
      <w:r>
        <w:t xml:space="preserve"> under section 7 of the </w:t>
      </w:r>
      <w:r w:rsidR="00F61B0A" w:rsidRPr="004B26EC">
        <w:t xml:space="preserve">Risk Equalisation Levy </w:t>
      </w:r>
      <w:r w:rsidRPr="007D0604">
        <w:t>Act</w:t>
      </w:r>
      <w:r w:rsidR="00DF365E">
        <w:t xml:space="preserve"> </w:t>
      </w:r>
      <w:r w:rsidR="00F61B0A">
        <w:t>setting the rate of Risk Equalisation L</w:t>
      </w:r>
      <w:r>
        <w:t xml:space="preserve">evy, or by the Health </w:t>
      </w:r>
      <w:r w:rsidR="00B2761E">
        <w:t>Minister</w:t>
      </w:r>
      <w:r>
        <w:t xml:space="preserve"> under sections 6 and 7 setting supplementary risk equalisation levy days and the rate of </w:t>
      </w:r>
      <w:r w:rsidR="00F61B0A">
        <w:t xml:space="preserve">the </w:t>
      </w:r>
      <w:r>
        <w:t xml:space="preserve">supplementary levy, and which are in force immediately before the commencement of </w:t>
      </w:r>
      <w:r w:rsidRPr="00E93D04">
        <w:t xml:space="preserve">the </w:t>
      </w:r>
      <w:r w:rsidRPr="00056CA0">
        <w:t xml:space="preserve">Risk Equalisation Levy Amendment </w:t>
      </w:r>
      <w:r w:rsidR="00DF365E" w:rsidRPr="00056CA0">
        <w:t>Bill</w:t>
      </w:r>
      <w:r>
        <w:t xml:space="preserve">, will continue to have effect as if made in accordance with the </w:t>
      </w:r>
      <w:r w:rsidR="000F6584" w:rsidRPr="00056CA0">
        <w:t>Risk Equalisation Levy Act</w:t>
      </w:r>
      <w:r w:rsidRPr="004B26EC">
        <w:t xml:space="preserve"> </w:t>
      </w:r>
      <w:r>
        <w:t xml:space="preserve">as amended by the </w:t>
      </w:r>
      <w:r w:rsidR="00DF365E" w:rsidRPr="003626B5">
        <w:t>Risk Equalisation Levy Amendment Bill</w:t>
      </w:r>
      <w:r w:rsidR="00C060C9">
        <w:t>.</w:t>
      </w:r>
      <w:r>
        <w:t xml:space="preserve"> </w:t>
      </w:r>
      <w:r w:rsidRPr="00F61B0A">
        <w:rPr>
          <w:rStyle w:val="Referencingstyle"/>
        </w:rPr>
        <w:t xml:space="preserve">[Schedule 1, Part 1, </w:t>
      </w:r>
      <w:r w:rsidR="00F5769B" w:rsidRPr="00F61B0A">
        <w:rPr>
          <w:rStyle w:val="Referencingstyle"/>
        </w:rPr>
        <w:t>Item 10]</w:t>
      </w:r>
    </w:p>
    <w:p w14:paraId="7526BE06" w14:textId="77777777" w:rsidR="00F5769B" w:rsidRDefault="00F5769B" w:rsidP="00F5769B"/>
    <w:p w14:paraId="2CAA9526" w14:textId="77777777" w:rsidR="009C071B" w:rsidRDefault="009C071B" w:rsidP="00446279">
      <w:pPr>
        <w:sectPr w:rsidR="009C071B" w:rsidSect="00446279">
          <w:headerReference w:type="even" r:id="rId89"/>
          <w:headerReference w:type="default" r:id="rId90"/>
          <w:footerReference w:type="even" r:id="rId91"/>
          <w:footerReference w:type="default" r:id="rId92"/>
          <w:footerReference w:type="first" r:id="rId93"/>
          <w:type w:val="oddPage"/>
          <w:pgSz w:w="11906" w:h="16838" w:code="9"/>
          <w:pgMar w:top="2466" w:right="2098" w:bottom="2466" w:left="2098" w:header="1559" w:footer="1899" w:gutter="0"/>
          <w:cols w:space="708"/>
          <w:titlePg/>
          <w:docGrid w:linePitch="360"/>
        </w:sectPr>
      </w:pPr>
    </w:p>
    <w:p w14:paraId="2728A394" w14:textId="77777777" w:rsidR="008762F6" w:rsidRPr="00F51A71" w:rsidRDefault="008762F6" w:rsidP="008762F6">
      <w:pPr>
        <w:pStyle w:val="ChapterHeading"/>
        <w:numPr>
          <w:ilvl w:val="0"/>
          <w:numId w:val="28"/>
        </w:numPr>
        <w:tabs>
          <w:tab w:val="clear" w:pos="1134"/>
          <w:tab w:val="num" w:pos="360"/>
        </w:tabs>
      </w:pPr>
      <w:r w:rsidRPr="00F51A71">
        <w:br/>
      </w:r>
      <w:bookmarkStart w:id="255" w:name="_Toc416957166"/>
      <w:bookmarkStart w:id="256" w:name="_Toc418177773"/>
      <w:bookmarkStart w:id="257" w:name="_Toc418249770"/>
      <w:r>
        <w:t>Private Health Insurance Collapsed Insurer Levy</w:t>
      </w:r>
      <w:bookmarkEnd w:id="255"/>
      <w:bookmarkEnd w:id="256"/>
      <w:bookmarkEnd w:id="257"/>
    </w:p>
    <w:p w14:paraId="5D183743" w14:textId="77777777" w:rsidR="008762F6" w:rsidRDefault="008762F6" w:rsidP="00446279">
      <w:pPr>
        <w:pStyle w:val="Heading2"/>
      </w:pPr>
      <w:r>
        <w:t>Outline of chapter</w:t>
      </w:r>
    </w:p>
    <w:p w14:paraId="050CDEA9" w14:textId="77777777" w:rsidR="008762F6" w:rsidRDefault="00465960" w:rsidP="000F194A">
      <w:pPr>
        <w:pStyle w:val="base-text-paragraph"/>
      </w:pPr>
      <w:r>
        <w:t>Chapter 1</w:t>
      </w:r>
      <w:r w:rsidR="00F61B0A">
        <w:t xml:space="preserve">4 </w:t>
      </w:r>
      <w:r>
        <w:t>relates to amendments to the Collapsed Insurer Levy Act.</w:t>
      </w:r>
    </w:p>
    <w:p w14:paraId="59C69A49" w14:textId="77777777" w:rsidR="00C341C2" w:rsidRDefault="00C341C2" w:rsidP="000F194A">
      <w:pPr>
        <w:pStyle w:val="base-text-paragraph"/>
      </w:pPr>
      <w:r>
        <w:t xml:space="preserve">Unless otherwise stated, all references in this Chapter relate to the </w:t>
      </w:r>
      <w:r>
        <w:rPr>
          <w:rStyle w:val="Referencingstyle"/>
          <w:b w:val="0"/>
          <w:i w:val="0"/>
          <w:sz w:val="22"/>
        </w:rPr>
        <w:t>Collapsed Insurer Amendment Bill.</w:t>
      </w:r>
    </w:p>
    <w:p w14:paraId="3319D8C2" w14:textId="77777777" w:rsidR="008762F6" w:rsidRDefault="008762F6" w:rsidP="00446279">
      <w:pPr>
        <w:pStyle w:val="Heading2"/>
      </w:pPr>
      <w:r>
        <w:t>Summary of new law</w:t>
      </w:r>
    </w:p>
    <w:p w14:paraId="019D5615" w14:textId="77777777" w:rsidR="008762F6" w:rsidRDefault="008762F6" w:rsidP="000F194A">
      <w:pPr>
        <w:pStyle w:val="base-text-paragraph"/>
      </w:pPr>
      <w:r w:rsidRPr="00DA520B">
        <w:t>The</w:t>
      </w:r>
      <w:r w:rsidRPr="008762F6">
        <w:t xml:space="preserve"> </w:t>
      </w:r>
      <w:r w:rsidR="0081006B">
        <w:t>Collapsed Insurer Amendment Bill</w:t>
      </w:r>
      <w:r w:rsidRPr="00F61B0A">
        <w:rPr>
          <w:i/>
        </w:rPr>
        <w:t xml:space="preserve"> </w:t>
      </w:r>
      <w:r w:rsidR="00A32D78">
        <w:t xml:space="preserve">makes amendments consequential on the </w:t>
      </w:r>
      <w:r w:rsidR="005D3384">
        <w:t xml:space="preserve">transfer </w:t>
      </w:r>
      <w:r w:rsidR="00A32D78">
        <w:t xml:space="preserve">of </w:t>
      </w:r>
      <w:r w:rsidR="005D3384">
        <w:t xml:space="preserve">responsibility for the Collapsed Insurer Levy from </w:t>
      </w:r>
      <w:r w:rsidR="00C060C9">
        <w:t>t</w:t>
      </w:r>
      <w:r w:rsidR="005D3384">
        <w:t xml:space="preserve">he Council and the Health </w:t>
      </w:r>
      <w:r w:rsidR="00B2761E">
        <w:t>Minister</w:t>
      </w:r>
      <w:r w:rsidR="005D3384">
        <w:t xml:space="preserve"> to APRA and a Treasury Minister</w:t>
      </w:r>
      <w:r>
        <w:t>.</w:t>
      </w:r>
      <w:r w:rsidR="00A32D78">
        <w:t xml:space="preserve"> There are related a</w:t>
      </w:r>
      <w:r w:rsidR="00B82F99">
        <w:t>mendments to the FISLC Act that will give APRA responsibility for the collection of the levy.</w:t>
      </w:r>
    </w:p>
    <w:p w14:paraId="0BFC21AC" w14:textId="77777777" w:rsidR="008762F6" w:rsidRDefault="0081006B" w:rsidP="000F194A">
      <w:pPr>
        <w:pStyle w:val="base-text-paragraph"/>
      </w:pPr>
      <w:r>
        <w:t>The Collapsed Insurer Amendment Bill</w:t>
      </w:r>
      <w:r w:rsidR="00B82F99">
        <w:t xml:space="preserve"> amends</w:t>
      </w:r>
      <w:r w:rsidR="008762F6">
        <w:t xml:space="preserve"> the legislative fram</w:t>
      </w:r>
      <w:r w:rsidR="00F61B0A">
        <w:t xml:space="preserve">ework for the </w:t>
      </w:r>
      <w:r w:rsidR="00B82F99">
        <w:t xml:space="preserve">imposition and </w:t>
      </w:r>
      <w:r w:rsidR="00F61B0A">
        <w:t>calculation, of a levy</w:t>
      </w:r>
      <w:r w:rsidR="00B82F99">
        <w:t>, and the setting of levy days. The purpose of the levy will not change. It will continue to be used, if required,</w:t>
      </w:r>
      <w:r w:rsidR="00F61B0A">
        <w:t xml:space="preserve"> to recover the cost of</w:t>
      </w:r>
      <w:r w:rsidR="008762F6">
        <w:t xml:space="preserve"> meet</w:t>
      </w:r>
      <w:r w:rsidR="00F61B0A">
        <w:t>ing</w:t>
      </w:r>
      <w:r w:rsidR="008762F6">
        <w:t xml:space="preserve"> a collapsed insurer’s liabilities to the people insured under its complying health insurance policies</w:t>
      </w:r>
      <w:r w:rsidR="00F61B0A">
        <w:t>,</w:t>
      </w:r>
      <w:r w:rsidR="008762F6">
        <w:t xml:space="preserve"> that it is unable to meet itself. </w:t>
      </w:r>
    </w:p>
    <w:p w14:paraId="62A4863F" w14:textId="77777777" w:rsidR="008762F6" w:rsidRDefault="005D3384" w:rsidP="000F194A">
      <w:pPr>
        <w:pStyle w:val="base-text-paragraph"/>
      </w:pPr>
      <w:r>
        <w:t xml:space="preserve">For private health insurers, the </w:t>
      </w:r>
      <w:r w:rsidR="00C060C9">
        <w:t>C</w:t>
      </w:r>
      <w:r>
        <w:t xml:space="preserve">ollapsed </w:t>
      </w:r>
      <w:r w:rsidR="00C060C9">
        <w:t>I</w:t>
      </w:r>
      <w:r>
        <w:t xml:space="preserve">nsurer </w:t>
      </w:r>
      <w:r w:rsidR="00C060C9">
        <w:t>L</w:t>
      </w:r>
      <w:r>
        <w:t xml:space="preserve">evy, if activated, </w:t>
      </w:r>
      <w:r w:rsidR="00B82F99">
        <w:t>will</w:t>
      </w:r>
      <w:r>
        <w:t xml:space="preserve"> operate as it would have prior to the cessation of </w:t>
      </w:r>
      <w:r w:rsidR="006B0DDA">
        <w:t>t</w:t>
      </w:r>
      <w:r>
        <w:t>he Council</w:t>
      </w:r>
      <w:r w:rsidR="008762F6">
        <w:t xml:space="preserve">. </w:t>
      </w:r>
    </w:p>
    <w:p w14:paraId="5CBEFE28" w14:textId="77777777" w:rsidR="008762F6" w:rsidRDefault="008762F6" w:rsidP="008762F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762F6" w:rsidRPr="004666B8" w14:paraId="0980E8FE" w14:textId="77777777" w:rsidTr="00276616">
        <w:trPr>
          <w:tblHeader/>
        </w:trPr>
        <w:tc>
          <w:tcPr>
            <w:tcW w:w="3275" w:type="dxa"/>
          </w:tcPr>
          <w:p w14:paraId="26292FD5" w14:textId="77777777" w:rsidR="008762F6" w:rsidRPr="004666B8" w:rsidRDefault="008762F6" w:rsidP="00446279">
            <w:pPr>
              <w:pStyle w:val="tableheaderwithintable"/>
              <w:rPr>
                <w:lang w:val="en-US" w:eastAsia="en-US"/>
              </w:rPr>
            </w:pPr>
            <w:r w:rsidRPr="004666B8">
              <w:rPr>
                <w:lang w:val="en-US" w:eastAsia="en-US"/>
              </w:rPr>
              <w:t>New law</w:t>
            </w:r>
          </w:p>
        </w:tc>
        <w:tc>
          <w:tcPr>
            <w:tcW w:w="3276" w:type="dxa"/>
          </w:tcPr>
          <w:p w14:paraId="151CB60E" w14:textId="77777777" w:rsidR="008762F6" w:rsidRPr="004666B8" w:rsidRDefault="008762F6" w:rsidP="00446279">
            <w:pPr>
              <w:pStyle w:val="tableheaderwithintable"/>
              <w:rPr>
                <w:lang w:val="en-US" w:eastAsia="en-US"/>
              </w:rPr>
            </w:pPr>
            <w:r w:rsidRPr="004666B8">
              <w:rPr>
                <w:lang w:val="en-US" w:eastAsia="en-US"/>
              </w:rPr>
              <w:t>Current law</w:t>
            </w:r>
          </w:p>
        </w:tc>
      </w:tr>
      <w:tr w:rsidR="008762F6" w:rsidRPr="004666B8" w14:paraId="0C5FBC28" w14:textId="77777777" w:rsidTr="00446279">
        <w:tc>
          <w:tcPr>
            <w:tcW w:w="3275" w:type="dxa"/>
          </w:tcPr>
          <w:p w14:paraId="31770AB4" w14:textId="77777777" w:rsidR="008762F6" w:rsidRPr="004666B8" w:rsidRDefault="008762F6" w:rsidP="00CE4BF2">
            <w:pPr>
              <w:pStyle w:val="tabletext"/>
              <w:rPr>
                <w:lang w:val="en-US" w:eastAsia="en-US"/>
              </w:rPr>
            </w:pPr>
            <w:r>
              <w:rPr>
                <w:lang w:val="en-US" w:eastAsia="en-US"/>
              </w:rPr>
              <w:t>The Collapsed Insurer Levy will be imposed in th</w:t>
            </w:r>
            <w:r w:rsidR="00F61B0A">
              <w:rPr>
                <w:lang w:val="en-US" w:eastAsia="en-US"/>
              </w:rPr>
              <w:t>e case of a private health i</w:t>
            </w:r>
            <w:r>
              <w:rPr>
                <w:lang w:val="en-US" w:eastAsia="en-US"/>
              </w:rPr>
              <w:t>nsurers</w:t>
            </w:r>
            <w:r w:rsidR="00F61B0A">
              <w:rPr>
                <w:lang w:val="en-US" w:eastAsia="en-US"/>
              </w:rPr>
              <w:t>’</w:t>
            </w:r>
            <w:r>
              <w:rPr>
                <w:lang w:val="en-US" w:eastAsia="en-US"/>
              </w:rPr>
              <w:t xml:space="preserve"> collapse by a Treasury Minister.</w:t>
            </w:r>
          </w:p>
        </w:tc>
        <w:tc>
          <w:tcPr>
            <w:tcW w:w="3276" w:type="dxa"/>
          </w:tcPr>
          <w:p w14:paraId="3EE2583C" w14:textId="77777777" w:rsidR="008762F6" w:rsidRPr="004666B8" w:rsidRDefault="008762F6" w:rsidP="00CE4BF2">
            <w:pPr>
              <w:pStyle w:val="tabletext"/>
              <w:rPr>
                <w:lang w:val="en-US" w:eastAsia="en-US"/>
              </w:rPr>
            </w:pPr>
            <w:r>
              <w:rPr>
                <w:lang w:val="en-US" w:eastAsia="en-US"/>
              </w:rPr>
              <w:t>The Collapsed Insurer Le</w:t>
            </w:r>
            <w:r w:rsidR="00F61B0A">
              <w:rPr>
                <w:lang w:val="en-US" w:eastAsia="en-US"/>
              </w:rPr>
              <w:t>vy is imposed in the case of a</w:t>
            </w:r>
            <w:r w:rsidR="00134A77">
              <w:rPr>
                <w:lang w:val="en-US" w:eastAsia="en-US"/>
              </w:rPr>
              <w:t xml:space="preserve"> </w:t>
            </w:r>
            <w:r w:rsidR="00DC7AC1">
              <w:rPr>
                <w:lang w:val="en-US" w:eastAsia="en-US"/>
              </w:rPr>
              <w:t>collapsed</w:t>
            </w:r>
            <w:r w:rsidR="00F61B0A">
              <w:rPr>
                <w:lang w:val="en-US" w:eastAsia="en-US"/>
              </w:rPr>
              <w:t xml:space="preserve"> private health i</w:t>
            </w:r>
            <w:r>
              <w:rPr>
                <w:lang w:val="en-US" w:eastAsia="en-US"/>
              </w:rPr>
              <w:t>nsurers</w:t>
            </w:r>
            <w:r w:rsidR="00F61B0A">
              <w:rPr>
                <w:lang w:val="en-US" w:eastAsia="en-US"/>
              </w:rPr>
              <w:t>’</w:t>
            </w:r>
            <w:r w:rsidR="00DC7AC1">
              <w:rPr>
                <w:lang w:val="en-US" w:eastAsia="en-US"/>
              </w:rPr>
              <w:t xml:space="preserve"> </w:t>
            </w:r>
            <w:r>
              <w:rPr>
                <w:lang w:val="en-US" w:eastAsia="en-US"/>
              </w:rPr>
              <w:t>by the Health Minister.</w:t>
            </w:r>
          </w:p>
        </w:tc>
      </w:tr>
      <w:tr w:rsidR="008762F6" w:rsidRPr="004666B8" w14:paraId="2C5D72E9" w14:textId="77777777" w:rsidTr="00446279">
        <w:tc>
          <w:tcPr>
            <w:tcW w:w="3275" w:type="dxa"/>
          </w:tcPr>
          <w:p w14:paraId="4FC21383" w14:textId="77777777" w:rsidR="00882D53" w:rsidRPr="000C274F" w:rsidRDefault="008762F6" w:rsidP="003626B5">
            <w:pPr>
              <w:keepNext/>
              <w:keepLines/>
              <w:spacing w:before="0" w:after="0"/>
              <w:rPr>
                <w:lang w:val="en-US" w:eastAsia="en-US"/>
              </w:rPr>
            </w:pPr>
            <w:r w:rsidRPr="000C274F">
              <w:rPr>
                <w:sz w:val="20"/>
                <w:lang w:val="en-US" w:eastAsia="en-US"/>
              </w:rPr>
              <w:t xml:space="preserve">Before making a determination </w:t>
            </w:r>
            <w:r w:rsidR="00F06740">
              <w:rPr>
                <w:sz w:val="20"/>
                <w:lang w:val="en-US" w:eastAsia="en-US"/>
              </w:rPr>
              <w:t xml:space="preserve">imposing the levy </w:t>
            </w:r>
            <w:r w:rsidRPr="000C274F">
              <w:rPr>
                <w:sz w:val="20"/>
                <w:lang w:val="en-US" w:eastAsia="en-US"/>
              </w:rPr>
              <w:t>a Treasury Minister must obtain and take into account, advice from APRA in relation to:</w:t>
            </w:r>
          </w:p>
          <w:p w14:paraId="63735F48" w14:textId="77777777" w:rsidR="008762F6" w:rsidRPr="00475EAD" w:rsidRDefault="008762F6" w:rsidP="00056CA0">
            <w:pPr>
              <w:pStyle w:val="tabledotpoint"/>
              <w:keepNext/>
              <w:keepLines/>
              <w:rPr>
                <w:lang w:val="en-US" w:eastAsia="en-US"/>
              </w:rPr>
            </w:pPr>
            <w:r w:rsidRPr="00475EAD">
              <w:rPr>
                <w:lang w:val="en-US" w:eastAsia="en-US"/>
              </w:rPr>
              <w:t>whether to make a levy determination;</w:t>
            </w:r>
          </w:p>
          <w:p w14:paraId="5C1B2D10" w14:textId="77777777" w:rsidR="008762F6" w:rsidRPr="00012DB4" w:rsidRDefault="008762F6" w:rsidP="00056CA0">
            <w:pPr>
              <w:pStyle w:val="tabledotpoint"/>
              <w:keepNext/>
              <w:keepLines/>
              <w:rPr>
                <w:lang w:val="en-US" w:eastAsia="en-US"/>
              </w:rPr>
            </w:pPr>
            <w:r w:rsidRPr="000C274F">
              <w:rPr>
                <w:lang w:val="en-US" w:eastAsia="en-US"/>
              </w:rPr>
              <w:t>whether to exempt any insurers;</w:t>
            </w:r>
          </w:p>
          <w:p w14:paraId="199CABD6" w14:textId="77777777" w:rsidR="008762F6" w:rsidRPr="00012DB4" w:rsidRDefault="008762F6" w:rsidP="00056CA0">
            <w:pPr>
              <w:pStyle w:val="tabledotpoint"/>
              <w:keepNext/>
              <w:keepLines/>
              <w:rPr>
                <w:lang w:val="en-US" w:eastAsia="en-US"/>
              </w:rPr>
            </w:pPr>
            <w:r w:rsidRPr="000C274F">
              <w:rPr>
                <w:lang w:val="en-US" w:eastAsia="en-US"/>
              </w:rPr>
              <w:t>the day or days to be specified as the levy day</w:t>
            </w:r>
            <w:r w:rsidR="00F06740">
              <w:rPr>
                <w:lang w:val="en-US" w:eastAsia="en-US"/>
              </w:rPr>
              <w:t>(s)</w:t>
            </w:r>
            <w:r w:rsidRPr="000C274F">
              <w:rPr>
                <w:lang w:val="en-US" w:eastAsia="en-US"/>
              </w:rPr>
              <w:t>;</w:t>
            </w:r>
          </w:p>
          <w:p w14:paraId="2A78EF3C" w14:textId="77777777" w:rsidR="008762F6" w:rsidRPr="00012DB4" w:rsidRDefault="008762F6" w:rsidP="00056CA0">
            <w:pPr>
              <w:pStyle w:val="tabledotpoint"/>
              <w:keepNext/>
              <w:keepLines/>
              <w:rPr>
                <w:lang w:val="en-US" w:eastAsia="en-US"/>
              </w:rPr>
            </w:pPr>
            <w:r w:rsidRPr="000C274F">
              <w:rPr>
                <w:lang w:val="en-US" w:eastAsia="en-US"/>
              </w:rPr>
              <w:t>the rate to be specified on the levy day;</w:t>
            </w:r>
          </w:p>
          <w:p w14:paraId="7C7E9700" w14:textId="77777777" w:rsidR="00F06740" w:rsidRPr="00012DB4" w:rsidRDefault="00F06740" w:rsidP="00056CA0">
            <w:pPr>
              <w:pStyle w:val="tabledotpoint"/>
              <w:keepNext/>
              <w:keepLines/>
              <w:rPr>
                <w:lang w:val="en-US" w:eastAsia="en-US"/>
              </w:rPr>
            </w:pPr>
            <w:r>
              <w:rPr>
                <w:lang w:val="en-US" w:eastAsia="en-US"/>
              </w:rPr>
              <w:t>the day or days to be specified as the census day(s);</w:t>
            </w:r>
          </w:p>
          <w:p w14:paraId="1F73E2C6" w14:textId="77777777" w:rsidR="00623D4F" w:rsidRPr="00475EAD" w:rsidRDefault="00623D4F" w:rsidP="00056CA0">
            <w:pPr>
              <w:pStyle w:val="tabledotpoint"/>
              <w:keepNext/>
              <w:keepLines/>
              <w:rPr>
                <w:lang w:val="en-US" w:eastAsia="en-US"/>
              </w:rPr>
            </w:pPr>
            <w:r w:rsidRPr="00475EAD">
              <w:rPr>
                <w:lang w:val="en-US" w:eastAsia="en-US"/>
              </w:rPr>
              <w:t>the day to be specified as the payment day in relation to a collapsed insurer levy day;</w:t>
            </w:r>
            <w:r w:rsidR="004270B9">
              <w:rPr>
                <w:lang w:val="en-US" w:eastAsia="en-US"/>
              </w:rPr>
              <w:t xml:space="preserve"> and </w:t>
            </w:r>
          </w:p>
          <w:p w14:paraId="3BCF7E80" w14:textId="77777777" w:rsidR="008762F6" w:rsidRPr="00012DB4" w:rsidRDefault="008762F6" w:rsidP="00056CA0">
            <w:pPr>
              <w:pStyle w:val="tabledotpoint"/>
              <w:keepNext/>
              <w:keepLines/>
              <w:rPr>
                <w:lang w:val="en-US" w:eastAsia="en-US"/>
              </w:rPr>
            </w:pPr>
            <w:r w:rsidRPr="000C274F">
              <w:rPr>
                <w:lang w:val="en-US" w:eastAsia="en-US"/>
              </w:rPr>
              <w:t>the total value of the collapsed insurer</w:t>
            </w:r>
            <w:r>
              <w:rPr>
                <w:lang w:val="en-US" w:eastAsia="en-US"/>
              </w:rPr>
              <w:t>’</w:t>
            </w:r>
            <w:r w:rsidRPr="000C274F">
              <w:rPr>
                <w:lang w:val="en-US" w:eastAsia="en-US"/>
              </w:rPr>
              <w:t>s liabilities to people insured under its complying policies.</w:t>
            </w:r>
          </w:p>
          <w:p w14:paraId="2234D3A9" w14:textId="77777777" w:rsidR="008762F6" w:rsidRPr="000C274F" w:rsidRDefault="008762F6" w:rsidP="00056CA0">
            <w:pPr>
              <w:keepNext/>
              <w:keepLines/>
              <w:rPr>
                <w:lang w:val="en-US" w:eastAsia="en-US"/>
              </w:rPr>
            </w:pPr>
            <w:r w:rsidRPr="000C274F">
              <w:rPr>
                <w:sz w:val="20"/>
                <w:lang w:val="en-US" w:eastAsia="en-US"/>
              </w:rPr>
              <w:t xml:space="preserve">Any advice received by the Minister from APRA must be laid before each House of Parliament with the determination to which the advice relates. </w:t>
            </w:r>
          </w:p>
        </w:tc>
        <w:tc>
          <w:tcPr>
            <w:tcW w:w="3276" w:type="dxa"/>
          </w:tcPr>
          <w:p w14:paraId="5FA8C818" w14:textId="77777777" w:rsidR="008762F6" w:rsidRPr="00B5343F" w:rsidRDefault="008762F6" w:rsidP="00056CA0">
            <w:pPr>
              <w:keepNext/>
              <w:keepLines/>
              <w:spacing w:before="0" w:after="0"/>
              <w:rPr>
                <w:sz w:val="20"/>
                <w:lang w:val="en-US" w:eastAsia="en-US"/>
              </w:rPr>
            </w:pPr>
            <w:r w:rsidRPr="00B5343F">
              <w:rPr>
                <w:sz w:val="20"/>
                <w:lang w:val="en-US" w:eastAsia="en-US"/>
              </w:rPr>
              <w:t xml:space="preserve">Before making a determination </w:t>
            </w:r>
            <w:r w:rsidR="00F61B0A">
              <w:rPr>
                <w:sz w:val="20"/>
                <w:lang w:val="en-US" w:eastAsia="en-US"/>
              </w:rPr>
              <w:t xml:space="preserve">the </w:t>
            </w:r>
            <w:r w:rsidRPr="00B5343F">
              <w:rPr>
                <w:sz w:val="20"/>
                <w:lang w:val="en-US" w:eastAsia="en-US"/>
              </w:rPr>
              <w:t xml:space="preserve">Minister </w:t>
            </w:r>
            <w:r w:rsidR="00F61B0A">
              <w:rPr>
                <w:sz w:val="20"/>
                <w:lang w:val="en-US" w:eastAsia="en-US"/>
              </w:rPr>
              <w:t xml:space="preserve">for Health </w:t>
            </w:r>
            <w:r w:rsidRPr="00B5343F">
              <w:rPr>
                <w:sz w:val="20"/>
                <w:lang w:val="en-US" w:eastAsia="en-US"/>
              </w:rPr>
              <w:t xml:space="preserve">must obtain and take into account, advice from </w:t>
            </w:r>
            <w:r w:rsidR="00F61B0A">
              <w:rPr>
                <w:sz w:val="20"/>
                <w:lang w:val="en-US" w:eastAsia="en-US"/>
              </w:rPr>
              <w:t>t</w:t>
            </w:r>
            <w:r w:rsidR="005D3384">
              <w:rPr>
                <w:sz w:val="20"/>
                <w:lang w:val="en-US" w:eastAsia="en-US"/>
              </w:rPr>
              <w:t>he Council</w:t>
            </w:r>
            <w:r w:rsidRPr="00B5343F">
              <w:rPr>
                <w:sz w:val="20"/>
                <w:lang w:val="en-US" w:eastAsia="en-US"/>
              </w:rPr>
              <w:t xml:space="preserve"> in relation to:</w:t>
            </w:r>
          </w:p>
          <w:p w14:paraId="6911286B" w14:textId="77777777" w:rsidR="008762F6" w:rsidRPr="00B5343F" w:rsidRDefault="008762F6" w:rsidP="00056CA0">
            <w:pPr>
              <w:pStyle w:val="tabledotpoint"/>
              <w:keepNext/>
              <w:keepLines/>
              <w:rPr>
                <w:lang w:val="en-US" w:eastAsia="en-US"/>
              </w:rPr>
            </w:pPr>
            <w:r w:rsidRPr="00B5343F">
              <w:rPr>
                <w:lang w:val="en-US" w:eastAsia="en-US"/>
              </w:rPr>
              <w:t>whether to make a levy determination;</w:t>
            </w:r>
          </w:p>
          <w:p w14:paraId="524879B2" w14:textId="77777777" w:rsidR="008762F6" w:rsidRPr="00B5343F" w:rsidRDefault="008762F6" w:rsidP="00056CA0">
            <w:pPr>
              <w:pStyle w:val="tabledotpoint"/>
              <w:keepNext/>
              <w:keepLines/>
              <w:rPr>
                <w:lang w:val="en-US" w:eastAsia="en-US"/>
              </w:rPr>
            </w:pPr>
            <w:r w:rsidRPr="00B5343F">
              <w:rPr>
                <w:lang w:val="en-US" w:eastAsia="en-US"/>
              </w:rPr>
              <w:t>whether to exempt any insurers;</w:t>
            </w:r>
          </w:p>
          <w:p w14:paraId="41717FED" w14:textId="77777777" w:rsidR="008762F6" w:rsidRPr="00B5343F" w:rsidRDefault="008762F6" w:rsidP="00056CA0">
            <w:pPr>
              <w:pStyle w:val="tabledotpoint"/>
              <w:keepNext/>
              <w:keepLines/>
              <w:rPr>
                <w:lang w:val="en-US" w:eastAsia="en-US"/>
              </w:rPr>
            </w:pPr>
            <w:r w:rsidRPr="00B5343F">
              <w:rPr>
                <w:lang w:val="en-US" w:eastAsia="en-US"/>
              </w:rPr>
              <w:t>the day or days to be specified as the levy day</w:t>
            </w:r>
            <w:r w:rsidR="00F06740">
              <w:rPr>
                <w:lang w:val="en-US" w:eastAsia="en-US"/>
              </w:rPr>
              <w:t>(s)</w:t>
            </w:r>
            <w:r w:rsidRPr="00B5343F">
              <w:rPr>
                <w:lang w:val="en-US" w:eastAsia="en-US"/>
              </w:rPr>
              <w:t>;</w:t>
            </w:r>
          </w:p>
          <w:p w14:paraId="3A456DE8" w14:textId="77777777" w:rsidR="008762F6" w:rsidRPr="00B5343F" w:rsidRDefault="008762F6" w:rsidP="00056CA0">
            <w:pPr>
              <w:pStyle w:val="tabledotpoint"/>
              <w:keepNext/>
              <w:keepLines/>
              <w:rPr>
                <w:lang w:val="en-US" w:eastAsia="en-US"/>
              </w:rPr>
            </w:pPr>
            <w:r w:rsidRPr="00B5343F">
              <w:rPr>
                <w:lang w:val="en-US" w:eastAsia="en-US"/>
              </w:rPr>
              <w:t>the rate to be specified on the levy day;</w:t>
            </w:r>
          </w:p>
          <w:p w14:paraId="149629B6" w14:textId="77777777" w:rsidR="00F06740" w:rsidRPr="00B5343F" w:rsidRDefault="00F06740" w:rsidP="00056CA0">
            <w:pPr>
              <w:pStyle w:val="tabledotpoint"/>
              <w:keepNext/>
              <w:keepLines/>
              <w:rPr>
                <w:lang w:val="en-US" w:eastAsia="en-US"/>
              </w:rPr>
            </w:pPr>
            <w:r>
              <w:rPr>
                <w:lang w:val="en-US" w:eastAsia="en-US"/>
              </w:rPr>
              <w:t>the day or days to be specified as the census day(s);</w:t>
            </w:r>
          </w:p>
          <w:p w14:paraId="5FCAE915" w14:textId="77777777" w:rsidR="008762F6" w:rsidRPr="00B5343F" w:rsidRDefault="008762F6" w:rsidP="00056CA0">
            <w:pPr>
              <w:pStyle w:val="tabledotpoint"/>
              <w:keepNext/>
              <w:keepLines/>
              <w:rPr>
                <w:lang w:val="en-US" w:eastAsia="en-US"/>
              </w:rPr>
            </w:pPr>
            <w:r w:rsidRPr="00B5343F">
              <w:rPr>
                <w:lang w:val="en-US" w:eastAsia="en-US"/>
              </w:rPr>
              <w:t>the total value of the collapsed insurer’s liabilities to people insured under its complying policies.</w:t>
            </w:r>
          </w:p>
          <w:p w14:paraId="065CACCA" w14:textId="77777777" w:rsidR="008762F6" w:rsidRPr="000C274F" w:rsidRDefault="008762F6" w:rsidP="00056CA0">
            <w:pPr>
              <w:keepNext/>
              <w:keepLines/>
              <w:rPr>
                <w:lang w:val="en-US" w:eastAsia="en-US"/>
              </w:rPr>
            </w:pPr>
            <w:r w:rsidRPr="000C274F">
              <w:rPr>
                <w:sz w:val="20"/>
                <w:lang w:val="en-US" w:eastAsia="en-US"/>
              </w:rPr>
              <w:t xml:space="preserve">Any advice received by the Minister from </w:t>
            </w:r>
            <w:r w:rsidR="00C23A99">
              <w:rPr>
                <w:sz w:val="20"/>
                <w:lang w:val="en-US" w:eastAsia="en-US"/>
              </w:rPr>
              <w:t>the Council</w:t>
            </w:r>
            <w:r w:rsidRPr="000C274F">
              <w:rPr>
                <w:sz w:val="20"/>
                <w:lang w:val="en-US" w:eastAsia="en-US"/>
              </w:rPr>
              <w:t xml:space="preserve"> must be laid before each House of Parliament with the determination to which the advice relates. </w:t>
            </w:r>
          </w:p>
        </w:tc>
      </w:tr>
    </w:tbl>
    <w:p w14:paraId="180E30F5" w14:textId="77777777" w:rsidR="008762F6" w:rsidRDefault="008762F6" w:rsidP="008762F6">
      <w:pPr>
        <w:pStyle w:val="Heading2"/>
      </w:pPr>
      <w:r>
        <w:t>Detailed explanation of new law</w:t>
      </w:r>
    </w:p>
    <w:p w14:paraId="7378F873" w14:textId="77777777" w:rsidR="008762F6" w:rsidRDefault="005309BE" w:rsidP="000F194A">
      <w:pPr>
        <w:pStyle w:val="base-text-paragraph"/>
      </w:pPr>
      <w:r>
        <w:t xml:space="preserve">In Section 5, the definition of </w:t>
      </w:r>
      <w:r w:rsidR="0081006B">
        <w:t>‘</w:t>
      </w:r>
      <w:r w:rsidRPr="003626B5">
        <w:t>collapsed insurer</w:t>
      </w:r>
      <w:r w:rsidR="0081006B">
        <w:t>’</w:t>
      </w:r>
      <w:r>
        <w:t xml:space="preserve"> has been </w:t>
      </w:r>
      <w:r w:rsidR="00F06740">
        <w:t xml:space="preserve">replaced to reflect APRA’s role and the transfer of provisions on the external management and terminating management of health benefits funds from the PHI Act to the </w:t>
      </w:r>
      <w:r w:rsidR="00E9202F">
        <w:t>Prudential Supervision Bill</w:t>
      </w:r>
      <w:r w:rsidR="00F06740">
        <w:t>.  This is not intended to alter the substantial effect of the definition. It will</w:t>
      </w:r>
      <w:r>
        <w:t xml:space="preserve"> ensure that a private health insurer is a </w:t>
      </w:r>
      <w:r w:rsidR="0081006B">
        <w:t>‘</w:t>
      </w:r>
      <w:r w:rsidRPr="003626B5">
        <w:t>collapsed insurer</w:t>
      </w:r>
      <w:r w:rsidR="0081006B">
        <w:t>’</w:t>
      </w:r>
      <w:r>
        <w:t xml:space="preserve"> if at least one of the following applies to at least one of the insurer’s health benefits funds:</w:t>
      </w:r>
    </w:p>
    <w:p w14:paraId="02E03EA1" w14:textId="77777777" w:rsidR="005309BE" w:rsidRPr="00682BAD" w:rsidRDefault="005309BE" w:rsidP="005309BE">
      <w:pPr>
        <w:pStyle w:val="dotpoint"/>
      </w:pPr>
      <w:r>
        <w:t xml:space="preserve">APRA </w:t>
      </w:r>
      <w:r w:rsidRPr="00682BAD">
        <w:t xml:space="preserve">has approved the termination of the health benefits fund under section 37 of the </w:t>
      </w:r>
      <w:r w:rsidR="00E9202F">
        <w:t>Prudential Supervision Bill</w:t>
      </w:r>
      <w:r w:rsidR="006B0DDA">
        <w:t xml:space="preserve"> </w:t>
      </w:r>
      <w:r w:rsidR="006B0DDA">
        <w:rPr>
          <w:rStyle w:val="Referencingstyle"/>
        </w:rPr>
        <w:t>[Schedule 1, Part 1, Item 2(a)]</w:t>
      </w:r>
      <w:r w:rsidRPr="00682BAD">
        <w:t>;</w:t>
      </w:r>
    </w:p>
    <w:p w14:paraId="6FCF5ADC" w14:textId="77777777" w:rsidR="005309BE" w:rsidRPr="00682BAD" w:rsidRDefault="005309BE" w:rsidP="005309BE">
      <w:pPr>
        <w:pStyle w:val="dotpoint"/>
      </w:pPr>
      <w:r w:rsidRPr="00682BAD">
        <w:t xml:space="preserve">APRA has appointed an external manager of the health benefits fund under section 51 of the </w:t>
      </w:r>
      <w:r w:rsidR="00E9202F">
        <w:t>Prudential Supervision Bill</w:t>
      </w:r>
      <w:r w:rsidR="006B0DDA">
        <w:t xml:space="preserve"> </w:t>
      </w:r>
      <w:r w:rsidR="006B0DDA">
        <w:rPr>
          <w:rStyle w:val="Referencingstyle"/>
        </w:rPr>
        <w:t>[Schedule 1, Part 1, Item 2(b)]</w:t>
      </w:r>
      <w:r w:rsidRPr="00682BAD">
        <w:t>;</w:t>
      </w:r>
    </w:p>
    <w:p w14:paraId="00DDA8DB" w14:textId="77777777" w:rsidR="005309BE" w:rsidRPr="00682BAD" w:rsidRDefault="005309BE" w:rsidP="005309BE">
      <w:pPr>
        <w:pStyle w:val="dotpoint"/>
      </w:pPr>
      <w:r w:rsidRPr="00682BAD">
        <w:t xml:space="preserve">the Federal Court of Australia has ordered the appointment of a terminating manager of the health benefits fund under section 67 of the </w:t>
      </w:r>
      <w:r w:rsidR="00E9202F">
        <w:t>Prudential Supervision Bill</w:t>
      </w:r>
      <w:r w:rsidR="00411BE0">
        <w:t>.</w:t>
      </w:r>
      <w:r w:rsidR="006B0DDA">
        <w:t xml:space="preserve"> </w:t>
      </w:r>
      <w:r w:rsidR="006B0DDA">
        <w:rPr>
          <w:rStyle w:val="Referencingstyle"/>
        </w:rPr>
        <w:t>[Schedule 1, Part</w:t>
      </w:r>
      <w:r w:rsidR="00F06740">
        <w:rPr>
          <w:rStyle w:val="Referencingstyle"/>
        </w:rPr>
        <w:t> </w:t>
      </w:r>
      <w:r w:rsidR="006B0DDA">
        <w:rPr>
          <w:rStyle w:val="Referencingstyle"/>
        </w:rPr>
        <w:t>1, Item 2(c)]</w:t>
      </w:r>
    </w:p>
    <w:p w14:paraId="52A39893" w14:textId="77777777" w:rsidR="005309BE" w:rsidRDefault="005309BE" w:rsidP="000F194A">
      <w:pPr>
        <w:pStyle w:val="base-text-paragraph"/>
      </w:pPr>
      <w:r>
        <w:t xml:space="preserve">In Section 5, the definition of </w:t>
      </w:r>
      <w:r w:rsidR="0081006B">
        <w:t>‘</w:t>
      </w:r>
      <w:r w:rsidRPr="003626B5">
        <w:t>health benefits fund</w:t>
      </w:r>
      <w:r w:rsidR="0081006B">
        <w:t>’</w:t>
      </w:r>
      <w:r>
        <w:t xml:space="preserve"> has also been inserted </w:t>
      </w:r>
      <w:r w:rsidR="00F06740">
        <w:t>and</w:t>
      </w:r>
      <w:r w:rsidR="004270B9">
        <w:t xml:space="preserve"> it </w:t>
      </w:r>
      <w:r w:rsidR="00F06740">
        <w:t>will have</w:t>
      </w:r>
      <w:r w:rsidR="004270B9">
        <w:t xml:space="preserve"> the </w:t>
      </w:r>
      <w:r>
        <w:t xml:space="preserve">same meaning as in the </w:t>
      </w:r>
      <w:r w:rsidR="00334055">
        <w:t>PHI</w:t>
      </w:r>
      <w:r w:rsidR="004270B9">
        <w:t xml:space="preserve"> Act</w:t>
      </w:r>
      <w:r w:rsidR="00F06740">
        <w:t xml:space="preserve">, as the term is referred to in the definition of </w:t>
      </w:r>
      <w:r w:rsidR="0081006B">
        <w:t>‘</w:t>
      </w:r>
      <w:r w:rsidR="00F06740">
        <w:t>collapsed insurer</w:t>
      </w:r>
      <w:r w:rsidR="0081006B">
        <w:t>’</w:t>
      </w:r>
      <w:r w:rsidR="00411BE0">
        <w:t>.</w:t>
      </w:r>
      <w:r w:rsidR="006B0DDA">
        <w:rPr>
          <w:i/>
        </w:rPr>
        <w:t xml:space="preserve"> </w:t>
      </w:r>
      <w:r w:rsidR="006B0DDA">
        <w:rPr>
          <w:rStyle w:val="Referencingstyle"/>
        </w:rPr>
        <w:t>[Schedule 1, Part</w:t>
      </w:r>
      <w:r w:rsidR="00411BE0">
        <w:rPr>
          <w:rStyle w:val="Referencingstyle"/>
        </w:rPr>
        <w:t> </w:t>
      </w:r>
      <w:r w:rsidR="006B0DDA">
        <w:rPr>
          <w:rStyle w:val="Referencingstyle"/>
        </w:rPr>
        <w:t>1, Item</w:t>
      </w:r>
      <w:r w:rsidR="00F06740">
        <w:rPr>
          <w:rStyle w:val="Referencingstyle"/>
        </w:rPr>
        <w:t> </w:t>
      </w:r>
      <w:r w:rsidR="006B0DDA">
        <w:rPr>
          <w:rStyle w:val="Referencingstyle"/>
        </w:rPr>
        <w:t>4]</w:t>
      </w:r>
    </w:p>
    <w:p w14:paraId="69211006" w14:textId="77777777" w:rsidR="005309BE" w:rsidRDefault="005309BE" w:rsidP="000F194A">
      <w:pPr>
        <w:pStyle w:val="base-text-paragraph"/>
      </w:pPr>
      <w:r>
        <w:t xml:space="preserve">Finally, in Section 5, </w:t>
      </w:r>
      <w:r w:rsidR="0081006B">
        <w:t>‘</w:t>
      </w:r>
      <w:r>
        <w:t>private health insurer</w:t>
      </w:r>
      <w:r w:rsidR="0081006B">
        <w:t>’</w:t>
      </w:r>
      <w:r>
        <w:t xml:space="preserve"> now has the same meaning as in the </w:t>
      </w:r>
      <w:r w:rsidR="00E9202F">
        <w:t>Prudential Supervision Bill</w:t>
      </w:r>
      <w:r>
        <w:t xml:space="preserve">, rather than that contained in the </w:t>
      </w:r>
      <w:r w:rsidR="0081006B">
        <w:t>PHI</w:t>
      </w:r>
      <w:r w:rsidRPr="00411BE0">
        <w:t xml:space="preserve"> Act</w:t>
      </w:r>
      <w:r w:rsidR="00411BE0" w:rsidRPr="004270B9">
        <w:rPr>
          <w:i/>
        </w:rPr>
        <w:t>.</w:t>
      </w:r>
      <w:r w:rsidR="00922B7C" w:rsidRPr="004270B9">
        <w:rPr>
          <w:i/>
        </w:rPr>
        <w:t xml:space="preserve"> </w:t>
      </w:r>
      <w:r w:rsidR="00922B7C">
        <w:rPr>
          <w:rStyle w:val="Referencingstyle"/>
        </w:rPr>
        <w:t>[Schedule 1, Part 1, Item 5]</w:t>
      </w:r>
    </w:p>
    <w:p w14:paraId="3470AC91" w14:textId="77777777" w:rsidR="005309BE" w:rsidRDefault="00783F6F" w:rsidP="000F194A">
      <w:pPr>
        <w:pStyle w:val="base-text-paragraph"/>
      </w:pPr>
      <w:r>
        <w:t>Subsection 7(3) is inserted to clarify that any determination specifying a collapsed insurer levy day must also specify the payment day for that levy</w:t>
      </w:r>
      <w:r w:rsidR="00411BE0">
        <w:t>.</w:t>
      </w:r>
      <w:r w:rsidR="00922B7C">
        <w:t xml:space="preserve"> </w:t>
      </w:r>
      <w:r w:rsidR="00922B7C">
        <w:rPr>
          <w:rStyle w:val="Referencingstyle"/>
        </w:rPr>
        <w:t>[Schedule 1, Part 1, Item 6]</w:t>
      </w:r>
    </w:p>
    <w:p w14:paraId="61991037" w14:textId="77777777" w:rsidR="00783F6F" w:rsidRDefault="00783F6F" w:rsidP="000F194A">
      <w:pPr>
        <w:pStyle w:val="base-text-paragraph"/>
      </w:pPr>
      <w:r>
        <w:t xml:space="preserve">Subsection 8(2), paragraphs (a) and (b) are </w:t>
      </w:r>
      <w:r w:rsidR="004270B9">
        <w:t>being r</w:t>
      </w:r>
      <w:r>
        <w:t xml:space="preserve">eplaced to align with the new prudential standards outlined in the </w:t>
      </w:r>
      <w:r w:rsidR="00E9202F">
        <w:t>Prudential Supervision Bill</w:t>
      </w:r>
      <w:r w:rsidRPr="00411BE0">
        <w:t>.</w:t>
      </w:r>
      <w:r>
        <w:t xml:space="preserve"> That is: </w:t>
      </w:r>
    </w:p>
    <w:p w14:paraId="480FEA24" w14:textId="77777777" w:rsidR="00783F6F" w:rsidRPr="00682BAD" w:rsidRDefault="00783F6F" w:rsidP="00783F6F">
      <w:pPr>
        <w:pStyle w:val="dotpoint"/>
      </w:pPr>
      <w:r w:rsidRPr="00682BAD">
        <w:t xml:space="preserve">a prudential standard (within the meaning of the </w:t>
      </w:r>
      <w:r w:rsidR="00E9202F">
        <w:t>Prudential Supervision Bill</w:t>
      </w:r>
      <w:r w:rsidRPr="00682BAD">
        <w:t>) relating to capital adequacy or solvency that applies in relation to the insurer; or</w:t>
      </w:r>
    </w:p>
    <w:p w14:paraId="259650F4" w14:textId="77777777" w:rsidR="00783F6F" w:rsidRPr="00682BAD" w:rsidRDefault="00783F6F" w:rsidP="00783F6F">
      <w:pPr>
        <w:pStyle w:val="dotpoint"/>
      </w:pPr>
      <w:r w:rsidRPr="00682BAD">
        <w:t>a direction given</w:t>
      </w:r>
      <w:r w:rsidR="004270B9">
        <w:t xml:space="preserve"> to the insurer under section 96</w:t>
      </w:r>
      <w:r w:rsidRPr="00682BAD">
        <w:t xml:space="preserve"> of </w:t>
      </w:r>
      <w:r w:rsidR="0081006B">
        <w:t>the Prudential Supervision Bill</w:t>
      </w:r>
      <w:r w:rsidR="00411BE0">
        <w:t>.</w:t>
      </w:r>
      <w:r w:rsidR="00922B7C">
        <w:t xml:space="preserve"> </w:t>
      </w:r>
      <w:r w:rsidR="00922B7C">
        <w:rPr>
          <w:rStyle w:val="Referencingstyle"/>
        </w:rPr>
        <w:t>[Schedule 1, Part 1, Item 7]</w:t>
      </w:r>
    </w:p>
    <w:p w14:paraId="12AC6D5F" w14:textId="77777777" w:rsidR="00783F6F" w:rsidRDefault="00783F6F" w:rsidP="000F194A">
      <w:pPr>
        <w:pStyle w:val="base-text-paragraph"/>
      </w:pPr>
      <w:r>
        <w:t xml:space="preserve">Section 10 is to be renamed ‘Minister to obtain advice from APRA’. </w:t>
      </w:r>
      <w:r w:rsidR="00623D4F">
        <w:t>Subsection 10(1) and 10(2) are to be amended to replace ‘Council’ with ‘APRA’</w:t>
      </w:r>
      <w:r w:rsidR="00411BE0">
        <w:t>.</w:t>
      </w:r>
      <w:r w:rsidR="00922B7C">
        <w:t xml:space="preserve"> </w:t>
      </w:r>
      <w:r w:rsidR="00922B7C">
        <w:rPr>
          <w:rStyle w:val="Referencingstyle"/>
        </w:rPr>
        <w:t>[Schedule 1, Part 1, Item</w:t>
      </w:r>
      <w:r w:rsidR="007569C8">
        <w:rPr>
          <w:rStyle w:val="Referencingstyle"/>
        </w:rPr>
        <w:t>s</w:t>
      </w:r>
      <w:r w:rsidR="00922B7C">
        <w:rPr>
          <w:rStyle w:val="Referencingstyle"/>
        </w:rPr>
        <w:t xml:space="preserve"> 8</w:t>
      </w:r>
      <w:r w:rsidR="007569C8">
        <w:rPr>
          <w:rStyle w:val="Referencingstyle"/>
        </w:rPr>
        <w:t>,</w:t>
      </w:r>
      <w:r w:rsidR="004270B9">
        <w:rPr>
          <w:rStyle w:val="Referencingstyle"/>
        </w:rPr>
        <w:t>9</w:t>
      </w:r>
      <w:r w:rsidR="007569C8">
        <w:rPr>
          <w:rStyle w:val="Referencingstyle"/>
        </w:rPr>
        <w:t>, and 11</w:t>
      </w:r>
      <w:r w:rsidR="00922B7C">
        <w:rPr>
          <w:rStyle w:val="Referencingstyle"/>
        </w:rPr>
        <w:t>]</w:t>
      </w:r>
    </w:p>
    <w:p w14:paraId="7BEC88FC" w14:textId="77777777" w:rsidR="00623D4F" w:rsidRDefault="00623D4F" w:rsidP="000F194A">
      <w:pPr>
        <w:pStyle w:val="base-text-paragraph"/>
      </w:pPr>
      <w:r>
        <w:t>Paragraph 10(1)(ca) will be inserted to clar</w:t>
      </w:r>
      <w:r w:rsidR="004270B9">
        <w:t xml:space="preserve">ify that the Minister must also </w:t>
      </w:r>
      <w:r>
        <w:t xml:space="preserve">obtain advice from APRA in relation to the ‘payment day’ to be specified in relation to the </w:t>
      </w:r>
      <w:r w:rsidR="001B0EF6">
        <w:t>C</w:t>
      </w:r>
      <w:r>
        <w:t xml:space="preserve">ollapsed </w:t>
      </w:r>
      <w:r w:rsidR="001B0EF6">
        <w:t>I</w:t>
      </w:r>
      <w:r>
        <w:t xml:space="preserve">nsurer </w:t>
      </w:r>
      <w:r w:rsidR="001B0EF6">
        <w:t>L</w:t>
      </w:r>
      <w:r>
        <w:t>evy</w:t>
      </w:r>
      <w:r w:rsidR="00411BE0">
        <w:t>.</w:t>
      </w:r>
      <w:r w:rsidR="00922B7C">
        <w:t xml:space="preserve"> </w:t>
      </w:r>
      <w:r w:rsidR="00CE4BF2">
        <w:rPr>
          <w:rStyle w:val="Referencingstyle"/>
        </w:rPr>
        <w:t>[Schedule 1, Part 1, Item </w:t>
      </w:r>
      <w:r w:rsidR="00922B7C">
        <w:rPr>
          <w:rStyle w:val="Referencingstyle"/>
        </w:rPr>
        <w:t>10]</w:t>
      </w:r>
    </w:p>
    <w:p w14:paraId="3C502395" w14:textId="77777777" w:rsidR="00623D4F" w:rsidRDefault="00623D4F" w:rsidP="000F194A">
      <w:pPr>
        <w:pStyle w:val="base-text-paragraph"/>
      </w:pPr>
      <w:r>
        <w:t xml:space="preserve">Section 11 is to be repealed </w:t>
      </w:r>
      <w:r w:rsidR="00922B7C">
        <w:rPr>
          <w:rStyle w:val="Referencingstyle"/>
        </w:rPr>
        <w:t>[Schedule 1, Part 1, Item 1</w:t>
      </w:r>
      <w:r w:rsidR="007569C8">
        <w:rPr>
          <w:rStyle w:val="Referencingstyle"/>
        </w:rPr>
        <w:t>2</w:t>
      </w:r>
      <w:r w:rsidR="00922B7C">
        <w:rPr>
          <w:rStyle w:val="Referencingstyle"/>
        </w:rPr>
        <w:t>]</w:t>
      </w:r>
      <w:r w:rsidR="00922B7C">
        <w:t xml:space="preserve"> </w:t>
      </w:r>
      <w:r>
        <w:t>and Subsection 12(2) is to be amended to replace ‘Council’ with ‘APRA’</w:t>
      </w:r>
      <w:r w:rsidR="00411BE0">
        <w:t xml:space="preserve">. </w:t>
      </w:r>
      <w:r w:rsidR="00922B7C">
        <w:rPr>
          <w:rStyle w:val="Referencingstyle"/>
        </w:rPr>
        <w:t>[Schedule 1, Part 1, Item 13]</w:t>
      </w:r>
    </w:p>
    <w:p w14:paraId="6971E4AA" w14:textId="77777777" w:rsidR="009A73F8" w:rsidRDefault="009A73F8" w:rsidP="009A73F8">
      <w:pPr>
        <w:pStyle w:val="Heading2"/>
      </w:pPr>
      <w:r>
        <w:t>T</w:t>
      </w:r>
      <w:r w:rsidRPr="001B1E99">
        <w:t>ransitional provisions</w:t>
      </w:r>
    </w:p>
    <w:p w14:paraId="515E5048" w14:textId="77777777" w:rsidR="001B1E99" w:rsidRPr="00411BE0" w:rsidRDefault="00623D4F" w:rsidP="000F194A">
      <w:pPr>
        <w:pStyle w:val="base-text-paragraph"/>
      </w:pPr>
      <w:r>
        <w:t>Section 14 is to be inserted to ensure that any determination in force immediately before the commencement of this item under section</w:t>
      </w:r>
      <w:r w:rsidR="00FB1DD0">
        <w:t>s</w:t>
      </w:r>
      <w:r w:rsidR="00CE4BF2">
        <w:t> </w:t>
      </w:r>
      <w:r w:rsidRPr="00682BAD">
        <w:t xml:space="preserve">7, 8 or 9 of the </w:t>
      </w:r>
      <w:r w:rsidR="00E93D04" w:rsidRPr="0081006B">
        <w:t>Collapsed Insurer Levy Act</w:t>
      </w:r>
      <w:r w:rsidRPr="0081006B">
        <w:t xml:space="preserve"> </w:t>
      </w:r>
      <w:r w:rsidR="00475EAD">
        <w:t>will continue to have effect</w:t>
      </w:r>
      <w:r w:rsidR="00411BE0">
        <w:t>.</w:t>
      </w:r>
      <w:r w:rsidR="00922B7C">
        <w:t xml:space="preserve"> </w:t>
      </w:r>
      <w:r w:rsidR="00922B7C">
        <w:rPr>
          <w:rStyle w:val="Referencingstyle"/>
        </w:rPr>
        <w:t>[Schedule 1, Part 1, Item 14]</w:t>
      </w:r>
    </w:p>
    <w:p w14:paraId="2A3AC408" w14:textId="77777777" w:rsidR="003F3133" w:rsidRDefault="003F3133" w:rsidP="003F3133">
      <w:pPr>
        <w:pStyle w:val="Heading2"/>
      </w:pPr>
      <w:r w:rsidRPr="003F3133">
        <w:t>Part 2 -</w:t>
      </w:r>
      <w:r>
        <w:rPr>
          <w:rStyle w:val="Referencingstyle"/>
          <w:i w:val="0"/>
          <w:sz w:val="22"/>
        </w:rPr>
        <w:t xml:space="preserve"> </w:t>
      </w:r>
      <w:r>
        <w:t>Other</w:t>
      </w:r>
      <w:r w:rsidRPr="001B1E99">
        <w:t xml:space="preserve"> </w:t>
      </w:r>
      <w:r>
        <w:t>Amendments</w:t>
      </w:r>
    </w:p>
    <w:p w14:paraId="2C984E1A" w14:textId="77777777" w:rsidR="00052F6B" w:rsidRDefault="003052B3" w:rsidP="0081006B">
      <w:pPr>
        <w:pStyle w:val="base-text-paragraph"/>
        <w:tabs>
          <w:tab w:val="clear" w:pos="1985"/>
          <w:tab w:val="num" w:pos="1986"/>
        </w:tabs>
        <w:sectPr w:rsidR="00052F6B" w:rsidSect="00446279">
          <w:headerReference w:type="even" r:id="rId94"/>
          <w:headerReference w:type="default" r:id="rId95"/>
          <w:footerReference w:type="even" r:id="rId96"/>
          <w:footerReference w:type="default" r:id="rId97"/>
          <w:footerReference w:type="first" r:id="rId98"/>
          <w:type w:val="oddPage"/>
          <w:pgSz w:w="11906" w:h="16838" w:code="9"/>
          <w:pgMar w:top="2466" w:right="2098" w:bottom="2466" w:left="2098" w:header="1559" w:footer="1899" w:gutter="0"/>
          <w:cols w:space="708"/>
          <w:titlePg/>
          <w:docGrid w:linePitch="360"/>
        </w:sectPr>
      </w:pPr>
      <w:r>
        <w:t xml:space="preserve">The </w:t>
      </w:r>
      <w:r w:rsidR="0081006B" w:rsidRPr="0081006B">
        <w:t>Collapsed Insurer Amendment Bill</w:t>
      </w:r>
      <w:r>
        <w:t xml:space="preserve"> is extended to Norfolk Island on and after the commencement of Part 1 of Schedule 2 to the </w:t>
      </w:r>
      <w:r w:rsidRPr="0081006B">
        <w:rPr>
          <w:i/>
        </w:rPr>
        <w:t>Norfolk Island Legislation Amendment Act 2015</w:t>
      </w:r>
      <w:r w:rsidR="00411BE0" w:rsidRPr="0081006B">
        <w:rPr>
          <w:i/>
        </w:rPr>
        <w:t>.</w:t>
      </w:r>
      <w:r>
        <w:t xml:space="preserve"> </w:t>
      </w:r>
      <w:r>
        <w:rPr>
          <w:rStyle w:val="Referencingstyle"/>
        </w:rPr>
        <w:t>[Schedule 1, Part 12 Item 15]</w:t>
      </w:r>
    </w:p>
    <w:p w14:paraId="69F9156F" w14:textId="0CB76EFD" w:rsidR="004973BA" w:rsidRDefault="001F27D4" w:rsidP="00626D50">
      <w:pPr>
        <w:pStyle w:val="ChapterHeading"/>
        <w:numPr>
          <w:ilvl w:val="0"/>
          <w:numId w:val="28"/>
        </w:numPr>
        <w:tabs>
          <w:tab w:val="clear" w:pos="1134"/>
          <w:tab w:val="num" w:pos="360"/>
        </w:tabs>
      </w:pPr>
      <w:bookmarkStart w:id="258" w:name="_Toc418177774"/>
      <w:bookmarkStart w:id="259" w:name="_Toc418249771"/>
      <w:r>
        <w:br/>
      </w:r>
      <w:r w:rsidR="004973BA">
        <w:t>Statement of Compatibility with Human Rights</w:t>
      </w:r>
      <w:bookmarkEnd w:id="258"/>
      <w:bookmarkEnd w:id="259"/>
    </w:p>
    <w:p w14:paraId="13B822F0" w14:textId="77777777" w:rsidR="004973BA" w:rsidRDefault="004973BA">
      <w:pPr>
        <w:pStyle w:val="Heading3"/>
      </w:pPr>
      <w:r>
        <w:t xml:space="preserve">Prepared in accordance with Part 3 of the </w:t>
      </w:r>
      <w:r w:rsidRPr="00E7365D">
        <w:t>Human Rights (Parliamentary Scrutiny) Act 2011</w:t>
      </w:r>
    </w:p>
    <w:p w14:paraId="1A20FBF9" w14:textId="77777777" w:rsidR="004973BA" w:rsidRPr="00A04A9F" w:rsidRDefault="006C3A61">
      <w:pPr>
        <w:pStyle w:val="Heading2"/>
      </w:pPr>
      <w:r w:rsidRPr="009258D8">
        <w:t>PRIVATE HEALTH INSURANCE (PRUDENTIAL SUPERVISION) BILL 2015</w:t>
      </w:r>
      <w:r>
        <w:t>,</w:t>
      </w:r>
      <w:r w:rsidRPr="006C3A61">
        <w:t xml:space="preserve"> PRIVATE HEALTH INSURANCE (PRUDENTIAL SUPERVISION) (CONSEQUENTIAL AMENDMENTS AND TRANSITIONAL PROVISIONS) BILL 2015, PRIVATE HEALTH INSURANCE SUPERVISORY LEVY IMPOSITION BILL 2015, PRIVATE HEALTH INSURANCE (RISK EQUALIS</w:t>
      </w:r>
      <w:r>
        <w:t>ATION LEVY) AMENDMENT BILL 2015 AND</w:t>
      </w:r>
      <w:r w:rsidRPr="006C3A61">
        <w:t xml:space="preserve"> PRIVATE HEALTH INSURANCE (COLLAPSED INSURER LEVY) AMENDMENT BILL 2015</w:t>
      </w:r>
    </w:p>
    <w:p w14:paraId="7E6F4E6E" w14:textId="77777777" w:rsidR="004973BA" w:rsidRDefault="00064BD0" w:rsidP="000F194A">
      <w:pPr>
        <w:pStyle w:val="base-text-paragraph"/>
      </w:pPr>
      <w:r>
        <w:t>Th</w:t>
      </w:r>
      <w:r w:rsidR="003816FF">
        <w:t xml:space="preserve">e </w:t>
      </w:r>
      <w:r w:rsidR="009A1913">
        <w:t>package of Bills</w:t>
      </w:r>
      <w:r>
        <w:t xml:space="preserve"> is </w:t>
      </w:r>
      <w:r w:rsidR="004973BA">
        <w:t xml:space="preserve">compatible with the human rights and freedoms recognised or declared in the international instruments listed in section 3 of the </w:t>
      </w:r>
      <w:r w:rsidR="004973BA" w:rsidRPr="00A04A9F">
        <w:rPr>
          <w:i/>
        </w:rPr>
        <w:t>Human Rights (Parliamentary Scrutiny) Act 2011</w:t>
      </w:r>
      <w:r w:rsidR="004973BA">
        <w:t>.</w:t>
      </w:r>
    </w:p>
    <w:p w14:paraId="0F20BD09" w14:textId="77777777" w:rsidR="004973BA" w:rsidRDefault="004973BA" w:rsidP="004973BA">
      <w:pPr>
        <w:pStyle w:val="Heading3"/>
      </w:pPr>
      <w:r>
        <w:t>Overview</w:t>
      </w:r>
    </w:p>
    <w:p w14:paraId="7600CB79" w14:textId="77777777" w:rsidR="006A7FC9" w:rsidRDefault="00064BD0" w:rsidP="000F194A">
      <w:pPr>
        <w:pStyle w:val="base-text-paragraph"/>
      </w:pPr>
      <w:r w:rsidRPr="00064BD0">
        <w:t xml:space="preserve">As part of the 2014-15 Budget: </w:t>
      </w:r>
      <w:r w:rsidRPr="003E4D59">
        <w:rPr>
          <w:i/>
        </w:rPr>
        <w:t>Smaller Government - additional reductions in the number of Australian Government bodies</w:t>
      </w:r>
      <w:r w:rsidRPr="00064BD0">
        <w:t xml:space="preserve"> it was announced </w:t>
      </w:r>
      <w:r>
        <w:t xml:space="preserve">that the </w:t>
      </w:r>
      <w:r w:rsidRPr="009258D8">
        <w:t>Council</w:t>
      </w:r>
      <w:r>
        <w:t xml:space="preserve"> would cease to function as a separate body and the Council’s </w:t>
      </w:r>
      <w:r w:rsidR="009258D8" w:rsidRPr="009258D8">
        <w:t xml:space="preserve">prudential and regulatory functions </w:t>
      </w:r>
      <w:r>
        <w:t xml:space="preserve">would transfer </w:t>
      </w:r>
      <w:r w:rsidR="009258D8" w:rsidRPr="009258D8">
        <w:t xml:space="preserve">to the </w:t>
      </w:r>
      <w:r w:rsidR="009258D8">
        <w:t>APRA from 1</w:t>
      </w:r>
      <w:r w:rsidR="00626D50">
        <w:t> </w:t>
      </w:r>
      <w:r w:rsidR="009258D8">
        <w:t>July 2015.</w:t>
      </w:r>
      <w:r>
        <w:t xml:space="preserve"> </w:t>
      </w:r>
      <w:r w:rsidR="003E4D59">
        <w:t xml:space="preserve">The </w:t>
      </w:r>
      <w:r w:rsidR="00CE4BF2">
        <w:t xml:space="preserve">Prudential Supervision </w:t>
      </w:r>
      <w:r>
        <w:t>Bill implements this measure by creating</w:t>
      </w:r>
      <w:r w:rsidRPr="00064BD0">
        <w:t xml:space="preserve"> a regime for the prudential regulation of private health insurers by APRA.</w:t>
      </w:r>
      <w:r w:rsidR="009258D8">
        <w:t xml:space="preserve"> </w:t>
      </w:r>
    </w:p>
    <w:p w14:paraId="178ACC8F" w14:textId="77777777" w:rsidR="009258D8" w:rsidRDefault="00064BD0" w:rsidP="000F194A">
      <w:pPr>
        <w:pStyle w:val="base-text-paragraph"/>
      </w:pPr>
      <w:r>
        <w:t xml:space="preserve">The </w:t>
      </w:r>
      <w:r w:rsidRPr="00064BD0">
        <w:t>Consequential Amendments and Transitional Provisions Bill makes consequential amendments to relevant legislation including the repeal of the provisions relating to the in the P</w:t>
      </w:r>
      <w:r w:rsidR="00711413">
        <w:t>HI</w:t>
      </w:r>
      <w:r w:rsidRPr="00064BD0">
        <w:t xml:space="preserve"> Act. It also provides for necessary transitional arrangements to facilitate the transfer</w:t>
      </w:r>
      <w:r w:rsidR="006A7FC9">
        <w:t xml:space="preserve">. </w:t>
      </w:r>
      <w:r w:rsidR="009258D8" w:rsidRPr="009258D8">
        <w:t>The</w:t>
      </w:r>
      <w:r w:rsidR="00174998">
        <w:t xml:space="preserve"> Supervisory Levy Imposition Bill, the Risk Equalisation Levy Amendment Bill and the Collapsed Insurer Levy Amendment Bill</w:t>
      </w:r>
      <w:r w:rsidR="009258D8" w:rsidRPr="009258D8">
        <w:t xml:space="preserve"> provide for the continued imposition of levies upon the private health insurance industry</w:t>
      </w:r>
      <w:r w:rsidR="009258D8">
        <w:t xml:space="preserve"> to fund regulatory activities. </w:t>
      </w:r>
      <w:r w:rsidR="009258D8" w:rsidRPr="009258D8">
        <w:t xml:space="preserve"> </w:t>
      </w:r>
    </w:p>
    <w:p w14:paraId="42D63722" w14:textId="77777777" w:rsidR="006A7FC9" w:rsidRPr="006A7FC9" w:rsidRDefault="003E4D59" w:rsidP="000F194A">
      <w:pPr>
        <w:pStyle w:val="base-text-paragraph"/>
      </w:pPr>
      <w:r>
        <w:t xml:space="preserve">Given </w:t>
      </w:r>
      <w:r w:rsidR="006A7FC9">
        <w:t>the Bills</w:t>
      </w:r>
      <w:r>
        <w:t xml:space="preserve"> are interdependent</w:t>
      </w:r>
      <w:r w:rsidR="00680F20">
        <w:t xml:space="preserve"> this is single statement of capability with human rights</w:t>
      </w:r>
      <w:r>
        <w:t xml:space="preserve"> for the package of Bills</w:t>
      </w:r>
      <w:r w:rsidR="00680F20">
        <w:t>.</w:t>
      </w:r>
    </w:p>
    <w:p w14:paraId="2F0DDB22" w14:textId="77777777" w:rsidR="004973BA" w:rsidRDefault="004973BA" w:rsidP="004973BA">
      <w:pPr>
        <w:pStyle w:val="Heading3"/>
      </w:pPr>
      <w:r>
        <w:t>Human rights implications</w:t>
      </w:r>
    </w:p>
    <w:p w14:paraId="419C81A4" w14:textId="77777777" w:rsidR="00064BD0" w:rsidRDefault="00064BD0" w:rsidP="003E4D59">
      <w:pPr>
        <w:pStyle w:val="Heading4"/>
      </w:pPr>
      <w:r>
        <w:t>The Right to Health</w:t>
      </w:r>
    </w:p>
    <w:p w14:paraId="2C2645B3" w14:textId="77777777" w:rsidR="006A7FC9" w:rsidRPr="008A7CC5" w:rsidRDefault="006A7FC9" w:rsidP="000F194A">
      <w:pPr>
        <w:pStyle w:val="base-text-paragraph"/>
      </w:pPr>
      <w:r w:rsidRPr="006A7FC9">
        <w:t>The right to health - the right to the enjoyment of the highest attainable standard of physical and mental health - is contained in article</w:t>
      </w:r>
      <w:r w:rsidR="008A7CC5">
        <w:t> </w:t>
      </w:r>
      <w:r w:rsidRPr="006A7FC9">
        <w:t>12(1) of the International Covenant on Economic, Social and Cultural Rights. The United Nations Committee on Economic, Social and Cultural Rights (the Committee) has stated that health is a ‘fundamental human right indispensable for the exercise of other human rights’, and that the right to health is not to be understood as a right to be healthy, but rather entails a right to a system of health protection which provides equality of opportunity for people to enjoy the highest attainable level of health.</w:t>
      </w:r>
    </w:p>
    <w:p w14:paraId="534CA4B1" w14:textId="77777777" w:rsidR="00064BD0" w:rsidRDefault="006A7FC9" w:rsidP="000F194A">
      <w:pPr>
        <w:pStyle w:val="base-text-paragraph"/>
      </w:pPr>
      <w:r w:rsidRPr="006A7FC9">
        <w:t>The right may be understood as a right of access to a variety of public health and health care facilities, goods, services, programmes and conditions necessary for the realisation of the highest attainable standard of health.</w:t>
      </w:r>
    </w:p>
    <w:p w14:paraId="3E56EAC6" w14:textId="77777777" w:rsidR="006A7FC9" w:rsidRDefault="00680F20" w:rsidP="000F194A">
      <w:pPr>
        <w:pStyle w:val="base-text-paragraph"/>
      </w:pPr>
      <w:r>
        <w:t xml:space="preserve">The </w:t>
      </w:r>
      <w:r w:rsidR="009A1913">
        <w:t xml:space="preserve">package of </w:t>
      </w:r>
      <w:r>
        <w:t>Bill</w:t>
      </w:r>
      <w:r w:rsidR="00CE4BF2">
        <w:t xml:space="preserve">s </w:t>
      </w:r>
      <w:r w:rsidR="009A1913">
        <w:t>promotes</w:t>
      </w:r>
      <w:r>
        <w:t xml:space="preserve"> the right to health</w:t>
      </w:r>
      <w:r w:rsidR="00676A1B">
        <w:t xml:space="preserve"> and continues a regulatory regime which operates to protect</w:t>
      </w:r>
      <w:r>
        <w:t xml:space="preserve"> the </w:t>
      </w:r>
      <w:r w:rsidR="00676A1B">
        <w:t xml:space="preserve">interests of individuals who take out private health insurance in order to manage their health care costs. </w:t>
      </w:r>
    </w:p>
    <w:p w14:paraId="27798AEB" w14:textId="77777777" w:rsidR="00676A1B" w:rsidRDefault="00676A1B">
      <w:pPr>
        <w:pStyle w:val="Heading4"/>
      </w:pPr>
      <w:r w:rsidRPr="00676A1B">
        <w:t>Fair trial and fair hearing rights</w:t>
      </w:r>
    </w:p>
    <w:p w14:paraId="7CD31CCE" w14:textId="77777777" w:rsidR="00676A1B" w:rsidRDefault="00676A1B" w:rsidP="000F194A">
      <w:pPr>
        <w:pStyle w:val="base-text-paragraph"/>
      </w:pPr>
      <w:r>
        <w:t>Fair trial and fair hearing rights are contained in article 14 of the International Covenant on Civil and Political Rights (ICCPR) to which Australia is a signatory. Article 40 of the Convention on the Rights of the Child (CRC) and article 13 of the Convention on the Rights of Persons with Disabilities (CRPD) also apply.</w:t>
      </w:r>
    </w:p>
    <w:p w14:paraId="4A04F6F5" w14:textId="77777777" w:rsidR="00676A1B" w:rsidRDefault="00676A1B" w:rsidP="000F194A">
      <w:pPr>
        <w:pStyle w:val="base-text-paragraph"/>
      </w:pPr>
      <w:r>
        <w:t>The right to a fair and public criminal trial or a fair and public hearing in civil proceedings is one of the guarantees in relation to legal proceedings. Fair trial and fair hearing rights include:</w:t>
      </w:r>
    </w:p>
    <w:p w14:paraId="3B82F30A" w14:textId="77777777" w:rsidR="00676A1B" w:rsidRDefault="00676A1B" w:rsidP="009525BD">
      <w:pPr>
        <w:pStyle w:val="dotpoint"/>
      </w:pPr>
      <w:r>
        <w:t>that all persons are equal before courts and tribunals, and</w:t>
      </w:r>
    </w:p>
    <w:p w14:paraId="29B29EE6" w14:textId="77777777" w:rsidR="00676A1B" w:rsidRDefault="00676A1B" w:rsidP="009525BD">
      <w:pPr>
        <w:pStyle w:val="dotpoint"/>
      </w:pPr>
      <w:r>
        <w:t>the right to a fair and public hearing before a competent, independent and impartial court or tribunal established by law.</w:t>
      </w:r>
    </w:p>
    <w:p w14:paraId="4486B658" w14:textId="77777777" w:rsidR="00676A1B" w:rsidRDefault="00676A1B" w:rsidP="000F194A">
      <w:pPr>
        <w:pStyle w:val="base-text-paragraph"/>
      </w:pPr>
      <w:r>
        <w:t>The other guarantees are the presumption of innocence, and minimum guarantees in criminal proceedings, such as the right to counsel and not to be compelled to self-incriminate.</w:t>
      </w:r>
    </w:p>
    <w:p w14:paraId="7F0E312C" w14:textId="77777777" w:rsidR="00676A1B" w:rsidRDefault="00A77C67" w:rsidP="000F194A">
      <w:pPr>
        <w:pStyle w:val="base-text-paragraph"/>
      </w:pPr>
      <w:r>
        <w:t xml:space="preserve">The </w:t>
      </w:r>
      <w:r w:rsidR="00CE4BF2">
        <w:t xml:space="preserve">Prudential Supervision </w:t>
      </w:r>
      <w:r>
        <w:t xml:space="preserve">Bill </w:t>
      </w:r>
      <w:r w:rsidR="00D42B8A">
        <w:t>engages</w:t>
      </w:r>
      <w:r>
        <w:t xml:space="preserve"> the right to </w:t>
      </w:r>
      <w:r w:rsidR="00D42B8A">
        <w:t>not to be compelled to self</w:t>
      </w:r>
      <w:r w:rsidR="00D42B8A">
        <w:noBreakHyphen/>
      </w:r>
      <w:r w:rsidRPr="00A77C67">
        <w:t>incriminate</w:t>
      </w:r>
      <w:r w:rsidR="00D42B8A">
        <w:t>, by providing that in certain circumstances a person cannot refuse to answer a question or comply with a request where the answer</w:t>
      </w:r>
      <w:r w:rsidR="008579F6">
        <w:t xml:space="preserve"> or </w:t>
      </w:r>
      <w:r w:rsidR="00D42B8A">
        <w:t>information may incriminate them</w:t>
      </w:r>
      <w:r w:rsidR="008579F6">
        <w:t>. However</w:t>
      </w:r>
      <w:r w:rsidR="009A1913">
        <w:t>,</w:t>
      </w:r>
      <w:r w:rsidR="00D42B8A">
        <w:t xml:space="preserve"> the </w:t>
      </w:r>
      <w:r w:rsidR="00CE4BF2">
        <w:t xml:space="preserve">Prudential Supervision </w:t>
      </w:r>
      <w:r w:rsidR="008579F6">
        <w:t>B</w:t>
      </w:r>
      <w:r w:rsidR="00D42B8A">
        <w:t xml:space="preserve">ill ensures that </w:t>
      </w:r>
      <w:r w:rsidR="008579F6">
        <w:t>individuals’</w:t>
      </w:r>
      <w:r w:rsidR="00D42B8A">
        <w:t xml:space="preserve"> rights are protected by preventing this information being used to prosecute an individual </w:t>
      </w:r>
      <w:r w:rsidR="008579F6">
        <w:t>(</w:t>
      </w:r>
      <w:r w:rsidR="009A1913">
        <w:t xml:space="preserve">this is known as </w:t>
      </w:r>
      <w:r w:rsidR="00D42B8A">
        <w:t>‘use immunity’</w:t>
      </w:r>
      <w:r w:rsidR="008579F6">
        <w:t>)</w:t>
      </w:r>
      <w:r w:rsidR="00D42B8A">
        <w:t xml:space="preserve">.  </w:t>
      </w:r>
    </w:p>
    <w:p w14:paraId="5E8151B4" w14:textId="77777777" w:rsidR="00A77C67" w:rsidRDefault="00A77C67" w:rsidP="000F194A">
      <w:pPr>
        <w:pStyle w:val="base-text-paragraph"/>
      </w:pPr>
      <w:r>
        <w:t xml:space="preserve">Whilst the civil penalty orders </w:t>
      </w:r>
      <w:r w:rsidR="00044675">
        <w:t>in</w:t>
      </w:r>
      <w:r>
        <w:t xml:space="preserve"> Part </w:t>
      </w:r>
      <w:r w:rsidR="000F33EA">
        <w:t xml:space="preserve">8 of the </w:t>
      </w:r>
      <w:r w:rsidR="00CE4BF2">
        <w:t xml:space="preserve">Prudential Supervision </w:t>
      </w:r>
      <w:r w:rsidR="000F33EA">
        <w:t xml:space="preserve">Bill </w:t>
      </w:r>
      <w:r w:rsidR="009A1913">
        <w:t xml:space="preserve">may </w:t>
      </w:r>
      <w:r w:rsidR="000F33EA">
        <w:t xml:space="preserve">appear large, </w:t>
      </w:r>
      <w:r w:rsidR="000B7791">
        <w:t xml:space="preserve">civil penalties must be sufficiently large to act as a deterrent as they do not carry the stigma attached to a criminal offence. </w:t>
      </w:r>
    </w:p>
    <w:p w14:paraId="222855D0" w14:textId="77777777" w:rsidR="001D5AB4" w:rsidRDefault="001D5AB4" w:rsidP="000F194A">
      <w:pPr>
        <w:pStyle w:val="base-text-paragraph"/>
      </w:pPr>
      <w:r>
        <w:t xml:space="preserve">The </w:t>
      </w:r>
      <w:r w:rsidR="00CE4BF2">
        <w:t xml:space="preserve">Prudential Supervision </w:t>
      </w:r>
      <w:r w:rsidR="002C5E0B">
        <w:t>B</w:t>
      </w:r>
      <w:r>
        <w:t xml:space="preserve">ill protects the rights of individuals from </w:t>
      </w:r>
      <w:r w:rsidRPr="000F33EA">
        <w:t>arbitrariness or abuses of power</w:t>
      </w:r>
      <w:r>
        <w:t xml:space="preserve"> by providing that only a court can</w:t>
      </w:r>
      <w:r w:rsidR="006555E6">
        <w:t xml:space="preserve"> make a declaration of contravention leading to a civil penalty order. </w:t>
      </w:r>
    </w:p>
    <w:p w14:paraId="0070C3DD" w14:textId="77777777" w:rsidR="00030256" w:rsidRDefault="001E22D0" w:rsidP="001E22D0">
      <w:pPr>
        <w:pStyle w:val="Heading4"/>
      </w:pPr>
      <w:r>
        <w:t>Right against arbitrary interference</w:t>
      </w:r>
    </w:p>
    <w:p w14:paraId="0116AAB7" w14:textId="77777777" w:rsidR="00676A1B" w:rsidRDefault="00030256" w:rsidP="000F194A">
      <w:pPr>
        <w:pStyle w:val="base-text-paragraph"/>
      </w:pPr>
      <w:r w:rsidRPr="00030256">
        <w:t>Article 17 of the ICCPR prohibits arbitrary or unlawful interference with an individual’s privacy, family, home or correspondence, and protects a person’s honour and reputation from unlawful attacks. This right may be subject to permissible limitations where those limitations are provided by law and non-arbitrary. In order for limitations not to be arbitrary, they must be aimed at a legitimate objective and are reasonable, necessary and proportionate to that objective.</w:t>
      </w:r>
      <w:r w:rsidR="00676A1B">
        <w:t xml:space="preserve">  </w:t>
      </w:r>
    </w:p>
    <w:p w14:paraId="5D9FCF26" w14:textId="77777777" w:rsidR="001E22D0" w:rsidRDefault="001E22D0" w:rsidP="000F194A">
      <w:pPr>
        <w:pStyle w:val="base-text-paragraph"/>
      </w:pPr>
      <w:r>
        <w:t xml:space="preserve">The </w:t>
      </w:r>
      <w:r w:rsidR="009A1913">
        <w:t>Prudential Supervision</w:t>
      </w:r>
      <w:r>
        <w:t xml:space="preserve"> Bill protects against arbitrary abuses of power as the entry, monitoring, search, seizure and information gathering powers provided in it are conditional upon consent being given by the occupier of the premises or prior judicial authorisation. Where entry is based on the consent of the occupier, consent must be informed and voluntary and the occupier of premises can restrict entry by authorised persons to a particular period. Additional safeguards are provided through provisions requiring authorised persons and any persons assisting them to leave the premises if the occupier withdraws their consent.</w:t>
      </w:r>
    </w:p>
    <w:p w14:paraId="56DAD1A2" w14:textId="77777777" w:rsidR="001E22D0" w:rsidRDefault="001E22D0" w:rsidP="000F194A">
      <w:pPr>
        <w:pStyle w:val="base-text-paragraph"/>
      </w:pPr>
      <w:r>
        <w:t xml:space="preserve"> The </w:t>
      </w:r>
      <w:r w:rsidR="009A1913">
        <w:t>Prudential Supervision</w:t>
      </w:r>
      <w:r>
        <w:t xml:space="preserve"> Bill specifies that an issuing officer of a warrant to enter premises for the purpose of monitoring or investigation must be a judicial officer. The </w:t>
      </w:r>
      <w:r w:rsidR="009A1913">
        <w:t>Prudential Supervision</w:t>
      </w:r>
      <w:r>
        <w:t xml:space="preserve"> Bill also provides limits on the issuing of a monitoring or investigation warrant. In the case of an investigation warrant, for example, an issuing officer may issue an investigation warrant only when satisfied, by oath or affirmation, that there are reasonable grounds for suspecting that there is, or may be within the 72 hours, evidential material on the premises. An issuing officer must not issue a warrant unless the issuing officer has been provided, either orally or by affidavit, with such further information as they require concerning the grounds on which the issue of the warrant is being sought. Such constraints on this power ensure adequate safeguards against arbitrary limitations on the right to privacy in the issuing of warrants.    </w:t>
      </w:r>
    </w:p>
    <w:p w14:paraId="23A929DE" w14:textId="77777777" w:rsidR="001E22D0" w:rsidRDefault="001E22D0" w:rsidP="000F194A">
      <w:pPr>
        <w:pStyle w:val="base-text-paragraph"/>
      </w:pPr>
      <w:r>
        <w:t xml:space="preserve"> An authorised person cannot enter premises unless their identity card or a copy of the warrant under which they are entering is shown to the occupier of the premises. This provides for the transparent utilisation of the </w:t>
      </w:r>
      <w:r w:rsidR="009A1913">
        <w:t xml:space="preserve">Prudential Supervision </w:t>
      </w:r>
      <w:r>
        <w:t>Bill’s powers and mitigates arbitrariness and risk of abuse.</w:t>
      </w:r>
    </w:p>
    <w:p w14:paraId="2BB7E059" w14:textId="77777777" w:rsidR="00031A01" w:rsidRDefault="00031A01" w:rsidP="000F194A">
      <w:pPr>
        <w:pStyle w:val="base-text-paragraph"/>
      </w:pPr>
      <w:r>
        <w:t xml:space="preserve">The </w:t>
      </w:r>
      <w:r w:rsidR="009A1913">
        <w:t>Prudential Supervision</w:t>
      </w:r>
      <w:r>
        <w:t xml:space="preserve"> Bill also engages the right to reputation by </w:t>
      </w:r>
      <w:r w:rsidR="00DC7A24">
        <w:t xml:space="preserve">allowing a court to disqualify </w:t>
      </w:r>
      <w:r>
        <w:t>certain persons from being actuaries and offi</w:t>
      </w:r>
      <w:r w:rsidR="00DC7A24">
        <w:t xml:space="preserve">cers of private health insurers and then requiring APRA to publish the disqualification. However, it protects from arbitrary attacks on reputation by only allowing a court to disqualify someone, and only if certain conditions are met. </w:t>
      </w:r>
    </w:p>
    <w:p w14:paraId="482680BC" w14:textId="77777777" w:rsidR="00195F70" w:rsidRDefault="001E22D0" w:rsidP="000F194A">
      <w:pPr>
        <w:pStyle w:val="base-text-paragraph"/>
      </w:pPr>
      <w:r>
        <w:t xml:space="preserve"> These powers are reasonable, necessary and proportionate to achieve a legitimate objective. Adequate safeguards and limitations on the use of regulatory powers in the </w:t>
      </w:r>
      <w:r w:rsidR="009A1913">
        <w:t xml:space="preserve">package of </w:t>
      </w:r>
      <w:r>
        <w:t>Bill</w:t>
      </w:r>
      <w:r w:rsidR="009A1913">
        <w:t>s</w:t>
      </w:r>
      <w:r>
        <w:t xml:space="preserve"> ensures that such lawful interferences are not arbitrary or at risk of abuse.</w:t>
      </w:r>
    </w:p>
    <w:p w14:paraId="0825944D" w14:textId="77777777" w:rsidR="004973BA" w:rsidRDefault="004973BA" w:rsidP="004973BA">
      <w:pPr>
        <w:pStyle w:val="Heading3"/>
      </w:pPr>
      <w:r>
        <w:t>Conclusion</w:t>
      </w:r>
    </w:p>
    <w:p w14:paraId="70A5971C" w14:textId="77777777" w:rsidR="00E72245" w:rsidRDefault="00264FD3" w:rsidP="003E4D59">
      <w:pPr>
        <w:pStyle w:val="base-text-paragraph"/>
        <w:sectPr w:rsidR="00E72245" w:rsidSect="00E72245">
          <w:headerReference w:type="even" r:id="rId99"/>
          <w:headerReference w:type="default" r:id="rId100"/>
          <w:footerReference w:type="even" r:id="rId101"/>
          <w:footerReference w:type="default" r:id="rId102"/>
          <w:footerReference w:type="first" r:id="rId103"/>
          <w:pgSz w:w="11906" w:h="16838" w:code="9"/>
          <w:pgMar w:top="2466" w:right="2098" w:bottom="2466" w:left="2098" w:header="1559" w:footer="1899" w:gutter="0"/>
          <w:cols w:space="708"/>
          <w:titlePg/>
          <w:docGrid w:linePitch="360"/>
        </w:sectPr>
      </w:pPr>
      <w:r w:rsidRPr="00264FD3">
        <w:t>The</w:t>
      </w:r>
      <w:r w:rsidR="00051C19">
        <w:t xml:space="preserve"> package of</w:t>
      </w:r>
      <w:r w:rsidRPr="00264FD3">
        <w:t xml:space="preserve"> Bill</w:t>
      </w:r>
      <w:r>
        <w:t>s</w:t>
      </w:r>
      <w:r w:rsidRPr="00264FD3">
        <w:t xml:space="preserve"> </w:t>
      </w:r>
      <w:r w:rsidR="00051C19">
        <w:t>is</w:t>
      </w:r>
      <w:r w:rsidRPr="00264FD3">
        <w:t xml:space="preserve"> </w:t>
      </w:r>
      <w:r w:rsidR="00195F70" w:rsidRPr="00195F70">
        <w:t>compatible with human rights</w:t>
      </w:r>
      <w:r>
        <w:t>.  To</w:t>
      </w:r>
      <w:r w:rsidR="00195F70" w:rsidRPr="00195F70">
        <w:t xml:space="preserve"> the extent that </w:t>
      </w:r>
      <w:r>
        <w:t>they</w:t>
      </w:r>
      <w:r w:rsidR="00195F70" w:rsidRPr="00195F70">
        <w:t xml:space="preserve"> may limit human rights, those limitations are reasonable, necessary and proportionate.</w:t>
      </w:r>
    </w:p>
    <w:p w14:paraId="1BA2F6E6" w14:textId="77777777" w:rsidR="00E72245" w:rsidRDefault="00E72245" w:rsidP="00E72245">
      <w:pPr>
        <w:pStyle w:val="ChapterHeading"/>
        <w:numPr>
          <w:ilvl w:val="0"/>
          <w:numId w:val="0"/>
        </w:numPr>
      </w:pPr>
      <w:bookmarkStart w:id="260" w:name="Index"/>
      <w:r w:rsidRPr="00D67ADC">
        <w:t>Index</w:t>
      </w:r>
      <w:bookmarkEnd w:id="260"/>
    </w:p>
    <w:p w14:paraId="55E6946B" w14:textId="77777777" w:rsidR="004973BA" w:rsidRPr="00DB5F51" w:rsidRDefault="00E72245" w:rsidP="00E72245">
      <w:pPr>
        <w:pStyle w:val="Heading2with18pointafter"/>
      </w:pPr>
      <w:r w:rsidRPr="00DB5F51">
        <w:t>Private Health Insurance (Prudential Supervision) Bill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DC2B54" w:rsidRPr="00442FB9" w14:paraId="65A3C793" w14:textId="77777777" w:rsidTr="00DC2B54">
        <w:trPr>
          <w:cantSplit/>
          <w:tblHeader/>
        </w:trPr>
        <w:tc>
          <w:tcPr>
            <w:tcW w:w="5760" w:type="dxa"/>
          </w:tcPr>
          <w:p w14:paraId="09D8B5ED" w14:textId="77777777" w:rsidR="00DC2B54" w:rsidRPr="00231CBA" w:rsidRDefault="00DC2B54" w:rsidP="00DC2B54">
            <w:pPr>
              <w:pStyle w:val="tableheaderwithintable"/>
            </w:pPr>
            <w:r w:rsidRPr="00231CBA">
              <w:t>Bill reference</w:t>
            </w:r>
          </w:p>
        </w:tc>
        <w:tc>
          <w:tcPr>
            <w:tcW w:w="1980" w:type="dxa"/>
          </w:tcPr>
          <w:p w14:paraId="59C7EB89" w14:textId="77777777" w:rsidR="00DC2B54" w:rsidRPr="00231CBA" w:rsidRDefault="00DC2B54" w:rsidP="00DC2B54">
            <w:pPr>
              <w:pStyle w:val="tableheaderwithintable"/>
            </w:pPr>
            <w:r w:rsidRPr="00231CBA">
              <w:t>Paragraph number</w:t>
            </w:r>
          </w:p>
        </w:tc>
      </w:tr>
      <w:tr w:rsidR="00DC2B54" w:rsidRPr="00231CBA" w14:paraId="04270182" w14:textId="77777777" w:rsidTr="00DC2B54">
        <w:trPr>
          <w:cantSplit/>
          <w:tblHeader/>
        </w:trPr>
        <w:tc>
          <w:tcPr>
            <w:tcW w:w="5760" w:type="dxa"/>
          </w:tcPr>
          <w:p w14:paraId="572C4651" w14:textId="77777777" w:rsidR="00DC2B54" w:rsidRPr="001C4E1D" w:rsidRDefault="00DC2B54" w:rsidP="00DC2B54">
            <w:pPr>
              <w:pStyle w:val="tabletext"/>
            </w:pPr>
            <w:r w:rsidRPr="001C4E1D">
              <w:t>Part 1, Division 1, section 1</w:t>
            </w:r>
          </w:p>
        </w:tc>
        <w:tc>
          <w:tcPr>
            <w:tcW w:w="1980" w:type="dxa"/>
          </w:tcPr>
          <w:p w14:paraId="58926B30" w14:textId="77777777" w:rsidR="00DC2B54" w:rsidRPr="001C4E1D" w:rsidRDefault="00DC2B54" w:rsidP="00DC2B54">
            <w:pPr>
              <w:pStyle w:val="tabletext"/>
            </w:pPr>
            <w:r w:rsidRPr="001C4E1D">
              <w:t>2.3</w:t>
            </w:r>
          </w:p>
        </w:tc>
      </w:tr>
      <w:tr w:rsidR="00DC2B54" w:rsidRPr="00231CBA" w14:paraId="3CE565D8" w14:textId="77777777" w:rsidTr="00DC2B54">
        <w:trPr>
          <w:cantSplit/>
          <w:tblHeader/>
        </w:trPr>
        <w:tc>
          <w:tcPr>
            <w:tcW w:w="5760" w:type="dxa"/>
          </w:tcPr>
          <w:p w14:paraId="67718F5F" w14:textId="77777777" w:rsidR="00DC2B54" w:rsidRDefault="00DC2B54" w:rsidP="00DC2B54">
            <w:pPr>
              <w:pStyle w:val="tabletext"/>
            </w:pPr>
            <w:r>
              <w:t>Part 1, Division 1, section 2</w:t>
            </w:r>
          </w:p>
        </w:tc>
        <w:tc>
          <w:tcPr>
            <w:tcW w:w="1980" w:type="dxa"/>
          </w:tcPr>
          <w:p w14:paraId="0A9623BB" w14:textId="77777777" w:rsidR="00DC2B54" w:rsidRDefault="00DC2B54" w:rsidP="00DC2B54">
            <w:pPr>
              <w:pStyle w:val="tabletext"/>
            </w:pPr>
            <w:r>
              <w:t>2.4</w:t>
            </w:r>
          </w:p>
        </w:tc>
      </w:tr>
      <w:tr w:rsidR="00DC2B54" w:rsidRPr="00231CBA" w14:paraId="07FD4911" w14:textId="77777777" w:rsidTr="00DC2B54">
        <w:trPr>
          <w:cantSplit/>
          <w:tblHeader/>
        </w:trPr>
        <w:tc>
          <w:tcPr>
            <w:tcW w:w="5760" w:type="dxa"/>
          </w:tcPr>
          <w:p w14:paraId="4780F00D" w14:textId="77777777" w:rsidR="00DC2B54" w:rsidRDefault="00DC2B54" w:rsidP="00DC2B54">
            <w:pPr>
              <w:pStyle w:val="tabletext"/>
            </w:pPr>
            <w:r>
              <w:t>Part 1, Division 1, section 3</w:t>
            </w:r>
          </w:p>
        </w:tc>
        <w:tc>
          <w:tcPr>
            <w:tcW w:w="1980" w:type="dxa"/>
          </w:tcPr>
          <w:p w14:paraId="388601BC" w14:textId="77777777" w:rsidR="00DC2B54" w:rsidRDefault="00DC2B54" w:rsidP="00DC2B54">
            <w:pPr>
              <w:pStyle w:val="tabletext"/>
            </w:pPr>
            <w:r>
              <w:t>2.6, 2.8, 2.9</w:t>
            </w:r>
          </w:p>
        </w:tc>
      </w:tr>
      <w:tr w:rsidR="00DC2B54" w:rsidRPr="00231CBA" w14:paraId="51AF7CB8" w14:textId="77777777" w:rsidTr="00DC2B54">
        <w:trPr>
          <w:cantSplit/>
          <w:tblHeader/>
        </w:trPr>
        <w:tc>
          <w:tcPr>
            <w:tcW w:w="5760" w:type="dxa"/>
          </w:tcPr>
          <w:p w14:paraId="1AE8B465" w14:textId="77777777" w:rsidR="00DC2B54" w:rsidRDefault="00DC2B54" w:rsidP="00DC2B54">
            <w:pPr>
              <w:pStyle w:val="tabletext"/>
            </w:pPr>
            <w:r>
              <w:t>Part 1, Division 1, section 3</w:t>
            </w:r>
          </w:p>
        </w:tc>
        <w:tc>
          <w:tcPr>
            <w:tcW w:w="1980" w:type="dxa"/>
          </w:tcPr>
          <w:p w14:paraId="6C5D4867" w14:textId="77777777" w:rsidR="00DC2B54" w:rsidRDefault="00DC2B54" w:rsidP="00DC2B54">
            <w:pPr>
              <w:pStyle w:val="tabletext"/>
            </w:pPr>
            <w:r>
              <w:t>2.7</w:t>
            </w:r>
          </w:p>
        </w:tc>
      </w:tr>
      <w:tr w:rsidR="00DC2B54" w:rsidRPr="00231CBA" w14:paraId="6917F0E9" w14:textId="77777777" w:rsidTr="00DC2B54">
        <w:trPr>
          <w:cantSplit/>
          <w:tblHeader/>
        </w:trPr>
        <w:tc>
          <w:tcPr>
            <w:tcW w:w="5760" w:type="dxa"/>
          </w:tcPr>
          <w:p w14:paraId="54508EDC" w14:textId="77777777" w:rsidR="00DC2B54" w:rsidRDefault="00DC2B54" w:rsidP="00DC2B54">
            <w:pPr>
              <w:pStyle w:val="tabletext"/>
            </w:pPr>
            <w:r>
              <w:t>Part 1, Division 1, section 4</w:t>
            </w:r>
          </w:p>
        </w:tc>
        <w:tc>
          <w:tcPr>
            <w:tcW w:w="1980" w:type="dxa"/>
          </w:tcPr>
          <w:p w14:paraId="31857CF8" w14:textId="77777777" w:rsidR="00DC2B54" w:rsidRDefault="00DC2B54" w:rsidP="00DC2B54">
            <w:pPr>
              <w:pStyle w:val="tabletext"/>
            </w:pPr>
            <w:r>
              <w:t>2.10</w:t>
            </w:r>
          </w:p>
        </w:tc>
      </w:tr>
      <w:tr w:rsidR="00DC2B54" w:rsidRPr="00231CBA" w14:paraId="30AB8F53" w14:textId="77777777" w:rsidTr="00DC2B54">
        <w:trPr>
          <w:cantSplit/>
          <w:tblHeader/>
        </w:trPr>
        <w:tc>
          <w:tcPr>
            <w:tcW w:w="5760" w:type="dxa"/>
          </w:tcPr>
          <w:p w14:paraId="56820B09" w14:textId="77777777" w:rsidR="00DC2B54" w:rsidRDefault="00DC2B54" w:rsidP="00DC2B54">
            <w:pPr>
              <w:pStyle w:val="tabletext"/>
            </w:pPr>
            <w:r>
              <w:t>Part 1, Division 1, section 5</w:t>
            </w:r>
          </w:p>
        </w:tc>
        <w:tc>
          <w:tcPr>
            <w:tcW w:w="1980" w:type="dxa"/>
          </w:tcPr>
          <w:p w14:paraId="55EE43CA" w14:textId="77777777" w:rsidR="00DC2B54" w:rsidRDefault="00DC2B54" w:rsidP="00DC2B54">
            <w:pPr>
              <w:pStyle w:val="tabletext"/>
            </w:pPr>
            <w:r>
              <w:t>2.11</w:t>
            </w:r>
          </w:p>
        </w:tc>
      </w:tr>
      <w:tr w:rsidR="00DC2B54" w:rsidRPr="00231CBA" w14:paraId="2BBB06A4" w14:textId="77777777" w:rsidTr="00DC2B54">
        <w:trPr>
          <w:cantSplit/>
          <w:tblHeader/>
        </w:trPr>
        <w:tc>
          <w:tcPr>
            <w:tcW w:w="5760" w:type="dxa"/>
          </w:tcPr>
          <w:p w14:paraId="40A62F0E" w14:textId="77777777" w:rsidR="00DC2B54" w:rsidRDefault="00DC2B54" w:rsidP="00DC2B54">
            <w:pPr>
              <w:pStyle w:val="tabletext"/>
            </w:pPr>
            <w:r>
              <w:t>Part 1, Division 2, section 6</w:t>
            </w:r>
          </w:p>
        </w:tc>
        <w:tc>
          <w:tcPr>
            <w:tcW w:w="1980" w:type="dxa"/>
          </w:tcPr>
          <w:p w14:paraId="42680600" w14:textId="77777777" w:rsidR="00DC2B54" w:rsidRDefault="00DC2B54" w:rsidP="00DC2B54">
            <w:pPr>
              <w:pStyle w:val="tabletext"/>
            </w:pPr>
            <w:r>
              <w:t>2.13</w:t>
            </w:r>
          </w:p>
        </w:tc>
      </w:tr>
      <w:tr w:rsidR="00DC2B54" w:rsidRPr="00231CBA" w14:paraId="2464578F" w14:textId="77777777" w:rsidTr="00DC2B54">
        <w:trPr>
          <w:cantSplit/>
          <w:tblHeader/>
        </w:trPr>
        <w:tc>
          <w:tcPr>
            <w:tcW w:w="5760" w:type="dxa"/>
          </w:tcPr>
          <w:p w14:paraId="40FA96D9" w14:textId="77777777" w:rsidR="00DC2B54" w:rsidRDefault="00DC2B54" w:rsidP="00DC2B54">
            <w:pPr>
              <w:pStyle w:val="tabletext"/>
            </w:pPr>
            <w:r>
              <w:t>Part 1, Division 2, section 7</w:t>
            </w:r>
          </w:p>
        </w:tc>
        <w:tc>
          <w:tcPr>
            <w:tcW w:w="1980" w:type="dxa"/>
          </w:tcPr>
          <w:p w14:paraId="6879D16E" w14:textId="77777777" w:rsidR="00DC2B54" w:rsidRDefault="00DC2B54" w:rsidP="00DC2B54">
            <w:pPr>
              <w:pStyle w:val="tabletext"/>
            </w:pPr>
            <w:r>
              <w:t>2.14</w:t>
            </w:r>
          </w:p>
        </w:tc>
      </w:tr>
      <w:tr w:rsidR="00DC2B54" w:rsidRPr="00231CBA" w14:paraId="1CDC79C6" w14:textId="77777777" w:rsidTr="00DC2B54">
        <w:trPr>
          <w:cantSplit/>
          <w:tblHeader/>
        </w:trPr>
        <w:tc>
          <w:tcPr>
            <w:tcW w:w="5760" w:type="dxa"/>
          </w:tcPr>
          <w:p w14:paraId="387FC052" w14:textId="77777777" w:rsidR="00DC2B54" w:rsidRDefault="00DC2B54" w:rsidP="00DC2B54">
            <w:pPr>
              <w:pStyle w:val="tabletext"/>
            </w:pPr>
            <w:r>
              <w:t>Part 1, Division 2, section 8</w:t>
            </w:r>
          </w:p>
        </w:tc>
        <w:tc>
          <w:tcPr>
            <w:tcW w:w="1980" w:type="dxa"/>
          </w:tcPr>
          <w:p w14:paraId="1801EC8C" w14:textId="77777777" w:rsidR="00DC2B54" w:rsidRDefault="00DC2B54" w:rsidP="00DC2B54">
            <w:pPr>
              <w:pStyle w:val="tabletext"/>
            </w:pPr>
            <w:r>
              <w:t>2.15</w:t>
            </w:r>
          </w:p>
        </w:tc>
      </w:tr>
      <w:tr w:rsidR="00DC2B54" w:rsidRPr="00231CBA" w14:paraId="6DD9090C" w14:textId="77777777" w:rsidTr="00DC2B54">
        <w:trPr>
          <w:cantSplit/>
          <w:tblHeader/>
        </w:trPr>
        <w:tc>
          <w:tcPr>
            <w:tcW w:w="5760" w:type="dxa"/>
          </w:tcPr>
          <w:p w14:paraId="51385C46" w14:textId="77777777" w:rsidR="00DC2B54" w:rsidRDefault="00DC2B54" w:rsidP="00DC2B54">
            <w:pPr>
              <w:pStyle w:val="tabletext"/>
            </w:pPr>
            <w:r>
              <w:t>Part 2, Division 1, section 9</w:t>
            </w:r>
          </w:p>
        </w:tc>
        <w:tc>
          <w:tcPr>
            <w:tcW w:w="1980" w:type="dxa"/>
          </w:tcPr>
          <w:p w14:paraId="7A38BDDF" w14:textId="77777777" w:rsidR="00DC2B54" w:rsidRDefault="00DC2B54" w:rsidP="00DC2B54">
            <w:pPr>
              <w:pStyle w:val="tabletext"/>
            </w:pPr>
            <w:r>
              <w:t>3.4, 3.5</w:t>
            </w:r>
          </w:p>
        </w:tc>
      </w:tr>
      <w:tr w:rsidR="00DC2B54" w:rsidRPr="00231CBA" w14:paraId="41AF9E1D" w14:textId="77777777" w:rsidTr="00DC2B54">
        <w:trPr>
          <w:cantSplit/>
          <w:tblHeader/>
        </w:trPr>
        <w:tc>
          <w:tcPr>
            <w:tcW w:w="5760" w:type="dxa"/>
          </w:tcPr>
          <w:p w14:paraId="3A3D0713" w14:textId="77777777" w:rsidR="00DC2B54" w:rsidRDefault="00DC2B54" w:rsidP="00DC2B54">
            <w:pPr>
              <w:pStyle w:val="tabletext"/>
            </w:pPr>
            <w:r>
              <w:t>Part 2, Division 2, subsection 10(1)</w:t>
            </w:r>
          </w:p>
        </w:tc>
        <w:tc>
          <w:tcPr>
            <w:tcW w:w="1980" w:type="dxa"/>
          </w:tcPr>
          <w:p w14:paraId="5245252A" w14:textId="77777777" w:rsidR="00DC2B54" w:rsidRDefault="00DC2B54" w:rsidP="00DC2B54">
            <w:pPr>
              <w:pStyle w:val="tabletext"/>
            </w:pPr>
            <w:r>
              <w:t>3.6, 3.8</w:t>
            </w:r>
          </w:p>
        </w:tc>
      </w:tr>
      <w:tr w:rsidR="00DC2B54" w:rsidRPr="00231CBA" w14:paraId="0F5F37CA" w14:textId="77777777" w:rsidTr="00DC2B54">
        <w:trPr>
          <w:cantSplit/>
          <w:tblHeader/>
        </w:trPr>
        <w:tc>
          <w:tcPr>
            <w:tcW w:w="5760" w:type="dxa"/>
          </w:tcPr>
          <w:p w14:paraId="0951A0EB" w14:textId="77777777" w:rsidR="00DC2B54" w:rsidRDefault="00DC2B54" w:rsidP="00DC2B54">
            <w:pPr>
              <w:pStyle w:val="tabletext"/>
            </w:pPr>
            <w:r>
              <w:t>Part 2, Division 2, subsection 10(2)</w:t>
            </w:r>
          </w:p>
        </w:tc>
        <w:tc>
          <w:tcPr>
            <w:tcW w:w="1980" w:type="dxa"/>
          </w:tcPr>
          <w:p w14:paraId="1B971DCE" w14:textId="77777777" w:rsidR="00DC2B54" w:rsidRDefault="00DC2B54" w:rsidP="00DC2B54">
            <w:pPr>
              <w:pStyle w:val="tabletext"/>
            </w:pPr>
            <w:r>
              <w:t>3.9</w:t>
            </w:r>
          </w:p>
        </w:tc>
      </w:tr>
      <w:tr w:rsidR="00DC2B54" w:rsidRPr="00231CBA" w14:paraId="18965137" w14:textId="77777777" w:rsidTr="00DC2B54">
        <w:trPr>
          <w:cantSplit/>
          <w:tblHeader/>
        </w:trPr>
        <w:tc>
          <w:tcPr>
            <w:tcW w:w="5760" w:type="dxa"/>
          </w:tcPr>
          <w:p w14:paraId="52EBEC97" w14:textId="77777777" w:rsidR="00DC2B54" w:rsidRDefault="00DC2B54" w:rsidP="00DC2B54">
            <w:pPr>
              <w:pStyle w:val="tabletext"/>
            </w:pPr>
            <w:r>
              <w:t>Part 2, Division 2, subsection 11(1)</w:t>
            </w:r>
          </w:p>
        </w:tc>
        <w:tc>
          <w:tcPr>
            <w:tcW w:w="1980" w:type="dxa"/>
          </w:tcPr>
          <w:p w14:paraId="3FE03D23" w14:textId="77777777" w:rsidR="00DC2B54" w:rsidRDefault="00DC2B54" w:rsidP="00DC2B54">
            <w:pPr>
              <w:pStyle w:val="tabletext"/>
            </w:pPr>
            <w:r>
              <w:t>3.11</w:t>
            </w:r>
          </w:p>
        </w:tc>
      </w:tr>
      <w:tr w:rsidR="00DC2B54" w:rsidRPr="00231CBA" w14:paraId="15AAEDC1" w14:textId="77777777" w:rsidTr="00DC2B54">
        <w:trPr>
          <w:cantSplit/>
          <w:tblHeader/>
        </w:trPr>
        <w:tc>
          <w:tcPr>
            <w:tcW w:w="5760" w:type="dxa"/>
          </w:tcPr>
          <w:p w14:paraId="59B67B3A" w14:textId="77777777" w:rsidR="00DC2B54" w:rsidRDefault="00DC2B54" w:rsidP="00DC2B54">
            <w:pPr>
              <w:pStyle w:val="tabletext"/>
            </w:pPr>
            <w:r>
              <w:t>Part 2, Division 2, subsections 11(2) and (3)</w:t>
            </w:r>
          </w:p>
        </w:tc>
        <w:tc>
          <w:tcPr>
            <w:tcW w:w="1980" w:type="dxa"/>
          </w:tcPr>
          <w:p w14:paraId="48A24E84" w14:textId="77777777" w:rsidR="00DC2B54" w:rsidRDefault="00DC2B54" w:rsidP="00DC2B54">
            <w:pPr>
              <w:pStyle w:val="tabletext"/>
            </w:pPr>
            <w:r>
              <w:t>3.12</w:t>
            </w:r>
          </w:p>
        </w:tc>
      </w:tr>
      <w:tr w:rsidR="00DC2B54" w:rsidRPr="00231CBA" w14:paraId="5A79AF65" w14:textId="77777777" w:rsidTr="00DC2B54">
        <w:trPr>
          <w:cantSplit/>
          <w:tblHeader/>
        </w:trPr>
        <w:tc>
          <w:tcPr>
            <w:tcW w:w="5760" w:type="dxa"/>
          </w:tcPr>
          <w:p w14:paraId="596FC9BF" w14:textId="77777777" w:rsidR="00DC2B54" w:rsidRDefault="00DC2B54" w:rsidP="00DC2B54">
            <w:pPr>
              <w:pStyle w:val="tabletext"/>
            </w:pPr>
            <w:r>
              <w:t>Part 2, Division 2, subsection 11(4)</w:t>
            </w:r>
          </w:p>
        </w:tc>
        <w:tc>
          <w:tcPr>
            <w:tcW w:w="1980" w:type="dxa"/>
          </w:tcPr>
          <w:p w14:paraId="309B8CEA" w14:textId="77777777" w:rsidR="00DC2B54" w:rsidRDefault="00DC2B54" w:rsidP="00DC2B54">
            <w:pPr>
              <w:pStyle w:val="tabletext"/>
            </w:pPr>
            <w:r>
              <w:t>3.13</w:t>
            </w:r>
          </w:p>
        </w:tc>
      </w:tr>
      <w:tr w:rsidR="00DC2B54" w:rsidRPr="00231CBA" w14:paraId="4674965F" w14:textId="77777777" w:rsidTr="00DC2B54">
        <w:trPr>
          <w:cantSplit/>
          <w:tblHeader/>
        </w:trPr>
        <w:tc>
          <w:tcPr>
            <w:tcW w:w="5760" w:type="dxa"/>
          </w:tcPr>
          <w:p w14:paraId="094A8CFD" w14:textId="77777777" w:rsidR="00DC2B54" w:rsidRDefault="00DC2B54" w:rsidP="00DC2B54">
            <w:pPr>
              <w:pStyle w:val="tabletext"/>
            </w:pPr>
            <w:r>
              <w:t>Part 2, Division 2, subsection 11(5)</w:t>
            </w:r>
          </w:p>
        </w:tc>
        <w:tc>
          <w:tcPr>
            <w:tcW w:w="1980" w:type="dxa"/>
          </w:tcPr>
          <w:p w14:paraId="0C0F6A7B" w14:textId="77777777" w:rsidR="00DC2B54" w:rsidRDefault="00DC2B54" w:rsidP="00DC2B54">
            <w:pPr>
              <w:pStyle w:val="tabletext"/>
            </w:pPr>
            <w:r>
              <w:t>3.14</w:t>
            </w:r>
          </w:p>
        </w:tc>
      </w:tr>
      <w:tr w:rsidR="00DC2B54" w:rsidRPr="00231CBA" w14:paraId="31A5D318" w14:textId="77777777" w:rsidTr="00DC2B54">
        <w:trPr>
          <w:cantSplit/>
          <w:tblHeader/>
        </w:trPr>
        <w:tc>
          <w:tcPr>
            <w:tcW w:w="5760" w:type="dxa"/>
          </w:tcPr>
          <w:p w14:paraId="01B9A25E" w14:textId="77777777" w:rsidR="00DC2B54" w:rsidRDefault="00DC2B54" w:rsidP="00DC2B54">
            <w:pPr>
              <w:pStyle w:val="tabletext"/>
            </w:pPr>
            <w:r>
              <w:t>Part 2, Division 2, subsection 11(6)</w:t>
            </w:r>
          </w:p>
        </w:tc>
        <w:tc>
          <w:tcPr>
            <w:tcW w:w="1980" w:type="dxa"/>
          </w:tcPr>
          <w:p w14:paraId="49969A2F" w14:textId="77777777" w:rsidR="00DC2B54" w:rsidRDefault="00DC2B54" w:rsidP="00DC2B54">
            <w:pPr>
              <w:pStyle w:val="tabletext"/>
            </w:pPr>
            <w:r>
              <w:t>3.15</w:t>
            </w:r>
          </w:p>
        </w:tc>
      </w:tr>
      <w:tr w:rsidR="00DC2B54" w:rsidRPr="00231CBA" w14:paraId="0F6C4044" w14:textId="77777777" w:rsidTr="00DC2B54">
        <w:trPr>
          <w:cantSplit/>
          <w:tblHeader/>
        </w:trPr>
        <w:tc>
          <w:tcPr>
            <w:tcW w:w="5760" w:type="dxa"/>
          </w:tcPr>
          <w:p w14:paraId="41A01E47" w14:textId="77777777" w:rsidR="00DC2B54" w:rsidRDefault="00DC2B54" w:rsidP="00DC2B54">
            <w:pPr>
              <w:pStyle w:val="tabletext"/>
            </w:pPr>
            <w:r>
              <w:t>Part 2, Division 3, subsection 12(1)</w:t>
            </w:r>
          </w:p>
        </w:tc>
        <w:tc>
          <w:tcPr>
            <w:tcW w:w="1980" w:type="dxa"/>
          </w:tcPr>
          <w:p w14:paraId="36B66C79" w14:textId="77777777" w:rsidR="00DC2B54" w:rsidRDefault="00DC2B54" w:rsidP="00DC2B54">
            <w:pPr>
              <w:pStyle w:val="tabletext"/>
            </w:pPr>
            <w:r>
              <w:t>3.16</w:t>
            </w:r>
          </w:p>
        </w:tc>
      </w:tr>
      <w:tr w:rsidR="00DC2B54" w:rsidRPr="00231CBA" w14:paraId="30B51980" w14:textId="77777777" w:rsidTr="00DC2B54">
        <w:trPr>
          <w:cantSplit/>
          <w:tblHeader/>
        </w:trPr>
        <w:tc>
          <w:tcPr>
            <w:tcW w:w="5760" w:type="dxa"/>
          </w:tcPr>
          <w:p w14:paraId="46EA302B" w14:textId="77777777" w:rsidR="00DC2B54" w:rsidRDefault="00DC2B54" w:rsidP="00DC2B54">
            <w:pPr>
              <w:pStyle w:val="tabletext"/>
            </w:pPr>
            <w:r>
              <w:t>Part 2, Division 3, subsection 12(2)</w:t>
            </w:r>
          </w:p>
        </w:tc>
        <w:tc>
          <w:tcPr>
            <w:tcW w:w="1980" w:type="dxa"/>
          </w:tcPr>
          <w:p w14:paraId="2146B5B1" w14:textId="77777777" w:rsidR="00DC2B54" w:rsidRDefault="00DC2B54" w:rsidP="00DC2B54">
            <w:pPr>
              <w:pStyle w:val="tabletext"/>
            </w:pPr>
            <w:r>
              <w:t>3.17</w:t>
            </w:r>
          </w:p>
        </w:tc>
      </w:tr>
      <w:tr w:rsidR="00DC2B54" w:rsidRPr="00231CBA" w14:paraId="7BDF0C9E" w14:textId="77777777" w:rsidTr="00DC2B54">
        <w:trPr>
          <w:cantSplit/>
          <w:tblHeader/>
        </w:trPr>
        <w:tc>
          <w:tcPr>
            <w:tcW w:w="5760" w:type="dxa"/>
          </w:tcPr>
          <w:p w14:paraId="2EA000F1" w14:textId="77777777" w:rsidR="00DC2B54" w:rsidRDefault="00DC2B54" w:rsidP="00DC2B54">
            <w:pPr>
              <w:pStyle w:val="tabletext"/>
            </w:pPr>
            <w:r>
              <w:t>Part 2, Division 3, section 13</w:t>
            </w:r>
          </w:p>
        </w:tc>
        <w:tc>
          <w:tcPr>
            <w:tcW w:w="1980" w:type="dxa"/>
          </w:tcPr>
          <w:p w14:paraId="4B50F54B" w14:textId="77777777" w:rsidR="00DC2B54" w:rsidRDefault="00DC2B54" w:rsidP="00DC2B54">
            <w:pPr>
              <w:pStyle w:val="tabletext"/>
            </w:pPr>
            <w:r>
              <w:t>3.19</w:t>
            </w:r>
          </w:p>
        </w:tc>
      </w:tr>
      <w:tr w:rsidR="00DC2B54" w:rsidRPr="00231CBA" w14:paraId="75E2D4E0" w14:textId="77777777" w:rsidTr="00DC2B54">
        <w:trPr>
          <w:cantSplit/>
          <w:tblHeader/>
        </w:trPr>
        <w:tc>
          <w:tcPr>
            <w:tcW w:w="5760" w:type="dxa"/>
          </w:tcPr>
          <w:p w14:paraId="36F40974" w14:textId="77777777" w:rsidR="00DC2B54" w:rsidRDefault="00DC2B54" w:rsidP="00DC2B54">
            <w:pPr>
              <w:pStyle w:val="tabletext"/>
            </w:pPr>
            <w:r>
              <w:t>Part 2, Division 3, section 14</w:t>
            </w:r>
          </w:p>
        </w:tc>
        <w:tc>
          <w:tcPr>
            <w:tcW w:w="1980" w:type="dxa"/>
          </w:tcPr>
          <w:p w14:paraId="4B1B6AF3" w14:textId="77777777" w:rsidR="00DC2B54" w:rsidRDefault="00DC2B54" w:rsidP="00DC2B54">
            <w:pPr>
              <w:pStyle w:val="tabletext"/>
            </w:pPr>
            <w:r>
              <w:t>3.20</w:t>
            </w:r>
          </w:p>
        </w:tc>
      </w:tr>
      <w:tr w:rsidR="00DC2B54" w:rsidRPr="00231CBA" w14:paraId="0AD92201" w14:textId="77777777" w:rsidTr="00DC2B54">
        <w:trPr>
          <w:cantSplit/>
          <w:tblHeader/>
        </w:trPr>
        <w:tc>
          <w:tcPr>
            <w:tcW w:w="5760" w:type="dxa"/>
          </w:tcPr>
          <w:p w14:paraId="1A0D8519" w14:textId="77777777" w:rsidR="00DC2B54" w:rsidRDefault="00DC2B54" w:rsidP="00DC2B54">
            <w:pPr>
              <w:pStyle w:val="tabletext"/>
            </w:pPr>
            <w:r>
              <w:t>Part 2, Division 3, subsection 15(1)</w:t>
            </w:r>
          </w:p>
        </w:tc>
        <w:tc>
          <w:tcPr>
            <w:tcW w:w="1980" w:type="dxa"/>
          </w:tcPr>
          <w:p w14:paraId="13B7BCF8" w14:textId="77777777" w:rsidR="00DC2B54" w:rsidRDefault="00DC2B54" w:rsidP="00DC2B54">
            <w:pPr>
              <w:pStyle w:val="tabletext"/>
            </w:pPr>
            <w:r>
              <w:t>3.22</w:t>
            </w:r>
          </w:p>
        </w:tc>
      </w:tr>
      <w:tr w:rsidR="00DC2B54" w:rsidRPr="00231CBA" w14:paraId="031F76FA" w14:textId="77777777" w:rsidTr="00DC2B54">
        <w:trPr>
          <w:cantSplit/>
          <w:tblHeader/>
        </w:trPr>
        <w:tc>
          <w:tcPr>
            <w:tcW w:w="5760" w:type="dxa"/>
          </w:tcPr>
          <w:p w14:paraId="46FA44C6" w14:textId="77777777" w:rsidR="00DC2B54" w:rsidRDefault="00DC2B54" w:rsidP="00DC2B54">
            <w:pPr>
              <w:pStyle w:val="tabletext"/>
            </w:pPr>
            <w:r>
              <w:t>Part 2, Division 3, subsection 15(2)</w:t>
            </w:r>
          </w:p>
        </w:tc>
        <w:tc>
          <w:tcPr>
            <w:tcW w:w="1980" w:type="dxa"/>
          </w:tcPr>
          <w:p w14:paraId="0A2D338E" w14:textId="77777777" w:rsidR="00DC2B54" w:rsidRDefault="00DC2B54" w:rsidP="00DC2B54">
            <w:pPr>
              <w:pStyle w:val="tabletext"/>
            </w:pPr>
            <w:r>
              <w:t>3.24</w:t>
            </w:r>
          </w:p>
        </w:tc>
      </w:tr>
      <w:tr w:rsidR="00DC2B54" w:rsidRPr="00231CBA" w14:paraId="0E78FEE9" w14:textId="77777777" w:rsidTr="00DC2B54">
        <w:trPr>
          <w:cantSplit/>
          <w:tblHeader/>
        </w:trPr>
        <w:tc>
          <w:tcPr>
            <w:tcW w:w="5760" w:type="dxa"/>
          </w:tcPr>
          <w:p w14:paraId="6924049F" w14:textId="77777777" w:rsidR="00DC2B54" w:rsidRDefault="00DC2B54" w:rsidP="00DC2B54">
            <w:pPr>
              <w:pStyle w:val="tabletext"/>
            </w:pPr>
            <w:r>
              <w:t>Part 2, Division 3, subsection 15(3)</w:t>
            </w:r>
          </w:p>
        </w:tc>
        <w:tc>
          <w:tcPr>
            <w:tcW w:w="1980" w:type="dxa"/>
          </w:tcPr>
          <w:p w14:paraId="25D2439F" w14:textId="77777777" w:rsidR="00DC2B54" w:rsidRDefault="00DC2B54" w:rsidP="00DC2B54">
            <w:pPr>
              <w:pStyle w:val="tabletext"/>
            </w:pPr>
            <w:r>
              <w:t>3.26</w:t>
            </w:r>
          </w:p>
        </w:tc>
      </w:tr>
      <w:tr w:rsidR="00DC2B54" w14:paraId="3268D333" w14:textId="77777777" w:rsidTr="00DC2B54">
        <w:trPr>
          <w:cantSplit/>
          <w:tblHeader/>
        </w:trPr>
        <w:tc>
          <w:tcPr>
            <w:tcW w:w="5760" w:type="dxa"/>
          </w:tcPr>
          <w:p w14:paraId="52D7E372" w14:textId="77777777" w:rsidR="00DC2B54" w:rsidRDefault="00DC2B54" w:rsidP="00DC2B54">
            <w:pPr>
              <w:pStyle w:val="tabletext"/>
            </w:pPr>
            <w:r>
              <w:t>Part 2, Division 3, subsection 15(4)</w:t>
            </w:r>
          </w:p>
        </w:tc>
        <w:tc>
          <w:tcPr>
            <w:tcW w:w="1980" w:type="dxa"/>
          </w:tcPr>
          <w:p w14:paraId="3F3D6C19" w14:textId="77777777" w:rsidR="00DC2B54" w:rsidRDefault="00DC2B54" w:rsidP="00DC2B54">
            <w:pPr>
              <w:pStyle w:val="tabletext"/>
            </w:pPr>
            <w:r>
              <w:t>3.32</w:t>
            </w:r>
          </w:p>
        </w:tc>
      </w:tr>
      <w:tr w:rsidR="00DC2B54" w:rsidRPr="00231CBA" w14:paraId="7B3A8FB1" w14:textId="77777777" w:rsidTr="00DC2B54">
        <w:trPr>
          <w:cantSplit/>
          <w:tblHeader/>
        </w:trPr>
        <w:tc>
          <w:tcPr>
            <w:tcW w:w="5760" w:type="dxa"/>
          </w:tcPr>
          <w:p w14:paraId="7A7B1661" w14:textId="77777777" w:rsidR="00DC2B54" w:rsidRDefault="00DC2B54" w:rsidP="00DC2B54">
            <w:pPr>
              <w:pStyle w:val="tabletext"/>
            </w:pPr>
            <w:r>
              <w:t>Part 2, Division 3, subsections 15(4) and (5)</w:t>
            </w:r>
          </w:p>
        </w:tc>
        <w:tc>
          <w:tcPr>
            <w:tcW w:w="1980" w:type="dxa"/>
          </w:tcPr>
          <w:p w14:paraId="5F1672AF" w14:textId="77777777" w:rsidR="00DC2B54" w:rsidRDefault="00DC2B54" w:rsidP="00DC2B54">
            <w:pPr>
              <w:pStyle w:val="tabletext"/>
            </w:pPr>
            <w:r>
              <w:t>3.31</w:t>
            </w:r>
          </w:p>
        </w:tc>
      </w:tr>
      <w:tr w:rsidR="00DC2B54" w:rsidRPr="00231CBA" w14:paraId="6B6CAFE2" w14:textId="77777777" w:rsidTr="00DC2B54">
        <w:trPr>
          <w:cantSplit/>
          <w:tblHeader/>
        </w:trPr>
        <w:tc>
          <w:tcPr>
            <w:tcW w:w="5760" w:type="dxa"/>
          </w:tcPr>
          <w:p w14:paraId="10A77DA1" w14:textId="77777777" w:rsidR="00DC2B54" w:rsidRDefault="00DC2B54" w:rsidP="00DC2B54">
            <w:pPr>
              <w:pStyle w:val="tabletext"/>
            </w:pPr>
            <w:r>
              <w:t>Part 2, Division 3, subsection 16(1)</w:t>
            </w:r>
          </w:p>
        </w:tc>
        <w:tc>
          <w:tcPr>
            <w:tcW w:w="1980" w:type="dxa"/>
          </w:tcPr>
          <w:p w14:paraId="048B3493" w14:textId="77777777" w:rsidR="00DC2B54" w:rsidRDefault="00DC2B54" w:rsidP="00DC2B54">
            <w:pPr>
              <w:pStyle w:val="tabletext"/>
            </w:pPr>
            <w:r>
              <w:t>3.34</w:t>
            </w:r>
          </w:p>
        </w:tc>
      </w:tr>
      <w:tr w:rsidR="00DC2B54" w:rsidRPr="00231CBA" w14:paraId="378D1BE5" w14:textId="77777777" w:rsidTr="00DC2B54">
        <w:trPr>
          <w:cantSplit/>
          <w:tblHeader/>
        </w:trPr>
        <w:tc>
          <w:tcPr>
            <w:tcW w:w="5760" w:type="dxa"/>
          </w:tcPr>
          <w:p w14:paraId="43A4720E" w14:textId="77777777" w:rsidR="00DC2B54" w:rsidRDefault="00DC2B54" w:rsidP="00DC2B54">
            <w:pPr>
              <w:pStyle w:val="tabletext"/>
            </w:pPr>
            <w:r>
              <w:t>Part 2, Division 3, subsection 16(2)</w:t>
            </w:r>
          </w:p>
        </w:tc>
        <w:tc>
          <w:tcPr>
            <w:tcW w:w="1980" w:type="dxa"/>
          </w:tcPr>
          <w:p w14:paraId="16B84DCB" w14:textId="77777777" w:rsidR="00DC2B54" w:rsidRDefault="00DC2B54" w:rsidP="00DC2B54">
            <w:pPr>
              <w:pStyle w:val="tabletext"/>
            </w:pPr>
            <w:r>
              <w:t>3.35</w:t>
            </w:r>
          </w:p>
        </w:tc>
      </w:tr>
      <w:tr w:rsidR="00DC2B54" w:rsidRPr="00231CBA" w14:paraId="6B7196A6" w14:textId="77777777" w:rsidTr="00DC2B54">
        <w:trPr>
          <w:cantSplit/>
          <w:tblHeader/>
        </w:trPr>
        <w:tc>
          <w:tcPr>
            <w:tcW w:w="5760" w:type="dxa"/>
          </w:tcPr>
          <w:p w14:paraId="3B73EE0B" w14:textId="77777777" w:rsidR="00DC2B54" w:rsidRDefault="00DC2B54" w:rsidP="00DC2B54">
            <w:pPr>
              <w:pStyle w:val="tabletext"/>
            </w:pPr>
            <w:r>
              <w:t>Part 2, Division 3, section 17</w:t>
            </w:r>
          </w:p>
        </w:tc>
        <w:tc>
          <w:tcPr>
            <w:tcW w:w="1980" w:type="dxa"/>
          </w:tcPr>
          <w:p w14:paraId="697FEB45" w14:textId="77777777" w:rsidR="00DC2B54" w:rsidRDefault="00DC2B54" w:rsidP="00DC2B54">
            <w:pPr>
              <w:pStyle w:val="tabletext"/>
            </w:pPr>
            <w:r>
              <w:t>3.36</w:t>
            </w:r>
          </w:p>
        </w:tc>
      </w:tr>
      <w:tr w:rsidR="00DC2B54" w:rsidRPr="00231CBA" w14:paraId="4CDE7D74" w14:textId="77777777" w:rsidTr="00DC2B54">
        <w:trPr>
          <w:cantSplit/>
          <w:tblHeader/>
        </w:trPr>
        <w:tc>
          <w:tcPr>
            <w:tcW w:w="5760" w:type="dxa"/>
          </w:tcPr>
          <w:p w14:paraId="7FAD3D4F" w14:textId="77777777" w:rsidR="00DC2B54" w:rsidRDefault="00DC2B54" w:rsidP="00DC2B54">
            <w:pPr>
              <w:pStyle w:val="tabletext"/>
            </w:pPr>
            <w:r>
              <w:t>Part 2, Division 3, section 18</w:t>
            </w:r>
          </w:p>
        </w:tc>
        <w:tc>
          <w:tcPr>
            <w:tcW w:w="1980" w:type="dxa"/>
          </w:tcPr>
          <w:p w14:paraId="34160C31" w14:textId="77777777" w:rsidR="00DC2B54" w:rsidRDefault="00DC2B54" w:rsidP="00DC2B54">
            <w:pPr>
              <w:pStyle w:val="tabletext"/>
            </w:pPr>
            <w:r>
              <w:t>3.37</w:t>
            </w:r>
          </w:p>
        </w:tc>
      </w:tr>
      <w:tr w:rsidR="00DC2B54" w:rsidRPr="00231CBA" w14:paraId="5AF67401" w14:textId="77777777" w:rsidTr="00DC2B54">
        <w:trPr>
          <w:cantSplit/>
          <w:tblHeader/>
        </w:trPr>
        <w:tc>
          <w:tcPr>
            <w:tcW w:w="5760" w:type="dxa"/>
          </w:tcPr>
          <w:p w14:paraId="0E7FBA30" w14:textId="77777777" w:rsidR="00DC2B54" w:rsidRDefault="00DC2B54" w:rsidP="00DC2B54">
            <w:pPr>
              <w:pStyle w:val="tabletext"/>
            </w:pPr>
            <w:r>
              <w:t>Part 2, Division 3, subsections 19(1) and (2)</w:t>
            </w:r>
          </w:p>
        </w:tc>
        <w:tc>
          <w:tcPr>
            <w:tcW w:w="1980" w:type="dxa"/>
          </w:tcPr>
          <w:p w14:paraId="55167E41" w14:textId="77777777" w:rsidR="00DC2B54" w:rsidRDefault="00DC2B54" w:rsidP="00DC2B54">
            <w:pPr>
              <w:pStyle w:val="tabletext"/>
            </w:pPr>
            <w:r>
              <w:t>3.38</w:t>
            </w:r>
          </w:p>
        </w:tc>
      </w:tr>
      <w:tr w:rsidR="00DC2B54" w14:paraId="6D55FBE5" w14:textId="77777777" w:rsidTr="00DC2B54">
        <w:trPr>
          <w:cantSplit/>
          <w:tblHeader/>
        </w:trPr>
        <w:tc>
          <w:tcPr>
            <w:tcW w:w="5760" w:type="dxa"/>
          </w:tcPr>
          <w:p w14:paraId="3BCD35E3" w14:textId="77777777" w:rsidR="00DC2B54" w:rsidRDefault="00DC2B54" w:rsidP="00DC2B54">
            <w:pPr>
              <w:pStyle w:val="tabletext"/>
            </w:pPr>
            <w:r>
              <w:t>Part 2, Division 3, subsections 19(3) and (6)</w:t>
            </w:r>
          </w:p>
        </w:tc>
        <w:tc>
          <w:tcPr>
            <w:tcW w:w="1980" w:type="dxa"/>
          </w:tcPr>
          <w:p w14:paraId="4A99120B" w14:textId="77777777" w:rsidR="00DC2B54" w:rsidRDefault="00DC2B54" w:rsidP="00DC2B54">
            <w:pPr>
              <w:pStyle w:val="tabletext"/>
            </w:pPr>
            <w:r>
              <w:t>3.40</w:t>
            </w:r>
          </w:p>
        </w:tc>
      </w:tr>
      <w:tr w:rsidR="00DC2B54" w:rsidRPr="00231CBA" w14:paraId="6E7A5710" w14:textId="77777777" w:rsidTr="00DC2B54">
        <w:trPr>
          <w:cantSplit/>
          <w:tblHeader/>
        </w:trPr>
        <w:tc>
          <w:tcPr>
            <w:tcW w:w="5760" w:type="dxa"/>
          </w:tcPr>
          <w:p w14:paraId="16AD8079" w14:textId="77777777" w:rsidR="00DC2B54" w:rsidRDefault="00DC2B54" w:rsidP="00DC2B54">
            <w:pPr>
              <w:pStyle w:val="tabletext"/>
            </w:pPr>
            <w:r>
              <w:t>Part 2, Division 3, subsections 19(4) and (5)</w:t>
            </w:r>
          </w:p>
        </w:tc>
        <w:tc>
          <w:tcPr>
            <w:tcW w:w="1980" w:type="dxa"/>
          </w:tcPr>
          <w:p w14:paraId="1926543D" w14:textId="77777777" w:rsidR="00DC2B54" w:rsidRDefault="00DC2B54" w:rsidP="00DC2B54">
            <w:pPr>
              <w:pStyle w:val="tabletext"/>
            </w:pPr>
            <w:r>
              <w:t>3.39</w:t>
            </w:r>
          </w:p>
        </w:tc>
      </w:tr>
      <w:tr w:rsidR="00DC2B54" w:rsidRPr="00231CBA" w14:paraId="78552148" w14:textId="77777777" w:rsidTr="00DC2B54">
        <w:trPr>
          <w:cantSplit/>
          <w:tblHeader/>
        </w:trPr>
        <w:tc>
          <w:tcPr>
            <w:tcW w:w="5760" w:type="dxa"/>
          </w:tcPr>
          <w:p w14:paraId="666AF5C6" w14:textId="77777777" w:rsidR="00DC2B54" w:rsidRDefault="00DC2B54" w:rsidP="00DC2B54">
            <w:pPr>
              <w:pStyle w:val="tabletext"/>
            </w:pPr>
            <w:r>
              <w:t>Part 2, Division 3, subsections 20(1) and (2)</w:t>
            </w:r>
          </w:p>
        </w:tc>
        <w:tc>
          <w:tcPr>
            <w:tcW w:w="1980" w:type="dxa"/>
          </w:tcPr>
          <w:p w14:paraId="30639B9A" w14:textId="77777777" w:rsidR="00DC2B54" w:rsidRDefault="00DC2B54" w:rsidP="00DC2B54">
            <w:pPr>
              <w:pStyle w:val="tabletext"/>
            </w:pPr>
            <w:r>
              <w:t>3.41</w:t>
            </w:r>
          </w:p>
        </w:tc>
      </w:tr>
      <w:tr w:rsidR="00DC2B54" w:rsidRPr="00231CBA" w14:paraId="129B590F" w14:textId="77777777" w:rsidTr="00DC2B54">
        <w:trPr>
          <w:cantSplit/>
          <w:tblHeader/>
        </w:trPr>
        <w:tc>
          <w:tcPr>
            <w:tcW w:w="5760" w:type="dxa"/>
          </w:tcPr>
          <w:p w14:paraId="74EACC27" w14:textId="77777777" w:rsidR="00DC2B54" w:rsidRDefault="00DC2B54" w:rsidP="00DC2B54">
            <w:pPr>
              <w:pStyle w:val="tabletext"/>
            </w:pPr>
            <w:r>
              <w:t>Part 2, Division 3, subsection 20(3)</w:t>
            </w:r>
          </w:p>
        </w:tc>
        <w:tc>
          <w:tcPr>
            <w:tcW w:w="1980" w:type="dxa"/>
          </w:tcPr>
          <w:p w14:paraId="6EA6DDE4" w14:textId="77777777" w:rsidR="00DC2B54" w:rsidRDefault="00DC2B54" w:rsidP="00DC2B54">
            <w:pPr>
              <w:pStyle w:val="tabletext"/>
            </w:pPr>
            <w:r>
              <w:t>3.42</w:t>
            </w:r>
          </w:p>
        </w:tc>
      </w:tr>
      <w:tr w:rsidR="00DC2B54" w14:paraId="736A60CC" w14:textId="77777777" w:rsidTr="00DC2B54">
        <w:trPr>
          <w:cantSplit/>
          <w:tblHeader/>
        </w:trPr>
        <w:tc>
          <w:tcPr>
            <w:tcW w:w="5760" w:type="dxa"/>
          </w:tcPr>
          <w:p w14:paraId="6CB45735" w14:textId="77777777" w:rsidR="00DC2B54" w:rsidRDefault="00DC2B54" w:rsidP="00DC2B54">
            <w:pPr>
              <w:pStyle w:val="tabletext"/>
            </w:pPr>
            <w:r>
              <w:t>Part 2, Division 3, paragraph 20(4)(a)</w:t>
            </w:r>
          </w:p>
        </w:tc>
        <w:tc>
          <w:tcPr>
            <w:tcW w:w="1980" w:type="dxa"/>
          </w:tcPr>
          <w:p w14:paraId="5D828663" w14:textId="77777777" w:rsidR="00DC2B54" w:rsidRDefault="00DC2B54" w:rsidP="00DC2B54">
            <w:pPr>
              <w:pStyle w:val="tabletext"/>
            </w:pPr>
            <w:r>
              <w:t>3.45</w:t>
            </w:r>
          </w:p>
        </w:tc>
      </w:tr>
      <w:tr w:rsidR="00DC2B54" w14:paraId="2D46487A" w14:textId="77777777" w:rsidTr="00DC2B54">
        <w:trPr>
          <w:cantSplit/>
          <w:tblHeader/>
        </w:trPr>
        <w:tc>
          <w:tcPr>
            <w:tcW w:w="5760" w:type="dxa"/>
          </w:tcPr>
          <w:p w14:paraId="53107455" w14:textId="77777777" w:rsidR="00DC2B54" w:rsidRDefault="00DC2B54" w:rsidP="00DC2B54">
            <w:pPr>
              <w:pStyle w:val="tabletext"/>
            </w:pPr>
            <w:r>
              <w:t>Part 2, Division 3, paragraph 20(4)(b)</w:t>
            </w:r>
          </w:p>
        </w:tc>
        <w:tc>
          <w:tcPr>
            <w:tcW w:w="1980" w:type="dxa"/>
          </w:tcPr>
          <w:p w14:paraId="394BD565" w14:textId="77777777" w:rsidR="00DC2B54" w:rsidRDefault="00DC2B54" w:rsidP="00DC2B54">
            <w:pPr>
              <w:pStyle w:val="tabletext"/>
            </w:pPr>
            <w:r>
              <w:t>3.46</w:t>
            </w:r>
          </w:p>
        </w:tc>
      </w:tr>
      <w:tr w:rsidR="00DC2B54" w14:paraId="09F34648" w14:textId="77777777" w:rsidTr="00DC2B54">
        <w:trPr>
          <w:cantSplit/>
          <w:tblHeader/>
        </w:trPr>
        <w:tc>
          <w:tcPr>
            <w:tcW w:w="5760" w:type="dxa"/>
          </w:tcPr>
          <w:p w14:paraId="7C57406A" w14:textId="77777777" w:rsidR="00DC2B54" w:rsidRDefault="00DC2B54" w:rsidP="00DC2B54">
            <w:pPr>
              <w:pStyle w:val="tabletext"/>
            </w:pPr>
            <w:r>
              <w:t>Part 2, Division 3, subsection 20(5)</w:t>
            </w:r>
          </w:p>
        </w:tc>
        <w:tc>
          <w:tcPr>
            <w:tcW w:w="1980" w:type="dxa"/>
          </w:tcPr>
          <w:p w14:paraId="3A4F2961" w14:textId="77777777" w:rsidR="00DC2B54" w:rsidRDefault="00DC2B54" w:rsidP="00DC2B54">
            <w:pPr>
              <w:pStyle w:val="tabletext"/>
            </w:pPr>
            <w:r>
              <w:t>3.47</w:t>
            </w:r>
          </w:p>
        </w:tc>
      </w:tr>
      <w:tr w:rsidR="00DC2B54" w:rsidRPr="00231CBA" w14:paraId="2191BF20" w14:textId="77777777" w:rsidTr="00DC2B54">
        <w:trPr>
          <w:cantSplit/>
          <w:tblHeader/>
        </w:trPr>
        <w:tc>
          <w:tcPr>
            <w:tcW w:w="5760" w:type="dxa"/>
          </w:tcPr>
          <w:p w14:paraId="54DBFC0A" w14:textId="77777777" w:rsidR="00DC2B54" w:rsidRDefault="00DC2B54" w:rsidP="00DC2B54">
            <w:pPr>
              <w:pStyle w:val="tabletext"/>
            </w:pPr>
            <w:r>
              <w:t>Part 2, Division 3, subsection 20(6)</w:t>
            </w:r>
          </w:p>
        </w:tc>
        <w:tc>
          <w:tcPr>
            <w:tcW w:w="1980" w:type="dxa"/>
          </w:tcPr>
          <w:p w14:paraId="1660FB34" w14:textId="77777777" w:rsidR="00DC2B54" w:rsidRDefault="00DC2B54" w:rsidP="00DC2B54">
            <w:pPr>
              <w:pStyle w:val="tabletext"/>
            </w:pPr>
            <w:r>
              <w:t>3.44</w:t>
            </w:r>
          </w:p>
        </w:tc>
      </w:tr>
      <w:tr w:rsidR="00DC2B54" w:rsidRPr="00231CBA" w14:paraId="27974EA5" w14:textId="77777777" w:rsidTr="00DC2B54">
        <w:trPr>
          <w:cantSplit/>
          <w:tblHeader/>
        </w:trPr>
        <w:tc>
          <w:tcPr>
            <w:tcW w:w="5760" w:type="dxa"/>
          </w:tcPr>
          <w:p w14:paraId="6F5E022B" w14:textId="77777777" w:rsidR="00DC2B54" w:rsidRDefault="00DC2B54" w:rsidP="00DC2B54">
            <w:pPr>
              <w:pStyle w:val="tabletext"/>
            </w:pPr>
            <w:r>
              <w:t>Part 2, Division 3, subsection 20(7)</w:t>
            </w:r>
          </w:p>
        </w:tc>
        <w:tc>
          <w:tcPr>
            <w:tcW w:w="1980" w:type="dxa"/>
          </w:tcPr>
          <w:p w14:paraId="048619C5" w14:textId="77777777" w:rsidR="00DC2B54" w:rsidRDefault="00DC2B54" w:rsidP="00DC2B54">
            <w:pPr>
              <w:pStyle w:val="tabletext"/>
            </w:pPr>
            <w:r>
              <w:t>3.48</w:t>
            </w:r>
          </w:p>
        </w:tc>
      </w:tr>
      <w:tr w:rsidR="00DC2B54" w:rsidRPr="00231CBA" w14:paraId="428DDB83" w14:textId="77777777" w:rsidTr="00DC2B54">
        <w:trPr>
          <w:cantSplit/>
          <w:tblHeader/>
        </w:trPr>
        <w:tc>
          <w:tcPr>
            <w:tcW w:w="5760" w:type="dxa"/>
          </w:tcPr>
          <w:p w14:paraId="72B0CCA1" w14:textId="77777777" w:rsidR="00DC2B54" w:rsidRDefault="00DC2B54" w:rsidP="00DC2B54">
            <w:pPr>
              <w:pStyle w:val="tabletext"/>
            </w:pPr>
            <w:r>
              <w:t>Part 2, Division 3, subsection 20(8)</w:t>
            </w:r>
          </w:p>
        </w:tc>
        <w:tc>
          <w:tcPr>
            <w:tcW w:w="1980" w:type="dxa"/>
          </w:tcPr>
          <w:p w14:paraId="03A741A4" w14:textId="77777777" w:rsidR="00DC2B54" w:rsidRDefault="00DC2B54" w:rsidP="00DC2B54">
            <w:pPr>
              <w:pStyle w:val="tabletext"/>
            </w:pPr>
            <w:r>
              <w:t>3.49</w:t>
            </w:r>
          </w:p>
        </w:tc>
      </w:tr>
      <w:tr w:rsidR="00DC2B54" w:rsidRPr="00231CBA" w14:paraId="24ABE8C3" w14:textId="77777777" w:rsidTr="00DC2B54">
        <w:trPr>
          <w:cantSplit/>
          <w:tblHeader/>
        </w:trPr>
        <w:tc>
          <w:tcPr>
            <w:tcW w:w="5760" w:type="dxa"/>
          </w:tcPr>
          <w:p w14:paraId="572B0D80" w14:textId="77777777" w:rsidR="00DC2B54" w:rsidRDefault="00DC2B54" w:rsidP="00DC2B54">
            <w:pPr>
              <w:pStyle w:val="tabletext"/>
            </w:pPr>
            <w:r>
              <w:t>Part 2, Division 3, subsection 21(1)</w:t>
            </w:r>
          </w:p>
        </w:tc>
        <w:tc>
          <w:tcPr>
            <w:tcW w:w="1980" w:type="dxa"/>
          </w:tcPr>
          <w:p w14:paraId="29B1CA55" w14:textId="77777777" w:rsidR="00DC2B54" w:rsidRDefault="00DC2B54" w:rsidP="00DC2B54">
            <w:pPr>
              <w:pStyle w:val="tabletext"/>
            </w:pPr>
            <w:r>
              <w:t>3.51</w:t>
            </w:r>
          </w:p>
        </w:tc>
      </w:tr>
      <w:tr w:rsidR="00DC2B54" w:rsidRPr="00231CBA" w14:paraId="49021C01" w14:textId="77777777" w:rsidTr="00DC2B54">
        <w:trPr>
          <w:cantSplit/>
          <w:tblHeader/>
        </w:trPr>
        <w:tc>
          <w:tcPr>
            <w:tcW w:w="5760" w:type="dxa"/>
          </w:tcPr>
          <w:p w14:paraId="720D380F" w14:textId="77777777" w:rsidR="00DC2B54" w:rsidRDefault="00DC2B54" w:rsidP="00DC2B54">
            <w:pPr>
              <w:pStyle w:val="tabletext"/>
            </w:pPr>
            <w:r>
              <w:t>Part 2, Division 3, subsection 21(2)</w:t>
            </w:r>
          </w:p>
        </w:tc>
        <w:tc>
          <w:tcPr>
            <w:tcW w:w="1980" w:type="dxa"/>
          </w:tcPr>
          <w:p w14:paraId="002C92A3" w14:textId="77777777" w:rsidR="00DC2B54" w:rsidRDefault="00DC2B54" w:rsidP="00DC2B54">
            <w:pPr>
              <w:pStyle w:val="tabletext"/>
            </w:pPr>
            <w:r>
              <w:t>3.52</w:t>
            </w:r>
          </w:p>
        </w:tc>
      </w:tr>
      <w:tr w:rsidR="00DC2B54" w:rsidRPr="00231CBA" w14:paraId="6C2FD88F" w14:textId="77777777" w:rsidTr="00DC2B54">
        <w:trPr>
          <w:cantSplit/>
          <w:tblHeader/>
        </w:trPr>
        <w:tc>
          <w:tcPr>
            <w:tcW w:w="5760" w:type="dxa"/>
          </w:tcPr>
          <w:p w14:paraId="70F93352" w14:textId="77777777" w:rsidR="00DC2B54" w:rsidRDefault="00DC2B54" w:rsidP="00DC2B54">
            <w:pPr>
              <w:pStyle w:val="tabletext"/>
            </w:pPr>
            <w:r>
              <w:t>Part 3, Division 2, section 22</w:t>
            </w:r>
          </w:p>
        </w:tc>
        <w:tc>
          <w:tcPr>
            <w:tcW w:w="1980" w:type="dxa"/>
          </w:tcPr>
          <w:p w14:paraId="2332BAAA" w14:textId="77777777" w:rsidR="00DC2B54" w:rsidRDefault="00DC2B54" w:rsidP="00DC2B54">
            <w:pPr>
              <w:pStyle w:val="tabletext"/>
            </w:pPr>
            <w:r>
              <w:t>4.5, 4.6, 4.7</w:t>
            </w:r>
          </w:p>
        </w:tc>
      </w:tr>
      <w:tr w:rsidR="00DC2B54" w:rsidRPr="00231CBA" w14:paraId="09B8BC50" w14:textId="77777777" w:rsidTr="00DC2B54">
        <w:trPr>
          <w:cantSplit/>
          <w:tblHeader/>
        </w:trPr>
        <w:tc>
          <w:tcPr>
            <w:tcW w:w="5760" w:type="dxa"/>
          </w:tcPr>
          <w:p w14:paraId="0293C6C3" w14:textId="77777777" w:rsidR="00DC2B54" w:rsidRDefault="00DC2B54" w:rsidP="00DC2B54">
            <w:pPr>
              <w:pStyle w:val="tabletext"/>
            </w:pPr>
            <w:r>
              <w:t>Part 3, Division 2, subsection 23(1)</w:t>
            </w:r>
          </w:p>
        </w:tc>
        <w:tc>
          <w:tcPr>
            <w:tcW w:w="1980" w:type="dxa"/>
          </w:tcPr>
          <w:p w14:paraId="7A3CCE06" w14:textId="77777777" w:rsidR="00DC2B54" w:rsidRDefault="00DC2B54" w:rsidP="00DC2B54">
            <w:pPr>
              <w:pStyle w:val="tabletext"/>
            </w:pPr>
            <w:r>
              <w:t>4.8</w:t>
            </w:r>
          </w:p>
        </w:tc>
      </w:tr>
      <w:tr w:rsidR="00DC2B54" w:rsidRPr="00231CBA" w14:paraId="60268FA2" w14:textId="77777777" w:rsidTr="00DC2B54">
        <w:trPr>
          <w:cantSplit/>
          <w:tblHeader/>
        </w:trPr>
        <w:tc>
          <w:tcPr>
            <w:tcW w:w="5760" w:type="dxa"/>
          </w:tcPr>
          <w:p w14:paraId="0F1D047C" w14:textId="77777777" w:rsidR="00DC2B54" w:rsidRDefault="00DC2B54" w:rsidP="00DC2B54">
            <w:pPr>
              <w:pStyle w:val="tabletext"/>
            </w:pPr>
            <w:r>
              <w:t>Part 3, Division 2, subsection 23(2)</w:t>
            </w:r>
          </w:p>
        </w:tc>
        <w:tc>
          <w:tcPr>
            <w:tcW w:w="1980" w:type="dxa"/>
          </w:tcPr>
          <w:p w14:paraId="6741BE18" w14:textId="77777777" w:rsidR="00DC2B54" w:rsidRDefault="00DC2B54" w:rsidP="00DC2B54">
            <w:pPr>
              <w:pStyle w:val="tabletext"/>
            </w:pPr>
            <w:r>
              <w:t>4.10</w:t>
            </w:r>
          </w:p>
        </w:tc>
      </w:tr>
      <w:tr w:rsidR="00DC2B54" w:rsidRPr="00231CBA" w14:paraId="4ECACCD8" w14:textId="77777777" w:rsidTr="00DC2B54">
        <w:trPr>
          <w:cantSplit/>
          <w:tblHeader/>
        </w:trPr>
        <w:tc>
          <w:tcPr>
            <w:tcW w:w="5760" w:type="dxa"/>
          </w:tcPr>
          <w:p w14:paraId="42612FCA" w14:textId="77777777" w:rsidR="00DC2B54" w:rsidRDefault="00DC2B54" w:rsidP="00DC2B54">
            <w:pPr>
              <w:pStyle w:val="tabletext"/>
            </w:pPr>
            <w:r>
              <w:t>Part 3, Division 2, subsection 23(3)</w:t>
            </w:r>
          </w:p>
        </w:tc>
        <w:tc>
          <w:tcPr>
            <w:tcW w:w="1980" w:type="dxa"/>
          </w:tcPr>
          <w:p w14:paraId="25732E7A" w14:textId="77777777" w:rsidR="00DC2B54" w:rsidRDefault="00DC2B54" w:rsidP="00DC2B54">
            <w:pPr>
              <w:pStyle w:val="tabletext"/>
            </w:pPr>
            <w:r>
              <w:t>4.12</w:t>
            </w:r>
          </w:p>
        </w:tc>
      </w:tr>
      <w:tr w:rsidR="00DC2B54" w:rsidRPr="00231CBA" w14:paraId="7CCB2DC8" w14:textId="77777777" w:rsidTr="00DC2B54">
        <w:trPr>
          <w:cantSplit/>
          <w:tblHeader/>
        </w:trPr>
        <w:tc>
          <w:tcPr>
            <w:tcW w:w="5760" w:type="dxa"/>
          </w:tcPr>
          <w:p w14:paraId="55216218" w14:textId="77777777" w:rsidR="00DC2B54" w:rsidRDefault="00DC2B54" w:rsidP="00DC2B54">
            <w:pPr>
              <w:pStyle w:val="tabletext"/>
            </w:pPr>
            <w:r>
              <w:t>Part 3, Division 2, subsection 23(4)</w:t>
            </w:r>
          </w:p>
        </w:tc>
        <w:tc>
          <w:tcPr>
            <w:tcW w:w="1980" w:type="dxa"/>
          </w:tcPr>
          <w:p w14:paraId="7CBD1492" w14:textId="77777777" w:rsidR="00DC2B54" w:rsidRDefault="00DC2B54" w:rsidP="00DC2B54">
            <w:pPr>
              <w:pStyle w:val="tabletext"/>
            </w:pPr>
            <w:r>
              <w:t>4.13</w:t>
            </w:r>
          </w:p>
        </w:tc>
      </w:tr>
      <w:tr w:rsidR="00DC2B54" w:rsidRPr="00231CBA" w14:paraId="7B9C66AF" w14:textId="77777777" w:rsidTr="00DC2B54">
        <w:trPr>
          <w:cantSplit/>
          <w:tblHeader/>
        </w:trPr>
        <w:tc>
          <w:tcPr>
            <w:tcW w:w="5760" w:type="dxa"/>
          </w:tcPr>
          <w:p w14:paraId="19A83E88" w14:textId="77777777" w:rsidR="00DC2B54" w:rsidRDefault="00DC2B54" w:rsidP="00DC2B54">
            <w:pPr>
              <w:pStyle w:val="tabletext"/>
            </w:pPr>
            <w:r>
              <w:t>Part 3, Division 2, section 24</w:t>
            </w:r>
          </w:p>
        </w:tc>
        <w:tc>
          <w:tcPr>
            <w:tcW w:w="1980" w:type="dxa"/>
          </w:tcPr>
          <w:p w14:paraId="66739808" w14:textId="77777777" w:rsidR="00DC2B54" w:rsidRDefault="00DC2B54" w:rsidP="00DC2B54">
            <w:pPr>
              <w:pStyle w:val="tabletext"/>
            </w:pPr>
            <w:r>
              <w:t>4.14</w:t>
            </w:r>
          </w:p>
        </w:tc>
      </w:tr>
      <w:tr w:rsidR="00DC2B54" w:rsidRPr="00231CBA" w14:paraId="4969970E" w14:textId="77777777" w:rsidTr="00DC2B54">
        <w:trPr>
          <w:cantSplit/>
          <w:tblHeader/>
        </w:trPr>
        <w:tc>
          <w:tcPr>
            <w:tcW w:w="5760" w:type="dxa"/>
          </w:tcPr>
          <w:p w14:paraId="3A1C4A7A" w14:textId="77777777" w:rsidR="00DC2B54" w:rsidRDefault="00DC2B54" w:rsidP="00DC2B54">
            <w:pPr>
              <w:pStyle w:val="tabletext"/>
            </w:pPr>
            <w:r>
              <w:t>Part 3, Division 2, subsection 25(1)</w:t>
            </w:r>
          </w:p>
        </w:tc>
        <w:tc>
          <w:tcPr>
            <w:tcW w:w="1980" w:type="dxa"/>
          </w:tcPr>
          <w:p w14:paraId="6A61EA62" w14:textId="77777777" w:rsidR="00DC2B54" w:rsidRDefault="00DC2B54" w:rsidP="00DC2B54">
            <w:pPr>
              <w:pStyle w:val="tabletext"/>
            </w:pPr>
            <w:r>
              <w:t>4.15</w:t>
            </w:r>
          </w:p>
        </w:tc>
      </w:tr>
      <w:tr w:rsidR="00DC2B54" w:rsidRPr="00231CBA" w14:paraId="7384CC3C" w14:textId="77777777" w:rsidTr="00DC2B54">
        <w:trPr>
          <w:cantSplit/>
          <w:tblHeader/>
        </w:trPr>
        <w:tc>
          <w:tcPr>
            <w:tcW w:w="5760" w:type="dxa"/>
          </w:tcPr>
          <w:p w14:paraId="72D4CBAD" w14:textId="77777777" w:rsidR="00DC2B54" w:rsidRDefault="00DC2B54" w:rsidP="00DC2B54">
            <w:pPr>
              <w:pStyle w:val="tabletext"/>
            </w:pPr>
            <w:r>
              <w:t>Part 3, Division 2, subsection 25(2)</w:t>
            </w:r>
          </w:p>
        </w:tc>
        <w:tc>
          <w:tcPr>
            <w:tcW w:w="1980" w:type="dxa"/>
          </w:tcPr>
          <w:p w14:paraId="689692A6" w14:textId="77777777" w:rsidR="00DC2B54" w:rsidRDefault="00DC2B54" w:rsidP="00DC2B54">
            <w:pPr>
              <w:pStyle w:val="tabletext"/>
            </w:pPr>
            <w:r>
              <w:t>4.16</w:t>
            </w:r>
          </w:p>
        </w:tc>
      </w:tr>
      <w:tr w:rsidR="00DC2B54" w:rsidRPr="00231CBA" w14:paraId="1BB88DF7" w14:textId="77777777" w:rsidTr="00DC2B54">
        <w:trPr>
          <w:cantSplit/>
          <w:tblHeader/>
        </w:trPr>
        <w:tc>
          <w:tcPr>
            <w:tcW w:w="5760" w:type="dxa"/>
          </w:tcPr>
          <w:p w14:paraId="489C0325" w14:textId="77777777" w:rsidR="00DC2B54" w:rsidRDefault="00DC2B54" w:rsidP="00DC2B54">
            <w:pPr>
              <w:pStyle w:val="tabletext"/>
            </w:pPr>
            <w:r>
              <w:t>Part 3, Division 2, subsections 25(3) and (4)</w:t>
            </w:r>
          </w:p>
        </w:tc>
        <w:tc>
          <w:tcPr>
            <w:tcW w:w="1980" w:type="dxa"/>
          </w:tcPr>
          <w:p w14:paraId="24318B45" w14:textId="77777777" w:rsidR="00DC2B54" w:rsidRDefault="00DC2B54" w:rsidP="00DC2B54">
            <w:pPr>
              <w:pStyle w:val="tabletext"/>
            </w:pPr>
            <w:r>
              <w:t>4.17</w:t>
            </w:r>
          </w:p>
        </w:tc>
      </w:tr>
      <w:tr w:rsidR="00DC2B54" w:rsidRPr="00231CBA" w14:paraId="3063FF48" w14:textId="77777777" w:rsidTr="00DC2B54">
        <w:trPr>
          <w:cantSplit/>
          <w:tblHeader/>
        </w:trPr>
        <w:tc>
          <w:tcPr>
            <w:tcW w:w="5760" w:type="dxa"/>
          </w:tcPr>
          <w:p w14:paraId="122B038A" w14:textId="77777777" w:rsidR="00DC2B54" w:rsidRDefault="00DC2B54" w:rsidP="00DC2B54">
            <w:pPr>
              <w:pStyle w:val="tabletext"/>
            </w:pPr>
            <w:r>
              <w:t>Part 3, Division 2, subsection 25(5)</w:t>
            </w:r>
          </w:p>
        </w:tc>
        <w:tc>
          <w:tcPr>
            <w:tcW w:w="1980" w:type="dxa"/>
          </w:tcPr>
          <w:p w14:paraId="17339190" w14:textId="77777777" w:rsidR="00DC2B54" w:rsidRDefault="00DC2B54" w:rsidP="00DC2B54">
            <w:pPr>
              <w:pStyle w:val="tabletext"/>
            </w:pPr>
            <w:r>
              <w:t>4.18</w:t>
            </w:r>
          </w:p>
        </w:tc>
      </w:tr>
      <w:tr w:rsidR="00DC2B54" w:rsidRPr="00231CBA" w14:paraId="6798AFEE" w14:textId="77777777" w:rsidTr="00DC2B54">
        <w:trPr>
          <w:cantSplit/>
          <w:tblHeader/>
        </w:trPr>
        <w:tc>
          <w:tcPr>
            <w:tcW w:w="5760" w:type="dxa"/>
          </w:tcPr>
          <w:p w14:paraId="074528F4" w14:textId="77777777" w:rsidR="00DC2B54" w:rsidRDefault="00DC2B54" w:rsidP="00DC2B54">
            <w:pPr>
              <w:pStyle w:val="tabletext"/>
            </w:pPr>
            <w:r>
              <w:t>Part 3, Division 3, subsections 26(1) and (2)</w:t>
            </w:r>
          </w:p>
        </w:tc>
        <w:tc>
          <w:tcPr>
            <w:tcW w:w="1980" w:type="dxa"/>
          </w:tcPr>
          <w:p w14:paraId="0340CA2C" w14:textId="77777777" w:rsidR="00DC2B54" w:rsidRDefault="00DC2B54" w:rsidP="00DC2B54">
            <w:pPr>
              <w:pStyle w:val="tabletext"/>
            </w:pPr>
            <w:r>
              <w:t>4.19</w:t>
            </w:r>
          </w:p>
        </w:tc>
      </w:tr>
      <w:tr w:rsidR="00DC2B54" w:rsidRPr="00231CBA" w14:paraId="14379DE5" w14:textId="77777777" w:rsidTr="00DC2B54">
        <w:trPr>
          <w:cantSplit/>
          <w:tblHeader/>
        </w:trPr>
        <w:tc>
          <w:tcPr>
            <w:tcW w:w="5760" w:type="dxa"/>
          </w:tcPr>
          <w:p w14:paraId="67A23546" w14:textId="77777777" w:rsidR="00DC2B54" w:rsidRDefault="00DC2B54" w:rsidP="00DC2B54">
            <w:pPr>
              <w:pStyle w:val="tabletext"/>
            </w:pPr>
            <w:r>
              <w:t>Part 3, Division 3, subsection 26(3)</w:t>
            </w:r>
          </w:p>
        </w:tc>
        <w:tc>
          <w:tcPr>
            <w:tcW w:w="1980" w:type="dxa"/>
          </w:tcPr>
          <w:p w14:paraId="54E299EB" w14:textId="77777777" w:rsidR="00DC2B54" w:rsidRDefault="00DC2B54" w:rsidP="00DC2B54">
            <w:pPr>
              <w:pStyle w:val="tabletext"/>
            </w:pPr>
            <w:r>
              <w:t>4.20</w:t>
            </w:r>
          </w:p>
        </w:tc>
      </w:tr>
      <w:tr w:rsidR="00DC2B54" w:rsidRPr="00231CBA" w14:paraId="4D88E426" w14:textId="77777777" w:rsidTr="00DC2B54">
        <w:trPr>
          <w:cantSplit/>
          <w:tblHeader/>
        </w:trPr>
        <w:tc>
          <w:tcPr>
            <w:tcW w:w="5760" w:type="dxa"/>
          </w:tcPr>
          <w:p w14:paraId="34B125A5" w14:textId="77777777" w:rsidR="00DC2B54" w:rsidRDefault="00DC2B54" w:rsidP="00DC2B54">
            <w:pPr>
              <w:pStyle w:val="tabletext"/>
            </w:pPr>
            <w:r>
              <w:t>Part 3, Division 3, subsection 26(4)</w:t>
            </w:r>
          </w:p>
        </w:tc>
        <w:tc>
          <w:tcPr>
            <w:tcW w:w="1980" w:type="dxa"/>
          </w:tcPr>
          <w:p w14:paraId="0AFE016A" w14:textId="77777777" w:rsidR="00DC2B54" w:rsidRDefault="00DC2B54" w:rsidP="00DC2B54">
            <w:pPr>
              <w:pStyle w:val="tabletext"/>
            </w:pPr>
            <w:r>
              <w:t>4.21</w:t>
            </w:r>
          </w:p>
        </w:tc>
      </w:tr>
      <w:tr w:rsidR="00DC2B54" w:rsidRPr="00231CBA" w14:paraId="605CD25F" w14:textId="77777777" w:rsidTr="00DC2B54">
        <w:trPr>
          <w:cantSplit/>
          <w:tblHeader/>
        </w:trPr>
        <w:tc>
          <w:tcPr>
            <w:tcW w:w="5760" w:type="dxa"/>
          </w:tcPr>
          <w:p w14:paraId="17A558D4" w14:textId="77777777" w:rsidR="00DC2B54" w:rsidRDefault="00DC2B54" w:rsidP="00DC2B54">
            <w:pPr>
              <w:pStyle w:val="tabletext"/>
            </w:pPr>
            <w:r>
              <w:t>Part 3, Division 3, subsection 26(5)</w:t>
            </w:r>
          </w:p>
        </w:tc>
        <w:tc>
          <w:tcPr>
            <w:tcW w:w="1980" w:type="dxa"/>
          </w:tcPr>
          <w:p w14:paraId="3D4D7A62" w14:textId="77777777" w:rsidR="00DC2B54" w:rsidRDefault="00DC2B54" w:rsidP="00DC2B54">
            <w:pPr>
              <w:pStyle w:val="tabletext"/>
            </w:pPr>
            <w:r>
              <w:t>4.22</w:t>
            </w:r>
          </w:p>
        </w:tc>
      </w:tr>
      <w:tr w:rsidR="00DC2B54" w:rsidRPr="00231CBA" w14:paraId="5E7EE445" w14:textId="77777777" w:rsidTr="00DC2B54">
        <w:trPr>
          <w:cantSplit/>
          <w:tblHeader/>
        </w:trPr>
        <w:tc>
          <w:tcPr>
            <w:tcW w:w="5760" w:type="dxa"/>
          </w:tcPr>
          <w:p w14:paraId="63FF7F5F" w14:textId="77777777" w:rsidR="00DC2B54" w:rsidRDefault="00DC2B54" w:rsidP="00DC2B54">
            <w:pPr>
              <w:pStyle w:val="tabletext"/>
            </w:pPr>
            <w:r>
              <w:t>Part 3, Division 3, subsection 26(6)</w:t>
            </w:r>
          </w:p>
        </w:tc>
        <w:tc>
          <w:tcPr>
            <w:tcW w:w="1980" w:type="dxa"/>
          </w:tcPr>
          <w:p w14:paraId="5BC638D3" w14:textId="77777777" w:rsidR="00DC2B54" w:rsidRDefault="00DC2B54" w:rsidP="00DC2B54">
            <w:pPr>
              <w:pStyle w:val="tabletext"/>
            </w:pPr>
            <w:r>
              <w:t>4.23</w:t>
            </w:r>
          </w:p>
        </w:tc>
      </w:tr>
      <w:tr w:rsidR="00DC2B54" w:rsidRPr="00231CBA" w14:paraId="68167397" w14:textId="77777777" w:rsidTr="00DC2B54">
        <w:trPr>
          <w:cantSplit/>
          <w:tblHeader/>
        </w:trPr>
        <w:tc>
          <w:tcPr>
            <w:tcW w:w="5760" w:type="dxa"/>
          </w:tcPr>
          <w:p w14:paraId="4508214E" w14:textId="77777777" w:rsidR="00DC2B54" w:rsidRDefault="00DC2B54" w:rsidP="00DC2B54">
            <w:pPr>
              <w:pStyle w:val="tabletext"/>
            </w:pPr>
            <w:r>
              <w:t>Part 3, Division 3, subsection 26(7)</w:t>
            </w:r>
          </w:p>
        </w:tc>
        <w:tc>
          <w:tcPr>
            <w:tcW w:w="1980" w:type="dxa"/>
          </w:tcPr>
          <w:p w14:paraId="63F278F0" w14:textId="77777777" w:rsidR="00DC2B54" w:rsidRDefault="00DC2B54" w:rsidP="00DC2B54">
            <w:pPr>
              <w:pStyle w:val="tabletext"/>
            </w:pPr>
            <w:r>
              <w:t>4.24</w:t>
            </w:r>
          </w:p>
        </w:tc>
      </w:tr>
      <w:tr w:rsidR="00DC2B54" w:rsidRPr="00231CBA" w14:paraId="1677ED54" w14:textId="77777777" w:rsidTr="00DC2B54">
        <w:trPr>
          <w:cantSplit/>
          <w:tblHeader/>
        </w:trPr>
        <w:tc>
          <w:tcPr>
            <w:tcW w:w="5760" w:type="dxa"/>
          </w:tcPr>
          <w:p w14:paraId="405D50FB" w14:textId="77777777" w:rsidR="00DC2B54" w:rsidRDefault="00DC2B54" w:rsidP="00DC2B54">
            <w:pPr>
              <w:pStyle w:val="tabletext"/>
            </w:pPr>
            <w:r>
              <w:t>Part 3, Division 3, subsection 27(1)</w:t>
            </w:r>
          </w:p>
        </w:tc>
        <w:tc>
          <w:tcPr>
            <w:tcW w:w="1980" w:type="dxa"/>
          </w:tcPr>
          <w:p w14:paraId="56F880F4" w14:textId="77777777" w:rsidR="00DC2B54" w:rsidRDefault="00DC2B54" w:rsidP="00DC2B54">
            <w:pPr>
              <w:pStyle w:val="tabletext"/>
            </w:pPr>
            <w:r>
              <w:t>4.25</w:t>
            </w:r>
          </w:p>
        </w:tc>
      </w:tr>
      <w:tr w:rsidR="00DC2B54" w:rsidRPr="00231CBA" w14:paraId="7A69CFB4" w14:textId="77777777" w:rsidTr="00DC2B54">
        <w:trPr>
          <w:cantSplit/>
          <w:tblHeader/>
        </w:trPr>
        <w:tc>
          <w:tcPr>
            <w:tcW w:w="5760" w:type="dxa"/>
          </w:tcPr>
          <w:p w14:paraId="11D87D72" w14:textId="77777777" w:rsidR="00DC2B54" w:rsidRDefault="00DC2B54" w:rsidP="00DC2B54">
            <w:pPr>
              <w:pStyle w:val="tabletext"/>
            </w:pPr>
            <w:r>
              <w:t>Part 3, Division 3, subsections 27(2), (3) and (4)</w:t>
            </w:r>
          </w:p>
        </w:tc>
        <w:tc>
          <w:tcPr>
            <w:tcW w:w="1980" w:type="dxa"/>
          </w:tcPr>
          <w:p w14:paraId="39512E4B" w14:textId="77777777" w:rsidR="00DC2B54" w:rsidRDefault="00DC2B54" w:rsidP="00DC2B54">
            <w:pPr>
              <w:pStyle w:val="tabletext"/>
            </w:pPr>
            <w:r>
              <w:t>4.26</w:t>
            </w:r>
          </w:p>
        </w:tc>
      </w:tr>
      <w:tr w:rsidR="00DC2B54" w:rsidRPr="00231CBA" w14:paraId="670B43FF" w14:textId="77777777" w:rsidTr="00DC2B54">
        <w:trPr>
          <w:cantSplit/>
          <w:tblHeader/>
        </w:trPr>
        <w:tc>
          <w:tcPr>
            <w:tcW w:w="5760" w:type="dxa"/>
          </w:tcPr>
          <w:p w14:paraId="48523223" w14:textId="77777777" w:rsidR="00DC2B54" w:rsidRDefault="00DC2B54" w:rsidP="00DC2B54">
            <w:pPr>
              <w:pStyle w:val="tabletext"/>
            </w:pPr>
            <w:r>
              <w:t>Part 3, Division 3, subsections 28(1) and 2)</w:t>
            </w:r>
          </w:p>
        </w:tc>
        <w:tc>
          <w:tcPr>
            <w:tcW w:w="1980" w:type="dxa"/>
          </w:tcPr>
          <w:p w14:paraId="145A4B66" w14:textId="77777777" w:rsidR="00DC2B54" w:rsidRDefault="00DC2B54" w:rsidP="00DC2B54">
            <w:pPr>
              <w:pStyle w:val="tabletext"/>
            </w:pPr>
            <w:r>
              <w:t>4.27</w:t>
            </w:r>
          </w:p>
        </w:tc>
      </w:tr>
      <w:tr w:rsidR="00DC2B54" w:rsidRPr="00231CBA" w14:paraId="05AF0C2C" w14:textId="77777777" w:rsidTr="00DC2B54">
        <w:trPr>
          <w:cantSplit/>
          <w:tblHeader/>
        </w:trPr>
        <w:tc>
          <w:tcPr>
            <w:tcW w:w="5760" w:type="dxa"/>
          </w:tcPr>
          <w:p w14:paraId="363C7377" w14:textId="77777777" w:rsidR="00DC2B54" w:rsidRDefault="00DC2B54" w:rsidP="00DC2B54">
            <w:pPr>
              <w:pStyle w:val="tabletext"/>
            </w:pPr>
            <w:r>
              <w:t>Part 3, Division 3, subsection 28(3)</w:t>
            </w:r>
          </w:p>
        </w:tc>
        <w:tc>
          <w:tcPr>
            <w:tcW w:w="1980" w:type="dxa"/>
          </w:tcPr>
          <w:p w14:paraId="4826704D" w14:textId="77777777" w:rsidR="00DC2B54" w:rsidRDefault="00DC2B54" w:rsidP="00DC2B54">
            <w:pPr>
              <w:pStyle w:val="tabletext"/>
            </w:pPr>
            <w:r>
              <w:t>4.28</w:t>
            </w:r>
          </w:p>
        </w:tc>
      </w:tr>
      <w:tr w:rsidR="00DC2B54" w:rsidRPr="00231CBA" w14:paraId="7E1B29FA" w14:textId="77777777" w:rsidTr="00DC2B54">
        <w:trPr>
          <w:cantSplit/>
          <w:tblHeader/>
        </w:trPr>
        <w:tc>
          <w:tcPr>
            <w:tcW w:w="5760" w:type="dxa"/>
          </w:tcPr>
          <w:p w14:paraId="2772B16D" w14:textId="77777777" w:rsidR="00DC2B54" w:rsidRDefault="00DC2B54" w:rsidP="00DC2B54">
            <w:pPr>
              <w:pStyle w:val="tabletext"/>
            </w:pPr>
            <w:r>
              <w:t>Part 3, Division 3, subsection 28(4)</w:t>
            </w:r>
          </w:p>
        </w:tc>
        <w:tc>
          <w:tcPr>
            <w:tcW w:w="1980" w:type="dxa"/>
          </w:tcPr>
          <w:p w14:paraId="760D7A56" w14:textId="77777777" w:rsidR="00DC2B54" w:rsidRDefault="00DC2B54" w:rsidP="00DC2B54">
            <w:pPr>
              <w:pStyle w:val="tabletext"/>
            </w:pPr>
            <w:r>
              <w:t>4.29</w:t>
            </w:r>
          </w:p>
        </w:tc>
      </w:tr>
      <w:tr w:rsidR="00DC2B54" w:rsidRPr="00231CBA" w14:paraId="57601B87" w14:textId="77777777" w:rsidTr="00DC2B54">
        <w:trPr>
          <w:cantSplit/>
          <w:tblHeader/>
        </w:trPr>
        <w:tc>
          <w:tcPr>
            <w:tcW w:w="5760" w:type="dxa"/>
          </w:tcPr>
          <w:p w14:paraId="73265C05" w14:textId="77777777" w:rsidR="00DC2B54" w:rsidRDefault="00DC2B54" w:rsidP="00DC2B54">
            <w:pPr>
              <w:pStyle w:val="tabletext"/>
            </w:pPr>
            <w:r>
              <w:t>Part 3, Division 3, subsection 28(5)</w:t>
            </w:r>
          </w:p>
        </w:tc>
        <w:tc>
          <w:tcPr>
            <w:tcW w:w="1980" w:type="dxa"/>
          </w:tcPr>
          <w:p w14:paraId="21A523EE" w14:textId="77777777" w:rsidR="00DC2B54" w:rsidRDefault="00DC2B54" w:rsidP="00DC2B54">
            <w:pPr>
              <w:pStyle w:val="tabletext"/>
            </w:pPr>
            <w:r>
              <w:t>4.30</w:t>
            </w:r>
          </w:p>
        </w:tc>
      </w:tr>
      <w:tr w:rsidR="00DC2B54" w:rsidRPr="00231CBA" w14:paraId="3F74B622" w14:textId="77777777" w:rsidTr="00DC2B54">
        <w:trPr>
          <w:cantSplit/>
          <w:tblHeader/>
        </w:trPr>
        <w:tc>
          <w:tcPr>
            <w:tcW w:w="5760" w:type="dxa"/>
          </w:tcPr>
          <w:p w14:paraId="1D0D017B" w14:textId="77777777" w:rsidR="00DC2B54" w:rsidRDefault="00DC2B54" w:rsidP="00DC2B54">
            <w:pPr>
              <w:pStyle w:val="tabletext"/>
            </w:pPr>
            <w:r>
              <w:t>Part 3, Division 3, subsection 28(6)</w:t>
            </w:r>
          </w:p>
        </w:tc>
        <w:tc>
          <w:tcPr>
            <w:tcW w:w="1980" w:type="dxa"/>
          </w:tcPr>
          <w:p w14:paraId="16FE93B1" w14:textId="77777777" w:rsidR="00DC2B54" w:rsidRDefault="00DC2B54" w:rsidP="00DC2B54">
            <w:pPr>
              <w:pStyle w:val="tabletext"/>
            </w:pPr>
            <w:r>
              <w:t>4.31</w:t>
            </w:r>
          </w:p>
        </w:tc>
      </w:tr>
      <w:tr w:rsidR="00DC2B54" w:rsidRPr="00231CBA" w14:paraId="350A216D" w14:textId="77777777" w:rsidTr="00DC2B54">
        <w:trPr>
          <w:cantSplit/>
          <w:tblHeader/>
        </w:trPr>
        <w:tc>
          <w:tcPr>
            <w:tcW w:w="5760" w:type="dxa"/>
          </w:tcPr>
          <w:p w14:paraId="7B7BFF1B" w14:textId="77777777" w:rsidR="00DC2B54" w:rsidRDefault="00DC2B54" w:rsidP="00DC2B54">
            <w:pPr>
              <w:pStyle w:val="tabletext"/>
            </w:pPr>
            <w:r>
              <w:t>Part 3, Division 3, subsection 29(1)</w:t>
            </w:r>
          </w:p>
        </w:tc>
        <w:tc>
          <w:tcPr>
            <w:tcW w:w="1980" w:type="dxa"/>
          </w:tcPr>
          <w:p w14:paraId="5EF696F5" w14:textId="77777777" w:rsidR="00DC2B54" w:rsidRDefault="00DC2B54" w:rsidP="00DC2B54">
            <w:pPr>
              <w:pStyle w:val="tabletext"/>
            </w:pPr>
            <w:r>
              <w:t>4.32</w:t>
            </w:r>
          </w:p>
        </w:tc>
      </w:tr>
      <w:tr w:rsidR="00DC2B54" w:rsidRPr="00231CBA" w14:paraId="48EDF81B" w14:textId="77777777" w:rsidTr="00DC2B54">
        <w:trPr>
          <w:cantSplit/>
          <w:tblHeader/>
        </w:trPr>
        <w:tc>
          <w:tcPr>
            <w:tcW w:w="5760" w:type="dxa"/>
          </w:tcPr>
          <w:p w14:paraId="60B12611" w14:textId="77777777" w:rsidR="00DC2B54" w:rsidRDefault="00DC2B54" w:rsidP="00DC2B54">
            <w:pPr>
              <w:pStyle w:val="tabletext"/>
            </w:pPr>
            <w:r>
              <w:t>Part 3, Division 3, subsections 29(2) and (3)</w:t>
            </w:r>
          </w:p>
        </w:tc>
        <w:tc>
          <w:tcPr>
            <w:tcW w:w="1980" w:type="dxa"/>
          </w:tcPr>
          <w:p w14:paraId="070E415B" w14:textId="77777777" w:rsidR="00DC2B54" w:rsidRDefault="00DC2B54" w:rsidP="00DC2B54">
            <w:pPr>
              <w:pStyle w:val="tabletext"/>
            </w:pPr>
            <w:r>
              <w:t>4.33</w:t>
            </w:r>
          </w:p>
        </w:tc>
      </w:tr>
      <w:tr w:rsidR="00DC2B54" w:rsidRPr="00231CBA" w14:paraId="183021CC" w14:textId="77777777" w:rsidTr="00DC2B54">
        <w:trPr>
          <w:cantSplit/>
          <w:tblHeader/>
        </w:trPr>
        <w:tc>
          <w:tcPr>
            <w:tcW w:w="5760" w:type="dxa"/>
          </w:tcPr>
          <w:p w14:paraId="6C53F88D" w14:textId="77777777" w:rsidR="00DC2B54" w:rsidRDefault="00DC2B54" w:rsidP="00DC2B54">
            <w:pPr>
              <w:pStyle w:val="tabletext"/>
            </w:pPr>
            <w:r>
              <w:t>Part 3, Division 3, subsections 29(4) and (5)</w:t>
            </w:r>
          </w:p>
        </w:tc>
        <w:tc>
          <w:tcPr>
            <w:tcW w:w="1980" w:type="dxa"/>
          </w:tcPr>
          <w:p w14:paraId="6C7323C5" w14:textId="77777777" w:rsidR="00DC2B54" w:rsidRDefault="00DC2B54" w:rsidP="00DC2B54">
            <w:pPr>
              <w:pStyle w:val="tabletext"/>
            </w:pPr>
            <w:r>
              <w:t>4.34</w:t>
            </w:r>
          </w:p>
        </w:tc>
      </w:tr>
      <w:tr w:rsidR="00DC2B54" w:rsidRPr="00231CBA" w14:paraId="1BECF458" w14:textId="77777777" w:rsidTr="00DC2B54">
        <w:trPr>
          <w:cantSplit/>
          <w:tblHeader/>
        </w:trPr>
        <w:tc>
          <w:tcPr>
            <w:tcW w:w="5760" w:type="dxa"/>
          </w:tcPr>
          <w:p w14:paraId="098D51E0" w14:textId="77777777" w:rsidR="00DC2B54" w:rsidRDefault="00DC2B54" w:rsidP="00DC2B54">
            <w:pPr>
              <w:pStyle w:val="tabletext"/>
            </w:pPr>
            <w:r>
              <w:t>Part 3, Division 3, subsection 29(6)</w:t>
            </w:r>
          </w:p>
        </w:tc>
        <w:tc>
          <w:tcPr>
            <w:tcW w:w="1980" w:type="dxa"/>
          </w:tcPr>
          <w:p w14:paraId="0D8AABC9" w14:textId="77777777" w:rsidR="00DC2B54" w:rsidRDefault="00DC2B54" w:rsidP="00DC2B54">
            <w:pPr>
              <w:pStyle w:val="tabletext"/>
            </w:pPr>
            <w:r>
              <w:t>4.35</w:t>
            </w:r>
          </w:p>
        </w:tc>
      </w:tr>
      <w:tr w:rsidR="00DC2B54" w:rsidRPr="00231CBA" w14:paraId="7B7A12DB" w14:textId="77777777" w:rsidTr="00DC2B54">
        <w:trPr>
          <w:cantSplit/>
          <w:tblHeader/>
        </w:trPr>
        <w:tc>
          <w:tcPr>
            <w:tcW w:w="5760" w:type="dxa"/>
          </w:tcPr>
          <w:p w14:paraId="6C66A1E4" w14:textId="77777777" w:rsidR="00DC2B54" w:rsidRDefault="00DC2B54" w:rsidP="00DC2B54">
            <w:pPr>
              <w:pStyle w:val="tabletext"/>
            </w:pPr>
            <w:r>
              <w:t>Part 3, Division 3, subsection 29(7)</w:t>
            </w:r>
          </w:p>
        </w:tc>
        <w:tc>
          <w:tcPr>
            <w:tcW w:w="1980" w:type="dxa"/>
          </w:tcPr>
          <w:p w14:paraId="385DA46F" w14:textId="77777777" w:rsidR="00DC2B54" w:rsidRDefault="00DC2B54" w:rsidP="00DC2B54">
            <w:pPr>
              <w:pStyle w:val="tabletext"/>
            </w:pPr>
            <w:r>
              <w:t>4.36</w:t>
            </w:r>
          </w:p>
        </w:tc>
      </w:tr>
      <w:tr w:rsidR="00DC2B54" w:rsidRPr="00231CBA" w14:paraId="5D8F6376" w14:textId="77777777" w:rsidTr="00DC2B54">
        <w:trPr>
          <w:cantSplit/>
          <w:tblHeader/>
        </w:trPr>
        <w:tc>
          <w:tcPr>
            <w:tcW w:w="5760" w:type="dxa"/>
          </w:tcPr>
          <w:p w14:paraId="15326847" w14:textId="77777777" w:rsidR="00DC2B54" w:rsidRDefault="00DC2B54" w:rsidP="00DC2B54">
            <w:pPr>
              <w:pStyle w:val="tabletext"/>
            </w:pPr>
            <w:r>
              <w:t>Part 3, Division 3, subsections 30(1) and (2)</w:t>
            </w:r>
          </w:p>
        </w:tc>
        <w:tc>
          <w:tcPr>
            <w:tcW w:w="1980" w:type="dxa"/>
          </w:tcPr>
          <w:p w14:paraId="49D72410" w14:textId="77777777" w:rsidR="00DC2B54" w:rsidRDefault="00DC2B54" w:rsidP="00DC2B54">
            <w:pPr>
              <w:pStyle w:val="tabletext"/>
            </w:pPr>
            <w:r>
              <w:t>4.37</w:t>
            </w:r>
          </w:p>
        </w:tc>
      </w:tr>
      <w:tr w:rsidR="00DC2B54" w:rsidRPr="00231CBA" w14:paraId="21DF70A6" w14:textId="77777777" w:rsidTr="00DC2B54">
        <w:trPr>
          <w:cantSplit/>
          <w:tblHeader/>
        </w:trPr>
        <w:tc>
          <w:tcPr>
            <w:tcW w:w="5760" w:type="dxa"/>
          </w:tcPr>
          <w:p w14:paraId="60E7840D" w14:textId="77777777" w:rsidR="00DC2B54" w:rsidRDefault="00DC2B54" w:rsidP="00DC2B54">
            <w:pPr>
              <w:pStyle w:val="tabletext"/>
            </w:pPr>
            <w:r>
              <w:t>Part 3, Division 3, subsection 30(3)</w:t>
            </w:r>
          </w:p>
        </w:tc>
        <w:tc>
          <w:tcPr>
            <w:tcW w:w="1980" w:type="dxa"/>
          </w:tcPr>
          <w:p w14:paraId="2CC1CCED" w14:textId="77777777" w:rsidR="00DC2B54" w:rsidRDefault="00DC2B54" w:rsidP="00DC2B54">
            <w:pPr>
              <w:pStyle w:val="tabletext"/>
            </w:pPr>
            <w:r>
              <w:t>4.38</w:t>
            </w:r>
          </w:p>
        </w:tc>
      </w:tr>
      <w:tr w:rsidR="00DC2B54" w:rsidRPr="00231CBA" w14:paraId="3EA74425" w14:textId="77777777" w:rsidTr="00DC2B54">
        <w:trPr>
          <w:cantSplit/>
          <w:tblHeader/>
        </w:trPr>
        <w:tc>
          <w:tcPr>
            <w:tcW w:w="5760" w:type="dxa"/>
          </w:tcPr>
          <w:p w14:paraId="13F14DE6" w14:textId="77777777" w:rsidR="00DC2B54" w:rsidRDefault="00DC2B54" w:rsidP="00DC2B54">
            <w:pPr>
              <w:pStyle w:val="tabletext"/>
            </w:pPr>
            <w:r>
              <w:t>Part 3, Division 3, subsection 31(1)</w:t>
            </w:r>
          </w:p>
        </w:tc>
        <w:tc>
          <w:tcPr>
            <w:tcW w:w="1980" w:type="dxa"/>
          </w:tcPr>
          <w:p w14:paraId="2B462FDF" w14:textId="77777777" w:rsidR="00DC2B54" w:rsidRDefault="00DC2B54" w:rsidP="00DC2B54">
            <w:pPr>
              <w:pStyle w:val="tabletext"/>
            </w:pPr>
            <w:r>
              <w:t>4.39</w:t>
            </w:r>
          </w:p>
        </w:tc>
      </w:tr>
      <w:tr w:rsidR="00DC2B54" w:rsidRPr="00231CBA" w14:paraId="095BDD89" w14:textId="77777777" w:rsidTr="00DC2B54">
        <w:trPr>
          <w:cantSplit/>
          <w:tblHeader/>
        </w:trPr>
        <w:tc>
          <w:tcPr>
            <w:tcW w:w="5760" w:type="dxa"/>
          </w:tcPr>
          <w:p w14:paraId="31EE19E2" w14:textId="77777777" w:rsidR="00DC2B54" w:rsidRDefault="00DC2B54" w:rsidP="00DC2B54">
            <w:pPr>
              <w:pStyle w:val="tabletext"/>
            </w:pPr>
            <w:r>
              <w:t>Part 3, Division 4, subsection 32(1)</w:t>
            </w:r>
          </w:p>
        </w:tc>
        <w:tc>
          <w:tcPr>
            <w:tcW w:w="1980" w:type="dxa"/>
          </w:tcPr>
          <w:p w14:paraId="1663AFCC" w14:textId="77777777" w:rsidR="00DC2B54" w:rsidRDefault="00DC2B54" w:rsidP="00DC2B54">
            <w:pPr>
              <w:pStyle w:val="tabletext"/>
            </w:pPr>
            <w:r>
              <w:t>4.40</w:t>
            </w:r>
          </w:p>
        </w:tc>
      </w:tr>
      <w:tr w:rsidR="00DC2B54" w:rsidRPr="00231CBA" w14:paraId="2B7C53EA" w14:textId="77777777" w:rsidTr="00DC2B54">
        <w:trPr>
          <w:cantSplit/>
          <w:tblHeader/>
        </w:trPr>
        <w:tc>
          <w:tcPr>
            <w:tcW w:w="5760" w:type="dxa"/>
          </w:tcPr>
          <w:p w14:paraId="244E7BA1" w14:textId="77777777" w:rsidR="00DC2B54" w:rsidRDefault="00DC2B54" w:rsidP="00DC2B54">
            <w:pPr>
              <w:pStyle w:val="tabletext"/>
            </w:pPr>
            <w:r>
              <w:t>Part 3, Division 4, subsection 32(2)</w:t>
            </w:r>
          </w:p>
        </w:tc>
        <w:tc>
          <w:tcPr>
            <w:tcW w:w="1980" w:type="dxa"/>
          </w:tcPr>
          <w:p w14:paraId="71E9A56E" w14:textId="77777777" w:rsidR="00DC2B54" w:rsidRDefault="00DC2B54" w:rsidP="00DC2B54">
            <w:pPr>
              <w:pStyle w:val="tabletext"/>
            </w:pPr>
            <w:r>
              <w:t>4.41</w:t>
            </w:r>
          </w:p>
        </w:tc>
      </w:tr>
      <w:tr w:rsidR="00DC2B54" w:rsidRPr="00231CBA" w14:paraId="5B996CDE" w14:textId="77777777" w:rsidTr="00DC2B54">
        <w:trPr>
          <w:cantSplit/>
          <w:tblHeader/>
        </w:trPr>
        <w:tc>
          <w:tcPr>
            <w:tcW w:w="5760" w:type="dxa"/>
          </w:tcPr>
          <w:p w14:paraId="5BAC01A9" w14:textId="77777777" w:rsidR="00DC2B54" w:rsidRDefault="00DC2B54" w:rsidP="00DC2B54">
            <w:pPr>
              <w:pStyle w:val="tabletext"/>
            </w:pPr>
            <w:r>
              <w:t>Part 3, Division 4, subsection 32(3)</w:t>
            </w:r>
          </w:p>
        </w:tc>
        <w:tc>
          <w:tcPr>
            <w:tcW w:w="1980" w:type="dxa"/>
          </w:tcPr>
          <w:p w14:paraId="70C89F70" w14:textId="77777777" w:rsidR="00DC2B54" w:rsidRDefault="00DC2B54" w:rsidP="00DC2B54">
            <w:pPr>
              <w:pStyle w:val="tabletext"/>
            </w:pPr>
            <w:r>
              <w:t>4.42</w:t>
            </w:r>
          </w:p>
        </w:tc>
      </w:tr>
      <w:tr w:rsidR="00DC2B54" w:rsidRPr="00231CBA" w14:paraId="2B3FCD00" w14:textId="77777777" w:rsidTr="00DC2B54">
        <w:trPr>
          <w:cantSplit/>
          <w:tblHeader/>
        </w:trPr>
        <w:tc>
          <w:tcPr>
            <w:tcW w:w="5760" w:type="dxa"/>
          </w:tcPr>
          <w:p w14:paraId="27F2711E" w14:textId="77777777" w:rsidR="00DC2B54" w:rsidRDefault="00DC2B54" w:rsidP="00DC2B54">
            <w:pPr>
              <w:pStyle w:val="tabletext"/>
            </w:pPr>
            <w:r>
              <w:t>Part 3, Division 4, subsections 32(4) and (6)</w:t>
            </w:r>
          </w:p>
        </w:tc>
        <w:tc>
          <w:tcPr>
            <w:tcW w:w="1980" w:type="dxa"/>
          </w:tcPr>
          <w:p w14:paraId="1AEA5807" w14:textId="77777777" w:rsidR="00DC2B54" w:rsidRDefault="00DC2B54" w:rsidP="00DC2B54">
            <w:pPr>
              <w:pStyle w:val="tabletext"/>
            </w:pPr>
            <w:r>
              <w:t>4.43</w:t>
            </w:r>
          </w:p>
        </w:tc>
      </w:tr>
      <w:tr w:rsidR="00DC2B54" w:rsidRPr="00231CBA" w14:paraId="79C67478" w14:textId="77777777" w:rsidTr="00DC2B54">
        <w:trPr>
          <w:cantSplit/>
          <w:tblHeader/>
        </w:trPr>
        <w:tc>
          <w:tcPr>
            <w:tcW w:w="5760" w:type="dxa"/>
          </w:tcPr>
          <w:p w14:paraId="49A84547" w14:textId="77777777" w:rsidR="00DC2B54" w:rsidRDefault="00DC2B54" w:rsidP="00DC2B54">
            <w:pPr>
              <w:pStyle w:val="tabletext"/>
            </w:pPr>
            <w:r>
              <w:t>Part 3, Division 4, subsection 32(5)</w:t>
            </w:r>
          </w:p>
        </w:tc>
        <w:tc>
          <w:tcPr>
            <w:tcW w:w="1980" w:type="dxa"/>
          </w:tcPr>
          <w:p w14:paraId="57768B2F" w14:textId="77777777" w:rsidR="00DC2B54" w:rsidRDefault="00DC2B54" w:rsidP="00DC2B54">
            <w:pPr>
              <w:pStyle w:val="tabletext"/>
            </w:pPr>
            <w:r>
              <w:t>4.44</w:t>
            </w:r>
          </w:p>
        </w:tc>
      </w:tr>
      <w:tr w:rsidR="00DC2B54" w:rsidRPr="00231CBA" w14:paraId="5FDE1BDA" w14:textId="77777777" w:rsidTr="00DC2B54">
        <w:trPr>
          <w:cantSplit/>
          <w:tblHeader/>
        </w:trPr>
        <w:tc>
          <w:tcPr>
            <w:tcW w:w="5760" w:type="dxa"/>
          </w:tcPr>
          <w:p w14:paraId="4D6F1D19" w14:textId="77777777" w:rsidR="00DC2B54" w:rsidRDefault="00DC2B54" w:rsidP="00DC2B54">
            <w:pPr>
              <w:pStyle w:val="tabletext"/>
            </w:pPr>
            <w:r>
              <w:t>Part 3, Division 4, subsection 32(7)</w:t>
            </w:r>
          </w:p>
        </w:tc>
        <w:tc>
          <w:tcPr>
            <w:tcW w:w="1980" w:type="dxa"/>
          </w:tcPr>
          <w:p w14:paraId="3ABC2B83" w14:textId="77777777" w:rsidR="00DC2B54" w:rsidRDefault="00DC2B54" w:rsidP="00DC2B54">
            <w:pPr>
              <w:pStyle w:val="tabletext"/>
            </w:pPr>
            <w:r>
              <w:t>4.45</w:t>
            </w:r>
          </w:p>
        </w:tc>
      </w:tr>
      <w:tr w:rsidR="00DC2B54" w:rsidRPr="00231CBA" w14:paraId="697DA399" w14:textId="77777777" w:rsidTr="00DC2B54">
        <w:trPr>
          <w:cantSplit/>
          <w:tblHeader/>
        </w:trPr>
        <w:tc>
          <w:tcPr>
            <w:tcW w:w="5760" w:type="dxa"/>
          </w:tcPr>
          <w:p w14:paraId="66DF5D2C" w14:textId="77777777" w:rsidR="00DC2B54" w:rsidRDefault="00DC2B54" w:rsidP="00DC2B54">
            <w:pPr>
              <w:pStyle w:val="tabletext"/>
            </w:pPr>
            <w:r>
              <w:t>Part 3, Division 4, subsection 33(1)</w:t>
            </w:r>
          </w:p>
        </w:tc>
        <w:tc>
          <w:tcPr>
            <w:tcW w:w="1980" w:type="dxa"/>
          </w:tcPr>
          <w:p w14:paraId="22065F2A" w14:textId="77777777" w:rsidR="00DC2B54" w:rsidRDefault="00DC2B54" w:rsidP="00DC2B54">
            <w:pPr>
              <w:pStyle w:val="tabletext"/>
            </w:pPr>
            <w:r>
              <w:t>4.46</w:t>
            </w:r>
          </w:p>
        </w:tc>
      </w:tr>
      <w:tr w:rsidR="00DC2B54" w:rsidRPr="00231CBA" w14:paraId="03AD3FED" w14:textId="77777777" w:rsidTr="00DC2B54">
        <w:trPr>
          <w:cantSplit/>
          <w:tblHeader/>
        </w:trPr>
        <w:tc>
          <w:tcPr>
            <w:tcW w:w="5760" w:type="dxa"/>
          </w:tcPr>
          <w:p w14:paraId="13FA2084" w14:textId="77777777" w:rsidR="00DC2B54" w:rsidRDefault="00DC2B54" w:rsidP="00DC2B54">
            <w:pPr>
              <w:pStyle w:val="tabletext"/>
            </w:pPr>
            <w:r>
              <w:t>Part 3, Division 4, subsection 33(2)</w:t>
            </w:r>
          </w:p>
        </w:tc>
        <w:tc>
          <w:tcPr>
            <w:tcW w:w="1980" w:type="dxa"/>
          </w:tcPr>
          <w:p w14:paraId="7DBE2C0F" w14:textId="77777777" w:rsidR="00DC2B54" w:rsidRDefault="00DC2B54" w:rsidP="00DC2B54">
            <w:pPr>
              <w:pStyle w:val="tabletext"/>
            </w:pPr>
            <w:r>
              <w:t>4.47</w:t>
            </w:r>
          </w:p>
        </w:tc>
      </w:tr>
      <w:tr w:rsidR="00DC2B54" w:rsidRPr="00231CBA" w14:paraId="79CCB96B" w14:textId="77777777" w:rsidTr="00DC2B54">
        <w:trPr>
          <w:cantSplit/>
          <w:tblHeader/>
        </w:trPr>
        <w:tc>
          <w:tcPr>
            <w:tcW w:w="5760" w:type="dxa"/>
          </w:tcPr>
          <w:p w14:paraId="287A1FF8" w14:textId="77777777" w:rsidR="00DC2B54" w:rsidRDefault="00DC2B54" w:rsidP="00DC2B54">
            <w:pPr>
              <w:pStyle w:val="tabletext"/>
            </w:pPr>
            <w:r>
              <w:t>Part 3, Division 4, subsection 33(3)</w:t>
            </w:r>
          </w:p>
        </w:tc>
        <w:tc>
          <w:tcPr>
            <w:tcW w:w="1980" w:type="dxa"/>
          </w:tcPr>
          <w:p w14:paraId="702941C3" w14:textId="77777777" w:rsidR="00DC2B54" w:rsidRDefault="00DC2B54" w:rsidP="00DC2B54">
            <w:pPr>
              <w:pStyle w:val="tabletext"/>
            </w:pPr>
            <w:r>
              <w:t>4.48</w:t>
            </w:r>
          </w:p>
        </w:tc>
      </w:tr>
      <w:tr w:rsidR="00DC2B54" w:rsidRPr="00231CBA" w14:paraId="2FE09E1F" w14:textId="77777777" w:rsidTr="00DC2B54">
        <w:trPr>
          <w:cantSplit/>
          <w:tblHeader/>
        </w:trPr>
        <w:tc>
          <w:tcPr>
            <w:tcW w:w="5760" w:type="dxa"/>
          </w:tcPr>
          <w:p w14:paraId="3DF22725" w14:textId="77777777" w:rsidR="00DC2B54" w:rsidRDefault="00DC2B54" w:rsidP="00DC2B54">
            <w:pPr>
              <w:pStyle w:val="tabletext"/>
            </w:pPr>
            <w:r>
              <w:t>Part 3, Division 4, subsection 33(4)</w:t>
            </w:r>
          </w:p>
        </w:tc>
        <w:tc>
          <w:tcPr>
            <w:tcW w:w="1980" w:type="dxa"/>
          </w:tcPr>
          <w:p w14:paraId="0DD4983A" w14:textId="77777777" w:rsidR="00DC2B54" w:rsidRDefault="00DC2B54" w:rsidP="00DC2B54">
            <w:pPr>
              <w:pStyle w:val="tabletext"/>
            </w:pPr>
            <w:r>
              <w:t>4.50</w:t>
            </w:r>
          </w:p>
        </w:tc>
      </w:tr>
      <w:tr w:rsidR="00DC2B54" w:rsidRPr="00231CBA" w14:paraId="1C843E98" w14:textId="77777777" w:rsidTr="00DC2B54">
        <w:trPr>
          <w:cantSplit/>
          <w:tblHeader/>
        </w:trPr>
        <w:tc>
          <w:tcPr>
            <w:tcW w:w="5760" w:type="dxa"/>
          </w:tcPr>
          <w:p w14:paraId="571ED5D0" w14:textId="77777777" w:rsidR="00DC2B54" w:rsidRDefault="00DC2B54" w:rsidP="00DC2B54">
            <w:pPr>
              <w:pStyle w:val="tabletext"/>
            </w:pPr>
            <w:r>
              <w:t>Part 3, Division 4, subsection 33(5)</w:t>
            </w:r>
          </w:p>
        </w:tc>
        <w:tc>
          <w:tcPr>
            <w:tcW w:w="1980" w:type="dxa"/>
          </w:tcPr>
          <w:p w14:paraId="54FD8280" w14:textId="77777777" w:rsidR="00DC2B54" w:rsidRDefault="00DC2B54" w:rsidP="00DC2B54">
            <w:pPr>
              <w:pStyle w:val="tabletext"/>
            </w:pPr>
            <w:r>
              <w:t>4.51</w:t>
            </w:r>
          </w:p>
        </w:tc>
      </w:tr>
      <w:tr w:rsidR="00DC2B54" w:rsidRPr="00231CBA" w14:paraId="5563D529" w14:textId="77777777" w:rsidTr="00DC2B54">
        <w:trPr>
          <w:cantSplit/>
          <w:tblHeader/>
        </w:trPr>
        <w:tc>
          <w:tcPr>
            <w:tcW w:w="5760" w:type="dxa"/>
          </w:tcPr>
          <w:p w14:paraId="18621BBF" w14:textId="77777777" w:rsidR="00DC2B54" w:rsidRDefault="00DC2B54" w:rsidP="00DC2B54">
            <w:pPr>
              <w:pStyle w:val="tabletext"/>
            </w:pPr>
            <w:r>
              <w:t>Part 3, Division 4, subsection 33(6)</w:t>
            </w:r>
          </w:p>
        </w:tc>
        <w:tc>
          <w:tcPr>
            <w:tcW w:w="1980" w:type="dxa"/>
          </w:tcPr>
          <w:p w14:paraId="06CF2FA7" w14:textId="77777777" w:rsidR="00DC2B54" w:rsidRDefault="00DC2B54" w:rsidP="00DC2B54">
            <w:pPr>
              <w:pStyle w:val="tabletext"/>
            </w:pPr>
            <w:r>
              <w:t>4.52</w:t>
            </w:r>
          </w:p>
        </w:tc>
      </w:tr>
      <w:tr w:rsidR="00DC2B54" w:rsidRPr="00231CBA" w14:paraId="2BC9AB05" w14:textId="77777777" w:rsidTr="00DC2B54">
        <w:trPr>
          <w:cantSplit/>
          <w:tblHeader/>
        </w:trPr>
        <w:tc>
          <w:tcPr>
            <w:tcW w:w="5760" w:type="dxa"/>
          </w:tcPr>
          <w:p w14:paraId="71F56846" w14:textId="77777777" w:rsidR="00DC2B54" w:rsidRDefault="00DC2B54" w:rsidP="00DC2B54">
            <w:pPr>
              <w:pStyle w:val="tabletext"/>
            </w:pPr>
            <w:r>
              <w:t>Part 3, Division 4, subsection 33(7)</w:t>
            </w:r>
          </w:p>
        </w:tc>
        <w:tc>
          <w:tcPr>
            <w:tcW w:w="1980" w:type="dxa"/>
          </w:tcPr>
          <w:p w14:paraId="6EAE3239" w14:textId="77777777" w:rsidR="00DC2B54" w:rsidRDefault="00DC2B54" w:rsidP="00DC2B54">
            <w:pPr>
              <w:pStyle w:val="tabletext"/>
            </w:pPr>
            <w:r>
              <w:t>4.53</w:t>
            </w:r>
          </w:p>
        </w:tc>
      </w:tr>
      <w:tr w:rsidR="00DC2B54" w:rsidRPr="00231CBA" w14:paraId="096BDB6E" w14:textId="77777777" w:rsidTr="00DC2B54">
        <w:trPr>
          <w:cantSplit/>
          <w:tblHeader/>
        </w:trPr>
        <w:tc>
          <w:tcPr>
            <w:tcW w:w="5760" w:type="dxa"/>
          </w:tcPr>
          <w:p w14:paraId="72B2B176" w14:textId="77777777" w:rsidR="00DC2B54" w:rsidRDefault="00DC2B54" w:rsidP="00DC2B54">
            <w:pPr>
              <w:pStyle w:val="tabletext"/>
            </w:pPr>
            <w:r>
              <w:t>Part 3, Division 4, section 34</w:t>
            </w:r>
          </w:p>
        </w:tc>
        <w:tc>
          <w:tcPr>
            <w:tcW w:w="1980" w:type="dxa"/>
          </w:tcPr>
          <w:p w14:paraId="4C4EE31E" w14:textId="77777777" w:rsidR="00DC2B54" w:rsidRDefault="00DC2B54" w:rsidP="00DC2B54">
            <w:pPr>
              <w:pStyle w:val="tabletext"/>
            </w:pPr>
            <w:r>
              <w:t>4.54</w:t>
            </w:r>
          </w:p>
        </w:tc>
      </w:tr>
      <w:tr w:rsidR="00DC2B54" w:rsidRPr="00231CBA" w14:paraId="56DBD1EC" w14:textId="77777777" w:rsidTr="00DC2B54">
        <w:trPr>
          <w:cantSplit/>
          <w:tblHeader/>
        </w:trPr>
        <w:tc>
          <w:tcPr>
            <w:tcW w:w="5760" w:type="dxa"/>
          </w:tcPr>
          <w:p w14:paraId="09CDC329" w14:textId="77777777" w:rsidR="00DC2B54" w:rsidRDefault="00DC2B54" w:rsidP="00DC2B54">
            <w:pPr>
              <w:pStyle w:val="tabletext"/>
            </w:pPr>
            <w:r>
              <w:t>Part 3, Division 5, Subdivision A, section 35</w:t>
            </w:r>
          </w:p>
        </w:tc>
        <w:tc>
          <w:tcPr>
            <w:tcW w:w="1980" w:type="dxa"/>
          </w:tcPr>
          <w:p w14:paraId="35C4B836" w14:textId="77777777" w:rsidR="00DC2B54" w:rsidRDefault="00DC2B54" w:rsidP="00DC2B54">
            <w:pPr>
              <w:pStyle w:val="tabletext"/>
            </w:pPr>
            <w:r>
              <w:t>4.55</w:t>
            </w:r>
          </w:p>
        </w:tc>
      </w:tr>
      <w:tr w:rsidR="00DC2B54" w:rsidRPr="00231CBA" w14:paraId="39F9F9CC" w14:textId="77777777" w:rsidTr="00DC2B54">
        <w:trPr>
          <w:cantSplit/>
          <w:tblHeader/>
        </w:trPr>
        <w:tc>
          <w:tcPr>
            <w:tcW w:w="5760" w:type="dxa"/>
          </w:tcPr>
          <w:p w14:paraId="4A113090" w14:textId="77777777" w:rsidR="00DC2B54" w:rsidRDefault="00DC2B54" w:rsidP="00DC2B54">
            <w:pPr>
              <w:pStyle w:val="tabletext"/>
            </w:pPr>
            <w:r>
              <w:t>Part 3, Division 5, Subdivision A, section 36</w:t>
            </w:r>
          </w:p>
        </w:tc>
        <w:tc>
          <w:tcPr>
            <w:tcW w:w="1980" w:type="dxa"/>
          </w:tcPr>
          <w:p w14:paraId="1080D863" w14:textId="77777777" w:rsidR="00DC2B54" w:rsidRDefault="00DC2B54" w:rsidP="00DC2B54">
            <w:pPr>
              <w:pStyle w:val="tabletext"/>
            </w:pPr>
            <w:r>
              <w:t>4.56</w:t>
            </w:r>
          </w:p>
        </w:tc>
      </w:tr>
      <w:tr w:rsidR="00DC2B54" w:rsidRPr="00231CBA" w14:paraId="74EA961F" w14:textId="77777777" w:rsidTr="00DC2B54">
        <w:trPr>
          <w:cantSplit/>
          <w:tblHeader/>
        </w:trPr>
        <w:tc>
          <w:tcPr>
            <w:tcW w:w="5760" w:type="dxa"/>
          </w:tcPr>
          <w:p w14:paraId="45F0EAEA" w14:textId="77777777" w:rsidR="00DC2B54" w:rsidRDefault="00DC2B54" w:rsidP="00DC2B54">
            <w:pPr>
              <w:pStyle w:val="tabletext"/>
            </w:pPr>
            <w:r>
              <w:t>Part 3, Division 5, Subdivision A, subsection 37(1)</w:t>
            </w:r>
          </w:p>
        </w:tc>
        <w:tc>
          <w:tcPr>
            <w:tcW w:w="1980" w:type="dxa"/>
          </w:tcPr>
          <w:p w14:paraId="4670EAC0" w14:textId="77777777" w:rsidR="00DC2B54" w:rsidRDefault="00DC2B54" w:rsidP="00DC2B54">
            <w:pPr>
              <w:pStyle w:val="tabletext"/>
            </w:pPr>
            <w:r>
              <w:t>4.57</w:t>
            </w:r>
          </w:p>
        </w:tc>
      </w:tr>
      <w:tr w:rsidR="00DC2B54" w:rsidRPr="00231CBA" w14:paraId="37DC4C66" w14:textId="77777777" w:rsidTr="00DC2B54">
        <w:trPr>
          <w:cantSplit/>
          <w:tblHeader/>
        </w:trPr>
        <w:tc>
          <w:tcPr>
            <w:tcW w:w="5760" w:type="dxa"/>
          </w:tcPr>
          <w:p w14:paraId="668E2350" w14:textId="77777777" w:rsidR="00DC2B54" w:rsidRDefault="00DC2B54" w:rsidP="00DC2B54">
            <w:pPr>
              <w:pStyle w:val="tabletext"/>
            </w:pPr>
            <w:r>
              <w:t>Part 3, Division 5, Subdivision A, subsections 37(2) and (4)</w:t>
            </w:r>
          </w:p>
        </w:tc>
        <w:tc>
          <w:tcPr>
            <w:tcW w:w="1980" w:type="dxa"/>
          </w:tcPr>
          <w:p w14:paraId="75ED9E3C" w14:textId="77777777" w:rsidR="00DC2B54" w:rsidRDefault="00DC2B54" w:rsidP="00DC2B54">
            <w:pPr>
              <w:pStyle w:val="tabletext"/>
            </w:pPr>
            <w:r>
              <w:t>4.58</w:t>
            </w:r>
          </w:p>
        </w:tc>
      </w:tr>
      <w:tr w:rsidR="00DC2B54" w:rsidRPr="00231CBA" w14:paraId="78B47FBA" w14:textId="77777777" w:rsidTr="00DC2B54">
        <w:trPr>
          <w:cantSplit/>
          <w:tblHeader/>
        </w:trPr>
        <w:tc>
          <w:tcPr>
            <w:tcW w:w="5760" w:type="dxa"/>
          </w:tcPr>
          <w:p w14:paraId="196BAE6A" w14:textId="77777777" w:rsidR="00DC2B54" w:rsidRDefault="00DC2B54" w:rsidP="00DC2B54">
            <w:pPr>
              <w:pStyle w:val="tabletext"/>
            </w:pPr>
            <w:r>
              <w:t>Part 3, Division 5, Subdivision A, subsection 37(3)</w:t>
            </w:r>
          </w:p>
        </w:tc>
        <w:tc>
          <w:tcPr>
            <w:tcW w:w="1980" w:type="dxa"/>
          </w:tcPr>
          <w:p w14:paraId="530EC550" w14:textId="77777777" w:rsidR="00DC2B54" w:rsidRDefault="00DC2B54" w:rsidP="00DC2B54">
            <w:pPr>
              <w:pStyle w:val="tabletext"/>
            </w:pPr>
            <w:r>
              <w:t>4.59</w:t>
            </w:r>
          </w:p>
        </w:tc>
      </w:tr>
      <w:tr w:rsidR="00DC2B54" w:rsidRPr="00231CBA" w14:paraId="33105B98" w14:textId="77777777" w:rsidTr="00DC2B54">
        <w:trPr>
          <w:cantSplit/>
          <w:tblHeader/>
        </w:trPr>
        <w:tc>
          <w:tcPr>
            <w:tcW w:w="5760" w:type="dxa"/>
          </w:tcPr>
          <w:p w14:paraId="3F94F177" w14:textId="77777777" w:rsidR="00DC2B54" w:rsidRDefault="00DC2B54" w:rsidP="00DC2B54">
            <w:pPr>
              <w:pStyle w:val="tabletext"/>
            </w:pPr>
            <w:r>
              <w:t>Part 3, Division 5, Subdivision A, section 38</w:t>
            </w:r>
          </w:p>
        </w:tc>
        <w:tc>
          <w:tcPr>
            <w:tcW w:w="1980" w:type="dxa"/>
          </w:tcPr>
          <w:p w14:paraId="5000357A" w14:textId="77777777" w:rsidR="00DC2B54" w:rsidRDefault="00DC2B54" w:rsidP="00DC2B54">
            <w:pPr>
              <w:pStyle w:val="tabletext"/>
            </w:pPr>
            <w:r>
              <w:t>4.61</w:t>
            </w:r>
          </w:p>
        </w:tc>
      </w:tr>
      <w:tr w:rsidR="00DC2B54" w:rsidRPr="00231CBA" w14:paraId="7CA68EEB" w14:textId="77777777" w:rsidTr="00DC2B54">
        <w:trPr>
          <w:cantSplit/>
          <w:tblHeader/>
        </w:trPr>
        <w:tc>
          <w:tcPr>
            <w:tcW w:w="5760" w:type="dxa"/>
          </w:tcPr>
          <w:p w14:paraId="15969AA2" w14:textId="77777777" w:rsidR="00DC2B54" w:rsidRDefault="00DC2B54" w:rsidP="00DC2B54">
            <w:pPr>
              <w:pStyle w:val="tabletext"/>
            </w:pPr>
            <w:r>
              <w:t>Part 3, Division 5, Subdivision B, section 39</w:t>
            </w:r>
          </w:p>
        </w:tc>
        <w:tc>
          <w:tcPr>
            <w:tcW w:w="1980" w:type="dxa"/>
          </w:tcPr>
          <w:p w14:paraId="4DB6E61C" w14:textId="77777777" w:rsidR="00DC2B54" w:rsidRDefault="00DC2B54" w:rsidP="00DC2B54">
            <w:pPr>
              <w:pStyle w:val="tabletext"/>
            </w:pPr>
            <w:r>
              <w:t>4.62</w:t>
            </w:r>
          </w:p>
        </w:tc>
      </w:tr>
      <w:tr w:rsidR="00DC2B54" w:rsidRPr="00231CBA" w14:paraId="1A20F765" w14:textId="77777777" w:rsidTr="00DC2B54">
        <w:trPr>
          <w:cantSplit/>
          <w:tblHeader/>
        </w:trPr>
        <w:tc>
          <w:tcPr>
            <w:tcW w:w="5760" w:type="dxa"/>
          </w:tcPr>
          <w:p w14:paraId="1CC5C9E8" w14:textId="77777777" w:rsidR="00DC2B54" w:rsidRDefault="00DC2B54" w:rsidP="00DC2B54">
            <w:pPr>
              <w:pStyle w:val="tabletext"/>
            </w:pPr>
            <w:r>
              <w:t>Part 3, Division 5, Subdivision B, subsection 40(1)</w:t>
            </w:r>
          </w:p>
        </w:tc>
        <w:tc>
          <w:tcPr>
            <w:tcW w:w="1980" w:type="dxa"/>
          </w:tcPr>
          <w:p w14:paraId="6ADF788F" w14:textId="77777777" w:rsidR="00DC2B54" w:rsidRDefault="00DC2B54" w:rsidP="00DC2B54">
            <w:pPr>
              <w:pStyle w:val="tabletext"/>
            </w:pPr>
            <w:r>
              <w:t>4.63</w:t>
            </w:r>
          </w:p>
        </w:tc>
      </w:tr>
      <w:tr w:rsidR="00DC2B54" w:rsidRPr="00231CBA" w14:paraId="5E98EE59" w14:textId="77777777" w:rsidTr="00DC2B54">
        <w:trPr>
          <w:cantSplit/>
          <w:tblHeader/>
        </w:trPr>
        <w:tc>
          <w:tcPr>
            <w:tcW w:w="5760" w:type="dxa"/>
          </w:tcPr>
          <w:p w14:paraId="7DBF9177" w14:textId="77777777" w:rsidR="00DC2B54" w:rsidRDefault="00DC2B54" w:rsidP="00DC2B54">
            <w:pPr>
              <w:pStyle w:val="tabletext"/>
            </w:pPr>
            <w:r>
              <w:t>Part 3, Division 5, Subdivision B, subsection 40(2)</w:t>
            </w:r>
          </w:p>
        </w:tc>
        <w:tc>
          <w:tcPr>
            <w:tcW w:w="1980" w:type="dxa"/>
          </w:tcPr>
          <w:p w14:paraId="393C6FC7" w14:textId="77777777" w:rsidR="00DC2B54" w:rsidRDefault="00DC2B54" w:rsidP="00DC2B54">
            <w:pPr>
              <w:pStyle w:val="tabletext"/>
            </w:pPr>
            <w:r>
              <w:t>4.65</w:t>
            </w:r>
          </w:p>
        </w:tc>
      </w:tr>
      <w:tr w:rsidR="00DC2B54" w:rsidRPr="00231CBA" w14:paraId="34BC99D8" w14:textId="77777777" w:rsidTr="00DC2B54">
        <w:trPr>
          <w:cantSplit/>
          <w:tblHeader/>
        </w:trPr>
        <w:tc>
          <w:tcPr>
            <w:tcW w:w="5760" w:type="dxa"/>
          </w:tcPr>
          <w:p w14:paraId="2BFCA9FE" w14:textId="77777777" w:rsidR="00DC2B54" w:rsidRDefault="00DC2B54" w:rsidP="00DC2B54">
            <w:pPr>
              <w:pStyle w:val="tabletext"/>
            </w:pPr>
            <w:r>
              <w:t>Part 3, Division 5, Subdivision B, subsection 40(3)</w:t>
            </w:r>
          </w:p>
        </w:tc>
        <w:tc>
          <w:tcPr>
            <w:tcW w:w="1980" w:type="dxa"/>
          </w:tcPr>
          <w:p w14:paraId="17125110" w14:textId="77777777" w:rsidR="00DC2B54" w:rsidRDefault="00DC2B54" w:rsidP="00DC2B54">
            <w:pPr>
              <w:pStyle w:val="tabletext"/>
            </w:pPr>
            <w:r>
              <w:t>4.66</w:t>
            </w:r>
          </w:p>
        </w:tc>
      </w:tr>
      <w:tr w:rsidR="00DC2B54" w:rsidRPr="00231CBA" w14:paraId="2A916FF8" w14:textId="77777777" w:rsidTr="00DC2B54">
        <w:trPr>
          <w:cantSplit/>
          <w:tblHeader/>
        </w:trPr>
        <w:tc>
          <w:tcPr>
            <w:tcW w:w="5760" w:type="dxa"/>
          </w:tcPr>
          <w:p w14:paraId="4266D4CD" w14:textId="77777777" w:rsidR="00DC2B54" w:rsidRDefault="00DC2B54" w:rsidP="00DC2B54">
            <w:pPr>
              <w:pStyle w:val="tabletext"/>
            </w:pPr>
            <w:r>
              <w:t>Part 3, Division 5, Subdivision B, subsection 40(4)</w:t>
            </w:r>
          </w:p>
        </w:tc>
        <w:tc>
          <w:tcPr>
            <w:tcW w:w="1980" w:type="dxa"/>
          </w:tcPr>
          <w:p w14:paraId="7DFE946F" w14:textId="77777777" w:rsidR="00DC2B54" w:rsidRDefault="00DC2B54" w:rsidP="00DC2B54">
            <w:pPr>
              <w:pStyle w:val="tabletext"/>
            </w:pPr>
            <w:r>
              <w:t>4.67</w:t>
            </w:r>
          </w:p>
        </w:tc>
      </w:tr>
      <w:tr w:rsidR="00DC2B54" w:rsidRPr="00231CBA" w14:paraId="263897AE" w14:textId="77777777" w:rsidTr="00DC2B54">
        <w:trPr>
          <w:cantSplit/>
          <w:tblHeader/>
        </w:trPr>
        <w:tc>
          <w:tcPr>
            <w:tcW w:w="5760" w:type="dxa"/>
          </w:tcPr>
          <w:p w14:paraId="28814A7F" w14:textId="77777777" w:rsidR="00DC2B54" w:rsidRDefault="00DC2B54" w:rsidP="00DC2B54">
            <w:pPr>
              <w:pStyle w:val="tabletext"/>
            </w:pPr>
            <w:r>
              <w:t>Part 3, Division 5, Subdivision B, section 41</w:t>
            </w:r>
          </w:p>
        </w:tc>
        <w:tc>
          <w:tcPr>
            <w:tcW w:w="1980" w:type="dxa"/>
          </w:tcPr>
          <w:p w14:paraId="0313B5F8" w14:textId="77777777" w:rsidR="00DC2B54" w:rsidRDefault="00DC2B54" w:rsidP="00DC2B54">
            <w:pPr>
              <w:pStyle w:val="tabletext"/>
            </w:pPr>
            <w:r>
              <w:t>4.68</w:t>
            </w:r>
          </w:p>
        </w:tc>
      </w:tr>
      <w:tr w:rsidR="00DC2B54" w:rsidRPr="00231CBA" w14:paraId="2F860A18" w14:textId="77777777" w:rsidTr="00DC2B54">
        <w:trPr>
          <w:cantSplit/>
          <w:tblHeader/>
        </w:trPr>
        <w:tc>
          <w:tcPr>
            <w:tcW w:w="5760" w:type="dxa"/>
          </w:tcPr>
          <w:p w14:paraId="641FA49C" w14:textId="77777777" w:rsidR="00DC2B54" w:rsidRDefault="00DC2B54" w:rsidP="00DC2B54">
            <w:pPr>
              <w:pStyle w:val="tabletext"/>
            </w:pPr>
            <w:r>
              <w:t>Part 3, Division 5, Subdivision B, section 42</w:t>
            </w:r>
          </w:p>
        </w:tc>
        <w:tc>
          <w:tcPr>
            <w:tcW w:w="1980" w:type="dxa"/>
          </w:tcPr>
          <w:p w14:paraId="2CFAE092" w14:textId="77777777" w:rsidR="00DC2B54" w:rsidRDefault="00DC2B54" w:rsidP="00DC2B54">
            <w:pPr>
              <w:pStyle w:val="tabletext"/>
            </w:pPr>
            <w:r>
              <w:t>4.69</w:t>
            </w:r>
          </w:p>
        </w:tc>
      </w:tr>
      <w:tr w:rsidR="00DC2B54" w:rsidRPr="00231CBA" w14:paraId="59785C93" w14:textId="77777777" w:rsidTr="00DC2B54">
        <w:trPr>
          <w:cantSplit/>
          <w:tblHeader/>
        </w:trPr>
        <w:tc>
          <w:tcPr>
            <w:tcW w:w="5760" w:type="dxa"/>
          </w:tcPr>
          <w:p w14:paraId="443E1861" w14:textId="77777777" w:rsidR="00DC2B54" w:rsidRDefault="00DC2B54" w:rsidP="00DC2B54">
            <w:pPr>
              <w:pStyle w:val="tabletext"/>
            </w:pPr>
            <w:r>
              <w:t>Part 3, Division 5, Subdivision C, subsections 43(1) and (2)</w:t>
            </w:r>
          </w:p>
        </w:tc>
        <w:tc>
          <w:tcPr>
            <w:tcW w:w="1980" w:type="dxa"/>
          </w:tcPr>
          <w:p w14:paraId="1D3A1D07" w14:textId="77777777" w:rsidR="00DC2B54" w:rsidRDefault="00DC2B54" w:rsidP="00DC2B54">
            <w:pPr>
              <w:pStyle w:val="tabletext"/>
            </w:pPr>
            <w:r>
              <w:t>4.70</w:t>
            </w:r>
          </w:p>
        </w:tc>
      </w:tr>
      <w:tr w:rsidR="00DC2B54" w:rsidRPr="00231CBA" w14:paraId="567F55C5" w14:textId="77777777" w:rsidTr="00DC2B54">
        <w:trPr>
          <w:cantSplit/>
          <w:tblHeader/>
        </w:trPr>
        <w:tc>
          <w:tcPr>
            <w:tcW w:w="5760" w:type="dxa"/>
          </w:tcPr>
          <w:p w14:paraId="798454BB" w14:textId="77777777" w:rsidR="00DC2B54" w:rsidRPr="005D4EA7" w:rsidRDefault="00DC2B54" w:rsidP="00DC2B54">
            <w:pPr>
              <w:pStyle w:val="tabletext"/>
              <w:rPr>
                <w:lang w:val="fr-FR"/>
              </w:rPr>
            </w:pPr>
            <w:r w:rsidRPr="005D4EA7">
              <w:rPr>
                <w:lang w:val="fr-FR"/>
              </w:rPr>
              <w:t>Part 3, Division 5, Subdivision C, subsection 43(3)</w:t>
            </w:r>
          </w:p>
        </w:tc>
        <w:tc>
          <w:tcPr>
            <w:tcW w:w="1980" w:type="dxa"/>
          </w:tcPr>
          <w:p w14:paraId="64B38843" w14:textId="77777777" w:rsidR="00DC2B54" w:rsidRDefault="00DC2B54" w:rsidP="00DC2B54">
            <w:pPr>
              <w:pStyle w:val="tabletext"/>
            </w:pPr>
            <w:r>
              <w:t>4.71</w:t>
            </w:r>
          </w:p>
        </w:tc>
      </w:tr>
      <w:tr w:rsidR="00DC2B54" w:rsidRPr="00231CBA" w14:paraId="123FC288" w14:textId="77777777" w:rsidTr="00DC2B54">
        <w:trPr>
          <w:cantSplit/>
          <w:tblHeader/>
        </w:trPr>
        <w:tc>
          <w:tcPr>
            <w:tcW w:w="5760" w:type="dxa"/>
          </w:tcPr>
          <w:p w14:paraId="6E0A41D4" w14:textId="77777777" w:rsidR="00DC2B54" w:rsidRPr="005D4EA7" w:rsidRDefault="00DC2B54" w:rsidP="00DC2B54">
            <w:pPr>
              <w:pStyle w:val="tabletext"/>
              <w:rPr>
                <w:lang w:val="fr-FR"/>
              </w:rPr>
            </w:pPr>
            <w:r w:rsidRPr="005D4EA7">
              <w:rPr>
                <w:lang w:val="fr-FR"/>
              </w:rPr>
              <w:t>Part 3, Division 5, Subdivision C, subsection 43(4)</w:t>
            </w:r>
          </w:p>
        </w:tc>
        <w:tc>
          <w:tcPr>
            <w:tcW w:w="1980" w:type="dxa"/>
          </w:tcPr>
          <w:p w14:paraId="1A8C4500" w14:textId="77777777" w:rsidR="00DC2B54" w:rsidRDefault="00DC2B54" w:rsidP="00DC2B54">
            <w:pPr>
              <w:pStyle w:val="tabletext"/>
            </w:pPr>
            <w:r>
              <w:t>4.72</w:t>
            </w:r>
          </w:p>
        </w:tc>
      </w:tr>
      <w:tr w:rsidR="00DC2B54" w:rsidRPr="00231CBA" w14:paraId="55B93CB6" w14:textId="77777777" w:rsidTr="00DC2B54">
        <w:trPr>
          <w:cantSplit/>
          <w:tblHeader/>
        </w:trPr>
        <w:tc>
          <w:tcPr>
            <w:tcW w:w="5760" w:type="dxa"/>
          </w:tcPr>
          <w:p w14:paraId="3316915B" w14:textId="77777777" w:rsidR="00DC2B54" w:rsidRPr="005D4EA7" w:rsidRDefault="00DC2B54" w:rsidP="00DC2B54">
            <w:pPr>
              <w:pStyle w:val="tabletext"/>
              <w:rPr>
                <w:lang w:val="fr-FR"/>
              </w:rPr>
            </w:pPr>
            <w:r w:rsidRPr="005D4EA7">
              <w:rPr>
                <w:lang w:val="fr-FR"/>
              </w:rPr>
              <w:t>Part 3, Division 5, Subdivision D, section 44</w:t>
            </w:r>
          </w:p>
        </w:tc>
        <w:tc>
          <w:tcPr>
            <w:tcW w:w="1980" w:type="dxa"/>
          </w:tcPr>
          <w:p w14:paraId="03D32182" w14:textId="77777777" w:rsidR="00DC2B54" w:rsidRDefault="00DC2B54" w:rsidP="00DC2B54">
            <w:pPr>
              <w:pStyle w:val="tabletext"/>
            </w:pPr>
            <w:r>
              <w:t>4.73</w:t>
            </w:r>
          </w:p>
        </w:tc>
      </w:tr>
      <w:tr w:rsidR="00DC2B54" w:rsidRPr="00231CBA" w14:paraId="0EF6D426" w14:textId="77777777" w:rsidTr="00DC2B54">
        <w:trPr>
          <w:cantSplit/>
          <w:tblHeader/>
        </w:trPr>
        <w:tc>
          <w:tcPr>
            <w:tcW w:w="5760" w:type="dxa"/>
          </w:tcPr>
          <w:p w14:paraId="3E5AECB5" w14:textId="77777777" w:rsidR="00DC2B54" w:rsidRPr="005D4EA7" w:rsidRDefault="00DC2B54" w:rsidP="00DC2B54">
            <w:pPr>
              <w:pStyle w:val="tabletext"/>
              <w:rPr>
                <w:lang w:val="fr-FR"/>
              </w:rPr>
            </w:pPr>
            <w:r w:rsidRPr="005D4EA7">
              <w:rPr>
                <w:lang w:val="fr-FR"/>
              </w:rPr>
              <w:t>Part 3, Division 5, Subdivision D, section 45</w:t>
            </w:r>
          </w:p>
        </w:tc>
        <w:tc>
          <w:tcPr>
            <w:tcW w:w="1980" w:type="dxa"/>
          </w:tcPr>
          <w:p w14:paraId="4137A662" w14:textId="77777777" w:rsidR="00DC2B54" w:rsidRDefault="00DC2B54" w:rsidP="00DC2B54">
            <w:pPr>
              <w:pStyle w:val="tabletext"/>
            </w:pPr>
            <w:r>
              <w:t>4.74</w:t>
            </w:r>
          </w:p>
        </w:tc>
      </w:tr>
      <w:tr w:rsidR="00DC2B54" w:rsidRPr="00231CBA" w14:paraId="4654EFE3" w14:textId="77777777" w:rsidTr="00DC2B54">
        <w:trPr>
          <w:cantSplit/>
          <w:tblHeader/>
        </w:trPr>
        <w:tc>
          <w:tcPr>
            <w:tcW w:w="5760" w:type="dxa"/>
          </w:tcPr>
          <w:p w14:paraId="2E35616A" w14:textId="77777777" w:rsidR="00DC2B54" w:rsidRPr="005D4EA7" w:rsidRDefault="00DC2B54" w:rsidP="00DC2B54">
            <w:pPr>
              <w:pStyle w:val="tabletext"/>
              <w:rPr>
                <w:lang w:val="fr-FR"/>
              </w:rPr>
            </w:pPr>
            <w:r w:rsidRPr="005D4EA7">
              <w:rPr>
                <w:lang w:val="fr-FR"/>
              </w:rPr>
              <w:t>Part 3, Division 5, Subdivision D, subsection 46(1)</w:t>
            </w:r>
          </w:p>
        </w:tc>
        <w:tc>
          <w:tcPr>
            <w:tcW w:w="1980" w:type="dxa"/>
          </w:tcPr>
          <w:p w14:paraId="50E6EE68" w14:textId="77777777" w:rsidR="00DC2B54" w:rsidRDefault="00DC2B54" w:rsidP="00DC2B54">
            <w:pPr>
              <w:pStyle w:val="tabletext"/>
            </w:pPr>
            <w:r>
              <w:t>4.75</w:t>
            </w:r>
          </w:p>
        </w:tc>
      </w:tr>
      <w:tr w:rsidR="00DC2B54" w:rsidRPr="00231CBA" w14:paraId="031DDB7D" w14:textId="77777777" w:rsidTr="00DC2B54">
        <w:trPr>
          <w:cantSplit/>
          <w:tblHeader/>
        </w:trPr>
        <w:tc>
          <w:tcPr>
            <w:tcW w:w="5760" w:type="dxa"/>
          </w:tcPr>
          <w:p w14:paraId="4383A4B7" w14:textId="5EB971E2" w:rsidR="00DC2B54" w:rsidRPr="005D4EA7" w:rsidRDefault="00DC2B54" w:rsidP="00DC2B54">
            <w:pPr>
              <w:pStyle w:val="tabletext"/>
              <w:rPr>
                <w:lang w:val="fr-FR"/>
              </w:rPr>
            </w:pPr>
            <w:r w:rsidRPr="005D4EA7">
              <w:rPr>
                <w:lang w:val="fr-FR"/>
              </w:rPr>
              <w:t xml:space="preserve">Part 3, </w:t>
            </w:r>
            <w:r w:rsidR="00702181" w:rsidRPr="005D4EA7">
              <w:rPr>
                <w:lang w:val="fr-FR"/>
              </w:rPr>
              <w:t>Division,</w:t>
            </w:r>
            <w:r w:rsidRPr="005D4EA7">
              <w:rPr>
                <w:lang w:val="fr-FR"/>
              </w:rPr>
              <w:t xml:space="preserve"> Subdivision D, subsection 46(2)</w:t>
            </w:r>
          </w:p>
        </w:tc>
        <w:tc>
          <w:tcPr>
            <w:tcW w:w="1980" w:type="dxa"/>
          </w:tcPr>
          <w:p w14:paraId="2C52E4BC" w14:textId="77777777" w:rsidR="00DC2B54" w:rsidRDefault="00DC2B54" w:rsidP="00DC2B54">
            <w:pPr>
              <w:pStyle w:val="tabletext"/>
            </w:pPr>
            <w:r>
              <w:t>4.76</w:t>
            </w:r>
          </w:p>
        </w:tc>
      </w:tr>
      <w:tr w:rsidR="00DC2B54" w:rsidRPr="00231CBA" w14:paraId="626490EF" w14:textId="77777777" w:rsidTr="00DC2B54">
        <w:trPr>
          <w:cantSplit/>
          <w:tblHeader/>
        </w:trPr>
        <w:tc>
          <w:tcPr>
            <w:tcW w:w="5760" w:type="dxa"/>
          </w:tcPr>
          <w:p w14:paraId="2B7A000F" w14:textId="77777777" w:rsidR="00DC2B54" w:rsidRPr="005D4EA7" w:rsidRDefault="00DC2B54" w:rsidP="00DC2B54">
            <w:pPr>
              <w:pStyle w:val="tabletext"/>
              <w:rPr>
                <w:lang w:val="fr-FR"/>
              </w:rPr>
            </w:pPr>
            <w:r w:rsidRPr="005D4EA7">
              <w:rPr>
                <w:lang w:val="fr-FR"/>
              </w:rPr>
              <w:t>Part 3, Division 5, Subdivision D, subsection 46(3)</w:t>
            </w:r>
          </w:p>
        </w:tc>
        <w:tc>
          <w:tcPr>
            <w:tcW w:w="1980" w:type="dxa"/>
          </w:tcPr>
          <w:p w14:paraId="02611B65" w14:textId="77777777" w:rsidR="00DC2B54" w:rsidRDefault="00DC2B54" w:rsidP="00DC2B54">
            <w:pPr>
              <w:pStyle w:val="tabletext"/>
            </w:pPr>
            <w:r>
              <w:t>4.77</w:t>
            </w:r>
          </w:p>
        </w:tc>
      </w:tr>
      <w:tr w:rsidR="00DC2B54" w:rsidRPr="00231CBA" w14:paraId="1294EEFE" w14:textId="77777777" w:rsidTr="00DC2B54">
        <w:trPr>
          <w:cantSplit/>
          <w:tblHeader/>
        </w:trPr>
        <w:tc>
          <w:tcPr>
            <w:tcW w:w="5760" w:type="dxa"/>
          </w:tcPr>
          <w:p w14:paraId="47191737" w14:textId="77777777" w:rsidR="00DC2B54" w:rsidRPr="005D4EA7" w:rsidRDefault="00DC2B54" w:rsidP="00DC2B54">
            <w:pPr>
              <w:pStyle w:val="tabletext"/>
              <w:rPr>
                <w:lang w:val="fr-FR"/>
              </w:rPr>
            </w:pPr>
            <w:r w:rsidRPr="005D4EA7">
              <w:rPr>
                <w:lang w:val="fr-FR"/>
              </w:rPr>
              <w:t>Part 3, Division 5, Subdivision D, subsection 47(1)</w:t>
            </w:r>
          </w:p>
        </w:tc>
        <w:tc>
          <w:tcPr>
            <w:tcW w:w="1980" w:type="dxa"/>
          </w:tcPr>
          <w:p w14:paraId="289C6329" w14:textId="77777777" w:rsidR="00DC2B54" w:rsidRDefault="00DC2B54" w:rsidP="00DC2B54">
            <w:pPr>
              <w:pStyle w:val="tabletext"/>
            </w:pPr>
            <w:r>
              <w:t>4.78</w:t>
            </w:r>
          </w:p>
        </w:tc>
      </w:tr>
      <w:tr w:rsidR="00DC2B54" w:rsidRPr="00231CBA" w14:paraId="4430B619" w14:textId="77777777" w:rsidTr="00DC2B54">
        <w:trPr>
          <w:cantSplit/>
          <w:tblHeader/>
        </w:trPr>
        <w:tc>
          <w:tcPr>
            <w:tcW w:w="5760" w:type="dxa"/>
          </w:tcPr>
          <w:p w14:paraId="76A14A9B" w14:textId="77777777" w:rsidR="00DC2B54" w:rsidRPr="005D4EA7" w:rsidRDefault="00DC2B54" w:rsidP="00DC2B54">
            <w:pPr>
              <w:pStyle w:val="tabletext"/>
              <w:rPr>
                <w:lang w:val="fr-FR"/>
              </w:rPr>
            </w:pPr>
            <w:r w:rsidRPr="005D4EA7">
              <w:rPr>
                <w:lang w:val="fr-FR"/>
              </w:rPr>
              <w:t>Part 3, Division 5, Subdivision D, subsection 47(2)</w:t>
            </w:r>
          </w:p>
        </w:tc>
        <w:tc>
          <w:tcPr>
            <w:tcW w:w="1980" w:type="dxa"/>
          </w:tcPr>
          <w:p w14:paraId="24B80F53" w14:textId="77777777" w:rsidR="00DC2B54" w:rsidRDefault="00DC2B54" w:rsidP="00DC2B54">
            <w:pPr>
              <w:pStyle w:val="tabletext"/>
            </w:pPr>
            <w:r>
              <w:t>4.79</w:t>
            </w:r>
          </w:p>
        </w:tc>
      </w:tr>
      <w:tr w:rsidR="00DC2B54" w:rsidRPr="00231CBA" w14:paraId="3CB489E8" w14:textId="77777777" w:rsidTr="00DC2B54">
        <w:trPr>
          <w:cantSplit/>
          <w:tblHeader/>
        </w:trPr>
        <w:tc>
          <w:tcPr>
            <w:tcW w:w="5760" w:type="dxa"/>
          </w:tcPr>
          <w:p w14:paraId="1BC6B9D9" w14:textId="77777777" w:rsidR="00DC2B54" w:rsidRDefault="00DC2B54" w:rsidP="00DC2B54">
            <w:pPr>
              <w:pStyle w:val="tabletext"/>
            </w:pPr>
            <w:r>
              <w:t>Part 3, Division 5, Subdivision D, subsections 48(1) and (2)</w:t>
            </w:r>
          </w:p>
        </w:tc>
        <w:tc>
          <w:tcPr>
            <w:tcW w:w="1980" w:type="dxa"/>
          </w:tcPr>
          <w:p w14:paraId="31D4685D" w14:textId="77777777" w:rsidR="00DC2B54" w:rsidRDefault="00DC2B54" w:rsidP="00DC2B54">
            <w:pPr>
              <w:pStyle w:val="tabletext"/>
            </w:pPr>
            <w:r>
              <w:t>4.80</w:t>
            </w:r>
          </w:p>
        </w:tc>
      </w:tr>
      <w:tr w:rsidR="00DC2B54" w:rsidRPr="00231CBA" w14:paraId="4AA4CEFD" w14:textId="77777777" w:rsidTr="00DC2B54">
        <w:trPr>
          <w:cantSplit/>
          <w:tblHeader/>
        </w:trPr>
        <w:tc>
          <w:tcPr>
            <w:tcW w:w="5760" w:type="dxa"/>
          </w:tcPr>
          <w:p w14:paraId="751B661D" w14:textId="77777777" w:rsidR="00DC2B54" w:rsidRPr="005D4EA7" w:rsidRDefault="00DC2B54" w:rsidP="00DC2B54">
            <w:pPr>
              <w:pStyle w:val="tabletext"/>
              <w:rPr>
                <w:lang w:val="fr-FR"/>
              </w:rPr>
            </w:pPr>
            <w:r w:rsidRPr="005D4EA7">
              <w:rPr>
                <w:lang w:val="fr-FR"/>
              </w:rPr>
              <w:t>Part 3, Division 5, Subdivision D, subsection 48(3)</w:t>
            </w:r>
          </w:p>
        </w:tc>
        <w:tc>
          <w:tcPr>
            <w:tcW w:w="1980" w:type="dxa"/>
          </w:tcPr>
          <w:p w14:paraId="372968C3" w14:textId="77777777" w:rsidR="00DC2B54" w:rsidRDefault="00DC2B54" w:rsidP="00DC2B54">
            <w:pPr>
              <w:pStyle w:val="tabletext"/>
            </w:pPr>
            <w:r>
              <w:t>4.81</w:t>
            </w:r>
          </w:p>
        </w:tc>
      </w:tr>
      <w:tr w:rsidR="00DC2B54" w:rsidRPr="00231CBA" w14:paraId="7926915D" w14:textId="77777777" w:rsidTr="00DC2B54">
        <w:trPr>
          <w:cantSplit/>
          <w:tblHeader/>
        </w:trPr>
        <w:tc>
          <w:tcPr>
            <w:tcW w:w="5760" w:type="dxa"/>
          </w:tcPr>
          <w:p w14:paraId="2FA5AB0F" w14:textId="77777777" w:rsidR="00DC2B54" w:rsidRPr="005D4EA7" w:rsidRDefault="00DC2B54" w:rsidP="00DC2B54">
            <w:pPr>
              <w:pStyle w:val="tabletext"/>
              <w:rPr>
                <w:lang w:val="fr-FR"/>
              </w:rPr>
            </w:pPr>
            <w:r w:rsidRPr="005D4EA7">
              <w:rPr>
                <w:lang w:val="fr-FR"/>
              </w:rPr>
              <w:t>Part 3, Division 5, Subdivision D, subsection 48(4)</w:t>
            </w:r>
          </w:p>
        </w:tc>
        <w:tc>
          <w:tcPr>
            <w:tcW w:w="1980" w:type="dxa"/>
          </w:tcPr>
          <w:p w14:paraId="01A02E8D" w14:textId="77777777" w:rsidR="00DC2B54" w:rsidRDefault="00DC2B54" w:rsidP="00DC2B54">
            <w:pPr>
              <w:pStyle w:val="tabletext"/>
            </w:pPr>
            <w:r>
              <w:t>4.82</w:t>
            </w:r>
          </w:p>
        </w:tc>
      </w:tr>
      <w:tr w:rsidR="00DC2B54" w:rsidRPr="00231CBA" w14:paraId="2D183719" w14:textId="77777777" w:rsidTr="00DC2B54">
        <w:trPr>
          <w:cantSplit/>
          <w:tblHeader/>
        </w:trPr>
        <w:tc>
          <w:tcPr>
            <w:tcW w:w="5760" w:type="dxa"/>
          </w:tcPr>
          <w:p w14:paraId="57A39B30" w14:textId="77777777" w:rsidR="00DC2B54" w:rsidRDefault="00DC2B54" w:rsidP="00DC2B54">
            <w:pPr>
              <w:pStyle w:val="tabletext"/>
            </w:pPr>
            <w:r>
              <w:t>Part 3, Division 6, Subdivision A, section 49</w:t>
            </w:r>
          </w:p>
        </w:tc>
        <w:tc>
          <w:tcPr>
            <w:tcW w:w="1980" w:type="dxa"/>
          </w:tcPr>
          <w:p w14:paraId="3A85764D" w14:textId="77777777" w:rsidR="00DC2B54" w:rsidRDefault="00DC2B54" w:rsidP="00DC2B54">
            <w:pPr>
              <w:pStyle w:val="tabletext"/>
            </w:pPr>
            <w:r>
              <w:t>4.83</w:t>
            </w:r>
          </w:p>
        </w:tc>
      </w:tr>
      <w:tr w:rsidR="00DC2B54" w:rsidRPr="00231CBA" w14:paraId="51E037AB" w14:textId="77777777" w:rsidTr="00DC2B54">
        <w:trPr>
          <w:cantSplit/>
          <w:tblHeader/>
        </w:trPr>
        <w:tc>
          <w:tcPr>
            <w:tcW w:w="5760" w:type="dxa"/>
          </w:tcPr>
          <w:p w14:paraId="15068CBB" w14:textId="77777777" w:rsidR="00DC2B54" w:rsidRDefault="00DC2B54" w:rsidP="00DC2B54">
            <w:pPr>
              <w:pStyle w:val="tabletext"/>
            </w:pPr>
            <w:r>
              <w:t>Part 3, Division 6, Subdivision A, subsections 50(1), (4) and (5)</w:t>
            </w:r>
          </w:p>
        </w:tc>
        <w:tc>
          <w:tcPr>
            <w:tcW w:w="1980" w:type="dxa"/>
          </w:tcPr>
          <w:p w14:paraId="3751A2D3" w14:textId="77777777" w:rsidR="00DC2B54" w:rsidRDefault="00DC2B54" w:rsidP="00DC2B54">
            <w:pPr>
              <w:pStyle w:val="tabletext"/>
            </w:pPr>
            <w:r>
              <w:t>4.87</w:t>
            </w:r>
          </w:p>
        </w:tc>
      </w:tr>
      <w:tr w:rsidR="00DC2B54" w:rsidRPr="00231CBA" w14:paraId="79231F78" w14:textId="77777777" w:rsidTr="00DC2B54">
        <w:trPr>
          <w:cantSplit/>
          <w:tblHeader/>
        </w:trPr>
        <w:tc>
          <w:tcPr>
            <w:tcW w:w="5760" w:type="dxa"/>
          </w:tcPr>
          <w:p w14:paraId="21C46BBF" w14:textId="77777777" w:rsidR="00DC2B54" w:rsidRDefault="00DC2B54" w:rsidP="00DC2B54">
            <w:pPr>
              <w:pStyle w:val="tabletext"/>
            </w:pPr>
            <w:r>
              <w:t>Part 3, Division 6, Subdivision A, subsections 50(2) and (3)</w:t>
            </w:r>
          </w:p>
        </w:tc>
        <w:tc>
          <w:tcPr>
            <w:tcW w:w="1980" w:type="dxa"/>
          </w:tcPr>
          <w:p w14:paraId="076642F3" w14:textId="77777777" w:rsidR="00DC2B54" w:rsidRDefault="00DC2B54" w:rsidP="00DC2B54">
            <w:pPr>
              <w:pStyle w:val="tabletext"/>
            </w:pPr>
            <w:r>
              <w:t>4.89</w:t>
            </w:r>
          </w:p>
        </w:tc>
      </w:tr>
      <w:tr w:rsidR="00DC2B54" w:rsidRPr="00231CBA" w14:paraId="12359F21" w14:textId="77777777" w:rsidTr="00DC2B54">
        <w:trPr>
          <w:cantSplit/>
          <w:tblHeader/>
        </w:trPr>
        <w:tc>
          <w:tcPr>
            <w:tcW w:w="5760" w:type="dxa"/>
          </w:tcPr>
          <w:p w14:paraId="537B2B77" w14:textId="77777777" w:rsidR="00DC2B54" w:rsidRDefault="00DC2B54" w:rsidP="00DC2B54">
            <w:pPr>
              <w:pStyle w:val="tabletext"/>
            </w:pPr>
            <w:r>
              <w:t>Part 3, Division 6, Subdivision A, subsection 50(4)</w:t>
            </w:r>
          </w:p>
        </w:tc>
        <w:tc>
          <w:tcPr>
            <w:tcW w:w="1980" w:type="dxa"/>
          </w:tcPr>
          <w:p w14:paraId="373F4B39" w14:textId="77777777" w:rsidR="00DC2B54" w:rsidRDefault="00DC2B54" w:rsidP="00DC2B54">
            <w:pPr>
              <w:pStyle w:val="tabletext"/>
            </w:pPr>
            <w:r>
              <w:t>4.90</w:t>
            </w:r>
          </w:p>
        </w:tc>
      </w:tr>
      <w:tr w:rsidR="00DC2B54" w:rsidRPr="00231CBA" w14:paraId="32CC515F" w14:textId="77777777" w:rsidTr="00DC2B54">
        <w:trPr>
          <w:cantSplit/>
          <w:tblHeader/>
        </w:trPr>
        <w:tc>
          <w:tcPr>
            <w:tcW w:w="5760" w:type="dxa"/>
          </w:tcPr>
          <w:p w14:paraId="2E266B2A" w14:textId="77777777" w:rsidR="00DC2B54" w:rsidRDefault="00DC2B54" w:rsidP="00DC2B54">
            <w:pPr>
              <w:pStyle w:val="tabletext"/>
            </w:pPr>
            <w:r>
              <w:t>Part 3, Division 6, Subdivision B, subsection 51(1)</w:t>
            </w:r>
          </w:p>
        </w:tc>
        <w:tc>
          <w:tcPr>
            <w:tcW w:w="1980" w:type="dxa"/>
          </w:tcPr>
          <w:p w14:paraId="12E9EA40" w14:textId="77777777" w:rsidR="00DC2B54" w:rsidRDefault="00DC2B54" w:rsidP="00DC2B54">
            <w:pPr>
              <w:pStyle w:val="tabletext"/>
            </w:pPr>
            <w:r>
              <w:t>4.91</w:t>
            </w:r>
          </w:p>
        </w:tc>
      </w:tr>
      <w:tr w:rsidR="00DC2B54" w:rsidRPr="00231CBA" w14:paraId="31E577CE" w14:textId="77777777" w:rsidTr="00DC2B54">
        <w:trPr>
          <w:cantSplit/>
          <w:tblHeader/>
        </w:trPr>
        <w:tc>
          <w:tcPr>
            <w:tcW w:w="5760" w:type="dxa"/>
          </w:tcPr>
          <w:p w14:paraId="635A8539" w14:textId="77777777" w:rsidR="00DC2B54" w:rsidRDefault="00DC2B54" w:rsidP="00DC2B54">
            <w:pPr>
              <w:pStyle w:val="tabletext"/>
            </w:pPr>
            <w:r>
              <w:t>Part 3, Division 6, Subdivision B, subsections 51(2) and (3)</w:t>
            </w:r>
          </w:p>
        </w:tc>
        <w:tc>
          <w:tcPr>
            <w:tcW w:w="1980" w:type="dxa"/>
          </w:tcPr>
          <w:p w14:paraId="22B5C223" w14:textId="77777777" w:rsidR="00DC2B54" w:rsidRDefault="00DC2B54" w:rsidP="00DC2B54">
            <w:pPr>
              <w:pStyle w:val="tabletext"/>
            </w:pPr>
            <w:r>
              <w:t>4.92</w:t>
            </w:r>
          </w:p>
        </w:tc>
      </w:tr>
      <w:tr w:rsidR="00DC2B54" w:rsidRPr="00231CBA" w14:paraId="03C62FFD" w14:textId="77777777" w:rsidTr="00DC2B54">
        <w:trPr>
          <w:cantSplit/>
          <w:tblHeader/>
        </w:trPr>
        <w:tc>
          <w:tcPr>
            <w:tcW w:w="5760" w:type="dxa"/>
          </w:tcPr>
          <w:p w14:paraId="4B31F16D" w14:textId="77777777" w:rsidR="00DC2B54" w:rsidRDefault="00DC2B54" w:rsidP="00DC2B54">
            <w:pPr>
              <w:pStyle w:val="tabletext"/>
            </w:pPr>
            <w:r>
              <w:t>Part 3, Division 6, Subdivision B, subsection 52(1)</w:t>
            </w:r>
          </w:p>
        </w:tc>
        <w:tc>
          <w:tcPr>
            <w:tcW w:w="1980" w:type="dxa"/>
          </w:tcPr>
          <w:p w14:paraId="5607C966" w14:textId="77777777" w:rsidR="00DC2B54" w:rsidRDefault="00DC2B54" w:rsidP="00DC2B54">
            <w:pPr>
              <w:pStyle w:val="tabletext"/>
            </w:pPr>
            <w:r>
              <w:t>4.93</w:t>
            </w:r>
          </w:p>
        </w:tc>
      </w:tr>
      <w:tr w:rsidR="00DC2B54" w:rsidRPr="00231CBA" w14:paraId="3A27C0F9" w14:textId="77777777" w:rsidTr="00DC2B54">
        <w:trPr>
          <w:cantSplit/>
          <w:tblHeader/>
        </w:trPr>
        <w:tc>
          <w:tcPr>
            <w:tcW w:w="5760" w:type="dxa"/>
          </w:tcPr>
          <w:p w14:paraId="652BBFE5" w14:textId="77777777" w:rsidR="00DC2B54" w:rsidRDefault="00DC2B54" w:rsidP="00DC2B54">
            <w:pPr>
              <w:pStyle w:val="tabletext"/>
            </w:pPr>
            <w:r>
              <w:t>Part 3, Division 6, Subdivision B, subsection 52(2)</w:t>
            </w:r>
          </w:p>
        </w:tc>
        <w:tc>
          <w:tcPr>
            <w:tcW w:w="1980" w:type="dxa"/>
          </w:tcPr>
          <w:p w14:paraId="5A6D9CDD" w14:textId="77777777" w:rsidR="00DC2B54" w:rsidRDefault="00DC2B54" w:rsidP="00DC2B54">
            <w:pPr>
              <w:pStyle w:val="tabletext"/>
            </w:pPr>
            <w:r>
              <w:t>4.94</w:t>
            </w:r>
          </w:p>
        </w:tc>
      </w:tr>
      <w:tr w:rsidR="00DC2B54" w:rsidRPr="00231CBA" w14:paraId="2D510E4B" w14:textId="77777777" w:rsidTr="00DC2B54">
        <w:trPr>
          <w:cantSplit/>
          <w:tblHeader/>
        </w:trPr>
        <w:tc>
          <w:tcPr>
            <w:tcW w:w="5760" w:type="dxa"/>
          </w:tcPr>
          <w:p w14:paraId="2222DF82" w14:textId="77777777" w:rsidR="00DC2B54" w:rsidRDefault="00DC2B54" w:rsidP="00DC2B54">
            <w:pPr>
              <w:pStyle w:val="tabletext"/>
            </w:pPr>
            <w:r>
              <w:t>Part 3, Division 6, Subdivision B, section 53</w:t>
            </w:r>
          </w:p>
        </w:tc>
        <w:tc>
          <w:tcPr>
            <w:tcW w:w="1980" w:type="dxa"/>
          </w:tcPr>
          <w:p w14:paraId="2EE549E8" w14:textId="77777777" w:rsidR="00DC2B54" w:rsidRDefault="00DC2B54" w:rsidP="00DC2B54">
            <w:pPr>
              <w:pStyle w:val="tabletext"/>
            </w:pPr>
            <w:r>
              <w:t>4.95</w:t>
            </w:r>
          </w:p>
        </w:tc>
      </w:tr>
      <w:tr w:rsidR="00DC2B54" w:rsidRPr="00231CBA" w14:paraId="6DE10AD6" w14:textId="77777777" w:rsidTr="00DC2B54">
        <w:trPr>
          <w:cantSplit/>
          <w:tblHeader/>
        </w:trPr>
        <w:tc>
          <w:tcPr>
            <w:tcW w:w="5760" w:type="dxa"/>
          </w:tcPr>
          <w:p w14:paraId="199E11E4" w14:textId="77777777" w:rsidR="00DC2B54" w:rsidRPr="005D4EA7" w:rsidRDefault="00DC2B54" w:rsidP="00DC2B54">
            <w:pPr>
              <w:pStyle w:val="tabletext"/>
              <w:rPr>
                <w:lang w:val="fr-FR"/>
              </w:rPr>
            </w:pPr>
            <w:r w:rsidRPr="005D4EA7">
              <w:rPr>
                <w:lang w:val="fr-FR"/>
              </w:rPr>
              <w:t>Part 3, Division 6, Subdivision C, subsection 54(1)</w:t>
            </w:r>
          </w:p>
        </w:tc>
        <w:tc>
          <w:tcPr>
            <w:tcW w:w="1980" w:type="dxa"/>
          </w:tcPr>
          <w:p w14:paraId="6021059C" w14:textId="77777777" w:rsidR="00DC2B54" w:rsidRDefault="00DC2B54" w:rsidP="00DC2B54">
            <w:pPr>
              <w:pStyle w:val="tabletext"/>
            </w:pPr>
            <w:r>
              <w:t>4.96</w:t>
            </w:r>
          </w:p>
        </w:tc>
      </w:tr>
      <w:tr w:rsidR="00DC2B54" w:rsidRPr="00231CBA" w14:paraId="4FDDDB47" w14:textId="77777777" w:rsidTr="00DC2B54">
        <w:trPr>
          <w:cantSplit/>
          <w:tblHeader/>
        </w:trPr>
        <w:tc>
          <w:tcPr>
            <w:tcW w:w="5760" w:type="dxa"/>
          </w:tcPr>
          <w:p w14:paraId="6D69936C" w14:textId="77777777" w:rsidR="00DC2B54" w:rsidRPr="005D4EA7" w:rsidRDefault="00DC2B54" w:rsidP="00DC2B54">
            <w:pPr>
              <w:pStyle w:val="tabletext"/>
              <w:rPr>
                <w:lang w:val="fr-FR"/>
              </w:rPr>
            </w:pPr>
            <w:r w:rsidRPr="005D4EA7">
              <w:rPr>
                <w:lang w:val="fr-FR"/>
              </w:rPr>
              <w:t>Part 3, Division 6, Subdivision C, subsection 54(2)</w:t>
            </w:r>
          </w:p>
        </w:tc>
        <w:tc>
          <w:tcPr>
            <w:tcW w:w="1980" w:type="dxa"/>
          </w:tcPr>
          <w:p w14:paraId="064994CB" w14:textId="77777777" w:rsidR="00DC2B54" w:rsidRDefault="00DC2B54" w:rsidP="00DC2B54">
            <w:pPr>
              <w:pStyle w:val="tabletext"/>
            </w:pPr>
            <w:r>
              <w:t>4.97</w:t>
            </w:r>
          </w:p>
        </w:tc>
      </w:tr>
      <w:tr w:rsidR="00DC2B54" w:rsidRPr="00231CBA" w14:paraId="5568FE38" w14:textId="77777777" w:rsidTr="00DC2B54">
        <w:trPr>
          <w:cantSplit/>
          <w:tblHeader/>
        </w:trPr>
        <w:tc>
          <w:tcPr>
            <w:tcW w:w="5760" w:type="dxa"/>
          </w:tcPr>
          <w:p w14:paraId="0D322117" w14:textId="77777777" w:rsidR="00DC2B54" w:rsidRPr="005D4EA7" w:rsidRDefault="00DC2B54" w:rsidP="00DC2B54">
            <w:pPr>
              <w:pStyle w:val="tabletext"/>
              <w:rPr>
                <w:lang w:val="fr-FR"/>
              </w:rPr>
            </w:pPr>
            <w:r w:rsidRPr="005D4EA7">
              <w:rPr>
                <w:lang w:val="fr-FR"/>
              </w:rPr>
              <w:t>Part 3, Division 6, Subdivision C, subsection 55(1)</w:t>
            </w:r>
          </w:p>
        </w:tc>
        <w:tc>
          <w:tcPr>
            <w:tcW w:w="1980" w:type="dxa"/>
          </w:tcPr>
          <w:p w14:paraId="572C3137" w14:textId="77777777" w:rsidR="00DC2B54" w:rsidRDefault="00DC2B54" w:rsidP="00DC2B54">
            <w:pPr>
              <w:pStyle w:val="tabletext"/>
            </w:pPr>
            <w:r>
              <w:t>4.98</w:t>
            </w:r>
          </w:p>
        </w:tc>
      </w:tr>
      <w:tr w:rsidR="00DC2B54" w:rsidRPr="00231CBA" w14:paraId="4321F871" w14:textId="77777777" w:rsidTr="00DC2B54">
        <w:trPr>
          <w:cantSplit/>
          <w:tblHeader/>
        </w:trPr>
        <w:tc>
          <w:tcPr>
            <w:tcW w:w="5760" w:type="dxa"/>
          </w:tcPr>
          <w:p w14:paraId="37ED921F" w14:textId="77777777" w:rsidR="00DC2B54" w:rsidRPr="005D4EA7" w:rsidRDefault="00DC2B54" w:rsidP="00DC2B54">
            <w:pPr>
              <w:pStyle w:val="tabletext"/>
              <w:rPr>
                <w:lang w:val="fr-FR"/>
              </w:rPr>
            </w:pPr>
            <w:r w:rsidRPr="005D4EA7">
              <w:rPr>
                <w:lang w:val="fr-FR"/>
              </w:rPr>
              <w:t>Part 3, Division 6, Subdivision C, subsection 55(2)</w:t>
            </w:r>
          </w:p>
        </w:tc>
        <w:tc>
          <w:tcPr>
            <w:tcW w:w="1980" w:type="dxa"/>
          </w:tcPr>
          <w:p w14:paraId="300B78B1" w14:textId="77777777" w:rsidR="00DC2B54" w:rsidRDefault="00DC2B54" w:rsidP="00DC2B54">
            <w:pPr>
              <w:pStyle w:val="tabletext"/>
            </w:pPr>
            <w:r>
              <w:t>4.99</w:t>
            </w:r>
          </w:p>
        </w:tc>
      </w:tr>
      <w:tr w:rsidR="00DC2B54" w:rsidRPr="00231CBA" w14:paraId="7290751D" w14:textId="77777777" w:rsidTr="00DC2B54">
        <w:trPr>
          <w:cantSplit/>
          <w:tblHeader/>
        </w:trPr>
        <w:tc>
          <w:tcPr>
            <w:tcW w:w="5760" w:type="dxa"/>
          </w:tcPr>
          <w:p w14:paraId="0944CE3C" w14:textId="77777777" w:rsidR="00DC2B54" w:rsidRPr="005D4EA7" w:rsidRDefault="00DC2B54" w:rsidP="00DC2B54">
            <w:pPr>
              <w:pStyle w:val="tabletext"/>
              <w:rPr>
                <w:lang w:val="fr-FR"/>
              </w:rPr>
            </w:pPr>
            <w:r w:rsidRPr="005D4EA7">
              <w:rPr>
                <w:lang w:val="fr-FR"/>
              </w:rPr>
              <w:t>Part 3, Division 6, Subdivision C, subsection 56(1)</w:t>
            </w:r>
          </w:p>
        </w:tc>
        <w:tc>
          <w:tcPr>
            <w:tcW w:w="1980" w:type="dxa"/>
          </w:tcPr>
          <w:p w14:paraId="2FA89CB4" w14:textId="77777777" w:rsidR="00DC2B54" w:rsidRDefault="00DC2B54" w:rsidP="00DC2B54">
            <w:pPr>
              <w:pStyle w:val="tabletext"/>
            </w:pPr>
            <w:r>
              <w:t>4.100</w:t>
            </w:r>
          </w:p>
        </w:tc>
      </w:tr>
      <w:tr w:rsidR="00DC2B54" w:rsidRPr="00231CBA" w14:paraId="5ACB6440" w14:textId="77777777" w:rsidTr="00DC2B54">
        <w:trPr>
          <w:cantSplit/>
          <w:tblHeader/>
        </w:trPr>
        <w:tc>
          <w:tcPr>
            <w:tcW w:w="5760" w:type="dxa"/>
          </w:tcPr>
          <w:p w14:paraId="2AE9BD91" w14:textId="77777777" w:rsidR="00DC2B54" w:rsidRPr="005D4EA7" w:rsidRDefault="00DC2B54" w:rsidP="00DC2B54">
            <w:pPr>
              <w:pStyle w:val="tabletext"/>
              <w:rPr>
                <w:lang w:val="fr-FR"/>
              </w:rPr>
            </w:pPr>
            <w:r w:rsidRPr="005D4EA7">
              <w:rPr>
                <w:lang w:val="fr-FR"/>
              </w:rPr>
              <w:t>Part 3, Division 6, Subdivision C, subsection 56(1)</w:t>
            </w:r>
          </w:p>
        </w:tc>
        <w:tc>
          <w:tcPr>
            <w:tcW w:w="1980" w:type="dxa"/>
          </w:tcPr>
          <w:p w14:paraId="641A2A08" w14:textId="77777777" w:rsidR="00DC2B54" w:rsidRDefault="00DC2B54" w:rsidP="00DC2B54">
            <w:pPr>
              <w:pStyle w:val="tabletext"/>
            </w:pPr>
            <w:r>
              <w:t>4.101</w:t>
            </w:r>
          </w:p>
        </w:tc>
      </w:tr>
      <w:tr w:rsidR="00DC2B54" w:rsidRPr="00231CBA" w14:paraId="7FA5E785" w14:textId="77777777" w:rsidTr="00DC2B54">
        <w:trPr>
          <w:cantSplit/>
          <w:tblHeader/>
        </w:trPr>
        <w:tc>
          <w:tcPr>
            <w:tcW w:w="5760" w:type="dxa"/>
          </w:tcPr>
          <w:p w14:paraId="47D1C1F1" w14:textId="77777777" w:rsidR="00DC2B54" w:rsidRPr="005D4EA7" w:rsidRDefault="00DC2B54" w:rsidP="00DC2B54">
            <w:pPr>
              <w:pStyle w:val="tabletext"/>
              <w:rPr>
                <w:lang w:val="fr-FR"/>
              </w:rPr>
            </w:pPr>
            <w:r w:rsidRPr="005D4EA7">
              <w:rPr>
                <w:lang w:val="fr-FR"/>
              </w:rPr>
              <w:t>Part 3, Division 6, Subdivision C, subsection 56(2)</w:t>
            </w:r>
          </w:p>
        </w:tc>
        <w:tc>
          <w:tcPr>
            <w:tcW w:w="1980" w:type="dxa"/>
          </w:tcPr>
          <w:p w14:paraId="550A1A75" w14:textId="77777777" w:rsidR="00DC2B54" w:rsidRDefault="00DC2B54" w:rsidP="00DC2B54">
            <w:pPr>
              <w:pStyle w:val="tabletext"/>
            </w:pPr>
            <w:r>
              <w:t>4.102</w:t>
            </w:r>
          </w:p>
        </w:tc>
      </w:tr>
      <w:tr w:rsidR="00DC2B54" w:rsidRPr="00231CBA" w14:paraId="532D14F8" w14:textId="77777777" w:rsidTr="00DC2B54">
        <w:trPr>
          <w:cantSplit/>
          <w:tblHeader/>
        </w:trPr>
        <w:tc>
          <w:tcPr>
            <w:tcW w:w="5760" w:type="dxa"/>
          </w:tcPr>
          <w:p w14:paraId="1AAFE489" w14:textId="77777777" w:rsidR="00DC2B54" w:rsidRPr="005D4EA7" w:rsidRDefault="00DC2B54" w:rsidP="00DC2B54">
            <w:pPr>
              <w:pStyle w:val="tabletext"/>
              <w:rPr>
                <w:lang w:val="fr-FR"/>
              </w:rPr>
            </w:pPr>
            <w:r w:rsidRPr="005D4EA7">
              <w:rPr>
                <w:lang w:val="fr-FR"/>
              </w:rPr>
              <w:t>Part 3, Division 6, Subdivision C, subsection 57(1)</w:t>
            </w:r>
          </w:p>
        </w:tc>
        <w:tc>
          <w:tcPr>
            <w:tcW w:w="1980" w:type="dxa"/>
          </w:tcPr>
          <w:p w14:paraId="68DF2220" w14:textId="77777777" w:rsidR="00DC2B54" w:rsidRDefault="00DC2B54" w:rsidP="00DC2B54">
            <w:pPr>
              <w:pStyle w:val="tabletext"/>
            </w:pPr>
            <w:r>
              <w:t>4.103, 4.104</w:t>
            </w:r>
          </w:p>
        </w:tc>
      </w:tr>
      <w:tr w:rsidR="00DC2B54" w:rsidRPr="00231CBA" w14:paraId="73461B1E" w14:textId="77777777" w:rsidTr="00DC2B54">
        <w:trPr>
          <w:cantSplit/>
          <w:tblHeader/>
        </w:trPr>
        <w:tc>
          <w:tcPr>
            <w:tcW w:w="5760" w:type="dxa"/>
          </w:tcPr>
          <w:p w14:paraId="038A44CA" w14:textId="77777777" w:rsidR="00DC2B54" w:rsidRPr="005D4EA7" w:rsidRDefault="00DC2B54" w:rsidP="00DC2B54">
            <w:pPr>
              <w:pStyle w:val="tabletext"/>
              <w:rPr>
                <w:lang w:val="fr-FR"/>
              </w:rPr>
            </w:pPr>
            <w:r w:rsidRPr="005D4EA7">
              <w:rPr>
                <w:lang w:val="fr-FR"/>
              </w:rPr>
              <w:t>Part 3, Division 6, Subdivision C, subsection 57(2)</w:t>
            </w:r>
          </w:p>
        </w:tc>
        <w:tc>
          <w:tcPr>
            <w:tcW w:w="1980" w:type="dxa"/>
          </w:tcPr>
          <w:p w14:paraId="6A7DB2ED" w14:textId="77777777" w:rsidR="00DC2B54" w:rsidRDefault="00DC2B54" w:rsidP="00DC2B54">
            <w:pPr>
              <w:pStyle w:val="tabletext"/>
            </w:pPr>
            <w:r>
              <w:t>4.105</w:t>
            </w:r>
          </w:p>
        </w:tc>
      </w:tr>
      <w:tr w:rsidR="00DC2B54" w:rsidRPr="00231CBA" w14:paraId="63E4D6EF" w14:textId="77777777" w:rsidTr="00DC2B54">
        <w:trPr>
          <w:cantSplit/>
          <w:tblHeader/>
        </w:trPr>
        <w:tc>
          <w:tcPr>
            <w:tcW w:w="5760" w:type="dxa"/>
          </w:tcPr>
          <w:p w14:paraId="638B32C0" w14:textId="77777777" w:rsidR="00DC2B54" w:rsidRPr="005D4EA7" w:rsidRDefault="00DC2B54" w:rsidP="00DC2B54">
            <w:pPr>
              <w:pStyle w:val="tabletext"/>
              <w:rPr>
                <w:lang w:val="fr-FR"/>
              </w:rPr>
            </w:pPr>
            <w:r w:rsidRPr="005D4EA7">
              <w:rPr>
                <w:lang w:val="fr-FR"/>
              </w:rPr>
              <w:t>Part 3, Division 6, Subdivision D, subsection 58(1)</w:t>
            </w:r>
          </w:p>
        </w:tc>
        <w:tc>
          <w:tcPr>
            <w:tcW w:w="1980" w:type="dxa"/>
          </w:tcPr>
          <w:p w14:paraId="6E26DC78" w14:textId="77777777" w:rsidR="00DC2B54" w:rsidRDefault="00DC2B54" w:rsidP="00DC2B54">
            <w:pPr>
              <w:pStyle w:val="tabletext"/>
            </w:pPr>
            <w:r>
              <w:t>4.106</w:t>
            </w:r>
          </w:p>
        </w:tc>
      </w:tr>
      <w:tr w:rsidR="00DC2B54" w:rsidRPr="00231CBA" w14:paraId="325B78BF" w14:textId="77777777" w:rsidTr="00DC2B54">
        <w:trPr>
          <w:cantSplit/>
          <w:tblHeader/>
        </w:trPr>
        <w:tc>
          <w:tcPr>
            <w:tcW w:w="5760" w:type="dxa"/>
          </w:tcPr>
          <w:p w14:paraId="5D168C07" w14:textId="77777777" w:rsidR="00DC2B54" w:rsidRPr="005D4EA7" w:rsidRDefault="00DC2B54" w:rsidP="00DC2B54">
            <w:pPr>
              <w:pStyle w:val="tabletext"/>
              <w:rPr>
                <w:lang w:val="fr-FR"/>
              </w:rPr>
            </w:pPr>
            <w:r w:rsidRPr="005D4EA7">
              <w:rPr>
                <w:lang w:val="fr-FR"/>
              </w:rPr>
              <w:t>Part 3, Division 6, Subdivision D, subsection 58(2)</w:t>
            </w:r>
          </w:p>
        </w:tc>
        <w:tc>
          <w:tcPr>
            <w:tcW w:w="1980" w:type="dxa"/>
          </w:tcPr>
          <w:p w14:paraId="4506D663" w14:textId="77777777" w:rsidR="00DC2B54" w:rsidRDefault="00DC2B54" w:rsidP="00DC2B54">
            <w:pPr>
              <w:pStyle w:val="tabletext"/>
            </w:pPr>
            <w:r>
              <w:t>4.108</w:t>
            </w:r>
          </w:p>
        </w:tc>
      </w:tr>
      <w:tr w:rsidR="00DC2B54" w:rsidRPr="00231CBA" w14:paraId="4A0F0E4D" w14:textId="77777777" w:rsidTr="00DC2B54">
        <w:trPr>
          <w:cantSplit/>
          <w:tblHeader/>
        </w:trPr>
        <w:tc>
          <w:tcPr>
            <w:tcW w:w="5760" w:type="dxa"/>
          </w:tcPr>
          <w:p w14:paraId="7A33F69F" w14:textId="77777777" w:rsidR="00DC2B54" w:rsidRDefault="00DC2B54" w:rsidP="00DC2B54">
            <w:pPr>
              <w:pStyle w:val="tabletext"/>
            </w:pPr>
            <w:r>
              <w:t>Part 3, Division 6, Subdivision E, subsections 59(1) and (2)</w:t>
            </w:r>
          </w:p>
        </w:tc>
        <w:tc>
          <w:tcPr>
            <w:tcW w:w="1980" w:type="dxa"/>
          </w:tcPr>
          <w:p w14:paraId="36893DA7" w14:textId="77777777" w:rsidR="00DC2B54" w:rsidRDefault="00DC2B54" w:rsidP="00DC2B54">
            <w:pPr>
              <w:pStyle w:val="tabletext"/>
            </w:pPr>
            <w:r>
              <w:t>4.109</w:t>
            </w:r>
          </w:p>
        </w:tc>
      </w:tr>
      <w:tr w:rsidR="00DC2B54" w:rsidRPr="00231CBA" w14:paraId="4920081E" w14:textId="77777777" w:rsidTr="00DC2B54">
        <w:trPr>
          <w:cantSplit/>
          <w:tblHeader/>
        </w:trPr>
        <w:tc>
          <w:tcPr>
            <w:tcW w:w="5760" w:type="dxa"/>
          </w:tcPr>
          <w:p w14:paraId="3EA4899F" w14:textId="77777777" w:rsidR="00DC2B54" w:rsidRPr="005D4EA7" w:rsidRDefault="00DC2B54" w:rsidP="00DC2B54">
            <w:pPr>
              <w:pStyle w:val="tabletext"/>
              <w:rPr>
                <w:lang w:val="fr-FR"/>
              </w:rPr>
            </w:pPr>
            <w:r w:rsidRPr="005D4EA7">
              <w:rPr>
                <w:lang w:val="fr-FR"/>
              </w:rPr>
              <w:t>Part 3, Division 6, Subdivision E, subsection 59(3)</w:t>
            </w:r>
          </w:p>
        </w:tc>
        <w:tc>
          <w:tcPr>
            <w:tcW w:w="1980" w:type="dxa"/>
          </w:tcPr>
          <w:p w14:paraId="494076F2" w14:textId="77777777" w:rsidR="00DC2B54" w:rsidRDefault="00DC2B54" w:rsidP="00DC2B54">
            <w:pPr>
              <w:pStyle w:val="tabletext"/>
            </w:pPr>
            <w:r>
              <w:t>4.110</w:t>
            </w:r>
          </w:p>
        </w:tc>
      </w:tr>
      <w:tr w:rsidR="00DC2B54" w:rsidRPr="00231CBA" w14:paraId="6CBE9FF9" w14:textId="77777777" w:rsidTr="00DC2B54">
        <w:trPr>
          <w:cantSplit/>
          <w:tblHeader/>
        </w:trPr>
        <w:tc>
          <w:tcPr>
            <w:tcW w:w="5760" w:type="dxa"/>
          </w:tcPr>
          <w:p w14:paraId="6CE43772" w14:textId="77777777" w:rsidR="00DC2B54" w:rsidRPr="005D4EA7" w:rsidRDefault="00DC2B54" w:rsidP="00DC2B54">
            <w:pPr>
              <w:pStyle w:val="tabletext"/>
              <w:rPr>
                <w:lang w:val="fr-FR"/>
              </w:rPr>
            </w:pPr>
            <w:r w:rsidRPr="005D4EA7">
              <w:rPr>
                <w:lang w:val="fr-FR"/>
              </w:rPr>
              <w:t>Part 3, Division 6, Subdivision E, subsection 59(4)</w:t>
            </w:r>
          </w:p>
        </w:tc>
        <w:tc>
          <w:tcPr>
            <w:tcW w:w="1980" w:type="dxa"/>
          </w:tcPr>
          <w:p w14:paraId="0A2FF45F" w14:textId="77777777" w:rsidR="00DC2B54" w:rsidRDefault="00DC2B54" w:rsidP="00DC2B54">
            <w:pPr>
              <w:pStyle w:val="tabletext"/>
            </w:pPr>
            <w:r>
              <w:t>4.111</w:t>
            </w:r>
          </w:p>
        </w:tc>
      </w:tr>
      <w:tr w:rsidR="00DC2B54" w:rsidRPr="00231CBA" w14:paraId="3EC2A7BA" w14:textId="77777777" w:rsidTr="00DC2B54">
        <w:trPr>
          <w:cantSplit/>
          <w:tblHeader/>
        </w:trPr>
        <w:tc>
          <w:tcPr>
            <w:tcW w:w="5760" w:type="dxa"/>
          </w:tcPr>
          <w:p w14:paraId="680C0DE3" w14:textId="77777777" w:rsidR="00DC2B54" w:rsidRPr="005D4EA7" w:rsidRDefault="00DC2B54" w:rsidP="00DC2B54">
            <w:pPr>
              <w:pStyle w:val="tabletext"/>
              <w:rPr>
                <w:lang w:val="fr-FR"/>
              </w:rPr>
            </w:pPr>
            <w:r w:rsidRPr="005D4EA7">
              <w:rPr>
                <w:lang w:val="fr-FR"/>
              </w:rPr>
              <w:t>Part 3, Division 6, Subdivision E, subsection 59(5)</w:t>
            </w:r>
          </w:p>
        </w:tc>
        <w:tc>
          <w:tcPr>
            <w:tcW w:w="1980" w:type="dxa"/>
          </w:tcPr>
          <w:p w14:paraId="317DB62D" w14:textId="77777777" w:rsidR="00DC2B54" w:rsidRDefault="00DC2B54" w:rsidP="00DC2B54">
            <w:pPr>
              <w:pStyle w:val="tabletext"/>
            </w:pPr>
            <w:r>
              <w:t>4.112</w:t>
            </w:r>
          </w:p>
        </w:tc>
      </w:tr>
      <w:tr w:rsidR="00DC2B54" w:rsidRPr="00231CBA" w14:paraId="1B57D368" w14:textId="77777777" w:rsidTr="00DC2B54">
        <w:trPr>
          <w:cantSplit/>
          <w:tblHeader/>
        </w:trPr>
        <w:tc>
          <w:tcPr>
            <w:tcW w:w="5760" w:type="dxa"/>
          </w:tcPr>
          <w:p w14:paraId="4CA95A12" w14:textId="77777777" w:rsidR="00DC2B54" w:rsidRPr="005D4EA7" w:rsidRDefault="00DC2B54" w:rsidP="00DC2B54">
            <w:pPr>
              <w:pStyle w:val="tabletext"/>
              <w:rPr>
                <w:lang w:val="fr-FR"/>
              </w:rPr>
            </w:pPr>
            <w:r w:rsidRPr="005D4EA7">
              <w:rPr>
                <w:lang w:val="fr-FR"/>
              </w:rPr>
              <w:t>Part 3, Division 6, Subdivision E, subsection 59(6)</w:t>
            </w:r>
          </w:p>
        </w:tc>
        <w:tc>
          <w:tcPr>
            <w:tcW w:w="1980" w:type="dxa"/>
          </w:tcPr>
          <w:p w14:paraId="17F133AB" w14:textId="77777777" w:rsidR="00DC2B54" w:rsidRDefault="00DC2B54" w:rsidP="00DC2B54">
            <w:pPr>
              <w:pStyle w:val="tabletext"/>
            </w:pPr>
            <w:r>
              <w:t>4.113</w:t>
            </w:r>
          </w:p>
        </w:tc>
      </w:tr>
      <w:tr w:rsidR="00DC2B54" w:rsidRPr="00231CBA" w14:paraId="1D28F520" w14:textId="77777777" w:rsidTr="00DC2B54">
        <w:trPr>
          <w:cantSplit/>
          <w:tblHeader/>
        </w:trPr>
        <w:tc>
          <w:tcPr>
            <w:tcW w:w="5760" w:type="dxa"/>
          </w:tcPr>
          <w:p w14:paraId="1355FDAC" w14:textId="77777777" w:rsidR="00DC2B54" w:rsidRPr="005D4EA7" w:rsidRDefault="00DC2B54" w:rsidP="00DC2B54">
            <w:pPr>
              <w:pStyle w:val="tabletext"/>
              <w:rPr>
                <w:lang w:val="fr-FR"/>
              </w:rPr>
            </w:pPr>
            <w:r w:rsidRPr="005D4EA7">
              <w:rPr>
                <w:lang w:val="fr-FR"/>
              </w:rPr>
              <w:t>Part 3, Division 6, Subdivision E, subsection 60(1)</w:t>
            </w:r>
          </w:p>
        </w:tc>
        <w:tc>
          <w:tcPr>
            <w:tcW w:w="1980" w:type="dxa"/>
          </w:tcPr>
          <w:p w14:paraId="64F16E7F" w14:textId="77777777" w:rsidR="00DC2B54" w:rsidRDefault="00DC2B54" w:rsidP="00DC2B54">
            <w:pPr>
              <w:pStyle w:val="tabletext"/>
            </w:pPr>
            <w:r>
              <w:t>4.114</w:t>
            </w:r>
          </w:p>
        </w:tc>
      </w:tr>
      <w:tr w:rsidR="00DC2B54" w:rsidRPr="00231CBA" w14:paraId="0EB8A25D" w14:textId="77777777" w:rsidTr="00DC2B54">
        <w:trPr>
          <w:cantSplit/>
          <w:tblHeader/>
        </w:trPr>
        <w:tc>
          <w:tcPr>
            <w:tcW w:w="5760" w:type="dxa"/>
          </w:tcPr>
          <w:p w14:paraId="4750912F" w14:textId="77777777" w:rsidR="00DC2B54" w:rsidRPr="005D4EA7" w:rsidRDefault="00DC2B54" w:rsidP="00DC2B54">
            <w:pPr>
              <w:pStyle w:val="tabletext"/>
              <w:rPr>
                <w:lang w:val="fr-FR"/>
              </w:rPr>
            </w:pPr>
            <w:r w:rsidRPr="005D4EA7">
              <w:rPr>
                <w:lang w:val="fr-FR"/>
              </w:rPr>
              <w:t>Part 3, Division 6, Subdivision E, subsection 60(2)</w:t>
            </w:r>
          </w:p>
        </w:tc>
        <w:tc>
          <w:tcPr>
            <w:tcW w:w="1980" w:type="dxa"/>
          </w:tcPr>
          <w:p w14:paraId="78DE99A1" w14:textId="77777777" w:rsidR="00DC2B54" w:rsidRDefault="00DC2B54" w:rsidP="00DC2B54">
            <w:pPr>
              <w:pStyle w:val="tabletext"/>
            </w:pPr>
            <w:r>
              <w:t>4.115</w:t>
            </w:r>
          </w:p>
        </w:tc>
      </w:tr>
      <w:tr w:rsidR="00DC2B54" w:rsidRPr="00231CBA" w14:paraId="15FBA5A3" w14:textId="77777777" w:rsidTr="00DC2B54">
        <w:trPr>
          <w:cantSplit/>
          <w:tblHeader/>
        </w:trPr>
        <w:tc>
          <w:tcPr>
            <w:tcW w:w="5760" w:type="dxa"/>
          </w:tcPr>
          <w:p w14:paraId="5C397A6A" w14:textId="77777777" w:rsidR="00DC2B54" w:rsidRDefault="00DC2B54" w:rsidP="00DC2B54">
            <w:pPr>
              <w:pStyle w:val="tabletext"/>
            </w:pPr>
            <w:r>
              <w:t>Part 3, Division 6, Subdivision E, subsections 60(3) and (4)</w:t>
            </w:r>
          </w:p>
        </w:tc>
        <w:tc>
          <w:tcPr>
            <w:tcW w:w="1980" w:type="dxa"/>
          </w:tcPr>
          <w:p w14:paraId="241A09EE" w14:textId="77777777" w:rsidR="00DC2B54" w:rsidRDefault="00DC2B54" w:rsidP="00DC2B54">
            <w:pPr>
              <w:pStyle w:val="tabletext"/>
            </w:pPr>
            <w:r>
              <w:t>4.116</w:t>
            </w:r>
          </w:p>
        </w:tc>
      </w:tr>
      <w:tr w:rsidR="00DC2B54" w:rsidRPr="00231CBA" w14:paraId="5DEE31A9" w14:textId="77777777" w:rsidTr="00DC2B54">
        <w:trPr>
          <w:cantSplit/>
          <w:tblHeader/>
        </w:trPr>
        <w:tc>
          <w:tcPr>
            <w:tcW w:w="5760" w:type="dxa"/>
          </w:tcPr>
          <w:p w14:paraId="720E1E33" w14:textId="77777777" w:rsidR="00DC2B54" w:rsidRPr="005D4EA7" w:rsidRDefault="00DC2B54" w:rsidP="00DC2B54">
            <w:pPr>
              <w:pStyle w:val="tabletext"/>
              <w:rPr>
                <w:lang w:val="fr-FR"/>
              </w:rPr>
            </w:pPr>
            <w:r w:rsidRPr="005D4EA7">
              <w:rPr>
                <w:lang w:val="fr-FR"/>
              </w:rPr>
              <w:t>Part 3, Division 6, Subdivision E, subsection 60(5)</w:t>
            </w:r>
          </w:p>
        </w:tc>
        <w:tc>
          <w:tcPr>
            <w:tcW w:w="1980" w:type="dxa"/>
          </w:tcPr>
          <w:p w14:paraId="22A98F61" w14:textId="77777777" w:rsidR="00DC2B54" w:rsidRDefault="00DC2B54" w:rsidP="00DC2B54">
            <w:pPr>
              <w:pStyle w:val="tabletext"/>
            </w:pPr>
            <w:r>
              <w:t>4.117</w:t>
            </w:r>
          </w:p>
        </w:tc>
      </w:tr>
      <w:tr w:rsidR="00DC2B54" w:rsidRPr="00231CBA" w14:paraId="7EB04771" w14:textId="77777777" w:rsidTr="00DC2B54">
        <w:trPr>
          <w:cantSplit/>
          <w:tblHeader/>
        </w:trPr>
        <w:tc>
          <w:tcPr>
            <w:tcW w:w="5760" w:type="dxa"/>
          </w:tcPr>
          <w:p w14:paraId="15F40DCB" w14:textId="77777777" w:rsidR="00DC2B54" w:rsidRDefault="00DC2B54" w:rsidP="00DC2B54">
            <w:pPr>
              <w:pStyle w:val="tabletext"/>
            </w:pPr>
            <w:r>
              <w:t>Part 3, Division 6, Subdivision E, subsections 60(6) and (7)</w:t>
            </w:r>
          </w:p>
        </w:tc>
        <w:tc>
          <w:tcPr>
            <w:tcW w:w="1980" w:type="dxa"/>
          </w:tcPr>
          <w:p w14:paraId="4EC1DFB7" w14:textId="77777777" w:rsidR="00DC2B54" w:rsidRDefault="00DC2B54" w:rsidP="00DC2B54">
            <w:pPr>
              <w:pStyle w:val="tabletext"/>
            </w:pPr>
            <w:r>
              <w:t>4.118</w:t>
            </w:r>
          </w:p>
        </w:tc>
      </w:tr>
      <w:tr w:rsidR="00DC2B54" w:rsidRPr="00231CBA" w14:paraId="7D0BC500" w14:textId="77777777" w:rsidTr="00DC2B54">
        <w:trPr>
          <w:cantSplit/>
          <w:tblHeader/>
        </w:trPr>
        <w:tc>
          <w:tcPr>
            <w:tcW w:w="5760" w:type="dxa"/>
          </w:tcPr>
          <w:p w14:paraId="4BB1C3B2" w14:textId="77777777" w:rsidR="00DC2B54" w:rsidRPr="005D4EA7" w:rsidRDefault="00DC2B54" w:rsidP="00DC2B54">
            <w:pPr>
              <w:pStyle w:val="tabletext"/>
              <w:rPr>
                <w:lang w:val="fr-FR"/>
              </w:rPr>
            </w:pPr>
            <w:r w:rsidRPr="005D4EA7">
              <w:rPr>
                <w:lang w:val="fr-FR"/>
              </w:rPr>
              <w:t>Part 3, Division 6, Subdivision E, subsection 61(1)</w:t>
            </w:r>
          </w:p>
        </w:tc>
        <w:tc>
          <w:tcPr>
            <w:tcW w:w="1980" w:type="dxa"/>
          </w:tcPr>
          <w:p w14:paraId="7DAD5110" w14:textId="77777777" w:rsidR="00DC2B54" w:rsidRDefault="00DC2B54" w:rsidP="00DC2B54">
            <w:pPr>
              <w:pStyle w:val="tabletext"/>
            </w:pPr>
            <w:r>
              <w:t>4.119</w:t>
            </w:r>
          </w:p>
        </w:tc>
      </w:tr>
      <w:tr w:rsidR="00DC2B54" w:rsidRPr="00231CBA" w14:paraId="37D3C4A2" w14:textId="77777777" w:rsidTr="00DC2B54">
        <w:trPr>
          <w:cantSplit/>
          <w:tblHeader/>
        </w:trPr>
        <w:tc>
          <w:tcPr>
            <w:tcW w:w="5760" w:type="dxa"/>
          </w:tcPr>
          <w:p w14:paraId="47918A4F" w14:textId="77777777" w:rsidR="00DC2B54" w:rsidRPr="005D4EA7" w:rsidRDefault="00DC2B54" w:rsidP="00DC2B54">
            <w:pPr>
              <w:pStyle w:val="tabletext"/>
              <w:rPr>
                <w:lang w:val="fr-FR"/>
              </w:rPr>
            </w:pPr>
            <w:r w:rsidRPr="005D4EA7">
              <w:rPr>
                <w:lang w:val="fr-FR"/>
              </w:rPr>
              <w:t>Part 3, Division 6, Subdivision E, subsection 61(2)</w:t>
            </w:r>
          </w:p>
        </w:tc>
        <w:tc>
          <w:tcPr>
            <w:tcW w:w="1980" w:type="dxa"/>
          </w:tcPr>
          <w:p w14:paraId="3573D589" w14:textId="77777777" w:rsidR="00DC2B54" w:rsidRDefault="00DC2B54" w:rsidP="00DC2B54">
            <w:pPr>
              <w:pStyle w:val="tabletext"/>
            </w:pPr>
            <w:r>
              <w:t>4.120</w:t>
            </w:r>
          </w:p>
        </w:tc>
      </w:tr>
      <w:tr w:rsidR="00DC2B54" w:rsidRPr="00231CBA" w14:paraId="6CFA5E1F" w14:textId="77777777" w:rsidTr="00DC2B54">
        <w:trPr>
          <w:cantSplit/>
          <w:tblHeader/>
        </w:trPr>
        <w:tc>
          <w:tcPr>
            <w:tcW w:w="5760" w:type="dxa"/>
          </w:tcPr>
          <w:p w14:paraId="522B48DA" w14:textId="77777777" w:rsidR="00DC2B54" w:rsidRDefault="00DC2B54" w:rsidP="00DC2B54">
            <w:pPr>
              <w:pStyle w:val="tabletext"/>
            </w:pPr>
            <w:r>
              <w:t>Part 3, Division 6, Subdivision F, section 62</w:t>
            </w:r>
          </w:p>
        </w:tc>
        <w:tc>
          <w:tcPr>
            <w:tcW w:w="1980" w:type="dxa"/>
          </w:tcPr>
          <w:p w14:paraId="6196B068" w14:textId="77777777" w:rsidR="00DC2B54" w:rsidRDefault="00DC2B54" w:rsidP="00DC2B54">
            <w:pPr>
              <w:pStyle w:val="tabletext"/>
            </w:pPr>
            <w:r>
              <w:t>4.121</w:t>
            </w:r>
          </w:p>
        </w:tc>
      </w:tr>
      <w:tr w:rsidR="00DC2B54" w:rsidRPr="00231CBA" w14:paraId="13E1CD65" w14:textId="77777777" w:rsidTr="00DC2B54">
        <w:trPr>
          <w:cantSplit/>
          <w:tblHeader/>
        </w:trPr>
        <w:tc>
          <w:tcPr>
            <w:tcW w:w="5760" w:type="dxa"/>
          </w:tcPr>
          <w:p w14:paraId="5BF9AB05" w14:textId="77777777" w:rsidR="00DC2B54" w:rsidRPr="005D4EA7" w:rsidRDefault="00DC2B54" w:rsidP="00DC2B54">
            <w:pPr>
              <w:pStyle w:val="tabletext"/>
              <w:rPr>
                <w:lang w:val="fr-FR"/>
              </w:rPr>
            </w:pPr>
            <w:r w:rsidRPr="005D4EA7">
              <w:rPr>
                <w:lang w:val="fr-FR"/>
              </w:rPr>
              <w:t>Part 3, Division 6, Subdivision  E, section 63</w:t>
            </w:r>
          </w:p>
        </w:tc>
        <w:tc>
          <w:tcPr>
            <w:tcW w:w="1980" w:type="dxa"/>
          </w:tcPr>
          <w:p w14:paraId="1422BE0E" w14:textId="77777777" w:rsidR="00DC2B54" w:rsidRDefault="00DC2B54" w:rsidP="00DC2B54">
            <w:pPr>
              <w:pStyle w:val="tabletext"/>
            </w:pPr>
            <w:r>
              <w:t>4.122</w:t>
            </w:r>
          </w:p>
        </w:tc>
      </w:tr>
      <w:tr w:rsidR="00DC2B54" w:rsidRPr="00231CBA" w14:paraId="0F353A6D" w14:textId="77777777" w:rsidTr="00DC2B54">
        <w:trPr>
          <w:cantSplit/>
          <w:tblHeader/>
        </w:trPr>
        <w:tc>
          <w:tcPr>
            <w:tcW w:w="5760" w:type="dxa"/>
          </w:tcPr>
          <w:p w14:paraId="589158E8" w14:textId="77777777" w:rsidR="00DC2B54" w:rsidRPr="005D4EA7" w:rsidRDefault="00DC2B54" w:rsidP="00DC2B54">
            <w:pPr>
              <w:pStyle w:val="tabletext"/>
              <w:rPr>
                <w:lang w:val="fr-FR"/>
              </w:rPr>
            </w:pPr>
            <w:r w:rsidRPr="005D4EA7">
              <w:rPr>
                <w:lang w:val="fr-FR"/>
              </w:rPr>
              <w:t>Part 3, Division 6, Subdivision F, subsection 64(1)</w:t>
            </w:r>
          </w:p>
        </w:tc>
        <w:tc>
          <w:tcPr>
            <w:tcW w:w="1980" w:type="dxa"/>
          </w:tcPr>
          <w:p w14:paraId="5B0CA57B" w14:textId="77777777" w:rsidR="00DC2B54" w:rsidRDefault="00DC2B54" w:rsidP="00DC2B54">
            <w:pPr>
              <w:pStyle w:val="tabletext"/>
            </w:pPr>
            <w:r>
              <w:t>4.123</w:t>
            </w:r>
          </w:p>
        </w:tc>
      </w:tr>
      <w:tr w:rsidR="00DC2B54" w:rsidRPr="00231CBA" w14:paraId="102DCDA7" w14:textId="77777777" w:rsidTr="00DC2B54">
        <w:trPr>
          <w:cantSplit/>
          <w:tblHeader/>
        </w:trPr>
        <w:tc>
          <w:tcPr>
            <w:tcW w:w="5760" w:type="dxa"/>
          </w:tcPr>
          <w:p w14:paraId="080F19CE" w14:textId="77777777" w:rsidR="00DC2B54" w:rsidRPr="005D4EA7" w:rsidRDefault="00DC2B54" w:rsidP="00DC2B54">
            <w:pPr>
              <w:pStyle w:val="tabletext"/>
              <w:rPr>
                <w:lang w:val="fr-FR"/>
              </w:rPr>
            </w:pPr>
            <w:r w:rsidRPr="005D4EA7">
              <w:rPr>
                <w:lang w:val="fr-FR"/>
              </w:rPr>
              <w:t>Part 3, Division 6, Subdivision F, subsection 64(2)</w:t>
            </w:r>
          </w:p>
        </w:tc>
        <w:tc>
          <w:tcPr>
            <w:tcW w:w="1980" w:type="dxa"/>
          </w:tcPr>
          <w:p w14:paraId="465D9BC6" w14:textId="77777777" w:rsidR="00DC2B54" w:rsidRDefault="00DC2B54" w:rsidP="00DC2B54">
            <w:pPr>
              <w:pStyle w:val="tabletext"/>
            </w:pPr>
            <w:r>
              <w:t>4.124</w:t>
            </w:r>
          </w:p>
        </w:tc>
      </w:tr>
      <w:tr w:rsidR="00DC2B54" w:rsidRPr="00231CBA" w14:paraId="5659882F" w14:textId="77777777" w:rsidTr="00DC2B54">
        <w:trPr>
          <w:cantSplit/>
          <w:tblHeader/>
        </w:trPr>
        <w:tc>
          <w:tcPr>
            <w:tcW w:w="5760" w:type="dxa"/>
          </w:tcPr>
          <w:p w14:paraId="48374786" w14:textId="77777777" w:rsidR="00DC2B54" w:rsidRDefault="00DC2B54" w:rsidP="00DC2B54">
            <w:pPr>
              <w:pStyle w:val="tabletext"/>
            </w:pPr>
            <w:r>
              <w:t>Part 3, Division 6, Subdivision F, subsections 65(1), (2) and (3)</w:t>
            </w:r>
          </w:p>
        </w:tc>
        <w:tc>
          <w:tcPr>
            <w:tcW w:w="1980" w:type="dxa"/>
          </w:tcPr>
          <w:p w14:paraId="0BBFC0F1" w14:textId="77777777" w:rsidR="00DC2B54" w:rsidRDefault="00DC2B54" w:rsidP="00DC2B54">
            <w:pPr>
              <w:pStyle w:val="tabletext"/>
            </w:pPr>
            <w:r>
              <w:t>4.125</w:t>
            </w:r>
          </w:p>
        </w:tc>
      </w:tr>
      <w:tr w:rsidR="00DC2B54" w:rsidRPr="00231CBA" w14:paraId="56D290CF" w14:textId="77777777" w:rsidTr="00DC2B54">
        <w:trPr>
          <w:cantSplit/>
          <w:tblHeader/>
        </w:trPr>
        <w:tc>
          <w:tcPr>
            <w:tcW w:w="5760" w:type="dxa"/>
          </w:tcPr>
          <w:p w14:paraId="43CA5A7A" w14:textId="77777777" w:rsidR="00DC2B54" w:rsidRPr="005D4EA7" w:rsidRDefault="00DC2B54" w:rsidP="00DC2B54">
            <w:pPr>
              <w:pStyle w:val="tabletext"/>
              <w:rPr>
                <w:lang w:val="fr-FR"/>
              </w:rPr>
            </w:pPr>
            <w:r w:rsidRPr="005D4EA7">
              <w:rPr>
                <w:lang w:val="fr-FR"/>
              </w:rPr>
              <w:t>Part 3, Division 6, Subdivision F, subsection 65(4)</w:t>
            </w:r>
          </w:p>
        </w:tc>
        <w:tc>
          <w:tcPr>
            <w:tcW w:w="1980" w:type="dxa"/>
          </w:tcPr>
          <w:p w14:paraId="44FDC746" w14:textId="77777777" w:rsidR="00DC2B54" w:rsidRDefault="00DC2B54" w:rsidP="00DC2B54">
            <w:pPr>
              <w:pStyle w:val="tabletext"/>
            </w:pPr>
            <w:r>
              <w:t>4.126</w:t>
            </w:r>
          </w:p>
        </w:tc>
      </w:tr>
      <w:tr w:rsidR="00DC2B54" w:rsidRPr="00231CBA" w14:paraId="117A4FB5" w14:textId="77777777" w:rsidTr="00DC2B54">
        <w:trPr>
          <w:cantSplit/>
          <w:tblHeader/>
        </w:trPr>
        <w:tc>
          <w:tcPr>
            <w:tcW w:w="5760" w:type="dxa"/>
          </w:tcPr>
          <w:p w14:paraId="670A40DE" w14:textId="77777777" w:rsidR="00DC2B54" w:rsidRPr="005D4EA7" w:rsidRDefault="00DC2B54" w:rsidP="00DC2B54">
            <w:pPr>
              <w:pStyle w:val="tabletext"/>
              <w:rPr>
                <w:lang w:val="fr-FR"/>
              </w:rPr>
            </w:pPr>
            <w:r w:rsidRPr="005D4EA7">
              <w:rPr>
                <w:lang w:val="fr-FR"/>
              </w:rPr>
              <w:t>Part 3, Division 6, Subdivision F, subsection 65(5)</w:t>
            </w:r>
          </w:p>
        </w:tc>
        <w:tc>
          <w:tcPr>
            <w:tcW w:w="1980" w:type="dxa"/>
          </w:tcPr>
          <w:p w14:paraId="0F678587" w14:textId="77777777" w:rsidR="00DC2B54" w:rsidRDefault="00DC2B54" w:rsidP="00DC2B54">
            <w:pPr>
              <w:pStyle w:val="tabletext"/>
            </w:pPr>
            <w:r>
              <w:t>4.127</w:t>
            </w:r>
          </w:p>
        </w:tc>
      </w:tr>
      <w:tr w:rsidR="00DC2B54" w:rsidRPr="00231CBA" w14:paraId="0E330D00" w14:textId="77777777" w:rsidTr="00DC2B54">
        <w:trPr>
          <w:cantSplit/>
          <w:tblHeader/>
        </w:trPr>
        <w:tc>
          <w:tcPr>
            <w:tcW w:w="5760" w:type="dxa"/>
          </w:tcPr>
          <w:p w14:paraId="1C50870E" w14:textId="77777777" w:rsidR="00DC2B54" w:rsidRPr="005D4EA7" w:rsidRDefault="00DC2B54" w:rsidP="00DC2B54">
            <w:pPr>
              <w:pStyle w:val="tabletext"/>
              <w:rPr>
                <w:lang w:val="fr-FR"/>
              </w:rPr>
            </w:pPr>
            <w:r w:rsidRPr="005D4EA7">
              <w:rPr>
                <w:lang w:val="fr-FR"/>
              </w:rPr>
              <w:t>Part 3, Division 6, Subdivision F, subsection 65(6)</w:t>
            </w:r>
          </w:p>
        </w:tc>
        <w:tc>
          <w:tcPr>
            <w:tcW w:w="1980" w:type="dxa"/>
          </w:tcPr>
          <w:p w14:paraId="5859F5AF" w14:textId="77777777" w:rsidR="00DC2B54" w:rsidRDefault="00DC2B54" w:rsidP="00DC2B54">
            <w:pPr>
              <w:pStyle w:val="tabletext"/>
            </w:pPr>
            <w:r>
              <w:t>4.128</w:t>
            </w:r>
          </w:p>
        </w:tc>
      </w:tr>
      <w:tr w:rsidR="00DC2B54" w:rsidRPr="00231CBA" w14:paraId="09FA6D9A" w14:textId="77777777" w:rsidTr="00DC2B54">
        <w:trPr>
          <w:cantSplit/>
          <w:tblHeader/>
        </w:trPr>
        <w:tc>
          <w:tcPr>
            <w:tcW w:w="5760" w:type="dxa"/>
          </w:tcPr>
          <w:p w14:paraId="578664FB" w14:textId="77777777" w:rsidR="00DC2B54" w:rsidRPr="005D4EA7" w:rsidRDefault="00DC2B54" w:rsidP="00DC2B54">
            <w:pPr>
              <w:pStyle w:val="tabletext"/>
              <w:rPr>
                <w:lang w:val="fr-FR"/>
              </w:rPr>
            </w:pPr>
            <w:r w:rsidRPr="005D4EA7">
              <w:rPr>
                <w:lang w:val="fr-FR"/>
              </w:rPr>
              <w:t>Part 3, Division 6, Subdivision F, subsection 65(7)</w:t>
            </w:r>
          </w:p>
        </w:tc>
        <w:tc>
          <w:tcPr>
            <w:tcW w:w="1980" w:type="dxa"/>
          </w:tcPr>
          <w:p w14:paraId="59DCE2EC" w14:textId="77777777" w:rsidR="00DC2B54" w:rsidRDefault="00DC2B54" w:rsidP="00DC2B54">
            <w:pPr>
              <w:pStyle w:val="tabletext"/>
            </w:pPr>
            <w:r>
              <w:t>4.129</w:t>
            </w:r>
          </w:p>
        </w:tc>
      </w:tr>
      <w:tr w:rsidR="00DC2B54" w:rsidRPr="00231CBA" w14:paraId="0971D74F" w14:textId="77777777" w:rsidTr="00DC2B54">
        <w:trPr>
          <w:cantSplit/>
          <w:tblHeader/>
        </w:trPr>
        <w:tc>
          <w:tcPr>
            <w:tcW w:w="5760" w:type="dxa"/>
          </w:tcPr>
          <w:p w14:paraId="674B55B4" w14:textId="77777777" w:rsidR="00DC2B54" w:rsidRDefault="00DC2B54" w:rsidP="00DC2B54">
            <w:pPr>
              <w:pStyle w:val="tabletext"/>
            </w:pPr>
            <w:r>
              <w:t>Part 3, Division 7, subsection 66(1)</w:t>
            </w:r>
          </w:p>
        </w:tc>
        <w:tc>
          <w:tcPr>
            <w:tcW w:w="1980" w:type="dxa"/>
          </w:tcPr>
          <w:p w14:paraId="5023D366" w14:textId="77777777" w:rsidR="00DC2B54" w:rsidRDefault="00DC2B54" w:rsidP="00DC2B54">
            <w:pPr>
              <w:pStyle w:val="tabletext"/>
            </w:pPr>
            <w:r>
              <w:t>4.130</w:t>
            </w:r>
          </w:p>
        </w:tc>
      </w:tr>
      <w:tr w:rsidR="00DC2B54" w:rsidRPr="00231CBA" w14:paraId="5D3C295E" w14:textId="77777777" w:rsidTr="00DC2B54">
        <w:trPr>
          <w:cantSplit/>
          <w:tblHeader/>
        </w:trPr>
        <w:tc>
          <w:tcPr>
            <w:tcW w:w="5760" w:type="dxa"/>
          </w:tcPr>
          <w:p w14:paraId="6F5DB0B6" w14:textId="77777777" w:rsidR="00DC2B54" w:rsidRDefault="00DC2B54" w:rsidP="00DC2B54">
            <w:pPr>
              <w:pStyle w:val="tabletext"/>
            </w:pPr>
            <w:r>
              <w:t>Part 3, Division 7, subsection 66(2)</w:t>
            </w:r>
          </w:p>
        </w:tc>
        <w:tc>
          <w:tcPr>
            <w:tcW w:w="1980" w:type="dxa"/>
          </w:tcPr>
          <w:p w14:paraId="78512D1A" w14:textId="77777777" w:rsidR="00DC2B54" w:rsidRDefault="00DC2B54" w:rsidP="00DC2B54">
            <w:pPr>
              <w:pStyle w:val="tabletext"/>
            </w:pPr>
            <w:r>
              <w:t>4.131</w:t>
            </w:r>
          </w:p>
        </w:tc>
      </w:tr>
      <w:tr w:rsidR="00DC2B54" w:rsidRPr="00231CBA" w14:paraId="69BB9525" w14:textId="77777777" w:rsidTr="00DC2B54">
        <w:trPr>
          <w:cantSplit/>
          <w:tblHeader/>
        </w:trPr>
        <w:tc>
          <w:tcPr>
            <w:tcW w:w="5760" w:type="dxa"/>
          </w:tcPr>
          <w:p w14:paraId="680BDCC7" w14:textId="77777777" w:rsidR="00DC2B54" w:rsidRDefault="00DC2B54" w:rsidP="00DC2B54">
            <w:pPr>
              <w:pStyle w:val="tabletext"/>
            </w:pPr>
            <w:r>
              <w:t>Part 3, Division 7, section 67</w:t>
            </w:r>
          </w:p>
        </w:tc>
        <w:tc>
          <w:tcPr>
            <w:tcW w:w="1980" w:type="dxa"/>
          </w:tcPr>
          <w:p w14:paraId="2A21B222" w14:textId="77777777" w:rsidR="00DC2B54" w:rsidRDefault="00DC2B54" w:rsidP="00DC2B54">
            <w:pPr>
              <w:pStyle w:val="tabletext"/>
            </w:pPr>
            <w:r>
              <w:t>4.132</w:t>
            </w:r>
          </w:p>
        </w:tc>
      </w:tr>
      <w:tr w:rsidR="00DC2B54" w:rsidRPr="00231CBA" w14:paraId="4B3B1D7F" w14:textId="77777777" w:rsidTr="00DC2B54">
        <w:trPr>
          <w:cantSplit/>
          <w:tblHeader/>
        </w:trPr>
        <w:tc>
          <w:tcPr>
            <w:tcW w:w="5760" w:type="dxa"/>
          </w:tcPr>
          <w:p w14:paraId="5C55A1A1" w14:textId="77777777" w:rsidR="00DC2B54" w:rsidRDefault="00DC2B54" w:rsidP="00DC2B54">
            <w:pPr>
              <w:pStyle w:val="tabletext"/>
            </w:pPr>
            <w:r>
              <w:t>Part 3, Division 7, sections 68 and 69</w:t>
            </w:r>
          </w:p>
        </w:tc>
        <w:tc>
          <w:tcPr>
            <w:tcW w:w="1980" w:type="dxa"/>
          </w:tcPr>
          <w:p w14:paraId="5C267A9F" w14:textId="77777777" w:rsidR="00DC2B54" w:rsidRDefault="00DC2B54" w:rsidP="00DC2B54">
            <w:pPr>
              <w:pStyle w:val="tabletext"/>
            </w:pPr>
            <w:r>
              <w:t>4.133</w:t>
            </w:r>
          </w:p>
        </w:tc>
      </w:tr>
      <w:tr w:rsidR="00DC2B54" w:rsidRPr="00231CBA" w14:paraId="6DE38A82" w14:textId="77777777" w:rsidTr="00DC2B54">
        <w:trPr>
          <w:cantSplit/>
          <w:tblHeader/>
        </w:trPr>
        <w:tc>
          <w:tcPr>
            <w:tcW w:w="5760" w:type="dxa"/>
          </w:tcPr>
          <w:p w14:paraId="35E77504" w14:textId="77777777" w:rsidR="00DC2B54" w:rsidRDefault="00DC2B54" w:rsidP="00DC2B54">
            <w:pPr>
              <w:pStyle w:val="tabletext"/>
            </w:pPr>
            <w:r>
              <w:t>Part 3, Division 8, Subdivision A, subsection 70(1)</w:t>
            </w:r>
          </w:p>
        </w:tc>
        <w:tc>
          <w:tcPr>
            <w:tcW w:w="1980" w:type="dxa"/>
          </w:tcPr>
          <w:p w14:paraId="0B80F92A" w14:textId="77777777" w:rsidR="00DC2B54" w:rsidRDefault="00DC2B54" w:rsidP="00DC2B54">
            <w:pPr>
              <w:pStyle w:val="tabletext"/>
            </w:pPr>
            <w:r>
              <w:t>4.134</w:t>
            </w:r>
          </w:p>
        </w:tc>
      </w:tr>
      <w:tr w:rsidR="00DC2B54" w:rsidRPr="00231CBA" w14:paraId="4CA25BA7" w14:textId="77777777" w:rsidTr="00DC2B54">
        <w:trPr>
          <w:cantSplit/>
          <w:tblHeader/>
        </w:trPr>
        <w:tc>
          <w:tcPr>
            <w:tcW w:w="5760" w:type="dxa"/>
          </w:tcPr>
          <w:p w14:paraId="4D459DA7" w14:textId="77777777" w:rsidR="00DC2B54" w:rsidRDefault="00DC2B54" w:rsidP="00DC2B54">
            <w:pPr>
              <w:pStyle w:val="tabletext"/>
            </w:pPr>
            <w:r>
              <w:t>Part 3, Division 8, Subdivision A, subsection 70(2)</w:t>
            </w:r>
          </w:p>
        </w:tc>
        <w:tc>
          <w:tcPr>
            <w:tcW w:w="1980" w:type="dxa"/>
          </w:tcPr>
          <w:p w14:paraId="02BDF666" w14:textId="77777777" w:rsidR="00DC2B54" w:rsidRDefault="00DC2B54" w:rsidP="00DC2B54">
            <w:pPr>
              <w:pStyle w:val="tabletext"/>
            </w:pPr>
            <w:r>
              <w:t>4.135</w:t>
            </w:r>
          </w:p>
        </w:tc>
      </w:tr>
      <w:tr w:rsidR="00DC2B54" w:rsidRPr="00231CBA" w14:paraId="5F166B98" w14:textId="77777777" w:rsidTr="00DC2B54">
        <w:trPr>
          <w:cantSplit/>
          <w:tblHeader/>
        </w:trPr>
        <w:tc>
          <w:tcPr>
            <w:tcW w:w="5760" w:type="dxa"/>
          </w:tcPr>
          <w:p w14:paraId="0BA30325" w14:textId="77777777" w:rsidR="00DC2B54" w:rsidRDefault="00DC2B54" w:rsidP="00DC2B54">
            <w:pPr>
              <w:pStyle w:val="tabletext"/>
            </w:pPr>
            <w:r>
              <w:t>Part 3, Division 8, Subdivision A, subsection 70(3)</w:t>
            </w:r>
          </w:p>
        </w:tc>
        <w:tc>
          <w:tcPr>
            <w:tcW w:w="1980" w:type="dxa"/>
          </w:tcPr>
          <w:p w14:paraId="07BC5506" w14:textId="77777777" w:rsidR="00DC2B54" w:rsidRDefault="00DC2B54" w:rsidP="00DC2B54">
            <w:pPr>
              <w:pStyle w:val="tabletext"/>
            </w:pPr>
            <w:r>
              <w:t>4.136</w:t>
            </w:r>
          </w:p>
        </w:tc>
      </w:tr>
      <w:tr w:rsidR="00DC2B54" w:rsidRPr="00231CBA" w14:paraId="22FDE821" w14:textId="77777777" w:rsidTr="00DC2B54">
        <w:trPr>
          <w:cantSplit/>
          <w:tblHeader/>
        </w:trPr>
        <w:tc>
          <w:tcPr>
            <w:tcW w:w="5760" w:type="dxa"/>
          </w:tcPr>
          <w:p w14:paraId="7A2A8AB2" w14:textId="77777777" w:rsidR="00DC2B54" w:rsidRDefault="00DC2B54" w:rsidP="00DC2B54">
            <w:pPr>
              <w:pStyle w:val="tabletext"/>
            </w:pPr>
            <w:r>
              <w:t>Part 3, Division 8, Subdivision A, section 71</w:t>
            </w:r>
          </w:p>
        </w:tc>
        <w:tc>
          <w:tcPr>
            <w:tcW w:w="1980" w:type="dxa"/>
          </w:tcPr>
          <w:p w14:paraId="4D17BEC2" w14:textId="77777777" w:rsidR="00DC2B54" w:rsidRDefault="00DC2B54" w:rsidP="00DC2B54">
            <w:pPr>
              <w:pStyle w:val="tabletext"/>
            </w:pPr>
            <w:r>
              <w:t>4.137</w:t>
            </w:r>
          </w:p>
        </w:tc>
      </w:tr>
      <w:tr w:rsidR="00DC2B54" w:rsidRPr="00231CBA" w14:paraId="2EAAA39C" w14:textId="77777777" w:rsidTr="00DC2B54">
        <w:trPr>
          <w:cantSplit/>
          <w:tblHeader/>
        </w:trPr>
        <w:tc>
          <w:tcPr>
            <w:tcW w:w="5760" w:type="dxa"/>
          </w:tcPr>
          <w:p w14:paraId="01BEF0B1" w14:textId="77777777" w:rsidR="00DC2B54" w:rsidRDefault="00DC2B54" w:rsidP="00DC2B54">
            <w:pPr>
              <w:pStyle w:val="tabletext"/>
            </w:pPr>
            <w:r>
              <w:t>Part 3, Division 8, Subdivision A, section 72</w:t>
            </w:r>
          </w:p>
        </w:tc>
        <w:tc>
          <w:tcPr>
            <w:tcW w:w="1980" w:type="dxa"/>
          </w:tcPr>
          <w:p w14:paraId="15245A58" w14:textId="77777777" w:rsidR="00DC2B54" w:rsidRDefault="00DC2B54" w:rsidP="00DC2B54">
            <w:pPr>
              <w:pStyle w:val="tabletext"/>
            </w:pPr>
            <w:r>
              <w:t>4.138</w:t>
            </w:r>
          </w:p>
        </w:tc>
      </w:tr>
      <w:tr w:rsidR="00DC2B54" w:rsidRPr="00231CBA" w14:paraId="37016996" w14:textId="77777777" w:rsidTr="00DC2B54">
        <w:trPr>
          <w:cantSplit/>
          <w:tblHeader/>
        </w:trPr>
        <w:tc>
          <w:tcPr>
            <w:tcW w:w="5760" w:type="dxa"/>
          </w:tcPr>
          <w:p w14:paraId="635366A5" w14:textId="77777777" w:rsidR="00DC2B54" w:rsidRDefault="00DC2B54" w:rsidP="00DC2B54">
            <w:pPr>
              <w:pStyle w:val="tabletext"/>
            </w:pPr>
            <w:r>
              <w:t>Part 3, Division 8, Subdivision B, subsection 73(1)</w:t>
            </w:r>
          </w:p>
        </w:tc>
        <w:tc>
          <w:tcPr>
            <w:tcW w:w="1980" w:type="dxa"/>
          </w:tcPr>
          <w:p w14:paraId="1195B304" w14:textId="77777777" w:rsidR="00DC2B54" w:rsidRDefault="00DC2B54" w:rsidP="00DC2B54">
            <w:pPr>
              <w:pStyle w:val="tabletext"/>
            </w:pPr>
            <w:r>
              <w:t>4.139</w:t>
            </w:r>
          </w:p>
        </w:tc>
      </w:tr>
      <w:tr w:rsidR="00DC2B54" w:rsidRPr="00231CBA" w14:paraId="011659DA" w14:textId="77777777" w:rsidTr="00DC2B54">
        <w:trPr>
          <w:cantSplit/>
          <w:tblHeader/>
        </w:trPr>
        <w:tc>
          <w:tcPr>
            <w:tcW w:w="5760" w:type="dxa"/>
          </w:tcPr>
          <w:p w14:paraId="4C3C5DC2" w14:textId="77777777" w:rsidR="00DC2B54" w:rsidRDefault="00DC2B54" w:rsidP="00DC2B54">
            <w:pPr>
              <w:pStyle w:val="tabletext"/>
            </w:pPr>
            <w:r>
              <w:t>Part 3, Division 8, Subdivision B, subsections 73(2) and (3)</w:t>
            </w:r>
          </w:p>
        </w:tc>
        <w:tc>
          <w:tcPr>
            <w:tcW w:w="1980" w:type="dxa"/>
          </w:tcPr>
          <w:p w14:paraId="42E5B325" w14:textId="77777777" w:rsidR="00DC2B54" w:rsidRDefault="00DC2B54" w:rsidP="00DC2B54">
            <w:pPr>
              <w:pStyle w:val="tabletext"/>
            </w:pPr>
            <w:r>
              <w:t>4.141</w:t>
            </w:r>
          </w:p>
        </w:tc>
      </w:tr>
      <w:tr w:rsidR="00DC2B54" w:rsidRPr="00231CBA" w14:paraId="54389297" w14:textId="77777777" w:rsidTr="00DC2B54">
        <w:trPr>
          <w:cantSplit/>
          <w:tblHeader/>
        </w:trPr>
        <w:tc>
          <w:tcPr>
            <w:tcW w:w="5760" w:type="dxa"/>
          </w:tcPr>
          <w:p w14:paraId="5181B7A4" w14:textId="77777777" w:rsidR="00DC2B54" w:rsidRDefault="00DC2B54" w:rsidP="00DC2B54">
            <w:pPr>
              <w:pStyle w:val="tabletext"/>
            </w:pPr>
            <w:r>
              <w:t>Part 3, Division 8, Subdivision B, subsection 73(4)</w:t>
            </w:r>
          </w:p>
        </w:tc>
        <w:tc>
          <w:tcPr>
            <w:tcW w:w="1980" w:type="dxa"/>
          </w:tcPr>
          <w:p w14:paraId="786EF84D" w14:textId="77777777" w:rsidR="00DC2B54" w:rsidRDefault="00DC2B54" w:rsidP="00DC2B54">
            <w:pPr>
              <w:pStyle w:val="tabletext"/>
            </w:pPr>
            <w:r>
              <w:t>4.142</w:t>
            </w:r>
          </w:p>
        </w:tc>
      </w:tr>
      <w:tr w:rsidR="00DC2B54" w:rsidRPr="00231CBA" w14:paraId="4157CE32" w14:textId="77777777" w:rsidTr="00DC2B54">
        <w:trPr>
          <w:cantSplit/>
          <w:tblHeader/>
        </w:trPr>
        <w:tc>
          <w:tcPr>
            <w:tcW w:w="5760" w:type="dxa"/>
          </w:tcPr>
          <w:p w14:paraId="195C84FF" w14:textId="77777777" w:rsidR="00DC2B54" w:rsidRDefault="00DC2B54" w:rsidP="00DC2B54">
            <w:pPr>
              <w:pStyle w:val="tabletext"/>
            </w:pPr>
            <w:r>
              <w:t>Part 3, Division 8, Subdivision B, subsection 73(5)</w:t>
            </w:r>
          </w:p>
        </w:tc>
        <w:tc>
          <w:tcPr>
            <w:tcW w:w="1980" w:type="dxa"/>
          </w:tcPr>
          <w:p w14:paraId="0D66F1D2" w14:textId="77777777" w:rsidR="00DC2B54" w:rsidRDefault="00DC2B54" w:rsidP="00DC2B54">
            <w:pPr>
              <w:pStyle w:val="tabletext"/>
            </w:pPr>
            <w:r>
              <w:t>4.143</w:t>
            </w:r>
          </w:p>
        </w:tc>
      </w:tr>
      <w:tr w:rsidR="00DC2B54" w14:paraId="4E0A916B" w14:textId="77777777" w:rsidTr="00DC2B54">
        <w:trPr>
          <w:cantSplit/>
          <w:tblHeader/>
        </w:trPr>
        <w:tc>
          <w:tcPr>
            <w:tcW w:w="5760" w:type="dxa"/>
          </w:tcPr>
          <w:p w14:paraId="608E23E3" w14:textId="77777777" w:rsidR="00DC2B54" w:rsidRDefault="00DC2B54" w:rsidP="00DC2B54">
            <w:pPr>
              <w:pStyle w:val="tabletext"/>
            </w:pPr>
            <w:r>
              <w:t>Part 3, Division 8, Subdivision B, subsection 73(6)</w:t>
            </w:r>
          </w:p>
        </w:tc>
        <w:tc>
          <w:tcPr>
            <w:tcW w:w="1980" w:type="dxa"/>
          </w:tcPr>
          <w:p w14:paraId="48039F7E" w14:textId="77777777" w:rsidR="00DC2B54" w:rsidRDefault="00DC2B54" w:rsidP="00DC2B54">
            <w:pPr>
              <w:pStyle w:val="tabletext"/>
            </w:pPr>
            <w:r>
              <w:t>4.140</w:t>
            </w:r>
          </w:p>
        </w:tc>
      </w:tr>
      <w:tr w:rsidR="00DC2B54" w:rsidRPr="00231CBA" w14:paraId="0285FF91" w14:textId="77777777" w:rsidTr="00DC2B54">
        <w:trPr>
          <w:cantSplit/>
          <w:tblHeader/>
        </w:trPr>
        <w:tc>
          <w:tcPr>
            <w:tcW w:w="5760" w:type="dxa"/>
          </w:tcPr>
          <w:p w14:paraId="06799E40" w14:textId="77777777" w:rsidR="00DC2B54" w:rsidRDefault="00DC2B54" w:rsidP="00DC2B54">
            <w:pPr>
              <w:pStyle w:val="tabletext"/>
            </w:pPr>
            <w:r>
              <w:t>Part 3, Division 8, Subdivision B, subsections 74(1) and (2)</w:t>
            </w:r>
          </w:p>
        </w:tc>
        <w:tc>
          <w:tcPr>
            <w:tcW w:w="1980" w:type="dxa"/>
          </w:tcPr>
          <w:p w14:paraId="02B8B1B4" w14:textId="77777777" w:rsidR="00DC2B54" w:rsidRDefault="00DC2B54" w:rsidP="00DC2B54">
            <w:pPr>
              <w:pStyle w:val="tabletext"/>
            </w:pPr>
            <w:r>
              <w:t>4.144</w:t>
            </w:r>
          </w:p>
        </w:tc>
      </w:tr>
      <w:tr w:rsidR="00DC2B54" w:rsidRPr="00231CBA" w14:paraId="6614A6A3" w14:textId="77777777" w:rsidTr="00DC2B54">
        <w:trPr>
          <w:cantSplit/>
          <w:tblHeader/>
        </w:trPr>
        <w:tc>
          <w:tcPr>
            <w:tcW w:w="5760" w:type="dxa"/>
          </w:tcPr>
          <w:p w14:paraId="69AA017E" w14:textId="77777777" w:rsidR="00DC2B54" w:rsidRDefault="00DC2B54" w:rsidP="00DC2B54">
            <w:pPr>
              <w:pStyle w:val="tabletext"/>
            </w:pPr>
            <w:r>
              <w:t>Part 3, Division 8, Subdivision B, subsections 74(3 ) and (4)</w:t>
            </w:r>
          </w:p>
        </w:tc>
        <w:tc>
          <w:tcPr>
            <w:tcW w:w="1980" w:type="dxa"/>
          </w:tcPr>
          <w:p w14:paraId="3A0828DE" w14:textId="77777777" w:rsidR="00DC2B54" w:rsidRDefault="00DC2B54" w:rsidP="00DC2B54">
            <w:pPr>
              <w:pStyle w:val="tabletext"/>
            </w:pPr>
            <w:r>
              <w:t>4.145</w:t>
            </w:r>
          </w:p>
        </w:tc>
      </w:tr>
      <w:tr w:rsidR="00DC2B54" w:rsidRPr="00231CBA" w14:paraId="1245C473" w14:textId="77777777" w:rsidTr="00DC2B54">
        <w:trPr>
          <w:cantSplit/>
          <w:tblHeader/>
        </w:trPr>
        <w:tc>
          <w:tcPr>
            <w:tcW w:w="5760" w:type="dxa"/>
          </w:tcPr>
          <w:p w14:paraId="41499AD3" w14:textId="77777777" w:rsidR="00DC2B54" w:rsidRDefault="00DC2B54" w:rsidP="00DC2B54">
            <w:pPr>
              <w:pStyle w:val="tabletext"/>
            </w:pPr>
            <w:r>
              <w:t>Part 3, Division 8, Subdivision B, subsections 74(5) and (6)</w:t>
            </w:r>
          </w:p>
        </w:tc>
        <w:tc>
          <w:tcPr>
            <w:tcW w:w="1980" w:type="dxa"/>
          </w:tcPr>
          <w:p w14:paraId="3FC561CD" w14:textId="77777777" w:rsidR="00DC2B54" w:rsidRDefault="00DC2B54" w:rsidP="00DC2B54">
            <w:pPr>
              <w:pStyle w:val="tabletext"/>
            </w:pPr>
            <w:r>
              <w:t>4.146</w:t>
            </w:r>
          </w:p>
        </w:tc>
      </w:tr>
      <w:tr w:rsidR="00DC2B54" w:rsidRPr="00231CBA" w14:paraId="7C375AC2" w14:textId="77777777" w:rsidTr="00DC2B54">
        <w:trPr>
          <w:cantSplit/>
          <w:tblHeader/>
        </w:trPr>
        <w:tc>
          <w:tcPr>
            <w:tcW w:w="5760" w:type="dxa"/>
          </w:tcPr>
          <w:p w14:paraId="198E347D" w14:textId="77777777" w:rsidR="00DC2B54" w:rsidRDefault="00DC2B54" w:rsidP="00DC2B54">
            <w:pPr>
              <w:pStyle w:val="tabletext"/>
            </w:pPr>
            <w:r>
              <w:t>Part 3, Division 8, Subdivision B, subsections 75(1) and (3)</w:t>
            </w:r>
          </w:p>
        </w:tc>
        <w:tc>
          <w:tcPr>
            <w:tcW w:w="1980" w:type="dxa"/>
          </w:tcPr>
          <w:p w14:paraId="7F806889" w14:textId="77777777" w:rsidR="00DC2B54" w:rsidRDefault="00DC2B54" w:rsidP="00DC2B54">
            <w:pPr>
              <w:pStyle w:val="tabletext"/>
            </w:pPr>
            <w:r>
              <w:t>4.147</w:t>
            </w:r>
          </w:p>
        </w:tc>
      </w:tr>
      <w:tr w:rsidR="00DC2B54" w:rsidRPr="00231CBA" w14:paraId="592DBA7F" w14:textId="77777777" w:rsidTr="00DC2B54">
        <w:trPr>
          <w:cantSplit/>
          <w:tblHeader/>
        </w:trPr>
        <w:tc>
          <w:tcPr>
            <w:tcW w:w="5760" w:type="dxa"/>
          </w:tcPr>
          <w:p w14:paraId="72A1C294" w14:textId="77777777" w:rsidR="00DC2B54" w:rsidRDefault="00DC2B54" w:rsidP="00DC2B54">
            <w:pPr>
              <w:pStyle w:val="tabletext"/>
            </w:pPr>
            <w:r>
              <w:t>Part 3, Division 8, Subdivision B, subsection 75(2)</w:t>
            </w:r>
          </w:p>
        </w:tc>
        <w:tc>
          <w:tcPr>
            <w:tcW w:w="1980" w:type="dxa"/>
          </w:tcPr>
          <w:p w14:paraId="42B29C94" w14:textId="77777777" w:rsidR="00DC2B54" w:rsidRDefault="00DC2B54" w:rsidP="00DC2B54">
            <w:pPr>
              <w:pStyle w:val="tabletext"/>
            </w:pPr>
            <w:r>
              <w:t>4.148</w:t>
            </w:r>
          </w:p>
        </w:tc>
      </w:tr>
      <w:tr w:rsidR="00DC2B54" w:rsidRPr="00231CBA" w14:paraId="4490A848" w14:textId="77777777" w:rsidTr="00DC2B54">
        <w:trPr>
          <w:cantSplit/>
          <w:tblHeader/>
        </w:trPr>
        <w:tc>
          <w:tcPr>
            <w:tcW w:w="5760" w:type="dxa"/>
          </w:tcPr>
          <w:p w14:paraId="4A588715" w14:textId="77777777" w:rsidR="00DC2B54" w:rsidRDefault="00DC2B54" w:rsidP="00DC2B54">
            <w:pPr>
              <w:pStyle w:val="tabletext"/>
            </w:pPr>
            <w:r>
              <w:t>Part 3, Division 8, Subdivision B, subsection 75(4)</w:t>
            </w:r>
          </w:p>
        </w:tc>
        <w:tc>
          <w:tcPr>
            <w:tcW w:w="1980" w:type="dxa"/>
          </w:tcPr>
          <w:p w14:paraId="41430E84" w14:textId="77777777" w:rsidR="00DC2B54" w:rsidRDefault="00DC2B54" w:rsidP="00DC2B54">
            <w:pPr>
              <w:pStyle w:val="tabletext"/>
            </w:pPr>
            <w:r>
              <w:t>4.149</w:t>
            </w:r>
          </w:p>
        </w:tc>
      </w:tr>
      <w:tr w:rsidR="00DC2B54" w:rsidRPr="00231CBA" w14:paraId="123390BF" w14:textId="77777777" w:rsidTr="00DC2B54">
        <w:trPr>
          <w:cantSplit/>
          <w:tblHeader/>
        </w:trPr>
        <w:tc>
          <w:tcPr>
            <w:tcW w:w="5760" w:type="dxa"/>
          </w:tcPr>
          <w:p w14:paraId="7C94B32F" w14:textId="77777777" w:rsidR="00DC2B54" w:rsidRDefault="00DC2B54" w:rsidP="00DC2B54">
            <w:pPr>
              <w:pStyle w:val="tabletext"/>
            </w:pPr>
            <w:r>
              <w:t>Part 3, Division 8, Subdivision B, subsections 76(1) and (2)</w:t>
            </w:r>
          </w:p>
        </w:tc>
        <w:tc>
          <w:tcPr>
            <w:tcW w:w="1980" w:type="dxa"/>
          </w:tcPr>
          <w:p w14:paraId="6FAB1AE4" w14:textId="77777777" w:rsidR="00DC2B54" w:rsidRDefault="00DC2B54" w:rsidP="00DC2B54">
            <w:pPr>
              <w:pStyle w:val="tabletext"/>
            </w:pPr>
            <w:r>
              <w:t>4.150</w:t>
            </w:r>
          </w:p>
        </w:tc>
      </w:tr>
      <w:tr w:rsidR="00DC2B54" w:rsidRPr="00231CBA" w14:paraId="22D89565" w14:textId="77777777" w:rsidTr="00DC2B54">
        <w:trPr>
          <w:cantSplit/>
          <w:tblHeader/>
        </w:trPr>
        <w:tc>
          <w:tcPr>
            <w:tcW w:w="5760" w:type="dxa"/>
          </w:tcPr>
          <w:p w14:paraId="5F44A2DC" w14:textId="77777777" w:rsidR="00DC2B54" w:rsidRPr="005D4EA7" w:rsidRDefault="00DC2B54" w:rsidP="00DC2B54">
            <w:pPr>
              <w:pStyle w:val="tabletext"/>
              <w:rPr>
                <w:lang w:val="fr-FR"/>
              </w:rPr>
            </w:pPr>
            <w:r w:rsidRPr="005D4EA7">
              <w:rPr>
                <w:lang w:val="fr-FR"/>
              </w:rPr>
              <w:t>Part 3, Division 8, Subdivision C, section 77</w:t>
            </w:r>
          </w:p>
        </w:tc>
        <w:tc>
          <w:tcPr>
            <w:tcW w:w="1980" w:type="dxa"/>
          </w:tcPr>
          <w:p w14:paraId="6728C9F4" w14:textId="77777777" w:rsidR="00DC2B54" w:rsidRDefault="00DC2B54" w:rsidP="00DC2B54">
            <w:pPr>
              <w:pStyle w:val="tabletext"/>
            </w:pPr>
            <w:r>
              <w:t>4.151</w:t>
            </w:r>
          </w:p>
        </w:tc>
      </w:tr>
      <w:tr w:rsidR="00DC2B54" w:rsidRPr="00231CBA" w14:paraId="46B7079A" w14:textId="77777777" w:rsidTr="00DC2B54">
        <w:trPr>
          <w:cantSplit/>
          <w:tblHeader/>
        </w:trPr>
        <w:tc>
          <w:tcPr>
            <w:tcW w:w="5760" w:type="dxa"/>
          </w:tcPr>
          <w:p w14:paraId="69E811EA" w14:textId="77777777" w:rsidR="00DC2B54" w:rsidRDefault="00DC2B54" w:rsidP="00DC2B54">
            <w:pPr>
              <w:pStyle w:val="tabletext"/>
            </w:pPr>
            <w:r>
              <w:t>Part 3, Division 8, Subdivision C, subsections 78(1), (2), (3) and (4)</w:t>
            </w:r>
          </w:p>
        </w:tc>
        <w:tc>
          <w:tcPr>
            <w:tcW w:w="1980" w:type="dxa"/>
          </w:tcPr>
          <w:p w14:paraId="07043021" w14:textId="77777777" w:rsidR="00DC2B54" w:rsidRDefault="00DC2B54" w:rsidP="00DC2B54">
            <w:pPr>
              <w:pStyle w:val="tabletext"/>
            </w:pPr>
            <w:r>
              <w:t>4.152</w:t>
            </w:r>
          </w:p>
        </w:tc>
      </w:tr>
      <w:tr w:rsidR="00DC2B54" w:rsidRPr="00231CBA" w14:paraId="2374A96A" w14:textId="77777777" w:rsidTr="00DC2B54">
        <w:trPr>
          <w:cantSplit/>
          <w:tblHeader/>
        </w:trPr>
        <w:tc>
          <w:tcPr>
            <w:tcW w:w="5760" w:type="dxa"/>
          </w:tcPr>
          <w:p w14:paraId="76AB7FD3" w14:textId="77777777" w:rsidR="00DC2B54" w:rsidRPr="005D4EA7" w:rsidRDefault="00DC2B54" w:rsidP="00DC2B54">
            <w:pPr>
              <w:pStyle w:val="tabletext"/>
              <w:rPr>
                <w:lang w:val="fr-FR"/>
              </w:rPr>
            </w:pPr>
            <w:r w:rsidRPr="005D4EA7">
              <w:rPr>
                <w:lang w:val="fr-FR"/>
              </w:rPr>
              <w:t>Part 3, Division 8, Subdivision C, section 78(5)</w:t>
            </w:r>
          </w:p>
        </w:tc>
        <w:tc>
          <w:tcPr>
            <w:tcW w:w="1980" w:type="dxa"/>
          </w:tcPr>
          <w:p w14:paraId="2C53BC89" w14:textId="77777777" w:rsidR="00DC2B54" w:rsidRDefault="00DC2B54" w:rsidP="00DC2B54">
            <w:pPr>
              <w:pStyle w:val="tabletext"/>
            </w:pPr>
            <w:r>
              <w:t>4.153</w:t>
            </w:r>
          </w:p>
        </w:tc>
      </w:tr>
      <w:tr w:rsidR="00DC2B54" w:rsidRPr="00231CBA" w14:paraId="5DF8F44A" w14:textId="77777777" w:rsidTr="00DC2B54">
        <w:trPr>
          <w:cantSplit/>
          <w:tblHeader/>
        </w:trPr>
        <w:tc>
          <w:tcPr>
            <w:tcW w:w="5760" w:type="dxa"/>
          </w:tcPr>
          <w:p w14:paraId="4D941296" w14:textId="77777777" w:rsidR="00DC2B54" w:rsidRPr="005D4EA7" w:rsidRDefault="00DC2B54" w:rsidP="00DC2B54">
            <w:pPr>
              <w:pStyle w:val="tabletext"/>
              <w:rPr>
                <w:lang w:val="fr-FR"/>
              </w:rPr>
            </w:pPr>
            <w:r w:rsidRPr="005D4EA7">
              <w:rPr>
                <w:lang w:val="fr-FR"/>
              </w:rPr>
              <w:t>Part 3, Division 8, Subdivision C, subsection 79(1)</w:t>
            </w:r>
          </w:p>
        </w:tc>
        <w:tc>
          <w:tcPr>
            <w:tcW w:w="1980" w:type="dxa"/>
          </w:tcPr>
          <w:p w14:paraId="4499DE7B" w14:textId="77777777" w:rsidR="00DC2B54" w:rsidRDefault="00DC2B54" w:rsidP="00DC2B54">
            <w:pPr>
              <w:pStyle w:val="tabletext"/>
            </w:pPr>
            <w:r>
              <w:t>4.155</w:t>
            </w:r>
          </w:p>
        </w:tc>
      </w:tr>
      <w:tr w:rsidR="00DC2B54" w:rsidRPr="00231CBA" w14:paraId="04C8B3D6" w14:textId="77777777" w:rsidTr="00DC2B54">
        <w:trPr>
          <w:cantSplit/>
          <w:tblHeader/>
        </w:trPr>
        <w:tc>
          <w:tcPr>
            <w:tcW w:w="5760" w:type="dxa"/>
          </w:tcPr>
          <w:p w14:paraId="32C0B265" w14:textId="77777777" w:rsidR="00DC2B54" w:rsidRDefault="00DC2B54" w:rsidP="00DC2B54">
            <w:pPr>
              <w:pStyle w:val="tabletext"/>
            </w:pPr>
            <w:r>
              <w:t>Part 3, Division 8, Subdivision C, subsections 79(2) and (4)</w:t>
            </w:r>
          </w:p>
        </w:tc>
        <w:tc>
          <w:tcPr>
            <w:tcW w:w="1980" w:type="dxa"/>
          </w:tcPr>
          <w:p w14:paraId="25889BAB" w14:textId="77777777" w:rsidR="00DC2B54" w:rsidRDefault="00DC2B54" w:rsidP="00DC2B54">
            <w:pPr>
              <w:pStyle w:val="tabletext"/>
            </w:pPr>
            <w:r>
              <w:t>4.156</w:t>
            </w:r>
          </w:p>
        </w:tc>
      </w:tr>
      <w:tr w:rsidR="00DC2B54" w:rsidRPr="00231CBA" w14:paraId="53CAFF39" w14:textId="77777777" w:rsidTr="00DC2B54">
        <w:trPr>
          <w:cantSplit/>
          <w:tblHeader/>
        </w:trPr>
        <w:tc>
          <w:tcPr>
            <w:tcW w:w="5760" w:type="dxa"/>
          </w:tcPr>
          <w:p w14:paraId="22A7BB83" w14:textId="77777777" w:rsidR="00DC2B54" w:rsidRDefault="00DC2B54" w:rsidP="00DC2B54">
            <w:pPr>
              <w:pStyle w:val="tabletext"/>
            </w:pPr>
            <w:r>
              <w:t>Part 3, Division 8, Subdivision C, subsections 79(3) and (4)</w:t>
            </w:r>
          </w:p>
        </w:tc>
        <w:tc>
          <w:tcPr>
            <w:tcW w:w="1980" w:type="dxa"/>
          </w:tcPr>
          <w:p w14:paraId="17D14EDC" w14:textId="77777777" w:rsidR="00DC2B54" w:rsidRDefault="00DC2B54" w:rsidP="00DC2B54">
            <w:pPr>
              <w:pStyle w:val="tabletext"/>
            </w:pPr>
            <w:r>
              <w:t>4.157</w:t>
            </w:r>
          </w:p>
        </w:tc>
      </w:tr>
      <w:tr w:rsidR="00DC2B54" w:rsidRPr="00231CBA" w14:paraId="21A8DCB7" w14:textId="77777777" w:rsidTr="00DC2B54">
        <w:trPr>
          <w:cantSplit/>
          <w:tblHeader/>
        </w:trPr>
        <w:tc>
          <w:tcPr>
            <w:tcW w:w="5760" w:type="dxa"/>
          </w:tcPr>
          <w:p w14:paraId="2DAE1B7A" w14:textId="77777777" w:rsidR="00DC2B54" w:rsidRPr="005D4EA7" w:rsidRDefault="00DC2B54" w:rsidP="00DC2B54">
            <w:pPr>
              <w:pStyle w:val="tabletext"/>
              <w:rPr>
                <w:lang w:val="fr-FR"/>
              </w:rPr>
            </w:pPr>
            <w:r w:rsidRPr="005D4EA7">
              <w:rPr>
                <w:lang w:val="fr-FR"/>
              </w:rPr>
              <w:t>Part 3, Division 8, Subdivision C, subsection 80(1)</w:t>
            </w:r>
          </w:p>
        </w:tc>
        <w:tc>
          <w:tcPr>
            <w:tcW w:w="1980" w:type="dxa"/>
          </w:tcPr>
          <w:p w14:paraId="0B60F522" w14:textId="77777777" w:rsidR="00DC2B54" w:rsidRDefault="00DC2B54" w:rsidP="00DC2B54">
            <w:pPr>
              <w:pStyle w:val="tabletext"/>
            </w:pPr>
            <w:r>
              <w:t>4.158</w:t>
            </w:r>
          </w:p>
        </w:tc>
      </w:tr>
      <w:tr w:rsidR="00DC2B54" w:rsidRPr="00231CBA" w14:paraId="5C6D46BA" w14:textId="77777777" w:rsidTr="00DC2B54">
        <w:trPr>
          <w:cantSplit/>
          <w:tblHeader/>
        </w:trPr>
        <w:tc>
          <w:tcPr>
            <w:tcW w:w="5760" w:type="dxa"/>
          </w:tcPr>
          <w:p w14:paraId="66281745" w14:textId="77777777" w:rsidR="00DC2B54" w:rsidRPr="005D4EA7" w:rsidRDefault="00DC2B54" w:rsidP="00DC2B54">
            <w:pPr>
              <w:pStyle w:val="tabletext"/>
              <w:rPr>
                <w:lang w:val="fr-FR"/>
              </w:rPr>
            </w:pPr>
            <w:r w:rsidRPr="005D4EA7">
              <w:rPr>
                <w:lang w:val="fr-FR"/>
              </w:rPr>
              <w:t>Part 3, Division 8, Subdivision C, subsection 80(2)</w:t>
            </w:r>
          </w:p>
        </w:tc>
        <w:tc>
          <w:tcPr>
            <w:tcW w:w="1980" w:type="dxa"/>
          </w:tcPr>
          <w:p w14:paraId="2B119426" w14:textId="77777777" w:rsidR="00DC2B54" w:rsidRDefault="00DC2B54" w:rsidP="00DC2B54">
            <w:pPr>
              <w:pStyle w:val="tabletext"/>
            </w:pPr>
            <w:r>
              <w:t>4.159</w:t>
            </w:r>
          </w:p>
        </w:tc>
      </w:tr>
      <w:tr w:rsidR="00DC2B54" w:rsidRPr="00231CBA" w14:paraId="630E69B1" w14:textId="77777777" w:rsidTr="00DC2B54">
        <w:trPr>
          <w:cantSplit/>
          <w:tblHeader/>
        </w:trPr>
        <w:tc>
          <w:tcPr>
            <w:tcW w:w="5760" w:type="dxa"/>
          </w:tcPr>
          <w:p w14:paraId="673F2E00" w14:textId="77777777" w:rsidR="00DC2B54" w:rsidRPr="005D4EA7" w:rsidRDefault="00DC2B54" w:rsidP="00DC2B54">
            <w:pPr>
              <w:pStyle w:val="tabletext"/>
              <w:rPr>
                <w:lang w:val="fr-FR"/>
              </w:rPr>
            </w:pPr>
            <w:r w:rsidRPr="005D4EA7">
              <w:rPr>
                <w:lang w:val="fr-FR"/>
              </w:rPr>
              <w:t>Part 3, Division 8, Subdivision C, subsection 80(3)</w:t>
            </w:r>
          </w:p>
        </w:tc>
        <w:tc>
          <w:tcPr>
            <w:tcW w:w="1980" w:type="dxa"/>
          </w:tcPr>
          <w:p w14:paraId="7DD4AD6F" w14:textId="77777777" w:rsidR="00DC2B54" w:rsidRDefault="00DC2B54" w:rsidP="00DC2B54">
            <w:pPr>
              <w:pStyle w:val="tabletext"/>
            </w:pPr>
            <w:r>
              <w:t>4.160</w:t>
            </w:r>
          </w:p>
        </w:tc>
      </w:tr>
      <w:tr w:rsidR="00DC2B54" w:rsidRPr="00231CBA" w14:paraId="178FF6DF" w14:textId="77777777" w:rsidTr="00DC2B54">
        <w:trPr>
          <w:cantSplit/>
          <w:tblHeader/>
        </w:trPr>
        <w:tc>
          <w:tcPr>
            <w:tcW w:w="5760" w:type="dxa"/>
          </w:tcPr>
          <w:p w14:paraId="3AF99A92" w14:textId="77777777" w:rsidR="00DC2B54" w:rsidRPr="005D4EA7" w:rsidRDefault="00DC2B54" w:rsidP="00DC2B54">
            <w:pPr>
              <w:pStyle w:val="tabletext"/>
              <w:rPr>
                <w:lang w:val="fr-FR"/>
              </w:rPr>
            </w:pPr>
            <w:r w:rsidRPr="005D4EA7">
              <w:rPr>
                <w:lang w:val="fr-FR"/>
              </w:rPr>
              <w:t>Part 3, Division 8, Subdivision C, section 81</w:t>
            </w:r>
          </w:p>
        </w:tc>
        <w:tc>
          <w:tcPr>
            <w:tcW w:w="1980" w:type="dxa"/>
          </w:tcPr>
          <w:p w14:paraId="14ABA2C4" w14:textId="77777777" w:rsidR="00DC2B54" w:rsidRDefault="00DC2B54" w:rsidP="00DC2B54">
            <w:pPr>
              <w:pStyle w:val="tabletext"/>
            </w:pPr>
            <w:r>
              <w:t>4.161</w:t>
            </w:r>
          </w:p>
        </w:tc>
      </w:tr>
      <w:tr w:rsidR="00DC2B54" w:rsidRPr="00231CBA" w14:paraId="38D96693" w14:textId="77777777" w:rsidTr="00DC2B54">
        <w:trPr>
          <w:cantSplit/>
          <w:tblHeader/>
        </w:trPr>
        <w:tc>
          <w:tcPr>
            <w:tcW w:w="5760" w:type="dxa"/>
          </w:tcPr>
          <w:p w14:paraId="08FE8F4C" w14:textId="77777777" w:rsidR="00DC2B54" w:rsidRPr="005D4EA7" w:rsidRDefault="00DC2B54" w:rsidP="00DC2B54">
            <w:pPr>
              <w:pStyle w:val="tabletext"/>
              <w:rPr>
                <w:lang w:val="fr-FR"/>
              </w:rPr>
            </w:pPr>
            <w:r w:rsidRPr="005D4EA7">
              <w:rPr>
                <w:lang w:val="fr-FR"/>
              </w:rPr>
              <w:t>Part 3, Division 8, Subdivision C, section 82</w:t>
            </w:r>
          </w:p>
        </w:tc>
        <w:tc>
          <w:tcPr>
            <w:tcW w:w="1980" w:type="dxa"/>
          </w:tcPr>
          <w:p w14:paraId="28CC189F" w14:textId="77777777" w:rsidR="00DC2B54" w:rsidRDefault="00DC2B54" w:rsidP="00DC2B54">
            <w:pPr>
              <w:pStyle w:val="tabletext"/>
            </w:pPr>
            <w:r>
              <w:t>4.162</w:t>
            </w:r>
          </w:p>
        </w:tc>
      </w:tr>
      <w:tr w:rsidR="00DC2B54" w:rsidRPr="00231CBA" w14:paraId="6A9A9A3E" w14:textId="77777777" w:rsidTr="00DC2B54">
        <w:trPr>
          <w:cantSplit/>
          <w:tblHeader/>
        </w:trPr>
        <w:tc>
          <w:tcPr>
            <w:tcW w:w="5760" w:type="dxa"/>
          </w:tcPr>
          <w:p w14:paraId="0740F4F1" w14:textId="77777777" w:rsidR="00DC2B54" w:rsidRPr="005D4EA7" w:rsidRDefault="00DC2B54" w:rsidP="00DC2B54">
            <w:pPr>
              <w:pStyle w:val="tabletext"/>
              <w:rPr>
                <w:lang w:val="fr-FR"/>
              </w:rPr>
            </w:pPr>
            <w:r w:rsidRPr="005D4EA7">
              <w:rPr>
                <w:lang w:val="fr-FR"/>
              </w:rPr>
              <w:t>Part 3, Division 8, Subdivision D, section 83</w:t>
            </w:r>
          </w:p>
        </w:tc>
        <w:tc>
          <w:tcPr>
            <w:tcW w:w="1980" w:type="dxa"/>
          </w:tcPr>
          <w:p w14:paraId="6201655D" w14:textId="77777777" w:rsidR="00DC2B54" w:rsidRDefault="00DC2B54" w:rsidP="00DC2B54">
            <w:pPr>
              <w:pStyle w:val="tabletext"/>
            </w:pPr>
            <w:r>
              <w:t>4.163</w:t>
            </w:r>
          </w:p>
        </w:tc>
      </w:tr>
      <w:tr w:rsidR="00DC2B54" w:rsidRPr="00231CBA" w14:paraId="1CAAD64C" w14:textId="77777777" w:rsidTr="00DC2B54">
        <w:trPr>
          <w:cantSplit/>
          <w:tblHeader/>
        </w:trPr>
        <w:tc>
          <w:tcPr>
            <w:tcW w:w="5760" w:type="dxa"/>
          </w:tcPr>
          <w:p w14:paraId="481C2739" w14:textId="77777777" w:rsidR="00DC2B54" w:rsidRPr="005D4EA7" w:rsidRDefault="00DC2B54" w:rsidP="00DC2B54">
            <w:pPr>
              <w:pStyle w:val="tabletext"/>
              <w:rPr>
                <w:lang w:val="fr-FR"/>
              </w:rPr>
            </w:pPr>
            <w:r w:rsidRPr="005D4EA7">
              <w:rPr>
                <w:lang w:val="fr-FR"/>
              </w:rPr>
              <w:t>Part 3, Division 8, Subdivision D, section 84</w:t>
            </w:r>
          </w:p>
        </w:tc>
        <w:tc>
          <w:tcPr>
            <w:tcW w:w="1980" w:type="dxa"/>
          </w:tcPr>
          <w:p w14:paraId="7B19825B" w14:textId="77777777" w:rsidR="00DC2B54" w:rsidRDefault="00DC2B54" w:rsidP="00DC2B54">
            <w:pPr>
              <w:pStyle w:val="tabletext"/>
            </w:pPr>
            <w:r>
              <w:t>4.164</w:t>
            </w:r>
          </w:p>
        </w:tc>
      </w:tr>
      <w:tr w:rsidR="00DC2B54" w:rsidRPr="00231CBA" w14:paraId="0E6C96D6" w14:textId="77777777" w:rsidTr="00DC2B54">
        <w:trPr>
          <w:cantSplit/>
          <w:tblHeader/>
        </w:trPr>
        <w:tc>
          <w:tcPr>
            <w:tcW w:w="5760" w:type="dxa"/>
          </w:tcPr>
          <w:p w14:paraId="60EBD130" w14:textId="77777777" w:rsidR="00DC2B54" w:rsidRDefault="00DC2B54" w:rsidP="00DC2B54">
            <w:pPr>
              <w:pStyle w:val="tabletext"/>
            </w:pPr>
            <w:r>
              <w:t>Part 3, Division 8, Subdivision D, subsections 85(1), (2), (3) and (5)</w:t>
            </w:r>
          </w:p>
        </w:tc>
        <w:tc>
          <w:tcPr>
            <w:tcW w:w="1980" w:type="dxa"/>
          </w:tcPr>
          <w:p w14:paraId="51C50563" w14:textId="77777777" w:rsidR="00DC2B54" w:rsidRDefault="00DC2B54" w:rsidP="00DC2B54">
            <w:pPr>
              <w:pStyle w:val="tabletext"/>
            </w:pPr>
            <w:r>
              <w:t>4.165</w:t>
            </w:r>
          </w:p>
        </w:tc>
      </w:tr>
      <w:tr w:rsidR="00DC2B54" w:rsidRPr="00231CBA" w14:paraId="7E5ACB4F" w14:textId="77777777" w:rsidTr="00DC2B54">
        <w:trPr>
          <w:cantSplit/>
          <w:tblHeader/>
        </w:trPr>
        <w:tc>
          <w:tcPr>
            <w:tcW w:w="5760" w:type="dxa"/>
          </w:tcPr>
          <w:p w14:paraId="76E34A7C" w14:textId="77777777" w:rsidR="00DC2B54" w:rsidRPr="005D4EA7" w:rsidRDefault="00DC2B54" w:rsidP="00DC2B54">
            <w:pPr>
              <w:pStyle w:val="tabletext"/>
              <w:rPr>
                <w:lang w:val="fr-FR"/>
              </w:rPr>
            </w:pPr>
            <w:r w:rsidRPr="005D4EA7">
              <w:rPr>
                <w:lang w:val="fr-FR"/>
              </w:rPr>
              <w:t>Part 3, Division 8, Subdivision D, subsection 85(4)</w:t>
            </w:r>
          </w:p>
        </w:tc>
        <w:tc>
          <w:tcPr>
            <w:tcW w:w="1980" w:type="dxa"/>
          </w:tcPr>
          <w:p w14:paraId="08AD607A" w14:textId="77777777" w:rsidR="00DC2B54" w:rsidRDefault="00DC2B54" w:rsidP="00DC2B54">
            <w:pPr>
              <w:pStyle w:val="tabletext"/>
            </w:pPr>
            <w:r>
              <w:t>4.167</w:t>
            </w:r>
          </w:p>
        </w:tc>
      </w:tr>
      <w:tr w:rsidR="00DC2B54" w:rsidRPr="00231CBA" w14:paraId="2D3FB9CB" w14:textId="77777777" w:rsidTr="00DC2B54">
        <w:trPr>
          <w:cantSplit/>
          <w:tblHeader/>
        </w:trPr>
        <w:tc>
          <w:tcPr>
            <w:tcW w:w="5760" w:type="dxa"/>
          </w:tcPr>
          <w:p w14:paraId="7C368F3B" w14:textId="77777777" w:rsidR="00DC2B54" w:rsidRPr="005D4EA7" w:rsidRDefault="00DC2B54" w:rsidP="00DC2B54">
            <w:pPr>
              <w:pStyle w:val="tabletext"/>
              <w:rPr>
                <w:lang w:val="fr-FR"/>
              </w:rPr>
            </w:pPr>
            <w:r w:rsidRPr="005D4EA7">
              <w:rPr>
                <w:lang w:val="fr-FR"/>
              </w:rPr>
              <w:t>Part 3, Division 8, Subdivision D, section 86</w:t>
            </w:r>
          </w:p>
        </w:tc>
        <w:tc>
          <w:tcPr>
            <w:tcW w:w="1980" w:type="dxa"/>
          </w:tcPr>
          <w:p w14:paraId="5421BC40" w14:textId="77777777" w:rsidR="00DC2B54" w:rsidRDefault="00DC2B54" w:rsidP="00DC2B54">
            <w:pPr>
              <w:pStyle w:val="tabletext"/>
            </w:pPr>
            <w:r>
              <w:t>4.168</w:t>
            </w:r>
          </w:p>
        </w:tc>
      </w:tr>
      <w:tr w:rsidR="00DC2B54" w:rsidRPr="00231CBA" w14:paraId="60FD1C21" w14:textId="77777777" w:rsidTr="00DC2B54">
        <w:trPr>
          <w:cantSplit/>
          <w:tblHeader/>
        </w:trPr>
        <w:tc>
          <w:tcPr>
            <w:tcW w:w="5760" w:type="dxa"/>
          </w:tcPr>
          <w:p w14:paraId="00C772B9" w14:textId="77777777" w:rsidR="00DC2B54" w:rsidRPr="005D4EA7" w:rsidRDefault="00DC2B54" w:rsidP="00DC2B54">
            <w:pPr>
              <w:pStyle w:val="tabletext"/>
              <w:rPr>
                <w:lang w:val="fr-FR"/>
              </w:rPr>
            </w:pPr>
            <w:r w:rsidRPr="005D4EA7">
              <w:rPr>
                <w:lang w:val="fr-FR"/>
              </w:rPr>
              <w:t>Part 3, Division 8, Subdivision D, section 87</w:t>
            </w:r>
          </w:p>
        </w:tc>
        <w:tc>
          <w:tcPr>
            <w:tcW w:w="1980" w:type="dxa"/>
          </w:tcPr>
          <w:p w14:paraId="7E88CBBD" w14:textId="77777777" w:rsidR="00DC2B54" w:rsidRDefault="00DC2B54" w:rsidP="00DC2B54">
            <w:pPr>
              <w:pStyle w:val="tabletext"/>
            </w:pPr>
            <w:r>
              <w:t>4.169</w:t>
            </w:r>
          </w:p>
        </w:tc>
      </w:tr>
      <w:tr w:rsidR="00DC2B54" w:rsidRPr="00231CBA" w14:paraId="206CDBDC" w14:textId="77777777" w:rsidTr="00DC2B54">
        <w:trPr>
          <w:cantSplit/>
          <w:tblHeader/>
        </w:trPr>
        <w:tc>
          <w:tcPr>
            <w:tcW w:w="5760" w:type="dxa"/>
          </w:tcPr>
          <w:p w14:paraId="692CF6C7" w14:textId="77777777" w:rsidR="00DC2B54" w:rsidRDefault="00DC2B54" w:rsidP="00DC2B54">
            <w:pPr>
              <w:pStyle w:val="tabletext"/>
            </w:pPr>
            <w:r>
              <w:t>Part 3, Division 9, subsection 88(1)</w:t>
            </w:r>
          </w:p>
        </w:tc>
        <w:tc>
          <w:tcPr>
            <w:tcW w:w="1980" w:type="dxa"/>
          </w:tcPr>
          <w:p w14:paraId="7D04137F" w14:textId="77777777" w:rsidR="00DC2B54" w:rsidRDefault="00DC2B54" w:rsidP="00DC2B54">
            <w:pPr>
              <w:pStyle w:val="tabletext"/>
            </w:pPr>
            <w:r>
              <w:t>4.170</w:t>
            </w:r>
          </w:p>
        </w:tc>
      </w:tr>
      <w:tr w:rsidR="00DC2B54" w:rsidRPr="00231CBA" w14:paraId="00C3D57A" w14:textId="77777777" w:rsidTr="00DC2B54">
        <w:trPr>
          <w:cantSplit/>
          <w:tblHeader/>
        </w:trPr>
        <w:tc>
          <w:tcPr>
            <w:tcW w:w="5760" w:type="dxa"/>
          </w:tcPr>
          <w:p w14:paraId="0B3B4FFB" w14:textId="77777777" w:rsidR="00DC2B54" w:rsidRDefault="00DC2B54" w:rsidP="00DC2B54">
            <w:pPr>
              <w:pStyle w:val="tabletext"/>
            </w:pPr>
            <w:r>
              <w:t>Part 3, Division 9, subsection 88(2)</w:t>
            </w:r>
          </w:p>
        </w:tc>
        <w:tc>
          <w:tcPr>
            <w:tcW w:w="1980" w:type="dxa"/>
          </w:tcPr>
          <w:p w14:paraId="7D78077A" w14:textId="77777777" w:rsidR="00DC2B54" w:rsidRDefault="00DC2B54" w:rsidP="00DC2B54">
            <w:pPr>
              <w:pStyle w:val="tabletext"/>
            </w:pPr>
            <w:r>
              <w:t>4.171</w:t>
            </w:r>
          </w:p>
        </w:tc>
      </w:tr>
      <w:tr w:rsidR="00DC2B54" w:rsidRPr="00231CBA" w14:paraId="3AB9A7EB" w14:textId="77777777" w:rsidTr="00DC2B54">
        <w:trPr>
          <w:cantSplit/>
          <w:tblHeader/>
        </w:trPr>
        <w:tc>
          <w:tcPr>
            <w:tcW w:w="5760" w:type="dxa"/>
          </w:tcPr>
          <w:p w14:paraId="73E14A10" w14:textId="77777777" w:rsidR="00DC2B54" w:rsidRDefault="00DC2B54" w:rsidP="00DC2B54">
            <w:pPr>
              <w:pStyle w:val="tabletext"/>
            </w:pPr>
            <w:r>
              <w:t>Part 3, Division 9, subsection 88(3)</w:t>
            </w:r>
          </w:p>
        </w:tc>
        <w:tc>
          <w:tcPr>
            <w:tcW w:w="1980" w:type="dxa"/>
          </w:tcPr>
          <w:p w14:paraId="24E3301E" w14:textId="77777777" w:rsidR="00DC2B54" w:rsidRDefault="00DC2B54" w:rsidP="00DC2B54">
            <w:pPr>
              <w:pStyle w:val="tabletext"/>
            </w:pPr>
            <w:r>
              <w:t>4.172</w:t>
            </w:r>
          </w:p>
        </w:tc>
      </w:tr>
      <w:tr w:rsidR="00DC2B54" w:rsidRPr="00231CBA" w14:paraId="4BD7968E" w14:textId="77777777" w:rsidTr="00DC2B54">
        <w:trPr>
          <w:cantSplit/>
          <w:tblHeader/>
        </w:trPr>
        <w:tc>
          <w:tcPr>
            <w:tcW w:w="5760" w:type="dxa"/>
          </w:tcPr>
          <w:p w14:paraId="7F6BC4F9" w14:textId="77777777" w:rsidR="00DC2B54" w:rsidRDefault="00DC2B54" w:rsidP="00DC2B54">
            <w:pPr>
              <w:pStyle w:val="tabletext"/>
            </w:pPr>
            <w:r>
              <w:t>Part 3, Division 9, subsection 89(1)</w:t>
            </w:r>
          </w:p>
        </w:tc>
        <w:tc>
          <w:tcPr>
            <w:tcW w:w="1980" w:type="dxa"/>
          </w:tcPr>
          <w:p w14:paraId="64708628" w14:textId="77777777" w:rsidR="00DC2B54" w:rsidRDefault="00DC2B54" w:rsidP="00DC2B54">
            <w:pPr>
              <w:pStyle w:val="tabletext"/>
            </w:pPr>
            <w:r>
              <w:t>4.173</w:t>
            </w:r>
          </w:p>
        </w:tc>
      </w:tr>
      <w:tr w:rsidR="00DC2B54" w:rsidRPr="00231CBA" w14:paraId="2F0DBF41" w14:textId="77777777" w:rsidTr="00DC2B54">
        <w:trPr>
          <w:cantSplit/>
          <w:tblHeader/>
        </w:trPr>
        <w:tc>
          <w:tcPr>
            <w:tcW w:w="5760" w:type="dxa"/>
          </w:tcPr>
          <w:p w14:paraId="28B7A040" w14:textId="77777777" w:rsidR="00DC2B54" w:rsidRDefault="00DC2B54" w:rsidP="00DC2B54">
            <w:pPr>
              <w:pStyle w:val="tabletext"/>
            </w:pPr>
            <w:r>
              <w:t>Part 3, Division 9, subsection 89(2)</w:t>
            </w:r>
          </w:p>
        </w:tc>
        <w:tc>
          <w:tcPr>
            <w:tcW w:w="1980" w:type="dxa"/>
          </w:tcPr>
          <w:p w14:paraId="278B88D9" w14:textId="77777777" w:rsidR="00DC2B54" w:rsidRDefault="00DC2B54" w:rsidP="00DC2B54">
            <w:pPr>
              <w:pStyle w:val="tabletext"/>
            </w:pPr>
            <w:r>
              <w:t>4.174</w:t>
            </w:r>
          </w:p>
        </w:tc>
      </w:tr>
      <w:tr w:rsidR="00DC2B54" w:rsidRPr="00231CBA" w14:paraId="0DE978E4" w14:textId="77777777" w:rsidTr="00DC2B54">
        <w:trPr>
          <w:cantSplit/>
          <w:tblHeader/>
        </w:trPr>
        <w:tc>
          <w:tcPr>
            <w:tcW w:w="5760" w:type="dxa"/>
          </w:tcPr>
          <w:p w14:paraId="3D6EF2F6" w14:textId="77777777" w:rsidR="00DC2B54" w:rsidRDefault="00DC2B54" w:rsidP="00DC2B54">
            <w:pPr>
              <w:pStyle w:val="tabletext"/>
            </w:pPr>
            <w:r>
              <w:t>Part 3, Division 9, subsections 89(3), (4) and (5)</w:t>
            </w:r>
          </w:p>
        </w:tc>
        <w:tc>
          <w:tcPr>
            <w:tcW w:w="1980" w:type="dxa"/>
          </w:tcPr>
          <w:p w14:paraId="646B92BE" w14:textId="77777777" w:rsidR="00DC2B54" w:rsidRDefault="00DC2B54" w:rsidP="00DC2B54">
            <w:pPr>
              <w:pStyle w:val="tabletext"/>
            </w:pPr>
            <w:r>
              <w:t>4.175</w:t>
            </w:r>
          </w:p>
        </w:tc>
      </w:tr>
      <w:tr w:rsidR="00DC2B54" w:rsidRPr="00231CBA" w14:paraId="23ECDFC1" w14:textId="77777777" w:rsidTr="00DC2B54">
        <w:trPr>
          <w:cantSplit/>
          <w:tblHeader/>
        </w:trPr>
        <w:tc>
          <w:tcPr>
            <w:tcW w:w="5760" w:type="dxa"/>
          </w:tcPr>
          <w:p w14:paraId="50CF6B97" w14:textId="77777777" w:rsidR="00DC2B54" w:rsidRDefault="00DC2B54" w:rsidP="00DC2B54">
            <w:pPr>
              <w:pStyle w:val="tabletext"/>
            </w:pPr>
            <w:r>
              <w:t>Part 3, Division 9, section 90</w:t>
            </w:r>
          </w:p>
        </w:tc>
        <w:tc>
          <w:tcPr>
            <w:tcW w:w="1980" w:type="dxa"/>
          </w:tcPr>
          <w:p w14:paraId="405F5280" w14:textId="77777777" w:rsidR="00DC2B54" w:rsidRDefault="00DC2B54" w:rsidP="00DC2B54">
            <w:pPr>
              <w:pStyle w:val="tabletext"/>
            </w:pPr>
            <w:r>
              <w:t>4.176</w:t>
            </w:r>
          </w:p>
        </w:tc>
      </w:tr>
      <w:tr w:rsidR="00DC2B54" w:rsidRPr="00231CBA" w14:paraId="4E326398" w14:textId="77777777" w:rsidTr="00DC2B54">
        <w:trPr>
          <w:cantSplit/>
          <w:tblHeader/>
        </w:trPr>
        <w:tc>
          <w:tcPr>
            <w:tcW w:w="5760" w:type="dxa"/>
          </w:tcPr>
          <w:p w14:paraId="5150AE21" w14:textId="77777777" w:rsidR="00DC2B54" w:rsidRDefault="00DC2B54" w:rsidP="00DC2B54">
            <w:pPr>
              <w:pStyle w:val="tabletext"/>
            </w:pPr>
            <w:r>
              <w:t>Part 4, Division 1, section 90</w:t>
            </w:r>
          </w:p>
        </w:tc>
        <w:tc>
          <w:tcPr>
            <w:tcW w:w="1980" w:type="dxa"/>
          </w:tcPr>
          <w:p w14:paraId="1F34F89D" w14:textId="77777777" w:rsidR="00DC2B54" w:rsidRDefault="00DC2B54" w:rsidP="00DC2B54">
            <w:pPr>
              <w:pStyle w:val="tabletext"/>
            </w:pPr>
            <w:r>
              <w:t>5.6</w:t>
            </w:r>
          </w:p>
        </w:tc>
      </w:tr>
      <w:tr w:rsidR="00DC2B54" w:rsidRPr="00231CBA" w14:paraId="438F9E77" w14:textId="77777777" w:rsidTr="00DC2B54">
        <w:trPr>
          <w:cantSplit/>
          <w:tblHeader/>
        </w:trPr>
        <w:tc>
          <w:tcPr>
            <w:tcW w:w="5760" w:type="dxa"/>
          </w:tcPr>
          <w:p w14:paraId="7E239FC6" w14:textId="77777777" w:rsidR="00DC2B54" w:rsidRDefault="00DC2B54" w:rsidP="00DC2B54">
            <w:pPr>
              <w:pStyle w:val="tabletext"/>
            </w:pPr>
            <w:r>
              <w:t>Part 4, Division 2, subsection 92(1)</w:t>
            </w:r>
          </w:p>
        </w:tc>
        <w:tc>
          <w:tcPr>
            <w:tcW w:w="1980" w:type="dxa"/>
          </w:tcPr>
          <w:p w14:paraId="37B55BCD" w14:textId="77777777" w:rsidR="00DC2B54" w:rsidRDefault="00DC2B54" w:rsidP="00DC2B54">
            <w:pPr>
              <w:pStyle w:val="tabletext"/>
            </w:pPr>
            <w:r>
              <w:t>5.7</w:t>
            </w:r>
          </w:p>
        </w:tc>
      </w:tr>
      <w:tr w:rsidR="00DC2B54" w:rsidRPr="00231CBA" w14:paraId="159DFA89" w14:textId="77777777" w:rsidTr="00DC2B54">
        <w:trPr>
          <w:cantSplit/>
          <w:tblHeader/>
        </w:trPr>
        <w:tc>
          <w:tcPr>
            <w:tcW w:w="5760" w:type="dxa"/>
          </w:tcPr>
          <w:p w14:paraId="77BF10A5" w14:textId="77777777" w:rsidR="00DC2B54" w:rsidRDefault="00DC2B54" w:rsidP="00DC2B54">
            <w:pPr>
              <w:pStyle w:val="tabletext"/>
            </w:pPr>
            <w:r>
              <w:t>Part 4, Division 2, subsection 92(2)</w:t>
            </w:r>
          </w:p>
        </w:tc>
        <w:tc>
          <w:tcPr>
            <w:tcW w:w="1980" w:type="dxa"/>
          </w:tcPr>
          <w:p w14:paraId="77EE8CD7" w14:textId="77777777" w:rsidR="00DC2B54" w:rsidRDefault="00DC2B54" w:rsidP="00DC2B54">
            <w:pPr>
              <w:pStyle w:val="tabletext"/>
            </w:pPr>
            <w:r>
              <w:t>5.9</w:t>
            </w:r>
          </w:p>
        </w:tc>
      </w:tr>
      <w:tr w:rsidR="00DC2B54" w:rsidRPr="00231CBA" w14:paraId="32F8FD49" w14:textId="77777777" w:rsidTr="00DC2B54">
        <w:trPr>
          <w:cantSplit/>
          <w:tblHeader/>
        </w:trPr>
        <w:tc>
          <w:tcPr>
            <w:tcW w:w="5760" w:type="dxa"/>
          </w:tcPr>
          <w:p w14:paraId="68A118EF" w14:textId="77777777" w:rsidR="00DC2B54" w:rsidRDefault="00DC2B54" w:rsidP="00DC2B54">
            <w:pPr>
              <w:pStyle w:val="tabletext"/>
            </w:pPr>
            <w:r>
              <w:t>Part 4, Division 2, subsection 92(3)</w:t>
            </w:r>
          </w:p>
        </w:tc>
        <w:tc>
          <w:tcPr>
            <w:tcW w:w="1980" w:type="dxa"/>
          </w:tcPr>
          <w:p w14:paraId="07466763" w14:textId="77777777" w:rsidR="00DC2B54" w:rsidRDefault="00DC2B54" w:rsidP="00DC2B54">
            <w:pPr>
              <w:pStyle w:val="tabletext"/>
            </w:pPr>
            <w:r>
              <w:t>5.10</w:t>
            </w:r>
          </w:p>
        </w:tc>
      </w:tr>
      <w:tr w:rsidR="00DC2B54" w:rsidRPr="00231CBA" w14:paraId="1E5241BC" w14:textId="77777777" w:rsidTr="00DC2B54">
        <w:trPr>
          <w:cantSplit/>
          <w:tblHeader/>
        </w:trPr>
        <w:tc>
          <w:tcPr>
            <w:tcW w:w="5760" w:type="dxa"/>
          </w:tcPr>
          <w:p w14:paraId="15199577" w14:textId="77777777" w:rsidR="00DC2B54" w:rsidRDefault="00DC2B54" w:rsidP="00DC2B54">
            <w:pPr>
              <w:pStyle w:val="tabletext"/>
            </w:pPr>
            <w:r>
              <w:t>Part 4, Division 2, subsection 92(4)</w:t>
            </w:r>
          </w:p>
        </w:tc>
        <w:tc>
          <w:tcPr>
            <w:tcW w:w="1980" w:type="dxa"/>
          </w:tcPr>
          <w:p w14:paraId="1187B5B3" w14:textId="77777777" w:rsidR="00DC2B54" w:rsidRDefault="00DC2B54" w:rsidP="00DC2B54">
            <w:pPr>
              <w:pStyle w:val="tabletext"/>
            </w:pPr>
            <w:r>
              <w:t>5.11</w:t>
            </w:r>
          </w:p>
        </w:tc>
      </w:tr>
      <w:tr w:rsidR="00DC2B54" w:rsidRPr="00231CBA" w14:paraId="33044982" w14:textId="77777777" w:rsidTr="00DC2B54">
        <w:trPr>
          <w:cantSplit/>
          <w:tblHeader/>
        </w:trPr>
        <w:tc>
          <w:tcPr>
            <w:tcW w:w="5760" w:type="dxa"/>
          </w:tcPr>
          <w:p w14:paraId="54B09B7E" w14:textId="77777777" w:rsidR="00DC2B54" w:rsidRDefault="00DC2B54" w:rsidP="00DC2B54">
            <w:pPr>
              <w:pStyle w:val="tabletext"/>
            </w:pPr>
            <w:r>
              <w:t>Part 4, Division 2, subsection 92(5)</w:t>
            </w:r>
          </w:p>
        </w:tc>
        <w:tc>
          <w:tcPr>
            <w:tcW w:w="1980" w:type="dxa"/>
          </w:tcPr>
          <w:p w14:paraId="164A1495" w14:textId="77777777" w:rsidR="00DC2B54" w:rsidRDefault="00DC2B54" w:rsidP="00DC2B54">
            <w:pPr>
              <w:pStyle w:val="tabletext"/>
            </w:pPr>
            <w:r>
              <w:t>5.12</w:t>
            </w:r>
          </w:p>
        </w:tc>
      </w:tr>
      <w:tr w:rsidR="00DC2B54" w:rsidRPr="00231CBA" w14:paraId="68BC07F3" w14:textId="77777777" w:rsidTr="00DC2B54">
        <w:trPr>
          <w:cantSplit/>
          <w:tblHeader/>
        </w:trPr>
        <w:tc>
          <w:tcPr>
            <w:tcW w:w="5760" w:type="dxa"/>
          </w:tcPr>
          <w:p w14:paraId="4684CE9A" w14:textId="77777777" w:rsidR="00DC2B54" w:rsidRDefault="00DC2B54" w:rsidP="00DC2B54">
            <w:pPr>
              <w:pStyle w:val="tabletext"/>
            </w:pPr>
            <w:r>
              <w:t>Part 4, Division 2, subsection 92(6)</w:t>
            </w:r>
          </w:p>
        </w:tc>
        <w:tc>
          <w:tcPr>
            <w:tcW w:w="1980" w:type="dxa"/>
          </w:tcPr>
          <w:p w14:paraId="6FF6C3A2" w14:textId="77777777" w:rsidR="00DC2B54" w:rsidRDefault="00DC2B54" w:rsidP="00DC2B54">
            <w:pPr>
              <w:pStyle w:val="tabletext"/>
            </w:pPr>
            <w:r>
              <w:t>5.13</w:t>
            </w:r>
          </w:p>
        </w:tc>
      </w:tr>
      <w:tr w:rsidR="00DC2B54" w:rsidRPr="00231CBA" w14:paraId="79EE560E" w14:textId="77777777" w:rsidTr="00DC2B54">
        <w:trPr>
          <w:cantSplit/>
          <w:tblHeader/>
        </w:trPr>
        <w:tc>
          <w:tcPr>
            <w:tcW w:w="5760" w:type="dxa"/>
          </w:tcPr>
          <w:p w14:paraId="1089D6EA" w14:textId="77777777" w:rsidR="00DC2B54" w:rsidRDefault="00DC2B54" w:rsidP="00DC2B54">
            <w:pPr>
              <w:pStyle w:val="tabletext"/>
            </w:pPr>
            <w:r>
              <w:t>Part 4, Division 2, subsection 92(7)</w:t>
            </w:r>
          </w:p>
        </w:tc>
        <w:tc>
          <w:tcPr>
            <w:tcW w:w="1980" w:type="dxa"/>
          </w:tcPr>
          <w:p w14:paraId="13067620" w14:textId="77777777" w:rsidR="00DC2B54" w:rsidRDefault="00DC2B54" w:rsidP="00DC2B54">
            <w:pPr>
              <w:pStyle w:val="tabletext"/>
            </w:pPr>
            <w:r>
              <w:t>5.14</w:t>
            </w:r>
          </w:p>
        </w:tc>
      </w:tr>
      <w:tr w:rsidR="00DC2B54" w:rsidRPr="00231CBA" w14:paraId="2EF9EA0D" w14:textId="77777777" w:rsidTr="00DC2B54">
        <w:trPr>
          <w:cantSplit/>
          <w:tblHeader/>
        </w:trPr>
        <w:tc>
          <w:tcPr>
            <w:tcW w:w="5760" w:type="dxa"/>
          </w:tcPr>
          <w:p w14:paraId="47684C46" w14:textId="77777777" w:rsidR="00DC2B54" w:rsidRDefault="00DC2B54" w:rsidP="00DC2B54">
            <w:pPr>
              <w:pStyle w:val="tabletext"/>
            </w:pPr>
            <w:r>
              <w:t>Part 4, Division 2, subsection 92(8)</w:t>
            </w:r>
          </w:p>
        </w:tc>
        <w:tc>
          <w:tcPr>
            <w:tcW w:w="1980" w:type="dxa"/>
          </w:tcPr>
          <w:p w14:paraId="0742F692" w14:textId="77777777" w:rsidR="00DC2B54" w:rsidRDefault="00DC2B54" w:rsidP="00DC2B54">
            <w:pPr>
              <w:pStyle w:val="tabletext"/>
            </w:pPr>
            <w:r>
              <w:t>5.16</w:t>
            </w:r>
          </w:p>
        </w:tc>
      </w:tr>
      <w:tr w:rsidR="00DC2B54" w:rsidRPr="00231CBA" w14:paraId="24A2B145" w14:textId="77777777" w:rsidTr="00DC2B54">
        <w:trPr>
          <w:cantSplit/>
          <w:tblHeader/>
        </w:trPr>
        <w:tc>
          <w:tcPr>
            <w:tcW w:w="5760" w:type="dxa"/>
          </w:tcPr>
          <w:p w14:paraId="4494B23D" w14:textId="77777777" w:rsidR="00DC2B54" w:rsidRDefault="00DC2B54" w:rsidP="00DC2B54">
            <w:pPr>
              <w:pStyle w:val="tabletext"/>
            </w:pPr>
            <w:r>
              <w:t>Part 4, Division 2, subsection 92(9)</w:t>
            </w:r>
          </w:p>
        </w:tc>
        <w:tc>
          <w:tcPr>
            <w:tcW w:w="1980" w:type="dxa"/>
          </w:tcPr>
          <w:p w14:paraId="1786ACDF" w14:textId="77777777" w:rsidR="00DC2B54" w:rsidRDefault="00DC2B54" w:rsidP="00DC2B54">
            <w:pPr>
              <w:pStyle w:val="tabletext"/>
            </w:pPr>
            <w:r>
              <w:t>5.17</w:t>
            </w:r>
          </w:p>
        </w:tc>
      </w:tr>
      <w:tr w:rsidR="00DC2B54" w:rsidRPr="00231CBA" w14:paraId="31B225AF" w14:textId="77777777" w:rsidTr="00DC2B54">
        <w:trPr>
          <w:cantSplit/>
          <w:tblHeader/>
        </w:trPr>
        <w:tc>
          <w:tcPr>
            <w:tcW w:w="5760" w:type="dxa"/>
          </w:tcPr>
          <w:p w14:paraId="107757C5" w14:textId="77777777" w:rsidR="00DC2B54" w:rsidRDefault="00DC2B54" w:rsidP="00DC2B54">
            <w:pPr>
              <w:pStyle w:val="tabletext"/>
            </w:pPr>
            <w:r>
              <w:t>Part 4, Division 2, subsection 93(1)</w:t>
            </w:r>
          </w:p>
        </w:tc>
        <w:tc>
          <w:tcPr>
            <w:tcW w:w="1980" w:type="dxa"/>
          </w:tcPr>
          <w:p w14:paraId="4D6EE0C8" w14:textId="77777777" w:rsidR="00DC2B54" w:rsidRDefault="00DC2B54" w:rsidP="00DC2B54">
            <w:pPr>
              <w:pStyle w:val="tabletext"/>
            </w:pPr>
            <w:r>
              <w:t>5.19</w:t>
            </w:r>
          </w:p>
        </w:tc>
      </w:tr>
      <w:tr w:rsidR="00DC2B54" w:rsidRPr="00231CBA" w14:paraId="64CEDD68" w14:textId="77777777" w:rsidTr="00DC2B54">
        <w:trPr>
          <w:cantSplit/>
          <w:tblHeader/>
        </w:trPr>
        <w:tc>
          <w:tcPr>
            <w:tcW w:w="5760" w:type="dxa"/>
          </w:tcPr>
          <w:p w14:paraId="1A5C79ED" w14:textId="77777777" w:rsidR="00DC2B54" w:rsidRDefault="00DC2B54" w:rsidP="00DC2B54">
            <w:pPr>
              <w:pStyle w:val="tabletext"/>
            </w:pPr>
            <w:r>
              <w:t>Part 4, Division 2, subsection 93(2)</w:t>
            </w:r>
          </w:p>
        </w:tc>
        <w:tc>
          <w:tcPr>
            <w:tcW w:w="1980" w:type="dxa"/>
          </w:tcPr>
          <w:p w14:paraId="68BE3A48" w14:textId="77777777" w:rsidR="00DC2B54" w:rsidRDefault="00DC2B54" w:rsidP="00DC2B54">
            <w:pPr>
              <w:pStyle w:val="tabletext"/>
            </w:pPr>
            <w:r>
              <w:t>5.20</w:t>
            </w:r>
          </w:p>
        </w:tc>
      </w:tr>
      <w:tr w:rsidR="00DC2B54" w:rsidRPr="00231CBA" w14:paraId="085FCC50" w14:textId="77777777" w:rsidTr="00DC2B54">
        <w:trPr>
          <w:cantSplit/>
          <w:tblHeader/>
        </w:trPr>
        <w:tc>
          <w:tcPr>
            <w:tcW w:w="5760" w:type="dxa"/>
          </w:tcPr>
          <w:p w14:paraId="6F10C548" w14:textId="77777777" w:rsidR="00DC2B54" w:rsidRDefault="00DC2B54" w:rsidP="00DC2B54">
            <w:pPr>
              <w:pStyle w:val="tabletext"/>
            </w:pPr>
            <w:r>
              <w:t>Part 4, Division 2, section 94</w:t>
            </w:r>
          </w:p>
        </w:tc>
        <w:tc>
          <w:tcPr>
            <w:tcW w:w="1980" w:type="dxa"/>
          </w:tcPr>
          <w:p w14:paraId="716D4793" w14:textId="77777777" w:rsidR="00DC2B54" w:rsidRDefault="00DC2B54" w:rsidP="00DC2B54">
            <w:pPr>
              <w:pStyle w:val="tabletext"/>
            </w:pPr>
            <w:r>
              <w:t>5.21</w:t>
            </w:r>
          </w:p>
        </w:tc>
      </w:tr>
      <w:tr w:rsidR="00DC2B54" w:rsidRPr="00231CBA" w14:paraId="0F92897D" w14:textId="77777777" w:rsidTr="00DC2B54">
        <w:trPr>
          <w:cantSplit/>
          <w:tblHeader/>
        </w:trPr>
        <w:tc>
          <w:tcPr>
            <w:tcW w:w="5760" w:type="dxa"/>
          </w:tcPr>
          <w:p w14:paraId="5E2DE0EB" w14:textId="77777777" w:rsidR="00DC2B54" w:rsidRDefault="00DC2B54" w:rsidP="00DC2B54">
            <w:pPr>
              <w:pStyle w:val="tabletext"/>
            </w:pPr>
            <w:r>
              <w:t>Part 4, Division 2, subsection 95(1)</w:t>
            </w:r>
          </w:p>
        </w:tc>
        <w:tc>
          <w:tcPr>
            <w:tcW w:w="1980" w:type="dxa"/>
          </w:tcPr>
          <w:p w14:paraId="211A78A1" w14:textId="77777777" w:rsidR="00DC2B54" w:rsidRDefault="00DC2B54" w:rsidP="00DC2B54">
            <w:pPr>
              <w:pStyle w:val="tabletext"/>
            </w:pPr>
            <w:r>
              <w:t>5.22</w:t>
            </w:r>
          </w:p>
        </w:tc>
      </w:tr>
      <w:tr w:rsidR="00DC2B54" w:rsidRPr="00231CBA" w14:paraId="2C6ABF51" w14:textId="77777777" w:rsidTr="00DC2B54">
        <w:trPr>
          <w:cantSplit/>
          <w:tblHeader/>
        </w:trPr>
        <w:tc>
          <w:tcPr>
            <w:tcW w:w="5760" w:type="dxa"/>
          </w:tcPr>
          <w:p w14:paraId="03B14174" w14:textId="77777777" w:rsidR="00DC2B54" w:rsidRDefault="00DC2B54" w:rsidP="00DC2B54">
            <w:pPr>
              <w:pStyle w:val="tabletext"/>
            </w:pPr>
            <w:r>
              <w:t>Part 4, Division 2, subsection 95(2)</w:t>
            </w:r>
          </w:p>
        </w:tc>
        <w:tc>
          <w:tcPr>
            <w:tcW w:w="1980" w:type="dxa"/>
          </w:tcPr>
          <w:p w14:paraId="4228A5BB" w14:textId="77777777" w:rsidR="00DC2B54" w:rsidRDefault="00DC2B54" w:rsidP="00DC2B54">
            <w:pPr>
              <w:pStyle w:val="tabletext"/>
            </w:pPr>
            <w:r>
              <w:t>5.23</w:t>
            </w:r>
          </w:p>
        </w:tc>
      </w:tr>
      <w:tr w:rsidR="00DC2B54" w:rsidRPr="00231CBA" w14:paraId="021B003A" w14:textId="77777777" w:rsidTr="00DC2B54">
        <w:trPr>
          <w:cantSplit/>
          <w:tblHeader/>
        </w:trPr>
        <w:tc>
          <w:tcPr>
            <w:tcW w:w="5760" w:type="dxa"/>
          </w:tcPr>
          <w:p w14:paraId="163A4BBD" w14:textId="77777777" w:rsidR="00DC2B54" w:rsidRDefault="00DC2B54" w:rsidP="00DC2B54">
            <w:pPr>
              <w:pStyle w:val="tabletext"/>
            </w:pPr>
            <w:r>
              <w:t>Part  4, Division 3, paragraphs 96(1)(a), (b) and (c)</w:t>
            </w:r>
          </w:p>
        </w:tc>
        <w:tc>
          <w:tcPr>
            <w:tcW w:w="1980" w:type="dxa"/>
          </w:tcPr>
          <w:p w14:paraId="557845CF" w14:textId="77777777" w:rsidR="00DC2B54" w:rsidRDefault="00DC2B54" w:rsidP="00DC2B54">
            <w:pPr>
              <w:pStyle w:val="tabletext"/>
            </w:pPr>
            <w:r>
              <w:t>5.24</w:t>
            </w:r>
          </w:p>
        </w:tc>
      </w:tr>
      <w:tr w:rsidR="00DC2B54" w:rsidRPr="00231CBA" w14:paraId="04DD7E9A" w14:textId="77777777" w:rsidTr="00DC2B54">
        <w:trPr>
          <w:cantSplit/>
          <w:tblHeader/>
        </w:trPr>
        <w:tc>
          <w:tcPr>
            <w:tcW w:w="5760" w:type="dxa"/>
          </w:tcPr>
          <w:p w14:paraId="60E4655E" w14:textId="77777777" w:rsidR="00DC2B54" w:rsidRDefault="00DC2B54" w:rsidP="00DC2B54">
            <w:pPr>
              <w:pStyle w:val="tabletext"/>
            </w:pPr>
            <w:r>
              <w:t>Part 4, Division 3, paragraphs 96(1)(d) to (i)</w:t>
            </w:r>
          </w:p>
        </w:tc>
        <w:tc>
          <w:tcPr>
            <w:tcW w:w="1980" w:type="dxa"/>
          </w:tcPr>
          <w:p w14:paraId="3511BF1D" w14:textId="77777777" w:rsidR="00DC2B54" w:rsidRDefault="00DC2B54" w:rsidP="00DC2B54">
            <w:pPr>
              <w:pStyle w:val="tabletext"/>
            </w:pPr>
            <w:r>
              <w:t>5.26</w:t>
            </w:r>
          </w:p>
        </w:tc>
      </w:tr>
      <w:tr w:rsidR="00DC2B54" w:rsidRPr="00231CBA" w14:paraId="3EB4E8D6" w14:textId="77777777" w:rsidTr="00DC2B54">
        <w:trPr>
          <w:cantSplit/>
          <w:tblHeader/>
        </w:trPr>
        <w:tc>
          <w:tcPr>
            <w:tcW w:w="5760" w:type="dxa"/>
          </w:tcPr>
          <w:p w14:paraId="404E7CDD" w14:textId="77777777" w:rsidR="00DC2B54" w:rsidRDefault="00DC2B54" w:rsidP="00DC2B54">
            <w:pPr>
              <w:pStyle w:val="tabletext"/>
            </w:pPr>
            <w:r>
              <w:t>Part 4, Division 3, subsections 96(2) and (3)</w:t>
            </w:r>
          </w:p>
        </w:tc>
        <w:tc>
          <w:tcPr>
            <w:tcW w:w="1980" w:type="dxa"/>
          </w:tcPr>
          <w:p w14:paraId="1E18F67D" w14:textId="77777777" w:rsidR="00DC2B54" w:rsidRDefault="00DC2B54" w:rsidP="00DC2B54">
            <w:pPr>
              <w:pStyle w:val="tabletext"/>
            </w:pPr>
            <w:r>
              <w:t>5.28</w:t>
            </w:r>
          </w:p>
        </w:tc>
      </w:tr>
      <w:tr w:rsidR="00DC2B54" w:rsidRPr="00231CBA" w14:paraId="21106FAB" w14:textId="77777777" w:rsidTr="00DC2B54">
        <w:trPr>
          <w:cantSplit/>
          <w:tblHeader/>
        </w:trPr>
        <w:tc>
          <w:tcPr>
            <w:tcW w:w="5760" w:type="dxa"/>
          </w:tcPr>
          <w:p w14:paraId="3D5521E6" w14:textId="77777777" w:rsidR="00DC2B54" w:rsidRDefault="00DC2B54" w:rsidP="00DC2B54">
            <w:pPr>
              <w:pStyle w:val="tabletext"/>
            </w:pPr>
            <w:r>
              <w:t>Part 4, Division 3, subsection 97(1)</w:t>
            </w:r>
          </w:p>
        </w:tc>
        <w:tc>
          <w:tcPr>
            <w:tcW w:w="1980" w:type="dxa"/>
          </w:tcPr>
          <w:p w14:paraId="06024B53" w14:textId="77777777" w:rsidR="00DC2B54" w:rsidRDefault="00DC2B54" w:rsidP="00DC2B54">
            <w:pPr>
              <w:pStyle w:val="tabletext"/>
            </w:pPr>
            <w:r>
              <w:t>5.29, 5.30</w:t>
            </w:r>
          </w:p>
        </w:tc>
      </w:tr>
      <w:tr w:rsidR="00DC2B54" w14:paraId="5D1E7406" w14:textId="77777777" w:rsidTr="00DC2B54">
        <w:trPr>
          <w:cantSplit/>
          <w:tblHeader/>
        </w:trPr>
        <w:tc>
          <w:tcPr>
            <w:tcW w:w="5760" w:type="dxa"/>
          </w:tcPr>
          <w:p w14:paraId="0E98B5A9" w14:textId="77777777" w:rsidR="00DC2B54" w:rsidRDefault="00DC2B54" w:rsidP="00DC2B54">
            <w:pPr>
              <w:pStyle w:val="tabletext"/>
            </w:pPr>
            <w:r>
              <w:t>Part 4, Division 3, subsection 97(2)</w:t>
            </w:r>
          </w:p>
        </w:tc>
        <w:tc>
          <w:tcPr>
            <w:tcW w:w="1980" w:type="dxa"/>
          </w:tcPr>
          <w:p w14:paraId="137DD343" w14:textId="77777777" w:rsidR="00DC2B54" w:rsidRDefault="00DC2B54" w:rsidP="00DC2B54">
            <w:pPr>
              <w:pStyle w:val="tabletext"/>
            </w:pPr>
            <w:r>
              <w:t>5.32</w:t>
            </w:r>
          </w:p>
        </w:tc>
      </w:tr>
      <w:tr w:rsidR="00DC2B54" w:rsidRPr="00231CBA" w14:paraId="684F14D7" w14:textId="77777777" w:rsidTr="00DC2B54">
        <w:trPr>
          <w:cantSplit/>
          <w:tblHeader/>
        </w:trPr>
        <w:tc>
          <w:tcPr>
            <w:tcW w:w="5760" w:type="dxa"/>
          </w:tcPr>
          <w:p w14:paraId="7455FD57" w14:textId="77777777" w:rsidR="00DC2B54" w:rsidRDefault="00DC2B54" w:rsidP="00DC2B54">
            <w:pPr>
              <w:pStyle w:val="tabletext"/>
            </w:pPr>
            <w:r>
              <w:t>Part 4, Division 3, subsection 97(3)</w:t>
            </w:r>
          </w:p>
        </w:tc>
        <w:tc>
          <w:tcPr>
            <w:tcW w:w="1980" w:type="dxa"/>
          </w:tcPr>
          <w:p w14:paraId="21E4F9C7" w14:textId="77777777" w:rsidR="00DC2B54" w:rsidRDefault="00DC2B54" w:rsidP="00DC2B54">
            <w:pPr>
              <w:pStyle w:val="tabletext"/>
            </w:pPr>
            <w:r>
              <w:t>5.31</w:t>
            </w:r>
          </w:p>
        </w:tc>
      </w:tr>
      <w:tr w:rsidR="00DC2B54" w:rsidRPr="00231CBA" w14:paraId="7BBE1002" w14:textId="77777777" w:rsidTr="00DC2B54">
        <w:trPr>
          <w:cantSplit/>
          <w:tblHeader/>
        </w:trPr>
        <w:tc>
          <w:tcPr>
            <w:tcW w:w="5760" w:type="dxa"/>
          </w:tcPr>
          <w:p w14:paraId="3CDF7C3C" w14:textId="77777777" w:rsidR="00DC2B54" w:rsidRDefault="00DC2B54" w:rsidP="00DC2B54">
            <w:pPr>
              <w:pStyle w:val="tabletext"/>
            </w:pPr>
            <w:r>
              <w:t>Part 4, Division 3, section 98</w:t>
            </w:r>
          </w:p>
        </w:tc>
        <w:tc>
          <w:tcPr>
            <w:tcW w:w="1980" w:type="dxa"/>
          </w:tcPr>
          <w:p w14:paraId="64ADD480" w14:textId="77777777" w:rsidR="00DC2B54" w:rsidRDefault="00DC2B54" w:rsidP="00DC2B54">
            <w:pPr>
              <w:pStyle w:val="tabletext"/>
            </w:pPr>
            <w:r>
              <w:t>5.34</w:t>
            </w:r>
          </w:p>
        </w:tc>
      </w:tr>
      <w:tr w:rsidR="00DC2B54" w:rsidRPr="00231CBA" w14:paraId="1BDAAB1C" w14:textId="77777777" w:rsidTr="00DC2B54">
        <w:trPr>
          <w:cantSplit/>
          <w:tblHeader/>
        </w:trPr>
        <w:tc>
          <w:tcPr>
            <w:tcW w:w="5760" w:type="dxa"/>
          </w:tcPr>
          <w:p w14:paraId="457910F1" w14:textId="77777777" w:rsidR="00DC2B54" w:rsidRDefault="00DC2B54" w:rsidP="00DC2B54">
            <w:pPr>
              <w:pStyle w:val="tabletext"/>
            </w:pPr>
            <w:r>
              <w:t>Part 4, Division 3, section 99</w:t>
            </w:r>
          </w:p>
        </w:tc>
        <w:tc>
          <w:tcPr>
            <w:tcW w:w="1980" w:type="dxa"/>
          </w:tcPr>
          <w:p w14:paraId="508BBCE6" w14:textId="77777777" w:rsidR="00DC2B54" w:rsidRDefault="00DC2B54" w:rsidP="00DC2B54">
            <w:pPr>
              <w:pStyle w:val="tabletext"/>
            </w:pPr>
            <w:r>
              <w:t>5.35</w:t>
            </w:r>
          </w:p>
        </w:tc>
      </w:tr>
      <w:tr w:rsidR="00DC2B54" w:rsidRPr="00231CBA" w14:paraId="7E358BAD" w14:textId="77777777" w:rsidTr="00DC2B54">
        <w:trPr>
          <w:cantSplit/>
          <w:tblHeader/>
        </w:trPr>
        <w:tc>
          <w:tcPr>
            <w:tcW w:w="5760" w:type="dxa"/>
          </w:tcPr>
          <w:p w14:paraId="2EE305B3" w14:textId="77777777" w:rsidR="00DC2B54" w:rsidRDefault="00DC2B54" w:rsidP="00DC2B54">
            <w:pPr>
              <w:pStyle w:val="tabletext"/>
            </w:pPr>
            <w:r>
              <w:t>Part 4, Division 3, section 100</w:t>
            </w:r>
          </w:p>
        </w:tc>
        <w:tc>
          <w:tcPr>
            <w:tcW w:w="1980" w:type="dxa"/>
          </w:tcPr>
          <w:p w14:paraId="565E642A" w14:textId="77777777" w:rsidR="00DC2B54" w:rsidRDefault="00DC2B54" w:rsidP="00DC2B54">
            <w:pPr>
              <w:pStyle w:val="tabletext"/>
            </w:pPr>
            <w:r>
              <w:t>5.36</w:t>
            </w:r>
          </w:p>
        </w:tc>
      </w:tr>
      <w:tr w:rsidR="00DC2B54" w:rsidRPr="00231CBA" w14:paraId="4162931E" w14:textId="77777777" w:rsidTr="00DC2B54">
        <w:trPr>
          <w:cantSplit/>
          <w:tblHeader/>
        </w:trPr>
        <w:tc>
          <w:tcPr>
            <w:tcW w:w="5760" w:type="dxa"/>
          </w:tcPr>
          <w:p w14:paraId="673C65AE" w14:textId="77777777" w:rsidR="00DC2B54" w:rsidRDefault="00DC2B54" w:rsidP="00DC2B54">
            <w:pPr>
              <w:pStyle w:val="tabletext"/>
            </w:pPr>
            <w:r>
              <w:t>Part 4, Division 3, subsections 101(1) and (2)</w:t>
            </w:r>
          </w:p>
        </w:tc>
        <w:tc>
          <w:tcPr>
            <w:tcW w:w="1980" w:type="dxa"/>
          </w:tcPr>
          <w:p w14:paraId="1315AB8A" w14:textId="77777777" w:rsidR="00DC2B54" w:rsidRDefault="00DC2B54" w:rsidP="00DC2B54">
            <w:pPr>
              <w:pStyle w:val="tabletext"/>
            </w:pPr>
            <w:r>
              <w:t>5.37</w:t>
            </w:r>
          </w:p>
        </w:tc>
      </w:tr>
      <w:tr w:rsidR="00DC2B54" w:rsidRPr="00231CBA" w14:paraId="10C900BC" w14:textId="77777777" w:rsidTr="00DC2B54">
        <w:trPr>
          <w:cantSplit/>
          <w:tblHeader/>
        </w:trPr>
        <w:tc>
          <w:tcPr>
            <w:tcW w:w="5760" w:type="dxa"/>
          </w:tcPr>
          <w:p w14:paraId="7DB2B266" w14:textId="77777777" w:rsidR="00DC2B54" w:rsidRDefault="00DC2B54" w:rsidP="00DC2B54">
            <w:pPr>
              <w:pStyle w:val="tabletext"/>
            </w:pPr>
            <w:r>
              <w:t>Part 4, Division 3, subsection 101(3)</w:t>
            </w:r>
          </w:p>
        </w:tc>
        <w:tc>
          <w:tcPr>
            <w:tcW w:w="1980" w:type="dxa"/>
          </w:tcPr>
          <w:p w14:paraId="4B72DE5A" w14:textId="77777777" w:rsidR="00DC2B54" w:rsidRDefault="00DC2B54" w:rsidP="00DC2B54">
            <w:pPr>
              <w:pStyle w:val="tabletext"/>
            </w:pPr>
            <w:r>
              <w:t>5.38</w:t>
            </w:r>
          </w:p>
        </w:tc>
      </w:tr>
      <w:tr w:rsidR="00DC2B54" w:rsidRPr="00231CBA" w14:paraId="7901BDA1" w14:textId="77777777" w:rsidTr="00DC2B54">
        <w:trPr>
          <w:cantSplit/>
          <w:tblHeader/>
        </w:trPr>
        <w:tc>
          <w:tcPr>
            <w:tcW w:w="5760" w:type="dxa"/>
          </w:tcPr>
          <w:p w14:paraId="0A2DDE34" w14:textId="77777777" w:rsidR="00DC2B54" w:rsidRDefault="00DC2B54" w:rsidP="00DC2B54">
            <w:pPr>
              <w:pStyle w:val="tabletext"/>
            </w:pPr>
            <w:r>
              <w:t>Part 4, Division 3, subsection 101(4)</w:t>
            </w:r>
          </w:p>
        </w:tc>
        <w:tc>
          <w:tcPr>
            <w:tcW w:w="1980" w:type="dxa"/>
          </w:tcPr>
          <w:p w14:paraId="1CB22352" w14:textId="77777777" w:rsidR="00DC2B54" w:rsidRDefault="00DC2B54" w:rsidP="00DC2B54">
            <w:pPr>
              <w:pStyle w:val="tabletext"/>
            </w:pPr>
            <w:r>
              <w:t>5.39</w:t>
            </w:r>
          </w:p>
        </w:tc>
      </w:tr>
      <w:tr w:rsidR="00DC2B54" w:rsidRPr="00231CBA" w14:paraId="685CEA25" w14:textId="77777777" w:rsidTr="00DC2B54">
        <w:trPr>
          <w:cantSplit/>
          <w:tblHeader/>
        </w:trPr>
        <w:tc>
          <w:tcPr>
            <w:tcW w:w="5760" w:type="dxa"/>
          </w:tcPr>
          <w:p w14:paraId="52D4B635" w14:textId="77777777" w:rsidR="00DC2B54" w:rsidRDefault="00DC2B54" w:rsidP="00DC2B54">
            <w:pPr>
              <w:pStyle w:val="tabletext"/>
            </w:pPr>
            <w:r>
              <w:t>Part 4, Division 3, subsection 102(1)</w:t>
            </w:r>
          </w:p>
        </w:tc>
        <w:tc>
          <w:tcPr>
            <w:tcW w:w="1980" w:type="dxa"/>
          </w:tcPr>
          <w:p w14:paraId="455EFEAC" w14:textId="77777777" w:rsidR="00DC2B54" w:rsidRDefault="00DC2B54" w:rsidP="00DC2B54">
            <w:pPr>
              <w:pStyle w:val="tabletext"/>
            </w:pPr>
            <w:r>
              <w:t>5.40</w:t>
            </w:r>
          </w:p>
        </w:tc>
      </w:tr>
      <w:tr w:rsidR="00DC2B54" w:rsidRPr="00231CBA" w14:paraId="568B8D90" w14:textId="77777777" w:rsidTr="00DC2B54">
        <w:trPr>
          <w:cantSplit/>
          <w:tblHeader/>
        </w:trPr>
        <w:tc>
          <w:tcPr>
            <w:tcW w:w="5760" w:type="dxa"/>
          </w:tcPr>
          <w:p w14:paraId="4F8F693A" w14:textId="77777777" w:rsidR="00DC2B54" w:rsidRDefault="00DC2B54" w:rsidP="00DC2B54">
            <w:pPr>
              <w:pStyle w:val="tabletext"/>
            </w:pPr>
            <w:r>
              <w:t>Part 4, Division 3, subsection 102(2)</w:t>
            </w:r>
          </w:p>
        </w:tc>
        <w:tc>
          <w:tcPr>
            <w:tcW w:w="1980" w:type="dxa"/>
          </w:tcPr>
          <w:p w14:paraId="4BC4C377" w14:textId="77777777" w:rsidR="00DC2B54" w:rsidRDefault="00DC2B54" w:rsidP="00DC2B54">
            <w:pPr>
              <w:pStyle w:val="tabletext"/>
            </w:pPr>
            <w:r>
              <w:t>5.41</w:t>
            </w:r>
          </w:p>
        </w:tc>
      </w:tr>
      <w:tr w:rsidR="00DC2B54" w:rsidRPr="00231CBA" w14:paraId="2A4A3E3B" w14:textId="77777777" w:rsidTr="00DC2B54">
        <w:trPr>
          <w:cantSplit/>
          <w:tblHeader/>
        </w:trPr>
        <w:tc>
          <w:tcPr>
            <w:tcW w:w="5760" w:type="dxa"/>
          </w:tcPr>
          <w:p w14:paraId="42C2A547" w14:textId="77777777" w:rsidR="00DC2B54" w:rsidRDefault="00DC2B54" w:rsidP="00DC2B54">
            <w:pPr>
              <w:pStyle w:val="tabletext"/>
            </w:pPr>
            <w:r>
              <w:t>Part 4, Division 3, subsection 102(3)</w:t>
            </w:r>
          </w:p>
        </w:tc>
        <w:tc>
          <w:tcPr>
            <w:tcW w:w="1980" w:type="dxa"/>
          </w:tcPr>
          <w:p w14:paraId="404B7813" w14:textId="77777777" w:rsidR="00DC2B54" w:rsidRDefault="00DC2B54" w:rsidP="00DC2B54">
            <w:pPr>
              <w:pStyle w:val="tabletext"/>
            </w:pPr>
            <w:r>
              <w:t>5.42</w:t>
            </w:r>
          </w:p>
        </w:tc>
      </w:tr>
      <w:tr w:rsidR="00DC2B54" w:rsidRPr="00231CBA" w14:paraId="0FD6CF9A" w14:textId="77777777" w:rsidTr="00DC2B54">
        <w:trPr>
          <w:cantSplit/>
          <w:tblHeader/>
        </w:trPr>
        <w:tc>
          <w:tcPr>
            <w:tcW w:w="5760" w:type="dxa"/>
          </w:tcPr>
          <w:p w14:paraId="7D42224A" w14:textId="77777777" w:rsidR="00DC2B54" w:rsidRDefault="00DC2B54" w:rsidP="00DC2B54">
            <w:pPr>
              <w:pStyle w:val="tabletext"/>
            </w:pPr>
            <w:r>
              <w:t>Part 4, Division 3, subsection 102(4)</w:t>
            </w:r>
          </w:p>
        </w:tc>
        <w:tc>
          <w:tcPr>
            <w:tcW w:w="1980" w:type="dxa"/>
          </w:tcPr>
          <w:p w14:paraId="6D2A6E4F" w14:textId="77777777" w:rsidR="00DC2B54" w:rsidRDefault="00DC2B54" w:rsidP="00DC2B54">
            <w:pPr>
              <w:pStyle w:val="tabletext"/>
            </w:pPr>
            <w:r>
              <w:t>5.43</w:t>
            </w:r>
          </w:p>
        </w:tc>
      </w:tr>
      <w:tr w:rsidR="00DC2B54" w:rsidRPr="00231CBA" w14:paraId="10DA654E" w14:textId="77777777" w:rsidTr="00DC2B54">
        <w:trPr>
          <w:cantSplit/>
          <w:tblHeader/>
        </w:trPr>
        <w:tc>
          <w:tcPr>
            <w:tcW w:w="5760" w:type="dxa"/>
          </w:tcPr>
          <w:p w14:paraId="3EE70702" w14:textId="77777777" w:rsidR="00DC2B54" w:rsidRDefault="00DC2B54" w:rsidP="00DC2B54">
            <w:pPr>
              <w:pStyle w:val="tabletext"/>
            </w:pPr>
            <w:r>
              <w:t>Part 4, Division 3, subsection 102(5)</w:t>
            </w:r>
          </w:p>
        </w:tc>
        <w:tc>
          <w:tcPr>
            <w:tcW w:w="1980" w:type="dxa"/>
          </w:tcPr>
          <w:p w14:paraId="4004BD2E" w14:textId="77777777" w:rsidR="00DC2B54" w:rsidRDefault="00DC2B54" w:rsidP="00DC2B54">
            <w:pPr>
              <w:pStyle w:val="tabletext"/>
            </w:pPr>
            <w:r>
              <w:t>5.44</w:t>
            </w:r>
          </w:p>
        </w:tc>
      </w:tr>
      <w:tr w:rsidR="00DC2B54" w:rsidRPr="00231CBA" w14:paraId="5D9D0345" w14:textId="77777777" w:rsidTr="00DC2B54">
        <w:trPr>
          <w:cantSplit/>
          <w:tblHeader/>
        </w:trPr>
        <w:tc>
          <w:tcPr>
            <w:tcW w:w="5760" w:type="dxa"/>
          </w:tcPr>
          <w:p w14:paraId="256D21C7" w14:textId="77777777" w:rsidR="00DC2B54" w:rsidRDefault="00DC2B54" w:rsidP="00DC2B54">
            <w:pPr>
              <w:pStyle w:val="tabletext"/>
            </w:pPr>
            <w:r>
              <w:t>Part 4, Division 3, subsection 102(6)</w:t>
            </w:r>
          </w:p>
        </w:tc>
        <w:tc>
          <w:tcPr>
            <w:tcW w:w="1980" w:type="dxa"/>
          </w:tcPr>
          <w:p w14:paraId="66B58ADC" w14:textId="77777777" w:rsidR="00DC2B54" w:rsidRDefault="00DC2B54" w:rsidP="00DC2B54">
            <w:pPr>
              <w:pStyle w:val="tabletext"/>
            </w:pPr>
            <w:r>
              <w:t>5.45</w:t>
            </w:r>
          </w:p>
        </w:tc>
      </w:tr>
      <w:tr w:rsidR="00DC2B54" w:rsidRPr="00231CBA" w14:paraId="011C3063" w14:textId="77777777" w:rsidTr="00DC2B54">
        <w:trPr>
          <w:cantSplit/>
          <w:tblHeader/>
        </w:trPr>
        <w:tc>
          <w:tcPr>
            <w:tcW w:w="5760" w:type="dxa"/>
          </w:tcPr>
          <w:p w14:paraId="6B9356BD" w14:textId="77777777" w:rsidR="00DC2B54" w:rsidRDefault="00DC2B54" w:rsidP="00DC2B54">
            <w:pPr>
              <w:pStyle w:val="tabletext"/>
            </w:pPr>
            <w:r>
              <w:t>Part 4, Division 3, section 103</w:t>
            </w:r>
          </w:p>
        </w:tc>
        <w:tc>
          <w:tcPr>
            <w:tcW w:w="1980" w:type="dxa"/>
          </w:tcPr>
          <w:p w14:paraId="0E73875A" w14:textId="77777777" w:rsidR="00DC2B54" w:rsidRDefault="00DC2B54" w:rsidP="00DC2B54">
            <w:pPr>
              <w:pStyle w:val="tabletext"/>
            </w:pPr>
            <w:r>
              <w:t>5.46</w:t>
            </w:r>
          </w:p>
        </w:tc>
      </w:tr>
      <w:tr w:rsidR="00DC2B54" w:rsidRPr="00231CBA" w14:paraId="644BB1C3" w14:textId="77777777" w:rsidTr="00DC2B54">
        <w:trPr>
          <w:cantSplit/>
          <w:tblHeader/>
        </w:trPr>
        <w:tc>
          <w:tcPr>
            <w:tcW w:w="5760" w:type="dxa"/>
          </w:tcPr>
          <w:p w14:paraId="3178EB48" w14:textId="77777777" w:rsidR="00DC2B54" w:rsidRDefault="00DC2B54" w:rsidP="00DC2B54">
            <w:pPr>
              <w:pStyle w:val="tabletext"/>
            </w:pPr>
            <w:r>
              <w:t>Part 4, Division 3, subsection 104(1)</w:t>
            </w:r>
          </w:p>
        </w:tc>
        <w:tc>
          <w:tcPr>
            <w:tcW w:w="1980" w:type="dxa"/>
          </w:tcPr>
          <w:p w14:paraId="06E6EE2C" w14:textId="77777777" w:rsidR="00DC2B54" w:rsidRDefault="00DC2B54" w:rsidP="00DC2B54">
            <w:pPr>
              <w:pStyle w:val="tabletext"/>
            </w:pPr>
            <w:r>
              <w:t>5.47</w:t>
            </w:r>
          </w:p>
        </w:tc>
      </w:tr>
      <w:tr w:rsidR="00DC2B54" w:rsidRPr="00231CBA" w14:paraId="041C005D" w14:textId="77777777" w:rsidTr="00DC2B54">
        <w:trPr>
          <w:cantSplit/>
          <w:tblHeader/>
        </w:trPr>
        <w:tc>
          <w:tcPr>
            <w:tcW w:w="5760" w:type="dxa"/>
          </w:tcPr>
          <w:p w14:paraId="46EF68A2" w14:textId="77777777" w:rsidR="00DC2B54" w:rsidRDefault="00DC2B54" w:rsidP="00DC2B54">
            <w:pPr>
              <w:pStyle w:val="tabletext"/>
            </w:pPr>
            <w:r>
              <w:t>Part 4, Division 3, subsection 104(2)</w:t>
            </w:r>
          </w:p>
        </w:tc>
        <w:tc>
          <w:tcPr>
            <w:tcW w:w="1980" w:type="dxa"/>
          </w:tcPr>
          <w:p w14:paraId="698DE877" w14:textId="77777777" w:rsidR="00DC2B54" w:rsidRDefault="00DC2B54" w:rsidP="00DC2B54">
            <w:pPr>
              <w:pStyle w:val="tabletext"/>
            </w:pPr>
            <w:r>
              <w:t>5.48</w:t>
            </w:r>
          </w:p>
        </w:tc>
      </w:tr>
      <w:tr w:rsidR="00DC2B54" w:rsidRPr="00231CBA" w14:paraId="588BF818" w14:textId="77777777" w:rsidTr="00DC2B54">
        <w:trPr>
          <w:cantSplit/>
          <w:tblHeader/>
        </w:trPr>
        <w:tc>
          <w:tcPr>
            <w:tcW w:w="5760" w:type="dxa"/>
          </w:tcPr>
          <w:p w14:paraId="4146AF2D" w14:textId="77777777" w:rsidR="00DC2B54" w:rsidRDefault="00DC2B54" w:rsidP="00DC2B54">
            <w:pPr>
              <w:pStyle w:val="tabletext"/>
            </w:pPr>
            <w:r>
              <w:t>Part 4, Division 3, subsection 104(3)</w:t>
            </w:r>
          </w:p>
        </w:tc>
        <w:tc>
          <w:tcPr>
            <w:tcW w:w="1980" w:type="dxa"/>
          </w:tcPr>
          <w:p w14:paraId="4FBB1E73" w14:textId="77777777" w:rsidR="00DC2B54" w:rsidRDefault="00DC2B54" w:rsidP="00DC2B54">
            <w:pPr>
              <w:pStyle w:val="tabletext"/>
            </w:pPr>
            <w:r>
              <w:t>5.49</w:t>
            </w:r>
          </w:p>
        </w:tc>
      </w:tr>
      <w:tr w:rsidR="00DC2B54" w:rsidRPr="00231CBA" w14:paraId="1DB3DC29" w14:textId="77777777" w:rsidTr="00DC2B54">
        <w:trPr>
          <w:cantSplit/>
          <w:tblHeader/>
        </w:trPr>
        <w:tc>
          <w:tcPr>
            <w:tcW w:w="5760" w:type="dxa"/>
          </w:tcPr>
          <w:p w14:paraId="0CB99427" w14:textId="77777777" w:rsidR="00DC2B54" w:rsidRDefault="00DC2B54" w:rsidP="00DC2B54">
            <w:pPr>
              <w:pStyle w:val="tabletext"/>
            </w:pPr>
            <w:r>
              <w:t>Part 5 Division 2, section 105</w:t>
            </w:r>
          </w:p>
        </w:tc>
        <w:tc>
          <w:tcPr>
            <w:tcW w:w="1980" w:type="dxa"/>
          </w:tcPr>
          <w:p w14:paraId="46755111" w14:textId="77777777" w:rsidR="00DC2B54" w:rsidRDefault="00DC2B54" w:rsidP="00DC2B54">
            <w:pPr>
              <w:pStyle w:val="tabletext"/>
            </w:pPr>
            <w:r>
              <w:t>6.5</w:t>
            </w:r>
          </w:p>
        </w:tc>
      </w:tr>
      <w:tr w:rsidR="00DC2B54" w:rsidRPr="00231CBA" w14:paraId="1635B36B" w14:textId="77777777" w:rsidTr="00DC2B54">
        <w:trPr>
          <w:cantSplit/>
          <w:tblHeader/>
        </w:trPr>
        <w:tc>
          <w:tcPr>
            <w:tcW w:w="5760" w:type="dxa"/>
          </w:tcPr>
          <w:p w14:paraId="1811C25A" w14:textId="77777777" w:rsidR="00DC2B54" w:rsidRDefault="00DC2B54" w:rsidP="00DC2B54">
            <w:pPr>
              <w:pStyle w:val="tabletext"/>
            </w:pPr>
            <w:r>
              <w:t>Part 5, Division 2, subsections 106(1) and (2)</w:t>
            </w:r>
          </w:p>
        </w:tc>
        <w:tc>
          <w:tcPr>
            <w:tcW w:w="1980" w:type="dxa"/>
          </w:tcPr>
          <w:p w14:paraId="7C59A5AC" w14:textId="77777777" w:rsidR="00DC2B54" w:rsidRDefault="00DC2B54" w:rsidP="00DC2B54">
            <w:pPr>
              <w:pStyle w:val="tabletext"/>
            </w:pPr>
            <w:r>
              <w:t>6.6</w:t>
            </w:r>
          </w:p>
        </w:tc>
      </w:tr>
      <w:tr w:rsidR="00DC2B54" w:rsidRPr="00231CBA" w14:paraId="035A4A44" w14:textId="77777777" w:rsidTr="00DC2B54">
        <w:trPr>
          <w:cantSplit/>
          <w:tblHeader/>
        </w:trPr>
        <w:tc>
          <w:tcPr>
            <w:tcW w:w="5760" w:type="dxa"/>
          </w:tcPr>
          <w:p w14:paraId="2530D422" w14:textId="77777777" w:rsidR="00DC2B54" w:rsidRDefault="00DC2B54" w:rsidP="00DC2B54">
            <w:pPr>
              <w:pStyle w:val="tabletext"/>
            </w:pPr>
            <w:r>
              <w:t>Part 5, Division 2, subsection 106(3)</w:t>
            </w:r>
          </w:p>
        </w:tc>
        <w:tc>
          <w:tcPr>
            <w:tcW w:w="1980" w:type="dxa"/>
          </w:tcPr>
          <w:p w14:paraId="5D46E209" w14:textId="77777777" w:rsidR="00DC2B54" w:rsidRDefault="00DC2B54" w:rsidP="00DC2B54">
            <w:pPr>
              <w:pStyle w:val="tabletext"/>
            </w:pPr>
            <w:r>
              <w:t>6.7</w:t>
            </w:r>
          </w:p>
        </w:tc>
      </w:tr>
      <w:tr w:rsidR="00DC2B54" w:rsidRPr="00231CBA" w14:paraId="53EEB571" w14:textId="77777777" w:rsidTr="00DC2B54">
        <w:trPr>
          <w:cantSplit/>
          <w:tblHeader/>
        </w:trPr>
        <w:tc>
          <w:tcPr>
            <w:tcW w:w="5760" w:type="dxa"/>
          </w:tcPr>
          <w:p w14:paraId="39DFC1C2" w14:textId="77777777" w:rsidR="00DC2B54" w:rsidRDefault="00DC2B54" w:rsidP="00DC2B54">
            <w:pPr>
              <w:pStyle w:val="tabletext"/>
            </w:pPr>
            <w:r>
              <w:t>Part 5, Division 2, subsection 106(4)</w:t>
            </w:r>
          </w:p>
        </w:tc>
        <w:tc>
          <w:tcPr>
            <w:tcW w:w="1980" w:type="dxa"/>
          </w:tcPr>
          <w:p w14:paraId="58190C03" w14:textId="77777777" w:rsidR="00DC2B54" w:rsidRDefault="00DC2B54" w:rsidP="00DC2B54">
            <w:pPr>
              <w:pStyle w:val="tabletext"/>
            </w:pPr>
            <w:r>
              <w:t>6.8</w:t>
            </w:r>
          </w:p>
        </w:tc>
      </w:tr>
      <w:tr w:rsidR="00DC2B54" w:rsidRPr="00231CBA" w14:paraId="78C2CA1C" w14:textId="77777777" w:rsidTr="00DC2B54">
        <w:trPr>
          <w:cantSplit/>
          <w:tblHeader/>
        </w:trPr>
        <w:tc>
          <w:tcPr>
            <w:tcW w:w="5760" w:type="dxa"/>
          </w:tcPr>
          <w:p w14:paraId="07B38E8A" w14:textId="77777777" w:rsidR="00DC2B54" w:rsidRDefault="00DC2B54" w:rsidP="00DC2B54">
            <w:pPr>
              <w:pStyle w:val="tabletext"/>
            </w:pPr>
            <w:r>
              <w:t>Part 5, Division 2, subsection 106(5)</w:t>
            </w:r>
          </w:p>
        </w:tc>
        <w:tc>
          <w:tcPr>
            <w:tcW w:w="1980" w:type="dxa"/>
          </w:tcPr>
          <w:p w14:paraId="0E6FF97C" w14:textId="77777777" w:rsidR="00DC2B54" w:rsidRDefault="00DC2B54" w:rsidP="00DC2B54">
            <w:pPr>
              <w:pStyle w:val="tabletext"/>
            </w:pPr>
            <w:r>
              <w:t>6.9</w:t>
            </w:r>
          </w:p>
        </w:tc>
      </w:tr>
      <w:tr w:rsidR="00DC2B54" w:rsidRPr="00231CBA" w14:paraId="7D980105" w14:textId="77777777" w:rsidTr="00DC2B54">
        <w:trPr>
          <w:cantSplit/>
          <w:tblHeader/>
        </w:trPr>
        <w:tc>
          <w:tcPr>
            <w:tcW w:w="5760" w:type="dxa"/>
          </w:tcPr>
          <w:p w14:paraId="63D0799F" w14:textId="77777777" w:rsidR="00DC2B54" w:rsidRDefault="00DC2B54" w:rsidP="00DC2B54">
            <w:pPr>
              <w:pStyle w:val="tabletext"/>
            </w:pPr>
            <w:r>
              <w:t>Part 5, Division 2, subsection 107(1)</w:t>
            </w:r>
          </w:p>
        </w:tc>
        <w:tc>
          <w:tcPr>
            <w:tcW w:w="1980" w:type="dxa"/>
          </w:tcPr>
          <w:p w14:paraId="4FD6C6DE" w14:textId="77777777" w:rsidR="00DC2B54" w:rsidRDefault="00DC2B54" w:rsidP="00DC2B54">
            <w:pPr>
              <w:pStyle w:val="tabletext"/>
            </w:pPr>
            <w:r>
              <w:t>6.10</w:t>
            </w:r>
          </w:p>
        </w:tc>
      </w:tr>
      <w:tr w:rsidR="00DC2B54" w:rsidRPr="00231CBA" w14:paraId="425512E4" w14:textId="77777777" w:rsidTr="00DC2B54">
        <w:trPr>
          <w:cantSplit/>
          <w:tblHeader/>
        </w:trPr>
        <w:tc>
          <w:tcPr>
            <w:tcW w:w="5760" w:type="dxa"/>
          </w:tcPr>
          <w:p w14:paraId="4B6C1CDE" w14:textId="77777777" w:rsidR="00DC2B54" w:rsidRDefault="00DC2B54" w:rsidP="00DC2B54">
            <w:pPr>
              <w:pStyle w:val="tabletext"/>
            </w:pPr>
            <w:r>
              <w:t>Part 5, Division 2, subsection 107(2)</w:t>
            </w:r>
          </w:p>
        </w:tc>
        <w:tc>
          <w:tcPr>
            <w:tcW w:w="1980" w:type="dxa"/>
          </w:tcPr>
          <w:p w14:paraId="0D9C5AD3" w14:textId="77777777" w:rsidR="00DC2B54" w:rsidRDefault="00DC2B54" w:rsidP="00DC2B54">
            <w:pPr>
              <w:pStyle w:val="tabletext"/>
            </w:pPr>
            <w:r>
              <w:t>6.12</w:t>
            </w:r>
          </w:p>
        </w:tc>
      </w:tr>
      <w:tr w:rsidR="00DC2B54" w:rsidRPr="00231CBA" w14:paraId="09FCD031" w14:textId="77777777" w:rsidTr="00DC2B54">
        <w:trPr>
          <w:cantSplit/>
          <w:tblHeader/>
        </w:trPr>
        <w:tc>
          <w:tcPr>
            <w:tcW w:w="5760" w:type="dxa"/>
          </w:tcPr>
          <w:p w14:paraId="54C27E2F" w14:textId="77777777" w:rsidR="00DC2B54" w:rsidRDefault="00DC2B54" w:rsidP="00DC2B54">
            <w:pPr>
              <w:pStyle w:val="tabletext"/>
            </w:pPr>
            <w:r>
              <w:t>Part 5, Division 2, subsection 107(3)</w:t>
            </w:r>
          </w:p>
        </w:tc>
        <w:tc>
          <w:tcPr>
            <w:tcW w:w="1980" w:type="dxa"/>
          </w:tcPr>
          <w:p w14:paraId="446FA43F" w14:textId="77777777" w:rsidR="00DC2B54" w:rsidRDefault="00DC2B54" w:rsidP="00DC2B54">
            <w:pPr>
              <w:pStyle w:val="tabletext"/>
            </w:pPr>
            <w:r>
              <w:t>6.13</w:t>
            </w:r>
          </w:p>
        </w:tc>
      </w:tr>
      <w:tr w:rsidR="00DC2B54" w:rsidRPr="00231CBA" w14:paraId="61981DE5" w14:textId="77777777" w:rsidTr="00DC2B54">
        <w:trPr>
          <w:cantSplit/>
          <w:tblHeader/>
        </w:trPr>
        <w:tc>
          <w:tcPr>
            <w:tcW w:w="5760" w:type="dxa"/>
          </w:tcPr>
          <w:p w14:paraId="42CBB055" w14:textId="77777777" w:rsidR="00DC2B54" w:rsidRDefault="00DC2B54" w:rsidP="00DC2B54">
            <w:pPr>
              <w:pStyle w:val="tabletext"/>
            </w:pPr>
            <w:r>
              <w:t>Part 5, Division 2, subsections 108(1) and (2)</w:t>
            </w:r>
          </w:p>
        </w:tc>
        <w:tc>
          <w:tcPr>
            <w:tcW w:w="1980" w:type="dxa"/>
          </w:tcPr>
          <w:p w14:paraId="1B388020" w14:textId="77777777" w:rsidR="00DC2B54" w:rsidRDefault="00DC2B54" w:rsidP="00DC2B54">
            <w:pPr>
              <w:pStyle w:val="tabletext"/>
            </w:pPr>
            <w:r>
              <w:t>6.14</w:t>
            </w:r>
          </w:p>
        </w:tc>
      </w:tr>
      <w:tr w:rsidR="00DC2B54" w:rsidRPr="00231CBA" w14:paraId="43644A72" w14:textId="77777777" w:rsidTr="00DC2B54">
        <w:trPr>
          <w:cantSplit/>
          <w:tblHeader/>
        </w:trPr>
        <w:tc>
          <w:tcPr>
            <w:tcW w:w="5760" w:type="dxa"/>
          </w:tcPr>
          <w:p w14:paraId="23BFC4F7" w14:textId="77777777" w:rsidR="00DC2B54" w:rsidRDefault="00DC2B54" w:rsidP="00DC2B54">
            <w:pPr>
              <w:pStyle w:val="tabletext"/>
            </w:pPr>
            <w:r>
              <w:t>Part 5, Division 2, subsection 108(3) and (4)</w:t>
            </w:r>
          </w:p>
        </w:tc>
        <w:tc>
          <w:tcPr>
            <w:tcW w:w="1980" w:type="dxa"/>
          </w:tcPr>
          <w:p w14:paraId="0EF40B5B" w14:textId="77777777" w:rsidR="00DC2B54" w:rsidRDefault="00DC2B54" w:rsidP="00DC2B54">
            <w:pPr>
              <w:pStyle w:val="tabletext"/>
            </w:pPr>
            <w:r>
              <w:t>6.15</w:t>
            </w:r>
          </w:p>
        </w:tc>
      </w:tr>
      <w:tr w:rsidR="00DC2B54" w:rsidRPr="00231CBA" w14:paraId="0DC29158" w14:textId="77777777" w:rsidTr="00DC2B54">
        <w:trPr>
          <w:cantSplit/>
          <w:tblHeader/>
        </w:trPr>
        <w:tc>
          <w:tcPr>
            <w:tcW w:w="5760" w:type="dxa"/>
          </w:tcPr>
          <w:p w14:paraId="7988CD94" w14:textId="77777777" w:rsidR="00DC2B54" w:rsidRDefault="00DC2B54" w:rsidP="00DC2B54">
            <w:pPr>
              <w:pStyle w:val="tabletext"/>
            </w:pPr>
            <w:r>
              <w:t>Part 5, Division 2, subsection 109(1)</w:t>
            </w:r>
          </w:p>
        </w:tc>
        <w:tc>
          <w:tcPr>
            <w:tcW w:w="1980" w:type="dxa"/>
          </w:tcPr>
          <w:p w14:paraId="1043A2A0" w14:textId="77777777" w:rsidR="00DC2B54" w:rsidRDefault="00DC2B54" w:rsidP="00DC2B54">
            <w:pPr>
              <w:pStyle w:val="tabletext"/>
            </w:pPr>
            <w:r>
              <w:t>6.16</w:t>
            </w:r>
          </w:p>
        </w:tc>
      </w:tr>
      <w:tr w:rsidR="00DC2B54" w:rsidRPr="00231CBA" w14:paraId="3D98EC0B" w14:textId="77777777" w:rsidTr="00DC2B54">
        <w:trPr>
          <w:cantSplit/>
          <w:tblHeader/>
        </w:trPr>
        <w:tc>
          <w:tcPr>
            <w:tcW w:w="5760" w:type="dxa"/>
          </w:tcPr>
          <w:p w14:paraId="7C4E9FCD" w14:textId="77777777" w:rsidR="00DC2B54" w:rsidRDefault="00DC2B54" w:rsidP="00DC2B54">
            <w:pPr>
              <w:pStyle w:val="tabletext"/>
            </w:pPr>
            <w:r>
              <w:t>Part 5, Division 2, subsection 109(2)</w:t>
            </w:r>
          </w:p>
        </w:tc>
        <w:tc>
          <w:tcPr>
            <w:tcW w:w="1980" w:type="dxa"/>
          </w:tcPr>
          <w:p w14:paraId="6F557C92" w14:textId="77777777" w:rsidR="00DC2B54" w:rsidRDefault="00DC2B54" w:rsidP="00DC2B54">
            <w:pPr>
              <w:pStyle w:val="tabletext"/>
            </w:pPr>
            <w:r>
              <w:t>6.17</w:t>
            </w:r>
          </w:p>
        </w:tc>
      </w:tr>
      <w:tr w:rsidR="00DC2B54" w:rsidRPr="00231CBA" w14:paraId="2F1DB475" w14:textId="77777777" w:rsidTr="00DC2B54">
        <w:trPr>
          <w:cantSplit/>
          <w:tblHeader/>
        </w:trPr>
        <w:tc>
          <w:tcPr>
            <w:tcW w:w="5760" w:type="dxa"/>
          </w:tcPr>
          <w:p w14:paraId="2EA43757" w14:textId="77777777" w:rsidR="00DC2B54" w:rsidRDefault="00DC2B54" w:rsidP="00DC2B54">
            <w:pPr>
              <w:pStyle w:val="tabletext"/>
            </w:pPr>
            <w:r>
              <w:t>Part 5, Division 2, paragraph 110(1)(a)</w:t>
            </w:r>
          </w:p>
        </w:tc>
        <w:tc>
          <w:tcPr>
            <w:tcW w:w="1980" w:type="dxa"/>
          </w:tcPr>
          <w:p w14:paraId="6CEBDA2C" w14:textId="77777777" w:rsidR="00DC2B54" w:rsidRDefault="00DC2B54" w:rsidP="00DC2B54">
            <w:pPr>
              <w:pStyle w:val="tabletext"/>
            </w:pPr>
            <w:r>
              <w:t>6.18</w:t>
            </w:r>
          </w:p>
        </w:tc>
      </w:tr>
      <w:tr w:rsidR="00DC2B54" w:rsidRPr="00231CBA" w14:paraId="1F1B3DA1" w14:textId="77777777" w:rsidTr="00DC2B54">
        <w:trPr>
          <w:cantSplit/>
          <w:tblHeader/>
        </w:trPr>
        <w:tc>
          <w:tcPr>
            <w:tcW w:w="5760" w:type="dxa"/>
          </w:tcPr>
          <w:p w14:paraId="21A0CAB1" w14:textId="77777777" w:rsidR="00DC2B54" w:rsidRDefault="00DC2B54" w:rsidP="00DC2B54">
            <w:pPr>
              <w:pStyle w:val="tabletext"/>
            </w:pPr>
            <w:r>
              <w:t>Part 5, Division 2, paragraph 110(1)(b)</w:t>
            </w:r>
          </w:p>
        </w:tc>
        <w:tc>
          <w:tcPr>
            <w:tcW w:w="1980" w:type="dxa"/>
          </w:tcPr>
          <w:p w14:paraId="308CA824" w14:textId="77777777" w:rsidR="00DC2B54" w:rsidRDefault="00DC2B54" w:rsidP="00DC2B54">
            <w:pPr>
              <w:pStyle w:val="tabletext"/>
            </w:pPr>
            <w:r>
              <w:t>6.19</w:t>
            </w:r>
          </w:p>
        </w:tc>
      </w:tr>
      <w:tr w:rsidR="00DC2B54" w:rsidRPr="00231CBA" w14:paraId="1FD75D20" w14:textId="77777777" w:rsidTr="00DC2B54">
        <w:trPr>
          <w:cantSplit/>
          <w:tblHeader/>
        </w:trPr>
        <w:tc>
          <w:tcPr>
            <w:tcW w:w="5760" w:type="dxa"/>
          </w:tcPr>
          <w:p w14:paraId="73180714" w14:textId="77777777" w:rsidR="00DC2B54" w:rsidRDefault="00DC2B54" w:rsidP="00DC2B54">
            <w:pPr>
              <w:pStyle w:val="tabletext"/>
            </w:pPr>
            <w:r>
              <w:t>Part 5, Division 2, paragraphs 110(2)(a) and (b)</w:t>
            </w:r>
          </w:p>
        </w:tc>
        <w:tc>
          <w:tcPr>
            <w:tcW w:w="1980" w:type="dxa"/>
          </w:tcPr>
          <w:p w14:paraId="7BD46FF1" w14:textId="77777777" w:rsidR="00DC2B54" w:rsidRDefault="00DC2B54" w:rsidP="00DC2B54">
            <w:pPr>
              <w:pStyle w:val="tabletext"/>
            </w:pPr>
            <w:r>
              <w:t>6.20</w:t>
            </w:r>
          </w:p>
        </w:tc>
      </w:tr>
      <w:tr w:rsidR="00DC2B54" w:rsidRPr="00231CBA" w14:paraId="4EB88C23" w14:textId="77777777" w:rsidTr="00DC2B54">
        <w:trPr>
          <w:cantSplit/>
          <w:tblHeader/>
        </w:trPr>
        <w:tc>
          <w:tcPr>
            <w:tcW w:w="5760" w:type="dxa"/>
          </w:tcPr>
          <w:p w14:paraId="241C4FBF" w14:textId="77777777" w:rsidR="00DC2B54" w:rsidRDefault="00DC2B54" w:rsidP="00DC2B54">
            <w:pPr>
              <w:pStyle w:val="tabletext"/>
            </w:pPr>
            <w:r>
              <w:t>Part 5, Division 2, paragraphs 110(2)(c) and (d)</w:t>
            </w:r>
          </w:p>
        </w:tc>
        <w:tc>
          <w:tcPr>
            <w:tcW w:w="1980" w:type="dxa"/>
          </w:tcPr>
          <w:p w14:paraId="6D2C11EC" w14:textId="77777777" w:rsidR="00DC2B54" w:rsidRDefault="00DC2B54" w:rsidP="00DC2B54">
            <w:pPr>
              <w:pStyle w:val="tabletext"/>
            </w:pPr>
            <w:r>
              <w:t>6.21</w:t>
            </w:r>
          </w:p>
        </w:tc>
      </w:tr>
      <w:tr w:rsidR="00DC2B54" w:rsidRPr="00231CBA" w14:paraId="732EDF6B" w14:textId="77777777" w:rsidTr="00DC2B54">
        <w:trPr>
          <w:cantSplit/>
          <w:tblHeader/>
        </w:trPr>
        <w:tc>
          <w:tcPr>
            <w:tcW w:w="5760" w:type="dxa"/>
          </w:tcPr>
          <w:p w14:paraId="18E4E8DE" w14:textId="77777777" w:rsidR="00DC2B54" w:rsidRDefault="00DC2B54" w:rsidP="00DC2B54">
            <w:pPr>
              <w:pStyle w:val="tabletext"/>
            </w:pPr>
            <w:r>
              <w:t>Part 5, Division 2, subsection 110(3)</w:t>
            </w:r>
          </w:p>
        </w:tc>
        <w:tc>
          <w:tcPr>
            <w:tcW w:w="1980" w:type="dxa"/>
          </w:tcPr>
          <w:p w14:paraId="20C6516F" w14:textId="77777777" w:rsidR="00DC2B54" w:rsidRDefault="00DC2B54" w:rsidP="00DC2B54">
            <w:pPr>
              <w:pStyle w:val="tabletext"/>
            </w:pPr>
            <w:r>
              <w:t>6.22</w:t>
            </w:r>
          </w:p>
        </w:tc>
      </w:tr>
      <w:tr w:rsidR="00DC2B54" w:rsidRPr="00231CBA" w14:paraId="351DDF10" w14:textId="77777777" w:rsidTr="00DC2B54">
        <w:trPr>
          <w:cantSplit/>
          <w:tblHeader/>
        </w:trPr>
        <w:tc>
          <w:tcPr>
            <w:tcW w:w="5760" w:type="dxa"/>
          </w:tcPr>
          <w:p w14:paraId="683E12BD" w14:textId="77777777" w:rsidR="00DC2B54" w:rsidRDefault="00DC2B54" w:rsidP="00DC2B54">
            <w:pPr>
              <w:pStyle w:val="tabletext"/>
            </w:pPr>
            <w:r>
              <w:t>Part 5, Division 2,  subsection 110(4)</w:t>
            </w:r>
          </w:p>
        </w:tc>
        <w:tc>
          <w:tcPr>
            <w:tcW w:w="1980" w:type="dxa"/>
          </w:tcPr>
          <w:p w14:paraId="3061DB11" w14:textId="77777777" w:rsidR="00DC2B54" w:rsidRDefault="00DC2B54" w:rsidP="00DC2B54">
            <w:pPr>
              <w:pStyle w:val="tabletext"/>
            </w:pPr>
            <w:r>
              <w:t>6.23</w:t>
            </w:r>
          </w:p>
        </w:tc>
      </w:tr>
      <w:tr w:rsidR="00DC2B54" w:rsidRPr="00231CBA" w14:paraId="23225945" w14:textId="77777777" w:rsidTr="00DC2B54">
        <w:trPr>
          <w:cantSplit/>
          <w:tblHeader/>
        </w:trPr>
        <w:tc>
          <w:tcPr>
            <w:tcW w:w="5760" w:type="dxa"/>
          </w:tcPr>
          <w:p w14:paraId="56033204" w14:textId="77777777" w:rsidR="00DC2B54" w:rsidRDefault="00DC2B54" w:rsidP="00DC2B54">
            <w:pPr>
              <w:pStyle w:val="tabletext"/>
            </w:pPr>
            <w:r>
              <w:t>Part 5, Division 2, subsection 110(5)</w:t>
            </w:r>
          </w:p>
        </w:tc>
        <w:tc>
          <w:tcPr>
            <w:tcW w:w="1980" w:type="dxa"/>
          </w:tcPr>
          <w:p w14:paraId="53A2AF0D" w14:textId="77777777" w:rsidR="00DC2B54" w:rsidRDefault="00DC2B54" w:rsidP="00DC2B54">
            <w:pPr>
              <w:pStyle w:val="tabletext"/>
            </w:pPr>
            <w:r>
              <w:t>6.24</w:t>
            </w:r>
          </w:p>
        </w:tc>
      </w:tr>
      <w:tr w:rsidR="00DC2B54" w:rsidRPr="00231CBA" w14:paraId="4F274874" w14:textId="77777777" w:rsidTr="00DC2B54">
        <w:trPr>
          <w:cantSplit/>
          <w:tblHeader/>
        </w:trPr>
        <w:tc>
          <w:tcPr>
            <w:tcW w:w="5760" w:type="dxa"/>
          </w:tcPr>
          <w:p w14:paraId="77C773D8" w14:textId="77777777" w:rsidR="00DC2B54" w:rsidRDefault="00DC2B54" w:rsidP="00DC2B54">
            <w:pPr>
              <w:pStyle w:val="tabletext"/>
            </w:pPr>
            <w:r>
              <w:t>Part 5, Division 2, subsection 110(6)</w:t>
            </w:r>
          </w:p>
        </w:tc>
        <w:tc>
          <w:tcPr>
            <w:tcW w:w="1980" w:type="dxa"/>
          </w:tcPr>
          <w:p w14:paraId="39B4261F" w14:textId="77777777" w:rsidR="00DC2B54" w:rsidRDefault="00DC2B54" w:rsidP="00DC2B54">
            <w:pPr>
              <w:pStyle w:val="tabletext"/>
            </w:pPr>
            <w:r>
              <w:t>6.25</w:t>
            </w:r>
          </w:p>
        </w:tc>
      </w:tr>
      <w:tr w:rsidR="00DC2B54" w:rsidRPr="00231CBA" w14:paraId="0E20A08A" w14:textId="77777777" w:rsidTr="00DC2B54">
        <w:trPr>
          <w:cantSplit/>
          <w:tblHeader/>
        </w:trPr>
        <w:tc>
          <w:tcPr>
            <w:tcW w:w="5760" w:type="dxa"/>
          </w:tcPr>
          <w:p w14:paraId="31137823" w14:textId="77777777" w:rsidR="00DC2B54" w:rsidRDefault="00DC2B54" w:rsidP="00DC2B54">
            <w:pPr>
              <w:pStyle w:val="tabletext"/>
            </w:pPr>
            <w:r>
              <w:t>Part 5, Division 2, section 111</w:t>
            </w:r>
          </w:p>
        </w:tc>
        <w:tc>
          <w:tcPr>
            <w:tcW w:w="1980" w:type="dxa"/>
          </w:tcPr>
          <w:p w14:paraId="52F4A311" w14:textId="77777777" w:rsidR="00DC2B54" w:rsidRDefault="00DC2B54" w:rsidP="00DC2B54">
            <w:pPr>
              <w:pStyle w:val="tabletext"/>
            </w:pPr>
            <w:r>
              <w:t>6.26</w:t>
            </w:r>
          </w:p>
        </w:tc>
      </w:tr>
      <w:tr w:rsidR="00DC2B54" w:rsidRPr="00231CBA" w14:paraId="4CCA2635" w14:textId="77777777" w:rsidTr="00DC2B54">
        <w:trPr>
          <w:cantSplit/>
          <w:tblHeader/>
        </w:trPr>
        <w:tc>
          <w:tcPr>
            <w:tcW w:w="5760" w:type="dxa"/>
          </w:tcPr>
          <w:p w14:paraId="14BB8E0D" w14:textId="77777777" w:rsidR="00DC2B54" w:rsidRDefault="00DC2B54" w:rsidP="00DC2B54">
            <w:pPr>
              <w:pStyle w:val="tabletext"/>
            </w:pPr>
            <w:r>
              <w:t>Part 5, Division 2, subsection 112(1) and (2)</w:t>
            </w:r>
          </w:p>
        </w:tc>
        <w:tc>
          <w:tcPr>
            <w:tcW w:w="1980" w:type="dxa"/>
          </w:tcPr>
          <w:p w14:paraId="7A4539DF" w14:textId="77777777" w:rsidR="00DC2B54" w:rsidRDefault="00DC2B54" w:rsidP="00DC2B54">
            <w:pPr>
              <w:pStyle w:val="tabletext"/>
            </w:pPr>
            <w:r>
              <w:t>6.27</w:t>
            </w:r>
          </w:p>
        </w:tc>
      </w:tr>
      <w:tr w:rsidR="00DC2B54" w:rsidRPr="00231CBA" w14:paraId="56BF4ECA" w14:textId="77777777" w:rsidTr="00DC2B54">
        <w:trPr>
          <w:cantSplit/>
          <w:tblHeader/>
        </w:trPr>
        <w:tc>
          <w:tcPr>
            <w:tcW w:w="5760" w:type="dxa"/>
          </w:tcPr>
          <w:p w14:paraId="0228A563" w14:textId="77777777" w:rsidR="00DC2B54" w:rsidRDefault="00DC2B54" w:rsidP="00DC2B54">
            <w:pPr>
              <w:pStyle w:val="tabletext"/>
            </w:pPr>
            <w:r>
              <w:t>Part 5, Division 2, subsections 112 (3) and (4)</w:t>
            </w:r>
          </w:p>
        </w:tc>
        <w:tc>
          <w:tcPr>
            <w:tcW w:w="1980" w:type="dxa"/>
          </w:tcPr>
          <w:p w14:paraId="6C5D6A2E" w14:textId="77777777" w:rsidR="00DC2B54" w:rsidRDefault="00DC2B54" w:rsidP="00DC2B54">
            <w:pPr>
              <w:pStyle w:val="tabletext"/>
            </w:pPr>
            <w:r>
              <w:t>6.28</w:t>
            </w:r>
          </w:p>
        </w:tc>
      </w:tr>
      <w:tr w:rsidR="00DC2B54" w:rsidRPr="00231CBA" w14:paraId="73A3294F" w14:textId="77777777" w:rsidTr="00DC2B54">
        <w:trPr>
          <w:cantSplit/>
          <w:tblHeader/>
        </w:trPr>
        <w:tc>
          <w:tcPr>
            <w:tcW w:w="5760" w:type="dxa"/>
          </w:tcPr>
          <w:p w14:paraId="043E7154" w14:textId="77777777" w:rsidR="00DC2B54" w:rsidRDefault="00DC2B54" w:rsidP="00DC2B54">
            <w:pPr>
              <w:pStyle w:val="tabletext"/>
            </w:pPr>
            <w:r>
              <w:t>Part 5, Division 2, subsections 112(2), (3) and (4)</w:t>
            </w:r>
          </w:p>
        </w:tc>
        <w:tc>
          <w:tcPr>
            <w:tcW w:w="1980" w:type="dxa"/>
          </w:tcPr>
          <w:p w14:paraId="6A8E641A" w14:textId="77777777" w:rsidR="00DC2B54" w:rsidRDefault="00DC2B54" w:rsidP="00DC2B54">
            <w:pPr>
              <w:pStyle w:val="tabletext"/>
            </w:pPr>
            <w:r>
              <w:t>6.29, 6.30</w:t>
            </w:r>
          </w:p>
        </w:tc>
      </w:tr>
      <w:tr w:rsidR="00DC2B54" w:rsidRPr="00231CBA" w14:paraId="1A3CBFA4" w14:textId="77777777" w:rsidTr="00DC2B54">
        <w:trPr>
          <w:cantSplit/>
          <w:tblHeader/>
        </w:trPr>
        <w:tc>
          <w:tcPr>
            <w:tcW w:w="5760" w:type="dxa"/>
          </w:tcPr>
          <w:p w14:paraId="5574C32B" w14:textId="77777777" w:rsidR="00DC2B54" w:rsidRDefault="00DC2B54" w:rsidP="00DC2B54">
            <w:pPr>
              <w:pStyle w:val="tabletext"/>
            </w:pPr>
            <w:r>
              <w:t>Part 5, Division 2, sections 113</w:t>
            </w:r>
          </w:p>
        </w:tc>
        <w:tc>
          <w:tcPr>
            <w:tcW w:w="1980" w:type="dxa"/>
          </w:tcPr>
          <w:p w14:paraId="7B70320B" w14:textId="77777777" w:rsidR="00DC2B54" w:rsidRDefault="00DC2B54" w:rsidP="00DC2B54">
            <w:pPr>
              <w:pStyle w:val="tabletext"/>
            </w:pPr>
            <w:r>
              <w:t>6.31</w:t>
            </w:r>
          </w:p>
        </w:tc>
      </w:tr>
      <w:tr w:rsidR="00DC2B54" w:rsidRPr="00231CBA" w14:paraId="5DB9BB91" w14:textId="77777777" w:rsidTr="00DC2B54">
        <w:trPr>
          <w:cantSplit/>
          <w:tblHeader/>
        </w:trPr>
        <w:tc>
          <w:tcPr>
            <w:tcW w:w="5760" w:type="dxa"/>
          </w:tcPr>
          <w:p w14:paraId="2790C2EF" w14:textId="77777777" w:rsidR="00DC2B54" w:rsidRDefault="00DC2B54" w:rsidP="00DC2B54">
            <w:pPr>
              <w:pStyle w:val="tabletext"/>
            </w:pPr>
            <w:r>
              <w:t>Part 5, Division 2, subsection 114(1)</w:t>
            </w:r>
          </w:p>
        </w:tc>
        <w:tc>
          <w:tcPr>
            <w:tcW w:w="1980" w:type="dxa"/>
          </w:tcPr>
          <w:p w14:paraId="779301D2" w14:textId="77777777" w:rsidR="00DC2B54" w:rsidRDefault="00DC2B54" w:rsidP="00DC2B54">
            <w:pPr>
              <w:pStyle w:val="tabletext"/>
            </w:pPr>
            <w:r>
              <w:t>6.32</w:t>
            </w:r>
          </w:p>
        </w:tc>
      </w:tr>
      <w:tr w:rsidR="00DC2B54" w:rsidRPr="00231CBA" w14:paraId="3194DACC" w14:textId="77777777" w:rsidTr="00DC2B54">
        <w:trPr>
          <w:cantSplit/>
          <w:tblHeader/>
        </w:trPr>
        <w:tc>
          <w:tcPr>
            <w:tcW w:w="5760" w:type="dxa"/>
          </w:tcPr>
          <w:p w14:paraId="395D8145" w14:textId="77777777" w:rsidR="00DC2B54" w:rsidRDefault="00DC2B54" w:rsidP="00DC2B54">
            <w:pPr>
              <w:pStyle w:val="tabletext"/>
            </w:pPr>
            <w:r>
              <w:t>Part 5, Division 2, subsection 114(2)</w:t>
            </w:r>
          </w:p>
        </w:tc>
        <w:tc>
          <w:tcPr>
            <w:tcW w:w="1980" w:type="dxa"/>
          </w:tcPr>
          <w:p w14:paraId="5334F481" w14:textId="77777777" w:rsidR="00DC2B54" w:rsidRDefault="00DC2B54" w:rsidP="00DC2B54">
            <w:pPr>
              <w:pStyle w:val="tabletext"/>
            </w:pPr>
            <w:r>
              <w:t>6.33</w:t>
            </w:r>
          </w:p>
        </w:tc>
      </w:tr>
      <w:tr w:rsidR="00DC2B54" w:rsidRPr="00231CBA" w14:paraId="113FCF05" w14:textId="77777777" w:rsidTr="00DC2B54">
        <w:trPr>
          <w:cantSplit/>
          <w:tblHeader/>
        </w:trPr>
        <w:tc>
          <w:tcPr>
            <w:tcW w:w="5760" w:type="dxa"/>
          </w:tcPr>
          <w:p w14:paraId="369A8719" w14:textId="77777777" w:rsidR="00DC2B54" w:rsidRDefault="00DC2B54" w:rsidP="00DC2B54">
            <w:pPr>
              <w:pStyle w:val="tabletext"/>
            </w:pPr>
            <w:r>
              <w:t>Part 5, Division 2, subsection 115(1) and (2)</w:t>
            </w:r>
          </w:p>
        </w:tc>
        <w:tc>
          <w:tcPr>
            <w:tcW w:w="1980" w:type="dxa"/>
          </w:tcPr>
          <w:p w14:paraId="613D8C64" w14:textId="77777777" w:rsidR="00DC2B54" w:rsidRDefault="00DC2B54" w:rsidP="00DC2B54">
            <w:pPr>
              <w:pStyle w:val="tabletext"/>
            </w:pPr>
            <w:r>
              <w:t>6.34</w:t>
            </w:r>
          </w:p>
        </w:tc>
      </w:tr>
      <w:tr w:rsidR="00DC2B54" w:rsidRPr="00231CBA" w14:paraId="42D2EC81" w14:textId="77777777" w:rsidTr="00DC2B54">
        <w:trPr>
          <w:cantSplit/>
          <w:tblHeader/>
        </w:trPr>
        <w:tc>
          <w:tcPr>
            <w:tcW w:w="5760" w:type="dxa"/>
          </w:tcPr>
          <w:p w14:paraId="57F59B80" w14:textId="77777777" w:rsidR="00DC2B54" w:rsidRDefault="00DC2B54" w:rsidP="00DC2B54">
            <w:pPr>
              <w:pStyle w:val="tabletext"/>
            </w:pPr>
            <w:r>
              <w:t>Part 5, Division 2, subsections 115(3) and (4)</w:t>
            </w:r>
          </w:p>
        </w:tc>
        <w:tc>
          <w:tcPr>
            <w:tcW w:w="1980" w:type="dxa"/>
          </w:tcPr>
          <w:p w14:paraId="045B6F8B" w14:textId="77777777" w:rsidR="00DC2B54" w:rsidRDefault="00DC2B54" w:rsidP="00DC2B54">
            <w:pPr>
              <w:pStyle w:val="tabletext"/>
            </w:pPr>
            <w:r>
              <w:t>6.35</w:t>
            </w:r>
          </w:p>
        </w:tc>
      </w:tr>
      <w:tr w:rsidR="00DC2B54" w:rsidRPr="00231CBA" w14:paraId="0A5A59EA" w14:textId="77777777" w:rsidTr="00DC2B54">
        <w:trPr>
          <w:cantSplit/>
          <w:tblHeader/>
        </w:trPr>
        <w:tc>
          <w:tcPr>
            <w:tcW w:w="5760" w:type="dxa"/>
          </w:tcPr>
          <w:p w14:paraId="30C7F5DE" w14:textId="77777777" w:rsidR="00DC2B54" w:rsidRDefault="00DC2B54" w:rsidP="00DC2B54">
            <w:pPr>
              <w:pStyle w:val="tabletext"/>
            </w:pPr>
            <w:r>
              <w:t>Part 5, Division 2, subsection 115(5)</w:t>
            </w:r>
          </w:p>
        </w:tc>
        <w:tc>
          <w:tcPr>
            <w:tcW w:w="1980" w:type="dxa"/>
          </w:tcPr>
          <w:p w14:paraId="023019CC" w14:textId="77777777" w:rsidR="00DC2B54" w:rsidRDefault="00DC2B54" w:rsidP="00DC2B54">
            <w:pPr>
              <w:pStyle w:val="tabletext"/>
            </w:pPr>
            <w:r>
              <w:t>6.36</w:t>
            </w:r>
          </w:p>
        </w:tc>
      </w:tr>
      <w:tr w:rsidR="00DC2B54" w:rsidRPr="00231CBA" w14:paraId="381B7AFE" w14:textId="77777777" w:rsidTr="00DC2B54">
        <w:trPr>
          <w:cantSplit/>
          <w:tblHeader/>
        </w:trPr>
        <w:tc>
          <w:tcPr>
            <w:tcW w:w="5760" w:type="dxa"/>
          </w:tcPr>
          <w:p w14:paraId="47381F55" w14:textId="77777777" w:rsidR="00DC2B54" w:rsidRDefault="00DC2B54" w:rsidP="00DC2B54">
            <w:pPr>
              <w:pStyle w:val="tabletext"/>
            </w:pPr>
            <w:r>
              <w:t>Part 5, Division 2, subsections 114(6) and (7)</w:t>
            </w:r>
          </w:p>
        </w:tc>
        <w:tc>
          <w:tcPr>
            <w:tcW w:w="1980" w:type="dxa"/>
          </w:tcPr>
          <w:p w14:paraId="4F16C8A0" w14:textId="77777777" w:rsidR="00DC2B54" w:rsidRDefault="00DC2B54" w:rsidP="00DC2B54">
            <w:pPr>
              <w:pStyle w:val="tabletext"/>
            </w:pPr>
            <w:r>
              <w:t>6.37</w:t>
            </w:r>
          </w:p>
        </w:tc>
      </w:tr>
      <w:tr w:rsidR="00DC2B54" w:rsidRPr="00231CBA" w14:paraId="7D448CC9" w14:textId="77777777" w:rsidTr="00DC2B54">
        <w:trPr>
          <w:cantSplit/>
          <w:tblHeader/>
        </w:trPr>
        <w:tc>
          <w:tcPr>
            <w:tcW w:w="5760" w:type="dxa"/>
          </w:tcPr>
          <w:p w14:paraId="114A2616" w14:textId="77777777" w:rsidR="00DC2B54" w:rsidRDefault="00DC2B54" w:rsidP="00DC2B54">
            <w:pPr>
              <w:pStyle w:val="tabletext"/>
            </w:pPr>
            <w:r>
              <w:t>Part 5, Division 2, subsection 115(8)</w:t>
            </w:r>
          </w:p>
        </w:tc>
        <w:tc>
          <w:tcPr>
            <w:tcW w:w="1980" w:type="dxa"/>
          </w:tcPr>
          <w:p w14:paraId="64A3DC3A" w14:textId="77777777" w:rsidR="00DC2B54" w:rsidRDefault="00DC2B54" w:rsidP="00DC2B54">
            <w:pPr>
              <w:pStyle w:val="tabletext"/>
            </w:pPr>
            <w:r>
              <w:t>6.38</w:t>
            </w:r>
          </w:p>
        </w:tc>
      </w:tr>
      <w:tr w:rsidR="00DC2B54" w:rsidRPr="00231CBA" w14:paraId="7685D119" w14:textId="77777777" w:rsidTr="00DC2B54">
        <w:trPr>
          <w:cantSplit/>
          <w:tblHeader/>
        </w:trPr>
        <w:tc>
          <w:tcPr>
            <w:tcW w:w="5760" w:type="dxa"/>
          </w:tcPr>
          <w:p w14:paraId="49D9F48E" w14:textId="77777777" w:rsidR="00DC2B54" w:rsidRDefault="00DC2B54" w:rsidP="00DC2B54">
            <w:pPr>
              <w:pStyle w:val="tabletext"/>
            </w:pPr>
            <w:r>
              <w:t>Part 5, Division 3, subsection 116(1)</w:t>
            </w:r>
          </w:p>
        </w:tc>
        <w:tc>
          <w:tcPr>
            <w:tcW w:w="1980" w:type="dxa"/>
          </w:tcPr>
          <w:p w14:paraId="4987B70A" w14:textId="77777777" w:rsidR="00DC2B54" w:rsidRDefault="00DC2B54" w:rsidP="00DC2B54">
            <w:pPr>
              <w:pStyle w:val="tabletext"/>
            </w:pPr>
            <w:r>
              <w:t>6.40</w:t>
            </w:r>
          </w:p>
        </w:tc>
      </w:tr>
      <w:tr w:rsidR="00DC2B54" w:rsidRPr="00231CBA" w14:paraId="6C1CB0B5" w14:textId="77777777" w:rsidTr="00DC2B54">
        <w:trPr>
          <w:cantSplit/>
          <w:tblHeader/>
        </w:trPr>
        <w:tc>
          <w:tcPr>
            <w:tcW w:w="5760" w:type="dxa"/>
          </w:tcPr>
          <w:p w14:paraId="06B39D74" w14:textId="77777777" w:rsidR="00DC2B54" w:rsidRDefault="00DC2B54" w:rsidP="00DC2B54">
            <w:pPr>
              <w:pStyle w:val="tabletext"/>
            </w:pPr>
            <w:r>
              <w:t>Part 5, Division 3, subsection 116(2)</w:t>
            </w:r>
          </w:p>
        </w:tc>
        <w:tc>
          <w:tcPr>
            <w:tcW w:w="1980" w:type="dxa"/>
          </w:tcPr>
          <w:p w14:paraId="33AC17E0" w14:textId="77777777" w:rsidR="00DC2B54" w:rsidRDefault="00DC2B54" w:rsidP="00DC2B54">
            <w:pPr>
              <w:pStyle w:val="tabletext"/>
            </w:pPr>
            <w:r>
              <w:t>6.41</w:t>
            </w:r>
          </w:p>
        </w:tc>
      </w:tr>
      <w:tr w:rsidR="00DC2B54" w:rsidRPr="00231CBA" w14:paraId="2E62085A" w14:textId="77777777" w:rsidTr="00DC2B54">
        <w:trPr>
          <w:cantSplit/>
          <w:tblHeader/>
        </w:trPr>
        <w:tc>
          <w:tcPr>
            <w:tcW w:w="5760" w:type="dxa"/>
          </w:tcPr>
          <w:p w14:paraId="23B402C5" w14:textId="77777777" w:rsidR="00DC2B54" w:rsidRDefault="00DC2B54" w:rsidP="00DC2B54">
            <w:pPr>
              <w:pStyle w:val="tabletext"/>
            </w:pPr>
            <w:r>
              <w:t>Part 5, Division 3, section 117</w:t>
            </w:r>
          </w:p>
        </w:tc>
        <w:tc>
          <w:tcPr>
            <w:tcW w:w="1980" w:type="dxa"/>
          </w:tcPr>
          <w:p w14:paraId="4BDB1283" w14:textId="77777777" w:rsidR="00DC2B54" w:rsidRDefault="00DC2B54" w:rsidP="00DC2B54">
            <w:pPr>
              <w:pStyle w:val="tabletext"/>
            </w:pPr>
            <w:r>
              <w:t>6.42</w:t>
            </w:r>
          </w:p>
        </w:tc>
      </w:tr>
      <w:tr w:rsidR="00DC2B54" w:rsidRPr="00231CBA" w14:paraId="749F7EA8" w14:textId="77777777" w:rsidTr="00DC2B54">
        <w:trPr>
          <w:cantSplit/>
          <w:tblHeader/>
        </w:trPr>
        <w:tc>
          <w:tcPr>
            <w:tcW w:w="5760" w:type="dxa"/>
          </w:tcPr>
          <w:p w14:paraId="01E73998" w14:textId="77777777" w:rsidR="00DC2B54" w:rsidRDefault="00DC2B54" w:rsidP="00DC2B54">
            <w:pPr>
              <w:pStyle w:val="tabletext"/>
            </w:pPr>
            <w:r>
              <w:t>Part 5, Division 3, section 118</w:t>
            </w:r>
          </w:p>
        </w:tc>
        <w:tc>
          <w:tcPr>
            <w:tcW w:w="1980" w:type="dxa"/>
          </w:tcPr>
          <w:p w14:paraId="1E9927FB" w14:textId="77777777" w:rsidR="00DC2B54" w:rsidRDefault="00DC2B54" w:rsidP="00DC2B54">
            <w:pPr>
              <w:pStyle w:val="tabletext"/>
            </w:pPr>
            <w:r>
              <w:t>6.43</w:t>
            </w:r>
          </w:p>
        </w:tc>
      </w:tr>
      <w:tr w:rsidR="00DC2B54" w:rsidRPr="00231CBA" w14:paraId="50921251" w14:textId="77777777" w:rsidTr="00DC2B54">
        <w:trPr>
          <w:cantSplit/>
          <w:tblHeader/>
        </w:trPr>
        <w:tc>
          <w:tcPr>
            <w:tcW w:w="5760" w:type="dxa"/>
          </w:tcPr>
          <w:p w14:paraId="25CAE5E6" w14:textId="77777777" w:rsidR="00DC2B54" w:rsidRDefault="00DC2B54" w:rsidP="00DC2B54">
            <w:pPr>
              <w:pStyle w:val="tabletext"/>
            </w:pPr>
            <w:r>
              <w:t>Part 5, Division 3, subsection 119(1)</w:t>
            </w:r>
          </w:p>
        </w:tc>
        <w:tc>
          <w:tcPr>
            <w:tcW w:w="1980" w:type="dxa"/>
          </w:tcPr>
          <w:p w14:paraId="73E26D90" w14:textId="77777777" w:rsidR="00DC2B54" w:rsidRDefault="00DC2B54" w:rsidP="00DC2B54">
            <w:pPr>
              <w:pStyle w:val="tabletext"/>
            </w:pPr>
            <w:r>
              <w:t>6.44</w:t>
            </w:r>
          </w:p>
        </w:tc>
      </w:tr>
      <w:tr w:rsidR="00DC2B54" w:rsidRPr="00231CBA" w14:paraId="232D8593" w14:textId="77777777" w:rsidTr="00DC2B54">
        <w:trPr>
          <w:cantSplit/>
          <w:tblHeader/>
        </w:trPr>
        <w:tc>
          <w:tcPr>
            <w:tcW w:w="5760" w:type="dxa"/>
          </w:tcPr>
          <w:p w14:paraId="0ED58193" w14:textId="77777777" w:rsidR="00DC2B54" w:rsidRDefault="00DC2B54" w:rsidP="00DC2B54">
            <w:pPr>
              <w:pStyle w:val="tabletext"/>
            </w:pPr>
            <w:r>
              <w:t>Part 5, Division 3, subsection 119(2)</w:t>
            </w:r>
          </w:p>
        </w:tc>
        <w:tc>
          <w:tcPr>
            <w:tcW w:w="1980" w:type="dxa"/>
          </w:tcPr>
          <w:p w14:paraId="2FD89734" w14:textId="77777777" w:rsidR="00DC2B54" w:rsidRDefault="00DC2B54" w:rsidP="00DC2B54">
            <w:pPr>
              <w:pStyle w:val="tabletext"/>
            </w:pPr>
            <w:r>
              <w:t>6.46</w:t>
            </w:r>
          </w:p>
        </w:tc>
      </w:tr>
      <w:tr w:rsidR="00DC2B54" w:rsidRPr="00231CBA" w14:paraId="1E3C4212" w14:textId="77777777" w:rsidTr="00DC2B54">
        <w:trPr>
          <w:cantSplit/>
          <w:tblHeader/>
        </w:trPr>
        <w:tc>
          <w:tcPr>
            <w:tcW w:w="5760" w:type="dxa"/>
          </w:tcPr>
          <w:p w14:paraId="246A3085" w14:textId="77777777" w:rsidR="00DC2B54" w:rsidRDefault="00DC2B54" w:rsidP="00DC2B54">
            <w:pPr>
              <w:pStyle w:val="tabletext"/>
            </w:pPr>
            <w:r>
              <w:t>Part 5, Division 3, subsection 119(3)</w:t>
            </w:r>
          </w:p>
        </w:tc>
        <w:tc>
          <w:tcPr>
            <w:tcW w:w="1980" w:type="dxa"/>
          </w:tcPr>
          <w:p w14:paraId="18D4292C" w14:textId="77777777" w:rsidR="00DC2B54" w:rsidRDefault="00DC2B54" w:rsidP="00DC2B54">
            <w:pPr>
              <w:pStyle w:val="tabletext"/>
            </w:pPr>
            <w:r>
              <w:t>6.47</w:t>
            </w:r>
          </w:p>
        </w:tc>
      </w:tr>
      <w:tr w:rsidR="00DC2B54" w:rsidRPr="00231CBA" w14:paraId="7385FD8D" w14:textId="77777777" w:rsidTr="00DC2B54">
        <w:trPr>
          <w:cantSplit/>
          <w:tblHeader/>
        </w:trPr>
        <w:tc>
          <w:tcPr>
            <w:tcW w:w="5760" w:type="dxa"/>
          </w:tcPr>
          <w:p w14:paraId="08BF7227" w14:textId="77777777" w:rsidR="00DC2B54" w:rsidRDefault="00DC2B54" w:rsidP="00DC2B54">
            <w:pPr>
              <w:pStyle w:val="tabletext"/>
            </w:pPr>
            <w:r>
              <w:t>Part 5, Division 3, subsection 120(1)</w:t>
            </w:r>
          </w:p>
        </w:tc>
        <w:tc>
          <w:tcPr>
            <w:tcW w:w="1980" w:type="dxa"/>
          </w:tcPr>
          <w:p w14:paraId="338AEBD4" w14:textId="77777777" w:rsidR="00DC2B54" w:rsidRDefault="00DC2B54" w:rsidP="00DC2B54">
            <w:pPr>
              <w:pStyle w:val="tabletext"/>
            </w:pPr>
            <w:r>
              <w:t>6.48</w:t>
            </w:r>
          </w:p>
        </w:tc>
      </w:tr>
      <w:tr w:rsidR="00DC2B54" w:rsidRPr="00231CBA" w14:paraId="3873C7E2" w14:textId="77777777" w:rsidTr="00DC2B54">
        <w:trPr>
          <w:cantSplit/>
          <w:tblHeader/>
        </w:trPr>
        <w:tc>
          <w:tcPr>
            <w:tcW w:w="5760" w:type="dxa"/>
          </w:tcPr>
          <w:p w14:paraId="765D0CBF" w14:textId="77777777" w:rsidR="00DC2B54" w:rsidRDefault="00DC2B54" w:rsidP="00DC2B54">
            <w:pPr>
              <w:pStyle w:val="tabletext"/>
            </w:pPr>
            <w:r>
              <w:t>Part 5, Division 3, subsection 120(3)</w:t>
            </w:r>
          </w:p>
        </w:tc>
        <w:tc>
          <w:tcPr>
            <w:tcW w:w="1980" w:type="dxa"/>
          </w:tcPr>
          <w:p w14:paraId="6ABEE568" w14:textId="77777777" w:rsidR="00DC2B54" w:rsidRDefault="00DC2B54" w:rsidP="00DC2B54">
            <w:pPr>
              <w:pStyle w:val="tabletext"/>
            </w:pPr>
            <w:r>
              <w:t>6.50</w:t>
            </w:r>
          </w:p>
        </w:tc>
      </w:tr>
      <w:tr w:rsidR="00DC2B54" w:rsidRPr="00231CBA" w14:paraId="5D2CC0F4" w14:textId="77777777" w:rsidTr="00DC2B54">
        <w:trPr>
          <w:cantSplit/>
          <w:tblHeader/>
        </w:trPr>
        <w:tc>
          <w:tcPr>
            <w:tcW w:w="5760" w:type="dxa"/>
          </w:tcPr>
          <w:p w14:paraId="4CC801AB" w14:textId="77777777" w:rsidR="00DC2B54" w:rsidRDefault="00DC2B54" w:rsidP="00DC2B54">
            <w:pPr>
              <w:pStyle w:val="tabletext"/>
            </w:pPr>
            <w:r>
              <w:t>Part 5, Division 3, subsection 120(4)</w:t>
            </w:r>
          </w:p>
        </w:tc>
        <w:tc>
          <w:tcPr>
            <w:tcW w:w="1980" w:type="dxa"/>
          </w:tcPr>
          <w:p w14:paraId="2FF4CB6C" w14:textId="77777777" w:rsidR="00DC2B54" w:rsidRDefault="00DC2B54" w:rsidP="00DC2B54">
            <w:pPr>
              <w:pStyle w:val="tabletext"/>
            </w:pPr>
            <w:r>
              <w:t>6.51</w:t>
            </w:r>
          </w:p>
        </w:tc>
      </w:tr>
      <w:tr w:rsidR="00DC2B54" w:rsidRPr="00231CBA" w14:paraId="36B338B6" w14:textId="77777777" w:rsidTr="00DC2B54">
        <w:trPr>
          <w:cantSplit/>
          <w:tblHeader/>
        </w:trPr>
        <w:tc>
          <w:tcPr>
            <w:tcW w:w="5760" w:type="dxa"/>
          </w:tcPr>
          <w:p w14:paraId="18F33EDD" w14:textId="77777777" w:rsidR="00DC2B54" w:rsidRDefault="00DC2B54" w:rsidP="00DC2B54">
            <w:pPr>
              <w:pStyle w:val="tabletext"/>
            </w:pPr>
            <w:r>
              <w:t>Part 5, Division 3, subsection 120(5)</w:t>
            </w:r>
          </w:p>
        </w:tc>
        <w:tc>
          <w:tcPr>
            <w:tcW w:w="1980" w:type="dxa"/>
          </w:tcPr>
          <w:p w14:paraId="46BF5F2E" w14:textId="77777777" w:rsidR="00DC2B54" w:rsidRDefault="00DC2B54" w:rsidP="00DC2B54">
            <w:pPr>
              <w:pStyle w:val="tabletext"/>
            </w:pPr>
            <w:r>
              <w:t>6.52</w:t>
            </w:r>
          </w:p>
        </w:tc>
      </w:tr>
      <w:tr w:rsidR="00DC2B54" w:rsidRPr="00231CBA" w14:paraId="10EDB36E" w14:textId="77777777" w:rsidTr="00DC2B54">
        <w:trPr>
          <w:cantSplit/>
          <w:tblHeader/>
        </w:trPr>
        <w:tc>
          <w:tcPr>
            <w:tcW w:w="5760" w:type="dxa"/>
          </w:tcPr>
          <w:p w14:paraId="14935F28" w14:textId="77777777" w:rsidR="00DC2B54" w:rsidRDefault="00DC2B54" w:rsidP="00DC2B54">
            <w:pPr>
              <w:pStyle w:val="tabletext"/>
            </w:pPr>
            <w:r>
              <w:t>Part 5, Division 3, section 121</w:t>
            </w:r>
          </w:p>
        </w:tc>
        <w:tc>
          <w:tcPr>
            <w:tcW w:w="1980" w:type="dxa"/>
          </w:tcPr>
          <w:p w14:paraId="74B64E7B" w14:textId="77777777" w:rsidR="00DC2B54" w:rsidRDefault="00DC2B54" w:rsidP="00DC2B54">
            <w:pPr>
              <w:pStyle w:val="tabletext"/>
            </w:pPr>
            <w:r>
              <w:t>6.53</w:t>
            </w:r>
          </w:p>
        </w:tc>
      </w:tr>
      <w:tr w:rsidR="00DC2B54" w:rsidRPr="00231CBA" w14:paraId="33D44092" w14:textId="77777777" w:rsidTr="00DC2B54">
        <w:trPr>
          <w:cantSplit/>
          <w:tblHeader/>
        </w:trPr>
        <w:tc>
          <w:tcPr>
            <w:tcW w:w="5760" w:type="dxa"/>
          </w:tcPr>
          <w:p w14:paraId="0A09486C" w14:textId="77777777" w:rsidR="00DC2B54" w:rsidRDefault="00DC2B54" w:rsidP="00DC2B54">
            <w:pPr>
              <w:pStyle w:val="tabletext"/>
            </w:pPr>
            <w:r>
              <w:t>Part 5, Division 3, subsections 122</w:t>
            </w:r>
          </w:p>
        </w:tc>
        <w:tc>
          <w:tcPr>
            <w:tcW w:w="1980" w:type="dxa"/>
          </w:tcPr>
          <w:p w14:paraId="212C1953" w14:textId="77777777" w:rsidR="00DC2B54" w:rsidRDefault="00DC2B54" w:rsidP="00DC2B54">
            <w:pPr>
              <w:pStyle w:val="tabletext"/>
            </w:pPr>
            <w:r>
              <w:t>6.54</w:t>
            </w:r>
          </w:p>
        </w:tc>
      </w:tr>
      <w:tr w:rsidR="00DC2B54" w:rsidRPr="00231CBA" w14:paraId="3BDC5450" w14:textId="77777777" w:rsidTr="00DC2B54">
        <w:trPr>
          <w:cantSplit/>
          <w:tblHeader/>
        </w:trPr>
        <w:tc>
          <w:tcPr>
            <w:tcW w:w="5760" w:type="dxa"/>
          </w:tcPr>
          <w:p w14:paraId="70BDFC73" w14:textId="77777777" w:rsidR="00DC2B54" w:rsidRDefault="00DC2B54" w:rsidP="00DC2B54">
            <w:pPr>
              <w:pStyle w:val="tabletext"/>
            </w:pPr>
            <w:r>
              <w:t>Part 5, Division 4, section 123</w:t>
            </w:r>
          </w:p>
        </w:tc>
        <w:tc>
          <w:tcPr>
            <w:tcW w:w="1980" w:type="dxa"/>
          </w:tcPr>
          <w:p w14:paraId="438AB8B2" w14:textId="77777777" w:rsidR="00DC2B54" w:rsidRDefault="00DC2B54" w:rsidP="00DC2B54">
            <w:pPr>
              <w:pStyle w:val="tabletext"/>
            </w:pPr>
            <w:r>
              <w:t>6.55</w:t>
            </w:r>
          </w:p>
        </w:tc>
      </w:tr>
      <w:tr w:rsidR="00DC2B54" w:rsidRPr="00231CBA" w14:paraId="5B18408B" w14:textId="77777777" w:rsidTr="00DC2B54">
        <w:trPr>
          <w:cantSplit/>
          <w:tblHeader/>
        </w:trPr>
        <w:tc>
          <w:tcPr>
            <w:tcW w:w="5760" w:type="dxa"/>
          </w:tcPr>
          <w:p w14:paraId="0E9B5E20" w14:textId="77777777" w:rsidR="00DC2B54" w:rsidRDefault="00DC2B54" w:rsidP="00DC2B54">
            <w:pPr>
              <w:pStyle w:val="tabletext"/>
            </w:pPr>
            <w:r>
              <w:t>Part 5, Division 4, section 124</w:t>
            </w:r>
          </w:p>
        </w:tc>
        <w:tc>
          <w:tcPr>
            <w:tcW w:w="1980" w:type="dxa"/>
          </w:tcPr>
          <w:p w14:paraId="7976BC07" w14:textId="77777777" w:rsidR="00DC2B54" w:rsidRDefault="00DC2B54" w:rsidP="00DC2B54">
            <w:pPr>
              <w:pStyle w:val="tabletext"/>
            </w:pPr>
            <w:r>
              <w:t>6.56</w:t>
            </w:r>
          </w:p>
        </w:tc>
      </w:tr>
      <w:tr w:rsidR="00DC2B54" w:rsidRPr="00231CBA" w14:paraId="131FFDD7" w14:textId="77777777" w:rsidTr="00DC2B54">
        <w:trPr>
          <w:cantSplit/>
          <w:tblHeader/>
        </w:trPr>
        <w:tc>
          <w:tcPr>
            <w:tcW w:w="5760" w:type="dxa"/>
          </w:tcPr>
          <w:p w14:paraId="4C70F2D5" w14:textId="77777777" w:rsidR="00DC2B54" w:rsidRDefault="00DC2B54" w:rsidP="00DC2B54">
            <w:pPr>
              <w:pStyle w:val="tabletext"/>
            </w:pPr>
            <w:r>
              <w:t>Part 5, Division 4, section 125</w:t>
            </w:r>
          </w:p>
        </w:tc>
        <w:tc>
          <w:tcPr>
            <w:tcW w:w="1980" w:type="dxa"/>
          </w:tcPr>
          <w:p w14:paraId="2420A328" w14:textId="77777777" w:rsidR="00DC2B54" w:rsidRDefault="00DC2B54" w:rsidP="00DC2B54">
            <w:pPr>
              <w:pStyle w:val="tabletext"/>
            </w:pPr>
            <w:r>
              <w:t>6.57</w:t>
            </w:r>
          </w:p>
        </w:tc>
      </w:tr>
      <w:tr w:rsidR="00DC2B54" w:rsidRPr="00231CBA" w14:paraId="5D5B7102" w14:textId="77777777" w:rsidTr="00DC2B54">
        <w:trPr>
          <w:cantSplit/>
          <w:tblHeader/>
        </w:trPr>
        <w:tc>
          <w:tcPr>
            <w:tcW w:w="5760" w:type="dxa"/>
          </w:tcPr>
          <w:p w14:paraId="4D59DF72" w14:textId="77777777" w:rsidR="00DC2B54" w:rsidRDefault="00DC2B54" w:rsidP="00DC2B54">
            <w:pPr>
              <w:pStyle w:val="tabletext"/>
            </w:pPr>
            <w:r>
              <w:t>Part 6, Division 1, section 126</w:t>
            </w:r>
          </w:p>
        </w:tc>
        <w:tc>
          <w:tcPr>
            <w:tcW w:w="1980" w:type="dxa"/>
          </w:tcPr>
          <w:p w14:paraId="0BDDF70D" w14:textId="77777777" w:rsidR="00DC2B54" w:rsidRDefault="00DC2B54" w:rsidP="00DC2B54">
            <w:pPr>
              <w:pStyle w:val="tabletext"/>
            </w:pPr>
            <w:r>
              <w:t>7.8, 7.9</w:t>
            </w:r>
          </w:p>
        </w:tc>
      </w:tr>
      <w:tr w:rsidR="00DC2B54" w:rsidRPr="00231CBA" w14:paraId="45D51461" w14:textId="77777777" w:rsidTr="00DC2B54">
        <w:trPr>
          <w:cantSplit/>
          <w:tblHeader/>
        </w:trPr>
        <w:tc>
          <w:tcPr>
            <w:tcW w:w="5760" w:type="dxa"/>
          </w:tcPr>
          <w:p w14:paraId="180B37EA" w14:textId="77777777" w:rsidR="00DC2B54" w:rsidRDefault="00DC2B54" w:rsidP="00DC2B54">
            <w:pPr>
              <w:pStyle w:val="tabletext"/>
            </w:pPr>
            <w:r>
              <w:t>Part 6, Division 2, subsection 127(1)</w:t>
            </w:r>
          </w:p>
        </w:tc>
        <w:tc>
          <w:tcPr>
            <w:tcW w:w="1980" w:type="dxa"/>
          </w:tcPr>
          <w:p w14:paraId="016CCBDA" w14:textId="77777777" w:rsidR="00DC2B54" w:rsidRDefault="00DC2B54" w:rsidP="00DC2B54">
            <w:pPr>
              <w:pStyle w:val="tabletext"/>
            </w:pPr>
            <w:r>
              <w:t>7.10</w:t>
            </w:r>
          </w:p>
        </w:tc>
      </w:tr>
      <w:tr w:rsidR="00DC2B54" w:rsidRPr="00231CBA" w14:paraId="200A2308" w14:textId="77777777" w:rsidTr="00DC2B54">
        <w:trPr>
          <w:cantSplit/>
          <w:tblHeader/>
        </w:trPr>
        <w:tc>
          <w:tcPr>
            <w:tcW w:w="5760" w:type="dxa"/>
          </w:tcPr>
          <w:p w14:paraId="1A7BB132" w14:textId="77777777" w:rsidR="00DC2B54" w:rsidRDefault="00DC2B54" w:rsidP="00DC2B54">
            <w:pPr>
              <w:pStyle w:val="tabletext"/>
            </w:pPr>
            <w:r>
              <w:t>Part 6, Division 2, subsection 127(2)</w:t>
            </w:r>
          </w:p>
        </w:tc>
        <w:tc>
          <w:tcPr>
            <w:tcW w:w="1980" w:type="dxa"/>
          </w:tcPr>
          <w:p w14:paraId="164995F2" w14:textId="77777777" w:rsidR="00DC2B54" w:rsidRDefault="00DC2B54" w:rsidP="00DC2B54">
            <w:pPr>
              <w:pStyle w:val="tabletext"/>
            </w:pPr>
            <w:r>
              <w:t>7.11</w:t>
            </w:r>
          </w:p>
        </w:tc>
      </w:tr>
      <w:tr w:rsidR="00DC2B54" w:rsidRPr="00231CBA" w14:paraId="782E5258" w14:textId="77777777" w:rsidTr="00DC2B54">
        <w:trPr>
          <w:cantSplit/>
          <w:tblHeader/>
        </w:trPr>
        <w:tc>
          <w:tcPr>
            <w:tcW w:w="5760" w:type="dxa"/>
          </w:tcPr>
          <w:p w14:paraId="3FEEB3A3" w14:textId="77777777" w:rsidR="00DC2B54" w:rsidRDefault="00DC2B54" w:rsidP="00DC2B54">
            <w:pPr>
              <w:pStyle w:val="tabletext"/>
            </w:pPr>
            <w:r>
              <w:t>Part 6, Division 2, section 128</w:t>
            </w:r>
          </w:p>
        </w:tc>
        <w:tc>
          <w:tcPr>
            <w:tcW w:w="1980" w:type="dxa"/>
          </w:tcPr>
          <w:p w14:paraId="436E43DD" w14:textId="77777777" w:rsidR="00DC2B54" w:rsidRDefault="00DC2B54" w:rsidP="00DC2B54">
            <w:pPr>
              <w:pStyle w:val="tabletext"/>
            </w:pPr>
            <w:r>
              <w:t>7.13</w:t>
            </w:r>
          </w:p>
        </w:tc>
      </w:tr>
      <w:tr w:rsidR="00DC2B54" w:rsidRPr="00231CBA" w14:paraId="221A1FD1" w14:textId="77777777" w:rsidTr="00DC2B54">
        <w:trPr>
          <w:cantSplit/>
          <w:tblHeader/>
        </w:trPr>
        <w:tc>
          <w:tcPr>
            <w:tcW w:w="5760" w:type="dxa"/>
          </w:tcPr>
          <w:p w14:paraId="2419EABD" w14:textId="77777777" w:rsidR="00DC2B54" w:rsidRDefault="00DC2B54" w:rsidP="00DC2B54">
            <w:pPr>
              <w:pStyle w:val="tabletext"/>
            </w:pPr>
            <w:r>
              <w:t>Part 6, Division 2, subsections 129(1), (2) and (4)</w:t>
            </w:r>
          </w:p>
        </w:tc>
        <w:tc>
          <w:tcPr>
            <w:tcW w:w="1980" w:type="dxa"/>
          </w:tcPr>
          <w:p w14:paraId="114F1660" w14:textId="77777777" w:rsidR="00DC2B54" w:rsidRDefault="00DC2B54" w:rsidP="00DC2B54">
            <w:pPr>
              <w:pStyle w:val="tabletext"/>
            </w:pPr>
            <w:r>
              <w:t>7.15</w:t>
            </w:r>
          </w:p>
        </w:tc>
      </w:tr>
      <w:tr w:rsidR="00DC2B54" w:rsidRPr="00231CBA" w14:paraId="575FE061" w14:textId="77777777" w:rsidTr="00DC2B54">
        <w:trPr>
          <w:cantSplit/>
          <w:tblHeader/>
        </w:trPr>
        <w:tc>
          <w:tcPr>
            <w:tcW w:w="5760" w:type="dxa"/>
          </w:tcPr>
          <w:p w14:paraId="5F435E94" w14:textId="77777777" w:rsidR="00DC2B54" w:rsidRDefault="00DC2B54" w:rsidP="00DC2B54">
            <w:pPr>
              <w:pStyle w:val="tabletext"/>
            </w:pPr>
            <w:r>
              <w:t>Part 6, Division 2, subsection 129(3)</w:t>
            </w:r>
          </w:p>
        </w:tc>
        <w:tc>
          <w:tcPr>
            <w:tcW w:w="1980" w:type="dxa"/>
          </w:tcPr>
          <w:p w14:paraId="369042CF" w14:textId="77777777" w:rsidR="00DC2B54" w:rsidRDefault="00DC2B54" w:rsidP="00DC2B54">
            <w:pPr>
              <w:pStyle w:val="tabletext"/>
            </w:pPr>
            <w:r>
              <w:t>7.16</w:t>
            </w:r>
          </w:p>
        </w:tc>
      </w:tr>
      <w:tr w:rsidR="00DC2B54" w:rsidRPr="00231CBA" w14:paraId="0B10FCAC" w14:textId="77777777" w:rsidTr="00DC2B54">
        <w:trPr>
          <w:cantSplit/>
          <w:tblHeader/>
        </w:trPr>
        <w:tc>
          <w:tcPr>
            <w:tcW w:w="5760" w:type="dxa"/>
          </w:tcPr>
          <w:p w14:paraId="142FD9A2" w14:textId="77777777" w:rsidR="00DC2B54" w:rsidRDefault="00DC2B54" w:rsidP="00DC2B54">
            <w:pPr>
              <w:pStyle w:val="tabletext"/>
            </w:pPr>
            <w:r>
              <w:t>Part 6, Division 3, subsection 130(1)</w:t>
            </w:r>
          </w:p>
        </w:tc>
        <w:tc>
          <w:tcPr>
            <w:tcW w:w="1980" w:type="dxa"/>
          </w:tcPr>
          <w:p w14:paraId="0ABCE104" w14:textId="77777777" w:rsidR="00DC2B54" w:rsidRDefault="00DC2B54" w:rsidP="00DC2B54">
            <w:pPr>
              <w:pStyle w:val="tabletext"/>
            </w:pPr>
            <w:r>
              <w:t>7.18</w:t>
            </w:r>
          </w:p>
        </w:tc>
      </w:tr>
      <w:tr w:rsidR="00DC2B54" w:rsidRPr="00231CBA" w14:paraId="6CAAE95B" w14:textId="77777777" w:rsidTr="00DC2B54">
        <w:trPr>
          <w:cantSplit/>
          <w:tblHeader/>
        </w:trPr>
        <w:tc>
          <w:tcPr>
            <w:tcW w:w="5760" w:type="dxa"/>
          </w:tcPr>
          <w:p w14:paraId="25B9F806" w14:textId="77777777" w:rsidR="00DC2B54" w:rsidRDefault="00DC2B54" w:rsidP="00DC2B54">
            <w:pPr>
              <w:pStyle w:val="tabletext"/>
            </w:pPr>
            <w:r>
              <w:t>Part 6, Division 3, subsection 130(2) and (3)</w:t>
            </w:r>
          </w:p>
        </w:tc>
        <w:tc>
          <w:tcPr>
            <w:tcW w:w="1980" w:type="dxa"/>
          </w:tcPr>
          <w:p w14:paraId="6A6CD817" w14:textId="77777777" w:rsidR="00DC2B54" w:rsidRDefault="00DC2B54" w:rsidP="00DC2B54">
            <w:pPr>
              <w:pStyle w:val="tabletext"/>
            </w:pPr>
            <w:r>
              <w:t>7.20</w:t>
            </w:r>
          </w:p>
        </w:tc>
      </w:tr>
      <w:tr w:rsidR="00DC2B54" w:rsidRPr="00231CBA" w14:paraId="4FE144F7" w14:textId="77777777" w:rsidTr="00DC2B54">
        <w:trPr>
          <w:cantSplit/>
          <w:tblHeader/>
        </w:trPr>
        <w:tc>
          <w:tcPr>
            <w:tcW w:w="5760" w:type="dxa"/>
          </w:tcPr>
          <w:p w14:paraId="73C743B0" w14:textId="77777777" w:rsidR="00DC2B54" w:rsidRDefault="00DC2B54" w:rsidP="00DC2B54">
            <w:pPr>
              <w:pStyle w:val="tabletext"/>
            </w:pPr>
            <w:r>
              <w:t>Part 6, Division 3, subsection 130(4)</w:t>
            </w:r>
          </w:p>
        </w:tc>
        <w:tc>
          <w:tcPr>
            <w:tcW w:w="1980" w:type="dxa"/>
          </w:tcPr>
          <w:p w14:paraId="3E7CAC0D" w14:textId="77777777" w:rsidR="00DC2B54" w:rsidRDefault="00DC2B54" w:rsidP="00DC2B54">
            <w:pPr>
              <w:pStyle w:val="tabletext"/>
            </w:pPr>
            <w:r>
              <w:t>7.21</w:t>
            </w:r>
          </w:p>
        </w:tc>
      </w:tr>
      <w:tr w:rsidR="00DC2B54" w:rsidRPr="00231CBA" w14:paraId="56A51CAE" w14:textId="77777777" w:rsidTr="00DC2B54">
        <w:trPr>
          <w:cantSplit/>
          <w:tblHeader/>
        </w:trPr>
        <w:tc>
          <w:tcPr>
            <w:tcW w:w="5760" w:type="dxa"/>
          </w:tcPr>
          <w:p w14:paraId="101F9432" w14:textId="77777777" w:rsidR="00DC2B54" w:rsidRDefault="00DC2B54" w:rsidP="00DC2B54">
            <w:pPr>
              <w:pStyle w:val="tabletext"/>
            </w:pPr>
            <w:r>
              <w:t>Part 6, Division 3, subsections 131(1) and (2)</w:t>
            </w:r>
          </w:p>
        </w:tc>
        <w:tc>
          <w:tcPr>
            <w:tcW w:w="1980" w:type="dxa"/>
          </w:tcPr>
          <w:p w14:paraId="2684FB30" w14:textId="77777777" w:rsidR="00DC2B54" w:rsidRDefault="00DC2B54" w:rsidP="00DC2B54">
            <w:pPr>
              <w:pStyle w:val="tabletext"/>
            </w:pPr>
            <w:r>
              <w:t>7.22</w:t>
            </w:r>
          </w:p>
        </w:tc>
      </w:tr>
      <w:tr w:rsidR="00DC2B54" w14:paraId="62B416E4" w14:textId="77777777" w:rsidTr="00DC2B54">
        <w:trPr>
          <w:cantSplit/>
          <w:tblHeader/>
        </w:trPr>
        <w:tc>
          <w:tcPr>
            <w:tcW w:w="5760" w:type="dxa"/>
          </w:tcPr>
          <w:p w14:paraId="174A1A8D" w14:textId="77777777" w:rsidR="00DC2B54" w:rsidRDefault="00DC2B54" w:rsidP="00DC2B54">
            <w:pPr>
              <w:pStyle w:val="tabletext"/>
            </w:pPr>
            <w:r>
              <w:t>Part 6, Division 3, subsection 131(3) and (4)</w:t>
            </w:r>
          </w:p>
        </w:tc>
        <w:tc>
          <w:tcPr>
            <w:tcW w:w="1980" w:type="dxa"/>
          </w:tcPr>
          <w:p w14:paraId="10E956D0" w14:textId="77777777" w:rsidR="00DC2B54" w:rsidRDefault="00DC2B54" w:rsidP="00DC2B54">
            <w:pPr>
              <w:pStyle w:val="tabletext"/>
            </w:pPr>
            <w:r>
              <w:t>7.23</w:t>
            </w:r>
          </w:p>
        </w:tc>
      </w:tr>
      <w:tr w:rsidR="00DC2B54" w:rsidRPr="00231CBA" w14:paraId="532DEC2B" w14:textId="77777777" w:rsidTr="00DC2B54">
        <w:trPr>
          <w:cantSplit/>
          <w:tblHeader/>
        </w:trPr>
        <w:tc>
          <w:tcPr>
            <w:tcW w:w="5760" w:type="dxa"/>
          </w:tcPr>
          <w:p w14:paraId="31DF24E9" w14:textId="77777777" w:rsidR="00DC2B54" w:rsidRDefault="00DC2B54" w:rsidP="00DC2B54">
            <w:pPr>
              <w:pStyle w:val="tabletext"/>
            </w:pPr>
            <w:r>
              <w:t>Part 6, Division 3, subsection 131(5)</w:t>
            </w:r>
          </w:p>
        </w:tc>
        <w:tc>
          <w:tcPr>
            <w:tcW w:w="1980" w:type="dxa"/>
          </w:tcPr>
          <w:p w14:paraId="5897D0B1" w14:textId="77777777" w:rsidR="00DC2B54" w:rsidRDefault="00DC2B54" w:rsidP="00DC2B54">
            <w:pPr>
              <w:pStyle w:val="tabletext"/>
            </w:pPr>
            <w:r>
              <w:t>7.22</w:t>
            </w:r>
          </w:p>
        </w:tc>
      </w:tr>
      <w:tr w:rsidR="00DC2B54" w:rsidRPr="00231CBA" w14:paraId="488E718E" w14:textId="77777777" w:rsidTr="00DC2B54">
        <w:trPr>
          <w:cantSplit/>
          <w:tblHeader/>
        </w:trPr>
        <w:tc>
          <w:tcPr>
            <w:tcW w:w="5760" w:type="dxa"/>
          </w:tcPr>
          <w:p w14:paraId="23CA0D9B" w14:textId="77777777" w:rsidR="00DC2B54" w:rsidRDefault="00DC2B54" w:rsidP="00DC2B54">
            <w:pPr>
              <w:pStyle w:val="tabletext"/>
            </w:pPr>
            <w:r>
              <w:t>Part 6, Division 3, subsection 132(1)</w:t>
            </w:r>
          </w:p>
        </w:tc>
        <w:tc>
          <w:tcPr>
            <w:tcW w:w="1980" w:type="dxa"/>
          </w:tcPr>
          <w:p w14:paraId="1978C0F0" w14:textId="77777777" w:rsidR="00DC2B54" w:rsidRDefault="00DC2B54" w:rsidP="00DC2B54">
            <w:pPr>
              <w:pStyle w:val="tabletext"/>
            </w:pPr>
            <w:r>
              <w:t>7.24</w:t>
            </w:r>
          </w:p>
        </w:tc>
      </w:tr>
      <w:tr w:rsidR="00DC2B54" w:rsidRPr="00231CBA" w14:paraId="15D4F394" w14:textId="77777777" w:rsidTr="00DC2B54">
        <w:trPr>
          <w:cantSplit/>
          <w:tblHeader/>
        </w:trPr>
        <w:tc>
          <w:tcPr>
            <w:tcW w:w="5760" w:type="dxa"/>
          </w:tcPr>
          <w:p w14:paraId="1BA74189" w14:textId="77777777" w:rsidR="00DC2B54" w:rsidRDefault="00DC2B54" w:rsidP="00DC2B54">
            <w:pPr>
              <w:pStyle w:val="tabletext"/>
            </w:pPr>
            <w:r>
              <w:t>Part 6, Division 3, subsections 132(1) and (2)</w:t>
            </w:r>
          </w:p>
        </w:tc>
        <w:tc>
          <w:tcPr>
            <w:tcW w:w="1980" w:type="dxa"/>
          </w:tcPr>
          <w:p w14:paraId="7A89DC4A" w14:textId="77777777" w:rsidR="00DC2B54" w:rsidRDefault="00DC2B54" w:rsidP="00DC2B54">
            <w:pPr>
              <w:pStyle w:val="tabletext"/>
            </w:pPr>
            <w:r>
              <w:t>7.25</w:t>
            </w:r>
          </w:p>
        </w:tc>
      </w:tr>
      <w:tr w:rsidR="00DC2B54" w:rsidRPr="00231CBA" w14:paraId="162CA10F" w14:textId="77777777" w:rsidTr="00DC2B54">
        <w:trPr>
          <w:cantSplit/>
          <w:tblHeader/>
        </w:trPr>
        <w:tc>
          <w:tcPr>
            <w:tcW w:w="5760" w:type="dxa"/>
          </w:tcPr>
          <w:p w14:paraId="25912F70" w14:textId="77777777" w:rsidR="00DC2B54" w:rsidRDefault="00DC2B54" w:rsidP="00DC2B54">
            <w:pPr>
              <w:pStyle w:val="tabletext"/>
            </w:pPr>
            <w:r>
              <w:t>Part 6, Division 3, subsection 132(3)</w:t>
            </w:r>
          </w:p>
        </w:tc>
        <w:tc>
          <w:tcPr>
            <w:tcW w:w="1980" w:type="dxa"/>
          </w:tcPr>
          <w:p w14:paraId="4DD597C8" w14:textId="77777777" w:rsidR="00DC2B54" w:rsidRDefault="00DC2B54" w:rsidP="00DC2B54">
            <w:pPr>
              <w:pStyle w:val="tabletext"/>
            </w:pPr>
            <w:r>
              <w:t>7.26</w:t>
            </w:r>
          </w:p>
        </w:tc>
      </w:tr>
      <w:tr w:rsidR="00DC2B54" w:rsidRPr="00231CBA" w14:paraId="7CC8D56B" w14:textId="77777777" w:rsidTr="00DC2B54">
        <w:trPr>
          <w:cantSplit/>
          <w:tblHeader/>
        </w:trPr>
        <w:tc>
          <w:tcPr>
            <w:tcW w:w="5760" w:type="dxa"/>
          </w:tcPr>
          <w:p w14:paraId="492B8847" w14:textId="77777777" w:rsidR="00DC2B54" w:rsidRDefault="00DC2B54" w:rsidP="00DC2B54">
            <w:pPr>
              <w:pStyle w:val="tabletext"/>
            </w:pPr>
            <w:r>
              <w:t>Part 6, Division 3, subsection 132(4)</w:t>
            </w:r>
          </w:p>
        </w:tc>
        <w:tc>
          <w:tcPr>
            <w:tcW w:w="1980" w:type="dxa"/>
          </w:tcPr>
          <w:p w14:paraId="2617DEBE" w14:textId="77777777" w:rsidR="00DC2B54" w:rsidRDefault="00DC2B54" w:rsidP="00DC2B54">
            <w:pPr>
              <w:pStyle w:val="tabletext"/>
            </w:pPr>
            <w:r>
              <w:t>7.27</w:t>
            </w:r>
          </w:p>
        </w:tc>
      </w:tr>
      <w:tr w:rsidR="00DC2B54" w:rsidRPr="00231CBA" w14:paraId="2AB06FE1" w14:textId="77777777" w:rsidTr="00DC2B54">
        <w:trPr>
          <w:cantSplit/>
          <w:tblHeader/>
        </w:trPr>
        <w:tc>
          <w:tcPr>
            <w:tcW w:w="5760" w:type="dxa"/>
          </w:tcPr>
          <w:p w14:paraId="3FB06521" w14:textId="77777777" w:rsidR="00DC2B54" w:rsidRDefault="00DC2B54" w:rsidP="00DC2B54">
            <w:pPr>
              <w:pStyle w:val="tabletext"/>
            </w:pPr>
            <w:r>
              <w:t>Part 6, Division 3, section 133</w:t>
            </w:r>
          </w:p>
        </w:tc>
        <w:tc>
          <w:tcPr>
            <w:tcW w:w="1980" w:type="dxa"/>
          </w:tcPr>
          <w:p w14:paraId="6D24752F" w14:textId="77777777" w:rsidR="00DC2B54" w:rsidRDefault="00DC2B54" w:rsidP="00DC2B54">
            <w:pPr>
              <w:pStyle w:val="tabletext"/>
            </w:pPr>
            <w:r>
              <w:t>7.28</w:t>
            </w:r>
          </w:p>
        </w:tc>
      </w:tr>
      <w:tr w:rsidR="00DC2B54" w:rsidRPr="00231CBA" w14:paraId="29C1B424" w14:textId="77777777" w:rsidTr="00DC2B54">
        <w:trPr>
          <w:cantSplit/>
          <w:tblHeader/>
        </w:trPr>
        <w:tc>
          <w:tcPr>
            <w:tcW w:w="5760" w:type="dxa"/>
          </w:tcPr>
          <w:p w14:paraId="4DC0E27B" w14:textId="77777777" w:rsidR="00DC2B54" w:rsidRDefault="00DC2B54" w:rsidP="00DC2B54">
            <w:pPr>
              <w:pStyle w:val="tabletext"/>
            </w:pPr>
            <w:r>
              <w:t>Part 6, Division 3, subsections 134(1) and (2)</w:t>
            </w:r>
          </w:p>
        </w:tc>
        <w:tc>
          <w:tcPr>
            <w:tcW w:w="1980" w:type="dxa"/>
          </w:tcPr>
          <w:p w14:paraId="7BBD570E" w14:textId="77777777" w:rsidR="00DC2B54" w:rsidRDefault="00DC2B54" w:rsidP="00DC2B54">
            <w:pPr>
              <w:pStyle w:val="tabletext"/>
            </w:pPr>
            <w:r>
              <w:t>7.29</w:t>
            </w:r>
          </w:p>
        </w:tc>
      </w:tr>
      <w:tr w:rsidR="00DC2B54" w:rsidRPr="00231CBA" w14:paraId="747B5A87" w14:textId="77777777" w:rsidTr="00DC2B54">
        <w:trPr>
          <w:cantSplit/>
          <w:tblHeader/>
        </w:trPr>
        <w:tc>
          <w:tcPr>
            <w:tcW w:w="5760" w:type="dxa"/>
          </w:tcPr>
          <w:p w14:paraId="07288CE4" w14:textId="77777777" w:rsidR="00DC2B54" w:rsidRDefault="00DC2B54" w:rsidP="00DC2B54">
            <w:pPr>
              <w:pStyle w:val="tabletext"/>
            </w:pPr>
            <w:r>
              <w:t>Part 6, Division 3, subsection 134(3)</w:t>
            </w:r>
          </w:p>
        </w:tc>
        <w:tc>
          <w:tcPr>
            <w:tcW w:w="1980" w:type="dxa"/>
          </w:tcPr>
          <w:p w14:paraId="39B1C911" w14:textId="77777777" w:rsidR="00DC2B54" w:rsidRDefault="00DC2B54" w:rsidP="00DC2B54">
            <w:pPr>
              <w:pStyle w:val="tabletext"/>
            </w:pPr>
            <w:r>
              <w:t>7.30</w:t>
            </w:r>
          </w:p>
        </w:tc>
      </w:tr>
      <w:tr w:rsidR="00DC2B54" w:rsidRPr="00231CBA" w14:paraId="16EE45D0" w14:textId="77777777" w:rsidTr="00DC2B54">
        <w:trPr>
          <w:cantSplit/>
          <w:tblHeader/>
        </w:trPr>
        <w:tc>
          <w:tcPr>
            <w:tcW w:w="5760" w:type="dxa"/>
          </w:tcPr>
          <w:p w14:paraId="3B4CE694" w14:textId="77777777" w:rsidR="00DC2B54" w:rsidRDefault="00DC2B54" w:rsidP="00DC2B54">
            <w:pPr>
              <w:pStyle w:val="tabletext"/>
            </w:pPr>
            <w:r>
              <w:t>Part 6, Division 3, subsection 134(4)</w:t>
            </w:r>
          </w:p>
        </w:tc>
        <w:tc>
          <w:tcPr>
            <w:tcW w:w="1980" w:type="dxa"/>
          </w:tcPr>
          <w:p w14:paraId="10368739" w14:textId="77777777" w:rsidR="00DC2B54" w:rsidRDefault="00DC2B54" w:rsidP="00DC2B54">
            <w:pPr>
              <w:pStyle w:val="tabletext"/>
            </w:pPr>
            <w:r>
              <w:t>7.31</w:t>
            </w:r>
          </w:p>
        </w:tc>
      </w:tr>
      <w:tr w:rsidR="00DC2B54" w:rsidRPr="00231CBA" w14:paraId="63544864" w14:textId="77777777" w:rsidTr="00DC2B54">
        <w:trPr>
          <w:cantSplit/>
          <w:tblHeader/>
        </w:trPr>
        <w:tc>
          <w:tcPr>
            <w:tcW w:w="5760" w:type="dxa"/>
          </w:tcPr>
          <w:p w14:paraId="4DF90791" w14:textId="77777777" w:rsidR="00DC2B54" w:rsidRDefault="00DC2B54" w:rsidP="00DC2B54">
            <w:pPr>
              <w:pStyle w:val="tabletext"/>
            </w:pPr>
            <w:r>
              <w:t>Part 6, Division 3, subsection 135(1)</w:t>
            </w:r>
          </w:p>
        </w:tc>
        <w:tc>
          <w:tcPr>
            <w:tcW w:w="1980" w:type="dxa"/>
          </w:tcPr>
          <w:p w14:paraId="65A418B2" w14:textId="77777777" w:rsidR="00DC2B54" w:rsidRDefault="00DC2B54" w:rsidP="00DC2B54">
            <w:pPr>
              <w:pStyle w:val="tabletext"/>
            </w:pPr>
            <w:r>
              <w:t>7.32</w:t>
            </w:r>
          </w:p>
        </w:tc>
      </w:tr>
      <w:tr w:rsidR="00DC2B54" w:rsidRPr="00231CBA" w14:paraId="5B5396E2" w14:textId="77777777" w:rsidTr="00DC2B54">
        <w:trPr>
          <w:cantSplit/>
          <w:tblHeader/>
        </w:trPr>
        <w:tc>
          <w:tcPr>
            <w:tcW w:w="5760" w:type="dxa"/>
          </w:tcPr>
          <w:p w14:paraId="336A1B77" w14:textId="77777777" w:rsidR="00DC2B54" w:rsidRDefault="00DC2B54" w:rsidP="00DC2B54">
            <w:pPr>
              <w:pStyle w:val="tabletext"/>
            </w:pPr>
            <w:r>
              <w:t>Part 6, Division 3, subsections 135(2), (3) and (4)</w:t>
            </w:r>
          </w:p>
        </w:tc>
        <w:tc>
          <w:tcPr>
            <w:tcW w:w="1980" w:type="dxa"/>
          </w:tcPr>
          <w:p w14:paraId="08AC76BB" w14:textId="77777777" w:rsidR="00DC2B54" w:rsidRDefault="00DC2B54" w:rsidP="00DC2B54">
            <w:pPr>
              <w:pStyle w:val="tabletext"/>
            </w:pPr>
            <w:r>
              <w:t>7.33</w:t>
            </w:r>
          </w:p>
        </w:tc>
      </w:tr>
      <w:tr w:rsidR="00DC2B54" w:rsidRPr="00231CBA" w14:paraId="0D8E073C" w14:textId="77777777" w:rsidTr="00DC2B54">
        <w:trPr>
          <w:cantSplit/>
          <w:tblHeader/>
        </w:trPr>
        <w:tc>
          <w:tcPr>
            <w:tcW w:w="5760" w:type="dxa"/>
          </w:tcPr>
          <w:p w14:paraId="30D049B9" w14:textId="77777777" w:rsidR="00DC2B54" w:rsidRDefault="00DC2B54" w:rsidP="00DC2B54">
            <w:pPr>
              <w:pStyle w:val="tabletext"/>
            </w:pPr>
            <w:r>
              <w:t>Part 6, Division 3, subsection 135(5)</w:t>
            </w:r>
          </w:p>
        </w:tc>
        <w:tc>
          <w:tcPr>
            <w:tcW w:w="1980" w:type="dxa"/>
          </w:tcPr>
          <w:p w14:paraId="41A90E15" w14:textId="77777777" w:rsidR="00DC2B54" w:rsidRDefault="00DC2B54" w:rsidP="00DC2B54">
            <w:pPr>
              <w:pStyle w:val="tabletext"/>
            </w:pPr>
            <w:r>
              <w:t>7.34</w:t>
            </w:r>
          </w:p>
        </w:tc>
      </w:tr>
      <w:tr w:rsidR="00DC2B54" w:rsidRPr="00231CBA" w14:paraId="79FDE06A" w14:textId="77777777" w:rsidTr="00DC2B54">
        <w:trPr>
          <w:cantSplit/>
          <w:tblHeader/>
        </w:trPr>
        <w:tc>
          <w:tcPr>
            <w:tcW w:w="5760" w:type="dxa"/>
          </w:tcPr>
          <w:p w14:paraId="1CB846D7" w14:textId="77777777" w:rsidR="00DC2B54" w:rsidRDefault="00DC2B54" w:rsidP="00DC2B54">
            <w:pPr>
              <w:pStyle w:val="tabletext"/>
            </w:pPr>
            <w:r>
              <w:t>Part 6, Division 3, subsection 135(6)</w:t>
            </w:r>
          </w:p>
        </w:tc>
        <w:tc>
          <w:tcPr>
            <w:tcW w:w="1980" w:type="dxa"/>
          </w:tcPr>
          <w:p w14:paraId="648268DD" w14:textId="77777777" w:rsidR="00DC2B54" w:rsidRDefault="00DC2B54" w:rsidP="00DC2B54">
            <w:pPr>
              <w:pStyle w:val="tabletext"/>
            </w:pPr>
            <w:r>
              <w:t>7.35</w:t>
            </w:r>
          </w:p>
        </w:tc>
      </w:tr>
      <w:tr w:rsidR="00DC2B54" w:rsidRPr="00231CBA" w14:paraId="5E18E37D" w14:textId="77777777" w:rsidTr="00DC2B54">
        <w:trPr>
          <w:cantSplit/>
          <w:tblHeader/>
        </w:trPr>
        <w:tc>
          <w:tcPr>
            <w:tcW w:w="5760" w:type="dxa"/>
          </w:tcPr>
          <w:p w14:paraId="1B97458F" w14:textId="77777777" w:rsidR="00DC2B54" w:rsidRDefault="00DC2B54" w:rsidP="00DC2B54">
            <w:pPr>
              <w:pStyle w:val="tabletext"/>
            </w:pPr>
            <w:r>
              <w:t>Part 6, Division 3, subsections 136(1) and (2)</w:t>
            </w:r>
          </w:p>
        </w:tc>
        <w:tc>
          <w:tcPr>
            <w:tcW w:w="1980" w:type="dxa"/>
          </w:tcPr>
          <w:p w14:paraId="15544CF4" w14:textId="77777777" w:rsidR="00DC2B54" w:rsidRDefault="00DC2B54" w:rsidP="00DC2B54">
            <w:pPr>
              <w:pStyle w:val="tabletext"/>
            </w:pPr>
            <w:r>
              <w:t>7.36</w:t>
            </w:r>
          </w:p>
        </w:tc>
      </w:tr>
      <w:tr w:rsidR="00DC2B54" w:rsidRPr="00231CBA" w14:paraId="50E52576" w14:textId="77777777" w:rsidTr="00DC2B54">
        <w:trPr>
          <w:cantSplit/>
          <w:tblHeader/>
        </w:trPr>
        <w:tc>
          <w:tcPr>
            <w:tcW w:w="5760" w:type="dxa"/>
          </w:tcPr>
          <w:p w14:paraId="7BDC0ABF" w14:textId="77777777" w:rsidR="00DC2B54" w:rsidRDefault="00DC2B54" w:rsidP="00DC2B54">
            <w:pPr>
              <w:pStyle w:val="tabletext"/>
            </w:pPr>
            <w:r>
              <w:t>Part 6, Division 3, subsection 136(3)</w:t>
            </w:r>
          </w:p>
        </w:tc>
        <w:tc>
          <w:tcPr>
            <w:tcW w:w="1980" w:type="dxa"/>
          </w:tcPr>
          <w:p w14:paraId="43954782" w14:textId="77777777" w:rsidR="00DC2B54" w:rsidRDefault="00DC2B54" w:rsidP="00DC2B54">
            <w:pPr>
              <w:pStyle w:val="tabletext"/>
            </w:pPr>
            <w:r>
              <w:t>7.37</w:t>
            </w:r>
          </w:p>
        </w:tc>
      </w:tr>
      <w:tr w:rsidR="00DC2B54" w:rsidRPr="00231CBA" w14:paraId="132DB289" w14:textId="77777777" w:rsidTr="00DC2B54">
        <w:trPr>
          <w:cantSplit/>
          <w:tblHeader/>
        </w:trPr>
        <w:tc>
          <w:tcPr>
            <w:tcW w:w="5760" w:type="dxa"/>
          </w:tcPr>
          <w:p w14:paraId="01DAF48A" w14:textId="77777777" w:rsidR="00DC2B54" w:rsidRDefault="00DC2B54" w:rsidP="00DC2B54">
            <w:pPr>
              <w:pStyle w:val="tabletext"/>
            </w:pPr>
            <w:r>
              <w:t>Part 6, Division 3, subsection 136(4)</w:t>
            </w:r>
          </w:p>
        </w:tc>
        <w:tc>
          <w:tcPr>
            <w:tcW w:w="1980" w:type="dxa"/>
          </w:tcPr>
          <w:p w14:paraId="47E40F59" w14:textId="77777777" w:rsidR="00DC2B54" w:rsidRDefault="00DC2B54" w:rsidP="00DC2B54">
            <w:pPr>
              <w:pStyle w:val="tabletext"/>
            </w:pPr>
            <w:r>
              <w:t>7.38</w:t>
            </w:r>
          </w:p>
        </w:tc>
      </w:tr>
      <w:tr w:rsidR="00DC2B54" w:rsidRPr="00231CBA" w14:paraId="4D5D0176" w14:textId="77777777" w:rsidTr="00DC2B54">
        <w:trPr>
          <w:cantSplit/>
          <w:tblHeader/>
        </w:trPr>
        <w:tc>
          <w:tcPr>
            <w:tcW w:w="5760" w:type="dxa"/>
          </w:tcPr>
          <w:p w14:paraId="5B26FD25" w14:textId="77777777" w:rsidR="00DC2B54" w:rsidRDefault="00DC2B54" w:rsidP="00DC2B54">
            <w:pPr>
              <w:pStyle w:val="tabletext"/>
            </w:pPr>
            <w:r>
              <w:t>Part 6, Division 3, subsection 137(1)</w:t>
            </w:r>
          </w:p>
        </w:tc>
        <w:tc>
          <w:tcPr>
            <w:tcW w:w="1980" w:type="dxa"/>
          </w:tcPr>
          <w:p w14:paraId="01CA6A4F" w14:textId="77777777" w:rsidR="00DC2B54" w:rsidRDefault="00DC2B54" w:rsidP="00DC2B54">
            <w:pPr>
              <w:pStyle w:val="tabletext"/>
            </w:pPr>
            <w:r>
              <w:t>7.39</w:t>
            </w:r>
          </w:p>
        </w:tc>
      </w:tr>
      <w:tr w:rsidR="00DC2B54" w:rsidRPr="00231CBA" w14:paraId="5B6A4BC7" w14:textId="77777777" w:rsidTr="00DC2B54">
        <w:trPr>
          <w:cantSplit/>
          <w:tblHeader/>
        </w:trPr>
        <w:tc>
          <w:tcPr>
            <w:tcW w:w="5760" w:type="dxa"/>
          </w:tcPr>
          <w:p w14:paraId="040DDE85" w14:textId="77777777" w:rsidR="00DC2B54" w:rsidRDefault="00DC2B54" w:rsidP="00DC2B54">
            <w:pPr>
              <w:pStyle w:val="tabletext"/>
            </w:pPr>
            <w:r>
              <w:t>Part 6, Division 3, subsections 137(2)</w:t>
            </w:r>
          </w:p>
        </w:tc>
        <w:tc>
          <w:tcPr>
            <w:tcW w:w="1980" w:type="dxa"/>
          </w:tcPr>
          <w:p w14:paraId="231E45D9" w14:textId="77777777" w:rsidR="00DC2B54" w:rsidRDefault="00DC2B54" w:rsidP="00DC2B54">
            <w:pPr>
              <w:pStyle w:val="tabletext"/>
            </w:pPr>
            <w:r>
              <w:t>7.40</w:t>
            </w:r>
          </w:p>
        </w:tc>
      </w:tr>
      <w:tr w:rsidR="00DC2B54" w:rsidRPr="00231CBA" w14:paraId="3579B8D6" w14:textId="77777777" w:rsidTr="00DC2B54">
        <w:trPr>
          <w:cantSplit/>
          <w:tblHeader/>
        </w:trPr>
        <w:tc>
          <w:tcPr>
            <w:tcW w:w="5760" w:type="dxa"/>
          </w:tcPr>
          <w:p w14:paraId="17EA091B" w14:textId="77777777" w:rsidR="00DC2B54" w:rsidRDefault="00DC2B54" w:rsidP="00DC2B54">
            <w:pPr>
              <w:pStyle w:val="tabletext"/>
            </w:pPr>
            <w:r>
              <w:t>Part 6, Division 3,  subsection 137(3)</w:t>
            </w:r>
          </w:p>
        </w:tc>
        <w:tc>
          <w:tcPr>
            <w:tcW w:w="1980" w:type="dxa"/>
          </w:tcPr>
          <w:p w14:paraId="086C154C" w14:textId="77777777" w:rsidR="00DC2B54" w:rsidRDefault="00DC2B54" w:rsidP="00DC2B54">
            <w:pPr>
              <w:pStyle w:val="tabletext"/>
            </w:pPr>
            <w:r>
              <w:t>7.41</w:t>
            </w:r>
          </w:p>
        </w:tc>
      </w:tr>
      <w:tr w:rsidR="00DC2B54" w:rsidRPr="00231CBA" w14:paraId="5C7C260E" w14:textId="77777777" w:rsidTr="00DC2B54">
        <w:trPr>
          <w:cantSplit/>
          <w:tblHeader/>
        </w:trPr>
        <w:tc>
          <w:tcPr>
            <w:tcW w:w="5760" w:type="dxa"/>
          </w:tcPr>
          <w:p w14:paraId="19B4B460" w14:textId="77777777" w:rsidR="00DC2B54" w:rsidRDefault="00DC2B54" w:rsidP="00DC2B54">
            <w:pPr>
              <w:pStyle w:val="tabletext"/>
            </w:pPr>
            <w:r>
              <w:t>Part 6, Division 3, section 138</w:t>
            </w:r>
          </w:p>
        </w:tc>
        <w:tc>
          <w:tcPr>
            <w:tcW w:w="1980" w:type="dxa"/>
          </w:tcPr>
          <w:p w14:paraId="4478770E" w14:textId="77777777" w:rsidR="00DC2B54" w:rsidRDefault="00DC2B54" w:rsidP="00DC2B54">
            <w:pPr>
              <w:pStyle w:val="tabletext"/>
            </w:pPr>
            <w:r>
              <w:t>7.42</w:t>
            </w:r>
          </w:p>
        </w:tc>
      </w:tr>
      <w:tr w:rsidR="00DC2B54" w:rsidRPr="00231CBA" w14:paraId="448563F0" w14:textId="77777777" w:rsidTr="00DC2B54">
        <w:trPr>
          <w:cantSplit/>
          <w:tblHeader/>
        </w:trPr>
        <w:tc>
          <w:tcPr>
            <w:tcW w:w="5760" w:type="dxa"/>
          </w:tcPr>
          <w:p w14:paraId="21CCDC5A" w14:textId="77777777" w:rsidR="00DC2B54" w:rsidRDefault="00DC2B54" w:rsidP="00DC2B54">
            <w:pPr>
              <w:pStyle w:val="tabletext"/>
            </w:pPr>
            <w:r>
              <w:t>Part 6, Division 3, section 139</w:t>
            </w:r>
          </w:p>
        </w:tc>
        <w:tc>
          <w:tcPr>
            <w:tcW w:w="1980" w:type="dxa"/>
          </w:tcPr>
          <w:p w14:paraId="4B2E2670" w14:textId="77777777" w:rsidR="00DC2B54" w:rsidRDefault="00DC2B54" w:rsidP="00DC2B54">
            <w:pPr>
              <w:pStyle w:val="tabletext"/>
            </w:pPr>
            <w:r>
              <w:t>7.43</w:t>
            </w:r>
          </w:p>
        </w:tc>
      </w:tr>
      <w:tr w:rsidR="00DC2B54" w:rsidRPr="00231CBA" w14:paraId="55E2442C" w14:textId="77777777" w:rsidTr="00DC2B54">
        <w:trPr>
          <w:cantSplit/>
          <w:tblHeader/>
        </w:trPr>
        <w:tc>
          <w:tcPr>
            <w:tcW w:w="5760" w:type="dxa"/>
          </w:tcPr>
          <w:p w14:paraId="4C57D271" w14:textId="77777777" w:rsidR="00DC2B54" w:rsidRDefault="00DC2B54" w:rsidP="00DC2B54">
            <w:pPr>
              <w:pStyle w:val="tabletext"/>
            </w:pPr>
            <w:r>
              <w:t>Part 6, Division 3, subsections 140(1) and (2)</w:t>
            </w:r>
          </w:p>
        </w:tc>
        <w:tc>
          <w:tcPr>
            <w:tcW w:w="1980" w:type="dxa"/>
          </w:tcPr>
          <w:p w14:paraId="6031143D" w14:textId="77777777" w:rsidR="00DC2B54" w:rsidRDefault="00DC2B54" w:rsidP="00DC2B54">
            <w:pPr>
              <w:pStyle w:val="tabletext"/>
            </w:pPr>
            <w:r>
              <w:t>7.44</w:t>
            </w:r>
          </w:p>
        </w:tc>
      </w:tr>
      <w:tr w:rsidR="00DC2B54" w:rsidRPr="00231CBA" w14:paraId="0CCD9B7C" w14:textId="77777777" w:rsidTr="00DC2B54">
        <w:trPr>
          <w:cantSplit/>
          <w:tblHeader/>
        </w:trPr>
        <w:tc>
          <w:tcPr>
            <w:tcW w:w="5760" w:type="dxa"/>
          </w:tcPr>
          <w:p w14:paraId="645E27EB" w14:textId="77777777" w:rsidR="00DC2B54" w:rsidRDefault="00DC2B54" w:rsidP="00DC2B54">
            <w:pPr>
              <w:pStyle w:val="tabletext"/>
            </w:pPr>
            <w:r>
              <w:t>Part 6, Division 3, subsection 140(3)</w:t>
            </w:r>
          </w:p>
        </w:tc>
        <w:tc>
          <w:tcPr>
            <w:tcW w:w="1980" w:type="dxa"/>
          </w:tcPr>
          <w:p w14:paraId="0B2E5DB5" w14:textId="77777777" w:rsidR="00DC2B54" w:rsidRDefault="00DC2B54" w:rsidP="00DC2B54">
            <w:pPr>
              <w:pStyle w:val="tabletext"/>
            </w:pPr>
            <w:r>
              <w:t>7.45</w:t>
            </w:r>
          </w:p>
        </w:tc>
      </w:tr>
      <w:tr w:rsidR="00DC2B54" w:rsidRPr="00231CBA" w14:paraId="1FE53EBA" w14:textId="77777777" w:rsidTr="00DC2B54">
        <w:trPr>
          <w:cantSplit/>
          <w:tblHeader/>
        </w:trPr>
        <w:tc>
          <w:tcPr>
            <w:tcW w:w="5760" w:type="dxa"/>
          </w:tcPr>
          <w:p w14:paraId="46D29666" w14:textId="77777777" w:rsidR="00DC2B54" w:rsidRDefault="00DC2B54" w:rsidP="00DC2B54">
            <w:pPr>
              <w:pStyle w:val="tabletext"/>
            </w:pPr>
            <w:r>
              <w:t>Part 6, Division 3, section 141</w:t>
            </w:r>
          </w:p>
        </w:tc>
        <w:tc>
          <w:tcPr>
            <w:tcW w:w="1980" w:type="dxa"/>
          </w:tcPr>
          <w:p w14:paraId="17E0A34B" w14:textId="77777777" w:rsidR="00DC2B54" w:rsidRDefault="00DC2B54" w:rsidP="00DC2B54">
            <w:pPr>
              <w:pStyle w:val="tabletext"/>
            </w:pPr>
            <w:r>
              <w:t>7.46</w:t>
            </w:r>
          </w:p>
        </w:tc>
      </w:tr>
      <w:tr w:rsidR="00DC2B54" w:rsidRPr="00231CBA" w14:paraId="5AAEB876" w14:textId="77777777" w:rsidTr="00DC2B54">
        <w:trPr>
          <w:cantSplit/>
          <w:tblHeader/>
        </w:trPr>
        <w:tc>
          <w:tcPr>
            <w:tcW w:w="5760" w:type="dxa"/>
          </w:tcPr>
          <w:p w14:paraId="38A42E2D" w14:textId="77777777" w:rsidR="00DC2B54" w:rsidRDefault="00DC2B54" w:rsidP="00DC2B54">
            <w:pPr>
              <w:pStyle w:val="tabletext"/>
            </w:pPr>
            <w:r>
              <w:t>Part 6, Division 3, subsection 142(1)</w:t>
            </w:r>
          </w:p>
        </w:tc>
        <w:tc>
          <w:tcPr>
            <w:tcW w:w="1980" w:type="dxa"/>
          </w:tcPr>
          <w:p w14:paraId="0D8C4E91" w14:textId="77777777" w:rsidR="00DC2B54" w:rsidRDefault="00DC2B54" w:rsidP="00DC2B54">
            <w:pPr>
              <w:pStyle w:val="tabletext"/>
            </w:pPr>
            <w:r>
              <w:t>7.47</w:t>
            </w:r>
          </w:p>
        </w:tc>
      </w:tr>
      <w:tr w:rsidR="00DC2B54" w:rsidRPr="00231CBA" w14:paraId="2279A8CF" w14:textId="77777777" w:rsidTr="00DC2B54">
        <w:trPr>
          <w:cantSplit/>
          <w:tblHeader/>
        </w:trPr>
        <w:tc>
          <w:tcPr>
            <w:tcW w:w="5760" w:type="dxa"/>
          </w:tcPr>
          <w:p w14:paraId="7BE77203" w14:textId="77777777" w:rsidR="00DC2B54" w:rsidRDefault="00DC2B54" w:rsidP="00DC2B54">
            <w:pPr>
              <w:pStyle w:val="tabletext"/>
            </w:pPr>
            <w:r>
              <w:t>Part 6, Division 3, subsection 142(2)</w:t>
            </w:r>
          </w:p>
        </w:tc>
        <w:tc>
          <w:tcPr>
            <w:tcW w:w="1980" w:type="dxa"/>
          </w:tcPr>
          <w:p w14:paraId="790DD38C" w14:textId="77777777" w:rsidR="00DC2B54" w:rsidRDefault="00DC2B54" w:rsidP="00DC2B54">
            <w:pPr>
              <w:pStyle w:val="tabletext"/>
            </w:pPr>
            <w:r>
              <w:t>7.48</w:t>
            </w:r>
          </w:p>
        </w:tc>
      </w:tr>
      <w:tr w:rsidR="00DC2B54" w:rsidRPr="00231CBA" w14:paraId="7374820D" w14:textId="77777777" w:rsidTr="00DC2B54">
        <w:trPr>
          <w:cantSplit/>
          <w:tblHeader/>
        </w:trPr>
        <w:tc>
          <w:tcPr>
            <w:tcW w:w="5760" w:type="dxa"/>
          </w:tcPr>
          <w:p w14:paraId="304DC5EC" w14:textId="77777777" w:rsidR="00DC2B54" w:rsidRDefault="00DC2B54" w:rsidP="00DC2B54">
            <w:pPr>
              <w:pStyle w:val="tabletext"/>
            </w:pPr>
            <w:r>
              <w:t>Part 6, Division 3, subsection 143(1)</w:t>
            </w:r>
          </w:p>
        </w:tc>
        <w:tc>
          <w:tcPr>
            <w:tcW w:w="1980" w:type="dxa"/>
          </w:tcPr>
          <w:p w14:paraId="32AEB578" w14:textId="77777777" w:rsidR="00DC2B54" w:rsidRDefault="00DC2B54" w:rsidP="00DC2B54">
            <w:pPr>
              <w:pStyle w:val="tabletext"/>
            </w:pPr>
            <w:r>
              <w:t>7.49</w:t>
            </w:r>
          </w:p>
        </w:tc>
      </w:tr>
      <w:tr w:rsidR="00DC2B54" w:rsidRPr="00231CBA" w14:paraId="5D686C5B" w14:textId="77777777" w:rsidTr="00DC2B54">
        <w:trPr>
          <w:cantSplit/>
          <w:tblHeader/>
        </w:trPr>
        <w:tc>
          <w:tcPr>
            <w:tcW w:w="5760" w:type="dxa"/>
          </w:tcPr>
          <w:p w14:paraId="57AE152C" w14:textId="77777777" w:rsidR="00DC2B54" w:rsidRDefault="00DC2B54" w:rsidP="00DC2B54">
            <w:pPr>
              <w:pStyle w:val="tabletext"/>
            </w:pPr>
            <w:r>
              <w:t>Part 6, Division 3, subsections 143(2), (3)and (4)</w:t>
            </w:r>
          </w:p>
        </w:tc>
        <w:tc>
          <w:tcPr>
            <w:tcW w:w="1980" w:type="dxa"/>
          </w:tcPr>
          <w:p w14:paraId="4C6F1AEA" w14:textId="77777777" w:rsidR="00DC2B54" w:rsidRDefault="00DC2B54" w:rsidP="00DC2B54">
            <w:pPr>
              <w:pStyle w:val="tabletext"/>
            </w:pPr>
            <w:r>
              <w:t>7.50</w:t>
            </w:r>
          </w:p>
        </w:tc>
      </w:tr>
      <w:tr w:rsidR="00DC2B54" w:rsidRPr="00231CBA" w14:paraId="0F506DD0" w14:textId="77777777" w:rsidTr="00DC2B54">
        <w:trPr>
          <w:cantSplit/>
          <w:tblHeader/>
        </w:trPr>
        <w:tc>
          <w:tcPr>
            <w:tcW w:w="5760" w:type="dxa"/>
          </w:tcPr>
          <w:p w14:paraId="0A11C7BD" w14:textId="77777777" w:rsidR="00DC2B54" w:rsidRDefault="00DC2B54" w:rsidP="00DC2B54">
            <w:pPr>
              <w:pStyle w:val="tabletext"/>
            </w:pPr>
            <w:r>
              <w:t>Part 6, Division 3, subsections 144(1) and (2)</w:t>
            </w:r>
          </w:p>
        </w:tc>
        <w:tc>
          <w:tcPr>
            <w:tcW w:w="1980" w:type="dxa"/>
          </w:tcPr>
          <w:p w14:paraId="6728479E" w14:textId="77777777" w:rsidR="00DC2B54" w:rsidRDefault="00DC2B54" w:rsidP="00DC2B54">
            <w:pPr>
              <w:pStyle w:val="tabletext"/>
            </w:pPr>
            <w:r>
              <w:t>7.51</w:t>
            </w:r>
          </w:p>
        </w:tc>
      </w:tr>
      <w:tr w:rsidR="00DC2B54" w:rsidRPr="00231CBA" w14:paraId="44F8C969" w14:textId="77777777" w:rsidTr="00DC2B54">
        <w:trPr>
          <w:cantSplit/>
          <w:tblHeader/>
        </w:trPr>
        <w:tc>
          <w:tcPr>
            <w:tcW w:w="5760" w:type="dxa"/>
          </w:tcPr>
          <w:p w14:paraId="1B91903E" w14:textId="77777777" w:rsidR="00DC2B54" w:rsidRDefault="00DC2B54" w:rsidP="00DC2B54">
            <w:pPr>
              <w:pStyle w:val="tabletext"/>
            </w:pPr>
            <w:r>
              <w:t>Part 6, Division 3, subsection 144(3)</w:t>
            </w:r>
          </w:p>
        </w:tc>
        <w:tc>
          <w:tcPr>
            <w:tcW w:w="1980" w:type="dxa"/>
          </w:tcPr>
          <w:p w14:paraId="3A575F88" w14:textId="77777777" w:rsidR="00DC2B54" w:rsidRDefault="00DC2B54" w:rsidP="00DC2B54">
            <w:pPr>
              <w:pStyle w:val="tabletext"/>
            </w:pPr>
            <w:r>
              <w:t>7.52</w:t>
            </w:r>
          </w:p>
        </w:tc>
      </w:tr>
      <w:tr w:rsidR="00DC2B54" w:rsidRPr="00231CBA" w14:paraId="3101D90B" w14:textId="77777777" w:rsidTr="00DC2B54">
        <w:trPr>
          <w:cantSplit/>
          <w:tblHeader/>
        </w:trPr>
        <w:tc>
          <w:tcPr>
            <w:tcW w:w="5760" w:type="dxa"/>
          </w:tcPr>
          <w:p w14:paraId="1753954B" w14:textId="77777777" w:rsidR="00DC2B54" w:rsidRDefault="00DC2B54" w:rsidP="00DC2B54">
            <w:pPr>
              <w:pStyle w:val="tabletext"/>
            </w:pPr>
            <w:r>
              <w:t>Part 6, Division 3, subsection 144(4)</w:t>
            </w:r>
          </w:p>
        </w:tc>
        <w:tc>
          <w:tcPr>
            <w:tcW w:w="1980" w:type="dxa"/>
          </w:tcPr>
          <w:p w14:paraId="7C93110B" w14:textId="77777777" w:rsidR="00DC2B54" w:rsidRDefault="00DC2B54" w:rsidP="00DC2B54">
            <w:pPr>
              <w:pStyle w:val="tabletext"/>
            </w:pPr>
            <w:r>
              <w:t>7.53</w:t>
            </w:r>
          </w:p>
        </w:tc>
      </w:tr>
      <w:tr w:rsidR="00DC2B54" w:rsidRPr="00231CBA" w14:paraId="1EC60D4E" w14:textId="77777777" w:rsidTr="00DC2B54">
        <w:trPr>
          <w:cantSplit/>
          <w:tblHeader/>
        </w:trPr>
        <w:tc>
          <w:tcPr>
            <w:tcW w:w="5760" w:type="dxa"/>
          </w:tcPr>
          <w:p w14:paraId="2EF05330" w14:textId="77777777" w:rsidR="00DC2B54" w:rsidRDefault="00DC2B54" w:rsidP="00DC2B54">
            <w:pPr>
              <w:pStyle w:val="tabletext"/>
            </w:pPr>
            <w:r>
              <w:t>Part 6, Division 3, section 145</w:t>
            </w:r>
          </w:p>
        </w:tc>
        <w:tc>
          <w:tcPr>
            <w:tcW w:w="1980" w:type="dxa"/>
          </w:tcPr>
          <w:p w14:paraId="54B42A42" w14:textId="77777777" w:rsidR="00DC2B54" w:rsidRDefault="00DC2B54" w:rsidP="00DC2B54">
            <w:pPr>
              <w:pStyle w:val="tabletext"/>
            </w:pPr>
            <w:r>
              <w:t>7.54</w:t>
            </w:r>
          </w:p>
        </w:tc>
      </w:tr>
      <w:tr w:rsidR="00DC2B54" w:rsidRPr="00231CBA" w14:paraId="16D1E72F" w14:textId="77777777" w:rsidTr="00DC2B54">
        <w:trPr>
          <w:cantSplit/>
          <w:tblHeader/>
        </w:trPr>
        <w:tc>
          <w:tcPr>
            <w:tcW w:w="5760" w:type="dxa"/>
          </w:tcPr>
          <w:p w14:paraId="2EF92F52" w14:textId="77777777" w:rsidR="00DC2B54" w:rsidRDefault="00DC2B54" w:rsidP="00DC2B54">
            <w:pPr>
              <w:pStyle w:val="tabletext"/>
            </w:pPr>
            <w:r>
              <w:t>Part 6, Division 3, section 146</w:t>
            </w:r>
          </w:p>
        </w:tc>
        <w:tc>
          <w:tcPr>
            <w:tcW w:w="1980" w:type="dxa"/>
          </w:tcPr>
          <w:p w14:paraId="2899294B" w14:textId="77777777" w:rsidR="00DC2B54" w:rsidRDefault="00DC2B54" w:rsidP="00DC2B54">
            <w:pPr>
              <w:pStyle w:val="tabletext"/>
            </w:pPr>
            <w:r>
              <w:t>7.57</w:t>
            </w:r>
          </w:p>
        </w:tc>
      </w:tr>
      <w:tr w:rsidR="00DC2B54" w:rsidRPr="00231CBA" w14:paraId="0B2EEF76" w14:textId="77777777" w:rsidTr="00DC2B54">
        <w:trPr>
          <w:cantSplit/>
          <w:tblHeader/>
        </w:trPr>
        <w:tc>
          <w:tcPr>
            <w:tcW w:w="5760" w:type="dxa"/>
          </w:tcPr>
          <w:p w14:paraId="0D9EADC0" w14:textId="77777777" w:rsidR="00DC2B54" w:rsidRDefault="00DC2B54" w:rsidP="00DC2B54">
            <w:pPr>
              <w:pStyle w:val="tabletext"/>
            </w:pPr>
            <w:r>
              <w:t>Part 6, Division 3, subsection 147(1)</w:t>
            </w:r>
          </w:p>
        </w:tc>
        <w:tc>
          <w:tcPr>
            <w:tcW w:w="1980" w:type="dxa"/>
          </w:tcPr>
          <w:p w14:paraId="1B7C50A8" w14:textId="77777777" w:rsidR="00DC2B54" w:rsidRDefault="00DC2B54" w:rsidP="00DC2B54">
            <w:pPr>
              <w:pStyle w:val="tabletext"/>
            </w:pPr>
            <w:r>
              <w:t>7.58</w:t>
            </w:r>
          </w:p>
        </w:tc>
      </w:tr>
      <w:tr w:rsidR="00DC2B54" w:rsidRPr="00231CBA" w14:paraId="5EF71B4D" w14:textId="77777777" w:rsidTr="00DC2B54">
        <w:trPr>
          <w:cantSplit/>
          <w:tblHeader/>
        </w:trPr>
        <w:tc>
          <w:tcPr>
            <w:tcW w:w="5760" w:type="dxa"/>
          </w:tcPr>
          <w:p w14:paraId="22A53EB6" w14:textId="77777777" w:rsidR="00DC2B54" w:rsidRDefault="00DC2B54" w:rsidP="00DC2B54">
            <w:pPr>
              <w:pStyle w:val="tabletext"/>
            </w:pPr>
            <w:r>
              <w:t>Part 6, Division 3, subsection 147(2)</w:t>
            </w:r>
          </w:p>
        </w:tc>
        <w:tc>
          <w:tcPr>
            <w:tcW w:w="1980" w:type="dxa"/>
          </w:tcPr>
          <w:p w14:paraId="3863927A" w14:textId="77777777" w:rsidR="00DC2B54" w:rsidRDefault="00DC2B54" w:rsidP="00DC2B54">
            <w:pPr>
              <w:pStyle w:val="tabletext"/>
            </w:pPr>
            <w:r>
              <w:t>7.59</w:t>
            </w:r>
          </w:p>
        </w:tc>
      </w:tr>
      <w:tr w:rsidR="00DC2B54" w:rsidRPr="00231CBA" w14:paraId="3739A2C8" w14:textId="77777777" w:rsidTr="00DC2B54">
        <w:trPr>
          <w:cantSplit/>
          <w:tblHeader/>
        </w:trPr>
        <w:tc>
          <w:tcPr>
            <w:tcW w:w="5760" w:type="dxa"/>
          </w:tcPr>
          <w:p w14:paraId="48DF2FAA" w14:textId="77777777" w:rsidR="00DC2B54" w:rsidRDefault="00DC2B54" w:rsidP="00DC2B54">
            <w:pPr>
              <w:pStyle w:val="tabletext"/>
            </w:pPr>
            <w:r>
              <w:t>Part 6, Division 4, section 148</w:t>
            </w:r>
          </w:p>
        </w:tc>
        <w:tc>
          <w:tcPr>
            <w:tcW w:w="1980" w:type="dxa"/>
          </w:tcPr>
          <w:p w14:paraId="35346CAB" w14:textId="77777777" w:rsidR="00DC2B54" w:rsidRDefault="00DC2B54" w:rsidP="00DC2B54">
            <w:pPr>
              <w:pStyle w:val="tabletext"/>
            </w:pPr>
            <w:r>
              <w:t>7.60</w:t>
            </w:r>
          </w:p>
        </w:tc>
      </w:tr>
      <w:tr w:rsidR="00DC2B54" w:rsidRPr="00231CBA" w14:paraId="35E7C57F" w14:textId="77777777" w:rsidTr="00DC2B54">
        <w:trPr>
          <w:cantSplit/>
          <w:tblHeader/>
        </w:trPr>
        <w:tc>
          <w:tcPr>
            <w:tcW w:w="5760" w:type="dxa"/>
          </w:tcPr>
          <w:p w14:paraId="39269126" w14:textId="77777777" w:rsidR="00DC2B54" w:rsidRDefault="00DC2B54" w:rsidP="00DC2B54">
            <w:pPr>
              <w:pStyle w:val="tabletext"/>
            </w:pPr>
            <w:r>
              <w:t>Part 6, Division 4, subsection 149(1)</w:t>
            </w:r>
          </w:p>
        </w:tc>
        <w:tc>
          <w:tcPr>
            <w:tcW w:w="1980" w:type="dxa"/>
          </w:tcPr>
          <w:p w14:paraId="179B2504" w14:textId="77777777" w:rsidR="00DC2B54" w:rsidRDefault="00DC2B54" w:rsidP="00DC2B54">
            <w:pPr>
              <w:pStyle w:val="tabletext"/>
            </w:pPr>
            <w:r>
              <w:t>7.61</w:t>
            </w:r>
          </w:p>
        </w:tc>
      </w:tr>
      <w:tr w:rsidR="00DC2B54" w:rsidRPr="00231CBA" w14:paraId="705B85BA" w14:textId="77777777" w:rsidTr="00DC2B54">
        <w:trPr>
          <w:cantSplit/>
          <w:tblHeader/>
        </w:trPr>
        <w:tc>
          <w:tcPr>
            <w:tcW w:w="5760" w:type="dxa"/>
          </w:tcPr>
          <w:p w14:paraId="17907813" w14:textId="77777777" w:rsidR="00DC2B54" w:rsidRDefault="00DC2B54" w:rsidP="00DC2B54">
            <w:pPr>
              <w:pStyle w:val="tabletext"/>
            </w:pPr>
            <w:r>
              <w:t>Part 6, Division 4, subsection 149(2)</w:t>
            </w:r>
          </w:p>
        </w:tc>
        <w:tc>
          <w:tcPr>
            <w:tcW w:w="1980" w:type="dxa"/>
          </w:tcPr>
          <w:p w14:paraId="1C5B29B3" w14:textId="77777777" w:rsidR="00DC2B54" w:rsidRDefault="00DC2B54" w:rsidP="00DC2B54">
            <w:pPr>
              <w:pStyle w:val="tabletext"/>
            </w:pPr>
            <w:r>
              <w:t>7.62</w:t>
            </w:r>
          </w:p>
        </w:tc>
      </w:tr>
      <w:tr w:rsidR="00DC2B54" w:rsidRPr="00231CBA" w14:paraId="1D9BC418" w14:textId="77777777" w:rsidTr="00DC2B54">
        <w:trPr>
          <w:cantSplit/>
          <w:tblHeader/>
        </w:trPr>
        <w:tc>
          <w:tcPr>
            <w:tcW w:w="5760" w:type="dxa"/>
          </w:tcPr>
          <w:p w14:paraId="02261846" w14:textId="77777777" w:rsidR="00DC2B54" w:rsidRDefault="00DC2B54" w:rsidP="00DC2B54">
            <w:pPr>
              <w:pStyle w:val="tabletext"/>
            </w:pPr>
            <w:r>
              <w:t>Part 6, Division 4, section 150</w:t>
            </w:r>
          </w:p>
        </w:tc>
        <w:tc>
          <w:tcPr>
            <w:tcW w:w="1980" w:type="dxa"/>
          </w:tcPr>
          <w:p w14:paraId="0A7DF7E5" w14:textId="77777777" w:rsidR="00DC2B54" w:rsidRDefault="00DC2B54" w:rsidP="00DC2B54">
            <w:pPr>
              <w:pStyle w:val="tabletext"/>
            </w:pPr>
            <w:r>
              <w:t>7.64</w:t>
            </w:r>
          </w:p>
        </w:tc>
      </w:tr>
      <w:tr w:rsidR="00DC2B54" w:rsidRPr="00231CBA" w14:paraId="09259920" w14:textId="77777777" w:rsidTr="00DC2B54">
        <w:trPr>
          <w:cantSplit/>
          <w:tblHeader/>
        </w:trPr>
        <w:tc>
          <w:tcPr>
            <w:tcW w:w="5760" w:type="dxa"/>
          </w:tcPr>
          <w:p w14:paraId="7BBE8427" w14:textId="77777777" w:rsidR="00DC2B54" w:rsidRDefault="00DC2B54" w:rsidP="00DC2B54">
            <w:pPr>
              <w:pStyle w:val="tabletext"/>
            </w:pPr>
            <w:r>
              <w:t>Part 7, Division 1, section 151</w:t>
            </w:r>
          </w:p>
        </w:tc>
        <w:tc>
          <w:tcPr>
            <w:tcW w:w="1980" w:type="dxa"/>
          </w:tcPr>
          <w:p w14:paraId="56E0CD02" w14:textId="77777777" w:rsidR="00DC2B54" w:rsidRDefault="00DC2B54" w:rsidP="00DC2B54">
            <w:pPr>
              <w:pStyle w:val="tabletext"/>
            </w:pPr>
            <w:r>
              <w:t>8.4</w:t>
            </w:r>
          </w:p>
        </w:tc>
      </w:tr>
      <w:tr w:rsidR="00DC2B54" w:rsidRPr="00231CBA" w14:paraId="1D72B000" w14:textId="77777777" w:rsidTr="00DC2B54">
        <w:trPr>
          <w:cantSplit/>
          <w:tblHeader/>
        </w:trPr>
        <w:tc>
          <w:tcPr>
            <w:tcW w:w="5760" w:type="dxa"/>
          </w:tcPr>
          <w:p w14:paraId="02701A79" w14:textId="77777777" w:rsidR="00DC2B54" w:rsidRDefault="00DC2B54" w:rsidP="00DC2B54">
            <w:pPr>
              <w:pStyle w:val="tabletext"/>
            </w:pPr>
            <w:r>
              <w:t>Part 7, subsection 152(1)</w:t>
            </w:r>
          </w:p>
        </w:tc>
        <w:tc>
          <w:tcPr>
            <w:tcW w:w="1980" w:type="dxa"/>
          </w:tcPr>
          <w:p w14:paraId="21B45020" w14:textId="77777777" w:rsidR="00DC2B54" w:rsidRDefault="00DC2B54" w:rsidP="00DC2B54">
            <w:pPr>
              <w:pStyle w:val="tabletext"/>
            </w:pPr>
            <w:r>
              <w:t>8.5</w:t>
            </w:r>
          </w:p>
        </w:tc>
      </w:tr>
      <w:tr w:rsidR="00DC2B54" w:rsidRPr="00231CBA" w14:paraId="79F2DC8E" w14:textId="77777777" w:rsidTr="00DC2B54">
        <w:trPr>
          <w:cantSplit/>
          <w:tblHeader/>
        </w:trPr>
        <w:tc>
          <w:tcPr>
            <w:tcW w:w="5760" w:type="dxa"/>
          </w:tcPr>
          <w:p w14:paraId="53D6A858" w14:textId="77777777" w:rsidR="00DC2B54" w:rsidRDefault="00DC2B54" w:rsidP="00DC2B54">
            <w:pPr>
              <w:pStyle w:val="tabletext"/>
            </w:pPr>
            <w:r>
              <w:t>Part 7, subsection 152(2)</w:t>
            </w:r>
          </w:p>
        </w:tc>
        <w:tc>
          <w:tcPr>
            <w:tcW w:w="1980" w:type="dxa"/>
          </w:tcPr>
          <w:p w14:paraId="6D052895" w14:textId="77777777" w:rsidR="00DC2B54" w:rsidRDefault="00DC2B54" w:rsidP="00DC2B54">
            <w:pPr>
              <w:pStyle w:val="tabletext"/>
            </w:pPr>
            <w:r>
              <w:t>8.6</w:t>
            </w:r>
          </w:p>
        </w:tc>
      </w:tr>
      <w:tr w:rsidR="00DC2B54" w:rsidRPr="00231CBA" w14:paraId="70919598" w14:textId="77777777" w:rsidTr="00DC2B54">
        <w:trPr>
          <w:cantSplit/>
          <w:tblHeader/>
        </w:trPr>
        <w:tc>
          <w:tcPr>
            <w:tcW w:w="5760" w:type="dxa"/>
          </w:tcPr>
          <w:p w14:paraId="75041A4F" w14:textId="77777777" w:rsidR="00DC2B54" w:rsidRDefault="00DC2B54" w:rsidP="00DC2B54">
            <w:pPr>
              <w:pStyle w:val="tabletext"/>
            </w:pPr>
            <w:r>
              <w:t>Part 7, subsection 152(3)</w:t>
            </w:r>
          </w:p>
        </w:tc>
        <w:tc>
          <w:tcPr>
            <w:tcW w:w="1980" w:type="dxa"/>
          </w:tcPr>
          <w:p w14:paraId="39724A1A" w14:textId="77777777" w:rsidR="00DC2B54" w:rsidRDefault="00DC2B54" w:rsidP="00DC2B54">
            <w:pPr>
              <w:pStyle w:val="tabletext"/>
            </w:pPr>
            <w:r>
              <w:t>8.7</w:t>
            </w:r>
          </w:p>
        </w:tc>
      </w:tr>
      <w:tr w:rsidR="00DC2B54" w:rsidRPr="00231CBA" w14:paraId="27B64A23" w14:textId="77777777" w:rsidTr="00DC2B54">
        <w:trPr>
          <w:cantSplit/>
          <w:tblHeader/>
        </w:trPr>
        <w:tc>
          <w:tcPr>
            <w:tcW w:w="5760" w:type="dxa"/>
          </w:tcPr>
          <w:p w14:paraId="1C24D35E" w14:textId="77777777" w:rsidR="00DC2B54" w:rsidRDefault="00DC2B54" w:rsidP="00DC2B54">
            <w:pPr>
              <w:pStyle w:val="tabletext"/>
            </w:pPr>
            <w:r>
              <w:t>Part 7, subsection 152(4) and (5)</w:t>
            </w:r>
          </w:p>
        </w:tc>
        <w:tc>
          <w:tcPr>
            <w:tcW w:w="1980" w:type="dxa"/>
          </w:tcPr>
          <w:p w14:paraId="4BCD8D65" w14:textId="77777777" w:rsidR="00DC2B54" w:rsidRDefault="00DC2B54" w:rsidP="00DC2B54">
            <w:pPr>
              <w:pStyle w:val="tabletext"/>
            </w:pPr>
            <w:r>
              <w:t>8.8</w:t>
            </w:r>
          </w:p>
        </w:tc>
      </w:tr>
      <w:tr w:rsidR="00DC2B54" w:rsidRPr="00231CBA" w14:paraId="00A0AF05" w14:textId="77777777" w:rsidTr="00DC2B54">
        <w:trPr>
          <w:cantSplit/>
          <w:tblHeader/>
        </w:trPr>
        <w:tc>
          <w:tcPr>
            <w:tcW w:w="5760" w:type="dxa"/>
          </w:tcPr>
          <w:p w14:paraId="1746F084" w14:textId="77777777" w:rsidR="00DC2B54" w:rsidRDefault="00DC2B54" w:rsidP="00DC2B54">
            <w:pPr>
              <w:pStyle w:val="tabletext"/>
            </w:pPr>
            <w:r>
              <w:t>Part 8, Division 1, section 153</w:t>
            </w:r>
          </w:p>
        </w:tc>
        <w:tc>
          <w:tcPr>
            <w:tcW w:w="1980" w:type="dxa"/>
          </w:tcPr>
          <w:p w14:paraId="1785BC97" w14:textId="77777777" w:rsidR="00DC2B54" w:rsidRDefault="00DC2B54" w:rsidP="00DC2B54">
            <w:pPr>
              <w:pStyle w:val="tabletext"/>
            </w:pPr>
            <w:r>
              <w:t>9.5</w:t>
            </w:r>
          </w:p>
        </w:tc>
      </w:tr>
      <w:tr w:rsidR="00DC2B54" w:rsidRPr="00231CBA" w14:paraId="7F0F3880" w14:textId="77777777" w:rsidTr="00DC2B54">
        <w:trPr>
          <w:cantSplit/>
          <w:tblHeader/>
        </w:trPr>
        <w:tc>
          <w:tcPr>
            <w:tcW w:w="5760" w:type="dxa"/>
          </w:tcPr>
          <w:p w14:paraId="2F671534" w14:textId="77777777" w:rsidR="00DC2B54" w:rsidRDefault="00DC2B54" w:rsidP="00DC2B54">
            <w:pPr>
              <w:pStyle w:val="tabletext"/>
            </w:pPr>
            <w:r>
              <w:t>Part 8, subsection 154(1)</w:t>
            </w:r>
          </w:p>
        </w:tc>
        <w:tc>
          <w:tcPr>
            <w:tcW w:w="1980" w:type="dxa"/>
          </w:tcPr>
          <w:p w14:paraId="20A5432F" w14:textId="77777777" w:rsidR="00DC2B54" w:rsidRDefault="00DC2B54" w:rsidP="00DC2B54">
            <w:pPr>
              <w:pStyle w:val="tabletext"/>
            </w:pPr>
            <w:r>
              <w:t>9.6</w:t>
            </w:r>
          </w:p>
        </w:tc>
      </w:tr>
      <w:tr w:rsidR="00DC2B54" w:rsidRPr="00231CBA" w14:paraId="3C1A45C0" w14:textId="77777777" w:rsidTr="00DC2B54">
        <w:trPr>
          <w:cantSplit/>
          <w:tblHeader/>
        </w:trPr>
        <w:tc>
          <w:tcPr>
            <w:tcW w:w="5760" w:type="dxa"/>
          </w:tcPr>
          <w:p w14:paraId="05F78791" w14:textId="77777777" w:rsidR="00DC2B54" w:rsidRDefault="00DC2B54" w:rsidP="00DC2B54">
            <w:pPr>
              <w:pStyle w:val="tabletext"/>
            </w:pPr>
            <w:r>
              <w:t>Part 8, subsection 154(2)</w:t>
            </w:r>
          </w:p>
        </w:tc>
        <w:tc>
          <w:tcPr>
            <w:tcW w:w="1980" w:type="dxa"/>
          </w:tcPr>
          <w:p w14:paraId="041887B1" w14:textId="77777777" w:rsidR="00DC2B54" w:rsidRDefault="00DC2B54" w:rsidP="00DC2B54">
            <w:pPr>
              <w:pStyle w:val="tabletext"/>
            </w:pPr>
            <w:r>
              <w:t>9.7</w:t>
            </w:r>
          </w:p>
        </w:tc>
      </w:tr>
      <w:tr w:rsidR="00DC2B54" w:rsidRPr="00231CBA" w14:paraId="37511E20" w14:textId="77777777" w:rsidTr="00DC2B54">
        <w:trPr>
          <w:cantSplit/>
          <w:tblHeader/>
        </w:trPr>
        <w:tc>
          <w:tcPr>
            <w:tcW w:w="5760" w:type="dxa"/>
          </w:tcPr>
          <w:p w14:paraId="56F2B648" w14:textId="77777777" w:rsidR="00DC2B54" w:rsidRDefault="00DC2B54" w:rsidP="00DC2B54">
            <w:pPr>
              <w:pStyle w:val="tabletext"/>
            </w:pPr>
            <w:r>
              <w:t>Part 8, subsection 155(2)</w:t>
            </w:r>
          </w:p>
        </w:tc>
        <w:tc>
          <w:tcPr>
            <w:tcW w:w="1980" w:type="dxa"/>
          </w:tcPr>
          <w:p w14:paraId="3847D8B3" w14:textId="77777777" w:rsidR="00DC2B54" w:rsidRDefault="00DC2B54" w:rsidP="00DC2B54">
            <w:pPr>
              <w:pStyle w:val="tabletext"/>
            </w:pPr>
            <w:r>
              <w:t>9.9</w:t>
            </w:r>
          </w:p>
        </w:tc>
      </w:tr>
      <w:tr w:rsidR="00DC2B54" w:rsidRPr="00231CBA" w14:paraId="71B631AF" w14:textId="77777777" w:rsidTr="00DC2B54">
        <w:trPr>
          <w:cantSplit/>
          <w:tblHeader/>
        </w:trPr>
        <w:tc>
          <w:tcPr>
            <w:tcW w:w="5760" w:type="dxa"/>
          </w:tcPr>
          <w:p w14:paraId="3DFD75F6" w14:textId="77777777" w:rsidR="00DC2B54" w:rsidRDefault="00DC2B54" w:rsidP="00DC2B54">
            <w:pPr>
              <w:pStyle w:val="tabletext"/>
            </w:pPr>
            <w:r>
              <w:t>Part 8, subsection 155(3)</w:t>
            </w:r>
          </w:p>
        </w:tc>
        <w:tc>
          <w:tcPr>
            <w:tcW w:w="1980" w:type="dxa"/>
          </w:tcPr>
          <w:p w14:paraId="3FA32B05" w14:textId="77777777" w:rsidR="00DC2B54" w:rsidRDefault="00DC2B54" w:rsidP="00DC2B54">
            <w:pPr>
              <w:pStyle w:val="tabletext"/>
            </w:pPr>
            <w:r>
              <w:t>9.10</w:t>
            </w:r>
          </w:p>
        </w:tc>
      </w:tr>
      <w:tr w:rsidR="00DC2B54" w:rsidRPr="00231CBA" w14:paraId="4AC153F8" w14:textId="77777777" w:rsidTr="00DC2B54">
        <w:trPr>
          <w:cantSplit/>
          <w:tblHeader/>
        </w:trPr>
        <w:tc>
          <w:tcPr>
            <w:tcW w:w="5760" w:type="dxa"/>
          </w:tcPr>
          <w:p w14:paraId="759D02BA" w14:textId="77777777" w:rsidR="00DC2B54" w:rsidRDefault="00DC2B54" w:rsidP="00DC2B54">
            <w:pPr>
              <w:pStyle w:val="tabletext"/>
            </w:pPr>
            <w:r>
              <w:t>Part 8, subsection 156(1)</w:t>
            </w:r>
          </w:p>
        </w:tc>
        <w:tc>
          <w:tcPr>
            <w:tcW w:w="1980" w:type="dxa"/>
          </w:tcPr>
          <w:p w14:paraId="237E9907" w14:textId="77777777" w:rsidR="00DC2B54" w:rsidRDefault="00DC2B54" w:rsidP="00DC2B54">
            <w:pPr>
              <w:pStyle w:val="tabletext"/>
            </w:pPr>
            <w:r>
              <w:t>9.11</w:t>
            </w:r>
          </w:p>
        </w:tc>
      </w:tr>
      <w:tr w:rsidR="00DC2B54" w:rsidRPr="00231CBA" w14:paraId="775269EE" w14:textId="77777777" w:rsidTr="00DC2B54">
        <w:trPr>
          <w:cantSplit/>
          <w:tblHeader/>
        </w:trPr>
        <w:tc>
          <w:tcPr>
            <w:tcW w:w="5760" w:type="dxa"/>
          </w:tcPr>
          <w:p w14:paraId="75BF344C" w14:textId="77777777" w:rsidR="00DC2B54" w:rsidRDefault="00DC2B54" w:rsidP="00DC2B54">
            <w:pPr>
              <w:pStyle w:val="tabletext"/>
            </w:pPr>
            <w:r>
              <w:t>Part 8, subsection 156(2)</w:t>
            </w:r>
          </w:p>
        </w:tc>
        <w:tc>
          <w:tcPr>
            <w:tcW w:w="1980" w:type="dxa"/>
          </w:tcPr>
          <w:p w14:paraId="43463455" w14:textId="77777777" w:rsidR="00DC2B54" w:rsidRDefault="00DC2B54" w:rsidP="00DC2B54">
            <w:pPr>
              <w:pStyle w:val="tabletext"/>
            </w:pPr>
            <w:r>
              <w:t>9.12</w:t>
            </w:r>
          </w:p>
        </w:tc>
      </w:tr>
      <w:tr w:rsidR="00DC2B54" w:rsidRPr="00231CBA" w14:paraId="7D90F383" w14:textId="77777777" w:rsidTr="00DC2B54">
        <w:trPr>
          <w:cantSplit/>
          <w:tblHeader/>
        </w:trPr>
        <w:tc>
          <w:tcPr>
            <w:tcW w:w="5760" w:type="dxa"/>
          </w:tcPr>
          <w:p w14:paraId="2FB6D37C" w14:textId="77777777" w:rsidR="00DC2B54" w:rsidRDefault="00DC2B54" w:rsidP="00DC2B54">
            <w:pPr>
              <w:pStyle w:val="tabletext"/>
            </w:pPr>
            <w:r>
              <w:t>Part 8, subsection 156(3)</w:t>
            </w:r>
          </w:p>
        </w:tc>
        <w:tc>
          <w:tcPr>
            <w:tcW w:w="1980" w:type="dxa"/>
          </w:tcPr>
          <w:p w14:paraId="13DC17FD" w14:textId="77777777" w:rsidR="00DC2B54" w:rsidRDefault="00DC2B54" w:rsidP="00DC2B54">
            <w:pPr>
              <w:pStyle w:val="tabletext"/>
            </w:pPr>
            <w:r>
              <w:t>9.13</w:t>
            </w:r>
          </w:p>
        </w:tc>
      </w:tr>
      <w:tr w:rsidR="00DC2B54" w:rsidRPr="00231CBA" w14:paraId="134AF03A" w14:textId="77777777" w:rsidTr="00DC2B54">
        <w:trPr>
          <w:cantSplit/>
          <w:tblHeader/>
        </w:trPr>
        <w:tc>
          <w:tcPr>
            <w:tcW w:w="5760" w:type="dxa"/>
          </w:tcPr>
          <w:p w14:paraId="3CDAE80B" w14:textId="77777777" w:rsidR="00DC2B54" w:rsidRDefault="00DC2B54" w:rsidP="00DC2B54">
            <w:pPr>
              <w:pStyle w:val="tabletext"/>
            </w:pPr>
            <w:r>
              <w:t>Part 8, subsection 156(4)</w:t>
            </w:r>
          </w:p>
        </w:tc>
        <w:tc>
          <w:tcPr>
            <w:tcW w:w="1980" w:type="dxa"/>
          </w:tcPr>
          <w:p w14:paraId="3504C6CA" w14:textId="77777777" w:rsidR="00DC2B54" w:rsidRDefault="00DC2B54" w:rsidP="00DC2B54">
            <w:pPr>
              <w:pStyle w:val="tabletext"/>
            </w:pPr>
            <w:r>
              <w:t>9.14</w:t>
            </w:r>
          </w:p>
        </w:tc>
      </w:tr>
      <w:tr w:rsidR="00DC2B54" w:rsidRPr="00231CBA" w14:paraId="6E96C73E" w14:textId="77777777" w:rsidTr="00DC2B54">
        <w:trPr>
          <w:cantSplit/>
          <w:tblHeader/>
        </w:trPr>
        <w:tc>
          <w:tcPr>
            <w:tcW w:w="5760" w:type="dxa"/>
          </w:tcPr>
          <w:p w14:paraId="3CEEA76E" w14:textId="77777777" w:rsidR="00DC2B54" w:rsidRDefault="00DC2B54" w:rsidP="00DC2B54">
            <w:pPr>
              <w:pStyle w:val="tabletext"/>
            </w:pPr>
            <w:r>
              <w:t>Part 8, subsection 156(5)</w:t>
            </w:r>
          </w:p>
        </w:tc>
        <w:tc>
          <w:tcPr>
            <w:tcW w:w="1980" w:type="dxa"/>
          </w:tcPr>
          <w:p w14:paraId="2A99EFF1" w14:textId="77777777" w:rsidR="00DC2B54" w:rsidRDefault="00DC2B54" w:rsidP="00DC2B54">
            <w:pPr>
              <w:pStyle w:val="tabletext"/>
            </w:pPr>
            <w:r>
              <w:t>9.15</w:t>
            </w:r>
          </w:p>
        </w:tc>
      </w:tr>
      <w:tr w:rsidR="00DC2B54" w:rsidRPr="00231CBA" w14:paraId="4324270A" w14:textId="77777777" w:rsidTr="00DC2B54">
        <w:trPr>
          <w:cantSplit/>
          <w:tblHeader/>
        </w:trPr>
        <w:tc>
          <w:tcPr>
            <w:tcW w:w="5760" w:type="dxa"/>
          </w:tcPr>
          <w:p w14:paraId="2966756F" w14:textId="77777777" w:rsidR="00DC2B54" w:rsidRDefault="00DC2B54" w:rsidP="00DC2B54">
            <w:pPr>
              <w:pStyle w:val="tabletext"/>
            </w:pPr>
            <w:r>
              <w:t>Part 8, subsection 157(1)</w:t>
            </w:r>
          </w:p>
        </w:tc>
        <w:tc>
          <w:tcPr>
            <w:tcW w:w="1980" w:type="dxa"/>
          </w:tcPr>
          <w:p w14:paraId="5AB3E9FB" w14:textId="77777777" w:rsidR="00DC2B54" w:rsidRDefault="00DC2B54" w:rsidP="00DC2B54">
            <w:pPr>
              <w:pStyle w:val="tabletext"/>
            </w:pPr>
            <w:r>
              <w:t>9.17</w:t>
            </w:r>
          </w:p>
        </w:tc>
      </w:tr>
      <w:tr w:rsidR="00DC2B54" w:rsidRPr="00231CBA" w14:paraId="218A8587" w14:textId="77777777" w:rsidTr="00DC2B54">
        <w:trPr>
          <w:cantSplit/>
          <w:tblHeader/>
        </w:trPr>
        <w:tc>
          <w:tcPr>
            <w:tcW w:w="5760" w:type="dxa"/>
          </w:tcPr>
          <w:p w14:paraId="5CFA70D7" w14:textId="77777777" w:rsidR="00DC2B54" w:rsidRDefault="00DC2B54" w:rsidP="00DC2B54">
            <w:pPr>
              <w:pStyle w:val="tabletext"/>
            </w:pPr>
            <w:r>
              <w:t>Part 8, subsections 157(2) and (3)</w:t>
            </w:r>
          </w:p>
        </w:tc>
        <w:tc>
          <w:tcPr>
            <w:tcW w:w="1980" w:type="dxa"/>
          </w:tcPr>
          <w:p w14:paraId="0EC7C984" w14:textId="77777777" w:rsidR="00DC2B54" w:rsidRDefault="00DC2B54" w:rsidP="00DC2B54">
            <w:pPr>
              <w:pStyle w:val="tabletext"/>
            </w:pPr>
            <w:r>
              <w:t>9.18</w:t>
            </w:r>
          </w:p>
        </w:tc>
      </w:tr>
      <w:tr w:rsidR="00DC2B54" w:rsidRPr="00231CBA" w14:paraId="1526FB8A" w14:textId="77777777" w:rsidTr="00DC2B54">
        <w:trPr>
          <w:cantSplit/>
          <w:tblHeader/>
        </w:trPr>
        <w:tc>
          <w:tcPr>
            <w:tcW w:w="5760" w:type="dxa"/>
          </w:tcPr>
          <w:p w14:paraId="5A3144D6" w14:textId="77777777" w:rsidR="00DC2B54" w:rsidRDefault="00DC2B54" w:rsidP="00DC2B54">
            <w:pPr>
              <w:pStyle w:val="tabletext"/>
            </w:pPr>
            <w:r>
              <w:t>Part 8, section 158</w:t>
            </w:r>
          </w:p>
        </w:tc>
        <w:tc>
          <w:tcPr>
            <w:tcW w:w="1980" w:type="dxa"/>
          </w:tcPr>
          <w:p w14:paraId="2F2AB9CF" w14:textId="77777777" w:rsidR="00DC2B54" w:rsidRDefault="00DC2B54" w:rsidP="00DC2B54">
            <w:pPr>
              <w:pStyle w:val="tabletext"/>
            </w:pPr>
            <w:r>
              <w:t>9.19</w:t>
            </w:r>
          </w:p>
        </w:tc>
      </w:tr>
      <w:tr w:rsidR="00DC2B54" w:rsidRPr="00231CBA" w14:paraId="0D5BFD7F" w14:textId="77777777" w:rsidTr="00DC2B54">
        <w:trPr>
          <w:cantSplit/>
          <w:tblHeader/>
        </w:trPr>
        <w:tc>
          <w:tcPr>
            <w:tcW w:w="5760" w:type="dxa"/>
          </w:tcPr>
          <w:p w14:paraId="138C9F99" w14:textId="77777777" w:rsidR="00DC2B54" w:rsidRDefault="00DC2B54" w:rsidP="00DC2B54">
            <w:pPr>
              <w:pStyle w:val="tabletext"/>
            </w:pPr>
            <w:r>
              <w:t>Part 8, section 159</w:t>
            </w:r>
          </w:p>
        </w:tc>
        <w:tc>
          <w:tcPr>
            <w:tcW w:w="1980" w:type="dxa"/>
          </w:tcPr>
          <w:p w14:paraId="14D3687B" w14:textId="77777777" w:rsidR="00DC2B54" w:rsidRDefault="00DC2B54" w:rsidP="00DC2B54">
            <w:pPr>
              <w:pStyle w:val="tabletext"/>
            </w:pPr>
            <w:r>
              <w:t>9.20</w:t>
            </w:r>
          </w:p>
        </w:tc>
      </w:tr>
      <w:tr w:rsidR="00DC2B54" w:rsidRPr="00231CBA" w14:paraId="269CAAB7" w14:textId="77777777" w:rsidTr="00DC2B54">
        <w:trPr>
          <w:cantSplit/>
          <w:tblHeader/>
        </w:trPr>
        <w:tc>
          <w:tcPr>
            <w:tcW w:w="5760" w:type="dxa"/>
          </w:tcPr>
          <w:p w14:paraId="1D189734" w14:textId="77777777" w:rsidR="00DC2B54" w:rsidRDefault="00DC2B54" w:rsidP="00DC2B54">
            <w:pPr>
              <w:pStyle w:val="tabletext"/>
            </w:pPr>
            <w:r>
              <w:t>Part 8, section 160</w:t>
            </w:r>
          </w:p>
        </w:tc>
        <w:tc>
          <w:tcPr>
            <w:tcW w:w="1980" w:type="dxa"/>
          </w:tcPr>
          <w:p w14:paraId="536D63DB" w14:textId="77777777" w:rsidR="00DC2B54" w:rsidRDefault="00DC2B54" w:rsidP="00DC2B54">
            <w:pPr>
              <w:pStyle w:val="tabletext"/>
            </w:pPr>
            <w:r>
              <w:t>9.22</w:t>
            </w:r>
          </w:p>
        </w:tc>
      </w:tr>
      <w:tr w:rsidR="00DC2B54" w:rsidRPr="00231CBA" w14:paraId="0644DE1A" w14:textId="77777777" w:rsidTr="00DC2B54">
        <w:trPr>
          <w:cantSplit/>
          <w:tblHeader/>
        </w:trPr>
        <w:tc>
          <w:tcPr>
            <w:tcW w:w="5760" w:type="dxa"/>
          </w:tcPr>
          <w:p w14:paraId="634E065F" w14:textId="77777777" w:rsidR="00DC2B54" w:rsidRDefault="00DC2B54" w:rsidP="00DC2B54">
            <w:pPr>
              <w:pStyle w:val="tabletext"/>
            </w:pPr>
            <w:r>
              <w:t>Part 8, subsection 161(1)</w:t>
            </w:r>
          </w:p>
        </w:tc>
        <w:tc>
          <w:tcPr>
            <w:tcW w:w="1980" w:type="dxa"/>
          </w:tcPr>
          <w:p w14:paraId="435746D3" w14:textId="77777777" w:rsidR="00DC2B54" w:rsidRDefault="00DC2B54" w:rsidP="00DC2B54">
            <w:pPr>
              <w:pStyle w:val="tabletext"/>
            </w:pPr>
            <w:r>
              <w:t>9.23</w:t>
            </w:r>
          </w:p>
        </w:tc>
      </w:tr>
      <w:tr w:rsidR="00DC2B54" w:rsidRPr="00231CBA" w14:paraId="3A0F155A" w14:textId="77777777" w:rsidTr="00DC2B54">
        <w:trPr>
          <w:cantSplit/>
          <w:tblHeader/>
        </w:trPr>
        <w:tc>
          <w:tcPr>
            <w:tcW w:w="5760" w:type="dxa"/>
          </w:tcPr>
          <w:p w14:paraId="1B094FEF" w14:textId="77777777" w:rsidR="00DC2B54" w:rsidRDefault="00DC2B54" w:rsidP="00DC2B54">
            <w:pPr>
              <w:pStyle w:val="tabletext"/>
            </w:pPr>
            <w:r>
              <w:t>Part 8, subsection 161(2)</w:t>
            </w:r>
          </w:p>
        </w:tc>
        <w:tc>
          <w:tcPr>
            <w:tcW w:w="1980" w:type="dxa"/>
          </w:tcPr>
          <w:p w14:paraId="4F4C380C" w14:textId="77777777" w:rsidR="00DC2B54" w:rsidRDefault="00DC2B54" w:rsidP="00DC2B54">
            <w:pPr>
              <w:pStyle w:val="tabletext"/>
            </w:pPr>
            <w:r>
              <w:t>9.24</w:t>
            </w:r>
          </w:p>
        </w:tc>
      </w:tr>
      <w:tr w:rsidR="00DC2B54" w:rsidRPr="00231CBA" w14:paraId="1235D967" w14:textId="77777777" w:rsidTr="00DC2B54">
        <w:trPr>
          <w:cantSplit/>
          <w:tblHeader/>
        </w:trPr>
        <w:tc>
          <w:tcPr>
            <w:tcW w:w="5760" w:type="dxa"/>
          </w:tcPr>
          <w:p w14:paraId="6FB2F43C" w14:textId="77777777" w:rsidR="00DC2B54" w:rsidRDefault="00DC2B54" w:rsidP="00DC2B54">
            <w:pPr>
              <w:pStyle w:val="tabletext"/>
            </w:pPr>
            <w:r>
              <w:t>Part 8, section 162</w:t>
            </w:r>
          </w:p>
        </w:tc>
        <w:tc>
          <w:tcPr>
            <w:tcW w:w="1980" w:type="dxa"/>
          </w:tcPr>
          <w:p w14:paraId="3F509A22" w14:textId="77777777" w:rsidR="00DC2B54" w:rsidRDefault="00DC2B54" w:rsidP="00DC2B54">
            <w:pPr>
              <w:pStyle w:val="tabletext"/>
            </w:pPr>
            <w:r>
              <w:t>9.25</w:t>
            </w:r>
          </w:p>
        </w:tc>
      </w:tr>
      <w:tr w:rsidR="00DC2B54" w:rsidRPr="00231CBA" w14:paraId="50F6DB5C" w14:textId="77777777" w:rsidTr="00DC2B54">
        <w:trPr>
          <w:cantSplit/>
          <w:tblHeader/>
        </w:trPr>
        <w:tc>
          <w:tcPr>
            <w:tcW w:w="5760" w:type="dxa"/>
          </w:tcPr>
          <w:p w14:paraId="36E21019" w14:textId="77777777" w:rsidR="00DC2B54" w:rsidRDefault="00DC2B54" w:rsidP="00DC2B54">
            <w:pPr>
              <w:pStyle w:val="tabletext"/>
            </w:pPr>
            <w:r>
              <w:t>Part 8, section 163</w:t>
            </w:r>
          </w:p>
        </w:tc>
        <w:tc>
          <w:tcPr>
            <w:tcW w:w="1980" w:type="dxa"/>
          </w:tcPr>
          <w:p w14:paraId="19905418" w14:textId="77777777" w:rsidR="00DC2B54" w:rsidRDefault="00DC2B54" w:rsidP="00DC2B54">
            <w:pPr>
              <w:pStyle w:val="tabletext"/>
            </w:pPr>
            <w:r>
              <w:t>9.26, 9.27</w:t>
            </w:r>
          </w:p>
        </w:tc>
      </w:tr>
      <w:tr w:rsidR="00DC2B54" w:rsidRPr="00231CBA" w14:paraId="1A470ACB" w14:textId="77777777" w:rsidTr="00DC2B54">
        <w:trPr>
          <w:cantSplit/>
          <w:tblHeader/>
        </w:trPr>
        <w:tc>
          <w:tcPr>
            <w:tcW w:w="5760" w:type="dxa"/>
          </w:tcPr>
          <w:p w14:paraId="294A2C91" w14:textId="77777777" w:rsidR="00DC2B54" w:rsidRDefault="00DC2B54" w:rsidP="00DC2B54">
            <w:pPr>
              <w:pStyle w:val="tabletext"/>
            </w:pPr>
            <w:r>
              <w:t>Part 8, subsection 164(1)</w:t>
            </w:r>
          </w:p>
        </w:tc>
        <w:tc>
          <w:tcPr>
            <w:tcW w:w="1980" w:type="dxa"/>
          </w:tcPr>
          <w:p w14:paraId="1D9C8FD8" w14:textId="77777777" w:rsidR="00DC2B54" w:rsidRDefault="00DC2B54" w:rsidP="00DC2B54">
            <w:pPr>
              <w:pStyle w:val="tabletext"/>
            </w:pPr>
            <w:r>
              <w:t>9.28, 9.29</w:t>
            </w:r>
          </w:p>
        </w:tc>
      </w:tr>
      <w:tr w:rsidR="00DC2B54" w:rsidRPr="00231CBA" w14:paraId="4223D425" w14:textId="77777777" w:rsidTr="00DC2B54">
        <w:trPr>
          <w:cantSplit/>
          <w:tblHeader/>
        </w:trPr>
        <w:tc>
          <w:tcPr>
            <w:tcW w:w="5760" w:type="dxa"/>
          </w:tcPr>
          <w:p w14:paraId="3275BF80" w14:textId="77777777" w:rsidR="00DC2B54" w:rsidRDefault="00DC2B54" w:rsidP="00DC2B54">
            <w:pPr>
              <w:pStyle w:val="tabletext"/>
            </w:pPr>
            <w:r>
              <w:t>Part 8, subsection 164(3)</w:t>
            </w:r>
          </w:p>
        </w:tc>
        <w:tc>
          <w:tcPr>
            <w:tcW w:w="1980" w:type="dxa"/>
          </w:tcPr>
          <w:p w14:paraId="6A405C5A" w14:textId="77777777" w:rsidR="00DC2B54" w:rsidRDefault="00DC2B54" w:rsidP="00DC2B54">
            <w:pPr>
              <w:pStyle w:val="tabletext"/>
            </w:pPr>
            <w:r>
              <w:t>9.30</w:t>
            </w:r>
          </w:p>
        </w:tc>
      </w:tr>
      <w:tr w:rsidR="00DC2B54" w:rsidRPr="00231CBA" w14:paraId="5AD3AFED" w14:textId="77777777" w:rsidTr="00DC2B54">
        <w:trPr>
          <w:cantSplit/>
          <w:tblHeader/>
        </w:trPr>
        <w:tc>
          <w:tcPr>
            <w:tcW w:w="5760" w:type="dxa"/>
          </w:tcPr>
          <w:p w14:paraId="738E550C" w14:textId="77777777" w:rsidR="00DC2B54" w:rsidRDefault="00DC2B54" w:rsidP="00DC2B54">
            <w:pPr>
              <w:pStyle w:val="tabletext"/>
            </w:pPr>
            <w:r>
              <w:t>Part 8, subsection 164(4)</w:t>
            </w:r>
          </w:p>
        </w:tc>
        <w:tc>
          <w:tcPr>
            <w:tcW w:w="1980" w:type="dxa"/>
          </w:tcPr>
          <w:p w14:paraId="3661A3BF" w14:textId="77777777" w:rsidR="00DC2B54" w:rsidRDefault="00DC2B54" w:rsidP="00DC2B54">
            <w:pPr>
              <w:pStyle w:val="tabletext"/>
            </w:pPr>
            <w:r>
              <w:t>9.31</w:t>
            </w:r>
          </w:p>
        </w:tc>
      </w:tr>
      <w:tr w:rsidR="00DC2B54" w:rsidRPr="00231CBA" w14:paraId="6899BBEB" w14:textId="77777777" w:rsidTr="00DC2B54">
        <w:trPr>
          <w:cantSplit/>
          <w:tblHeader/>
        </w:trPr>
        <w:tc>
          <w:tcPr>
            <w:tcW w:w="5760" w:type="dxa"/>
          </w:tcPr>
          <w:p w14:paraId="0610F343" w14:textId="77777777" w:rsidR="00DC2B54" w:rsidRDefault="00DC2B54" w:rsidP="00DC2B54">
            <w:pPr>
              <w:pStyle w:val="tabletext"/>
            </w:pPr>
            <w:r>
              <w:t>Part 8, subsection 164(5)</w:t>
            </w:r>
          </w:p>
        </w:tc>
        <w:tc>
          <w:tcPr>
            <w:tcW w:w="1980" w:type="dxa"/>
          </w:tcPr>
          <w:p w14:paraId="535114D9" w14:textId="77777777" w:rsidR="00DC2B54" w:rsidRDefault="00DC2B54" w:rsidP="00DC2B54">
            <w:pPr>
              <w:pStyle w:val="tabletext"/>
            </w:pPr>
            <w:r>
              <w:t>9.32</w:t>
            </w:r>
          </w:p>
        </w:tc>
      </w:tr>
      <w:tr w:rsidR="00DC2B54" w:rsidRPr="00231CBA" w14:paraId="637D5D71" w14:textId="77777777" w:rsidTr="00DC2B54">
        <w:trPr>
          <w:cantSplit/>
          <w:tblHeader/>
        </w:trPr>
        <w:tc>
          <w:tcPr>
            <w:tcW w:w="5760" w:type="dxa"/>
          </w:tcPr>
          <w:p w14:paraId="6CCB2692" w14:textId="77777777" w:rsidR="00DC2B54" w:rsidRDefault="00DC2B54" w:rsidP="00DC2B54">
            <w:pPr>
              <w:pStyle w:val="tabletext"/>
            </w:pPr>
            <w:r>
              <w:t>Part 8, subsection 164(6)</w:t>
            </w:r>
          </w:p>
        </w:tc>
        <w:tc>
          <w:tcPr>
            <w:tcW w:w="1980" w:type="dxa"/>
          </w:tcPr>
          <w:p w14:paraId="4893A713" w14:textId="77777777" w:rsidR="00DC2B54" w:rsidRDefault="00DC2B54" w:rsidP="00DC2B54">
            <w:pPr>
              <w:pStyle w:val="tabletext"/>
            </w:pPr>
            <w:r>
              <w:t>9.33</w:t>
            </w:r>
          </w:p>
        </w:tc>
      </w:tr>
      <w:tr w:rsidR="00DC2B54" w:rsidRPr="00231CBA" w14:paraId="57453F80" w14:textId="77777777" w:rsidTr="00DC2B54">
        <w:trPr>
          <w:cantSplit/>
          <w:tblHeader/>
        </w:trPr>
        <w:tc>
          <w:tcPr>
            <w:tcW w:w="5760" w:type="dxa"/>
          </w:tcPr>
          <w:p w14:paraId="5B769436" w14:textId="77777777" w:rsidR="00DC2B54" w:rsidRDefault="00DC2B54" w:rsidP="00DC2B54">
            <w:pPr>
              <w:pStyle w:val="tabletext"/>
            </w:pPr>
            <w:r>
              <w:t>Part 9, section 165</w:t>
            </w:r>
          </w:p>
        </w:tc>
        <w:tc>
          <w:tcPr>
            <w:tcW w:w="1980" w:type="dxa"/>
          </w:tcPr>
          <w:p w14:paraId="6F20C57D" w14:textId="77777777" w:rsidR="00DC2B54" w:rsidRDefault="00DC2B54" w:rsidP="00DC2B54">
            <w:pPr>
              <w:pStyle w:val="tabletext"/>
            </w:pPr>
            <w:r>
              <w:t>10.3</w:t>
            </w:r>
          </w:p>
        </w:tc>
      </w:tr>
      <w:tr w:rsidR="00DC2B54" w:rsidRPr="00231CBA" w14:paraId="6E9E8F2E" w14:textId="77777777" w:rsidTr="00DC2B54">
        <w:trPr>
          <w:cantSplit/>
          <w:tblHeader/>
        </w:trPr>
        <w:tc>
          <w:tcPr>
            <w:tcW w:w="5760" w:type="dxa"/>
          </w:tcPr>
          <w:p w14:paraId="16A1EB58" w14:textId="77777777" w:rsidR="00DC2B54" w:rsidRDefault="00DC2B54" w:rsidP="00DC2B54">
            <w:pPr>
              <w:pStyle w:val="tabletext"/>
            </w:pPr>
            <w:r>
              <w:t>Part 9, section 166</w:t>
            </w:r>
          </w:p>
        </w:tc>
        <w:tc>
          <w:tcPr>
            <w:tcW w:w="1980" w:type="dxa"/>
          </w:tcPr>
          <w:p w14:paraId="5CCE3A47" w14:textId="77777777" w:rsidR="00DC2B54" w:rsidRDefault="00DC2B54" w:rsidP="00DC2B54">
            <w:pPr>
              <w:pStyle w:val="tabletext"/>
            </w:pPr>
            <w:r>
              <w:t>10.4</w:t>
            </w:r>
          </w:p>
        </w:tc>
      </w:tr>
      <w:tr w:rsidR="00DC2B54" w:rsidRPr="00231CBA" w14:paraId="4638B88C" w14:textId="77777777" w:rsidTr="00DC2B54">
        <w:trPr>
          <w:cantSplit/>
          <w:tblHeader/>
        </w:trPr>
        <w:tc>
          <w:tcPr>
            <w:tcW w:w="5760" w:type="dxa"/>
          </w:tcPr>
          <w:p w14:paraId="53E7CC4C" w14:textId="77777777" w:rsidR="00DC2B54" w:rsidRDefault="00DC2B54" w:rsidP="00DC2B54">
            <w:pPr>
              <w:pStyle w:val="tabletext"/>
            </w:pPr>
            <w:r>
              <w:t>Part 9, subsections 166(1) (2) and (3)</w:t>
            </w:r>
          </w:p>
        </w:tc>
        <w:tc>
          <w:tcPr>
            <w:tcW w:w="1980" w:type="dxa"/>
          </w:tcPr>
          <w:p w14:paraId="7E9571B9" w14:textId="77777777" w:rsidR="00DC2B54" w:rsidRDefault="00DC2B54" w:rsidP="00DC2B54">
            <w:pPr>
              <w:pStyle w:val="tabletext"/>
            </w:pPr>
            <w:r>
              <w:t>10.5</w:t>
            </w:r>
          </w:p>
        </w:tc>
      </w:tr>
      <w:tr w:rsidR="00DC2B54" w:rsidRPr="00231CBA" w14:paraId="7F3D01EB" w14:textId="77777777" w:rsidTr="00DC2B54">
        <w:trPr>
          <w:cantSplit/>
          <w:tblHeader/>
        </w:trPr>
        <w:tc>
          <w:tcPr>
            <w:tcW w:w="5760" w:type="dxa"/>
          </w:tcPr>
          <w:p w14:paraId="090CB3E5" w14:textId="77777777" w:rsidR="00DC2B54" w:rsidRDefault="00DC2B54" w:rsidP="00DC2B54">
            <w:pPr>
              <w:pStyle w:val="tabletext"/>
            </w:pPr>
            <w:r>
              <w:t>Part 9, subsection 167(1)</w:t>
            </w:r>
          </w:p>
        </w:tc>
        <w:tc>
          <w:tcPr>
            <w:tcW w:w="1980" w:type="dxa"/>
          </w:tcPr>
          <w:p w14:paraId="475E1449" w14:textId="08B958C5" w:rsidR="00DC2B54" w:rsidRDefault="00DC2B54" w:rsidP="002B2EDD">
            <w:pPr>
              <w:pStyle w:val="tabletext"/>
            </w:pPr>
            <w:r>
              <w:t>10.</w:t>
            </w:r>
            <w:r w:rsidR="002B2EDD">
              <w:t>7</w:t>
            </w:r>
          </w:p>
        </w:tc>
      </w:tr>
      <w:tr w:rsidR="00DC2B54" w:rsidRPr="00231CBA" w14:paraId="07EE61BE" w14:textId="77777777" w:rsidTr="00DC2B54">
        <w:trPr>
          <w:cantSplit/>
          <w:tblHeader/>
        </w:trPr>
        <w:tc>
          <w:tcPr>
            <w:tcW w:w="5760" w:type="dxa"/>
          </w:tcPr>
          <w:p w14:paraId="627F868F" w14:textId="77777777" w:rsidR="00DC2B54" w:rsidRDefault="00DC2B54" w:rsidP="00DC2B54">
            <w:pPr>
              <w:pStyle w:val="tabletext"/>
            </w:pPr>
            <w:r>
              <w:t>Part 9, subsection 167(2)</w:t>
            </w:r>
          </w:p>
        </w:tc>
        <w:tc>
          <w:tcPr>
            <w:tcW w:w="1980" w:type="dxa"/>
          </w:tcPr>
          <w:p w14:paraId="515A1542" w14:textId="498F3EAE" w:rsidR="00DC2B54" w:rsidRDefault="00DC2B54" w:rsidP="002B2EDD">
            <w:pPr>
              <w:pStyle w:val="tabletext"/>
            </w:pPr>
            <w:r>
              <w:t>10.</w:t>
            </w:r>
            <w:r w:rsidR="002B2EDD">
              <w:t>8</w:t>
            </w:r>
          </w:p>
        </w:tc>
      </w:tr>
      <w:tr w:rsidR="00DC2B54" w:rsidRPr="00231CBA" w14:paraId="2ACB9597" w14:textId="77777777" w:rsidTr="00DC2B54">
        <w:trPr>
          <w:cantSplit/>
          <w:tblHeader/>
        </w:trPr>
        <w:tc>
          <w:tcPr>
            <w:tcW w:w="5760" w:type="dxa"/>
          </w:tcPr>
          <w:p w14:paraId="5F28648D" w14:textId="77777777" w:rsidR="00DC2B54" w:rsidRDefault="00DC2B54" w:rsidP="00DC2B54">
            <w:pPr>
              <w:pStyle w:val="tabletext"/>
            </w:pPr>
            <w:r>
              <w:t>Part 9, section 168</w:t>
            </w:r>
          </w:p>
        </w:tc>
        <w:tc>
          <w:tcPr>
            <w:tcW w:w="1980" w:type="dxa"/>
          </w:tcPr>
          <w:p w14:paraId="2BA66DB5" w14:textId="17646D22" w:rsidR="00DC2B54" w:rsidRDefault="00DC2B54" w:rsidP="002B2EDD">
            <w:pPr>
              <w:pStyle w:val="tabletext"/>
            </w:pPr>
            <w:r>
              <w:t>10.</w:t>
            </w:r>
            <w:r w:rsidR="002B2EDD">
              <w:t>14</w:t>
            </w:r>
          </w:p>
        </w:tc>
      </w:tr>
      <w:tr w:rsidR="00DC2B54" w:rsidRPr="00231CBA" w14:paraId="2DE260AE" w14:textId="77777777" w:rsidTr="00DC2B54">
        <w:trPr>
          <w:cantSplit/>
          <w:tblHeader/>
        </w:trPr>
        <w:tc>
          <w:tcPr>
            <w:tcW w:w="5760" w:type="dxa"/>
          </w:tcPr>
          <w:p w14:paraId="5F369DB7" w14:textId="77777777" w:rsidR="00DC2B54" w:rsidRDefault="00DC2B54" w:rsidP="00DC2B54">
            <w:pPr>
              <w:pStyle w:val="tabletext"/>
            </w:pPr>
            <w:r>
              <w:t>Part 9, subsection 168(2)</w:t>
            </w:r>
          </w:p>
        </w:tc>
        <w:tc>
          <w:tcPr>
            <w:tcW w:w="1980" w:type="dxa"/>
          </w:tcPr>
          <w:p w14:paraId="4D4D69D8" w14:textId="6C9BCDB7" w:rsidR="00DC2B54" w:rsidRDefault="00DC2B54" w:rsidP="00DC2B54">
            <w:pPr>
              <w:pStyle w:val="tabletext"/>
            </w:pPr>
            <w:r>
              <w:t>10.</w:t>
            </w:r>
            <w:r w:rsidR="002B2EDD">
              <w:t>15</w:t>
            </w:r>
          </w:p>
        </w:tc>
      </w:tr>
      <w:tr w:rsidR="00DC2B54" w:rsidRPr="00231CBA" w14:paraId="4505DF45" w14:textId="77777777" w:rsidTr="00DC2B54">
        <w:trPr>
          <w:cantSplit/>
          <w:tblHeader/>
        </w:trPr>
        <w:tc>
          <w:tcPr>
            <w:tcW w:w="5760" w:type="dxa"/>
          </w:tcPr>
          <w:p w14:paraId="60A3CB8D" w14:textId="77777777" w:rsidR="00DC2B54" w:rsidRDefault="00DC2B54" w:rsidP="00DC2B54">
            <w:pPr>
              <w:pStyle w:val="tabletext"/>
            </w:pPr>
            <w:r>
              <w:t>Part 9, subsection 168(7)</w:t>
            </w:r>
          </w:p>
        </w:tc>
        <w:tc>
          <w:tcPr>
            <w:tcW w:w="1980" w:type="dxa"/>
          </w:tcPr>
          <w:p w14:paraId="06C4BFFC" w14:textId="302FE2D7" w:rsidR="00DC2B54" w:rsidRDefault="00DC2B54" w:rsidP="00DC2B54">
            <w:pPr>
              <w:pStyle w:val="tabletext"/>
            </w:pPr>
            <w:r>
              <w:t>10.1</w:t>
            </w:r>
            <w:r w:rsidR="002B2EDD">
              <w:t>6</w:t>
            </w:r>
          </w:p>
        </w:tc>
      </w:tr>
      <w:tr w:rsidR="00DC2B54" w:rsidRPr="00231CBA" w14:paraId="236F1BEA" w14:textId="77777777" w:rsidTr="00DC2B54">
        <w:trPr>
          <w:cantSplit/>
          <w:tblHeader/>
        </w:trPr>
        <w:tc>
          <w:tcPr>
            <w:tcW w:w="5760" w:type="dxa"/>
          </w:tcPr>
          <w:p w14:paraId="0D5320CD" w14:textId="77777777" w:rsidR="00DC2B54" w:rsidRDefault="00DC2B54" w:rsidP="00DC2B54">
            <w:pPr>
              <w:pStyle w:val="tabletext"/>
            </w:pPr>
            <w:r>
              <w:t>Part 9, Division 1, subsections 168(8) and (9)</w:t>
            </w:r>
          </w:p>
        </w:tc>
        <w:tc>
          <w:tcPr>
            <w:tcW w:w="1980" w:type="dxa"/>
          </w:tcPr>
          <w:p w14:paraId="491E1DEE" w14:textId="381E182A" w:rsidR="00DC2B54" w:rsidRDefault="00DC2B54" w:rsidP="00DC2B54">
            <w:pPr>
              <w:pStyle w:val="tabletext"/>
            </w:pPr>
            <w:r>
              <w:t>10.1</w:t>
            </w:r>
            <w:r w:rsidR="002B2EDD">
              <w:t>7</w:t>
            </w:r>
          </w:p>
        </w:tc>
      </w:tr>
      <w:tr w:rsidR="00DC2B54" w:rsidRPr="00231CBA" w14:paraId="5F54BDA4" w14:textId="77777777" w:rsidTr="00DC2B54">
        <w:trPr>
          <w:cantSplit/>
          <w:tblHeader/>
        </w:trPr>
        <w:tc>
          <w:tcPr>
            <w:tcW w:w="5760" w:type="dxa"/>
          </w:tcPr>
          <w:p w14:paraId="788E9B6C" w14:textId="77777777" w:rsidR="00DC2B54" w:rsidRDefault="00DC2B54" w:rsidP="00DC2B54">
            <w:pPr>
              <w:pStyle w:val="tabletext"/>
            </w:pPr>
            <w:r>
              <w:t>Part 9, subsection 169(1)</w:t>
            </w:r>
          </w:p>
        </w:tc>
        <w:tc>
          <w:tcPr>
            <w:tcW w:w="1980" w:type="dxa"/>
          </w:tcPr>
          <w:p w14:paraId="11ED8003" w14:textId="7591D6BA" w:rsidR="00DC2B54" w:rsidRDefault="00DC2B54" w:rsidP="00DC2B54">
            <w:pPr>
              <w:pStyle w:val="tabletext"/>
            </w:pPr>
            <w:r>
              <w:t>10.1</w:t>
            </w:r>
            <w:r w:rsidR="002B2EDD">
              <w:t>8</w:t>
            </w:r>
          </w:p>
        </w:tc>
      </w:tr>
      <w:tr w:rsidR="00DC2B54" w:rsidRPr="00231CBA" w14:paraId="624942E2" w14:textId="77777777" w:rsidTr="00DC2B54">
        <w:trPr>
          <w:cantSplit/>
          <w:tblHeader/>
        </w:trPr>
        <w:tc>
          <w:tcPr>
            <w:tcW w:w="5760" w:type="dxa"/>
          </w:tcPr>
          <w:p w14:paraId="50FC3284" w14:textId="77777777" w:rsidR="00DC2B54" w:rsidRDefault="00DC2B54" w:rsidP="00DC2B54">
            <w:pPr>
              <w:pStyle w:val="tabletext"/>
            </w:pPr>
            <w:r>
              <w:t>Part 9, subsection 169(2) and (3)</w:t>
            </w:r>
          </w:p>
        </w:tc>
        <w:tc>
          <w:tcPr>
            <w:tcW w:w="1980" w:type="dxa"/>
          </w:tcPr>
          <w:p w14:paraId="762AC80B" w14:textId="76E784BE" w:rsidR="00DC2B54" w:rsidRDefault="00DC2B54" w:rsidP="00DC2B54">
            <w:pPr>
              <w:pStyle w:val="tabletext"/>
            </w:pPr>
            <w:r>
              <w:t>10.1</w:t>
            </w:r>
            <w:r w:rsidR="002B2EDD">
              <w:t>9</w:t>
            </w:r>
          </w:p>
        </w:tc>
      </w:tr>
      <w:tr w:rsidR="00DC2B54" w:rsidRPr="00231CBA" w14:paraId="6CB94BFA" w14:textId="77777777" w:rsidTr="00DC2B54">
        <w:trPr>
          <w:cantSplit/>
          <w:tblHeader/>
        </w:trPr>
        <w:tc>
          <w:tcPr>
            <w:tcW w:w="5760" w:type="dxa"/>
          </w:tcPr>
          <w:p w14:paraId="2F97BFBB" w14:textId="77777777" w:rsidR="00DC2B54" w:rsidRDefault="00DC2B54" w:rsidP="00DC2B54">
            <w:pPr>
              <w:pStyle w:val="tabletext"/>
            </w:pPr>
            <w:r>
              <w:t>Part 9, section 170</w:t>
            </w:r>
          </w:p>
        </w:tc>
        <w:tc>
          <w:tcPr>
            <w:tcW w:w="1980" w:type="dxa"/>
          </w:tcPr>
          <w:p w14:paraId="6BA3246D" w14:textId="660953CC" w:rsidR="00DC2B54" w:rsidRDefault="00DC2B54" w:rsidP="00DC2B54">
            <w:pPr>
              <w:pStyle w:val="tabletext"/>
            </w:pPr>
            <w:r>
              <w:t>10.</w:t>
            </w:r>
            <w:r w:rsidR="002B2EDD">
              <w:t>20</w:t>
            </w:r>
          </w:p>
        </w:tc>
      </w:tr>
      <w:tr w:rsidR="00DC2B54" w:rsidRPr="00231CBA" w14:paraId="6E100DA9" w14:textId="77777777" w:rsidTr="00DC2B54">
        <w:trPr>
          <w:cantSplit/>
          <w:tblHeader/>
        </w:trPr>
        <w:tc>
          <w:tcPr>
            <w:tcW w:w="5760" w:type="dxa"/>
          </w:tcPr>
          <w:p w14:paraId="1BA4A2B2" w14:textId="77777777" w:rsidR="00DC2B54" w:rsidRDefault="00DC2B54" w:rsidP="00DC2B54">
            <w:pPr>
              <w:pStyle w:val="tabletext"/>
            </w:pPr>
            <w:r>
              <w:t>Part 9, section 171</w:t>
            </w:r>
          </w:p>
        </w:tc>
        <w:tc>
          <w:tcPr>
            <w:tcW w:w="1980" w:type="dxa"/>
          </w:tcPr>
          <w:p w14:paraId="1602374C" w14:textId="5B608432" w:rsidR="00DC2B54" w:rsidRDefault="00DC2B54" w:rsidP="00DC2B54">
            <w:pPr>
              <w:pStyle w:val="tabletext"/>
            </w:pPr>
            <w:r>
              <w:t>10.</w:t>
            </w:r>
            <w:r w:rsidR="002B2EDD">
              <w:t>21</w:t>
            </w:r>
          </w:p>
        </w:tc>
      </w:tr>
      <w:tr w:rsidR="00DC2B54" w:rsidRPr="00231CBA" w14:paraId="382D2A03" w14:textId="77777777" w:rsidTr="00DC2B54">
        <w:trPr>
          <w:cantSplit/>
          <w:tblHeader/>
        </w:trPr>
        <w:tc>
          <w:tcPr>
            <w:tcW w:w="5760" w:type="dxa"/>
          </w:tcPr>
          <w:p w14:paraId="78E90F4B" w14:textId="77777777" w:rsidR="00DC2B54" w:rsidRDefault="00DC2B54" w:rsidP="00DC2B54">
            <w:pPr>
              <w:pStyle w:val="tabletext"/>
            </w:pPr>
            <w:r>
              <w:t>Part 9, subsection 172(1)</w:t>
            </w:r>
          </w:p>
        </w:tc>
        <w:tc>
          <w:tcPr>
            <w:tcW w:w="1980" w:type="dxa"/>
          </w:tcPr>
          <w:p w14:paraId="1FFC96AD" w14:textId="7274B744" w:rsidR="00DC2B54" w:rsidRDefault="00DC2B54" w:rsidP="00DC2B54">
            <w:pPr>
              <w:pStyle w:val="tabletext"/>
            </w:pPr>
            <w:r>
              <w:t>10.</w:t>
            </w:r>
            <w:r w:rsidR="002B2EDD">
              <w:t>22</w:t>
            </w:r>
          </w:p>
        </w:tc>
      </w:tr>
      <w:tr w:rsidR="00DC2B54" w:rsidRPr="00231CBA" w14:paraId="13A98ADB" w14:textId="77777777" w:rsidTr="00DC2B54">
        <w:trPr>
          <w:cantSplit/>
          <w:tblHeader/>
        </w:trPr>
        <w:tc>
          <w:tcPr>
            <w:tcW w:w="5760" w:type="dxa"/>
          </w:tcPr>
          <w:p w14:paraId="37B193A6" w14:textId="77777777" w:rsidR="00DC2B54" w:rsidRDefault="00DC2B54" w:rsidP="00DC2B54">
            <w:pPr>
              <w:pStyle w:val="tabletext"/>
            </w:pPr>
            <w:r>
              <w:t>Part 9, subsection 172(2)</w:t>
            </w:r>
          </w:p>
        </w:tc>
        <w:tc>
          <w:tcPr>
            <w:tcW w:w="1980" w:type="dxa"/>
          </w:tcPr>
          <w:p w14:paraId="327A29FD" w14:textId="739AAA8C" w:rsidR="00DC2B54" w:rsidRDefault="00DC2B54" w:rsidP="00DC2B54">
            <w:pPr>
              <w:pStyle w:val="tabletext"/>
            </w:pPr>
            <w:r>
              <w:t>10.</w:t>
            </w:r>
            <w:r w:rsidR="002B2EDD">
              <w:t>23</w:t>
            </w:r>
          </w:p>
        </w:tc>
      </w:tr>
      <w:tr w:rsidR="00DC2B54" w:rsidRPr="00231CBA" w14:paraId="36A28672" w14:textId="77777777" w:rsidTr="00DC2B54">
        <w:trPr>
          <w:cantSplit/>
          <w:tblHeader/>
        </w:trPr>
        <w:tc>
          <w:tcPr>
            <w:tcW w:w="5760" w:type="dxa"/>
          </w:tcPr>
          <w:p w14:paraId="6A40B305" w14:textId="77777777" w:rsidR="00DC2B54" w:rsidRDefault="00DC2B54" w:rsidP="00DC2B54">
            <w:pPr>
              <w:pStyle w:val="tabletext"/>
            </w:pPr>
            <w:r>
              <w:t>Part 9, subsection 172(4)</w:t>
            </w:r>
          </w:p>
        </w:tc>
        <w:tc>
          <w:tcPr>
            <w:tcW w:w="1980" w:type="dxa"/>
          </w:tcPr>
          <w:p w14:paraId="4F20C140" w14:textId="4B309C32" w:rsidR="00DC2B54" w:rsidRDefault="00DC2B54" w:rsidP="00DC2B54">
            <w:pPr>
              <w:pStyle w:val="tabletext"/>
            </w:pPr>
            <w:r>
              <w:t>10.</w:t>
            </w:r>
            <w:r w:rsidR="002B2EDD">
              <w:t>24</w:t>
            </w:r>
          </w:p>
        </w:tc>
      </w:tr>
      <w:tr w:rsidR="00DC2B54" w:rsidRPr="00231CBA" w14:paraId="46E9055E" w14:textId="77777777" w:rsidTr="00DC2B54">
        <w:trPr>
          <w:cantSplit/>
          <w:tblHeader/>
        </w:trPr>
        <w:tc>
          <w:tcPr>
            <w:tcW w:w="5760" w:type="dxa"/>
          </w:tcPr>
          <w:p w14:paraId="140CA739" w14:textId="4C959FA2" w:rsidR="00DC2B54" w:rsidRDefault="00DC2B54" w:rsidP="00DC2B54">
            <w:pPr>
              <w:pStyle w:val="tabletext"/>
            </w:pPr>
            <w:r>
              <w:t>Part 9,</w:t>
            </w:r>
            <w:r w:rsidR="002B2EDD">
              <w:t xml:space="preserve"> </w:t>
            </w:r>
            <w:r>
              <w:t>Division 1, section 173</w:t>
            </w:r>
          </w:p>
        </w:tc>
        <w:tc>
          <w:tcPr>
            <w:tcW w:w="1980" w:type="dxa"/>
          </w:tcPr>
          <w:p w14:paraId="4477E716" w14:textId="20E01B54" w:rsidR="00DC2B54" w:rsidRDefault="002B2EDD" w:rsidP="00DC2B54">
            <w:pPr>
              <w:pStyle w:val="tabletext"/>
            </w:pPr>
            <w:r>
              <w:t>10.25</w:t>
            </w:r>
          </w:p>
        </w:tc>
      </w:tr>
      <w:tr w:rsidR="00DC2B54" w:rsidRPr="00231CBA" w14:paraId="30D408BD" w14:textId="77777777" w:rsidTr="00DC2B54">
        <w:trPr>
          <w:cantSplit/>
          <w:tblHeader/>
        </w:trPr>
        <w:tc>
          <w:tcPr>
            <w:tcW w:w="5760" w:type="dxa"/>
          </w:tcPr>
          <w:p w14:paraId="747FC0D6" w14:textId="77777777" w:rsidR="00DC2B54" w:rsidRDefault="00DC2B54" w:rsidP="00DC2B54">
            <w:pPr>
              <w:pStyle w:val="tabletext"/>
            </w:pPr>
            <w:r>
              <w:t>Part 9, subsection 174(1)</w:t>
            </w:r>
          </w:p>
        </w:tc>
        <w:tc>
          <w:tcPr>
            <w:tcW w:w="1980" w:type="dxa"/>
          </w:tcPr>
          <w:p w14:paraId="6415BBD7" w14:textId="2D0AC8E5" w:rsidR="00DC2B54" w:rsidRDefault="002B2EDD" w:rsidP="00DC2B54">
            <w:pPr>
              <w:pStyle w:val="tabletext"/>
            </w:pPr>
            <w:r>
              <w:t>10.28</w:t>
            </w:r>
          </w:p>
        </w:tc>
      </w:tr>
      <w:tr w:rsidR="00DC2B54" w:rsidRPr="00231CBA" w14:paraId="6184E56A" w14:textId="77777777" w:rsidTr="00DC2B54">
        <w:trPr>
          <w:cantSplit/>
          <w:tblHeader/>
        </w:trPr>
        <w:tc>
          <w:tcPr>
            <w:tcW w:w="5760" w:type="dxa"/>
          </w:tcPr>
          <w:p w14:paraId="51600823" w14:textId="77777777" w:rsidR="00DC2B54" w:rsidRDefault="00DC2B54" w:rsidP="00DC2B54">
            <w:pPr>
              <w:pStyle w:val="tabletext"/>
            </w:pPr>
            <w:r>
              <w:t>Part 9, subsection 174(2)</w:t>
            </w:r>
          </w:p>
        </w:tc>
        <w:tc>
          <w:tcPr>
            <w:tcW w:w="1980" w:type="dxa"/>
          </w:tcPr>
          <w:p w14:paraId="6C24F982" w14:textId="2923B6D1" w:rsidR="00DC2B54" w:rsidRDefault="002B2EDD" w:rsidP="00DC2B54">
            <w:pPr>
              <w:pStyle w:val="tabletext"/>
            </w:pPr>
            <w:r>
              <w:t>10.29</w:t>
            </w:r>
          </w:p>
        </w:tc>
      </w:tr>
      <w:tr w:rsidR="00DC2B54" w:rsidRPr="00231CBA" w14:paraId="0773CFF2" w14:textId="77777777" w:rsidTr="00DC2B54">
        <w:trPr>
          <w:cantSplit/>
          <w:tblHeader/>
        </w:trPr>
        <w:tc>
          <w:tcPr>
            <w:tcW w:w="5760" w:type="dxa"/>
          </w:tcPr>
          <w:p w14:paraId="4261F0A5" w14:textId="77777777" w:rsidR="00DC2B54" w:rsidRDefault="00DC2B54" w:rsidP="00DC2B54">
            <w:pPr>
              <w:pStyle w:val="tabletext"/>
            </w:pPr>
            <w:r>
              <w:t>Part 9, subsection 174(3)</w:t>
            </w:r>
          </w:p>
        </w:tc>
        <w:tc>
          <w:tcPr>
            <w:tcW w:w="1980" w:type="dxa"/>
          </w:tcPr>
          <w:p w14:paraId="4259BB50" w14:textId="0477F9A5" w:rsidR="00DC2B54" w:rsidRDefault="002B2EDD" w:rsidP="00DC2B54">
            <w:pPr>
              <w:pStyle w:val="tabletext"/>
            </w:pPr>
            <w:r>
              <w:t>10.30</w:t>
            </w:r>
          </w:p>
        </w:tc>
      </w:tr>
      <w:tr w:rsidR="002B2EDD" w:rsidRPr="00231CBA" w14:paraId="5A8668E9" w14:textId="77777777" w:rsidTr="00DC2B54">
        <w:trPr>
          <w:cantSplit/>
          <w:tblHeader/>
        </w:trPr>
        <w:tc>
          <w:tcPr>
            <w:tcW w:w="5760" w:type="dxa"/>
          </w:tcPr>
          <w:p w14:paraId="27C426E5" w14:textId="3DA1F178" w:rsidR="002B2EDD" w:rsidRDefault="002B2EDD" w:rsidP="00DC2B54">
            <w:pPr>
              <w:pStyle w:val="tabletext"/>
            </w:pPr>
            <w:r>
              <w:t>Part 9, subsection 174(4)</w:t>
            </w:r>
          </w:p>
        </w:tc>
        <w:tc>
          <w:tcPr>
            <w:tcW w:w="1980" w:type="dxa"/>
          </w:tcPr>
          <w:p w14:paraId="2B14DD9C" w14:textId="27B1ED2E" w:rsidR="002B2EDD" w:rsidRDefault="002B2EDD" w:rsidP="00DC2B54">
            <w:pPr>
              <w:pStyle w:val="tabletext"/>
            </w:pPr>
            <w:r>
              <w:t>10.31</w:t>
            </w:r>
          </w:p>
        </w:tc>
      </w:tr>
    </w:tbl>
    <w:p w14:paraId="00FD2F44" w14:textId="77777777" w:rsidR="00DC2B54" w:rsidRDefault="00DC2B54" w:rsidP="00C3284A">
      <w:pPr>
        <w:pStyle w:val="Heading2with18pointafter"/>
        <w:spacing w:after="120"/>
      </w:pPr>
      <w:r w:rsidRPr="00CC6F8B">
        <w:t>Private Health Insurance (Prudential Supervision) (Consequential Amendments and Transitional Provisions) Bill 2015</w:t>
      </w:r>
    </w:p>
    <w:p w14:paraId="0C0AE799" w14:textId="310BC072" w:rsidR="00DC2B54" w:rsidRDefault="00481C75" w:rsidP="00DC2B54">
      <w:pPr>
        <w:pStyle w:val="Heading2with18pointafter"/>
        <w:spacing w:before="120"/>
      </w:pPr>
      <w:r>
        <w:t xml:space="preserve">Schedule 1: </w:t>
      </w:r>
      <w:r w:rsidR="00DC2B54">
        <w:t xml:space="preserve">Consequential </w:t>
      </w:r>
      <w:r>
        <w:t>a</w:t>
      </w:r>
      <w:r w:rsidR="00DC2B54">
        <w:t>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B2D9C" w:rsidRPr="00442FB9" w14:paraId="2A149FB6" w14:textId="77777777" w:rsidTr="00916A4F">
        <w:trPr>
          <w:tblHeader/>
        </w:trPr>
        <w:tc>
          <w:tcPr>
            <w:tcW w:w="5760" w:type="dxa"/>
          </w:tcPr>
          <w:p w14:paraId="77715A09" w14:textId="77777777" w:rsidR="00FB2D9C" w:rsidRPr="00231CBA" w:rsidRDefault="00FB2D9C" w:rsidP="00916A4F">
            <w:pPr>
              <w:pStyle w:val="tableheaderwithintable"/>
            </w:pPr>
            <w:r w:rsidRPr="00231CBA">
              <w:t>Bill reference</w:t>
            </w:r>
          </w:p>
        </w:tc>
        <w:tc>
          <w:tcPr>
            <w:tcW w:w="1980" w:type="dxa"/>
          </w:tcPr>
          <w:p w14:paraId="5297F165" w14:textId="77777777" w:rsidR="00FB2D9C" w:rsidRPr="00231CBA" w:rsidRDefault="00FB2D9C" w:rsidP="00916A4F">
            <w:pPr>
              <w:pStyle w:val="tableheaderwithintable"/>
            </w:pPr>
            <w:r w:rsidRPr="00231CBA">
              <w:t>Paragraph number</w:t>
            </w:r>
          </w:p>
        </w:tc>
      </w:tr>
      <w:tr w:rsidR="00FB2D9C" w:rsidRPr="00231CBA" w14:paraId="3F5AE75A" w14:textId="77777777" w:rsidTr="00916A4F">
        <w:trPr>
          <w:tblHeader/>
        </w:trPr>
        <w:tc>
          <w:tcPr>
            <w:tcW w:w="5760" w:type="dxa"/>
          </w:tcPr>
          <w:p w14:paraId="743FD1CB" w14:textId="77777777" w:rsidR="00FB2D9C" w:rsidRPr="00231CBA" w:rsidRDefault="00FB2D9C" w:rsidP="00916A4F">
            <w:pPr>
              <w:pStyle w:val="tabletext"/>
            </w:pPr>
            <w:r>
              <w:t>Part 1, item 1</w:t>
            </w:r>
          </w:p>
        </w:tc>
        <w:tc>
          <w:tcPr>
            <w:tcW w:w="1980" w:type="dxa"/>
          </w:tcPr>
          <w:p w14:paraId="4F60604A" w14:textId="77777777" w:rsidR="00FB2D9C" w:rsidRPr="00231CBA" w:rsidRDefault="00FB2D9C" w:rsidP="00916A4F">
            <w:pPr>
              <w:pStyle w:val="tabletext"/>
            </w:pPr>
            <w:r>
              <w:t>11.8</w:t>
            </w:r>
          </w:p>
        </w:tc>
      </w:tr>
      <w:tr w:rsidR="00FB2D9C" w:rsidRPr="00231CBA" w14:paraId="1E857474" w14:textId="77777777" w:rsidTr="00916A4F">
        <w:trPr>
          <w:tblHeader/>
        </w:trPr>
        <w:tc>
          <w:tcPr>
            <w:tcW w:w="5760" w:type="dxa"/>
          </w:tcPr>
          <w:p w14:paraId="1D6A33D3" w14:textId="77777777" w:rsidR="00FB2D9C" w:rsidRDefault="00FB2D9C" w:rsidP="00916A4F">
            <w:pPr>
              <w:pStyle w:val="tabletext"/>
            </w:pPr>
            <w:r>
              <w:t>Part 1, items 2 and 3</w:t>
            </w:r>
          </w:p>
        </w:tc>
        <w:tc>
          <w:tcPr>
            <w:tcW w:w="1980" w:type="dxa"/>
          </w:tcPr>
          <w:p w14:paraId="0E52EE1D" w14:textId="77777777" w:rsidR="00FB2D9C" w:rsidRDefault="00FB2D9C" w:rsidP="00916A4F">
            <w:pPr>
              <w:pStyle w:val="tabletext"/>
            </w:pPr>
            <w:r>
              <w:t>11.9</w:t>
            </w:r>
          </w:p>
        </w:tc>
      </w:tr>
      <w:tr w:rsidR="00FB2D9C" w:rsidRPr="00231CBA" w14:paraId="33DF68F6" w14:textId="77777777" w:rsidTr="00916A4F">
        <w:trPr>
          <w:tblHeader/>
        </w:trPr>
        <w:tc>
          <w:tcPr>
            <w:tcW w:w="5760" w:type="dxa"/>
          </w:tcPr>
          <w:p w14:paraId="00D1362D" w14:textId="77777777" w:rsidR="00FB2D9C" w:rsidRDefault="00FB2D9C" w:rsidP="00916A4F">
            <w:pPr>
              <w:pStyle w:val="tabletext"/>
            </w:pPr>
            <w:r>
              <w:t>Part 1, item 4</w:t>
            </w:r>
          </w:p>
        </w:tc>
        <w:tc>
          <w:tcPr>
            <w:tcW w:w="1980" w:type="dxa"/>
          </w:tcPr>
          <w:p w14:paraId="7517FA04" w14:textId="77777777" w:rsidR="00FB2D9C" w:rsidRDefault="00FB2D9C" w:rsidP="00916A4F">
            <w:pPr>
              <w:pStyle w:val="tabletext"/>
            </w:pPr>
            <w:r>
              <w:t>1.10</w:t>
            </w:r>
          </w:p>
        </w:tc>
      </w:tr>
      <w:tr w:rsidR="00FB2D9C" w:rsidRPr="00231CBA" w14:paraId="727797DA" w14:textId="77777777" w:rsidTr="00916A4F">
        <w:trPr>
          <w:tblHeader/>
        </w:trPr>
        <w:tc>
          <w:tcPr>
            <w:tcW w:w="5760" w:type="dxa"/>
          </w:tcPr>
          <w:p w14:paraId="1CCA6DD3" w14:textId="77777777" w:rsidR="00FB2D9C" w:rsidRDefault="00FB2D9C" w:rsidP="00916A4F">
            <w:pPr>
              <w:pStyle w:val="tabletext"/>
            </w:pPr>
            <w:r>
              <w:t>Part 1, item 5</w:t>
            </w:r>
          </w:p>
        </w:tc>
        <w:tc>
          <w:tcPr>
            <w:tcW w:w="1980" w:type="dxa"/>
          </w:tcPr>
          <w:p w14:paraId="1CE403EF" w14:textId="77777777" w:rsidR="00FB2D9C" w:rsidRDefault="00FB2D9C" w:rsidP="00916A4F">
            <w:pPr>
              <w:pStyle w:val="tabletext"/>
            </w:pPr>
            <w:r>
              <w:t>11.11</w:t>
            </w:r>
          </w:p>
        </w:tc>
      </w:tr>
      <w:tr w:rsidR="00FB2D9C" w:rsidRPr="00231CBA" w14:paraId="089802DB" w14:textId="77777777" w:rsidTr="00916A4F">
        <w:trPr>
          <w:tblHeader/>
        </w:trPr>
        <w:tc>
          <w:tcPr>
            <w:tcW w:w="5760" w:type="dxa"/>
          </w:tcPr>
          <w:p w14:paraId="71097097" w14:textId="77777777" w:rsidR="00FB2D9C" w:rsidRDefault="00FB2D9C" w:rsidP="00916A4F">
            <w:pPr>
              <w:pStyle w:val="tabletext"/>
            </w:pPr>
            <w:r>
              <w:t>Part 1, item 6</w:t>
            </w:r>
          </w:p>
        </w:tc>
        <w:tc>
          <w:tcPr>
            <w:tcW w:w="1980" w:type="dxa"/>
          </w:tcPr>
          <w:p w14:paraId="12314E5D" w14:textId="77777777" w:rsidR="00FB2D9C" w:rsidRDefault="00FB2D9C" w:rsidP="00916A4F">
            <w:pPr>
              <w:pStyle w:val="tabletext"/>
            </w:pPr>
            <w:r>
              <w:t>11.12</w:t>
            </w:r>
          </w:p>
        </w:tc>
      </w:tr>
      <w:tr w:rsidR="00FB2D9C" w:rsidRPr="00231CBA" w14:paraId="78428BDC" w14:textId="77777777" w:rsidTr="00916A4F">
        <w:trPr>
          <w:tblHeader/>
        </w:trPr>
        <w:tc>
          <w:tcPr>
            <w:tcW w:w="5760" w:type="dxa"/>
          </w:tcPr>
          <w:p w14:paraId="4AB24075" w14:textId="77777777" w:rsidR="00FB2D9C" w:rsidRDefault="00FB2D9C" w:rsidP="00916A4F">
            <w:pPr>
              <w:pStyle w:val="tabletext"/>
            </w:pPr>
            <w:r>
              <w:t>Part 1, item 7</w:t>
            </w:r>
          </w:p>
        </w:tc>
        <w:tc>
          <w:tcPr>
            <w:tcW w:w="1980" w:type="dxa"/>
          </w:tcPr>
          <w:p w14:paraId="335FAB7C" w14:textId="77777777" w:rsidR="00FB2D9C" w:rsidRDefault="00FB2D9C" w:rsidP="00916A4F">
            <w:pPr>
              <w:pStyle w:val="tabletext"/>
            </w:pPr>
            <w:r>
              <w:t>11.13</w:t>
            </w:r>
          </w:p>
        </w:tc>
      </w:tr>
      <w:tr w:rsidR="00FB2D9C" w:rsidRPr="00231CBA" w14:paraId="6B62C36D" w14:textId="77777777" w:rsidTr="00916A4F">
        <w:trPr>
          <w:tblHeader/>
        </w:trPr>
        <w:tc>
          <w:tcPr>
            <w:tcW w:w="5760" w:type="dxa"/>
          </w:tcPr>
          <w:p w14:paraId="2BFC72A1" w14:textId="77777777" w:rsidR="00FB2D9C" w:rsidRDefault="00FB2D9C" w:rsidP="00916A4F">
            <w:pPr>
              <w:pStyle w:val="tabletext"/>
            </w:pPr>
            <w:r>
              <w:t>Part 1, item 8</w:t>
            </w:r>
          </w:p>
        </w:tc>
        <w:tc>
          <w:tcPr>
            <w:tcW w:w="1980" w:type="dxa"/>
          </w:tcPr>
          <w:p w14:paraId="0EC66022" w14:textId="77777777" w:rsidR="00FB2D9C" w:rsidRDefault="00FB2D9C" w:rsidP="00916A4F">
            <w:pPr>
              <w:pStyle w:val="tabletext"/>
            </w:pPr>
            <w:r>
              <w:t>11.14, 11.15, 11.17, 11.18, 11.22, 11.23</w:t>
            </w:r>
          </w:p>
        </w:tc>
      </w:tr>
      <w:tr w:rsidR="00FB2D9C" w:rsidRPr="00231CBA" w14:paraId="23FDC67C" w14:textId="77777777" w:rsidTr="00916A4F">
        <w:trPr>
          <w:tblHeader/>
        </w:trPr>
        <w:tc>
          <w:tcPr>
            <w:tcW w:w="5760" w:type="dxa"/>
          </w:tcPr>
          <w:p w14:paraId="46F02CF3" w14:textId="77777777" w:rsidR="00FB2D9C" w:rsidRDefault="00FB2D9C" w:rsidP="00916A4F">
            <w:pPr>
              <w:pStyle w:val="tabletext"/>
            </w:pPr>
            <w:r>
              <w:t>Part 1, Item 9</w:t>
            </w:r>
          </w:p>
        </w:tc>
        <w:tc>
          <w:tcPr>
            <w:tcW w:w="1980" w:type="dxa"/>
          </w:tcPr>
          <w:p w14:paraId="06F945F7" w14:textId="77777777" w:rsidR="00FB2D9C" w:rsidRDefault="00FB2D9C" w:rsidP="00916A4F">
            <w:pPr>
              <w:pStyle w:val="tabletext"/>
            </w:pPr>
            <w:r>
              <w:t>11.25</w:t>
            </w:r>
          </w:p>
        </w:tc>
      </w:tr>
      <w:tr w:rsidR="00FB2D9C" w:rsidRPr="00231CBA" w14:paraId="025F57FA" w14:textId="77777777" w:rsidTr="00916A4F">
        <w:trPr>
          <w:tblHeader/>
        </w:trPr>
        <w:tc>
          <w:tcPr>
            <w:tcW w:w="5760" w:type="dxa"/>
          </w:tcPr>
          <w:p w14:paraId="59B44DE6" w14:textId="77777777" w:rsidR="00FB2D9C" w:rsidRDefault="00FB2D9C" w:rsidP="00916A4F">
            <w:pPr>
              <w:pStyle w:val="tabletext"/>
            </w:pPr>
            <w:r>
              <w:t>Part 1, Item 10 and 11</w:t>
            </w:r>
          </w:p>
        </w:tc>
        <w:tc>
          <w:tcPr>
            <w:tcW w:w="1980" w:type="dxa"/>
          </w:tcPr>
          <w:p w14:paraId="751D5C00" w14:textId="77777777" w:rsidR="00FB2D9C" w:rsidRDefault="00FB2D9C" w:rsidP="00916A4F">
            <w:pPr>
              <w:pStyle w:val="tabletext"/>
            </w:pPr>
            <w:r>
              <w:t>11.26</w:t>
            </w:r>
          </w:p>
        </w:tc>
      </w:tr>
      <w:tr w:rsidR="00FB2D9C" w:rsidRPr="00231CBA" w14:paraId="0138E2C4" w14:textId="77777777" w:rsidTr="00916A4F">
        <w:trPr>
          <w:tblHeader/>
        </w:trPr>
        <w:tc>
          <w:tcPr>
            <w:tcW w:w="5760" w:type="dxa"/>
          </w:tcPr>
          <w:p w14:paraId="1EBEBB8F" w14:textId="77777777" w:rsidR="00FB2D9C" w:rsidRDefault="00FB2D9C" w:rsidP="00916A4F">
            <w:pPr>
              <w:pStyle w:val="tabletext"/>
            </w:pPr>
            <w:r>
              <w:t>Part 1, Item 12</w:t>
            </w:r>
          </w:p>
        </w:tc>
        <w:tc>
          <w:tcPr>
            <w:tcW w:w="1980" w:type="dxa"/>
          </w:tcPr>
          <w:p w14:paraId="162E1719" w14:textId="77777777" w:rsidR="00FB2D9C" w:rsidRDefault="00FB2D9C" w:rsidP="00916A4F">
            <w:pPr>
              <w:pStyle w:val="tabletext"/>
            </w:pPr>
            <w:r>
              <w:t>11.27, 11.28, 11.29</w:t>
            </w:r>
          </w:p>
        </w:tc>
      </w:tr>
      <w:tr w:rsidR="00FB2D9C" w:rsidRPr="00231CBA" w14:paraId="031AAC52" w14:textId="77777777" w:rsidTr="00916A4F">
        <w:trPr>
          <w:tblHeader/>
        </w:trPr>
        <w:tc>
          <w:tcPr>
            <w:tcW w:w="5760" w:type="dxa"/>
          </w:tcPr>
          <w:p w14:paraId="7E603405" w14:textId="77777777" w:rsidR="00FB2D9C" w:rsidRDefault="00FB2D9C" w:rsidP="00916A4F">
            <w:pPr>
              <w:pStyle w:val="tabletext"/>
            </w:pPr>
            <w:r>
              <w:t>Part 1, Item 13</w:t>
            </w:r>
          </w:p>
        </w:tc>
        <w:tc>
          <w:tcPr>
            <w:tcW w:w="1980" w:type="dxa"/>
          </w:tcPr>
          <w:p w14:paraId="4BB89436" w14:textId="77777777" w:rsidR="00FB2D9C" w:rsidRDefault="00FB2D9C" w:rsidP="00916A4F">
            <w:pPr>
              <w:pStyle w:val="tabletext"/>
            </w:pPr>
            <w:r>
              <w:t>11.30</w:t>
            </w:r>
          </w:p>
        </w:tc>
      </w:tr>
      <w:tr w:rsidR="00FB2D9C" w:rsidRPr="00231CBA" w14:paraId="3C870D27" w14:textId="77777777" w:rsidTr="00916A4F">
        <w:trPr>
          <w:tblHeader/>
        </w:trPr>
        <w:tc>
          <w:tcPr>
            <w:tcW w:w="5760" w:type="dxa"/>
          </w:tcPr>
          <w:p w14:paraId="31516AF4" w14:textId="77777777" w:rsidR="00FB2D9C" w:rsidRDefault="00FB2D9C" w:rsidP="00916A4F">
            <w:pPr>
              <w:pStyle w:val="tabletext"/>
            </w:pPr>
            <w:r>
              <w:t>Part 1, Item 14</w:t>
            </w:r>
          </w:p>
        </w:tc>
        <w:tc>
          <w:tcPr>
            <w:tcW w:w="1980" w:type="dxa"/>
          </w:tcPr>
          <w:p w14:paraId="1B80F015" w14:textId="77777777" w:rsidR="00FB2D9C" w:rsidRDefault="00FB2D9C" w:rsidP="00916A4F">
            <w:pPr>
              <w:pStyle w:val="tabletext"/>
            </w:pPr>
            <w:r>
              <w:t>11.31</w:t>
            </w:r>
          </w:p>
        </w:tc>
      </w:tr>
      <w:tr w:rsidR="00FB2D9C" w:rsidRPr="00231CBA" w14:paraId="7B476C13" w14:textId="77777777" w:rsidTr="00916A4F">
        <w:trPr>
          <w:tblHeader/>
        </w:trPr>
        <w:tc>
          <w:tcPr>
            <w:tcW w:w="5760" w:type="dxa"/>
          </w:tcPr>
          <w:p w14:paraId="24105B80" w14:textId="77777777" w:rsidR="00FB2D9C" w:rsidRDefault="00FB2D9C" w:rsidP="00916A4F">
            <w:pPr>
              <w:pStyle w:val="tabletext"/>
            </w:pPr>
            <w:r>
              <w:t>Part 1, Item 15 and 16</w:t>
            </w:r>
          </w:p>
        </w:tc>
        <w:tc>
          <w:tcPr>
            <w:tcW w:w="1980" w:type="dxa"/>
          </w:tcPr>
          <w:p w14:paraId="2292F82C" w14:textId="77777777" w:rsidR="00FB2D9C" w:rsidRDefault="00FB2D9C" w:rsidP="00916A4F">
            <w:pPr>
              <w:pStyle w:val="tabletext"/>
            </w:pPr>
            <w:r>
              <w:t>11.33</w:t>
            </w:r>
          </w:p>
        </w:tc>
      </w:tr>
      <w:tr w:rsidR="00FB2D9C" w:rsidRPr="00231CBA" w14:paraId="01D3442C" w14:textId="77777777" w:rsidTr="00916A4F">
        <w:trPr>
          <w:tblHeader/>
        </w:trPr>
        <w:tc>
          <w:tcPr>
            <w:tcW w:w="5760" w:type="dxa"/>
          </w:tcPr>
          <w:p w14:paraId="7E0A08AA" w14:textId="77777777" w:rsidR="00FB2D9C" w:rsidRDefault="00FB2D9C" w:rsidP="00916A4F">
            <w:pPr>
              <w:pStyle w:val="tabletext"/>
            </w:pPr>
            <w:r>
              <w:t>Part 1, Item 17</w:t>
            </w:r>
          </w:p>
        </w:tc>
        <w:tc>
          <w:tcPr>
            <w:tcW w:w="1980" w:type="dxa"/>
          </w:tcPr>
          <w:p w14:paraId="61FB5406" w14:textId="77777777" w:rsidR="00FB2D9C" w:rsidRDefault="00FB2D9C" w:rsidP="00916A4F">
            <w:pPr>
              <w:pStyle w:val="tabletext"/>
            </w:pPr>
            <w:r>
              <w:t>11.34</w:t>
            </w:r>
          </w:p>
        </w:tc>
      </w:tr>
      <w:tr w:rsidR="00FB2D9C" w:rsidRPr="00231CBA" w14:paraId="3F292F1B" w14:textId="77777777" w:rsidTr="00916A4F">
        <w:trPr>
          <w:tblHeader/>
        </w:trPr>
        <w:tc>
          <w:tcPr>
            <w:tcW w:w="5760" w:type="dxa"/>
          </w:tcPr>
          <w:p w14:paraId="20EB053B" w14:textId="77777777" w:rsidR="00FB2D9C" w:rsidRDefault="00FB2D9C" w:rsidP="00916A4F">
            <w:pPr>
              <w:pStyle w:val="tabletext"/>
            </w:pPr>
            <w:r>
              <w:t>Part 1, Item 18</w:t>
            </w:r>
          </w:p>
        </w:tc>
        <w:tc>
          <w:tcPr>
            <w:tcW w:w="1980" w:type="dxa"/>
          </w:tcPr>
          <w:p w14:paraId="73347995" w14:textId="77777777" w:rsidR="00FB2D9C" w:rsidRDefault="00FB2D9C" w:rsidP="00916A4F">
            <w:pPr>
              <w:pStyle w:val="tabletext"/>
            </w:pPr>
            <w:r>
              <w:t>11.35, 11.36, 11.37, 11.38, 11.39, 11.40, 11.41</w:t>
            </w:r>
          </w:p>
        </w:tc>
      </w:tr>
      <w:tr w:rsidR="00FB2D9C" w:rsidRPr="00231CBA" w14:paraId="2C45D52F" w14:textId="77777777" w:rsidTr="00916A4F">
        <w:trPr>
          <w:tblHeader/>
        </w:trPr>
        <w:tc>
          <w:tcPr>
            <w:tcW w:w="5760" w:type="dxa"/>
          </w:tcPr>
          <w:p w14:paraId="2A0100E4" w14:textId="77777777" w:rsidR="00FB2D9C" w:rsidRDefault="00FB2D9C" w:rsidP="00916A4F">
            <w:pPr>
              <w:pStyle w:val="tabletext"/>
            </w:pPr>
            <w:r>
              <w:t>Part 1, Items 19 and 20</w:t>
            </w:r>
          </w:p>
        </w:tc>
        <w:tc>
          <w:tcPr>
            <w:tcW w:w="1980" w:type="dxa"/>
          </w:tcPr>
          <w:p w14:paraId="038BFBC1" w14:textId="77777777" w:rsidR="00FB2D9C" w:rsidRDefault="00FB2D9C" w:rsidP="00916A4F">
            <w:pPr>
              <w:pStyle w:val="tabletext"/>
            </w:pPr>
            <w:r>
              <w:t>11.42</w:t>
            </w:r>
          </w:p>
        </w:tc>
      </w:tr>
      <w:tr w:rsidR="00FB2D9C" w:rsidRPr="00231CBA" w14:paraId="39A0CE65" w14:textId="77777777" w:rsidTr="00916A4F">
        <w:trPr>
          <w:tblHeader/>
        </w:trPr>
        <w:tc>
          <w:tcPr>
            <w:tcW w:w="5760" w:type="dxa"/>
          </w:tcPr>
          <w:p w14:paraId="0E103D26" w14:textId="77777777" w:rsidR="00FB2D9C" w:rsidRDefault="00FB2D9C" w:rsidP="00916A4F">
            <w:pPr>
              <w:pStyle w:val="tabletext"/>
            </w:pPr>
            <w:r>
              <w:t>Part 1, item 21</w:t>
            </w:r>
          </w:p>
        </w:tc>
        <w:tc>
          <w:tcPr>
            <w:tcW w:w="1980" w:type="dxa"/>
          </w:tcPr>
          <w:p w14:paraId="2006A2D0" w14:textId="77777777" w:rsidR="00FB2D9C" w:rsidRDefault="00FB2D9C" w:rsidP="00916A4F">
            <w:pPr>
              <w:pStyle w:val="tabletext"/>
            </w:pPr>
            <w:r>
              <w:t>11.49</w:t>
            </w:r>
          </w:p>
        </w:tc>
      </w:tr>
      <w:tr w:rsidR="00FB2D9C" w:rsidRPr="00231CBA" w14:paraId="2E13F296" w14:textId="77777777" w:rsidTr="00916A4F">
        <w:trPr>
          <w:tblHeader/>
        </w:trPr>
        <w:tc>
          <w:tcPr>
            <w:tcW w:w="5760" w:type="dxa"/>
          </w:tcPr>
          <w:p w14:paraId="691AC172" w14:textId="77777777" w:rsidR="00FB2D9C" w:rsidRDefault="00FB2D9C" w:rsidP="00916A4F">
            <w:pPr>
              <w:pStyle w:val="tabletext"/>
            </w:pPr>
            <w:r>
              <w:t>Part 1, item 22</w:t>
            </w:r>
          </w:p>
        </w:tc>
        <w:tc>
          <w:tcPr>
            <w:tcW w:w="1980" w:type="dxa"/>
          </w:tcPr>
          <w:p w14:paraId="427C1A91" w14:textId="77777777" w:rsidR="00FB2D9C" w:rsidRDefault="00FB2D9C" w:rsidP="00916A4F">
            <w:pPr>
              <w:pStyle w:val="tabletext"/>
            </w:pPr>
            <w:r>
              <w:t>11.50</w:t>
            </w:r>
          </w:p>
        </w:tc>
      </w:tr>
      <w:tr w:rsidR="00FB2D9C" w:rsidRPr="00231CBA" w14:paraId="0329263F" w14:textId="77777777" w:rsidTr="00916A4F">
        <w:trPr>
          <w:tblHeader/>
        </w:trPr>
        <w:tc>
          <w:tcPr>
            <w:tcW w:w="5760" w:type="dxa"/>
          </w:tcPr>
          <w:p w14:paraId="4E4E2A06" w14:textId="77777777" w:rsidR="00FB2D9C" w:rsidRDefault="00FB2D9C" w:rsidP="00916A4F">
            <w:pPr>
              <w:pStyle w:val="tabletext"/>
            </w:pPr>
            <w:r>
              <w:t>Part 1, Items 23, 24, 25, 28, 30, 31, 32 and 33</w:t>
            </w:r>
          </w:p>
        </w:tc>
        <w:tc>
          <w:tcPr>
            <w:tcW w:w="1980" w:type="dxa"/>
          </w:tcPr>
          <w:p w14:paraId="27AF179A" w14:textId="77777777" w:rsidR="00FB2D9C" w:rsidRDefault="00FB2D9C" w:rsidP="00916A4F">
            <w:pPr>
              <w:pStyle w:val="tabletext"/>
            </w:pPr>
            <w:r>
              <w:t>11.58</w:t>
            </w:r>
          </w:p>
        </w:tc>
      </w:tr>
      <w:tr w:rsidR="00FB2D9C" w:rsidRPr="00231CBA" w14:paraId="2017590E" w14:textId="77777777" w:rsidTr="00916A4F">
        <w:trPr>
          <w:tblHeader/>
        </w:trPr>
        <w:tc>
          <w:tcPr>
            <w:tcW w:w="5760" w:type="dxa"/>
          </w:tcPr>
          <w:p w14:paraId="5CACF44F" w14:textId="77777777" w:rsidR="00FB2D9C" w:rsidRDefault="00FB2D9C" w:rsidP="00916A4F">
            <w:pPr>
              <w:pStyle w:val="tabletext"/>
            </w:pPr>
            <w:r>
              <w:t>Part 1, Items 26, 27, and 29</w:t>
            </w:r>
          </w:p>
        </w:tc>
        <w:tc>
          <w:tcPr>
            <w:tcW w:w="1980" w:type="dxa"/>
          </w:tcPr>
          <w:p w14:paraId="72256818" w14:textId="77777777" w:rsidR="00FB2D9C" w:rsidRDefault="00FB2D9C" w:rsidP="00916A4F">
            <w:pPr>
              <w:pStyle w:val="tabletext"/>
            </w:pPr>
            <w:r>
              <w:t>11.59</w:t>
            </w:r>
          </w:p>
        </w:tc>
      </w:tr>
      <w:tr w:rsidR="00FB2D9C" w:rsidRPr="00231CBA" w14:paraId="52919AEB" w14:textId="77777777" w:rsidTr="00916A4F">
        <w:trPr>
          <w:tblHeader/>
        </w:trPr>
        <w:tc>
          <w:tcPr>
            <w:tcW w:w="5760" w:type="dxa"/>
          </w:tcPr>
          <w:p w14:paraId="3AC03CFC" w14:textId="77777777" w:rsidR="00FB2D9C" w:rsidRDefault="00FB2D9C" w:rsidP="00916A4F">
            <w:pPr>
              <w:pStyle w:val="tabletext"/>
            </w:pPr>
            <w:r>
              <w:t>Part 1, Item 34</w:t>
            </w:r>
          </w:p>
        </w:tc>
        <w:tc>
          <w:tcPr>
            <w:tcW w:w="1980" w:type="dxa"/>
          </w:tcPr>
          <w:p w14:paraId="7BF073A6" w14:textId="77777777" w:rsidR="00FB2D9C" w:rsidRDefault="00FB2D9C" w:rsidP="00916A4F">
            <w:pPr>
              <w:pStyle w:val="tabletext"/>
            </w:pPr>
            <w:r>
              <w:t>11.60</w:t>
            </w:r>
          </w:p>
        </w:tc>
      </w:tr>
      <w:tr w:rsidR="00FB2D9C" w:rsidRPr="00231CBA" w14:paraId="2A3AD8F7" w14:textId="77777777" w:rsidTr="00916A4F">
        <w:trPr>
          <w:tblHeader/>
        </w:trPr>
        <w:tc>
          <w:tcPr>
            <w:tcW w:w="5760" w:type="dxa"/>
          </w:tcPr>
          <w:p w14:paraId="36F10DB3" w14:textId="77777777" w:rsidR="00FB2D9C" w:rsidRDefault="00FB2D9C" w:rsidP="00916A4F">
            <w:pPr>
              <w:pStyle w:val="tabletext"/>
            </w:pPr>
            <w:r>
              <w:t>Part 1, item 35</w:t>
            </w:r>
          </w:p>
        </w:tc>
        <w:tc>
          <w:tcPr>
            <w:tcW w:w="1980" w:type="dxa"/>
          </w:tcPr>
          <w:p w14:paraId="58A76E2F" w14:textId="77777777" w:rsidR="00FB2D9C" w:rsidRDefault="00FB2D9C" w:rsidP="00916A4F">
            <w:pPr>
              <w:pStyle w:val="tabletext"/>
            </w:pPr>
            <w:r>
              <w:t>11.64</w:t>
            </w:r>
          </w:p>
        </w:tc>
      </w:tr>
      <w:tr w:rsidR="00FB2D9C" w:rsidRPr="00231CBA" w14:paraId="35782CE6" w14:textId="77777777" w:rsidTr="00916A4F">
        <w:trPr>
          <w:tblHeader/>
        </w:trPr>
        <w:tc>
          <w:tcPr>
            <w:tcW w:w="5760" w:type="dxa"/>
          </w:tcPr>
          <w:p w14:paraId="2EA2580B" w14:textId="77777777" w:rsidR="00FB2D9C" w:rsidRDefault="00FB2D9C" w:rsidP="00916A4F">
            <w:pPr>
              <w:pStyle w:val="tabletext"/>
            </w:pPr>
            <w:r>
              <w:t>Part 1, item 36</w:t>
            </w:r>
          </w:p>
        </w:tc>
        <w:tc>
          <w:tcPr>
            <w:tcW w:w="1980" w:type="dxa"/>
          </w:tcPr>
          <w:p w14:paraId="25186F72" w14:textId="77777777" w:rsidR="00FB2D9C" w:rsidRDefault="00FB2D9C" w:rsidP="00916A4F">
            <w:pPr>
              <w:pStyle w:val="tabletext"/>
            </w:pPr>
            <w:r>
              <w:t>11.66</w:t>
            </w:r>
          </w:p>
        </w:tc>
      </w:tr>
      <w:tr w:rsidR="00FB2D9C" w:rsidRPr="00231CBA" w14:paraId="50E70515" w14:textId="77777777" w:rsidTr="00916A4F">
        <w:trPr>
          <w:tblHeader/>
        </w:trPr>
        <w:tc>
          <w:tcPr>
            <w:tcW w:w="5760" w:type="dxa"/>
          </w:tcPr>
          <w:p w14:paraId="5E5F4E24" w14:textId="77777777" w:rsidR="00FB2D9C" w:rsidRDefault="00FB2D9C" w:rsidP="00916A4F">
            <w:pPr>
              <w:pStyle w:val="tabletext"/>
            </w:pPr>
            <w:r>
              <w:t>Part 1, item 37</w:t>
            </w:r>
          </w:p>
        </w:tc>
        <w:tc>
          <w:tcPr>
            <w:tcW w:w="1980" w:type="dxa"/>
          </w:tcPr>
          <w:p w14:paraId="0945AC13" w14:textId="77777777" w:rsidR="00FB2D9C" w:rsidRDefault="00FB2D9C" w:rsidP="00916A4F">
            <w:pPr>
              <w:pStyle w:val="tabletext"/>
            </w:pPr>
            <w:r>
              <w:t>11.68</w:t>
            </w:r>
          </w:p>
        </w:tc>
      </w:tr>
      <w:tr w:rsidR="00FB2D9C" w:rsidRPr="00231CBA" w14:paraId="4C116493" w14:textId="77777777" w:rsidTr="00916A4F">
        <w:trPr>
          <w:tblHeader/>
        </w:trPr>
        <w:tc>
          <w:tcPr>
            <w:tcW w:w="5760" w:type="dxa"/>
          </w:tcPr>
          <w:p w14:paraId="49BAC89A" w14:textId="77777777" w:rsidR="00FB2D9C" w:rsidRDefault="00FB2D9C" w:rsidP="00916A4F">
            <w:pPr>
              <w:pStyle w:val="tabletext"/>
            </w:pPr>
            <w:r>
              <w:t>Part 1, item 38</w:t>
            </w:r>
          </w:p>
        </w:tc>
        <w:tc>
          <w:tcPr>
            <w:tcW w:w="1980" w:type="dxa"/>
          </w:tcPr>
          <w:p w14:paraId="1DAE8AD9" w14:textId="77777777" w:rsidR="00FB2D9C" w:rsidRDefault="00FB2D9C" w:rsidP="00916A4F">
            <w:pPr>
              <w:pStyle w:val="tabletext"/>
            </w:pPr>
            <w:r>
              <w:t>11.69</w:t>
            </w:r>
          </w:p>
        </w:tc>
      </w:tr>
      <w:tr w:rsidR="00FB2D9C" w:rsidRPr="00231CBA" w14:paraId="4805A2EC" w14:textId="77777777" w:rsidTr="00916A4F">
        <w:trPr>
          <w:tblHeader/>
        </w:trPr>
        <w:tc>
          <w:tcPr>
            <w:tcW w:w="5760" w:type="dxa"/>
          </w:tcPr>
          <w:p w14:paraId="524C28A7" w14:textId="77777777" w:rsidR="00FB2D9C" w:rsidRDefault="00FB2D9C" w:rsidP="00916A4F">
            <w:pPr>
              <w:pStyle w:val="tabletext"/>
            </w:pPr>
            <w:r>
              <w:t>Part 1, item 39</w:t>
            </w:r>
          </w:p>
        </w:tc>
        <w:tc>
          <w:tcPr>
            <w:tcW w:w="1980" w:type="dxa"/>
          </w:tcPr>
          <w:p w14:paraId="4EC072EC" w14:textId="77777777" w:rsidR="00FB2D9C" w:rsidRDefault="00FB2D9C" w:rsidP="00916A4F">
            <w:pPr>
              <w:pStyle w:val="tabletext"/>
            </w:pPr>
            <w:r>
              <w:t>11.70, 11.71</w:t>
            </w:r>
          </w:p>
        </w:tc>
      </w:tr>
      <w:tr w:rsidR="00FB2D9C" w:rsidRPr="00231CBA" w14:paraId="700ADF1E" w14:textId="77777777" w:rsidTr="00916A4F">
        <w:trPr>
          <w:tblHeader/>
        </w:trPr>
        <w:tc>
          <w:tcPr>
            <w:tcW w:w="5760" w:type="dxa"/>
          </w:tcPr>
          <w:p w14:paraId="1B4813C0" w14:textId="77777777" w:rsidR="00FB2D9C" w:rsidRDefault="00FB2D9C" w:rsidP="00916A4F">
            <w:pPr>
              <w:pStyle w:val="tabletext"/>
            </w:pPr>
            <w:r>
              <w:t>Part 1, item 40</w:t>
            </w:r>
          </w:p>
        </w:tc>
        <w:tc>
          <w:tcPr>
            <w:tcW w:w="1980" w:type="dxa"/>
          </w:tcPr>
          <w:p w14:paraId="372A6253" w14:textId="77777777" w:rsidR="00FB2D9C" w:rsidRDefault="00FB2D9C" w:rsidP="00916A4F">
            <w:pPr>
              <w:pStyle w:val="tabletext"/>
            </w:pPr>
            <w:r>
              <w:t>11.73</w:t>
            </w:r>
          </w:p>
        </w:tc>
      </w:tr>
      <w:tr w:rsidR="00FB2D9C" w:rsidRPr="00231CBA" w14:paraId="047EA255" w14:textId="77777777" w:rsidTr="00916A4F">
        <w:trPr>
          <w:tblHeader/>
        </w:trPr>
        <w:tc>
          <w:tcPr>
            <w:tcW w:w="5760" w:type="dxa"/>
          </w:tcPr>
          <w:p w14:paraId="6C1E8159" w14:textId="77777777" w:rsidR="00FB2D9C" w:rsidRDefault="00FB2D9C" w:rsidP="00916A4F">
            <w:pPr>
              <w:pStyle w:val="tabletext"/>
            </w:pPr>
            <w:r>
              <w:t>Part 1, item 41</w:t>
            </w:r>
          </w:p>
        </w:tc>
        <w:tc>
          <w:tcPr>
            <w:tcW w:w="1980" w:type="dxa"/>
          </w:tcPr>
          <w:p w14:paraId="6955327C" w14:textId="77777777" w:rsidR="00FB2D9C" w:rsidRDefault="00FB2D9C" w:rsidP="00916A4F">
            <w:pPr>
              <w:pStyle w:val="tabletext"/>
            </w:pPr>
            <w:r>
              <w:t>11.74</w:t>
            </w:r>
          </w:p>
        </w:tc>
      </w:tr>
      <w:tr w:rsidR="00FB2D9C" w:rsidRPr="00231CBA" w14:paraId="1AC00996" w14:textId="77777777" w:rsidTr="00916A4F">
        <w:trPr>
          <w:tblHeader/>
        </w:trPr>
        <w:tc>
          <w:tcPr>
            <w:tcW w:w="5760" w:type="dxa"/>
          </w:tcPr>
          <w:p w14:paraId="09263DD8" w14:textId="77777777" w:rsidR="00FB2D9C" w:rsidRDefault="00FB2D9C" w:rsidP="00916A4F">
            <w:pPr>
              <w:pStyle w:val="tabletext"/>
            </w:pPr>
            <w:r>
              <w:t>Part 1, item 42</w:t>
            </w:r>
          </w:p>
        </w:tc>
        <w:tc>
          <w:tcPr>
            <w:tcW w:w="1980" w:type="dxa"/>
          </w:tcPr>
          <w:p w14:paraId="1B1F4C55" w14:textId="77777777" w:rsidR="00FB2D9C" w:rsidRDefault="00FB2D9C" w:rsidP="00916A4F">
            <w:pPr>
              <w:pStyle w:val="tabletext"/>
            </w:pPr>
            <w:r>
              <w:t>11.79</w:t>
            </w:r>
          </w:p>
        </w:tc>
      </w:tr>
      <w:tr w:rsidR="00FB2D9C" w:rsidRPr="00231CBA" w14:paraId="5E8DF9E0" w14:textId="77777777" w:rsidTr="00916A4F">
        <w:trPr>
          <w:tblHeader/>
        </w:trPr>
        <w:tc>
          <w:tcPr>
            <w:tcW w:w="5760" w:type="dxa"/>
          </w:tcPr>
          <w:p w14:paraId="543C7584" w14:textId="77777777" w:rsidR="00FB2D9C" w:rsidRDefault="00FB2D9C" w:rsidP="00916A4F">
            <w:pPr>
              <w:pStyle w:val="tabletext"/>
            </w:pPr>
            <w:r>
              <w:t>Part 1, items 43 and 44</w:t>
            </w:r>
          </w:p>
        </w:tc>
        <w:tc>
          <w:tcPr>
            <w:tcW w:w="1980" w:type="dxa"/>
          </w:tcPr>
          <w:p w14:paraId="2E75215F" w14:textId="77777777" w:rsidR="00FB2D9C" w:rsidRDefault="00FB2D9C" w:rsidP="00916A4F">
            <w:pPr>
              <w:pStyle w:val="tabletext"/>
            </w:pPr>
            <w:r>
              <w:t>11.80</w:t>
            </w:r>
          </w:p>
        </w:tc>
      </w:tr>
      <w:tr w:rsidR="00FB2D9C" w:rsidRPr="00231CBA" w14:paraId="77E5676A" w14:textId="77777777" w:rsidTr="00916A4F">
        <w:trPr>
          <w:tblHeader/>
        </w:trPr>
        <w:tc>
          <w:tcPr>
            <w:tcW w:w="5760" w:type="dxa"/>
          </w:tcPr>
          <w:p w14:paraId="07B7E157" w14:textId="77777777" w:rsidR="00FB2D9C" w:rsidRDefault="00FB2D9C" w:rsidP="00916A4F">
            <w:pPr>
              <w:pStyle w:val="tabletext"/>
            </w:pPr>
            <w:r>
              <w:t>Part 1, item 45</w:t>
            </w:r>
          </w:p>
        </w:tc>
        <w:tc>
          <w:tcPr>
            <w:tcW w:w="1980" w:type="dxa"/>
          </w:tcPr>
          <w:p w14:paraId="344C8DB7" w14:textId="77777777" w:rsidR="00FB2D9C" w:rsidRDefault="00FB2D9C" w:rsidP="00916A4F">
            <w:pPr>
              <w:pStyle w:val="tabletext"/>
            </w:pPr>
            <w:r>
              <w:t>11.81</w:t>
            </w:r>
          </w:p>
        </w:tc>
      </w:tr>
      <w:tr w:rsidR="00FB2D9C" w:rsidRPr="00231CBA" w14:paraId="25A1B764" w14:textId="77777777" w:rsidTr="00916A4F">
        <w:trPr>
          <w:tblHeader/>
        </w:trPr>
        <w:tc>
          <w:tcPr>
            <w:tcW w:w="5760" w:type="dxa"/>
          </w:tcPr>
          <w:p w14:paraId="36BD47B7" w14:textId="77777777" w:rsidR="00FB2D9C" w:rsidRDefault="00FB2D9C" w:rsidP="00916A4F">
            <w:pPr>
              <w:pStyle w:val="tabletext"/>
            </w:pPr>
            <w:r>
              <w:t>Part 1, item 46</w:t>
            </w:r>
          </w:p>
        </w:tc>
        <w:tc>
          <w:tcPr>
            <w:tcW w:w="1980" w:type="dxa"/>
          </w:tcPr>
          <w:p w14:paraId="16751B36" w14:textId="77777777" w:rsidR="00FB2D9C" w:rsidRDefault="00FB2D9C" w:rsidP="00916A4F">
            <w:pPr>
              <w:pStyle w:val="tabletext"/>
            </w:pPr>
            <w:r>
              <w:t>11.82</w:t>
            </w:r>
          </w:p>
        </w:tc>
      </w:tr>
      <w:tr w:rsidR="00FB2D9C" w:rsidRPr="00231CBA" w14:paraId="7E0E7D59" w14:textId="77777777" w:rsidTr="00916A4F">
        <w:trPr>
          <w:tblHeader/>
        </w:trPr>
        <w:tc>
          <w:tcPr>
            <w:tcW w:w="5760" w:type="dxa"/>
          </w:tcPr>
          <w:p w14:paraId="480549D3" w14:textId="77777777" w:rsidR="00FB2D9C" w:rsidRDefault="00FB2D9C" w:rsidP="00916A4F">
            <w:pPr>
              <w:pStyle w:val="tabletext"/>
            </w:pPr>
            <w:r>
              <w:t>Part 1, item 47</w:t>
            </w:r>
          </w:p>
        </w:tc>
        <w:tc>
          <w:tcPr>
            <w:tcW w:w="1980" w:type="dxa"/>
          </w:tcPr>
          <w:p w14:paraId="0DEDFCF8" w14:textId="77777777" w:rsidR="00FB2D9C" w:rsidRDefault="00FB2D9C" w:rsidP="00916A4F">
            <w:pPr>
              <w:pStyle w:val="tabletext"/>
            </w:pPr>
            <w:r>
              <w:t>11.86</w:t>
            </w:r>
          </w:p>
        </w:tc>
      </w:tr>
      <w:tr w:rsidR="00FB2D9C" w:rsidRPr="00231CBA" w14:paraId="50F810FB" w14:textId="77777777" w:rsidTr="00916A4F">
        <w:trPr>
          <w:tblHeader/>
        </w:trPr>
        <w:tc>
          <w:tcPr>
            <w:tcW w:w="5760" w:type="dxa"/>
          </w:tcPr>
          <w:p w14:paraId="0CEBB593" w14:textId="77777777" w:rsidR="00FB2D9C" w:rsidRDefault="00FB2D9C" w:rsidP="00916A4F">
            <w:pPr>
              <w:pStyle w:val="tabletext"/>
            </w:pPr>
            <w:r>
              <w:t>Part 1, item 48</w:t>
            </w:r>
          </w:p>
        </w:tc>
        <w:tc>
          <w:tcPr>
            <w:tcW w:w="1980" w:type="dxa"/>
          </w:tcPr>
          <w:p w14:paraId="49A16DA4" w14:textId="77777777" w:rsidR="00FB2D9C" w:rsidRDefault="00FB2D9C" w:rsidP="00916A4F">
            <w:pPr>
              <w:pStyle w:val="tabletext"/>
            </w:pPr>
            <w:r>
              <w:t>11.87</w:t>
            </w:r>
          </w:p>
        </w:tc>
      </w:tr>
      <w:tr w:rsidR="00FB2D9C" w:rsidRPr="00231CBA" w14:paraId="4F422048" w14:textId="77777777" w:rsidTr="00916A4F">
        <w:trPr>
          <w:tblHeader/>
        </w:trPr>
        <w:tc>
          <w:tcPr>
            <w:tcW w:w="5760" w:type="dxa"/>
          </w:tcPr>
          <w:p w14:paraId="57B0564F" w14:textId="77777777" w:rsidR="00FB2D9C" w:rsidRDefault="00FB2D9C" w:rsidP="00916A4F">
            <w:pPr>
              <w:pStyle w:val="tabletext"/>
            </w:pPr>
            <w:r>
              <w:t>Part 1, item 49</w:t>
            </w:r>
          </w:p>
        </w:tc>
        <w:tc>
          <w:tcPr>
            <w:tcW w:w="1980" w:type="dxa"/>
          </w:tcPr>
          <w:p w14:paraId="22EBE879" w14:textId="77777777" w:rsidR="00FB2D9C" w:rsidRDefault="00FB2D9C" w:rsidP="00916A4F">
            <w:pPr>
              <w:pStyle w:val="tabletext"/>
            </w:pPr>
            <w:r>
              <w:t>11.88</w:t>
            </w:r>
          </w:p>
        </w:tc>
      </w:tr>
      <w:tr w:rsidR="00FB2D9C" w:rsidRPr="00231CBA" w14:paraId="7D476E78" w14:textId="77777777" w:rsidTr="00916A4F">
        <w:trPr>
          <w:tblHeader/>
        </w:trPr>
        <w:tc>
          <w:tcPr>
            <w:tcW w:w="5760" w:type="dxa"/>
          </w:tcPr>
          <w:p w14:paraId="36DD3815" w14:textId="77777777" w:rsidR="00FB2D9C" w:rsidRDefault="00FB2D9C" w:rsidP="00916A4F">
            <w:pPr>
              <w:pStyle w:val="tabletext"/>
            </w:pPr>
            <w:r>
              <w:t>Part 1, item 50</w:t>
            </w:r>
          </w:p>
        </w:tc>
        <w:tc>
          <w:tcPr>
            <w:tcW w:w="1980" w:type="dxa"/>
          </w:tcPr>
          <w:p w14:paraId="5FBD53DF" w14:textId="77777777" w:rsidR="00FB2D9C" w:rsidRDefault="00FB2D9C" w:rsidP="00916A4F">
            <w:pPr>
              <w:pStyle w:val="tabletext"/>
            </w:pPr>
            <w:r>
              <w:t>11.91</w:t>
            </w:r>
          </w:p>
        </w:tc>
      </w:tr>
      <w:tr w:rsidR="00FB2D9C" w:rsidRPr="00231CBA" w14:paraId="24F47DD4" w14:textId="77777777" w:rsidTr="00916A4F">
        <w:trPr>
          <w:tblHeader/>
        </w:trPr>
        <w:tc>
          <w:tcPr>
            <w:tcW w:w="5760" w:type="dxa"/>
          </w:tcPr>
          <w:p w14:paraId="3865F757" w14:textId="77777777" w:rsidR="00FB2D9C" w:rsidRDefault="00FB2D9C" w:rsidP="00916A4F">
            <w:pPr>
              <w:pStyle w:val="tabletext"/>
            </w:pPr>
            <w:r>
              <w:t>Part 1, item 51</w:t>
            </w:r>
          </w:p>
        </w:tc>
        <w:tc>
          <w:tcPr>
            <w:tcW w:w="1980" w:type="dxa"/>
          </w:tcPr>
          <w:p w14:paraId="3ACEA749" w14:textId="77777777" w:rsidR="00FB2D9C" w:rsidRDefault="00FB2D9C" w:rsidP="00916A4F">
            <w:pPr>
              <w:pStyle w:val="tabletext"/>
            </w:pPr>
            <w:r>
              <w:t>11.89</w:t>
            </w:r>
          </w:p>
        </w:tc>
      </w:tr>
      <w:tr w:rsidR="00FB2D9C" w:rsidRPr="00231CBA" w14:paraId="0A26CD50" w14:textId="77777777" w:rsidTr="00916A4F">
        <w:trPr>
          <w:tblHeader/>
        </w:trPr>
        <w:tc>
          <w:tcPr>
            <w:tcW w:w="5760" w:type="dxa"/>
          </w:tcPr>
          <w:p w14:paraId="528BED7B" w14:textId="77777777" w:rsidR="00FB2D9C" w:rsidRDefault="00FB2D9C" w:rsidP="00916A4F">
            <w:pPr>
              <w:pStyle w:val="tabletext"/>
            </w:pPr>
            <w:r>
              <w:t>Part 1, item 52</w:t>
            </w:r>
          </w:p>
        </w:tc>
        <w:tc>
          <w:tcPr>
            <w:tcW w:w="1980" w:type="dxa"/>
          </w:tcPr>
          <w:p w14:paraId="5D225BC0" w14:textId="77777777" w:rsidR="00FB2D9C" w:rsidRDefault="00FB2D9C" w:rsidP="00916A4F">
            <w:pPr>
              <w:pStyle w:val="tabletext"/>
            </w:pPr>
            <w:r>
              <w:t>11.89</w:t>
            </w:r>
          </w:p>
        </w:tc>
      </w:tr>
      <w:tr w:rsidR="00FB2D9C" w:rsidRPr="00231CBA" w14:paraId="04020FB0" w14:textId="77777777" w:rsidTr="00916A4F">
        <w:trPr>
          <w:tblHeader/>
        </w:trPr>
        <w:tc>
          <w:tcPr>
            <w:tcW w:w="5760" w:type="dxa"/>
          </w:tcPr>
          <w:p w14:paraId="0D9F3382" w14:textId="77777777" w:rsidR="00FB2D9C" w:rsidRDefault="00FB2D9C" w:rsidP="00916A4F">
            <w:pPr>
              <w:pStyle w:val="tabletext"/>
            </w:pPr>
            <w:r>
              <w:t>Part 1, item 53</w:t>
            </w:r>
          </w:p>
        </w:tc>
        <w:tc>
          <w:tcPr>
            <w:tcW w:w="1980" w:type="dxa"/>
          </w:tcPr>
          <w:p w14:paraId="2F87B39B" w14:textId="77777777" w:rsidR="00FB2D9C" w:rsidRDefault="00FB2D9C" w:rsidP="00916A4F">
            <w:pPr>
              <w:pStyle w:val="tabletext"/>
            </w:pPr>
            <w:r>
              <w:t>11.89</w:t>
            </w:r>
          </w:p>
        </w:tc>
      </w:tr>
      <w:tr w:rsidR="00FB2D9C" w:rsidRPr="00231CBA" w14:paraId="3F238452" w14:textId="77777777" w:rsidTr="00916A4F">
        <w:trPr>
          <w:tblHeader/>
        </w:trPr>
        <w:tc>
          <w:tcPr>
            <w:tcW w:w="5760" w:type="dxa"/>
          </w:tcPr>
          <w:p w14:paraId="5E208643" w14:textId="77777777" w:rsidR="00FB2D9C" w:rsidRDefault="00FB2D9C" w:rsidP="00916A4F">
            <w:pPr>
              <w:pStyle w:val="tabletext"/>
            </w:pPr>
            <w:r>
              <w:t>Part 1, items 54 and 55</w:t>
            </w:r>
          </w:p>
        </w:tc>
        <w:tc>
          <w:tcPr>
            <w:tcW w:w="1980" w:type="dxa"/>
          </w:tcPr>
          <w:p w14:paraId="20CBA271" w14:textId="77777777" w:rsidR="00FB2D9C" w:rsidRDefault="00FB2D9C" w:rsidP="00916A4F">
            <w:pPr>
              <w:pStyle w:val="tabletext"/>
            </w:pPr>
            <w:r>
              <w:t>11.93</w:t>
            </w:r>
          </w:p>
        </w:tc>
      </w:tr>
      <w:tr w:rsidR="00FB2D9C" w:rsidRPr="00231CBA" w14:paraId="196DB754" w14:textId="77777777" w:rsidTr="00916A4F">
        <w:trPr>
          <w:tblHeader/>
        </w:trPr>
        <w:tc>
          <w:tcPr>
            <w:tcW w:w="5760" w:type="dxa"/>
          </w:tcPr>
          <w:p w14:paraId="50980B44" w14:textId="77777777" w:rsidR="00FB2D9C" w:rsidRDefault="00FB2D9C" w:rsidP="00916A4F">
            <w:pPr>
              <w:pStyle w:val="tabletext"/>
            </w:pPr>
            <w:r>
              <w:t>Part 1, items 56 and 57</w:t>
            </w:r>
          </w:p>
        </w:tc>
        <w:tc>
          <w:tcPr>
            <w:tcW w:w="1980" w:type="dxa"/>
          </w:tcPr>
          <w:p w14:paraId="73F5027F" w14:textId="77777777" w:rsidR="00FB2D9C" w:rsidRDefault="00FB2D9C" w:rsidP="00916A4F">
            <w:pPr>
              <w:pStyle w:val="tabletext"/>
            </w:pPr>
            <w:r>
              <w:t>11.96</w:t>
            </w:r>
          </w:p>
        </w:tc>
      </w:tr>
      <w:tr w:rsidR="00FB2D9C" w:rsidRPr="00231CBA" w14:paraId="7208F17D" w14:textId="77777777" w:rsidTr="00916A4F">
        <w:trPr>
          <w:tblHeader/>
        </w:trPr>
        <w:tc>
          <w:tcPr>
            <w:tcW w:w="5760" w:type="dxa"/>
          </w:tcPr>
          <w:p w14:paraId="211EC84A" w14:textId="77777777" w:rsidR="00FB2D9C" w:rsidRDefault="00FB2D9C" w:rsidP="00916A4F">
            <w:pPr>
              <w:pStyle w:val="tabletext"/>
            </w:pPr>
            <w:r>
              <w:t>Part 1, item 58</w:t>
            </w:r>
          </w:p>
        </w:tc>
        <w:tc>
          <w:tcPr>
            <w:tcW w:w="1980" w:type="dxa"/>
          </w:tcPr>
          <w:p w14:paraId="34F69042" w14:textId="77777777" w:rsidR="00FB2D9C" w:rsidRDefault="00FB2D9C" w:rsidP="00916A4F">
            <w:pPr>
              <w:pStyle w:val="tabletext"/>
            </w:pPr>
            <w:r>
              <w:t>11.98, 11.99</w:t>
            </w:r>
          </w:p>
        </w:tc>
      </w:tr>
      <w:tr w:rsidR="00FB2D9C" w:rsidRPr="00231CBA" w14:paraId="73BA5C09" w14:textId="77777777" w:rsidTr="00916A4F">
        <w:trPr>
          <w:tblHeader/>
        </w:trPr>
        <w:tc>
          <w:tcPr>
            <w:tcW w:w="5760" w:type="dxa"/>
          </w:tcPr>
          <w:p w14:paraId="5C254D7B" w14:textId="77777777" w:rsidR="00FB2D9C" w:rsidRDefault="00FB2D9C" w:rsidP="00916A4F">
            <w:pPr>
              <w:pStyle w:val="tabletext"/>
            </w:pPr>
            <w:r>
              <w:t>Part 1, item 59</w:t>
            </w:r>
          </w:p>
        </w:tc>
        <w:tc>
          <w:tcPr>
            <w:tcW w:w="1980" w:type="dxa"/>
          </w:tcPr>
          <w:p w14:paraId="1E1A584E" w14:textId="77777777" w:rsidR="00FB2D9C" w:rsidRDefault="00FB2D9C" w:rsidP="00916A4F">
            <w:pPr>
              <w:pStyle w:val="tabletext"/>
            </w:pPr>
            <w:r>
              <w:t>11.94</w:t>
            </w:r>
          </w:p>
        </w:tc>
      </w:tr>
      <w:tr w:rsidR="00FB2D9C" w:rsidRPr="00231CBA" w14:paraId="26E35725" w14:textId="77777777" w:rsidTr="00916A4F">
        <w:trPr>
          <w:tblHeader/>
        </w:trPr>
        <w:tc>
          <w:tcPr>
            <w:tcW w:w="5760" w:type="dxa"/>
          </w:tcPr>
          <w:p w14:paraId="4F69ABD9" w14:textId="77777777" w:rsidR="00FB2D9C" w:rsidRDefault="00FB2D9C" w:rsidP="00916A4F">
            <w:pPr>
              <w:pStyle w:val="tabletext"/>
            </w:pPr>
            <w:r>
              <w:t>Part 1, item 60</w:t>
            </w:r>
          </w:p>
        </w:tc>
        <w:tc>
          <w:tcPr>
            <w:tcW w:w="1980" w:type="dxa"/>
          </w:tcPr>
          <w:p w14:paraId="23F270EF" w14:textId="77777777" w:rsidR="00FB2D9C" w:rsidRDefault="00FB2D9C" w:rsidP="00916A4F">
            <w:pPr>
              <w:pStyle w:val="tabletext"/>
            </w:pPr>
            <w:r>
              <w:t>11.100</w:t>
            </w:r>
          </w:p>
        </w:tc>
      </w:tr>
      <w:tr w:rsidR="00FB2D9C" w14:paraId="4E8E1764" w14:textId="77777777" w:rsidTr="00916A4F">
        <w:trPr>
          <w:tblHeader/>
        </w:trPr>
        <w:tc>
          <w:tcPr>
            <w:tcW w:w="5760" w:type="dxa"/>
          </w:tcPr>
          <w:p w14:paraId="7A92E381" w14:textId="77777777" w:rsidR="00FB2D9C" w:rsidRDefault="00FB2D9C" w:rsidP="00916A4F">
            <w:pPr>
              <w:pStyle w:val="tabletext"/>
            </w:pPr>
            <w:r>
              <w:t>Part 1, items 61 and 62</w:t>
            </w:r>
          </w:p>
        </w:tc>
        <w:tc>
          <w:tcPr>
            <w:tcW w:w="1980" w:type="dxa"/>
          </w:tcPr>
          <w:p w14:paraId="702ECD7D" w14:textId="77777777" w:rsidR="00FB2D9C" w:rsidRDefault="00FB2D9C" w:rsidP="00916A4F">
            <w:pPr>
              <w:pStyle w:val="tabletext"/>
            </w:pPr>
            <w:r>
              <w:t>11.113</w:t>
            </w:r>
          </w:p>
        </w:tc>
      </w:tr>
      <w:tr w:rsidR="00FB2D9C" w:rsidRPr="00231CBA" w14:paraId="197A257B" w14:textId="77777777" w:rsidTr="00916A4F">
        <w:trPr>
          <w:tblHeader/>
        </w:trPr>
        <w:tc>
          <w:tcPr>
            <w:tcW w:w="5760" w:type="dxa"/>
          </w:tcPr>
          <w:p w14:paraId="3C242F38" w14:textId="77777777" w:rsidR="00FB2D9C" w:rsidRDefault="00FB2D9C" w:rsidP="00916A4F">
            <w:pPr>
              <w:pStyle w:val="tabletext"/>
            </w:pPr>
            <w:r>
              <w:t>Part 1, items 61-64</w:t>
            </w:r>
          </w:p>
        </w:tc>
        <w:tc>
          <w:tcPr>
            <w:tcW w:w="1980" w:type="dxa"/>
          </w:tcPr>
          <w:p w14:paraId="533453A8" w14:textId="77777777" w:rsidR="00FB2D9C" w:rsidRDefault="00FB2D9C" w:rsidP="00916A4F">
            <w:pPr>
              <w:pStyle w:val="tabletext"/>
            </w:pPr>
            <w:r>
              <w:t>11.101</w:t>
            </w:r>
          </w:p>
        </w:tc>
      </w:tr>
      <w:tr w:rsidR="00FB2D9C" w:rsidRPr="00231CBA" w14:paraId="1AD04253" w14:textId="77777777" w:rsidTr="00916A4F">
        <w:trPr>
          <w:tblHeader/>
        </w:trPr>
        <w:tc>
          <w:tcPr>
            <w:tcW w:w="5760" w:type="dxa"/>
          </w:tcPr>
          <w:p w14:paraId="7DFCA42A" w14:textId="77777777" w:rsidR="00FB2D9C" w:rsidRDefault="00FB2D9C" w:rsidP="00916A4F">
            <w:pPr>
              <w:pStyle w:val="tabletext"/>
            </w:pPr>
            <w:r>
              <w:t>Part 1, item 63</w:t>
            </w:r>
          </w:p>
        </w:tc>
        <w:tc>
          <w:tcPr>
            <w:tcW w:w="1980" w:type="dxa"/>
          </w:tcPr>
          <w:p w14:paraId="6032E035" w14:textId="77777777" w:rsidR="00FB2D9C" w:rsidRDefault="00FB2D9C" w:rsidP="00916A4F">
            <w:pPr>
              <w:pStyle w:val="tabletext"/>
            </w:pPr>
            <w:r>
              <w:t>11.106</w:t>
            </w:r>
          </w:p>
        </w:tc>
      </w:tr>
      <w:tr w:rsidR="00FB2D9C" w:rsidRPr="00231CBA" w14:paraId="2119F1EE" w14:textId="77777777" w:rsidTr="00916A4F">
        <w:trPr>
          <w:tblHeader/>
        </w:trPr>
        <w:tc>
          <w:tcPr>
            <w:tcW w:w="5760" w:type="dxa"/>
          </w:tcPr>
          <w:p w14:paraId="428D214D" w14:textId="77777777" w:rsidR="00FB2D9C" w:rsidRDefault="00FB2D9C" w:rsidP="00916A4F">
            <w:pPr>
              <w:pStyle w:val="tabletext"/>
            </w:pPr>
            <w:r>
              <w:t>Part 1, item 64</w:t>
            </w:r>
          </w:p>
        </w:tc>
        <w:tc>
          <w:tcPr>
            <w:tcW w:w="1980" w:type="dxa"/>
          </w:tcPr>
          <w:p w14:paraId="3B4354D3" w14:textId="77777777" w:rsidR="00FB2D9C" w:rsidRDefault="00FB2D9C" w:rsidP="00916A4F">
            <w:pPr>
              <w:pStyle w:val="tabletext"/>
            </w:pPr>
            <w:r>
              <w:t>11.107, 11.110</w:t>
            </w:r>
          </w:p>
        </w:tc>
      </w:tr>
      <w:tr w:rsidR="00FB2D9C" w14:paraId="7BC36D78" w14:textId="77777777" w:rsidTr="00916A4F">
        <w:trPr>
          <w:tblHeader/>
        </w:trPr>
        <w:tc>
          <w:tcPr>
            <w:tcW w:w="5760" w:type="dxa"/>
          </w:tcPr>
          <w:p w14:paraId="7B62F1AD" w14:textId="77777777" w:rsidR="00FB2D9C" w:rsidRDefault="00FB2D9C" w:rsidP="00916A4F">
            <w:pPr>
              <w:pStyle w:val="tabletext"/>
            </w:pPr>
            <w:r>
              <w:t>Part 1, item 65</w:t>
            </w:r>
          </w:p>
        </w:tc>
        <w:tc>
          <w:tcPr>
            <w:tcW w:w="1980" w:type="dxa"/>
          </w:tcPr>
          <w:p w14:paraId="1DDE7F39" w14:textId="77777777" w:rsidR="00FB2D9C" w:rsidRDefault="00FB2D9C" w:rsidP="00916A4F">
            <w:pPr>
              <w:pStyle w:val="tabletext"/>
            </w:pPr>
            <w:r>
              <w:t>11.102, 11.111, 11.112</w:t>
            </w:r>
          </w:p>
        </w:tc>
      </w:tr>
      <w:tr w:rsidR="00FB2D9C" w:rsidRPr="00231CBA" w14:paraId="4F8B3AC5" w14:textId="77777777" w:rsidTr="00916A4F">
        <w:trPr>
          <w:tblHeader/>
        </w:trPr>
        <w:tc>
          <w:tcPr>
            <w:tcW w:w="5760" w:type="dxa"/>
          </w:tcPr>
          <w:p w14:paraId="134B848A" w14:textId="77777777" w:rsidR="00FB2D9C" w:rsidRDefault="00FB2D9C" w:rsidP="00916A4F">
            <w:pPr>
              <w:pStyle w:val="tabletext"/>
            </w:pPr>
            <w:r>
              <w:t>Part 1, items 65 and 71</w:t>
            </w:r>
          </w:p>
        </w:tc>
        <w:tc>
          <w:tcPr>
            <w:tcW w:w="1980" w:type="dxa"/>
          </w:tcPr>
          <w:p w14:paraId="532863D8" w14:textId="77777777" w:rsidR="00FB2D9C" w:rsidRDefault="00FB2D9C" w:rsidP="00916A4F">
            <w:pPr>
              <w:pStyle w:val="tabletext"/>
            </w:pPr>
            <w:r>
              <w:t>11.103</w:t>
            </w:r>
          </w:p>
        </w:tc>
      </w:tr>
      <w:tr w:rsidR="00FB2D9C" w:rsidRPr="00231CBA" w14:paraId="4B93CF2A" w14:textId="77777777" w:rsidTr="00916A4F">
        <w:trPr>
          <w:tblHeader/>
        </w:trPr>
        <w:tc>
          <w:tcPr>
            <w:tcW w:w="5760" w:type="dxa"/>
          </w:tcPr>
          <w:p w14:paraId="2B5A8796" w14:textId="77777777" w:rsidR="00FB2D9C" w:rsidRDefault="00FB2D9C" w:rsidP="00916A4F">
            <w:pPr>
              <w:pStyle w:val="tabletext"/>
            </w:pPr>
            <w:r>
              <w:t>Part 1, items 66 to 70, 72 and 76</w:t>
            </w:r>
          </w:p>
        </w:tc>
        <w:tc>
          <w:tcPr>
            <w:tcW w:w="1980" w:type="dxa"/>
          </w:tcPr>
          <w:p w14:paraId="4B104E2C" w14:textId="77777777" w:rsidR="00FB2D9C" w:rsidRDefault="00FB2D9C" w:rsidP="00916A4F">
            <w:pPr>
              <w:pStyle w:val="tabletext"/>
            </w:pPr>
            <w:r>
              <w:t>11.119</w:t>
            </w:r>
          </w:p>
        </w:tc>
      </w:tr>
      <w:tr w:rsidR="00FB2D9C" w:rsidRPr="00231CBA" w14:paraId="1E4CAE99" w14:textId="77777777" w:rsidTr="00916A4F">
        <w:trPr>
          <w:tblHeader/>
        </w:trPr>
        <w:tc>
          <w:tcPr>
            <w:tcW w:w="5760" w:type="dxa"/>
          </w:tcPr>
          <w:p w14:paraId="007F6EA8" w14:textId="77777777" w:rsidR="00FB2D9C" w:rsidRDefault="00FB2D9C" w:rsidP="00916A4F">
            <w:pPr>
              <w:pStyle w:val="tabletext"/>
            </w:pPr>
            <w:r>
              <w:t>Part 1, item 71</w:t>
            </w:r>
          </w:p>
        </w:tc>
        <w:tc>
          <w:tcPr>
            <w:tcW w:w="1980" w:type="dxa"/>
          </w:tcPr>
          <w:p w14:paraId="33C4C1D4" w14:textId="77777777" w:rsidR="00FB2D9C" w:rsidRDefault="00FB2D9C" w:rsidP="00916A4F">
            <w:pPr>
              <w:pStyle w:val="tabletext"/>
            </w:pPr>
            <w:r>
              <w:t>11.115</w:t>
            </w:r>
          </w:p>
        </w:tc>
      </w:tr>
      <w:tr w:rsidR="00FB2D9C" w:rsidRPr="00231CBA" w14:paraId="5166093E" w14:textId="77777777" w:rsidTr="00916A4F">
        <w:trPr>
          <w:tblHeader/>
        </w:trPr>
        <w:tc>
          <w:tcPr>
            <w:tcW w:w="5760" w:type="dxa"/>
          </w:tcPr>
          <w:p w14:paraId="7ED2D49E" w14:textId="77777777" w:rsidR="00FB2D9C" w:rsidRDefault="00FB2D9C" w:rsidP="00916A4F">
            <w:pPr>
              <w:pStyle w:val="tabletext"/>
            </w:pPr>
            <w:r>
              <w:t>Part 1, items 73 and 75</w:t>
            </w:r>
          </w:p>
        </w:tc>
        <w:tc>
          <w:tcPr>
            <w:tcW w:w="1980" w:type="dxa"/>
          </w:tcPr>
          <w:p w14:paraId="7933C052" w14:textId="77777777" w:rsidR="00FB2D9C" w:rsidRDefault="00FB2D9C" w:rsidP="00916A4F">
            <w:pPr>
              <w:pStyle w:val="tabletext"/>
            </w:pPr>
            <w:r>
              <w:t>11.115</w:t>
            </w:r>
          </w:p>
        </w:tc>
      </w:tr>
      <w:tr w:rsidR="00FB2D9C" w:rsidRPr="00231CBA" w14:paraId="169F256D" w14:textId="77777777" w:rsidTr="00916A4F">
        <w:trPr>
          <w:tblHeader/>
        </w:trPr>
        <w:tc>
          <w:tcPr>
            <w:tcW w:w="5760" w:type="dxa"/>
          </w:tcPr>
          <w:p w14:paraId="527D6850" w14:textId="77777777" w:rsidR="00FB2D9C" w:rsidRDefault="00FB2D9C" w:rsidP="00916A4F">
            <w:pPr>
              <w:pStyle w:val="tabletext"/>
            </w:pPr>
            <w:r>
              <w:t>Part 1, item 74</w:t>
            </w:r>
          </w:p>
        </w:tc>
        <w:tc>
          <w:tcPr>
            <w:tcW w:w="1980" w:type="dxa"/>
          </w:tcPr>
          <w:p w14:paraId="3017A845" w14:textId="77777777" w:rsidR="00FB2D9C" w:rsidRDefault="00FB2D9C" w:rsidP="00916A4F">
            <w:pPr>
              <w:pStyle w:val="tabletext"/>
            </w:pPr>
            <w:r>
              <w:t>11.116</w:t>
            </w:r>
          </w:p>
        </w:tc>
      </w:tr>
      <w:tr w:rsidR="00FB2D9C" w:rsidRPr="00231CBA" w14:paraId="1975237D" w14:textId="77777777" w:rsidTr="00916A4F">
        <w:trPr>
          <w:tblHeader/>
        </w:trPr>
        <w:tc>
          <w:tcPr>
            <w:tcW w:w="5760" w:type="dxa"/>
          </w:tcPr>
          <w:p w14:paraId="726B8F93" w14:textId="77777777" w:rsidR="00FB2D9C" w:rsidRDefault="00FB2D9C" w:rsidP="00916A4F">
            <w:pPr>
              <w:pStyle w:val="tabletext"/>
            </w:pPr>
            <w:r>
              <w:t>Part 1, item 78</w:t>
            </w:r>
          </w:p>
        </w:tc>
        <w:tc>
          <w:tcPr>
            <w:tcW w:w="1980" w:type="dxa"/>
          </w:tcPr>
          <w:p w14:paraId="236FF776" w14:textId="77777777" w:rsidR="00FB2D9C" w:rsidRDefault="00FB2D9C" w:rsidP="00916A4F">
            <w:pPr>
              <w:pStyle w:val="tabletext"/>
            </w:pPr>
            <w:r>
              <w:t>11.118</w:t>
            </w:r>
          </w:p>
        </w:tc>
      </w:tr>
      <w:tr w:rsidR="00FB2D9C" w:rsidRPr="00231CBA" w14:paraId="325D3EF2" w14:textId="77777777" w:rsidTr="00916A4F">
        <w:trPr>
          <w:tblHeader/>
        </w:trPr>
        <w:tc>
          <w:tcPr>
            <w:tcW w:w="5760" w:type="dxa"/>
          </w:tcPr>
          <w:p w14:paraId="3DDF4009" w14:textId="77777777" w:rsidR="00FB2D9C" w:rsidRDefault="00FB2D9C" w:rsidP="00916A4F">
            <w:pPr>
              <w:pStyle w:val="tabletext"/>
            </w:pPr>
            <w:r>
              <w:t>Part 1, items 79 and 80</w:t>
            </w:r>
          </w:p>
        </w:tc>
        <w:tc>
          <w:tcPr>
            <w:tcW w:w="1980" w:type="dxa"/>
          </w:tcPr>
          <w:p w14:paraId="38A87A01" w14:textId="77777777" w:rsidR="00FB2D9C" w:rsidRDefault="00FB2D9C" w:rsidP="00916A4F">
            <w:pPr>
              <w:pStyle w:val="tabletext"/>
            </w:pPr>
            <w:r>
              <w:t>11.123</w:t>
            </w:r>
          </w:p>
        </w:tc>
      </w:tr>
      <w:tr w:rsidR="00FB2D9C" w:rsidRPr="00231CBA" w14:paraId="1B77F282" w14:textId="77777777" w:rsidTr="00916A4F">
        <w:trPr>
          <w:tblHeader/>
        </w:trPr>
        <w:tc>
          <w:tcPr>
            <w:tcW w:w="5760" w:type="dxa"/>
          </w:tcPr>
          <w:p w14:paraId="3E44A7CD" w14:textId="77777777" w:rsidR="00FB2D9C" w:rsidRDefault="00FB2D9C" w:rsidP="00916A4F">
            <w:pPr>
              <w:pStyle w:val="tabletext"/>
            </w:pPr>
            <w:r>
              <w:t>Part 1, item 81</w:t>
            </w:r>
          </w:p>
        </w:tc>
        <w:tc>
          <w:tcPr>
            <w:tcW w:w="1980" w:type="dxa"/>
          </w:tcPr>
          <w:p w14:paraId="6AE62DCD" w14:textId="77777777" w:rsidR="00FB2D9C" w:rsidRDefault="00FB2D9C" w:rsidP="00916A4F">
            <w:pPr>
              <w:pStyle w:val="tabletext"/>
            </w:pPr>
            <w:r>
              <w:t>11.130</w:t>
            </w:r>
          </w:p>
        </w:tc>
      </w:tr>
      <w:tr w:rsidR="00FB2D9C" w:rsidRPr="00231CBA" w14:paraId="6D2FD184" w14:textId="77777777" w:rsidTr="00916A4F">
        <w:trPr>
          <w:tblHeader/>
        </w:trPr>
        <w:tc>
          <w:tcPr>
            <w:tcW w:w="5760" w:type="dxa"/>
          </w:tcPr>
          <w:p w14:paraId="639F2164" w14:textId="77777777" w:rsidR="00FB2D9C" w:rsidRDefault="00FB2D9C" w:rsidP="00916A4F">
            <w:pPr>
              <w:pStyle w:val="tabletext"/>
            </w:pPr>
            <w:r>
              <w:t>Part 1, item 82</w:t>
            </w:r>
          </w:p>
        </w:tc>
        <w:tc>
          <w:tcPr>
            <w:tcW w:w="1980" w:type="dxa"/>
          </w:tcPr>
          <w:p w14:paraId="6AD0F40F" w14:textId="77777777" w:rsidR="00FB2D9C" w:rsidRDefault="00FB2D9C" w:rsidP="00916A4F">
            <w:pPr>
              <w:pStyle w:val="tabletext"/>
            </w:pPr>
            <w:r>
              <w:t>11.132</w:t>
            </w:r>
          </w:p>
        </w:tc>
      </w:tr>
      <w:tr w:rsidR="00FB2D9C" w:rsidRPr="00231CBA" w14:paraId="28C19E8E" w14:textId="77777777" w:rsidTr="00916A4F">
        <w:trPr>
          <w:tblHeader/>
        </w:trPr>
        <w:tc>
          <w:tcPr>
            <w:tcW w:w="5760" w:type="dxa"/>
          </w:tcPr>
          <w:p w14:paraId="5E85AEB6" w14:textId="77777777" w:rsidR="00FB2D9C" w:rsidRDefault="00FB2D9C" w:rsidP="00916A4F">
            <w:pPr>
              <w:pStyle w:val="tabletext"/>
            </w:pPr>
            <w:r>
              <w:t>Part 1, item 83</w:t>
            </w:r>
          </w:p>
        </w:tc>
        <w:tc>
          <w:tcPr>
            <w:tcW w:w="1980" w:type="dxa"/>
          </w:tcPr>
          <w:p w14:paraId="498C5C66" w14:textId="77777777" w:rsidR="00FB2D9C" w:rsidRDefault="00FB2D9C" w:rsidP="00916A4F">
            <w:pPr>
              <w:pStyle w:val="tabletext"/>
            </w:pPr>
            <w:r>
              <w:t>11.134</w:t>
            </w:r>
          </w:p>
        </w:tc>
      </w:tr>
      <w:tr w:rsidR="00FB2D9C" w:rsidRPr="00231CBA" w14:paraId="0DA46874" w14:textId="77777777" w:rsidTr="00916A4F">
        <w:trPr>
          <w:tblHeader/>
        </w:trPr>
        <w:tc>
          <w:tcPr>
            <w:tcW w:w="5760" w:type="dxa"/>
          </w:tcPr>
          <w:p w14:paraId="26EC7DD6" w14:textId="77777777" w:rsidR="00FB2D9C" w:rsidRDefault="00FB2D9C" w:rsidP="00916A4F">
            <w:pPr>
              <w:pStyle w:val="tabletext"/>
            </w:pPr>
            <w:r>
              <w:t>Part 1, item 84</w:t>
            </w:r>
          </w:p>
        </w:tc>
        <w:tc>
          <w:tcPr>
            <w:tcW w:w="1980" w:type="dxa"/>
          </w:tcPr>
          <w:p w14:paraId="59A442D2" w14:textId="77777777" w:rsidR="00FB2D9C" w:rsidRDefault="00FB2D9C" w:rsidP="00916A4F">
            <w:pPr>
              <w:pStyle w:val="tabletext"/>
            </w:pPr>
            <w:r>
              <w:t>11.136</w:t>
            </w:r>
          </w:p>
        </w:tc>
      </w:tr>
      <w:tr w:rsidR="00FB2D9C" w:rsidRPr="00231CBA" w14:paraId="1FBDECF8" w14:textId="77777777" w:rsidTr="00916A4F">
        <w:trPr>
          <w:tblHeader/>
        </w:trPr>
        <w:tc>
          <w:tcPr>
            <w:tcW w:w="5760" w:type="dxa"/>
          </w:tcPr>
          <w:p w14:paraId="7747EEC6" w14:textId="77777777" w:rsidR="00FB2D9C" w:rsidRDefault="00FB2D9C" w:rsidP="00916A4F">
            <w:pPr>
              <w:pStyle w:val="tabletext"/>
            </w:pPr>
            <w:r>
              <w:t>Part 1, items 85-87</w:t>
            </w:r>
          </w:p>
        </w:tc>
        <w:tc>
          <w:tcPr>
            <w:tcW w:w="1980" w:type="dxa"/>
          </w:tcPr>
          <w:p w14:paraId="1DA00A75" w14:textId="77777777" w:rsidR="00FB2D9C" w:rsidRDefault="00FB2D9C" w:rsidP="00916A4F">
            <w:pPr>
              <w:pStyle w:val="tabletext"/>
            </w:pPr>
            <w:r>
              <w:t>11.138</w:t>
            </w:r>
          </w:p>
        </w:tc>
      </w:tr>
      <w:tr w:rsidR="00FB2D9C" w:rsidRPr="00231CBA" w14:paraId="17CE520F" w14:textId="77777777" w:rsidTr="00916A4F">
        <w:trPr>
          <w:tblHeader/>
        </w:trPr>
        <w:tc>
          <w:tcPr>
            <w:tcW w:w="5760" w:type="dxa"/>
          </w:tcPr>
          <w:p w14:paraId="54389DFD" w14:textId="77777777" w:rsidR="00FB2D9C" w:rsidRDefault="00FB2D9C" w:rsidP="00916A4F">
            <w:pPr>
              <w:pStyle w:val="tabletext"/>
            </w:pPr>
            <w:r>
              <w:t>Part 1, items 88 and 91</w:t>
            </w:r>
          </w:p>
        </w:tc>
        <w:tc>
          <w:tcPr>
            <w:tcW w:w="1980" w:type="dxa"/>
          </w:tcPr>
          <w:p w14:paraId="1B11E015" w14:textId="77777777" w:rsidR="00FB2D9C" w:rsidRDefault="00FB2D9C" w:rsidP="00916A4F">
            <w:pPr>
              <w:pStyle w:val="tabletext"/>
            </w:pPr>
            <w:r>
              <w:t>11.140</w:t>
            </w:r>
          </w:p>
        </w:tc>
      </w:tr>
      <w:tr w:rsidR="00FB2D9C" w:rsidRPr="00231CBA" w14:paraId="0956C4A7" w14:textId="77777777" w:rsidTr="00916A4F">
        <w:trPr>
          <w:tblHeader/>
        </w:trPr>
        <w:tc>
          <w:tcPr>
            <w:tcW w:w="5760" w:type="dxa"/>
          </w:tcPr>
          <w:p w14:paraId="612EC76A" w14:textId="77777777" w:rsidR="00FB2D9C" w:rsidRDefault="00FB2D9C" w:rsidP="00916A4F">
            <w:pPr>
              <w:pStyle w:val="tabletext"/>
            </w:pPr>
            <w:r>
              <w:t>Part 1, items 89 and 90, 92 to 96 and 98 to 100</w:t>
            </w:r>
          </w:p>
        </w:tc>
        <w:tc>
          <w:tcPr>
            <w:tcW w:w="1980" w:type="dxa"/>
          </w:tcPr>
          <w:p w14:paraId="5AA50FAA" w14:textId="77777777" w:rsidR="00FB2D9C" w:rsidRDefault="00FB2D9C" w:rsidP="00916A4F">
            <w:pPr>
              <w:pStyle w:val="tabletext"/>
            </w:pPr>
            <w:r>
              <w:t>11.142</w:t>
            </w:r>
          </w:p>
        </w:tc>
      </w:tr>
      <w:tr w:rsidR="00FB2D9C" w:rsidRPr="00231CBA" w14:paraId="56617F51" w14:textId="77777777" w:rsidTr="00916A4F">
        <w:trPr>
          <w:tblHeader/>
        </w:trPr>
        <w:tc>
          <w:tcPr>
            <w:tcW w:w="5760" w:type="dxa"/>
          </w:tcPr>
          <w:p w14:paraId="60C2F09D" w14:textId="77777777" w:rsidR="00FB2D9C" w:rsidRDefault="00FB2D9C" w:rsidP="00916A4F">
            <w:pPr>
              <w:pStyle w:val="tabletext"/>
            </w:pPr>
            <w:r>
              <w:t>Part 1, item 97</w:t>
            </w:r>
          </w:p>
        </w:tc>
        <w:tc>
          <w:tcPr>
            <w:tcW w:w="1980" w:type="dxa"/>
          </w:tcPr>
          <w:p w14:paraId="3195AED9" w14:textId="77777777" w:rsidR="00FB2D9C" w:rsidRDefault="00FB2D9C" w:rsidP="00916A4F">
            <w:pPr>
              <w:pStyle w:val="tabletext"/>
            </w:pPr>
            <w:r>
              <w:t>11.141</w:t>
            </w:r>
          </w:p>
        </w:tc>
      </w:tr>
      <w:tr w:rsidR="00FB2D9C" w:rsidRPr="00231CBA" w14:paraId="300A392C" w14:textId="77777777" w:rsidTr="00916A4F">
        <w:trPr>
          <w:tblHeader/>
        </w:trPr>
        <w:tc>
          <w:tcPr>
            <w:tcW w:w="5760" w:type="dxa"/>
          </w:tcPr>
          <w:p w14:paraId="755E2103" w14:textId="77777777" w:rsidR="00FB2D9C" w:rsidRDefault="00FB2D9C" w:rsidP="00916A4F">
            <w:pPr>
              <w:pStyle w:val="tabletext"/>
            </w:pPr>
            <w:r>
              <w:t>Part 1, items 101-104</w:t>
            </w:r>
          </w:p>
        </w:tc>
        <w:tc>
          <w:tcPr>
            <w:tcW w:w="1980" w:type="dxa"/>
          </w:tcPr>
          <w:p w14:paraId="37256115" w14:textId="77777777" w:rsidR="00FB2D9C" w:rsidRDefault="00FB2D9C" w:rsidP="00916A4F">
            <w:pPr>
              <w:pStyle w:val="tabletext"/>
            </w:pPr>
            <w:r>
              <w:t>11.144</w:t>
            </w:r>
          </w:p>
        </w:tc>
      </w:tr>
      <w:tr w:rsidR="00FB2D9C" w:rsidRPr="00231CBA" w14:paraId="2B686106" w14:textId="77777777" w:rsidTr="00916A4F">
        <w:trPr>
          <w:tblHeader/>
        </w:trPr>
        <w:tc>
          <w:tcPr>
            <w:tcW w:w="5760" w:type="dxa"/>
          </w:tcPr>
          <w:p w14:paraId="13401EF5" w14:textId="77777777" w:rsidR="00FB2D9C" w:rsidRDefault="00FB2D9C" w:rsidP="00916A4F">
            <w:pPr>
              <w:pStyle w:val="tabletext"/>
            </w:pPr>
            <w:r>
              <w:t>Part 1, items 105, 106 and 108 to 111</w:t>
            </w:r>
          </w:p>
        </w:tc>
        <w:tc>
          <w:tcPr>
            <w:tcW w:w="1980" w:type="dxa"/>
          </w:tcPr>
          <w:p w14:paraId="1DF06BE8" w14:textId="77777777" w:rsidR="00FB2D9C" w:rsidRDefault="00FB2D9C" w:rsidP="00916A4F">
            <w:pPr>
              <w:pStyle w:val="tabletext"/>
            </w:pPr>
            <w:r>
              <w:t>11.149</w:t>
            </w:r>
          </w:p>
        </w:tc>
      </w:tr>
      <w:tr w:rsidR="00FB2D9C" w:rsidRPr="00231CBA" w14:paraId="10BB692C" w14:textId="77777777" w:rsidTr="00916A4F">
        <w:trPr>
          <w:tblHeader/>
        </w:trPr>
        <w:tc>
          <w:tcPr>
            <w:tcW w:w="5760" w:type="dxa"/>
          </w:tcPr>
          <w:p w14:paraId="5E5EF06E" w14:textId="77777777" w:rsidR="00FB2D9C" w:rsidRDefault="00FB2D9C" w:rsidP="00916A4F">
            <w:pPr>
              <w:pStyle w:val="tabletext"/>
            </w:pPr>
            <w:r>
              <w:t>Part 1, item 107</w:t>
            </w:r>
          </w:p>
        </w:tc>
        <w:tc>
          <w:tcPr>
            <w:tcW w:w="1980" w:type="dxa"/>
          </w:tcPr>
          <w:p w14:paraId="7B3A9036" w14:textId="77777777" w:rsidR="00FB2D9C" w:rsidRDefault="00FB2D9C" w:rsidP="00916A4F">
            <w:pPr>
              <w:pStyle w:val="tabletext"/>
            </w:pPr>
            <w:r>
              <w:t>11.148</w:t>
            </w:r>
          </w:p>
        </w:tc>
      </w:tr>
      <w:tr w:rsidR="00FB2D9C" w:rsidRPr="00231CBA" w14:paraId="26AC603F" w14:textId="77777777" w:rsidTr="00916A4F">
        <w:trPr>
          <w:tblHeader/>
        </w:trPr>
        <w:tc>
          <w:tcPr>
            <w:tcW w:w="5760" w:type="dxa"/>
          </w:tcPr>
          <w:p w14:paraId="00BE72B6" w14:textId="77777777" w:rsidR="00FB2D9C" w:rsidRDefault="00FB2D9C" w:rsidP="00916A4F">
            <w:pPr>
              <w:pStyle w:val="tabletext"/>
            </w:pPr>
            <w:r>
              <w:t>Part 1, items 112 to 122</w:t>
            </w:r>
          </w:p>
        </w:tc>
        <w:tc>
          <w:tcPr>
            <w:tcW w:w="1980" w:type="dxa"/>
          </w:tcPr>
          <w:p w14:paraId="25436CA9" w14:textId="77777777" w:rsidR="00FB2D9C" w:rsidRDefault="00FB2D9C" w:rsidP="00916A4F">
            <w:pPr>
              <w:pStyle w:val="tabletext"/>
            </w:pPr>
            <w:r>
              <w:t>11.154</w:t>
            </w:r>
          </w:p>
        </w:tc>
      </w:tr>
      <w:tr w:rsidR="00FB2D9C" w:rsidRPr="00231CBA" w14:paraId="69A90FB1" w14:textId="77777777" w:rsidTr="00916A4F">
        <w:trPr>
          <w:tblHeader/>
        </w:trPr>
        <w:tc>
          <w:tcPr>
            <w:tcW w:w="5760" w:type="dxa"/>
          </w:tcPr>
          <w:p w14:paraId="3DF50F7D" w14:textId="77777777" w:rsidR="00FB2D9C" w:rsidRDefault="00FB2D9C" w:rsidP="00916A4F">
            <w:pPr>
              <w:pStyle w:val="tabletext"/>
            </w:pPr>
            <w:r>
              <w:t>Part 1, item 123</w:t>
            </w:r>
          </w:p>
        </w:tc>
        <w:tc>
          <w:tcPr>
            <w:tcW w:w="1980" w:type="dxa"/>
          </w:tcPr>
          <w:p w14:paraId="7D601240" w14:textId="77777777" w:rsidR="00FB2D9C" w:rsidRDefault="00FB2D9C" w:rsidP="00916A4F">
            <w:pPr>
              <w:pStyle w:val="tabletext"/>
            </w:pPr>
            <w:r>
              <w:t>11.157</w:t>
            </w:r>
          </w:p>
        </w:tc>
      </w:tr>
      <w:tr w:rsidR="00FB2D9C" w:rsidRPr="00231CBA" w14:paraId="7D9342CF" w14:textId="77777777" w:rsidTr="00916A4F">
        <w:trPr>
          <w:tblHeader/>
        </w:trPr>
        <w:tc>
          <w:tcPr>
            <w:tcW w:w="5760" w:type="dxa"/>
          </w:tcPr>
          <w:p w14:paraId="15CBEF77" w14:textId="77777777" w:rsidR="00FB2D9C" w:rsidRDefault="00FB2D9C" w:rsidP="00916A4F">
            <w:pPr>
              <w:pStyle w:val="tabletext"/>
            </w:pPr>
            <w:r>
              <w:t>Part 1, item 124</w:t>
            </w:r>
          </w:p>
        </w:tc>
        <w:tc>
          <w:tcPr>
            <w:tcW w:w="1980" w:type="dxa"/>
          </w:tcPr>
          <w:p w14:paraId="4BAE6CDD" w14:textId="77777777" w:rsidR="00FB2D9C" w:rsidRDefault="00FB2D9C" w:rsidP="00916A4F">
            <w:pPr>
              <w:pStyle w:val="tabletext"/>
            </w:pPr>
            <w:r>
              <w:t>11.159</w:t>
            </w:r>
          </w:p>
        </w:tc>
      </w:tr>
      <w:tr w:rsidR="00FB2D9C" w:rsidRPr="00231CBA" w14:paraId="4793A7F8" w14:textId="77777777" w:rsidTr="00916A4F">
        <w:trPr>
          <w:tblHeader/>
        </w:trPr>
        <w:tc>
          <w:tcPr>
            <w:tcW w:w="5760" w:type="dxa"/>
          </w:tcPr>
          <w:p w14:paraId="1576E7F4" w14:textId="77777777" w:rsidR="00FB2D9C" w:rsidRDefault="00FB2D9C" w:rsidP="00916A4F">
            <w:pPr>
              <w:pStyle w:val="tabletext"/>
            </w:pPr>
            <w:r>
              <w:t>Part 1, item 125</w:t>
            </w:r>
          </w:p>
        </w:tc>
        <w:tc>
          <w:tcPr>
            <w:tcW w:w="1980" w:type="dxa"/>
          </w:tcPr>
          <w:p w14:paraId="0DAD2C92" w14:textId="77777777" w:rsidR="00FB2D9C" w:rsidRDefault="00FB2D9C" w:rsidP="00916A4F">
            <w:pPr>
              <w:pStyle w:val="tabletext"/>
            </w:pPr>
            <w:r>
              <w:t>11.160</w:t>
            </w:r>
          </w:p>
        </w:tc>
      </w:tr>
      <w:tr w:rsidR="00FB2D9C" w:rsidRPr="00231CBA" w14:paraId="5A103DA5" w14:textId="77777777" w:rsidTr="00916A4F">
        <w:trPr>
          <w:tblHeader/>
        </w:trPr>
        <w:tc>
          <w:tcPr>
            <w:tcW w:w="5760" w:type="dxa"/>
          </w:tcPr>
          <w:p w14:paraId="069FA126" w14:textId="77777777" w:rsidR="00FB2D9C" w:rsidRDefault="00FB2D9C" w:rsidP="00916A4F">
            <w:pPr>
              <w:pStyle w:val="tabletext"/>
            </w:pPr>
            <w:r>
              <w:t>Part 1, item 126</w:t>
            </w:r>
          </w:p>
        </w:tc>
        <w:tc>
          <w:tcPr>
            <w:tcW w:w="1980" w:type="dxa"/>
          </w:tcPr>
          <w:p w14:paraId="34F5F04B" w14:textId="77777777" w:rsidR="00FB2D9C" w:rsidRDefault="00FB2D9C" w:rsidP="00916A4F">
            <w:pPr>
              <w:pStyle w:val="tabletext"/>
            </w:pPr>
            <w:r>
              <w:t>11.161, 11.164</w:t>
            </w:r>
          </w:p>
        </w:tc>
      </w:tr>
      <w:tr w:rsidR="00FB2D9C" w:rsidRPr="00231CBA" w14:paraId="4F9A557B" w14:textId="77777777" w:rsidTr="00916A4F">
        <w:trPr>
          <w:tblHeader/>
        </w:trPr>
        <w:tc>
          <w:tcPr>
            <w:tcW w:w="5760" w:type="dxa"/>
          </w:tcPr>
          <w:p w14:paraId="3C19B8F6" w14:textId="77777777" w:rsidR="00FB2D9C" w:rsidRDefault="00FB2D9C" w:rsidP="00916A4F">
            <w:pPr>
              <w:pStyle w:val="tabletext"/>
            </w:pPr>
            <w:r>
              <w:t>Part 1, items 127, 129 to 132 and 134 to 136</w:t>
            </w:r>
          </w:p>
        </w:tc>
        <w:tc>
          <w:tcPr>
            <w:tcW w:w="1980" w:type="dxa"/>
          </w:tcPr>
          <w:p w14:paraId="41D97CED" w14:textId="77777777" w:rsidR="00FB2D9C" w:rsidRDefault="00FB2D9C" w:rsidP="00916A4F">
            <w:pPr>
              <w:pStyle w:val="tabletext"/>
            </w:pPr>
            <w:r>
              <w:t>11.170</w:t>
            </w:r>
          </w:p>
        </w:tc>
      </w:tr>
      <w:tr w:rsidR="00FB2D9C" w:rsidRPr="00231CBA" w14:paraId="136345EF" w14:textId="77777777" w:rsidTr="00916A4F">
        <w:trPr>
          <w:tblHeader/>
        </w:trPr>
        <w:tc>
          <w:tcPr>
            <w:tcW w:w="5760" w:type="dxa"/>
          </w:tcPr>
          <w:p w14:paraId="6ECE312A" w14:textId="77777777" w:rsidR="00FB2D9C" w:rsidRDefault="00FB2D9C" w:rsidP="00916A4F">
            <w:pPr>
              <w:pStyle w:val="tabletext"/>
            </w:pPr>
            <w:r>
              <w:t>Part 1, item 128</w:t>
            </w:r>
          </w:p>
        </w:tc>
        <w:tc>
          <w:tcPr>
            <w:tcW w:w="1980" w:type="dxa"/>
          </w:tcPr>
          <w:p w14:paraId="7740FE28" w14:textId="77777777" w:rsidR="00FB2D9C" w:rsidRDefault="00FB2D9C" w:rsidP="00916A4F">
            <w:pPr>
              <w:pStyle w:val="tabletext"/>
            </w:pPr>
            <w:r>
              <w:t>11.171</w:t>
            </w:r>
          </w:p>
        </w:tc>
      </w:tr>
      <w:tr w:rsidR="00FB2D9C" w:rsidRPr="00231CBA" w14:paraId="5ECFE068" w14:textId="77777777" w:rsidTr="00916A4F">
        <w:trPr>
          <w:tblHeader/>
        </w:trPr>
        <w:tc>
          <w:tcPr>
            <w:tcW w:w="5760" w:type="dxa"/>
          </w:tcPr>
          <w:p w14:paraId="627EAFF9" w14:textId="77777777" w:rsidR="00FB2D9C" w:rsidRDefault="00FB2D9C" w:rsidP="00916A4F">
            <w:pPr>
              <w:pStyle w:val="tabletext"/>
            </w:pPr>
            <w:r>
              <w:t>Part 1, item 132</w:t>
            </w:r>
          </w:p>
        </w:tc>
        <w:tc>
          <w:tcPr>
            <w:tcW w:w="1980" w:type="dxa"/>
          </w:tcPr>
          <w:p w14:paraId="3131CE9B" w14:textId="77777777" w:rsidR="00FB2D9C" w:rsidRDefault="00FB2D9C" w:rsidP="00916A4F">
            <w:pPr>
              <w:pStyle w:val="tabletext"/>
            </w:pPr>
            <w:r>
              <w:t>11.172</w:t>
            </w:r>
          </w:p>
        </w:tc>
      </w:tr>
      <w:tr w:rsidR="00FB2D9C" w:rsidRPr="00231CBA" w14:paraId="37BBC3FC" w14:textId="77777777" w:rsidTr="00916A4F">
        <w:trPr>
          <w:tblHeader/>
        </w:trPr>
        <w:tc>
          <w:tcPr>
            <w:tcW w:w="5760" w:type="dxa"/>
          </w:tcPr>
          <w:p w14:paraId="67E0D649" w14:textId="77777777" w:rsidR="00FB2D9C" w:rsidRDefault="00FB2D9C" w:rsidP="00916A4F">
            <w:pPr>
              <w:pStyle w:val="tabletext"/>
            </w:pPr>
            <w:r>
              <w:t>Part 1, item 133</w:t>
            </w:r>
          </w:p>
        </w:tc>
        <w:tc>
          <w:tcPr>
            <w:tcW w:w="1980" w:type="dxa"/>
          </w:tcPr>
          <w:p w14:paraId="3789ACED" w14:textId="77777777" w:rsidR="00FB2D9C" w:rsidRDefault="00FB2D9C" w:rsidP="00916A4F">
            <w:pPr>
              <w:pStyle w:val="tabletext"/>
            </w:pPr>
            <w:r>
              <w:t>11.172</w:t>
            </w:r>
          </w:p>
        </w:tc>
      </w:tr>
      <w:tr w:rsidR="00FB2D9C" w:rsidRPr="00231CBA" w14:paraId="499431E0" w14:textId="77777777" w:rsidTr="00916A4F">
        <w:trPr>
          <w:tblHeader/>
        </w:trPr>
        <w:tc>
          <w:tcPr>
            <w:tcW w:w="5760" w:type="dxa"/>
          </w:tcPr>
          <w:p w14:paraId="395A63C1" w14:textId="77777777" w:rsidR="00FB2D9C" w:rsidRDefault="00FB2D9C" w:rsidP="00916A4F">
            <w:pPr>
              <w:pStyle w:val="tabletext"/>
            </w:pPr>
            <w:r>
              <w:t>Part 1, items 134 and 135</w:t>
            </w:r>
          </w:p>
        </w:tc>
        <w:tc>
          <w:tcPr>
            <w:tcW w:w="1980" w:type="dxa"/>
          </w:tcPr>
          <w:p w14:paraId="5BB1A858" w14:textId="77777777" w:rsidR="00FB2D9C" w:rsidRDefault="00FB2D9C" w:rsidP="00916A4F">
            <w:pPr>
              <w:pStyle w:val="tabletext"/>
            </w:pPr>
            <w:r>
              <w:t>11.172</w:t>
            </w:r>
          </w:p>
        </w:tc>
      </w:tr>
      <w:tr w:rsidR="00FB2D9C" w:rsidRPr="00231CBA" w14:paraId="592E636D" w14:textId="77777777" w:rsidTr="00916A4F">
        <w:trPr>
          <w:tblHeader/>
        </w:trPr>
        <w:tc>
          <w:tcPr>
            <w:tcW w:w="5760" w:type="dxa"/>
          </w:tcPr>
          <w:p w14:paraId="554A4C85" w14:textId="77777777" w:rsidR="00FB2D9C" w:rsidRDefault="00FB2D9C" w:rsidP="00916A4F">
            <w:pPr>
              <w:pStyle w:val="tabletext"/>
            </w:pPr>
            <w:r>
              <w:t>Part 1, items 137 to 139</w:t>
            </w:r>
          </w:p>
        </w:tc>
        <w:tc>
          <w:tcPr>
            <w:tcW w:w="1980" w:type="dxa"/>
          </w:tcPr>
          <w:p w14:paraId="1E66649B" w14:textId="77777777" w:rsidR="00FB2D9C" w:rsidRDefault="00FB2D9C" w:rsidP="00916A4F">
            <w:pPr>
              <w:pStyle w:val="tabletext"/>
            </w:pPr>
            <w:r>
              <w:t>11.174</w:t>
            </w:r>
          </w:p>
        </w:tc>
      </w:tr>
      <w:tr w:rsidR="00FB2D9C" w:rsidRPr="00231CBA" w14:paraId="24FD3792" w14:textId="77777777" w:rsidTr="00916A4F">
        <w:trPr>
          <w:tblHeader/>
        </w:trPr>
        <w:tc>
          <w:tcPr>
            <w:tcW w:w="5760" w:type="dxa"/>
          </w:tcPr>
          <w:p w14:paraId="63A9339F" w14:textId="77777777" w:rsidR="00FB2D9C" w:rsidRDefault="00FB2D9C" w:rsidP="00916A4F">
            <w:pPr>
              <w:pStyle w:val="tabletext"/>
            </w:pPr>
            <w:r>
              <w:t>Part 1, item 140</w:t>
            </w:r>
          </w:p>
        </w:tc>
        <w:tc>
          <w:tcPr>
            <w:tcW w:w="1980" w:type="dxa"/>
          </w:tcPr>
          <w:p w14:paraId="6D2E5198" w14:textId="77777777" w:rsidR="00FB2D9C" w:rsidRDefault="00FB2D9C" w:rsidP="00916A4F">
            <w:pPr>
              <w:pStyle w:val="tabletext"/>
            </w:pPr>
            <w:r>
              <w:t>11.176</w:t>
            </w:r>
          </w:p>
        </w:tc>
      </w:tr>
      <w:tr w:rsidR="00FB2D9C" w:rsidRPr="00231CBA" w14:paraId="1DE3341E" w14:textId="77777777" w:rsidTr="00916A4F">
        <w:trPr>
          <w:tblHeader/>
        </w:trPr>
        <w:tc>
          <w:tcPr>
            <w:tcW w:w="5760" w:type="dxa"/>
          </w:tcPr>
          <w:p w14:paraId="21499F8D" w14:textId="77777777" w:rsidR="00FB2D9C" w:rsidRDefault="00FB2D9C" w:rsidP="00916A4F">
            <w:pPr>
              <w:pStyle w:val="tabletext"/>
            </w:pPr>
            <w:r>
              <w:t>Part 1, item 141 and 142</w:t>
            </w:r>
          </w:p>
        </w:tc>
        <w:tc>
          <w:tcPr>
            <w:tcW w:w="1980" w:type="dxa"/>
          </w:tcPr>
          <w:p w14:paraId="207AB0F4" w14:textId="77777777" w:rsidR="00FB2D9C" w:rsidRDefault="00FB2D9C" w:rsidP="00916A4F">
            <w:pPr>
              <w:pStyle w:val="tabletext"/>
            </w:pPr>
            <w:r>
              <w:t>11.177</w:t>
            </w:r>
          </w:p>
        </w:tc>
      </w:tr>
      <w:tr w:rsidR="00FB2D9C" w:rsidRPr="00231CBA" w14:paraId="490EB030" w14:textId="77777777" w:rsidTr="00916A4F">
        <w:trPr>
          <w:tblHeader/>
        </w:trPr>
        <w:tc>
          <w:tcPr>
            <w:tcW w:w="5760" w:type="dxa"/>
          </w:tcPr>
          <w:p w14:paraId="30533492" w14:textId="77777777" w:rsidR="00FB2D9C" w:rsidRDefault="00FB2D9C" w:rsidP="00916A4F">
            <w:pPr>
              <w:pStyle w:val="tabletext"/>
            </w:pPr>
            <w:r>
              <w:t>Part 1, item 143</w:t>
            </w:r>
          </w:p>
        </w:tc>
        <w:tc>
          <w:tcPr>
            <w:tcW w:w="1980" w:type="dxa"/>
          </w:tcPr>
          <w:p w14:paraId="03149E6F" w14:textId="77777777" w:rsidR="00FB2D9C" w:rsidRDefault="00FB2D9C" w:rsidP="00916A4F">
            <w:pPr>
              <w:pStyle w:val="tabletext"/>
            </w:pPr>
            <w:r>
              <w:t>11.184</w:t>
            </w:r>
          </w:p>
        </w:tc>
      </w:tr>
      <w:tr w:rsidR="00FB2D9C" w:rsidRPr="00231CBA" w14:paraId="3063F779" w14:textId="77777777" w:rsidTr="00916A4F">
        <w:trPr>
          <w:tblHeader/>
        </w:trPr>
        <w:tc>
          <w:tcPr>
            <w:tcW w:w="5760" w:type="dxa"/>
          </w:tcPr>
          <w:p w14:paraId="5389ED31" w14:textId="77777777" w:rsidR="00FB2D9C" w:rsidRDefault="00FB2D9C" w:rsidP="00916A4F">
            <w:pPr>
              <w:pStyle w:val="tabletext"/>
            </w:pPr>
            <w:r>
              <w:t>Part 1, item 144</w:t>
            </w:r>
          </w:p>
        </w:tc>
        <w:tc>
          <w:tcPr>
            <w:tcW w:w="1980" w:type="dxa"/>
          </w:tcPr>
          <w:p w14:paraId="6D5D53C7" w14:textId="77777777" w:rsidR="00FB2D9C" w:rsidRDefault="00FB2D9C" w:rsidP="00916A4F">
            <w:pPr>
              <w:pStyle w:val="tabletext"/>
            </w:pPr>
            <w:r>
              <w:t>11.182</w:t>
            </w:r>
          </w:p>
        </w:tc>
      </w:tr>
      <w:tr w:rsidR="00FB2D9C" w:rsidRPr="00231CBA" w14:paraId="21ACDD9C" w14:textId="77777777" w:rsidTr="00916A4F">
        <w:trPr>
          <w:tblHeader/>
        </w:trPr>
        <w:tc>
          <w:tcPr>
            <w:tcW w:w="5760" w:type="dxa"/>
          </w:tcPr>
          <w:p w14:paraId="0619B24E" w14:textId="77777777" w:rsidR="00FB2D9C" w:rsidRDefault="00FB2D9C" w:rsidP="00916A4F">
            <w:pPr>
              <w:pStyle w:val="tabletext"/>
            </w:pPr>
            <w:r>
              <w:t>Part 1, item 145</w:t>
            </w:r>
          </w:p>
        </w:tc>
        <w:tc>
          <w:tcPr>
            <w:tcW w:w="1980" w:type="dxa"/>
          </w:tcPr>
          <w:p w14:paraId="22DA098B" w14:textId="77777777" w:rsidR="00FB2D9C" w:rsidRDefault="00FB2D9C" w:rsidP="00916A4F">
            <w:pPr>
              <w:pStyle w:val="tabletext"/>
            </w:pPr>
            <w:r>
              <w:t>11.183</w:t>
            </w:r>
          </w:p>
        </w:tc>
      </w:tr>
      <w:tr w:rsidR="00FB2D9C" w:rsidRPr="00231CBA" w14:paraId="7818518D" w14:textId="77777777" w:rsidTr="00916A4F">
        <w:trPr>
          <w:tblHeader/>
        </w:trPr>
        <w:tc>
          <w:tcPr>
            <w:tcW w:w="5760" w:type="dxa"/>
          </w:tcPr>
          <w:p w14:paraId="7FBE616A" w14:textId="77777777" w:rsidR="00FB2D9C" w:rsidRDefault="00FB2D9C" w:rsidP="00916A4F">
            <w:pPr>
              <w:pStyle w:val="tabletext"/>
            </w:pPr>
            <w:r>
              <w:t>Part 1, item 146</w:t>
            </w:r>
          </w:p>
        </w:tc>
        <w:tc>
          <w:tcPr>
            <w:tcW w:w="1980" w:type="dxa"/>
          </w:tcPr>
          <w:p w14:paraId="45AC251B" w14:textId="77777777" w:rsidR="00FB2D9C" w:rsidRDefault="00FB2D9C" w:rsidP="00916A4F">
            <w:pPr>
              <w:pStyle w:val="tabletext"/>
            </w:pPr>
            <w:r>
              <w:t>11.185</w:t>
            </w:r>
          </w:p>
        </w:tc>
      </w:tr>
      <w:tr w:rsidR="00FB2D9C" w:rsidRPr="00231CBA" w14:paraId="04E54F0F" w14:textId="77777777" w:rsidTr="00916A4F">
        <w:trPr>
          <w:tblHeader/>
        </w:trPr>
        <w:tc>
          <w:tcPr>
            <w:tcW w:w="5760" w:type="dxa"/>
          </w:tcPr>
          <w:p w14:paraId="57FD78C5" w14:textId="77777777" w:rsidR="00FB2D9C" w:rsidRDefault="00FB2D9C" w:rsidP="00916A4F">
            <w:pPr>
              <w:pStyle w:val="tabletext"/>
            </w:pPr>
            <w:r>
              <w:t>Part 1, item 147</w:t>
            </w:r>
          </w:p>
        </w:tc>
        <w:tc>
          <w:tcPr>
            <w:tcW w:w="1980" w:type="dxa"/>
          </w:tcPr>
          <w:p w14:paraId="320F02A5" w14:textId="77777777" w:rsidR="00FB2D9C" w:rsidRDefault="00FB2D9C" w:rsidP="00916A4F">
            <w:pPr>
              <w:pStyle w:val="tabletext"/>
            </w:pPr>
            <w:r>
              <w:t>11.189, 11.191, 11.194, 11.195</w:t>
            </w:r>
          </w:p>
        </w:tc>
      </w:tr>
      <w:tr w:rsidR="00FB2D9C" w:rsidRPr="00231CBA" w14:paraId="475553F4" w14:textId="77777777" w:rsidTr="00916A4F">
        <w:trPr>
          <w:tblHeader/>
        </w:trPr>
        <w:tc>
          <w:tcPr>
            <w:tcW w:w="5760" w:type="dxa"/>
          </w:tcPr>
          <w:p w14:paraId="6C16A121" w14:textId="77777777" w:rsidR="00FB2D9C" w:rsidRDefault="00FB2D9C" w:rsidP="00916A4F">
            <w:pPr>
              <w:pStyle w:val="tabletext"/>
            </w:pPr>
            <w:r>
              <w:t>Part 1, item 148</w:t>
            </w:r>
          </w:p>
        </w:tc>
        <w:tc>
          <w:tcPr>
            <w:tcW w:w="1980" w:type="dxa"/>
          </w:tcPr>
          <w:p w14:paraId="3B304F0C" w14:textId="77777777" w:rsidR="00FB2D9C" w:rsidRDefault="00FB2D9C" w:rsidP="00916A4F">
            <w:pPr>
              <w:pStyle w:val="tabletext"/>
            </w:pPr>
            <w:r>
              <w:t>11.201</w:t>
            </w:r>
          </w:p>
        </w:tc>
      </w:tr>
      <w:tr w:rsidR="00FB2D9C" w:rsidRPr="00231CBA" w14:paraId="6AB2E366" w14:textId="77777777" w:rsidTr="00916A4F">
        <w:trPr>
          <w:tblHeader/>
        </w:trPr>
        <w:tc>
          <w:tcPr>
            <w:tcW w:w="5760" w:type="dxa"/>
          </w:tcPr>
          <w:p w14:paraId="2F829441" w14:textId="77777777" w:rsidR="00FB2D9C" w:rsidRDefault="00FB2D9C" w:rsidP="00916A4F">
            <w:pPr>
              <w:pStyle w:val="tabletext"/>
            </w:pPr>
            <w:r>
              <w:t>Part 1, item 149</w:t>
            </w:r>
          </w:p>
        </w:tc>
        <w:tc>
          <w:tcPr>
            <w:tcW w:w="1980" w:type="dxa"/>
          </w:tcPr>
          <w:p w14:paraId="3F7E4892" w14:textId="77777777" w:rsidR="00FB2D9C" w:rsidRDefault="00FB2D9C" w:rsidP="00916A4F">
            <w:pPr>
              <w:pStyle w:val="tabletext"/>
            </w:pPr>
            <w:r>
              <w:t>11.202</w:t>
            </w:r>
          </w:p>
        </w:tc>
      </w:tr>
      <w:tr w:rsidR="00FB2D9C" w:rsidRPr="00231CBA" w14:paraId="4F74A36A" w14:textId="77777777" w:rsidTr="00916A4F">
        <w:trPr>
          <w:tblHeader/>
        </w:trPr>
        <w:tc>
          <w:tcPr>
            <w:tcW w:w="5760" w:type="dxa"/>
          </w:tcPr>
          <w:p w14:paraId="6BCAC281" w14:textId="77777777" w:rsidR="00FB2D9C" w:rsidRDefault="00FB2D9C" w:rsidP="00916A4F">
            <w:pPr>
              <w:pStyle w:val="tabletext"/>
            </w:pPr>
            <w:r>
              <w:t>Part 1, item 150</w:t>
            </w:r>
          </w:p>
        </w:tc>
        <w:tc>
          <w:tcPr>
            <w:tcW w:w="1980" w:type="dxa"/>
          </w:tcPr>
          <w:p w14:paraId="5C94B1C4" w14:textId="77777777" w:rsidR="00FB2D9C" w:rsidRDefault="00FB2D9C" w:rsidP="00916A4F">
            <w:pPr>
              <w:pStyle w:val="tabletext"/>
            </w:pPr>
            <w:r>
              <w:t>11.201</w:t>
            </w:r>
          </w:p>
        </w:tc>
      </w:tr>
      <w:tr w:rsidR="00FB2D9C" w:rsidRPr="00231CBA" w14:paraId="7818414C" w14:textId="77777777" w:rsidTr="00916A4F">
        <w:trPr>
          <w:tblHeader/>
        </w:trPr>
        <w:tc>
          <w:tcPr>
            <w:tcW w:w="5760" w:type="dxa"/>
          </w:tcPr>
          <w:p w14:paraId="48ADF2F9" w14:textId="77777777" w:rsidR="00FB2D9C" w:rsidRDefault="00FB2D9C" w:rsidP="00916A4F">
            <w:pPr>
              <w:pStyle w:val="tabletext"/>
            </w:pPr>
            <w:r>
              <w:t>Part 1, item 151</w:t>
            </w:r>
          </w:p>
        </w:tc>
        <w:tc>
          <w:tcPr>
            <w:tcW w:w="1980" w:type="dxa"/>
          </w:tcPr>
          <w:p w14:paraId="544F0FA6" w14:textId="77777777" w:rsidR="00FB2D9C" w:rsidRDefault="00FB2D9C" w:rsidP="00916A4F">
            <w:pPr>
              <w:pStyle w:val="tabletext"/>
            </w:pPr>
            <w:r>
              <w:t>11.210</w:t>
            </w:r>
          </w:p>
        </w:tc>
      </w:tr>
      <w:tr w:rsidR="00FB2D9C" w:rsidRPr="00231CBA" w14:paraId="7A9D2BBC" w14:textId="77777777" w:rsidTr="00916A4F">
        <w:trPr>
          <w:tblHeader/>
        </w:trPr>
        <w:tc>
          <w:tcPr>
            <w:tcW w:w="5760" w:type="dxa"/>
          </w:tcPr>
          <w:p w14:paraId="558DF353" w14:textId="77777777" w:rsidR="00FB2D9C" w:rsidRDefault="00FB2D9C" w:rsidP="00916A4F">
            <w:pPr>
              <w:pStyle w:val="tabletext"/>
            </w:pPr>
            <w:r>
              <w:t>Part 1, item 153</w:t>
            </w:r>
          </w:p>
        </w:tc>
        <w:tc>
          <w:tcPr>
            <w:tcW w:w="1980" w:type="dxa"/>
          </w:tcPr>
          <w:p w14:paraId="41BC9497" w14:textId="77777777" w:rsidR="00FB2D9C" w:rsidRDefault="00FB2D9C" w:rsidP="00916A4F">
            <w:pPr>
              <w:pStyle w:val="tabletext"/>
            </w:pPr>
            <w:r>
              <w:t>11.206</w:t>
            </w:r>
          </w:p>
        </w:tc>
      </w:tr>
      <w:tr w:rsidR="00FB2D9C" w:rsidRPr="00231CBA" w14:paraId="568821B9" w14:textId="77777777" w:rsidTr="00916A4F">
        <w:trPr>
          <w:tblHeader/>
        </w:trPr>
        <w:tc>
          <w:tcPr>
            <w:tcW w:w="5760" w:type="dxa"/>
          </w:tcPr>
          <w:p w14:paraId="7AA3C50D" w14:textId="77777777" w:rsidR="00FB2D9C" w:rsidRDefault="00FB2D9C" w:rsidP="00916A4F">
            <w:pPr>
              <w:pStyle w:val="tabletext"/>
            </w:pPr>
            <w:r>
              <w:t>Part 1, item 154</w:t>
            </w:r>
          </w:p>
        </w:tc>
        <w:tc>
          <w:tcPr>
            <w:tcW w:w="1980" w:type="dxa"/>
          </w:tcPr>
          <w:p w14:paraId="77CB8A5E" w14:textId="77777777" w:rsidR="00FB2D9C" w:rsidRDefault="00FB2D9C" w:rsidP="00916A4F">
            <w:pPr>
              <w:pStyle w:val="tabletext"/>
            </w:pPr>
            <w:r>
              <w:t>11.207</w:t>
            </w:r>
          </w:p>
        </w:tc>
      </w:tr>
      <w:tr w:rsidR="00FB2D9C" w14:paraId="274A7204" w14:textId="77777777" w:rsidTr="00916A4F">
        <w:trPr>
          <w:tblHeader/>
        </w:trPr>
        <w:tc>
          <w:tcPr>
            <w:tcW w:w="5760" w:type="dxa"/>
          </w:tcPr>
          <w:p w14:paraId="3F828D80" w14:textId="77777777" w:rsidR="00FB2D9C" w:rsidRDefault="00FB2D9C" w:rsidP="00916A4F">
            <w:pPr>
              <w:pStyle w:val="tabletext"/>
            </w:pPr>
            <w:r>
              <w:t>Part 1, item 155</w:t>
            </w:r>
          </w:p>
        </w:tc>
        <w:tc>
          <w:tcPr>
            <w:tcW w:w="1980" w:type="dxa"/>
          </w:tcPr>
          <w:p w14:paraId="0E7B326F" w14:textId="77777777" w:rsidR="00FB2D9C" w:rsidRDefault="00FB2D9C" w:rsidP="00916A4F">
            <w:pPr>
              <w:pStyle w:val="tabletext"/>
            </w:pPr>
            <w:r>
              <w:t>11.211</w:t>
            </w:r>
          </w:p>
        </w:tc>
      </w:tr>
      <w:tr w:rsidR="00FB2D9C" w:rsidRPr="00231CBA" w14:paraId="61973D5E" w14:textId="77777777" w:rsidTr="00916A4F">
        <w:trPr>
          <w:tblHeader/>
        </w:trPr>
        <w:tc>
          <w:tcPr>
            <w:tcW w:w="5760" w:type="dxa"/>
          </w:tcPr>
          <w:p w14:paraId="6E04C4F0" w14:textId="77777777" w:rsidR="00FB2D9C" w:rsidRDefault="00FB2D9C" w:rsidP="00916A4F">
            <w:pPr>
              <w:pStyle w:val="tabletext"/>
            </w:pPr>
            <w:r>
              <w:t>Part 1, items 155 and 156</w:t>
            </w:r>
          </w:p>
        </w:tc>
        <w:tc>
          <w:tcPr>
            <w:tcW w:w="1980" w:type="dxa"/>
          </w:tcPr>
          <w:p w14:paraId="480421F3" w14:textId="77777777" w:rsidR="00FB2D9C" w:rsidRDefault="00FB2D9C" w:rsidP="00916A4F">
            <w:pPr>
              <w:pStyle w:val="tabletext"/>
            </w:pPr>
            <w:r>
              <w:t>11.208</w:t>
            </w:r>
          </w:p>
        </w:tc>
      </w:tr>
      <w:tr w:rsidR="00FB2D9C" w:rsidRPr="00231CBA" w14:paraId="57D3470D" w14:textId="77777777" w:rsidTr="00916A4F">
        <w:trPr>
          <w:tblHeader/>
        </w:trPr>
        <w:tc>
          <w:tcPr>
            <w:tcW w:w="5760" w:type="dxa"/>
          </w:tcPr>
          <w:p w14:paraId="021A340A" w14:textId="77777777" w:rsidR="00FB2D9C" w:rsidRDefault="00FB2D9C" w:rsidP="00916A4F">
            <w:pPr>
              <w:pStyle w:val="tabletext"/>
            </w:pPr>
            <w:r>
              <w:t>Part 1, item 157</w:t>
            </w:r>
          </w:p>
        </w:tc>
        <w:tc>
          <w:tcPr>
            <w:tcW w:w="1980" w:type="dxa"/>
          </w:tcPr>
          <w:p w14:paraId="424B24E5" w14:textId="77777777" w:rsidR="00FB2D9C" w:rsidRDefault="00FB2D9C" w:rsidP="00916A4F">
            <w:pPr>
              <w:pStyle w:val="tabletext"/>
            </w:pPr>
            <w:r>
              <w:t>11.209</w:t>
            </w:r>
          </w:p>
        </w:tc>
      </w:tr>
      <w:tr w:rsidR="00FB2D9C" w:rsidRPr="00231CBA" w14:paraId="097A38E4" w14:textId="77777777" w:rsidTr="00916A4F">
        <w:trPr>
          <w:tblHeader/>
        </w:trPr>
        <w:tc>
          <w:tcPr>
            <w:tcW w:w="5760" w:type="dxa"/>
          </w:tcPr>
          <w:p w14:paraId="5F5990BE" w14:textId="77777777" w:rsidR="00FB2D9C" w:rsidRDefault="00FB2D9C" w:rsidP="00916A4F">
            <w:pPr>
              <w:pStyle w:val="tabletext"/>
            </w:pPr>
            <w:r>
              <w:t>Part 1, items 158 and 160</w:t>
            </w:r>
          </w:p>
        </w:tc>
        <w:tc>
          <w:tcPr>
            <w:tcW w:w="1980" w:type="dxa"/>
          </w:tcPr>
          <w:p w14:paraId="0A12ACC2" w14:textId="77777777" w:rsidR="00FB2D9C" w:rsidRDefault="00FB2D9C" w:rsidP="00916A4F">
            <w:pPr>
              <w:pStyle w:val="tabletext"/>
            </w:pPr>
            <w:r>
              <w:t>11.214</w:t>
            </w:r>
          </w:p>
        </w:tc>
      </w:tr>
      <w:tr w:rsidR="00FB2D9C" w:rsidRPr="00231CBA" w14:paraId="46213CD5" w14:textId="77777777" w:rsidTr="00916A4F">
        <w:trPr>
          <w:tblHeader/>
        </w:trPr>
        <w:tc>
          <w:tcPr>
            <w:tcW w:w="5760" w:type="dxa"/>
          </w:tcPr>
          <w:p w14:paraId="30E52EF6" w14:textId="77777777" w:rsidR="00FB2D9C" w:rsidRDefault="00FB2D9C" w:rsidP="00916A4F">
            <w:pPr>
              <w:pStyle w:val="tabletext"/>
            </w:pPr>
            <w:r>
              <w:t>Part 1, item 159</w:t>
            </w:r>
          </w:p>
        </w:tc>
        <w:tc>
          <w:tcPr>
            <w:tcW w:w="1980" w:type="dxa"/>
          </w:tcPr>
          <w:p w14:paraId="63476CAE" w14:textId="77777777" w:rsidR="00FB2D9C" w:rsidRDefault="00FB2D9C" w:rsidP="00916A4F">
            <w:pPr>
              <w:pStyle w:val="tabletext"/>
            </w:pPr>
            <w:r>
              <w:t>11.217</w:t>
            </w:r>
          </w:p>
        </w:tc>
      </w:tr>
      <w:tr w:rsidR="00FB2D9C" w:rsidRPr="00231CBA" w14:paraId="754EE662" w14:textId="77777777" w:rsidTr="00916A4F">
        <w:trPr>
          <w:tblHeader/>
        </w:trPr>
        <w:tc>
          <w:tcPr>
            <w:tcW w:w="5760" w:type="dxa"/>
          </w:tcPr>
          <w:p w14:paraId="04278742" w14:textId="77777777" w:rsidR="00FB2D9C" w:rsidRDefault="00FB2D9C" w:rsidP="00916A4F">
            <w:pPr>
              <w:pStyle w:val="tabletext"/>
            </w:pPr>
            <w:r>
              <w:t>Part 1, items 161 and 162</w:t>
            </w:r>
          </w:p>
        </w:tc>
        <w:tc>
          <w:tcPr>
            <w:tcW w:w="1980" w:type="dxa"/>
          </w:tcPr>
          <w:p w14:paraId="7B7C9436" w14:textId="77777777" w:rsidR="00FB2D9C" w:rsidRDefault="00FB2D9C" w:rsidP="00916A4F">
            <w:pPr>
              <w:pStyle w:val="tabletext"/>
            </w:pPr>
            <w:r>
              <w:t>11.221</w:t>
            </w:r>
          </w:p>
        </w:tc>
      </w:tr>
      <w:tr w:rsidR="00FB2D9C" w:rsidRPr="00231CBA" w14:paraId="1394A33E" w14:textId="77777777" w:rsidTr="00916A4F">
        <w:trPr>
          <w:tblHeader/>
        </w:trPr>
        <w:tc>
          <w:tcPr>
            <w:tcW w:w="5760" w:type="dxa"/>
          </w:tcPr>
          <w:p w14:paraId="6EE926B9" w14:textId="77777777" w:rsidR="00FB2D9C" w:rsidRDefault="00FB2D9C" w:rsidP="00916A4F">
            <w:pPr>
              <w:pStyle w:val="tabletext"/>
            </w:pPr>
            <w:r>
              <w:t>Part 1, item 163</w:t>
            </w:r>
          </w:p>
        </w:tc>
        <w:tc>
          <w:tcPr>
            <w:tcW w:w="1980" w:type="dxa"/>
          </w:tcPr>
          <w:p w14:paraId="017F816B" w14:textId="77777777" w:rsidR="00FB2D9C" w:rsidRDefault="00FB2D9C" w:rsidP="00916A4F">
            <w:pPr>
              <w:pStyle w:val="tabletext"/>
            </w:pPr>
            <w:r>
              <w:t>11.222</w:t>
            </w:r>
          </w:p>
        </w:tc>
      </w:tr>
      <w:tr w:rsidR="00FB2D9C" w:rsidRPr="00231CBA" w14:paraId="154F594B" w14:textId="77777777" w:rsidTr="00916A4F">
        <w:trPr>
          <w:tblHeader/>
        </w:trPr>
        <w:tc>
          <w:tcPr>
            <w:tcW w:w="5760" w:type="dxa"/>
          </w:tcPr>
          <w:p w14:paraId="48472BEF" w14:textId="77777777" w:rsidR="00FB2D9C" w:rsidRDefault="00FB2D9C" w:rsidP="00916A4F">
            <w:pPr>
              <w:pStyle w:val="tabletext"/>
            </w:pPr>
            <w:r>
              <w:t>Part 1, item 164</w:t>
            </w:r>
          </w:p>
        </w:tc>
        <w:tc>
          <w:tcPr>
            <w:tcW w:w="1980" w:type="dxa"/>
          </w:tcPr>
          <w:p w14:paraId="6D6D4DD2" w14:textId="77777777" w:rsidR="00FB2D9C" w:rsidRDefault="00FB2D9C" w:rsidP="00916A4F">
            <w:pPr>
              <w:pStyle w:val="tabletext"/>
            </w:pPr>
            <w:r>
              <w:t>11.223</w:t>
            </w:r>
          </w:p>
        </w:tc>
      </w:tr>
      <w:tr w:rsidR="00FB2D9C" w:rsidRPr="00231CBA" w14:paraId="1AF5B192" w14:textId="77777777" w:rsidTr="00916A4F">
        <w:trPr>
          <w:tblHeader/>
        </w:trPr>
        <w:tc>
          <w:tcPr>
            <w:tcW w:w="5760" w:type="dxa"/>
          </w:tcPr>
          <w:p w14:paraId="20214A38" w14:textId="77777777" w:rsidR="00FB2D9C" w:rsidRDefault="00FB2D9C" w:rsidP="00916A4F">
            <w:pPr>
              <w:pStyle w:val="tabletext"/>
            </w:pPr>
            <w:r>
              <w:t>Part 1, item 165</w:t>
            </w:r>
          </w:p>
        </w:tc>
        <w:tc>
          <w:tcPr>
            <w:tcW w:w="1980" w:type="dxa"/>
          </w:tcPr>
          <w:p w14:paraId="3829141F" w14:textId="77777777" w:rsidR="00FB2D9C" w:rsidRDefault="00FB2D9C" w:rsidP="00916A4F">
            <w:pPr>
              <w:pStyle w:val="tabletext"/>
            </w:pPr>
            <w:r>
              <w:t>11.224</w:t>
            </w:r>
          </w:p>
        </w:tc>
      </w:tr>
      <w:tr w:rsidR="00FB2D9C" w:rsidRPr="00231CBA" w14:paraId="60130BA9" w14:textId="77777777" w:rsidTr="00916A4F">
        <w:trPr>
          <w:tblHeader/>
        </w:trPr>
        <w:tc>
          <w:tcPr>
            <w:tcW w:w="5760" w:type="dxa"/>
          </w:tcPr>
          <w:p w14:paraId="5EA9EC61" w14:textId="77777777" w:rsidR="00FB2D9C" w:rsidRDefault="00FB2D9C" w:rsidP="00916A4F">
            <w:pPr>
              <w:pStyle w:val="tabletext"/>
            </w:pPr>
            <w:r>
              <w:t>Part 1, item 166</w:t>
            </w:r>
          </w:p>
        </w:tc>
        <w:tc>
          <w:tcPr>
            <w:tcW w:w="1980" w:type="dxa"/>
          </w:tcPr>
          <w:p w14:paraId="37DE23E0" w14:textId="77777777" w:rsidR="00FB2D9C" w:rsidRDefault="00FB2D9C" w:rsidP="00916A4F">
            <w:pPr>
              <w:pStyle w:val="tabletext"/>
            </w:pPr>
            <w:r>
              <w:t>11.225</w:t>
            </w:r>
          </w:p>
        </w:tc>
      </w:tr>
      <w:tr w:rsidR="00FB2D9C" w:rsidRPr="00231CBA" w14:paraId="0FE291A5" w14:textId="77777777" w:rsidTr="00916A4F">
        <w:trPr>
          <w:tblHeader/>
        </w:trPr>
        <w:tc>
          <w:tcPr>
            <w:tcW w:w="5760" w:type="dxa"/>
          </w:tcPr>
          <w:p w14:paraId="55B33094" w14:textId="77777777" w:rsidR="00FB2D9C" w:rsidRDefault="00FB2D9C" w:rsidP="00916A4F">
            <w:pPr>
              <w:pStyle w:val="tabletext"/>
            </w:pPr>
            <w:r>
              <w:t>Part 1, items 167, 169, 171, 173, and 177</w:t>
            </w:r>
          </w:p>
        </w:tc>
        <w:tc>
          <w:tcPr>
            <w:tcW w:w="1980" w:type="dxa"/>
          </w:tcPr>
          <w:p w14:paraId="565B83F7" w14:textId="77777777" w:rsidR="00FB2D9C" w:rsidRDefault="00FB2D9C" w:rsidP="00916A4F">
            <w:pPr>
              <w:pStyle w:val="tabletext"/>
            </w:pPr>
            <w:r>
              <w:t>11.227</w:t>
            </w:r>
          </w:p>
        </w:tc>
      </w:tr>
      <w:tr w:rsidR="00FB2D9C" w:rsidRPr="00231CBA" w14:paraId="7CAB2120" w14:textId="77777777" w:rsidTr="00916A4F">
        <w:trPr>
          <w:tblHeader/>
        </w:trPr>
        <w:tc>
          <w:tcPr>
            <w:tcW w:w="5760" w:type="dxa"/>
          </w:tcPr>
          <w:p w14:paraId="01FA2489" w14:textId="77777777" w:rsidR="00FB2D9C" w:rsidRDefault="00FB2D9C" w:rsidP="00916A4F">
            <w:pPr>
              <w:pStyle w:val="tabletext"/>
            </w:pPr>
            <w:r>
              <w:t>Part 1, items 168 and 176</w:t>
            </w:r>
          </w:p>
        </w:tc>
        <w:tc>
          <w:tcPr>
            <w:tcW w:w="1980" w:type="dxa"/>
          </w:tcPr>
          <w:p w14:paraId="74585B15" w14:textId="77777777" w:rsidR="00FB2D9C" w:rsidRDefault="00FB2D9C" w:rsidP="00916A4F">
            <w:pPr>
              <w:pStyle w:val="tabletext"/>
            </w:pPr>
            <w:r>
              <w:t>11.230</w:t>
            </w:r>
          </w:p>
        </w:tc>
      </w:tr>
      <w:tr w:rsidR="00FB2D9C" w:rsidRPr="00231CBA" w14:paraId="7B21B8D8" w14:textId="77777777" w:rsidTr="00916A4F">
        <w:trPr>
          <w:tblHeader/>
        </w:trPr>
        <w:tc>
          <w:tcPr>
            <w:tcW w:w="5760" w:type="dxa"/>
          </w:tcPr>
          <w:p w14:paraId="4C22B9FE" w14:textId="77777777" w:rsidR="00FB2D9C" w:rsidRDefault="00FB2D9C" w:rsidP="00916A4F">
            <w:pPr>
              <w:pStyle w:val="tabletext"/>
            </w:pPr>
            <w:r>
              <w:t>Part 1, item 170</w:t>
            </w:r>
          </w:p>
        </w:tc>
        <w:tc>
          <w:tcPr>
            <w:tcW w:w="1980" w:type="dxa"/>
          </w:tcPr>
          <w:p w14:paraId="6B46185E" w14:textId="77777777" w:rsidR="00FB2D9C" w:rsidRDefault="00FB2D9C" w:rsidP="00916A4F">
            <w:pPr>
              <w:pStyle w:val="tabletext"/>
            </w:pPr>
            <w:r>
              <w:t>11.231</w:t>
            </w:r>
          </w:p>
        </w:tc>
      </w:tr>
      <w:tr w:rsidR="00FB2D9C" w:rsidRPr="00231CBA" w14:paraId="40AF8909" w14:textId="77777777" w:rsidTr="00916A4F">
        <w:trPr>
          <w:tblHeader/>
        </w:trPr>
        <w:tc>
          <w:tcPr>
            <w:tcW w:w="5760" w:type="dxa"/>
          </w:tcPr>
          <w:p w14:paraId="57BD297C" w14:textId="77777777" w:rsidR="00FB2D9C" w:rsidRDefault="00FB2D9C" w:rsidP="00916A4F">
            <w:pPr>
              <w:pStyle w:val="tabletext"/>
            </w:pPr>
            <w:r>
              <w:t>Part 1, item 172</w:t>
            </w:r>
          </w:p>
        </w:tc>
        <w:tc>
          <w:tcPr>
            <w:tcW w:w="1980" w:type="dxa"/>
          </w:tcPr>
          <w:p w14:paraId="0EED4CFF" w14:textId="77777777" w:rsidR="00FB2D9C" w:rsidRDefault="00FB2D9C" w:rsidP="00916A4F">
            <w:pPr>
              <w:pStyle w:val="tabletext"/>
            </w:pPr>
            <w:r>
              <w:t>11.234</w:t>
            </w:r>
          </w:p>
        </w:tc>
      </w:tr>
      <w:tr w:rsidR="00FB2D9C" w:rsidRPr="00231CBA" w14:paraId="20E8BA14" w14:textId="77777777" w:rsidTr="00916A4F">
        <w:trPr>
          <w:tblHeader/>
        </w:trPr>
        <w:tc>
          <w:tcPr>
            <w:tcW w:w="5760" w:type="dxa"/>
          </w:tcPr>
          <w:p w14:paraId="2928F32A" w14:textId="77777777" w:rsidR="00FB2D9C" w:rsidRDefault="00FB2D9C" w:rsidP="00916A4F">
            <w:pPr>
              <w:pStyle w:val="tabletext"/>
            </w:pPr>
            <w:r>
              <w:t>Part 1, item 174</w:t>
            </w:r>
          </w:p>
        </w:tc>
        <w:tc>
          <w:tcPr>
            <w:tcW w:w="1980" w:type="dxa"/>
          </w:tcPr>
          <w:p w14:paraId="23056462" w14:textId="77777777" w:rsidR="00FB2D9C" w:rsidRDefault="00FB2D9C" w:rsidP="00916A4F">
            <w:pPr>
              <w:pStyle w:val="tabletext"/>
            </w:pPr>
            <w:r>
              <w:t>11.232</w:t>
            </w:r>
          </w:p>
        </w:tc>
      </w:tr>
      <w:tr w:rsidR="00FB2D9C" w:rsidRPr="00231CBA" w14:paraId="2328F71A" w14:textId="77777777" w:rsidTr="00916A4F">
        <w:trPr>
          <w:tblHeader/>
        </w:trPr>
        <w:tc>
          <w:tcPr>
            <w:tcW w:w="5760" w:type="dxa"/>
          </w:tcPr>
          <w:p w14:paraId="1B3746C4" w14:textId="77777777" w:rsidR="00FB2D9C" w:rsidRDefault="00FB2D9C" w:rsidP="00916A4F">
            <w:pPr>
              <w:pStyle w:val="tabletext"/>
            </w:pPr>
            <w:r>
              <w:t>Part 1, item 175</w:t>
            </w:r>
          </w:p>
        </w:tc>
        <w:tc>
          <w:tcPr>
            <w:tcW w:w="1980" w:type="dxa"/>
          </w:tcPr>
          <w:p w14:paraId="32A29B34" w14:textId="77777777" w:rsidR="00FB2D9C" w:rsidRDefault="00FB2D9C" w:rsidP="00916A4F">
            <w:pPr>
              <w:pStyle w:val="tabletext"/>
            </w:pPr>
            <w:r>
              <w:t>11.235</w:t>
            </w:r>
          </w:p>
        </w:tc>
      </w:tr>
      <w:tr w:rsidR="00FB2D9C" w:rsidRPr="00231CBA" w14:paraId="3FEF2F61" w14:textId="77777777" w:rsidTr="00916A4F">
        <w:trPr>
          <w:tblHeader/>
        </w:trPr>
        <w:tc>
          <w:tcPr>
            <w:tcW w:w="5760" w:type="dxa"/>
          </w:tcPr>
          <w:p w14:paraId="759C78C8" w14:textId="77777777" w:rsidR="00FB2D9C" w:rsidRDefault="00FB2D9C" w:rsidP="00916A4F">
            <w:pPr>
              <w:pStyle w:val="tabletext"/>
            </w:pPr>
            <w:r>
              <w:t>Part 1, item 178</w:t>
            </w:r>
          </w:p>
        </w:tc>
        <w:tc>
          <w:tcPr>
            <w:tcW w:w="1980" w:type="dxa"/>
          </w:tcPr>
          <w:p w14:paraId="0ED296C8" w14:textId="77777777" w:rsidR="00FB2D9C" w:rsidRDefault="00FB2D9C" w:rsidP="00916A4F">
            <w:pPr>
              <w:pStyle w:val="tabletext"/>
            </w:pPr>
            <w:r>
              <w:t xml:space="preserve">11.239, </w:t>
            </w:r>
          </w:p>
        </w:tc>
      </w:tr>
      <w:tr w:rsidR="00FB2D9C" w:rsidRPr="00231CBA" w14:paraId="27A78C76" w14:textId="77777777" w:rsidTr="00916A4F">
        <w:trPr>
          <w:tblHeader/>
        </w:trPr>
        <w:tc>
          <w:tcPr>
            <w:tcW w:w="5760" w:type="dxa"/>
          </w:tcPr>
          <w:p w14:paraId="55F962F8" w14:textId="77777777" w:rsidR="00FB2D9C" w:rsidRDefault="00FB2D9C" w:rsidP="00916A4F">
            <w:pPr>
              <w:pStyle w:val="tabletext"/>
            </w:pPr>
            <w:r>
              <w:t>Part 1, item 179</w:t>
            </w:r>
          </w:p>
        </w:tc>
        <w:tc>
          <w:tcPr>
            <w:tcW w:w="1980" w:type="dxa"/>
          </w:tcPr>
          <w:p w14:paraId="5B56AFEA" w14:textId="77777777" w:rsidR="00FB2D9C" w:rsidRDefault="00FB2D9C" w:rsidP="00916A4F">
            <w:pPr>
              <w:pStyle w:val="tabletext"/>
            </w:pPr>
            <w:r>
              <w:t>11.242, 11.243</w:t>
            </w:r>
          </w:p>
        </w:tc>
      </w:tr>
      <w:tr w:rsidR="00FB2D9C" w:rsidRPr="00231CBA" w14:paraId="5FC05060" w14:textId="77777777" w:rsidTr="00916A4F">
        <w:trPr>
          <w:tblHeader/>
        </w:trPr>
        <w:tc>
          <w:tcPr>
            <w:tcW w:w="5760" w:type="dxa"/>
          </w:tcPr>
          <w:p w14:paraId="61C44649" w14:textId="77777777" w:rsidR="00FB2D9C" w:rsidRDefault="00FB2D9C" w:rsidP="00916A4F">
            <w:pPr>
              <w:pStyle w:val="tabletext"/>
            </w:pPr>
            <w:r>
              <w:t>Part 1, item 180</w:t>
            </w:r>
          </w:p>
        </w:tc>
        <w:tc>
          <w:tcPr>
            <w:tcW w:w="1980" w:type="dxa"/>
          </w:tcPr>
          <w:p w14:paraId="41C939EF" w14:textId="77777777" w:rsidR="00FB2D9C" w:rsidRDefault="00FB2D9C" w:rsidP="00916A4F">
            <w:pPr>
              <w:pStyle w:val="tabletext"/>
            </w:pPr>
            <w:r>
              <w:t>11.244</w:t>
            </w:r>
          </w:p>
        </w:tc>
      </w:tr>
      <w:tr w:rsidR="00FB2D9C" w:rsidRPr="00231CBA" w14:paraId="2FFA00A2" w14:textId="77777777" w:rsidTr="00916A4F">
        <w:trPr>
          <w:tblHeader/>
        </w:trPr>
        <w:tc>
          <w:tcPr>
            <w:tcW w:w="5760" w:type="dxa"/>
          </w:tcPr>
          <w:p w14:paraId="6FD868CF" w14:textId="77777777" w:rsidR="00FB2D9C" w:rsidRDefault="00FB2D9C" w:rsidP="00916A4F">
            <w:pPr>
              <w:pStyle w:val="tabletext"/>
            </w:pPr>
            <w:r>
              <w:t>Part 1, item 181</w:t>
            </w:r>
          </w:p>
        </w:tc>
        <w:tc>
          <w:tcPr>
            <w:tcW w:w="1980" w:type="dxa"/>
          </w:tcPr>
          <w:p w14:paraId="5C39C9A7" w14:textId="77777777" w:rsidR="00FB2D9C" w:rsidRDefault="00FB2D9C" w:rsidP="00916A4F">
            <w:pPr>
              <w:pStyle w:val="tabletext"/>
            </w:pPr>
            <w:r>
              <w:t>11.245</w:t>
            </w:r>
          </w:p>
        </w:tc>
      </w:tr>
      <w:tr w:rsidR="00FB2D9C" w:rsidRPr="00231CBA" w14:paraId="6D6BB08A" w14:textId="77777777" w:rsidTr="00916A4F">
        <w:trPr>
          <w:tblHeader/>
        </w:trPr>
        <w:tc>
          <w:tcPr>
            <w:tcW w:w="5760" w:type="dxa"/>
          </w:tcPr>
          <w:p w14:paraId="24F70F16" w14:textId="77777777" w:rsidR="00FB2D9C" w:rsidRDefault="00FB2D9C" w:rsidP="00916A4F">
            <w:pPr>
              <w:pStyle w:val="tabletext"/>
            </w:pPr>
            <w:r>
              <w:t>Part 1, item 182</w:t>
            </w:r>
          </w:p>
        </w:tc>
        <w:tc>
          <w:tcPr>
            <w:tcW w:w="1980" w:type="dxa"/>
          </w:tcPr>
          <w:p w14:paraId="350A765D" w14:textId="77777777" w:rsidR="00FB2D9C" w:rsidRDefault="00FB2D9C" w:rsidP="00916A4F">
            <w:pPr>
              <w:pStyle w:val="tabletext"/>
            </w:pPr>
            <w:r>
              <w:t>11.246</w:t>
            </w:r>
          </w:p>
        </w:tc>
      </w:tr>
      <w:tr w:rsidR="00FB2D9C" w:rsidRPr="00231CBA" w14:paraId="4598A9BA" w14:textId="77777777" w:rsidTr="00916A4F">
        <w:trPr>
          <w:tblHeader/>
        </w:trPr>
        <w:tc>
          <w:tcPr>
            <w:tcW w:w="5760" w:type="dxa"/>
          </w:tcPr>
          <w:p w14:paraId="57608768" w14:textId="77777777" w:rsidR="00FB2D9C" w:rsidRDefault="00FB2D9C" w:rsidP="00916A4F">
            <w:pPr>
              <w:pStyle w:val="tabletext"/>
            </w:pPr>
            <w:r>
              <w:t>Part 1, item 183</w:t>
            </w:r>
          </w:p>
        </w:tc>
        <w:tc>
          <w:tcPr>
            <w:tcW w:w="1980" w:type="dxa"/>
          </w:tcPr>
          <w:p w14:paraId="2D378290" w14:textId="77777777" w:rsidR="00FB2D9C" w:rsidRDefault="00FB2D9C" w:rsidP="00916A4F">
            <w:pPr>
              <w:pStyle w:val="tabletext"/>
            </w:pPr>
            <w:r>
              <w:t>11.247</w:t>
            </w:r>
          </w:p>
        </w:tc>
      </w:tr>
    </w:tbl>
    <w:p w14:paraId="4782C426" w14:textId="2C3CE283" w:rsidR="00DC2B54" w:rsidRDefault="00481C75" w:rsidP="00DC2B54">
      <w:pPr>
        <w:pStyle w:val="Heading2with18pointafter"/>
      </w:pPr>
      <w:r>
        <w:t>Schedule 2:  Transitional p</w:t>
      </w:r>
      <w:r w:rsidR="00DC2B54">
        <w:t>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B2D9C" w:rsidRPr="00442FB9" w14:paraId="296E6292" w14:textId="77777777" w:rsidTr="00916A4F">
        <w:trPr>
          <w:tblHeader/>
        </w:trPr>
        <w:tc>
          <w:tcPr>
            <w:tcW w:w="5760" w:type="dxa"/>
          </w:tcPr>
          <w:p w14:paraId="531FF2C4" w14:textId="77777777" w:rsidR="00FB2D9C" w:rsidRPr="00442FB9" w:rsidRDefault="00FB2D9C" w:rsidP="00916A4F">
            <w:pPr>
              <w:pStyle w:val="tableheaderwithintable"/>
              <w:rPr>
                <w:lang w:val="en-US" w:eastAsia="en-US"/>
              </w:rPr>
            </w:pPr>
            <w:r w:rsidRPr="00442FB9">
              <w:rPr>
                <w:lang w:val="en-US" w:eastAsia="en-US"/>
              </w:rPr>
              <w:t>Bill reference</w:t>
            </w:r>
          </w:p>
        </w:tc>
        <w:tc>
          <w:tcPr>
            <w:tcW w:w="1980" w:type="dxa"/>
          </w:tcPr>
          <w:p w14:paraId="0BB13C99" w14:textId="77777777" w:rsidR="00FB2D9C" w:rsidRPr="00442FB9" w:rsidRDefault="00FB2D9C" w:rsidP="00916A4F">
            <w:pPr>
              <w:pStyle w:val="tableheaderwithintable"/>
              <w:rPr>
                <w:lang w:val="en-US" w:eastAsia="en-US"/>
              </w:rPr>
            </w:pPr>
            <w:r w:rsidRPr="00442FB9">
              <w:rPr>
                <w:lang w:val="en-US" w:eastAsia="en-US"/>
              </w:rPr>
              <w:t>Paragraph number</w:t>
            </w:r>
          </w:p>
        </w:tc>
      </w:tr>
      <w:tr w:rsidR="00FB2D9C" w:rsidRPr="00231CBA" w14:paraId="342A3882" w14:textId="77777777" w:rsidTr="00916A4F">
        <w:trPr>
          <w:tblHeader/>
        </w:trPr>
        <w:tc>
          <w:tcPr>
            <w:tcW w:w="5760" w:type="dxa"/>
          </w:tcPr>
          <w:p w14:paraId="0AC83C3B" w14:textId="77777777" w:rsidR="00FB2D9C" w:rsidRPr="00231CBA" w:rsidRDefault="00FB2D9C" w:rsidP="00916A4F">
            <w:pPr>
              <w:pStyle w:val="tabletext"/>
            </w:pPr>
            <w:r>
              <w:t>Part 2, item 2, subitems 1 and 2</w:t>
            </w:r>
          </w:p>
        </w:tc>
        <w:tc>
          <w:tcPr>
            <w:tcW w:w="1980" w:type="dxa"/>
          </w:tcPr>
          <w:p w14:paraId="3EBB57F5" w14:textId="77777777" w:rsidR="00FB2D9C" w:rsidRPr="00231CBA" w:rsidRDefault="00FB2D9C" w:rsidP="00916A4F">
            <w:pPr>
              <w:pStyle w:val="tabletext"/>
            </w:pPr>
            <w:r>
              <w:t>11.252</w:t>
            </w:r>
          </w:p>
        </w:tc>
      </w:tr>
      <w:tr w:rsidR="00FB2D9C" w:rsidRPr="00231CBA" w14:paraId="3DA9C916" w14:textId="77777777" w:rsidTr="00916A4F">
        <w:trPr>
          <w:tblHeader/>
        </w:trPr>
        <w:tc>
          <w:tcPr>
            <w:tcW w:w="5760" w:type="dxa"/>
          </w:tcPr>
          <w:p w14:paraId="52C69949" w14:textId="77777777" w:rsidR="00FB2D9C" w:rsidRDefault="00FB2D9C" w:rsidP="00916A4F">
            <w:pPr>
              <w:pStyle w:val="tabletext"/>
            </w:pPr>
            <w:r>
              <w:t>Part 2, item 2, subitem 3</w:t>
            </w:r>
          </w:p>
        </w:tc>
        <w:tc>
          <w:tcPr>
            <w:tcW w:w="1980" w:type="dxa"/>
          </w:tcPr>
          <w:p w14:paraId="27F358FE" w14:textId="77777777" w:rsidR="00FB2D9C" w:rsidRDefault="00FB2D9C" w:rsidP="00916A4F">
            <w:pPr>
              <w:pStyle w:val="tabletext"/>
            </w:pPr>
            <w:r>
              <w:t>11.253</w:t>
            </w:r>
          </w:p>
        </w:tc>
      </w:tr>
      <w:tr w:rsidR="00FB2D9C" w:rsidRPr="00231CBA" w14:paraId="2F7BAA72" w14:textId="77777777" w:rsidTr="00916A4F">
        <w:trPr>
          <w:tblHeader/>
        </w:trPr>
        <w:tc>
          <w:tcPr>
            <w:tcW w:w="5760" w:type="dxa"/>
          </w:tcPr>
          <w:p w14:paraId="35942F67" w14:textId="77777777" w:rsidR="00FB2D9C" w:rsidRDefault="00FB2D9C" w:rsidP="00916A4F">
            <w:pPr>
              <w:pStyle w:val="tabletext"/>
            </w:pPr>
            <w:r>
              <w:t>Part 2, item 3, subitem 1(a) and (b)</w:t>
            </w:r>
          </w:p>
        </w:tc>
        <w:tc>
          <w:tcPr>
            <w:tcW w:w="1980" w:type="dxa"/>
          </w:tcPr>
          <w:p w14:paraId="10EB572A" w14:textId="77777777" w:rsidR="00FB2D9C" w:rsidRDefault="00FB2D9C" w:rsidP="00916A4F">
            <w:pPr>
              <w:pStyle w:val="tabletext"/>
            </w:pPr>
            <w:r>
              <w:t>11.254</w:t>
            </w:r>
          </w:p>
        </w:tc>
      </w:tr>
      <w:tr w:rsidR="00FB2D9C" w:rsidRPr="00231CBA" w14:paraId="391FF97D" w14:textId="77777777" w:rsidTr="00916A4F">
        <w:trPr>
          <w:tblHeader/>
        </w:trPr>
        <w:tc>
          <w:tcPr>
            <w:tcW w:w="5760" w:type="dxa"/>
          </w:tcPr>
          <w:p w14:paraId="36469621" w14:textId="77777777" w:rsidR="00FB2D9C" w:rsidRDefault="00FB2D9C" w:rsidP="00916A4F">
            <w:pPr>
              <w:pStyle w:val="tabletext"/>
            </w:pPr>
            <w:r>
              <w:t>Part 2, item 3, subitem 1(c)</w:t>
            </w:r>
          </w:p>
        </w:tc>
        <w:tc>
          <w:tcPr>
            <w:tcW w:w="1980" w:type="dxa"/>
          </w:tcPr>
          <w:p w14:paraId="4CFA4B1A" w14:textId="77777777" w:rsidR="00FB2D9C" w:rsidRDefault="00FB2D9C" w:rsidP="00916A4F">
            <w:pPr>
              <w:pStyle w:val="tabletext"/>
            </w:pPr>
            <w:r>
              <w:t>11.255</w:t>
            </w:r>
          </w:p>
        </w:tc>
      </w:tr>
      <w:tr w:rsidR="00FB2D9C" w:rsidRPr="00231CBA" w14:paraId="218D2E0D" w14:textId="77777777" w:rsidTr="00916A4F">
        <w:trPr>
          <w:tblHeader/>
        </w:trPr>
        <w:tc>
          <w:tcPr>
            <w:tcW w:w="5760" w:type="dxa"/>
          </w:tcPr>
          <w:p w14:paraId="1AB31079" w14:textId="77777777" w:rsidR="00FB2D9C" w:rsidRDefault="00FB2D9C" w:rsidP="00916A4F">
            <w:pPr>
              <w:pStyle w:val="tabletext"/>
            </w:pPr>
            <w:r>
              <w:t>Part 2, item 3, subitem 3(a) and (b)</w:t>
            </w:r>
          </w:p>
        </w:tc>
        <w:tc>
          <w:tcPr>
            <w:tcW w:w="1980" w:type="dxa"/>
          </w:tcPr>
          <w:p w14:paraId="628BA030" w14:textId="77777777" w:rsidR="00FB2D9C" w:rsidRDefault="00FB2D9C" w:rsidP="00916A4F">
            <w:pPr>
              <w:pStyle w:val="tabletext"/>
            </w:pPr>
            <w:r>
              <w:t>11.256</w:t>
            </w:r>
          </w:p>
        </w:tc>
      </w:tr>
      <w:tr w:rsidR="00FB2D9C" w:rsidRPr="00231CBA" w14:paraId="414B237D" w14:textId="77777777" w:rsidTr="00916A4F">
        <w:trPr>
          <w:tblHeader/>
        </w:trPr>
        <w:tc>
          <w:tcPr>
            <w:tcW w:w="5760" w:type="dxa"/>
          </w:tcPr>
          <w:p w14:paraId="402C6FAE" w14:textId="77777777" w:rsidR="00FB2D9C" w:rsidRDefault="00FB2D9C" w:rsidP="00916A4F">
            <w:pPr>
              <w:pStyle w:val="tabletext"/>
            </w:pPr>
            <w:r>
              <w:t>Part 2, item 3, subitem 4</w:t>
            </w:r>
          </w:p>
        </w:tc>
        <w:tc>
          <w:tcPr>
            <w:tcW w:w="1980" w:type="dxa"/>
          </w:tcPr>
          <w:p w14:paraId="03C54094" w14:textId="77777777" w:rsidR="00FB2D9C" w:rsidRDefault="00FB2D9C" w:rsidP="00916A4F">
            <w:pPr>
              <w:pStyle w:val="tabletext"/>
            </w:pPr>
            <w:r>
              <w:t>11.258</w:t>
            </w:r>
          </w:p>
        </w:tc>
      </w:tr>
      <w:tr w:rsidR="00FB2D9C" w:rsidRPr="00231CBA" w14:paraId="7FA8B7F7" w14:textId="77777777" w:rsidTr="00916A4F">
        <w:trPr>
          <w:tblHeader/>
        </w:trPr>
        <w:tc>
          <w:tcPr>
            <w:tcW w:w="5760" w:type="dxa"/>
          </w:tcPr>
          <w:p w14:paraId="7A9D5550" w14:textId="77777777" w:rsidR="00FB2D9C" w:rsidRDefault="00FB2D9C" w:rsidP="00916A4F">
            <w:pPr>
              <w:pStyle w:val="tabletext"/>
            </w:pPr>
            <w:r>
              <w:t>Part 2, item 4, subitem 1</w:t>
            </w:r>
          </w:p>
        </w:tc>
        <w:tc>
          <w:tcPr>
            <w:tcW w:w="1980" w:type="dxa"/>
          </w:tcPr>
          <w:p w14:paraId="00DED547" w14:textId="77777777" w:rsidR="00FB2D9C" w:rsidRDefault="00FB2D9C" w:rsidP="00916A4F">
            <w:pPr>
              <w:pStyle w:val="tabletext"/>
            </w:pPr>
            <w:r>
              <w:t>11.260</w:t>
            </w:r>
          </w:p>
        </w:tc>
      </w:tr>
      <w:tr w:rsidR="00FB2D9C" w:rsidRPr="00231CBA" w14:paraId="35D72839" w14:textId="77777777" w:rsidTr="00916A4F">
        <w:trPr>
          <w:tblHeader/>
        </w:trPr>
        <w:tc>
          <w:tcPr>
            <w:tcW w:w="5760" w:type="dxa"/>
          </w:tcPr>
          <w:p w14:paraId="06A68143" w14:textId="77777777" w:rsidR="00FB2D9C" w:rsidRDefault="00FB2D9C" w:rsidP="00916A4F">
            <w:pPr>
              <w:pStyle w:val="tabletext"/>
            </w:pPr>
            <w:r>
              <w:t>Part 2, item 4, subitem 2</w:t>
            </w:r>
          </w:p>
        </w:tc>
        <w:tc>
          <w:tcPr>
            <w:tcW w:w="1980" w:type="dxa"/>
          </w:tcPr>
          <w:p w14:paraId="3CB99007" w14:textId="77777777" w:rsidR="00FB2D9C" w:rsidRDefault="00FB2D9C" w:rsidP="00916A4F">
            <w:pPr>
              <w:pStyle w:val="tabletext"/>
            </w:pPr>
            <w:r>
              <w:t>11.261</w:t>
            </w:r>
          </w:p>
        </w:tc>
      </w:tr>
      <w:tr w:rsidR="00FB2D9C" w:rsidRPr="00231CBA" w14:paraId="014CA532" w14:textId="77777777" w:rsidTr="00916A4F">
        <w:trPr>
          <w:tblHeader/>
        </w:trPr>
        <w:tc>
          <w:tcPr>
            <w:tcW w:w="5760" w:type="dxa"/>
          </w:tcPr>
          <w:p w14:paraId="1A2ED7B8" w14:textId="77777777" w:rsidR="00FB2D9C" w:rsidRDefault="00FB2D9C" w:rsidP="00916A4F">
            <w:pPr>
              <w:pStyle w:val="tabletext"/>
            </w:pPr>
            <w:r>
              <w:t>Part 2, item 4, subitem 3</w:t>
            </w:r>
          </w:p>
        </w:tc>
        <w:tc>
          <w:tcPr>
            <w:tcW w:w="1980" w:type="dxa"/>
          </w:tcPr>
          <w:p w14:paraId="12166C7D" w14:textId="77777777" w:rsidR="00FB2D9C" w:rsidRDefault="00FB2D9C" w:rsidP="00916A4F">
            <w:pPr>
              <w:pStyle w:val="tabletext"/>
            </w:pPr>
            <w:r>
              <w:t>11.262</w:t>
            </w:r>
          </w:p>
        </w:tc>
      </w:tr>
      <w:tr w:rsidR="00FB2D9C" w:rsidRPr="00231CBA" w14:paraId="449F2616" w14:textId="77777777" w:rsidTr="00916A4F">
        <w:trPr>
          <w:tblHeader/>
        </w:trPr>
        <w:tc>
          <w:tcPr>
            <w:tcW w:w="5760" w:type="dxa"/>
          </w:tcPr>
          <w:p w14:paraId="746A21F6" w14:textId="77777777" w:rsidR="00FB2D9C" w:rsidRDefault="00FB2D9C" w:rsidP="00916A4F">
            <w:pPr>
              <w:pStyle w:val="tabletext"/>
            </w:pPr>
            <w:r>
              <w:t>Part 2, item 5, subitem 1</w:t>
            </w:r>
          </w:p>
        </w:tc>
        <w:tc>
          <w:tcPr>
            <w:tcW w:w="1980" w:type="dxa"/>
          </w:tcPr>
          <w:p w14:paraId="26A5E06B" w14:textId="77777777" w:rsidR="00FB2D9C" w:rsidRDefault="00FB2D9C" w:rsidP="00916A4F">
            <w:pPr>
              <w:pStyle w:val="tabletext"/>
            </w:pPr>
            <w:r>
              <w:t>11.264</w:t>
            </w:r>
          </w:p>
        </w:tc>
      </w:tr>
      <w:tr w:rsidR="00FB2D9C" w14:paraId="318A0BB3" w14:textId="77777777" w:rsidTr="00916A4F">
        <w:trPr>
          <w:tblHeader/>
        </w:trPr>
        <w:tc>
          <w:tcPr>
            <w:tcW w:w="5760" w:type="dxa"/>
          </w:tcPr>
          <w:p w14:paraId="28850331" w14:textId="77777777" w:rsidR="00FB2D9C" w:rsidRDefault="00FB2D9C" w:rsidP="00916A4F">
            <w:pPr>
              <w:pStyle w:val="tabletext"/>
            </w:pPr>
            <w:r>
              <w:t>Part 2, item 5, subitem 2</w:t>
            </w:r>
          </w:p>
        </w:tc>
        <w:tc>
          <w:tcPr>
            <w:tcW w:w="1980" w:type="dxa"/>
          </w:tcPr>
          <w:p w14:paraId="11D8498B" w14:textId="77777777" w:rsidR="00FB2D9C" w:rsidRDefault="00FB2D9C" w:rsidP="00916A4F">
            <w:pPr>
              <w:pStyle w:val="tabletext"/>
            </w:pPr>
            <w:r>
              <w:t>11.268</w:t>
            </w:r>
          </w:p>
        </w:tc>
      </w:tr>
      <w:tr w:rsidR="00FB2D9C" w:rsidRPr="00231CBA" w14:paraId="4D2BB104" w14:textId="77777777" w:rsidTr="00916A4F">
        <w:trPr>
          <w:tblHeader/>
        </w:trPr>
        <w:tc>
          <w:tcPr>
            <w:tcW w:w="5760" w:type="dxa"/>
          </w:tcPr>
          <w:p w14:paraId="17EFA055" w14:textId="77777777" w:rsidR="00FB2D9C" w:rsidRDefault="00FB2D9C" w:rsidP="00916A4F">
            <w:pPr>
              <w:pStyle w:val="tabletext"/>
            </w:pPr>
            <w:r>
              <w:t>Part 2, item 5, subitem 2(a)</w:t>
            </w:r>
          </w:p>
        </w:tc>
        <w:tc>
          <w:tcPr>
            <w:tcW w:w="1980" w:type="dxa"/>
          </w:tcPr>
          <w:p w14:paraId="5EE6893C" w14:textId="77777777" w:rsidR="00FB2D9C" w:rsidRDefault="00FB2D9C" w:rsidP="00916A4F">
            <w:pPr>
              <w:pStyle w:val="tabletext"/>
            </w:pPr>
            <w:r>
              <w:t>11.265</w:t>
            </w:r>
          </w:p>
        </w:tc>
      </w:tr>
      <w:tr w:rsidR="00FB2D9C" w:rsidRPr="00231CBA" w14:paraId="29D4D9F0" w14:textId="77777777" w:rsidTr="00916A4F">
        <w:trPr>
          <w:tblHeader/>
        </w:trPr>
        <w:tc>
          <w:tcPr>
            <w:tcW w:w="5760" w:type="dxa"/>
          </w:tcPr>
          <w:p w14:paraId="2032C7B6" w14:textId="77777777" w:rsidR="00FB2D9C" w:rsidRDefault="00FB2D9C" w:rsidP="00916A4F">
            <w:pPr>
              <w:pStyle w:val="tabletext"/>
            </w:pPr>
            <w:r>
              <w:t>Part 2, item 5, subitems 2(b) and 2(c)</w:t>
            </w:r>
          </w:p>
        </w:tc>
        <w:tc>
          <w:tcPr>
            <w:tcW w:w="1980" w:type="dxa"/>
          </w:tcPr>
          <w:p w14:paraId="5724621D" w14:textId="77777777" w:rsidR="00FB2D9C" w:rsidRDefault="00FB2D9C" w:rsidP="00916A4F">
            <w:pPr>
              <w:pStyle w:val="tabletext"/>
            </w:pPr>
            <w:r>
              <w:t>11.266</w:t>
            </w:r>
          </w:p>
        </w:tc>
      </w:tr>
      <w:tr w:rsidR="00FB2D9C" w:rsidRPr="00231CBA" w14:paraId="2F14EE2D" w14:textId="77777777" w:rsidTr="00916A4F">
        <w:trPr>
          <w:tblHeader/>
        </w:trPr>
        <w:tc>
          <w:tcPr>
            <w:tcW w:w="5760" w:type="dxa"/>
          </w:tcPr>
          <w:p w14:paraId="65B99923" w14:textId="77777777" w:rsidR="00FB2D9C" w:rsidRDefault="00FB2D9C" w:rsidP="00916A4F">
            <w:pPr>
              <w:pStyle w:val="tabletext"/>
            </w:pPr>
            <w:r>
              <w:t>Part 2, item 6, subitem 1</w:t>
            </w:r>
          </w:p>
        </w:tc>
        <w:tc>
          <w:tcPr>
            <w:tcW w:w="1980" w:type="dxa"/>
          </w:tcPr>
          <w:p w14:paraId="1C34C276" w14:textId="77777777" w:rsidR="00FB2D9C" w:rsidRDefault="00FB2D9C" w:rsidP="00916A4F">
            <w:pPr>
              <w:pStyle w:val="tabletext"/>
            </w:pPr>
            <w:r>
              <w:t>11.267</w:t>
            </w:r>
          </w:p>
        </w:tc>
      </w:tr>
      <w:tr w:rsidR="00FB2D9C" w:rsidRPr="00231CBA" w14:paraId="5B34D993" w14:textId="77777777" w:rsidTr="00916A4F">
        <w:trPr>
          <w:tblHeader/>
        </w:trPr>
        <w:tc>
          <w:tcPr>
            <w:tcW w:w="5760" w:type="dxa"/>
          </w:tcPr>
          <w:p w14:paraId="51020EDC" w14:textId="77777777" w:rsidR="00FB2D9C" w:rsidRDefault="00FB2D9C" w:rsidP="00916A4F">
            <w:pPr>
              <w:pStyle w:val="tabletext"/>
            </w:pPr>
            <w:r>
              <w:t>Part 2, item 7, subitem 1</w:t>
            </w:r>
          </w:p>
        </w:tc>
        <w:tc>
          <w:tcPr>
            <w:tcW w:w="1980" w:type="dxa"/>
          </w:tcPr>
          <w:p w14:paraId="5700F7F2" w14:textId="77777777" w:rsidR="00FB2D9C" w:rsidRDefault="00FB2D9C" w:rsidP="00916A4F">
            <w:pPr>
              <w:pStyle w:val="tabletext"/>
            </w:pPr>
            <w:r>
              <w:t>11.269</w:t>
            </w:r>
          </w:p>
        </w:tc>
      </w:tr>
      <w:tr w:rsidR="00FB2D9C" w:rsidRPr="00231CBA" w14:paraId="3EE6B19A" w14:textId="77777777" w:rsidTr="00916A4F">
        <w:trPr>
          <w:tblHeader/>
        </w:trPr>
        <w:tc>
          <w:tcPr>
            <w:tcW w:w="5760" w:type="dxa"/>
          </w:tcPr>
          <w:p w14:paraId="158BD45E" w14:textId="77777777" w:rsidR="00FB2D9C" w:rsidRDefault="00FB2D9C" w:rsidP="00916A4F">
            <w:pPr>
              <w:pStyle w:val="tabletext"/>
            </w:pPr>
            <w:r>
              <w:t>Part 2, item 7, subitem 2</w:t>
            </w:r>
          </w:p>
        </w:tc>
        <w:tc>
          <w:tcPr>
            <w:tcW w:w="1980" w:type="dxa"/>
          </w:tcPr>
          <w:p w14:paraId="305EC635" w14:textId="77777777" w:rsidR="00FB2D9C" w:rsidRDefault="00FB2D9C" w:rsidP="00916A4F">
            <w:pPr>
              <w:pStyle w:val="tabletext"/>
            </w:pPr>
            <w:r>
              <w:t>11.270</w:t>
            </w:r>
          </w:p>
        </w:tc>
      </w:tr>
      <w:tr w:rsidR="00FB2D9C" w:rsidRPr="00231CBA" w14:paraId="364244CB" w14:textId="77777777" w:rsidTr="00916A4F">
        <w:trPr>
          <w:tblHeader/>
        </w:trPr>
        <w:tc>
          <w:tcPr>
            <w:tcW w:w="5760" w:type="dxa"/>
          </w:tcPr>
          <w:p w14:paraId="33382C53" w14:textId="77777777" w:rsidR="00FB2D9C" w:rsidRDefault="00FB2D9C" w:rsidP="00916A4F">
            <w:pPr>
              <w:pStyle w:val="tabletext"/>
            </w:pPr>
            <w:r>
              <w:t>Part 2, item 8, subitem 1</w:t>
            </w:r>
          </w:p>
        </w:tc>
        <w:tc>
          <w:tcPr>
            <w:tcW w:w="1980" w:type="dxa"/>
          </w:tcPr>
          <w:p w14:paraId="0D093BA8" w14:textId="77777777" w:rsidR="00FB2D9C" w:rsidRDefault="00FB2D9C" w:rsidP="00916A4F">
            <w:pPr>
              <w:pStyle w:val="tabletext"/>
            </w:pPr>
            <w:r>
              <w:t>11.271</w:t>
            </w:r>
          </w:p>
        </w:tc>
      </w:tr>
      <w:tr w:rsidR="00FB2D9C" w:rsidRPr="00231CBA" w14:paraId="7C1B8C24" w14:textId="77777777" w:rsidTr="00916A4F">
        <w:trPr>
          <w:tblHeader/>
        </w:trPr>
        <w:tc>
          <w:tcPr>
            <w:tcW w:w="5760" w:type="dxa"/>
          </w:tcPr>
          <w:p w14:paraId="2755F265" w14:textId="77777777" w:rsidR="00FB2D9C" w:rsidRDefault="00FB2D9C" w:rsidP="00916A4F">
            <w:pPr>
              <w:pStyle w:val="tabletext"/>
            </w:pPr>
            <w:r>
              <w:t>Part 2, item 8, subitem 2</w:t>
            </w:r>
          </w:p>
        </w:tc>
        <w:tc>
          <w:tcPr>
            <w:tcW w:w="1980" w:type="dxa"/>
          </w:tcPr>
          <w:p w14:paraId="2740CD95" w14:textId="77777777" w:rsidR="00FB2D9C" w:rsidRDefault="00FB2D9C" w:rsidP="00916A4F">
            <w:pPr>
              <w:pStyle w:val="tabletext"/>
            </w:pPr>
            <w:r>
              <w:t>11.272</w:t>
            </w:r>
          </w:p>
        </w:tc>
      </w:tr>
      <w:tr w:rsidR="00FB2D9C" w:rsidRPr="00231CBA" w14:paraId="7ED915DA" w14:textId="77777777" w:rsidTr="00916A4F">
        <w:trPr>
          <w:tblHeader/>
        </w:trPr>
        <w:tc>
          <w:tcPr>
            <w:tcW w:w="5760" w:type="dxa"/>
          </w:tcPr>
          <w:p w14:paraId="47DC3810" w14:textId="77777777" w:rsidR="00FB2D9C" w:rsidRDefault="00FB2D9C" w:rsidP="00916A4F">
            <w:pPr>
              <w:pStyle w:val="tabletext"/>
            </w:pPr>
            <w:r>
              <w:t>Part 2, item 8, subitems 3 and 4</w:t>
            </w:r>
          </w:p>
        </w:tc>
        <w:tc>
          <w:tcPr>
            <w:tcW w:w="1980" w:type="dxa"/>
          </w:tcPr>
          <w:p w14:paraId="665FA8BC" w14:textId="77777777" w:rsidR="00FB2D9C" w:rsidRDefault="00FB2D9C" w:rsidP="00916A4F">
            <w:pPr>
              <w:pStyle w:val="tabletext"/>
            </w:pPr>
            <w:r>
              <w:t>11.275</w:t>
            </w:r>
          </w:p>
        </w:tc>
      </w:tr>
      <w:tr w:rsidR="00FB2D9C" w:rsidRPr="00231CBA" w14:paraId="0205FF0B" w14:textId="77777777" w:rsidTr="00916A4F">
        <w:trPr>
          <w:tblHeader/>
        </w:trPr>
        <w:tc>
          <w:tcPr>
            <w:tcW w:w="5760" w:type="dxa"/>
          </w:tcPr>
          <w:p w14:paraId="69283910" w14:textId="77777777" w:rsidR="00FB2D9C" w:rsidRDefault="00FB2D9C" w:rsidP="00916A4F">
            <w:pPr>
              <w:pStyle w:val="tabletext"/>
            </w:pPr>
            <w:r>
              <w:t>Part 2, item 8, subitem 5</w:t>
            </w:r>
          </w:p>
        </w:tc>
        <w:tc>
          <w:tcPr>
            <w:tcW w:w="1980" w:type="dxa"/>
          </w:tcPr>
          <w:p w14:paraId="4722182B" w14:textId="77777777" w:rsidR="00FB2D9C" w:rsidRDefault="00FB2D9C" w:rsidP="00916A4F">
            <w:pPr>
              <w:pStyle w:val="tabletext"/>
            </w:pPr>
            <w:r>
              <w:t>11.276</w:t>
            </w:r>
          </w:p>
        </w:tc>
      </w:tr>
      <w:tr w:rsidR="00FB2D9C" w:rsidRPr="00231CBA" w14:paraId="32AB17F2" w14:textId="77777777" w:rsidTr="00916A4F">
        <w:trPr>
          <w:tblHeader/>
        </w:trPr>
        <w:tc>
          <w:tcPr>
            <w:tcW w:w="5760" w:type="dxa"/>
          </w:tcPr>
          <w:p w14:paraId="3B15FF2B" w14:textId="77777777" w:rsidR="00FB2D9C" w:rsidRDefault="00FB2D9C" w:rsidP="00916A4F">
            <w:pPr>
              <w:pStyle w:val="tabletext"/>
            </w:pPr>
            <w:r>
              <w:t>Part 2, item 8, subitem 6</w:t>
            </w:r>
          </w:p>
        </w:tc>
        <w:tc>
          <w:tcPr>
            <w:tcW w:w="1980" w:type="dxa"/>
          </w:tcPr>
          <w:p w14:paraId="55EAFAF9" w14:textId="77777777" w:rsidR="00FB2D9C" w:rsidRDefault="00FB2D9C" w:rsidP="00916A4F">
            <w:pPr>
              <w:pStyle w:val="tabletext"/>
            </w:pPr>
            <w:r>
              <w:t>11.277</w:t>
            </w:r>
          </w:p>
        </w:tc>
      </w:tr>
      <w:tr w:rsidR="00FB2D9C" w:rsidRPr="00231CBA" w14:paraId="2C4323E8" w14:textId="77777777" w:rsidTr="00916A4F">
        <w:trPr>
          <w:tblHeader/>
        </w:trPr>
        <w:tc>
          <w:tcPr>
            <w:tcW w:w="5760" w:type="dxa"/>
          </w:tcPr>
          <w:p w14:paraId="68C2718F" w14:textId="77777777" w:rsidR="00FB2D9C" w:rsidRDefault="00FB2D9C" w:rsidP="00916A4F">
            <w:pPr>
              <w:pStyle w:val="tabletext"/>
            </w:pPr>
            <w:r>
              <w:t>Part 2, item 8, subitem 7</w:t>
            </w:r>
          </w:p>
        </w:tc>
        <w:tc>
          <w:tcPr>
            <w:tcW w:w="1980" w:type="dxa"/>
          </w:tcPr>
          <w:p w14:paraId="068B6234" w14:textId="77777777" w:rsidR="00FB2D9C" w:rsidRDefault="00FB2D9C" w:rsidP="00916A4F">
            <w:pPr>
              <w:pStyle w:val="tabletext"/>
            </w:pPr>
            <w:r>
              <w:t>11.278</w:t>
            </w:r>
          </w:p>
        </w:tc>
      </w:tr>
      <w:tr w:rsidR="00FB2D9C" w:rsidRPr="00231CBA" w14:paraId="17E864AA" w14:textId="77777777" w:rsidTr="00916A4F">
        <w:trPr>
          <w:tblHeader/>
        </w:trPr>
        <w:tc>
          <w:tcPr>
            <w:tcW w:w="5760" w:type="dxa"/>
          </w:tcPr>
          <w:p w14:paraId="26C54BE8" w14:textId="77777777" w:rsidR="00FB2D9C" w:rsidRDefault="00FB2D9C" w:rsidP="00916A4F">
            <w:pPr>
              <w:pStyle w:val="tabletext"/>
            </w:pPr>
            <w:r>
              <w:t>Part 2, item 9, subitem 1</w:t>
            </w:r>
          </w:p>
        </w:tc>
        <w:tc>
          <w:tcPr>
            <w:tcW w:w="1980" w:type="dxa"/>
          </w:tcPr>
          <w:p w14:paraId="79FDC7D6" w14:textId="77777777" w:rsidR="00FB2D9C" w:rsidRDefault="00FB2D9C" w:rsidP="00916A4F">
            <w:pPr>
              <w:pStyle w:val="tabletext"/>
            </w:pPr>
            <w:r>
              <w:t>11.279</w:t>
            </w:r>
          </w:p>
        </w:tc>
      </w:tr>
      <w:tr w:rsidR="00FB2D9C" w:rsidRPr="00231CBA" w14:paraId="1D7E6137" w14:textId="77777777" w:rsidTr="00916A4F">
        <w:trPr>
          <w:tblHeader/>
        </w:trPr>
        <w:tc>
          <w:tcPr>
            <w:tcW w:w="5760" w:type="dxa"/>
          </w:tcPr>
          <w:p w14:paraId="496A9444" w14:textId="77777777" w:rsidR="00FB2D9C" w:rsidRDefault="00FB2D9C" w:rsidP="00916A4F">
            <w:pPr>
              <w:pStyle w:val="tabletext"/>
            </w:pPr>
            <w:r>
              <w:t>Part 2, item 9, subitem 2</w:t>
            </w:r>
          </w:p>
        </w:tc>
        <w:tc>
          <w:tcPr>
            <w:tcW w:w="1980" w:type="dxa"/>
          </w:tcPr>
          <w:p w14:paraId="18C6CB9F" w14:textId="77777777" w:rsidR="00FB2D9C" w:rsidRDefault="00FB2D9C" w:rsidP="00916A4F">
            <w:pPr>
              <w:pStyle w:val="tabletext"/>
            </w:pPr>
            <w:r>
              <w:t>11.280</w:t>
            </w:r>
          </w:p>
        </w:tc>
      </w:tr>
      <w:tr w:rsidR="00FB2D9C" w:rsidRPr="00231CBA" w14:paraId="741C0BC9" w14:textId="77777777" w:rsidTr="00916A4F">
        <w:trPr>
          <w:tblHeader/>
        </w:trPr>
        <w:tc>
          <w:tcPr>
            <w:tcW w:w="5760" w:type="dxa"/>
          </w:tcPr>
          <w:p w14:paraId="14643547" w14:textId="77777777" w:rsidR="00FB2D9C" w:rsidRDefault="00FB2D9C" w:rsidP="00916A4F">
            <w:pPr>
              <w:pStyle w:val="tabletext"/>
            </w:pPr>
            <w:r>
              <w:t>Part 2, item 9, subitem 3</w:t>
            </w:r>
          </w:p>
        </w:tc>
        <w:tc>
          <w:tcPr>
            <w:tcW w:w="1980" w:type="dxa"/>
          </w:tcPr>
          <w:p w14:paraId="635CA468" w14:textId="77777777" w:rsidR="00FB2D9C" w:rsidRDefault="00FB2D9C" w:rsidP="00916A4F">
            <w:pPr>
              <w:pStyle w:val="tabletext"/>
            </w:pPr>
            <w:r>
              <w:t>11.281</w:t>
            </w:r>
          </w:p>
        </w:tc>
      </w:tr>
      <w:tr w:rsidR="00FB2D9C" w:rsidRPr="00231CBA" w14:paraId="551B8BC0" w14:textId="77777777" w:rsidTr="00916A4F">
        <w:trPr>
          <w:tblHeader/>
        </w:trPr>
        <w:tc>
          <w:tcPr>
            <w:tcW w:w="5760" w:type="dxa"/>
          </w:tcPr>
          <w:p w14:paraId="72FD0E56" w14:textId="77777777" w:rsidR="00FB2D9C" w:rsidRDefault="00FB2D9C" w:rsidP="00916A4F">
            <w:pPr>
              <w:pStyle w:val="tabletext"/>
            </w:pPr>
            <w:r>
              <w:t>Part 2, item 10</w:t>
            </w:r>
          </w:p>
        </w:tc>
        <w:tc>
          <w:tcPr>
            <w:tcW w:w="1980" w:type="dxa"/>
          </w:tcPr>
          <w:p w14:paraId="711BDDDE" w14:textId="77777777" w:rsidR="00FB2D9C" w:rsidRDefault="00FB2D9C" w:rsidP="00916A4F">
            <w:pPr>
              <w:pStyle w:val="tabletext"/>
            </w:pPr>
            <w:r>
              <w:t>11.282</w:t>
            </w:r>
          </w:p>
        </w:tc>
      </w:tr>
      <w:tr w:rsidR="00FB2D9C" w:rsidRPr="00231CBA" w14:paraId="3B24F512" w14:textId="77777777" w:rsidTr="00916A4F">
        <w:trPr>
          <w:tblHeader/>
        </w:trPr>
        <w:tc>
          <w:tcPr>
            <w:tcW w:w="5760" w:type="dxa"/>
          </w:tcPr>
          <w:p w14:paraId="1CCD3991" w14:textId="77777777" w:rsidR="00FB2D9C" w:rsidRDefault="00FB2D9C" w:rsidP="00916A4F">
            <w:pPr>
              <w:pStyle w:val="tabletext"/>
            </w:pPr>
            <w:r>
              <w:t>Part 2, item 11</w:t>
            </w:r>
          </w:p>
        </w:tc>
        <w:tc>
          <w:tcPr>
            <w:tcW w:w="1980" w:type="dxa"/>
          </w:tcPr>
          <w:p w14:paraId="082629F9" w14:textId="77777777" w:rsidR="00FB2D9C" w:rsidRDefault="00FB2D9C" w:rsidP="00916A4F">
            <w:pPr>
              <w:pStyle w:val="tabletext"/>
            </w:pPr>
            <w:r>
              <w:t>11.283, 11.284, 11.285</w:t>
            </w:r>
          </w:p>
        </w:tc>
      </w:tr>
      <w:tr w:rsidR="00FB2D9C" w:rsidRPr="00231CBA" w14:paraId="1B28411E" w14:textId="77777777" w:rsidTr="00916A4F">
        <w:trPr>
          <w:tblHeader/>
        </w:trPr>
        <w:tc>
          <w:tcPr>
            <w:tcW w:w="5760" w:type="dxa"/>
          </w:tcPr>
          <w:p w14:paraId="13DA958C" w14:textId="77777777" w:rsidR="00FB2D9C" w:rsidRDefault="00FB2D9C" w:rsidP="00916A4F">
            <w:pPr>
              <w:pStyle w:val="tabletext"/>
            </w:pPr>
            <w:r>
              <w:t>Part 2, item 12, subitems 1 and 2</w:t>
            </w:r>
          </w:p>
        </w:tc>
        <w:tc>
          <w:tcPr>
            <w:tcW w:w="1980" w:type="dxa"/>
          </w:tcPr>
          <w:p w14:paraId="43A7E5D0" w14:textId="77777777" w:rsidR="00FB2D9C" w:rsidRDefault="00FB2D9C" w:rsidP="00916A4F">
            <w:pPr>
              <w:pStyle w:val="tabletext"/>
            </w:pPr>
            <w:r>
              <w:t>11.287, 11.288</w:t>
            </w:r>
          </w:p>
        </w:tc>
      </w:tr>
      <w:tr w:rsidR="00FB2D9C" w:rsidRPr="00231CBA" w14:paraId="4AFC909B" w14:textId="77777777" w:rsidTr="00916A4F">
        <w:trPr>
          <w:tblHeader/>
        </w:trPr>
        <w:tc>
          <w:tcPr>
            <w:tcW w:w="5760" w:type="dxa"/>
          </w:tcPr>
          <w:p w14:paraId="7256EC98" w14:textId="77777777" w:rsidR="00FB2D9C" w:rsidRDefault="00FB2D9C" w:rsidP="00916A4F">
            <w:pPr>
              <w:pStyle w:val="tabletext"/>
            </w:pPr>
            <w:r>
              <w:t>Part 2, item 12, subitem 3</w:t>
            </w:r>
          </w:p>
        </w:tc>
        <w:tc>
          <w:tcPr>
            <w:tcW w:w="1980" w:type="dxa"/>
          </w:tcPr>
          <w:p w14:paraId="0BBF751D" w14:textId="77777777" w:rsidR="00FB2D9C" w:rsidRDefault="00FB2D9C" w:rsidP="00916A4F">
            <w:pPr>
              <w:pStyle w:val="tabletext"/>
            </w:pPr>
            <w:r>
              <w:t>11.289</w:t>
            </w:r>
          </w:p>
        </w:tc>
      </w:tr>
      <w:tr w:rsidR="00FB2D9C" w:rsidRPr="00231CBA" w14:paraId="170E5E65" w14:textId="77777777" w:rsidTr="00916A4F">
        <w:trPr>
          <w:tblHeader/>
        </w:trPr>
        <w:tc>
          <w:tcPr>
            <w:tcW w:w="5760" w:type="dxa"/>
          </w:tcPr>
          <w:p w14:paraId="5644778E" w14:textId="77777777" w:rsidR="00FB2D9C" w:rsidRDefault="00FB2D9C" w:rsidP="00916A4F">
            <w:pPr>
              <w:pStyle w:val="tabletext"/>
            </w:pPr>
            <w:r>
              <w:t>Part 2, item 12, subitem 4</w:t>
            </w:r>
          </w:p>
        </w:tc>
        <w:tc>
          <w:tcPr>
            <w:tcW w:w="1980" w:type="dxa"/>
          </w:tcPr>
          <w:p w14:paraId="1BAB55FC" w14:textId="77777777" w:rsidR="00FB2D9C" w:rsidRDefault="00FB2D9C" w:rsidP="00916A4F">
            <w:pPr>
              <w:pStyle w:val="tabletext"/>
            </w:pPr>
            <w:r>
              <w:t>11.290</w:t>
            </w:r>
          </w:p>
        </w:tc>
      </w:tr>
      <w:tr w:rsidR="00FB2D9C" w:rsidRPr="00231CBA" w14:paraId="6B8244F3" w14:textId="77777777" w:rsidTr="00916A4F">
        <w:trPr>
          <w:tblHeader/>
        </w:trPr>
        <w:tc>
          <w:tcPr>
            <w:tcW w:w="5760" w:type="dxa"/>
          </w:tcPr>
          <w:p w14:paraId="1D4804DC" w14:textId="77777777" w:rsidR="00FB2D9C" w:rsidRDefault="00FB2D9C" w:rsidP="00916A4F">
            <w:pPr>
              <w:pStyle w:val="tabletext"/>
            </w:pPr>
            <w:r>
              <w:t>Part 2, item 12, subitem 5</w:t>
            </w:r>
          </w:p>
        </w:tc>
        <w:tc>
          <w:tcPr>
            <w:tcW w:w="1980" w:type="dxa"/>
          </w:tcPr>
          <w:p w14:paraId="6EEF404A" w14:textId="77777777" w:rsidR="00FB2D9C" w:rsidRDefault="00FB2D9C" w:rsidP="00916A4F">
            <w:pPr>
              <w:pStyle w:val="tabletext"/>
            </w:pPr>
            <w:r>
              <w:t>11.291</w:t>
            </w:r>
          </w:p>
        </w:tc>
      </w:tr>
      <w:tr w:rsidR="00FB2D9C" w:rsidRPr="00231CBA" w14:paraId="630997CB" w14:textId="77777777" w:rsidTr="00916A4F">
        <w:trPr>
          <w:tblHeader/>
        </w:trPr>
        <w:tc>
          <w:tcPr>
            <w:tcW w:w="5760" w:type="dxa"/>
          </w:tcPr>
          <w:p w14:paraId="7F9C1808" w14:textId="77777777" w:rsidR="00FB2D9C" w:rsidRDefault="00FB2D9C" w:rsidP="00916A4F">
            <w:pPr>
              <w:pStyle w:val="tabletext"/>
            </w:pPr>
            <w:r>
              <w:t>Part 2, item 13</w:t>
            </w:r>
          </w:p>
        </w:tc>
        <w:tc>
          <w:tcPr>
            <w:tcW w:w="1980" w:type="dxa"/>
          </w:tcPr>
          <w:p w14:paraId="2252F18E" w14:textId="77777777" w:rsidR="00FB2D9C" w:rsidRDefault="00FB2D9C" w:rsidP="00916A4F">
            <w:pPr>
              <w:pStyle w:val="tabletext"/>
            </w:pPr>
            <w:r>
              <w:t>11.292</w:t>
            </w:r>
          </w:p>
        </w:tc>
      </w:tr>
      <w:tr w:rsidR="00FB2D9C" w:rsidRPr="00231CBA" w14:paraId="51732E7F" w14:textId="77777777" w:rsidTr="00916A4F">
        <w:trPr>
          <w:tblHeader/>
        </w:trPr>
        <w:tc>
          <w:tcPr>
            <w:tcW w:w="5760" w:type="dxa"/>
          </w:tcPr>
          <w:p w14:paraId="02114454" w14:textId="77777777" w:rsidR="00FB2D9C" w:rsidRDefault="00FB2D9C" w:rsidP="00916A4F">
            <w:pPr>
              <w:pStyle w:val="tabletext"/>
            </w:pPr>
            <w:r>
              <w:t>Part 2, item 14</w:t>
            </w:r>
          </w:p>
        </w:tc>
        <w:tc>
          <w:tcPr>
            <w:tcW w:w="1980" w:type="dxa"/>
          </w:tcPr>
          <w:p w14:paraId="6B770E79" w14:textId="77777777" w:rsidR="00FB2D9C" w:rsidRDefault="00FB2D9C" w:rsidP="00916A4F">
            <w:pPr>
              <w:pStyle w:val="tabletext"/>
            </w:pPr>
            <w:r>
              <w:t>11.293, 11.294, 11.295</w:t>
            </w:r>
          </w:p>
        </w:tc>
      </w:tr>
      <w:tr w:rsidR="00FB2D9C" w:rsidRPr="00231CBA" w14:paraId="4DCE84C9" w14:textId="77777777" w:rsidTr="00916A4F">
        <w:trPr>
          <w:tblHeader/>
        </w:trPr>
        <w:tc>
          <w:tcPr>
            <w:tcW w:w="5760" w:type="dxa"/>
          </w:tcPr>
          <w:p w14:paraId="4ACB962D" w14:textId="77777777" w:rsidR="00FB2D9C" w:rsidRDefault="00FB2D9C" w:rsidP="00916A4F">
            <w:pPr>
              <w:pStyle w:val="tabletext"/>
            </w:pPr>
            <w:r>
              <w:t>Part 2, item 15</w:t>
            </w:r>
          </w:p>
        </w:tc>
        <w:tc>
          <w:tcPr>
            <w:tcW w:w="1980" w:type="dxa"/>
          </w:tcPr>
          <w:p w14:paraId="7F4D2698" w14:textId="77777777" w:rsidR="00FB2D9C" w:rsidRDefault="00FB2D9C" w:rsidP="00916A4F">
            <w:pPr>
              <w:pStyle w:val="tabletext"/>
            </w:pPr>
            <w:r>
              <w:t>11.296</w:t>
            </w:r>
          </w:p>
        </w:tc>
      </w:tr>
      <w:tr w:rsidR="00FB2D9C" w:rsidRPr="00231CBA" w14:paraId="0A0F6397" w14:textId="77777777" w:rsidTr="00916A4F">
        <w:trPr>
          <w:tblHeader/>
        </w:trPr>
        <w:tc>
          <w:tcPr>
            <w:tcW w:w="5760" w:type="dxa"/>
          </w:tcPr>
          <w:p w14:paraId="06C8FEB2" w14:textId="77777777" w:rsidR="00FB2D9C" w:rsidRDefault="00FB2D9C" w:rsidP="00916A4F">
            <w:pPr>
              <w:pStyle w:val="tabletext"/>
            </w:pPr>
            <w:r>
              <w:t>Part 2, item 16, subitem 1</w:t>
            </w:r>
          </w:p>
        </w:tc>
        <w:tc>
          <w:tcPr>
            <w:tcW w:w="1980" w:type="dxa"/>
          </w:tcPr>
          <w:p w14:paraId="67DFA6D0" w14:textId="77777777" w:rsidR="00FB2D9C" w:rsidRDefault="00FB2D9C" w:rsidP="00916A4F">
            <w:pPr>
              <w:pStyle w:val="tabletext"/>
            </w:pPr>
            <w:r>
              <w:t>11.297</w:t>
            </w:r>
          </w:p>
        </w:tc>
      </w:tr>
      <w:tr w:rsidR="00FB2D9C" w:rsidRPr="00231CBA" w14:paraId="5BEB0068" w14:textId="77777777" w:rsidTr="00916A4F">
        <w:trPr>
          <w:tblHeader/>
        </w:trPr>
        <w:tc>
          <w:tcPr>
            <w:tcW w:w="5760" w:type="dxa"/>
          </w:tcPr>
          <w:p w14:paraId="0B6C4C29" w14:textId="77777777" w:rsidR="00FB2D9C" w:rsidRDefault="00FB2D9C" w:rsidP="00916A4F">
            <w:pPr>
              <w:pStyle w:val="tabletext"/>
            </w:pPr>
            <w:r>
              <w:t>Part 2, item 16, subitem 2</w:t>
            </w:r>
          </w:p>
        </w:tc>
        <w:tc>
          <w:tcPr>
            <w:tcW w:w="1980" w:type="dxa"/>
          </w:tcPr>
          <w:p w14:paraId="54B26C21" w14:textId="77777777" w:rsidR="00FB2D9C" w:rsidRDefault="00FB2D9C" w:rsidP="00916A4F">
            <w:pPr>
              <w:pStyle w:val="tabletext"/>
            </w:pPr>
            <w:r>
              <w:t>11.298</w:t>
            </w:r>
          </w:p>
        </w:tc>
      </w:tr>
      <w:tr w:rsidR="00FB2D9C" w:rsidRPr="00231CBA" w14:paraId="5D1AFEAA" w14:textId="77777777" w:rsidTr="00916A4F">
        <w:trPr>
          <w:tblHeader/>
        </w:trPr>
        <w:tc>
          <w:tcPr>
            <w:tcW w:w="5760" w:type="dxa"/>
          </w:tcPr>
          <w:p w14:paraId="617B8E7D" w14:textId="77777777" w:rsidR="00FB2D9C" w:rsidRDefault="00FB2D9C" w:rsidP="00916A4F">
            <w:pPr>
              <w:pStyle w:val="tabletext"/>
            </w:pPr>
            <w:r>
              <w:t>Part 2, item 16, subitem 3</w:t>
            </w:r>
          </w:p>
        </w:tc>
        <w:tc>
          <w:tcPr>
            <w:tcW w:w="1980" w:type="dxa"/>
          </w:tcPr>
          <w:p w14:paraId="5C164326" w14:textId="77777777" w:rsidR="00FB2D9C" w:rsidRDefault="00FB2D9C" w:rsidP="00916A4F">
            <w:pPr>
              <w:pStyle w:val="tabletext"/>
            </w:pPr>
            <w:r>
              <w:t>11.300, 11.304</w:t>
            </w:r>
          </w:p>
        </w:tc>
      </w:tr>
      <w:tr w:rsidR="00FB2D9C" w:rsidRPr="00231CBA" w14:paraId="0440BCBD" w14:textId="77777777" w:rsidTr="00916A4F">
        <w:trPr>
          <w:tblHeader/>
        </w:trPr>
        <w:tc>
          <w:tcPr>
            <w:tcW w:w="5760" w:type="dxa"/>
          </w:tcPr>
          <w:p w14:paraId="6FA8B53E" w14:textId="77777777" w:rsidR="00FB2D9C" w:rsidRDefault="00FB2D9C" w:rsidP="00916A4F">
            <w:pPr>
              <w:pStyle w:val="tabletext"/>
            </w:pPr>
            <w:r>
              <w:t>Part 2, item 16, subitem 4</w:t>
            </w:r>
          </w:p>
        </w:tc>
        <w:tc>
          <w:tcPr>
            <w:tcW w:w="1980" w:type="dxa"/>
          </w:tcPr>
          <w:p w14:paraId="363E0489" w14:textId="77777777" w:rsidR="00FB2D9C" w:rsidRDefault="00FB2D9C" w:rsidP="00916A4F">
            <w:pPr>
              <w:pStyle w:val="tabletext"/>
            </w:pPr>
            <w:r>
              <w:t>11.301, 11.305</w:t>
            </w:r>
          </w:p>
        </w:tc>
      </w:tr>
      <w:tr w:rsidR="00FB2D9C" w:rsidRPr="00231CBA" w14:paraId="2AEF4455" w14:textId="77777777" w:rsidTr="00916A4F">
        <w:trPr>
          <w:tblHeader/>
        </w:trPr>
        <w:tc>
          <w:tcPr>
            <w:tcW w:w="5760" w:type="dxa"/>
          </w:tcPr>
          <w:p w14:paraId="42953E48" w14:textId="77777777" w:rsidR="00FB2D9C" w:rsidRDefault="00FB2D9C" w:rsidP="00916A4F">
            <w:pPr>
              <w:pStyle w:val="tabletext"/>
            </w:pPr>
            <w:r>
              <w:t>Part 2, item 17</w:t>
            </w:r>
          </w:p>
        </w:tc>
        <w:tc>
          <w:tcPr>
            <w:tcW w:w="1980" w:type="dxa"/>
          </w:tcPr>
          <w:p w14:paraId="72831CA8" w14:textId="77777777" w:rsidR="00FB2D9C" w:rsidRDefault="00FB2D9C" w:rsidP="00916A4F">
            <w:pPr>
              <w:pStyle w:val="tabletext"/>
            </w:pPr>
            <w:r>
              <w:t>11.303</w:t>
            </w:r>
          </w:p>
        </w:tc>
      </w:tr>
      <w:tr w:rsidR="00FB2D9C" w:rsidRPr="00231CBA" w14:paraId="6ED97133" w14:textId="77777777" w:rsidTr="00916A4F">
        <w:trPr>
          <w:tblHeader/>
        </w:trPr>
        <w:tc>
          <w:tcPr>
            <w:tcW w:w="5760" w:type="dxa"/>
          </w:tcPr>
          <w:p w14:paraId="381D288D" w14:textId="77777777" w:rsidR="00FB2D9C" w:rsidRDefault="00FB2D9C" w:rsidP="00916A4F">
            <w:pPr>
              <w:pStyle w:val="tabletext"/>
            </w:pPr>
            <w:r>
              <w:t>Part 2, item 18</w:t>
            </w:r>
          </w:p>
        </w:tc>
        <w:tc>
          <w:tcPr>
            <w:tcW w:w="1980" w:type="dxa"/>
          </w:tcPr>
          <w:p w14:paraId="51A9817D" w14:textId="77777777" w:rsidR="00FB2D9C" w:rsidRDefault="00FB2D9C" w:rsidP="00916A4F">
            <w:pPr>
              <w:pStyle w:val="tabletext"/>
            </w:pPr>
            <w:r>
              <w:t>11.307</w:t>
            </w:r>
          </w:p>
        </w:tc>
      </w:tr>
      <w:tr w:rsidR="00FB2D9C" w:rsidRPr="00231CBA" w14:paraId="5E421403" w14:textId="77777777" w:rsidTr="00916A4F">
        <w:trPr>
          <w:tblHeader/>
        </w:trPr>
        <w:tc>
          <w:tcPr>
            <w:tcW w:w="5760" w:type="dxa"/>
          </w:tcPr>
          <w:p w14:paraId="26D894BC" w14:textId="77777777" w:rsidR="00FB2D9C" w:rsidRDefault="00FB2D9C" w:rsidP="00916A4F">
            <w:pPr>
              <w:pStyle w:val="tabletext"/>
            </w:pPr>
            <w:r>
              <w:t>Part 2, item 19</w:t>
            </w:r>
          </w:p>
        </w:tc>
        <w:tc>
          <w:tcPr>
            <w:tcW w:w="1980" w:type="dxa"/>
          </w:tcPr>
          <w:p w14:paraId="5DCEB6A7" w14:textId="77777777" w:rsidR="00FB2D9C" w:rsidRDefault="00FB2D9C" w:rsidP="00916A4F">
            <w:pPr>
              <w:pStyle w:val="tabletext"/>
            </w:pPr>
            <w:r>
              <w:t>11.309</w:t>
            </w:r>
          </w:p>
        </w:tc>
      </w:tr>
      <w:tr w:rsidR="00FB2D9C" w:rsidRPr="00231CBA" w14:paraId="4C00AE55" w14:textId="77777777" w:rsidTr="00916A4F">
        <w:trPr>
          <w:tblHeader/>
        </w:trPr>
        <w:tc>
          <w:tcPr>
            <w:tcW w:w="5760" w:type="dxa"/>
          </w:tcPr>
          <w:p w14:paraId="28068DC9" w14:textId="77777777" w:rsidR="00FB2D9C" w:rsidRDefault="00FB2D9C" w:rsidP="00916A4F">
            <w:pPr>
              <w:pStyle w:val="tabletext"/>
            </w:pPr>
            <w:r>
              <w:t>Part 2, item 20</w:t>
            </w:r>
          </w:p>
        </w:tc>
        <w:tc>
          <w:tcPr>
            <w:tcW w:w="1980" w:type="dxa"/>
          </w:tcPr>
          <w:p w14:paraId="1E7A1191" w14:textId="77777777" w:rsidR="00FB2D9C" w:rsidRDefault="00FB2D9C" w:rsidP="00916A4F">
            <w:pPr>
              <w:pStyle w:val="tabletext"/>
            </w:pPr>
            <w:r>
              <w:t>11.311</w:t>
            </w:r>
          </w:p>
        </w:tc>
      </w:tr>
      <w:tr w:rsidR="00FB2D9C" w14:paraId="4CDBEF45" w14:textId="77777777" w:rsidTr="00916A4F">
        <w:trPr>
          <w:tblHeader/>
        </w:trPr>
        <w:tc>
          <w:tcPr>
            <w:tcW w:w="5760" w:type="dxa"/>
          </w:tcPr>
          <w:p w14:paraId="512CD7BB" w14:textId="77777777" w:rsidR="00FB2D9C" w:rsidRDefault="00FB2D9C" w:rsidP="00916A4F">
            <w:pPr>
              <w:pStyle w:val="tabletext"/>
            </w:pPr>
            <w:r>
              <w:t>Part 3, item 21</w:t>
            </w:r>
          </w:p>
        </w:tc>
        <w:tc>
          <w:tcPr>
            <w:tcW w:w="1980" w:type="dxa"/>
          </w:tcPr>
          <w:p w14:paraId="405D0D81" w14:textId="77777777" w:rsidR="00FB2D9C" w:rsidRDefault="00FB2D9C" w:rsidP="00916A4F">
            <w:pPr>
              <w:pStyle w:val="tabletext"/>
            </w:pPr>
            <w:r>
              <w:t>11.312</w:t>
            </w:r>
          </w:p>
        </w:tc>
      </w:tr>
      <w:tr w:rsidR="00FB2D9C" w:rsidRPr="00231CBA" w14:paraId="59F50698" w14:textId="77777777" w:rsidTr="00916A4F">
        <w:trPr>
          <w:tblHeader/>
        </w:trPr>
        <w:tc>
          <w:tcPr>
            <w:tcW w:w="5760" w:type="dxa"/>
          </w:tcPr>
          <w:p w14:paraId="2C770901" w14:textId="77777777" w:rsidR="00FB2D9C" w:rsidRDefault="00FB2D9C" w:rsidP="00916A4F">
            <w:pPr>
              <w:pStyle w:val="tabletext"/>
            </w:pPr>
            <w:r>
              <w:t>Part 3, subitem 21(3)</w:t>
            </w:r>
          </w:p>
        </w:tc>
        <w:tc>
          <w:tcPr>
            <w:tcW w:w="1980" w:type="dxa"/>
          </w:tcPr>
          <w:p w14:paraId="6DA12428" w14:textId="77777777" w:rsidR="00FB2D9C" w:rsidRDefault="00FB2D9C" w:rsidP="00916A4F">
            <w:pPr>
              <w:pStyle w:val="tabletext"/>
            </w:pPr>
            <w:r>
              <w:t>11.314</w:t>
            </w:r>
          </w:p>
        </w:tc>
      </w:tr>
      <w:tr w:rsidR="00FB2D9C" w14:paraId="27892251" w14:textId="77777777" w:rsidTr="00916A4F">
        <w:trPr>
          <w:tblHeader/>
        </w:trPr>
        <w:tc>
          <w:tcPr>
            <w:tcW w:w="5760" w:type="dxa"/>
          </w:tcPr>
          <w:p w14:paraId="280ADCFF" w14:textId="77777777" w:rsidR="00FB2D9C" w:rsidRDefault="00FB2D9C" w:rsidP="00916A4F">
            <w:pPr>
              <w:pStyle w:val="tabletext"/>
            </w:pPr>
            <w:r>
              <w:t>Part 3, item 22</w:t>
            </w:r>
          </w:p>
        </w:tc>
        <w:tc>
          <w:tcPr>
            <w:tcW w:w="1980" w:type="dxa"/>
          </w:tcPr>
          <w:p w14:paraId="43CCEC11" w14:textId="77777777" w:rsidR="00FB2D9C" w:rsidRDefault="00FB2D9C" w:rsidP="00916A4F">
            <w:pPr>
              <w:pStyle w:val="tabletext"/>
            </w:pPr>
            <w:r>
              <w:t>11.316</w:t>
            </w:r>
          </w:p>
        </w:tc>
      </w:tr>
      <w:tr w:rsidR="00FB2D9C" w:rsidRPr="00231CBA" w14:paraId="04EB467E" w14:textId="77777777" w:rsidTr="00916A4F">
        <w:trPr>
          <w:tblHeader/>
        </w:trPr>
        <w:tc>
          <w:tcPr>
            <w:tcW w:w="5760" w:type="dxa"/>
          </w:tcPr>
          <w:p w14:paraId="52F6449B" w14:textId="77777777" w:rsidR="00FB2D9C" w:rsidRDefault="00FB2D9C" w:rsidP="00916A4F">
            <w:pPr>
              <w:pStyle w:val="tabletext"/>
            </w:pPr>
            <w:r>
              <w:t>Part 3, subitems 22(3)-(5) and 23(3)-(5)</w:t>
            </w:r>
          </w:p>
        </w:tc>
        <w:tc>
          <w:tcPr>
            <w:tcW w:w="1980" w:type="dxa"/>
          </w:tcPr>
          <w:p w14:paraId="4CB2DD94" w14:textId="77777777" w:rsidR="00FB2D9C" w:rsidRDefault="00FB2D9C" w:rsidP="00916A4F">
            <w:pPr>
              <w:pStyle w:val="tabletext"/>
            </w:pPr>
            <w:r>
              <w:t>11.318</w:t>
            </w:r>
          </w:p>
        </w:tc>
      </w:tr>
      <w:tr w:rsidR="00FB2D9C" w14:paraId="3C419B41" w14:textId="77777777" w:rsidTr="00916A4F">
        <w:trPr>
          <w:tblHeader/>
        </w:trPr>
        <w:tc>
          <w:tcPr>
            <w:tcW w:w="5760" w:type="dxa"/>
          </w:tcPr>
          <w:p w14:paraId="50FC0D70" w14:textId="77777777" w:rsidR="00FB2D9C" w:rsidRDefault="00FB2D9C" w:rsidP="00916A4F">
            <w:pPr>
              <w:pStyle w:val="tabletext"/>
            </w:pPr>
            <w:r>
              <w:t>Part 3, item 23</w:t>
            </w:r>
          </w:p>
        </w:tc>
        <w:tc>
          <w:tcPr>
            <w:tcW w:w="1980" w:type="dxa"/>
          </w:tcPr>
          <w:p w14:paraId="709C6E55" w14:textId="77777777" w:rsidR="00FB2D9C" w:rsidRDefault="00FB2D9C" w:rsidP="00916A4F">
            <w:pPr>
              <w:pStyle w:val="tabletext"/>
            </w:pPr>
            <w:r>
              <w:t>11.317</w:t>
            </w:r>
          </w:p>
        </w:tc>
      </w:tr>
      <w:tr w:rsidR="00FB2D9C" w14:paraId="4327EC6C" w14:textId="77777777" w:rsidTr="00916A4F">
        <w:trPr>
          <w:tblHeader/>
        </w:trPr>
        <w:tc>
          <w:tcPr>
            <w:tcW w:w="5760" w:type="dxa"/>
          </w:tcPr>
          <w:p w14:paraId="3BEDE780" w14:textId="77777777" w:rsidR="00FB2D9C" w:rsidRDefault="00FB2D9C" w:rsidP="00916A4F">
            <w:pPr>
              <w:pStyle w:val="tabletext"/>
            </w:pPr>
            <w:r>
              <w:t>Part 3, item 24</w:t>
            </w:r>
          </w:p>
        </w:tc>
        <w:tc>
          <w:tcPr>
            <w:tcW w:w="1980" w:type="dxa"/>
          </w:tcPr>
          <w:p w14:paraId="30D70001" w14:textId="77777777" w:rsidR="00FB2D9C" w:rsidRDefault="00FB2D9C" w:rsidP="00916A4F">
            <w:pPr>
              <w:pStyle w:val="tabletext"/>
            </w:pPr>
            <w:r>
              <w:t>11.320, 11.321, 11.322</w:t>
            </w:r>
          </w:p>
        </w:tc>
      </w:tr>
      <w:tr w:rsidR="00FB2D9C" w14:paraId="1A47272A" w14:textId="77777777" w:rsidTr="00916A4F">
        <w:trPr>
          <w:tblHeader/>
        </w:trPr>
        <w:tc>
          <w:tcPr>
            <w:tcW w:w="5760" w:type="dxa"/>
          </w:tcPr>
          <w:p w14:paraId="6DA5BEB4" w14:textId="77777777" w:rsidR="00FB2D9C" w:rsidRDefault="00FB2D9C" w:rsidP="00916A4F">
            <w:pPr>
              <w:pStyle w:val="tabletext"/>
            </w:pPr>
            <w:r>
              <w:t>Part 3, item 25</w:t>
            </w:r>
          </w:p>
        </w:tc>
        <w:tc>
          <w:tcPr>
            <w:tcW w:w="1980" w:type="dxa"/>
          </w:tcPr>
          <w:p w14:paraId="0A91E692" w14:textId="77777777" w:rsidR="00FB2D9C" w:rsidRDefault="00FB2D9C" w:rsidP="00916A4F">
            <w:pPr>
              <w:pStyle w:val="tabletext"/>
            </w:pPr>
            <w:r>
              <w:t>11.323, 11.324, 11.325</w:t>
            </w:r>
          </w:p>
        </w:tc>
      </w:tr>
      <w:tr w:rsidR="00FB2D9C" w14:paraId="5BCF74C0" w14:textId="77777777" w:rsidTr="00916A4F">
        <w:trPr>
          <w:tblHeader/>
        </w:trPr>
        <w:tc>
          <w:tcPr>
            <w:tcW w:w="5760" w:type="dxa"/>
          </w:tcPr>
          <w:p w14:paraId="36B62B9C" w14:textId="77777777" w:rsidR="00FB2D9C" w:rsidRDefault="00FB2D9C" w:rsidP="00916A4F">
            <w:pPr>
              <w:pStyle w:val="tabletext"/>
            </w:pPr>
            <w:r>
              <w:t>Part 3, item 26</w:t>
            </w:r>
          </w:p>
        </w:tc>
        <w:tc>
          <w:tcPr>
            <w:tcW w:w="1980" w:type="dxa"/>
          </w:tcPr>
          <w:p w14:paraId="05B3BFBD" w14:textId="77777777" w:rsidR="00FB2D9C" w:rsidRDefault="00FB2D9C" w:rsidP="00916A4F">
            <w:pPr>
              <w:pStyle w:val="tabletext"/>
            </w:pPr>
            <w:r>
              <w:t>11.326, 11.327</w:t>
            </w:r>
          </w:p>
        </w:tc>
      </w:tr>
      <w:tr w:rsidR="00FB2D9C" w14:paraId="766B30B6" w14:textId="77777777" w:rsidTr="00916A4F">
        <w:trPr>
          <w:tblHeader/>
        </w:trPr>
        <w:tc>
          <w:tcPr>
            <w:tcW w:w="5760" w:type="dxa"/>
          </w:tcPr>
          <w:p w14:paraId="40BEC157" w14:textId="77777777" w:rsidR="00FB2D9C" w:rsidRDefault="00FB2D9C" w:rsidP="00916A4F">
            <w:pPr>
              <w:pStyle w:val="tabletext"/>
            </w:pPr>
            <w:r>
              <w:t>Part 3, item 27</w:t>
            </w:r>
          </w:p>
        </w:tc>
        <w:tc>
          <w:tcPr>
            <w:tcW w:w="1980" w:type="dxa"/>
          </w:tcPr>
          <w:p w14:paraId="710C0D68" w14:textId="77777777" w:rsidR="00FB2D9C" w:rsidRDefault="00FB2D9C" w:rsidP="00916A4F">
            <w:pPr>
              <w:pStyle w:val="tabletext"/>
            </w:pPr>
            <w:r>
              <w:t>11.329</w:t>
            </w:r>
          </w:p>
        </w:tc>
      </w:tr>
      <w:tr w:rsidR="00FB2D9C" w:rsidRPr="00231CBA" w14:paraId="1F895E5E" w14:textId="77777777" w:rsidTr="00916A4F">
        <w:trPr>
          <w:tblHeader/>
        </w:trPr>
        <w:tc>
          <w:tcPr>
            <w:tcW w:w="5760" w:type="dxa"/>
          </w:tcPr>
          <w:p w14:paraId="09389F8C" w14:textId="77777777" w:rsidR="00FB2D9C" w:rsidRDefault="00FB2D9C" w:rsidP="00916A4F">
            <w:pPr>
              <w:pStyle w:val="tabletext"/>
            </w:pPr>
            <w:r>
              <w:t>Part 3, subitem 27(2)</w:t>
            </w:r>
          </w:p>
        </w:tc>
        <w:tc>
          <w:tcPr>
            <w:tcW w:w="1980" w:type="dxa"/>
          </w:tcPr>
          <w:p w14:paraId="5C4D60D9" w14:textId="77777777" w:rsidR="00FB2D9C" w:rsidRDefault="00FB2D9C" w:rsidP="00916A4F">
            <w:pPr>
              <w:pStyle w:val="tabletext"/>
            </w:pPr>
            <w:r>
              <w:t>11.330</w:t>
            </w:r>
          </w:p>
        </w:tc>
      </w:tr>
      <w:tr w:rsidR="00FB2D9C" w14:paraId="57AE5ABB" w14:textId="77777777" w:rsidTr="00916A4F">
        <w:trPr>
          <w:tblHeader/>
        </w:trPr>
        <w:tc>
          <w:tcPr>
            <w:tcW w:w="5760" w:type="dxa"/>
          </w:tcPr>
          <w:p w14:paraId="73F60773" w14:textId="77777777" w:rsidR="00FB2D9C" w:rsidRDefault="00FB2D9C" w:rsidP="00916A4F">
            <w:pPr>
              <w:pStyle w:val="tabletext"/>
            </w:pPr>
            <w:r>
              <w:t>Part 3, subitem27(4)</w:t>
            </w:r>
          </w:p>
        </w:tc>
        <w:tc>
          <w:tcPr>
            <w:tcW w:w="1980" w:type="dxa"/>
          </w:tcPr>
          <w:p w14:paraId="4088B5AC" w14:textId="77777777" w:rsidR="00FB2D9C" w:rsidRDefault="00FB2D9C" w:rsidP="00916A4F">
            <w:pPr>
              <w:pStyle w:val="tabletext"/>
            </w:pPr>
            <w:r>
              <w:t>11.334, 11.335</w:t>
            </w:r>
          </w:p>
        </w:tc>
      </w:tr>
      <w:tr w:rsidR="00FB2D9C" w:rsidRPr="00231CBA" w14:paraId="41CB6861" w14:textId="77777777" w:rsidTr="00916A4F">
        <w:trPr>
          <w:tblHeader/>
        </w:trPr>
        <w:tc>
          <w:tcPr>
            <w:tcW w:w="5760" w:type="dxa"/>
          </w:tcPr>
          <w:p w14:paraId="56DB8A34" w14:textId="77777777" w:rsidR="00FB2D9C" w:rsidRDefault="00FB2D9C" w:rsidP="00916A4F">
            <w:pPr>
              <w:pStyle w:val="tabletext"/>
            </w:pPr>
            <w:r>
              <w:t>Part 3, subitem27(8)</w:t>
            </w:r>
          </w:p>
        </w:tc>
        <w:tc>
          <w:tcPr>
            <w:tcW w:w="1980" w:type="dxa"/>
          </w:tcPr>
          <w:p w14:paraId="3F51D7AA" w14:textId="77777777" w:rsidR="00FB2D9C" w:rsidRDefault="00FB2D9C" w:rsidP="00916A4F">
            <w:pPr>
              <w:pStyle w:val="tabletext"/>
            </w:pPr>
            <w:r>
              <w:t>11.331, 11.333</w:t>
            </w:r>
          </w:p>
        </w:tc>
      </w:tr>
      <w:tr w:rsidR="00FB2D9C" w14:paraId="4FEAEBC2" w14:textId="77777777" w:rsidTr="00916A4F">
        <w:trPr>
          <w:tblHeader/>
        </w:trPr>
        <w:tc>
          <w:tcPr>
            <w:tcW w:w="5760" w:type="dxa"/>
          </w:tcPr>
          <w:p w14:paraId="33701FFD" w14:textId="77777777" w:rsidR="00FB2D9C" w:rsidRDefault="00FB2D9C" w:rsidP="00916A4F">
            <w:pPr>
              <w:pStyle w:val="tabletext"/>
            </w:pPr>
            <w:r>
              <w:t>Part 3, item 28</w:t>
            </w:r>
          </w:p>
        </w:tc>
        <w:tc>
          <w:tcPr>
            <w:tcW w:w="1980" w:type="dxa"/>
          </w:tcPr>
          <w:p w14:paraId="6F880313" w14:textId="77777777" w:rsidR="00FB2D9C" w:rsidRDefault="00FB2D9C" w:rsidP="00916A4F">
            <w:pPr>
              <w:pStyle w:val="tabletext"/>
            </w:pPr>
            <w:r>
              <w:t>11.337, 11.338, 11.339</w:t>
            </w:r>
          </w:p>
        </w:tc>
      </w:tr>
      <w:tr w:rsidR="00FB2D9C" w:rsidRPr="00231CBA" w14:paraId="4A964242" w14:textId="77777777" w:rsidTr="00916A4F">
        <w:trPr>
          <w:tblHeader/>
        </w:trPr>
        <w:tc>
          <w:tcPr>
            <w:tcW w:w="5760" w:type="dxa"/>
          </w:tcPr>
          <w:p w14:paraId="0263550F" w14:textId="77777777" w:rsidR="00FB2D9C" w:rsidRPr="00FA179A" w:rsidRDefault="00FB2D9C" w:rsidP="00916A4F">
            <w:r w:rsidRPr="00FA179A">
              <w:t>Part 3, item 29</w:t>
            </w:r>
          </w:p>
        </w:tc>
        <w:tc>
          <w:tcPr>
            <w:tcW w:w="1980" w:type="dxa"/>
          </w:tcPr>
          <w:p w14:paraId="37C2E349" w14:textId="77777777" w:rsidR="00FB2D9C" w:rsidRDefault="00FB2D9C" w:rsidP="00916A4F">
            <w:r w:rsidRPr="00FA179A">
              <w:t>11.340, 11.341, 11.342</w:t>
            </w:r>
          </w:p>
        </w:tc>
      </w:tr>
      <w:tr w:rsidR="00FB2D9C" w14:paraId="43052144" w14:textId="77777777" w:rsidTr="00916A4F">
        <w:trPr>
          <w:tblHeader/>
        </w:trPr>
        <w:tc>
          <w:tcPr>
            <w:tcW w:w="5760" w:type="dxa"/>
          </w:tcPr>
          <w:p w14:paraId="0178CD8D" w14:textId="77777777" w:rsidR="00FB2D9C" w:rsidRDefault="00FB2D9C" w:rsidP="00916A4F">
            <w:pPr>
              <w:pStyle w:val="tabletext"/>
            </w:pPr>
            <w:r>
              <w:t>Part 3, item 30</w:t>
            </w:r>
          </w:p>
        </w:tc>
        <w:tc>
          <w:tcPr>
            <w:tcW w:w="1980" w:type="dxa"/>
          </w:tcPr>
          <w:p w14:paraId="12723919" w14:textId="77777777" w:rsidR="00FB2D9C" w:rsidRDefault="00FB2D9C" w:rsidP="00916A4F">
            <w:pPr>
              <w:pStyle w:val="tabletext"/>
            </w:pPr>
            <w:r>
              <w:t>11.344, 11.346</w:t>
            </w:r>
          </w:p>
        </w:tc>
      </w:tr>
      <w:tr w:rsidR="00FB2D9C" w:rsidRPr="00231CBA" w14:paraId="053B5684" w14:textId="77777777" w:rsidTr="00916A4F">
        <w:trPr>
          <w:tblHeader/>
        </w:trPr>
        <w:tc>
          <w:tcPr>
            <w:tcW w:w="5760" w:type="dxa"/>
          </w:tcPr>
          <w:p w14:paraId="36DA00FD" w14:textId="77777777" w:rsidR="00FB2D9C" w:rsidRDefault="00FB2D9C" w:rsidP="00916A4F">
            <w:pPr>
              <w:pStyle w:val="tabletext"/>
            </w:pPr>
            <w:r>
              <w:t>Part 3, subitem 31(3)</w:t>
            </w:r>
          </w:p>
        </w:tc>
        <w:tc>
          <w:tcPr>
            <w:tcW w:w="1980" w:type="dxa"/>
          </w:tcPr>
          <w:p w14:paraId="6464AC85" w14:textId="77777777" w:rsidR="00FB2D9C" w:rsidRDefault="00FB2D9C" w:rsidP="00916A4F">
            <w:pPr>
              <w:pStyle w:val="tabletext"/>
            </w:pPr>
            <w:r>
              <w:t>11.348</w:t>
            </w:r>
          </w:p>
        </w:tc>
      </w:tr>
      <w:tr w:rsidR="00FB2D9C" w:rsidRPr="00231CBA" w14:paraId="7295920E" w14:textId="77777777" w:rsidTr="00916A4F">
        <w:trPr>
          <w:tblHeader/>
        </w:trPr>
        <w:tc>
          <w:tcPr>
            <w:tcW w:w="5760" w:type="dxa"/>
          </w:tcPr>
          <w:p w14:paraId="5072C484" w14:textId="77777777" w:rsidR="00FB2D9C" w:rsidRPr="00C851BC" w:rsidRDefault="00FB2D9C" w:rsidP="00916A4F">
            <w:r w:rsidRPr="00C851BC">
              <w:t>Part 3, item 32</w:t>
            </w:r>
          </w:p>
        </w:tc>
        <w:tc>
          <w:tcPr>
            <w:tcW w:w="1980" w:type="dxa"/>
          </w:tcPr>
          <w:p w14:paraId="5DE9EF7E" w14:textId="77777777" w:rsidR="00FB2D9C" w:rsidRDefault="00FB2D9C" w:rsidP="00916A4F">
            <w:r w:rsidRPr="00C851BC">
              <w:t>11.349</w:t>
            </w:r>
          </w:p>
        </w:tc>
      </w:tr>
      <w:tr w:rsidR="00FB2D9C" w:rsidRPr="00231CBA" w14:paraId="69A11611" w14:textId="77777777" w:rsidTr="00916A4F">
        <w:trPr>
          <w:tblHeader/>
        </w:trPr>
        <w:tc>
          <w:tcPr>
            <w:tcW w:w="5760" w:type="dxa"/>
          </w:tcPr>
          <w:p w14:paraId="6F1128C1" w14:textId="77777777" w:rsidR="00FB2D9C" w:rsidRDefault="00FB2D9C" w:rsidP="00916A4F">
            <w:pPr>
              <w:pStyle w:val="tabletext"/>
            </w:pPr>
            <w:r>
              <w:t xml:space="preserve">Part 3, subitem 32(2)  </w:t>
            </w:r>
          </w:p>
        </w:tc>
        <w:tc>
          <w:tcPr>
            <w:tcW w:w="1980" w:type="dxa"/>
          </w:tcPr>
          <w:p w14:paraId="0055761E" w14:textId="77777777" w:rsidR="00FB2D9C" w:rsidRDefault="00FB2D9C" w:rsidP="00916A4F">
            <w:pPr>
              <w:pStyle w:val="tabletext"/>
            </w:pPr>
            <w:r>
              <w:t>11.351</w:t>
            </w:r>
          </w:p>
        </w:tc>
      </w:tr>
      <w:tr w:rsidR="00FB2D9C" w:rsidRPr="00231CBA" w14:paraId="370D440E" w14:textId="77777777" w:rsidTr="00916A4F">
        <w:trPr>
          <w:tblHeader/>
        </w:trPr>
        <w:tc>
          <w:tcPr>
            <w:tcW w:w="5760" w:type="dxa"/>
          </w:tcPr>
          <w:p w14:paraId="63D87AB8" w14:textId="77777777" w:rsidR="00FB2D9C" w:rsidRDefault="00FB2D9C" w:rsidP="00916A4F">
            <w:pPr>
              <w:pStyle w:val="tabletext"/>
            </w:pPr>
            <w:r>
              <w:t>Part 3, subitem 32(4)</w:t>
            </w:r>
          </w:p>
        </w:tc>
        <w:tc>
          <w:tcPr>
            <w:tcW w:w="1980" w:type="dxa"/>
          </w:tcPr>
          <w:p w14:paraId="02E8C654" w14:textId="77777777" w:rsidR="00FB2D9C" w:rsidRDefault="00FB2D9C" w:rsidP="00916A4F">
            <w:pPr>
              <w:pStyle w:val="tabletext"/>
            </w:pPr>
            <w:r>
              <w:t>11.354</w:t>
            </w:r>
          </w:p>
        </w:tc>
      </w:tr>
      <w:tr w:rsidR="00FB2D9C" w14:paraId="61F8AC80" w14:textId="77777777" w:rsidTr="00916A4F">
        <w:trPr>
          <w:tblHeader/>
        </w:trPr>
        <w:tc>
          <w:tcPr>
            <w:tcW w:w="5760" w:type="dxa"/>
          </w:tcPr>
          <w:p w14:paraId="12F8A821" w14:textId="77777777" w:rsidR="00FB2D9C" w:rsidRDefault="00FB2D9C" w:rsidP="00916A4F">
            <w:pPr>
              <w:pStyle w:val="tabletext"/>
            </w:pPr>
            <w:r>
              <w:t>Part 3, item 33</w:t>
            </w:r>
          </w:p>
        </w:tc>
        <w:tc>
          <w:tcPr>
            <w:tcW w:w="1980" w:type="dxa"/>
          </w:tcPr>
          <w:p w14:paraId="6856B8B3" w14:textId="77777777" w:rsidR="00FB2D9C" w:rsidRDefault="00FB2D9C" w:rsidP="00916A4F">
            <w:pPr>
              <w:pStyle w:val="tabletext"/>
            </w:pPr>
            <w:r>
              <w:t>11.355, 11.356</w:t>
            </w:r>
          </w:p>
        </w:tc>
      </w:tr>
      <w:tr w:rsidR="00FB2D9C" w14:paraId="2380FF34" w14:textId="77777777" w:rsidTr="00916A4F">
        <w:trPr>
          <w:tblHeader/>
        </w:trPr>
        <w:tc>
          <w:tcPr>
            <w:tcW w:w="5760" w:type="dxa"/>
          </w:tcPr>
          <w:p w14:paraId="1BFEA5E9" w14:textId="77777777" w:rsidR="00FB2D9C" w:rsidRDefault="00FB2D9C" w:rsidP="00916A4F">
            <w:pPr>
              <w:pStyle w:val="tabletext"/>
            </w:pPr>
            <w:r>
              <w:t>Part 3, item 34</w:t>
            </w:r>
          </w:p>
        </w:tc>
        <w:tc>
          <w:tcPr>
            <w:tcW w:w="1980" w:type="dxa"/>
          </w:tcPr>
          <w:p w14:paraId="132F9558" w14:textId="77777777" w:rsidR="00FB2D9C" w:rsidRDefault="00FB2D9C" w:rsidP="00916A4F">
            <w:pPr>
              <w:pStyle w:val="tabletext"/>
            </w:pPr>
            <w:r>
              <w:t>11.357</w:t>
            </w:r>
          </w:p>
        </w:tc>
      </w:tr>
      <w:tr w:rsidR="00FB2D9C" w:rsidRPr="00231CBA" w14:paraId="6E4373A1" w14:textId="77777777" w:rsidTr="00916A4F">
        <w:trPr>
          <w:tblHeader/>
        </w:trPr>
        <w:tc>
          <w:tcPr>
            <w:tcW w:w="5760" w:type="dxa"/>
          </w:tcPr>
          <w:p w14:paraId="26CB2424" w14:textId="77777777" w:rsidR="00FB2D9C" w:rsidRDefault="00FB2D9C" w:rsidP="00916A4F">
            <w:pPr>
              <w:pStyle w:val="tabletext"/>
            </w:pPr>
            <w:r>
              <w:t>Part 3, subitem 34(2)</w:t>
            </w:r>
          </w:p>
        </w:tc>
        <w:tc>
          <w:tcPr>
            <w:tcW w:w="1980" w:type="dxa"/>
          </w:tcPr>
          <w:p w14:paraId="5A364009" w14:textId="77777777" w:rsidR="00FB2D9C" w:rsidRDefault="00FB2D9C" w:rsidP="00916A4F">
            <w:pPr>
              <w:pStyle w:val="tabletext"/>
            </w:pPr>
            <w:r>
              <w:t>11.358</w:t>
            </w:r>
          </w:p>
        </w:tc>
      </w:tr>
      <w:tr w:rsidR="00FB2D9C" w14:paraId="76996C6F" w14:textId="77777777" w:rsidTr="00916A4F">
        <w:trPr>
          <w:tblHeader/>
        </w:trPr>
        <w:tc>
          <w:tcPr>
            <w:tcW w:w="5760" w:type="dxa"/>
          </w:tcPr>
          <w:p w14:paraId="2CB7E9F1" w14:textId="77777777" w:rsidR="00FB2D9C" w:rsidRDefault="00FB2D9C" w:rsidP="00916A4F">
            <w:pPr>
              <w:pStyle w:val="tabletext"/>
            </w:pPr>
            <w:r>
              <w:t>Part 3, item 35</w:t>
            </w:r>
          </w:p>
        </w:tc>
        <w:tc>
          <w:tcPr>
            <w:tcW w:w="1980" w:type="dxa"/>
          </w:tcPr>
          <w:p w14:paraId="26967F2B" w14:textId="77777777" w:rsidR="00FB2D9C" w:rsidRDefault="00FB2D9C" w:rsidP="00916A4F">
            <w:pPr>
              <w:pStyle w:val="tabletext"/>
            </w:pPr>
            <w:r>
              <w:t>11.359, 11.360</w:t>
            </w:r>
          </w:p>
        </w:tc>
      </w:tr>
      <w:tr w:rsidR="00FB2D9C" w14:paraId="3FB0FE60" w14:textId="77777777" w:rsidTr="00916A4F">
        <w:trPr>
          <w:tblHeader/>
        </w:trPr>
        <w:tc>
          <w:tcPr>
            <w:tcW w:w="5760" w:type="dxa"/>
          </w:tcPr>
          <w:p w14:paraId="76E1DA07" w14:textId="77777777" w:rsidR="00FB2D9C" w:rsidRDefault="00FB2D9C" w:rsidP="00916A4F">
            <w:pPr>
              <w:pStyle w:val="tabletext"/>
            </w:pPr>
            <w:r>
              <w:t>Part 3, item 36</w:t>
            </w:r>
          </w:p>
        </w:tc>
        <w:tc>
          <w:tcPr>
            <w:tcW w:w="1980" w:type="dxa"/>
          </w:tcPr>
          <w:p w14:paraId="51763A8C" w14:textId="77777777" w:rsidR="00FB2D9C" w:rsidRDefault="00FB2D9C" w:rsidP="00916A4F">
            <w:pPr>
              <w:pStyle w:val="tabletext"/>
            </w:pPr>
            <w:r>
              <w:t>11.363, 11.364</w:t>
            </w:r>
          </w:p>
        </w:tc>
      </w:tr>
      <w:tr w:rsidR="00FB2D9C" w:rsidRPr="00231CBA" w14:paraId="6499952B" w14:textId="77777777" w:rsidTr="00916A4F">
        <w:trPr>
          <w:tblHeader/>
        </w:trPr>
        <w:tc>
          <w:tcPr>
            <w:tcW w:w="5760" w:type="dxa"/>
          </w:tcPr>
          <w:p w14:paraId="041B89D6" w14:textId="77777777" w:rsidR="00FB2D9C" w:rsidRDefault="00FB2D9C" w:rsidP="00916A4F">
            <w:pPr>
              <w:pStyle w:val="tabletext"/>
            </w:pPr>
            <w:r>
              <w:t>Part 3, subitem 36(2)</w:t>
            </w:r>
          </w:p>
        </w:tc>
        <w:tc>
          <w:tcPr>
            <w:tcW w:w="1980" w:type="dxa"/>
          </w:tcPr>
          <w:p w14:paraId="2F838BDE" w14:textId="77777777" w:rsidR="00FB2D9C" w:rsidRDefault="00FB2D9C" w:rsidP="00916A4F">
            <w:pPr>
              <w:pStyle w:val="tabletext"/>
            </w:pPr>
            <w:r>
              <w:t>11.362</w:t>
            </w:r>
          </w:p>
        </w:tc>
      </w:tr>
      <w:tr w:rsidR="00FB2D9C" w14:paraId="0C27308A" w14:textId="77777777" w:rsidTr="00916A4F">
        <w:trPr>
          <w:tblHeader/>
        </w:trPr>
        <w:tc>
          <w:tcPr>
            <w:tcW w:w="5760" w:type="dxa"/>
          </w:tcPr>
          <w:p w14:paraId="72FC846F" w14:textId="77777777" w:rsidR="00FB2D9C" w:rsidRDefault="00FB2D9C" w:rsidP="00916A4F">
            <w:pPr>
              <w:pStyle w:val="tabletext"/>
            </w:pPr>
            <w:r>
              <w:t>Part 3, item 37</w:t>
            </w:r>
          </w:p>
        </w:tc>
        <w:tc>
          <w:tcPr>
            <w:tcW w:w="1980" w:type="dxa"/>
          </w:tcPr>
          <w:p w14:paraId="5C719327" w14:textId="77777777" w:rsidR="00FB2D9C" w:rsidRDefault="00FB2D9C" w:rsidP="00916A4F">
            <w:pPr>
              <w:pStyle w:val="tabletext"/>
            </w:pPr>
            <w:r>
              <w:t>11.365</w:t>
            </w:r>
          </w:p>
        </w:tc>
      </w:tr>
      <w:tr w:rsidR="00FB2D9C" w:rsidRPr="00231CBA" w14:paraId="5EBAA84E" w14:textId="77777777" w:rsidTr="00916A4F">
        <w:trPr>
          <w:tblHeader/>
        </w:trPr>
        <w:tc>
          <w:tcPr>
            <w:tcW w:w="5760" w:type="dxa"/>
          </w:tcPr>
          <w:p w14:paraId="567DCACA" w14:textId="77777777" w:rsidR="00FB2D9C" w:rsidRDefault="00FB2D9C" w:rsidP="00916A4F">
            <w:pPr>
              <w:pStyle w:val="tabletext"/>
            </w:pPr>
            <w:r>
              <w:t>Part 3, subitem 37(2)</w:t>
            </w:r>
          </w:p>
        </w:tc>
        <w:tc>
          <w:tcPr>
            <w:tcW w:w="1980" w:type="dxa"/>
          </w:tcPr>
          <w:p w14:paraId="32D98B1D" w14:textId="77777777" w:rsidR="00FB2D9C" w:rsidRDefault="00FB2D9C" w:rsidP="00916A4F">
            <w:pPr>
              <w:pStyle w:val="tabletext"/>
            </w:pPr>
            <w:r>
              <w:t>11.368</w:t>
            </w:r>
          </w:p>
        </w:tc>
      </w:tr>
      <w:tr w:rsidR="00FB2D9C" w:rsidRPr="00231CBA" w14:paraId="2D73C9F1" w14:textId="77777777" w:rsidTr="00916A4F">
        <w:trPr>
          <w:tblHeader/>
        </w:trPr>
        <w:tc>
          <w:tcPr>
            <w:tcW w:w="5760" w:type="dxa"/>
          </w:tcPr>
          <w:p w14:paraId="39D7B132" w14:textId="77777777" w:rsidR="00FB2D9C" w:rsidRDefault="00FB2D9C" w:rsidP="00916A4F">
            <w:pPr>
              <w:pStyle w:val="tabletext"/>
            </w:pPr>
            <w:r>
              <w:t>Part 3, subitem 37(3)</w:t>
            </w:r>
          </w:p>
        </w:tc>
        <w:tc>
          <w:tcPr>
            <w:tcW w:w="1980" w:type="dxa"/>
          </w:tcPr>
          <w:p w14:paraId="22B5A47B" w14:textId="77777777" w:rsidR="00FB2D9C" w:rsidRDefault="00FB2D9C" w:rsidP="00916A4F">
            <w:pPr>
              <w:pStyle w:val="tabletext"/>
            </w:pPr>
            <w:r>
              <w:t>11.372</w:t>
            </w:r>
          </w:p>
        </w:tc>
      </w:tr>
      <w:tr w:rsidR="00FB2D9C" w:rsidRPr="00231CBA" w14:paraId="163D87EF" w14:textId="77777777" w:rsidTr="00916A4F">
        <w:trPr>
          <w:tblHeader/>
        </w:trPr>
        <w:tc>
          <w:tcPr>
            <w:tcW w:w="5760" w:type="dxa"/>
          </w:tcPr>
          <w:p w14:paraId="4E16F26C" w14:textId="77777777" w:rsidR="00FB2D9C" w:rsidRDefault="00FB2D9C" w:rsidP="00916A4F">
            <w:pPr>
              <w:pStyle w:val="tabletext"/>
            </w:pPr>
            <w:r>
              <w:t>Part 3, subitem 37(4)</w:t>
            </w:r>
          </w:p>
        </w:tc>
        <w:tc>
          <w:tcPr>
            <w:tcW w:w="1980" w:type="dxa"/>
          </w:tcPr>
          <w:p w14:paraId="615F0B33" w14:textId="77777777" w:rsidR="00FB2D9C" w:rsidRDefault="00FB2D9C" w:rsidP="00916A4F">
            <w:pPr>
              <w:pStyle w:val="tabletext"/>
            </w:pPr>
            <w:r>
              <w:t>11.373</w:t>
            </w:r>
          </w:p>
        </w:tc>
      </w:tr>
      <w:tr w:rsidR="00FB2D9C" w:rsidRPr="00231CBA" w14:paraId="5CD44B06" w14:textId="77777777" w:rsidTr="00916A4F">
        <w:trPr>
          <w:tblHeader/>
        </w:trPr>
        <w:tc>
          <w:tcPr>
            <w:tcW w:w="5760" w:type="dxa"/>
          </w:tcPr>
          <w:p w14:paraId="51949E96" w14:textId="77777777" w:rsidR="00FB2D9C" w:rsidRDefault="00FB2D9C" w:rsidP="00916A4F">
            <w:pPr>
              <w:pStyle w:val="tabletext"/>
            </w:pPr>
            <w:r>
              <w:t>Part 3, subitem 37(5)</w:t>
            </w:r>
          </w:p>
        </w:tc>
        <w:tc>
          <w:tcPr>
            <w:tcW w:w="1980" w:type="dxa"/>
          </w:tcPr>
          <w:p w14:paraId="4D94B443" w14:textId="77777777" w:rsidR="00FB2D9C" w:rsidRDefault="00FB2D9C" w:rsidP="00916A4F">
            <w:pPr>
              <w:pStyle w:val="tabletext"/>
            </w:pPr>
            <w:r>
              <w:t>11.374</w:t>
            </w:r>
          </w:p>
        </w:tc>
      </w:tr>
      <w:tr w:rsidR="00FB2D9C" w14:paraId="21F47C35" w14:textId="77777777" w:rsidTr="00916A4F">
        <w:trPr>
          <w:tblHeader/>
        </w:trPr>
        <w:tc>
          <w:tcPr>
            <w:tcW w:w="5760" w:type="dxa"/>
          </w:tcPr>
          <w:p w14:paraId="574F1978" w14:textId="77777777" w:rsidR="00FB2D9C" w:rsidRDefault="00FB2D9C" w:rsidP="00916A4F">
            <w:pPr>
              <w:pStyle w:val="tabletext"/>
            </w:pPr>
            <w:r>
              <w:t>Part 3, subitem 37(6)</w:t>
            </w:r>
          </w:p>
        </w:tc>
        <w:tc>
          <w:tcPr>
            <w:tcW w:w="1980" w:type="dxa"/>
          </w:tcPr>
          <w:p w14:paraId="1090E6D7" w14:textId="77777777" w:rsidR="00FB2D9C" w:rsidRDefault="00FB2D9C" w:rsidP="00916A4F">
            <w:pPr>
              <w:pStyle w:val="tabletext"/>
            </w:pPr>
            <w:r>
              <w:t>11.366, 11.369, 11.370</w:t>
            </w:r>
          </w:p>
        </w:tc>
      </w:tr>
      <w:tr w:rsidR="00FB2D9C" w14:paraId="242DFA9C" w14:textId="77777777" w:rsidTr="00916A4F">
        <w:trPr>
          <w:tblHeader/>
        </w:trPr>
        <w:tc>
          <w:tcPr>
            <w:tcW w:w="5760" w:type="dxa"/>
          </w:tcPr>
          <w:p w14:paraId="3B4DB646" w14:textId="77777777" w:rsidR="00FB2D9C" w:rsidRDefault="00FB2D9C" w:rsidP="00916A4F">
            <w:pPr>
              <w:pStyle w:val="tabletext"/>
            </w:pPr>
            <w:r>
              <w:t>Part 4, item 38</w:t>
            </w:r>
          </w:p>
        </w:tc>
        <w:tc>
          <w:tcPr>
            <w:tcW w:w="1980" w:type="dxa"/>
          </w:tcPr>
          <w:p w14:paraId="2F567E09" w14:textId="77777777" w:rsidR="00FB2D9C" w:rsidRDefault="00FB2D9C" w:rsidP="00916A4F">
            <w:pPr>
              <w:pStyle w:val="tabletext"/>
            </w:pPr>
            <w:r>
              <w:t>11.375</w:t>
            </w:r>
          </w:p>
        </w:tc>
      </w:tr>
      <w:tr w:rsidR="00FB2D9C" w14:paraId="59BB3D33" w14:textId="77777777" w:rsidTr="00916A4F">
        <w:trPr>
          <w:tblHeader/>
        </w:trPr>
        <w:tc>
          <w:tcPr>
            <w:tcW w:w="5760" w:type="dxa"/>
          </w:tcPr>
          <w:p w14:paraId="12F3F643" w14:textId="77777777" w:rsidR="00FB2D9C" w:rsidRDefault="00FB2D9C" w:rsidP="00916A4F">
            <w:pPr>
              <w:pStyle w:val="tabletext"/>
            </w:pPr>
            <w:r>
              <w:t>Part 4, item 39</w:t>
            </w:r>
          </w:p>
        </w:tc>
        <w:tc>
          <w:tcPr>
            <w:tcW w:w="1980" w:type="dxa"/>
          </w:tcPr>
          <w:p w14:paraId="343B15AC" w14:textId="77777777" w:rsidR="00FB2D9C" w:rsidRDefault="00FB2D9C" w:rsidP="00916A4F">
            <w:pPr>
              <w:pStyle w:val="tabletext"/>
            </w:pPr>
            <w:r>
              <w:t>11.376</w:t>
            </w:r>
          </w:p>
        </w:tc>
      </w:tr>
      <w:tr w:rsidR="00FB2D9C" w:rsidRPr="00231CBA" w14:paraId="67E21F11" w14:textId="77777777" w:rsidTr="00916A4F">
        <w:trPr>
          <w:tblHeader/>
        </w:trPr>
        <w:tc>
          <w:tcPr>
            <w:tcW w:w="5760" w:type="dxa"/>
          </w:tcPr>
          <w:p w14:paraId="7F27C5EF" w14:textId="77777777" w:rsidR="00FB2D9C" w:rsidRDefault="00FB2D9C" w:rsidP="00916A4F">
            <w:pPr>
              <w:pStyle w:val="tabletext"/>
            </w:pPr>
            <w:r>
              <w:t>Part 4, subitem 39(2)</w:t>
            </w:r>
          </w:p>
        </w:tc>
        <w:tc>
          <w:tcPr>
            <w:tcW w:w="1980" w:type="dxa"/>
          </w:tcPr>
          <w:p w14:paraId="33E15E0E" w14:textId="77777777" w:rsidR="00FB2D9C" w:rsidRDefault="00FB2D9C" w:rsidP="00916A4F">
            <w:pPr>
              <w:pStyle w:val="tabletext"/>
            </w:pPr>
            <w:r>
              <w:t>11.377</w:t>
            </w:r>
          </w:p>
        </w:tc>
      </w:tr>
      <w:tr w:rsidR="00FB2D9C" w:rsidRPr="00231CBA" w14:paraId="36D990DB" w14:textId="77777777" w:rsidTr="00916A4F">
        <w:trPr>
          <w:tblHeader/>
        </w:trPr>
        <w:tc>
          <w:tcPr>
            <w:tcW w:w="5760" w:type="dxa"/>
          </w:tcPr>
          <w:p w14:paraId="68CEC32A" w14:textId="77777777" w:rsidR="00FB2D9C" w:rsidRDefault="00FB2D9C" w:rsidP="00916A4F">
            <w:pPr>
              <w:pStyle w:val="tabletext"/>
            </w:pPr>
            <w:r>
              <w:t>Part 4, subitem 39(3)</w:t>
            </w:r>
          </w:p>
        </w:tc>
        <w:tc>
          <w:tcPr>
            <w:tcW w:w="1980" w:type="dxa"/>
          </w:tcPr>
          <w:p w14:paraId="5F2202FD" w14:textId="77777777" w:rsidR="00FB2D9C" w:rsidRDefault="00FB2D9C" w:rsidP="00916A4F">
            <w:pPr>
              <w:pStyle w:val="tabletext"/>
            </w:pPr>
            <w:r>
              <w:t>11.378</w:t>
            </w:r>
          </w:p>
        </w:tc>
      </w:tr>
      <w:tr w:rsidR="00FB2D9C" w14:paraId="40EE940E" w14:textId="77777777" w:rsidTr="00916A4F">
        <w:trPr>
          <w:tblHeader/>
        </w:trPr>
        <w:tc>
          <w:tcPr>
            <w:tcW w:w="5760" w:type="dxa"/>
          </w:tcPr>
          <w:p w14:paraId="5396FF71" w14:textId="77777777" w:rsidR="00FB2D9C" w:rsidRDefault="00FB2D9C" w:rsidP="00916A4F">
            <w:pPr>
              <w:pStyle w:val="tabletext"/>
            </w:pPr>
            <w:r>
              <w:t>Part 4, item 40</w:t>
            </w:r>
          </w:p>
        </w:tc>
        <w:tc>
          <w:tcPr>
            <w:tcW w:w="1980" w:type="dxa"/>
          </w:tcPr>
          <w:p w14:paraId="62D282BE" w14:textId="77777777" w:rsidR="00FB2D9C" w:rsidRDefault="00FB2D9C" w:rsidP="00916A4F">
            <w:pPr>
              <w:pStyle w:val="tabletext"/>
            </w:pPr>
            <w:r>
              <w:t>11.380</w:t>
            </w:r>
          </w:p>
        </w:tc>
      </w:tr>
      <w:tr w:rsidR="00FB2D9C" w:rsidRPr="00231CBA" w14:paraId="2BA7B762" w14:textId="77777777" w:rsidTr="00916A4F">
        <w:trPr>
          <w:tblHeader/>
        </w:trPr>
        <w:tc>
          <w:tcPr>
            <w:tcW w:w="5760" w:type="dxa"/>
          </w:tcPr>
          <w:p w14:paraId="1BB2BF8B" w14:textId="77777777" w:rsidR="00FB2D9C" w:rsidRDefault="00FB2D9C" w:rsidP="00916A4F">
            <w:pPr>
              <w:pStyle w:val="tabletext"/>
            </w:pPr>
            <w:r>
              <w:t>Part 4, subitem 41(1)</w:t>
            </w:r>
          </w:p>
        </w:tc>
        <w:tc>
          <w:tcPr>
            <w:tcW w:w="1980" w:type="dxa"/>
          </w:tcPr>
          <w:p w14:paraId="336B04E6" w14:textId="77777777" w:rsidR="00FB2D9C" w:rsidRDefault="00FB2D9C" w:rsidP="00916A4F">
            <w:pPr>
              <w:pStyle w:val="tabletext"/>
            </w:pPr>
            <w:r>
              <w:t>11.381</w:t>
            </w:r>
          </w:p>
        </w:tc>
      </w:tr>
      <w:tr w:rsidR="00FB2D9C" w:rsidRPr="00231CBA" w14:paraId="482B68A8" w14:textId="77777777" w:rsidTr="00916A4F">
        <w:trPr>
          <w:tblHeader/>
        </w:trPr>
        <w:tc>
          <w:tcPr>
            <w:tcW w:w="5760" w:type="dxa"/>
          </w:tcPr>
          <w:p w14:paraId="5C32FD8C" w14:textId="77777777" w:rsidR="00FB2D9C" w:rsidRDefault="00FB2D9C" w:rsidP="00916A4F">
            <w:pPr>
              <w:pStyle w:val="tabletext"/>
            </w:pPr>
            <w:r>
              <w:t>Part 4, subitem 41(2)</w:t>
            </w:r>
          </w:p>
        </w:tc>
        <w:tc>
          <w:tcPr>
            <w:tcW w:w="1980" w:type="dxa"/>
          </w:tcPr>
          <w:p w14:paraId="2B35C09F" w14:textId="77777777" w:rsidR="00FB2D9C" w:rsidRDefault="00FB2D9C" w:rsidP="00916A4F">
            <w:pPr>
              <w:pStyle w:val="tabletext"/>
            </w:pPr>
            <w:r>
              <w:t>11.383</w:t>
            </w:r>
          </w:p>
        </w:tc>
      </w:tr>
      <w:tr w:rsidR="00FB2D9C" w:rsidRPr="00231CBA" w14:paraId="60E80239" w14:textId="77777777" w:rsidTr="00916A4F">
        <w:trPr>
          <w:tblHeader/>
        </w:trPr>
        <w:tc>
          <w:tcPr>
            <w:tcW w:w="5760" w:type="dxa"/>
          </w:tcPr>
          <w:p w14:paraId="445AC727" w14:textId="77777777" w:rsidR="00FB2D9C" w:rsidRDefault="00FB2D9C" w:rsidP="00916A4F">
            <w:pPr>
              <w:pStyle w:val="tabletext"/>
            </w:pPr>
            <w:r>
              <w:t>Part 4, subitem 41(3)</w:t>
            </w:r>
          </w:p>
        </w:tc>
        <w:tc>
          <w:tcPr>
            <w:tcW w:w="1980" w:type="dxa"/>
          </w:tcPr>
          <w:p w14:paraId="69970000" w14:textId="77777777" w:rsidR="00FB2D9C" w:rsidRDefault="00FB2D9C" w:rsidP="00916A4F">
            <w:pPr>
              <w:pStyle w:val="tabletext"/>
            </w:pPr>
            <w:r>
              <w:t>11.384</w:t>
            </w:r>
          </w:p>
        </w:tc>
      </w:tr>
      <w:tr w:rsidR="00FB2D9C" w14:paraId="6EC65217" w14:textId="77777777" w:rsidTr="00916A4F">
        <w:trPr>
          <w:tblHeader/>
        </w:trPr>
        <w:tc>
          <w:tcPr>
            <w:tcW w:w="5760" w:type="dxa"/>
          </w:tcPr>
          <w:p w14:paraId="3FAA3912" w14:textId="77777777" w:rsidR="00FB2D9C" w:rsidRDefault="00FB2D9C" w:rsidP="00916A4F">
            <w:pPr>
              <w:pStyle w:val="tabletext"/>
            </w:pPr>
            <w:r>
              <w:t>Part 4, item 42</w:t>
            </w:r>
          </w:p>
        </w:tc>
        <w:tc>
          <w:tcPr>
            <w:tcW w:w="1980" w:type="dxa"/>
          </w:tcPr>
          <w:p w14:paraId="005C44C1" w14:textId="77777777" w:rsidR="00FB2D9C" w:rsidRDefault="00FB2D9C" w:rsidP="00916A4F">
            <w:pPr>
              <w:pStyle w:val="tabletext"/>
            </w:pPr>
            <w:r>
              <w:t>11.385, 11.386</w:t>
            </w:r>
          </w:p>
        </w:tc>
      </w:tr>
      <w:tr w:rsidR="00FB2D9C" w14:paraId="2B0178AA" w14:textId="77777777" w:rsidTr="00916A4F">
        <w:trPr>
          <w:tblHeader/>
        </w:trPr>
        <w:tc>
          <w:tcPr>
            <w:tcW w:w="5760" w:type="dxa"/>
          </w:tcPr>
          <w:p w14:paraId="49481C1D" w14:textId="77777777" w:rsidR="00FB2D9C" w:rsidRDefault="00FB2D9C" w:rsidP="00916A4F">
            <w:pPr>
              <w:pStyle w:val="tabletext"/>
            </w:pPr>
            <w:r>
              <w:t>Part 4, item 43</w:t>
            </w:r>
          </w:p>
        </w:tc>
        <w:tc>
          <w:tcPr>
            <w:tcW w:w="1980" w:type="dxa"/>
          </w:tcPr>
          <w:p w14:paraId="6E6B7201" w14:textId="77777777" w:rsidR="00FB2D9C" w:rsidRDefault="00FB2D9C" w:rsidP="00916A4F">
            <w:pPr>
              <w:pStyle w:val="tabletext"/>
            </w:pPr>
            <w:r>
              <w:t>11.387</w:t>
            </w:r>
          </w:p>
        </w:tc>
      </w:tr>
      <w:tr w:rsidR="00FB2D9C" w:rsidRPr="00231CBA" w14:paraId="3D9165C0" w14:textId="77777777" w:rsidTr="00916A4F">
        <w:trPr>
          <w:tblHeader/>
        </w:trPr>
        <w:tc>
          <w:tcPr>
            <w:tcW w:w="5760" w:type="dxa"/>
          </w:tcPr>
          <w:p w14:paraId="727EE59A" w14:textId="77777777" w:rsidR="00FB2D9C" w:rsidRDefault="00FB2D9C" w:rsidP="00916A4F">
            <w:pPr>
              <w:pStyle w:val="tabletext"/>
            </w:pPr>
            <w:r>
              <w:t>Part 4, subitem 43(3)</w:t>
            </w:r>
          </w:p>
        </w:tc>
        <w:tc>
          <w:tcPr>
            <w:tcW w:w="1980" w:type="dxa"/>
          </w:tcPr>
          <w:p w14:paraId="093B289B" w14:textId="77777777" w:rsidR="00FB2D9C" w:rsidRDefault="00FB2D9C" w:rsidP="00916A4F">
            <w:pPr>
              <w:pStyle w:val="tabletext"/>
            </w:pPr>
            <w:r>
              <w:t>11.389</w:t>
            </w:r>
          </w:p>
        </w:tc>
      </w:tr>
    </w:tbl>
    <w:p w14:paraId="3F43D92E" w14:textId="77777777" w:rsidR="00E267E9" w:rsidRDefault="00E267E9" w:rsidP="008D5B4B">
      <w:pPr>
        <w:pStyle w:val="Heading2with18pointafter"/>
        <w:spacing w:before="240" w:after="240"/>
      </w:pPr>
      <w:r>
        <w:t>Private Health Insurance Supervisory Levy Imposition Bill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E267E9" w:rsidRPr="00442FB9" w14:paraId="7FB28561" w14:textId="77777777" w:rsidTr="005D4EA7">
        <w:trPr>
          <w:tblHeader/>
        </w:trPr>
        <w:tc>
          <w:tcPr>
            <w:tcW w:w="5760" w:type="dxa"/>
          </w:tcPr>
          <w:p w14:paraId="28EF992C" w14:textId="77777777" w:rsidR="00E267E9" w:rsidRPr="00442FB9" w:rsidRDefault="00E267E9" w:rsidP="005D4EA7">
            <w:pPr>
              <w:pStyle w:val="tableheaderwithintable"/>
              <w:rPr>
                <w:lang w:val="en-US" w:eastAsia="en-US"/>
              </w:rPr>
            </w:pPr>
            <w:r w:rsidRPr="00442FB9">
              <w:rPr>
                <w:lang w:val="en-US" w:eastAsia="en-US"/>
              </w:rPr>
              <w:t>Bill reference</w:t>
            </w:r>
          </w:p>
        </w:tc>
        <w:tc>
          <w:tcPr>
            <w:tcW w:w="1980" w:type="dxa"/>
          </w:tcPr>
          <w:p w14:paraId="0AD3F033" w14:textId="77777777" w:rsidR="00E267E9" w:rsidRPr="00442FB9" w:rsidRDefault="00E267E9" w:rsidP="005D4EA7">
            <w:pPr>
              <w:pStyle w:val="tableheaderwithintable"/>
              <w:rPr>
                <w:lang w:val="en-US" w:eastAsia="en-US"/>
              </w:rPr>
            </w:pPr>
            <w:r w:rsidRPr="00442FB9">
              <w:rPr>
                <w:lang w:val="en-US" w:eastAsia="en-US"/>
              </w:rPr>
              <w:t>Paragraph number</w:t>
            </w:r>
          </w:p>
        </w:tc>
      </w:tr>
      <w:tr w:rsidR="00E267E9" w:rsidRPr="00231CBA" w14:paraId="00519479" w14:textId="77777777" w:rsidTr="005D4EA7">
        <w:trPr>
          <w:tblHeader/>
        </w:trPr>
        <w:tc>
          <w:tcPr>
            <w:tcW w:w="5760" w:type="dxa"/>
          </w:tcPr>
          <w:p w14:paraId="7EB3C48F" w14:textId="77777777" w:rsidR="00E267E9" w:rsidRPr="00922D6C" w:rsidRDefault="00E267E9" w:rsidP="005D4EA7">
            <w:pPr>
              <w:pStyle w:val="tabletext"/>
            </w:pPr>
            <w:r w:rsidRPr="00922D6C">
              <w:t>Part 1,section 2</w:t>
            </w:r>
          </w:p>
        </w:tc>
        <w:tc>
          <w:tcPr>
            <w:tcW w:w="1980" w:type="dxa"/>
          </w:tcPr>
          <w:p w14:paraId="5188988F" w14:textId="77777777" w:rsidR="00E267E9" w:rsidRPr="00922D6C" w:rsidRDefault="00E267E9" w:rsidP="005D4EA7">
            <w:pPr>
              <w:pStyle w:val="tabletext"/>
            </w:pPr>
            <w:r w:rsidRPr="00922D6C">
              <w:t>12.12</w:t>
            </w:r>
          </w:p>
        </w:tc>
      </w:tr>
      <w:tr w:rsidR="00E267E9" w:rsidRPr="00231CBA" w14:paraId="5D5F10E5" w14:textId="77777777" w:rsidTr="005D4EA7">
        <w:trPr>
          <w:tblHeader/>
        </w:trPr>
        <w:tc>
          <w:tcPr>
            <w:tcW w:w="5760" w:type="dxa"/>
          </w:tcPr>
          <w:p w14:paraId="54B9965C" w14:textId="77777777" w:rsidR="00E267E9" w:rsidRPr="00922D6C" w:rsidRDefault="00E267E9" w:rsidP="005D4EA7">
            <w:pPr>
              <w:pStyle w:val="tabletext"/>
            </w:pPr>
            <w:r w:rsidRPr="00922D6C">
              <w:t>Part 1, section 3</w:t>
            </w:r>
          </w:p>
        </w:tc>
        <w:tc>
          <w:tcPr>
            <w:tcW w:w="1980" w:type="dxa"/>
          </w:tcPr>
          <w:p w14:paraId="6ECA2E4C" w14:textId="77777777" w:rsidR="00E267E9" w:rsidRPr="00922D6C" w:rsidRDefault="00E267E9" w:rsidP="005D4EA7">
            <w:pPr>
              <w:pStyle w:val="tabletext"/>
            </w:pPr>
            <w:r w:rsidRPr="00922D6C">
              <w:t>12.13</w:t>
            </w:r>
          </w:p>
        </w:tc>
      </w:tr>
      <w:tr w:rsidR="00E267E9" w:rsidRPr="00231CBA" w14:paraId="7329F488" w14:textId="77777777" w:rsidTr="005D4EA7">
        <w:trPr>
          <w:tblHeader/>
        </w:trPr>
        <w:tc>
          <w:tcPr>
            <w:tcW w:w="5760" w:type="dxa"/>
          </w:tcPr>
          <w:p w14:paraId="231801A0" w14:textId="77777777" w:rsidR="00E267E9" w:rsidRPr="00922D6C" w:rsidRDefault="00E267E9" w:rsidP="005D4EA7">
            <w:pPr>
              <w:pStyle w:val="tabletext"/>
            </w:pPr>
            <w:r w:rsidRPr="00922D6C">
              <w:t>Part 1, section 4</w:t>
            </w:r>
          </w:p>
        </w:tc>
        <w:tc>
          <w:tcPr>
            <w:tcW w:w="1980" w:type="dxa"/>
          </w:tcPr>
          <w:p w14:paraId="6B032832" w14:textId="77777777" w:rsidR="00E267E9" w:rsidRPr="00922D6C" w:rsidRDefault="00E267E9" w:rsidP="005D4EA7">
            <w:pPr>
              <w:pStyle w:val="tabletext"/>
            </w:pPr>
            <w:r w:rsidRPr="00922D6C">
              <w:t>12.14</w:t>
            </w:r>
          </w:p>
        </w:tc>
      </w:tr>
      <w:tr w:rsidR="00E267E9" w:rsidRPr="00231CBA" w14:paraId="6FC984F0" w14:textId="77777777" w:rsidTr="005D4EA7">
        <w:trPr>
          <w:tblHeader/>
        </w:trPr>
        <w:tc>
          <w:tcPr>
            <w:tcW w:w="5760" w:type="dxa"/>
          </w:tcPr>
          <w:p w14:paraId="2B96F4AD" w14:textId="77777777" w:rsidR="00E267E9" w:rsidRPr="00922D6C" w:rsidRDefault="00E267E9" w:rsidP="005D4EA7">
            <w:pPr>
              <w:pStyle w:val="tabletext"/>
            </w:pPr>
            <w:r w:rsidRPr="00922D6C">
              <w:t>Part 1, Section 5</w:t>
            </w:r>
          </w:p>
        </w:tc>
        <w:tc>
          <w:tcPr>
            <w:tcW w:w="1980" w:type="dxa"/>
          </w:tcPr>
          <w:p w14:paraId="593560A5" w14:textId="77777777" w:rsidR="00E267E9" w:rsidRPr="00922D6C" w:rsidRDefault="00E267E9" w:rsidP="005D4EA7">
            <w:pPr>
              <w:pStyle w:val="tabletext"/>
            </w:pPr>
            <w:r w:rsidRPr="00922D6C">
              <w:t>12.15</w:t>
            </w:r>
          </w:p>
        </w:tc>
      </w:tr>
      <w:tr w:rsidR="00E267E9" w:rsidRPr="00231CBA" w14:paraId="28AF5CD0" w14:textId="77777777" w:rsidTr="005D4EA7">
        <w:trPr>
          <w:tblHeader/>
        </w:trPr>
        <w:tc>
          <w:tcPr>
            <w:tcW w:w="5760" w:type="dxa"/>
          </w:tcPr>
          <w:p w14:paraId="20FDD3B7" w14:textId="77777777" w:rsidR="00E267E9" w:rsidRPr="00922D6C" w:rsidRDefault="00E267E9" w:rsidP="005D4EA7">
            <w:pPr>
              <w:pStyle w:val="tabletext"/>
            </w:pPr>
            <w:r w:rsidRPr="00922D6C">
              <w:t>Part 1, section 6</w:t>
            </w:r>
          </w:p>
        </w:tc>
        <w:tc>
          <w:tcPr>
            <w:tcW w:w="1980" w:type="dxa"/>
          </w:tcPr>
          <w:p w14:paraId="44AFD5F1" w14:textId="77777777" w:rsidR="00E267E9" w:rsidRPr="00922D6C" w:rsidRDefault="00E267E9" w:rsidP="005D4EA7">
            <w:pPr>
              <w:pStyle w:val="tabletext"/>
            </w:pPr>
            <w:r w:rsidRPr="00922D6C">
              <w:t>12.16</w:t>
            </w:r>
          </w:p>
        </w:tc>
      </w:tr>
      <w:tr w:rsidR="00E267E9" w:rsidRPr="00231CBA" w14:paraId="6BAA9184" w14:textId="77777777" w:rsidTr="005D4EA7">
        <w:trPr>
          <w:tblHeader/>
        </w:trPr>
        <w:tc>
          <w:tcPr>
            <w:tcW w:w="5760" w:type="dxa"/>
          </w:tcPr>
          <w:p w14:paraId="6A885E5E" w14:textId="77777777" w:rsidR="00E267E9" w:rsidRPr="00922D6C" w:rsidRDefault="00E267E9" w:rsidP="005D4EA7">
            <w:pPr>
              <w:pStyle w:val="tabletext"/>
            </w:pPr>
            <w:r w:rsidRPr="00922D6C">
              <w:t>Part 1,section 7, Subsections (1) and (2)</w:t>
            </w:r>
          </w:p>
        </w:tc>
        <w:tc>
          <w:tcPr>
            <w:tcW w:w="1980" w:type="dxa"/>
          </w:tcPr>
          <w:p w14:paraId="0C992EF1" w14:textId="77777777" w:rsidR="00E267E9" w:rsidRPr="00922D6C" w:rsidRDefault="00E267E9" w:rsidP="005D4EA7">
            <w:pPr>
              <w:pStyle w:val="tabletext"/>
            </w:pPr>
            <w:r w:rsidRPr="00922D6C">
              <w:t>12.17</w:t>
            </w:r>
          </w:p>
        </w:tc>
      </w:tr>
      <w:tr w:rsidR="00E267E9" w:rsidRPr="00231CBA" w14:paraId="1685F2DE" w14:textId="77777777" w:rsidTr="005D4EA7">
        <w:trPr>
          <w:tblHeader/>
        </w:trPr>
        <w:tc>
          <w:tcPr>
            <w:tcW w:w="5760" w:type="dxa"/>
          </w:tcPr>
          <w:p w14:paraId="099D571D" w14:textId="77777777" w:rsidR="00E267E9" w:rsidRPr="00922D6C" w:rsidRDefault="00E267E9" w:rsidP="005D4EA7">
            <w:pPr>
              <w:pStyle w:val="tabletext"/>
            </w:pPr>
            <w:r w:rsidRPr="00922D6C">
              <w:t>Part 1, section 8, Subsection (1)</w:t>
            </w:r>
          </w:p>
        </w:tc>
        <w:tc>
          <w:tcPr>
            <w:tcW w:w="1980" w:type="dxa"/>
          </w:tcPr>
          <w:p w14:paraId="7423A536" w14:textId="77777777" w:rsidR="00E267E9" w:rsidRPr="00922D6C" w:rsidRDefault="00E267E9" w:rsidP="005D4EA7">
            <w:pPr>
              <w:pStyle w:val="tabletext"/>
            </w:pPr>
            <w:r w:rsidRPr="00922D6C">
              <w:t>12.19</w:t>
            </w:r>
          </w:p>
        </w:tc>
      </w:tr>
      <w:tr w:rsidR="00E267E9" w:rsidRPr="00231CBA" w14:paraId="30FA8013" w14:textId="77777777" w:rsidTr="005D4EA7">
        <w:trPr>
          <w:tblHeader/>
        </w:trPr>
        <w:tc>
          <w:tcPr>
            <w:tcW w:w="5760" w:type="dxa"/>
          </w:tcPr>
          <w:p w14:paraId="2BC2F801" w14:textId="77777777" w:rsidR="00E267E9" w:rsidRPr="00922D6C" w:rsidRDefault="00E267E9" w:rsidP="005D4EA7">
            <w:pPr>
              <w:pStyle w:val="tabletext"/>
            </w:pPr>
            <w:r w:rsidRPr="00922D6C">
              <w:t>Part 1, section 8, Subsection (2)</w:t>
            </w:r>
          </w:p>
        </w:tc>
        <w:tc>
          <w:tcPr>
            <w:tcW w:w="1980" w:type="dxa"/>
          </w:tcPr>
          <w:p w14:paraId="71B11188" w14:textId="77777777" w:rsidR="00E267E9" w:rsidRPr="00922D6C" w:rsidRDefault="00E267E9" w:rsidP="005D4EA7">
            <w:pPr>
              <w:pStyle w:val="tabletext"/>
            </w:pPr>
            <w:r w:rsidRPr="00922D6C">
              <w:t>12.20</w:t>
            </w:r>
          </w:p>
        </w:tc>
      </w:tr>
      <w:tr w:rsidR="00E267E9" w:rsidRPr="00231CBA" w14:paraId="53818733" w14:textId="77777777" w:rsidTr="005D4EA7">
        <w:trPr>
          <w:tblHeader/>
        </w:trPr>
        <w:tc>
          <w:tcPr>
            <w:tcW w:w="5760" w:type="dxa"/>
          </w:tcPr>
          <w:p w14:paraId="15102183" w14:textId="77777777" w:rsidR="00E267E9" w:rsidRPr="00922D6C" w:rsidRDefault="00E267E9" w:rsidP="005D4EA7">
            <w:pPr>
              <w:pStyle w:val="tabletext"/>
            </w:pPr>
            <w:r w:rsidRPr="00922D6C">
              <w:t>Part 1, section 8, Subsection (3)</w:t>
            </w:r>
          </w:p>
        </w:tc>
        <w:tc>
          <w:tcPr>
            <w:tcW w:w="1980" w:type="dxa"/>
          </w:tcPr>
          <w:p w14:paraId="26E25271" w14:textId="77777777" w:rsidR="00E267E9" w:rsidRPr="00922D6C" w:rsidRDefault="00E267E9" w:rsidP="005D4EA7">
            <w:pPr>
              <w:pStyle w:val="tabletext"/>
            </w:pPr>
            <w:r w:rsidRPr="00922D6C">
              <w:t>12.23</w:t>
            </w:r>
          </w:p>
        </w:tc>
      </w:tr>
      <w:tr w:rsidR="00E267E9" w:rsidRPr="00231CBA" w14:paraId="71E25A6B" w14:textId="77777777" w:rsidTr="005D4EA7">
        <w:trPr>
          <w:tblHeader/>
        </w:trPr>
        <w:tc>
          <w:tcPr>
            <w:tcW w:w="5760" w:type="dxa"/>
          </w:tcPr>
          <w:p w14:paraId="2B2C9AAD" w14:textId="77777777" w:rsidR="00E267E9" w:rsidRPr="00922D6C" w:rsidRDefault="00E267E9" w:rsidP="005D4EA7">
            <w:pPr>
              <w:pStyle w:val="tabletext"/>
            </w:pPr>
            <w:r w:rsidRPr="00922D6C">
              <w:t>Part 1, section 8, Subsection (6)</w:t>
            </w:r>
          </w:p>
        </w:tc>
        <w:tc>
          <w:tcPr>
            <w:tcW w:w="1980" w:type="dxa"/>
          </w:tcPr>
          <w:p w14:paraId="6936AEF2" w14:textId="77777777" w:rsidR="00E267E9" w:rsidRPr="00922D6C" w:rsidRDefault="00E267E9" w:rsidP="005D4EA7">
            <w:pPr>
              <w:pStyle w:val="tabletext"/>
            </w:pPr>
            <w:r w:rsidRPr="00922D6C">
              <w:t>12.24</w:t>
            </w:r>
          </w:p>
        </w:tc>
      </w:tr>
      <w:tr w:rsidR="00E267E9" w:rsidRPr="00231CBA" w14:paraId="1AA5684A" w14:textId="77777777" w:rsidTr="005D4EA7">
        <w:trPr>
          <w:tblHeader/>
        </w:trPr>
        <w:tc>
          <w:tcPr>
            <w:tcW w:w="5760" w:type="dxa"/>
          </w:tcPr>
          <w:p w14:paraId="13B3B947" w14:textId="77777777" w:rsidR="00E267E9" w:rsidRPr="00922D6C" w:rsidRDefault="00E267E9" w:rsidP="005D4EA7">
            <w:pPr>
              <w:pStyle w:val="tabletext"/>
            </w:pPr>
            <w:r w:rsidRPr="00922D6C">
              <w:t>Part 1, section 8, Subsection (5)</w:t>
            </w:r>
          </w:p>
        </w:tc>
        <w:tc>
          <w:tcPr>
            <w:tcW w:w="1980" w:type="dxa"/>
          </w:tcPr>
          <w:p w14:paraId="70D79CC0" w14:textId="77777777" w:rsidR="00E267E9" w:rsidRPr="00922D6C" w:rsidRDefault="00E267E9" w:rsidP="005D4EA7">
            <w:pPr>
              <w:pStyle w:val="tabletext"/>
            </w:pPr>
            <w:r w:rsidRPr="00922D6C">
              <w:t>12.24</w:t>
            </w:r>
          </w:p>
        </w:tc>
      </w:tr>
      <w:tr w:rsidR="00E267E9" w:rsidRPr="00231CBA" w14:paraId="2BA37EFE" w14:textId="77777777" w:rsidTr="005D4EA7">
        <w:trPr>
          <w:tblHeader/>
        </w:trPr>
        <w:tc>
          <w:tcPr>
            <w:tcW w:w="5760" w:type="dxa"/>
          </w:tcPr>
          <w:p w14:paraId="569EA025" w14:textId="77777777" w:rsidR="00E267E9" w:rsidRPr="00922D6C" w:rsidRDefault="00E267E9" w:rsidP="005D4EA7">
            <w:pPr>
              <w:pStyle w:val="tabletext"/>
            </w:pPr>
            <w:r w:rsidRPr="00922D6C">
              <w:t>Part 1,section 8, Subsection (7)(a),(b), and (c)</w:t>
            </w:r>
          </w:p>
        </w:tc>
        <w:tc>
          <w:tcPr>
            <w:tcW w:w="1980" w:type="dxa"/>
          </w:tcPr>
          <w:p w14:paraId="1E728D4D" w14:textId="77777777" w:rsidR="00E267E9" w:rsidRPr="00922D6C" w:rsidRDefault="00E267E9" w:rsidP="005D4EA7">
            <w:pPr>
              <w:pStyle w:val="tabletext"/>
            </w:pPr>
            <w:r w:rsidRPr="00922D6C">
              <w:t>12.24</w:t>
            </w:r>
          </w:p>
        </w:tc>
      </w:tr>
      <w:tr w:rsidR="00E267E9" w:rsidRPr="00231CBA" w14:paraId="61AD1AF6" w14:textId="77777777" w:rsidTr="005D4EA7">
        <w:trPr>
          <w:tblHeader/>
        </w:trPr>
        <w:tc>
          <w:tcPr>
            <w:tcW w:w="5760" w:type="dxa"/>
          </w:tcPr>
          <w:p w14:paraId="3A4B9CB5" w14:textId="77777777" w:rsidR="00E267E9" w:rsidRPr="00922D6C" w:rsidRDefault="00E267E9" w:rsidP="005D4EA7">
            <w:pPr>
              <w:pStyle w:val="tabletext"/>
            </w:pPr>
            <w:r w:rsidRPr="00922D6C">
              <w:t>Part 1, section  8, Subsection (7)(d)</w:t>
            </w:r>
          </w:p>
        </w:tc>
        <w:tc>
          <w:tcPr>
            <w:tcW w:w="1980" w:type="dxa"/>
          </w:tcPr>
          <w:p w14:paraId="01C79BB5" w14:textId="77777777" w:rsidR="00E267E9" w:rsidRPr="00922D6C" w:rsidRDefault="00E267E9" w:rsidP="005D4EA7">
            <w:pPr>
              <w:pStyle w:val="tabletext"/>
            </w:pPr>
            <w:r w:rsidRPr="00922D6C">
              <w:t>12.24</w:t>
            </w:r>
          </w:p>
        </w:tc>
      </w:tr>
      <w:tr w:rsidR="00E267E9" w:rsidRPr="00231CBA" w14:paraId="3F761362" w14:textId="77777777" w:rsidTr="005D4EA7">
        <w:trPr>
          <w:tblHeader/>
        </w:trPr>
        <w:tc>
          <w:tcPr>
            <w:tcW w:w="5760" w:type="dxa"/>
          </w:tcPr>
          <w:p w14:paraId="48F02FA7" w14:textId="77777777" w:rsidR="00E267E9" w:rsidRPr="00922D6C" w:rsidRDefault="00E267E9" w:rsidP="005D4EA7">
            <w:pPr>
              <w:pStyle w:val="tabletext"/>
            </w:pPr>
            <w:r w:rsidRPr="00922D6C">
              <w:t>Part 1, item 8, Subsection (4)</w:t>
            </w:r>
          </w:p>
        </w:tc>
        <w:tc>
          <w:tcPr>
            <w:tcW w:w="1980" w:type="dxa"/>
          </w:tcPr>
          <w:p w14:paraId="4160F3CF" w14:textId="77777777" w:rsidR="00E267E9" w:rsidRPr="00922D6C" w:rsidRDefault="00E267E9" w:rsidP="005D4EA7">
            <w:pPr>
              <w:pStyle w:val="tabletext"/>
            </w:pPr>
            <w:r w:rsidRPr="00922D6C">
              <w:t>12.24</w:t>
            </w:r>
          </w:p>
        </w:tc>
      </w:tr>
    </w:tbl>
    <w:p w14:paraId="2FD25F82" w14:textId="77777777" w:rsidR="00E267E9" w:rsidRDefault="00E267E9" w:rsidP="008D5B4B">
      <w:pPr>
        <w:pStyle w:val="Heading2with18pointafter"/>
        <w:spacing w:before="240" w:after="120"/>
      </w:pPr>
      <w:r>
        <w:t>Private Health Insurance (Risk Equalisation Levy) Amendment Bill 2015</w:t>
      </w:r>
    </w:p>
    <w:p w14:paraId="34A6CDF4" w14:textId="021A0E32" w:rsidR="00E267E9" w:rsidRDefault="00D75113" w:rsidP="008D5B4B">
      <w:pPr>
        <w:pStyle w:val="Heading2with18pointafter"/>
        <w:spacing w:before="120" w:after="120"/>
      </w:pPr>
      <w:r>
        <w:t xml:space="preserve">Schedule 1: </w:t>
      </w:r>
      <w:r w:rsidR="00E267E9">
        <w:t>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E267E9" w:rsidRPr="00442FB9" w14:paraId="5B0170B5" w14:textId="77777777" w:rsidTr="005D4EA7">
        <w:trPr>
          <w:tblHeader/>
        </w:trPr>
        <w:tc>
          <w:tcPr>
            <w:tcW w:w="5760" w:type="dxa"/>
          </w:tcPr>
          <w:p w14:paraId="7E37C74E" w14:textId="77777777" w:rsidR="00E267E9" w:rsidRPr="00231CBA" w:rsidRDefault="00E267E9" w:rsidP="005D4EA7">
            <w:pPr>
              <w:pStyle w:val="tableheaderwithintable"/>
            </w:pPr>
            <w:r w:rsidRPr="00231CBA">
              <w:t>Bill reference</w:t>
            </w:r>
          </w:p>
        </w:tc>
        <w:tc>
          <w:tcPr>
            <w:tcW w:w="1980" w:type="dxa"/>
          </w:tcPr>
          <w:p w14:paraId="3CE5E7FC" w14:textId="77777777" w:rsidR="00E267E9" w:rsidRPr="00231CBA" w:rsidRDefault="00E267E9" w:rsidP="005D4EA7">
            <w:pPr>
              <w:pStyle w:val="tableheaderwithintable"/>
            </w:pPr>
            <w:r w:rsidRPr="00231CBA">
              <w:t>Paragraph number</w:t>
            </w:r>
          </w:p>
        </w:tc>
      </w:tr>
      <w:tr w:rsidR="00E267E9" w:rsidRPr="00231CBA" w14:paraId="4B283D76" w14:textId="77777777" w:rsidTr="005D4EA7">
        <w:trPr>
          <w:tblHeader/>
        </w:trPr>
        <w:tc>
          <w:tcPr>
            <w:tcW w:w="5760" w:type="dxa"/>
          </w:tcPr>
          <w:p w14:paraId="614DB880" w14:textId="77777777" w:rsidR="00E267E9" w:rsidRPr="00231CBA" w:rsidRDefault="00E267E9" w:rsidP="005D4EA7">
            <w:pPr>
              <w:pStyle w:val="tabletext"/>
            </w:pPr>
            <w:r>
              <w:t>Part 1, Item 1</w:t>
            </w:r>
          </w:p>
        </w:tc>
        <w:tc>
          <w:tcPr>
            <w:tcW w:w="1980" w:type="dxa"/>
          </w:tcPr>
          <w:p w14:paraId="7DAC0427" w14:textId="77777777" w:rsidR="00E267E9" w:rsidRPr="00231CBA" w:rsidRDefault="00E267E9" w:rsidP="005D4EA7">
            <w:pPr>
              <w:pStyle w:val="tabletext"/>
            </w:pPr>
            <w:r>
              <w:t>13.7</w:t>
            </w:r>
          </w:p>
        </w:tc>
      </w:tr>
      <w:tr w:rsidR="00E267E9" w:rsidRPr="00231CBA" w14:paraId="1F9B991B" w14:textId="77777777" w:rsidTr="005D4EA7">
        <w:trPr>
          <w:tblHeader/>
        </w:trPr>
        <w:tc>
          <w:tcPr>
            <w:tcW w:w="5760" w:type="dxa"/>
          </w:tcPr>
          <w:p w14:paraId="61CAA3EB" w14:textId="77777777" w:rsidR="00E267E9" w:rsidRDefault="00E267E9" w:rsidP="005D4EA7">
            <w:pPr>
              <w:pStyle w:val="tabletext"/>
            </w:pPr>
            <w:r>
              <w:t>Part 1, Items 2 and 3</w:t>
            </w:r>
          </w:p>
        </w:tc>
        <w:tc>
          <w:tcPr>
            <w:tcW w:w="1980" w:type="dxa"/>
          </w:tcPr>
          <w:p w14:paraId="35FF5639" w14:textId="77777777" w:rsidR="00E267E9" w:rsidRDefault="00E267E9" w:rsidP="005D4EA7">
            <w:pPr>
              <w:pStyle w:val="tabletext"/>
            </w:pPr>
            <w:r>
              <w:t>13.8</w:t>
            </w:r>
          </w:p>
        </w:tc>
      </w:tr>
      <w:tr w:rsidR="00E267E9" w:rsidRPr="00231CBA" w14:paraId="75094EC8" w14:textId="77777777" w:rsidTr="005D4EA7">
        <w:trPr>
          <w:tblHeader/>
        </w:trPr>
        <w:tc>
          <w:tcPr>
            <w:tcW w:w="5760" w:type="dxa"/>
          </w:tcPr>
          <w:p w14:paraId="2F4D76D4" w14:textId="77777777" w:rsidR="00E267E9" w:rsidRDefault="00E267E9" w:rsidP="005D4EA7">
            <w:pPr>
              <w:pStyle w:val="tabletext"/>
            </w:pPr>
            <w:r>
              <w:t>Part 1, Item 5</w:t>
            </w:r>
          </w:p>
        </w:tc>
        <w:tc>
          <w:tcPr>
            <w:tcW w:w="1980" w:type="dxa"/>
          </w:tcPr>
          <w:p w14:paraId="49D46A92" w14:textId="77777777" w:rsidR="00E267E9" w:rsidRDefault="00E267E9" w:rsidP="005D4EA7">
            <w:pPr>
              <w:pStyle w:val="tabletext"/>
            </w:pPr>
            <w:r>
              <w:t>13.10, 13.11</w:t>
            </w:r>
          </w:p>
        </w:tc>
      </w:tr>
      <w:tr w:rsidR="00E267E9" w:rsidRPr="00231CBA" w14:paraId="249FF454" w14:textId="77777777" w:rsidTr="005D4EA7">
        <w:trPr>
          <w:tblHeader/>
        </w:trPr>
        <w:tc>
          <w:tcPr>
            <w:tcW w:w="5760" w:type="dxa"/>
          </w:tcPr>
          <w:p w14:paraId="01205681" w14:textId="77777777" w:rsidR="00E267E9" w:rsidRDefault="00E267E9" w:rsidP="005D4EA7">
            <w:pPr>
              <w:pStyle w:val="tabletext"/>
            </w:pPr>
            <w:r>
              <w:t>Part 1, items 6 and 7</w:t>
            </w:r>
          </w:p>
        </w:tc>
        <w:tc>
          <w:tcPr>
            <w:tcW w:w="1980" w:type="dxa"/>
          </w:tcPr>
          <w:p w14:paraId="50A3527A" w14:textId="77777777" w:rsidR="00E267E9" w:rsidRDefault="00E267E9" w:rsidP="005D4EA7">
            <w:pPr>
              <w:pStyle w:val="tabletext"/>
            </w:pPr>
            <w:r>
              <w:t>13.13</w:t>
            </w:r>
          </w:p>
        </w:tc>
      </w:tr>
      <w:tr w:rsidR="00E267E9" w:rsidRPr="00231CBA" w14:paraId="5F2B4FC6" w14:textId="77777777" w:rsidTr="005D4EA7">
        <w:trPr>
          <w:tblHeader/>
        </w:trPr>
        <w:tc>
          <w:tcPr>
            <w:tcW w:w="5760" w:type="dxa"/>
          </w:tcPr>
          <w:p w14:paraId="276D0FF0" w14:textId="77777777" w:rsidR="00E267E9" w:rsidRDefault="00E267E9" w:rsidP="005D4EA7">
            <w:pPr>
              <w:pStyle w:val="tabletext"/>
            </w:pPr>
            <w:r>
              <w:t>Part 1, item 8</w:t>
            </w:r>
          </w:p>
        </w:tc>
        <w:tc>
          <w:tcPr>
            <w:tcW w:w="1980" w:type="dxa"/>
          </w:tcPr>
          <w:p w14:paraId="1E09205D" w14:textId="77777777" w:rsidR="00E267E9" w:rsidRDefault="00E267E9" w:rsidP="005D4EA7">
            <w:pPr>
              <w:pStyle w:val="tabletext"/>
            </w:pPr>
            <w:r>
              <w:t>13.16</w:t>
            </w:r>
          </w:p>
        </w:tc>
      </w:tr>
      <w:tr w:rsidR="00E267E9" w:rsidRPr="00231CBA" w14:paraId="399335C5" w14:textId="77777777" w:rsidTr="005D4EA7">
        <w:trPr>
          <w:tblHeader/>
        </w:trPr>
        <w:tc>
          <w:tcPr>
            <w:tcW w:w="5760" w:type="dxa"/>
          </w:tcPr>
          <w:p w14:paraId="1BA03D6B" w14:textId="77777777" w:rsidR="00E267E9" w:rsidRDefault="00E267E9" w:rsidP="005D4EA7">
            <w:pPr>
              <w:pStyle w:val="tabletext"/>
            </w:pPr>
            <w:r>
              <w:t>Part 1, Item 9</w:t>
            </w:r>
          </w:p>
        </w:tc>
        <w:tc>
          <w:tcPr>
            <w:tcW w:w="1980" w:type="dxa"/>
          </w:tcPr>
          <w:p w14:paraId="6D60E738" w14:textId="77777777" w:rsidR="00E267E9" w:rsidRDefault="00E267E9" w:rsidP="005D4EA7">
            <w:pPr>
              <w:pStyle w:val="tabletext"/>
            </w:pPr>
            <w:r>
              <w:t>13.18</w:t>
            </w:r>
          </w:p>
        </w:tc>
      </w:tr>
      <w:tr w:rsidR="00E267E9" w:rsidRPr="00231CBA" w14:paraId="2C51CD7A" w14:textId="77777777" w:rsidTr="005D4EA7">
        <w:trPr>
          <w:tblHeader/>
        </w:trPr>
        <w:tc>
          <w:tcPr>
            <w:tcW w:w="5760" w:type="dxa"/>
          </w:tcPr>
          <w:p w14:paraId="5F82AC18" w14:textId="77777777" w:rsidR="00E267E9" w:rsidRDefault="00E267E9" w:rsidP="005D4EA7">
            <w:pPr>
              <w:pStyle w:val="tabletext"/>
            </w:pPr>
            <w:r>
              <w:t>Part 1, Item 10</w:t>
            </w:r>
          </w:p>
        </w:tc>
        <w:tc>
          <w:tcPr>
            <w:tcW w:w="1980" w:type="dxa"/>
          </w:tcPr>
          <w:p w14:paraId="3310F348" w14:textId="77777777" w:rsidR="00E267E9" w:rsidRDefault="00E267E9" w:rsidP="005D4EA7">
            <w:pPr>
              <w:pStyle w:val="tabletext"/>
            </w:pPr>
            <w:r>
              <w:t>13.19</w:t>
            </w:r>
          </w:p>
        </w:tc>
      </w:tr>
    </w:tbl>
    <w:p w14:paraId="59447D43" w14:textId="77777777" w:rsidR="00E267E9" w:rsidRDefault="00E267E9" w:rsidP="00D75113">
      <w:pPr>
        <w:pStyle w:val="Heading2with18pointafter"/>
        <w:spacing w:after="120"/>
      </w:pPr>
      <w:r w:rsidRPr="00E267E9">
        <w:t>Private Health Insurance (Collapsed Insurer Levy) Amendment Bill 2015</w:t>
      </w:r>
    </w:p>
    <w:p w14:paraId="3386592B" w14:textId="7AEE3EED" w:rsidR="00E267E9" w:rsidRDefault="00D75113" w:rsidP="00C3284A">
      <w:pPr>
        <w:pStyle w:val="Heading2with18pointafter"/>
        <w:spacing w:before="120"/>
      </w:pPr>
      <w:r>
        <w:t xml:space="preserve">Schedule 1: </w:t>
      </w:r>
      <w:r w:rsidR="00E267E9">
        <w:t>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E267E9" w:rsidRPr="00442FB9" w14:paraId="18B4CDF2" w14:textId="77777777" w:rsidTr="005D4EA7">
        <w:trPr>
          <w:tblHeader/>
        </w:trPr>
        <w:tc>
          <w:tcPr>
            <w:tcW w:w="5760" w:type="dxa"/>
          </w:tcPr>
          <w:p w14:paraId="44179AB1" w14:textId="77777777" w:rsidR="00E267E9" w:rsidRPr="00231CBA" w:rsidRDefault="00E267E9" w:rsidP="005D4EA7">
            <w:pPr>
              <w:pStyle w:val="tableheaderwithintable"/>
            </w:pPr>
            <w:r w:rsidRPr="00231CBA">
              <w:t>Bill reference</w:t>
            </w:r>
          </w:p>
        </w:tc>
        <w:tc>
          <w:tcPr>
            <w:tcW w:w="1980" w:type="dxa"/>
          </w:tcPr>
          <w:p w14:paraId="58964A7F" w14:textId="77777777" w:rsidR="00E267E9" w:rsidRPr="00231CBA" w:rsidRDefault="00E267E9" w:rsidP="005D4EA7">
            <w:pPr>
              <w:pStyle w:val="tableheaderwithintable"/>
            </w:pPr>
            <w:r w:rsidRPr="00231CBA">
              <w:t>Paragraph number</w:t>
            </w:r>
          </w:p>
        </w:tc>
      </w:tr>
      <w:tr w:rsidR="00E267E9" w:rsidRPr="00231CBA" w14:paraId="00840A9B" w14:textId="77777777" w:rsidTr="005D4EA7">
        <w:trPr>
          <w:tblHeader/>
        </w:trPr>
        <w:tc>
          <w:tcPr>
            <w:tcW w:w="5760" w:type="dxa"/>
          </w:tcPr>
          <w:p w14:paraId="6B4D6E4A" w14:textId="77777777" w:rsidR="00E267E9" w:rsidRPr="00231CBA" w:rsidRDefault="00E267E9" w:rsidP="005D4EA7">
            <w:pPr>
              <w:pStyle w:val="tabletext"/>
            </w:pPr>
            <w:r>
              <w:t>Part 1, Item 2(a)</w:t>
            </w:r>
          </w:p>
        </w:tc>
        <w:tc>
          <w:tcPr>
            <w:tcW w:w="1980" w:type="dxa"/>
          </w:tcPr>
          <w:p w14:paraId="148D01A0" w14:textId="77777777" w:rsidR="00E267E9" w:rsidRPr="00231CBA" w:rsidRDefault="00E267E9" w:rsidP="005D4EA7">
            <w:pPr>
              <w:pStyle w:val="tabletext"/>
            </w:pPr>
            <w:r>
              <w:t>14.6</w:t>
            </w:r>
          </w:p>
        </w:tc>
      </w:tr>
      <w:tr w:rsidR="00E267E9" w:rsidRPr="00231CBA" w14:paraId="75F7CC12" w14:textId="77777777" w:rsidTr="005D4EA7">
        <w:trPr>
          <w:tblHeader/>
        </w:trPr>
        <w:tc>
          <w:tcPr>
            <w:tcW w:w="5760" w:type="dxa"/>
          </w:tcPr>
          <w:p w14:paraId="6497879E" w14:textId="77777777" w:rsidR="00E267E9" w:rsidRDefault="00E267E9" w:rsidP="005D4EA7">
            <w:pPr>
              <w:pStyle w:val="tabletext"/>
            </w:pPr>
            <w:r>
              <w:t>Part 1, Item 2(b)</w:t>
            </w:r>
          </w:p>
        </w:tc>
        <w:tc>
          <w:tcPr>
            <w:tcW w:w="1980" w:type="dxa"/>
          </w:tcPr>
          <w:p w14:paraId="243A91CB" w14:textId="77777777" w:rsidR="00E267E9" w:rsidRDefault="00E267E9" w:rsidP="005D4EA7">
            <w:pPr>
              <w:pStyle w:val="tabletext"/>
            </w:pPr>
            <w:r>
              <w:t>14.6</w:t>
            </w:r>
          </w:p>
        </w:tc>
      </w:tr>
      <w:tr w:rsidR="00E267E9" w:rsidRPr="00231CBA" w14:paraId="33F3204F" w14:textId="77777777" w:rsidTr="005D4EA7">
        <w:trPr>
          <w:tblHeader/>
        </w:trPr>
        <w:tc>
          <w:tcPr>
            <w:tcW w:w="5760" w:type="dxa"/>
          </w:tcPr>
          <w:p w14:paraId="3E5CB8A3" w14:textId="77777777" w:rsidR="00E267E9" w:rsidRDefault="00E267E9" w:rsidP="005D4EA7">
            <w:pPr>
              <w:pStyle w:val="tabletext"/>
            </w:pPr>
            <w:r>
              <w:t>Part 1, Item 2(c)</w:t>
            </w:r>
          </w:p>
        </w:tc>
        <w:tc>
          <w:tcPr>
            <w:tcW w:w="1980" w:type="dxa"/>
          </w:tcPr>
          <w:p w14:paraId="062426DA" w14:textId="77777777" w:rsidR="00E267E9" w:rsidRDefault="00E267E9" w:rsidP="005D4EA7">
            <w:pPr>
              <w:pStyle w:val="tabletext"/>
            </w:pPr>
            <w:r>
              <w:t>14.6</w:t>
            </w:r>
          </w:p>
        </w:tc>
      </w:tr>
      <w:tr w:rsidR="00E267E9" w:rsidRPr="00231CBA" w14:paraId="1667C982" w14:textId="77777777" w:rsidTr="005D4EA7">
        <w:trPr>
          <w:tblHeader/>
        </w:trPr>
        <w:tc>
          <w:tcPr>
            <w:tcW w:w="5760" w:type="dxa"/>
          </w:tcPr>
          <w:p w14:paraId="112B4980" w14:textId="77777777" w:rsidR="00E267E9" w:rsidRDefault="00E267E9" w:rsidP="005D4EA7">
            <w:pPr>
              <w:pStyle w:val="tabletext"/>
            </w:pPr>
            <w:r>
              <w:t>Part 1, Item 4</w:t>
            </w:r>
          </w:p>
        </w:tc>
        <w:tc>
          <w:tcPr>
            <w:tcW w:w="1980" w:type="dxa"/>
          </w:tcPr>
          <w:p w14:paraId="44AF5BF6" w14:textId="77777777" w:rsidR="00E267E9" w:rsidRDefault="00E267E9" w:rsidP="005D4EA7">
            <w:pPr>
              <w:pStyle w:val="tabletext"/>
            </w:pPr>
            <w:r>
              <w:t>14.7</w:t>
            </w:r>
          </w:p>
        </w:tc>
      </w:tr>
      <w:tr w:rsidR="00E267E9" w:rsidRPr="00231CBA" w14:paraId="43DA4B8F" w14:textId="77777777" w:rsidTr="005D4EA7">
        <w:trPr>
          <w:tblHeader/>
        </w:trPr>
        <w:tc>
          <w:tcPr>
            <w:tcW w:w="5760" w:type="dxa"/>
          </w:tcPr>
          <w:p w14:paraId="26AA2B3D" w14:textId="77777777" w:rsidR="00E267E9" w:rsidRDefault="00E267E9" w:rsidP="005D4EA7">
            <w:pPr>
              <w:pStyle w:val="tabletext"/>
            </w:pPr>
            <w:r>
              <w:t>Part 1, Item 5</w:t>
            </w:r>
          </w:p>
        </w:tc>
        <w:tc>
          <w:tcPr>
            <w:tcW w:w="1980" w:type="dxa"/>
          </w:tcPr>
          <w:p w14:paraId="694980AD" w14:textId="77777777" w:rsidR="00E267E9" w:rsidRDefault="00E267E9" w:rsidP="005D4EA7">
            <w:pPr>
              <w:pStyle w:val="tabletext"/>
            </w:pPr>
            <w:r>
              <w:t>14.8</w:t>
            </w:r>
          </w:p>
        </w:tc>
      </w:tr>
      <w:tr w:rsidR="00E267E9" w:rsidRPr="00231CBA" w14:paraId="0A1A7A39" w14:textId="77777777" w:rsidTr="005D4EA7">
        <w:trPr>
          <w:tblHeader/>
        </w:trPr>
        <w:tc>
          <w:tcPr>
            <w:tcW w:w="5760" w:type="dxa"/>
          </w:tcPr>
          <w:p w14:paraId="28917734" w14:textId="77777777" w:rsidR="00E267E9" w:rsidRDefault="00E267E9" w:rsidP="005D4EA7">
            <w:pPr>
              <w:pStyle w:val="tabletext"/>
            </w:pPr>
            <w:r>
              <w:t>Part 1, Item 6</w:t>
            </w:r>
          </w:p>
        </w:tc>
        <w:tc>
          <w:tcPr>
            <w:tcW w:w="1980" w:type="dxa"/>
          </w:tcPr>
          <w:p w14:paraId="6F96DFF4" w14:textId="77777777" w:rsidR="00E267E9" w:rsidRDefault="00E267E9" w:rsidP="005D4EA7">
            <w:pPr>
              <w:pStyle w:val="tabletext"/>
            </w:pPr>
            <w:r>
              <w:t>14.9</w:t>
            </w:r>
          </w:p>
        </w:tc>
      </w:tr>
      <w:tr w:rsidR="00E267E9" w:rsidRPr="00231CBA" w14:paraId="4D8E235D" w14:textId="77777777" w:rsidTr="005D4EA7">
        <w:trPr>
          <w:tblHeader/>
        </w:trPr>
        <w:tc>
          <w:tcPr>
            <w:tcW w:w="5760" w:type="dxa"/>
          </w:tcPr>
          <w:p w14:paraId="34CF8372" w14:textId="77777777" w:rsidR="00E267E9" w:rsidRDefault="00E267E9" w:rsidP="005D4EA7">
            <w:pPr>
              <w:pStyle w:val="tabletext"/>
            </w:pPr>
            <w:r>
              <w:t>Part 1, Item 7</w:t>
            </w:r>
          </w:p>
        </w:tc>
        <w:tc>
          <w:tcPr>
            <w:tcW w:w="1980" w:type="dxa"/>
          </w:tcPr>
          <w:p w14:paraId="17F282BC" w14:textId="77777777" w:rsidR="00E267E9" w:rsidRDefault="00E267E9" w:rsidP="005D4EA7">
            <w:pPr>
              <w:pStyle w:val="tabletext"/>
            </w:pPr>
            <w:r>
              <w:t>14.10</w:t>
            </w:r>
          </w:p>
        </w:tc>
      </w:tr>
      <w:tr w:rsidR="00E267E9" w:rsidRPr="00231CBA" w14:paraId="0A70866D" w14:textId="77777777" w:rsidTr="005D4EA7">
        <w:trPr>
          <w:tblHeader/>
        </w:trPr>
        <w:tc>
          <w:tcPr>
            <w:tcW w:w="5760" w:type="dxa"/>
          </w:tcPr>
          <w:p w14:paraId="60EF820C" w14:textId="77777777" w:rsidR="00E267E9" w:rsidRDefault="00E267E9" w:rsidP="005D4EA7">
            <w:pPr>
              <w:pStyle w:val="tabletext"/>
            </w:pPr>
            <w:r>
              <w:t>Part 1, Items 8,9, and 11</w:t>
            </w:r>
          </w:p>
        </w:tc>
        <w:tc>
          <w:tcPr>
            <w:tcW w:w="1980" w:type="dxa"/>
          </w:tcPr>
          <w:p w14:paraId="5F5CE957" w14:textId="77777777" w:rsidR="00E267E9" w:rsidRDefault="00E267E9" w:rsidP="005D4EA7">
            <w:pPr>
              <w:pStyle w:val="tabletext"/>
            </w:pPr>
            <w:r>
              <w:t>14.11</w:t>
            </w:r>
          </w:p>
        </w:tc>
      </w:tr>
      <w:tr w:rsidR="00E267E9" w:rsidRPr="00231CBA" w14:paraId="69E2805A" w14:textId="77777777" w:rsidTr="005D4EA7">
        <w:trPr>
          <w:tblHeader/>
        </w:trPr>
        <w:tc>
          <w:tcPr>
            <w:tcW w:w="5760" w:type="dxa"/>
          </w:tcPr>
          <w:p w14:paraId="19E1B295" w14:textId="77777777" w:rsidR="00E267E9" w:rsidRDefault="00E267E9" w:rsidP="005D4EA7">
            <w:pPr>
              <w:pStyle w:val="tabletext"/>
            </w:pPr>
            <w:r>
              <w:t>Part 1, Item 10</w:t>
            </w:r>
          </w:p>
        </w:tc>
        <w:tc>
          <w:tcPr>
            <w:tcW w:w="1980" w:type="dxa"/>
          </w:tcPr>
          <w:p w14:paraId="028CAD56" w14:textId="77777777" w:rsidR="00E267E9" w:rsidRDefault="00E267E9" w:rsidP="005D4EA7">
            <w:pPr>
              <w:pStyle w:val="tabletext"/>
            </w:pPr>
            <w:r>
              <w:t>14.12</w:t>
            </w:r>
          </w:p>
        </w:tc>
      </w:tr>
      <w:tr w:rsidR="00E267E9" w:rsidRPr="00231CBA" w14:paraId="63292F81" w14:textId="77777777" w:rsidTr="005D4EA7">
        <w:trPr>
          <w:tblHeader/>
        </w:trPr>
        <w:tc>
          <w:tcPr>
            <w:tcW w:w="5760" w:type="dxa"/>
          </w:tcPr>
          <w:p w14:paraId="3162DACF" w14:textId="77777777" w:rsidR="00E267E9" w:rsidRDefault="00E267E9" w:rsidP="005D4EA7">
            <w:pPr>
              <w:pStyle w:val="tabletext"/>
            </w:pPr>
            <w:r>
              <w:t>Part 1, Item 12</w:t>
            </w:r>
          </w:p>
        </w:tc>
        <w:tc>
          <w:tcPr>
            <w:tcW w:w="1980" w:type="dxa"/>
          </w:tcPr>
          <w:p w14:paraId="38710713" w14:textId="77777777" w:rsidR="00E267E9" w:rsidRDefault="00E267E9" w:rsidP="005D4EA7">
            <w:pPr>
              <w:pStyle w:val="tabletext"/>
            </w:pPr>
            <w:r>
              <w:t>14.13</w:t>
            </w:r>
          </w:p>
        </w:tc>
      </w:tr>
      <w:tr w:rsidR="00E267E9" w:rsidRPr="00231CBA" w14:paraId="572E59C9" w14:textId="77777777" w:rsidTr="005D4EA7">
        <w:trPr>
          <w:tblHeader/>
        </w:trPr>
        <w:tc>
          <w:tcPr>
            <w:tcW w:w="5760" w:type="dxa"/>
          </w:tcPr>
          <w:p w14:paraId="3E104C45" w14:textId="77777777" w:rsidR="00E267E9" w:rsidRDefault="00E267E9" w:rsidP="005D4EA7">
            <w:pPr>
              <w:pStyle w:val="tabletext"/>
            </w:pPr>
            <w:r>
              <w:t>Part 1, Item 13</w:t>
            </w:r>
          </w:p>
        </w:tc>
        <w:tc>
          <w:tcPr>
            <w:tcW w:w="1980" w:type="dxa"/>
          </w:tcPr>
          <w:p w14:paraId="124AB5D5" w14:textId="77777777" w:rsidR="00E267E9" w:rsidRDefault="00E267E9" w:rsidP="005D4EA7">
            <w:pPr>
              <w:pStyle w:val="tabletext"/>
            </w:pPr>
            <w:r>
              <w:t>14.13</w:t>
            </w:r>
          </w:p>
        </w:tc>
      </w:tr>
      <w:tr w:rsidR="00E267E9" w:rsidRPr="00231CBA" w14:paraId="7F53D273" w14:textId="77777777" w:rsidTr="005D4EA7">
        <w:trPr>
          <w:tblHeader/>
        </w:trPr>
        <w:tc>
          <w:tcPr>
            <w:tcW w:w="5760" w:type="dxa"/>
          </w:tcPr>
          <w:p w14:paraId="283750B5" w14:textId="77777777" w:rsidR="00E267E9" w:rsidRDefault="00E267E9" w:rsidP="005D4EA7">
            <w:pPr>
              <w:pStyle w:val="tabletext"/>
            </w:pPr>
            <w:r>
              <w:t>Part 1, Item 14</w:t>
            </w:r>
          </w:p>
        </w:tc>
        <w:tc>
          <w:tcPr>
            <w:tcW w:w="1980" w:type="dxa"/>
          </w:tcPr>
          <w:p w14:paraId="6D1FFDAD" w14:textId="77777777" w:rsidR="00E267E9" w:rsidRDefault="00E267E9" w:rsidP="005D4EA7">
            <w:pPr>
              <w:pStyle w:val="tabletext"/>
            </w:pPr>
            <w:r>
              <w:t>14.14</w:t>
            </w:r>
          </w:p>
        </w:tc>
      </w:tr>
    </w:tbl>
    <w:p w14:paraId="4F3D7B9A" w14:textId="77777777" w:rsidR="008D5B4B" w:rsidRDefault="008D5B4B" w:rsidP="008D5B4B">
      <w:pPr>
        <w:sectPr w:rsidR="008D5B4B" w:rsidSect="00E72245">
          <w:headerReference w:type="default" r:id="rId104"/>
          <w:type w:val="oddPage"/>
          <w:pgSz w:w="11906" w:h="16838" w:code="9"/>
          <w:pgMar w:top="2466" w:right="2098" w:bottom="2466" w:left="2098" w:header="1559" w:footer="1899" w:gutter="0"/>
          <w:cols w:space="708"/>
          <w:titlePg/>
          <w:docGrid w:linePitch="360"/>
        </w:sectPr>
      </w:pPr>
    </w:p>
    <w:p w14:paraId="4DBD88AD" w14:textId="0E6B8E44" w:rsidR="00E72245" w:rsidRPr="00E72245" w:rsidRDefault="00E72245" w:rsidP="008D5B4B"/>
    <w:sectPr w:rsidR="00E72245" w:rsidRPr="00E72245" w:rsidSect="00E72245">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658B1" w14:textId="77777777" w:rsidR="0086789A" w:rsidRDefault="0086789A">
      <w:r>
        <w:separator/>
      </w:r>
    </w:p>
  </w:endnote>
  <w:endnote w:type="continuationSeparator" w:id="0">
    <w:p w14:paraId="628C4ABD" w14:textId="77777777" w:rsidR="0086789A" w:rsidRDefault="0086789A">
      <w:r>
        <w:continuationSeparator/>
      </w:r>
    </w:p>
  </w:endnote>
  <w:endnote w:type="continuationNotice" w:id="1">
    <w:p w14:paraId="422DD60E" w14:textId="77777777" w:rsidR="0086789A" w:rsidRDefault="008678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7B5A" w14:textId="77777777" w:rsidR="00916A4F" w:rsidRDefault="00916A4F" w:rsidP="000573B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9091" w14:textId="77777777" w:rsidR="00916A4F" w:rsidRDefault="00916A4F" w:rsidP="00D86E5E">
    <w:pPr>
      <w:pStyle w:val="rightfooter"/>
    </w:pPr>
    <w:r>
      <w:fldChar w:fldCharType="begin"/>
    </w:r>
    <w:r>
      <w:instrText xml:space="preserve"> PAGE   \* MERGEFORMAT </w:instrText>
    </w:r>
    <w:r>
      <w:fldChar w:fldCharType="separate"/>
    </w:r>
    <w:r>
      <w:rPr>
        <w:noProof/>
      </w:rPr>
      <w:t>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2F6F"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4D4C" w14:textId="77777777" w:rsidR="00916A4F" w:rsidRDefault="00916A4F" w:rsidP="00D86E5E">
    <w:pPr>
      <w:pStyle w:val="leftfooter"/>
    </w:pPr>
    <w:r>
      <w:fldChar w:fldCharType="begin"/>
    </w:r>
    <w:r>
      <w:instrText xml:space="preserve"> PAGE   \* MERGEFORMAT </w:instrText>
    </w:r>
    <w:r>
      <w:fldChar w:fldCharType="separate"/>
    </w:r>
    <w:r w:rsidR="00EB6C13">
      <w:rPr>
        <w:noProof/>
      </w:rPr>
      <w:t>12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799CE" w14:textId="77777777" w:rsidR="00916A4F" w:rsidRDefault="00916A4F" w:rsidP="00D86E5E">
    <w:pPr>
      <w:pStyle w:val="rightfooter"/>
    </w:pPr>
    <w:r>
      <w:fldChar w:fldCharType="begin"/>
    </w:r>
    <w:r>
      <w:instrText xml:space="preserve"> PAGE   \* MERGEFORMAT </w:instrText>
    </w:r>
    <w:r>
      <w:fldChar w:fldCharType="separate"/>
    </w:r>
    <w:r w:rsidR="00EB6C13">
      <w:rPr>
        <w:noProof/>
      </w:rPr>
      <w:t>13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5D56"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9BF08" w14:textId="77777777" w:rsidR="00916A4F" w:rsidRDefault="00916A4F" w:rsidP="00D86E5E">
    <w:pPr>
      <w:pStyle w:val="leftfooter"/>
    </w:pPr>
    <w:r>
      <w:fldChar w:fldCharType="begin"/>
    </w:r>
    <w:r>
      <w:instrText xml:space="preserve"> PAGE   \* MERGEFORMAT </w:instrText>
    </w:r>
    <w:r>
      <w:fldChar w:fldCharType="separate"/>
    </w:r>
    <w:r w:rsidR="00EB6C13">
      <w:rPr>
        <w:noProof/>
      </w:rPr>
      <w:t>16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8BAA2" w14:textId="77777777" w:rsidR="00916A4F" w:rsidRDefault="00916A4F" w:rsidP="00D86E5E">
    <w:pPr>
      <w:pStyle w:val="rightfooter"/>
    </w:pPr>
    <w:r>
      <w:fldChar w:fldCharType="begin"/>
    </w:r>
    <w:r>
      <w:instrText xml:space="preserve"> PAGE   \* MERGEFORMAT </w:instrText>
    </w:r>
    <w:r>
      <w:fldChar w:fldCharType="separate"/>
    </w:r>
    <w:r w:rsidR="00EB6C13">
      <w:rPr>
        <w:noProof/>
      </w:rPr>
      <w:t>17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76CD6"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15</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B742" w14:textId="77777777" w:rsidR="00916A4F" w:rsidRDefault="00916A4F" w:rsidP="00D86E5E">
    <w:pPr>
      <w:pStyle w:val="leftfooter"/>
    </w:pPr>
    <w:r>
      <w:fldChar w:fldCharType="begin"/>
    </w:r>
    <w:r>
      <w:instrText xml:space="preserve"> PAGE   \* MERGEFORMAT </w:instrText>
    </w:r>
    <w:r>
      <w:fldChar w:fldCharType="separate"/>
    </w:r>
    <w:r w:rsidR="00EB6C13">
      <w:rPr>
        <w:noProof/>
      </w:rPr>
      <w:t>28</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C68E" w14:textId="77777777" w:rsidR="00916A4F" w:rsidRDefault="00916A4F" w:rsidP="00D86E5E">
    <w:pPr>
      <w:pStyle w:val="rightfooter"/>
    </w:pPr>
    <w:r>
      <w:fldChar w:fldCharType="begin"/>
    </w:r>
    <w:r>
      <w:instrText xml:space="preserve"> PAGE   \* MERGEFORMAT </w:instrText>
    </w:r>
    <w:r>
      <w:fldChar w:fldCharType="separate"/>
    </w:r>
    <w:r w:rsidR="00EB6C13">
      <w:rPr>
        <w:noProof/>
      </w:rPr>
      <w:t>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B476" w14:textId="77777777" w:rsidR="00916A4F" w:rsidRDefault="00916A4F" w:rsidP="000573B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8D358"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18</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0D014" w14:textId="77777777" w:rsidR="00916A4F" w:rsidRDefault="00916A4F" w:rsidP="001A57F7">
    <w:pPr>
      <w:pStyle w:val="leftfooter"/>
    </w:pPr>
    <w:r>
      <w:fldChar w:fldCharType="begin"/>
    </w:r>
    <w:r>
      <w:instrText xml:space="preserve"> PAGE   \* MERGEFORMAT </w:instrText>
    </w:r>
    <w:r>
      <w:fldChar w:fldCharType="separate"/>
    </w:r>
    <w:r w:rsidR="00EB6C13">
      <w:rPr>
        <w:noProof/>
      </w:rPr>
      <w:t>64</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C3CB8" w14:textId="77777777" w:rsidR="00916A4F" w:rsidRDefault="00916A4F" w:rsidP="001A57F7">
    <w:pPr>
      <w:pStyle w:val="rightfooter"/>
    </w:pPr>
    <w:r>
      <w:fldChar w:fldCharType="begin"/>
    </w:r>
    <w:r>
      <w:instrText xml:space="preserve"> PAGE   \* MERGEFORMAT </w:instrText>
    </w:r>
    <w:r>
      <w:fldChar w:fldCharType="separate"/>
    </w:r>
    <w:r w:rsidR="00EB6C13">
      <w:rPr>
        <w:noProof/>
      </w:rPr>
      <w:t>63</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F882"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29</w:t>
    </w:r>
    <w:r>
      <w:rPr>
        <w:noProof/>
      </w:rPr>
      <w:fldChar w:fldCharType="end"/>
    </w:r>
  </w:p>
  <w:p w14:paraId="66919633" w14:textId="77777777" w:rsidR="00916A4F" w:rsidRDefault="00916A4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3849" w14:textId="77777777" w:rsidR="00916A4F" w:rsidRDefault="00916A4F" w:rsidP="00D86E5E">
    <w:pPr>
      <w:pStyle w:val="leftfooter"/>
    </w:pPr>
    <w:r>
      <w:fldChar w:fldCharType="begin"/>
    </w:r>
    <w:r>
      <w:instrText xml:space="preserve"> PAGE   \* MERGEFORMAT </w:instrText>
    </w:r>
    <w:r>
      <w:fldChar w:fldCharType="separate"/>
    </w:r>
    <w:r w:rsidR="00EB6C13">
      <w:rPr>
        <w:noProof/>
      </w:rPr>
      <w:t>76</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A1D7F" w14:textId="77777777" w:rsidR="00916A4F" w:rsidRDefault="00916A4F" w:rsidP="00D86E5E">
    <w:pPr>
      <w:pStyle w:val="rightfooter"/>
    </w:pPr>
    <w:r>
      <w:fldChar w:fldCharType="begin"/>
    </w:r>
    <w:r>
      <w:instrText xml:space="preserve"> PAGE   \* MERGEFORMAT </w:instrText>
    </w:r>
    <w:r>
      <w:fldChar w:fldCharType="separate"/>
    </w:r>
    <w:r w:rsidR="00EB6C13">
      <w:rPr>
        <w:noProof/>
      </w:rPr>
      <w:t>77</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6A38"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65</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ECB3" w14:textId="77777777" w:rsidR="00916A4F" w:rsidRDefault="00916A4F" w:rsidP="00D86E5E">
    <w:pPr>
      <w:pStyle w:val="leftfooter"/>
    </w:pPr>
    <w:r>
      <w:fldChar w:fldCharType="begin"/>
    </w:r>
    <w:r>
      <w:instrText xml:space="preserve"> PAGE   \* MERGEFORMAT </w:instrText>
    </w:r>
    <w:r>
      <w:fldChar w:fldCharType="separate"/>
    </w:r>
    <w:r w:rsidR="00EB6C13">
      <w:rPr>
        <w:noProof/>
      </w:rPr>
      <w:t>80</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B20B" w14:textId="77777777" w:rsidR="00916A4F" w:rsidRDefault="00916A4F" w:rsidP="00D86E5E">
    <w:pPr>
      <w:pStyle w:val="rightfooter"/>
    </w:pPr>
    <w:r>
      <w:fldChar w:fldCharType="begin"/>
    </w:r>
    <w:r>
      <w:instrText xml:space="preserve"> PAGE   \* MERGEFORMAT </w:instrText>
    </w:r>
    <w:r>
      <w:fldChar w:fldCharType="separate"/>
    </w:r>
    <w:r w:rsidR="00EB6C13">
      <w:rPr>
        <w:noProof/>
      </w:rPr>
      <w:t>81</w:t>
    </w:r>
    <w:r>
      <w:rPr>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AB38D"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79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EFA60" w14:textId="77777777" w:rsidR="00916A4F" w:rsidRDefault="00916A4F" w:rsidP="00D86E5E">
    <w:pPr>
      <w:pStyle w:val="leftfooter"/>
    </w:pPr>
    <w:r>
      <w:fldChar w:fldCharType="begin"/>
    </w:r>
    <w:r>
      <w:instrText xml:space="preserve"> PAGE   \* MERGEFORMAT </w:instrText>
    </w:r>
    <w:r>
      <w:fldChar w:fldCharType="separate"/>
    </w:r>
    <w:r>
      <w:rPr>
        <w:noProof/>
      </w:rPr>
      <w:t>4</w:t>
    </w:r>
    <w:r>
      <w:rPr>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28F0" w14:textId="77777777" w:rsidR="00916A4F" w:rsidRDefault="00916A4F" w:rsidP="00D86E5E">
    <w:pPr>
      <w:pStyle w:val="leftfooter"/>
    </w:pPr>
    <w:r>
      <w:fldChar w:fldCharType="begin"/>
    </w:r>
    <w:r>
      <w:instrText xml:space="preserve"> PAGE   \* MERGEFORMAT </w:instrText>
    </w:r>
    <w:r>
      <w:fldChar w:fldCharType="separate"/>
    </w:r>
    <w:r w:rsidR="00CD2D14">
      <w:rPr>
        <w:noProof/>
      </w:rPr>
      <w:t>106</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EC94" w14:textId="77777777" w:rsidR="00916A4F" w:rsidRDefault="00916A4F" w:rsidP="00212AAD">
    <w:pPr>
      <w:pStyle w:val="rightfooter"/>
    </w:pPr>
    <w:r>
      <w:fldChar w:fldCharType="begin"/>
    </w:r>
    <w:r>
      <w:instrText xml:space="preserve"> PAGE   \* MERGEFORMAT </w:instrText>
    </w:r>
    <w:r>
      <w:fldChar w:fldCharType="separate"/>
    </w:r>
    <w:r w:rsidR="00CD2D14">
      <w:rPr>
        <w:noProof/>
      </w:rPr>
      <w:t>105</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EC22" w14:textId="77777777" w:rsidR="00916A4F" w:rsidRDefault="00916A4F" w:rsidP="00D86E5E">
    <w:pPr>
      <w:pStyle w:val="rightfooter"/>
    </w:pPr>
    <w:r>
      <w:fldChar w:fldCharType="begin"/>
    </w:r>
    <w:r>
      <w:instrText xml:space="preserve"> PAGE  \* Arabic  \* MERGEFORMAT </w:instrText>
    </w:r>
    <w:r>
      <w:fldChar w:fldCharType="separate"/>
    </w:r>
    <w:r w:rsidR="00CD2D14">
      <w:rPr>
        <w:noProof/>
      </w:rPr>
      <w:t>95</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63793" w14:textId="77777777" w:rsidR="00916A4F" w:rsidRDefault="00916A4F" w:rsidP="006017AC">
    <w:pPr>
      <w:pStyle w:val="leftfooter"/>
    </w:pPr>
    <w:r>
      <w:fldChar w:fldCharType="begin"/>
    </w:r>
    <w:r>
      <w:instrText xml:space="preserve"> PAGE   \* MERGEFORMAT </w:instrText>
    </w:r>
    <w:r>
      <w:fldChar w:fldCharType="separate"/>
    </w:r>
    <w:r w:rsidR="00CD2D14">
      <w:rPr>
        <w:noProof/>
      </w:rPr>
      <w:t>116</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F372" w14:textId="77777777" w:rsidR="00916A4F" w:rsidRDefault="00916A4F" w:rsidP="006017AC">
    <w:pPr>
      <w:pStyle w:val="rightfooter"/>
    </w:pPr>
    <w:r>
      <w:fldChar w:fldCharType="begin"/>
    </w:r>
    <w:r>
      <w:instrText xml:space="preserve"> PAGE   \* MERGEFORMAT </w:instrText>
    </w:r>
    <w:r>
      <w:fldChar w:fldCharType="separate"/>
    </w:r>
    <w:r w:rsidR="00CD2D14">
      <w:rPr>
        <w:noProof/>
      </w:rPr>
      <w:t>115</w:t>
    </w:r>
    <w:r>
      <w:rPr>
        <w:noProof/>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B72B" w14:textId="77777777" w:rsidR="00916A4F" w:rsidRDefault="00916A4F" w:rsidP="006017AC">
    <w:pPr>
      <w:pStyle w:val="rightfooter"/>
    </w:pPr>
    <w:r>
      <w:fldChar w:fldCharType="begin"/>
    </w:r>
    <w:r>
      <w:instrText xml:space="preserve"> PAGE  \* Arabic  \* MERGEFORMAT </w:instrText>
    </w:r>
    <w:r>
      <w:fldChar w:fldCharType="separate"/>
    </w:r>
    <w:r w:rsidR="00CD2D14">
      <w:rPr>
        <w:noProof/>
      </w:rPr>
      <w:t>117</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44C8" w14:textId="77777777" w:rsidR="00916A4F" w:rsidRDefault="00916A4F" w:rsidP="000573B9">
    <w:pPr>
      <w:pStyle w:val="leftfooter"/>
    </w:pPr>
    <w:r>
      <w:fldChar w:fldCharType="begin"/>
    </w:r>
    <w:r>
      <w:instrText xml:space="preserve"> PAGE   \* MERGEFORMAT </w:instrText>
    </w:r>
    <w:r>
      <w:fldChar w:fldCharType="separate"/>
    </w:r>
    <w:r w:rsidR="00CD2D14">
      <w:rPr>
        <w:noProof/>
      </w:rPr>
      <w:t>124</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38C0E" w14:textId="77777777" w:rsidR="00916A4F" w:rsidRDefault="00916A4F" w:rsidP="000573B9">
    <w:pPr>
      <w:pStyle w:val="rightfooter"/>
    </w:pPr>
    <w:r>
      <w:fldChar w:fldCharType="begin"/>
    </w:r>
    <w:r>
      <w:instrText xml:space="preserve"> PAGE   \* MERGEFORMAT </w:instrText>
    </w:r>
    <w:r>
      <w:fldChar w:fldCharType="separate"/>
    </w:r>
    <w:r w:rsidR="00CD2D14">
      <w:rPr>
        <w:noProof/>
      </w:rPr>
      <w:t>123</w:t>
    </w:r>
    <w:r>
      <w:rPr>
        <w:noProof/>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70F9" w14:textId="77777777" w:rsidR="00916A4F" w:rsidRDefault="00916A4F" w:rsidP="00446279">
    <w:pPr>
      <w:pStyle w:val="leftfooter"/>
    </w:pPr>
    <w:r>
      <w:fldChar w:fldCharType="begin"/>
    </w:r>
    <w:r>
      <w:instrText xml:space="preserve"> PAGE   \* MERGEFORMAT </w:instrText>
    </w:r>
    <w:r>
      <w:fldChar w:fldCharType="separate"/>
    </w:r>
    <w:r w:rsidR="00CD2D14">
      <w:rPr>
        <w:noProof/>
      </w:rPr>
      <w:t>192</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61553" w14:textId="77777777" w:rsidR="00916A4F" w:rsidRDefault="00916A4F" w:rsidP="00446279">
    <w:pPr>
      <w:pStyle w:val="rightfooter"/>
    </w:pPr>
    <w:r>
      <w:fldChar w:fldCharType="begin"/>
    </w:r>
    <w:r>
      <w:instrText xml:space="preserve"> PAGE   \* MERGEFORMAT </w:instrText>
    </w:r>
    <w:r>
      <w:fldChar w:fldCharType="separate"/>
    </w:r>
    <w:r w:rsidR="00CD2D14">
      <w:rPr>
        <w:noProof/>
      </w:rPr>
      <w:t>191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530CE" w14:textId="77777777" w:rsidR="00916A4F" w:rsidRDefault="00916A4F" w:rsidP="00D86E5E">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56E7" w14:textId="77777777" w:rsidR="00916A4F" w:rsidRDefault="00916A4F" w:rsidP="00446279">
    <w:pPr>
      <w:pStyle w:val="rightfooter"/>
    </w:pPr>
    <w:r>
      <w:fldChar w:fldCharType="begin"/>
    </w:r>
    <w:r>
      <w:instrText xml:space="preserve"> PAGE  \* Arabic  \* MERGEFORMAT </w:instrText>
    </w:r>
    <w:r>
      <w:fldChar w:fldCharType="separate"/>
    </w:r>
    <w:r w:rsidR="00CD2D14">
      <w:rPr>
        <w:noProof/>
      </w:rPr>
      <w:t>125</w:t>
    </w:r>
    <w:r>
      <w:rPr>
        <w:noProof/>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D7FB5" w14:textId="77777777" w:rsidR="00916A4F" w:rsidRDefault="00916A4F" w:rsidP="00446279">
    <w:pPr>
      <w:pStyle w:val="leftfooter"/>
    </w:pPr>
    <w:r>
      <w:fldChar w:fldCharType="begin"/>
    </w:r>
    <w:r>
      <w:instrText xml:space="preserve"> PAGE   \* MERGEFORMAT </w:instrText>
    </w:r>
    <w:r>
      <w:fldChar w:fldCharType="separate"/>
    </w:r>
    <w:r w:rsidR="00CD2D14">
      <w:rPr>
        <w:noProof/>
      </w:rPr>
      <w:t>196</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EB2C" w14:textId="77777777" w:rsidR="00916A4F" w:rsidRDefault="00916A4F" w:rsidP="00446279">
    <w:pPr>
      <w:pStyle w:val="rightfooter"/>
    </w:pPr>
    <w:r>
      <w:fldChar w:fldCharType="begin"/>
    </w:r>
    <w:r>
      <w:instrText xml:space="preserve"> PAGE   \* MERGEFORMAT </w:instrText>
    </w:r>
    <w:r>
      <w:fldChar w:fldCharType="separate"/>
    </w:r>
    <w:r w:rsidR="00CD2D14">
      <w:rPr>
        <w:noProof/>
      </w:rPr>
      <w:t>197</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CE8C" w14:textId="77777777" w:rsidR="00916A4F" w:rsidRDefault="00916A4F" w:rsidP="00446279">
    <w:pPr>
      <w:pStyle w:val="rightfooter"/>
    </w:pPr>
    <w:r>
      <w:fldChar w:fldCharType="begin"/>
    </w:r>
    <w:r>
      <w:instrText xml:space="preserve"> PAGE  \* Arabic  \* MERGEFORMAT </w:instrText>
    </w:r>
    <w:r>
      <w:fldChar w:fldCharType="separate"/>
    </w:r>
    <w:r w:rsidR="00CD2D14">
      <w:rPr>
        <w:noProof/>
      </w:rPr>
      <w:t>193</w:t>
    </w:r>
    <w:r>
      <w:rPr>
        <w:noProof/>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101C2" w14:textId="77777777" w:rsidR="00916A4F" w:rsidRDefault="00916A4F" w:rsidP="00446279">
    <w:pPr>
      <w:pStyle w:val="leftfooter"/>
    </w:pPr>
    <w:r>
      <w:fldChar w:fldCharType="begin"/>
    </w:r>
    <w:r>
      <w:instrText xml:space="preserve"> PAGE   \* MERGEFORMAT </w:instrText>
    </w:r>
    <w:r>
      <w:fldChar w:fldCharType="separate"/>
    </w:r>
    <w:r w:rsidR="00CD2D14">
      <w:rPr>
        <w:noProof/>
      </w:rPr>
      <w:t>202</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805D" w14:textId="77777777" w:rsidR="00916A4F" w:rsidRDefault="00916A4F" w:rsidP="00446279">
    <w:pPr>
      <w:pStyle w:val="rightfooter"/>
    </w:pPr>
    <w:r>
      <w:fldChar w:fldCharType="begin"/>
    </w:r>
    <w:r>
      <w:instrText xml:space="preserve"> PAGE   \* MERGEFORMAT </w:instrText>
    </w:r>
    <w:r>
      <w:fldChar w:fldCharType="separate"/>
    </w:r>
    <w:r w:rsidR="00CD2D14">
      <w:rPr>
        <w:noProof/>
      </w:rPr>
      <w:t>203</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2A68" w14:textId="77777777" w:rsidR="00916A4F" w:rsidRDefault="00916A4F" w:rsidP="00446279">
    <w:pPr>
      <w:pStyle w:val="rightfooter"/>
    </w:pPr>
    <w:r>
      <w:fldChar w:fldCharType="begin"/>
    </w:r>
    <w:r>
      <w:instrText xml:space="preserve"> PAGE  \* Arabic  \* MERGEFORMAT </w:instrText>
    </w:r>
    <w:r>
      <w:fldChar w:fldCharType="separate"/>
    </w:r>
    <w:r w:rsidR="00CD2D14">
      <w:rPr>
        <w:noProof/>
      </w:rPr>
      <w:t>199</w:t>
    </w:r>
    <w:r>
      <w:rPr>
        <w:noProof/>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6D34" w14:textId="77777777" w:rsidR="00916A4F" w:rsidRDefault="00916A4F" w:rsidP="00446279">
    <w:pPr>
      <w:pStyle w:val="leftfooter"/>
    </w:pPr>
    <w:r>
      <w:fldChar w:fldCharType="begin"/>
    </w:r>
    <w:r>
      <w:instrText xml:space="preserve"> PAGE   \* MERGEFORMAT </w:instrText>
    </w:r>
    <w:r>
      <w:fldChar w:fldCharType="separate"/>
    </w:r>
    <w:r w:rsidR="00CD2D14">
      <w:rPr>
        <w:noProof/>
      </w:rPr>
      <w:t>208</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3888" w14:textId="77777777" w:rsidR="00916A4F" w:rsidRDefault="00916A4F" w:rsidP="00446279">
    <w:pPr>
      <w:pStyle w:val="rightfooter"/>
    </w:pPr>
    <w:r>
      <w:fldChar w:fldCharType="begin"/>
    </w:r>
    <w:r>
      <w:instrText xml:space="preserve"> PAGE   \* MERGEFORMAT </w:instrText>
    </w:r>
    <w:r>
      <w:fldChar w:fldCharType="separate"/>
    </w:r>
    <w:r w:rsidR="00CD2D14">
      <w:rPr>
        <w:noProof/>
      </w:rPr>
      <w:t>207</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92BD" w14:textId="77777777" w:rsidR="00916A4F" w:rsidRDefault="00916A4F" w:rsidP="00446279">
    <w:pPr>
      <w:pStyle w:val="rightfooter"/>
    </w:pPr>
    <w:r>
      <w:fldChar w:fldCharType="begin"/>
    </w:r>
    <w:r>
      <w:instrText xml:space="preserve"> PAGE  \* Arabic  \* MERGEFORMAT </w:instrText>
    </w:r>
    <w:r>
      <w:fldChar w:fldCharType="separate"/>
    </w:r>
    <w:r w:rsidR="00CD2D14">
      <w:rPr>
        <w:noProof/>
      </w:rPr>
      <w:t>205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54D" w14:textId="77777777" w:rsidR="00916A4F" w:rsidRPr="00B2068E" w:rsidRDefault="00916A4F" w:rsidP="00D86E5E">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A6EDB" w14:textId="77777777" w:rsidR="00916A4F" w:rsidRDefault="00916A4F" w:rsidP="005A76CC">
    <w:pPr>
      <w:pStyle w:val="leftfooter"/>
    </w:pPr>
    <w:r>
      <w:fldChar w:fldCharType="begin"/>
    </w:r>
    <w:r>
      <w:instrText xml:space="preserve"> PAGE   \* MERGEFORMAT </w:instrText>
    </w:r>
    <w:r>
      <w:fldChar w:fldCharType="separate"/>
    </w:r>
    <w:r w:rsidR="00CD2D14">
      <w:rPr>
        <w:noProof/>
      </w:rPr>
      <w:t>230</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0FF8" w14:textId="77777777" w:rsidR="00916A4F" w:rsidRDefault="00916A4F" w:rsidP="005A76CC">
    <w:pPr>
      <w:pStyle w:val="rightfooter"/>
    </w:pPr>
    <w:r>
      <w:fldChar w:fldCharType="begin"/>
    </w:r>
    <w:r>
      <w:instrText xml:space="preserve"> PAGE   \* MERGEFORMAT </w:instrText>
    </w:r>
    <w:r>
      <w:fldChar w:fldCharType="separate"/>
    </w:r>
    <w:r w:rsidR="00CD2D14">
      <w:rPr>
        <w:noProof/>
      </w:rPr>
      <w:t>229</w:t>
    </w:r>
    <w:r>
      <w:rPr>
        <w:noProof/>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3DEC1" w14:textId="77777777" w:rsidR="00916A4F" w:rsidRDefault="00916A4F" w:rsidP="005A76CC">
    <w:pPr>
      <w:pStyle w:val="rightfooter"/>
    </w:pPr>
    <w:r>
      <w:fldChar w:fldCharType="begin"/>
    </w:r>
    <w:r>
      <w:instrText xml:space="preserve"> PAGE  \* Arabic  \* MERGEFORMAT </w:instrText>
    </w:r>
    <w:r>
      <w:fldChar w:fldCharType="separate"/>
    </w:r>
    <w:r w:rsidR="00CD2D14">
      <w:rPr>
        <w:noProof/>
      </w:rPr>
      <w:t>231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AE9D8" w14:textId="77777777" w:rsidR="00916A4F" w:rsidRDefault="00916A4F" w:rsidP="00D86E5E">
    <w:pPr>
      <w:pStyle w:val="leftfooter"/>
    </w:pPr>
    <w:r>
      <w:fldChar w:fldCharType="begin"/>
    </w:r>
    <w:r>
      <w:instrText xml:space="preserve"> PAGE   \* MERGEFORMAT </w:instrText>
    </w:r>
    <w:r>
      <w:fldChar w:fldCharType="separate"/>
    </w:r>
    <w:r w:rsidR="00EB6C13">
      <w:rPr>
        <w:noProof/>
      </w:rPr>
      <w:t>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6634B" w14:textId="77777777" w:rsidR="00916A4F" w:rsidRDefault="00916A4F" w:rsidP="00D86E5E">
    <w:pPr>
      <w:pStyle w:val="rightfooter"/>
    </w:pPr>
    <w:r>
      <w:fldChar w:fldCharType="begin"/>
    </w:r>
    <w:r>
      <w:instrText xml:space="preserve"> PAGE   \* MERGEFORMAT </w:instrText>
    </w:r>
    <w:r>
      <w:fldChar w:fldCharType="separate"/>
    </w:r>
    <w:r>
      <w:rPr>
        <w:noProof/>
      </w:rPr>
      <w:t>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06361" w14:textId="77777777" w:rsidR="00916A4F" w:rsidRDefault="00916A4F" w:rsidP="00D86E5E">
    <w:pPr>
      <w:pStyle w:val="rightfooter"/>
    </w:pPr>
    <w:r>
      <w:fldChar w:fldCharType="begin"/>
    </w:r>
    <w:r>
      <w:instrText xml:space="preserve"> PAGE  \* Arabic  \* MERGEFORMAT </w:instrText>
    </w:r>
    <w:r>
      <w:fldChar w:fldCharType="separate"/>
    </w:r>
    <w:r w:rsidR="00EB6C13">
      <w:rPr>
        <w:noProof/>
      </w:rPr>
      <w:t>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0D4C9" w14:textId="77777777" w:rsidR="00916A4F" w:rsidRDefault="00916A4F" w:rsidP="00D86E5E">
    <w:pPr>
      <w:pStyle w:val="leftfooter"/>
    </w:pPr>
    <w:r>
      <w:fldChar w:fldCharType="begin"/>
    </w:r>
    <w:r>
      <w:instrText xml:space="preserve"> PAGE   \* MERGEFORMAT </w:instrText>
    </w:r>
    <w:r>
      <w:fldChar w:fldCharType="separate"/>
    </w:r>
    <w:r w:rsidR="00EB6C13">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5513E" w14:textId="77777777" w:rsidR="0086789A" w:rsidRDefault="0086789A">
      <w:r>
        <w:separator/>
      </w:r>
    </w:p>
  </w:footnote>
  <w:footnote w:type="continuationSeparator" w:id="0">
    <w:p w14:paraId="6544ADDE" w14:textId="77777777" w:rsidR="0086789A" w:rsidRDefault="0086789A">
      <w:r>
        <w:continuationSeparator/>
      </w:r>
    </w:p>
  </w:footnote>
  <w:footnote w:type="continuationNotice" w:id="1">
    <w:p w14:paraId="1F9CC9B1" w14:textId="77777777" w:rsidR="0086789A" w:rsidRDefault="0086789A">
      <w:pPr>
        <w:spacing w:before="0" w:after="0"/>
      </w:pPr>
    </w:p>
  </w:footnote>
  <w:footnote w:id="2">
    <w:p w14:paraId="7D820DA1" w14:textId="77777777" w:rsidR="00916A4F" w:rsidRDefault="00916A4F" w:rsidP="005C4B1C">
      <w:pPr>
        <w:pStyle w:val="FootnoteText"/>
      </w:pPr>
      <w:r>
        <w:rPr>
          <w:rStyle w:val="FootnoteReference"/>
        </w:rPr>
        <w:footnoteRef/>
      </w:r>
      <w:r>
        <w:t xml:space="preserve"> </w:t>
      </w:r>
      <w:r w:rsidRPr="00A90BBA">
        <w:rPr>
          <w:i/>
        </w:rPr>
        <w:t>Daniels v Anderson</w:t>
      </w:r>
      <w:r>
        <w:t xml:space="preserve"> </w:t>
      </w:r>
      <w:r w:rsidRPr="00A90BBA">
        <w:t>(1995) 37 NSWLR 438 at 525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288B" w14:textId="77777777" w:rsidR="00916A4F" w:rsidRDefault="00916A4F" w:rsidP="000573B9">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BD26" w14:textId="77777777" w:rsidR="00916A4F" w:rsidRPr="00EB37E9" w:rsidRDefault="00916A4F" w:rsidP="00EB37E9">
    <w:pPr>
      <w:pStyle w:val="Header"/>
      <w:pBdr>
        <w:bottom w:val="single" w:sz="4" w:space="1" w:color="auto"/>
      </w:pBdr>
    </w:pPr>
    <w:r w:rsidRPr="00EB37E9">
      <w:rPr>
        <w:i/>
        <w:sz w:val="20"/>
      </w:rPr>
      <w:t>Private Health Insurance (Prudential Supervision) Bill 2015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D35E" w14:textId="77777777" w:rsidR="00916A4F" w:rsidRDefault="00916A4F" w:rsidP="00D86E5E">
    <w:pPr>
      <w:pStyle w:val="rightheader"/>
    </w:pPr>
    <w:r>
      <w:t>General introduction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4143" w14:textId="77777777" w:rsidR="00916A4F" w:rsidRDefault="00916A4F" w:rsidP="00D86E5E">
    <w:pPr>
      <w:pStyle w:val="leftheader"/>
    </w:pPr>
    <w:r>
      <w:t>Private Health Insurance (Prudential Supervision) Bill 2015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0A97" w14:textId="77777777" w:rsidR="00916A4F" w:rsidRDefault="00916A4F" w:rsidP="00D86E5E">
    <w:pPr>
      <w:pStyle w:val="rightheader"/>
    </w:pPr>
    <w:r>
      <w:t>Introduction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C474" w14:textId="77777777" w:rsidR="00916A4F" w:rsidRDefault="00916A4F" w:rsidP="00D86E5E">
    <w:pPr>
      <w:pStyle w:val="leftheader"/>
    </w:pPr>
    <w:r>
      <w:t>Private Health Insurance (Prudential Supervision) Bill 2015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F27B" w14:textId="77777777" w:rsidR="00916A4F" w:rsidRDefault="00916A4F" w:rsidP="00D86E5E">
    <w:pPr>
      <w:pStyle w:val="rightheader"/>
    </w:pPr>
    <w:r>
      <w:t>Registration of private health insurers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6A709" w14:textId="77777777" w:rsidR="00916A4F" w:rsidRDefault="00916A4F" w:rsidP="001A57F7">
    <w:pPr>
      <w:pStyle w:val="leftheader"/>
    </w:pPr>
    <w:r>
      <w:t>Private Health Insurance (Prudential Supervision) Bill 2015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BF93" w14:textId="77777777" w:rsidR="00916A4F" w:rsidRDefault="00916A4F" w:rsidP="00D86E5E">
    <w:pPr>
      <w:pStyle w:val="rightheader"/>
    </w:pPr>
    <w:r>
      <w:t>Health benefits funds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D1DB" w14:textId="77777777" w:rsidR="00916A4F" w:rsidRDefault="00916A4F" w:rsidP="00D86E5E">
    <w:pPr>
      <w:pStyle w:val="leftheader"/>
    </w:pPr>
    <w:r>
      <w:t>Private Health Insurance (Prudential Supervision) Bill 2015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9B42" w14:textId="77777777" w:rsidR="00916A4F" w:rsidRDefault="00916A4F" w:rsidP="00D86E5E">
    <w:pPr>
      <w:pStyle w:val="rightheader"/>
    </w:pPr>
    <w:r>
      <w:t>Prudential standards and directions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52E9" w14:textId="77777777" w:rsidR="00916A4F" w:rsidRDefault="00916A4F" w:rsidP="000573B9">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450F" w14:textId="77777777" w:rsidR="00916A4F" w:rsidRDefault="00916A4F" w:rsidP="00D86E5E">
    <w:pPr>
      <w:pStyle w:val="leftheader"/>
    </w:pPr>
    <w:r>
      <w:t>Private Health Insurance (Prudential Supervision) Bill 2015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10947" w14:textId="77777777" w:rsidR="00916A4F" w:rsidRDefault="00916A4F" w:rsidP="00D86E5E">
    <w:pPr>
      <w:pStyle w:val="rightheader"/>
    </w:pPr>
    <w:r>
      <w:t>Other obligations of private health insurers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DA80" w14:textId="77777777" w:rsidR="00916A4F" w:rsidRDefault="00916A4F" w:rsidP="00D86E5E">
    <w:pPr>
      <w:pStyle w:val="leftheader"/>
    </w:pPr>
    <w:r>
      <w:t>Private Health Insurance (Prudential Supervision) Bill 2015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5401" w14:textId="77777777" w:rsidR="00916A4F" w:rsidRDefault="00916A4F" w:rsidP="00212AAD">
    <w:pPr>
      <w:pStyle w:val="rightheader"/>
    </w:pPr>
    <w:r>
      <w:t>Monitoring and investigation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8F4A0" w14:textId="77777777" w:rsidR="00916A4F" w:rsidRPr="00667BA1" w:rsidRDefault="00916A4F" w:rsidP="00667BA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156A" w14:textId="77777777" w:rsidR="00916A4F" w:rsidRDefault="00916A4F" w:rsidP="006017AC">
    <w:pPr>
      <w:pStyle w:val="leftheader"/>
    </w:pPr>
    <w:r>
      <w:t>Private Health Insurance (Prudential Supervision) Bill 2015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64604" w14:textId="77777777" w:rsidR="00916A4F" w:rsidRDefault="00916A4F" w:rsidP="006017AC">
    <w:pPr>
      <w:pStyle w:val="rightheader"/>
    </w:pPr>
    <w:r>
      <w:t>Remedies in the Federal Court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701F" w14:textId="77777777" w:rsidR="00916A4F" w:rsidRDefault="00916A4F" w:rsidP="003855E5">
    <w:pPr>
      <w:pStyle w:val="leftheader"/>
    </w:pPr>
    <w:r>
      <w:t>Private Health Insurance (Prudential Supervision) Bill 2015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BEA0" w14:textId="77777777" w:rsidR="00916A4F" w:rsidRDefault="00916A4F" w:rsidP="000573B9">
    <w:pPr>
      <w:pStyle w:val="rightheader"/>
    </w:pPr>
    <w:r>
      <w:t>Miscellaneous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FD1D6" w14:textId="77777777" w:rsidR="00916A4F" w:rsidRDefault="00916A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C214" w14:textId="77777777" w:rsidR="00916A4F" w:rsidRDefault="00916A4F" w:rsidP="00D86E5E">
    <w:pPr>
      <w:pStyle w:val="leftheader"/>
    </w:pPr>
    <w:r>
      <w:t>Private Health Insurance (Prudential Supervision) Bill 2015</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51677" w14:textId="77777777" w:rsidR="00916A4F" w:rsidRDefault="00916A4F" w:rsidP="00446279">
    <w:pPr>
      <w:pStyle w:val="leftheader"/>
    </w:pPr>
    <w:r>
      <w:t>Private Health Insurance (Prudential Supervision) (Consequential Amendments and Transitional Provision) Bill 2015</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AF0F" w14:textId="77777777" w:rsidR="00916A4F" w:rsidRDefault="00916A4F" w:rsidP="00446279">
    <w:pPr>
      <w:pStyle w:val="rightheader"/>
    </w:pPr>
    <w:r>
      <w:t>Consequential Amendments and Transitional Provisions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CB48" w14:textId="77777777" w:rsidR="00916A4F" w:rsidRDefault="00916A4F" w:rsidP="00446279">
    <w:pPr>
      <w:pStyle w:val="leftheader"/>
    </w:pPr>
    <w:r>
      <w:t>Private Health Insurance Supervisory Levy Imposition Bill 2015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4388E" w14:textId="77777777" w:rsidR="00916A4F" w:rsidRDefault="00916A4F" w:rsidP="00446279">
    <w:pPr>
      <w:pStyle w:val="rightheader"/>
    </w:pPr>
    <w:r w:rsidRPr="001B3112">
      <w:t xml:space="preserve">Private Health Insurance </w:t>
    </w:r>
    <w:r>
      <w:t>Supervisory Levy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81C3" w14:textId="77777777" w:rsidR="00916A4F" w:rsidRDefault="00916A4F" w:rsidP="00446279">
    <w:pPr>
      <w:pStyle w:val="leftheader"/>
    </w:pPr>
    <w:r>
      <w:t>Private Health Insurance (Risk Equalisation Levy) Amendment Bill 2015</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3451" w14:textId="77777777" w:rsidR="00916A4F" w:rsidRDefault="00916A4F" w:rsidP="00446279">
    <w:pPr>
      <w:pStyle w:val="rightheader"/>
    </w:pPr>
    <w:r w:rsidRPr="00D44BA5">
      <w:t xml:space="preserve">Private Health Insurance </w:t>
    </w:r>
    <w:r>
      <w:t>Risk Equalisation Levy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A7B1" w14:textId="77777777" w:rsidR="00916A4F" w:rsidRPr="001B3112" w:rsidRDefault="00916A4F" w:rsidP="001B3112">
    <w:pPr>
      <w:pStyle w:val="Header"/>
      <w:pBdr>
        <w:bottom w:val="single" w:sz="4" w:space="1" w:color="auto"/>
      </w:pBdr>
    </w:pPr>
    <w:r w:rsidRPr="001B3112">
      <w:rPr>
        <w:i/>
        <w:sz w:val="20"/>
      </w:rPr>
      <w:t>Private Health Insurance (Collapsed Insurer Levy) Amendment Bill 2015</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0E3D9" w14:textId="77777777" w:rsidR="00916A4F" w:rsidRPr="0056170F" w:rsidRDefault="00916A4F" w:rsidP="0056170F">
    <w:pPr>
      <w:pStyle w:val="Header"/>
      <w:pBdr>
        <w:bottom w:val="single" w:sz="4" w:space="1" w:color="auto"/>
      </w:pBdr>
      <w:jc w:val="right"/>
    </w:pPr>
    <w:r w:rsidRPr="0056170F">
      <w:rPr>
        <w:i/>
        <w:sz w:val="20"/>
      </w:rPr>
      <w:t>Private Health Insurance Collapsed Insurer Levy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E2B1" w14:textId="77777777" w:rsidR="00916A4F" w:rsidRPr="001B3112" w:rsidRDefault="00916A4F" w:rsidP="001B3112">
    <w:pPr>
      <w:pStyle w:val="Header"/>
      <w:pBdr>
        <w:bottom w:val="single" w:sz="4" w:space="1" w:color="auto"/>
      </w:pBdr>
    </w:pPr>
    <w:r w:rsidRPr="001B3112">
      <w:rPr>
        <w:i/>
        <w:sz w:val="20"/>
      </w:rPr>
      <w:t>Private Health Insurance (Pru</w:t>
    </w:r>
    <w:r>
      <w:rPr>
        <w:i/>
        <w:sz w:val="20"/>
      </w:rPr>
      <w:t>dential Supervision) Bill 2015 and supporting Bills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E703" w14:textId="3A154599" w:rsidR="00916A4F" w:rsidRPr="00EF7753" w:rsidRDefault="00916A4F" w:rsidP="00EF7753">
    <w:pPr>
      <w:pStyle w:val="Header"/>
      <w:pBdr>
        <w:bottom w:val="single" w:sz="4" w:space="1" w:color="auto"/>
      </w:pBdr>
      <w:jc w:val="right"/>
    </w:pPr>
    <w:r w:rsidRPr="00EF7753">
      <w:rPr>
        <w:i/>
        <w:sz w:val="20"/>
      </w:rPr>
      <w:t>Statement of Compatibility with Human Rights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3E7B" w14:textId="77777777" w:rsidR="00916A4F" w:rsidRDefault="00916A4F" w:rsidP="00D86E5E">
    <w:pPr>
      <w:pStyle w:val="rightheader"/>
    </w:pPr>
    <w:r>
      <w:fldChar w:fldCharType="begin"/>
    </w:r>
    <w:r>
      <w:instrText xml:space="preserve"> macrobutton nomacro [Click here and enter the name of the Chapter </w:instrText>
    </w:r>
    <w: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33A9" w14:textId="77777777" w:rsidR="00916A4F" w:rsidRPr="001B3112" w:rsidRDefault="00916A4F" w:rsidP="001B3112">
    <w:pPr>
      <w:pStyle w:val="Header"/>
      <w:pBdr>
        <w:bottom w:val="single" w:sz="4" w:space="1" w:color="auto"/>
      </w:pBdr>
      <w:jc w:val="right"/>
    </w:pPr>
    <w:r>
      <w:rPr>
        <w:i/>
        <w:sz w:val="20"/>
      </w:rPr>
      <w:t>Index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8E13" w14:textId="77777777" w:rsidR="00916A4F" w:rsidRPr="00667BA1" w:rsidRDefault="00916A4F" w:rsidP="00667B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399B6" w14:textId="77777777" w:rsidR="00916A4F" w:rsidRPr="00B70F49" w:rsidRDefault="00916A4F" w:rsidP="00EB37E9">
    <w:pPr>
      <w:pStyle w:val="Header"/>
      <w:pBdr>
        <w:bottom w:val="single" w:sz="4" w:space="1" w:color="auto"/>
      </w:pBdr>
    </w:pPr>
    <w:r w:rsidRPr="00B70F49">
      <w:rPr>
        <w:i/>
        <w:sz w:val="20"/>
      </w:rPr>
      <w:t>Private Health Insurance (Prudential Supervision) Bill 2015</w:t>
    </w:r>
    <w:r>
      <w:rPr>
        <w:i/>
        <w:sz w:val="20"/>
      </w:rPr>
      <w:t xml:space="preserve"> and supporting Bills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1EB88" w14:textId="77777777" w:rsidR="00916A4F" w:rsidRDefault="00916A4F" w:rsidP="00D86E5E">
    <w:pPr>
      <w:pStyle w:val="rightheader"/>
    </w:pPr>
    <w:r>
      <w:t>General 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3407F" w14:textId="77777777" w:rsidR="00916A4F" w:rsidRPr="00EB37E9" w:rsidRDefault="00916A4F" w:rsidP="00EB37E9">
    <w:pPr>
      <w:pStyle w:val="Header"/>
      <w:pBdr>
        <w:bottom w:val="single" w:sz="4" w:space="1" w:color="auto"/>
      </w:pBdr>
    </w:pPr>
    <w:r w:rsidRPr="00EB37E9">
      <w:rPr>
        <w:i/>
        <w:sz w:val="20"/>
      </w:rPr>
      <w:t>Private Health Insurance (Prudential Supervision) Bill 2015</w:t>
    </w:r>
    <w:r>
      <w:rPr>
        <w:i/>
        <w:sz w:val="20"/>
      </w:rPr>
      <w:t xml:space="preserve"> and supporting Bills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E5A30" w14:textId="77777777" w:rsidR="00916A4F" w:rsidRDefault="00916A4F" w:rsidP="00D86E5E">
    <w:pPr>
      <w:pStyle w:val="rightheader"/>
    </w:pPr>
    <w:r>
      <w:t>General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160FF"/>
    <w:multiLevelType w:val="hybridMultilevel"/>
    <w:tmpl w:val="E200AAA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22A70E2F"/>
    <w:multiLevelType w:val="multilevel"/>
    <w:tmpl w:val="C0EEF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94500BD"/>
    <w:multiLevelType w:val="multilevel"/>
    <w:tmpl w:val="3F30A72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8F3278B"/>
    <w:multiLevelType w:val="multilevel"/>
    <w:tmpl w:val="5D142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CC0741E"/>
    <w:multiLevelType w:val="multilevel"/>
    <w:tmpl w:val="EC562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BC7E8D"/>
    <w:multiLevelType w:val="singleLevel"/>
    <w:tmpl w:val="4CCEEF1A"/>
    <w:lvl w:ilvl="0">
      <w:start w:val="1"/>
      <w:numFmt w:val="decimal"/>
      <w:lvlText w:val="%1."/>
      <w:lvlJc w:val="left"/>
      <w:pPr>
        <w:tabs>
          <w:tab w:val="num" w:pos="1984"/>
        </w:tabs>
        <w:ind w:left="1140" w:firstLine="0"/>
      </w:pPr>
      <w:rPr>
        <w:b w:val="0"/>
        <w:i w:val="0"/>
        <w:color w:val="000000"/>
      </w:rPr>
    </w:lvl>
  </w:abstractNum>
  <w:abstractNum w:abstractNumId="26">
    <w:nsid w:val="64734A9F"/>
    <w:multiLevelType w:val="multilevel"/>
    <w:tmpl w:val="E8800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5DF6494"/>
    <w:multiLevelType w:val="multilevel"/>
    <w:tmpl w:val="A316FE50"/>
    <w:numStyleLink w:val="ChapterList"/>
  </w:abstractNum>
  <w:abstractNum w:abstractNumId="28">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62C3CDD"/>
    <w:multiLevelType w:val="multilevel"/>
    <w:tmpl w:val="A89ACEA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5040" w:hanging="360"/>
      </w:pPr>
    </w:lvl>
    <w:lvl w:ilvl="4">
      <w:start w:val="1"/>
      <w:numFmt w:val="lowerLetter"/>
      <w:lvlText w:val="(%5)"/>
      <w:lvlJc w:val="left"/>
      <w:pPr>
        <w:ind w:left="5400" w:hanging="360"/>
      </w:pPr>
    </w:lvl>
    <w:lvl w:ilvl="5">
      <w:start w:val="1"/>
      <w:numFmt w:val="lowerRoman"/>
      <w:lvlText w:val="(%6)"/>
      <w:lvlJc w:val="left"/>
      <w:pPr>
        <w:ind w:left="5760" w:hanging="360"/>
      </w:pPr>
    </w:lvl>
    <w:lvl w:ilvl="6">
      <w:start w:val="1"/>
      <w:numFmt w:val="decimal"/>
      <w:lvlText w:val="%7."/>
      <w:lvlJc w:val="left"/>
      <w:pPr>
        <w:ind w:left="6120" w:hanging="360"/>
      </w:pPr>
    </w:lvl>
    <w:lvl w:ilvl="7">
      <w:start w:val="1"/>
      <w:numFmt w:val="lowerLetter"/>
      <w:lvlText w:val="%8."/>
      <w:lvlJc w:val="left"/>
      <w:pPr>
        <w:ind w:left="6480" w:hanging="360"/>
      </w:pPr>
    </w:lvl>
    <w:lvl w:ilvl="8">
      <w:start w:val="1"/>
      <w:numFmt w:val="lowerRoman"/>
      <w:lvlText w:val="%9."/>
      <w:lvlJc w:val="left"/>
      <w:pPr>
        <w:ind w:left="6840" w:hanging="360"/>
      </w:pPr>
    </w:lvl>
  </w:abstractNum>
  <w:abstractNum w:abstractNumId="30">
    <w:nsid w:val="7C61559C"/>
    <w:multiLevelType w:val="multilevel"/>
    <w:tmpl w:val="2DBE4864"/>
    <w:lvl w:ilvl="0">
      <w:start w:val="1"/>
      <w:numFmt w:val="decimal"/>
      <w:lvlText w:val="Chapter %1"/>
      <w:lvlJc w:val="left"/>
      <w:pPr>
        <w:tabs>
          <w:tab w:val="num" w:pos="1134"/>
        </w:tabs>
        <w:ind w:left="0" w:firstLine="0"/>
      </w:pPr>
    </w:lvl>
    <w:lvl w:ilvl="1">
      <w:start w:val="1"/>
      <w:numFmt w:val="bullet"/>
      <w:lvlText w:val=""/>
      <w:lvlJc w:val="left"/>
      <w:pPr>
        <w:tabs>
          <w:tab w:val="num" w:pos="1985"/>
        </w:tabs>
        <w:ind w:left="1134" w:firstLine="0"/>
      </w:pPr>
      <w:rPr>
        <w:rFonts w:ascii="Symbol" w:hAnsi="Symbol" w:hint="default"/>
      </w:r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8"/>
  </w:num>
  <w:num w:numId="13">
    <w:abstractNumId w:val="31"/>
  </w:num>
  <w:num w:numId="14">
    <w:abstractNumId w:val="18"/>
  </w:num>
  <w:num w:numId="15">
    <w:abstractNumId w:val="21"/>
  </w:num>
  <w:num w:numId="16">
    <w:abstractNumId w:val="24"/>
  </w:num>
  <w:num w:numId="17">
    <w:abstractNumId w:val="11"/>
  </w:num>
  <w:num w:numId="18">
    <w:abstractNumId w:val="13"/>
  </w:num>
  <w:num w:numId="1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9"/>
  </w:num>
  <w:num w:numId="23">
    <w:abstractNumId w:val="17"/>
  </w:num>
  <w:num w:numId="2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27"/>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startOverride w:val="1"/>
    </w:lvlOverride>
  </w:num>
  <w:num w:numId="36">
    <w:abstractNumId w:val="10"/>
  </w:num>
  <w:num w:numId="3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0"/>
  </w:num>
  <w:num w:numId="39">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29"/>
  </w:num>
  <w:num w:numId="41">
    <w:abstractNumId w:val="29"/>
  </w:num>
  <w:num w:numId="4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702"/>
          </w:tabs>
          <w:ind w:left="851"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21"/>
  </w:num>
  <w:num w:numId="64">
    <w:abstractNumId w:val="21"/>
  </w:num>
  <w:num w:numId="6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21"/>
  </w:num>
  <w:num w:numId="6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19"/>
  </w:num>
  <w:num w:numId="6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6">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8">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4">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978"/>
          </w:tabs>
          <w:ind w:left="212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1">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6097"/>
          </w:tabs>
          <w:ind w:left="5246"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5671"/>
          </w:tabs>
          <w:ind w:left="482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5">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6">
    <w:abstractNumId w:val="27"/>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7">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5E"/>
    <w:rsid w:val="00000600"/>
    <w:rsid w:val="00000D07"/>
    <w:rsid w:val="0000171D"/>
    <w:rsid w:val="00001B9D"/>
    <w:rsid w:val="00002205"/>
    <w:rsid w:val="00003616"/>
    <w:rsid w:val="000039E0"/>
    <w:rsid w:val="00003CD4"/>
    <w:rsid w:val="000042BB"/>
    <w:rsid w:val="00004EC9"/>
    <w:rsid w:val="000058D0"/>
    <w:rsid w:val="00005D2A"/>
    <w:rsid w:val="000060DA"/>
    <w:rsid w:val="00006875"/>
    <w:rsid w:val="00006BC1"/>
    <w:rsid w:val="00006DD7"/>
    <w:rsid w:val="00007607"/>
    <w:rsid w:val="00007FB4"/>
    <w:rsid w:val="00007FD7"/>
    <w:rsid w:val="00010361"/>
    <w:rsid w:val="00010772"/>
    <w:rsid w:val="00011836"/>
    <w:rsid w:val="00012989"/>
    <w:rsid w:val="00012A40"/>
    <w:rsid w:val="00012DB4"/>
    <w:rsid w:val="00012F66"/>
    <w:rsid w:val="00013BFE"/>
    <w:rsid w:val="00014641"/>
    <w:rsid w:val="00014D99"/>
    <w:rsid w:val="0001547C"/>
    <w:rsid w:val="000159D5"/>
    <w:rsid w:val="00015FF3"/>
    <w:rsid w:val="0001615D"/>
    <w:rsid w:val="0001627B"/>
    <w:rsid w:val="000162B5"/>
    <w:rsid w:val="000173C1"/>
    <w:rsid w:val="00017521"/>
    <w:rsid w:val="0001757E"/>
    <w:rsid w:val="00017E64"/>
    <w:rsid w:val="00017E65"/>
    <w:rsid w:val="00017E99"/>
    <w:rsid w:val="00017FFA"/>
    <w:rsid w:val="00021353"/>
    <w:rsid w:val="000215A0"/>
    <w:rsid w:val="000224B2"/>
    <w:rsid w:val="00022895"/>
    <w:rsid w:val="00022E72"/>
    <w:rsid w:val="00023410"/>
    <w:rsid w:val="00023911"/>
    <w:rsid w:val="00023A64"/>
    <w:rsid w:val="00024205"/>
    <w:rsid w:val="00024E05"/>
    <w:rsid w:val="00026331"/>
    <w:rsid w:val="00026C34"/>
    <w:rsid w:val="00027C76"/>
    <w:rsid w:val="00030256"/>
    <w:rsid w:val="000302A4"/>
    <w:rsid w:val="0003067A"/>
    <w:rsid w:val="00030FFA"/>
    <w:rsid w:val="00031A01"/>
    <w:rsid w:val="00031DD7"/>
    <w:rsid w:val="00031F58"/>
    <w:rsid w:val="000323F6"/>
    <w:rsid w:val="000327A2"/>
    <w:rsid w:val="000329FD"/>
    <w:rsid w:val="00032AA9"/>
    <w:rsid w:val="0003305A"/>
    <w:rsid w:val="00033990"/>
    <w:rsid w:val="00034BE8"/>
    <w:rsid w:val="00034D61"/>
    <w:rsid w:val="000369F7"/>
    <w:rsid w:val="00037B9B"/>
    <w:rsid w:val="00037F1E"/>
    <w:rsid w:val="000416C0"/>
    <w:rsid w:val="00041AE4"/>
    <w:rsid w:val="0004270A"/>
    <w:rsid w:val="0004281C"/>
    <w:rsid w:val="00042A22"/>
    <w:rsid w:val="00042AF6"/>
    <w:rsid w:val="000432E7"/>
    <w:rsid w:val="00044403"/>
    <w:rsid w:val="0004453A"/>
    <w:rsid w:val="00044675"/>
    <w:rsid w:val="00044988"/>
    <w:rsid w:val="00046423"/>
    <w:rsid w:val="00046B67"/>
    <w:rsid w:val="00050170"/>
    <w:rsid w:val="00050A57"/>
    <w:rsid w:val="00050E98"/>
    <w:rsid w:val="00051C19"/>
    <w:rsid w:val="00051DD6"/>
    <w:rsid w:val="00051FEA"/>
    <w:rsid w:val="0005278C"/>
    <w:rsid w:val="00052DC8"/>
    <w:rsid w:val="00052F6B"/>
    <w:rsid w:val="000538F5"/>
    <w:rsid w:val="00053F06"/>
    <w:rsid w:val="00053F9C"/>
    <w:rsid w:val="00055C49"/>
    <w:rsid w:val="0005600E"/>
    <w:rsid w:val="00056136"/>
    <w:rsid w:val="00056BDD"/>
    <w:rsid w:val="00056CA0"/>
    <w:rsid w:val="000573B9"/>
    <w:rsid w:val="00057466"/>
    <w:rsid w:val="00057B84"/>
    <w:rsid w:val="00057BBB"/>
    <w:rsid w:val="00057E91"/>
    <w:rsid w:val="00057FA6"/>
    <w:rsid w:val="0006005E"/>
    <w:rsid w:val="0006042D"/>
    <w:rsid w:val="000611F1"/>
    <w:rsid w:val="00061B4B"/>
    <w:rsid w:val="0006208B"/>
    <w:rsid w:val="00064BD0"/>
    <w:rsid w:val="00064D62"/>
    <w:rsid w:val="00065915"/>
    <w:rsid w:val="00065EA9"/>
    <w:rsid w:val="00066ABC"/>
    <w:rsid w:val="00067E1D"/>
    <w:rsid w:val="000705A5"/>
    <w:rsid w:val="00070AAC"/>
    <w:rsid w:val="00070AFE"/>
    <w:rsid w:val="00070B35"/>
    <w:rsid w:val="000711A1"/>
    <w:rsid w:val="000713F1"/>
    <w:rsid w:val="00071FC8"/>
    <w:rsid w:val="000725C0"/>
    <w:rsid w:val="00072621"/>
    <w:rsid w:val="00072AE2"/>
    <w:rsid w:val="00073075"/>
    <w:rsid w:val="00073423"/>
    <w:rsid w:val="00073868"/>
    <w:rsid w:val="00074366"/>
    <w:rsid w:val="00074D5E"/>
    <w:rsid w:val="00075250"/>
    <w:rsid w:val="00076543"/>
    <w:rsid w:val="00076CA1"/>
    <w:rsid w:val="0007711C"/>
    <w:rsid w:val="0007778E"/>
    <w:rsid w:val="00080343"/>
    <w:rsid w:val="0008062B"/>
    <w:rsid w:val="00081293"/>
    <w:rsid w:val="000828D2"/>
    <w:rsid w:val="000829E7"/>
    <w:rsid w:val="00082B3D"/>
    <w:rsid w:val="000835C7"/>
    <w:rsid w:val="00084637"/>
    <w:rsid w:val="0008480C"/>
    <w:rsid w:val="00084867"/>
    <w:rsid w:val="00085C5D"/>
    <w:rsid w:val="00087174"/>
    <w:rsid w:val="0009055D"/>
    <w:rsid w:val="0009059E"/>
    <w:rsid w:val="00092F66"/>
    <w:rsid w:val="0009412A"/>
    <w:rsid w:val="0009445B"/>
    <w:rsid w:val="00094977"/>
    <w:rsid w:val="00094984"/>
    <w:rsid w:val="00095308"/>
    <w:rsid w:val="000960B7"/>
    <w:rsid w:val="00096743"/>
    <w:rsid w:val="000968C5"/>
    <w:rsid w:val="000968EC"/>
    <w:rsid w:val="00097567"/>
    <w:rsid w:val="000A055A"/>
    <w:rsid w:val="000A0708"/>
    <w:rsid w:val="000A0AFD"/>
    <w:rsid w:val="000A0DB5"/>
    <w:rsid w:val="000A1ECD"/>
    <w:rsid w:val="000A2094"/>
    <w:rsid w:val="000A28D0"/>
    <w:rsid w:val="000A2C0C"/>
    <w:rsid w:val="000A341E"/>
    <w:rsid w:val="000A3792"/>
    <w:rsid w:val="000A38B8"/>
    <w:rsid w:val="000A5B26"/>
    <w:rsid w:val="000A5F85"/>
    <w:rsid w:val="000A62BB"/>
    <w:rsid w:val="000A647F"/>
    <w:rsid w:val="000A692D"/>
    <w:rsid w:val="000A6DBE"/>
    <w:rsid w:val="000A7B03"/>
    <w:rsid w:val="000B01C8"/>
    <w:rsid w:val="000B06E5"/>
    <w:rsid w:val="000B0DB1"/>
    <w:rsid w:val="000B1B5D"/>
    <w:rsid w:val="000B1F8B"/>
    <w:rsid w:val="000B3973"/>
    <w:rsid w:val="000B3A51"/>
    <w:rsid w:val="000B4C15"/>
    <w:rsid w:val="000B530C"/>
    <w:rsid w:val="000B5B26"/>
    <w:rsid w:val="000B5C42"/>
    <w:rsid w:val="000B5DF1"/>
    <w:rsid w:val="000B69FE"/>
    <w:rsid w:val="000B7791"/>
    <w:rsid w:val="000B7CC9"/>
    <w:rsid w:val="000B7FBA"/>
    <w:rsid w:val="000C06D9"/>
    <w:rsid w:val="000C0A3A"/>
    <w:rsid w:val="000C0E8C"/>
    <w:rsid w:val="000C179C"/>
    <w:rsid w:val="000C274F"/>
    <w:rsid w:val="000C35C0"/>
    <w:rsid w:val="000C36A5"/>
    <w:rsid w:val="000C410C"/>
    <w:rsid w:val="000C41D1"/>
    <w:rsid w:val="000C4B9F"/>
    <w:rsid w:val="000C4C66"/>
    <w:rsid w:val="000C4DBC"/>
    <w:rsid w:val="000C50BD"/>
    <w:rsid w:val="000C5532"/>
    <w:rsid w:val="000C55F9"/>
    <w:rsid w:val="000C580E"/>
    <w:rsid w:val="000C5C55"/>
    <w:rsid w:val="000C60BA"/>
    <w:rsid w:val="000C681E"/>
    <w:rsid w:val="000C7280"/>
    <w:rsid w:val="000C7931"/>
    <w:rsid w:val="000C79E9"/>
    <w:rsid w:val="000D0349"/>
    <w:rsid w:val="000D096E"/>
    <w:rsid w:val="000D1149"/>
    <w:rsid w:val="000D133C"/>
    <w:rsid w:val="000D1576"/>
    <w:rsid w:val="000D17C5"/>
    <w:rsid w:val="000D242C"/>
    <w:rsid w:val="000D372D"/>
    <w:rsid w:val="000D4213"/>
    <w:rsid w:val="000D44D3"/>
    <w:rsid w:val="000D5439"/>
    <w:rsid w:val="000D54A6"/>
    <w:rsid w:val="000D54F0"/>
    <w:rsid w:val="000D5E18"/>
    <w:rsid w:val="000D62C2"/>
    <w:rsid w:val="000D649E"/>
    <w:rsid w:val="000D6671"/>
    <w:rsid w:val="000D671B"/>
    <w:rsid w:val="000D6AAC"/>
    <w:rsid w:val="000D7CA1"/>
    <w:rsid w:val="000E085C"/>
    <w:rsid w:val="000E089D"/>
    <w:rsid w:val="000E1267"/>
    <w:rsid w:val="000E1717"/>
    <w:rsid w:val="000E192B"/>
    <w:rsid w:val="000E25FA"/>
    <w:rsid w:val="000E2BDC"/>
    <w:rsid w:val="000E304C"/>
    <w:rsid w:val="000E3FBB"/>
    <w:rsid w:val="000E4BAB"/>
    <w:rsid w:val="000E5616"/>
    <w:rsid w:val="000E5828"/>
    <w:rsid w:val="000E58C0"/>
    <w:rsid w:val="000E594C"/>
    <w:rsid w:val="000E5B9A"/>
    <w:rsid w:val="000E5EDB"/>
    <w:rsid w:val="000E6106"/>
    <w:rsid w:val="000E6181"/>
    <w:rsid w:val="000E63F2"/>
    <w:rsid w:val="000E7492"/>
    <w:rsid w:val="000E7A06"/>
    <w:rsid w:val="000E7DD0"/>
    <w:rsid w:val="000F03BC"/>
    <w:rsid w:val="000F03C8"/>
    <w:rsid w:val="000F050D"/>
    <w:rsid w:val="000F0A99"/>
    <w:rsid w:val="000F162E"/>
    <w:rsid w:val="000F194A"/>
    <w:rsid w:val="000F22CB"/>
    <w:rsid w:val="000F2E6B"/>
    <w:rsid w:val="000F33EA"/>
    <w:rsid w:val="000F360F"/>
    <w:rsid w:val="000F3CB1"/>
    <w:rsid w:val="000F6584"/>
    <w:rsid w:val="000F67D9"/>
    <w:rsid w:val="000F6873"/>
    <w:rsid w:val="000F772C"/>
    <w:rsid w:val="00101014"/>
    <w:rsid w:val="0010165D"/>
    <w:rsid w:val="00103199"/>
    <w:rsid w:val="0010401F"/>
    <w:rsid w:val="001042BC"/>
    <w:rsid w:val="00104D24"/>
    <w:rsid w:val="00104F46"/>
    <w:rsid w:val="00104F76"/>
    <w:rsid w:val="00105016"/>
    <w:rsid w:val="001052E3"/>
    <w:rsid w:val="00105762"/>
    <w:rsid w:val="001058F3"/>
    <w:rsid w:val="00105FC8"/>
    <w:rsid w:val="0010633D"/>
    <w:rsid w:val="00106985"/>
    <w:rsid w:val="001079F3"/>
    <w:rsid w:val="00107CC9"/>
    <w:rsid w:val="001114E6"/>
    <w:rsid w:val="00112351"/>
    <w:rsid w:val="001125EC"/>
    <w:rsid w:val="0011273C"/>
    <w:rsid w:val="00112939"/>
    <w:rsid w:val="00113DAA"/>
    <w:rsid w:val="00113E19"/>
    <w:rsid w:val="00114012"/>
    <w:rsid w:val="0011427D"/>
    <w:rsid w:val="0011442C"/>
    <w:rsid w:val="00114C43"/>
    <w:rsid w:val="00114E34"/>
    <w:rsid w:val="00115FBF"/>
    <w:rsid w:val="0011702F"/>
    <w:rsid w:val="00117257"/>
    <w:rsid w:val="00117AD3"/>
    <w:rsid w:val="001207DF"/>
    <w:rsid w:val="00120DF5"/>
    <w:rsid w:val="001212DE"/>
    <w:rsid w:val="0012187C"/>
    <w:rsid w:val="00121C5D"/>
    <w:rsid w:val="00121EB0"/>
    <w:rsid w:val="00122231"/>
    <w:rsid w:val="001235B8"/>
    <w:rsid w:val="00123D96"/>
    <w:rsid w:val="0012405D"/>
    <w:rsid w:val="00124E15"/>
    <w:rsid w:val="00124EFD"/>
    <w:rsid w:val="001259ED"/>
    <w:rsid w:val="001269BB"/>
    <w:rsid w:val="00126D5F"/>
    <w:rsid w:val="00127EE7"/>
    <w:rsid w:val="0013050D"/>
    <w:rsid w:val="0013197D"/>
    <w:rsid w:val="00131B86"/>
    <w:rsid w:val="00131E0C"/>
    <w:rsid w:val="00132413"/>
    <w:rsid w:val="00132B84"/>
    <w:rsid w:val="00132C7D"/>
    <w:rsid w:val="0013403B"/>
    <w:rsid w:val="00134057"/>
    <w:rsid w:val="00134335"/>
    <w:rsid w:val="001345D3"/>
    <w:rsid w:val="0013491E"/>
    <w:rsid w:val="00134A77"/>
    <w:rsid w:val="00135303"/>
    <w:rsid w:val="0013623A"/>
    <w:rsid w:val="00136B62"/>
    <w:rsid w:val="0013760D"/>
    <w:rsid w:val="001403BD"/>
    <w:rsid w:val="00140408"/>
    <w:rsid w:val="00140C89"/>
    <w:rsid w:val="0014197C"/>
    <w:rsid w:val="00141D19"/>
    <w:rsid w:val="00141D88"/>
    <w:rsid w:val="001427E1"/>
    <w:rsid w:val="001432B3"/>
    <w:rsid w:val="00143542"/>
    <w:rsid w:val="0014371B"/>
    <w:rsid w:val="00143B15"/>
    <w:rsid w:val="00143C2E"/>
    <w:rsid w:val="00144AFE"/>
    <w:rsid w:val="001457CE"/>
    <w:rsid w:val="00145E18"/>
    <w:rsid w:val="00146631"/>
    <w:rsid w:val="001468B6"/>
    <w:rsid w:val="00146E90"/>
    <w:rsid w:val="00147194"/>
    <w:rsid w:val="00147439"/>
    <w:rsid w:val="001476C4"/>
    <w:rsid w:val="00147843"/>
    <w:rsid w:val="00147C4D"/>
    <w:rsid w:val="00150289"/>
    <w:rsid w:val="0015070F"/>
    <w:rsid w:val="00151CD6"/>
    <w:rsid w:val="001535D1"/>
    <w:rsid w:val="00153868"/>
    <w:rsid w:val="00154300"/>
    <w:rsid w:val="00154748"/>
    <w:rsid w:val="00154AE2"/>
    <w:rsid w:val="00154B2B"/>
    <w:rsid w:val="00154E1F"/>
    <w:rsid w:val="00155BEF"/>
    <w:rsid w:val="00155CC3"/>
    <w:rsid w:val="001569FF"/>
    <w:rsid w:val="00157117"/>
    <w:rsid w:val="00157247"/>
    <w:rsid w:val="001573C9"/>
    <w:rsid w:val="0015780A"/>
    <w:rsid w:val="0016013C"/>
    <w:rsid w:val="00160414"/>
    <w:rsid w:val="001616A9"/>
    <w:rsid w:val="00162174"/>
    <w:rsid w:val="00162B0D"/>
    <w:rsid w:val="001630AA"/>
    <w:rsid w:val="00163E28"/>
    <w:rsid w:val="00164181"/>
    <w:rsid w:val="001645FA"/>
    <w:rsid w:val="00165429"/>
    <w:rsid w:val="001655C4"/>
    <w:rsid w:val="00165D61"/>
    <w:rsid w:val="001662CA"/>
    <w:rsid w:val="001676ED"/>
    <w:rsid w:val="001706B0"/>
    <w:rsid w:val="0017086F"/>
    <w:rsid w:val="00172485"/>
    <w:rsid w:val="001737BE"/>
    <w:rsid w:val="00173FD2"/>
    <w:rsid w:val="001746DF"/>
    <w:rsid w:val="00174998"/>
    <w:rsid w:val="00174A29"/>
    <w:rsid w:val="00174DC2"/>
    <w:rsid w:val="001757E2"/>
    <w:rsid w:val="001759FB"/>
    <w:rsid w:val="00175E1D"/>
    <w:rsid w:val="00176B88"/>
    <w:rsid w:val="00176C3C"/>
    <w:rsid w:val="001778D9"/>
    <w:rsid w:val="001801F8"/>
    <w:rsid w:val="001809BB"/>
    <w:rsid w:val="001809DD"/>
    <w:rsid w:val="00181001"/>
    <w:rsid w:val="00181060"/>
    <w:rsid w:val="001824FE"/>
    <w:rsid w:val="001825DD"/>
    <w:rsid w:val="00182A67"/>
    <w:rsid w:val="00183B10"/>
    <w:rsid w:val="00184DB9"/>
    <w:rsid w:val="00184FF6"/>
    <w:rsid w:val="00185555"/>
    <w:rsid w:val="00185DD5"/>
    <w:rsid w:val="00186207"/>
    <w:rsid w:val="0018693C"/>
    <w:rsid w:val="00187784"/>
    <w:rsid w:val="0018796B"/>
    <w:rsid w:val="00190870"/>
    <w:rsid w:val="00190A71"/>
    <w:rsid w:val="00190BE6"/>
    <w:rsid w:val="00192C61"/>
    <w:rsid w:val="00193069"/>
    <w:rsid w:val="00193AE9"/>
    <w:rsid w:val="0019498C"/>
    <w:rsid w:val="00194C60"/>
    <w:rsid w:val="00195E1F"/>
    <w:rsid w:val="00195F70"/>
    <w:rsid w:val="00196879"/>
    <w:rsid w:val="00197412"/>
    <w:rsid w:val="001975E7"/>
    <w:rsid w:val="00197611"/>
    <w:rsid w:val="001A076F"/>
    <w:rsid w:val="001A0E48"/>
    <w:rsid w:val="001A14DD"/>
    <w:rsid w:val="001A1975"/>
    <w:rsid w:val="001A1A04"/>
    <w:rsid w:val="001A277A"/>
    <w:rsid w:val="001A3068"/>
    <w:rsid w:val="001A3689"/>
    <w:rsid w:val="001A3CCC"/>
    <w:rsid w:val="001A52E3"/>
    <w:rsid w:val="001A562D"/>
    <w:rsid w:val="001A57F7"/>
    <w:rsid w:val="001A5BA2"/>
    <w:rsid w:val="001A5DD0"/>
    <w:rsid w:val="001A6322"/>
    <w:rsid w:val="001A690E"/>
    <w:rsid w:val="001A6FE7"/>
    <w:rsid w:val="001A733C"/>
    <w:rsid w:val="001A777C"/>
    <w:rsid w:val="001A7939"/>
    <w:rsid w:val="001A7A18"/>
    <w:rsid w:val="001B029E"/>
    <w:rsid w:val="001B0537"/>
    <w:rsid w:val="001B07BC"/>
    <w:rsid w:val="001B0944"/>
    <w:rsid w:val="001B0DB8"/>
    <w:rsid w:val="001B0EF6"/>
    <w:rsid w:val="001B1536"/>
    <w:rsid w:val="001B15F4"/>
    <w:rsid w:val="001B1D51"/>
    <w:rsid w:val="001B1E91"/>
    <w:rsid w:val="001B1E99"/>
    <w:rsid w:val="001B25BF"/>
    <w:rsid w:val="001B2AF3"/>
    <w:rsid w:val="001B302F"/>
    <w:rsid w:val="001B3112"/>
    <w:rsid w:val="001B3655"/>
    <w:rsid w:val="001B3D77"/>
    <w:rsid w:val="001B3F40"/>
    <w:rsid w:val="001B5105"/>
    <w:rsid w:val="001B5576"/>
    <w:rsid w:val="001B5D0A"/>
    <w:rsid w:val="001B5D69"/>
    <w:rsid w:val="001B71EB"/>
    <w:rsid w:val="001B7B00"/>
    <w:rsid w:val="001C1122"/>
    <w:rsid w:val="001C1A6F"/>
    <w:rsid w:val="001C1CEB"/>
    <w:rsid w:val="001C1E26"/>
    <w:rsid w:val="001C1E5C"/>
    <w:rsid w:val="001C1FAF"/>
    <w:rsid w:val="001C2C3F"/>
    <w:rsid w:val="001C42C5"/>
    <w:rsid w:val="001C4951"/>
    <w:rsid w:val="001C4E1D"/>
    <w:rsid w:val="001C5147"/>
    <w:rsid w:val="001C5503"/>
    <w:rsid w:val="001C6014"/>
    <w:rsid w:val="001C619E"/>
    <w:rsid w:val="001C6564"/>
    <w:rsid w:val="001C6E50"/>
    <w:rsid w:val="001C7E31"/>
    <w:rsid w:val="001D0A10"/>
    <w:rsid w:val="001D14D1"/>
    <w:rsid w:val="001D1CE7"/>
    <w:rsid w:val="001D29A0"/>
    <w:rsid w:val="001D2BC6"/>
    <w:rsid w:val="001D2F74"/>
    <w:rsid w:val="001D36F2"/>
    <w:rsid w:val="001D46C0"/>
    <w:rsid w:val="001D4B84"/>
    <w:rsid w:val="001D552B"/>
    <w:rsid w:val="001D5792"/>
    <w:rsid w:val="001D5AB4"/>
    <w:rsid w:val="001D783E"/>
    <w:rsid w:val="001E01B6"/>
    <w:rsid w:val="001E07E2"/>
    <w:rsid w:val="001E09A4"/>
    <w:rsid w:val="001E1690"/>
    <w:rsid w:val="001E22D0"/>
    <w:rsid w:val="001E4138"/>
    <w:rsid w:val="001E5056"/>
    <w:rsid w:val="001E5DF1"/>
    <w:rsid w:val="001E62B0"/>
    <w:rsid w:val="001E640F"/>
    <w:rsid w:val="001E6545"/>
    <w:rsid w:val="001E6774"/>
    <w:rsid w:val="001E7087"/>
    <w:rsid w:val="001E7530"/>
    <w:rsid w:val="001F0126"/>
    <w:rsid w:val="001F0A39"/>
    <w:rsid w:val="001F27D4"/>
    <w:rsid w:val="001F34BF"/>
    <w:rsid w:val="001F3D08"/>
    <w:rsid w:val="001F4002"/>
    <w:rsid w:val="001F41C8"/>
    <w:rsid w:val="001F464B"/>
    <w:rsid w:val="001F496B"/>
    <w:rsid w:val="001F4A0E"/>
    <w:rsid w:val="001F5079"/>
    <w:rsid w:val="001F548D"/>
    <w:rsid w:val="001F57D5"/>
    <w:rsid w:val="001F5E8C"/>
    <w:rsid w:val="001F5FB7"/>
    <w:rsid w:val="001F628F"/>
    <w:rsid w:val="001F7497"/>
    <w:rsid w:val="002009C2"/>
    <w:rsid w:val="00200E96"/>
    <w:rsid w:val="002013F8"/>
    <w:rsid w:val="00201B36"/>
    <w:rsid w:val="0020260C"/>
    <w:rsid w:val="00202678"/>
    <w:rsid w:val="00202F1C"/>
    <w:rsid w:val="002030EA"/>
    <w:rsid w:val="0020336F"/>
    <w:rsid w:val="002037D8"/>
    <w:rsid w:val="002043F0"/>
    <w:rsid w:val="00205292"/>
    <w:rsid w:val="00206912"/>
    <w:rsid w:val="002073BB"/>
    <w:rsid w:val="0020784B"/>
    <w:rsid w:val="00207AD4"/>
    <w:rsid w:val="002105AA"/>
    <w:rsid w:val="00210793"/>
    <w:rsid w:val="00210E29"/>
    <w:rsid w:val="00210ECA"/>
    <w:rsid w:val="00210F51"/>
    <w:rsid w:val="0021115A"/>
    <w:rsid w:val="00211D8E"/>
    <w:rsid w:val="00212007"/>
    <w:rsid w:val="00212258"/>
    <w:rsid w:val="00212AAD"/>
    <w:rsid w:val="00212CEB"/>
    <w:rsid w:val="00212E12"/>
    <w:rsid w:val="00213693"/>
    <w:rsid w:val="00214522"/>
    <w:rsid w:val="00214F55"/>
    <w:rsid w:val="00214FA8"/>
    <w:rsid w:val="0021515C"/>
    <w:rsid w:val="00215291"/>
    <w:rsid w:val="002153BA"/>
    <w:rsid w:val="00215620"/>
    <w:rsid w:val="00215CA5"/>
    <w:rsid w:val="00215E0A"/>
    <w:rsid w:val="0022000A"/>
    <w:rsid w:val="00220D6C"/>
    <w:rsid w:val="0022103A"/>
    <w:rsid w:val="0022160C"/>
    <w:rsid w:val="00221875"/>
    <w:rsid w:val="00221A35"/>
    <w:rsid w:val="00221EC0"/>
    <w:rsid w:val="00221F9C"/>
    <w:rsid w:val="00222692"/>
    <w:rsid w:val="00222719"/>
    <w:rsid w:val="00222912"/>
    <w:rsid w:val="00222D57"/>
    <w:rsid w:val="00222F12"/>
    <w:rsid w:val="00223B91"/>
    <w:rsid w:val="00224019"/>
    <w:rsid w:val="00225069"/>
    <w:rsid w:val="0022582E"/>
    <w:rsid w:val="00225F1B"/>
    <w:rsid w:val="00226BBF"/>
    <w:rsid w:val="00227AC7"/>
    <w:rsid w:val="00227F89"/>
    <w:rsid w:val="00230012"/>
    <w:rsid w:val="00230530"/>
    <w:rsid w:val="002314ED"/>
    <w:rsid w:val="00231CBA"/>
    <w:rsid w:val="00231E0D"/>
    <w:rsid w:val="00232F73"/>
    <w:rsid w:val="00233B4A"/>
    <w:rsid w:val="00234629"/>
    <w:rsid w:val="0023493D"/>
    <w:rsid w:val="002349A5"/>
    <w:rsid w:val="0023630F"/>
    <w:rsid w:val="0023680B"/>
    <w:rsid w:val="00236A1C"/>
    <w:rsid w:val="00236AF9"/>
    <w:rsid w:val="00237638"/>
    <w:rsid w:val="00237BBC"/>
    <w:rsid w:val="00240152"/>
    <w:rsid w:val="00240A51"/>
    <w:rsid w:val="00241024"/>
    <w:rsid w:val="00243157"/>
    <w:rsid w:val="002449F2"/>
    <w:rsid w:val="00244B41"/>
    <w:rsid w:val="0024563A"/>
    <w:rsid w:val="00246180"/>
    <w:rsid w:val="002461C2"/>
    <w:rsid w:val="00246DE8"/>
    <w:rsid w:val="00247306"/>
    <w:rsid w:val="0024757F"/>
    <w:rsid w:val="00247713"/>
    <w:rsid w:val="00250154"/>
    <w:rsid w:val="00250297"/>
    <w:rsid w:val="002508BE"/>
    <w:rsid w:val="00250E67"/>
    <w:rsid w:val="00251491"/>
    <w:rsid w:val="00251574"/>
    <w:rsid w:val="002516BF"/>
    <w:rsid w:val="00251CBA"/>
    <w:rsid w:val="00252342"/>
    <w:rsid w:val="00252955"/>
    <w:rsid w:val="002537F3"/>
    <w:rsid w:val="00253844"/>
    <w:rsid w:val="00254427"/>
    <w:rsid w:val="00255441"/>
    <w:rsid w:val="002555FA"/>
    <w:rsid w:val="002563A8"/>
    <w:rsid w:val="00256494"/>
    <w:rsid w:val="00260064"/>
    <w:rsid w:val="00260D75"/>
    <w:rsid w:val="00261F86"/>
    <w:rsid w:val="002623EF"/>
    <w:rsid w:val="00262FA5"/>
    <w:rsid w:val="00264249"/>
    <w:rsid w:val="00264FD3"/>
    <w:rsid w:val="00265292"/>
    <w:rsid w:val="00265531"/>
    <w:rsid w:val="00265C9B"/>
    <w:rsid w:val="00265D3B"/>
    <w:rsid w:val="00265ED8"/>
    <w:rsid w:val="00266048"/>
    <w:rsid w:val="0026633F"/>
    <w:rsid w:val="00266CD1"/>
    <w:rsid w:val="00267C54"/>
    <w:rsid w:val="00267CB5"/>
    <w:rsid w:val="00267EBD"/>
    <w:rsid w:val="00270D84"/>
    <w:rsid w:val="00271204"/>
    <w:rsid w:val="00272877"/>
    <w:rsid w:val="00272FD3"/>
    <w:rsid w:val="0027333F"/>
    <w:rsid w:val="00275A1C"/>
    <w:rsid w:val="00276616"/>
    <w:rsid w:val="00276636"/>
    <w:rsid w:val="00276911"/>
    <w:rsid w:val="00276DDF"/>
    <w:rsid w:val="002773B0"/>
    <w:rsid w:val="00283CC9"/>
    <w:rsid w:val="0028511C"/>
    <w:rsid w:val="002857E2"/>
    <w:rsid w:val="00285C96"/>
    <w:rsid w:val="00286756"/>
    <w:rsid w:val="002877D5"/>
    <w:rsid w:val="00290642"/>
    <w:rsid w:val="002926EC"/>
    <w:rsid w:val="00292BD6"/>
    <w:rsid w:val="00292BE4"/>
    <w:rsid w:val="00293C49"/>
    <w:rsid w:val="00294301"/>
    <w:rsid w:val="00294341"/>
    <w:rsid w:val="0029670E"/>
    <w:rsid w:val="002969A6"/>
    <w:rsid w:val="002A0F2D"/>
    <w:rsid w:val="002A1F0F"/>
    <w:rsid w:val="002A1F5C"/>
    <w:rsid w:val="002A3950"/>
    <w:rsid w:val="002A3D3D"/>
    <w:rsid w:val="002A4029"/>
    <w:rsid w:val="002A4F1C"/>
    <w:rsid w:val="002A5665"/>
    <w:rsid w:val="002A58E4"/>
    <w:rsid w:val="002A5EC4"/>
    <w:rsid w:val="002A64A2"/>
    <w:rsid w:val="002A653B"/>
    <w:rsid w:val="002A678B"/>
    <w:rsid w:val="002A6AFE"/>
    <w:rsid w:val="002A6C74"/>
    <w:rsid w:val="002A7172"/>
    <w:rsid w:val="002B03E8"/>
    <w:rsid w:val="002B0725"/>
    <w:rsid w:val="002B16A9"/>
    <w:rsid w:val="002B2EDD"/>
    <w:rsid w:val="002B3B99"/>
    <w:rsid w:val="002B5EF4"/>
    <w:rsid w:val="002B6059"/>
    <w:rsid w:val="002B7030"/>
    <w:rsid w:val="002B7168"/>
    <w:rsid w:val="002B7174"/>
    <w:rsid w:val="002B7431"/>
    <w:rsid w:val="002B74FC"/>
    <w:rsid w:val="002C010A"/>
    <w:rsid w:val="002C050A"/>
    <w:rsid w:val="002C0ADF"/>
    <w:rsid w:val="002C0AFB"/>
    <w:rsid w:val="002C1334"/>
    <w:rsid w:val="002C140E"/>
    <w:rsid w:val="002C2015"/>
    <w:rsid w:val="002C29CD"/>
    <w:rsid w:val="002C3F57"/>
    <w:rsid w:val="002C43E8"/>
    <w:rsid w:val="002C52FA"/>
    <w:rsid w:val="002C5E0B"/>
    <w:rsid w:val="002C5FF0"/>
    <w:rsid w:val="002C653B"/>
    <w:rsid w:val="002C697F"/>
    <w:rsid w:val="002C77A3"/>
    <w:rsid w:val="002C7915"/>
    <w:rsid w:val="002C7D91"/>
    <w:rsid w:val="002C7DC3"/>
    <w:rsid w:val="002D2261"/>
    <w:rsid w:val="002D2436"/>
    <w:rsid w:val="002D2DDA"/>
    <w:rsid w:val="002D3CCD"/>
    <w:rsid w:val="002D3CE3"/>
    <w:rsid w:val="002D4778"/>
    <w:rsid w:val="002D567C"/>
    <w:rsid w:val="002D5781"/>
    <w:rsid w:val="002D618D"/>
    <w:rsid w:val="002D6555"/>
    <w:rsid w:val="002D686C"/>
    <w:rsid w:val="002D6E9D"/>
    <w:rsid w:val="002D7CBB"/>
    <w:rsid w:val="002E146C"/>
    <w:rsid w:val="002E17AA"/>
    <w:rsid w:val="002E1986"/>
    <w:rsid w:val="002E1C6A"/>
    <w:rsid w:val="002E1E50"/>
    <w:rsid w:val="002E20B2"/>
    <w:rsid w:val="002E2713"/>
    <w:rsid w:val="002E29FA"/>
    <w:rsid w:val="002E2CA5"/>
    <w:rsid w:val="002E2F7D"/>
    <w:rsid w:val="002E3A4D"/>
    <w:rsid w:val="002E3F8D"/>
    <w:rsid w:val="002E4B80"/>
    <w:rsid w:val="002E4E8F"/>
    <w:rsid w:val="002E538B"/>
    <w:rsid w:val="002E5FD3"/>
    <w:rsid w:val="002E6867"/>
    <w:rsid w:val="002E7199"/>
    <w:rsid w:val="002E7547"/>
    <w:rsid w:val="002E79D7"/>
    <w:rsid w:val="002E7E3B"/>
    <w:rsid w:val="002F060F"/>
    <w:rsid w:val="002F1026"/>
    <w:rsid w:val="002F1809"/>
    <w:rsid w:val="002F1A49"/>
    <w:rsid w:val="002F1AE7"/>
    <w:rsid w:val="002F1B55"/>
    <w:rsid w:val="002F2244"/>
    <w:rsid w:val="002F26E3"/>
    <w:rsid w:val="002F397F"/>
    <w:rsid w:val="002F3991"/>
    <w:rsid w:val="002F3A55"/>
    <w:rsid w:val="002F3CE1"/>
    <w:rsid w:val="002F3FB3"/>
    <w:rsid w:val="002F4BCD"/>
    <w:rsid w:val="002F4F58"/>
    <w:rsid w:val="002F557F"/>
    <w:rsid w:val="002F5ACD"/>
    <w:rsid w:val="002F5AFA"/>
    <w:rsid w:val="002F6B4B"/>
    <w:rsid w:val="002F6C59"/>
    <w:rsid w:val="002F7107"/>
    <w:rsid w:val="002F71ED"/>
    <w:rsid w:val="002F75B0"/>
    <w:rsid w:val="002F7C2C"/>
    <w:rsid w:val="00301625"/>
    <w:rsid w:val="003016D3"/>
    <w:rsid w:val="00301DBF"/>
    <w:rsid w:val="00302059"/>
    <w:rsid w:val="00302EBF"/>
    <w:rsid w:val="00302FE1"/>
    <w:rsid w:val="00303B85"/>
    <w:rsid w:val="00304367"/>
    <w:rsid w:val="0030521C"/>
    <w:rsid w:val="003052B3"/>
    <w:rsid w:val="00305A1C"/>
    <w:rsid w:val="00306060"/>
    <w:rsid w:val="0030648C"/>
    <w:rsid w:val="00307247"/>
    <w:rsid w:val="00310967"/>
    <w:rsid w:val="00310998"/>
    <w:rsid w:val="00310E2A"/>
    <w:rsid w:val="00311731"/>
    <w:rsid w:val="00312126"/>
    <w:rsid w:val="003130AC"/>
    <w:rsid w:val="00313270"/>
    <w:rsid w:val="00314B4F"/>
    <w:rsid w:val="0031544D"/>
    <w:rsid w:val="0031557C"/>
    <w:rsid w:val="003158AD"/>
    <w:rsid w:val="00315CED"/>
    <w:rsid w:val="00316071"/>
    <w:rsid w:val="00316495"/>
    <w:rsid w:val="003164A4"/>
    <w:rsid w:val="00320374"/>
    <w:rsid w:val="00321080"/>
    <w:rsid w:val="00321296"/>
    <w:rsid w:val="003219BC"/>
    <w:rsid w:val="00322836"/>
    <w:rsid w:val="003232BC"/>
    <w:rsid w:val="003240FC"/>
    <w:rsid w:val="00324509"/>
    <w:rsid w:val="00324B6B"/>
    <w:rsid w:val="003252DA"/>
    <w:rsid w:val="0032582C"/>
    <w:rsid w:val="00325FFD"/>
    <w:rsid w:val="003260C3"/>
    <w:rsid w:val="00327152"/>
    <w:rsid w:val="00327AE5"/>
    <w:rsid w:val="00327B61"/>
    <w:rsid w:val="00327E23"/>
    <w:rsid w:val="0033031C"/>
    <w:rsid w:val="003305F4"/>
    <w:rsid w:val="00330E8B"/>
    <w:rsid w:val="003311FD"/>
    <w:rsid w:val="003320A8"/>
    <w:rsid w:val="00332BDC"/>
    <w:rsid w:val="003335DA"/>
    <w:rsid w:val="00333AE4"/>
    <w:rsid w:val="00334055"/>
    <w:rsid w:val="00334BB2"/>
    <w:rsid w:val="0033560D"/>
    <w:rsid w:val="00335669"/>
    <w:rsid w:val="00335F12"/>
    <w:rsid w:val="003361BD"/>
    <w:rsid w:val="003366E8"/>
    <w:rsid w:val="0033690E"/>
    <w:rsid w:val="00336DA7"/>
    <w:rsid w:val="00336E91"/>
    <w:rsid w:val="003373B2"/>
    <w:rsid w:val="00341A4B"/>
    <w:rsid w:val="00342B87"/>
    <w:rsid w:val="00343B32"/>
    <w:rsid w:val="00344299"/>
    <w:rsid w:val="0034546D"/>
    <w:rsid w:val="003458AE"/>
    <w:rsid w:val="00345CCB"/>
    <w:rsid w:val="003468A8"/>
    <w:rsid w:val="00346BEB"/>
    <w:rsid w:val="0034766F"/>
    <w:rsid w:val="00347C30"/>
    <w:rsid w:val="00347C80"/>
    <w:rsid w:val="003501C2"/>
    <w:rsid w:val="003505E3"/>
    <w:rsid w:val="00350C27"/>
    <w:rsid w:val="003511FA"/>
    <w:rsid w:val="0035161B"/>
    <w:rsid w:val="00352B98"/>
    <w:rsid w:val="003530A4"/>
    <w:rsid w:val="00353154"/>
    <w:rsid w:val="00353F12"/>
    <w:rsid w:val="0035519E"/>
    <w:rsid w:val="00355FD7"/>
    <w:rsid w:val="00356167"/>
    <w:rsid w:val="00356F5E"/>
    <w:rsid w:val="00357EFA"/>
    <w:rsid w:val="00360521"/>
    <w:rsid w:val="0036064A"/>
    <w:rsid w:val="003610F3"/>
    <w:rsid w:val="00361322"/>
    <w:rsid w:val="00361EF7"/>
    <w:rsid w:val="003626B5"/>
    <w:rsid w:val="00362EFD"/>
    <w:rsid w:val="00363543"/>
    <w:rsid w:val="00363661"/>
    <w:rsid w:val="003639BD"/>
    <w:rsid w:val="00363A14"/>
    <w:rsid w:val="00364394"/>
    <w:rsid w:val="0036461B"/>
    <w:rsid w:val="0036531D"/>
    <w:rsid w:val="0036570E"/>
    <w:rsid w:val="00365C62"/>
    <w:rsid w:val="00365C79"/>
    <w:rsid w:val="003660CE"/>
    <w:rsid w:val="00367133"/>
    <w:rsid w:val="0036787F"/>
    <w:rsid w:val="0036790C"/>
    <w:rsid w:val="00370AE1"/>
    <w:rsid w:val="00370C21"/>
    <w:rsid w:val="00370CF4"/>
    <w:rsid w:val="003712E8"/>
    <w:rsid w:val="003719A4"/>
    <w:rsid w:val="00371FB4"/>
    <w:rsid w:val="003721F5"/>
    <w:rsid w:val="003727A0"/>
    <w:rsid w:val="00372AB4"/>
    <w:rsid w:val="00373984"/>
    <w:rsid w:val="003740F0"/>
    <w:rsid w:val="003746F7"/>
    <w:rsid w:val="0037500E"/>
    <w:rsid w:val="0037518C"/>
    <w:rsid w:val="00375E9B"/>
    <w:rsid w:val="00376FAF"/>
    <w:rsid w:val="00376FD3"/>
    <w:rsid w:val="00377CD4"/>
    <w:rsid w:val="00380184"/>
    <w:rsid w:val="00380C63"/>
    <w:rsid w:val="003816FF"/>
    <w:rsid w:val="00381D2E"/>
    <w:rsid w:val="00381EC2"/>
    <w:rsid w:val="003828C2"/>
    <w:rsid w:val="003830D5"/>
    <w:rsid w:val="00384966"/>
    <w:rsid w:val="003855E5"/>
    <w:rsid w:val="003857B5"/>
    <w:rsid w:val="00386A6F"/>
    <w:rsid w:val="00387068"/>
    <w:rsid w:val="0038721E"/>
    <w:rsid w:val="00387A69"/>
    <w:rsid w:val="00387BAB"/>
    <w:rsid w:val="00387C40"/>
    <w:rsid w:val="00390103"/>
    <w:rsid w:val="003908AC"/>
    <w:rsid w:val="003925E3"/>
    <w:rsid w:val="00392B64"/>
    <w:rsid w:val="00392CB8"/>
    <w:rsid w:val="00392F6C"/>
    <w:rsid w:val="0039308A"/>
    <w:rsid w:val="0039400F"/>
    <w:rsid w:val="00394461"/>
    <w:rsid w:val="00394A6A"/>
    <w:rsid w:val="00395B2D"/>
    <w:rsid w:val="00395C1E"/>
    <w:rsid w:val="0039630B"/>
    <w:rsid w:val="0039684B"/>
    <w:rsid w:val="00396F46"/>
    <w:rsid w:val="00396F7D"/>
    <w:rsid w:val="0039740F"/>
    <w:rsid w:val="003975FA"/>
    <w:rsid w:val="00397E4A"/>
    <w:rsid w:val="003A0945"/>
    <w:rsid w:val="003A0A40"/>
    <w:rsid w:val="003A21DC"/>
    <w:rsid w:val="003A2A5F"/>
    <w:rsid w:val="003A311E"/>
    <w:rsid w:val="003A335C"/>
    <w:rsid w:val="003A3835"/>
    <w:rsid w:val="003A3DF4"/>
    <w:rsid w:val="003A5565"/>
    <w:rsid w:val="003A5A84"/>
    <w:rsid w:val="003A5D7E"/>
    <w:rsid w:val="003A6426"/>
    <w:rsid w:val="003A756B"/>
    <w:rsid w:val="003A7768"/>
    <w:rsid w:val="003B06A0"/>
    <w:rsid w:val="003B1495"/>
    <w:rsid w:val="003B2C77"/>
    <w:rsid w:val="003B32BE"/>
    <w:rsid w:val="003B3F0C"/>
    <w:rsid w:val="003B550D"/>
    <w:rsid w:val="003B72D5"/>
    <w:rsid w:val="003B7F30"/>
    <w:rsid w:val="003B7F3C"/>
    <w:rsid w:val="003C06F5"/>
    <w:rsid w:val="003C0908"/>
    <w:rsid w:val="003C0B24"/>
    <w:rsid w:val="003C1301"/>
    <w:rsid w:val="003C1F63"/>
    <w:rsid w:val="003C2AA4"/>
    <w:rsid w:val="003C336B"/>
    <w:rsid w:val="003C39F4"/>
    <w:rsid w:val="003C4F15"/>
    <w:rsid w:val="003C55E7"/>
    <w:rsid w:val="003C59B1"/>
    <w:rsid w:val="003C5BA3"/>
    <w:rsid w:val="003C5C88"/>
    <w:rsid w:val="003C5D89"/>
    <w:rsid w:val="003C5F52"/>
    <w:rsid w:val="003C620A"/>
    <w:rsid w:val="003C6272"/>
    <w:rsid w:val="003C72A6"/>
    <w:rsid w:val="003C78D0"/>
    <w:rsid w:val="003D0360"/>
    <w:rsid w:val="003D0BF6"/>
    <w:rsid w:val="003D0D92"/>
    <w:rsid w:val="003D16FA"/>
    <w:rsid w:val="003D2397"/>
    <w:rsid w:val="003D28E6"/>
    <w:rsid w:val="003D2900"/>
    <w:rsid w:val="003D475F"/>
    <w:rsid w:val="003D4E5C"/>
    <w:rsid w:val="003D5945"/>
    <w:rsid w:val="003D5F46"/>
    <w:rsid w:val="003D68F4"/>
    <w:rsid w:val="003D6FD9"/>
    <w:rsid w:val="003D7F02"/>
    <w:rsid w:val="003E0794"/>
    <w:rsid w:val="003E09D8"/>
    <w:rsid w:val="003E0AE5"/>
    <w:rsid w:val="003E2582"/>
    <w:rsid w:val="003E33F9"/>
    <w:rsid w:val="003E4D59"/>
    <w:rsid w:val="003E50A1"/>
    <w:rsid w:val="003E527C"/>
    <w:rsid w:val="003E53A8"/>
    <w:rsid w:val="003E5A62"/>
    <w:rsid w:val="003E5C77"/>
    <w:rsid w:val="003E68F7"/>
    <w:rsid w:val="003E7152"/>
    <w:rsid w:val="003E79B7"/>
    <w:rsid w:val="003E7FAB"/>
    <w:rsid w:val="003F03EE"/>
    <w:rsid w:val="003F0455"/>
    <w:rsid w:val="003F096C"/>
    <w:rsid w:val="003F1408"/>
    <w:rsid w:val="003F1DEF"/>
    <w:rsid w:val="003F1F66"/>
    <w:rsid w:val="003F2BCE"/>
    <w:rsid w:val="003F2C1A"/>
    <w:rsid w:val="003F2CAA"/>
    <w:rsid w:val="003F2CDA"/>
    <w:rsid w:val="003F3133"/>
    <w:rsid w:val="003F45F7"/>
    <w:rsid w:val="003F4BD0"/>
    <w:rsid w:val="003F5839"/>
    <w:rsid w:val="003F613B"/>
    <w:rsid w:val="003F647E"/>
    <w:rsid w:val="003F6CC6"/>
    <w:rsid w:val="003F6EA4"/>
    <w:rsid w:val="003F7951"/>
    <w:rsid w:val="00400269"/>
    <w:rsid w:val="00400A68"/>
    <w:rsid w:val="00401EC2"/>
    <w:rsid w:val="00402008"/>
    <w:rsid w:val="00402347"/>
    <w:rsid w:val="00403E6A"/>
    <w:rsid w:val="00404884"/>
    <w:rsid w:val="0040562C"/>
    <w:rsid w:val="00405ED7"/>
    <w:rsid w:val="00406184"/>
    <w:rsid w:val="004061AA"/>
    <w:rsid w:val="004061D5"/>
    <w:rsid w:val="00406306"/>
    <w:rsid w:val="00406343"/>
    <w:rsid w:val="00406C83"/>
    <w:rsid w:val="00407052"/>
    <w:rsid w:val="00407414"/>
    <w:rsid w:val="0041049E"/>
    <w:rsid w:val="00410C88"/>
    <w:rsid w:val="004110B7"/>
    <w:rsid w:val="00411567"/>
    <w:rsid w:val="00411BE0"/>
    <w:rsid w:val="00411E91"/>
    <w:rsid w:val="00411FE5"/>
    <w:rsid w:val="0041213C"/>
    <w:rsid w:val="00412A25"/>
    <w:rsid w:val="004135CE"/>
    <w:rsid w:val="004149AF"/>
    <w:rsid w:val="004153F2"/>
    <w:rsid w:val="00415522"/>
    <w:rsid w:val="00415C68"/>
    <w:rsid w:val="004166CE"/>
    <w:rsid w:val="004178D3"/>
    <w:rsid w:val="00417BCD"/>
    <w:rsid w:val="00417E1C"/>
    <w:rsid w:val="004222C5"/>
    <w:rsid w:val="004224CB"/>
    <w:rsid w:val="004248D9"/>
    <w:rsid w:val="00424A2B"/>
    <w:rsid w:val="00424A45"/>
    <w:rsid w:val="00424D60"/>
    <w:rsid w:val="00425387"/>
    <w:rsid w:val="004253BF"/>
    <w:rsid w:val="004256C9"/>
    <w:rsid w:val="00425890"/>
    <w:rsid w:val="004262B8"/>
    <w:rsid w:val="00426806"/>
    <w:rsid w:val="00426E22"/>
    <w:rsid w:val="004270B9"/>
    <w:rsid w:val="00427144"/>
    <w:rsid w:val="00430E33"/>
    <w:rsid w:val="004317E4"/>
    <w:rsid w:val="00433072"/>
    <w:rsid w:val="0043366C"/>
    <w:rsid w:val="00433B1D"/>
    <w:rsid w:val="00433D52"/>
    <w:rsid w:val="00433FD9"/>
    <w:rsid w:val="00434B84"/>
    <w:rsid w:val="00435CFE"/>
    <w:rsid w:val="00436054"/>
    <w:rsid w:val="00437D3F"/>
    <w:rsid w:val="0044041E"/>
    <w:rsid w:val="0044051B"/>
    <w:rsid w:val="00440DC3"/>
    <w:rsid w:val="00441D38"/>
    <w:rsid w:val="00442278"/>
    <w:rsid w:val="0044244A"/>
    <w:rsid w:val="00442FB9"/>
    <w:rsid w:val="0044327D"/>
    <w:rsid w:val="0044391B"/>
    <w:rsid w:val="00443BC3"/>
    <w:rsid w:val="0044462B"/>
    <w:rsid w:val="0044499E"/>
    <w:rsid w:val="00445E95"/>
    <w:rsid w:val="00446279"/>
    <w:rsid w:val="004468F3"/>
    <w:rsid w:val="00446F3A"/>
    <w:rsid w:val="0044711D"/>
    <w:rsid w:val="00447335"/>
    <w:rsid w:val="004478AC"/>
    <w:rsid w:val="004479AA"/>
    <w:rsid w:val="00447CB4"/>
    <w:rsid w:val="00450635"/>
    <w:rsid w:val="00450699"/>
    <w:rsid w:val="00451BB3"/>
    <w:rsid w:val="00451BEC"/>
    <w:rsid w:val="0045317B"/>
    <w:rsid w:val="00454163"/>
    <w:rsid w:val="00454494"/>
    <w:rsid w:val="0045538A"/>
    <w:rsid w:val="00455514"/>
    <w:rsid w:val="00455EDF"/>
    <w:rsid w:val="00456B74"/>
    <w:rsid w:val="00457BC3"/>
    <w:rsid w:val="00457E06"/>
    <w:rsid w:val="00460019"/>
    <w:rsid w:val="00460EB3"/>
    <w:rsid w:val="004610F4"/>
    <w:rsid w:val="004623C3"/>
    <w:rsid w:val="00462A6B"/>
    <w:rsid w:val="00462CF8"/>
    <w:rsid w:val="00464CEE"/>
    <w:rsid w:val="00464E54"/>
    <w:rsid w:val="00465709"/>
    <w:rsid w:val="00465960"/>
    <w:rsid w:val="00465A34"/>
    <w:rsid w:val="00467E23"/>
    <w:rsid w:val="00470181"/>
    <w:rsid w:val="0047095C"/>
    <w:rsid w:val="00470FCC"/>
    <w:rsid w:val="004710EB"/>
    <w:rsid w:val="00471D16"/>
    <w:rsid w:val="00471DC9"/>
    <w:rsid w:val="00471FCD"/>
    <w:rsid w:val="004724FE"/>
    <w:rsid w:val="004725FF"/>
    <w:rsid w:val="00472C57"/>
    <w:rsid w:val="00472C90"/>
    <w:rsid w:val="004735A5"/>
    <w:rsid w:val="00473C43"/>
    <w:rsid w:val="00473DDE"/>
    <w:rsid w:val="00474F11"/>
    <w:rsid w:val="00475D9F"/>
    <w:rsid w:val="00475EAD"/>
    <w:rsid w:val="00476158"/>
    <w:rsid w:val="004763AF"/>
    <w:rsid w:val="00477113"/>
    <w:rsid w:val="00477210"/>
    <w:rsid w:val="00477255"/>
    <w:rsid w:val="00477CBC"/>
    <w:rsid w:val="0048058E"/>
    <w:rsid w:val="00480C91"/>
    <w:rsid w:val="00481142"/>
    <w:rsid w:val="00481323"/>
    <w:rsid w:val="00481C75"/>
    <w:rsid w:val="00482256"/>
    <w:rsid w:val="0048293D"/>
    <w:rsid w:val="00482A66"/>
    <w:rsid w:val="00482F8F"/>
    <w:rsid w:val="004836D2"/>
    <w:rsid w:val="00483A8A"/>
    <w:rsid w:val="00484A6B"/>
    <w:rsid w:val="00485E35"/>
    <w:rsid w:val="004861FF"/>
    <w:rsid w:val="00486D91"/>
    <w:rsid w:val="00487E98"/>
    <w:rsid w:val="00490253"/>
    <w:rsid w:val="0049242E"/>
    <w:rsid w:val="00492740"/>
    <w:rsid w:val="00493FC0"/>
    <w:rsid w:val="00494CD8"/>
    <w:rsid w:val="00494DB0"/>
    <w:rsid w:val="00495455"/>
    <w:rsid w:val="0049547D"/>
    <w:rsid w:val="004956B3"/>
    <w:rsid w:val="004956D5"/>
    <w:rsid w:val="0049577B"/>
    <w:rsid w:val="00495C5F"/>
    <w:rsid w:val="004973BA"/>
    <w:rsid w:val="004973FE"/>
    <w:rsid w:val="0049776C"/>
    <w:rsid w:val="00497FDE"/>
    <w:rsid w:val="004A0C76"/>
    <w:rsid w:val="004A13C5"/>
    <w:rsid w:val="004A1914"/>
    <w:rsid w:val="004A2D1A"/>
    <w:rsid w:val="004A3D5D"/>
    <w:rsid w:val="004A5389"/>
    <w:rsid w:val="004A6431"/>
    <w:rsid w:val="004A6FBF"/>
    <w:rsid w:val="004A71C0"/>
    <w:rsid w:val="004A7800"/>
    <w:rsid w:val="004B023F"/>
    <w:rsid w:val="004B0792"/>
    <w:rsid w:val="004B0FE0"/>
    <w:rsid w:val="004B127A"/>
    <w:rsid w:val="004B1900"/>
    <w:rsid w:val="004B1F7B"/>
    <w:rsid w:val="004B2178"/>
    <w:rsid w:val="004B26EC"/>
    <w:rsid w:val="004B2CB7"/>
    <w:rsid w:val="004B2D2A"/>
    <w:rsid w:val="004B3C10"/>
    <w:rsid w:val="004B3E4A"/>
    <w:rsid w:val="004B5D78"/>
    <w:rsid w:val="004B65ED"/>
    <w:rsid w:val="004B72F8"/>
    <w:rsid w:val="004B755A"/>
    <w:rsid w:val="004B7973"/>
    <w:rsid w:val="004B7A77"/>
    <w:rsid w:val="004B7E4B"/>
    <w:rsid w:val="004C019E"/>
    <w:rsid w:val="004C0878"/>
    <w:rsid w:val="004C1468"/>
    <w:rsid w:val="004C2C59"/>
    <w:rsid w:val="004C2F79"/>
    <w:rsid w:val="004C31C6"/>
    <w:rsid w:val="004C3A6A"/>
    <w:rsid w:val="004C3F99"/>
    <w:rsid w:val="004C4DCF"/>
    <w:rsid w:val="004C5BB0"/>
    <w:rsid w:val="004C5BE7"/>
    <w:rsid w:val="004C69A1"/>
    <w:rsid w:val="004C7B78"/>
    <w:rsid w:val="004D2123"/>
    <w:rsid w:val="004D2CF7"/>
    <w:rsid w:val="004D2DC5"/>
    <w:rsid w:val="004D3344"/>
    <w:rsid w:val="004D3FEE"/>
    <w:rsid w:val="004D4D87"/>
    <w:rsid w:val="004D5650"/>
    <w:rsid w:val="004D6117"/>
    <w:rsid w:val="004D6380"/>
    <w:rsid w:val="004D698E"/>
    <w:rsid w:val="004D6B85"/>
    <w:rsid w:val="004D6BEF"/>
    <w:rsid w:val="004D70DD"/>
    <w:rsid w:val="004D7142"/>
    <w:rsid w:val="004D7822"/>
    <w:rsid w:val="004D7DFF"/>
    <w:rsid w:val="004E0F34"/>
    <w:rsid w:val="004E161F"/>
    <w:rsid w:val="004E3599"/>
    <w:rsid w:val="004E3E41"/>
    <w:rsid w:val="004E3F5E"/>
    <w:rsid w:val="004E42D6"/>
    <w:rsid w:val="004E45D5"/>
    <w:rsid w:val="004E45FC"/>
    <w:rsid w:val="004E6082"/>
    <w:rsid w:val="004E61FA"/>
    <w:rsid w:val="004E637F"/>
    <w:rsid w:val="004E6BE0"/>
    <w:rsid w:val="004E78C9"/>
    <w:rsid w:val="004F0185"/>
    <w:rsid w:val="004F17D0"/>
    <w:rsid w:val="004F191C"/>
    <w:rsid w:val="004F2E7D"/>
    <w:rsid w:val="004F317D"/>
    <w:rsid w:val="004F3793"/>
    <w:rsid w:val="004F3E77"/>
    <w:rsid w:val="004F4490"/>
    <w:rsid w:val="004F450D"/>
    <w:rsid w:val="004F4766"/>
    <w:rsid w:val="004F4C7C"/>
    <w:rsid w:val="004F5882"/>
    <w:rsid w:val="004F5C46"/>
    <w:rsid w:val="004F6008"/>
    <w:rsid w:val="004F6654"/>
    <w:rsid w:val="004F6841"/>
    <w:rsid w:val="004F7E9B"/>
    <w:rsid w:val="00501105"/>
    <w:rsid w:val="0050127E"/>
    <w:rsid w:val="00501CD7"/>
    <w:rsid w:val="00502551"/>
    <w:rsid w:val="005028D1"/>
    <w:rsid w:val="00502A3A"/>
    <w:rsid w:val="00502C8E"/>
    <w:rsid w:val="005036E6"/>
    <w:rsid w:val="00503894"/>
    <w:rsid w:val="00503978"/>
    <w:rsid w:val="005048F7"/>
    <w:rsid w:val="00504AC5"/>
    <w:rsid w:val="00505156"/>
    <w:rsid w:val="005052B0"/>
    <w:rsid w:val="005058B7"/>
    <w:rsid w:val="00505C3C"/>
    <w:rsid w:val="0050652E"/>
    <w:rsid w:val="00506591"/>
    <w:rsid w:val="00507F25"/>
    <w:rsid w:val="00510283"/>
    <w:rsid w:val="0051071E"/>
    <w:rsid w:val="00510AD6"/>
    <w:rsid w:val="00511DDE"/>
    <w:rsid w:val="0051250A"/>
    <w:rsid w:val="00512B41"/>
    <w:rsid w:val="00512F2D"/>
    <w:rsid w:val="00512F44"/>
    <w:rsid w:val="005131E4"/>
    <w:rsid w:val="00513C40"/>
    <w:rsid w:val="00513CE5"/>
    <w:rsid w:val="00514CF4"/>
    <w:rsid w:val="005152F9"/>
    <w:rsid w:val="00515984"/>
    <w:rsid w:val="00515AB0"/>
    <w:rsid w:val="00515BFA"/>
    <w:rsid w:val="00515E69"/>
    <w:rsid w:val="00515FD0"/>
    <w:rsid w:val="00515FF7"/>
    <w:rsid w:val="00516584"/>
    <w:rsid w:val="0051667C"/>
    <w:rsid w:val="00516940"/>
    <w:rsid w:val="00516E75"/>
    <w:rsid w:val="00517415"/>
    <w:rsid w:val="005177DF"/>
    <w:rsid w:val="00517B68"/>
    <w:rsid w:val="005203F7"/>
    <w:rsid w:val="00521565"/>
    <w:rsid w:val="005219CE"/>
    <w:rsid w:val="00521C20"/>
    <w:rsid w:val="00522B65"/>
    <w:rsid w:val="00523617"/>
    <w:rsid w:val="00524C2C"/>
    <w:rsid w:val="005250FB"/>
    <w:rsid w:val="005255EA"/>
    <w:rsid w:val="0052637C"/>
    <w:rsid w:val="005269B9"/>
    <w:rsid w:val="00526FC8"/>
    <w:rsid w:val="00527B63"/>
    <w:rsid w:val="005309BE"/>
    <w:rsid w:val="00530EBE"/>
    <w:rsid w:val="00531073"/>
    <w:rsid w:val="005310DA"/>
    <w:rsid w:val="00531E1B"/>
    <w:rsid w:val="00532174"/>
    <w:rsid w:val="0053259B"/>
    <w:rsid w:val="0053354C"/>
    <w:rsid w:val="00533AB6"/>
    <w:rsid w:val="00534420"/>
    <w:rsid w:val="0053464D"/>
    <w:rsid w:val="00534708"/>
    <w:rsid w:val="00534E55"/>
    <w:rsid w:val="00536A4B"/>
    <w:rsid w:val="00536C27"/>
    <w:rsid w:val="005372B5"/>
    <w:rsid w:val="00537427"/>
    <w:rsid w:val="00537565"/>
    <w:rsid w:val="005405C8"/>
    <w:rsid w:val="005408E6"/>
    <w:rsid w:val="0054110D"/>
    <w:rsid w:val="0054284D"/>
    <w:rsid w:val="00542957"/>
    <w:rsid w:val="00543627"/>
    <w:rsid w:val="00543BE5"/>
    <w:rsid w:val="00544088"/>
    <w:rsid w:val="00545D79"/>
    <w:rsid w:val="00546BB6"/>
    <w:rsid w:val="0054785E"/>
    <w:rsid w:val="00547925"/>
    <w:rsid w:val="005513B8"/>
    <w:rsid w:val="0055212A"/>
    <w:rsid w:val="00552E0A"/>
    <w:rsid w:val="0055521F"/>
    <w:rsid w:val="0055530D"/>
    <w:rsid w:val="00555D38"/>
    <w:rsid w:val="00555DE9"/>
    <w:rsid w:val="00556CCC"/>
    <w:rsid w:val="00556E3A"/>
    <w:rsid w:val="00557F69"/>
    <w:rsid w:val="00557FA9"/>
    <w:rsid w:val="005609DC"/>
    <w:rsid w:val="00560AA8"/>
    <w:rsid w:val="00560C14"/>
    <w:rsid w:val="00560EAC"/>
    <w:rsid w:val="00560EB3"/>
    <w:rsid w:val="005611DD"/>
    <w:rsid w:val="0056170F"/>
    <w:rsid w:val="005619FD"/>
    <w:rsid w:val="00561D12"/>
    <w:rsid w:val="00563761"/>
    <w:rsid w:val="00563A69"/>
    <w:rsid w:val="005649FC"/>
    <w:rsid w:val="005668CC"/>
    <w:rsid w:val="005668F2"/>
    <w:rsid w:val="00566C33"/>
    <w:rsid w:val="00566D21"/>
    <w:rsid w:val="005679CF"/>
    <w:rsid w:val="0057003C"/>
    <w:rsid w:val="005701D8"/>
    <w:rsid w:val="0057025A"/>
    <w:rsid w:val="00571BA0"/>
    <w:rsid w:val="005744EE"/>
    <w:rsid w:val="00574D54"/>
    <w:rsid w:val="00575922"/>
    <w:rsid w:val="00576405"/>
    <w:rsid w:val="00576A50"/>
    <w:rsid w:val="005774B9"/>
    <w:rsid w:val="00577CA5"/>
    <w:rsid w:val="00577E0B"/>
    <w:rsid w:val="00580880"/>
    <w:rsid w:val="00580C19"/>
    <w:rsid w:val="00581F42"/>
    <w:rsid w:val="00582854"/>
    <w:rsid w:val="0058286D"/>
    <w:rsid w:val="00583ABC"/>
    <w:rsid w:val="00584156"/>
    <w:rsid w:val="0058418A"/>
    <w:rsid w:val="005841CE"/>
    <w:rsid w:val="00585AFF"/>
    <w:rsid w:val="005860D0"/>
    <w:rsid w:val="00586BB0"/>
    <w:rsid w:val="00587284"/>
    <w:rsid w:val="0058790D"/>
    <w:rsid w:val="005912A4"/>
    <w:rsid w:val="00591390"/>
    <w:rsid w:val="00591A1F"/>
    <w:rsid w:val="00591FDA"/>
    <w:rsid w:val="00592D70"/>
    <w:rsid w:val="00593418"/>
    <w:rsid w:val="005936A8"/>
    <w:rsid w:val="0059462B"/>
    <w:rsid w:val="0059474C"/>
    <w:rsid w:val="005947E7"/>
    <w:rsid w:val="00595068"/>
    <w:rsid w:val="00595476"/>
    <w:rsid w:val="00595D0A"/>
    <w:rsid w:val="00595D12"/>
    <w:rsid w:val="005960FF"/>
    <w:rsid w:val="005971B2"/>
    <w:rsid w:val="005978A6"/>
    <w:rsid w:val="005A00AA"/>
    <w:rsid w:val="005A014F"/>
    <w:rsid w:val="005A0CB5"/>
    <w:rsid w:val="005A1243"/>
    <w:rsid w:val="005A25F7"/>
    <w:rsid w:val="005A32AC"/>
    <w:rsid w:val="005A39CF"/>
    <w:rsid w:val="005A3DFE"/>
    <w:rsid w:val="005A4DEA"/>
    <w:rsid w:val="005A5348"/>
    <w:rsid w:val="005A53DA"/>
    <w:rsid w:val="005A5BB3"/>
    <w:rsid w:val="005A652F"/>
    <w:rsid w:val="005A66DB"/>
    <w:rsid w:val="005A695B"/>
    <w:rsid w:val="005A76CC"/>
    <w:rsid w:val="005A780C"/>
    <w:rsid w:val="005B03F0"/>
    <w:rsid w:val="005B1842"/>
    <w:rsid w:val="005B2281"/>
    <w:rsid w:val="005B22C7"/>
    <w:rsid w:val="005B26EA"/>
    <w:rsid w:val="005B2EE0"/>
    <w:rsid w:val="005B3350"/>
    <w:rsid w:val="005B4085"/>
    <w:rsid w:val="005B4A2A"/>
    <w:rsid w:val="005B5057"/>
    <w:rsid w:val="005B5327"/>
    <w:rsid w:val="005B546F"/>
    <w:rsid w:val="005B5537"/>
    <w:rsid w:val="005B5A1E"/>
    <w:rsid w:val="005B6B10"/>
    <w:rsid w:val="005C02A5"/>
    <w:rsid w:val="005C0475"/>
    <w:rsid w:val="005C0D6C"/>
    <w:rsid w:val="005C1E0C"/>
    <w:rsid w:val="005C1F4D"/>
    <w:rsid w:val="005C2906"/>
    <w:rsid w:val="005C2B1A"/>
    <w:rsid w:val="005C3612"/>
    <w:rsid w:val="005C48FF"/>
    <w:rsid w:val="005C4B1C"/>
    <w:rsid w:val="005C51C4"/>
    <w:rsid w:val="005C6FB4"/>
    <w:rsid w:val="005C7109"/>
    <w:rsid w:val="005C7324"/>
    <w:rsid w:val="005C79B0"/>
    <w:rsid w:val="005C7CE0"/>
    <w:rsid w:val="005D0750"/>
    <w:rsid w:val="005D0BC0"/>
    <w:rsid w:val="005D0F90"/>
    <w:rsid w:val="005D1989"/>
    <w:rsid w:val="005D226F"/>
    <w:rsid w:val="005D3384"/>
    <w:rsid w:val="005D4055"/>
    <w:rsid w:val="005D4EA7"/>
    <w:rsid w:val="005D6095"/>
    <w:rsid w:val="005D65CA"/>
    <w:rsid w:val="005D72A6"/>
    <w:rsid w:val="005D76BB"/>
    <w:rsid w:val="005D7A70"/>
    <w:rsid w:val="005D7B36"/>
    <w:rsid w:val="005D7C7F"/>
    <w:rsid w:val="005E0E86"/>
    <w:rsid w:val="005E2EA6"/>
    <w:rsid w:val="005E31E6"/>
    <w:rsid w:val="005E3EB4"/>
    <w:rsid w:val="005E616B"/>
    <w:rsid w:val="005E7390"/>
    <w:rsid w:val="005E741D"/>
    <w:rsid w:val="005E77E1"/>
    <w:rsid w:val="005E7F39"/>
    <w:rsid w:val="005F0A8A"/>
    <w:rsid w:val="005F1D4E"/>
    <w:rsid w:val="005F23A2"/>
    <w:rsid w:val="005F2CEE"/>
    <w:rsid w:val="005F3651"/>
    <w:rsid w:val="005F6E09"/>
    <w:rsid w:val="005F6EB7"/>
    <w:rsid w:val="005F7B1E"/>
    <w:rsid w:val="00600030"/>
    <w:rsid w:val="00600489"/>
    <w:rsid w:val="00600DFB"/>
    <w:rsid w:val="006016C0"/>
    <w:rsid w:val="006017AC"/>
    <w:rsid w:val="00601DAA"/>
    <w:rsid w:val="0060211C"/>
    <w:rsid w:val="00602695"/>
    <w:rsid w:val="00602DBB"/>
    <w:rsid w:val="00603471"/>
    <w:rsid w:val="00603C07"/>
    <w:rsid w:val="0060486E"/>
    <w:rsid w:val="00604E35"/>
    <w:rsid w:val="00604F03"/>
    <w:rsid w:val="0060589D"/>
    <w:rsid w:val="00606206"/>
    <w:rsid w:val="00606943"/>
    <w:rsid w:val="00606E15"/>
    <w:rsid w:val="006071CA"/>
    <w:rsid w:val="006071E9"/>
    <w:rsid w:val="00607251"/>
    <w:rsid w:val="0060758B"/>
    <w:rsid w:val="006101B1"/>
    <w:rsid w:val="00610809"/>
    <w:rsid w:val="0061089D"/>
    <w:rsid w:val="00610D54"/>
    <w:rsid w:val="006119CE"/>
    <w:rsid w:val="006126C7"/>
    <w:rsid w:val="0061275D"/>
    <w:rsid w:val="0061286D"/>
    <w:rsid w:val="006133DE"/>
    <w:rsid w:val="00616367"/>
    <w:rsid w:val="006163CF"/>
    <w:rsid w:val="0061668C"/>
    <w:rsid w:val="00620026"/>
    <w:rsid w:val="006204DD"/>
    <w:rsid w:val="0062050E"/>
    <w:rsid w:val="00620650"/>
    <w:rsid w:val="006208EB"/>
    <w:rsid w:val="00621923"/>
    <w:rsid w:val="00622041"/>
    <w:rsid w:val="00622068"/>
    <w:rsid w:val="006231B2"/>
    <w:rsid w:val="00623BDF"/>
    <w:rsid w:val="00623D34"/>
    <w:rsid w:val="00623D4F"/>
    <w:rsid w:val="00624C2E"/>
    <w:rsid w:val="00625093"/>
    <w:rsid w:val="00625CF3"/>
    <w:rsid w:val="00626622"/>
    <w:rsid w:val="0062666F"/>
    <w:rsid w:val="00626718"/>
    <w:rsid w:val="006268BB"/>
    <w:rsid w:val="00626D50"/>
    <w:rsid w:val="00626F11"/>
    <w:rsid w:val="0062746C"/>
    <w:rsid w:val="006302B5"/>
    <w:rsid w:val="006304F6"/>
    <w:rsid w:val="00630F96"/>
    <w:rsid w:val="00631196"/>
    <w:rsid w:val="00633106"/>
    <w:rsid w:val="006334C6"/>
    <w:rsid w:val="006343EB"/>
    <w:rsid w:val="00634D6A"/>
    <w:rsid w:val="00635208"/>
    <w:rsid w:val="00635845"/>
    <w:rsid w:val="006359E8"/>
    <w:rsid w:val="006367AF"/>
    <w:rsid w:val="00636B35"/>
    <w:rsid w:val="00636E0D"/>
    <w:rsid w:val="00637C0C"/>
    <w:rsid w:val="00637DE1"/>
    <w:rsid w:val="006408D5"/>
    <w:rsid w:val="006412C3"/>
    <w:rsid w:val="0064183C"/>
    <w:rsid w:val="00642B29"/>
    <w:rsid w:val="00642DA2"/>
    <w:rsid w:val="00643072"/>
    <w:rsid w:val="00643498"/>
    <w:rsid w:val="00644464"/>
    <w:rsid w:val="00645100"/>
    <w:rsid w:val="00645226"/>
    <w:rsid w:val="0064670F"/>
    <w:rsid w:val="00646905"/>
    <w:rsid w:val="00646FCE"/>
    <w:rsid w:val="0064710C"/>
    <w:rsid w:val="00647289"/>
    <w:rsid w:val="00647CBA"/>
    <w:rsid w:val="006511EF"/>
    <w:rsid w:val="006514F4"/>
    <w:rsid w:val="00651C43"/>
    <w:rsid w:val="00652456"/>
    <w:rsid w:val="00652668"/>
    <w:rsid w:val="00652AA1"/>
    <w:rsid w:val="00652C24"/>
    <w:rsid w:val="00653552"/>
    <w:rsid w:val="00653DA2"/>
    <w:rsid w:val="00654250"/>
    <w:rsid w:val="0065545D"/>
    <w:rsid w:val="006555E6"/>
    <w:rsid w:val="00655878"/>
    <w:rsid w:val="00656233"/>
    <w:rsid w:val="00656453"/>
    <w:rsid w:val="006574E8"/>
    <w:rsid w:val="00657552"/>
    <w:rsid w:val="006606FE"/>
    <w:rsid w:val="00660AFD"/>
    <w:rsid w:val="00660D35"/>
    <w:rsid w:val="006616CE"/>
    <w:rsid w:val="00661756"/>
    <w:rsid w:val="00662789"/>
    <w:rsid w:val="00662C96"/>
    <w:rsid w:val="0066322D"/>
    <w:rsid w:val="00663A92"/>
    <w:rsid w:val="00664577"/>
    <w:rsid w:val="006650E4"/>
    <w:rsid w:val="006655F9"/>
    <w:rsid w:val="006657F2"/>
    <w:rsid w:val="00665C0B"/>
    <w:rsid w:val="00667413"/>
    <w:rsid w:val="00667ABD"/>
    <w:rsid w:val="00667BA1"/>
    <w:rsid w:val="00667E02"/>
    <w:rsid w:val="00667EA0"/>
    <w:rsid w:val="006709E0"/>
    <w:rsid w:val="006712FD"/>
    <w:rsid w:val="00671872"/>
    <w:rsid w:val="00671E36"/>
    <w:rsid w:val="006758CB"/>
    <w:rsid w:val="0067597E"/>
    <w:rsid w:val="006759C7"/>
    <w:rsid w:val="00675D21"/>
    <w:rsid w:val="00675DFB"/>
    <w:rsid w:val="006762EB"/>
    <w:rsid w:val="006764B8"/>
    <w:rsid w:val="006766D5"/>
    <w:rsid w:val="0067677D"/>
    <w:rsid w:val="00676A1B"/>
    <w:rsid w:val="00676AC8"/>
    <w:rsid w:val="00676CBE"/>
    <w:rsid w:val="00676F18"/>
    <w:rsid w:val="00677052"/>
    <w:rsid w:val="0068008C"/>
    <w:rsid w:val="00680252"/>
    <w:rsid w:val="00680A87"/>
    <w:rsid w:val="00680F20"/>
    <w:rsid w:val="00680F99"/>
    <w:rsid w:val="0068174F"/>
    <w:rsid w:val="00681832"/>
    <w:rsid w:val="00682B5D"/>
    <w:rsid w:val="00682C85"/>
    <w:rsid w:val="00684075"/>
    <w:rsid w:val="0068426C"/>
    <w:rsid w:val="006849AF"/>
    <w:rsid w:val="006857AE"/>
    <w:rsid w:val="0068646C"/>
    <w:rsid w:val="006871D8"/>
    <w:rsid w:val="0068748B"/>
    <w:rsid w:val="00687B52"/>
    <w:rsid w:val="0069009D"/>
    <w:rsid w:val="00690822"/>
    <w:rsid w:val="006916A8"/>
    <w:rsid w:val="0069201B"/>
    <w:rsid w:val="00692581"/>
    <w:rsid w:val="0069341B"/>
    <w:rsid w:val="0069344E"/>
    <w:rsid w:val="006938F8"/>
    <w:rsid w:val="00693924"/>
    <w:rsid w:val="00693C2A"/>
    <w:rsid w:val="0069414B"/>
    <w:rsid w:val="00694EE7"/>
    <w:rsid w:val="006955F2"/>
    <w:rsid w:val="006956D2"/>
    <w:rsid w:val="006961E9"/>
    <w:rsid w:val="00696214"/>
    <w:rsid w:val="006965B0"/>
    <w:rsid w:val="00696892"/>
    <w:rsid w:val="006969D9"/>
    <w:rsid w:val="00697589"/>
    <w:rsid w:val="00697D65"/>
    <w:rsid w:val="006A0043"/>
    <w:rsid w:val="006A0118"/>
    <w:rsid w:val="006A0BBF"/>
    <w:rsid w:val="006A0C6B"/>
    <w:rsid w:val="006A0CB0"/>
    <w:rsid w:val="006A1E19"/>
    <w:rsid w:val="006A2001"/>
    <w:rsid w:val="006A24DA"/>
    <w:rsid w:val="006A3135"/>
    <w:rsid w:val="006A35C8"/>
    <w:rsid w:val="006A4718"/>
    <w:rsid w:val="006A4BC6"/>
    <w:rsid w:val="006A5AAF"/>
    <w:rsid w:val="006A5E0C"/>
    <w:rsid w:val="006A635C"/>
    <w:rsid w:val="006A7536"/>
    <w:rsid w:val="006A7FC9"/>
    <w:rsid w:val="006B009E"/>
    <w:rsid w:val="006B0AA6"/>
    <w:rsid w:val="006B0DDA"/>
    <w:rsid w:val="006B1151"/>
    <w:rsid w:val="006B1AA9"/>
    <w:rsid w:val="006B1CA9"/>
    <w:rsid w:val="006B20A8"/>
    <w:rsid w:val="006B27B7"/>
    <w:rsid w:val="006B2C0D"/>
    <w:rsid w:val="006B3896"/>
    <w:rsid w:val="006B410E"/>
    <w:rsid w:val="006B5C5F"/>
    <w:rsid w:val="006B6976"/>
    <w:rsid w:val="006B6C67"/>
    <w:rsid w:val="006B753E"/>
    <w:rsid w:val="006B7E0B"/>
    <w:rsid w:val="006C166B"/>
    <w:rsid w:val="006C200C"/>
    <w:rsid w:val="006C237A"/>
    <w:rsid w:val="006C2D43"/>
    <w:rsid w:val="006C3A61"/>
    <w:rsid w:val="006C3CEB"/>
    <w:rsid w:val="006C3D7A"/>
    <w:rsid w:val="006C421D"/>
    <w:rsid w:val="006C4712"/>
    <w:rsid w:val="006C50B7"/>
    <w:rsid w:val="006C5889"/>
    <w:rsid w:val="006C6BD0"/>
    <w:rsid w:val="006C6C5F"/>
    <w:rsid w:val="006C72F6"/>
    <w:rsid w:val="006C7D2E"/>
    <w:rsid w:val="006D045B"/>
    <w:rsid w:val="006D1295"/>
    <w:rsid w:val="006D23CC"/>
    <w:rsid w:val="006D2DF6"/>
    <w:rsid w:val="006D30A5"/>
    <w:rsid w:val="006D317E"/>
    <w:rsid w:val="006D3579"/>
    <w:rsid w:val="006D397D"/>
    <w:rsid w:val="006D3998"/>
    <w:rsid w:val="006D3F42"/>
    <w:rsid w:val="006D3FBB"/>
    <w:rsid w:val="006D4184"/>
    <w:rsid w:val="006D4186"/>
    <w:rsid w:val="006D4CA4"/>
    <w:rsid w:val="006D520A"/>
    <w:rsid w:val="006D5515"/>
    <w:rsid w:val="006D56C7"/>
    <w:rsid w:val="006D60BA"/>
    <w:rsid w:val="006D64D6"/>
    <w:rsid w:val="006D651F"/>
    <w:rsid w:val="006D6A6B"/>
    <w:rsid w:val="006D774C"/>
    <w:rsid w:val="006D7D21"/>
    <w:rsid w:val="006E01A2"/>
    <w:rsid w:val="006E08FB"/>
    <w:rsid w:val="006E124A"/>
    <w:rsid w:val="006E1343"/>
    <w:rsid w:val="006E2023"/>
    <w:rsid w:val="006E26B9"/>
    <w:rsid w:val="006E2BF3"/>
    <w:rsid w:val="006E2DFD"/>
    <w:rsid w:val="006E335C"/>
    <w:rsid w:val="006E3996"/>
    <w:rsid w:val="006E3D9B"/>
    <w:rsid w:val="006E40C2"/>
    <w:rsid w:val="006E46C6"/>
    <w:rsid w:val="006E610B"/>
    <w:rsid w:val="006E70A9"/>
    <w:rsid w:val="006E7776"/>
    <w:rsid w:val="006E7FE7"/>
    <w:rsid w:val="006F036B"/>
    <w:rsid w:val="006F11ED"/>
    <w:rsid w:val="006F14A1"/>
    <w:rsid w:val="006F3113"/>
    <w:rsid w:val="006F3DFF"/>
    <w:rsid w:val="006F4225"/>
    <w:rsid w:val="006F423F"/>
    <w:rsid w:val="006F4BA9"/>
    <w:rsid w:val="006F4E07"/>
    <w:rsid w:val="006F5292"/>
    <w:rsid w:val="006F5816"/>
    <w:rsid w:val="006F58E2"/>
    <w:rsid w:val="006F690D"/>
    <w:rsid w:val="006F6BA4"/>
    <w:rsid w:val="006F70F6"/>
    <w:rsid w:val="006F79CB"/>
    <w:rsid w:val="006F7AFB"/>
    <w:rsid w:val="007001D0"/>
    <w:rsid w:val="0070032B"/>
    <w:rsid w:val="0070108A"/>
    <w:rsid w:val="007019F1"/>
    <w:rsid w:val="00701BCA"/>
    <w:rsid w:val="007020C6"/>
    <w:rsid w:val="00702181"/>
    <w:rsid w:val="007021C7"/>
    <w:rsid w:val="007024CD"/>
    <w:rsid w:val="007037F7"/>
    <w:rsid w:val="007038D7"/>
    <w:rsid w:val="00703BA0"/>
    <w:rsid w:val="00703C25"/>
    <w:rsid w:val="00703DC3"/>
    <w:rsid w:val="00705087"/>
    <w:rsid w:val="007064C5"/>
    <w:rsid w:val="0070677B"/>
    <w:rsid w:val="00707405"/>
    <w:rsid w:val="00707986"/>
    <w:rsid w:val="00707D39"/>
    <w:rsid w:val="00707E1A"/>
    <w:rsid w:val="00710171"/>
    <w:rsid w:val="00710CD5"/>
    <w:rsid w:val="00711413"/>
    <w:rsid w:val="00712057"/>
    <w:rsid w:val="00712731"/>
    <w:rsid w:val="007129BE"/>
    <w:rsid w:val="00712F50"/>
    <w:rsid w:val="00713013"/>
    <w:rsid w:val="00713713"/>
    <w:rsid w:val="007146A5"/>
    <w:rsid w:val="00714F63"/>
    <w:rsid w:val="007155B4"/>
    <w:rsid w:val="00717B8F"/>
    <w:rsid w:val="00720F27"/>
    <w:rsid w:val="00721C90"/>
    <w:rsid w:val="00722142"/>
    <w:rsid w:val="00722370"/>
    <w:rsid w:val="00722C43"/>
    <w:rsid w:val="00724637"/>
    <w:rsid w:val="00724D81"/>
    <w:rsid w:val="00725047"/>
    <w:rsid w:val="00725B4F"/>
    <w:rsid w:val="0072659D"/>
    <w:rsid w:val="0072693D"/>
    <w:rsid w:val="00726AEF"/>
    <w:rsid w:val="00726B1E"/>
    <w:rsid w:val="00727AAD"/>
    <w:rsid w:val="00731FA5"/>
    <w:rsid w:val="00732005"/>
    <w:rsid w:val="007329C5"/>
    <w:rsid w:val="00732B35"/>
    <w:rsid w:val="00732B57"/>
    <w:rsid w:val="00732CE1"/>
    <w:rsid w:val="007334E6"/>
    <w:rsid w:val="007337C9"/>
    <w:rsid w:val="007349B9"/>
    <w:rsid w:val="00735568"/>
    <w:rsid w:val="007356C4"/>
    <w:rsid w:val="00736240"/>
    <w:rsid w:val="00736858"/>
    <w:rsid w:val="00736978"/>
    <w:rsid w:val="00736A76"/>
    <w:rsid w:val="0073713F"/>
    <w:rsid w:val="00737CE9"/>
    <w:rsid w:val="0074048F"/>
    <w:rsid w:val="007407AD"/>
    <w:rsid w:val="00740DAE"/>
    <w:rsid w:val="00741353"/>
    <w:rsid w:val="00742365"/>
    <w:rsid w:val="0074259B"/>
    <w:rsid w:val="007425EA"/>
    <w:rsid w:val="00742898"/>
    <w:rsid w:val="00743819"/>
    <w:rsid w:val="007439D0"/>
    <w:rsid w:val="00743A06"/>
    <w:rsid w:val="00743F00"/>
    <w:rsid w:val="007454F8"/>
    <w:rsid w:val="007455B0"/>
    <w:rsid w:val="007460F2"/>
    <w:rsid w:val="00746555"/>
    <w:rsid w:val="00747533"/>
    <w:rsid w:val="00747CBA"/>
    <w:rsid w:val="00747FD3"/>
    <w:rsid w:val="00750AD0"/>
    <w:rsid w:val="00751F26"/>
    <w:rsid w:val="00752B76"/>
    <w:rsid w:val="00752D2A"/>
    <w:rsid w:val="007530D8"/>
    <w:rsid w:val="00753239"/>
    <w:rsid w:val="00753452"/>
    <w:rsid w:val="0075369D"/>
    <w:rsid w:val="00753772"/>
    <w:rsid w:val="00753791"/>
    <w:rsid w:val="007543D7"/>
    <w:rsid w:val="00754565"/>
    <w:rsid w:val="0075488C"/>
    <w:rsid w:val="007558A5"/>
    <w:rsid w:val="00755953"/>
    <w:rsid w:val="007561AE"/>
    <w:rsid w:val="007569C8"/>
    <w:rsid w:val="0075712F"/>
    <w:rsid w:val="00760406"/>
    <w:rsid w:val="00760675"/>
    <w:rsid w:val="007621B6"/>
    <w:rsid w:val="007627EA"/>
    <w:rsid w:val="007628AC"/>
    <w:rsid w:val="00762AAE"/>
    <w:rsid w:val="00763C6A"/>
    <w:rsid w:val="00763F40"/>
    <w:rsid w:val="007650C9"/>
    <w:rsid w:val="007652BC"/>
    <w:rsid w:val="00765BD3"/>
    <w:rsid w:val="007668A9"/>
    <w:rsid w:val="00767DAA"/>
    <w:rsid w:val="007700CB"/>
    <w:rsid w:val="0077013C"/>
    <w:rsid w:val="00770B99"/>
    <w:rsid w:val="00771A55"/>
    <w:rsid w:val="00771F8D"/>
    <w:rsid w:val="00771FC7"/>
    <w:rsid w:val="00774214"/>
    <w:rsid w:val="00774BD2"/>
    <w:rsid w:val="00775590"/>
    <w:rsid w:val="007760B4"/>
    <w:rsid w:val="00776605"/>
    <w:rsid w:val="0077730C"/>
    <w:rsid w:val="00777480"/>
    <w:rsid w:val="00777F24"/>
    <w:rsid w:val="0078004B"/>
    <w:rsid w:val="0078004E"/>
    <w:rsid w:val="007803F0"/>
    <w:rsid w:val="00780643"/>
    <w:rsid w:val="0078160B"/>
    <w:rsid w:val="0078171D"/>
    <w:rsid w:val="007817C9"/>
    <w:rsid w:val="00781925"/>
    <w:rsid w:val="007822E7"/>
    <w:rsid w:val="007831C0"/>
    <w:rsid w:val="00783C76"/>
    <w:rsid w:val="00783F6F"/>
    <w:rsid w:val="00784E19"/>
    <w:rsid w:val="00784E33"/>
    <w:rsid w:val="00785B61"/>
    <w:rsid w:val="00785CFA"/>
    <w:rsid w:val="007864AD"/>
    <w:rsid w:val="007868E0"/>
    <w:rsid w:val="00786F88"/>
    <w:rsid w:val="007870CC"/>
    <w:rsid w:val="007871CD"/>
    <w:rsid w:val="00787478"/>
    <w:rsid w:val="00787E88"/>
    <w:rsid w:val="00790795"/>
    <w:rsid w:val="00791959"/>
    <w:rsid w:val="00791981"/>
    <w:rsid w:val="007921BD"/>
    <w:rsid w:val="0079261E"/>
    <w:rsid w:val="0079266C"/>
    <w:rsid w:val="00792A66"/>
    <w:rsid w:val="00792C60"/>
    <w:rsid w:val="00792D2A"/>
    <w:rsid w:val="00792EC4"/>
    <w:rsid w:val="00792ECD"/>
    <w:rsid w:val="0079304F"/>
    <w:rsid w:val="007934CC"/>
    <w:rsid w:val="00793BBA"/>
    <w:rsid w:val="00793BC3"/>
    <w:rsid w:val="00793F75"/>
    <w:rsid w:val="00794055"/>
    <w:rsid w:val="0079466A"/>
    <w:rsid w:val="00794DF0"/>
    <w:rsid w:val="00796442"/>
    <w:rsid w:val="007966EF"/>
    <w:rsid w:val="00797181"/>
    <w:rsid w:val="00797237"/>
    <w:rsid w:val="00797B24"/>
    <w:rsid w:val="00797BC8"/>
    <w:rsid w:val="007A0375"/>
    <w:rsid w:val="007A15C3"/>
    <w:rsid w:val="007A186F"/>
    <w:rsid w:val="007A18E4"/>
    <w:rsid w:val="007A1962"/>
    <w:rsid w:val="007A1A4E"/>
    <w:rsid w:val="007A1BCB"/>
    <w:rsid w:val="007A2D16"/>
    <w:rsid w:val="007A331A"/>
    <w:rsid w:val="007A3552"/>
    <w:rsid w:val="007A3D30"/>
    <w:rsid w:val="007A4234"/>
    <w:rsid w:val="007A4C99"/>
    <w:rsid w:val="007A509C"/>
    <w:rsid w:val="007A5EF5"/>
    <w:rsid w:val="007A6AA9"/>
    <w:rsid w:val="007A6C3B"/>
    <w:rsid w:val="007A7847"/>
    <w:rsid w:val="007A7A5D"/>
    <w:rsid w:val="007A7DF1"/>
    <w:rsid w:val="007A7FCA"/>
    <w:rsid w:val="007B0C8A"/>
    <w:rsid w:val="007B147E"/>
    <w:rsid w:val="007B188B"/>
    <w:rsid w:val="007B1A5C"/>
    <w:rsid w:val="007B216E"/>
    <w:rsid w:val="007B23EE"/>
    <w:rsid w:val="007B2E05"/>
    <w:rsid w:val="007B3441"/>
    <w:rsid w:val="007B401A"/>
    <w:rsid w:val="007B42A9"/>
    <w:rsid w:val="007B4EDF"/>
    <w:rsid w:val="007B5022"/>
    <w:rsid w:val="007B5BD4"/>
    <w:rsid w:val="007B5C73"/>
    <w:rsid w:val="007B74D5"/>
    <w:rsid w:val="007C008F"/>
    <w:rsid w:val="007C0130"/>
    <w:rsid w:val="007C0313"/>
    <w:rsid w:val="007C0D4B"/>
    <w:rsid w:val="007C0E9D"/>
    <w:rsid w:val="007C31D2"/>
    <w:rsid w:val="007C32FE"/>
    <w:rsid w:val="007C33DC"/>
    <w:rsid w:val="007C3D5B"/>
    <w:rsid w:val="007C3F5C"/>
    <w:rsid w:val="007C525B"/>
    <w:rsid w:val="007C601B"/>
    <w:rsid w:val="007C6CA1"/>
    <w:rsid w:val="007C7616"/>
    <w:rsid w:val="007C7D89"/>
    <w:rsid w:val="007D0416"/>
    <w:rsid w:val="007D0604"/>
    <w:rsid w:val="007D148E"/>
    <w:rsid w:val="007D1533"/>
    <w:rsid w:val="007D1821"/>
    <w:rsid w:val="007D19DE"/>
    <w:rsid w:val="007D23E9"/>
    <w:rsid w:val="007D2B49"/>
    <w:rsid w:val="007D33B1"/>
    <w:rsid w:val="007D5441"/>
    <w:rsid w:val="007D5914"/>
    <w:rsid w:val="007D5DCA"/>
    <w:rsid w:val="007D63DD"/>
    <w:rsid w:val="007D7670"/>
    <w:rsid w:val="007E04CF"/>
    <w:rsid w:val="007E0B53"/>
    <w:rsid w:val="007E22D3"/>
    <w:rsid w:val="007E25E0"/>
    <w:rsid w:val="007E27B7"/>
    <w:rsid w:val="007E3702"/>
    <w:rsid w:val="007E3C31"/>
    <w:rsid w:val="007E3D1F"/>
    <w:rsid w:val="007E43E5"/>
    <w:rsid w:val="007E449A"/>
    <w:rsid w:val="007E5EDD"/>
    <w:rsid w:val="007E76DA"/>
    <w:rsid w:val="007E7A5D"/>
    <w:rsid w:val="007F01CD"/>
    <w:rsid w:val="007F153F"/>
    <w:rsid w:val="007F1CB5"/>
    <w:rsid w:val="007F26D3"/>
    <w:rsid w:val="007F2C43"/>
    <w:rsid w:val="007F30A5"/>
    <w:rsid w:val="007F37EE"/>
    <w:rsid w:val="007F4E61"/>
    <w:rsid w:val="007F5122"/>
    <w:rsid w:val="007F6311"/>
    <w:rsid w:val="007F73EB"/>
    <w:rsid w:val="007F75B2"/>
    <w:rsid w:val="007F7BCA"/>
    <w:rsid w:val="00802789"/>
    <w:rsid w:val="00802D54"/>
    <w:rsid w:val="00803542"/>
    <w:rsid w:val="0080381A"/>
    <w:rsid w:val="00804E19"/>
    <w:rsid w:val="00804FD9"/>
    <w:rsid w:val="00805078"/>
    <w:rsid w:val="0080594B"/>
    <w:rsid w:val="0080683A"/>
    <w:rsid w:val="00806E9F"/>
    <w:rsid w:val="00806FA0"/>
    <w:rsid w:val="00807199"/>
    <w:rsid w:val="008071C8"/>
    <w:rsid w:val="008072F7"/>
    <w:rsid w:val="0081000F"/>
    <w:rsid w:val="0081006B"/>
    <w:rsid w:val="00810285"/>
    <w:rsid w:val="0081048D"/>
    <w:rsid w:val="00810C7A"/>
    <w:rsid w:val="008112AB"/>
    <w:rsid w:val="00811513"/>
    <w:rsid w:val="00811A99"/>
    <w:rsid w:val="00811BFA"/>
    <w:rsid w:val="00812182"/>
    <w:rsid w:val="00812654"/>
    <w:rsid w:val="0081292C"/>
    <w:rsid w:val="00812D6C"/>
    <w:rsid w:val="00812DC6"/>
    <w:rsid w:val="00812EC1"/>
    <w:rsid w:val="00813210"/>
    <w:rsid w:val="008132E2"/>
    <w:rsid w:val="00813621"/>
    <w:rsid w:val="00813A7C"/>
    <w:rsid w:val="00813AEA"/>
    <w:rsid w:val="00814062"/>
    <w:rsid w:val="00814108"/>
    <w:rsid w:val="008145B3"/>
    <w:rsid w:val="008147F1"/>
    <w:rsid w:val="008154B0"/>
    <w:rsid w:val="008161C2"/>
    <w:rsid w:val="008167D6"/>
    <w:rsid w:val="00816A00"/>
    <w:rsid w:val="00816E4C"/>
    <w:rsid w:val="0081742D"/>
    <w:rsid w:val="008179E3"/>
    <w:rsid w:val="00817CD2"/>
    <w:rsid w:val="008212B5"/>
    <w:rsid w:val="00821379"/>
    <w:rsid w:val="00821737"/>
    <w:rsid w:val="00821967"/>
    <w:rsid w:val="00822558"/>
    <w:rsid w:val="00823ADE"/>
    <w:rsid w:val="00823B1B"/>
    <w:rsid w:val="00824120"/>
    <w:rsid w:val="00824A65"/>
    <w:rsid w:val="00825856"/>
    <w:rsid w:val="00825FE0"/>
    <w:rsid w:val="008261EA"/>
    <w:rsid w:val="00826390"/>
    <w:rsid w:val="008265EB"/>
    <w:rsid w:val="00826AA0"/>
    <w:rsid w:val="0082713F"/>
    <w:rsid w:val="00827930"/>
    <w:rsid w:val="00827A52"/>
    <w:rsid w:val="0083005A"/>
    <w:rsid w:val="00830A28"/>
    <w:rsid w:val="00830FC0"/>
    <w:rsid w:val="00831A26"/>
    <w:rsid w:val="00831BC5"/>
    <w:rsid w:val="00831FC6"/>
    <w:rsid w:val="00832743"/>
    <w:rsid w:val="00833223"/>
    <w:rsid w:val="0083373D"/>
    <w:rsid w:val="00835001"/>
    <w:rsid w:val="008350B3"/>
    <w:rsid w:val="00835833"/>
    <w:rsid w:val="00836A3F"/>
    <w:rsid w:val="00837020"/>
    <w:rsid w:val="00837652"/>
    <w:rsid w:val="00837867"/>
    <w:rsid w:val="00840085"/>
    <w:rsid w:val="0084070D"/>
    <w:rsid w:val="00840F47"/>
    <w:rsid w:val="00841AC7"/>
    <w:rsid w:val="0084255E"/>
    <w:rsid w:val="008425CB"/>
    <w:rsid w:val="00842614"/>
    <w:rsid w:val="0084293A"/>
    <w:rsid w:val="00843E5E"/>
    <w:rsid w:val="00844687"/>
    <w:rsid w:val="00844959"/>
    <w:rsid w:val="00844C41"/>
    <w:rsid w:val="00844C96"/>
    <w:rsid w:val="00844DF8"/>
    <w:rsid w:val="008452DD"/>
    <w:rsid w:val="00845B8E"/>
    <w:rsid w:val="00845BE3"/>
    <w:rsid w:val="00845EBA"/>
    <w:rsid w:val="00845FFD"/>
    <w:rsid w:val="00846F35"/>
    <w:rsid w:val="00846F5E"/>
    <w:rsid w:val="00847455"/>
    <w:rsid w:val="00850270"/>
    <w:rsid w:val="008505DB"/>
    <w:rsid w:val="00850A1D"/>
    <w:rsid w:val="00850A97"/>
    <w:rsid w:val="00851EEA"/>
    <w:rsid w:val="00852269"/>
    <w:rsid w:val="00852885"/>
    <w:rsid w:val="00852D6F"/>
    <w:rsid w:val="00852E0E"/>
    <w:rsid w:val="0085497C"/>
    <w:rsid w:val="00854AEC"/>
    <w:rsid w:val="00855291"/>
    <w:rsid w:val="00855D57"/>
    <w:rsid w:val="0085603A"/>
    <w:rsid w:val="00856885"/>
    <w:rsid w:val="00856E55"/>
    <w:rsid w:val="00857575"/>
    <w:rsid w:val="008578EF"/>
    <w:rsid w:val="008579F6"/>
    <w:rsid w:val="00860D23"/>
    <w:rsid w:val="0086196D"/>
    <w:rsid w:val="0086244F"/>
    <w:rsid w:val="0086258D"/>
    <w:rsid w:val="008628F6"/>
    <w:rsid w:val="00864D20"/>
    <w:rsid w:val="00865DD1"/>
    <w:rsid w:val="00866793"/>
    <w:rsid w:val="00867073"/>
    <w:rsid w:val="00867326"/>
    <w:rsid w:val="0086789A"/>
    <w:rsid w:val="00867B04"/>
    <w:rsid w:val="00867D79"/>
    <w:rsid w:val="00867F0F"/>
    <w:rsid w:val="0087098A"/>
    <w:rsid w:val="00870B7C"/>
    <w:rsid w:val="00870E99"/>
    <w:rsid w:val="00871C9D"/>
    <w:rsid w:val="008730B6"/>
    <w:rsid w:val="008737D8"/>
    <w:rsid w:val="00873F62"/>
    <w:rsid w:val="008752F1"/>
    <w:rsid w:val="00875793"/>
    <w:rsid w:val="008762F6"/>
    <w:rsid w:val="00876881"/>
    <w:rsid w:val="008768D4"/>
    <w:rsid w:val="00876C7D"/>
    <w:rsid w:val="00880D8A"/>
    <w:rsid w:val="00880DD5"/>
    <w:rsid w:val="00881164"/>
    <w:rsid w:val="00881BE0"/>
    <w:rsid w:val="00881C05"/>
    <w:rsid w:val="00881C4D"/>
    <w:rsid w:val="00881D23"/>
    <w:rsid w:val="00882D53"/>
    <w:rsid w:val="008835AE"/>
    <w:rsid w:val="00884A52"/>
    <w:rsid w:val="0088534B"/>
    <w:rsid w:val="00885B9B"/>
    <w:rsid w:val="00885BE8"/>
    <w:rsid w:val="00885F62"/>
    <w:rsid w:val="008860E6"/>
    <w:rsid w:val="00886220"/>
    <w:rsid w:val="00886C2B"/>
    <w:rsid w:val="00886E99"/>
    <w:rsid w:val="008871D5"/>
    <w:rsid w:val="00887721"/>
    <w:rsid w:val="008878BC"/>
    <w:rsid w:val="00890245"/>
    <w:rsid w:val="008923A4"/>
    <w:rsid w:val="0089277C"/>
    <w:rsid w:val="00892F72"/>
    <w:rsid w:val="008931AB"/>
    <w:rsid w:val="0089370C"/>
    <w:rsid w:val="00893FEB"/>
    <w:rsid w:val="008951AD"/>
    <w:rsid w:val="00895A95"/>
    <w:rsid w:val="00895BFD"/>
    <w:rsid w:val="008968D7"/>
    <w:rsid w:val="0089692A"/>
    <w:rsid w:val="008972A4"/>
    <w:rsid w:val="008A033F"/>
    <w:rsid w:val="008A1A91"/>
    <w:rsid w:val="008A1EB4"/>
    <w:rsid w:val="008A1F0F"/>
    <w:rsid w:val="008A24B4"/>
    <w:rsid w:val="008A262D"/>
    <w:rsid w:val="008A26A2"/>
    <w:rsid w:val="008A2C0C"/>
    <w:rsid w:val="008A327A"/>
    <w:rsid w:val="008A36C1"/>
    <w:rsid w:val="008A3A0F"/>
    <w:rsid w:val="008A3B30"/>
    <w:rsid w:val="008A3BA7"/>
    <w:rsid w:val="008A3BB9"/>
    <w:rsid w:val="008A4F85"/>
    <w:rsid w:val="008A6DCD"/>
    <w:rsid w:val="008A6E81"/>
    <w:rsid w:val="008A7CC5"/>
    <w:rsid w:val="008B0747"/>
    <w:rsid w:val="008B095D"/>
    <w:rsid w:val="008B0CAF"/>
    <w:rsid w:val="008B12E5"/>
    <w:rsid w:val="008B2A15"/>
    <w:rsid w:val="008B2B6C"/>
    <w:rsid w:val="008B31CE"/>
    <w:rsid w:val="008B35A0"/>
    <w:rsid w:val="008B469C"/>
    <w:rsid w:val="008B498F"/>
    <w:rsid w:val="008B56B5"/>
    <w:rsid w:val="008B5B9F"/>
    <w:rsid w:val="008B5E74"/>
    <w:rsid w:val="008B5F51"/>
    <w:rsid w:val="008B69C1"/>
    <w:rsid w:val="008B6FB8"/>
    <w:rsid w:val="008B7749"/>
    <w:rsid w:val="008C005E"/>
    <w:rsid w:val="008C0CD7"/>
    <w:rsid w:val="008C11F8"/>
    <w:rsid w:val="008C1A3C"/>
    <w:rsid w:val="008C1A93"/>
    <w:rsid w:val="008C2131"/>
    <w:rsid w:val="008C255D"/>
    <w:rsid w:val="008C2BE2"/>
    <w:rsid w:val="008C3170"/>
    <w:rsid w:val="008C32E4"/>
    <w:rsid w:val="008C338F"/>
    <w:rsid w:val="008C359D"/>
    <w:rsid w:val="008C4B39"/>
    <w:rsid w:val="008C51F4"/>
    <w:rsid w:val="008C6555"/>
    <w:rsid w:val="008C65DF"/>
    <w:rsid w:val="008C68A9"/>
    <w:rsid w:val="008C6F1C"/>
    <w:rsid w:val="008C72B9"/>
    <w:rsid w:val="008C76CD"/>
    <w:rsid w:val="008C7718"/>
    <w:rsid w:val="008C79F4"/>
    <w:rsid w:val="008D0AE4"/>
    <w:rsid w:val="008D1515"/>
    <w:rsid w:val="008D1541"/>
    <w:rsid w:val="008D4C40"/>
    <w:rsid w:val="008D54E0"/>
    <w:rsid w:val="008D59FF"/>
    <w:rsid w:val="008D5B4B"/>
    <w:rsid w:val="008D5EB8"/>
    <w:rsid w:val="008D614E"/>
    <w:rsid w:val="008D639F"/>
    <w:rsid w:val="008D67A5"/>
    <w:rsid w:val="008D6D71"/>
    <w:rsid w:val="008D75E9"/>
    <w:rsid w:val="008D77DB"/>
    <w:rsid w:val="008E1D46"/>
    <w:rsid w:val="008E24F6"/>
    <w:rsid w:val="008E2879"/>
    <w:rsid w:val="008E3843"/>
    <w:rsid w:val="008E39B7"/>
    <w:rsid w:val="008E39EB"/>
    <w:rsid w:val="008E4406"/>
    <w:rsid w:val="008E493E"/>
    <w:rsid w:val="008E5087"/>
    <w:rsid w:val="008E532E"/>
    <w:rsid w:val="008E6AC5"/>
    <w:rsid w:val="008E796F"/>
    <w:rsid w:val="008E7C87"/>
    <w:rsid w:val="008E7FFA"/>
    <w:rsid w:val="008F0708"/>
    <w:rsid w:val="008F0E62"/>
    <w:rsid w:val="008F1319"/>
    <w:rsid w:val="008F13D1"/>
    <w:rsid w:val="008F1A67"/>
    <w:rsid w:val="008F1C35"/>
    <w:rsid w:val="008F1DE7"/>
    <w:rsid w:val="008F1EF7"/>
    <w:rsid w:val="008F207C"/>
    <w:rsid w:val="008F241E"/>
    <w:rsid w:val="008F32E4"/>
    <w:rsid w:val="008F4CCC"/>
    <w:rsid w:val="008F4DD2"/>
    <w:rsid w:val="008F54ED"/>
    <w:rsid w:val="008F5FD1"/>
    <w:rsid w:val="008F6DCB"/>
    <w:rsid w:val="008F726E"/>
    <w:rsid w:val="008F7681"/>
    <w:rsid w:val="008F7C67"/>
    <w:rsid w:val="008F7CDF"/>
    <w:rsid w:val="008F7D2D"/>
    <w:rsid w:val="008F7F89"/>
    <w:rsid w:val="00900134"/>
    <w:rsid w:val="0090016F"/>
    <w:rsid w:val="00901182"/>
    <w:rsid w:val="00901ED2"/>
    <w:rsid w:val="00902104"/>
    <w:rsid w:val="0090225E"/>
    <w:rsid w:val="00903857"/>
    <w:rsid w:val="009040CF"/>
    <w:rsid w:val="00904179"/>
    <w:rsid w:val="00904A27"/>
    <w:rsid w:val="00904D1C"/>
    <w:rsid w:val="009054C4"/>
    <w:rsid w:val="00905973"/>
    <w:rsid w:val="00905BC3"/>
    <w:rsid w:val="0090630B"/>
    <w:rsid w:val="00906C7F"/>
    <w:rsid w:val="00910583"/>
    <w:rsid w:val="00910ED2"/>
    <w:rsid w:val="00911086"/>
    <w:rsid w:val="00911BEF"/>
    <w:rsid w:val="00911C1F"/>
    <w:rsid w:val="009125BB"/>
    <w:rsid w:val="00913E36"/>
    <w:rsid w:val="009145B4"/>
    <w:rsid w:val="0091543B"/>
    <w:rsid w:val="009158DC"/>
    <w:rsid w:val="0091673E"/>
    <w:rsid w:val="00916A4F"/>
    <w:rsid w:val="00916CC6"/>
    <w:rsid w:val="009172AE"/>
    <w:rsid w:val="009175F4"/>
    <w:rsid w:val="00917DED"/>
    <w:rsid w:val="00920131"/>
    <w:rsid w:val="00921FF9"/>
    <w:rsid w:val="00922737"/>
    <w:rsid w:val="00922787"/>
    <w:rsid w:val="0092297D"/>
    <w:rsid w:val="00922B7C"/>
    <w:rsid w:val="00922D6C"/>
    <w:rsid w:val="00923861"/>
    <w:rsid w:val="0092587B"/>
    <w:rsid w:val="009258B0"/>
    <w:rsid w:val="009258D8"/>
    <w:rsid w:val="00925A5D"/>
    <w:rsid w:val="00926092"/>
    <w:rsid w:val="00926AF8"/>
    <w:rsid w:val="00926E36"/>
    <w:rsid w:val="00927427"/>
    <w:rsid w:val="00927F14"/>
    <w:rsid w:val="00931FC8"/>
    <w:rsid w:val="00933A10"/>
    <w:rsid w:val="0093404D"/>
    <w:rsid w:val="009347FF"/>
    <w:rsid w:val="00934A51"/>
    <w:rsid w:val="00935C6B"/>
    <w:rsid w:val="00936A61"/>
    <w:rsid w:val="00936E25"/>
    <w:rsid w:val="009376CB"/>
    <w:rsid w:val="00937B71"/>
    <w:rsid w:val="00937FE2"/>
    <w:rsid w:val="009423D7"/>
    <w:rsid w:val="00943753"/>
    <w:rsid w:val="0094444C"/>
    <w:rsid w:val="009444D9"/>
    <w:rsid w:val="00944D93"/>
    <w:rsid w:val="00946021"/>
    <w:rsid w:val="0094780D"/>
    <w:rsid w:val="009500DA"/>
    <w:rsid w:val="00950546"/>
    <w:rsid w:val="0095080D"/>
    <w:rsid w:val="0095231E"/>
    <w:rsid w:val="009525BD"/>
    <w:rsid w:val="009525FB"/>
    <w:rsid w:val="00952723"/>
    <w:rsid w:val="0095290C"/>
    <w:rsid w:val="009530DE"/>
    <w:rsid w:val="0095320F"/>
    <w:rsid w:val="0095338D"/>
    <w:rsid w:val="009534F2"/>
    <w:rsid w:val="00953BA5"/>
    <w:rsid w:val="00953F17"/>
    <w:rsid w:val="0095558C"/>
    <w:rsid w:val="00956317"/>
    <w:rsid w:val="0095774C"/>
    <w:rsid w:val="009577A9"/>
    <w:rsid w:val="00961265"/>
    <w:rsid w:val="009614BD"/>
    <w:rsid w:val="009615B2"/>
    <w:rsid w:val="009617BD"/>
    <w:rsid w:val="00962188"/>
    <w:rsid w:val="0096230F"/>
    <w:rsid w:val="009629B9"/>
    <w:rsid w:val="00963210"/>
    <w:rsid w:val="00963BE5"/>
    <w:rsid w:val="0096411E"/>
    <w:rsid w:val="00964609"/>
    <w:rsid w:val="009646AD"/>
    <w:rsid w:val="00964915"/>
    <w:rsid w:val="0096507E"/>
    <w:rsid w:val="00965776"/>
    <w:rsid w:val="009657D5"/>
    <w:rsid w:val="00966BF5"/>
    <w:rsid w:val="00966E89"/>
    <w:rsid w:val="009700DF"/>
    <w:rsid w:val="0097060C"/>
    <w:rsid w:val="00970908"/>
    <w:rsid w:val="00970FD0"/>
    <w:rsid w:val="0097112F"/>
    <w:rsid w:val="0097130D"/>
    <w:rsid w:val="00973550"/>
    <w:rsid w:val="009739E9"/>
    <w:rsid w:val="00973A73"/>
    <w:rsid w:val="00973C1E"/>
    <w:rsid w:val="0097420B"/>
    <w:rsid w:val="0097463E"/>
    <w:rsid w:val="009747C2"/>
    <w:rsid w:val="0097516C"/>
    <w:rsid w:val="009759C8"/>
    <w:rsid w:val="009766AE"/>
    <w:rsid w:val="00977011"/>
    <w:rsid w:val="00977E7B"/>
    <w:rsid w:val="00980BE9"/>
    <w:rsid w:val="00981359"/>
    <w:rsid w:val="00981A9D"/>
    <w:rsid w:val="00982473"/>
    <w:rsid w:val="00982E7A"/>
    <w:rsid w:val="00983EB8"/>
    <w:rsid w:val="0098423B"/>
    <w:rsid w:val="00984DC2"/>
    <w:rsid w:val="009851D3"/>
    <w:rsid w:val="00985CDB"/>
    <w:rsid w:val="00986A01"/>
    <w:rsid w:val="00986EE5"/>
    <w:rsid w:val="00987839"/>
    <w:rsid w:val="009916E0"/>
    <w:rsid w:val="00991D8D"/>
    <w:rsid w:val="00992133"/>
    <w:rsid w:val="009923D3"/>
    <w:rsid w:val="009924E8"/>
    <w:rsid w:val="00992BF4"/>
    <w:rsid w:val="00993130"/>
    <w:rsid w:val="00993B28"/>
    <w:rsid w:val="00993ECD"/>
    <w:rsid w:val="00995590"/>
    <w:rsid w:val="009964CD"/>
    <w:rsid w:val="00996579"/>
    <w:rsid w:val="00996F5D"/>
    <w:rsid w:val="00997428"/>
    <w:rsid w:val="009977B4"/>
    <w:rsid w:val="00997812"/>
    <w:rsid w:val="009A0C75"/>
    <w:rsid w:val="009A10B1"/>
    <w:rsid w:val="009A17C4"/>
    <w:rsid w:val="009A1913"/>
    <w:rsid w:val="009A196C"/>
    <w:rsid w:val="009A2B11"/>
    <w:rsid w:val="009A3EEC"/>
    <w:rsid w:val="009A3F15"/>
    <w:rsid w:val="009A49D5"/>
    <w:rsid w:val="009A49DA"/>
    <w:rsid w:val="009A5396"/>
    <w:rsid w:val="009A599F"/>
    <w:rsid w:val="009A68DC"/>
    <w:rsid w:val="009A70E7"/>
    <w:rsid w:val="009A73F8"/>
    <w:rsid w:val="009B0AB7"/>
    <w:rsid w:val="009B194C"/>
    <w:rsid w:val="009B24BE"/>
    <w:rsid w:val="009B264B"/>
    <w:rsid w:val="009B2AD6"/>
    <w:rsid w:val="009B2DE2"/>
    <w:rsid w:val="009B2E2A"/>
    <w:rsid w:val="009B3657"/>
    <w:rsid w:val="009B37E2"/>
    <w:rsid w:val="009B3986"/>
    <w:rsid w:val="009B437F"/>
    <w:rsid w:val="009B4E22"/>
    <w:rsid w:val="009B5047"/>
    <w:rsid w:val="009B5199"/>
    <w:rsid w:val="009B57EB"/>
    <w:rsid w:val="009B5A1C"/>
    <w:rsid w:val="009B5A24"/>
    <w:rsid w:val="009B5BD2"/>
    <w:rsid w:val="009B6106"/>
    <w:rsid w:val="009B624F"/>
    <w:rsid w:val="009B6399"/>
    <w:rsid w:val="009B6F3A"/>
    <w:rsid w:val="009B736E"/>
    <w:rsid w:val="009B7CB9"/>
    <w:rsid w:val="009C0222"/>
    <w:rsid w:val="009C05F9"/>
    <w:rsid w:val="009C071B"/>
    <w:rsid w:val="009C0780"/>
    <w:rsid w:val="009C1331"/>
    <w:rsid w:val="009C20CC"/>
    <w:rsid w:val="009C23B6"/>
    <w:rsid w:val="009C2B46"/>
    <w:rsid w:val="009C380E"/>
    <w:rsid w:val="009C3B2C"/>
    <w:rsid w:val="009C4FA8"/>
    <w:rsid w:val="009C570E"/>
    <w:rsid w:val="009C6763"/>
    <w:rsid w:val="009C7147"/>
    <w:rsid w:val="009C718A"/>
    <w:rsid w:val="009C783F"/>
    <w:rsid w:val="009D024A"/>
    <w:rsid w:val="009D0959"/>
    <w:rsid w:val="009D127D"/>
    <w:rsid w:val="009D258A"/>
    <w:rsid w:val="009D29C1"/>
    <w:rsid w:val="009D2B29"/>
    <w:rsid w:val="009D44F3"/>
    <w:rsid w:val="009D4762"/>
    <w:rsid w:val="009D487B"/>
    <w:rsid w:val="009D4C1F"/>
    <w:rsid w:val="009D4C33"/>
    <w:rsid w:val="009D4EA4"/>
    <w:rsid w:val="009D4F54"/>
    <w:rsid w:val="009D6CF6"/>
    <w:rsid w:val="009D6F7F"/>
    <w:rsid w:val="009E0950"/>
    <w:rsid w:val="009E17C4"/>
    <w:rsid w:val="009E21C8"/>
    <w:rsid w:val="009E229E"/>
    <w:rsid w:val="009E25ED"/>
    <w:rsid w:val="009E2D0E"/>
    <w:rsid w:val="009E4016"/>
    <w:rsid w:val="009E428D"/>
    <w:rsid w:val="009E4C4E"/>
    <w:rsid w:val="009E51CC"/>
    <w:rsid w:val="009E5ACA"/>
    <w:rsid w:val="009E659A"/>
    <w:rsid w:val="009E6C76"/>
    <w:rsid w:val="009E730B"/>
    <w:rsid w:val="009E76EA"/>
    <w:rsid w:val="009F0545"/>
    <w:rsid w:val="009F084F"/>
    <w:rsid w:val="009F13F6"/>
    <w:rsid w:val="009F1EE4"/>
    <w:rsid w:val="009F289E"/>
    <w:rsid w:val="009F3385"/>
    <w:rsid w:val="009F3AAF"/>
    <w:rsid w:val="009F4510"/>
    <w:rsid w:val="009F4713"/>
    <w:rsid w:val="009F4935"/>
    <w:rsid w:val="009F5ED5"/>
    <w:rsid w:val="009F6805"/>
    <w:rsid w:val="009F6A47"/>
    <w:rsid w:val="009F709A"/>
    <w:rsid w:val="009F70C2"/>
    <w:rsid w:val="00A002ED"/>
    <w:rsid w:val="00A00E09"/>
    <w:rsid w:val="00A01492"/>
    <w:rsid w:val="00A017C3"/>
    <w:rsid w:val="00A021B3"/>
    <w:rsid w:val="00A02B4B"/>
    <w:rsid w:val="00A03B28"/>
    <w:rsid w:val="00A03E30"/>
    <w:rsid w:val="00A04A9F"/>
    <w:rsid w:val="00A05052"/>
    <w:rsid w:val="00A05646"/>
    <w:rsid w:val="00A06D2D"/>
    <w:rsid w:val="00A07DDF"/>
    <w:rsid w:val="00A07F12"/>
    <w:rsid w:val="00A101B4"/>
    <w:rsid w:val="00A104D1"/>
    <w:rsid w:val="00A10D99"/>
    <w:rsid w:val="00A11767"/>
    <w:rsid w:val="00A11788"/>
    <w:rsid w:val="00A1209C"/>
    <w:rsid w:val="00A12542"/>
    <w:rsid w:val="00A12FB6"/>
    <w:rsid w:val="00A135C0"/>
    <w:rsid w:val="00A1386E"/>
    <w:rsid w:val="00A13E2A"/>
    <w:rsid w:val="00A144F4"/>
    <w:rsid w:val="00A146E4"/>
    <w:rsid w:val="00A14E01"/>
    <w:rsid w:val="00A16811"/>
    <w:rsid w:val="00A169E1"/>
    <w:rsid w:val="00A16CBD"/>
    <w:rsid w:val="00A20978"/>
    <w:rsid w:val="00A21E19"/>
    <w:rsid w:val="00A223D7"/>
    <w:rsid w:val="00A22829"/>
    <w:rsid w:val="00A22C72"/>
    <w:rsid w:val="00A22CFD"/>
    <w:rsid w:val="00A23229"/>
    <w:rsid w:val="00A249A1"/>
    <w:rsid w:val="00A252CF"/>
    <w:rsid w:val="00A25807"/>
    <w:rsid w:val="00A26722"/>
    <w:rsid w:val="00A26D49"/>
    <w:rsid w:val="00A27A56"/>
    <w:rsid w:val="00A27B13"/>
    <w:rsid w:val="00A27B94"/>
    <w:rsid w:val="00A3054C"/>
    <w:rsid w:val="00A305F3"/>
    <w:rsid w:val="00A31325"/>
    <w:rsid w:val="00A31895"/>
    <w:rsid w:val="00A32143"/>
    <w:rsid w:val="00A32D78"/>
    <w:rsid w:val="00A32F6B"/>
    <w:rsid w:val="00A332EA"/>
    <w:rsid w:val="00A33346"/>
    <w:rsid w:val="00A33BC6"/>
    <w:rsid w:val="00A34055"/>
    <w:rsid w:val="00A3523C"/>
    <w:rsid w:val="00A35440"/>
    <w:rsid w:val="00A36B55"/>
    <w:rsid w:val="00A36E5D"/>
    <w:rsid w:val="00A37496"/>
    <w:rsid w:val="00A37647"/>
    <w:rsid w:val="00A378A2"/>
    <w:rsid w:val="00A37CE4"/>
    <w:rsid w:val="00A37F77"/>
    <w:rsid w:val="00A4006B"/>
    <w:rsid w:val="00A40894"/>
    <w:rsid w:val="00A4138F"/>
    <w:rsid w:val="00A414C3"/>
    <w:rsid w:val="00A419D6"/>
    <w:rsid w:val="00A423D4"/>
    <w:rsid w:val="00A424BE"/>
    <w:rsid w:val="00A435DA"/>
    <w:rsid w:val="00A448C0"/>
    <w:rsid w:val="00A44926"/>
    <w:rsid w:val="00A44E9C"/>
    <w:rsid w:val="00A44FD5"/>
    <w:rsid w:val="00A45350"/>
    <w:rsid w:val="00A45DC5"/>
    <w:rsid w:val="00A477A5"/>
    <w:rsid w:val="00A5075F"/>
    <w:rsid w:val="00A51033"/>
    <w:rsid w:val="00A516CB"/>
    <w:rsid w:val="00A516E0"/>
    <w:rsid w:val="00A51F82"/>
    <w:rsid w:val="00A524BB"/>
    <w:rsid w:val="00A532C8"/>
    <w:rsid w:val="00A53A34"/>
    <w:rsid w:val="00A53EB2"/>
    <w:rsid w:val="00A53FDE"/>
    <w:rsid w:val="00A5445B"/>
    <w:rsid w:val="00A54CD3"/>
    <w:rsid w:val="00A55059"/>
    <w:rsid w:val="00A5508E"/>
    <w:rsid w:val="00A55671"/>
    <w:rsid w:val="00A55CDE"/>
    <w:rsid w:val="00A55F48"/>
    <w:rsid w:val="00A560DB"/>
    <w:rsid w:val="00A560E7"/>
    <w:rsid w:val="00A56110"/>
    <w:rsid w:val="00A5658A"/>
    <w:rsid w:val="00A5669D"/>
    <w:rsid w:val="00A56FA3"/>
    <w:rsid w:val="00A575AE"/>
    <w:rsid w:val="00A5795C"/>
    <w:rsid w:val="00A57BBB"/>
    <w:rsid w:val="00A60090"/>
    <w:rsid w:val="00A60C78"/>
    <w:rsid w:val="00A6127E"/>
    <w:rsid w:val="00A615DE"/>
    <w:rsid w:val="00A61B43"/>
    <w:rsid w:val="00A61C56"/>
    <w:rsid w:val="00A62343"/>
    <w:rsid w:val="00A62834"/>
    <w:rsid w:val="00A63A0F"/>
    <w:rsid w:val="00A6447B"/>
    <w:rsid w:val="00A64E52"/>
    <w:rsid w:val="00A64F7E"/>
    <w:rsid w:val="00A6587B"/>
    <w:rsid w:val="00A65B8B"/>
    <w:rsid w:val="00A65D09"/>
    <w:rsid w:val="00A6604D"/>
    <w:rsid w:val="00A664A7"/>
    <w:rsid w:val="00A66514"/>
    <w:rsid w:val="00A66AE0"/>
    <w:rsid w:val="00A670D5"/>
    <w:rsid w:val="00A67257"/>
    <w:rsid w:val="00A6788E"/>
    <w:rsid w:val="00A67940"/>
    <w:rsid w:val="00A70A69"/>
    <w:rsid w:val="00A71E0B"/>
    <w:rsid w:val="00A71FE0"/>
    <w:rsid w:val="00A722B0"/>
    <w:rsid w:val="00A72314"/>
    <w:rsid w:val="00A7271B"/>
    <w:rsid w:val="00A7353A"/>
    <w:rsid w:val="00A73926"/>
    <w:rsid w:val="00A73A97"/>
    <w:rsid w:val="00A74318"/>
    <w:rsid w:val="00A749A4"/>
    <w:rsid w:val="00A74E70"/>
    <w:rsid w:val="00A758A8"/>
    <w:rsid w:val="00A76591"/>
    <w:rsid w:val="00A76962"/>
    <w:rsid w:val="00A76E17"/>
    <w:rsid w:val="00A77C67"/>
    <w:rsid w:val="00A80176"/>
    <w:rsid w:val="00A80934"/>
    <w:rsid w:val="00A80DB8"/>
    <w:rsid w:val="00A81A34"/>
    <w:rsid w:val="00A81E7D"/>
    <w:rsid w:val="00A828EE"/>
    <w:rsid w:val="00A834B8"/>
    <w:rsid w:val="00A83F03"/>
    <w:rsid w:val="00A85266"/>
    <w:rsid w:val="00A85BAE"/>
    <w:rsid w:val="00A866AA"/>
    <w:rsid w:val="00A86E94"/>
    <w:rsid w:val="00A86F1A"/>
    <w:rsid w:val="00A87C76"/>
    <w:rsid w:val="00A90476"/>
    <w:rsid w:val="00A90AA7"/>
    <w:rsid w:val="00A90BBA"/>
    <w:rsid w:val="00A90F3E"/>
    <w:rsid w:val="00A91156"/>
    <w:rsid w:val="00A912F4"/>
    <w:rsid w:val="00A91711"/>
    <w:rsid w:val="00A91B7D"/>
    <w:rsid w:val="00A9222E"/>
    <w:rsid w:val="00A9275F"/>
    <w:rsid w:val="00A92DDF"/>
    <w:rsid w:val="00A935B0"/>
    <w:rsid w:val="00A93921"/>
    <w:rsid w:val="00A93F00"/>
    <w:rsid w:val="00A944FE"/>
    <w:rsid w:val="00A95202"/>
    <w:rsid w:val="00A95B86"/>
    <w:rsid w:val="00A95BC1"/>
    <w:rsid w:val="00A95D86"/>
    <w:rsid w:val="00A96322"/>
    <w:rsid w:val="00A96C73"/>
    <w:rsid w:val="00A97031"/>
    <w:rsid w:val="00A970E4"/>
    <w:rsid w:val="00A97A1D"/>
    <w:rsid w:val="00A97F0C"/>
    <w:rsid w:val="00AA1246"/>
    <w:rsid w:val="00AA1523"/>
    <w:rsid w:val="00AA17B4"/>
    <w:rsid w:val="00AA1BEC"/>
    <w:rsid w:val="00AA20C9"/>
    <w:rsid w:val="00AA2141"/>
    <w:rsid w:val="00AA2FC1"/>
    <w:rsid w:val="00AA381D"/>
    <w:rsid w:val="00AA449B"/>
    <w:rsid w:val="00AA50D8"/>
    <w:rsid w:val="00AA51AB"/>
    <w:rsid w:val="00AA521E"/>
    <w:rsid w:val="00AA5524"/>
    <w:rsid w:val="00AA58CC"/>
    <w:rsid w:val="00AA59E6"/>
    <w:rsid w:val="00AA5CBD"/>
    <w:rsid w:val="00AA622B"/>
    <w:rsid w:val="00AA6768"/>
    <w:rsid w:val="00AA6892"/>
    <w:rsid w:val="00AA75ED"/>
    <w:rsid w:val="00AA7C70"/>
    <w:rsid w:val="00AB006B"/>
    <w:rsid w:val="00AB01B4"/>
    <w:rsid w:val="00AB0BF4"/>
    <w:rsid w:val="00AB0E28"/>
    <w:rsid w:val="00AB1AF5"/>
    <w:rsid w:val="00AB2396"/>
    <w:rsid w:val="00AB2901"/>
    <w:rsid w:val="00AB352A"/>
    <w:rsid w:val="00AB3554"/>
    <w:rsid w:val="00AB43F3"/>
    <w:rsid w:val="00AB44BC"/>
    <w:rsid w:val="00AB4B0B"/>
    <w:rsid w:val="00AB4B95"/>
    <w:rsid w:val="00AB4F46"/>
    <w:rsid w:val="00AB5159"/>
    <w:rsid w:val="00AB5BF3"/>
    <w:rsid w:val="00AB6A9C"/>
    <w:rsid w:val="00AB7F1A"/>
    <w:rsid w:val="00AC0C08"/>
    <w:rsid w:val="00AC2784"/>
    <w:rsid w:val="00AC3DF3"/>
    <w:rsid w:val="00AC4269"/>
    <w:rsid w:val="00AC46A5"/>
    <w:rsid w:val="00AC4944"/>
    <w:rsid w:val="00AC4F7E"/>
    <w:rsid w:val="00AC519C"/>
    <w:rsid w:val="00AC52DF"/>
    <w:rsid w:val="00AC56C3"/>
    <w:rsid w:val="00AC5EF8"/>
    <w:rsid w:val="00AC62E0"/>
    <w:rsid w:val="00AC65A2"/>
    <w:rsid w:val="00AC69B5"/>
    <w:rsid w:val="00AC6B82"/>
    <w:rsid w:val="00AC7273"/>
    <w:rsid w:val="00AC73D4"/>
    <w:rsid w:val="00AC77B2"/>
    <w:rsid w:val="00AD04CB"/>
    <w:rsid w:val="00AD0E0D"/>
    <w:rsid w:val="00AD18AD"/>
    <w:rsid w:val="00AD19CC"/>
    <w:rsid w:val="00AD1A61"/>
    <w:rsid w:val="00AD1AAD"/>
    <w:rsid w:val="00AD2513"/>
    <w:rsid w:val="00AD287C"/>
    <w:rsid w:val="00AD2A08"/>
    <w:rsid w:val="00AD2DB6"/>
    <w:rsid w:val="00AD3273"/>
    <w:rsid w:val="00AD3FFC"/>
    <w:rsid w:val="00AD4657"/>
    <w:rsid w:val="00AD4A06"/>
    <w:rsid w:val="00AD4ABE"/>
    <w:rsid w:val="00AD4BBC"/>
    <w:rsid w:val="00AD519B"/>
    <w:rsid w:val="00AD54D9"/>
    <w:rsid w:val="00AD55D6"/>
    <w:rsid w:val="00AD5A3D"/>
    <w:rsid w:val="00AD5D43"/>
    <w:rsid w:val="00AD5FD2"/>
    <w:rsid w:val="00AD681E"/>
    <w:rsid w:val="00AD687A"/>
    <w:rsid w:val="00AD6DC4"/>
    <w:rsid w:val="00AD6E17"/>
    <w:rsid w:val="00AD6FE7"/>
    <w:rsid w:val="00AD7707"/>
    <w:rsid w:val="00AD7A54"/>
    <w:rsid w:val="00AE0BCB"/>
    <w:rsid w:val="00AE0C6A"/>
    <w:rsid w:val="00AE1708"/>
    <w:rsid w:val="00AE1A5F"/>
    <w:rsid w:val="00AE23F9"/>
    <w:rsid w:val="00AE2BD3"/>
    <w:rsid w:val="00AE2D88"/>
    <w:rsid w:val="00AE33AB"/>
    <w:rsid w:val="00AE3C03"/>
    <w:rsid w:val="00AE51CC"/>
    <w:rsid w:val="00AE583D"/>
    <w:rsid w:val="00AE5ED4"/>
    <w:rsid w:val="00AE7D54"/>
    <w:rsid w:val="00AF0EB2"/>
    <w:rsid w:val="00AF10AA"/>
    <w:rsid w:val="00AF3340"/>
    <w:rsid w:val="00AF34E3"/>
    <w:rsid w:val="00AF36CA"/>
    <w:rsid w:val="00AF3FB4"/>
    <w:rsid w:val="00AF46F7"/>
    <w:rsid w:val="00AF4A32"/>
    <w:rsid w:val="00AF4DC3"/>
    <w:rsid w:val="00AF58F3"/>
    <w:rsid w:val="00AF5B3E"/>
    <w:rsid w:val="00AF5BDC"/>
    <w:rsid w:val="00AF69DA"/>
    <w:rsid w:val="00AF6A54"/>
    <w:rsid w:val="00AF6ECD"/>
    <w:rsid w:val="00AF733A"/>
    <w:rsid w:val="00AF7BB4"/>
    <w:rsid w:val="00AF7CA3"/>
    <w:rsid w:val="00B00199"/>
    <w:rsid w:val="00B006F4"/>
    <w:rsid w:val="00B00C37"/>
    <w:rsid w:val="00B00CE1"/>
    <w:rsid w:val="00B011A6"/>
    <w:rsid w:val="00B0171F"/>
    <w:rsid w:val="00B01B3C"/>
    <w:rsid w:val="00B02438"/>
    <w:rsid w:val="00B02E0F"/>
    <w:rsid w:val="00B034C5"/>
    <w:rsid w:val="00B03E80"/>
    <w:rsid w:val="00B03EF1"/>
    <w:rsid w:val="00B03FC3"/>
    <w:rsid w:val="00B0406B"/>
    <w:rsid w:val="00B050F5"/>
    <w:rsid w:val="00B056B5"/>
    <w:rsid w:val="00B0573D"/>
    <w:rsid w:val="00B05C63"/>
    <w:rsid w:val="00B0665C"/>
    <w:rsid w:val="00B07898"/>
    <w:rsid w:val="00B103AF"/>
    <w:rsid w:val="00B1088C"/>
    <w:rsid w:val="00B10F0E"/>
    <w:rsid w:val="00B11D32"/>
    <w:rsid w:val="00B11DC7"/>
    <w:rsid w:val="00B1209F"/>
    <w:rsid w:val="00B12A85"/>
    <w:rsid w:val="00B12CFB"/>
    <w:rsid w:val="00B12D29"/>
    <w:rsid w:val="00B13520"/>
    <w:rsid w:val="00B1373E"/>
    <w:rsid w:val="00B14139"/>
    <w:rsid w:val="00B144C0"/>
    <w:rsid w:val="00B15ABC"/>
    <w:rsid w:val="00B15C0D"/>
    <w:rsid w:val="00B1648D"/>
    <w:rsid w:val="00B165D5"/>
    <w:rsid w:val="00B1693B"/>
    <w:rsid w:val="00B16A79"/>
    <w:rsid w:val="00B16C32"/>
    <w:rsid w:val="00B16E2E"/>
    <w:rsid w:val="00B16F4B"/>
    <w:rsid w:val="00B17F8B"/>
    <w:rsid w:val="00B2044F"/>
    <w:rsid w:val="00B206C1"/>
    <w:rsid w:val="00B21666"/>
    <w:rsid w:val="00B21E78"/>
    <w:rsid w:val="00B22205"/>
    <w:rsid w:val="00B230CA"/>
    <w:rsid w:val="00B235D9"/>
    <w:rsid w:val="00B23A57"/>
    <w:rsid w:val="00B2443E"/>
    <w:rsid w:val="00B248E0"/>
    <w:rsid w:val="00B25EE9"/>
    <w:rsid w:val="00B26030"/>
    <w:rsid w:val="00B262CD"/>
    <w:rsid w:val="00B2630A"/>
    <w:rsid w:val="00B2761E"/>
    <w:rsid w:val="00B2781E"/>
    <w:rsid w:val="00B27FF2"/>
    <w:rsid w:val="00B30CCA"/>
    <w:rsid w:val="00B30FB2"/>
    <w:rsid w:val="00B31552"/>
    <w:rsid w:val="00B31641"/>
    <w:rsid w:val="00B32577"/>
    <w:rsid w:val="00B33414"/>
    <w:rsid w:val="00B33FCE"/>
    <w:rsid w:val="00B34737"/>
    <w:rsid w:val="00B349C5"/>
    <w:rsid w:val="00B34C58"/>
    <w:rsid w:val="00B3587B"/>
    <w:rsid w:val="00B36C72"/>
    <w:rsid w:val="00B4056C"/>
    <w:rsid w:val="00B41BFC"/>
    <w:rsid w:val="00B41DF2"/>
    <w:rsid w:val="00B42146"/>
    <w:rsid w:val="00B42C40"/>
    <w:rsid w:val="00B432B6"/>
    <w:rsid w:val="00B433B0"/>
    <w:rsid w:val="00B4421B"/>
    <w:rsid w:val="00B44D69"/>
    <w:rsid w:val="00B45B19"/>
    <w:rsid w:val="00B45D3E"/>
    <w:rsid w:val="00B45E8D"/>
    <w:rsid w:val="00B46EFA"/>
    <w:rsid w:val="00B47CEE"/>
    <w:rsid w:val="00B50549"/>
    <w:rsid w:val="00B510EE"/>
    <w:rsid w:val="00B5125D"/>
    <w:rsid w:val="00B5130F"/>
    <w:rsid w:val="00B5193F"/>
    <w:rsid w:val="00B524B9"/>
    <w:rsid w:val="00B524BC"/>
    <w:rsid w:val="00B52D01"/>
    <w:rsid w:val="00B5343F"/>
    <w:rsid w:val="00B53C32"/>
    <w:rsid w:val="00B5424B"/>
    <w:rsid w:val="00B5464F"/>
    <w:rsid w:val="00B54775"/>
    <w:rsid w:val="00B54F5A"/>
    <w:rsid w:val="00B54FF9"/>
    <w:rsid w:val="00B5504B"/>
    <w:rsid w:val="00B55A60"/>
    <w:rsid w:val="00B55F7A"/>
    <w:rsid w:val="00B56512"/>
    <w:rsid w:val="00B571DD"/>
    <w:rsid w:val="00B5743C"/>
    <w:rsid w:val="00B579A4"/>
    <w:rsid w:val="00B6069F"/>
    <w:rsid w:val="00B608D3"/>
    <w:rsid w:val="00B60BDF"/>
    <w:rsid w:val="00B61088"/>
    <w:rsid w:val="00B6273D"/>
    <w:rsid w:val="00B63012"/>
    <w:rsid w:val="00B63334"/>
    <w:rsid w:val="00B63EFF"/>
    <w:rsid w:val="00B63F02"/>
    <w:rsid w:val="00B6443C"/>
    <w:rsid w:val="00B64794"/>
    <w:rsid w:val="00B64D86"/>
    <w:rsid w:val="00B64FFF"/>
    <w:rsid w:val="00B654ED"/>
    <w:rsid w:val="00B659E1"/>
    <w:rsid w:val="00B6619B"/>
    <w:rsid w:val="00B66651"/>
    <w:rsid w:val="00B66B66"/>
    <w:rsid w:val="00B674C6"/>
    <w:rsid w:val="00B674DC"/>
    <w:rsid w:val="00B67600"/>
    <w:rsid w:val="00B679F9"/>
    <w:rsid w:val="00B7069C"/>
    <w:rsid w:val="00B70F49"/>
    <w:rsid w:val="00B711BF"/>
    <w:rsid w:val="00B72235"/>
    <w:rsid w:val="00B725B1"/>
    <w:rsid w:val="00B7260D"/>
    <w:rsid w:val="00B728CA"/>
    <w:rsid w:val="00B7388C"/>
    <w:rsid w:val="00B73918"/>
    <w:rsid w:val="00B7408F"/>
    <w:rsid w:val="00B740C1"/>
    <w:rsid w:val="00B743F2"/>
    <w:rsid w:val="00B7461D"/>
    <w:rsid w:val="00B74C65"/>
    <w:rsid w:val="00B74DA9"/>
    <w:rsid w:val="00B7504A"/>
    <w:rsid w:val="00B75DB6"/>
    <w:rsid w:val="00B761C1"/>
    <w:rsid w:val="00B76463"/>
    <w:rsid w:val="00B76610"/>
    <w:rsid w:val="00B77A94"/>
    <w:rsid w:val="00B77B84"/>
    <w:rsid w:val="00B77C52"/>
    <w:rsid w:val="00B80405"/>
    <w:rsid w:val="00B805E6"/>
    <w:rsid w:val="00B80A0C"/>
    <w:rsid w:val="00B80AAB"/>
    <w:rsid w:val="00B81451"/>
    <w:rsid w:val="00B81F25"/>
    <w:rsid w:val="00B82129"/>
    <w:rsid w:val="00B82F99"/>
    <w:rsid w:val="00B838E5"/>
    <w:rsid w:val="00B83F6C"/>
    <w:rsid w:val="00B85121"/>
    <w:rsid w:val="00B852E3"/>
    <w:rsid w:val="00B87AFE"/>
    <w:rsid w:val="00B87DA0"/>
    <w:rsid w:val="00B91188"/>
    <w:rsid w:val="00B91E34"/>
    <w:rsid w:val="00B91EF7"/>
    <w:rsid w:val="00B934CD"/>
    <w:rsid w:val="00B93631"/>
    <w:rsid w:val="00B94871"/>
    <w:rsid w:val="00B94EC7"/>
    <w:rsid w:val="00B94FB4"/>
    <w:rsid w:val="00B9508A"/>
    <w:rsid w:val="00B95389"/>
    <w:rsid w:val="00B95963"/>
    <w:rsid w:val="00B9653C"/>
    <w:rsid w:val="00B96B9C"/>
    <w:rsid w:val="00B96CBF"/>
    <w:rsid w:val="00B979F1"/>
    <w:rsid w:val="00B97F1D"/>
    <w:rsid w:val="00B97FA8"/>
    <w:rsid w:val="00BA009E"/>
    <w:rsid w:val="00BA0405"/>
    <w:rsid w:val="00BA0E62"/>
    <w:rsid w:val="00BA1287"/>
    <w:rsid w:val="00BA133F"/>
    <w:rsid w:val="00BA1747"/>
    <w:rsid w:val="00BA18F2"/>
    <w:rsid w:val="00BA1912"/>
    <w:rsid w:val="00BA1D03"/>
    <w:rsid w:val="00BA2235"/>
    <w:rsid w:val="00BA2903"/>
    <w:rsid w:val="00BA2BBE"/>
    <w:rsid w:val="00BA2C7E"/>
    <w:rsid w:val="00BA2F77"/>
    <w:rsid w:val="00BA3661"/>
    <w:rsid w:val="00BA3665"/>
    <w:rsid w:val="00BA4027"/>
    <w:rsid w:val="00BA4BBD"/>
    <w:rsid w:val="00BA52CE"/>
    <w:rsid w:val="00BA56ED"/>
    <w:rsid w:val="00BA69E1"/>
    <w:rsid w:val="00BA71E9"/>
    <w:rsid w:val="00BA728F"/>
    <w:rsid w:val="00BB0409"/>
    <w:rsid w:val="00BB05F4"/>
    <w:rsid w:val="00BB08CA"/>
    <w:rsid w:val="00BB0AD8"/>
    <w:rsid w:val="00BB0DD0"/>
    <w:rsid w:val="00BB0EC0"/>
    <w:rsid w:val="00BB13CD"/>
    <w:rsid w:val="00BB18FA"/>
    <w:rsid w:val="00BB255B"/>
    <w:rsid w:val="00BB2CCD"/>
    <w:rsid w:val="00BB33C8"/>
    <w:rsid w:val="00BB33E4"/>
    <w:rsid w:val="00BB3A62"/>
    <w:rsid w:val="00BB3F93"/>
    <w:rsid w:val="00BB4C6B"/>
    <w:rsid w:val="00BB62FC"/>
    <w:rsid w:val="00BB73A1"/>
    <w:rsid w:val="00BB7762"/>
    <w:rsid w:val="00BB7A85"/>
    <w:rsid w:val="00BC0492"/>
    <w:rsid w:val="00BC1EB9"/>
    <w:rsid w:val="00BC1EDE"/>
    <w:rsid w:val="00BC212E"/>
    <w:rsid w:val="00BC2A08"/>
    <w:rsid w:val="00BC2FAC"/>
    <w:rsid w:val="00BC32D9"/>
    <w:rsid w:val="00BC33C9"/>
    <w:rsid w:val="00BC35C7"/>
    <w:rsid w:val="00BC3DB1"/>
    <w:rsid w:val="00BC4A63"/>
    <w:rsid w:val="00BC4E13"/>
    <w:rsid w:val="00BC50D1"/>
    <w:rsid w:val="00BC524C"/>
    <w:rsid w:val="00BC6955"/>
    <w:rsid w:val="00BC7001"/>
    <w:rsid w:val="00BC7ABD"/>
    <w:rsid w:val="00BC7C38"/>
    <w:rsid w:val="00BD0A09"/>
    <w:rsid w:val="00BD0ED8"/>
    <w:rsid w:val="00BD141D"/>
    <w:rsid w:val="00BD1E36"/>
    <w:rsid w:val="00BD1FAC"/>
    <w:rsid w:val="00BD2AD6"/>
    <w:rsid w:val="00BD3015"/>
    <w:rsid w:val="00BD32D7"/>
    <w:rsid w:val="00BD399D"/>
    <w:rsid w:val="00BD4118"/>
    <w:rsid w:val="00BD4513"/>
    <w:rsid w:val="00BD5066"/>
    <w:rsid w:val="00BD69A4"/>
    <w:rsid w:val="00BD7ADC"/>
    <w:rsid w:val="00BE0468"/>
    <w:rsid w:val="00BE0E25"/>
    <w:rsid w:val="00BE1D15"/>
    <w:rsid w:val="00BE3D78"/>
    <w:rsid w:val="00BE3E90"/>
    <w:rsid w:val="00BE4E14"/>
    <w:rsid w:val="00BE4E83"/>
    <w:rsid w:val="00BE5050"/>
    <w:rsid w:val="00BE51A3"/>
    <w:rsid w:val="00BE56F9"/>
    <w:rsid w:val="00BE5AB7"/>
    <w:rsid w:val="00BE5DF3"/>
    <w:rsid w:val="00BE5ECB"/>
    <w:rsid w:val="00BE681A"/>
    <w:rsid w:val="00BE7101"/>
    <w:rsid w:val="00BE7668"/>
    <w:rsid w:val="00BE7882"/>
    <w:rsid w:val="00BE788E"/>
    <w:rsid w:val="00BE7F9C"/>
    <w:rsid w:val="00BF033C"/>
    <w:rsid w:val="00BF058D"/>
    <w:rsid w:val="00BF0644"/>
    <w:rsid w:val="00BF1C59"/>
    <w:rsid w:val="00BF21E1"/>
    <w:rsid w:val="00BF26F3"/>
    <w:rsid w:val="00BF4328"/>
    <w:rsid w:val="00BF565C"/>
    <w:rsid w:val="00BF5CF8"/>
    <w:rsid w:val="00BF76D3"/>
    <w:rsid w:val="00C0055A"/>
    <w:rsid w:val="00C01439"/>
    <w:rsid w:val="00C015BD"/>
    <w:rsid w:val="00C0168E"/>
    <w:rsid w:val="00C01E75"/>
    <w:rsid w:val="00C02418"/>
    <w:rsid w:val="00C025BD"/>
    <w:rsid w:val="00C03AF3"/>
    <w:rsid w:val="00C03E5D"/>
    <w:rsid w:val="00C04777"/>
    <w:rsid w:val="00C04AA9"/>
    <w:rsid w:val="00C052BF"/>
    <w:rsid w:val="00C05595"/>
    <w:rsid w:val="00C05AA1"/>
    <w:rsid w:val="00C05BE2"/>
    <w:rsid w:val="00C060C9"/>
    <w:rsid w:val="00C062D9"/>
    <w:rsid w:val="00C07FC4"/>
    <w:rsid w:val="00C101B0"/>
    <w:rsid w:val="00C10393"/>
    <w:rsid w:val="00C1082D"/>
    <w:rsid w:val="00C10CDD"/>
    <w:rsid w:val="00C10E16"/>
    <w:rsid w:val="00C11484"/>
    <w:rsid w:val="00C11C51"/>
    <w:rsid w:val="00C13997"/>
    <w:rsid w:val="00C14170"/>
    <w:rsid w:val="00C14562"/>
    <w:rsid w:val="00C14695"/>
    <w:rsid w:val="00C15FB9"/>
    <w:rsid w:val="00C16B53"/>
    <w:rsid w:val="00C16E31"/>
    <w:rsid w:val="00C1738A"/>
    <w:rsid w:val="00C17E41"/>
    <w:rsid w:val="00C2000D"/>
    <w:rsid w:val="00C20B7E"/>
    <w:rsid w:val="00C20CA1"/>
    <w:rsid w:val="00C21451"/>
    <w:rsid w:val="00C21EAC"/>
    <w:rsid w:val="00C22226"/>
    <w:rsid w:val="00C2229F"/>
    <w:rsid w:val="00C23832"/>
    <w:rsid w:val="00C238B9"/>
    <w:rsid w:val="00C23A99"/>
    <w:rsid w:val="00C2451E"/>
    <w:rsid w:val="00C24888"/>
    <w:rsid w:val="00C24DE7"/>
    <w:rsid w:val="00C25CEF"/>
    <w:rsid w:val="00C26071"/>
    <w:rsid w:val="00C26CB0"/>
    <w:rsid w:val="00C27302"/>
    <w:rsid w:val="00C27414"/>
    <w:rsid w:val="00C27643"/>
    <w:rsid w:val="00C27C59"/>
    <w:rsid w:val="00C27D0D"/>
    <w:rsid w:val="00C27D8C"/>
    <w:rsid w:val="00C30550"/>
    <w:rsid w:val="00C32240"/>
    <w:rsid w:val="00C32612"/>
    <w:rsid w:val="00C3284A"/>
    <w:rsid w:val="00C33092"/>
    <w:rsid w:val="00C341C2"/>
    <w:rsid w:val="00C34D39"/>
    <w:rsid w:val="00C34E70"/>
    <w:rsid w:val="00C359AA"/>
    <w:rsid w:val="00C36474"/>
    <w:rsid w:val="00C36968"/>
    <w:rsid w:val="00C36CF4"/>
    <w:rsid w:val="00C36D55"/>
    <w:rsid w:val="00C3777A"/>
    <w:rsid w:val="00C37A36"/>
    <w:rsid w:val="00C37BC6"/>
    <w:rsid w:val="00C40DA1"/>
    <w:rsid w:val="00C414E3"/>
    <w:rsid w:val="00C41515"/>
    <w:rsid w:val="00C41A83"/>
    <w:rsid w:val="00C42266"/>
    <w:rsid w:val="00C42FCC"/>
    <w:rsid w:val="00C4396B"/>
    <w:rsid w:val="00C443CF"/>
    <w:rsid w:val="00C44882"/>
    <w:rsid w:val="00C44C45"/>
    <w:rsid w:val="00C44D85"/>
    <w:rsid w:val="00C44E8D"/>
    <w:rsid w:val="00C466D6"/>
    <w:rsid w:val="00C46964"/>
    <w:rsid w:val="00C46A68"/>
    <w:rsid w:val="00C47445"/>
    <w:rsid w:val="00C47BA8"/>
    <w:rsid w:val="00C47FAE"/>
    <w:rsid w:val="00C50025"/>
    <w:rsid w:val="00C509FA"/>
    <w:rsid w:val="00C51265"/>
    <w:rsid w:val="00C513B6"/>
    <w:rsid w:val="00C51CFD"/>
    <w:rsid w:val="00C523E6"/>
    <w:rsid w:val="00C52D40"/>
    <w:rsid w:val="00C53724"/>
    <w:rsid w:val="00C53743"/>
    <w:rsid w:val="00C53F11"/>
    <w:rsid w:val="00C544A7"/>
    <w:rsid w:val="00C555B2"/>
    <w:rsid w:val="00C55D39"/>
    <w:rsid w:val="00C573E0"/>
    <w:rsid w:val="00C57999"/>
    <w:rsid w:val="00C604E8"/>
    <w:rsid w:val="00C62E72"/>
    <w:rsid w:val="00C63492"/>
    <w:rsid w:val="00C63863"/>
    <w:rsid w:val="00C643DF"/>
    <w:rsid w:val="00C64576"/>
    <w:rsid w:val="00C657F6"/>
    <w:rsid w:val="00C65EC2"/>
    <w:rsid w:val="00C6631F"/>
    <w:rsid w:val="00C66773"/>
    <w:rsid w:val="00C66E91"/>
    <w:rsid w:val="00C6717C"/>
    <w:rsid w:val="00C67674"/>
    <w:rsid w:val="00C70D5F"/>
    <w:rsid w:val="00C70D66"/>
    <w:rsid w:val="00C71F31"/>
    <w:rsid w:val="00C72B71"/>
    <w:rsid w:val="00C744BC"/>
    <w:rsid w:val="00C74D5E"/>
    <w:rsid w:val="00C75761"/>
    <w:rsid w:val="00C7718A"/>
    <w:rsid w:val="00C81638"/>
    <w:rsid w:val="00C81CBD"/>
    <w:rsid w:val="00C820EF"/>
    <w:rsid w:val="00C82396"/>
    <w:rsid w:val="00C8313C"/>
    <w:rsid w:val="00C8358E"/>
    <w:rsid w:val="00C838CC"/>
    <w:rsid w:val="00C8539A"/>
    <w:rsid w:val="00C8648B"/>
    <w:rsid w:val="00C872F8"/>
    <w:rsid w:val="00C90491"/>
    <w:rsid w:val="00C90C4B"/>
    <w:rsid w:val="00C91013"/>
    <w:rsid w:val="00C91615"/>
    <w:rsid w:val="00C93275"/>
    <w:rsid w:val="00C93544"/>
    <w:rsid w:val="00C93C45"/>
    <w:rsid w:val="00C949CB"/>
    <w:rsid w:val="00C94EE2"/>
    <w:rsid w:val="00C95BB8"/>
    <w:rsid w:val="00C963CD"/>
    <w:rsid w:val="00C96731"/>
    <w:rsid w:val="00C97105"/>
    <w:rsid w:val="00C978EF"/>
    <w:rsid w:val="00C97E31"/>
    <w:rsid w:val="00CA00F8"/>
    <w:rsid w:val="00CA051C"/>
    <w:rsid w:val="00CA1228"/>
    <w:rsid w:val="00CA1990"/>
    <w:rsid w:val="00CA1B00"/>
    <w:rsid w:val="00CA1C29"/>
    <w:rsid w:val="00CA1F63"/>
    <w:rsid w:val="00CA24B5"/>
    <w:rsid w:val="00CA3392"/>
    <w:rsid w:val="00CA3CAD"/>
    <w:rsid w:val="00CA3DEA"/>
    <w:rsid w:val="00CA4A40"/>
    <w:rsid w:val="00CA54C3"/>
    <w:rsid w:val="00CA5EE3"/>
    <w:rsid w:val="00CA5F63"/>
    <w:rsid w:val="00CA6023"/>
    <w:rsid w:val="00CA6666"/>
    <w:rsid w:val="00CA66A3"/>
    <w:rsid w:val="00CA66E8"/>
    <w:rsid w:val="00CA6D9F"/>
    <w:rsid w:val="00CA7041"/>
    <w:rsid w:val="00CA7B81"/>
    <w:rsid w:val="00CA7CDA"/>
    <w:rsid w:val="00CA7F8F"/>
    <w:rsid w:val="00CB007F"/>
    <w:rsid w:val="00CB0B54"/>
    <w:rsid w:val="00CB0B65"/>
    <w:rsid w:val="00CB0BD4"/>
    <w:rsid w:val="00CB15B1"/>
    <w:rsid w:val="00CB161E"/>
    <w:rsid w:val="00CB1EC8"/>
    <w:rsid w:val="00CB2825"/>
    <w:rsid w:val="00CB3181"/>
    <w:rsid w:val="00CB32B2"/>
    <w:rsid w:val="00CB40D9"/>
    <w:rsid w:val="00CB4682"/>
    <w:rsid w:val="00CB4A49"/>
    <w:rsid w:val="00CB5583"/>
    <w:rsid w:val="00CB63E5"/>
    <w:rsid w:val="00CB6473"/>
    <w:rsid w:val="00CB649F"/>
    <w:rsid w:val="00CB775A"/>
    <w:rsid w:val="00CB7C01"/>
    <w:rsid w:val="00CC09C5"/>
    <w:rsid w:val="00CC19C2"/>
    <w:rsid w:val="00CC213E"/>
    <w:rsid w:val="00CC25E0"/>
    <w:rsid w:val="00CC2CC2"/>
    <w:rsid w:val="00CC2DF5"/>
    <w:rsid w:val="00CC2FEF"/>
    <w:rsid w:val="00CC30B6"/>
    <w:rsid w:val="00CC3C70"/>
    <w:rsid w:val="00CC3E6E"/>
    <w:rsid w:val="00CC3EFF"/>
    <w:rsid w:val="00CC4367"/>
    <w:rsid w:val="00CC46D6"/>
    <w:rsid w:val="00CC4A2F"/>
    <w:rsid w:val="00CC5141"/>
    <w:rsid w:val="00CC55CF"/>
    <w:rsid w:val="00CC5A10"/>
    <w:rsid w:val="00CC5E16"/>
    <w:rsid w:val="00CC6EB1"/>
    <w:rsid w:val="00CC6EF7"/>
    <w:rsid w:val="00CC7000"/>
    <w:rsid w:val="00CC7F8D"/>
    <w:rsid w:val="00CD10A2"/>
    <w:rsid w:val="00CD1189"/>
    <w:rsid w:val="00CD1FA8"/>
    <w:rsid w:val="00CD2477"/>
    <w:rsid w:val="00CD2593"/>
    <w:rsid w:val="00CD275C"/>
    <w:rsid w:val="00CD2D14"/>
    <w:rsid w:val="00CD363B"/>
    <w:rsid w:val="00CD39F8"/>
    <w:rsid w:val="00CD3E98"/>
    <w:rsid w:val="00CD42E0"/>
    <w:rsid w:val="00CD444A"/>
    <w:rsid w:val="00CD46E0"/>
    <w:rsid w:val="00CD4F10"/>
    <w:rsid w:val="00CD504F"/>
    <w:rsid w:val="00CD5264"/>
    <w:rsid w:val="00CD65E7"/>
    <w:rsid w:val="00CD6D7C"/>
    <w:rsid w:val="00CD6E13"/>
    <w:rsid w:val="00CD7A32"/>
    <w:rsid w:val="00CD7B7F"/>
    <w:rsid w:val="00CE09F7"/>
    <w:rsid w:val="00CE103C"/>
    <w:rsid w:val="00CE1106"/>
    <w:rsid w:val="00CE127D"/>
    <w:rsid w:val="00CE1516"/>
    <w:rsid w:val="00CE1CB4"/>
    <w:rsid w:val="00CE228B"/>
    <w:rsid w:val="00CE23C7"/>
    <w:rsid w:val="00CE24D0"/>
    <w:rsid w:val="00CE27ED"/>
    <w:rsid w:val="00CE2864"/>
    <w:rsid w:val="00CE3585"/>
    <w:rsid w:val="00CE3FA9"/>
    <w:rsid w:val="00CE4136"/>
    <w:rsid w:val="00CE4BF2"/>
    <w:rsid w:val="00CE5590"/>
    <w:rsid w:val="00CE6944"/>
    <w:rsid w:val="00CE7D10"/>
    <w:rsid w:val="00CF0294"/>
    <w:rsid w:val="00CF073F"/>
    <w:rsid w:val="00CF1F94"/>
    <w:rsid w:val="00CF28CB"/>
    <w:rsid w:val="00CF2A80"/>
    <w:rsid w:val="00CF2A8C"/>
    <w:rsid w:val="00CF2D05"/>
    <w:rsid w:val="00CF2F77"/>
    <w:rsid w:val="00CF309C"/>
    <w:rsid w:val="00CF3848"/>
    <w:rsid w:val="00CF3913"/>
    <w:rsid w:val="00CF3960"/>
    <w:rsid w:val="00CF3998"/>
    <w:rsid w:val="00CF3A49"/>
    <w:rsid w:val="00CF3A9E"/>
    <w:rsid w:val="00CF4425"/>
    <w:rsid w:val="00CF4872"/>
    <w:rsid w:val="00CF49E2"/>
    <w:rsid w:val="00CF4BC4"/>
    <w:rsid w:val="00CF5226"/>
    <w:rsid w:val="00CF5ADB"/>
    <w:rsid w:val="00CF5AF6"/>
    <w:rsid w:val="00CF5EE9"/>
    <w:rsid w:val="00CF6360"/>
    <w:rsid w:val="00CF670E"/>
    <w:rsid w:val="00CF75DE"/>
    <w:rsid w:val="00CF7B0B"/>
    <w:rsid w:val="00CF7D1E"/>
    <w:rsid w:val="00D00A85"/>
    <w:rsid w:val="00D01826"/>
    <w:rsid w:val="00D01E95"/>
    <w:rsid w:val="00D01EA2"/>
    <w:rsid w:val="00D02282"/>
    <w:rsid w:val="00D03FCB"/>
    <w:rsid w:val="00D043C5"/>
    <w:rsid w:val="00D0485F"/>
    <w:rsid w:val="00D04A1C"/>
    <w:rsid w:val="00D04E53"/>
    <w:rsid w:val="00D05807"/>
    <w:rsid w:val="00D07D4B"/>
    <w:rsid w:val="00D10BD3"/>
    <w:rsid w:val="00D118FC"/>
    <w:rsid w:val="00D11CF0"/>
    <w:rsid w:val="00D11D73"/>
    <w:rsid w:val="00D125D1"/>
    <w:rsid w:val="00D12D0C"/>
    <w:rsid w:val="00D13C51"/>
    <w:rsid w:val="00D14725"/>
    <w:rsid w:val="00D1542E"/>
    <w:rsid w:val="00D15430"/>
    <w:rsid w:val="00D16974"/>
    <w:rsid w:val="00D1727A"/>
    <w:rsid w:val="00D174F4"/>
    <w:rsid w:val="00D1764C"/>
    <w:rsid w:val="00D17F62"/>
    <w:rsid w:val="00D2026D"/>
    <w:rsid w:val="00D204E6"/>
    <w:rsid w:val="00D214F2"/>
    <w:rsid w:val="00D21979"/>
    <w:rsid w:val="00D21FF6"/>
    <w:rsid w:val="00D22699"/>
    <w:rsid w:val="00D226B6"/>
    <w:rsid w:val="00D23D59"/>
    <w:rsid w:val="00D23E36"/>
    <w:rsid w:val="00D241FF"/>
    <w:rsid w:val="00D24241"/>
    <w:rsid w:val="00D24A9B"/>
    <w:rsid w:val="00D2578B"/>
    <w:rsid w:val="00D265D3"/>
    <w:rsid w:val="00D27385"/>
    <w:rsid w:val="00D30D39"/>
    <w:rsid w:val="00D3100F"/>
    <w:rsid w:val="00D31DEA"/>
    <w:rsid w:val="00D31FE2"/>
    <w:rsid w:val="00D32588"/>
    <w:rsid w:val="00D32A56"/>
    <w:rsid w:val="00D33066"/>
    <w:rsid w:val="00D33527"/>
    <w:rsid w:val="00D33EC5"/>
    <w:rsid w:val="00D340BD"/>
    <w:rsid w:val="00D3486D"/>
    <w:rsid w:val="00D34A25"/>
    <w:rsid w:val="00D34EFF"/>
    <w:rsid w:val="00D3533B"/>
    <w:rsid w:val="00D35F4B"/>
    <w:rsid w:val="00D363E1"/>
    <w:rsid w:val="00D372B4"/>
    <w:rsid w:val="00D3732E"/>
    <w:rsid w:val="00D37CAC"/>
    <w:rsid w:val="00D4029F"/>
    <w:rsid w:val="00D406BE"/>
    <w:rsid w:val="00D41602"/>
    <w:rsid w:val="00D41FC7"/>
    <w:rsid w:val="00D42B8A"/>
    <w:rsid w:val="00D438D6"/>
    <w:rsid w:val="00D43BB7"/>
    <w:rsid w:val="00D442BA"/>
    <w:rsid w:val="00D4483C"/>
    <w:rsid w:val="00D44AED"/>
    <w:rsid w:val="00D44BA5"/>
    <w:rsid w:val="00D44CCE"/>
    <w:rsid w:val="00D4507A"/>
    <w:rsid w:val="00D455F0"/>
    <w:rsid w:val="00D456E1"/>
    <w:rsid w:val="00D45B19"/>
    <w:rsid w:val="00D460D9"/>
    <w:rsid w:val="00D463DC"/>
    <w:rsid w:val="00D4642F"/>
    <w:rsid w:val="00D4692A"/>
    <w:rsid w:val="00D469C9"/>
    <w:rsid w:val="00D46D1B"/>
    <w:rsid w:val="00D50ADB"/>
    <w:rsid w:val="00D50E73"/>
    <w:rsid w:val="00D50F06"/>
    <w:rsid w:val="00D5227E"/>
    <w:rsid w:val="00D522E9"/>
    <w:rsid w:val="00D53796"/>
    <w:rsid w:val="00D53A91"/>
    <w:rsid w:val="00D54048"/>
    <w:rsid w:val="00D54C92"/>
    <w:rsid w:val="00D55263"/>
    <w:rsid w:val="00D5538F"/>
    <w:rsid w:val="00D55975"/>
    <w:rsid w:val="00D57A1C"/>
    <w:rsid w:val="00D6280F"/>
    <w:rsid w:val="00D62A7C"/>
    <w:rsid w:val="00D62AD7"/>
    <w:rsid w:val="00D632B8"/>
    <w:rsid w:val="00D63DE2"/>
    <w:rsid w:val="00D642F3"/>
    <w:rsid w:val="00D64AB6"/>
    <w:rsid w:val="00D64B0F"/>
    <w:rsid w:val="00D65A34"/>
    <w:rsid w:val="00D65F10"/>
    <w:rsid w:val="00D662BF"/>
    <w:rsid w:val="00D66F0C"/>
    <w:rsid w:val="00D6714F"/>
    <w:rsid w:val="00D6772E"/>
    <w:rsid w:val="00D678D5"/>
    <w:rsid w:val="00D67900"/>
    <w:rsid w:val="00D67ADC"/>
    <w:rsid w:val="00D70461"/>
    <w:rsid w:val="00D70E26"/>
    <w:rsid w:val="00D719DE"/>
    <w:rsid w:val="00D71ACC"/>
    <w:rsid w:val="00D723BF"/>
    <w:rsid w:val="00D7271E"/>
    <w:rsid w:val="00D73258"/>
    <w:rsid w:val="00D74224"/>
    <w:rsid w:val="00D74ADE"/>
    <w:rsid w:val="00D75113"/>
    <w:rsid w:val="00D75234"/>
    <w:rsid w:val="00D75989"/>
    <w:rsid w:val="00D75FB3"/>
    <w:rsid w:val="00D76D1D"/>
    <w:rsid w:val="00D7731F"/>
    <w:rsid w:val="00D82C94"/>
    <w:rsid w:val="00D83FDE"/>
    <w:rsid w:val="00D85B38"/>
    <w:rsid w:val="00D86E5E"/>
    <w:rsid w:val="00D87674"/>
    <w:rsid w:val="00D87960"/>
    <w:rsid w:val="00D87C59"/>
    <w:rsid w:val="00D87E57"/>
    <w:rsid w:val="00D87EA6"/>
    <w:rsid w:val="00D90D9C"/>
    <w:rsid w:val="00D913B1"/>
    <w:rsid w:val="00D91CF8"/>
    <w:rsid w:val="00D921D2"/>
    <w:rsid w:val="00D92934"/>
    <w:rsid w:val="00D9317E"/>
    <w:rsid w:val="00D93657"/>
    <w:rsid w:val="00D93CFB"/>
    <w:rsid w:val="00D943BE"/>
    <w:rsid w:val="00D94779"/>
    <w:rsid w:val="00D955AA"/>
    <w:rsid w:val="00D95D61"/>
    <w:rsid w:val="00D95E7A"/>
    <w:rsid w:val="00D96188"/>
    <w:rsid w:val="00D96329"/>
    <w:rsid w:val="00D963F2"/>
    <w:rsid w:val="00D96E17"/>
    <w:rsid w:val="00D96F26"/>
    <w:rsid w:val="00D96F85"/>
    <w:rsid w:val="00D977DA"/>
    <w:rsid w:val="00D97902"/>
    <w:rsid w:val="00D97948"/>
    <w:rsid w:val="00D97C1D"/>
    <w:rsid w:val="00DA0790"/>
    <w:rsid w:val="00DA0893"/>
    <w:rsid w:val="00DA163C"/>
    <w:rsid w:val="00DA220E"/>
    <w:rsid w:val="00DA2692"/>
    <w:rsid w:val="00DA3B58"/>
    <w:rsid w:val="00DA3D97"/>
    <w:rsid w:val="00DA3F49"/>
    <w:rsid w:val="00DA4537"/>
    <w:rsid w:val="00DA4F4A"/>
    <w:rsid w:val="00DA4FAD"/>
    <w:rsid w:val="00DA520B"/>
    <w:rsid w:val="00DA571A"/>
    <w:rsid w:val="00DA5C45"/>
    <w:rsid w:val="00DA60CF"/>
    <w:rsid w:val="00DA60D2"/>
    <w:rsid w:val="00DA68DE"/>
    <w:rsid w:val="00DA72C6"/>
    <w:rsid w:val="00DA7473"/>
    <w:rsid w:val="00DB101D"/>
    <w:rsid w:val="00DB1054"/>
    <w:rsid w:val="00DB1CCB"/>
    <w:rsid w:val="00DB1F26"/>
    <w:rsid w:val="00DB23D5"/>
    <w:rsid w:val="00DB2CF3"/>
    <w:rsid w:val="00DB3037"/>
    <w:rsid w:val="00DB36FF"/>
    <w:rsid w:val="00DB3C4B"/>
    <w:rsid w:val="00DB4106"/>
    <w:rsid w:val="00DB5694"/>
    <w:rsid w:val="00DB5A71"/>
    <w:rsid w:val="00DB5F51"/>
    <w:rsid w:val="00DB5FC9"/>
    <w:rsid w:val="00DB7D80"/>
    <w:rsid w:val="00DC0213"/>
    <w:rsid w:val="00DC102B"/>
    <w:rsid w:val="00DC1618"/>
    <w:rsid w:val="00DC1A85"/>
    <w:rsid w:val="00DC1D71"/>
    <w:rsid w:val="00DC1E7D"/>
    <w:rsid w:val="00DC2B54"/>
    <w:rsid w:val="00DC2F4F"/>
    <w:rsid w:val="00DC4493"/>
    <w:rsid w:val="00DC46F7"/>
    <w:rsid w:val="00DC482B"/>
    <w:rsid w:val="00DC515E"/>
    <w:rsid w:val="00DC6859"/>
    <w:rsid w:val="00DC6DC0"/>
    <w:rsid w:val="00DC72A2"/>
    <w:rsid w:val="00DC7583"/>
    <w:rsid w:val="00DC7A24"/>
    <w:rsid w:val="00DC7AC1"/>
    <w:rsid w:val="00DC7FE8"/>
    <w:rsid w:val="00DD06BC"/>
    <w:rsid w:val="00DD2EC4"/>
    <w:rsid w:val="00DD2FD7"/>
    <w:rsid w:val="00DD3C2F"/>
    <w:rsid w:val="00DD3FCF"/>
    <w:rsid w:val="00DD42F0"/>
    <w:rsid w:val="00DD4C12"/>
    <w:rsid w:val="00DD6306"/>
    <w:rsid w:val="00DD65F9"/>
    <w:rsid w:val="00DD6668"/>
    <w:rsid w:val="00DD7789"/>
    <w:rsid w:val="00DD7EBA"/>
    <w:rsid w:val="00DE0591"/>
    <w:rsid w:val="00DE14EB"/>
    <w:rsid w:val="00DE21EA"/>
    <w:rsid w:val="00DE22AC"/>
    <w:rsid w:val="00DE2C4B"/>
    <w:rsid w:val="00DE2E40"/>
    <w:rsid w:val="00DE467C"/>
    <w:rsid w:val="00DE55EB"/>
    <w:rsid w:val="00DE592E"/>
    <w:rsid w:val="00DE5C0C"/>
    <w:rsid w:val="00DE6530"/>
    <w:rsid w:val="00DE668D"/>
    <w:rsid w:val="00DE6787"/>
    <w:rsid w:val="00DE6DE8"/>
    <w:rsid w:val="00DE71EE"/>
    <w:rsid w:val="00DF0A9F"/>
    <w:rsid w:val="00DF0DF5"/>
    <w:rsid w:val="00DF15DB"/>
    <w:rsid w:val="00DF2312"/>
    <w:rsid w:val="00DF2E72"/>
    <w:rsid w:val="00DF35E1"/>
    <w:rsid w:val="00DF365E"/>
    <w:rsid w:val="00DF36A3"/>
    <w:rsid w:val="00DF586F"/>
    <w:rsid w:val="00DF781C"/>
    <w:rsid w:val="00E00B81"/>
    <w:rsid w:val="00E00CD7"/>
    <w:rsid w:val="00E0165D"/>
    <w:rsid w:val="00E01A29"/>
    <w:rsid w:val="00E01B46"/>
    <w:rsid w:val="00E02E46"/>
    <w:rsid w:val="00E040F5"/>
    <w:rsid w:val="00E05725"/>
    <w:rsid w:val="00E0589E"/>
    <w:rsid w:val="00E05F22"/>
    <w:rsid w:val="00E061FB"/>
    <w:rsid w:val="00E067C4"/>
    <w:rsid w:val="00E06F47"/>
    <w:rsid w:val="00E06F8D"/>
    <w:rsid w:val="00E07120"/>
    <w:rsid w:val="00E079C1"/>
    <w:rsid w:val="00E07D85"/>
    <w:rsid w:val="00E103D3"/>
    <w:rsid w:val="00E10C37"/>
    <w:rsid w:val="00E10F09"/>
    <w:rsid w:val="00E1103C"/>
    <w:rsid w:val="00E110EE"/>
    <w:rsid w:val="00E11147"/>
    <w:rsid w:val="00E112DA"/>
    <w:rsid w:val="00E11EF2"/>
    <w:rsid w:val="00E1219B"/>
    <w:rsid w:val="00E124DD"/>
    <w:rsid w:val="00E127B0"/>
    <w:rsid w:val="00E13BAB"/>
    <w:rsid w:val="00E14364"/>
    <w:rsid w:val="00E15157"/>
    <w:rsid w:val="00E15411"/>
    <w:rsid w:val="00E16636"/>
    <w:rsid w:val="00E171D3"/>
    <w:rsid w:val="00E2023C"/>
    <w:rsid w:val="00E2061C"/>
    <w:rsid w:val="00E20797"/>
    <w:rsid w:val="00E21CEA"/>
    <w:rsid w:val="00E21F22"/>
    <w:rsid w:val="00E22F25"/>
    <w:rsid w:val="00E23302"/>
    <w:rsid w:val="00E237D1"/>
    <w:rsid w:val="00E24112"/>
    <w:rsid w:val="00E24BF6"/>
    <w:rsid w:val="00E2510B"/>
    <w:rsid w:val="00E26489"/>
    <w:rsid w:val="00E2656F"/>
    <w:rsid w:val="00E267E9"/>
    <w:rsid w:val="00E26D23"/>
    <w:rsid w:val="00E27131"/>
    <w:rsid w:val="00E27BD7"/>
    <w:rsid w:val="00E27D23"/>
    <w:rsid w:val="00E300E1"/>
    <w:rsid w:val="00E307D3"/>
    <w:rsid w:val="00E30F66"/>
    <w:rsid w:val="00E31656"/>
    <w:rsid w:val="00E31ACF"/>
    <w:rsid w:val="00E31B34"/>
    <w:rsid w:val="00E32E0B"/>
    <w:rsid w:val="00E33716"/>
    <w:rsid w:val="00E339EE"/>
    <w:rsid w:val="00E33AB4"/>
    <w:rsid w:val="00E35050"/>
    <w:rsid w:val="00E3516C"/>
    <w:rsid w:val="00E35767"/>
    <w:rsid w:val="00E357BD"/>
    <w:rsid w:val="00E35E34"/>
    <w:rsid w:val="00E362DB"/>
    <w:rsid w:val="00E36430"/>
    <w:rsid w:val="00E36E56"/>
    <w:rsid w:val="00E3724C"/>
    <w:rsid w:val="00E372EE"/>
    <w:rsid w:val="00E3735F"/>
    <w:rsid w:val="00E3753E"/>
    <w:rsid w:val="00E37CDB"/>
    <w:rsid w:val="00E37D84"/>
    <w:rsid w:val="00E40AF6"/>
    <w:rsid w:val="00E411CE"/>
    <w:rsid w:val="00E4196E"/>
    <w:rsid w:val="00E42082"/>
    <w:rsid w:val="00E424A2"/>
    <w:rsid w:val="00E42CC5"/>
    <w:rsid w:val="00E42CF6"/>
    <w:rsid w:val="00E42D15"/>
    <w:rsid w:val="00E43020"/>
    <w:rsid w:val="00E440F8"/>
    <w:rsid w:val="00E44215"/>
    <w:rsid w:val="00E44303"/>
    <w:rsid w:val="00E4455D"/>
    <w:rsid w:val="00E445DC"/>
    <w:rsid w:val="00E44EA3"/>
    <w:rsid w:val="00E458CE"/>
    <w:rsid w:val="00E464DC"/>
    <w:rsid w:val="00E47DF5"/>
    <w:rsid w:val="00E5084A"/>
    <w:rsid w:val="00E509B6"/>
    <w:rsid w:val="00E50AB9"/>
    <w:rsid w:val="00E50E96"/>
    <w:rsid w:val="00E51351"/>
    <w:rsid w:val="00E513C5"/>
    <w:rsid w:val="00E51919"/>
    <w:rsid w:val="00E519B4"/>
    <w:rsid w:val="00E5279E"/>
    <w:rsid w:val="00E529F1"/>
    <w:rsid w:val="00E5337D"/>
    <w:rsid w:val="00E53AC2"/>
    <w:rsid w:val="00E53CD8"/>
    <w:rsid w:val="00E54185"/>
    <w:rsid w:val="00E542F3"/>
    <w:rsid w:val="00E543CF"/>
    <w:rsid w:val="00E55DCF"/>
    <w:rsid w:val="00E56261"/>
    <w:rsid w:val="00E5648C"/>
    <w:rsid w:val="00E57444"/>
    <w:rsid w:val="00E60721"/>
    <w:rsid w:val="00E60792"/>
    <w:rsid w:val="00E60F9A"/>
    <w:rsid w:val="00E61718"/>
    <w:rsid w:val="00E61876"/>
    <w:rsid w:val="00E618B4"/>
    <w:rsid w:val="00E61B25"/>
    <w:rsid w:val="00E62458"/>
    <w:rsid w:val="00E62BD9"/>
    <w:rsid w:val="00E64C6E"/>
    <w:rsid w:val="00E651D8"/>
    <w:rsid w:val="00E6542C"/>
    <w:rsid w:val="00E664CE"/>
    <w:rsid w:val="00E67240"/>
    <w:rsid w:val="00E677E4"/>
    <w:rsid w:val="00E701D7"/>
    <w:rsid w:val="00E7144F"/>
    <w:rsid w:val="00E72245"/>
    <w:rsid w:val="00E7243F"/>
    <w:rsid w:val="00E72A9C"/>
    <w:rsid w:val="00E7365D"/>
    <w:rsid w:val="00E73F9C"/>
    <w:rsid w:val="00E73FC8"/>
    <w:rsid w:val="00E741BA"/>
    <w:rsid w:val="00E74BDE"/>
    <w:rsid w:val="00E74D3F"/>
    <w:rsid w:val="00E74F41"/>
    <w:rsid w:val="00E75B4A"/>
    <w:rsid w:val="00E75D5F"/>
    <w:rsid w:val="00E76BBE"/>
    <w:rsid w:val="00E77DCC"/>
    <w:rsid w:val="00E80215"/>
    <w:rsid w:val="00E802B5"/>
    <w:rsid w:val="00E80C57"/>
    <w:rsid w:val="00E8130A"/>
    <w:rsid w:val="00E81367"/>
    <w:rsid w:val="00E81A4C"/>
    <w:rsid w:val="00E82FB1"/>
    <w:rsid w:val="00E8304A"/>
    <w:rsid w:val="00E83238"/>
    <w:rsid w:val="00E8327A"/>
    <w:rsid w:val="00E833E7"/>
    <w:rsid w:val="00E834F2"/>
    <w:rsid w:val="00E8356F"/>
    <w:rsid w:val="00E83751"/>
    <w:rsid w:val="00E83A91"/>
    <w:rsid w:val="00E83B0B"/>
    <w:rsid w:val="00E84333"/>
    <w:rsid w:val="00E848F5"/>
    <w:rsid w:val="00E84BFA"/>
    <w:rsid w:val="00E85633"/>
    <w:rsid w:val="00E85785"/>
    <w:rsid w:val="00E85803"/>
    <w:rsid w:val="00E87729"/>
    <w:rsid w:val="00E90B8D"/>
    <w:rsid w:val="00E90BBE"/>
    <w:rsid w:val="00E90EA8"/>
    <w:rsid w:val="00E9143C"/>
    <w:rsid w:val="00E91A7C"/>
    <w:rsid w:val="00E91E77"/>
    <w:rsid w:val="00E9202F"/>
    <w:rsid w:val="00E92483"/>
    <w:rsid w:val="00E9274B"/>
    <w:rsid w:val="00E92D59"/>
    <w:rsid w:val="00E92DA7"/>
    <w:rsid w:val="00E93284"/>
    <w:rsid w:val="00E93AB0"/>
    <w:rsid w:val="00E93B70"/>
    <w:rsid w:val="00E93BED"/>
    <w:rsid w:val="00E93D04"/>
    <w:rsid w:val="00E94D81"/>
    <w:rsid w:val="00E951EE"/>
    <w:rsid w:val="00E95DF9"/>
    <w:rsid w:val="00E96C49"/>
    <w:rsid w:val="00E9751C"/>
    <w:rsid w:val="00E97C63"/>
    <w:rsid w:val="00E97EBA"/>
    <w:rsid w:val="00E97F50"/>
    <w:rsid w:val="00EA03BA"/>
    <w:rsid w:val="00EA0811"/>
    <w:rsid w:val="00EA1AE1"/>
    <w:rsid w:val="00EA1BE0"/>
    <w:rsid w:val="00EA25BB"/>
    <w:rsid w:val="00EA2B5C"/>
    <w:rsid w:val="00EA2EB4"/>
    <w:rsid w:val="00EA4C84"/>
    <w:rsid w:val="00EA5461"/>
    <w:rsid w:val="00EA549F"/>
    <w:rsid w:val="00EA74C8"/>
    <w:rsid w:val="00EA7ADE"/>
    <w:rsid w:val="00EB0716"/>
    <w:rsid w:val="00EB0C74"/>
    <w:rsid w:val="00EB150E"/>
    <w:rsid w:val="00EB1659"/>
    <w:rsid w:val="00EB18AE"/>
    <w:rsid w:val="00EB1A7D"/>
    <w:rsid w:val="00EB1DF6"/>
    <w:rsid w:val="00EB1E69"/>
    <w:rsid w:val="00EB205D"/>
    <w:rsid w:val="00EB2169"/>
    <w:rsid w:val="00EB2674"/>
    <w:rsid w:val="00EB296B"/>
    <w:rsid w:val="00EB307A"/>
    <w:rsid w:val="00EB37E9"/>
    <w:rsid w:val="00EB383A"/>
    <w:rsid w:val="00EB3A68"/>
    <w:rsid w:val="00EB4753"/>
    <w:rsid w:val="00EB5780"/>
    <w:rsid w:val="00EB58D5"/>
    <w:rsid w:val="00EB6176"/>
    <w:rsid w:val="00EB63C6"/>
    <w:rsid w:val="00EB6C13"/>
    <w:rsid w:val="00EB76E1"/>
    <w:rsid w:val="00EC0772"/>
    <w:rsid w:val="00EC08B3"/>
    <w:rsid w:val="00EC1BA7"/>
    <w:rsid w:val="00EC2E44"/>
    <w:rsid w:val="00EC31B2"/>
    <w:rsid w:val="00EC325E"/>
    <w:rsid w:val="00EC382A"/>
    <w:rsid w:val="00EC38EE"/>
    <w:rsid w:val="00EC461F"/>
    <w:rsid w:val="00EC4C3D"/>
    <w:rsid w:val="00EC6DEE"/>
    <w:rsid w:val="00EC7366"/>
    <w:rsid w:val="00EC75D9"/>
    <w:rsid w:val="00ED005F"/>
    <w:rsid w:val="00ED09BD"/>
    <w:rsid w:val="00ED0D26"/>
    <w:rsid w:val="00ED1FF7"/>
    <w:rsid w:val="00ED2508"/>
    <w:rsid w:val="00ED2653"/>
    <w:rsid w:val="00ED2EE3"/>
    <w:rsid w:val="00ED3C2A"/>
    <w:rsid w:val="00ED3C68"/>
    <w:rsid w:val="00ED50A3"/>
    <w:rsid w:val="00ED5260"/>
    <w:rsid w:val="00ED52FE"/>
    <w:rsid w:val="00ED5B49"/>
    <w:rsid w:val="00ED6920"/>
    <w:rsid w:val="00ED7D0D"/>
    <w:rsid w:val="00EE0150"/>
    <w:rsid w:val="00EE02D3"/>
    <w:rsid w:val="00EE03BF"/>
    <w:rsid w:val="00EE0968"/>
    <w:rsid w:val="00EE236E"/>
    <w:rsid w:val="00EE2C63"/>
    <w:rsid w:val="00EE38CA"/>
    <w:rsid w:val="00EE3FC1"/>
    <w:rsid w:val="00EE4639"/>
    <w:rsid w:val="00EE5893"/>
    <w:rsid w:val="00EE58CA"/>
    <w:rsid w:val="00EE6D04"/>
    <w:rsid w:val="00EE70B7"/>
    <w:rsid w:val="00EE738E"/>
    <w:rsid w:val="00EE7884"/>
    <w:rsid w:val="00EE798F"/>
    <w:rsid w:val="00EF0A69"/>
    <w:rsid w:val="00EF1581"/>
    <w:rsid w:val="00EF17CA"/>
    <w:rsid w:val="00EF1F51"/>
    <w:rsid w:val="00EF3011"/>
    <w:rsid w:val="00EF310C"/>
    <w:rsid w:val="00EF3456"/>
    <w:rsid w:val="00EF47AB"/>
    <w:rsid w:val="00EF521D"/>
    <w:rsid w:val="00EF593A"/>
    <w:rsid w:val="00EF6161"/>
    <w:rsid w:val="00EF637A"/>
    <w:rsid w:val="00EF64FD"/>
    <w:rsid w:val="00EF6952"/>
    <w:rsid w:val="00EF6D1C"/>
    <w:rsid w:val="00EF7753"/>
    <w:rsid w:val="00EF789C"/>
    <w:rsid w:val="00EF7F37"/>
    <w:rsid w:val="00F000FB"/>
    <w:rsid w:val="00F001B1"/>
    <w:rsid w:val="00F00CC1"/>
    <w:rsid w:val="00F01421"/>
    <w:rsid w:val="00F01D33"/>
    <w:rsid w:val="00F02943"/>
    <w:rsid w:val="00F02C40"/>
    <w:rsid w:val="00F02CBA"/>
    <w:rsid w:val="00F04CDB"/>
    <w:rsid w:val="00F053A1"/>
    <w:rsid w:val="00F05635"/>
    <w:rsid w:val="00F05754"/>
    <w:rsid w:val="00F06648"/>
    <w:rsid w:val="00F06740"/>
    <w:rsid w:val="00F10520"/>
    <w:rsid w:val="00F10754"/>
    <w:rsid w:val="00F11BB8"/>
    <w:rsid w:val="00F11C85"/>
    <w:rsid w:val="00F11E63"/>
    <w:rsid w:val="00F12270"/>
    <w:rsid w:val="00F12D6C"/>
    <w:rsid w:val="00F13547"/>
    <w:rsid w:val="00F140CA"/>
    <w:rsid w:val="00F1422C"/>
    <w:rsid w:val="00F1428E"/>
    <w:rsid w:val="00F14312"/>
    <w:rsid w:val="00F148CA"/>
    <w:rsid w:val="00F15477"/>
    <w:rsid w:val="00F1596A"/>
    <w:rsid w:val="00F1601D"/>
    <w:rsid w:val="00F167D1"/>
    <w:rsid w:val="00F16DD9"/>
    <w:rsid w:val="00F16F23"/>
    <w:rsid w:val="00F1701D"/>
    <w:rsid w:val="00F17867"/>
    <w:rsid w:val="00F20279"/>
    <w:rsid w:val="00F20BDA"/>
    <w:rsid w:val="00F20D33"/>
    <w:rsid w:val="00F2186A"/>
    <w:rsid w:val="00F22148"/>
    <w:rsid w:val="00F22352"/>
    <w:rsid w:val="00F22E7D"/>
    <w:rsid w:val="00F23E51"/>
    <w:rsid w:val="00F24C26"/>
    <w:rsid w:val="00F250FB"/>
    <w:rsid w:val="00F2609A"/>
    <w:rsid w:val="00F2667C"/>
    <w:rsid w:val="00F2679C"/>
    <w:rsid w:val="00F26A5A"/>
    <w:rsid w:val="00F26B52"/>
    <w:rsid w:val="00F26DCE"/>
    <w:rsid w:val="00F3023F"/>
    <w:rsid w:val="00F30A4C"/>
    <w:rsid w:val="00F30CB9"/>
    <w:rsid w:val="00F30F48"/>
    <w:rsid w:val="00F30F9E"/>
    <w:rsid w:val="00F31F07"/>
    <w:rsid w:val="00F32AF8"/>
    <w:rsid w:val="00F32F38"/>
    <w:rsid w:val="00F33332"/>
    <w:rsid w:val="00F33F69"/>
    <w:rsid w:val="00F346CF"/>
    <w:rsid w:val="00F35982"/>
    <w:rsid w:val="00F36B1F"/>
    <w:rsid w:val="00F36F7D"/>
    <w:rsid w:val="00F3720D"/>
    <w:rsid w:val="00F3787B"/>
    <w:rsid w:val="00F37889"/>
    <w:rsid w:val="00F406F8"/>
    <w:rsid w:val="00F4254D"/>
    <w:rsid w:val="00F42869"/>
    <w:rsid w:val="00F42D09"/>
    <w:rsid w:val="00F430CC"/>
    <w:rsid w:val="00F433D5"/>
    <w:rsid w:val="00F43761"/>
    <w:rsid w:val="00F4386B"/>
    <w:rsid w:val="00F43CB2"/>
    <w:rsid w:val="00F453D5"/>
    <w:rsid w:val="00F4545F"/>
    <w:rsid w:val="00F454DB"/>
    <w:rsid w:val="00F45ABD"/>
    <w:rsid w:val="00F45B9B"/>
    <w:rsid w:val="00F46432"/>
    <w:rsid w:val="00F46AC7"/>
    <w:rsid w:val="00F4748C"/>
    <w:rsid w:val="00F47778"/>
    <w:rsid w:val="00F47C91"/>
    <w:rsid w:val="00F505E7"/>
    <w:rsid w:val="00F50E4C"/>
    <w:rsid w:val="00F5123C"/>
    <w:rsid w:val="00F51A71"/>
    <w:rsid w:val="00F52FBF"/>
    <w:rsid w:val="00F5323F"/>
    <w:rsid w:val="00F53FCA"/>
    <w:rsid w:val="00F5409E"/>
    <w:rsid w:val="00F54E92"/>
    <w:rsid w:val="00F55202"/>
    <w:rsid w:val="00F555C4"/>
    <w:rsid w:val="00F55E8E"/>
    <w:rsid w:val="00F5662A"/>
    <w:rsid w:val="00F5769B"/>
    <w:rsid w:val="00F579F5"/>
    <w:rsid w:val="00F57A3F"/>
    <w:rsid w:val="00F605D2"/>
    <w:rsid w:val="00F60D64"/>
    <w:rsid w:val="00F61A81"/>
    <w:rsid w:val="00F61B0A"/>
    <w:rsid w:val="00F61C1B"/>
    <w:rsid w:val="00F621CF"/>
    <w:rsid w:val="00F624E5"/>
    <w:rsid w:val="00F6275D"/>
    <w:rsid w:val="00F62D18"/>
    <w:rsid w:val="00F62E0F"/>
    <w:rsid w:val="00F62F26"/>
    <w:rsid w:val="00F63016"/>
    <w:rsid w:val="00F63432"/>
    <w:rsid w:val="00F634B0"/>
    <w:rsid w:val="00F644CF"/>
    <w:rsid w:val="00F654F6"/>
    <w:rsid w:val="00F67653"/>
    <w:rsid w:val="00F70993"/>
    <w:rsid w:val="00F70B58"/>
    <w:rsid w:val="00F70EBC"/>
    <w:rsid w:val="00F72341"/>
    <w:rsid w:val="00F725B7"/>
    <w:rsid w:val="00F725C5"/>
    <w:rsid w:val="00F72B18"/>
    <w:rsid w:val="00F734BC"/>
    <w:rsid w:val="00F74422"/>
    <w:rsid w:val="00F75CD0"/>
    <w:rsid w:val="00F75D1E"/>
    <w:rsid w:val="00F75F79"/>
    <w:rsid w:val="00F76068"/>
    <w:rsid w:val="00F76645"/>
    <w:rsid w:val="00F76901"/>
    <w:rsid w:val="00F7698F"/>
    <w:rsid w:val="00F77DF0"/>
    <w:rsid w:val="00F77F80"/>
    <w:rsid w:val="00F8081A"/>
    <w:rsid w:val="00F80FB1"/>
    <w:rsid w:val="00F810E7"/>
    <w:rsid w:val="00F816A5"/>
    <w:rsid w:val="00F82D1C"/>
    <w:rsid w:val="00F8350C"/>
    <w:rsid w:val="00F84883"/>
    <w:rsid w:val="00F851CD"/>
    <w:rsid w:val="00F853D1"/>
    <w:rsid w:val="00F865A4"/>
    <w:rsid w:val="00F86732"/>
    <w:rsid w:val="00F871AC"/>
    <w:rsid w:val="00F87253"/>
    <w:rsid w:val="00F878F1"/>
    <w:rsid w:val="00F87F57"/>
    <w:rsid w:val="00F87F97"/>
    <w:rsid w:val="00F90989"/>
    <w:rsid w:val="00F90D26"/>
    <w:rsid w:val="00F91226"/>
    <w:rsid w:val="00F918CE"/>
    <w:rsid w:val="00F91F57"/>
    <w:rsid w:val="00F92FE2"/>
    <w:rsid w:val="00F94AAA"/>
    <w:rsid w:val="00F95447"/>
    <w:rsid w:val="00F9557C"/>
    <w:rsid w:val="00F95B90"/>
    <w:rsid w:val="00F96520"/>
    <w:rsid w:val="00F96FDB"/>
    <w:rsid w:val="00F97C69"/>
    <w:rsid w:val="00FA013A"/>
    <w:rsid w:val="00FA0469"/>
    <w:rsid w:val="00FA0691"/>
    <w:rsid w:val="00FA0A3B"/>
    <w:rsid w:val="00FA0C42"/>
    <w:rsid w:val="00FA0DA7"/>
    <w:rsid w:val="00FA11BA"/>
    <w:rsid w:val="00FA129E"/>
    <w:rsid w:val="00FA1946"/>
    <w:rsid w:val="00FA1DA4"/>
    <w:rsid w:val="00FA288C"/>
    <w:rsid w:val="00FA2985"/>
    <w:rsid w:val="00FA2A6A"/>
    <w:rsid w:val="00FA2DA1"/>
    <w:rsid w:val="00FA2EDC"/>
    <w:rsid w:val="00FA3486"/>
    <w:rsid w:val="00FA3792"/>
    <w:rsid w:val="00FA4083"/>
    <w:rsid w:val="00FA409C"/>
    <w:rsid w:val="00FA4183"/>
    <w:rsid w:val="00FA4A03"/>
    <w:rsid w:val="00FA4FED"/>
    <w:rsid w:val="00FA627B"/>
    <w:rsid w:val="00FA681A"/>
    <w:rsid w:val="00FA76E7"/>
    <w:rsid w:val="00FA7956"/>
    <w:rsid w:val="00FA7B71"/>
    <w:rsid w:val="00FB0F45"/>
    <w:rsid w:val="00FB1279"/>
    <w:rsid w:val="00FB1DD0"/>
    <w:rsid w:val="00FB2AFA"/>
    <w:rsid w:val="00FB2D9C"/>
    <w:rsid w:val="00FB4849"/>
    <w:rsid w:val="00FB53AE"/>
    <w:rsid w:val="00FB7AE9"/>
    <w:rsid w:val="00FC0B10"/>
    <w:rsid w:val="00FC0C94"/>
    <w:rsid w:val="00FC10D0"/>
    <w:rsid w:val="00FC16A8"/>
    <w:rsid w:val="00FC1EFE"/>
    <w:rsid w:val="00FC2B44"/>
    <w:rsid w:val="00FC3D0B"/>
    <w:rsid w:val="00FC3E57"/>
    <w:rsid w:val="00FC4655"/>
    <w:rsid w:val="00FC526F"/>
    <w:rsid w:val="00FC57FD"/>
    <w:rsid w:val="00FC5919"/>
    <w:rsid w:val="00FC604E"/>
    <w:rsid w:val="00FC6470"/>
    <w:rsid w:val="00FD0110"/>
    <w:rsid w:val="00FD016E"/>
    <w:rsid w:val="00FD0EA4"/>
    <w:rsid w:val="00FD0F53"/>
    <w:rsid w:val="00FD1530"/>
    <w:rsid w:val="00FD188F"/>
    <w:rsid w:val="00FD2F96"/>
    <w:rsid w:val="00FD316D"/>
    <w:rsid w:val="00FD3544"/>
    <w:rsid w:val="00FD3796"/>
    <w:rsid w:val="00FD4473"/>
    <w:rsid w:val="00FD4B5C"/>
    <w:rsid w:val="00FD5C00"/>
    <w:rsid w:val="00FD722A"/>
    <w:rsid w:val="00FD74C9"/>
    <w:rsid w:val="00FD7BF8"/>
    <w:rsid w:val="00FE0F00"/>
    <w:rsid w:val="00FE0FF1"/>
    <w:rsid w:val="00FE1F48"/>
    <w:rsid w:val="00FE2481"/>
    <w:rsid w:val="00FE284C"/>
    <w:rsid w:val="00FE2B4A"/>
    <w:rsid w:val="00FE2ED4"/>
    <w:rsid w:val="00FE4340"/>
    <w:rsid w:val="00FE47F3"/>
    <w:rsid w:val="00FE5934"/>
    <w:rsid w:val="00FE59CC"/>
    <w:rsid w:val="00FE69C3"/>
    <w:rsid w:val="00FE6AA9"/>
    <w:rsid w:val="00FE783E"/>
    <w:rsid w:val="00FE7D5F"/>
    <w:rsid w:val="00FF0210"/>
    <w:rsid w:val="00FF04C3"/>
    <w:rsid w:val="00FF0747"/>
    <w:rsid w:val="00FF0774"/>
    <w:rsid w:val="00FF0C53"/>
    <w:rsid w:val="00FF0FDB"/>
    <w:rsid w:val="00FF0FFF"/>
    <w:rsid w:val="00FF144D"/>
    <w:rsid w:val="00FF2EE2"/>
    <w:rsid w:val="00FF3919"/>
    <w:rsid w:val="00FF4052"/>
    <w:rsid w:val="00FF4950"/>
    <w:rsid w:val="00FF52E0"/>
    <w:rsid w:val="00FF52EB"/>
    <w:rsid w:val="00FF5644"/>
    <w:rsid w:val="00FF6A53"/>
    <w:rsid w:val="00FF6CF5"/>
    <w:rsid w:val="00FF7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E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01"/>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01"/>
      </w:numPr>
      <w:tabs>
        <w:tab w:val="num" w:pos="360"/>
      </w:tabs>
    </w:pPr>
    <w:rPr>
      <w:i w:val="0"/>
    </w:rPr>
  </w:style>
  <w:style w:type="paragraph" w:customStyle="1" w:styleId="base-text-paragraph">
    <w:name w:val="base-text-paragraph"/>
    <w:basedOn w:val="Normal"/>
    <w:link w:val="base-text-paragraphChar"/>
    <w:rsid w:val="000F194A"/>
    <w:pPr>
      <w:numPr>
        <w:ilvl w:val="1"/>
        <w:numId w:val="105"/>
      </w:numPr>
      <w:tabs>
        <w:tab w:val="clear" w:pos="2269"/>
        <w:tab w:val="num" w:pos="1985"/>
      </w:tabs>
      <w:ind w:left="1134"/>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101"/>
      </w:numPr>
    </w:pPr>
    <w:rPr>
      <w:b/>
    </w:rPr>
  </w:style>
  <w:style w:type="paragraph" w:customStyle="1" w:styleId="Diagram">
    <w:name w:val="Diagram"/>
    <w:basedOn w:val="Normal"/>
    <w:next w:val="base-text-paragraphnonumbers"/>
    <w:rsid w:val="0036787F"/>
    <w:pPr>
      <w:keepNext/>
      <w:numPr>
        <w:ilvl w:val="2"/>
        <w:numId w:val="101"/>
      </w:numPr>
      <w:spacing w:before="0" w:after="0"/>
    </w:pPr>
    <w:rPr>
      <w:b/>
    </w:rPr>
  </w:style>
  <w:style w:type="paragraph" w:customStyle="1" w:styleId="dotpoint">
    <w:name w:val="dot point"/>
    <w:basedOn w:val="Normal"/>
    <w:rsid w:val="0036787F"/>
    <w:pPr>
      <w:numPr>
        <w:numId w:val="15"/>
      </w:numPr>
    </w:pPr>
  </w:style>
  <w:style w:type="paragraph" w:customStyle="1" w:styleId="dotpoint2">
    <w:name w:val="dot point 2"/>
    <w:basedOn w:val="Normal"/>
    <w:rsid w:val="0036787F"/>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0F194A"/>
    <w:pPr>
      <w:tabs>
        <w:tab w:val="left" w:pos="1701"/>
      </w:tabs>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uiPriority w:val="99"/>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ind w:left="0" w:firstLine="0"/>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link w:val="SubtitleChar"/>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uiPriority w:val="99"/>
    <w:rsid w:val="00450635"/>
    <w:rPr>
      <w:sz w:val="22"/>
    </w:rPr>
  </w:style>
  <w:style w:type="paragraph" w:styleId="BalloonText">
    <w:name w:val="Balloon Text"/>
    <w:basedOn w:val="Normal"/>
    <w:link w:val="BalloonTextChar"/>
    <w:rsid w:val="001A0E48"/>
    <w:pPr>
      <w:spacing w:before="0" w:after="0"/>
    </w:pPr>
    <w:rPr>
      <w:rFonts w:ascii="Tahoma" w:hAnsi="Tahoma" w:cs="Tahoma"/>
      <w:sz w:val="16"/>
      <w:szCs w:val="16"/>
    </w:rPr>
  </w:style>
  <w:style w:type="character" w:customStyle="1" w:styleId="BalloonTextChar">
    <w:name w:val="Balloon Text Char"/>
    <w:basedOn w:val="DefaultParagraphFont"/>
    <w:link w:val="BalloonText"/>
    <w:rsid w:val="001A0E48"/>
    <w:rPr>
      <w:rFonts w:ascii="Tahoma" w:hAnsi="Tahoma" w:cs="Tahoma"/>
      <w:sz w:val="16"/>
      <w:szCs w:val="16"/>
    </w:rPr>
  </w:style>
  <w:style w:type="paragraph" w:customStyle="1" w:styleId="Bullet">
    <w:name w:val="Bullet"/>
    <w:basedOn w:val="Normal"/>
    <w:link w:val="BulletChar"/>
    <w:rsid w:val="0047095C"/>
    <w:pPr>
      <w:numPr>
        <w:numId w:val="22"/>
      </w:numPr>
    </w:pPr>
  </w:style>
  <w:style w:type="character" w:customStyle="1" w:styleId="BulletChar">
    <w:name w:val="Bullet Char"/>
    <w:basedOn w:val="base-text-paragraphChar"/>
    <w:link w:val="Bullet"/>
    <w:rsid w:val="0047095C"/>
    <w:rPr>
      <w:sz w:val="22"/>
    </w:rPr>
  </w:style>
  <w:style w:type="paragraph" w:customStyle="1" w:styleId="Dash">
    <w:name w:val="Dash"/>
    <w:basedOn w:val="Normal"/>
    <w:link w:val="DashChar"/>
    <w:rsid w:val="0047095C"/>
    <w:pPr>
      <w:numPr>
        <w:ilvl w:val="1"/>
        <w:numId w:val="22"/>
      </w:numPr>
    </w:pPr>
  </w:style>
  <w:style w:type="character" w:customStyle="1" w:styleId="DashChar">
    <w:name w:val="Dash Char"/>
    <w:basedOn w:val="base-text-paragraphChar"/>
    <w:link w:val="Dash"/>
    <w:rsid w:val="0047095C"/>
    <w:rPr>
      <w:sz w:val="22"/>
    </w:rPr>
  </w:style>
  <w:style w:type="paragraph" w:customStyle="1" w:styleId="DoubleDot">
    <w:name w:val="Double Dot"/>
    <w:basedOn w:val="Normal"/>
    <w:link w:val="DoubleDotChar"/>
    <w:rsid w:val="0047095C"/>
    <w:pPr>
      <w:numPr>
        <w:ilvl w:val="2"/>
        <w:numId w:val="22"/>
      </w:numPr>
    </w:pPr>
  </w:style>
  <w:style w:type="character" w:customStyle="1" w:styleId="DoubleDotChar">
    <w:name w:val="Double Dot Char"/>
    <w:basedOn w:val="base-text-paragraphChar"/>
    <w:link w:val="DoubleDot"/>
    <w:rsid w:val="0047095C"/>
    <w:rPr>
      <w:sz w:val="22"/>
    </w:rPr>
  </w:style>
  <w:style w:type="paragraph" w:styleId="Revision">
    <w:name w:val="Revision"/>
    <w:hidden/>
    <w:uiPriority w:val="99"/>
    <w:semiHidden/>
    <w:rsid w:val="004B3E4A"/>
    <w:rPr>
      <w:sz w:val="22"/>
    </w:rPr>
  </w:style>
  <w:style w:type="character" w:styleId="CommentReference">
    <w:name w:val="annotation reference"/>
    <w:basedOn w:val="DefaultParagraphFont"/>
    <w:rsid w:val="004B3E4A"/>
    <w:rPr>
      <w:sz w:val="16"/>
      <w:szCs w:val="16"/>
    </w:rPr>
  </w:style>
  <w:style w:type="paragraph" w:styleId="CommentText">
    <w:name w:val="annotation text"/>
    <w:basedOn w:val="Normal"/>
    <w:link w:val="CommentTextChar"/>
    <w:rsid w:val="004B3E4A"/>
    <w:rPr>
      <w:sz w:val="20"/>
    </w:rPr>
  </w:style>
  <w:style w:type="character" w:customStyle="1" w:styleId="CommentTextChar">
    <w:name w:val="Comment Text Char"/>
    <w:basedOn w:val="DefaultParagraphFont"/>
    <w:link w:val="CommentText"/>
    <w:rsid w:val="004B3E4A"/>
  </w:style>
  <w:style w:type="paragraph" w:styleId="CommentSubject">
    <w:name w:val="annotation subject"/>
    <w:basedOn w:val="CommentText"/>
    <w:next w:val="CommentText"/>
    <w:link w:val="CommentSubjectChar"/>
    <w:rsid w:val="004B3E4A"/>
    <w:rPr>
      <w:b/>
      <w:bCs/>
    </w:rPr>
  </w:style>
  <w:style w:type="character" w:customStyle="1" w:styleId="CommentSubjectChar">
    <w:name w:val="Comment Subject Char"/>
    <w:basedOn w:val="CommentTextChar"/>
    <w:link w:val="CommentSubject"/>
    <w:rsid w:val="004B3E4A"/>
    <w:rPr>
      <w:b/>
      <w:bCs/>
    </w:rPr>
  </w:style>
  <w:style w:type="paragraph" w:customStyle="1" w:styleId="OutlineNumbered1">
    <w:name w:val="Outline Numbered 1"/>
    <w:basedOn w:val="Normal"/>
    <w:link w:val="OutlineNumbered1Char"/>
    <w:rsid w:val="00E33AB4"/>
    <w:pPr>
      <w:numPr>
        <w:numId w:val="23"/>
      </w:numPr>
    </w:pPr>
  </w:style>
  <w:style w:type="character" w:customStyle="1" w:styleId="OutlineNumbered1Char">
    <w:name w:val="Outline Numbered 1 Char"/>
    <w:basedOn w:val="DefaultParagraphFont"/>
    <w:link w:val="OutlineNumbered1"/>
    <w:rsid w:val="00E33AB4"/>
    <w:rPr>
      <w:sz w:val="22"/>
    </w:rPr>
  </w:style>
  <w:style w:type="paragraph" w:customStyle="1" w:styleId="OutlineNumbered2">
    <w:name w:val="Outline Numbered 2"/>
    <w:basedOn w:val="Normal"/>
    <w:link w:val="OutlineNumbered2Char"/>
    <w:rsid w:val="00E33AB4"/>
    <w:pPr>
      <w:numPr>
        <w:ilvl w:val="1"/>
        <w:numId w:val="23"/>
      </w:numPr>
    </w:pPr>
  </w:style>
  <w:style w:type="character" w:customStyle="1" w:styleId="OutlineNumbered2Char">
    <w:name w:val="Outline Numbered 2 Char"/>
    <w:basedOn w:val="DefaultParagraphFont"/>
    <w:link w:val="OutlineNumbered2"/>
    <w:rsid w:val="00E33AB4"/>
    <w:rPr>
      <w:sz w:val="22"/>
    </w:rPr>
  </w:style>
  <w:style w:type="paragraph" w:customStyle="1" w:styleId="OutlineNumbered3">
    <w:name w:val="Outline Numbered 3"/>
    <w:basedOn w:val="Normal"/>
    <w:link w:val="OutlineNumbered3Char"/>
    <w:rsid w:val="00E33AB4"/>
    <w:pPr>
      <w:numPr>
        <w:ilvl w:val="2"/>
        <w:numId w:val="23"/>
      </w:numPr>
    </w:pPr>
  </w:style>
  <w:style w:type="character" w:customStyle="1" w:styleId="OutlineNumbered3Char">
    <w:name w:val="Outline Numbered 3 Char"/>
    <w:basedOn w:val="DefaultParagraphFont"/>
    <w:link w:val="OutlineNumbered3"/>
    <w:rsid w:val="00E33AB4"/>
    <w:rPr>
      <w:sz w:val="22"/>
    </w:rPr>
  </w:style>
  <w:style w:type="character" w:customStyle="1" w:styleId="Heading5Char">
    <w:name w:val="Heading 5 Char"/>
    <w:basedOn w:val="DefaultParagraphFont"/>
    <w:link w:val="Heading5"/>
    <w:rsid w:val="00A5508E"/>
    <w:rPr>
      <w:bCs/>
      <w:i/>
      <w:iCs/>
      <w:sz w:val="22"/>
      <w:szCs w:val="26"/>
    </w:rPr>
  </w:style>
  <w:style w:type="paragraph" w:customStyle="1" w:styleId="notedraft">
    <w:name w:val="note(draft)"/>
    <w:aliases w:val="nd"/>
    <w:basedOn w:val="Normal"/>
    <w:rsid w:val="00910583"/>
    <w:pPr>
      <w:spacing w:before="240" w:after="0"/>
      <w:ind w:left="284" w:hanging="284"/>
    </w:pPr>
    <w:rPr>
      <w:i/>
      <w:sz w:val="24"/>
    </w:rPr>
  </w:style>
  <w:style w:type="paragraph" w:customStyle="1" w:styleId="Tabletext0">
    <w:name w:val="Tabletext"/>
    <w:aliases w:val="tt"/>
    <w:basedOn w:val="Normal"/>
    <w:rsid w:val="00910583"/>
    <w:pPr>
      <w:spacing w:before="60" w:after="0" w:line="240" w:lineRule="atLeast"/>
    </w:pPr>
    <w:rPr>
      <w:sz w:val="20"/>
    </w:rPr>
  </w:style>
  <w:style w:type="paragraph" w:customStyle="1" w:styleId="TableHeading">
    <w:name w:val="TableHeading"/>
    <w:aliases w:val="th"/>
    <w:basedOn w:val="Normal"/>
    <w:next w:val="Tabletext0"/>
    <w:rsid w:val="00910583"/>
    <w:pPr>
      <w:keepNext/>
      <w:spacing w:before="60" w:after="0" w:line="240" w:lineRule="atLeast"/>
    </w:pPr>
    <w:rPr>
      <w:b/>
      <w:sz w:val="20"/>
    </w:rPr>
  </w:style>
  <w:style w:type="character" w:customStyle="1" w:styleId="SubtitleChar">
    <w:name w:val="Subtitle Char"/>
    <w:basedOn w:val="DefaultParagraphFont"/>
    <w:link w:val="Subtitle"/>
    <w:rsid w:val="001B1E99"/>
    <w:rPr>
      <w:rFonts w:ascii="Arial" w:hAnsi="Arial" w:cs="Arial"/>
      <w:sz w:val="24"/>
      <w:szCs w:val="24"/>
    </w:rPr>
  </w:style>
  <w:style w:type="paragraph" w:customStyle="1" w:styleId="Definition">
    <w:name w:val="Definition"/>
    <w:aliases w:val="dd"/>
    <w:basedOn w:val="Normal"/>
    <w:rsid w:val="001C1E5C"/>
    <w:pPr>
      <w:spacing w:before="180" w:after="0"/>
      <w:ind w:left="1134"/>
    </w:pPr>
  </w:style>
  <w:style w:type="paragraph" w:customStyle="1" w:styleId="paragraph">
    <w:name w:val="paragraph"/>
    <w:aliases w:val="a"/>
    <w:basedOn w:val="Normal"/>
    <w:link w:val="paragraphChar"/>
    <w:rsid w:val="001C1E5C"/>
    <w:pPr>
      <w:tabs>
        <w:tab w:val="right" w:pos="1531"/>
      </w:tabs>
      <w:spacing w:before="40" w:after="0"/>
      <w:ind w:left="1644" w:hanging="1644"/>
    </w:pPr>
  </w:style>
  <w:style w:type="character" w:customStyle="1" w:styleId="paragraphChar">
    <w:name w:val="paragraph Char"/>
    <w:aliases w:val="a Char"/>
    <w:link w:val="paragraph"/>
    <w:rsid w:val="001C1E5C"/>
    <w:rPr>
      <w:sz w:val="22"/>
    </w:rPr>
  </w:style>
  <w:style w:type="character" w:customStyle="1" w:styleId="Heading4Char">
    <w:name w:val="Heading 4 Char"/>
    <w:basedOn w:val="DefaultParagraphFont"/>
    <w:link w:val="Heading4"/>
    <w:rsid w:val="001A5BA2"/>
    <w:rPr>
      <w:b/>
      <w:i/>
      <w:sz w:val="22"/>
    </w:rPr>
  </w:style>
  <w:style w:type="character" w:customStyle="1" w:styleId="CharAmSchText">
    <w:name w:val="CharAmSchText"/>
    <w:basedOn w:val="DefaultParagraphFont"/>
    <w:uiPriority w:val="1"/>
    <w:rsid w:val="001A5BA2"/>
  </w:style>
  <w:style w:type="character" w:styleId="FootnoteReference">
    <w:name w:val="footnote reference"/>
    <w:basedOn w:val="DefaultParagraphFont"/>
    <w:rsid w:val="008C2B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01"/>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01"/>
      </w:numPr>
      <w:tabs>
        <w:tab w:val="num" w:pos="360"/>
      </w:tabs>
    </w:pPr>
    <w:rPr>
      <w:i w:val="0"/>
    </w:rPr>
  </w:style>
  <w:style w:type="paragraph" w:customStyle="1" w:styleId="base-text-paragraph">
    <w:name w:val="base-text-paragraph"/>
    <w:basedOn w:val="Normal"/>
    <w:link w:val="base-text-paragraphChar"/>
    <w:rsid w:val="000F194A"/>
    <w:pPr>
      <w:numPr>
        <w:ilvl w:val="1"/>
        <w:numId w:val="105"/>
      </w:numPr>
      <w:tabs>
        <w:tab w:val="clear" w:pos="2269"/>
        <w:tab w:val="num" w:pos="1985"/>
      </w:tabs>
      <w:ind w:left="1134"/>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101"/>
      </w:numPr>
    </w:pPr>
    <w:rPr>
      <w:b/>
    </w:rPr>
  </w:style>
  <w:style w:type="paragraph" w:customStyle="1" w:styleId="Diagram">
    <w:name w:val="Diagram"/>
    <w:basedOn w:val="Normal"/>
    <w:next w:val="base-text-paragraphnonumbers"/>
    <w:rsid w:val="0036787F"/>
    <w:pPr>
      <w:keepNext/>
      <w:numPr>
        <w:ilvl w:val="2"/>
        <w:numId w:val="101"/>
      </w:numPr>
      <w:spacing w:before="0" w:after="0"/>
    </w:pPr>
    <w:rPr>
      <w:b/>
    </w:rPr>
  </w:style>
  <w:style w:type="paragraph" w:customStyle="1" w:styleId="dotpoint">
    <w:name w:val="dot point"/>
    <w:basedOn w:val="Normal"/>
    <w:rsid w:val="0036787F"/>
    <w:pPr>
      <w:numPr>
        <w:numId w:val="15"/>
      </w:numPr>
    </w:pPr>
  </w:style>
  <w:style w:type="paragraph" w:customStyle="1" w:styleId="dotpoint2">
    <w:name w:val="dot point 2"/>
    <w:basedOn w:val="Normal"/>
    <w:rsid w:val="0036787F"/>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0F194A"/>
    <w:pPr>
      <w:tabs>
        <w:tab w:val="left" w:pos="1701"/>
      </w:tabs>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uiPriority w:val="99"/>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ind w:left="0" w:firstLine="0"/>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link w:val="SubtitleChar"/>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uiPriority w:val="99"/>
    <w:rsid w:val="00450635"/>
    <w:rPr>
      <w:sz w:val="22"/>
    </w:rPr>
  </w:style>
  <w:style w:type="paragraph" w:styleId="BalloonText">
    <w:name w:val="Balloon Text"/>
    <w:basedOn w:val="Normal"/>
    <w:link w:val="BalloonTextChar"/>
    <w:rsid w:val="001A0E48"/>
    <w:pPr>
      <w:spacing w:before="0" w:after="0"/>
    </w:pPr>
    <w:rPr>
      <w:rFonts w:ascii="Tahoma" w:hAnsi="Tahoma" w:cs="Tahoma"/>
      <w:sz w:val="16"/>
      <w:szCs w:val="16"/>
    </w:rPr>
  </w:style>
  <w:style w:type="character" w:customStyle="1" w:styleId="BalloonTextChar">
    <w:name w:val="Balloon Text Char"/>
    <w:basedOn w:val="DefaultParagraphFont"/>
    <w:link w:val="BalloonText"/>
    <w:rsid w:val="001A0E48"/>
    <w:rPr>
      <w:rFonts w:ascii="Tahoma" w:hAnsi="Tahoma" w:cs="Tahoma"/>
      <w:sz w:val="16"/>
      <w:szCs w:val="16"/>
    </w:rPr>
  </w:style>
  <w:style w:type="paragraph" w:customStyle="1" w:styleId="Bullet">
    <w:name w:val="Bullet"/>
    <w:basedOn w:val="Normal"/>
    <w:link w:val="BulletChar"/>
    <w:rsid w:val="0047095C"/>
    <w:pPr>
      <w:numPr>
        <w:numId w:val="22"/>
      </w:numPr>
    </w:pPr>
  </w:style>
  <w:style w:type="character" w:customStyle="1" w:styleId="BulletChar">
    <w:name w:val="Bullet Char"/>
    <w:basedOn w:val="base-text-paragraphChar"/>
    <w:link w:val="Bullet"/>
    <w:rsid w:val="0047095C"/>
    <w:rPr>
      <w:sz w:val="22"/>
    </w:rPr>
  </w:style>
  <w:style w:type="paragraph" w:customStyle="1" w:styleId="Dash">
    <w:name w:val="Dash"/>
    <w:basedOn w:val="Normal"/>
    <w:link w:val="DashChar"/>
    <w:rsid w:val="0047095C"/>
    <w:pPr>
      <w:numPr>
        <w:ilvl w:val="1"/>
        <w:numId w:val="22"/>
      </w:numPr>
    </w:pPr>
  </w:style>
  <w:style w:type="character" w:customStyle="1" w:styleId="DashChar">
    <w:name w:val="Dash Char"/>
    <w:basedOn w:val="base-text-paragraphChar"/>
    <w:link w:val="Dash"/>
    <w:rsid w:val="0047095C"/>
    <w:rPr>
      <w:sz w:val="22"/>
    </w:rPr>
  </w:style>
  <w:style w:type="paragraph" w:customStyle="1" w:styleId="DoubleDot">
    <w:name w:val="Double Dot"/>
    <w:basedOn w:val="Normal"/>
    <w:link w:val="DoubleDotChar"/>
    <w:rsid w:val="0047095C"/>
    <w:pPr>
      <w:numPr>
        <w:ilvl w:val="2"/>
        <w:numId w:val="22"/>
      </w:numPr>
    </w:pPr>
  </w:style>
  <w:style w:type="character" w:customStyle="1" w:styleId="DoubleDotChar">
    <w:name w:val="Double Dot Char"/>
    <w:basedOn w:val="base-text-paragraphChar"/>
    <w:link w:val="DoubleDot"/>
    <w:rsid w:val="0047095C"/>
    <w:rPr>
      <w:sz w:val="22"/>
    </w:rPr>
  </w:style>
  <w:style w:type="paragraph" w:styleId="Revision">
    <w:name w:val="Revision"/>
    <w:hidden/>
    <w:uiPriority w:val="99"/>
    <w:semiHidden/>
    <w:rsid w:val="004B3E4A"/>
    <w:rPr>
      <w:sz w:val="22"/>
    </w:rPr>
  </w:style>
  <w:style w:type="character" w:styleId="CommentReference">
    <w:name w:val="annotation reference"/>
    <w:basedOn w:val="DefaultParagraphFont"/>
    <w:rsid w:val="004B3E4A"/>
    <w:rPr>
      <w:sz w:val="16"/>
      <w:szCs w:val="16"/>
    </w:rPr>
  </w:style>
  <w:style w:type="paragraph" w:styleId="CommentText">
    <w:name w:val="annotation text"/>
    <w:basedOn w:val="Normal"/>
    <w:link w:val="CommentTextChar"/>
    <w:rsid w:val="004B3E4A"/>
    <w:rPr>
      <w:sz w:val="20"/>
    </w:rPr>
  </w:style>
  <w:style w:type="character" w:customStyle="1" w:styleId="CommentTextChar">
    <w:name w:val="Comment Text Char"/>
    <w:basedOn w:val="DefaultParagraphFont"/>
    <w:link w:val="CommentText"/>
    <w:rsid w:val="004B3E4A"/>
  </w:style>
  <w:style w:type="paragraph" w:styleId="CommentSubject">
    <w:name w:val="annotation subject"/>
    <w:basedOn w:val="CommentText"/>
    <w:next w:val="CommentText"/>
    <w:link w:val="CommentSubjectChar"/>
    <w:rsid w:val="004B3E4A"/>
    <w:rPr>
      <w:b/>
      <w:bCs/>
    </w:rPr>
  </w:style>
  <w:style w:type="character" w:customStyle="1" w:styleId="CommentSubjectChar">
    <w:name w:val="Comment Subject Char"/>
    <w:basedOn w:val="CommentTextChar"/>
    <w:link w:val="CommentSubject"/>
    <w:rsid w:val="004B3E4A"/>
    <w:rPr>
      <w:b/>
      <w:bCs/>
    </w:rPr>
  </w:style>
  <w:style w:type="paragraph" w:customStyle="1" w:styleId="OutlineNumbered1">
    <w:name w:val="Outline Numbered 1"/>
    <w:basedOn w:val="Normal"/>
    <w:link w:val="OutlineNumbered1Char"/>
    <w:rsid w:val="00E33AB4"/>
    <w:pPr>
      <w:numPr>
        <w:numId w:val="23"/>
      </w:numPr>
    </w:pPr>
  </w:style>
  <w:style w:type="character" w:customStyle="1" w:styleId="OutlineNumbered1Char">
    <w:name w:val="Outline Numbered 1 Char"/>
    <w:basedOn w:val="DefaultParagraphFont"/>
    <w:link w:val="OutlineNumbered1"/>
    <w:rsid w:val="00E33AB4"/>
    <w:rPr>
      <w:sz w:val="22"/>
    </w:rPr>
  </w:style>
  <w:style w:type="paragraph" w:customStyle="1" w:styleId="OutlineNumbered2">
    <w:name w:val="Outline Numbered 2"/>
    <w:basedOn w:val="Normal"/>
    <w:link w:val="OutlineNumbered2Char"/>
    <w:rsid w:val="00E33AB4"/>
    <w:pPr>
      <w:numPr>
        <w:ilvl w:val="1"/>
        <w:numId w:val="23"/>
      </w:numPr>
    </w:pPr>
  </w:style>
  <w:style w:type="character" w:customStyle="1" w:styleId="OutlineNumbered2Char">
    <w:name w:val="Outline Numbered 2 Char"/>
    <w:basedOn w:val="DefaultParagraphFont"/>
    <w:link w:val="OutlineNumbered2"/>
    <w:rsid w:val="00E33AB4"/>
    <w:rPr>
      <w:sz w:val="22"/>
    </w:rPr>
  </w:style>
  <w:style w:type="paragraph" w:customStyle="1" w:styleId="OutlineNumbered3">
    <w:name w:val="Outline Numbered 3"/>
    <w:basedOn w:val="Normal"/>
    <w:link w:val="OutlineNumbered3Char"/>
    <w:rsid w:val="00E33AB4"/>
    <w:pPr>
      <w:numPr>
        <w:ilvl w:val="2"/>
        <w:numId w:val="23"/>
      </w:numPr>
    </w:pPr>
  </w:style>
  <w:style w:type="character" w:customStyle="1" w:styleId="OutlineNumbered3Char">
    <w:name w:val="Outline Numbered 3 Char"/>
    <w:basedOn w:val="DefaultParagraphFont"/>
    <w:link w:val="OutlineNumbered3"/>
    <w:rsid w:val="00E33AB4"/>
    <w:rPr>
      <w:sz w:val="22"/>
    </w:rPr>
  </w:style>
  <w:style w:type="character" w:customStyle="1" w:styleId="Heading5Char">
    <w:name w:val="Heading 5 Char"/>
    <w:basedOn w:val="DefaultParagraphFont"/>
    <w:link w:val="Heading5"/>
    <w:rsid w:val="00A5508E"/>
    <w:rPr>
      <w:bCs/>
      <w:i/>
      <w:iCs/>
      <w:sz w:val="22"/>
      <w:szCs w:val="26"/>
    </w:rPr>
  </w:style>
  <w:style w:type="paragraph" w:customStyle="1" w:styleId="notedraft">
    <w:name w:val="note(draft)"/>
    <w:aliases w:val="nd"/>
    <w:basedOn w:val="Normal"/>
    <w:rsid w:val="00910583"/>
    <w:pPr>
      <w:spacing w:before="240" w:after="0"/>
      <w:ind w:left="284" w:hanging="284"/>
    </w:pPr>
    <w:rPr>
      <w:i/>
      <w:sz w:val="24"/>
    </w:rPr>
  </w:style>
  <w:style w:type="paragraph" w:customStyle="1" w:styleId="Tabletext0">
    <w:name w:val="Tabletext"/>
    <w:aliases w:val="tt"/>
    <w:basedOn w:val="Normal"/>
    <w:rsid w:val="00910583"/>
    <w:pPr>
      <w:spacing w:before="60" w:after="0" w:line="240" w:lineRule="atLeast"/>
    </w:pPr>
    <w:rPr>
      <w:sz w:val="20"/>
    </w:rPr>
  </w:style>
  <w:style w:type="paragraph" w:customStyle="1" w:styleId="TableHeading">
    <w:name w:val="TableHeading"/>
    <w:aliases w:val="th"/>
    <w:basedOn w:val="Normal"/>
    <w:next w:val="Tabletext0"/>
    <w:rsid w:val="00910583"/>
    <w:pPr>
      <w:keepNext/>
      <w:spacing w:before="60" w:after="0" w:line="240" w:lineRule="atLeast"/>
    </w:pPr>
    <w:rPr>
      <w:b/>
      <w:sz w:val="20"/>
    </w:rPr>
  </w:style>
  <w:style w:type="character" w:customStyle="1" w:styleId="SubtitleChar">
    <w:name w:val="Subtitle Char"/>
    <w:basedOn w:val="DefaultParagraphFont"/>
    <w:link w:val="Subtitle"/>
    <w:rsid w:val="001B1E99"/>
    <w:rPr>
      <w:rFonts w:ascii="Arial" w:hAnsi="Arial" w:cs="Arial"/>
      <w:sz w:val="24"/>
      <w:szCs w:val="24"/>
    </w:rPr>
  </w:style>
  <w:style w:type="paragraph" w:customStyle="1" w:styleId="Definition">
    <w:name w:val="Definition"/>
    <w:aliases w:val="dd"/>
    <w:basedOn w:val="Normal"/>
    <w:rsid w:val="001C1E5C"/>
    <w:pPr>
      <w:spacing w:before="180" w:after="0"/>
      <w:ind w:left="1134"/>
    </w:pPr>
  </w:style>
  <w:style w:type="paragraph" w:customStyle="1" w:styleId="paragraph">
    <w:name w:val="paragraph"/>
    <w:aliases w:val="a"/>
    <w:basedOn w:val="Normal"/>
    <w:link w:val="paragraphChar"/>
    <w:rsid w:val="001C1E5C"/>
    <w:pPr>
      <w:tabs>
        <w:tab w:val="right" w:pos="1531"/>
      </w:tabs>
      <w:spacing w:before="40" w:after="0"/>
      <w:ind w:left="1644" w:hanging="1644"/>
    </w:pPr>
  </w:style>
  <w:style w:type="character" w:customStyle="1" w:styleId="paragraphChar">
    <w:name w:val="paragraph Char"/>
    <w:aliases w:val="a Char"/>
    <w:link w:val="paragraph"/>
    <w:rsid w:val="001C1E5C"/>
    <w:rPr>
      <w:sz w:val="22"/>
    </w:rPr>
  </w:style>
  <w:style w:type="character" w:customStyle="1" w:styleId="Heading4Char">
    <w:name w:val="Heading 4 Char"/>
    <w:basedOn w:val="DefaultParagraphFont"/>
    <w:link w:val="Heading4"/>
    <w:rsid w:val="001A5BA2"/>
    <w:rPr>
      <w:b/>
      <w:i/>
      <w:sz w:val="22"/>
    </w:rPr>
  </w:style>
  <w:style w:type="character" w:customStyle="1" w:styleId="CharAmSchText">
    <w:name w:val="CharAmSchText"/>
    <w:basedOn w:val="DefaultParagraphFont"/>
    <w:uiPriority w:val="1"/>
    <w:rsid w:val="001A5BA2"/>
  </w:style>
  <w:style w:type="character" w:styleId="FootnoteReference">
    <w:name w:val="footnote reference"/>
    <w:basedOn w:val="DefaultParagraphFont"/>
    <w:rsid w:val="008C2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603">
      <w:bodyDiv w:val="1"/>
      <w:marLeft w:val="0"/>
      <w:marRight w:val="0"/>
      <w:marTop w:val="0"/>
      <w:marBottom w:val="0"/>
      <w:divBdr>
        <w:top w:val="none" w:sz="0" w:space="0" w:color="auto"/>
        <w:left w:val="none" w:sz="0" w:space="0" w:color="auto"/>
        <w:bottom w:val="none" w:sz="0" w:space="0" w:color="auto"/>
        <w:right w:val="none" w:sz="0" w:space="0" w:color="auto"/>
      </w:divBdr>
    </w:div>
    <w:div w:id="213588957">
      <w:bodyDiv w:val="1"/>
      <w:marLeft w:val="0"/>
      <w:marRight w:val="0"/>
      <w:marTop w:val="0"/>
      <w:marBottom w:val="0"/>
      <w:divBdr>
        <w:top w:val="none" w:sz="0" w:space="0" w:color="auto"/>
        <w:left w:val="none" w:sz="0" w:space="0" w:color="auto"/>
        <w:bottom w:val="none" w:sz="0" w:space="0" w:color="auto"/>
        <w:right w:val="none" w:sz="0" w:space="0" w:color="auto"/>
      </w:divBdr>
    </w:div>
    <w:div w:id="327173666">
      <w:bodyDiv w:val="1"/>
      <w:marLeft w:val="0"/>
      <w:marRight w:val="0"/>
      <w:marTop w:val="0"/>
      <w:marBottom w:val="0"/>
      <w:divBdr>
        <w:top w:val="none" w:sz="0" w:space="0" w:color="auto"/>
        <w:left w:val="none" w:sz="0" w:space="0" w:color="auto"/>
        <w:bottom w:val="none" w:sz="0" w:space="0" w:color="auto"/>
        <w:right w:val="none" w:sz="0" w:space="0" w:color="auto"/>
      </w:divBdr>
    </w:div>
    <w:div w:id="331153495">
      <w:bodyDiv w:val="1"/>
      <w:marLeft w:val="0"/>
      <w:marRight w:val="0"/>
      <w:marTop w:val="0"/>
      <w:marBottom w:val="0"/>
      <w:divBdr>
        <w:top w:val="none" w:sz="0" w:space="0" w:color="auto"/>
        <w:left w:val="none" w:sz="0" w:space="0" w:color="auto"/>
        <w:bottom w:val="none" w:sz="0" w:space="0" w:color="auto"/>
        <w:right w:val="none" w:sz="0" w:space="0" w:color="auto"/>
      </w:divBdr>
    </w:div>
    <w:div w:id="457845817">
      <w:bodyDiv w:val="1"/>
      <w:marLeft w:val="0"/>
      <w:marRight w:val="0"/>
      <w:marTop w:val="0"/>
      <w:marBottom w:val="0"/>
      <w:divBdr>
        <w:top w:val="none" w:sz="0" w:space="0" w:color="auto"/>
        <w:left w:val="none" w:sz="0" w:space="0" w:color="auto"/>
        <w:bottom w:val="none" w:sz="0" w:space="0" w:color="auto"/>
        <w:right w:val="none" w:sz="0" w:space="0" w:color="auto"/>
      </w:divBdr>
    </w:div>
    <w:div w:id="528028565">
      <w:bodyDiv w:val="1"/>
      <w:marLeft w:val="0"/>
      <w:marRight w:val="0"/>
      <w:marTop w:val="0"/>
      <w:marBottom w:val="0"/>
      <w:divBdr>
        <w:top w:val="none" w:sz="0" w:space="0" w:color="auto"/>
        <w:left w:val="none" w:sz="0" w:space="0" w:color="auto"/>
        <w:bottom w:val="none" w:sz="0" w:space="0" w:color="auto"/>
        <w:right w:val="none" w:sz="0" w:space="0" w:color="auto"/>
      </w:divBdr>
    </w:div>
    <w:div w:id="528371179">
      <w:bodyDiv w:val="1"/>
      <w:marLeft w:val="0"/>
      <w:marRight w:val="0"/>
      <w:marTop w:val="0"/>
      <w:marBottom w:val="0"/>
      <w:divBdr>
        <w:top w:val="none" w:sz="0" w:space="0" w:color="auto"/>
        <w:left w:val="none" w:sz="0" w:space="0" w:color="auto"/>
        <w:bottom w:val="none" w:sz="0" w:space="0" w:color="auto"/>
        <w:right w:val="none" w:sz="0" w:space="0" w:color="auto"/>
      </w:divBdr>
    </w:div>
    <w:div w:id="570700704">
      <w:bodyDiv w:val="1"/>
      <w:marLeft w:val="0"/>
      <w:marRight w:val="0"/>
      <w:marTop w:val="0"/>
      <w:marBottom w:val="0"/>
      <w:divBdr>
        <w:top w:val="none" w:sz="0" w:space="0" w:color="auto"/>
        <w:left w:val="none" w:sz="0" w:space="0" w:color="auto"/>
        <w:bottom w:val="none" w:sz="0" w:space="0" w:color="auto"/>
        <w:right w:val="none" w:sz="0" w:space="0" w:color="auto"/>
      </w:divBdr>
    </w:div>
    <w:div w:id="580719240">
      <w:bodyDiv w:val="1"/>
      <w:marLeft w:val="0"/>
      <w:marRight w:val="0"/>
      <w:marTop w:val="0"/>
      <w:marBottom w:val="0"/>
      <w:divBdr>
        <w:top w:val="none" w:sz="0" w:space="0" w:color="auto"/>
        <w:left w:val="none" w:sz="0" w:space="0" w:color="auto"/>
        <w:bottom w:val="none" w:sz="0" w:space="0" w:color="auto"/>
        <w:right w:val="none" w:sz="0" w:space="0" w:color="auto"/>
      </w:divBdr>
    </w:div>
    <w:div w:id="620382536">
      <w:bodyDiv w:val="1"/>
      <w:marLeft w:val="0"/>
      <w:marRight w:val="0"/>
      <w:marTop w:val="0"/>
      <w:marBottom w:val="0"/>
      <w:divBdr>
        <w:top w:val="none" w:sz="0" w:space="0" w:color="auto"/>
        <w:left w:val="none" w:sz="0" w:space="0" w:color="auto"/>
        <w:bottom w:val="none" w:sz="0" w:space="0" w:color="auto"/>
        <w:right w:val="none" w:sz="0" w:space="0" w:color="auto"/>
      </w:divBdr>
    </w:div>
    <w:div w:id="630135801">
      <w:bodyDiv w:val="1"/>
      <w:marLeft w:val="0"/>
      <w:marRight w:val="0"/>
      <w:marTop w:val="0"/>
      <w:marBottom w:val="0"/>
      <w:divBdr>
        <w:top w:val="none" w:sz="0" w:space="0" w:color="auto"/>
        <w:left w:val="none" w:sz="0" w:space="0" w:color="auto"/>
        <w:bottom w:val="none" w:sz="0" w:space="0" w:color="auto"/>
        <w:right w:val="none" w:sz="0" w:space="0" w:color="auto"/>
      </w:divBdr>
    </w:div>
    <w:div w:id="632828797">
      <w:bodyDiv w:val="1"/>
      <w:marLeft w:val="0"/>
      <w:marRight w:val="0"/>
      <w:marTop w:val="0"/>
      <w:marBottom w:val="0"/>
      <w:divBdr>
        <w:top w:val="none" w:sz="0" w:space="0" w:color="auto"/>
        <w:left w:val="none" w:sz="0" w:space="0" w:color="auto"/>
        <w:bottom w:val="none" w:sz="0" w:space="0" w:color="auto"/>
        <w:right w:val="none" w:sz="0" w:space="0" w:color="auto"/>
      </w:divBdr>
      <w:divsChild>
        <w:div w:id="184565969">
          <w:marLeft w:val="0"/>
          <w:marRight w:val="0"/>
          <w:marTop w:val="0"/>
          <w:marBottom w:val="0"/>
          <w:divBdr>
            <w:top w:val="single" w:sz="6" w:space="8" w:color="B8B8B8"/>
            <w:left w:val="none" w:sz="0" w:space="0" w:color="auto"/>
            <w:bottom w:val="none" w:sz="0" w:space="0" w:color="auto"/>
            <w:right w:val="none" w:sz="0" w:space="0" w:color="auto"/>
          </w:divBdr>
          <w:divsChild>
            <w:div w:id="103960161">
              <w:marLeft w:val="2"/>
              <w:marRight w:val="2"/>
              <w:marTop w:val="0"/>
              <w:marBottom w:val="0"/>
              <w:divBdr>
                <w:top w:val="single" w:sz="6" w:space="8" w:color="CDCCD4"/>
                <w:left w:val="single" w:sz="6" w:space="8" w:color="CDCCD4"/>
                <w:bottom w:val="single" w:sz="6" w:space="8" w:color="CDCCD4"/>
                <w:right w:val="single" w:sz="6" w:space="4" w:color="CDCCD4"/>
              </w:divBdr>
              <w:divsChild>
                <w:div w:id="1533036849">
                  <w:marLeft w:val="0"/>
                  <w:marRight w:val="0"/>
                  <w:marTop w:val="75"/>
                  <w:marBottom w:val="75"/>
                  <w:divBdr>
                    <w:top w:val="single" w:sz="6" w:space="8" w:color="CCCCD4"/>
                    <w:left w:val="single" w:sz="6" w:space="8" w:color="CCCCD4"/>
                    <w:bottom w:val="single" w:sz="6" w:space="8" w:color="CCCCD4"/>
                    <w:right w:val="single" w:sz="6" w:space="8" w:color="CCCCD4"/>
                  </w:divBdr>
                  <w:divsChild>
                    <w:div w:id="12197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17389">
      <w:bodyDiv w:val="1"/>
      <w:marLeft w:val="0"/>
      <w:marRight w:val="0"/>
      <w:marTop w:val="0"/>
      <w:marBottom w:val="0"/>
      <w:divBdr>
        <w:top w:val="none" w:sz="0" w:space="0" w:color="auto"/>
        <w:left w:val="none" w:sz="0" w:space="0" w:color="auto"/>
        <w:bottom w:val="none" w:sz="0" w:space="0" w:color="auto"/>
        <w:right w:val="none" w:sz="0" w:space="0" w:color="auto"/>
      </w:divBdr>
    </w:div>
    <w:div w:id="797529103">
      <w:bodyDiv w:val="1"/>
      <w:marLeft w:val="0"/>
      <w:marRight w:val="0"/>
      <w:marTop w:val="0"/>
      <w:marBottom w:val="0"/>
      <w:divBdr>
        <w:top w:val="none" w:sz="0" w:space="0" w:color="auto"/>
        <w:left w:val="none" w:sz="0" w:space="0" w:color="auto"/>
        <w:bottom w:val="none" w:sz="0" w:space="0" w:color="auto"/>
        <w:right w:val="none" w:sz="0" w:space="0" w:color="auto"/>
      </w:divBdr>
    </w:div>
    <w:div w:id="1050693218">
      <w:bodyDiv w:val="1"/>
      <w:marLeft w:val="0"/>
      <w:marRight w:val="0"/>
      <w:marTop w:val="0"/>
      <w:marBottom w:val="0"/>
      <w:divBdr>
        <w:top w:val="none" w:sz="0" w:space="0" w:color="auto"/>
        <w:left w:val="none" w:sz="0" w:space="0" w:color="auto"/>
        <w:bottom w:val="none" w:sz="0" w:space="0" w:color="auto"/>
        <w:right w:val="none" w:sz="0" w:space="0" w:color="auto"/>
      </w:divBdr>
    </w:div>
    <w:div w:id="1104568963">
      <w:bodyDiv w:val="1"/>
      <w:marLeft w:val="0"/>
      <w:marRight w:val="0"/>
      <w:marTop w:val="0"/>
      <w:marBottom w:val="0"/>
      <w:divBdr>
        <w:top w:val="none" w:sz="0" w:space="0" w:color="auto"/>
        <w:left w:val="none" w:sz="0" w:space="0" w:color="auto"/>
        <w:bottom w:val="none" w:sz="0" w:space="0" w:color="auto"/>
        <w:right w:val="none" w:sz="0" w:space="0" w:color="auto"/>
      </w:divBdr>
    </w:div>
    <w:div w:id="1123812815">
      <w:bodyDiv w:val="1"/>
      <w:marLeft w:val="0"/>
      <w:marRight w:val="0"/>
      <w:marTop w:val="0"/>
      <w:marBottom w:val="0"/>
      <w:divBdr>
        <w:top w:val="none" w:sz="0" w:space="0" w:color="auto"/>
        <w:left w:val="none" w:sz="0" w:space="0" w:color="auto"/>
        <w:bottom w:val="none" w:sz="0" w:space="0" w:color="auto"/>
        <w:right w:val="none" w:sz="0" w:space="0" w:color="auto"/>
      </w:divBdr>
    </w:div>
    <w:div w:id="1138380626">
      <w:bodyDiv w:val="1"/>
      <w:marLeft w:val="0"/>
      <w:marRight w:val="0"/>
      <w:marTop w:val="0"/>
      <w:marBottom w:val="0"/>
      <w:divBdr>
        <w:top w:val="none" w:sz="0" w:space="0" w:color="auto"/>
        <w:left w:val="none" w:sz="0" w:space="0" w:color="auto"/>
        <w:bottom w:val="none" w:sz="0" w:space="0" w:color="auto"/>
        <w:right w:val="none" w:sz="0" w:space="0" w:color="auto"/>
      </w:divBdr>
    </w:div>
    <w:div w:id="1161700065">
      <w:bodyDiv w:val="1"/>
      <w:marLeft w:val="0"/>
      <w:marRight w:val="0"/>
      <w:marTop w:val="0"/>
      <w:marBottom w:val="0"/>
      <w:divBdr>
        <w:top w:val="none" w:sz="0" w:space="0" w:color="auto"/>
        <w:left w:val="none" w:sz="0" w:space="0" w:color="auto"/>
        <w:bottom w:val="none" w:sz="0" w:space="0" w:color="auto"/>
        <w:right w:val="none" w:sz="0" w:space="0" w:color="auto"/>
      </w:divBdr>
    </w:div>
    <w:div w:id="1343898300">
      <w:bodyDiv w:val="1"/>
      <w:marLeft w:val="0"/>
      <w:marRight w:val="0"/>
      <w:marTop w:val="0"/>
      <w:marBottom w:val="0"/>
      <w:divBdr>
        <w:top w:val="none" w:sz="0" w:space="0" w:color="auto"/>
        <w:left w:val="none" w:sz="0" w:space="0" w:color="auto"/>
        <w:bottom w:val="none" w:sz="0" w:space="0" w:color="auto"/>
        <w:right w:val="none" w:sz="0" w:space="0" w:color="auto"/>
      </w:divBdr>
    </w:div>
    <w:div w:id="1347293395">
      <w:bodyDiv w:val="1"/>
      <w:marLeft w:val="0"/>
      <w:marRight w:val="0"/>
      <w:marTop w:val="0"/>
      <w:marBottom w:val="0"/>
      <w:divBdr>
        <w:top w:val="none" w:sz="0" w:space="0" w:color="auto"/>
        <w:left w:val="none" w:sz="0" w:space="0" w:color="auto"/>
        <w:bottom w:val="none" w:sz="0" w:space="0" w:color="auto"/>
        <w:right w:val="none" w:sz="0" w:space="0" w:color="auto"/>
      </w:divBdr>
      <w:divsChild>
        <w:div w:id="308442663">
          <w:marLeft w:val="0"/>
          <w:marRight w:val="0"/>
          <w:marTop w:val="0"/>
          <w:marBottom w:val="0"/>
          <w:divBdr>
            <w:top w:val="single" w:sz="6" w:space="8" w:color="B8B8B8"/>
            <w:left w:val="none" w:sz="0" w:space="0" w:color="auto"/>
            <w:bottom w:val="none" w:sz="0" w:space="0" w:color="auto"/>
            <w:right w:val="none" w:sz="0" w:space="0" w:color="auto"/>
          </w:divBdr>
          <w:divsChild>
            <w:div w:id="988899856">
              <w:marLeft w:val="2"/>
              <w:marRight w:val="2"/>
              <w:marTop w:val="0"/>
              <w:marBottom w:val="0"/>
              <w:divBdr>
                <w:top w:val="single" w:sz="6" w:space="8" w:color="CDCCD4"/>
                <w:left w:val="single" w:sz="6" w:space="8" w:color="CDCCD4"/>
                <w:bottom w:val="single" w:sz="6" w:space="8" w:color="CDCCD4"/>
                <w:right w:val="single" w:sz="6" w:space="4" w:color="CDCCD4"/>
              </w:divBdr>
              <w:divsChild>
                <w:div w:id="1933781477">
                  <w:marLeft w:val="0"/>
                  <w:marRight w:val="0"/>
                  <w:marTop w:val="75"/>
                  <w:marBottom w:val="75"/>
                  <w:divBdr>
                    <w:top w:val="single" w:sz="6" w:space="8" w:color="CCCCD4"/>
                    <w:left w:val="single" w:sz="6" w:space="8" w:color="CCCCD4"/>
                    <w:bottom w:val="single" w:sz="6" w:space="8" w:color="CCCCD4"/>
                    <w:right w:val="single" w:sz="6" w:space="8" w:color="CCCCD4"/>
                  </w:divBdr>
                  <w:divsChild>
                    <w:div w:id="11458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38429">
      <w:bodyDiv w:val="1"/>
      <w:marLeft w:val="0"/>
      <w:marRight w:val="0"/>
      <w:marTop w:val="0"/>
      <w:marBottom w:val="0"/>
      <w:divBdr>
        <w:top w:val="none" w:sz="0" w:space="0" w:color="auto"/>
        <w:left w:val="none" w:sz="0" w:space="0" w:color="auto"/>
        <w:bottom w:val="none" w:sz="0" w:space="0" w:color="auto"/>
        <w:right w:val="none" w:sz="0" w:space="0" w:color="auto"/>
      </w:divBdr>
    </w:div>
    <w:div w:id="1601716338">
      <w:bodyDiv w:val="1"/>
      <w:marLeft w:val="0"/>
      <w:marRight w:val="0"/>
      <w:marTop w:val="0"/>
      <w:marBottom w:val="0"/>
      <w:divBdr>
        <w:top w:val="none" w:sz="0" w:space="0" w:color="auto"/>
        <w:left w:val="none" w:sz="0" w:space="0" w:color="auto"/>
        <w:bottom w:val="none" w:sz="0" w:space="0" w:color="auto"/>
        <w:right w:val="none" w:sz="0" w:space="0" w:color="auto"/>
      </w:divBdr>
    </w:div>
    <w:div w:id="1629242603">
      <w:bodyDiv w:val="1"/>
      <w:marLeft w:val="0"/>
      <w:marRight w:val="0"/>
      <w:marTop w:val="0"/>
      <w:marBottom w:val="0"/>
      <w:divBdr>
        <w:top w:val="none" w:sz="0" w:space="0" w:color="auto"/>
        <w:left w:val="none" w:sz="0" w:space="0" w:color="auto"/>
        <w:bottom w:val="none" w:sz="0" w:space="0" w:color="auto"/>
        <w:right w:val="none" w:sz="0" w:space="0" w:color="auto"/>
      </w:divBdr>
    </w:div>
    <w:div w:id="1636254223">
      <w:bodyDiv w:val="1"/>
      <w:marLeft w:val="0"/>
      <w:marRight w:val="0"/>
      <w:marTop w:val="0"/>
      <w:marBottom w:val="0"/>
      <w:divBdr>
        <w:top w:val="none" w:sz="0" w:space="0" w:color="auto"/>
        <w:left w:val="none" w:sz="0" w:space="0" w:color="auto"/>
        <w:bottom w:val="none" w:sz="0" w:space="0" w:color="auto"/>
        <w:right w:val="none" w:sz="0" w:space="0" w:color="auto"/>
      </w:divBdr>
      <w:divsChild>
        <w:div w:id="1417553665">
          <w:marLeft w:val="0"/>
          <w:marRight w:val="0"/>
          <w:marTop w:val="0"/>
          <w:marBottom w:val="0"/>
          <w:divBdr>
            <w:top w:val="single" w:sz="6" w:space="8" w:color="B8B8B8"/>
            <w:left w:val="none" w:sz="0" w:space="0" w:color="auto"/>
            <w:bottom w:val="none" w:sz="0" w:space="0" w:color="auto"/>
            <w:right w:val="none" w:sz="0" w:space="0" w:color="auto"/>
          </w:divBdr>
          <w:divsChild>
            <w:div w:id="896209787">
              <w:marLeft w:val="2"/>
              <w:marRight w:val="2"/>
              <w:marTop w:val="0"/>
              <w:marBottom w:val="0"/>
              <w:divBdr>
                <w:top w:val="single" w:sz="6" w:space="8" w:color="CDCCD4"/>
                <w:left w:val="single" w:sz="6" w:space="8" w:color="CDCCD4"/>
                <w:bottom w:val="single" w:sz="6" w:space="8" w:color="CDCCD4"/>
                <w:right w:val="single" w:sz="6" w:space="4" w:color="CDCCD4"/>
              </w:divBdr>
              <w:divsChild>
                <w:div w:id="1097747696">
                  <w:marLeft w:val="0"/>
                  <w:marRight w:val="0"/>
                  <w:marTop w:val="75"/>
                  <w:marBottom w:val="75"/>
                  <w:divBdr>
                    <w:top w:val="single" w:sz="6" w:space="8" w:color="CCCCD4"/>
                    <w:left w:val="single" w:sz="6" w:space="8" w:color="CCCCD4"/>
                    <w:bottom w:val="single" w:sz="6" w:space="8" w:color="CCCCD4"/>
                    <w:right w:val="single" w:sz="6" w:space="8" w:color="CCCCD4"/>
                  </w:divBdr>
                  <w:divsChild>
                    <w:div w:id="15920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2482">
      <w:bodyDiv w:val="1"/>
      <w:marLeft w:val="0"/>
      <w:marRight w:val="0"/>
      <w:marTop w:val="0"/>
      <w:marBottom w:val="0"/>
      <w:divBdr>
        <w:top w:val="none" w:sz="0" w:space="0" w:color="auto"/>
        <w:left w:val="none" w:sz="0" w:space="0" w:color="auto"/>
        <w:bottom w:val="none" w:sz="0" w:space="0" w:color="auto"/>
        <w:right w:val="none" w:sz="0" w:space="0" w:color="auto"/>
      </w:divBdr>
    </w:div>
    <w:div w:id="1886793567">
      <w:bodyDiv w:val="1"/>
      <w:marLeft w:val="0"/>
      <w:marRight w:val="0"/>
      <w:marTop w:val="0"/>
      <w:marBottom w:val="0"/>
      <w:divBdr>
        <w:top w:val="none" w:sz="0" w:space="0" w:color="auto"/>
        <w:left w:val="none" w:sz="0" w:space="0" w:color="auto"/>
        <w:bottom w:val="none" w:sz="0" w:space="0" w:color="auto"/>
        <w:right w:val="none" w:sz="0" w:space="0" w:color="auto"/>
      </w:divBdr>
    </w:div>
    <w:div w:id="1963806611">
      <w:bodyDiv w:val="1"/>
      <w:marLeft w:val="0"/>
      <w:marRight w:val="0"/>
      <w:marTop w:val="0"/>
      <w:marBottom w:val="0"/>
      <w:divBdr>
        <w:top w:val="none" w:sz="0" w:space="0" w:color="auto"/>
        <w:left w:val="none" w:sz="0" w:space="0" w:color="auto"/>
        <w:bottom w:val="none" w:sz="0" w:space="0" w:color="auto"/>
        <w:right w:val="none" w:sz="0" w:space="0" w:color="auto"/>
      </w:divBdr>
    </w:div>
    <w:div w:id="1981643083">
      <w:bodyDiv w:val="1"/>
      <w:marLeft w:val="0"/>
      <w:marRight w:val="0"/>
      <w:marTop w:val="0"/>
      <w:marBottom w:val="0"/>
      <w:divBdr>
        <w:top w:val="none" w:sz="0" w:space="0" w:color="auto"/>
        <w:left w:val="none" w:sz="0" w:space="0" w:color="auto"/>
        <w:bottom w:val="none" w:sz="0" w:space="0" w:color="auto"/>
        <w:right w:val="none" w:sz="0" w:space="0" w:color="auto"/>
      </w:divBdr>
    </w:div>
    <w:div w:id="1996376847">
      <w:bodyDiv w:val="1"/>
      <w:marLeft w:val="0"/>
      <w:marRight w:val="0"/>
      <w:marTop w:val="0"/>
      <w:marBottom w:val="0"/>
      <w:divBdr>
        <w:top w:val="none" w:sz="0" w:space="0" w:color="auto"/>
        <w:left w:val="none" w:sz="0" w:space="0" w:color="auto"/>
        <w:bottom w:val="none" w:sz="0" w:space="0" w:color="auto"/>
        <w:right w:val="none" w:sz="0" w:space="0" w:color="auto"/>
      </w:divBdr>
    </w:div>
    <w:div w:id="2042971898">
      <w:bodyDiv w:val="1"/>
      <w:marLeft w:val="0"/>
      <w:marRight w:val="0"/>
      <w:marTop w:val="0"/>
      <w:marBottom w:val="0"/>
      <w:divBdr>
        <w:top w:val="none" w:sz="0" w:space="0" w:color="auto"/>
        <w:left w:val="none" w:sz="0" w:space="0" w:color="auto"/>
        <w:bottom w:val="none" w:sz="0" w:space="0" w:color="auto"/>
        <w:right w:val="none" w:sz="0" w:space="0" w:color="auto"/>
      </w:divBdr>
    </w:div>
    <w:div w:id="2058511536">
      <w:bodyDiv w:val="1"/>
      <w:marLeft w:val="0"/>
      <w:marRight w:val="0"/>
      <w:marTop w:val="0"/>
      <w:marBottom w:val="0"/>
      <w:divBdr>
        <w:top w:val="none" w:sz="0" w:space="0" w:color="auto"/>
        <w:left w:val="none" w:sz="0" w:space="0" w:color="auto"/>
        <w:bottom w:val="none" w:sz="0" w:space="0" w:color="auto"/>
        <w:right w:val="none" w:sz="0" w:space="0" w:color="auto"/>
      </w:divBdr>
    </w:div>
    <w:div w:id="2069300545">
      <w:bodyDiv w:val="1"/>
      <w:marLeft w:val="0"/>
      <w:marRight w:val="0"/>
      <w:marTop w:val="0"/>
      <w:marBottom w:val="0"/>
      <w:divBdr>
        <w:top w:val="none" w:sz="0" w:space="0" w:color="auto"/>
        <w:left w:val="none" w:sz="0" w:space="0" w:color="auto"/>
        <w:bottom w:val="none" w:sz="0" w:space="0" w:color="auto"/>
        <w:right w:val="none" w:sz="0" w:space="0" w:color="auto"/>
      </w:divBdr>
      <w:divsChild>
        <w:div w:id="490368958">
          <w:marLeft w:val="0"/>
          <w:marRight w:val="0"/>
          <w:marTop w:val="0"/>
          <w:marBottom w:val="0"/>
          <w:divBdr>
            <w:top w:val="single" w:sz="6" w:space="8" w:color="B8B8B8"/>
            <w:left w:val="none" w:sz="0" w:space="0" w:color="auto"/>
            <w:bottom w:val="none" w:sz="0" w:space="0" w:color="auto"/>
            <w:right w:val="none" w:sz="0" w:space="0" w:color="auto"/>
          </w:divBdr>
          <w:divsChild>
            <w:div w:id="1015762463">
              <w:marLeft w:val="2"/>
              <w:marRight w:val="2"/>
              <w:marTop w:val="0"/>
              <w:marBottom w:val="0"/>
              <w:divBdr>
                <w:top w:val="single" w:sz="6" w:space="8" w:color="CDCCD4"/>
                <w:left w:val="single" w:sz="6" w:space="8" w:color="CDCCD4"/>
                <w:bottom w:val="single" w:sz="6" w:space="8" w:color="CDCCD4"/>
                <w:right w:val="single" w:sz="6" w:space="4" w:color="CDCCD4"/>
              </w:divBdr>
              <w:divsChild>
                <w:div w:id="343942325">
                  <w:marLeft w:val="0"/>
                  <w:marRight w:val="0"/>
                  <w:marTop w:val="75"/>
                  <w:marBottom w:val="75"/>
                  <w:divBdr>
                    <w:top w:val="single" w:sz="6" w:space="8" w:color="CCCCD4"/>
                    <w:left w:val="single" w:sz="6" w:space="8" w:color="CCCCD4"/>
                    <w:bottom w:val="single" w:sz="6" w:space="8" w:color="CCCCD4"/>
                    <w:right w:val="single" w:sz="6" w:space="8" w:color="CCCCD4"/>
                  </w:divBdr>
                  <w:divsChild>
                    <w:div w:id="1350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RelyOnCS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5.xml"/><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header" Target="header22.xml"/><Relationship Id="rId68" Type="http://schemas.openxmlformats.org/officeDocument/2006/relationships/footer" Target="footer32.xml"/><Relationship Id="rId84" Type="http://schemas.openxmlformats.org/officeDocument/2006/relationships/header" Target="header32.xml"/><Relationship Id="rId89" Type="http://schemas.openxmlformats.org/officeDocument/2006/relationships/header" Target="header34.xml"/><Relationship Id="rId7" Type="http://schemas.openxmlformats.org/officeDocument/2006/relationships/styles" Target="styles.xml"/><Relationship Id="rId71" Type="http://schemas.openxmlformats.org/officeDocument/2006/relationships/footer" Target="footer33.xml"/><Relationship Id="rId92" Type="http://schemas.openxmlformats.org/officeDocument/2006/relationships/footer" Target="footer4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footer" Target="footer31.xml"/><Relationship Id="rId74" Type="http://schemas.openxmlformats.org/officeDocument/2006/relationships/header" Target="header27.xml"/><Relationship Id="rId79" Type="http://schemas.openxmlformats.org/officeDocument/2006/relationships/header" Target="header30.xml"/><Relationship Id="rId87" Type="http://schemas.openxmlformats.org/officeDocument/2006/relationships/footer" Target="footer42.xml"/><Relationship Id="rId102" Type="http://schemas.openxmlformats.org/officeDocument/2006/relationships/footer" Target="footer51.xml"/><Relationship Id="rId5" Type="http://schemas.openxmlformats.org/officeDocument/2006/relationships/customXml" Target="../customXml/item5.xml"/><Relationship Id="rId61" Type="http://schemas.openxmlformats.org/officeDocument/2006/relationships/footer" Target="footer28.xml"/><Relationship Id="rId82" Type="http://schemas.openxmlformats.org/officeDocument/2006/relationships/footer" Target="footer39.xml"/><Relationship Id="rId90" Type="http://schemas.openxmlformats.org/officeDocument/2006/relationships/header" Target="header35.xml"/><Relationship Id="rId95" Type="http://schemas.openxmlformats.org/officeDocument/2006/relationships/header" Target="header37.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5.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footer" Target="footer37.xml"/><Relationship Id="rId100" Type="http://schemas.openxmlformats.org/officeDocument/2006/relationships/header" Target="header39.xml"/><Relationship Id="rId105"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footer" Target="footer22.xml"/><Relationship Id="rId72" Type="http://schemas.openxmlformats.org/officeDocument/2006/relationships/footer" Target="footer34.xml"/><Relationship Id="rId80" Type="http://schemas.openxmlformats.org/officeDocument/2006/relationships/header" Target="header31.xml"/><Relationship Id="rId85" Type="http://schemas.openxmlformats.org/officeDocument/2006/relationships/header" Target="header33.xml"/><Relationship Id="rId93" Type="http://schemas.openxmlformats.org/officeDocument/2006/relationships/footer" Target="footer46.xml"/><Relationship Id="rId98" Type="http://schemas.openxmlformats.org/officeDocument/2006/relationships/footer" Target="footer4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9.xml"/><Relationship Id="rId59" Type="http://schemas.openxmlformats.org/officeDocument/2006/relationships/header" Target="header21.xml"/><Relationship Id="rId67" Type="http://schemas.openxmlformats.org/officeDocument/2006/relationships/header" Target="header24.xml"/><Relationship Id="rId103" Type="http://schemas.openxmlformats.org/officeDocument/2006/relationships/footer" Target="footer52.xml"/><Relationship Id="rId20" Type="http://schemas.openxmlformats.org/officeDocument/2006/relationships/footer" Target="footer4.xml"/><Relationship Id="rId41" Type="http://schemas.openxmlformats.org/officeDocument/2006/relationships/footer" Target="footer16.xml"/><Relationship Id="rId54" Type="http://schemas.openxmlformats.org/officeDocument/2006/relationships/header" Target="header19.xml"/><Relationship Id="rId62" Type="http://schemas.openxmlformats.org/officeDocument/2006/relationships/footer" Target="footer29.xml"/><Relationship Id="rId70" Type="http://schemas.openxmlformats.org/officeDocument/2006/relationships/header" Target="header26.xml"/><Relationship Id="rId75" Type="http://schemas.openxmlformats.org/officeDocument/2006/relationships/header" Target="header28.xml"/><Relationship Id="rId83" Type="http://schemas.openxmlformats.org/officeDocument/2006/relationships/footer" Target="footer40.xml"/><Relationship Id="rId88" Type="http://schemas.openxmlformats.org/officeDocument/2006/relationships/footer" Target="footer43.xml"/><Relationship Id="rId91" Type="http://schemas.openxmlformats.org/officeDocument/2006/relationships/footer" Target="footer44.xml"/><Relationship Id="rId96"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footer" Target="footer26.xml"/><Relationship Id="rId106"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footer" Target="footer35.xml"/><Relationship Id="rId78" Type="http://schemas.openxmlformats.org/officeDocument/2006/relationships/header" Target="header29.xml"/><Relationship Id="rId81" Type="http://schemas.openxmlformats.org/officeDocument/2006/relationships/footer" Target="footer38.xml"/><Relationship Id="rId86" Type="http://schemas.openxmlformats.org/officeDocument/2006/relationships/footer" Target="footer41.xml"/><Relationship Id="rId94" Type="http://schemas.openxmlformats.org/officeDocument/2006/relationships/header" Target="header36.xml"/><Relationship Id="rId99" Type="http://schemas.openxmlformats.org/officeDocument/2006/relationships/header" Target="header38.xml"/><Relationship Id="rId101" Type="http://schemas.openxmlformats.org/officeDocument/2006/relationships/footer" Target="footer50.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footer" Target="footer36.xml"/><Relationship Id="rId97" Type="http://schemas.openxmlformats.org/officeDocument/2006/relationships/footer" Target="footer48.xml"/><Relationship Id="rId104" Type="http://schemas.openxmlformats.org/officeDocument/2006/relationships/header" Target="header4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7bc583-7cbe-45b9-a2bd-8bbb6543b37e"/>
    <lb508a4dc5e84436a0fe496b536466aa xmlns="9f7bc583-7cbe-45b9-a2bd-8bbb6543b37e">
      <Terms xmlns="http://schemas.microsoft.com/office/infopath/2007/PartnerControls"/>
    </lb508a4dc5e84436a0fe496b536466aa>
    <_dlc_DocId xmlns="9f7bc583-7cbe-45b9-a2bd-8bbb6543b37e" xsi:nil="true"/>
    <_dlc_DocIdUrl xmlns="9f7bc583-7cbe-45b9-a2bd-8bbb6543b37e">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8c2c2b48f8cdf5a516cff142e9fb3c11">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dae03b1008b7399435e4a24fc1b987ab"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6FD2-B0EC-4275-82B7-40BB8547531C}">
  <ds:schemaRefs>
    <ds:schemaRef ds:uri="http://schemas.microsoft.com/sharepoint/v3/contenttype/forms"/>
  </ds:schemaRefs>
</ds:datastoreItem>
</file>

<file path=customXml/itemProps2.xml><?xml version="1.0" encoding="utf-8"?>
<ds:datastoreItem xmlns:ds="http://schemas.openxmlformats.org/officeDocument/2006/customXml" ds:itemID="{9ABEE068-5E0E-4DF5-85BD-C4D4A776DC60}">
  <ds:schemaRefs>
    <ds:schemaRef ds:uri="http://schemas.microsoft.com/sharepoint/events"/>
  </ds:schemaRefs>
</ds:datastoreItem>
</file>

<file path=customXml/itemProps3.xml><?xml version="1.0" encoding="utf-8"?>
<ds:datastoreItem xmlns:ds="http://schemas.openxmlformats.org/officeDocument/2006/customXml" ds:itemID="{DC0696A8-AD50-4531-929A-9AD83B7AEFB1}">
  <ds:schemaRefs>
    <ds:schemaRef ds:uri="http://purl.org/dc/terms/"/>
    <ds:schemaRef ds:uri="http://schemas.microsoft.com/office/2006/metadata/properties"/>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DEC63DF-97A5-44E4-B000-4D8264278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000299-4210-4445-83CF-2226C766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0</TotalTime>
  <Pages>82</Pages>
  <Words>62895</Words>
  <Characters>358506</Characters>
  <Application>Microsoft Office Word</Application>
  <DocSecurity>4</DocSecurity>
  <Lines>2987</Lines>
  <Paragraphs>841</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420560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Sutcliffe, Ward</dc:creator>
  <cp:lastModifiedBy>Luke Robert</cp:lastModifiedBy>
  <cp:revision>2</cp:revision>
  <cp:lastPrinted>2015-05-01T03:22:00Z</cp:lastPrinted>
  <dcterms:created xsi:type="dcterms:W3CDTF">2015-05-27T03:19:00Z</dcterms:created>
  <dcterms:modified xsi:type="dcterms:W3CDTF">2015-05-27T03:19:00Z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46a8faf9-7cba-4099-945f-845003eafe8e</vt:lpwstr>
  </property>
  <property fmtid="{D5CDD505-2E9C-101B-9397-08002B2CF9AE}" pid="4" name="_NewReviewCycle">
    <vt:lpwstr/>
  </property>
  <property fmtid="{D5CDD505-2E9C-101B-9397-08002B2CF9AE}" pid="5" name="_EmailSubject">
    <vt:lpwstr>ExMs-TSLAB 1, 2 and 3, PHIAC, Super-for introduction next week [DLM=Sensitive:Legal]</vt:lpwstr>
  </property>
  <property fmtid="{D5CDD505-2E9C-101B-9397-08002B2CF9AE}" pid="6" name="_AuthorEmailDisplayName">
    <vt:lpwstr>Weiss, Warren</vt:lpwstr>
  </property>
  <property fmtid="{D5CDD505-2E9C-101B-9397-08002B2CF9AE}" pid="7" name="_AdHocReviewCycleID">
    <vt:i4>-1741416392</vt:i4>
  </property>
  <property fmtid="{D5CDD505-2E9C-101B-9397-08002B2CF9AE}" pid="8" name="_PreviousAdHocReviewCycleID">
    <vt:i4>-1741416392</vt:i4>
  </property>
  <property fmtid="{D5CDD505-2E9C-101B-9397-08002B2CF9AE}" pid="9" name="TSYRecordClass">
    <vt:lpwstr>11;#TSY RA-9237 - Destroy 5 years after action completed|9f1a030e-81bf-44c5-98eb-4d5d869a40d5</vt:lpwstr>
  </property>
  <property fmtid="{D5CDD505-2E9C-101B-9397-08002B2CF9AE}" pid="10" name="_AuthorEmail">
    <vt:lpwstr>Warren.Weiss@TREASURY.GOV.AU</vt:lpwstr>
  </property>
  <property fmtid="{D5CDD505-2E9C-101B-9397-08002B2CF9AE}" pid="11" name="_ReviewingToolsShownOnce">
    <vt:lpwstr/>
  </property>
</Properties>
</file>