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6.xml" ContentType="application/vnd.openxmlformats-officedocument.wordprocessingml.header+xml"/>
  <Override PartName="/word/footer2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61E4C" w14:textId="44DF1CE2" w:rsidR="00F24EEA" w:rsidRDefault="00F24EEA" w:rsidP="008777F2">
      <w:pPr>
        <w:pStyle w:val="Baseparagraphcentred"/>
      </w:pPr>
      <w:r>
        <w:t>2013</w:t>
      </w:r>
      <w:r w:rsidR="009349BC">
        <w:noBreakHyphen/>
      </w:r>
      <w:r>
        <w:t>2014</w:t>
      </w:r>
      <w:r w:rsidR="009349BC">
        <w:noBreakHyphen/>
      </w:r>
      <w:r>
        <w:t>2015</w:t>
      </w:r>
    </w:p>
    <w:p w14:paraId="6A25441D" w14:textId="77777777" w:rsidR="00F24EEA" w:rsidRPr="00B03FA5" w:rsidRDefault="00F24EEA" w:rsidP="008777F2">
      <w:pPr>
        <w:pStyle w:val="Baseparagraphcentred"/>
        <w:rPr>
          <w:sz w:val="28"/>
        </w:rPr>
      </w:pPr>
    </w:p>
    <w:p w14:paraId="32B30C24" w14:textId="77777777" w:rsidR="00F24EEA" w:rsidRDefault="00F24EEA" w:rsidP="008777F2">
      <w:pPr>
        <w:pStyle w:val="Baseparagraphcentred"/>
      </w:pPr>
      <w:r>
        <w:t>THE PARLIAMENT OF THE COMMONWEALTH OF AUSTRALIA</w:t>
      </w:r>
    </w:p>
    <w:p w14:paraId="19E5815F" w14:textId="77777777" w:rsidR="00F24EEA" w:rsidRPr="00B03FA5" w:rsidRDefault="00F24EEA" w:rsidP="008777F2">
      <w:pPr>
        <w:pStyle w:val="Baseparagraphcentred"/>
        <w:rPr>
          <w:sz w:val="28"/>
        </w:rPr>
      </w:pPr>
    </w:p>
    <w:p w14:paraId="14A0C725" w14:textId="77777777" w:rsidR="00F24EEA" w:rsidRPr="00B03FA5" w:rsidRDefault="00F24EEA" w:rsidP="008777F2">
      <w:pPr>
        <w:pStyle w:val="Baseparagraphcentred"/>
        <w:rPr>
          <w:sz w:val="28"/>
        </w:rPr>
      </w:pPr>
    </w:p>
    <w:p w14:paraId="7704A1AB" w14:textId="77777777" w:rsidR="00F24EEA" w:rsidRPr="00B03FA5" w:rsidRDefault="00F24EEA" w:rsidP="008777F2">
      <w:pPr>
        <w:pStyle w:val="Baseparagraphcentred"/>
        <w:rPr>
          <w:sz w:val="28"/>
        </w:rPr>
      </w:pPr>
    </w:p>
    <w:p w14:paraId="07BB050D" w14:textId="77777777" w:rsidR="00F24EEA" w:rsidRDefault="00F24EEA" w:rsidP="008777F2">
      <w:pPr>
        <w:pStyle w:val="Baseparagraphcentred"/>
      </w:pPr>
      <w:r>
        <w:t>HOUSE OF REPRESENTATIVES</w:t>
      </w:r>
    </w:p>
    <w:p w14:paraId="2CBD74CD" w14:textId="77777777" w:rsidR="00F24EEA" w:rsidRPr="00B03FA5" w:rsidRDefault="00F24EEA" w:rsidP="008777F2">
      <w:pPr>
        <w:pStyle w:val="Baseparagraphcentred"/>
        <w:rPr>
          <w:sz w:val="28"/>
        </w:rPr>
      </w:pPr>
    </w:p>
    <w:p w14:paraId="7B36B556" w14:textId="77777777" w:rsidR="00F24EEA" w:rsidRPr="00B03FA5" w:rsidRDefault="00F24EEA" w:rsidP="008777F2">
      <w:pPr>
        <w:pStyle w:val="Baseparagraphcentred"/>
        <w:rPr>
          <w:sz w:val="28"/>
        </w:rPr>
      </w:pPr>
    </w:p>
    <w:p w14:paraId="7CD78E6A" w14:textId="77777777" w:rsidR="00F24EEA" w:rsidRPr="00B03FA5" w:rsidRDefault="00F24EEA" w:rsidP="008777F2">
      <w:pPr>
        <w:pStyle w:val="Baseparagraphcentred"/>
        <w:rPr>
          <w:sz w:val="28"/>
        </w:rPr>
      </w:pPr>
    </w:p>
    <w:p w14:paraId="747F612E" w14:textId="77777777" w:rsidR="00F24EEA" w:rsidRDefault="00B830BE" w:rsidP="008777F2">
      <w:pPr>
        <w:pStyle w:val="BillName"/>
      </w:pPr>
      <w:r>
        <w:t>australian small business and family enterprise ombudsman bill 2015</w:t>
      </w:r>
      <w:r w:rsidR="00344A93">
        <w:br/>
      </w:r>
      <w:r w:rsidR="000D46A5">
        <w:t>Australian Small Business and Family Enterprise Ombudsman (Consequential and Transitional Provisions) Bill 2015</w:t>
      </w:r>
    </w:p>
    <w:p w14:paraId="55C01879" w14:textId="77777777" w:rsidR="00344A93" w:rsidRPr="00B03FA5" w:rsidRDefault="00344A93" w:rsidP="00E92BD7">
      <w:pPr>
        <w:pStyle w:val="Baseparagraphcentred"/>
        <w:rPr>
          <w:sz w:val="28"/>
        </w:rPr>
      </w:pPr>
    </w:p>
    <w:p w14:paraId="4577B00D" w14:textId="77777777" w:rsidR="00F24EEA" w:rsidRPr="00B03FA5" w:rsidRDefault="00F24EEA" w:rsidP="008777F2">
      <w:pPr>
        <w:pStyle w:val="Baseparagraphcentred"/>
        <w:rPr>
          <w:sz w:val="28"/>
        </w:rPr>
      </w:pPr>
    </w:p>
    <w:p w14:paraId="1BA9B140" w14:textId="77777777" w:rsidR="00F24EEA" w:rsidRPr="00B03FA5" w:rsidRDefault="00F24EEA" w:rsidP="008777F2">
      <w:pPr>
        <w:pStyle w:val="Baseparagraphcentred"/>
        <w:rPr>
          <w:sz w:val="28"/>
        </w:rPr>
      </w:pPr>
    </w:p>
    <w:p w14:paraId="5801A583" w14:textId="77777777" w:rsidR="00F24EEA" w:rsidRDefault="00F24EEA" w:rsidP="008777F2">
      <w:pPr>
        <w:pStyle w:val="Baseparagraphcentred"/>
      </w:pPr>
      <w:r>
        <w:t>EXPLANATORY MEMORANDUM</w:t>
      </w:r>
    </w:p>
    <w:p w14:paraId="52377472" w14:textId="77777777" w:rsidR="00F24EEA" w:rsidRPr="00B03FA5" w:rsidRDefault="00F24EEA" w:rsidP="008777F2">
      <w:pPr>
        <w:pStyle w:val="Baseparagraphcentred"/>
        <w:rPr>
          <w:sz w:val="28"/>
        </w:rPr>
      </w:pPr>
    </w:p>
    <w:p w14:paraId="347B1BCC" w14:textId="77777777" w:rsidR="00AB6047" w:rsidRPr="00B03FA5" w:rsidRDefault="00AB6047" w:rsidP="008777F2">
      <w:pPr>
        <w:pStyle w:val="Baseparagraphcentred"/>
        <w:rPr>
          <w:sz w:val="28"/>
        </w:rPr>
      </w:pPr>
    </w:p>
    <w:p w14:paraId="71E6278A" w14:textId="77777777" w:rsidR="00AB6047" w:rsidRPr="00B03FA5" w:rsidRDefault="00AB6047" w:rsidP="008777F2">
      <w:pPr>
        <w:pStyle w:val="Baseparagraphcentred"/>
        <w:rPr>
          <w:sz w:val="28"/>
        </w:rPr>
      </w:pPr>
    </w:p>
    <w:p w14:paraId="2587CF72" w14:textId="77777777" w:rsidR="00F24EEA" w:rsidRDefault="00F24EEA" w:rsidP="00B03FA5">
      <w:pPr>
        <w:pStyle w:val="Baseparagraphcentred"/>
      </w:pPr>
      <w:r w:rsidRPr="00E5427B">
        <w:t>(Circulated by the authority of the</w:t>
      </w:r>
      <w:r w:rsidRPr="00E5427B">
        <w:br/>
      </w:r>
      <w:r w:rsidR="00E5427B" w:rsidRPr="00E92BD7">
        <w:t>Minister for Small Business</w:t>
      </w:r>
      <w:r w:rsidRPr="00E5427B">
        <w:t xml:space="preserve">, the Hon </w:t>
      </w:r>
      <w:r w:rsidR="00E5427B" w:rsidRPr="00E92BD7">
        <w:t>Bruce Billson</w:t>
      </w:r>
      <w:r w:rsidRPr="00E5427B">
        <w:t xml:space="preserve"> MP)</w:t>
      </w:r>
    </w:p>
    <w:p w14:paraId="662E1B0F" w14:textId="77777777" w:rsidR="00F24EEA" w:rsidRDefault="00F24EEA" w:rsidP="008777F2">
      <w:pPr>
        <w:sectPr w:rsidR="00F24EEA" w:rsidSect="008777F2">
          <w:headerReference w:type="even" r:id="rId13"/>
          <w:headerReference w:type="default" r:id="rId14"/>
          <w:footerReference w:type="even" r:id="rId15"/>
          <w:footerReference w:type="default" r:id="rId16"/>
          <w:type w:val="oddPage"/>
          <w:pgSz w:w="11906" w:h="16838" w:code="9"/>
          <w:pgMar w:top="2466" w:right="2098" w:bottom="2466" w:left="2098" w:header="1559" w:footer="1899" w:gutter="0"/>
          <w:cols w:space="708"/>
          <w:titlePg/>
          <w:docGrid w:linePitch="360"/>
        </w:sectPr>
      </w:pPr>
    </w:p>
    <w:p w14:paraId="11D0F5B4" w14:textId="77777777" w:rsidR="00F24EEA" w:rsidRPr="003E0794" w:rsidRDefault="00F24EEA" w:rsidP="008777F2">
      <w:pPr>
        <w:pStyle w:val="TOCHeading"/>
      </w:pPr>
      <w:r w:rsidRPr="003E0794">
        <w:lastRenderedPageBreak/>
        <w:t>Table of contents</w:t>
      </w:r>
    </w:p>
    <w:p w14:paraId="543075FE" w14:textId="77777777" w:rsidR="000D4993" w:rsidRDefault="00F24EEA">
      <w:pPr>
        <w:pStyle w:val="TOC2"/>
        <w:rPr>
          <w:rFonts w:asciiTheme="minorHAnsi" w:eastAsiaTheme="minorEastAsia" w:hAnsiTheme="minorHAnsi" w:cstheme="minorBidi"/>
          <w:sz w:val="22"/>
          <w:szCs w:val="22"/>
        </w:rPr>
      </w:pPr>
      <w:r>
        <w:rPr>
          <w:noProof w:val="0"/>
        </w:rPr>
        <w:fldChar w:fldCharType="begin"/>
      </w:r>
      <w:r>
        <w:instrText xml:space="preserve"> TOC \t "Chapter Heading,1,Chapter heading subdocument,2" </w:instrText>
      </w:r>
      <w:r>
        <w:rPr>
          <w:noProof w:val="0"/>
        </w:rPr>
        <w:fldChar w:fldCharType="separate"/>
      </w:r>
      <w:r w:rsidR="000D4993">
        <w:t>Glossary</w:t>
      </w:r>
      <w:r w:rsidR="000D4993">
        <w:tab/>
      </w:r>
      <w:r w:rsidR="000D4993">
        <w:fldChar w:fldCharType="begin"/>
      </w:r>
      <w:r w:rsidR="000D4993">
        <w:instrText xml:space="preserve"> PAGEREF _Toc420587195 \h </w:instrText>
      </w:r>
      <w:r w:rsidR="000D4993">
        <w:fldChar w:fldCharType="separate"/>
      </w:r>
      <w:r w:rsidR="000D4993">
        <w:t>1</w:t>
      </w:r>
      <w:r w:rsidR="000D4993">
        <w:fldChar w:fldCharType="end"/>
      </w:r>
    </w:p>
    <w:p w14:paraId="622B8629" w14:textId="77777777" w:rsidR="000D4993" w:rsidRDefault="000D4993">
      <w:pPr>
        <w:pStyle w:val="TOC2"/>
        <w:rPr>
          <w:rFonts w:asciiTheme="minorHAnsi" w:eastAsiaTheme="minorEastAsia" w:hAnsiTheme="minorHAnsi" w:cstheme="minorBidi"/>
          <w:sz w:val="22"/>
          <w:szCs w:val="22"/>
        </w:rPr>
      </w:pPr>
      <w:r>
        <w:t>General outline and financial impact</w:t>
      </w:r>
      <w:r>
        <w:tab/>
      </w:r>
      <w:r>
        <w:fldChar w:fldCharType="begin"/>
      </w:r>
      <w:r>
        <w:instrText xml:space="preserve"> PAGEREF _Toc420587196 \h </w:instrText>
      </w:r>
      <w:r>
        <w:fldChar w:fldCharType="separate"/>
      </w:r>
      <w:r>
        <w:t>3</w:t>
      </w:r>
      <w:r>
        <w:fldChar w:fldCharType="end"/>
      </w:r>
    </w:p>
    <w:p w14:paraId="3AC6BA85" w14:textId="60ED12A1" w:rsidR="000D4993" w:rsidRDefault="000D4993">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Background</w:t>
      </w:r>
      <w:r>
        <w:rPr>
          <w:noProof/>
        </w:rPr>
        <w:tab/>
      </w:r>
      <w:r>
        <w:rPr>
          <w:noProof/>
        </w:rPr>
        <w:fldChar w:fldCharType="begin"/>
      </w:r>
      <w:r>
        <w:rPr>
          <w:noProof/>
        </w:rPr>
        <w:instrText xml:space="preserve"> PAGEREF _Toc420587197 \h </w:instrText>
      </w:r>
      <w:r>
        <w:rPr>
          <w:noProof/>
        </w:rPr>
      </w:r>
      <w:r>
        <w:rPr>
          <w:noProof/>
        </w:rPr>
        <w:fldChar w:fldCharType="separate"/>
      </w:r>
      <w:r>
        <w:rPr>
          <w:noProof/>
        </w:rPr>
        <w:t>7</w:t>
      </w:r>
      <w:r>
        <w:rPr>
          <w:noProof/>
        </w:rPr>
        <w:fldChar w:fldCharType="end"/>
      </w:r>
    </w:p>
    <w:p w14:paraId="74EE622B" w14:textId="77777777" w:rsidR="000D4993" w:rsidRDefault="000D4993">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Constitutional basis for the Bill</w:t>
      </w:r>
      <w:r>
        <w:rPr>
          <w:noProof/>
        </w:rPr>
        <w:tab/>
      </w:r>
      <w:r>
        <w:rPr>
          <w:noProof/>
        </w:rPr>
        <w:fldChar w:fldCharType="begin"/>
      </w:r>
      <w:r>
        <w:rPr>
          <w:noProof/>
        </w:rPr>
        <w:instrText xml:space="preserve"> PAGEREF _Toc420587198 \h </w:instrText>
      </w:r>
      <w:r>
        <w:rPr>
          <w:noProof/>
        </w:rPr>
      </w:r>
      <w:r>
        <w:rPr>
          <w:noProof/>
        </w:rPr>
        <w:fldChar w:fldCharType="separate"/>
      </w:r>
      <w:r>
        <w:rPr>
          <w:noProof/>
        </w:rPr>
        <w:t>13</w:t>
      </w:r>
      <w:r>
        <w:rPr>
          <w:noProof/>
        </w:rPr>
        <w:fldChar w:fldCharType="end"/>
      </w:r>
    </w:p>
    <w:p w14:paraId="7839145D" w14:textId="77777777" w:rsidR="000D4993" w:rsidRDefault="000D4993">
      <w:pPr>
        <w:pStyle w:val="TOC1"/>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Preliminary</w:t>
      </w:r>
      <w:r>
        <w:rPr>
          <w:noProof/>
        </w:rPr>
        <w:tab/>
      </w:r>
      <w:r>
        <w:rPr>
          <w:noProof/>
        </w:rPr>
        <w:fldChar w:fldCharType="begin"/>
      </w:r>
      <w:r>
        <w:rPr>
          <w:noProof/>
        </w:rPr>
        <w:instrText xml:space="preserve"> PAGEREF _Toc420587199 \h </w:instrText>
      </w:r>
      <w:r>
        <w:rPr>
          <w:noProof/>
        </w:rPr>
      </w:r>
      <w:r>
        <w:rPr>
          <w:noProof/>
        </w:rPr>
        <w:fldChar w:fldCharType="separate"/>
      </w:r>
      <w:r>
        <w:rPr>
          <w:noProof/>
        </w:rPr>
        <w:t>19</w:t>
      </w:r>
      <w:r>
        <w:rPr>
          <w:noProof/>
        </w:rPr>
        <w:fldChar w:fldCharType="end"/>
      </w:r>
    </w:p>
    <w:p w14:paraId="40CF20A8" w14:textId="77777777" w:rsidR="000D4993" w:rsidRDefault="000D4993">
      <w:pPr>
        <w:pStyle w:val="TOC1"/>
        <w:rPr>
          <w:rFonts w:asciiTheme="minorHAnsi" w:eastAsiaTheme="minorEastAsia" w:hAnsiTheme="minorHAnsi" w:cstheme="minorBidi"/>
          <w:noProof/>
          <w:sz w:val="22"/>
          <w:szCs w:val="22"/>
        </w:rPr>
      </w:pPr>
      <w:r>
        <w:rPr>
          <w:noProof/>
        </w:rPr>
        <w:t>Chapter 4</w:t>
      </w:r>
      <w:r>
        <w:rPr>
          <w:rFonts w:asciiTheme="minorHAnsi" w:eastAsiaTheme="minorEastAsia" w:hAnsiTheme="minorHAnsi" w:cstheme="minorBidi"/>
          <w:noProof/>
          <w:sz w:val="22"/>
          <w:szCs w:val="22"/>
        </w:rPr>
        <w:tab/>
      </w:r>
      <w:r>
        <w:rPr>
          <w:noProof/>
        </w:rPr>
        <w:t>Australian Small Business and Family Enterprise Ombudsman</w:t>
      </w:r>
      <w:r>
        <w:rPr>
          <w:noProof/>
        </w:rPr>
        <w:tab/>
      </w:r>
      <w:r>
        <w:rPr>
          <w:noProof/>
        </w:rPr>
        <w:fldChar w:fldCharType="begin"/>
      </w:r>
      <w:r>
        <w:rPr>
          <w:noProof/>
        </w:rPr>
        <w:instrText xml:space="preserve"> PAGEREF _Toc420587200 \h </w:instrText>
      </w:r>
      <w:r>
        <w:rPr>
          <w:noProof/>
        </w:rPr>
      </w:r>
      <w:r>
        <w:rPr>
          <w:noProof/>
        </w:rPr>
        <w:fldChar w:fldCharType="separate"/>
      </w:r>
      <w:r>
        <w:rPr>
          <w:noProof/>
        </w:rPr>
        <w:t>25</w:t>
      </w:r>
      <w:r>
        <w:rPr>
          <w:noProof/>
        </w:rPr>
        <w:fldChar w:fldCharType="end"/>
      </w:r>
    </w:p>
    <w:p w14:paraId="6524A405" w14:textId="77777777" w:rsidR="000D4993" w:rsidRDefault="000D4993">
      <w:pPr>
        <w:pStyle w:val="TOC1"/>
        <w:rPr>
          <w:rFonts w:asciiTheme="minorHAnsi" w:eastAsiaTheme="minorEastAsia" w:hAnsiTheme="minorHAnsi" w:cstheme="minorBidi"/>
          <w:noProof/>
          <w:sz w:val="22"/>
          <w:szCs w:val="22"/>
        </w:rPr>
      </w:pPr>
      <w:r>
        <w:rPr>
          <w:noProof/>
        </w:rPr>
        <w:t>Chapter 5</w:t>
      </w:r>
      <w:r>
        <w:rPr>
          <w:rFonts w:asciiTheme="minorHAnsi" w:eastAsiaTheme="minorEastAsia" w:hAnsiTheme="minorHAnsi" w:cstheme="minorBidi"/>
          <w:noProof/>
          <w:sz w:val="22"/>
          <w:szCs w:val="22"/>
        </w:rPr>
        <w:tab/>
      </w:r>
      <w:r>
        <w:rPr>
          <w:noProof/>
        </w:rPr>
        <w:t>Advocating for small busin</w:t>
      </w:r>
      <w:bookmarkStart w:id="0" w:name="_GoBack"/>
      <w:bookmarkEnd w:id="0"/>
      <w:r>
        <w:rPr>
          <w:noProof/>
        </w:rPr>
        <w:t>esses and family enterprises</w:t>
      </w:r>
      <w:r>
        <w:rPr>
          <w:noProof/>
        </w:rPr>
        <w:tab/>
      </w:r>
      <w:r>
        <w:rPr>
          <w:noProof/>
        </w:rPr>
        <w:fldChar w:fldCharType="begin"/>
      </w:r>
      <w:r>
        <w:rPr>
          <w:noProof/>
        </w:rPr>
        <w:instrText xml:space="preserve"> PAGEREF _Toc420587201 \h </w:instrText>
      </w:r>
      <w:r>
        <w:rPr>
          <w:noProof/>
        </w:rPr>
      </w:r>
      <w:r>
        <w:rPr>
          <w:noProof/>
        </w:rPr>
        <w:fldChar w:fldCharType="separate"/>
      </w:r>
      <w:r>
        <w:rPr>
          <w:noProof/>
        </w:rPr>
        <w:t>29</w:t>
      </w:r>
      <w:r>
        <w:rPr>
          <w:noProof/>
        </w:rPr>
        <w:fldChar w:fldCharType="end"/>
      </w:r>
    </w:p>
    <w:p w14:paraId="49B54F99" w14:textId="77777777" w:rsidR="000D4993" w:rsidRDefault="000D4993">
      <w:pPr>
        <w:pStyle w:val="TOC1"/>
        <w:rPr>
          <w:rFonts w:asciiTheme="minorHAnsi" w:eastAsiaTheme="minorEastAsia" w:hAnsiTheme="minorHAnsi" w:cstheme="minorBidi"/>
          <w:noProof/>
          <w:sz w:val="22"/>
          <w:szCs w:val="22"/>
        </w:rPr>
      </w:pPr>
      <w:r>
        <w:rPr>
          <w:noProof/>
        </w:rPr>
        <w:t>Chapter 6</w:t>
      </w:r>
      <w:r>
        <w:rPr>
          <w:rFonts w:asciiTheme="minorHAnsi" w:eastAsiaTheme="minorEastAsia" w:hAnsiTheme="minorHAnsi" w:cstheme="minorBidi"/>
          <w:noProof/>
          <w:sz w:val="22"/>
          <w:szCs w:val="22"/>
        </w:rPr>
        <w:tab/>
      </w:r>
      <w:r>
        <w:rPr>
          <w:noProof/>
        </w:rPr>
        <w:t>Assisting a small business or family enterprise</w:t>
      </w:r>
      <w:r>
        <w:rPr>
          <w:noProof/>
        </w:rPr>
        <w:tab/>
      </w:r>
      <w:r>
        <w:rPr>
          <w:noProof/>
        </w:rPr>
        <w:fldChar w:fldCharType="begin"/>
      </w:r>
      <w:r>
        <w:rPr>
          <w:noProof/>
        </w:rPr>
        <w:instrText xml:space="preserve"> PAGEREF _Toc420587202 \h </w:instrText>
      </w:r>
      <w:r>
        <w:rPr>
          <w:noProof/>
        </w:rPr>
      </w:r>
      <w:r>
        <w:rPr>
          <w:noProof/>
        </w:rPr>
        <w:fldChar w:fldCharType="separate"/>
      </w:r>
      <w:r>
        <w:rPr>
          <w:noProof/>
        </w:rPr>
        <w:t>37</w:t>
      </w:r>
      <w:r>
        <w:rPr>
          <w:noProof/>
        </w:rPr>
        <w:fldChar w:fldCharType="end"/>
      </w:r>
    </w:p>
    <w:p w14:paraId="4BBB7D1E" w14:textId="77777777" w:rsidR="000D4993" w:rsidRDefault="000D4993">
      <w:pPr>
        <w:pStyle w:val="TOC1"/>
        <w:rPr>
          <w:rFonts w:asciiTheme="minorHAnsi" w:eastAsiaTheme="minorEastAsia" w:hAnsiTheme="minorHAnsi" w:cstheme="minorBidi"/>
          <w:noProof/>
          <w:sz w:val="22"/>
          <w:szCs w:val="22"/>
        </w:rPr>
      </w:pPr>
      <w:r>
        <w:rPr>
          <w:noProof/>
        </w:rPr>
        <w:t>Chapter 7</w:t>
      </w:r>
      <w:r>
        <w:rPr>
          <w:rFonts w:asciiTheme="minorHAnsi" w:eastAsiaTheme="minorEastAsia" w:hAnsiTheme="minorHAnsi" w:cstheme="minorBidi"/>
          <w:noProof/>
          <w:sz w:val="22"/>
          <w:szCs w:val="22"/>
        </w:rPr>
        <w:tab/>
      </w:r>
      <w:r>
        <w:rPr>
          <w:noProof/>
        </w:rPr>
        <w:t>General requirements</w:t>
      </w:r>
      <w:r>
        <w:rPr>
          <w:noProof/>
        </w:rPr>
        <w:tab/>
      </w:r>
      <w:r>
        <w:rPr>
          <w:noProof/>
        </w:rPr>
        <w:fldChar w:fldCharType="begin"/>
      </w:r>
      <w:r>
        <w:rPr>
          <w:noProof/>
        </w:rPr>
        <w:instrText xml:space="preserve"> PAGEREF _Toc420587203 \h </w:instrText>
      </w:r>
      <w:r>
        <w:rPr>
          <w:noProof/>
        </w:rPr>
      </w:r>
      <w:r>
        <w:rPr>
          <w:noProof/>
        </w:rPr>
        <w:fldChar w:fldCharType="separate"/>
      </w:r>
      <w:r>
        <w:rPr>
          <w:noProof/>
        </w:rPr>
        <w:t>43</w:t>
      </w:r>
      <w:r>
        <w:rPr>
          <w:noProof/>
        </w:rPr>
        <w:fldChar w:fldCharType="end"/>
      </w:r>
    </w:p>
    <w:p w14:paraId="72BBCE3F" w14:textId="77777777" w:rsidR="000D4993" w:rsidRDefault="000D4993">
      <w:pPr>
        <w:pStyle w:val="TOC1"/>
        <w:rPr>
          <w:rFonts w:asciiTheme="minorHAnsi" w:eastAsiaTheme="minorEastAsia" w:hAnsiTheme="minorHAnsi" w:cstheme="minorBidi"/>
          <w:noProof/>
          <w:sz w:val="22"/>
          <w:szCs w:val="22"/>
        </w:rPr>
      </w:pPr>
      <w:r>
        <w:rPr>
          <w:noProof/>
        </w:rPr>
        <w:t>Chapter 8</w:t>
      </w:r>
      <w:r>
        <w:rPr>
          <w:rFonts w:asciiTheme="minorHAnsi" w:eastAsiaTheme="minorEastAsia" w:hAnsiTheme="minorHAnsi" w:cstheme="minorBidi"/>
          <w:noProof/>
          <w:sz w:val="22"/>
          <w:szCs w:val="22"/>
        </w:rPr>
        <w:tab/>
      </w:r>
      <w:r>
        <w:rPr>
          <w:noProof/>
        </w:rPr>
        <w:t>Consequential amendments</w:t>
      </w:r>
      <w:r>
        <w:rPr>
          <w:noProof/>
        </w:rPr>
        <w:tab/>
      </w:r>
      <w:r>
        <w:rPr>
          <w:noProof/>
        </w:rPr>
        <w:fldChar w:fldCharType="begin"/>
      </w:r>
      <w:r>
        <w:rPr>
          <w:noProof/>
        </w:rPr>
        <w:instrText xml:space="preserve"> PAGEREF _Toc420587204 \h </w:instrText>
      </w:r>
      <w:r>
        <w:rPr>
          <w:noProof/>
        </w:rPr>
      </w:r>
      <w:r>
        <w:rPr>
          <w:noProof/>
        </w:rPr>
        <w:fldChar w:fldCharType="separate"/>
      </w:r>
      <w:r>
        <w:rPr>
          <w:noProof/>
        </w:rPr>
        <w:t>47</w:t>
      </w:r>
      <w:r>
        <w:rPr>
          <w:noProof/>
        </w:rPr>
        <w:fldChar w:fldCharType="end"/>
      </w:r>
    </w:p>
    <w:p w14:paraId="29E44BBC" w14:textId="77777777" w:rsidR="000D4993" w:rsidRDefault="000D4993">
      <w:pPr>
        <w:pStyle w:val="TOC1"/>
        <w:rPr>
          <w:rFonts w:asciiTheme="minorHAnsi" w:eastAsiaTheme="minorEastAsia" w:hAnsiTheme="minorHAnsi" w:cstheme="minorBidi"/>
          <w:noProof/>
          <w:sz w:val="22"/>
          <w:szCs w:val="22"/>
        </w:rPr>
      </w:pPr>
      <w:r>
        <w:rPr>
          <w:noProof/>
        </w:rPr>
        <w:t>Chapter 9</w:t>
      </w:r>
      <w:r>
        <w:rPr>
          <w:rFonts w:asciiTheme="minorHAnsi" w:eastAsiaTheme="minorEastAsia" w:hAnsiTheme="minorHAnsi" w:cstheme="minorBidi"/>
          <w:noProof/>
          <w:sz w:val="22"/>
          <w:szCs w:val="22"/>
        </w:rPr>
        <w:tab/>
      </w:r>
      <w:r>
        <w:rPr>
          <w:noProof/>
        </w:rPr>
        <w:t>Transitional provisions</w:t>
      </w:r>
      <w:r>
        <w:rPr>
          <w:noProof/>
        </w:rPr>
        <w:tab/>
      </w:r>
      <w:r>
        <w:rPr>
          <w:noProof/>
        </w:rPr>
        <w:fldChar w:fldCharType="begin"/>
      </w:r>
      <w:r>
        <w:rPr>
          <w:noProof/>
        </w:rPr>
        <w:instrText xml:space="preserve"> PAGEREF _Toc420587205 \h </w:instrText>
      </w:r>
      <w:r>
        <w:rPr>
          <w:noProof/>
        </w:rPr>
      </w:r>
      <w:r>
        <w:rPr>
          <w:noProof/>
        </w:rPr>
        <w:fldChar w:fldCharType="separate"/>
      </w:r>
      <w:r>
        <w:rPr>
          <w:noProof/>
        </w:rPr>
        <w:t>51</w:t>
      </w:r>
      <w:r>
        <w:rPr>
          <w:noProof/>
        </w:rPr>
        <w:fldChar w:fldCharType="end"/>
      </w:r>
    </w:p>
    <w:p w14:paraId="363A4716" w14:textId="77777777" w:rsidR="000D4993" w:rsidRDefault="000D4993">
      <w:pPr>
        <w:pStyle w:val="TOC1"/>
        <w:rPr>
          <w:rFonts w:asciiTheme="minorHAnsi" w:eastAsiaTheme="minorEastAsia" w:hAnsiTheme="minorHAnsi" w:cstheme="minorBidi"/>
          <w:noProof/>
          <w:sz w:val="22"/>
          <w:szCs w:val="22"/>
        </w:rPr>
      </w:pPr>
      <w:r>
        <w:rPr>
          <w:noProof/>
        </w:rPr>
        <w:t>Chapter 10</w:t>
      </w:r>
      <w:r>
        <w:rPr>
          <w:rFonts w:asciiTheme="minorHAnsi" w:eastAsiaTheme="minorEastAsia" w:hAnsiTheme="minorHAnsi" w:cstheme="minorBidi"/>
          <w:noProof/>
          <w:sz w:val="22"/>
          <w:szCs w:val="22"/>
        </w:rPr>
        <w:tab/>
      </w:r>
      <w:r>
        <w:rPr>
          <w:noProof/>
        </w:rPr>
        <w:t>Regulation impact statement</w:t>
      </w:r>
      <w:r>
        <w:rPr>
          <w:noProof/>
        </w:rPr>
        <w:tab/>
      </w:r>
      <w:r>
        <w:rPr>
          <w:noProof/>
        </w:rPr>
        <w:fldChar w:fldCharType="begin"/>
      </w:r>
      <w:r>
        <w:rPr>
          <w:noProof/>
        </w:rPr>
        <w:instrText xml:space="preserve"> PAGEREF _Toc420587206 \h </w:instrText>
      </w:r>
      <w:r>
        <w:rPr>
          <w:noProof/>
        </w:rPr>
      </w:r>
      <w:r>
        <w:rPr>
          <w:noProof/>
        </w:rPr>
        <w:fldChar w:fldCharType="separate"/>
      </w:r>
      <w:r>
        <w:rPr>
          <w:noProof/>
        </w:rPr>
        <w:t>53</w:t>
      </w:r>
      <w:r>
        <w:rPr>
          <w:noProof/>
        </w:rPr>
        <w:fldChar w:fldCharType="end"/>
      </w:r>
    </w:p>
    <w:p w14:paraId="74C5DE05" w14:textId="77777777" w:rsidR="000D4993" w:rsidRDefault="000D4993">
      <w:pPr>
        <w:pStyle w:val="TOC1"/>
        <w:rPr>
          <w:rFonts w:asciiTheme="minorHAnsi" w:eastAsiaTheme="minorEastAsia" w:hAnsiTheme="minorHAnsi" w:cstheme="minorBidi"/>
          <w:noProof/>
          <w:sz w:val="22"/>
          <w:szCs w:val="22"/>
        </w:rPr>
      </w:pPr>
      <w:r>
        <w:rPr>
          <w:noProof/>
        </w:rPr>
        <w:t>Chapter 11</w:t>
      </w:r>
      <w:r>
        <w:rPr>
          <w:rFonts w:asciiTheme="minorHAnsi" w:eastAsiaTheme="minorEastAsia" w:hAnsiTheme="minorHAnsi" w:cstheme="minorBidi"/>
          <w:noProof/>
          <w:sz w:val="22"/>
          <w:szCs w:val="22"/>
        </w:rPr>
        <w:tab/>
      </w:r>
      <w:r>
        <w:rPr>
          <w:noProof/>
        </w:rPr>
        <w:t>Statement of Compatibility with Human Rights</w:t>
      </w:r>
      <w:r>
        <w:rPr>
          <w:noProof/>
        </w:rPr>
        <w:tab/>
      </w:r>
      <w:r>
        <w:rPr>
          <w:noProof/>
        </w:rPr>
        <w:fldChar w:fldCharType="begin"/>
      </w:r>
      <w:r>
        <w:rPr>
          <w:noProof/>
        </w:rPr>
        <w:instrText xml:space="preserve"> PAGEREF _Toc420587207 \h </w:instrText>
      </w:r>
      <w:r>
        <w:rPr>
          <w:noProof/>
        </w:rPr>
      </w:r>
      <w:r>
        <w:rPr>
          <w:noProof/>
        </w:rPr>
        <w:fldChar w:fldCharType="separate"/>
      </w:r>
      <w:r>
        <w:rPr>
          <w:noProof/>
        </w:rPr>
        <w:t>113</w:t>
      </w:r>
      <w:r>
        <w:rPr>
          <w:noProof/>
        </w:rPr>
        <w:fldChar w:fldCharType="end"/>
      </w:r>
    </w:p>
    <w:p w14:paraId="65E36D82" w14:textId="77777777" w:rsidR="000D4993" w:rsidRDefault="000D4993">
      <w:pPr>
        <w:pStyle w:val="TOC2"/>
        <w:rPr>
          <w:rFonts w:asciiTheme="minorHAnsi" w:eastAsiaTheme="minorEastAsia" w:hAnsiTheme="minorHAnsi" w:cstheme="minorBidi"/>
          <w:sz w:val="22"/>
          <w:szCs w:val="22"/>
        </w:rPr>
      </w:pPr>
      <w:r>
        <w:t>Index</w:t>
      </w:r>
      <w:r>
        <w:tab/>
      </w:r>
      <w:r>
        <w:fldChar w:fldCharType="begin"/>
      </w:r>
      <w:r>
        <w:instrText xml:space="preserve"> PAGEREF _Toc420587208 \h </w:instrText>
      </w:r>
      <w:r>
        <w:fldChar w:fldCharType="separate"/>
      </w:r>
      <w:r>
        <w:t>115</w:t>
      </w:r>
      <w:r>
        <w:fldChar w:fldCharType="end"/>
      </w:r>
    </w:p>
    <w:p w14:paraId="6D1BB06F" w14:textId="77777777" w:rsidR="00F24EEA" w:rsidRDefault="00F24EEA" w:rsidP="00B03FA5">
      <w:pPr>
        <w:sectPr w:rsidR="00F24EEA" w:rsidSect="008777F2">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2466" w:right="2098" w:bottom="2466" w:left="2098" w:header="1559" w:footer="1899" w:gutter="0"/>
          <w:cols w:space="708"/>
          <w:titlePg/>
          <w:docGrid w:linePitch="360"/>
        </w:sectPr>
      </w:pPr>
      <w:r>
        <w:rPr>
          <w:lang w:val="en-US"/>
        </w:rPr>
        <w:fldChar w:fldCharType="end"/>
      </w:r>
    </w:p>
    <w:p w14:paraId="5A4C8231" w14:textId="77777777" w:rsidR="003734BA" w:rsidRPr="00D67ADC" w:rsidRDefault="003734BA" w:rsidP="003734BA">
      <w:pPr>
        <w:pStyle w:val="Chapterheadingsubdocument"/>
      </w:pPr>
      <w:bookmarkStart w:id="1" w:name="_Toc417980506"/>
      <w:bookmarkStart w:id="2" w:name="_Toc417985040"/>
      <w:bookmarkStart w:id="3" w:name="_Toc417989794"/>
      <w:bookmarkStart w:id="4" w:name="_Toc419101543"/>
      <w:bookmarkStart w:id="5" w:name="_Toc419136749"/>
      <w:bookmarkStart w:id="6" w:name="_Toc420587195"/>
      <w:r w:rsidRPr="00D67ADC">
        <w:lastRenderedPageBreak/>
        <w:t>Glossary</w:t>
      </w:r>
      <w:bookmarkEnd w:id="1"/>
      <w:bookmarkEnd w:id="2"/>
      <w:bookmarkEnd w:id="3"/>
      <w:bookmarkEnd w:id="4"/>
      <w:bookmarkEnd w:id="5"/>
      <w:bookmarkEnd w:id="6"/>
    </w:p>
    <w:p w14:paraId="442B72FC" w14:textId="77777777" w:rsidR="003734BA" w:rsidRDefault="003734BA" w:rsidP="003734BA">
      <w:pPr>
        <w:pStyle w:val="BTPwithextraspacing"/>
      </w:pPr>
      <w:r>
        <w:t>The following abbreviations and acronyms are used throughout this explanatory memorandum.</w:t>
      </w:r>
    </w:p>
    <w:tbl>
      <w:tblPr>
        <w:tblW w:w="666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395"/>
      </w:tblGrid>
      <w:tr w:rsidR="00D22635" w:rsidRPr="00123D96" w14:paraId="428129AD" w14:textId="77777777" w:rsidTr="00677260">
        <w:tc>
          <w:tcPr>
            <w:tcW w:w="2268" w:type="dxa"/>
          </w:tcPr>
          <w:p w14:paraId="51E6F793" w14:textId="77777777" w:rsidR="00D22635" w:rsidRPr="00123D96" w:rsidRDefault="00D22635" w:rsidP="00C71EE9">
            <w:pPr>
              <w:pStyle w:val="tableheaderwithintable"/>
            </w:pPr>
            <w:r w:rsidRPr="00123D96">
              <w:t>Abbreviation</w:t>
            </w:r>
          </w:p>
        </w:tc>
        <w:tc>
          <w:tcPr>
            <w:tcW w:w="4395" w:type="dxa"/>
          </w:tcPr>
          <w:p w14:paraId="24B4ADED" w14:textId="77777777" w:rsidR="00D22635" w:rsidRPr="00123D96" w:rsidRDefault="00D22635" w:rsidP="00C71EE9">
            <w:pPr>
              <w:pStyle w:val="tableheaderwithintable"/>
            </w:pPr>
            <w:r w:rsidRPr="00123D96">
              <w:t>Definition</w:t>
            </w:r>
          </w:p>
        </w:tc>
      </w:tr>
      <w:tr w:rsidR="00D22635" w:rsidRPr="002C43E8" w14:paraId="55AB5A66" w14:textId="77777777" w:rsidTr="00677260">
        <w:tc>
          <w:tcPr>
            <w:tcW w:w="2268" w:type="dxa"/>
          </w:tcPr>
          <w:p w14:paraId="70289DBF" w14:textId="77777777" w:rsidR="00D22635" w:rsidRDefault="00D22635" w:rsidP="00B34430">
            <w:pPr>
              <w:pStyle w:val="Glossarytabletext"/>
              <w:rPr>
                <w:lang w:val="en-US" w:eastAsia="en-US"/>
              </w:rPr>
            </w:pPr>
            <w:r>
              <w:rPr>
                <w:lang w:val="en-US" w:eastAsia="en-US"/>
              </w:rPr>
              <w:t>ACCC</w:t>
            </w:r>
          </w:p>
        </w:tc>
        <w:tc>
          <w:tcPr>
            <w:tcW w:w="4395" w:type="dxa"/>
          </w:tcPr>
          <w:p w14:paraId="6138A8AA" w14:textId="77777777" w:rsidR="00D22635" w:rsidRDefault="00D22635" w:rsidP="00F62FE2">
            <w:pPr>
              <w:pStyle w:val="Glossarytabletext"/>
              <w:rPr>
                <w:lang w:val="en-US" w:eastAsia="en-US"/>
              </w:rPr>
            </w:pPr>
            <w:r>
              <w:rPr>
                <w:lang w:val="en-US" w:eastAsia="en-US"/>
              </w:rPr>
              <w:t>Australian Competition and Consumer Commission</w:t>
            </w:r>
          </w:p>
        </w:tc>
      </w:tr>
      <w:tr w:rsidR="00D22635" w:rsidRPr="002C43E8" w14:paraId="586B8A58" w14:textId="77777777" w:rsidTr="00677260">
        <w:tc>
          <w:tcPr>
            <w:tcW w:w="2268" w:type="dxa"/>
          </w:tcPr>
          <w:p w14:paraId="29B7D053" w14:textId="77777777" w:rsidR="00D22635" w:rsidRDefault="00D22635" w:rsidP="00B34430">
            <w:pPr>
              <w:pStyle w:val="Glossarytabletext"/>
              <w:rPr>
                <w:lang w:val="en-US" w:eastAsia="en-US"/>
              </w:rPr>
            </w:pPr>
            <w:r>
              <w:rPr>
                <w:lang w:val="en-US" w:eastAsia="en-US"/>
              </w:rPr>
              <w:t>ADR</w:t>
            </w:r>
          </w:p>
        </w:tc>
        <w:tc>
          <w:tcPr>
            <w:tcW w:w="4395" w:type="dxa"/>
          </w:tcPr>
          <w:p w14:paraId="0BBFCEC1" w14:textId="77777777" w:rsidR="00D22635" w:rsidRDefault="00D22635" w:rsidP="00F62FE2">
            <w:pPr>
              <w:pStyle w:val="Glossarytabletext"/>
              <w:rPr>
                <w:lang w:val="en-US" w:eastAsia="en-US"/>
              </w:rPr>
            </w:pPr>
            <w:r>
              <w:rPr>
                <w:lang w:val="en-US" w:eastAsia="en-US"/>
              </w:rPr>
              <w:t>Alternative dispute resolution</w:t>
            </w:r>
          </w:p>
        </w:tc>
      </w:tr>
      <w:tr w:rsidR="00D22635" w:rsidRPr="002C43E8" w14:paraId="152C47B8" w14:textId="77777777" w:rsidTr="00F46BF4">
        <w:tc>
          <w:tcPr>
            <w:tcW w:w="2268" w:type="dxa"/>
          </w:tcPr>
          <w:p w14:paraId="30A72FB5" w14:textId="77777777" w:rsidR="00D22635" w:rsidRDefault="00D22635" w:rsidP="001B7B53">
            <w:pPr>
              <w:pStyle w:val="Glossarytabletext"/>
            </w:pPr>
            <w:r>
              <w:t>ASBFE Ombudsman</w:t>
            </w:r>
          </w:p>
        </w:tc>
        <w:tc>
          <w:tcPr>
            <w:tcW w:w="4395" w:type="dxa"/>
          </w:tcPr>
          <w:p w14:paraId="18DDEF26" w14:textId="77777777" w:rsidR="00D22635" w:rsidRPr="00FB0F7F" w:rsidRDefault="00D22635" w:rsidP="00F46BF4">
            <w:pPr>
              <w:pStyle w:val="Glossarytabletext"/>
            </w:pPr>
            <w:r>
              <w:t>Australian Small Business and Family Enterprise Ombudsman</w:t>
            </w:r>
          </w:p>
        </w:tc>
      </w:tr>
      <w:tr w:rsidR="00D22635" w:rsidRPr="002C43E8" w14:paraId="36C31EC7" w14:textId="77777777" w:rsidTr="00F46BF4">
        <w:tc>
          <w:tcPr>
            <w:tcW w:w="2268" w:type="dxa"/>
          </w:tcPr>
          <w:p w14:paraId="5EC8192F" w14:textId="77777777" w:rsidR="00D22635" w:rsidRPr="00FB0F7F" w:rsidRDefault="00D22635" w:rsidP="001B7B53">
            <w:pPr>
              <w:pStyle w:val="Glossarytabletext"/>
            </w:pPr>
            <w:r>
              <w:t>Bill</w:t>
            </w:r>
          </w:p>
        </w:tc>
        <w:tc>
          <w:tcPr>
            <w:tcW w:w="4395" w:type="dxa"/>
          </w:tcPr>
          <w:p w14:paraId="3D7B1AE2" w14:textId="77777777" w:rsidR="00D22635" w:rsidRPr="00FB0F7F" w:rsidRDefault="00D22635" w:rsidP="00F46BF4">
            <w:pPr>
              <w:pStyle w:val="Glossarytabletext"/>
            </w:pPr>
            <w:r w:rsidRPr="00FB0F7F">
              <w:t>Australian Small Business and Family Enterprise Ombudsman Bill 2015</w:t>
            </w:r>
          </w:p>
        </w:tc>
      </w:tr>
      <w:tr w:rsidR="00D22635" w:rsidRPr="002C43E8" w14:paraId="52F9A718" w14:textId="77777777" w:rsidTr="00677260">
        <w:tc>
          <w:tcPr>
            <w:tcW w:w="2268" w:type="dxa"/>
          </w:tcPr>
          <w:p w14:paraId="7680877D" w14:textId="77777777" w:rsidR="00D22635" w:rsidRPr="00FB0F7F" w:rsidRDefault="00D22635" w:rsidP="00F62FE2">
            <w:pPr>
              <w:pStyle w:val="Glossarytabletext"/>
            </w:pPr>
            <w:r>
              <w:t>Commissioner</w:t>
            </w:r>
          </w:p>
        </w:tc>
        <w:tc>
          <w:tcPr>
            <w:tcW w:w="4395" w:type="dxa"/>
          </w:tcPr>
          <w:p w14:paraId="3BDAC663" w14:textId="77777777" w:rsidR="00D22635" w:rsidRPr="00FB0F7F" w:rsidRDefault="00D22635" w:rsidP="00F62FE2">
            <w:pPr>
              <w:pStyle w:val="Glossarytabletext"/>
            </w:pPr>
            <w:r>
              <w:t>Australian Small Business Commissioner</w:t>
            </w:r>
          </w:p>
        </w:tc>
      </w:tr>
      <w:tr w:rsidR="00D22635" w:rsidRPr="002C43E8" w14:paraId="4A1719C4" w14:textId="77777777" w:rsidTr="00F46BF4">
        <w:tc>
          <w:tcPr>
            <w:tcW w:w="2268" w:type="dxa"/>
          </w:tcPr>
          <w:p w14:paraId="4E8C2979" w14:textId="77777777" w:rsidR="00D22635" w:rsidRDefault="00D22635" w:rsidP="00F62FE2">
            <w:pPr>
              <w:pStyle w:val="Glossarytabletext"/>
            </w:pPr>
            <w:r>
              <w:t>Consequential and Transitional Provisions Bill</w:t>
            </w:r>
          </w:p>
        </w:tc>
        <w:tc>
          <w:tcPr>
            <w:tcW w:w="4395" w:type="dxa"/>
          </w:tcPr>
          <w:p w14:paraId="721FD40E" w14:textId="77777777" w:rsidR="00D22635" w:rsidRDefault="00D22635" w:rsidP="00F62FE2">
            <w:pPr>
              <w:pStyle w:val="Glossarytabletext"/>
            </w:pPr>
            <w:r w:rsidRPr="00654E99">
              <w:t>Australian Small Business and Family Enterprise Ombudsman (Consequential and Transitional Provisions) Bill</w:t>
            </w:r>
            <w:r>
              <w:t> </w:t>
            </w:r>
            <w:r w:rsidRPr="00654E99">
              <w:t>2015</w:t>
            </w:r>
          </w:p>
        </w:tc>
      </w:tr>
      <w:tr w:rsidR="00D22635" w:rsidRPr="002C43E8" w14:paraId="587DE484" w14:textId="77777777" w:rsidTr="00677260">
        <w:tc>
          <w:tcPr>
            <w:tcW w:w="2268" w:type="dxa"/>
          </w:tcPr>
          <w:p w14:paraId="734457A1" w14:textId="77777777" w:rsidR="00D22635" w:rsidRDefault="00D22635" w:rsidP="00F62FE2">
            <w:pPr>
              <w:pStyle w:val="Glossarytabletext"/>
            </w:pPr>
            <w:r>
              <w:t>Constitution</w:t>
            </w:r>
          </w:p>
        </w:tc>
        <w:tc>
          <w:tcPr>
            <w:tcW w:w="4395" w:type="dxa"/>
          </w:tcPr>
          <w:p w14:paraId="1FE2BD1E" w14:textId="77777777" w:rsidR="00D22635" w:rsidRPr="00D43C02" w:rsidRDefault="00D22635" w:rsidP="00F62FE2">
            <w:pPr>
              <w:pStyle w:val="Glossarytabletext"/>
              <w:rPr>
                <w:i/>
              </w:rPr>
            </w:pPr>
            <w:r w:rsidRPr="00D43C02">
              <w:rPr>
                <w:i/>
              </w:rPr>
              <w:t>Commonwealth of Australia Constitution Act 1900</w:t>
            </w:r>
          </w:p>
        </w:tc>
      </w:tr>
      <w:tr w:rsidR="00D22635" w:rsidRPr="002C43E8" w14:paraId="4683BD4A" w14:textId="77777777" w:rsidTr="00677260">
        <w:tc>
          <w:tcPr>
            <w:tcW w:w="2268" w:type="dxa"/>
          </w:tcPr>
          <w:p w14:paraId="70B473C4" w14:textId="77777777" w:rsidR="00D22635" w:rsidRDefault="00D22635" w:rsidP="00F62FE2">
            <w:pPr>
              <w:pStyle w:val="Glossarytabletext"/>
            </w:pPr>
            <w:r>
              <w:t>Department</w:t>
            </w:r>
          </w:p>
        </w:tc>
        <w:tc>
          <w:tcPr>
            <w:tcW w:w="4395" w:type="dxa"/>
          </w:tcPr>
          <w:p w14:paraId="55CA21E9" w14:textId="77777777" w:rsidR="00D22635" w:rsidRDefault="00D22635" w:rsidP="00F62FE2">
            <w:pPr>
              <w:pStyle w:val="Glossarytabletext"/>
            </w:pPr>
            <w:r>
              <w:t>Department of the Treasury</w:t>
            </w:r>
          </w:p>
        </w:tc>
      </w:tr>
      <w:tr w:rsidR="00D22635" w:rsidRPr="002C43E8" w14:paraId="366B57AB" w14:textId="77777777" w:rsidTr="00677260">
        <w:tc>
          <w:tcPr>
            <w:tcW w:w="2268" w:type="dxa"/>
          </w:tcPr>
          <w:p w14:paraId="47018AF6" w14:textId="77777777" w:rsidR="00D22635" w:rsidRDefault="00D22635" w:rsidP="00F62FE2">
            <w:pPr>
              <w:pStyle w:val="Glossarytabletext"/>
              <w:rPr>
                <w:lang w:val="en-US" w:eastAsia="en-US"/>
              </w:rPr>
            </w:pPr>
            <w:r>
              <w:rPr>
                <w:lang w:val="en-US" w:eastAsia="en-US"/>
              </w:rPr>
              <w:t>GDP</w:t>
            </w:r>
          </w:p>
        </w:tc>
        <w:tc>
          <w:tcPr>
            <w:tcW w:w="4395" w:type="dxa"/>
          </w:tcPr>
          <w:p w14:paraId="213CD95C" w14:textId="77777777" w:rsidR="00D22635" w:rsidRDefault="00D22635" w:rsidP="00F62FE2">
            <w:pPr>
              <w:pStyle w:val="Glossarytabletext"/>
            </w:pPr>
            <w:r>
              <w:t>Gross Domestic Product</w:t>
            </w:r>
          </w:p>
        </w:tc>
      </w:tr>
      <w:tr w:rsidR="00D22635" w:rsidRPr="002C43E8" w14:paraId="04C7A4B6" w14:textId="77777777" w:rsidTr="00677260">
        <w:tc>
          <w:tcPr>
            <w:tcW w:w="2268" w:type="dxa"/>
          </w:tcPr>
          <w:p w14:paraId="4F0F0C45" w14:textId="77777777" w:rsidR="00D22635" w:rsidRDefault="00D22635" w:rsidP="00F62FE2">
            <w:pPr>
              <w:pStyle w:val="Glossarytabletext"/>
              <w:rPr>
                <w:lang w:val="en-US" w:eastAsia="en-US"/>
              </w:rPr>
            </w:pPr>
            <w:r>
              <w:rPr>
                <w:lang w:val="en-US" w:eastAsia="en-US"/>
              </w:rPr>
              <w:t>Minister</w:t>
            </w:r>
          </w:p>
        </w:tc>
        <w:tc>
          <w:tcPr>
            <w:tcW w:w="4395" w:type="dxa"/>
          </w:tcPr>
          <w:p w14:paraId="0F56820B" w14:textId="77777777" w:rsidR="00D22635" w:rsidRPr="00811CA3" w:rsidRDefault="00D22635" w:rsidP="00F62FE2">
            <w:pPr>
              <w:pStyle w:val="Glossarytabletext"/>
              <w:rPr>
                <w:i/>
              </w:rPr>
            </w:pPr>
            <w:r>
              <w:t>Minister responsible for small business</w:t>
            </w:r>
          </w:p>
        </w:tc>
      </w:tr>
      <w:tr w:rsidR="00D22635" w:rsidRPr="002C43E8" w14:paraId="0894B3AE" w14:textId="77777777" w:rsidTr="00677260">
        <w:tc>
          <w:tcPr>
            <w:tcW w:w="2268" w:type="dxa"/>
          </w:tcPr>
          <w:p w14:paraId="7A067CE1" w14:textId="77777777" w:rsidR="00D22635" w:rsidRDefault="00D22635" w:rsidP="005B2800">
            <w:pPr>
              <w:pStyle w:val="Glossarytabletext"/>
              <w:rPr>
                <w:lang w:val="en-US" w:eastAsia="en-US"/>
              </w:rPr>
            </w:pPr>
            <w:r>
              <w:rPr>
                <w:lang w:val="en-US" w:eastAsia="en-US"/>
              </w:rPr>
              <w:t>MOU</w:t>
            </w:r>
          </w:p>
        </w:tc>
        <w:tc>
          <w:tcPr>
            <w:tcW w:w="4395" w:type="dxa"/>
          </w:tcPr>
          <w:p w14:paraId="65F1CEBA" w14:textId="77777777" w:rsidR="00D22635" w:rsidDel="00F17481" w:rsidRDefault="00D22635" w:rsidP="005B2800">
            <w:pPr>
              <w:pStyle w:val="Glossarytabletext"/>
            </w:pPr>
            <w:r>
              <w:rPr>
                <w:lang w:val="en-US" w:eastAsia="en-US"/>
              </w:rPr>
              <w:t>Memorandum</w:t>
            </w:r>
            <w:r>
              <w:t xml:space="preserve"> of understanding</w:t>
            </w:r>
          </w:p>
        </w:tc>
      </w:tr>
      <w:tr w:rsidR="00D22635" w:rsidRPr="002C43E8" w14:paraId="6CF0B2CA" w14:textId="77777777" w:rsidTr="00677260">
        <w:tc>
          <w:tcPr>
            <w:tcW w:w="2268" w:type="dxa"/>
          </w:tcPr>
          <w:p w14:paraId="4BBDC239" w14:textId="77777777" w:rsidR="00D22635" w:rsidRDefault="00D22635" w:rsidP="00F62FE2">
            <w:pPr>
              <w:pStyle w:val="Glossarytabletext"/>
              <w:rPr>
                <w:lang w:val="en-US" w:eastAsia="en-US"/>
              </w:rPr>
            </w:pPr>
            <w:r>
              <w:rPr>
                <w:lang w:val="en-US" w:eastAsia="en-US"/>
              </w:rPr>
              <w:t>Ombudsman</w:t>
            </w:r>
          </w:p>
        </w:tc>
        <w:tc>
          <w:tcPr>
            <w:tcW w:w="4395" w:type="dxa"/>
          </w:tcPr>
          <w:p w14:paraId="49D0DE65" w14:textId="77777777" w:rsidR="00D22635" w:rsidRDefault="00D22635" w:rsidP="00F62FE2">
            <w:pPr>
              <w:pStyle w:val="Glossarytabletext"/>
            </w:pPr>
            <w:r w:rsidRPr="00C438D6">
              <w:rPr>
                <w:lang w:val="en-US" w:eastAsia="en-US"/>
              </w:rPr>
              <w:t>Australian Small Business and Family Enterprise Ombudsman</w:t>
            </w:r>
          </w:p>
        </w:tc>
      </w:tr>
      <w:tr w:rsidR="00D22635" w:rsidRPr="002C43E8" w14:paraId="17A58421" w14:textId="77777777" w:rsidTr="00677260">
        <w:tc>
          <w:tcPr>
            <w:tcW w:w="2268" w:type="dxa"/>
          </w:tcPr>
          <w:p w14:paraId="6907D103" w14:textId="77777777" w:rsidR="00D22635" w:rsidRDefault="00D22635" w:rsidP="00F62FE2">
            <w:pPr>
              <w:pStyle w:val="Glossarytabletext"/>
              <w:rPr>
                <w:lang w:val="en-US" w:eastAsia="en-US"/>
              </w:rPr>
            </w:pPr>
            <w:r>
              <w:t>RBM</w:t>
            </w:r>
          </w:p>
        </w:tc>
        <w:tc>
          <w:tcPr>
            <w:tcW w:w="4395" w:type="dxa"/>
          </w:tcPr>
          <w:p w14:paraId="6BEA5400" w14:textId="77777777" w:rsidR="00D22635" w:rsidRDefault="00D22635" w:rsidP="00D470CA">
            <w:pPr>
              <w:pStyle w:val="Glossarytabletext"/>
              <w:rPr>
                <w:lang w:val="en-US" w:eastAsia="en-US"/>
              </w:rPr>
            </w:pPr>
            <w:r>
              <w:t>Regulatory Burden Measure</w:t>
            </w:r>
          </w:p>
        </w:tc>
      </w:tr>
      <w:tr w:rsidR="00D22635" w:rsidRPr="002C43E8" w14:paraId="7F412069" w14:textId="77777777" w:rsidTr="00677260">
        <w:tc>
          <w:tcPr>
            <w:tcW w:w="2268" w:type="dxa"/>
          </w:tcPr>
          <w:p w14:paraId="43CAB0B1" w14:textId="77777777" w:rsidR="00D22635" w:rsidRDefault="00D22635" w:rsidP="00F62FE2">
            <w:pPr>
              <w:pStyle w:val="Glossarytabletext"/>
              <w:rPr>
                <w:lang w:val="en-US" w:eastAsia="en-US"/>
              </w:rPr>
            </w:pPr>
            <w:r>
              <w:rPr>
                <w:lang w:val="en-US" w:eastAsia="en-US"/>
              </w:rPr>
              <w:t>RIS</w:t>
            </w:r>
          </w:p>
        </w:tc>
        <w:tc>
          <w:tcPr>
            <w:tcW w:w="4395" w:type="dxa"/>
          </w:tcPr>
          <w:p w14:paraId="51E953CF" w14:textId="77777777" w:rsidR="00D22635" w:rsidRPr="00C438D6" w:rsidRDefault="00D22635" w:rsidP="00174444">
            <w:pPr>
              <w:pStyle w:val="Glossarytabletext"/>
              <w:rPr>
                <w:lang w:val="en-US" w:eastAsia="en-US"/>
              </w:rPr>
            </w:pPr>
            <w:r>
              <w:rPr>
                <w:lang w:val="en-US" w:eastAsia="en-US"/>
              </w:rPr>
              <w:t>Regulation Impact Statement</w:t>
            </w:r>
          </w:p>
        </w:tc>
      </w:tr>
      <w:tr w:rsidR="00D22635" w:rsidRPr="002C43E8" w14:paraId="1A56712C" w14:textId="77777777" w:rsidTr="00677260">
        <w:tc>
          <w:tcPr>
            <w:tcW w:w="2268" w:type="dxa"/>
          </w:tcPr>
          <w:p w14:paraId="008551C9" w14:textId="77777777" w:rsidR="00D22635" w:rsidRDefault="00D22635" w:rsidP="00F62FE2">
            <w:pPr>
              <w:pStyle w:val="Glossarytabletext"/>
              <w:rPr>
                <w:lang w:val="en-US" w:eastAsia="en-US"/>
              </w:rPr>
            </w:pPr>
            <w:r>
              <w:rPr>
                <w:lang w:val="en-US" w:eastAsia="en-US"/>
              </w:rPr>
              <w:t>Secretary</w:t>
            </w:r>
          </w:p>
        </w:tc>
        <w:tc>
          <w:tcPr>
            <w:tcW w:w="4395" w:type="dxa"/>
          </w:tcPr>
          <w:p w14:paraId="159F463E" w14:textId="77777777" w:rsidR="00D22635" w:rsidRDefault="00D22635" w:rsidP="00065433">
            <w:pPr>
              <w:pStyle w:val="Glossarytabletext"/>
              <w:rPr>
                <w:lang w:val="en-US" w:eastAsia="en-US"/>
              </w:rPr>
            </w:pPr>
            <w:r>
              <w:rPr>
                <w:lang w:val="en-US" w:eastAsia="en-US"/>
              </w:rPr>
              <w:t>Secretary to the Treasury</w:t>
            </w:r>
          </w:p>
        </w:tc>
      </w:tr>
      <w:tr w:rsidR="00D22635" w:rsidRPr="002C43E8" w14:paraId="650773CF" w14:textId="77777777" w:rsidTr="00677260">
        <w:tc>
          <w:tcPr>
            <w:tcW w:w="2268" w:type="dxa"/>
          </w:tcPr>
          <w:p w14:paraId="01407041" w14:textId="77777777" w:rsidR="00D22635" w:rsidRPr="002C43E8" w:rsidRDefault="00D22635" w:rsidP="00F62FE2">
            <w:pPr>
              <w:pStyle w:val="Glossarytabletext"/>
              <w:rPr>
                <w:lang w:val="en-US" w:eastAsia="en-US"/>
              </w:rPr>
            </w:pPr>
            <w:r>
              <w:rPr>
                <w:lang w:val="en-US" w:eastAsia="en-US"/>
              </w:rPr>
              <w:t>Small business/</w:t>
            </w:r>
            <w:proofErr w:type="spellStart"/>
            <w:r>
              <w:rPr>
                <w:lang w:val="en-US" w:eastAsia="en-US"/>
              </w:rPr>
              <w:t>es</w:t>
            </w:r>
            <w:proofErr w:type="spellEnd"/>
          </w:p>
        </w:tc>
        <w:tc>
          <w:tcPr>
            <w:tcW w:w="4395" w:type="dxa"/>
          </w:tcPr>
          <w:p w14:paraId="201F1F7B" w14:textId="77777777" w:rsidR="00D22635" w:rsidRPr="002C43E8" w:rsidRDefault="00D22635" w:rsidP="00065433">
            <w:pPr>
              <w:pStyle w:val="Glossarytabletext"/>
              <w:rPr>
                <w:lang w:val="en-US" w:eastAsia="en-US"/>
              </w:rPr>
            </w:pPr>
            <w:r>
              <w:rPr>
                <w:lang w:val="en-US" w:eastAsia="en-US"/>
              </w:rPr>
              <w:t>Small business/</w:t>
            </w:r>
            <w:proofErr w:type="spellStart"/>
            <w:r>
              <w:rPr>
                <w:lang w:val="en-US" w:eastAsia="en-US"/>
              </w:rPr>
              <w:t>es</w:t>
            </w:r>
            <w:proofErr w:type="spellEnd"/>
            <w:r>
              <w:rPr>
                <w:lang w:val="en-US" w:eastAsia="en-US"/>
              </w:rPr>
              <w:t xml:space="preserve"> and family enterprise/s </w:t>
            </w:r>
          </w:p>
        </w:tc>
      </w:tr>
    </w:tbl>
    <w:p w14:paraId="69F2A9C8" w14:textId="77777777" w:rsidR="00750173" w:rsidRDefault="00750173" w:rsidP="003734BA">
      <w:pPr>
        <w:pStyle w:val="base-text-paragraphnonumbers"/>
        <w:sectPr w:rsidR="00750173" w:rsidSect="00B03FA5">
          <w:headerReference w:type="even" r:id="rId23"/>
          <w:headerReference w:type="default" r:id="rId24"/>
          <w:footerReference w:type="even" r:id="rId25"/>
          <w:footerReference w:type="default" r:id="rId26"/>
          <w:footerReference w:type="first" r:id="rId27"/>
          <w:type w:val="oddPage"/>
          <w:pgSz w:w="11906" w:h="16838" w:code="9"/>
          <w:pgMar w:top="2466" w:right="2098" w:bottom="2466" w:left="2098" w:header="1559" w:footer="1899" w:gutter="0"/>
          <w:pgNumType w:start="1"/>
          <w:cols w:space="708"/>
          <w:titlePg/>
          <w:docGrid w:linePitch="360"/>
        </w:sectPr>
      </w:pPr>
    </w:p>
    <w:p w14:paraId="1D6858D7" w14:textId="77777777" w:rsidR="009C2D18" w:rsidRPr="009C2D18" w:rsidRDefault="009C2D18" w:rsidP="000D4993">
      <w:pPr>
        <w:pStyle w:val="Chapterheadingsubdocument"/>
      </w:pPr>
      <w:bookmarkStart w:id="7" w:name="_Toc420587196"/>
      <w:r w:rsidRPr="009C2D18">
        <w:t>General outline and financial impact</w:t>
      </w:r>
      <w:bookmarkEnd w:id="7"/>
    </w:p>
    <w:p w14:paraId="4724FB42" w14:textId="77777777" w:rsidR="00FC035E" w:rsidRPr="009C2D18" w:rsidRDefault="00FC035E" w:rsidP="00FC035E">
      <w:pPr>
        <w:keepNext/>
        <w:spacing w:before="480"/>
        <w:outlineLvl w:val="1"/>
        <w:rPr>
          <w:rFonts w:ascii="Helvetica" w:hAnsi="Helvetica"/>
          <w:b/>
          <w:sz w:val="26"/>
        </w:rPr>
      </w:pPr>
      <w:r w:rsidRPr="009C2D18">
        <w:rPr>
          <w:rFonts w:ascii="Helvetica" w:hAnsi="Helvetica"/>
          <w:b/>
          <w:sz w:val="26"/>
        </w:rPr>
        <w:t>Australian Small Business and Family Enterprise Ombudsman</w:t>
      </w:r>
    </w:p>
    <w:p w14:paraId="70C7F3EE" w14:textId="77777777" w:rsidR="000C4644" w:rsidRPr="00F97C94" w:rsidRDefault="000C4644" w:rsidP="00F97C94">
      <w:pPr>
        <w:pStyle w:val="base-text-paragraphnonumbers"/>
      </w:pPr>
      <w:r w:rsidRPr="00F97C94">
        <w:t xml:space="preserve">The </w:t>
      </w:r>
      <w:r w:rsidR="004433B0">
        <w:t xml:space="preserve">Australian Small Business and Family Enterprise Ombudsman </w:t>
      </w:r>
      <w:r w:rsidRPr="00F97C94">
        <w:t>Bill</w:t>
      </w:r>
      <w:r w:rsidR="000F639B">
        <w:t> </w:t>
      </w:r>
      <w:r w:rsidR="004433B0">
        <w:t>2015 (Bill)</w:t>
      </w:r>
      <w:r w:rsidRPr="00F97C94">
        <w:t xml:space="preserve"> addresses the relationship between Commonwealth </w:t>
      </w:r>
      <w:r w:rsidR="004433B0">
        <w:t xml:space="preserve">laws, </w:t>
      </w:r>
      <w:r w:rsidRPr="00F97C94">
        <w:t xml:space="preserve">and </w:t>
      </w:r>
      <w:r w:rsidR="00E85A45">
        <w:t>s</w:t>
      </w:r>
      <w:r w:rsidR="00E85A45" w:rsidRPr="00F97C94">
        <w:t xml:space="preserve">tate </w:t>
      </w:r>
      <w:r w:rsidRPr="00F97C94">
        <w:t>laws</w:t>
      </w:r>
      <w:r w:rsidR="004433B0">
        <w:t>. The Bill, in several places (sections 39, 54 and 78), indicates that n</w:t>
      </w:r>
      <w:r w:rsidR="004433B0" w:rsidRPr="00B7167F">
        <w:t xml:space="preserve">othing in </w:t>
      </w:r>
      <w:r w:rsidR="004433B0">
        <w:t xml:space="preserve">the Bill </w:t>
      </w:r>
      <w:r w:rsidR="004433B0" w:rsidRPr="00B7167F">
        <w:t xml:space="preserve">allows </w:t>
      </w:r>
      <w:r w:rsidR="004433B0">
        <w:t xml:space="preserve">certain powers under the Bill </w:t>
      </w:r>
      <w:r w:rsidR="004433B0" w:rsidRPr="00B7167F">
        <w:t>to be exercised to the extent that it would impair the capacity of a</w:t>
      </w:r>
      <w:r w:rsidR="00E6651B">
        <w:t>ny</w:t>
      </w:r>
      <w:r w:rsidR="004433B0" w:rsidRPr="00B7167F">
        <w:t xml:space="preserve"> </w:t>
      </w:r>
      <w:r w:rsidR="004433B0">
        <w:t>s</w:t>
      </w:r>
      <w:r w:rsidR="004433B0" w:rsidRPr="00B7167F">
        <w:t>tate to exercise its constitutional powers</w:t>
      </w:r>
      <w:r w:rsidR="004433B0">
        <w:t>.</w:t>
      </w:r>
      <w:r w:rsidR="00463019">
        <w:t xml:space="preserve"> </w:t>
      </w:r>
    </w:p>
    <w:p w14:paraId="41E5F350" w14:textId="77777777" w:rsidR="00FC035E" w:rsidRPr="00F97C94" w:rsidRDefault="00FC035E" w:rsidP="00F97C94">
      <w:pPr>
        <w:pStyle w:val="base-text-paragraphnonumbers"/>
      </w:pPr>
      <w:r w:rsidRPr="00F97C94">
        <w:rPr>
          <w:b/>
          <w:i/>
        </w:rPr>
        <w:t>Date of effect</w:t>
      </w:r>
      <w:r w:rsidRPr="00F97C94">
        <w:t xml:space="preserve">: The </w:t>
      </w:r>
      <w:r w:rsidR="001F6400" w:rsidRPr="00F97C94">
        <w:t>Ombudsman</w:t>
      </w:r>
      <w:r w:rsidRPr="00F97C94">
        <w:t xml:space="preserve"> will commence operations on a date to</w:t>
      </w:r>
      <w:r w:rsidR="00D74EBB" w:rsidRPr="00F97C94">
        <w:t> </w:t>
      </w:r>
      <w:r w:rsidRPr="00F97C94">
        <w:t>be</w:t>
      </w:r>
      <w:r w:rsidR="00D74EBB" w:rsidRPr="00F97C94">
        <w:t> </w:t>
      </w:r>
      <w:r w:rsidRPr="00F97C94">
        <w:t>proclaimed.</w:t>
      </w:r>
    </w:p>
    <w:p w14:paraId="2DB415A9" w14:textId="097FB121" w:rsidR="00104922" w:rsidRPr="00F97C94" w:rsidRDefault="00FC035E" w:rsidP="00F97C94">
      <w:pPr>
        <w:pStyle w:val="base-text-paragraphnonumbers"/>
      </w:pPr>
      <w:r w:rsidRPr="00F97C94">
        <w:rPr>
          <w:b/>
          <w:i/>
        </w:rPr>
        <w:t>Proposal announced</w:t>
      </w:r>
      <w:r w:rsidRPr="00F97C94">
        <w:t xml:space="preserve">: </w:t>
      </w:r>
      <w:r w:rsidR="00104922" w:rsidRPr="00F97C94">
        <w:t xml:space="preserve">In 2013, the Government announced it would create a Small Business and Family Enterprise Ombudsman with </w:t>
      </w:r>
      <w:r w:rsidR="009349BC">
        <w:t>‘</w:t>
      </w:r>
      <w:r w:rsidR="00104922" w:rsidRPr="00F97C94">
        <w:t>real power</w:t>
      </w:r>
      <w:r w:rsidR="009349BC">
        <w:t>’</w:t>
      </w:r>
      <w:r w:rsidR="00104922" w:rsidRPr="00F97C94">
        <w:t>:</w:t>
      </w:r>
    </w:p>
    <w:p w14:paraId="70AFC6D0" w14:textId="09A1C20C" w:rsidR="00FC035E" w:rsidRPr="00205F6D" w:rsidRDefault="009349BC" w:rsidP="00205F6D">
      <w:pPr>
        <w:pStyle w:val="dotpoint"/>
      </w:pPr>
      <w:r>
        <w:t>‘</w:t>
      </w:r>
      <w:r w:rsidR="00F92A14" w:rsidRPr="00205F6D">
        <w:t xml:space="preserve">a </w:t>
      </w:r>
      <w:r w:rsidR="00FC035E" w:rsidRPr="00205F6D">
        <w:t>Commonwealth</w:t>
      </w:r>
      <w:r>
        <w:noBreakHyphen/>
      </w:r>
      <w:r w:rsidR="00FC035E" w:rsidRPr="00205F6D">
        <w:t>wide advocate for smaller enterprises</w:t>
      </w:r>
      <w:r>
        <w:t>’</w:t>
      </w:r>
      <w:r w:rsidR="00FC035E" w:rsidRPr="00205F6D">
        <w:t>;</w:t>
      </w:r>
    </w:p>
    <w:p w14:paraId="226B1246" w14:textId="4E2C7D5E" w:rsidR="007B13A4" w:rsidRPr="00205F6D" w:rsidRDefault="009349BC" w:rsidP="00205F6D">
      <w:pPr>
        <w:pStyle w:val="dotpoint"/>
      </w:pPr>
      <w:r>
        <w:t>‘</w:t>
      </w:r>
      <w:r w:rsidR="007B13A4" w:rsidRPr="00205F6D">
        <w:t>a single entry</w:t>
      </w:r>
      <w:r>
        <w:noBreakHyphen/>
      </w:r>
      <w:r w:rsidR="007B13A4" w:rsidRPr="00205F6D">
        <w:t>point agency to access Federal small business programmes and support</w:t>
      </w:r>
      <w:r>
        <w:t>’</w:t>
      </w:r>
      <w:r w:rsidR="007B13A4" w:rsidRPr="00205F6D">
        <w:t>;</w:t>
      </w:r>
    </w:p>
    <w:p w14:paraId="00A8D2E3" w14:textId="70575FE1" w:rsidR="00FC035E" w:rsidRPr="00205F6D" w:rsidRDefault="009349BC" w:rsidP="00205F6D">
      <w:pPr>
        <w:pStyle w:val="dotpoint"/>
      </w:pPr>
      <w:r>
        <w:t>‘</w:t>
      </w:r>
      <w:r w:rsidR="00F92A14" w:rsidRPr="00205F6D">
        <w:t xml:space="preserve">a </w:t>
      </w:r>
      <w:r w:rsidR="00FC035E" w:rsidRPr="00205F6D">
        <w:t>contributor to making Commonwealth laws and regulations more small business friendly</w:t>
      </w:r>
      <w:r>
        <w:t>’</w:t>
      </w:r>
      <w:r w:rsidR="00FC035E" w:rsidRPr="00205F6D">
        <w:t xml:space="preserve">; and </w:t>
      </w:r>
    </w:p>
    <w:p w14:paraId="67AEFE91" w14:textId="703F8792" w:rsidR="00FC035E" w:rsidRPr="00205F6D" w:rsidRDefault="009349BC" w:rsidP="00205F6D">
      <w:pPr>
        <w:pStyle w:val="dotpoint"/>
      </w:pPr>
      <w:r>
        <w:t>‘</w:t>
      </w:r>
      <w:r w:rsidR="00F92A14" w:rsidRPr="00205F6D">
        <w:t xml:space="preserve">a </w:t>
      </w:r>
      <w:r w:rsidR="00FC035E" w:rsidRPr="00205F6D">
        <w:t>concierge for dispute resolution</w:t>
      </w:r>
      <w:r>
        <w:t>’</w:t>
      </w:r>
      <w:r w:rsidR="00104922" w:rsidRPr="00205F6D">
        <w:t xml:space="preserve"> (including </w:t>
      </w:r>
      <w:r>
        <w:t>‘</w:t>
      </w:r>
      <w:r w:rsidR="00104922" w:rsidRPr="00205F6D">
        <w:t>its own mediation service</w:t>
      </w:r>
      <w:r>
        <w:t>’</w:t>
      </w:r>
      <w:r w:rsidR="00104922" w:rsidRPr="00205F6D">
        <w:t>)</w:t>
      </w:r>
      <w:r w:rsidR="00FC035E" w:rsidRPr="00205F6D">
        <w:t>.</w:t>
      </w:r>
    </w:p>
    <w:p w14:paraId="3F68F20B" w14:textId="4E9912AF" w:rsidR="00104922" w:rsidRPr="00F97C94" w:rsidRDefault="00104922" w:rsidP="00F97C94">
      <w:pPr>
        <w:pStyle w:val="base-text-paragraphnonumbers"/>
      </w:pPr>
      <w:r w:rsidRPr="00F97C94">
        <w:t>The single entry</w:t>
      </w:r>
      <w:r w:rsidR="009349BC">
        <w:noBreakHyphen/>
      </w:r>
      <w:r w:rsidRPr="00F97C94">
        <w:t xml:space="preserve">point initiative will now </w:t>
      </w:r>
      <w:r w:rsidR="004433B0">
        <w:t>form part of the Government</w:t>
      </w:r>
      <w:r w:rsidR="009349BC">
        <w:t>’</w:t>
      </w:r>
      <w:r w:rsidR="004433B0">
        <w:t xml:space="preserve">s single access point for business information, services and assistance, which is part of </w:t>
      </w:r>
      <w:r w:rsidRPr="00F97C94">
        <w:t>the Government</w:t>
      </w:r>
      <w:r w:rsidR="009349BC">
        <w:t>’</w:t>
      </w:r>
      <w:r w:rsidRPr="00F97C94">
        <w:t>s Digital Transformation Agenda</w:t>
      </w:r>
      <w:r w:rsidR="004433B0">
        <w:t>. T</w:t>
      </w:r>
      <w:r w:rsidRPr="00F97C94">
        <w:t>he Ombudsman</w:t>
      </w:r>
      <w:r w:rsidR="008C2B50">
        <w:t xml:space="preserve">, in the </w:t>
      </w:r>
      <w:r w:rsidRPr="00F97C94">
        <w:t>Ombudsman</w:t>
      </w:r>
      <w:r w:rsidR="009349BC">
        <w:t>’</w:t>
      </w:r>
      <w:r w:rsidRPr="00F97C94">
        <w:t>s concierge role</w:t>
      </w:r>
      <w:r w:rsidR="008C2B50">
        <w:t>,</w:t>
      </w:r>
      <w:r w:rsidRPr="00F97C94">
        <w:t xml:space="preserve"> will direct people to information about accessing Commonwealth small business and family enterprise programmes and support. </w:t>
      </w:r>
    </w:p>
    <w:p w14:paraId="381A6E7B" w14:textId="66B3678E" w:rsidR="00104922" w:rsidRPr="00F97C94" w:rsidRDefault="00104922" w:rsidP="00F97C94">
      <w:pPr>
        <w:pStyle w:val="base-text-paragraphnonumbers"/>
      </w:pPr>
      <w:r w:rsidRPr="00F97C94">
        <w:t xml:space="preserve">The specific legislative model for this Ombudsman with </w:t>
      </w:r>
      <w:r w:rsidR="009349BC">
        <w:t>‘</w:t>
      </w:r>
      <w:r w:rsidRPr="00F97C94">
        <w:t>real power</w:t>
      </w:r>
      <w:r w:rsidR="009349BC">
        <w:t>’</w:t>
      </w:r>
      <w:r w:rsidRPr="00F97C94">
        <w:t xml:space="preserve"> was</w:t>
      </w:r>
      <w:r w:rsidR="000D584E">
        <w:t> </w:t>
      </w:r>
      <w:r w:rsidRPr="00F97C94">
        <w:t>announced by the Minister for Small Business (Minister) on 18</w:t>
      </w:r>
      <w:r w:rsidR="000D584E">
        <w:t> </w:t>
      </w:r>
      <w:r w:rsidRPr="00F97C94">
        <w:t>August 2014.</w:t>
      </w:r>
    </w:p>
    <w:p w14:paraId="690D4065" w14:textId="582891A4" w:rsidR="009E5A78" w:rsidRPr="00F97C94" w:rsidRDefault="00FC035E" w:rsidP="00A0356C">
      <w:pPr>
        <w:pStyle w:val="base-text-paragraphnonumbers"/>
        <w:keepNext/>
        <w:keepLines/>
        <w:spacing w:before="240" w:after="240"/>
      </w:pPr>
      <w:r w:rsidRPr="00F97C94">
        <w:rPr>
          <w:b/>
          <w:i/>
        </w:rPr>
        <w:t>Financial impact</w:t>
      </w:r>
      <w:r w:rsidRPr="00F97C94">
        <w:t xml:space="preserve">: </w:t>
      </w:r>
      <w:r w:rsidR="009E5A78" w:rsidRPr="00F97C94">
        <w:t>Funding of $8 million over four years was allocated in the 2014</w:t>
      </w:r>
      <w:r w:rsidR="009349BC">
        <w:noBreakHyphen/>
      </w:r>
      <w:r w:rsidR="009E5A78" w:rsidRPr="00F97C94">
        <w:t xml:space="preserve">15 </w:t>
      </w:r>
      <w:r w:rsidR="00F92A14" w:rsidRPr="00F97C94">
        <w:t xml:space="preserve">Budget for the creation and ongoing expenses of the </w:t>
      </w:r>
      <w:r w:rsidR="00081BDF" w:rsidRPr="00F97C94">
        <w:t>Ombudsman</w:t>
      </w:r>
      <w:r w:rsidR="00F92A14" w:rsidRPr="00F97C94">
        <w:t>.</w:t>
      </w:r>
      <w:r w:rsidR="00F670C8" w:rsidRPr="00F97C94">
        <w:t xml:space="preserve"> </w:t>
      </w:r>
      <w:r w:rsidR="00F92A14" w:rsidRPr="00F97C94">
        <w:t>The expenditure profile is</w:t>
      </w:r>
      <w:r w:rsidR="00F670C8" w:rsidRPr="00F97C94">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644"/>
        <w:gridCol w:w="1644"/>
        <w:gridCol w:w="1644"/>
      </w:tblGrid>
      <w:tr w:rsidR="00D43C02" w:rsidRPr="00E31B34" w14:paraId="6F99C7B8" w14:textId="77777777" w:rsidTr="00205F6D">
        <w:tc>
          <w:tcPr>
            <w:tcW w:w="1644" w:type="dxa"/>
          </w:tcPr>
          <w:p w14:paraId="3C6C491E" w14:textId="60209FAA" w:rsidR="00D43C02" w:rsidRPr="00E31B34" w:rsidRDefault="00D43C02" w:rsidP="00C71EE9">
            <w:pPr>
              <w:pStyle w:val="tableheaderwithintable"/>
            </w:pPr>
            <w:r>
              <w:t>2014</w:t>
            </w:r>
            <w:r w:rsidR="009349BC">
              <w:noBreakHyphen/>
            </w:r>
            <w:r>
              <w:t>15</w:t>
            </w:r>
          </w:p>
        </w:tc>
        <w:tc>
          <w:tcPr>
            <w:tcW w:w="1644" w:type="dxa"/>
          </w:tcPr>
          <w:p w14:paraId="213DE95B" w14:textId="5B6CBA35" w:rsidR="00D43C02" w:rsidRPr="00E31B34" w:rsidRDefault="00D43C02" w:rsidP="00C71EE9">
            <w:pPr>
              <w:pStyle w:val="tableheaderwithintable"/>
            </w:pPr>
            <w:r w:rsidRPr="00E31B34">
              <w:t>20</w:t>
            </w:r>
            <w:r>
              <w:t>15</w:t>
            </w:r>
            <w:r w:rsidR="009349BC">
              <w:noBreakHyphen/>
            </w:r>
            <w:r w:rsidRPr="00E31B34">
              <w:t>1</w:t>
            </w:r>
            <w:r>
              <w:t>6</w:t>
            </w:r>
          </w:p>
        </w:tc>
        <w:tc>
          <w:tcPr>
            <w:tcW w:w="1644" w:type="dxa"/>
          </w:tcPr>
          <w:p w14:paraId="5F2DF949" w14:textId="5ABB1B89" w:rsidR="00D43C02" w:rsidRPr="00E31B34" w:rsidRDefault="00D43C02" w:rsidP="00C71EE9">
            <w:pPr>
              <w:pStyle w:val="tableheaderwithintable"/>
            </w:pPr>
            <w:r w:rsidRPr="00E31B34">
              <w:t>201</w:t>
            </w:r>
            <w:r>
              <w:t>6</w:t>
            </w:r>
            <w:r w:rsidR="009349BC">
              <w:noBreakHyphen/>
            </w:r>
            <w:r w:rsidRPr="00E31B34">
              <w:t>1</w:t>
            </w:r>
            <w:r>
              <w:t>7</w:t>
            </w:r>
          </w:p>
        </w:tc>
        <w:tc>
          <w:tcPr>
            <w:tcW w:w="1644" w:type="dxa"/>
          </w:tcPr>
          <w:p w14:paraId="01C14C53" w14:textId="73DCF02A" w:rsidR="00D43C02" w:rsidRPr="00E31B34" w:rsidRDefault="00D43C02" w:rsidP="00C71EE9">
            <w:pPr>
              <w:pStyle w:val="tableheaderwithintable"/>
            </w:pPr>
            <w:r w:rsidRPr="00E31B34">
              <w:t>201</w:t>
            </w:r>
            <w:r>
              <w:t>7</w:t>
            </w:r>
            <w:r w:rsidR="009349BC">
              <w:noBreakHyphen/>
            </w:r>
            <w:r w:rsidRPr="00E31B34">
              <w:t>1</w:t>
            </w:r>
            <w:r>
              <w:t>8</w:t>
            </w:r>
          </w:p>
        </w:tc>
      </w:tr>
      <w:tr w:rsidR="00D43C02" w:rsidRPr="00E31B34" w14:paraId="227D1AE4" w14:textId="77777777" w:rsidTr="00205F6D">
        <w:tc>
          <w:tcPr>
            <w:tcW w:w="1644" w:type="dxa"/>
          </w:tcPr>
          <w:p w14:paraId="798FC731" w14:textId="77777777" w:rsidR="00D43C02" w:rsidRPr="00E31B34" w:rsidRDefault="00D43C02" w:rsidP="00D43C02">
            <w:pPr>
              <w:pStyle w:val="tabletext"/>
              <w:jc w:val="center"/>
            </w:pPr>
            <w:r>
              <w:t>$2.0m</w:t>
            </w:r>
          </w:p>
        </w:tc>
        <w:tc>
          <w:tcPr>
            <w:tcW w:w="1644" w:type="dxa"/>
          </w:tcPr>
          <w:p w14:paraId="1BD9A268" w14:textId="77777777" w:rsidR="00D43C02" w:rsidRPr="00E31B34" w:rsidRDefault="00D43C02" w:rsidP="00D43C02">
            <w:pPr>
              <w:pStyle w:val="tabletext"/>
              <w:jc w:val="center"/>
            </w:pPr>
            <w:r>
              <w:t>$2.0m</w:t>
            </w:r>
          </w:p>
        </w:tc>
        <w:tc>
          <w:tcPr>
            <w:tcW w:w="1644" w:type="dxa"/>
          </w:tcPr>
          <w:p w14:paraId="07383026" w14:textId="77777777" w:rsidR="00D43C02" w:rsidRPr="00E31B34" w:rsidRDefault="00D43C02" w:rsidP="00D43C02">
            <w:pPr>
              <w:pStyle w:val="tabletext"/>
              <w:jc w:val="center"/>
            </w:pPr>
            <w:r>
              <w:t>$2.0m</w:t>
            </w:r>
          </w:p>
        </w:tc>
        <w:tc>
          <w:tcPr>
            <w:tcW w:w="1644" w:type="dxa"/>
          </w:tcPr>
          <w:p w14:paraId="119BD668" w14:textId="77777777" w:rsidR="00D43C02" w:rsidRPr="00E31B34" w:rsidRDefault="00D43C02" w:rsidP="00D43C02">
            <w:pPr>
              <w:pStyle w:val="tabletext"/>
              <w:jc w:val="center"/>
            </w:pPr>
            <w:r>
              <w:t>$2.0m</w:t>
            </w:r>
          </w:p>
        </w:tc>
      </w:tr>
    </w:tbl>
    <w:p w14:paraId="347D5EC4" w14:textId="77777777" w:rsidR="00FC035E" w:rsidRPr="009C2D18" w:rsidRDefault="00FC035E" w:rsidP="00D43C02">
      <w:pPr>
        <w:spacing w:before="240"/>
        <w:ind w:left="1134"/>
      </w:pPr>
      <w:r w:rsidRPr="009C2D18">
        <w:rPr>
          <w:b/>
          <w:i/>
        </w:rPr>
        <w:t>Human rights implications</w:t>
      </w:r>
      <w:r w:rsidRPr="009C2D18">
        <w:t xml:space="preserve">: This Bill does not raise any human rights </w:t>
      </w:r>
      <w:r w:rsidRPr="00750173">
        <w:t>issue</w:t>
      </w:r>
      <w:r w:rsidR="000C4D08">
        <w:t xml:space="preserve">. </w:t>
      </w:r>
      <w:r w:rsidRPr="009B3F66">
        <w:t xml:space="preserve">See </w:t>
      </w:r>
      <w:r w:rsidRPr="00E92BD7">
        <w:rPr>
          <w:i/>
        </w:rPr>
        <w:t>Statement of Compatibility with Human Rights</w:t>
      </w:r>
      <w:r w:rsidRPr="00E92BD7">
        <w:t xml:space="preserve"> — </w:t>
      </w:r>
      <w:r w:rsidRPr="00ED057C">
        <w:t xml:space="preserve">Chapter </w:t>
      </w:r>
      <w:r w:rsidR="003C0553" w:rsidRPr="00ED057C">
        <w:t>1</w:t>
      </w:r>
      <w:r w:rsidR="00792288">
        <w:t>1</w:t>
      </w:r>
      <w:r w:rsidRPr="00ED057C">
        <w:t>.</w:t>
      </w:r>
      <w:r w:rsidR="00D43C02" w:rsidRPr="00ED057C">
        <w:t xml:space="preserve"> </w:t>
      </w:r>
    </w:p>
    <w:p w14:paraId="48A9590C" w14:textId="77777777" w:rsidR="00913A0D" w:rsidRDefault="00FC035E" w:rsidP="0041779D">
      <w:pPr>
        <w:pStyle w:val="base-text-paragraphnonumbers"/>
      </w:pPr>
      <w:r w:rsidRPr="00E92BD7">
        <w:rPr>
          <w:b/>
          <w:i/>
        </w:rPr>
        <w:t>Compliance cost impact</w:t>
      </w:r>
      <w:r w:rsidRPr="00E92BD7">
        <w:t xml:space="preserve">: </w:t>
      </w:r>
      <w:r w:rsidR="002B0877" w:rsidRPr="00E92BD7">
        <w:t xml:space="preserve">The </w:t>
      </w:r>
      <w:r w:rsidR="00F92A14">
        <w:t xml:space="preserve">creation of </w:t>
      </w:r>
      <w:r w:rsidR="00E0021C" w:rsidRPr="00E92BD7">
        <w:t>the O</w:t>
      </w:r>
      <w:r w:rsidR="001F6400">
        <w:t>mbudsman</w:t>
      </w:r>
      <w:r w:rsidR="00E0021C" w:rsidRPr="00E92BD7">
        <w:t xml:space="preserve"> is expected</w:t>
      </w:r>
      <w:r w:rsidR="00012E03">
        <w:t xml:space="preserve"> </w:t>
      </w:r>
      <w:r w:rsidR="00E0021C" w:rsidRPr="00E92BD7">
        <w:t xml:space="preserve">to </w:t>
      </w:r>
      <w:r w:rsidR="00012E03">
        <w:t xml:space="preserve">result in </w:t>
      </w:r>
      <w:r w:rsidR="00353F0B" w:rsidRPr="00E92BD7">
        <w:t xml:space="preserve">net </w:t>
      </w:r>
      <w:r w:rsidR="00F670C8" w:rsidRPr="00E92BD7">
        <w:t xml:space="preserve">regulatory </w:t>
      </w:r>
      <w:r w:rsidR="00353F0B" w:rsidRPr="00E92BD7">
        <w:t xml:space="preserve">savings </w:t>
      </w:r>
      <w:r w:rsidR="00012E03">
        <w:t xml:space="preserve">of $0.007 million </w:t>
      </w:r>
      <w:r w:rsidR="00F670C8" w:rsidRPr="00E92BD7">
        <w:t>per year</w:t>
      </w:r>
      <w:r w:rsidR="00353F0B" w:rsidRPr="00E92BD7">
        <w:t>.</w:t>
      </w:r>
    </w:p>
    <w:p w14:paraId="23CA0504" w14:textId="77777777" w:rsidR="00FC035E" w:rsidRPr="00E92BD7" w:rsidRDefault="00FC035E" w:rsidP="00E92BD7">
      <w:pPr>
        <w:pStyle w:val="Heading2"/>
      </w:pPr>
      <w:r w:rsidRPr="00E92BD7">
        <w:t>Summary of regulation impact statement</w:t>
      </w:r>
    </w:p>
    <w:p w14:paraId="182F3443" w14:textId="77777777" w:rsidR="00FC035E" w:rsidRPr="003C7995" w:rsidRDefault="00FC035E" w:rsidP="00C71EE9">
      <w:pPr>
        <w:pStyle w:val="Heading3"/>
      </w:pPr>
      <w:r w:rsidRPr="003C7995">
        <w:t>Regulation impact on business</w:t>
      </w:r>
    </w:p>
    <w:p w14:paraId="65F49E97" w14:textId="77777777" w:rsidR="00EB441E" w:rsidRPr="00E57D84" w:rsidRDefault="00EB441E" w:rsidP="00205F6D">
      <w:pPr>
        <w:pStyle w:val="base-text-paragraphnonumbers"/>
      </w:pPr>
      <w:r w:rsidRPr="00E57D84">
        <w:t>The Bill establishes an Ombudsman and specifies the functions and powers of the Ombudsman.</w:t>
      </w:r>
      <w:r>
        <w:t xml:space="preserve"> </w:t>
      </w:r>
      <w:r w:rsidRPr="00E57D84">
        <w:t xml:space="preserve">The Ombudsman has </w:t>
      </w:r>
      <w:r>
        <w:t xml:space="preserve">both </w:t>
      </w:r>
      <w:r w:rsidRPr="00E57D84">
        <w:t>advocacy and assistance functions.</w:t>
      </w:r>
    </w:p>
    <w:p w14:paraId="74750628" w14:textId="4DB7E9FA" w:rsidR="006D16D0" w:rsidRDefault="00F670C8" w:rsidP="00205F6D">
      <w:pPr>
        <w:pStyle w:val="base-text-paragraphnonumbers"/>
      </w:pPr>
      <w:r w:rsidRPr="00E92BD7">
        <w:rPr>
          <w:b/>
          <w:i/>
        </w:rPr>
        <w:t>Impact</w:t>
      </w:r>
      <w:r w:rsidRPr="000F639B">
        <w:t>:</w:t>
      </w:r>
      <w:r w:rsidRPr="00E92BD7">
        <w:t xml:space="preserve"> </w:t>
      </w:r>
      <w:r w:rsidR="00012E03">
        <w:t>T</w:t>
      </w:r>
      <w:r w:rsidRPr="00E92BD7">
        <w:t>he</w:t>
      </w:r>
      <w:r w:rsidR="00725863">
        <w:t xml:space="preserve"> O</w:t>
      </w:r>
      <w:r w:rsidR="001F6400">
        <w:t>mbudsman</w:t>
      </w:r>
      <w:r w:rsidR="00725863">
        <w:t xml:space="preserve"> will lead to a net</w:t>
      </w:r>
      <w:r w:rsidRPr="00E92BD7">
        <w:t xml:space="preserve"> reduction in the regulatory burden</w:t>
      </w:r>
      <w:r w:rsidR="00F92A14">
        <w:t>s</w:t>
      </w:r>
      <w:r w:rsidRPr="00E92BD7">
        <w:t xml:space="preserve"> faced by </w:t>
      </w:r>
      <w:r w:rsidR="008A2A45">
        <w:t>businesses</w:t>
      </w:r>
      <w:r w:rsidR="00723931">
        <w:t xml:space="preserve"> of $0.007 </w:t>
      </w:r>
      <w:r w:rsidR="00012E03">
        <w:t>million per year</w:t>
      </w:r>
      <w:r w:rsidRPr="00E92BD7">
        <w:t>.</w:t>
      </w:r>
      <w:r w:rsidR="006D16D0" w:rsidRPr="00E92BD7">
        <w:t xml:space="preserve"> </w:t>
      </w:r>
      <w:r w:rsidR="00012E03">
        <w:t xml:space="preserve">Broader net economic benefits </w:t>
      </w:r>
      <w:r w:rsidR="00E92EA1">
        <w:t>to businesses are estimated</w:t>
      </w:r>
      <w:r w:rsidR="00012E03">
        <w:t xml:space="preserve"> </w:t>
      </w:r>
      <w:r w:rsidR="00E92EA1">
        <w:t>to be</w:t>
      </w:r>
      <w:r w:rsidR="00012E03">
        <w:t xml:space="preserve"> </w:t>
      </w:r>
      <w:r w:rsidR="00E92EA1">
        <w:t>$18.209 million per</w:t>
      </w:r>
      <w:r w:rsidR="00205F6D">
        <w:t> </w:t>
      </w:r>
      <w:r w:rsidR="00E92EA1">
        <w:t>year.</w:t>
      </w:r>
    </w:p>
    <w:p w14:paraId="487A1DAC" w14:textId="3C9BCBF1" w:rsidR="00723931" w:rsidRDefault="001C5FDF" w:rsidP="00205F6D">
      <w:pPr>
        <w:pStyle w:val="base-text-paragraphnonumbers"/>
      </w:pPr>
      <w:r w:rsidRPr="00E92BD7">
        <w:rPr>
          <w:b/>
          <w:i/>
        </w:rPr>
        <w:t>Main points</w:t>
      </w:r>
      <w:r w:rsidRPr="000F639B">
        <w:t xml:space="preserve">: </w:t>
      </w:r>
      <w:r w:rsidR="00F73295" w:rsidRPr="00E57D84">
        <w:t xml:space="preserve">As part of the advocacy function, the Ombudsman </w:t>
      </w:r>
      <w:r w:rsidR="00F73295">
        <w:t xml:space="preserve">will </w:t>
      </w:r>
      <w:r w:rsidR="00F73295" w:rsidRPr="00E57D84">
        <w:t xml:space="preserve">undertake research and inquiries into legislation, policies and practices affecting small businesses and family enterprises. </w:t>
      </w:r>
      <w:r w:rsidR="00F73295">
        <w:t>T</w:t>
      </w:r>
      <w:r w:rsidR="00723931">
        <w:t>h</w:t>
      </w:r>
      <w:r w:rsidR="00F73295">
        <w:t xml:space="preserve">is </w:t>
      </w:r>
      <w:r w:rsidR="00723931">
        <w:t xml:space="preserve">advocacy function is supported by </w:t>
      </w:r>
      <w:r w:rsidR="00012E03" w:rsidRPr="004F1ED3">
        <w:t>powers</w:t>
      </w:r>
      <w:r w:rsidR="008C2B50">
        <w:t>,</w:t>
      </w:r>
      <w:r w:rsidR="00012E03" w:rsidRPr="004F1ED3">
        <w:t xml:space="preserve"> </w:t>
      </w:r>
      <w:r w:rsidR="008C2B50">
        <w:t xml:space="preserve">under which the Ombudsman can </w:t>
      </w:r>
      <w:r w:rsidR="00E57D84">
        <w:t>require</w:t>
      </w:r>
      <w:r w:rsidR="008C2B50">
        <w:t xml:space="preserve"> persons give evidence at hearings </w:t>
      </w:r>
      <w:r w:rsidR="00296864">
        <w:t xml:space="preserve">and provide information/documents, </w:t>
      </w:r>
      <w:r w:rsidR="008C2B50">
        <w:t>for the purpose of assisting the Ombudsman</w:t>
      </w:r>
      <w:r w:rsidR="009349BC">
        <w:t>’</w:t>
      </w:r>
      <w:r w:rsidR="008C2B50">
        <w:t>s</w:t>
      </w:r>
      <w:r w:rsidR="00012E03" w:rsidRPr="004F1ED3">
        <w:t xml:space="preserve"> re</w:t>
      </w:r>
      <w:r w:rsidR="00012E03">
        <w:t>se</w:t>
      </w:r>
      <w:r w:rsidR="00012E03" w:rsidRPr="004F1ED3">
        <w:t>a</w:t>
      </w:r>
      <w:r w:rsidR="00012E03">
        <w:t>r</w:t>
      </w:r>
      <w:r w:rsidR="00012E03" w:rsidRPr="004F1ED3">
        <w:t xml:space="preserve">ch and inquiry </w:t>
      </w:r>
      <w:r w:rsidR="00A53951">
        <w:t>activities</w:t>
      </w:r>
      <w:r w:rsidR="00012E03" w:rsidRPr="004F1ED3">
        <w:t xml:space="preserve">. </w:t>
      </w:r>
      <w:r w:rsidR="00764921">
        <w:t>T</w:t>
      </w:r>
      <w:r w:rsidR="00012E03">
        <w:t xml:space="preserve">he costs </w:t>
      </w:r>
      <w:r w:rsidR="003B50AE">
        <w:t xml:space="preserve">of complying with these requirements </w:t>
      </w:r>
      <w:r w:rsidR="00012E03">
        <w:t xml:space="preserve">are not included under the Regulatory Burden </w:t>
      </w:r>
      <w:r w:rsidR="00A53951">
        <w:t>M</w:t>
      </w:r>
      <w:r w:rsidR="00012E03">
        <w:t xml:space="preserve">easure (RBM) framework. </w:t>
      </w:r>
    </w:p>
    <w:p w14:paraId="0FD133F7" w14:textId="520B8B83" w:rsidR="00A75760" w:rsidRDefault="00F73295" w:rsidP="00205F6D">
      <w:pPr>
        <w:pStyle w:val="base-text-paragraphnonumbers"/>
      </w:pPr>
      <w:r>
        <w:t>The e</w:t>
      </w:r>
      <w:r w:rsidR="00225BDA" w:rsidRPr="004F1ED3">
        <w:t>conomic cost</w:t>
      </w:r>
      <w:r w:rsidR="00225BDA">
        <w:t>s</w:t>
      </w:r>
      <w:r w:rsidR="00225BDA" w:rsidRPr="004F1ED3">
        <w:t xml:space="preserve"> to those </w:t>
      </w:r>
      <w:r w:rsidR="00E57D84">
        <w:t>who</w:t>
      </w:r>
      <w:r w:rsidR="00225BDA">
        <w:t xml:space="preserve"> prepare</w:t>
      </w:r>
      <w:r w:rsidR="00225BDA" w:rsidRPr="004F1ED3">
        <w:t xml:space="preserve"> for</w:t>
      </w:r>
      <w:r>
        <w:t>,</w:t>
      </w:r>
      <w:r w:rsidR="00225BDA" w:rsidRPr="004F1ED3">
        <w:t xml:space="preserve"> and participate</w:t>
      </w:r>
      <w:r w:rsidR="00230E45">
        <w:t xml:space="preserve"> in</w:t>
      </w:r>
      <w:r>
        <w:t>,</w:t>
      </w:r>
      <w:r w:rsidR="00230E45">
        <w:t xml:space="preserve"> the </w:t>
      </w:r>
      <w:r w:rsidR="00225BDA">
        <w:t>Ombud</w:t>
      </w:r>
      <w:r w:rsidR="006F3456">
        <w:t>s</w:t>
      </w:r>
      <w:r w:rsidR="00225BDA">
        <w:t>man</w:t>
      </w:r>
      <w:r w:rsidR="009349BC">
        <w:t>’</w:t>
      </w:r>
      <w:r w:rsidR="00225BDA">
        <w:t>s</w:t>
      </w:r>
      <w:r w:rsidR="00230E45">
        <w:t xml:space="preserve"> </w:t>
      </w:r>
      <w:r w:rsidR="003B50AE">
        <w:t>advocacy</w:t>
      </w:r>
      <w:r w:rsidR="009349BC">
        <w:noBreakHyphen/>
      </w:r>
      <w:r w:rsidR="003B50AE">
        <w:t xml:space="preserve">related </w:t>
      </w:r>
      <w:r w:rsidR="00230E45">
        <w:t xml:space="preserve">research and inquiry activities are </w:t>
      </w:r>
      <w:r w:rsidR="00225BDA">
        <w:t>estimated to be</w:t>
      </w:r>
      <w:r w:rsidR="007C110B">
        <w:t xml:space="preserve"> </w:t>
      </w:r>
      <w:r w:rsidR="00A75760" w:rsidRPr="00A75760">
        <w:t>$0.1</w:t>
      </w:r>
      <w:r w:rsidR="007C110B">
        <w:t>86</w:t>
      </w:r>
      <w:r w:rsidR="00A75760" w:rsidRPr="00A75760">
        <w:t xml:space="preserve"> million per year.</w:t>
      </w:r>
      <w:r w:rsidR="00225BDA">
        <w:t xml:space="preserve"> </w:t>
      </w:r>
    </w:p>
    <w:p w14:paraId="67C35475" w14:textId="7F0ED4AB" w:rsidR="00741C64" w:rsidRDefault="00012E03" w:rsidP="00205F6D">
      <w:pPr>
        <w:pStyle w:val="base-text-paragraphnonumbers"/>
      </w:pPr>
      <w:r>
        <w:t>The Ombudsman</w:t>
      </w:r>
      <w:r w:rsidR="009349BC">
        <w:t>’</w:t>
      </w:r>
      <w:r>
        <w:t xml:space="preserve">s </w:t>
      </w:r>
      <w:r w:rsidR="00723931">
        <w:t xml:space="preserve">assistance function </w:t>
      </w:r>
      <w:r w:rsidR="00741C64">
        <w:t xml:space="preserve">will </w:t>
      </w:r>
      <w:r w:rsidR="00FB7E8E">
        <w:t xml:space="preserve">include </w:t>
      </w:r>
      <w:r w:rsidR="00741C64">
        <w:t>responding to requests for assistance by</w:t>
      </w:r>
      <w:r w:rsidR="001820B2">
        <w:t xml:space="preserve"> </w:t>
      </w:r>
      <w:r w:rsidR="00741C64">
        <w:t>refe</w:t>
      </w:r>
      <w:r w:rsidR="001820B2">
        <w:t>r</w:t>
      </w:r>
      <w:r w:rsidR="00741C64">
        <w:t xml:space="preserve">ring requests to </w:t>
      </w:r>
      <w:r w:rsidR="001820B2">
        <w:t>the appropriate</w:t>
      </w:r>
      <w:r w:rsidR="00741C64">
        <w:t xml:space="preserve"> Commonwealth, state or </w:t>
      </w:r>
      <w:r w:rsidR="001820B2">
        <w:t>t</w:t>
      </w:r>
      <w:r w:rsidR="00741C64">
        <w:t>erritory</w:t>
      </w:r>
      <w:r w:rsidR="001820B2">
        <w:t xml:space="preserve"> agency</w:t>
      </w:r>
      <w:r w:rsidR="00F62054">
        <w:t>;</w:t>
      </w:r>
      <w:r w:rsidR="001820B2">
        <w:t xml:space="preserve"> </w:t>
      </w:r>
      <w:r w:rsidR="003B50AE">
        <w:t>or</w:t>
      </w:r>
      <w:r w:rsidR="001820B2">
        <w:t xml:space="preserve">, if </w:t>
      </w:r>
      <w:r w:rsidR="00741C64">
        <w:t>the request for assistance relates to a matter within the Ombudsman</w:t>
      </w:r>
      <w:r w:rsidR="009349BC">
        <w:t>’</w:t>
      </w:r>
      <w:r w:rsidR="00741C64">
        <w:t xml:space="preserve">s remit, </w:t>
      </w:r>
      <w:r w:rsidR="001820B2">
        <w:t xml:space="preserve">recommending </w:t>
      </w:r>
      <w:r w:rsidR="00741C64">
        <w:t xml:space="preserve">how </w:t>
      </w:r>
      <w:r w:rsidR="001820B2">
        <w:t xml:space="preserve">the </w:t>
      </w:r>
      <w:r w:rsidR="00741C64">
        <w:t>dispute may be managed</w:t>
      </w:r>
      <w:r w:rsidR="009349BC">
        <w:t xml:space="preserve"> — </w:t>
      </w:r>
      <w:r w:rsidR="00741C64">
        <w:t xml:space="preserve">including </w:t>
      </w:r>
      <w:r w:rsidR="00F62054">
        <w:t>recommending</w:t>
      </w:r>
      <w:r w:rsidR="00741C64">
        <w:t xml:space="preserve"> an alternative dispute resolution </w:t>
      </w:r>
      <w:r w:rsidR="00FB7E8E">
        <w:t xml:space="preserve">(ADR) </w:t>
      </w:r>
      <w:r w:rsidR="00741C64">
        <w:t>process.</w:t>
      </w:r>
    </w:p>
    <w:p w14:paraId="4B8C0284" w14:textId="057636F7" w:rsidR="00072CAE" w:rsidRDefault="00741C64" w:rsidP="00205F6D">
      <w:pPr>
        <w:pStyle w:val="base-text-paragraphnonumbers"/>
      </w:pPr>
      <w:r>
        <w:t xml:space="preserve">The assistance function </w:t>
      </w:r>
      <w:r w:rsidR="00723931">
        <w:t>is supported by information</w:t>
      </w:r>
      <w:r w:rsidR="009349BC">
        <w:noBreakHyphen/>
      </w:r>
      <w:r w:rsidR="00723931">
        <w:t xml:space="preserve">gathering powers and the </w:t>
      </w:r>
      <w:r w:rsidR="00764921">
        <w:t>ability</w:t>
      </w:r>
      <w:r w:rsidR="00723931">
        <w:t xml:space="preserve"> to </w:t>
      </w:r>
      <w:r w:rsidR="001B2C37">
        <w:t>publicise that an entity has refused to engage</w:t>
      </w:r>
      <w:r w:rsidR="00F66507">
        <w:t xml:space="preserve"> in</w:t>
      </w:r>
      <w:r w:rsidR="001B2C37">
        <w:t xml:space="preserve">, or </w:t>
      </w:r>
      <w:r w:rsidR="00F66507">
        <w:t xml:space="preserve">has </w:t>
      </w:r>
      <w:r w:rsidR="001B2C37">
        <w:t>withdrawn from, a recommended ADR process.</w:t>
      </w:r>
      <w:r w:rsidR="00072CAE">
        <w:t xml:space="preserve"> This function is expected to result in fewer disputes being pur</w:t>
      </w:r>
      <w:r w:rsidR="00764921">
        <w:t>sued</w:t>
      </w:r>
      <w:r w:rsidR="00072CAE">
        <w:t xml:space="preserve"> through the</w:t>
      </w:r>
      <w:r w:rsidR="00012E03" w:rsidRPr="004F1ED3">
        <w:t xml:space="preserve"> Federal Court system</w:t>
      </w:r>
      <w:r w:rsidR="00202DEB">
        <w:t xml:space="preserve">. </w:t>
      </w:r>
      <w:r w:rsidR="00FC0831">
        <w:t xml:space="preserve">For these cases, the time taken to </w:t>
      </w:r>
      <w:r w:rsidR="00012E03" w:rsidRPr="004F1ED3">
        <w:t xml:space="preserve">apply to </w:t>
      </w:r>
      <w:r w:rsidR="00D20474">
        <w:t>c</w:t>
      </w:r>
      <w:r w:rsidR="00FC0831">
        <w:t>ourt</w:t>
      </w:r>
      <w:r w:rsidR="00F66507">
        <w:t xml:space="preserve"> is </w:t>
      </w:r>
      <w:r w:rsidR="00C21D4B">
        <w:t xml:space="preserve">considered a regulatory saving and </w:t>
      </w:r>
      <w:r w:rsidR="00FC0831">
        <w:t>included in the RBM framework</w:t>
      </w:r>
      <w:r w:rsidR="00012E03" w:rsidRPr="004F1ED3">
        <w:t>.</w:t>
      </w:r>
    </w:p>
    <w:p w14:paraId="55495F03" w14:textId="2A99270B" w:rsidR="00072CAE" w:rsidRDefault="00012E03" w:rsidP="00205F6D">
      <w:pPr>
        <w:pStyle w:val="base-text-paragraphnonumbers"/>
      </w:pPr>
      <w:r w:rsidRPr="004F1ED3">
        <w:t>Broader net economic costs associated with the Ombudsman</w:t>
      </w:r>
      <w:r w:rsidR="009349BC">
        <w:t>’</w:t>
      </w:r>
      <w:r w:rsidRPr="004F1ED3">
        <w:t xml:space="preserve">s </w:t>
      </w:r>
      <w:r w:rsidR="007C110B">
        <w:t>assistance function</w:t>
      </w:r>
      <w:r w:rsidRPr="004F1ED3">
        <w:t xml:space="preserve"> </w:t>
      </w:r>
      <w:r w:rsidR="003B50AE">
        <w:t>include</w:t>
      </w:r>
      <w:r>
        <w:t xml:space="preserve"> staff time and out</w:t>
      </w:r>
      <w:r w:rsidR="009349BC">
        <w:noBreakHyphen/>
      </w:r>
      <w:r>
        <w:t>of</w:t>
      </w:r>
      <w:r w:rsidR="009349BC">
        <w:noBreakHyphen/>
      </w:r>
      <w:r>
        <w:t xml:space="preserve">pocket expenses </w:t>
      </w:r>
      <w:r w:rsidR="003B50AE">
        <w:t xml:space="preserve">relating to </w:t>
      </w:r>
      <w:r>
        <w:t>participat</w:t>
      </w:r>
      <w:r w:rsidR="003B50AE">
        <w:t>ing</w:t>
      </w:r>
      <w:r>
        <w:t xml:space="preserve"> in an ADR process.</w:t>
      </w:r>
      <w:r w:rsidR="007C110B">
        <w:t xml:space="preserve"> Economic savings </w:t>
      </w:r>
      <w:r w:rsidR="00C54C54">
        <w:t>relate</w:t>
      </w:r>
      <w:r w:rsidR="007C110B">
        <w:t xml:space="preserve"> to </w:t>
      </w:r>
      <w:r w:rsidR="00C54C54">
        <w:t>avoided court costs</w:t>
      </w:r>
      <w:r w:rsidR="003B50AE">
        <w:t>,</w:t>
      </w:r>
      <w:r w:rsidR="00C54C54">
        <w:t xml:space="preserve"> </w:t>
      </w:r>
      <w:r w:rsidR="002922B8">
        <w:t xml:space="preserve">where a </w:t>
      </w:r>
      <w:r w:rsidR="007C110B">
        <w:t xml:space="preserve">dispute </w:t>
      </w:r>
      <w:r w:rsidR="002922B8">
        <w:t>was</w:t>
      </w:r>
      <w:r w:rsidR="007C110B">
        <w:t xml:space="preserve"> resolved </w:t>
      </w:r>
      <w:r w:rsidR="00560BD8">
        <w:t>through the Ombudsman</w:t>
      </w:r>
      <w:r w:rsidR="009349BC">
        <w:t>’</w:t>
      </w:r>
      <w:r w:rsidR="00560BD8">
        <w:t xml:space="preserve">s </w:t>
      </w:r>
      <w:r w:rsidR="00C54C54">
        <w:t>assistance</w:t>
      </w:r>
      <w:r w:rsidR="00560BD8">
        <w:t xml:space="preserve"> function rather than through </w:t>
      </w:r>
      <w:r w:rsidR="00D20474">
        <w:t>a c</w:t>
      </w:r>
      <w:r w:rsidR="00560BD8">
        <w:t>ourt</w:t>
      </w:r>
      <w:r w:rsidR="007C110B">
        <w:t xml:space="preserve">. The net </w:t>
      </w:r>
      <w:r w:rsidR="00560BD8">
        <w:t>economic</w:t>
      </w:r>
      <w:r w:rsidR="007C110B">
        <w:t xml:space="preserve"> </w:t>
      </w:r>
      <w:r w:rsidR="00C54C54">
        <w:t>savings from the Ombudsman</w:t>
      </w:r>
      <w:r w:rsidR="009349BC">
        <w:t>’</w:t>
      </w:r>
      <w:r w:rsidR="00C54C54">
        <w:t>s assistance function is estimated to be $18.395 million per year.</w:t>
      </w:r>
    </w:p>
    <w:p w14:paraId="7ACEE6DB" w14:textId="77777777" w:rsidR="006527E4" w:rsidRDefault="006527E4" w:rsidP="0041779D">
      <w:pPr>
        <w:pStyle w:val="base-text-paragraphnonumbers"/>
        <w:ind w:left="1440"/>
      </w:pPr>
    </w:p>
    <w:p w14:paraId="6E7B478E" w14:textId="77777777" w:rsidR="009C2D18" w:rsidRPr="009C2D18" w:rsidRDefault="009C2D18" w:rsidP="009C2D18">
      <w:pPr>
        <w:sectPr w:rsidR="009C2D18" w:rsidRPr="009C2D18" w:rsidSect="009C2D18">
          <w:headerReference w:type="even" r:id="rId28"/>
          <w:type w:val="oddPage"/>
          <w:pgSz w:w="11906" w:h="16838" w:code="9"/>
          <w:pgMar w:top="2466" w:right="2098" w:bottom="2466" w:left="2098" w:header="1559" w:footer="1899" w:gutter="0"/>
          <w:cols w:space="708"/>
          <w:titlePg/>
          <w:docGrid w:linePitch="360"/>
        </w:sectPr>
      </w:pPr>
    </w:p>
    <w:p w14:paraId="0A75174A" w14:textId="77777777" w:rsidR="00B34430" w:rsidRPr="006477AB" w:rsidRDefault="000E1EF1" w:rsidP="003D3678">
      <w:pPr>
        <w:pStyle w:val="ChapterHeading"/>
        <w:numPr>
          <w:ilvl w:val="0"/>
          <w:numId w:val="0"/>
        </w:numPr>
      </w:pPr>
      <w:bookmarkStart w:id="8" w:name="_Toc417980507"/>
      <w:bookmarkStart w:id="9" w:name="_Toc417985041"/>
      <w:bookmarkStart w:id="10" w:name="_Toc419101544"/>
      <w:bookmarkStart w:id="11" w:name="_Toc419136750"/>
      <w:bookmarkStart w:id="12" w:name="_Toc420587197"/>
      <w:r>
        <w:t>Chapter 1</w:t>
      </w:r>
      <w:r w:rsidR="00D74EBB">
        <w:tab/>
      </w:r>
      <w:r w:rsidR="00B05B36">
        <w:br/>
      </w:r>
      <w:bookmarkEnd w:id="8"/>
      <w:bookmarkEnd w:id="9"/>
      <w:bookmarkEnd w:id="10"/>
      <w:bookmarkEnd w:id="11"/>
      <w:r w:rsidR="00D20474">
        <w:t>Background</w:t>
      </w:r>
      <w:bookmarkEnd w:id="12"/>
    </w:p>
    <w:p w14:paraId="490B195F" w14:textId="77777777" w:rsidR="001939A0" w:rsidRDefault="00F46BF4" w:rsidP="00A736FF">
      <w:pPr>
        <w:pStyle w:val="Heading2"/>
      </w:pPr>
      <w:r>
        <w:t xml:space="preserve">Outline of </w:t>
      </w:r>
      <w:r w:rsidR="00B95B99">
        <w:t>chapter</w:t>
      </w:r>
    </w:p>
    <w:p w14:paraId="49D920C9" w14:textId="77777777" w:rsidR="009C2D18" w:rsidRPr="009C2D18" w:rsidRDefault="000E1EF1" w:rsidP="00A0356C">
      <w:pPr>
        <w:pStyle w:val="base-text-paragraph"/>
        <w:spacing w:before="100" w:after="100"/>
      </w:pPr>
      <w:r>
        <w:t>Chapter</w:t>
      </w:r>
      <w:r w:rsidRPr="009C2D18">
        <w:t xml:space="preserve"> </w:t>
      </w:r>
      <w:r>
        <w:t xml:space="preserve">1 </w:t>
      </w:r>
      <w:r w:rsidR="009C2D18" w:rsidRPr="00F83544">
        <w:t>explains</w:t>
      </w:r>
      <w:r w:rsidR="009C2D18" w:rsidRPr="009C2D18">
        <w:t xml:space="preserve"> the background to the Australian Small Business and Family Enterprise Ombudsman Bill 2015 (Bill</w:t>
      </w:r>
      <w:r w:rsidR="0091262C">
        <w:t>)</w:t>
      </w:r>
      <w:r w:rsidR="00C26166">
        <w:t>.</w:t>
      </w:r>
    </w:p>
    <w:p w14:paraId="29CB9F9B" w14:textId="77777777" w:rsidR="009C2D18" w:rsidRDefault="009C2D18" w:rsidP="00A0356C">
      <w:pPr>
        <w:pStyle w:val="base-text-paragraph"/>
        <w:spacing w:before="100" w:after="100"/>
      </w:pPr>
      <w:r w:rsidRPr="009C2D18">
        <w:t xml:space="preserve">The Bill establishes the </w:t>
      </w:r>
      <w:r w:rsidR="00780AE0">
        <w:t xml:space="preserve">Australian Small Business and Family Enterprise </w:t>
      </w:r>
      <w:r w:rsidR="0091262C">
        <w:t>Ombudsman</w:t>
      </w:r>
      <w:r w:rsidR="00780AE0">
        <w:t xml:space="preserve"> (Ombudsman)</w:t>
      </w:r>
      <w:r w:rsidRPr="009C2D18">
        <w:t>, and specifies the powers and functions of the O</w:t>
      </w:r>
      <w:r w:rsidR="007327D1">
        <w:t>mbudsman</w:t>
      </w:r>
      <w:r w:rsidRPr="009C2D18">
        <w:t>.</w:t>
      </w:r>
    </w:p>
    <w:p w14:paraId="03B6B5F5" w14:textId="77777777" w:rsidR="009C2D18" w:rsidRPr="009C2D18" w:rsidRDefault="009C2D18" w:rsidP="00E92BD7">
      <w:pPr>
        <w:pStyle w:val="Heading2"/>
      </w:pPr>
      <w:r w:rsidRPr="009C2D18">
        <w:t>Context of new powers</w:t>
      </w:r>
    </w:p>
    <w:p w14:paraId="136F37C5" w14:textId="77777777" w:rsidR="009C2D18" w:rsidRPr="009C2D18" w:rsidRDefault="009C2D18" w:rsidP="00C71EE9">
      <w:pPr>
        <w:pStyle w:val="Heading3"/>
      </w:pPr>
      <w:r w:rsidRPr="009C2D18">
        <w:t>Background to the O</w:t>
      </w:r>
      <w:r w:rsidR="00C95A33">
        <w:t>mbudsman</w:t>
      </w:r>
    </w:p>
    <w:p w14:paraId="2CBB4A26" w14:textId="77777777" w:rsidR="009C2D18" w:rsidRPr="00E92BD7" w:rsidRDefault="009C2D18" w:rsidP="00A0356C">
      <w:pPr>
        <w:pStyle w:val="base-text-paragraph"/>
        <w:spacing w:before="100" w:after="100"/>
      </w:pPr>
      <w:r w:rsidRPr="00E92BD7">
        <w:t>Small businesses and family enterprises play a large role in the Australian economy</w:t>
      </w:r>
      <w:r w:rsidR="003B53C7">
        <w:t xml:space="preserve">. </w:t>
      </w:r>
      <w:r w:rsidR="00F03ED5">
        <w:t xml:space="preserve">The Australian Bureau of </w:t>
      </w:r>
      <w:r w:rsidRPr="00E92BD7">
        <w:t xml:space="preserve">Statistics </w:t>
      </w:r>
      <w:r w:rsidR="00F03ED5">
        <w:t xml:space="preserve">(which uses a </w:t>
      </w:r>
      <w:r w:rsidR="00182F12">
        <w:t xml:space="preserve">small business </w:t>
      </w:r>
      <w:r w:rsidR="00F03ED5">
        <w:t>definition of less than 20</w:t>
      </w:r>
      <w:r w:rsidR="00D22635">
        <w:t> </w:t>
      </w:r>
      <w:r w:rsidR="00F03ED5">
        <w:t>employees) has indicated</w:t>
      </w:r>
      <w:r w:rsidRPr="00E92BD7">
        <w:t xml:space="preserve"> that small businesses represent approximately 97 per cent of all Australian businesses and employ around 4.</w:t>
      </w:r>
      <w:r w:rsidR="006F4F23">
        <w:t>6</w:t>
      </w:r>
      <w:r w:rsidRPr="00E92BD7">
        <w:t> million Australian people</w:t>
      </w:r>
      <w:r w:rsidR="003B53C7">
        <w:t xml:space="preserve">. </w:t>
      </w:r>
      <w:r w:rsidRPr="00E92BD7">
        <w:t>Many small businesses are also family enterprises, which represent approximately 70</w:t>
      </w:r>
      <w:r w:rsidR="00CB2A99">
        <w:t> </w:t>
      </w:r>
      <w:r w:rsidRPr="00E92BD7">
        <w:t>per cent of all Australian businesses.</w:t>
      </w:r>
    </w:p>
    <w:p w14:paraId="28185585" w14:textId="77777777" w:rsidR="009C2D18" w:rsidRDefault="00C438D6" w:rsidP="00A0356C">
      <w:pPr>
        <w:pStyle w:val="base-text-paragraph"/>
        <w:spacing w:before="100" w:after="100"/>
      </w:pPr>
      <w:r>
        <w:t>Small business</w:t>
      </w:r>
      <w:r w:rsidR="009C2D18" w:rsidRPr="009C2D18">
        <w:t>people face many challenges as they seek to expand their businesses</w:t>
      </w:r>
      <w:r w:rsidR="003B53C7">
        <w:t xml:space="preserve">. </w:t>
      </w:r>
      <w:r w:rsidR="009C2D18" w:rsidRPr="009C2D18">
        <w:t xml:space="preserve">Family </w:t>
      </w:r>
      <w:r w:rsidR="00CC2A48">
        <w:t>enterprises</w:t>
      </w:r>
      <w:r w:rsidR="00CC2A48" w:rsidRPr="009C2D18">
        <w:t xml:space="preserve"> </w:t>
      </w:r>
      <w:r w:rsidR="009C2D18" w:rsidRPr="009C2D18">
        <w:t>share these challenges</w:t>
      </w:r>
      <w:r w:rsidR="000309AD">
        <w:t>,</w:t>
      </w:r>
      <w:r w:rsidR="009C2D18" w:rsidRPr="009C2D18">
        <w:t xml:space="preserve"> and face other challenges as well because of the particular nature and characteristics of family </w:t>
      </w:r>
      <w:r w:rsidR="00780AE0">
        <w:t>enterprises</w:t>
      </w:r>
      <w:r w:rsidR="003B53C7">
        <w:t xml:space="preserve">. </w:t>
      </w:r>
    </w:p>
    <w:p w14:paraId="48958E42" w14:textId="77777777" w:rsidR="00147FF5" w:rsidRPr="009C2D18" w:rsidRDefault="00147FF5" w:rsidP="00A0356C">
      <w:pPr>
        <w:pStyle w:val="base-text-paragraph"/>
        <w:spacing w:before="100" w:after="100"/>
      </w:pPr>
      <w:r>
        <w:t xml:space="preserve">Small businesses and family enterprises need a strong advocate who can represent their interests. A strong advocate can help small businesses and family enterprises by advocating on, for example, red tape, taxation and other issues and problems that </w:t>
      </w:r>
      <w:r w:rsidR="000309AD">
        <w:t>they may</w:t>
      </w:r>
      <w:r>
        <w:t xml:space="preserve"> face.</w:t>
      </w:r>
    </w:p>
    <w:p w14:paraId="2C7F43A2" w14:textId="77777777" w:rsidR="009C2D18" w:rsidRPr="009C2D18" w:rsidRDefault="009C2D18" w:rsidP="00A0356C">
      <w:pPr>
        <w:pStyle w:val="base-text-paragraph"/>
        <w:spacing w:before="100" w:after="100"/>
      </w:pPr>
      <w:r w:rsidRPr="009C2D18">
        <w:t xml:space="preserve">Small businesses </w:t>
      </w:r>
      <w:r w:rsidR="001576AB">
        <w:t xml:space="preserve">and family enterprises </w:t>
      </w:r>
      <w:r w:rsidRPr="009C2D18">
        <w:t xml:space="preserve">are often treated as though they </w:t>
      </w:r>
      <w:r w:rsidR="00C438D6">
        <w:t>we</w:t>
      </w:r>
      <w:r w:rsidRPr="009C2D18">
        <w:t>re big business</w:t>
      </w:r>
      <w:r w:rsidR="00C438D6">
        <w:t>es</w:t>
      </w:r>
      <w:r w:rsidRPr="009C2D18">
        <w:t xml:space="preserve"> with all resources possessed by big business</w:t>
      </w:r>
      <w:r w:rsidR="00C438D6">
        <w:t>es</w:t>
      </w:r>
      <w:r w:rsidR="003B53C7">
        <w:t xml:space="preserve">. </w:t>
      </w:r>
    </w:p>
    <w:p w14:paraId="29526689" w14:textId="77777777" w:rsidR="00877279" w:rsidRDefault="009C2D18" w:rsidP="00A0356C">
      <w:pPr>
        <w:pStyle w:val="base-text-paragraph"/>
        <w:spacing w:before="100" w:after="100"/>
      </w:pPr>
      <w:r w:rsidRPr="009C2D18">
        <w:t xml:space="preserve">The Australian Government is committed to a general deregulation agenda, which will ensure that Commonwealth legislation and regulations are business friendly and especially small business </w:t>
      </w:r>
      <w:r w:rsidR="00C23BAA">
        <w:t xml:space="preserve">and family enterprise </w:t>
      </w:r>
      <w:r w:rsidRPr="009C2D18">
        <w:t>friendly</w:t>
      </w:r>
      <w:r w:rsidR="003B53C7">
        <w:t xml:space="preserve">. </w:t>
      </w:r>
    </w:p>
    <w:p w14:paraId="59345096" w14:textId="7DE93FDF" w:rsidR="009C2D18" w:rsidRPr="009C2D18" w:rsidRDefault="00877279" w:rsidP="00200FC3">
      <w:pPr>
        <w:pStyle w:val="base-text-paragraph"/>
      </w:pPr>
      <w:r>
        <w:t>A</w:t>
      </w:r>
      <w:r w:rsidR="009C2D18" w:rsidRPr="009C2D18">
        <w:t xml:space="preserve"> </w:t>
      </w:r>
      <w:r w:rsidR="00D05897">
        <w:t>good</w:t>
      </w:r>
      <w:r w:rsidR="009C2D18" w:rsidRPr="009C2D18">
        <w:t xml:space="preserve"> regulatory regime can make a difference to the productivity of businesses, and decisions about when, or whether, a business should proceed with an investment</w:t>
      </w:r>
      <w:r w:rsidR="003B53C7">
        <w:t xml:space="preserve">. </w:t>
      </w:r>
      <w:r w:rsidR="009C2D18" w:rsidRPr="009C2D18">
        <w:t xml:space="preserve">A </w:t>
      </w:r>
      <w:r w:rsidR="00C23BAA">
        <w:t xml:space="preserve">university study in 2012, </w:t>
      </w:r>
      <w:r w:rsidR="009C2D18" w:rsidRPr="009C2D18">
        <w:t xml:space="preserve">found that small businesses in Australia </w:t>
      </w:r>
      <w:r w:rsidR="000309AD">
        <w:t>we</w:t>
      </w:r>
      <w:r w:rsidR="009C2D18" w:rsidRPr="009C2D18">
        <w:t>re spending around $28,000 and nearly 500</w:t>
      </w:r>
      <w:r w:rsidR="00A558C7">
        <w:t> </w:t>
      </w:r>
      <w:r w:rsidR="009C2D18" w:rsidRPr="009C2D18">
        <w:t>hours a year working on red</w:t>
      </w:r>
      <w:r w:rsidR="009349BC">
        <w:noBreakHyphen/>
      </w:r>
      <w:r w:rsidR="009C2D18" w:rsidRPr="009C2D18">
        <w:t>tape and compliance burdens.</w:t>
      </w:r>
    </w:p>
    <w:p w14:paraId="47047AE2" w14:textId="77777777" w:rsidR="009C2D18" w:rsidRPr="009C2D18" w:rsidRDefault="009C2D18" w:rsidP="00200FC3">
      <w:pPr>
        <w:pStyle w:val="base-text-paragraph"/>
      </w:pPr>
      <w:r w:rsidRPr="009C2D18">
        <w:t xml:space="preserve">The </w:t>
      </w:r>
      <w:r w:rsidR="00FA5D91">
        <w:t xml:space="preserve">Treasury estimated in 2014, that </w:t>
      </w:r>
      <w:r w:rsidR="00FA5D91" w:rsidRPr="009C2D18">
        <w:t xml:space="preserve">regulatory compliance costs could be as high as </w:t>
      </w:r>
      <w:r w:rsidR="00FA5D91">
        <w:t>five</w:t>
      </w:r>
      <w:r w:rsidR="00FA5D91" w:rsidRPr="009C2D18">
        <w:t xml:space="preserve"> per cent of </w:t>
      </w:r>
      <w:r w:rsidR="00FA5D91">
        <w:t>Gross Domestic Product (</w:t>
      </w:r>
      <w:r w:rsidR="00FA5D91" w:rsidRPr="009C2D18">
        <w:t>GDP</w:t>
      </w:r>
      <w:r w:rsidR="00FA5D91">
        <w:t>). The</w:t>
      </w:r>
      <w:r w:rsidR="00FA5D91" w:rsidRPr="009C2D18">
        <w:t xml:space="preserve"> </w:t>
      </w:r>
      <w:r w:rsidRPr="009C2D18">
        <w:t>Productivity Commission estimated that, by removing inefficient regulation, savings of up to 1.6 per cent of GDP could be made, with the benefit to the economy from reducing regulation estimated to be between $12</w:t>
      </w:r>
      <w:r w:rsidR="00D22635">
        <w:t> </w:t>
      </w:r>
      <w:r w:rsidRPr="009C2D18">
        <w:t>billion and $24 billion a year</w:t>
      </w:r>
      <w:r w:rsidR="003B53C7">
        <w:t xml:space="preserve">. </w:t>
      </w:r>
    </w:p>
    <w:p w14:paraId="11EB1BA0" w14:textId="77777777" w:rsidR="009C2D18" w:rsidRPr="009C2D18" w:rsidRDefault="009C2D18" w:rsidP="00200FC3">
      <w:pPr>
        <w:pStyle w:val="base-text-paragraph"/>
      </w:pPr>
      <w:r w:rsidRPr="009C2D18">
        <w:t>Activities which the O</w:t>
      </w:r>
      <w:r w:rsidR="00075E0C">
        <w:t>mbudsman</w:t>
      </w:r>
      <w:r w:rsidRPr="009C2D18">
        <w:t xml:space="preserve"> </w:t>
      </w:r>
      <w:r w:rsidR="00F13457">
        <w:t>may</w:t>
      </w:r>
      <w:r w:rsidRPr="009C2D18">
        <w:t xml:space="preserve"> undertake to reduce the regulatory burden at the Commonwealth level include:</w:t>
      </w:r>
    </w:p>
    <w:p w14:paraId="038F95B5" w14:textId="77777777" w:rsidR="007A1E7D" w:rsidRPr="007A1E7D" w:rsidRDefault="007A1E7D" w:rsidP="00BA67EA">
      <w:pPr>
        <w:pStyle w:val="exampledotpoint1"/>
        <w:ind w:left="2269" w:hanging="284"/>
        <w:rPr>
          <w:sz w:val="22"/>
          <w:szCs w:val="22"/>
        </w:rPr>
      </w:pPr>
      <w:r w:rsidRPr="007A1E7D">
        <w:rPr>
          <w:sz w:val="22"/>
          <w:szCs w:val="22"/>
        </w:rPr>
        <w:t>reducing administrative burdens, for example, by suggesting simplifications to administrative forms</w:t>
      </w:r>
      <w:r w:rsidR="00E6651B">
        <w:rPr>
          <w:sz w:val="22"/>
          <w:szCs w:val="22"/>
        </w:rPr>
        <w:t xml:space="preserve"> and processes</w:t>
      </w:r>
      <w:r w:rsidRPr="007A1E7D">
        <w:rPr>
          <w:sz w:val="22"/>
          <w:szCs w:val="22"/>
        </w:rPr>
        <w:t xml:space="preserve">; </w:t>
      </w:r>
    </w:p>
    <w:p w14:paraId="366EE64B" w14:textId="77777777" w:rsidR="007A1E7D" w:rsidRPr="007A1E7D" w:rsidRDefault="007A1E7D" w:rsidP="007A1E7D">
      <w:pPr>
        <w:pStyle w:val="exampledotpoint1"/>
        <w:rPr>
          <w:sz w:val="22"/>
          <w:szCs w:val="22"/>
        </w:rPr>
      </w:pPr>
      <w:r w:rsidRPr="007A1E7D">
        <w:rPr>
          <w:sz w:val="22"/>
          <w:szCs w:val="22"/>
        </w:rPr>
        <w:t xml:space="preserve">minimising the costs businesses incur in complying with regulations; </w:t>
      </w:r>
    </w:p>
    <w:p w14:paraId="5785A529" w14:textId="77777777" w:rsidR="007A1E7D" w:rsidRPr="007A1E7D" w:rsidRDefault="007A1E7D" w:rsidP="007A1E7D">
      <w:pPr>
        <w:pStyle w:val="exampledotpoint1"/>
        <w:rPr>
          <w:sz w:val="22"/>
          <w:szCs w:val="22"/>
        </w:rPr>
      </w:pPr>
      <w:r w:rsidRPr="007A1E7D">
        <w:rPr>
          <w:sz w:val="22"/>
          <w:szCs w:val="22"/>
        </w:rPr>
        <w:t xml:space="preserve">providing advice on matters affecting the interactions of small businesses and family enterprises with Commonwealth agencies; </w:t>
      </w:r>
    </w:p>
    <w:p w14:paraId="3D1DEE89" w14:textId="77777777" w:rsidR="007A1E7D" w:rsidRPr="007A1E7D" w:rsidRDefault="007A1E7D" w:rsidP="007A1E7D">
      <w:pPr>
        <w:pStyle w:val="exampledotpoint1"/>
        <w:rPr>
          <w:sz w:val="22"/>
          <w:szCs w:val="22"/>
        </w:rPr>
      </w:pPr>
      <w:r w:rsidRPr="007A1E7D">
        <w:rPr>
          <w:sz w:val="22"/>
          <w:szCs w:val="22"/>
        </w:rPr>
        <w:t xml:space="preserve">conducting investigations into industry sectors, in which small </w:t>
      </w:r>
      <w:r w:rsidR="00F126C4">
        <w:rPr>
          <w:sz w:val="22"/>
          <w:szCs w:val="22"/>
        </w:rPr>
        <w:t xml:space="preserve">businesses </w:t>
      </w:r>
      <w:r w:rsidRPr="007A1E7D">
        <w:rPr>
          <w:sz w:val="22"/>
          <w:szCs w:val="22"/>
        </w:rPr>
        <w:t xml:space="preserve">and family </w:t>
      </w:r>
      <w:r w:rsidR="00F126C4">
        <w:rPr>
          <w:sz w:val="22"/>
          <w:szCs w:val="22"/>
        </w:rPr>
        <w:t>enterprises</w:t>
      </w:r>
      <w:r w:rsidRPr="007A1E7D">
        <w:rPr>
          <w:sz w:val="22"/>
          <w:szCs w:val="22"/>
        </w:rPr>
        <w:t xml:space="preserve"> face particular problems; and</w:t>
      </w:r>
    </w:p>
    <w:p w14:paraId="4054D30A" w14:textId="77777777" w:rsidR="007A1E7D" w:rsidRPr="007A1E7D" w:rsidRDefault="007A1E7D" w:rsidP="007A1E7D">
      <w:pPr>
        <w:pStyle w:val="exampledotpoint1"/>
        <w:rPr>
          <w:sz w:val="22"/>
          <w:szCs w:val="22"/>
        </w:rPr>
      </w:pPr>
      <w:r w:rsidRPr="007A1E7D">
        <w:rPr>
          <w:sz w:val="22"/>
          <w:szCs w:val="22"/>
        </w:rPr>
        <w:t>making recommendations on practical solutions to reduce burdensome regulation.</w:t>
      </w:r>
    </w:p>
    <w:p w14:paraId="1130F53C" w14:textId="77777777" w:rsidR="000309AD" w:rsidRDefault="000309AD" w:rsidP="00200FC3">
      <w:pPr>
        <w:pStyle w:val="base-text-paragraph"/>
      </w:pPr>
      <w:r w:rsidRPr="009C2D18">
        <w:t>The O</w:t>
      </w:r>
      <w:r>
        <w:t>mbudsman</w:t>
      </w:r>
      <w:r w:rsidRPr="009C2D18">
        <w:t xml:space="preserve"> represents a positive opportunity to establish a highly regarded advocate who </w:t>
      </w:r>
      <w:r>
        <w:t>will</w:t>
      </w:r>
      <w:r w:rsidRPr="009C2D18">
        <w:t xml:space="preserve"> act as a conduit </w:t>
      </w:r>
      <w:r>
        <w:t>for</w:t>
      </w:r>
      <w:r w:rsidRPr="009C2D18">
        <w:t xml:space="preserve"> issues that small businesses </w:t>
      </w:r>
      <w:r>
        <w:t xml:space="preserve">and family enterprises </w:t>
      </w:r>
      <w:r w:rsidRPr="009C2D18">
        <w:t>fac</w:t>
      </w:r>
      <w:r>
        <w:t>e</w:t>
      </w:r>
      <w:r w:rsidRPr="009C2D18">
        <w:t xml:space="preserve"> at the </w:t>
      </w:r>
      <w:r>
        <w:t>Commonwealth</w:t>
      </w:r>
      <w:r w:rsidRPr="009C2D18">
        <w:t xml:space="preserve"> level</w:t>
      </w:r>
      <w:r>
        <w:t xml:space="preserve">. The Ombudsman will </w:t>
      </w:r>
      <w:r w:rsidRPr="009C2D18">
        <w:t xml:space="preserve">promote a </w:t>
      </w:r>
      <w:r>
        <w:t xml:space="preserve">nationally </w:t>
      </w:r>
      <w:r w:rsidRPr="009C2D18">
        <w:t>consistent and coordinated approach to</w:t>
      </w:r>
      <w:r>
        <w:t xml:space="preserve"> these issues. </w:t>
      </w:r>
    </w:p>
    <w:p w14:paraId="1E3CC708" w14:textId="77777777" w:rsidR="000309AD" w:rsidRPr="009C2D18" w:rsidRDefault="000309AD" w:rsidP="00200FC3">
      <w:pPr>
        <w:pStyle w:val="base-text-paragraph"/>
      </w:pPr>
      <w:r>
        <w:t>T</w:t>
      </w:r>
      <w:r w:rsidRPr="009C2D18">
        <w:t>he O</w:t>
      </w:r>
      <w:r>
        <w:t>mbudsman</w:t>
      </w:r>
      <w:r w:rsidRPr="009C2D18">
        <w:t xml:space="preserve"> </w:t>
      </w:r>
      <w:r>
        <w:t xml:space="preserve">will also </w:t>
      </w:r>
      <w:r w:rsidRPr="009C2D18">
        <w:t>play a valuable leadership role in collaborati</w:t>
      </w:r>
      <w:r>
        <w:t>ng</w:t>
      </w:r>
      <w:r w:rsidRPr="009C2D18">
        <w:t xml:space="preserve"> with the </w:t>
      </w:r>
      <w:r>
        <w:t>s</w:t>
      </w:r>
      <w:r w:rsidRPr="009C2D18">
        <w:t xml:space="preserve">tate </w:t>
      </w:r>
      <w:r>
        <w:t>s</w:t>
      </w:r>
      <w:r w:rsidRPr="009C2D18">
        <w:t xml:space="preserve">mall </w:t>
      </w:r>
      <w:r>
        <w:t>b</w:t>
      </w:r>
      <w:r w:rsidRPr="009C2D18">
        <w:t xml:space="preserve">usiness </w:t>
      </w:r>
      <w:r>
        <w:t>c</w:t>
      </w:r>
      <w:r w:rsidRPr="009C2D18">
        <w:t xml:space="preserve">ommissioners, </w:t>
      </w:r>
      <w:r>
        <w:t>other state and territory officials</w:t>
      </w:r>
      <w:r w:rsidRPr="009C2D18">
        <w:t xml:space="preserve">, </w:t>
      </w:r>
      <w:r>
        <w:t>and</w:t>
      </w:r>
      <w:r w:rsidRPr="009C2D18">
        <w:t xml:space="preserve"> peak industry bodies</w:t>
      </w:r>
      <w:r>
        <w:t xml:space="preserve">. The Ombudsman </w:t>
      </w:r>
      <w:r w:rsidRPr="009C2D18">
        <w:t xml:space="preserve">will raise </w:t>
      </w:r>
      <w:r>
        <w:t xml:space="preserve">the </w:t>
      </w:r>
      <w:r w:rsidRPr="009C2D18">
        <w:t>concerns of small business</w:t>
      </w:r>
      <w:r w:rsidR="00FA5D91">
        <w:t>es</w:t>
      </w:r>
      <w:r w:rsidRPr="009C2D18">
        <w:t xml:space="preserve"> </w:t>
      </w:r>
      <w:r>
        <w:t>and family enterprise</w:t>
      </w:r>
      <w:r w:rsidR="00FA5D91">
        <w:t>s</w:t>
      </w:r>
      <w:r w:rsidRPr="009C2D18">
        <w:t xml:space="preserve"> in interactions across both the public and private sectors</w:t>
      </w:r>
      <w:r>
        <w:t>.</w:t>
      </w:r>
    </w:p>
    <w:p w14:paraId="1CAC3548" w14:textId="558A5752" w:rsidR="000309AD" w:rsidRDefault="000309AD" w:rsidP="00BA67EA">
      <w:pPr>
        <w:pStyle w:val="base-text-paragraph"/>
        <w:keepNext/>
        <w:keepLines/>
      </w:pPr>
      <w:r w:rsidRPr="009C2D18">
        <w:t xml:space="preserve">In </w:t>
      </w:r>
      <w:r>
        <w:t>this</w:t>
      </w:r>
      <w:r w:rsidRPr="009C2D18">
        <w:t xml:space="preserve"> expanded role as a Commonwealth</w:t>
      </w:r>
      <w:r w:rsidR="009349BC">
        <w:noBreakHyphen/>
      </w:r>
      <w:r w:rsidRPr="009C2D18">
        <w:t>wide advocate for small</w:t>
      </w:r>
      <w:r>
        <w:t xml:space="preserve"> businesses and family</w:t>
      </w:r>
      <w:r w:rsidRPr="009C2D18">
        <w:t xml:space="preserve"> enterprises, the Ombudsman will have information</w:t>
      </w:r>
      <w:r w:rsidR="009349BC">
        <w:noBreakHyphen/>
      </w:r>
      <w:r w:rsidRPr="009C2D18">
        <w:t>gathering powers</w:t>
      </w:r>
      <w:r>
        <w:t>, such as the power to conduct hearings,</w:t>
      </w:r>
      <w:r w:rsidRPr="009C2D18">
        <w:t xml:space="preserve"> to </w:t>
      </w:r>
      <w:r>
        <w:t xml:space="preserve">be able to </w:t>
      </w:r>
      <w:r w:rsidRPr="009C2D18">
        <w:t xml:space="preserve">investigate </w:t>
      </w:r>
      <w:r>
        <w:t xml:space="preserve">matters </w:t>
      </w:r>
      <w:r w:rsidRPr="009C2D18">
        <w:t>and make recommendations to Government</w:t>
      </w:r>
      <w:r>
        <w:t xml:space="preserve">. </w:t>
      </w:r>
    </w:p>
    <w:p w14:paraId="1584C78D" w14:textId="11C2178E" w:rsidR="000309AD" w:rsidRPr="005A1527" w:rsidRDefault="000309AD" w:rsidP="00200FC3">
      <w:pPr>
        <w:pStyle w:val="base-text-paragraph"/>
      </w:pPr>
      <w:r>
        <w:t>T</w:t>
      </w:r>
      <w:r w:rsidRPr="005A1527">
        <w:t>he Ombudsman will need to be, and be seen to be, impartial. The Ombudsman</w:t>
      </w:r>
      <w:r w:rsidR="009349BC">
        <w:t>’</w:t>
      </w:r>
      <w:r w:rsidRPr="005A1527">
        <w:t>s advocacy and assistance functions will therefore be entirely separate</w:t>
      </w:r>
      <w:r w:rsidR="009349BC">
        <w:t xml:space="preserve"> — </w:t>
      </w:r>
      <w:r w:rsidR="00FC5EE2">
        <w:t>and thus there will be no conflict between the functions</w:t>
      </w:r>
      <w:r w:rsidRPr="005A1527">
        <w:t xml:space="preserve">. </w:t>
      </w:r>
    </w:p>
    <w:p w14:paraId="21E82F23" w14:textId="6844A742" w:rsidR="00D05897" w:rsidRDefault="00D05897" w:rsidP="00200FC3">
      <w:pPr>
        <w:pStyle w:val="base-text-paragraph"/>
      </w:pPr>
      <w:r>
        <w:t>The Ombudsman</w:t>
      </w:r>
      <w:r w:rsidR="009349BC">
        <w:t>’</w:t>
      </w:r>
      <w:r>
        <w:t>s assistance function will include responding to requests for assistance by:</w:t>
      </w:r>
    </w:p>
    <w:p w14:paraId="63650D0E" w14:textId="44AEE427" w:rsidR="00D05897" w:rsidRPr="00205F6D" w:rsidRDefault="00D05897" w:rsidP="00205F6D">
      <w:pPr>
        <w:pStyle w:val="dotpoint"/>
      </w:pPr>
      <w:r w:rsidRPr="00205F6D">
        <w:t>in the Ombudsman</w:t>
      </w:r>
      <w:r w:rsidR="009349BC">
        <w:t>’</w:t>
      </w:r>
      <w:r w:rsidRPr="00205F6D">
        <w:t xml:space="preserve">s </w:t>
      </w:r>
      <w:r w:rsidR="009349BC">
        <w:t>‘</w:t>
      </w:r>
      <w:r w:rsidRPr="00205F6D">
        <w:t>concierge</w:t>
      </w:r>
      <w:r w:rsidR="009349BC">
        <w:t>’</w:t>
      </w:r>
      <w:r w:rsidRPr="00205F6D">
        <w:t xml:space="preserve"> role, referring requests to another agency of the Commonwealth, a state or a territory;</w:t>
      </w:r>
    </w:p>
    <w:p w14:paraId="36B2CCE5" w14:textId="62ED5CAF" w:rsidR="00D05897" w:rsidRPr="00205F6D" w:rsidRDefault="00D05897" w:rsidP="00205F6D">
      <w:pPr>
        <w:pStyle w:val="dotpoint"/>
      </w:pPr>
      <w:r w:rsidRPr="00205F6D">
        <w:t>working co</w:t>
      </w:r>
      <w:r w:rsidR="009349BC">
        <w:noBreakHyphen/>
      </w:r>
      <w:r w:rsidRPr="00205F6D">
        <w:t>operatively with another agency of the Commonwealth, a state or a territory to provide assistance; and</w:t>
      </w:r>
    </w:p>
    <w:p w14:paraId="046B3BDF" w14:textId="386D4FB0" w:rsidR="00D05897" w:rsidRDefault="00D05897" w:rsidP="00BD6A73">
      <w:pPr>
        <w:pStyle w:val="dotpoint"/>
      </w:pPr>
      <w:r>
        <w:t>making recommendations, where the request for assistance relates to a matter within the Ombudsman</w:t>
      </w:r>
      <w:r w:rsidR="009349BC">
        <w:t>’</w:t>
      </w:r>
      <w:r>
        <w:t>s remit, about how a dispute may be managed</w:t>
      </w:r>
      <w:r w:rsidR="009349BC">
        <w:t xml:space="preserve"> — </w:t>
      </w:r>
      <w:r>
        <w:t>including making recommendations that an alternative dispute resolution (ADR) process be used.</w:t>
      </w:r>
      <w:r w:rsidR="00F758DC">
        <w:t xml:space="preserve"> For this purpose the Ombudsman will maintain a published list of ADR providers </w:t>
      </w:r>
      <w:r w:rsidR="00B23035" w:rsidRPr="00B23035">
        <w:rPr>
          <w:rStyle w:val="Referencingstyle"/>
        </w:rPr>
        <w:t>[</w:t>
      </w:r>
      <w:r w:rsidR="00B23035">
        <w:rPr>
          <w:rStyle w:val="Referencingstyle"/>
        </w:rPr>
        <w:t xml:space="preserve">Part 4, </w:t>
      </w:r>
      <w:r w:rsidR="00F758DC" w:rsidRPr="00B23035">
        <w:rPr>
          <w:rStyle w:val="Referencingstyle"/>
        </w:rPr>
        <w:t>subsection 72(1) of the Bill</w:t>
      </w:r>
      <w:r w:rsidR="00B23035" w:rsidRPr="00B23035">
        <w:rPr>
          <w:rStyle w:val="Referencingstyle"/>
        </w:rPr>
        <w:t>]</w:t>
      </w:r>
      <w:r w:rsidR="00F758DC">
        <w:t xml:space="preserve">. </w:t>
      </w:r>
      <w:r w:rsidR="00F758DC" w:rsidRPr="00462B5E">
        <w:t xml:space="preserve">The parties in dispute must always choose </w:t>
      </w:r>
      <w:r w:rsidR="00F758DC">
        <w:t xml:space="preserve">their </w:t>
      </w:r>
      <w:r w:rsidR="00F758DC" w:rsidRPr="00462B5E">
        <w:t>specific ADR provider, or providers</w:t>
      </w:r>
      <w:r w:rsidR="00F758DC">
        <w:t>,</w:t>
      </w:r>
      <w:r w:rsidR="00F758DC" w:rsidRPr="00462B5E">
        <w:t xml:space="preserve"> </w:t>
      </w:r>
      <w:r w:rsidR="00B23035" w:rsidRPr="00B23035">
        <w:rPr>
          <w:rStyle w:val="Referencingstyle"/>
        </w:rPr>
        <w:t>[</w:t>
      </w:r>
      <w:r w:rsidR="00B23035">
        <w:rPr>
          <w:rStyle w:val="Referencingstyle"/>
        </w:rPr>
        <w:t xml:space="preserve">Part 4, </w:t>
      </w:r>
      <w:r w:rsidR="00F758DC" w:rsidRPr="00B23035">
        <w:rPr>
          <w:rStyle w:val="Referencingstyle"/>
        </w:rPr>
        <w:t>subsection 73(1)</w:t>
      </w:r>
      <w:r w:rsidR="00B23035" w:rsidRPr="00B23035">
        <w:rPr>
          <w:rStyle w:val="Referencingstyle"/>
        </w:rPr>
        <w:t xml:space="preserve"> of the Bill]</w:t>
      </w:r>
      <w:r w:rsidR="00F758DC">
        <w:t xml:space="preserve">, but where the parties in a dispute do not have their own preferred ADR provider, the Ombudsman may recommend that they chose </w:t>
      </w:r>
      <w:r w:rsidR="009349BC">
        <w:t>‘</w:t>
      </w:r>
      <w:r w:rsidR="00F758DC" w:rsidRPr="00462B5E">
        <w:t>one or more</w:t>
      </w:r>
      <w:r w:rsidR="009349BC">
        <w:t>’</w:t>
      </w:r>
      <w:r w:rsidR="00F758DC" w:rsidRPr="00462B5E">
        <w:t xml:space="preserve"> ADR providers from a </w:t>
      </w:r>
      <w:r w:rsidR="009349BC">
        <w:t>‘</w:t>
      </w:r>
      <w:r w:rsidR="00F758DC" w:rsidRPr="00462B5E">
        <w:t>group</w:t>
      </w:r>
      <w:r w:rsidR="009349BC">
        <w:t>’</w:t>
      </w:r>
      <w:r w:rsidR="00F758DC" w:rsidRPr="00462B5E">
        <w:t xml:space="preserve"> of suitable ADR providers listed in the Ombudsman</w:t>
      </w:r>
      <w:r w:rsidR="009349BC">
        <w:t>’</w:t>
      </w:r>
      <w:r w:rsidR="00F758DC" w:rsidRPr="00462B5E">
        <w:t>s r</w:t>
      </w:r>
      <w:r w:rsidR="00B23035">
        <w:t xml:space="preserve">ecommendation to undertake ADR </w:t>
      </w:r>
      <w:r w:rsidR="00B23035" w:rsidRPr="00B23035">
        <w:rPr>
          <w:rStyle w:val="Referencingstyle"/>
        </w:rPr>
        <w:t>[</w:t>
      </w:r>
      <w:r w:rsidR="00B23035">
        <w:rPr>
          <w:rStyle w:val="Referencingstyle"/>
        </w:rPr>
        <w:t xml:space="preserve">Part 4, </w:t>
      </w:r>
      <w:r w:rsidR="00F758DC" w:rsidRPr="00B23035">
        <w:rPr>
          <w:rStyle w:val="Referencingstyle"/>
        </w:rPr>
        <w:t>paragraph 71(2)(b) of the Bill</w:t>
      </w:r>
      <w:r w:rsidR="00B23035" w:rsidRPr="00B23035">
        <w:rPr>
          <w:rStyle w:val="Referencingstyle"/>
        </w:rPr>
        <w:t>]</w:t>
      </w:r>
      <w:r w:rsidR="00F758DC">
        <w:t>.</w:t>
      </w:r>
    </w:p>
    <w:p w14:paraId="20E482DA" w14:textId="56B6C5A6" w:rsidR="00D05897" w:rsidRPr="009C2D18" w:rsidRDefault="00D05897" w:rsidP="00200FC3">
      <w:pPr>
        <w:pStyle w:val="base-text-paragraph"/>
      </w:pPr>
      <w:r w:rsidRPr="009C2D18">
        <w:t xml:space="preserve">There is a need for </w:t>
      </w:r>
      <w:r>
        <w:t>ADR</w:t>
      </w:r>
      <w:r w:rsidRPr="009C2D18">
        <w:t xml:space="preserve"> services that are </w:t>
      </w:r>
      <w:r>
        <w:t>quick,</w:t>
      </w:r>
      <w:r w:rsidRPr="009C2D18">
        <w:t xml:space="preserve"> and low</w:t>
      </w:r>
      <w:r w:rsidR="009349BC">
        <w:noBreakHyphen/>
      </w:r>
      <w:r w:rsidRPr="009C2D18">
        <w:t>cost</w:t>
      </w:r>
      <w:r w:rsidR="00FA5D91">
        <w:t xml:space="preserve"> </w:t>
      </w:r>
      <w:r w:rsidR="00FA5D91" w:rsidRPr="00FA5D91">
        <w:t>to be access</w:t>
      </w:r>
      <w:r w:rsidR="00FA5D91">
        <w:t xml:space="preserve">ible by </w:t>
      </w:r>
      <w:r w:rsidR="00FA5D91" w:rsidRPr="00FA5D91">
        <w:t>small businesses and family enterprises</w:t>
      </w:r>
      <w:r>
        <w:t xml:space="preserve">. </w:t>
      </w:r>
      <w:r w:rsidRPr="009C2D18">
        <w:t>Unresolved disputes can significant</w:t>
      </w:r>
      <w:r w:rsidR="00FA5D91">
        <w:t>ly</w:t>
      </w:r>
      <w:r w:rsidRPr="009C2D18">
        <w:t xml:space="preserve"> impact the ongoing viability of small business</w:t>
      </w:r>
      <w:r>
        <w:t>es and family enterprises</w:t>
      </w:r>
      <w:r w:rsidRPr="009C2D18">
        <w:t>, impairing their capacity to contribute to a productive and competitive economy.</w:t>
      </w:r>
      <w:r w:rsidR="000309AD">
        <w:t xml:space="preserve"> </w:t>
      </w:r>
      <w:r w:rsidRPr="009C2D18">
        <w:t xml:space="preserve">The availability of </w:t>
      </w:r>
      <w:r>
        <w:t>ADR</w:t>
      </w:r>
      <w:r w:rsidRPr="009C2D18">
        <w:t xml:space="preserve"> services </w:t>
      </w:r>
      <w:r>
        <w:t>can help</w:t>
      </w:r>
      <w:r w:rsidRPr="009C2D18">
        <w:t xml:space="preserve"> preserve business relationships, and avoid unnecessary and expensive litigation.</w:t>
      </w:r>
      <w:r>
        <w:t xml:space="preserve"> </w:t>
      </w:r>
    </w:p>
    <w:p w14:paraId="797C9871" w14:textId="19916F07" w:rsidR="007A1E7D" w:rsidRPr="009C2D18" w:rsidRDefault="007A1E7D" w:rsidP="00200FC3">
      <w:pPr>
        <w:pStyle w:val="base-text-paragraph"/>
      </w:pPr>
      <w:r w:rsidRPr="009C2D18">
        <w:t>The O</w:t>
      </w:r>
      <w:r>
        <w:t>mbudsman will have</w:t>
      </w:r>
      <w:r w:rsidRPr="009C2D18">
        <w:t xml:space="preserve"> information</w:t>
      </w:r>
      <w:r w:rsidR="009349BC">
        <w:noBreakHyphen/>
      </w:r>
      <w:r w:rsidRPr="009C2D18">
        <w:t>gathering powers</w:t>
      </w:r>
      <w:r>
        <w:t xml:space="preserve"> that will</w:t>
      </w:r>
      <w:r w:rsidRPr="009C2D18">
        <w:t xml:space="preserve"> </w:t>
      </w:r>
      <w:r>
        <w:t>support</w:t>
      </w:r>
      <w:r w:rsidRPr="009C2D18">
        <w:t xml:space="preserve"> </w:t>
      </w:r>
      <w:r>
        <w:t>the Ombudsman</w:t>
      </w:r>
      <w:r w:rsidR="009349BC">
        <w:t>’</w:t>
      </w:r>
      <w:r>
        <w:t>s assistance function,</w:t>
      </w:r>
      <w:r w:rsidRPr="009C2D18">
        <w:t xml:space="preserve"> enabling the O</w:t>
      </w:r>
      <w:r>
        <w:t>mbudsman</w:t>
      </w:r>
      <w:r w:rsidRPr="009C2D18">
        <w:t xml:space="preserve"> to make inquiries and obtain information in relation to requests for assistance.</w:t>
      </w:r>
    </w:p>
    <w:p w14:paraId="3BF1308B" w14:textId="77777777" w:rsidR="009C2D18" w:rsidRPr="009C2D18" w:rsidRDefault="009C2D18" w:rsidP="00C71EE9">
      <w:pPr>
        <w:pStyle w:val="Heading3"/>
      </w:pPr>
      <w:r w:rsidRPr="009C2D18">
        <w:t>Outline of existing arr</w:t>
      </w:r>
      <w:r w:rsidR="001851CE">
        <w:t>angements in the Commonwealth, states and t</w:t>
      </w:r>
      <w:r w:rsidRPr="009C2D18">
        <w:t>erritories</w:t>
      </w:r>
    </w:p>
    <w:p w14:paraId="2EE02A53" w14:textId="406F8D4B" w:rsidR="009C2D18" w:rsidRPr="009C2D18" w:rsidRDefault="004709F7" w:rsidP="00200FC3">
      <w:pPr>
        <w:pStyle w:val="base-text-paragraph"/>
      </w:pPr>
      <w:r>
        <w:t xml:space="preserve">The Australian Small Business Commissioner </w:t>
      </w:r>
      <w:r w:rsidR="00220707">
        <w:t xml:space="preserve">(Commissioner) </w:t>
      </w:r>
      <w:r>
        <w:t>commenced operations on 2 January 2013. The</w:t>
      </w:r>
      <w:r w:rsidR="009C2D18" w:rsidRPr="009C2D18">
        <w:t xml:space="preserve"> Commissioner</w:t>
      </w:r>
      <w:r w:rsidR="009349BC">
        <w:t>’</w:t>
      </w:r>
      <w:r w:rsidR="009C2D18" w:rsidRPr="009C2D18">
        <w:t>s role</w:t>
      </w:r>
      <w:r w:rsidR="00220707">
        <w:t xml:space="preserve">, is not underpinned by any legislation, </w:t>
      </w:r>
      <w:r w:rsidR="00FA5D91">
        <w:t xml:space="preserve">and </w:t>
      </w:r>
      <w:r w:rsidR="009C2D18" w:rsidRPr="009C2D18">
        <w:t>is limited to providing advocacy and representation for small business interests and concerns to the Australian Government</w:t>
      </w:r>
      <w:r w:rsidR="003B53C7">
        <w:t xml:space="preserve">. </w:t>
      </w:r>
      <w:r w:rsidR="009C2D18" w:rsidRPr="009C2D18">
        <w:t xml:space="preserve">The Commissioner has no specific role in relation to family </w:t>
      </w:r>
      <w:r w:rsidR="009C2D18" w:rsidRPr="00200FC3">
        <w:t>enterprises</w:t>
      </w:r>
      <w:r w:rsidR="003B53C7">
        <w:t xml:space="preserve">. </w:t>
      </w:r>
    </w:p>
    <w:p w14:paraId="68C48638" w14:textId="77777777" w:rsidR="009C2D18" w:rsidRPr="009C2D18" w:rsidRDefault="009C2D18" w:rsidP="00D470CA">
      <w:pPr>
        <w:numPr>
          <w:ilvl w:val="1"/>
          <w:numId w:val="14"/>
        </w:numPr>
      </w:pPr>
      <w:r w:rsidRPr="009C2D18">
        <w:t xml:space="preserve">At the Commonwealth level, there are existing Commonwealth Government agencies such as the Commonwealth Ombudsman and the Australian Competition and Consumer Commission </w:t>
      </w:r>
      <w:r w:rsidR="00777EFC">
        <w:t>(ACCC)</w:t>
      </w:r>
      <w:r w:rsidR="0022354A">
        <w:t>,</w:t>
      </w:r>
      <w:r w:rsidR="00777EFC">
        <w:t xml:space="preserve"> </w:t>
      </w:r>
      <w:r w:rsidRPr="009C2D18">
        <w:t>which provide assistance and information to small businesses</w:t>
      </w:r>
      <w:r w:rsidR="00220707">
        <w:t xml:space="preserve"> on certain matters</w:t>
      </w:r>
      <w:r w:rsidRPr="009C2D18">
        <w:t>.</w:t>
      </w:r>
    </w:p>
    <w:p w14:paraId="565E0AE7" w14:textId="77777777" w:rsidR="000854C2" w:rsidRDefault="000854C2" w:rsidP="00D470CA">
      <w:pPr>
        <w:numPr>
          <w:ilvl w:val="1"/>
          <w:numId w:val="14"/>
        </w:numPr>
      </w:pPr>
      <w:r w:rsidRPr="009C2D18">
        <w:t>The roles of the existing state small business commissioners in New South Wales, Victoria, Western Australia and South Australia also involve providing assistance and information to small businesses</w:t>
      </w:r>
      <w:r>
        <w:t xml:space="preserve">. </w:t>
      </w:r>
      <w:r w:rsidRPr="009C2D18">
        <w:t xml:space="preserve">There are currently no small business commissioners in Queensland, Tasmania, the Australian Capital Territory </w:t>
      </w:r>
      <w:r>
        <w:t>and</w:t>
      </w:r>
      <w:r w:rsidRPr="009C2D18">
        <w:t xml:space="preserve"> the Northern Territory</w:t>
      </w:r>
      <w:r>
        <w:t xml:space="preserve">. </w:t>
      </w:r>
      <w:r w:rsidRPr="0022354A">
        <w:t>In the states and territories that do not have a specific small business commissioner, a range of ADR services are</w:t>
      </w:r>
      <w:r>
        <w:t>, nevertheless,</w:t>
      </w:r>
      <w:r w:rsidRPr="0022354A">
        <w:t xml:space="preserve"> provided to small businesses. </w:t>
      </w:r>
    </w:p>
    <w:p w14:paraId="70D523B8" w14:textId="77777777" w:rsidR="000854C2" w:rsidRPr="00072449" w:rsidRDefault="000854C2" w:rsidP="00D470CA">
      <w:pPr>
        <w:numPr>
          <w:ilvl w:val="1"/>
          <w:numId w:val="14"/>
        </w:numPr>
      </w:pPr>
      <w:r w:rsidRPr="00072449">
        <w:t>In relation to family enterprises, there are no existing agencies at the Commonwealth, state or territory level that deal specifically with matters affecting family enterprises.</w:t>
      </w:r>
    </w:p>
    <w:p w14:paraId="3BC847F3" w14:textId="6FC2DB4D" w:rsidR="000854C2" w:rsidRPr="009C2D18" w:rsidRDefault="000854C2" w:rsidP="00D470CA">
      <w:pPr>
        <w:numPr>
          <w:ilvl w:val="1"/>
          <w:numId w:val="14"/>
        </w:numPr>
      </w:pPr>
      <w:r>
        <w:t xml:space="preserve">The </w:t>
      </w:r>
      <w:r w:rsidRPr="009C2D18">
        <w:t>O</w:t>
      </w:r>
      <w:r>
        <w:t>mbudsman, by working co</w:t>
      </w:r>
      <w:r w:rsidR="009349BC">
        <w:noBreakHyphen/>
      </w:r>
      <w:r>
        <w:t>operatively with</w:t>
      </w:r>
      <w:r w:rsidRPr="009C2D18">
        <w:t xml:space="preserve"> </w:t>
      </w:r>
      <w:r>
        <w:t>existing Commonwealth, state and t</w:t>
      </w:r>
      <w:r w:rsidRPr="009C2D18">
        <w:t>erritory agencies</w:t>
      </w:r>
      <w:r>
        <w:t xml:space="preserve">, will </w:t>
      </w:r>
      <w:r w:rsidRPr="009C2D18">
        <w:t>avoid duplicating the services o</w:t>
      </w:r>
      <w:r>
        <w:t xml:space="preserve">f </w:t>
      </w:r>
      <w:r w:rsidR="00FA5D91">
        <w:t>other</w:t>
      </w:r>
      <w:r>
        <w:t xml:space="preserve"> </w:t>
      </w:r>
      <w:r w:rsidRPr="009C2D18">
        <w:t>agencies</w:t>
      </w:r>
      <w:r>
        <w:t>,</w:t>
      </w:r>
      <w:r w:rsidRPr="009C2D18">
        <w:t xml:space="preserve"> and </w:t>
      </w:r>
      <w:r>
        <w:t xml:space="preserve">instead </w:t>
      </w:r>
      <w:r w:rsidRPr="009C2D18">
        <w:t xml:space="preserve">complement the services </w:t>
      </w:r>
      <w:r w:rsidR="00FA5D91">
        <w:t>they provide</w:t>
      </w:r>
      <w:r>
        <w:t>.</w:t>
      </w:r>
    </w:p>
    <w:p w14:paraId="0D7D03BB" w14:textId="77777777" w:rsidR="009C2D18" w:rsidRPr="009C2D18" w:rsidRDefault="009C2D18" w:rsidP="00C71EE9">
      <w:pPr>
        <w:pStyle w:val="Heading3"/>
      </w:pPr>
      <w:r w:rsidRPr="009C2D18">
        <w:t>Consultation</w:t>
      </w:r>
    </w:p>
    <w:p w14:paraId="1004D73B" w14:textId="6F64E421" w:rsidR="00A23DC8" w:rsidRPr="00A23DC8" w:rsidRDefault="00A23DC8" w:rsidP="00D470CA">
      <w:pPr>
        <w:numPr>
          <w:ilvl w:val="1"/>
          <w:numId w:val="14"/>
        </w:numPr>
      </w:pPr>
      <w:r w:rsidRPr="00A23DC8">
        <w:t>The Government undertook extensive consultations on the establishment of the Ombudsman. A discussion paper was released to specific Commonwealth, state and territory officials in January 2014. The feedback from these officials was considered and taken into account in preparing the public discussion paper on the Ombudsman which was released to the public in April 2014. This discussion paper, on the scope and functions of the Ombudsman, sought public comments to shape the Ombudsman</w:t>
      </w:r>
      <w:r w:rsidR="009349BC">
        <w:t>’</w:t>
      </w:r>
      <w:r w:rsidRPr="00A23DC8">
        <w:t>s role</w:t>
      </w:r>
      <w:r w:rsidR="00DD5B5C">
        <w:t xml:space="preserve">. </w:t>
      </w:r>
      <w:r w:rsidR="00F126C4">
        <w:t>A</w:t>
      </w:r>
      <w:r w:rsidRPr="00A23DC8">
        <w:t xml:space="preserve"> series of face</w:t>
      </w:r>
      <w:r w:rsidR="009349BC">
        <w:noBreakHyphen/>
      </w:r>
      <w:r w:rsidRPr="00A23DC8">
        <w:t>to</w:t>
      </w:r>
      <w:r w:rsidR="009349BC">
        <w:noBreakHyphen/>
      </w:r>
      <w:r w:rsidRPr="00A23DC8">
        <w:t>face consultations with stakeholders was held</w:t>
      </w:r>
      <w:r>
        <w:t xml:space="preserve"> regarding the discussion paper</w:t>
      </w:r>
      <w:r w:rsidR="00F126C4">
        <w:t xml:space="preserve">, and </w:t>
      </w:r>
      <w:r w:rsidRPr="00A23DC8">
        <w:t>53 submissions were received.</w:t>
      </w:r>
    </w:p>
    <w:p w14:paraId="24C1B20D" w14:textId="28975CFB" w:rsidR="00A23DC8" w:rsidRPr="00A23DC8" w:rsidRDefault="00A23DC8" w:rsidP="00A23DC8">
      <w:pPr>
        <w:numPr>
          <w:ilvl w:val="1"/>
          <w:numId w:val="14"/>
        </w:numPr>
      </w:pPr>
      <w:r w:rsidRPr="00A23DC8">
        <w:t>After considering the stakeholders</w:t>
      </w:r>
      <w:r w:rsidR="009349BC">
        <w:t>’</w:t>
      </w:r>
      <w:r w:rsidRPr="00A23DC8">
        <w:t xml:space="preserve"> comments, the Government announced, on 18 August 2014, a proposed draft model for the Ombudsman.</w:t>
      </w:r>
    </w:p>
    <w:p w14:paraId="35D8585E" w14:textId="3FF2B3B6" w:rsidR="00A23DC8" w:rsidRPr="00A23DC8" w:rsidRDefault="00A23DC8" w:rsidP="00A23DC8">
      <w:pPr>
        <w:numPr>
          <w:ilvl w:val="1"/>
          <w:numId w:val="14"/>
        </w:numPr>
      </w:pPr>
      <w:r w:rsidRPr="00A23DC8">
        <w:t>An exposure draft of the Ombudsman legislation, accompanied by related explanatory materials, was released on 11 March 2015. Consultation</w:t>
      </w:r>
      <w:r>
        <w:t>s</w:t>
      </w:r>
      <w:r w:rsidRPr="00A23DC8">
        <w:t xml:space="preserve"> on this exposure draft included face</w:t>
      </w:r>
      <w:r w:rsidR="009349BC">
        <w:noBreakHyphen/>
      </w:r>
      <w:r w:rsidRPr="00A23DC8">
        <w:t>to</w:t>
      </w:r>
      <w:r w:rsidR="009349BC">
        <w:noBreakHyphen/>
      </w:r>
      <w:r w:rsidRPr="00A23DC8">
        <w:t>face meetings and teleconferences</w:t>
      </w:r>
      <w:r>
        <w:t xml:space="preserve">. Consultations </w:t>
      </w:r>
      <w:r w:rsidRPr="00A23DC8">
        <w:t>continued over several weeks with more than 40 different stakeholders</w:t>
      </w:r>
      <w:r>
        <w:t>, and o</w:t>
      </w:r>
      <w:r w:rsidRPr="00A23DC8">
        <w:t xml:space="preserve">ver 40 submissions from stakeholders were received. </w:t>
      </w:r>
    </w:p>
    <w:p w14:paraId="47C2D81A" w14:textId="77777777" w:rsidR="00A23DC8" w:rsidRPr="00A23DC8" w:rsidRDefault="00A23DC8" w:rsidP="00A23DC8">
      <w:pPr>
        <w:numPr>
          <w:ilvl w:val="1"/>
          <w:numId w:val="14"/>
        </w:numPr>
      </w:pPr>
      <w:r w:rsidRPr="00A23DC8">
        <w:t xml:space="preserve">A wide range of stakeholders participated in the various stages of the consultation process. These included the Commonwealth Ombudsman, the four state small business commissioners, various </w:t>
      </w:r>
      <w:r w:rsidR="00DD5B5C">
        <w:t xml:space="preserve">other </w:t>
      </w:r>
      <w:r w:rsidRPr="00A23DC8">
        <w:t>ombudsmen, regulators such as the ACCC, community justice centres, dispute resolution centres, industry associations, private entities and individuals.</w:t>
      </w:r>
    </w:p>
    <w:p w14:paraId="18E94200" w14:textId="2AFBEFD0" w:rsidR="00A23DC8" w:rsidRPr="00A23DC8" w:rsidRDefault="00A23DC8" w:rsidP="00A23DC8">
      <w:pPr>
        <w:numPr>
          <w:ilvl w:val="1"/>
          <w:numId w:val="14"/>
        </w:numPr>
      </w:pPr>
      <w:r w:rsidRPr="00A23DC8">
        <w:t>The Government has taken stakeholders</w:t>
      </w:r>
      <w:r w:rsidR="009349BC">
        <w:t>’</w:t>
      </w:r>
      <w:r w:rsidRPr="00A23DC8">
        <w:t xml:space="preserve"> views and comments into consideration in developing the draft legislation. Stakeholders</w:t>
      </w:r>
      <w:r w:rsidR="009349BC">
        <w:t>’</w:t>
      </w:r>
      <w:r w:rsidRPr="00A23DC8">
        <w:t xml:space="preserve"> comments, including the issues raised through the consultation processes, have been taken into consideration in the final preparation of the Bill.</w:t>
      </w:r>
    </w:p>
    <w:p w14:paraId="4795CAB3" w14:textId="77777777" w:rsidR="000E1EF1" w:rsidRDefault="000E1EF1" w:rsidP="000E1EF1">
      <w:pPr>
        <w:pStyle w:val="base-text-paragraphnonumbers"/>
        <w:sectPr w:rsidR="000E1EF1" w:rsidSect="009C2D18">
          <w:headerReference w:type="even" r:id="rId29"/>
          <w:headerReference w:type="default" r:id="rId30"/>
          <w:footerReference w:type="even" r:id="rId31"/>
          <w:footerReference w:type="default" r:id="rId32"/>
          <w:footerReference w:type="first" r:id="rId33"/>
          <w:type w:val="oddPage"/>
          <w:pgSz w:w="11906" w:h="16838" w:code="9"/>
          <w:pgMar w:top="2466" w:right="2098" w:bottom="2466" w:left="2098" w:header="1559" w:footer="1899" w:gutter="0"/>
          <w:cols w:space="708"/>
          <w:titlePg/>
          <w:docGrid w:linePitch="360"/>
        </w:sectPr>
      </w:pPr>
    </w:p>
    <w:p w14:paraId="588E008E" w14:textId="77777777" w:rsidR="009C2D18" w:rsidRPr="00F51A71" w:rsidRDefault="006B3A5F" w:rsidP="0036043A">
      <w:pPr>
        <w:pStyle w:val="ChapterHeading"/>
        <w:numPr>
          <w:ilvl w:val="0"/>
          <w:numId w:val="21"/>
        </w:numPr>
      </w:pPr>
      <w:bookmarkStart w:id="13" w:name="_Toc417980508"/>
      <w:bookmarkStart w:id="14" w:name="_Toc417985042"/>
      <w:r w:rsidRPr="00F51A71">
        <w:br/>
      </w:r>
      <w:bookmarkStart w:id="15" w:name="_Toc419101545"/>
      <w:bookmarkStart w:id="16" w:name="_Toc419136751"/>
      <w:bookmarkStart w:id="17" w:name="_Toc420587198"/>
      <w:r w:rsidRPr="006B3A5F">
        <w:t>Constitutional basis for the Bill</w:t>
      </w:r>
      <w:bookmarkEnd w:id="13"/>
      <w:bookmarkEnd w:id="14"/>
      <w:bookmarkEnd w:id="15"/>
      <w:bookmarkEnd w:id="16"/>
      <w:bookmarkEnd w:id="17"/>
    </w:p>
    <w:p w14:paraId="5AB82505" w14:textId="77777777" w:rsidR="009C2D18" w:rsidRDefault="009C2D18">
      <w:pPr>
        <w:pStyle w:val="Heading2"/>
      </w:pPr>
      <w:r>
        <w:t xml:space="preserve">Outline of </w:t>
      </w:r>
      <w:r w:rsidR="00041285">
        <w:t>Constitutional basis</w:t>
      </w:r>
    </w:p>
    <w:p w14:paraId="65711E0F" w14:textId="77777777" w:rsidR="00C31850" w:rsidRPr="00AC0C2F" w:rsidRDefault="00041285" w:rsidP="00BA1607">
      <w:pPr>
        <w:pStyle w:val="base-text-paragraph"/>
        <w:spacing w:before="80" w:after="80"/>
      </w:pPr>
      <w:r w:rsidRPr="00AC0C2F">
        <w:t>Under t</w:t>
      </w:r>
      <w:r w:rsidR="009C2D18" w:rsidRPr="00AC0C2F">
        <w:t xml:space="preserve">he Constitution, the Commonwealth does not have any specific </w:t>
      </w:r>
      <w:r w:rsidR="00C31850" w:rsidRPr="00AC0C2F">
        <w:t xml:space="preserve">small business and family enterprise </w:t>
      </w:r>
      <w:r w:rsidR="009C2D18" w:rsidRPr="00AC0C2F">
        <w:t>power</w:t>
      </w:r>
      <w:r w:rsidR="00C31850" w:rsidRPr="00AC0C2F">
        <w:t>s</w:t>
      </w:r>
      <w:r w:rsidR="003B53C7" w:rsidRPr="00AC0C2F">
        <w:t xml:space="preserve">. </w:t>
      </w:r>
      <w:r w:rsidR="009C2D18" w:rsidRPr="00AC0C2F">
        <w:t>As a result, different Commonwealth powers support different aspects of the Bill</w:t>
      </w:r>
      <w:r w:rsidR="003B53C7" w:rsidRPr="00AC0C2F">
        <w:t xml:space="preserve">. </w:t>
      </w:r>
    </w:p>
    <w:p w14:paraId="3F9B1F35" w14:textId="754B2E80" w:rsidR="009C2D18" w:rsidRPr="00AC0C2F" w:rsidRDefault="008C0409" w:rsidP="00BA1607">
      <w:pPr>
        <w:pStyle w:val="base-text-paragraph"/>
        <w:spacing w:before="80" w:after="80"/>
      </w:pPr>
      <w:r>
        <w:t xml:space="preserve">The </w:t>
      </w:r>
      <w:r w:rsidR="009C2D18" w:rsidRPr="00AC0C2F">
        <w:t xml:space="preserve">legislation </w:t>
      </w:r>
      <w:r>
        <w:t xml:space="preserve">needs </w:t>
      </w:r>
      <w:r w:rsidR="009C2D18" w:rsidRPr="00AC0C2F">
        <w:t>to be linked to specific head</w:t>
      </w:r>
      <w:r w:rsidR="00F126C4">
        <w:t>s</w:t>
      </w:r>
      <w:r w:rsidR="009C2D18" w:rsidRPr="00AC0C2F">
        <w:t xml:space="preserve"> of powers under the Constitution.</w:t>
      </w:r>
      <w:r w:rsidR="00C31850" w:rsidRPr="00AC0C2F">
        <w:t xml:space="preserve"> Consequently t</w:t>
      </w:r>
      <w:r w:rsidR="00041285" w:rsidRPr="00AC0C2F">
        <w:t xml:space="preserve">he </w:t>
      </w:r>
      <w:r w:rsidR="009A4024">
        <w:t>c</w:t>
      </w:r>
      <w:r w:rsidR="009C2D18" w:rsidRPr="00AC0C2F">
        <w:t xml:space="preserve">onstitutional connection relating to the </w:t>
      </w:r>
      <w:r w:rsidR="00C55C62" w:rsidRPr="00AC0C2F">
        <w:t>Ombudsman</w:t>
      </w:r>
      <w:r w:rsidR="009349BC">
        <w:t>’</w:t>
      </w:r>
      <w:r w:rsidR="00C55C62" w:rsidRPr="00AC0C2F">
        <w:t xml:space="preserve">s </w:t>
      </w:r>
      <w:r w:rsidR="009C2D18" w:rsidRPr="00AC0C2F">
        <w:t xml:space="preserve">advocacy function is set out in </w:t>
      </w:r>
      <w:r w:rsidR="00C55C62" w:rsidRPr="00CC5EDA">
        <w:t xml:space="preserve">section </w:t>
      </w:r>
      <w:r w:rsidR="009C2D18" w:rsidRPr="00CC5EDA">
        <w:t>35</w:t>
      </w:r>
      <w:r w:rsidR="009C2D18" w:rsidRPr="00AC0C2F">
        <w:t xml:space="preserve">, </w:t>
      </w:r>
      <w:r w:rsidR="00C31850" w:rsidRPr="00AC0C2F">
        <w:t xml:space="preserve">and </w:t>
      </w:r>
      <w:r w:rsidR="009C2D18" w:rsidRPr="00AC0C2F">
        <w:t xml:space="preserve">in </w:t>
      </w:r>
      <w:r w:rsidR="00C55C62" w:rsidRPr="00CC5EDA">
        <w:t>section</w:t>
      </w:r>
      <w:r w:rsidR="009C2D18" w:rsidRPr="00CC5EDA">
        <w:t xml:space="preserve"> 65</w:t>
      </w:r>
      <w:r w:rsidR="009C2D18" w:rsidRPr="00AC0C2F">
        <w:t xml:space="preserve"> for the assistance function</w:t>
      </w:r>
      <w:r w:rsidR="005815C3">
        <w:t xml:space="preserve"> </w:t>
      </w:r>
      <w:r w:rsidR="005815C3" w:rsidRPr="00ED057C">
        <w:rPr>
          <w:rStyle w:val="Referencingstyle"/>
        </w:rPr>
        <w:t>[</w:t>
      </w:r>
      <w:r w:rsidR="00B73768" w:rsidRPr="00A216FB">
        <w:rPr>
          <w:rStyle w:val="Referencingstyle"/>
        </w:rPr>
        <w:t>Part 3</w:t>
      </w:r>
      <w:r w:rsidR="008B2C87">
        <w:rPr>
          <w:rStyle w:val="Referencingstyle"/>
        </w:rPr>
        <w:t>,</w:t>
      </w:r>
      <w:r w:rsidR="00B73768" w:rsidRPr="00A216FB">
        <w:rPr>
          <w:rStyle w:val="Referencingstyle"/>
        </w:rPr>
        <w:t xml:space="preserve"> Division 1</w:t>
      </w:r>
      <w:r w:rsidR="007C63DC">
        <w:rPr>
          <w:rStyle w:val="Referencingstyle"/>
        </w:rPr>
        <w:t>,</w:t>
      </w:r>
      <w:r w:rsidR="00B73768" w:rsidRPr="00A216FB">
        <w:rPr>
          <w:rStyle w:val="Referencingstyle"/>
        </w:rPr>
        <w:t xml:space="preserve"> </w:t>
      </w:r>
      <w:r w:rsidR="00772455" w:rsidRPr="00A216FB">
        <w:rPr>
          <w:rStyle w:val="Referencingstyle"/>
        </w:rPr>
        <w:t xml:space="preserve">section 35 and </w:t>
      </w:r>
      <w:r w:rsidR="00B73768" w:rsidRPr="00A216FB">
        <w:rPr>
          <w:rStyle w:val="Referencingstyle"/>
        </w:rPr>
        <w:t>Par</w:t>
      </w:r>
      <w:r w:rsidR="00CA05A5" w:rsidRPr="00A216FB">
        <w:rPr>
          <w:rStyle w:val="Referencingstyle"/>
        </w:rPr>
        <w:t>t</w:t>
      </w:r>
      <w:r w:rsidR="00B73768" w:rsidRPr="00A216FB">
        <w:rPr>
          <w:rStyle w:val="Referencingstyle"/>
        </w:rPr>
        <w:t xml:space="preserve"> </w:t>
      </w:r>
      <w:r w:rsidR="00CA05A5" w:rsidRPr="00A216FB">
        <w:rPr>
          <w:rStyle w:val="Referencingstyle"/>
        </w:rPr>
        <w:t>4</w:t>
      </w:r>
      <w:r w:rsidR="007C63DC">
        <w:rPr>
          <w:rStyle w:val="Referencingstyle"/>
        </w:rPr>
        <w:t>,</w:t>
      </w:r>
      <w:r w:rsidR="00B73768" w:rsidRPr="00A216FB">
        <w:rPr>
          <w:rStyle w:val="Referencingstyle"/>
        </w:rPr>
        <w:t xml:space="preserve"> Division </w:t>
      </w:r>
      <w:r w:rsidR="00CA05A5" w:rsidRPr="00A216FB">
        <w:rPr>
          <w:rStyle w:val="Referencingstyle"/>
        </w:rPr>
        <w:t>1</w:t>
      </w:r>
      <w:r w:rsidR="007C63DC">
        <w:rPr>
          <w:rStyle w:val="Referencingstyle"/>
        </w:rPr>
        <w:t>,</w:t>
      </w:r>
      <w:r w:rsidR="00B73768" w:rsidRPr="00A216FB">
        <w:rPr>
          <w:rStyle w:val="Referencingstyle"/>
        </w:rPr>
        <w:t xml:space="preserve"> section </w:t>
      </w:r>
      <w:r w:rsidR="00772455" w:rsidRPr="00A216FB">
        <w:rPr>
          <w:rStyle w:val="Referencingstyle"/>
        </w:rPr>
        <w:t>65</w:t>
      </w:r>
      <w:r w:rsidR="005815C3" w:rsidRPr="00A216FB">
        <w:rPr>
          <w:rStyle w:val="Referencingstyle"/>
        </w:rPr>
        <w:t>]</w:t>
      </w:r>
      <w:r w:rsidR="00324193">
        <w:t xml:space="preserve">. </w:t>
      </w:r>
      <w:r w:rsidR="00772455" w:rsidRPr="00AC0C2F">
        <w:t xml:space="preserve">These sections of the </w:t>
      </w:r>
      <w:r w:rsidR="007C63DC" w:rsidRPr="009C2D18">
        <w:t xml:space="preserve">Australian Small Business and Family Enterprise Ombudsman Bill 2015 </w:t>
      </w:r>
      <w:r w:rsidR="007C63DC">
        <w:t>(</w:t>
      </w:r>
      <w:r w:rsidR="00772455" w:rsidRPr="00AC0C2F">
        <w:t>Bill</w:t>
      </w:r>
      <w:r w:rsidR="007C63DC">
        <w:t>)</w:t>
      </w:r>
      <w:r w:rsidR="00472880">
        <w:t>, plus the Constitution</w:t>
      </w:r>
      <w:r w:rsidR="009349BC">
        <w:t>’</w:t>
      </w:r>
      <w:r w:rsidR="00472880">
        <w:t>s nationhood power,</w:t>
      </w:r>
      <w:r w:rsidR="00772455" w:rsidRPr="00AC0C2F">
        <w:t xml:space="preserve"> provide the necessary connection between the Ombudsman</w:t>
      </w:r>
      <w:r w:rsidR="009349BC">
        <w:t>’</w:t>
      </w:r>
      <w:r w:rsidR="00772455" w:rsidRPr="00AC0C2F">
        <w:t>s functions and the Constitution.</w:t>
      </w:r>
    </w:p>
    <w:p w14:paraId="3D091476" w14:textId="005F7B79" w:rsidR="009C2D18" w:rsidRDefault="009C2D18" w:rsidP="00BA1607">
      <w:pPr>
        <w:pStyle w:val="base-text-paragraph"/>
        <w:spacing w:before="80" w:after="80"/>
      </w:pPr>
      <w:r w:rsidRPr="00AC0C2F">
        <w:t>The O</w:t>
      </w:r>
      <w:r w:rsidR="00C55C62" w:rsidRPr="00AC0C2F">
        <w:t>mbudsman</w:t>
      </w:r>
      <w:r w:rsidR="009349BC">
        <w:t>’</w:t>
      </w:r>
      <w:r w:rsidRPr="00AC0C2F">
        <w:t xml:space="preserve">s advocacy function </w:t>
      </w:r>
      <w:r w:rsidR="00772455" w:rsidRPr="00AC0C2F">
        <w:t>relates to</w:t>
      </w:r>
      <w:r w:rsidRPr="00AC0C2F">
        <w:t xml:space="preserve"> </w:t>
      </w:r>
      <w:r w:rsidR="009349BC">
        <w:t>‘</w:t>
      </w:r>
      <w:r w:rsidRPr="00AC0C2F">
        <w:t>relevant legislation, policies and practices</w:t>
      </w:r>
      <w:r w:rsidR="009349BC">
        <w:t>’</w:t>
      </w:r>
      <w:r w:rsidR="005815C3">
        <w:t xml:space="preserve"> </w:t>
      </w:r>
      <w:r w:rsidR="005815C3" w:rsidRPr="00ED057C">
        <w:rPr>
          <w:rStyle w:val="Referencingstyle"/>
        </w:rPr>
        <w:t>[</w:t>
      </w:r>
      <w:r w:rsidR="00B73768" w:rsidRPr="00A216FB">
        <w:rPr>
          <w:rStyle w:val="Referencingstyle"/>
        </w:rPr>
        <w:t>Part 3</w:t>
      </w:r>
      <w:r w:rsidR="008B2C87">
        <w:rPr>
          <w:rStyle w:val="Referencingstyle"/>
        </w:rPr>
        <w:t>,</w:t>
      </w:r>
      <w:r w:rsidR="00B73768" w:rsidRPr="00A216FB">
        <w:rPr>
          <w:rStyle w:val="Referencingstyle"/>
        </w:rPr>
        <w:t xml:space="preserve"> Division 1</w:t>
      </w:r>
      <w:r w:rsidR="008B2C87">
        <w:rPr>
          <w:rStyle w:val="Referencingstyle"/>
        </w:rPr>
        <w:t>,</w:t>
      </w:r>
      <w:r w:rsidR="00B73768" w:rsidRPr="00A216FB">
        <w:rPr>
          <w:rStyle w:val="Referencingstyle"/>
        </w:rPr>
        <w:t xml:space="preserve"> </w:t>
      </w:r>
      <w:r w:rsidR="00C55C62" w:rsidRPr="00A216FB">
        <w:rPr>
          <w:rStyle w:val="Referencingstyle"/>
        </w:rPr>
        <w:t xml:space="preserve">section </w:t>
      </w:r>
      <w:r w:rsidRPr="00A216FB">
        <w:rPr>
          <w:rStyle w:val="Referencingstyle"/>
        </w:rPr>
        <w:t>35</w:t>
      </w:r>
      <w:r w:rsidR="005815C3" w:rsidRPr="00A216FB">
        <w:rPr>
          <w:rStyle w:val="Referencingstyle"/>
        </w:rPr>
        <w:t>]</w:t>
      </w:r>
      <w:r w:rsidR="00324193">
        <w:t xml:space="preserve">. </w:t>
      </w:r>
      <w:r w:rsidRPr="00AC0C2F">
        <w:t>The O</w:t>
      </w:r>
      <w:r w:rsidR="00C55C62" w:rsidRPr="00AC0C2F">
        <w:t>mbudsman</w:t>
      </w:r>
      <w:r w:rsidRPr="00AC0C2F">
        <w:t xml:space="preserve"> will also provide assistance to small businesses </w:t>
      </w:r>
      <w:r w:rsidR="00772455" w:rsidRPr="00AC0C2F">
        <w:t xml:space="preserve">and family enterprises </w:t>
      </w:r>
      <w:r w:rsidRPr="00AC0C2F">
        <w:t xml:space="preserve">in relation to a </w:t>
      </w:r>
      <w:r w:rsidR="009349BC">
        <w:t>‘</w:t>
      </w:r>
      <w:r w:rsidRPr="00AC0C2F">
        <w:t>relevant action</w:t>
      </w:r>
      <w:r w:rsidR="009349BC">
        <w:t>’</w:t>
      </w:r>
      <w:r w:rsidR="00772455" w:rsidRPr="00AC0C2F">
        <w:t>.</w:t>
      </w:r>
      <w:r w:rsidR="005815C3">
        <w:t xml:space="preserve"> </w:t>
      </w:r>
      <w:r w:rsidR="005815C3" w:rsidRPr="00ED057C">
        <w:rPr>
          <w:rStyle w:val="Referencingstyle"/>
        </w:rPr>
        <w:t>[</w:t>
      </w:r>
      <w:r w:rsidR="00CA05A5" w:rsidRPr="00A216FB">
        <w:rPr>
          <w:rStyle w:val="Referencingstyle"/>
        </w:rPr>
        <w:t>Part 4</w:t>
      </w:r>
      <w:r w:rsidR="008B2C87">
        <w:rPr>
          <w:rStyle w:val="Referencingstyle"/>
        </w:rPr>
        <w:t>,</w:t>
      </w:r>
      <w:r w:rsidR="00CA05A5" w:rsidRPr="00A216FB">
        <w:rPr>
          <w:rStyle w:val="Referencingstyle"/>
        </w:rPr>
        <w:t xml:space="preserve"> Division 1</w:t>
      </w:r>
      <w:r w:rsidR="008B2C87">
        <w:rPr>
          <w:rStyle w:val="Referencingstyle"/>
        </w:rPr>
        <w:t>,</w:t>
      </w:r>
      <w:r w:rsidR="00CA05A5" w:rsidRPr="00A216FB">
        <w:rPr>
          <w:rStyle w:val="Referencingstyle"/>
        </w:rPr>
        <w:t xml:space="preserve"> </w:t>
      </w:r>
      <w:r w:rsidR="00C55C62" w:rsidRPr="00A216FB">
        <w:rPr>
          <w:rStyle w:val="Referencingstyle"/>
        </w:rPr>
        <w:t xml:space="preserve">section </w:t>
      </w:r>
      <w:r w:rsidRPr="00A216FB">
        <w:rPr>
          <w:rStyle w:val="Referencingstyle"/>
        </w:rPr>
        <w:t>65</w:t>
      </w:r>
      <w:r w:rsidR="00D71C5F" w:rsidRPr="00A216FB">
        <w:rPr>
          <w:rStyle w:val="Referencingstyle"/>
        </w:rPr>
        <w:t>]</w:t>
      </w:r>
      <w:r w:rsidR="003B53C7" w:rsidRPr="00AC0C2F">
        <w:t xml:space="preserve"> </w:t>
      </w:r>
    </w:p>
    <w:p w14:paraId="2062D566" w14:textId="7B574D52" w:rsidR="00734E96" w:rsidRPr="00F26DB0" w:rsidRDefault="00DF246F" w:rsidP="00BA1607">
      <w:pPr>
        <w:pStyle w:val="base-text-paragraph"/>
        <w:spacing w:before="80" w:after="80"/>
        <w:rPr>
          <w:rStyle w:val="Referencingstyle"/>
          <w:b w:val="0"/>
          <w:i w:val="0"/>
          <w:sz w:val="22"/>
        </w:rPr>
      </w:pPr>
      <w:r w:rsidRPr="00DF246F">
        <w:t>The Bill also address</w:t>
      </w:r>
      <w:r w:rsidR="00FA5598">
        <w:t>es</w:t>
      </w:r>
      <w:r w:rsidRPr="00DF246F">
        <w:t xml:space="preserve"> the relationship between Commonwealth </w:t>
      </w:r>
      <w:r w:rsidR="00A023E6">
        <w:t xml:space="preserve">laws </w:t>
      </w:r>
      <w:r w:rsidRPr="00DF246F">
        <w:t xml:space="preserve">and </w:t>
      </w:r>
      <w:r w:rsidR="000362FD">
        <w:t>state and territory</w:t>
      </w:r>
      <w:r w:rsidRPr="00DF246F">
        <w:t xml:space="preserve"> laws. </w:t>
      </w:r>
      <w:r w:rsidR="004D7293">
        <w:t>T</w:t>
      </w:r>
      <w:r w:rsidRPr="00DF246F">
        <w:t xml:space="preserve">he Bill specifies </w:t>
      </w:r>
      <w:r w:rsidR="00FA5598">
        <w:t xml:space="preserve">that to the extent that </w:t>
      </w:r>
      <w:r w:rsidR="000362FD">
        <w:t xml:space="preserve">state </w:t>
      </w:r>
      <w:r w:rsidR="00463019">
        <w:t xml:space="preserve">or </w:t>
      </w:r>
      <w:r w:rsidR="000362FD">
        <w:t>territory</w:t>
      </w:r>
      <w:r w:rsidR="00FA5598">
        <w:t xml:space="preserve"> law</w:t>
      </w:r>
      <w:r w:rsidR="00463019">
        <w:t>s</w:t>
      </w:r>
      <w:r w:rsidR="00FA5598">
        <w:t xml:space="preserve"> </w:t>
      </w:r>
      <w:r w:rsidR="00463019">
        <w:t xml:space="preserve">are </w:t>
      </w:r>
      <w:r w:rsidR="00FA5598">
        <w:t>capable of operating concurrently with this Bill, it is not intended to exclude or limit the operation of these laws</w:t>
      </w:r>
      <w:r w:rsidR="005815C3">
        <w:t xml:space="preserve"> </w:t>
      </w:r>
      <w:r w:rsidR="005815C3" w:rsidRPr="00ED057C">
        <w:rPr>
          <w:rStyle w:val="Referencingstyle"/>
        </w:rPr>
        <w:t>[</w:t>
      </w:r>
      <w:r w:rsidR="00FA5598" w:rsidRPr="00ED057C">
        <w:rPr>
          <w:rStyle w:val="Referencingstyle"/>
        </w:rPr>
        <w:t>Part 5</w:t>
      </w:r>
      <w:r w:rsidR="007C63DC">
        <w:rPr>
          <w:rStyle w:val="Referencingstyle"/>
        </w:rPr>
        <w:t>,</w:t>
      </w:r>
      <w:r w:rsidR="00FA5598" w:rsidRPr="00ED057C">
        <w:rPr>
          <w:rStyle w:val="Referencingstyle"/>
        </w:rPr>
        <w:t xml:space="preserve"> Division</w:t>
      </w:r>
      <w:r w:rsidR="00C00A0E">
        <w:t> </w:t>
      </w:r>
      <w:r w:rsidR="00FA5598" w:rsidRPr="00ED057C">
        <w:rPr>
          <w:rStyle w:val="Referencingstyle"/>
        </w:rPr>
        <w:t>1</w:t>
      </w:r>
      <w:r w:rsidR="007C63DC">
        <w:rPr>
          <w:rStyle w:val="Referencingstyle"/>
        </w:rPr>
        <w:t>,</w:t>
      </w:r>
      <w:r w:rsidR="00FA5598" w:rsidRPr="00ED057C">
        <w:rPr>
          <w:rStyle w:val="Referencingstyle"/>
        </w:rPr>
        <w:t xml:space="preserve"> section 79]</w:t>
      </w:r>
      <w:r w:rsidR="00643754">
        <w:t xml:space="preserve">. </w:t>
      </w:r>
      <w:r w:rsidR="00966113">
        <w:t>The Bill also provides that, in relation to</w:t>
      </w:r>
      <w:r w:rsidR="00380C75">
        <w:t xml:space="preserve"> aspects of</w:t>
      </w:r>
      <w:r w:rsidR="00966113">
        <w:t xml:space="preserve"> the </w:t>
      </w:r>
      <w:r w:rsidR="00380C75">
        <w:t>Ombudsman</w:t>
      </w:r>
      <w:r w:rsidR="009349BC">
        <w:t>’</w:t>
      </w:r>
      <w:r w:rsidR="00380C75">
        <w:t xml:space="preserve">s </w:t>
      </w:r>
      <w:r w:rsidR="00966113">
        <w:t xml:space="preserve">advocacy and assistance functions, the Bill </w:t>
      </w:r>
      <w:r w:rsidR="00463019">
        <w:t>will</w:t>
      </w:r>
      <w:r w:rsidR="00F126C4">
        <w:t xml:space="preserve"> not impair the capacity of a s</w:t>
      </w:r>
      <w:r w:rsidR="00966113">
        <w:t>tate to exercise its constitutional powers</w:t>
      </w:r>
      <w:r w:rsidR="005815C3">
        <w:t xml:space="preserve"> </w:t>
      </w:r>
      <w:r w:rsidR="005815C3" w:rsidRPr="00ED057C">
        <w:rPr>
          <w:rStyle w:val="Referencingstyle"/>
        </w:rPr>
        <w:t>[</w:t>
      </w:r>
      <w:r w:rsidR="00380C75" w:rsidRPr="00ED057C">
        <w:rPr>
          <w:rStyle w:val="Referencingstyle"/>
        </w:rPr>
        <w:t>Part 3 Division 2</w:t>
      </w:r>
      <w:r w:rsidR="007C63DC">
        <w:rPr>
          <w:rStyle w:val="Referencingstyle"/>
        </w:rPr>
        <w:t>,</w:t>
      </w:r>
      <w:r w:rsidR="00380C75" w:rsidRPr="00ED057C">
        <w:rPr>
          <w:rStyle w:val="Referencingstyle"/>
        </w:rPr>
        <w:t xml:space="preserve"> section 39, Part 3</w:t>
      </w:r>
      <w:r w:rsidR="007C63DC">
        <w:rPr>
          <w:rStyle w:val="Referencingstyle"/>
        </w:rPr>
        <w:t>,</w:t>
      </w:r>
      <w:r w:rsidR="00380C75" w:rsidRPr="00ED057C">
        <w:rPr>
          <w:rStyle w:val="Referencingstyle"/>
        </w:rPr>
        <w:t xml:space="preserve"> Division 3</w:t>
      </w:r>
      <w:r w:rsidR="007C63DC">
        <w:rPr>
          <w:rStyle w:val="Referencingstyle"/>
        </w:rPr>
        <w:t>,</w:t>
      </w:r>
      <w:r w:rsidR="00380C75" w:rsidRPr="00ED057C">
        <w:rPr>
          <w:rStyle w:val="Referencingstyle"/>
        </w:rPr>
        <w:t xml:space="preserve"> section 54 and Part 4</w:t>
      </w:r>
      <w:r w:rsidR="007C63DC">
        <w:rPr>
          <w:rStyle w:val="Referencingstyle"/>
        </w:rPr>
        <w:t>,</w:t>
      </w:r>
      <w:r w:rsidR="00380C75" w:rsidRPr="00ED057C">
        <w:rPr>
          <w:rStyle w:val="Referencingstyle"/>
        </w:rPr>
        <w:t xml:space="preserve"> Division 4</w:t>
      </w:r>
      <w:r w:rsidR="007C63DC">
        <w:rPr>
          <w:rStyle w:val="Referencingstyle"/>
        </w:rPr>
        <w:t>,</w:t>
      </w:r>
      <w:r w:rsidR="00380C75" w:rsidRPr="00ED057C">
        <w:rPr>
          <w:rStyle w:val="Referencingstyle"/>
        </w:rPr>
        <w:t xml:space="preserve"> section 78]</w:t>
      </w:r>
      <w:r w:rsidR="00643754">
        <w:t xml:space="preserve">. </w:t>
      </w:r>
      <w:r w:rsidR="00380C75">
        <w:t xml:space="preserve">The general policy underlying the Bill further provides that </w:t>
      </w:r>
      <w:r w:rsidR="00734E96">
        <w:t>the Ombudsman, in performing functions</w:t>
      </w:r>
      <w:r w:rsidR="00463019">
        <w:t xml:space="preserve"> under the Bill</w:t>
      </w:r>
      <w:r w:rsidR="00734E96">
        <w:t xml:space="preserve">, must avoid duplication with </w:t>
      </w:r>
      <w:r w:rsidR="00463019">
        <w:t xml:space="preserve">Commonwealth, state or territory </w:t>
      </w:r>
      <w:r w:rsidR="00734E96">
        <w:t>agencies</w:t>
      </w:r>
      <w:r w:rsidR="00463019">
        <w:t>,</w:t>
      </w:r>
      <w:r w:rsidR="00734E96">
        <w:t xml:space="preserve"> and work co</w:t>
      </w:r>
      <w:r w:rsidR="009349BC">
        <w:noBreakHyphen/>
      </w:r>
      <w:r w:rsidR="00734E96">
        <w:t>operatively, as far as possible, with these other agencies</w:t>
      </w:r>
      <w:r w:rsidR="005815C3">
        <w:t xml:space="preserve">. </w:t>
      </w:r>
      <w:r w:rsidR="005815C3" w:rsidRPr="00ED057C">
        <w:rPr>
          <w:rStyle w:val="Referencingstyle"/>
        </w:rPr>
        <w:t>[</w:t>
      </w:r>
      <w:r w:rsidR="00734E96" w:rsidRPr="00ED057C">
        <w:rPr>
          <w:rStyle w:val="Referencingstyle"/>
        </w:rPr>
        <w:t>Part 2</w:t>
      </w:r>
      <w:r w:rsidR="007C63DC">
        <w:rPr>
          <w:rStyle w:val="Referencingstyle"/>
        </w:rPr>
        <w:t>,</w:t>
      </w:r>
      <w:r w:rsidR="00734E96" w:rsidRPr="00ED057C">
        <w:rPr>
          <w:rStyle w:val="Referencingstyle"/>
        </w:rPr>
        <w:t xml:space="preserve"> Division</w:t>
      </w:r>
      <w:r w:rsidR="00C00A0E">
        <w:rPr>
          <w:rStyle w:val="Referencingstyle"/>
        </w:rPr>
        <w:t> </w:t>
      </w:r>
      <w:r w:rsidR="00734E96" w:rsidRPr="00915AFA">
        <w:rPr>
          <w:rStyle w:val="Referencingstyle"/>
        </w:rPr>
        <w:t>1</w:t>
      </w:r>
      <w:r w:rsidR="007C63DC">
        <w:rPr>
          <w:rStyle w:val="Referencingstyle"/>
        </w:rPr>
        <w:t>,</w:t>
      </w:r>
      <w:r w:rsidR="00734E96" w:rsidRPr="00915AFA">
        <w:rPr>
          <w:rStyle w:val="Referencingstyle"/>
        </w:rPr>
        <w:t xml:space="preserve"> </w:t>
      </w:r>
      <w:r w:rsidR="00734E96" w:rsidRPr="00ED057C">
        <w:rPr>
          <w:rStyle w:val="Referencingstyle"/>
        </w:rPr>
        <w:t>section 16</w:t>
      </w:r>
      <w:r w:rsidR="005815C3" w:rsidRPr="00915AFA">
        <w:rPr>
          <w:rStyle w:val="Referencingstyle"/>
        </w:rPr>
        <w:t>]</w:t>
      </w:r>
      <w:r w:rsidR="005815C3">
        <w:rPr>
          <w:rStyle w:val="Referencingstyle"/>
        </w:rPr>
        <w:t xml:space="preserve"> </w:t>
      </w:r>
    </w:p>
    <w:p w14:paraId="0AA17E6D" w14:textId="77777777" w:rsidR="00463019" w:rsidRDefault="00463019" w:rsidP="00BA1607">
      <w:pPr>
        <w:pStyle w:val="base-text-paragraph"/>
        <w:spacing w:before="80" w:after="80"/>
      </w:pPr>
      <w:r w:rsidRPr="00F26DB0">
        <w:t xml:space="preserve">This </w:t>
      </w:r>
      <w:r>
        <w:t xml:space="preserve">method of </w:t>
      </w:r>
      <w:r w:rsidR="00BC1F7E">
        <w:t>shielding</w:t>
      </w:r>
      <w:r>
        <w:t xml:space="preserve"> state laws from the operation of </w:t>
      </w:r>
      <w:r w:rsidR="00BC1F7E">
        <w:t xml:space="preserve">the Bill (and </w:t>
      </w:r>
      <w:r>
        <w:t>section 109 of the Constitution</w:t>
      </w:r>
      <w:r w:rsidR="00BC1F7E">
        <w:t>),</w:t>
      </w:r>
      <w:r>
        <w:t xml:space="preserve"> </w:t>
      </w:r>
      <w:r w:rsidR="00BC1F7E">
        <w:t xml:space="preserve">provides greater assurance than, for example, the method adopted in </w:t>
      </w:r>
      <w:r w:rsidR="00934EC8">
        <w:t xml:space="preserve">section 7 of the </w:t>
      </w:r>
      <w:r w:rsidR="00BC1F7E" w:rsidRPr="00F26DB0">
        <w:rPr>
          <w:i/>
        </w:rPr>
        <w:t>Independent Contractors Act 2006</w:t>
      </w:r>
      <w:r w:rsidR="00BC1F7E">
        <w:t xml:space="preserve">, where specific state legislation </w:t>
      </w:r>
      <w:r w:rsidR="00FC12B0">
        <w:t>was</w:t>
      </w:r>
      <w:r w:rsidR="00BC1F7E">
        <w:t xml:space="preserve"> named as excluded from the operation of the </w:t>
      </w:r>
      <w:r w:rsidR="00BC1F7E" w:rsidRPr="00F26DB0">
        <w:rPr>
          <w:i/>
        </w:rPr>
        <w:t>Independent Contractors Act</w:t>
      </w:r>
      <w:r w:rsidR="00934EC8" w:rsidRPr="00F26DB0">
        <w:rPr>
          <w:i/>
        </w:rPr>
        <w:t xml:space="preserve"> 2006</w:t>
      </w:r>
      <w:r w:rsidR="00BC1F7E">
        <w:t>. This is because state legislation is constantly being repealed, and other state legislation enacted, and such changes might not be reflected in Commonwealth law. State legislation, moreover, is not uniform.</w:t>
      </w:r>
    </w:p>
    <w:p w14:paraId="707BE34D" w14:textId="77777777" w:rsidR="008F0722" w:rsidRDefault="008F0722" w:rsidP="00BA1607">
      <w:pPr>
        <w:pStyle w:val="base-text-paragraph"/>
        <w:spacing w:before="100" w:after="100"/>
      </w:pPr>
      <w:r>
        <w:t xml:space="preserve">The problem of </w:t>
      </w:r>
      <w:r w:rsidR="00734E96">
        <w:t xml:space="preserve">inconsistency </w:t>
      </w:r>
      <w:r w:rsidR="00761BEF">
        <w:t xml:space="preserve">among </w:t>
      </w:r>
      <w:r w:rsidR="00734E96">
        <w:t xml:space="preserve">the Commonwealth, </w:t>
      </w:r>
      <w:r w:rsidR="000362FD">
        <w:t>state and territory</w:t>
      </w:r>
      <w:r w:rsidR="00734E96">
        <w:t xml:space="preserve"> levels of government</w:t>
      </w:r>
      <w:r>
        <w:t xml:space="preserve"> </w:t>
      </w:r>
      <w:r w:rsidR="007C2FFC">
        <w:t xml:space="preserve">will </w:t>
      </w:r>
      <w:r>
        <w:t xml:space="preserve">exist </w:t>
      </w:r>
      <w:r w:rsidR="00761BEF">
        <w:t xml:space="preserve">as long as there is no nationally </w:t>
      </w:r>
      <w:r w:rsidRPr="008F0722">
        <w:t>harmonised system</w:t>
      </w:r>
      <w:r w:rsidR="00761BEF">
        <w:t xml:space="preserve">. A harmonised system, </w:t>
      </w:r>
      <w:r w:rsidR="002D0B00">
        <w:t>avoid</w:t>
      </w:r>
      <w:r w:rsidR="00761BEF">
        <w:t>ing</w:t>
      </w:r>
      <w:r w:rsidR="002D0B00">
        <w:t xml:space="preserve"> </w:t>
      </w:r>
      <w:r w:rsidRPr="008F0722">
        <w:t xml:space="preserve">duplication </w:t>
      </w:r>
      <w:r w:rsidR="002D0B00">
        <w:t xml:space="preserve">and overlap </w:t>
      </w:r>
      <w:r w:rsidR="00761BEF">
        <w:t>among</w:t>
      </w:r>
      <w:r w:rsidR="002D0B00">
        <w:t xml:space="preserve"> the Commonwealth, </w:t>
      </w:r>
      <w:r w:rsidR="000362FD">
        <w:t>states and territories</w:t>
      </w:r>
      <w:r w:rsidR="00761BEF">
        <w:t>, would r</w:t>
      </w:r>
      <w:r w:rsidRPr="008F0722">
        <w:t xml:space="preserve">epresent a </w:t>
      </w:r>
      <w:r w:rsidR="00761BEF">
        <w:t>s</w:t>
      </w:r>
      <w:r w:rsidRPr="008F0722">
        <w:t xml:space="preserve">tep towards a unified </w:t>
      </w:r>
      <w:r w:rsidR="002D0B00">
        <w:t xml:space="preserve">framework for small business matters </w:t>
      </w:r>
      <w:r w:rsidRPr="008F0722">
        <w:t>in Australia.</w:t>
      </w:r>
      <w:r w:rsidR="00C301E5">
        <w:t xml:space="preserve"> In the absence of a </w:t>
      </w:r>
      <w:r w:rsidR="00761BEF">
        <w:t xml:space="preserve">nationally </w:t>
      </w:r>
      <w:r w:rsidR="00C301E5">
        <w:t xml:space="preserve">harmonised system of small business laws, the Bill </w:t>
      </w:r>
      <w:r w:rsidR="00761BEF">
        <w:t xml:space="preserve">will </w:t>
      </w:r>
      <w:r w:rsidR="00C301E5">
        <w:t>address the problem of inconsistency, as far as possible, within the limits of the Constitution.</w:t>
      </w:r>
    </w:p>
    <w:p w14:paraId="5BCBFAA8" w14:textId="77777777" w:rsidR="009C2D18" w:rsidRDefault="009C2D18" w:rsidP="00BA1607">
      <w:pPr>
        <w:pStyle w:val="Heading2"/>
        <w:spacing w:before="360"/>
      </w:pPr>
      <w:r>
        <w:t xml:space="preserve">Corporations </w:t>
      </w:r>
      <w:r w:rsidR="00FF2BC4">
        <w:t>Power</w:t>
      </w:r>
    </w:p>
    <w:p w14:paraId="3B5BD845" w14:textId="013C5A5D" w:rsidR="009C2D18" w:rsidRDefault="009C2D18" w:rsidP="00BA1607">
      <w:pPr>
        <w:pStyle w:val="base-text-paragraph"/>
        <w:spacing w:before="100" w:after="100"/>
      </w:pPr>
      <w:r>
        <w:t xml:space="preserve">The Bill applies to </w:t>
      </w:r>
      <w:r w:rsidR="009349BC">
        <w:t>‘</w:t>
      </w:r>
      <w:r>
        <w:t>small businesses</w:t>
      </w:r>
      <w:r w:rsidR="009349BC">
        <w:t>’</w:t>
      </w:r>
      <w:r>
        <w:t xml:space="preserve"> and </w:t>
      </w:r>
      <w:r w:rsidR="009349BC">
        <w:t>‘</w:t>
      </w:r>
      <w:r>
        <w:t>family enterprises</w:t>
      </w:r>
      <w:r w:rsidR="009349BC">
        <w:t>’</w:t>
      </w:r>
      <w:r>
        <w:t xml:space="preserve"> some of which are entities that the Commonwealth has power to regulate under </w:t>
      </w:r>
      <w:r w:rsidR="00772455">
        <w:t>its Corporations Power (section</w:t>
      </w:r>
      <w:r>
        <w:t xml:space="preserve"> 51(xx)</w:t>
      </w:r>
      <w:r w:rsidRPr="002160D2">
        <w:t xml:space="preserve"> of the Constitution</w:t>
      </w:r>
      <w:r w:rsidR="00772455">
        <w:t xml:space="preserve">), which </w:t>
      </w:r>
      <w:r w:rsidRPr="002160D2">
        <w:t>giv</w:t>
      </w:r>
      <w:r>
        <w:t>es</w:t>
      </w:r>
      <w:r w:rsidRPr="002160D2">
        <w:t xml:space="preserve"> the Commonwealth the </w:t>
      </w:r>
      <w:r>
        <w:t>power to make laws</w:t>
      </w:r>
      <w:r w:rsidRPr="002160D2">
        <w:t xml:space="preserve"> with respect to </w:t>
      </w:r>
      <w:r w:rsidR="009349BC">
        <w:t>‘</w:t>
      </w:r>
      <w:r w:rsidRPr="002160D2">
        <w:t>foreign corporations, and trading or financial corporations formed within the limits of the Commonwealth</w:t>
      </w:r>
      <w:r w:rsidR="009349BC">
        <w:t>’</w:t>
      </w:r>
      <w:r w:rsidR="003B53C7">
        <w:t xml:space="preserve">. </w:t>
      </w:r>
      <w:r>
        <w:t>The O</w:t>
      </w:r>
      <w:r w:rsidR="00C55C62">
        <w:t>mbudsman</w:t>
      </w:r>
      <w:r w:rsidR="009349BC">
        <w:t>’</w:t>
      </w:r>
      <w:r>
        <w:t xml:space="preserve">s activities and functions </w:t>
      </w:r>
      <w:r w:rsidR="00772455">
        <w:t xml:space="preserve">extend to situations where </w:t>
      </w:r>
      <w:r>
        <w:t>constitutional corporation</w:t>
      </w:r>
      <w:r w:rsidR="00772455">
        <w:t xml:space="preserve">s interact with </w:t>
      </w:r>
      <w:r>
        <w:t>small business</w:t>
      </w:r>
      <w:r w:rsidR="00772455">
        <w:t>es</w:t>
      </w:r>
      <w:r>
        <w:t xml:space="preserve"> or family enterprise</w:t>
      </w:r>
      <w:r w:rsidR="00772455">
        <w:t>s, regardless of whether the small businesses and family enterprises are themselves</w:t>
      </w:r>
      <w:r>
        <w:t xml:space="preserve"> incorporated</w:t>
      </w:r>
      <w:r w:rsidR="003B53C7">
        <w:t xml:space="preserve">. </w:t>
      </w:r>
      <w:r>
        <w:t xml:space="preserve">The </w:t>
      </w:r>
      <w:r w:rsidR="00FF2BC4">
        <w:t xml:space="preserve">Corporations Power </w:t>
      </w:r>
      <w:r>
        <w:t>of the Constitution supports the provisions of the Bill that deal with any:</w:t>
      </w:r>
    </w:p>
    <w:p w14:paraId="4D84B5B8" w14:textId="77777777" w:rsidR="009C2D18" w:rsidRPr="00C00A0E" w:rsidRDefault="009C2D18" w:rsidP="00BA1607">
      <w:pPr>
        <w:pStyle w:val="exampledotpoint1"/>
        <w:spacing w:before="80" w:after="80"/>
        <w:ind w:left="2269" w:hanging="284"/>
        <w:rPr>
          <w:sz w:val="22"/>
          <w:szCs w:val="22"/>
        </w:rPr>
      </w:pPr>
      <w:r w:rsidRPr="00C00A0E">
        <w:rPr>
          <w:sz w:val="22"/>
          <w:szCs w:val="22"/>
        </w:rPr>
        <w:t>past, present or proposed policies or practices of constitutional corporations, to the extent that they affect or may affect small businesses or family enterprises</w:t>
      </w:r>
      <w:r w:rsidR="005815C3" w:rsidRPr="00C00A0E">
        <w:rPr>
          <w:sz w:val="22"/>
          <w:szCs w:val="22"/>
        </w:rPr>
        <w:t xml:space="preserve"> </w:t>
      </w:r>
      <w:r w:rsidR="005815C3" w:rsidRPr="00C00A0E">
        <w:rPr>
          <w:rStyle w:val="Referencingstyle"/>
        </w:rPr>
        <w:t>[</w:t>
      </w:r>
      <w:r w:rsidR="00CA05A5" w:rsidRPr="00C00A0E">
        <w:rPr>
          <w:rStyle w:val="Referencingstyle"/>
        </w:rPr>
        <w:t>Part 3</w:t>
      </w:r>
      <w:r w:rsidR="007C63DC">
        <w:rPr>
          <w:rStyle w:val="Referencingstyle"/>
        </w:rPr>
        <w:t>,</w:t>
      </w:r>
      <w:r w:rsidR="00CA05A5" w:rsidRPr="00C00A0E">
        <w:rPr>
          <w:rStyle w:val="Referencingstyle"/>
        </w:rPr>
        <w:t> Division 1</w:t>
      </w:r>
      <w:r w:rsidR="007C63DC">
        <w:rPr>
          <w:rStyle w:val="Referencingstyle"/>
        </w:rPr>
        <w:t>,</w:t>
      </w:r>
      <w:r w:rsidR="00CA05A5" w:rsidRPr="00C00A0E">
        <w:rPr>
          <w:rStyle w:val="Referencingstyle"/>
        </w:rPr>
        <w:t xml:space="preserve"> </w:t>
      </w:r>
      <w:r w:rsidR="00C55C62" w:rsidRPr="00C00A0E">
        <w:rPr>
          <w:rStyle w:val="Referencingstyle"/>
        </w:rPr>
        <w:t>subsection</w:t>
      </w:r>
      <w:r w:rsidR="004C2113" w:rsidRPr="00C00A0E">
        <w:rPr>
          <w:rStyle w:val="Referencingstyle"/>
        </w:rPr>
        <w:t> </w:t>
      </w:r>
      <w:r w:rsidR="0092258E" w:rsidRPr="00C00A0E">
        <w:rPr>
          <w:rStyle w:val="Referencingstyle"/>
        </w:rPr>
        <w:t>35</w:t>
      </w:r>
      <w:r w:rsidR="00A023E6">
        <w:rPr>
          <w:rStyle w:val="Referencingstyle"/>
        </w:rPr>
        <w:t>(</w:t>
      </w:r>
      <w:r w:rsidRPr="00C00A0E">
        <w:rPr>
          <w:rStyle w:val="Referencingstyle"/>
        </w:rPr>
        <w:t>c</w:t>
      </w:r>
      <w:r w:rsidR="00A023E6">
        <w:rPr>
          <w:rStyle w:val="Referencingstyle"/>
        </w:rPr>
        <w:t>)</w:t>
      </w:r>
      <w:r w:rsidR="00D71C5F" w:rsidRPr="00C00A0E">
        <w:rPr>
          <w:rStyle w:val="Referencingstyle"/>
        </w:rPr>
        <w:t>]</w:t>
      </w:r>
      <w:r w:rsidRPr="00C00A0E">
        <w:rPr>
          <w:sz w:val="22"/>
          <w:szCs w:val="22"/>
        </w:rPr>
        <w:t>;</w:t>
      </w:r>
    </w:p>
    <w:p w14:paraId="773C27D6" w14:textId="77777777" w:rsidR="009C2D18" w:rsidRPr="00C00A0E" w:rsidRDefault="009C2D18" w:rsidP="00BA1607">
      <w:pPr>
        <w:pStyle w:val="exampledotpoint1"/>
        <w:spacing w:before="80" w:after="80"/>
        <w:ind w:left="2269" w:hanging="284"/>
        <w:rPr>
          <w:sz w:val="22"/>
          <w:szCs w:val="22"/>
        </w:rPr>
      </w:pPr>
      <w:r w:rsidRPr="00C00A0E">
        <w:rPr>
          <w:sz w:val="22"/>
          <w:szCs w:val="22"/>
        </w:rPr>
        <w:t>past, present or proposed policies or practices of small businesses or family enterprises that are constituted as, or operated by, a constitutional corporation</w:t>
      </w:r>
      <w:r w:rsidR="005815C3" w:rsidRPr="00C00A0E">
        <w:rPr>
          <w:sz w:val="22"/>
          <w:szCs w:val="22"/>
        </w:rPr>
        <w:t xml:space="preserve"> </w:t>
      </w:r>
      <w:r w:rsidR="005815C3" w:rsidRPr="00C00A0E">
        <w:rPr>
          <w:rStyle w:val="Referencingstyle"/>
        </w:rPr>
        <w:t>[</w:t>
      </w:r>
      <w:r w:rsidR="00CA05A5" w:rsidRPr="00C00A0E">
        <w:rPr>
          <w:rStyle w:val="Referencingstyle"/>
        </w:rPr>
        <w:t>Part 3</w:t>
      </w:r>
      <w:r w:rsidR="007C63DC">
        <w:rPr>
          <w:rStyle w:val="Referencingstyle"/>
        </w:rPr>
        <w:t>,</w:t>
      </w:r>
      <w:r w:rsidR="00CA05A5" w:rsidRPr="00C00A0E">
        <w:rPr>
          <w:rStyle w:val="Referencingstyle"/>
        </w:rPr>
        <w:t> Division 1</w:t>
      </w:r>
      <w:r w:rsidR="007C63DC">
        <w:rPr>
          <w:rStyle w:val="Referencingstyle"/>
        </w:rPr>
        <w:t>,</w:t>
      </w:r>
      <w:r w:rsidR="00CA05A5" w:rsidRPr="00C00A0E">
        <w:rPr>
          <w:rStyle w:val="Referencingstyle"/>
        </w:rPr>
        <w:t xml:space="preserve"> </w:t>
      </w:r>
      <w:r w:rsidR="00AD6183" w:rsidRPr="00C00A0E">
        <w:rPr>
          <w:rStyle w:val="Referencingstyle"/>
        </w:rPr>
        <w:t>subsection</w:t>
      </w:r>
      <w:r w:rsidR="00CA05A5" w:rsidRPr="00C00A0E">
        <w:rPr>
          <w:rStyle w:val="Referencingstyle"/>
        </w:rPr>
        <w:t xml:space="preserve"> 35</w:t>
      </w:r>
      <w:r w:rsidR="00AD6183" w:rsidRPr="00C00A0E">
        <w:rPr>
          <w:rStyle w:val="Referencingstyle"/>
        </w:rPr>
        <w:t>(</w:t>
      </w:r>
      <w:r w:rsidRPr="00C00A0E">
        <w:rPr>
          <w:rStyle w:val="Referencingstyle"/>
        </w:rPr>
        <w:t>d</w:t>
      </w:r>
      <w:r w:rsidR="00AD6183" w:rsidRPr="00C00A0E">
        <w:rPr>
          <w:rStyle w:val="Referencingstyle"/>
        </w:rPr>
        <w:t>)</w:t>
      </w:r>
      <w:r w:rsidR="00D71C5F" w:rsidRPr="00C00A0E">
        <w:rPr>
          <w:rStyle w:val="Referencingstyle"/>
        </w:rPr>
        <w:t>]</w:t>
      </w:r>
      <w:r w:rsidRPr="00C00A0E">
        <w:rPr>
          <w:sz w:val="22"/>
          <w:szCs w:val="22"/>
        </w:rPr>
        <w:t>;</w:t>
      </w:r>
    </w:p>
    <w:p w14:paraId="59D12E55" w14:textId="77777777" w:rsidR="009C2D18" w:rsidRPr="00C00A0E" w:rsidRDefault="009C2D18" w:rsidP="00BA1607">
      <w:pPr>
        <w:pStyle w:val="exampledotpoint1"/>
        <w:spacing w:before="80" w:after="80"/>
        <w:ind w:left="2269" w:hanging="284"/>
        <w:rPr>
          <w:sz w:val="22"/>
          <w:szCs w:val="22"/>
        </w:rPr>
      </w:pPr>
      <w:r w:rsidRPr="00C00A0E">
        <w:rPr>
          <w:sz w:val="22"/>
          <w:szCs w:val="22"/>
        </w:rPr>
        <w:t>action by a constitutional corporation that affects, or may affect, a small business or family enterprise</w:t>
      </w:r>
      <w:r w:rsidR="005815C3" w:rsidRPr="00C00A0E">
        <w:rPr>
          <w:sz w:val="22"/>
          <w:szCs w:val="22"/>
        </w:rPr>
        <w:t xml:space="preserve"> </w:t>
      </w:r>
      <w:r w:rsidR="005815C3" w:rsidRPr="00C00A0E">
        <w:rPr>
          <w:rStyle w:val="Referencingstyle"/>
        </w:rPr>
        <w:t>[</w:t>
      </w:r>
      <w:r w:rsidR="00CA05A5" w:rsidRPr="00C00A0E">
        <w:rPr>
          <w:rStyle w:val="Referencingstyle"/>
        </w:rPr>
        <w:t>Part 4</w:t>
      </w:r>
      <w:r w:rsidR="007C63DC">
        <w:rPr>
          <w:rStyle w:val="Referencingstyle"/>
        </w:rPr>
        <w:t>,</w:t>
      </w:r>
      <w:r w:rsidR="00CA05A5" w:rsidRPr="00C00A0E">
        <w:rPr>
          <w:rStyle w:val="Referencingstyle"/>
        </w:rPr>
        <w:t> Division</w:t>
      </w:r>
      <w:r w:rsidR="00C00A0E" w:rsidRPr="00C00A0E">
        <w:rPr>
          <w:rStyle w:val="Referencingstyle"/>
        </w:rPr>
        <w:t> </w:t>
      </w:r>
      <w:r w:rsidR="00CA05A5" w:rsidRPr="00C00A0E">
        <w:rPr>
          <w:rStyle w:val="Referencingstyle"/>
        </w:rPr>
        <w:t>1</w:t>
      </w:r>
      <w:r w:rsidR="007C63DC">
        <w:rPr>
          <w:rStyle w:val="Referencingstyle"/>
        </w:rPr>
        <w:t>,</w:t>
      </w:r>
      <w:r w:rsidR="0092258E" w:rsidRPr="00C00A0E">
        <w:rPr>
          <w:rStyle w:val="Referencingstyle"/>
        </w:rPr>
        <w:t xml:space="preserve"> </w:t>
      </w:r>
      <w:r w:rsidR="00AD6183" w:rsidRPr="00C00A0E">
        <w:rPr>
          <w:rStyle w:val="Referencingstyle"/>
        </w:rPr>
        <w:t xml:space="preserve">subsection </w:t>
      </w:r>
      <w:r w:rsidR="00CA05A5" w:rsidRPr="00C00A0E">
        <w:rPr>
          <w:rStyle w:val="Referencingstyle"/>
        </w:rPr>
        <w:t>65</w:t>
      </w:r>
      <w:r w:rsidR="00AD6183" w:rsidRPr="00C00A0E">
        <w:rPr>
          <w:rStyle w:val="Referencingstyle"/>
        </w:rPr>
        <w:t>(</w:t>
      </w:r>
      <w:r w:rsidR="000E559D">
        <w:rPr>
          <w:rStyle w:val="Referencingstyle"/>
        </w:rPr>
        <w:t>b</w:t>
      </w:r>
      <w:r w:rsidR="00AD6183" w:rsidRPr="00C00A0E">
        <w:rPr>
          <w:rStyle w:val="Referencingstyle"/>
        </w:rPr>
        <w:t>)</w:t>
      </w:r>
      <w:r w:rsidR="00D71C5F" w:rsidRPr="00C00A0E">
        <w:rPr>
          <w:rStyle w:val="Referencingstyle"/>
        </w:rPr>
        <w:t>]</w:t>
      </w:r>
      <w:r w:rsidRPr="00C00A0E">
        <w:rPr>
          <w:sz w:val="22"/>
          <w:szCs w:val="22"/>
        </w:rPr>
        <w:t>;</w:t>
      </w:r>
      <w:r w:rsidR="0079402D" w:rsidRPr="00C00A0E">
        <w:rPr>
          <w:sz w:val="22"/>
          <w:szCs w:val="22"/>
        </w:rPr>
        <w:t xml:space="preserve"> and/or</w:t>
      </w:r>
    </w:p>
    <w:p w14:paraId="48EB5ACE" w14:textId="77777777" w:rsidR="009C2D18" w:rsidRPr="00C00A0E" w:rsidRDefault="009C2D18" w:rsidP="00BA1607">
      <w:pPr>
        <w:pStyle w:val="exampledotpoint1"/>
        <w:spacing w:before="80" w:after="80"/>
        <w:ind w:left="2269" w:hanging="284"/>
        <w:rPr>
          <w:sz w:val="22"/>
          <w:szCs w:val="22"/>
        </w:rPr>
      </w:pPr>
      <w:r w:rsidRPr="00C00A0E">
        <w:rPr>
          <w:sz w:val="22"/>
          <w:szCs w:val="22"/>
        </w:rPr>
        <w:t>action by any entity that affects a small business or family enterprise that is a constitutional corporation</w:t>
      </w:r>
      <w:r w:rsidR="005815C3" w:rsidRPr="00C00A0E">
        <w:rPr>
          <w:sz w:val="22"/>
          <w:szCs w:val="22"/>
        </w:rPr>
        <w:t xml:space="preserve">. </w:t>
      </w:r>
      <w:r w:rsidR="005815C3" w:rsidRPr="00C00A0E">
        <w:rPr>
          <w:rStyle w:val="Referencingstyle"/>
        </w:rPr>
        <w:t>[</w:t>
      </w:r>
      <w:r w:rsidR="00CA05A5" w:rsidRPr="00C00A0E">
        <w:rPr>
          <w:rStyle w:val="Referencingstyle"/>
        </w:rPr>
        <w:t>Part 4</w:t>
      </w:r>
      <w:r w:rsidR="007C63DC">
        <w:rPr>
          <w:rStyle w:val="Referencingstyle"/>
        </w:rPr>
        <w:t>,</w:t>
      </w:r>
      <w:r w:rsidR="00CA05A5" w:rsidRPr="00C00A0E">
        <w:rPr>
          <w:rStyle w:val="Referencingstyle"/>
        </w:rPr>
        <w:t> </w:t>
      </w:r>
      <w:r w:rsidR="007C63DC" w:rsidRPr="00C00A0E">
        <w:rPr>
          <w:rStyle w:val="Referencingstyle"/>
        </w:rPr>
        <w:t>Division</w:t>
      </w:r>
      <w:r w:rsidR="007C63DC">
        <w:rPr>
          <w:rStyle w:val="Referencingstyle"/>
        </w:rPr>
        <w:t> </w:t>
      </w:r>
      <w:r w:rsidR="00CA05A5" w:rsidRPr="00C00A0E">
        <w:rPr>
          <w:rStyle w:val="Referencingstyle"/>
        </w:rPr>
        <w:t>1</w:t>
      </w:r>
      <w:r w:rsidR="007C63DC">
        <w:rPr>
          <w:rStyle w:val="Referencingstyle"/>
        </w:rPr>
        <w:t>,</w:t>
      </w:r>
      <w:r w:rsidR="00CA05A5" w:rsidRPr="00C00A0E">
        <w:rPr>
          <w:rStyle w:val="Referencingstyle"/>
        </w:rPr>
        <w:t xml:space="preserve"> </w:t>
      </w:r>
      <w:r w:rsidR="00AD6183" w:rsidRPr="00C00A0E">
        <w:rPr>
          <w:rStyle w:val="Referencingstyle"/>
        </w:rPr>
        <w:t xml:space="preserve">subsection </w:t>
      </w:r>
      <w:r w:rsidR="00CA05A5" w:rsidRPr="00C00A0E">
        <w:rPr>
          <w:rStyle w:val="Referencingstyle"/>
        </w:rPr>
        <w:t>65</w:t>
      </w:r>
      <w:r w:rsidR="00AD6183" w:rsidRPr="00C00A0E">
        <w:rPr>
          <w:rStyle w:val="Referencingstyle"/>
        </w:rPr>
        <w:t>(</w:t>
      </w:r>
      <w:r w:rsidR="000E559D">
        <w:rPr>
          <w:rStyle w:val="Referencingstyle"/>
        </w:rPr>
        <w:t>c</w:t>
      </w:r>
      <w:r w:rsidR="00AD6183" w:rsidRPr="00C00A0E">
        <w:rPr>
          <w:rStyle w:val="Referencingstyle"/>
        </w:rPr>
        <w:t>)</w:t>
      </w:r>
      <w:r w:rsidR="005815C3" w:rsidRPr="00C00A0E">
        <w:rPr>
          <w:rStyle w:val="Referencingstyle"/>
        </w:rPr>
        <w:t>]</w:t>
      </w:r>
      <w:r w:rsidR="005815C3" w:rsidRPr="00C00A0E">
        <w:rPr>
          <w:rStyle w:val="Referencingstyle"/>
          <w:sz w:val="22"/>
          <w:szCs w:val="22"/>
        </w:rPr>
        <w:t xml:space="preserve"> </w:t>
      </w:r>
    </w:p>
    <w:p w14:paraId="08076835" w14:textId="77777777" w:rsidR="009C2D18" w:rsidRPr="00277F39" w:rsidRDefault="009C2D18" w:rsidP="00CA5E7A">
      <w:pPr>
        <w:pStyle w:val="ExampleHeading"/>
      </w:pPr>
      <w:r w:rsidRPr="00277F39">
        <w:t>: Disputes involving a corporation</w:t>
      </w:r>
    </w:p>
    <w:p w14:paraId="1F3564CA" w14:textId="77777777" w:rsidR="009C2D18" w:rsidRPr="007C63DC" w:rsidRDefault="009C2D18" w:rsidP="000E0A02">
      <w:pPr>
        <w:pStyle w:val="exampletext"/>
      </w:pPr>
      <w:r w:rsidRPr="006527E4">
        <w:t>An unincorporated small business requests assistance from the O</w:t>
      </w:r>
      <w:r w:rsidR="007753E4" w:rsidRPr="006527E4">
        <w:t>mbudsman</w:t>
      </w:r>
      <w:r w:rsidRPr="00E57D84">
        <w:t xml:space="preserve"> relating to a dispute it is having with </w:t>
      </w:r>
      <w:r w:rsidR="00277F39" w:rsidRPr="007C63DC">
        <w:t xml:space="preserve">a corporation </w:t>
      </w:r>
      <w:r w:rsidR="00540BE2" w:rsidRPr="007C63DC">
        <w:t>in the same jurisdiction</w:t>
      </w:r>
      <w:r w:rsidR="003B53C7" w:rsidRPr="007C63DC">
        <w:t xml:space="preserve">. </w:t>
      </w:r>
      <w:r w:rsidR="00277F39" w:rsidRPr="007C63DC">
        <w:t>If the nature of the dispute does not place it within the remit of another official, then the Ombudsman may deal with the matter.</w:t>
      </w:r>
    </w:p>
    <w:p w14:paraId="5E686150" w14:textId="77777777" w:rsidR="00540BE2" w:rsidRPr="00540BE2" w:rsidRDefault="00540BE2" w:rsidP="00CA5E7A">
      <w:pPr>
        <w:pStyle w:val="ExampleHeading"/>
      </w:pPr>
      <w:r w:rsidRPr="00540BE2">
        <w:t xml:space="preserve">: Disputes involving a </w:t>
      </w:r>
      <w:r w:rsidR="00C10889">
        <w:t>matter</w:t>
      </w:r>
      <w:r w:rsidR="00550D6E">
        <w:t xml:space="preserve"> dealt with by a state</w:t>
      </w:r>
      <w:r w:rsidR="00527708">
        <w:t xml:space="preserve"> official</w:t>
      </w:r>
    </w:p>
    <w:p w14:paraId="656A2249" w14:textId="1623AD7F" w:rsidR="00540BE2" w:rsidRDefault="00A23DC8" w:rsidP="005723F5">
      <w:pPr>
        <w:pStyle w:val="exampletext"/>
      </w:pPr>
      <w:r>
        <w:t xml:space="preserve">A small business retailer is experiencing problems with its retail tenancy agreement. Retail tenancy agreements are dealt with under state law, such as the </w:t>
      </w:r>
      <w:r w:rsidRPr="003B565B">
        <w:rPr>
          <w:i/>
        </w:rPr>
        <w:t>Retail Lease</w:t>
      </w:r>
      <w:r>
        <w:rPr>
          <w:i/>
        </w:rPr>
        <w:t>s</w:t>
      </w:r>
      <w:r w:rsidRPr="003B565B">
        <w:rPr>
          <w:i/>
        </w:rPr>
        <w:t xml:space="preserve"> Act 1994</w:t>
      </w:r>
      <w:r>
        <w:t xml:space="preserve"> (NSW), the </w:t>
      </w:r>
      <w:r w:rsidRPr="003B565B">
        <w:rPr>
          <w:i/>
        </w:rPr>
        <w:t>Retail Leases Act 2003</w:t>
      </w:r>
      <w:r>
        <w:t xml:space="preserve"> (Vic), the </w:t>
      </w:r>
      <w:r w:rsidRPr="00176F6A">
        <w:rPr>
          <w:i/>
        </w:rPr>
        <w:t>Retail Shop Leases Act 1994</w:t>
      </w:r>
      <w:r>
        <w:t xml:space="preserve"> (Qld), the </w:t>
      </w:r>
      <w:r w:rsidRPr="003B565B">
        <w:rPr>
          <w:i/>
        </w:rPr>
        <w:t>Commercial Tenancy (Retail Shops</w:t>
      </w:r>
      <w:r>
        <w:rPr>
          <w:i/>
        </w:rPr>
        <w:t>)</w:t>
      </w:r>
      <w:r w:rsidRPr="003B565B">
        <w:rPr>
          <w:i/>
        </w:rPr>
        <w:t xml:space="preserve"> Agreement</w:t>
      </w:r>
      <w:r>
        <w:rPr>
          <w:i/>
        </w:rPr>
        <w:t>s</w:t>
      </w:r>
      <w:r w:rsidRPr="003B565B">
        <w:rPr>
          <w:i/>
        </w:rPr>
        <w:t xml:space="preserve"> Act 1985</w:t>
      </w:r>
      <w:r>
        <w:t xml:space="preserve"> (Western Australia), the </w:t>
      </w:r>
      <w:r w:rsidRPr="003B565B">
        <w:rPr>
          <w:i/>
        </w:rPr>
        <w:t xml:space="preserve">Retail </w:t>
      </w:r>
      <w:r>
        <w:rPr>
          <w:i/>
        </w:rPr>
        <w:t xml:space="preserve">and Commercial Leases Act 1995 </w:t>
      </w:r>
      <w:r>
        <w:t xml:space="preserve">(South Australia), the </w:t>
      </w:r>
      <w:r w:rsidRPr="007725C4">
        <w:rPr>
          <w:i/>
        </w:rPr>
        <w:t>Fair Trading (Code of Practice for Retail Tenancies) Regulation 1998</w:t>
      </w:r>
      <w:r>
        <w:t xml:space="preserve"> (Tasmania), the </w:t>
      </w:r>
      <w:r w:rsidRPr="00176F6A">
        <w:rPr>
          <w:i/>
        </w:rPr>
        <w:t>Leases (Commercial and Retail) Act</w:t>
      </w:r>
      <w:r w:rsidR="000E0A02">
        <w:rPr>
          <w:i/>
        </w:rPr>
        <w:t> </w:t>
      </w:r>
      <w:r w:rsidRPr="00176F6A">
        <w:rPr>
          <w:i/>
        </w:rPr>
        <w:t xml:space="preserve">2001 </w:t>
      </w:r>
      <w:r>
        <w:t xml:space="preserve">(Australian Capital Territory), and the </w:t>
      </w:r>
      <w:r w:rsidRPr="00176F6A">
        <w:rPr>
          <w:i/>
        </w:rPr>
        <w:t>Business Tenancies (Fair Dealings) Act</w:t>
      </w:r>
      <w:r>
        <w:t xml:space="preserve"> (Northern Territory). Such legislation sets out how retail tenancy disputes in the various jurisdictions are to be dealt with. </w:t>
      </w:r>
      <w:r>
        <w:rPr>
          <w:lang w:val="en"/>
        </w:rPr>
        <w:t xml:space="preserve">A retail tenancy matter </w:t>
      </w:r>
      <w:r>
        <w:t>brought to the Ombudsman</w:t>
      </w:r>
      <w:r w:rsidR="009349BC">
        <w:t>’</w:t>
      </w:r>
      <w:r>
        <w:t xml:space="preserve">s attention </w:t>
      </w:r>
      <w:r w:rsidRPr="00E779F5">
        <w:t xml:space="preserve">would </w:t>
      </w:r>
      <w:r>
        <w:t>therefore be referred by the Ombudsman to the relevant state/territory mechanism for resolution.</w:t>
      </w:r>
    </w:p>
    <w:p w14:paraId="33B23DC3" w14:textId="77777777" w:rsidR="00B338B5" w:rsidRPr="00540BE2" w:rsidRDefault="00B338B5" w:rsidP="00CA5E7A">
      <w:pPr>
        <w:pStyle w:val="ExampleHeading"/>
      </w:pPr>
      <w:r w:rsidRPr="00540BE2">
        <w:t xml:space="preserve">: Disputes involving </w:t>
      </w:r>
      <w:r>
        <w:t>two unincorporated businesses</w:t>
      </w:r>
    </w:p>
    <w:p w14:paraId="57F82340" w14:textId="77777777" w:rsidR="00B338B5" w:rsidRDefault="00B338B5" w:rsidP="00CC5EDA">
      <w:pPr>
        <w:pStyle w:val="exampletext"/>
      </w:pPr>
      <w:r>
        <w:t xml:space="preserve">Two </w:t>
      </w:r>
      <w:r w:rsidRPr="00540BE2">
        <w:t>small business</w:t>
      </w:r>
      <w:r>
        <w:t xml:space="preserve">es, </w:t>
      </w:r>
      <w:r w:rsidR="00840F5B">
        <w:t xml:space="preserve">both </w:t>
      </w:r>
      <w:r>
        <w:t xml:space="preserve">unincorporated, </w:t>
      </w:r>
      <w:r w:rsidR="00840F5B">
        <w:t xml:space="preserve">and both in the one state, </w:t>
      </w:r>
      <w:r w:rsidRPr="00540BE2">
        <w:t>request assistance from the O</w:t>
      </w:r>
      <w:r w:rsidR="00242A71">
        <w:t>mbudsman</w:t>
      </w:r>
      <w:r w:rsidRPr="00540BE2">
        <w:t xml:space="preserve"> relating to </w:t>
      </w:r>
      <w:r w:rsidR="00840F5B">
        <w:t xml:space="preserve">a </w:t>
      </w:r>
      <w:r w:rsidRPr="00540BE2">
        <w:t>dispute</w:t>
      </w:r>
      <w:r>
        <w:t xml:space="preserve"> they</w:t>
      </w:r>
      <w:r w:rsidRPr="00540BE2">
        <w:t xml:space="preserve"> </w:t>
      </w:r>
      <w:r>
        <w:t xml:space="preserve">are </w:t>
      </w:r>
      <w:r w:rsidRPr="00540BE2">
        <w:t xml:space="preserve">having with </w:t>
      </w:r>
      <w:r w:rsidR="00840F5B">
        <w:t>each other</w:t>
      </w:r>
      <w:r w:rsidR="003B53C7">
        <w:t xml:space="preserve">. </w:t>
      </w:r>
      <w:r w:rsidR="00840F5B">
        <w:t xml:space="preserve">The Constitution does not contain a power to deal with </w:t>
      </w:r>
      <w:r w:rsidR="00583E45">
        <w:t xml:space="preserve">an </w:t>
      </w:r>
      <w:r w:rsidR="00840F5B">
        <w:t xml:space="preserve">unincorporated </w:t>
      </w:r>
      <w:r w:rsidR="00583E45">
        <w:t xml:space="preserve">to unincorporated </w:t>
      </w:r>
      <w:r w:rsidR="00840F5B">
        <w:t xml:space="preserve">business </w:t>
      </w:r>
      <w:r w:rsidR="00583E45">
        <w:t>dispute in a state</w:t>
      </w:r>
      <w:r>
        <w:t>, and so th</w:t>
      </w:r>
      <w:r w:rsidR="00840F5B">
        <w:t>is</w:t>
      </w:r>
      <w:r>
        <w:t xml:space="preserve"> dispute </w:t>
      </w:r>
      <w:r w:rsidR="00277F39">
        <w:t>cannot be dealt with by t</w:t>
      </w:r>
      <w:r>
        <w:t>he O</w:t>
      </w:r>
      <w:r w:rsidR="00D71C5F">
        <w:t>mbudsman</w:t>
      </w:r>
      <w:r>
        <w:t>.</w:t>
      </w:r>
    </w:p>
    <w:p w14:paraId="656D3E0B" w14:textId="77777777" w:rsidR="009C2D18" w:rsidRDefault="009C2D18">
      <w:pPr>
        <w:pStyle w:val="Heading2"/>
      </w:pPr>
      <w:r>
        <w:t xml:space="preserve">Trade and </w:t>
      </w:r>
      <w:r w:rsidR="00FF2BC4">
        <w:t>Commerce Power</w:t>
      </w:r>
    </w:p>
    <w:p w14:paraId="2AF20623" w14:textId="13ABFBF1" w:rsidR="009C2D18" w:rsidRDefault="009C2D18" w:rsidP="00200FC3">
      <w:pPr>
        <w:pStyle w:val="base-text-paragraph"/>
      </w:pPr>
      <w:r w:rsidRPr="009F5F86">
        <w:t>Section 51(</w:t>
      </w:r>
      <w:proofErr w:type="spellStart"/>
      <w:r w:rsidRPr="009F5F86">
        <w:t>i</w:t>
      </w:r>
      <w:proofErr w:type="spellEnd"/>
      <w:r w:rsidRPr="009F5F86">
        <w:t xml:space="preserve">) of the Constitution gives the Commonwealth the power to make laws with respect to </w:t>
      </w:r>
      <w:r w:rsidR="009349BC">
        <w:t>‘</w:t>
      </w:r>
      <w:r w:rsidRPr="009F5F86">
        <w:t xml:space="preserve">trade and </w:t>
      </w:r>
      <w:r w:rsidRPr="00F26DB0">
        <w:t>commerce</w:t>
      </w:r>
      <w:r w:rsidRPr="009F5F86">
        <w:t xml:space="preserve"> with other countries, and among the States</w:t>
      </w:r>
      <w:r w:rsidR="009349BC">
        <w:t>’</w:t>
      </w:r>
      <w:r w:rsidR="003B53C7" w:rsidRPr="009F5F86">
        <w:t xml:space="preserve">. </w:t>
      </w:r>
      <w:r w:rsidRPr="009F5F86">
        <w:t xml:space="preserve">The </w:t>
      </w:r>
      <w:r w:rsidR="00FF2BC4">
        <w:t>T</w:t>
      </w:r>
      <w:r w:rsidR="00FF2BC4" w:rsidRPr="009F5F86">
        <w:t xml:space="preserve">rade </w:t>
      </w:r>
      <w:r w:rsidRPr="009F5F86">
        <w:t xml:space="preserve">and </w:t>
      </w:r>
      <w:r w:rsidR="00FF2BC4">
        <w:t>C</w:t>
      </w:r>
      <w:r w:rsidR="00FF2BC4" w:rsidRPr="009F5F86">
        <w:t xml:space="preserve">ommerce </w:t>
      </w:r>
      <w:r w:rsidR="00FF2BC4">
        <w:t>P</w:t>
      </w:r>
      <w:r w:rsidR="00FF2BC4" w:rsidRPr="009F5F86">
        <w:t xml:space="preserve">ower </w:t>
      </w:r>
      <w:r w:rsidRPr="009F5F86">
        <w:t>of the Constitution supports the provisions of the Bill that deal with</w:t>
      </w:r>
      <w:r w:rsidR="007D5777">
        <w:t xml:space="preserve"> any</w:t>
      </w:r>
      <w:r w:rsidRPr="009F5F86">
        <w:t>:</w:t>
      </w:r>
    </w:p>
    <w:p w14:paraId="21E233E6" w14:textId="77777777" w:rsidR="000E0A02" w:rsidRDefault="000E0A02" w:rsidP="00BD6A73">
      <w:pPr>
        <w:pStyle w:val="dotpoint"/>
      </w:pPr>
      <w:r w:rsidRPr="009F5F86">
        <w:t xml:space="preserve">past, present or proposed policies or practices of any entity, to </w:t>
      </w:r>
      <w:r w:rsidRPr="000E0A02">
        <w:t>the</w:t>
      </w:r>
      <w:r w:rsidRPr="009F5F86">
        <w:t xml:space="preserve"> extent that those policies or </w:t>
      </w:r>
      <w:r w:rsidRPr="0036043A">
        <w:rPr>
          <w:szCs w:val="22"/>
        </w:rPr>
        <w:t>practices</w:t>
      </w:r>
      <w:r w:rsidRPr="009F5F86">
        <w:t xml:space="preserve"> affect, or may affect, small businesses or family enterprises in the course of trade or commerce:</w:t>
      </w:r>
    </w:p>
    <w:p w14:paraId="7DEDC775" w14:textId="77777777" w:rsidR="009C2D18" w:rsidRPr="009349BC" w:rsidRDefault="009C2D18" w:rsidP="009349BC">
      <w:pPr>
        <w:pStyle w:val="ListParagraph"/>
      </w:pPr>
      <w:r w:rsidRPr="009349BC">
        <w:t>between Australia and places outside Australia; or</w:t>
      </w:r>
    </w:p>
    <w:p w14:paraId="2609C998" w14:textId="77777777" w:rsidR="009C2D18" w:rsidRPr="009349BC" w:rsidRDefault="009C2D18" w:rsidP="009349BC">
      <w:pPr>
        <w:pStyle w:val="ListParagraph"/>
      </w:pPr>
      <w:r w:rsidRPr="009349BC">
        <w:t xml:space="preserve">among the </w:t>
      </w:r>
      <w:r w:rsidR="007C63DC" w:rsidRPr="009349BC">
        <w:t>states</w:t>
      </w:r>
      <w:r w:rsidRPr="009349BC">
        <w:t>; or</w:t>
      </w:r>
    </w:p>
    <w:p w14:paraId="608789E2" w14:textId="50FAFFB9" w:rsidR="009C2D18" w:rsidRPr="009349BC" w:rsidRDefault="009C2D18" w:rsidP="009349BC">
      <w:pPr>
        <w:pStyle w:val="ListParagraph"/>
      </w:pPr>
      <w:r w:rsidRPr="009349BC">
        <w:t xml:space="preserve">within a </w:t>
      </w:r>
      <w:r w:rsidR="007C63DC" w:rsidRPr="009349BC">
        <w:t>territory</w:t>
      </w:r>
      <w:r w:rsidRPr="009349BC">
        <w:t xml:space="preserve">, between a </w:t>
      </w:r>
      <w:r w:rsidR="007C63DC" w:rsidRPr="009349BC">
        <w:t xml:space="preserve">state </w:t>
      </w:r>
      <w:r w:rsidRPr="009349BC">
        <w:t xml:space="preserve">and a </w:t>
      </w:r>
      <w:r w:rsidR="007C63DC" w:rsidRPr="009349BC">
        <w:t>territory</w:t>
      </w:r>
      <w:r w:rsidR="005815C3" w:rsidRPr="009349BC">
        <w:t xml:space="preserve">, </w:t>
      </w:r>
      <w:r w:rsidRPr="009349BC">
        <w:t>or between 2 Territories</w:t>
      </w:r>
      <w:r w:rsidR="009349BC">
        <w:t>.</w:t>
      </w:r>
      <w:r w:rsidR="005815C3" w:rsidRPr="009349BC">
        <w:t xml:space="preserve"> </w:t>
      </w:r>
      <w:r w:rsidR="005815C3" w:rsidRPr="009349BC">
        <w:rPr>
          <w:rStyle w:val="Referencingstyle"/>
        </w:rPr>
        <w:t>[</w:t>
      </w:r>
      <w:r w:rsidR="00CA05A5" w:rsidRPr="009349BC">
        <w:rPr>
          <w:rStyle w:val="Referencingstyle"/>
        </w:rPr>
        <w:t>Part 3</w:t>
      </w:r>
      <w:r w:rsidR="007C63DC" w:rsidRPr="009349BC">
        <w:rPr>
          <w:rStyle w:val="Referencingstyle"/>
        </w:rPr>
        <w:t>,</w:t>
      </w:r>
      <w:r w:rsidR="00CA05A5" w:rsidRPr="009349BC">
        <w:rPr>
          <w:rStyle w:val="Referencingstyle"/>
        </w:rPr>
        <w:t xml:space="preserve"> Division 1</w:t>
      </w:r>
      <w:r w:rsidR="007C63DC" w:rsidRPr="009349BC">
        <w:rPr>
          <w:rStyle w:val="Referencingstyle"/>
        </w:rPr>
        <w:t>,</w:t>
      </w:r>
      <w:r w:rsidR="00CA05A5" w:rsidRPr="009349BC">
        <w:rPr>
          <w:rStyle w:val="Referencingstyle"/>
        </w:rPr>
        <w:t xml:space="preserve"> </w:t>
      </w:r>
      <w:r w:rsidR="00AD6183" w:rsidRPr="009349BC">
        <w:rPr>
          <w:rStyle w:val="Referencingstyle"/>
        </w:rPr>
        <w:t>sub</w:t>
      </w:r>
      <w:r w:rsidR="00CA05A5" w:rsidRPr="009349BC">
        <w:rPr>
          <w:rStyle w:val="Referencingstyle"/>
        </w:rPr>
        <w:t>section 35</w:t>
      </w:r>
      <w:r w:rsidR="00AD6183" w:rsidRPr="009349BC">
        <w:rPr>
          <w:rStyle w:val="Referencingstyle"/>
        </w:rPr>
        <w:t>(</w:t>
      </w:r>
      <w:r w:rsidRPr="009349BC">
        <w:rPr>
          <w:rStyle w:val="Referencingstyle"/>
        </w:rPr>
        <w:t>e</w:t>
      </w:r>
      <w:r w:rsidR="00AD6183" w:rsidRPr="009349BC">
        <w:rPr>
          <w:rStyle w:val="Referencingstyle"/>
        </w:rPr>
        <w:t>)</w:t>
      </w:r>
      <w:r w:rsidR="00D71C5F" w:rsidRPr="009349BC">
        <w:rPr>
          <w:rStyle w:val="Referencingstyle"/>
        </w:rPr>
        <w:t>]</w:t>
      </w:r>
      <w:r w:rsidRPr="009349BC">
        <w:t>;</w:t>
      </w:r>
      <w:r w:rsidR="00565696" w:rsidRPr="009349BC">
        <w:t xml:space="preserve"> and/or</w:t>
      </w:r>
    </w:p>
    <w:p w14:paraId="4AC18FBF" w14:textId="77777777" w:rsidR="009C2D18" w:rsidRPr="009F5F86" w:rsidRDefault="009C2D18" w:rsidP="00C00A0E">
      <w:pPr>
        <w:pStyle w:val="exampledotpoint1"/>
        <w:rPr>
          <w:sz w:val="22"/>
          <w:szCs w:val="22"/>
        </w:rPr>
      </w:pPr>
      <w:r w:rsidRPr="009F5F86">
        <w:rPr>
          <w:sz w:val="22"/>
          <w:szCs w:val="22"/>
        </w:rPr>
        <w:t>action by any entity that affects, or may affect, a small business or family enterprise in the course of trade or commerce:</w:t>
      </w:r>
    </w:p>
    <w:p w14:paraId="7EB47AC2" w14:textId="77777777" w:rsidR="009C2D18" w:rsidRPr="009349BC" w:rsidRDefault="009C2D18" w:rsidP="009349BC">
      <w:pPr>
        <w:pStyle w:val="ListParagraph"/>
      </w:pPr>
      <w:r w:rsidRPr="009349BC">
        <w:t>between Australia and places outside Australia; or</w:t>
      </w:r>
    </w:p>
    <w:p w14:paraId="6CD665A7" w14:textId="77777777" w:rsidR="009C2D18" w:rsidRPr="009349BC" w:rsidRDefault="009C2D18" w:rsidP="009349BC">
      <w:pPr>
        <w:pStyle w:val="ListParagraph"/>
      </w:pPr>
      <w:r w:rsidRPr="009349BC">
        <w:t xml:space="preserve">among the </w:t>
      </w:r>
      <w:r w:rsidR="007C63DC" w:rsidRPr="009349BC">
        <w:t>states</w:t>
      </w:r>
      <w:r w:rsidRPr="009349BC">
        <w:t>; or</w:t>
      </w:r>
    </w:p>
    <w:p w14:paraId="78069733" w14:textId="77777777" w:rsidR="009C2D18" w:rsidRPr="00B7167F" w:rsidRDefault="009C2D18" w:rsidP="009349BC">
      <w:pPr>
        <w:pStyle w:val="ListParagraph"/>
      </w:pPr>
      <w:r w:rsidRPr="009349BC">
        <w:t xml:space="preserve">within a </w:t>
      </w:r>
      <w:r w:rsidR="007C63DC" w:rsidRPr="009349BC">
        <w:t>territory</w:t>
      </w:r>
      <w:r w:rsidRPr="009349BC">
        <w:t xml:space="preserve">, between a </w:t>
      </w:r>
      <w:r w:rsidR="007C63DC" w:rsidRPr="009349BC">
        <w:t xml:space="preserve">state </w:t>
      </w:r>
      <w:r w:rsidRPr="009349BC">
        <w:t xml:space="preserve">and a </w:t>
      </w:r>
      <w:r w:rsidR="007C63DC" w:rsidRPr="009349BC">
        <w:t xml:space="preserve">territory </w:t>
      </w:r>
      <w:r w:rsidRPr="009349BC">
        <w:t xml:space="preserve">or between </w:t>
      </w:r>
      <w:r w:rsidR="007C63DC" w:rsidRPr="009349BC">
        <w:t>two territories</w:t>
      </w:r>
      <w:r w:rsidR="005815C3" w:rsidRPr="009349BC">
        <w:t xml:space="preserve">. </w:t>
      </w:r>
      <w:r w:rsidR="005815C3" w:rsidRPr="00ED057C">
        <w:rPr>
          <w:rStyle w:val="Referencingstyle"/>
        </w:rPr>
        <w:t>[</w:t>
      </w:r>
      <w:r w:rsidR="00CA05A5" w:rsidRPr="00DF298B">
        <w:rPr>
          <w:rStyle w:val="Referencingstyle"/>
        </w:rPr>
        <w:t>Part 4 Division 1</w:t>
      </w:r>
      <w:r w:rsidR="007C63DC">
        <w:rPr>
          <w:rStyle w:val="Referencingstyle"/>
        </w:rPr>
        <w:t>,</w:t>
      </w:r>
      <w:r w:rsidR="00CA05A5" w:rsidRPr="00DF298B">
        <w:rPr>
          <w:rStyle w:val="Referencingstyle"/>
        </w:rPr>
        <w:t xml:space="preserve"> </w:t>
      </w:r>
      <w:r w:rsidR="00AD6183" w:rsidRPr="00DF298B">
        <w:rPr>
          <w:rStyle w:val="Referencingstyle"/>
        </w:rPr>
        <w:t>sub</w:t>
      </w:r>
      <w:r w:rsidR="00CA05A5" w:rsidRPr="00DF298B">
        <w:rPr>
          <w:rStyle w:val="Referencingstyle"/>
        </w:rPr>
        <w:t>section</w:t>
      </w:r>
      <w:r w:rsidR="007C63DC">
        <w:rPr>
          <w:rStyle w:val="Referencingstyle"/>
        </w:rPr>
        <w:t> </w:t>
      </w:r>
      <w:r w:rsidR="00CA05A5" w:rsidRPr="00DF298B">
        <w:rPr>
          <w:rStyle w:val="Referencingstyle"/>
        </w:rPr>
        <w:t>65</w:t>
      </w:r>
      <w:r w:rsidR="00AD6183" w:rsidRPr="00DF298B">
        <w:rPr>
          <w:rStyle w:val="Referencingstyle"/>
        </w:rPr>
        <w:t>(</w:t>
      </w:r>
      <w:r w:rsidR="000E559D">
        <w:rPr>
          <w:rStyle w:val="Referencingstyle"/>
        </w:rPr>
        <w:t>d</w:t>
      </w:r>
      <w:r w:rsidR="00AD6183" w:rsidRPr="00DF298B">
        <w:rPr>
          <w:rStyle w:val="Referencingstyle"/>
        </w:rPr>
        <w:t>)</w:t>
      </w:r>
      <w:r w:rsidR="005815C3" w:rsidRPr="00DF298B">
        <w:rPr>
          <w:rStyle w:val="Referencingstyle"/>
        </w:rPr>
        <w:t>]</w:t>
      </w:r>
      <w:r w:rsidR="005815C3">
        <w:rPr>
          <w:rStyle w:val="Referencingstyle"/>
        </w:rPr>
        <w:t xml:space="preserve"> </w:t>
      </w:r>
    </w:p>
    <w:p w14:paraId="2FE37025" w14:textId="77777777" w:rsidR="009C2D18" w:rsidRPr="003E3D76" w:rsidRDefault="009C2D18" w:rsidP="00CA5E7A">
      <w:pPr>
        <w:pStyle w:val="ExampleHeading"/>
      </w:pPr>
      <w:r w:rsidRPr="003E3D76">
        <w:t>: Disputes involving an interstate matter</w:t>
      </w:r>
    </w:p>
    <w:p w14:paraId="43521595" w14:textId="0B886A76" w:rsidR="003E3D76" w:rsidRDefault="009C2D18" w:rsidP="00E92BD7">
      <w:pPr>
        <w:pStyle w:val="exampleindent"/>
      </w:pPr>
      <w:r w:rsidRPr="003E3D76">
        <w:t xml:space="preserve">A small business </w:t>
      </w:r>
      <w:r w:rsidR="003E3D76">
        <w:t xml:space="preserve">in one state </w:t>
      </w:r>
      <w:r w:rsidRPr="003E3D76">
        <w:t>requests assistance from the O</w:t>
      </w:r>
      <w:r w:rsidR="006D60DD">
        <w:t>mbudsman</w:t>
      </w:r>
      <w:r w:rsidR="00E46A01">
        <w:t>,</w:t>
      </w:r>
      <w:r w:rsidRPr="003E3D76">
        <w:t xml:space="preserve"> relating to a dispute it is having with </w:t>
      </w:r>
      <w:r w:rsidR="00583E45">
        <w:t xml:space="preserve">another business </w:t>
      </w:r>
      <w:r w:rsidR="003E3D76">
        <w:t xml:space="preserve">located in another state, </w:t>
      </w:r>
      <w:r w:rsidRPr="003E3D76">
        <w:t xml:space="preserve">about </w:t>
      </w:r>
      <w:r w:rsidR="003E3D76">
        <w:t>the non</w:t>
      </w:r>
      <w:r w:rsidR="009349BC">
        <w:noBreakHyphen/>
      </w:r>
      <w:r w:rsidR="003E3D76">
        <w:t>delivery of goods</w:t>
      </w:r>
      <w:r w:rsidR="003B53C7">
        <w:t xml:space="preserve">. </w:t>
      </w:r>
      <w:r w:rsidR="003E3D76">
        <w:t>W</w:t>
      </w:r>
      <w:r w:rsidR="003E3D76" w:rsidRPr="003E3D76">
        <w:t xml:space="preserve">hether </w:t>
      </w:r>
      <w:r w:rsidR="003E3D76">
        <w:t xml:space="preserve">these businesses are </w:t>
      </w:r>
      <w:r w:rsidR="003E3D76" w:rsidRPr="003E3D76">
        <w:t>incorporated or not is irrelevant</w:t>
      </w:r>
      <w:r w:rsidR="003B53C7">
        <w:t xml:space="preserve">. </w:t>
      </w:r>
      <w:r w:rsidR="003E3D76">
        <w:t>Being a matter of interstate trade, the O</w:t>
      </w:r>
      <w:r w:rsidR="006D60DD">
        <w:t>mbudsman</w:t>
      </w:r>
      <w:r w:rsidR="003E3D76">
        <w:t xml:space="preserve"> </w:t>
      </w:r>
      <w:r w:rsidR="00583E45">
        <w:t>c</w:t>
      </w:r>
      <w:r w:rsidR="003E3D76">
        <w:t>ould deal with this matter.</w:t>
      </w:r>
    </w:p>
    <w:p w14:paraId="3F12BC50" w14:textId="77777777" w:rsidR="009C2D18" w:rsidRDefault="009C2D18">
      <w:pPr>
        <w:pStyle w:val="Heading2"/>
      </w:pPr>
      <w:r>
        <w:t xml:space="preserve">Territories </w:t>
      </w:r>
      <w:r w:rsidR="00FF2BC4">
        <w:t>P</w:t>
      </w:r>
      <w:r>
        <w:t>ower</w:t>
      </w:r>
    </w:p>
    <w:p w14:paraId="4CCF11F8" w14:textId="77777777" w:rsidR="009C2D18" w:rsidRDefault="009C2D18" w:rsidP="00200FC3">
      <w:pPr>
        <w:pStyle w:val="base-text-paragraph"/>
      </w:pPr>
      <w:r>
        <w:t xml:space="preserve">The </w:t>
      </w:r>
      <w:r w:rsidR="00A023E6">
        <w:t>T</w:t>
      </w:r>
      <w:r w:rsidR="007C63DC">
        <w:t xml:space="preserve">erritories </w:t>
      </w:r>
      <w:r w:rsidR="00A023E6">
        <w:t xml:space="preserve">Power </w:t>
      </w:r>
      <w:r>
        <w:t xml:space="preserve">allows the Commonwealth to make laws for the government of any </w:t>
      </w:r>
      <w:r w:rsidR="007C63DC">
        <w:t xml:space="preserve">territory </w:t>
      </w:r>
      <w:r>
        <w:t>(section 122 of the Constitution)</w:t>
      </w:r>
      <w:r w:rsidR="003B53C7">
        <w:t xml:space="preserve">. </w:t>
      </w:r>
      <w:r>
        <w:t xml:space="preserve">The </w:t>
      </w:r>
      <w:r w:rsidR="00FF2BC4">
        <w:t>T</w:t>
      </w:r>
      <w:r w:rsidR="007C63DC">
        <w:t xml:space="preserve">erritories </w:t>
      </w:r>
      <w:r w:rsidR="00FF2BC4">
        <w:t>P</w:t>
      </w:r>
      <w:r>
        <w:t>ower of the Constitution supports the provisions of the Bill that deal with:</w:t>
      </w:r>
    </w:p>
    <w:p w14:paraId="3EF126D1" w14:textId="77777777" w:rsidR="009C2D18" w:rsidRDefault="009C2D18" w:rsidP="00C00A0E">
      <w:pPr>
        <w:pStyle w:val="exampledotpoint1"/>
      </w:pPr>
      <w:r w:rsidRPr="00C00A0E">
        <w:rPr>
          <w:sz w:val="22"/>
          <w:szCs w:val="22"/>
        </w:rPr>
        <w:t xml:space="preserve">past, present or proposed legislation, policies or practices of </w:t>
      </w:r>
      <w:r w:rsidR="007C63DC">
        <w:rPr>
          <w:sz w:val="22"/>
          <w:szCs w:val="22"/>
        </w:rPr>
        <w:t>t</w:t>
      </w:r>
      <w:r w:rsidR="007C63DC" w:rsidRPr="00C00A0E">
        <w:rPr>
          <w:sz w:val="22"/>
          <w:szCs w:val="22"/>
        </w:rPr>
        <w:t xml:space="preserve">erritory </w:t>
      </w:r>
      <w:r w:rsidRPr="00C00A0E">
        <w:rPr>
          <w:sz w:val="22"/>
          <w:szCs w:val="22"/>
        </w:rPr>
        <w:t>agencies, to the extent that they affect or may affect small businesses or family enterprises</w:t>
      </w:r>
      <w:r w:rsidR="005815C3">
        <w:t xml:space="preserve"> </w:t>
      </w:r>
      <w:r w:rsidR="005815C3" w:rsidRPr="00ED057C">
        <w:rPr>
          <w:rStyle w:val="Referencingstyle"/>
        </w:rPr>
        <w:t>[</w:t>
      </w:r>
      <w:r w:rsidR="00CA05A5" w:rsidRPr="00DF298B">
        <w:rPr>
          <w:rStyle w:val="Referencingstyle"/>
        </w:rPr>
        <w:t>Part 3</w:t>
      </w:r>
      <w:r w:rsidR="007C63DC">
        <w:rPr>
          <w:rStyle w:val="Referencingstyle"/>
        </w:rPr>
        <w:t>,</w:t>
      </w:r>
      <w:r w:rsidR="00CA05A5" w:rsidRPr="00DF298B">
        <w:rPr>
          <w:rStyle w:val="Referencingstyle"/>
        </w:rPr>
        <w:t> Division 1</w:t>
      </w:r>
      <w:r w:rsidR="007C63DC">
        <w:rPr>
          <w:rStyle w:val="Referencingstyle"/>
        </w:rPr>
        <w:t>,</w:t>
      </w:r>
      <w:r w:rsidR="00CA05A5" w:rsidRPr="00DF298B">
        <w:rPr>
          <w:rStyle w:val="Referencingstyle"/>
        </w:rPr>
        <w:t xml:space="preserve"> </w:t>
      </w:r>
      <w:r w:rsidR="00AD6183" w:rsidRPr="00DF298B">
        <w:rPr>
          <w:rStyle w:val="Referencingstyle"/>
        </w:rPr>
        <w:t>sub</w:t>
      </w:r>
      <w:r w:rsidR="00CA05A5" w:rsidRPr="00DF298B">
        <w:rPr>
          <w:rStyle w:val="Referencingstyle"/>
        </w:rPr>
        <w:t>section 35</w:t>
      </w:r>
      <w:r w:rsidR="00AD6183" w:rsidRPr="00DF298B">
        <w:rPr>
          <w:rStyle w:val="Referencingstyle"/>
        </w:rPr>
        <w:t>(</w:t>
      </w:r>
      <w:r w:rsidRPr="00DF298B">
        <w:rPr>
          <w:rStyle w:val="Referencingstyle"/>
        </w:rPr>
        <w:t>b</w:t>
      </w:r>
      <w:r w:rsidR="00AD6183" w:rsidRPr="00DF298B">
        <w:rPr>
          <w:rStyle w:val="Referencingstyle"/>
        </w:rPr>
        <w:t>)</w:t>
      </w:r>
      <w:r w:rsidR="00D71C5F" w:rsidRPr="00DF298B">
        <w:rPr>
          <w:rStyle w:val="Referencingstyle"/>
        </w:rPr>
        <w:t>]</w:t>
      </w:r>
      <w:r w:rsidRPr="00A15E18">
        <w:t>;</w:t>
      </w:r>
    </w:p>
    <w:p w14:paraId="446B03F5" w14:textId="77777777" w:rsidR="009C2D18" w:rsidRPr="00C00A0E" w:rsidRDefault="009C2D18" w:rsidP="00C00A0E">
      <w:pPr>
        <w:pStyle w:val="exampledotpoint1"/>
        <w:rPr>
          <w:sz w:val="22"/>
          <w:szCs w:val="22"/>
        </w:rPr>
      </w:pPr>
      <w:r w:rsidRPr="00C00A0E">
        <w:rPr>
          <w:sz w:val="22"/>
          <w:szCs w:val="22"/>
        </w:rPr>
        <w:t>past, present or proposed policies or practices of any entity, to the extent that they affect or may affect small businesses or family enterprises:</w:t>
      </w:r>
    </w:p>
    <w:p w14:paraId="58839449" w14:textId="77777777" w:rsidR="009C2D18" w:rsidRPr="009349BC" w:rsidRDefault="009C2D18" w:rsidP="009349BC">
      <w:pPr>
        <w:pStyle w:val="ListParagraph"/>
      </w:pPr>
      <w:r w:rsidRPr="009349BC">
        <w:t xml:space="preserve">that are operated by an individual or individuals resident in a </w:t>
      </w:r>
      <w:r w:rsidR="007C63DC" w:rsidRPr="009349BC">
        <w:t>territory</w:t>
      </w:r>
      <w:r w:rsidRPr="009349BC">
        <w:t>; or</w:t>
      </w:r>
    </w:p>
    <w:p w14:paraId="4ADC9CE5" w14:textId="77777777" w:rsidR="009C2D18" w:rsidRPr="009349BC" w:rsidRDefault="009C2D18" w:rsidP="009349BC">
      <w:pPr>
        <w:pStyle w:val="ListParagraph"/>
      </w:pPr>
      <w:r w:rsidRPr="009349BC">
        <w:t xml:space="preserve">that are, or are operated by, a body corporate or body corporates, the principal place of business of which is in a </w:t>
      </w:r>
      <w:r w:rsidR="007C63DC" w:rsidRPr="009349BC">
        <w:t>territory</w:t>
      </w:r>
      <w:r w:rsidRPr="009349BC">
        <w:t>; or</w:t>
      </w:r>
    </w:p>
    <w:p w14:paraId="0C7BD802" w14:textId="77777777" w:rsidR="009C2D18" w:rsidRPr="009349BC" w:rsidRDefault="009C2D18" w:rsidP="009349BC">
      <w:pPr>
        <w:pStyle w:val="ListParagraph"/>
      </w:pPr>
      <w:r w:rsidRPr="009349BC">
        <w:t xml:space="preserve">that are located in a </w:t>
      </w:r>
      <w:r w:rsidR="00C370A6" w:rsidRPr="009349BC">
        <w:t xml:space="preserve">territory </w:t>
      </w:r>
      <w:r w:rsidR="0092258E" w:rsidRPr="009349BC">
        <w:rPr>
          <w:rStyle w:val="Referencingstyle"/>
        </w:rPr>
        <w:t>[Part 3</w:t>
      </w:r>
      <w:r w:rsidR="00021669" w:rsidRPr="009349BC">
        <w:rPr>
          <w:rStyle w:val="Referencingstyle"/>
        </w:rPr>
        <w:t>,</w:t>
      </w:r>
      <w:r w:rsidR="0092258E" w:rsidRPr="009349BC">
        <w:rPr>
          <w:rStyle w:val="Referencingstyle"/>
        </w:rPr>
        <w:t> Division 1</w:t>
      </w:r>
      <w:r w:rsidR="00B56699" w:rsidRPr="009349BC">
        <w:rPr>
          <w:rStyle w:val="Referencingstyle"/>
        </w:rPr>
        <w:t>,</w:t>
      </w:r>
      <w:r w:rsidR="0092258E" w:rsidRPr="009349BC">
        <w:rPr>
          <w:rStyle w:val="Referencingstyle"/>
        </w:rPr>
        <w:t xml:space="preserve"> subsection</w:t>
      </w:r>
      <w:r w:rsidR="00C00A0E" w:rsidRPr="009349BC">
        <w:rPr>
          <w:rStyle w:val="Referencingstyle"/>
        </w:rPr>
        <w:t> </w:t>
      </w:r>
      <w:r w:rsidR="0092258E" w:rsidRPr="009349BC">
        <w:rPr>
          <w:rStyle w:val="Referencingstyle"/>
        </w:rPr>
        <w:t>35(</w:t>
      </w:r>
      <w:r w:rsidR="00A023E6" w:rsidRPr="009349BC">
        <w:rPr>
          <w:rStyle w:val="Referencingstyle"/>
        </w:rPr>
        <w:t>g</w:t>
      </w:r>
      <w:r w:rsidR="0092258E" w:rsidRPr="009349BC">
        <w:rPr>
          <w:rStyle w:val="Referencingstyle"/>
        </w:rPr>
        <w:t>)]</w:t>
      </w:r>
      <w:r w:rsidR="00A023E6" w:rsidRPr="009349BC">
        <w:t>;</w:t>
      </w:r>
      <w:r w:rsidR="00DF46AE" w:rsidRPr="009349BC">
        <w:t xml:space="preserve"> and</w:t>
      </w:r>
    </w:p>
    <w:p w14:paraId="061A7DE7" w14:textId="77777777" w:rsidR="009C2D18" w:rsidRPr="00C00A0E" w:rsidRDefault="009C2D18" w:rsidP="00C00A0E">
      <w:pPr>
        <w:pStyle w:val="exampledotpoint1"/>
        <w:rPr>
          <w:sz w:val="22"/>
          <w:szCs w:val="22"/>
        </w:rPr>
      </w:pPr>
      <w:r w:rsidRPr="00C00A0E">
        <w:rPr>
          <w:sz w:val="22"/>
          <w:szCs w:val="22"/>
        </w:rPr>
        <w:t>an action by or that affects or may affect a small business or family enterprise:</w:t>
      </w:r>
    </w:p>
    <w:p w14:paraId="415CAABC" w14:textId="77777777" w:rsidR="009C2D18" w:rsidRPr="009349BC" w:rsidRDefault="009C2D18" w:rsidP="009349BC">
      <w:pPr>
        <w:pStyle w:val="ListParagraph"/>
      </w:pPr>
      <w:r w:rsidRPr="009349BC">
        <w:t xml:space="preserve">that is operated by an individual or individuals resident in a </w:t>
      </w:r>
      <w:r w:rsidR="00B56699" w:rsidRPr="009349BC">
        <w:t>territory</w:t>
      </w:r>
      <w:r w:rsidRPr="009349BC">
        <w:t>; or</w:t>
      </w:r>
    </w:p>
    <w:p w14:paraId="1B0EC165" w14:textId="77777777" w:rsidR="009C2D18" w:rsidRPr="009349BC" w:rsidRDefault="009C2D18" w:rsidP="009349BC">
      <w:pPr>
        <w:pStyle w:val="ListParagraph"/>
      </w:pPr>
      <w:r w:rsidRPr="009349BC">
        <w:t>that is, or is operated by, a body corporate or body corporates, the principal place of business of which is in a Territory; or</w:t>
      </w:r>
    </w:p>
    <w:p w14:paraId="201E0407" w14:textId="3AE7CA72" w:rsidR="009C2D18" w:rsidRPr="009349BC" w:rsidRDefault="009C2D18" w:rsidP="009349BC">
      <w:pPr>
        <w:pStyle w:val="ListParagraph"/>
      </w:pPr>
      <w:r w:rsidRPr="009349BC">
        <w:t xml:space="preserve">that is located in a </w:t>
      </w:r>
      <w:r w:rsidR="00B56699" w:rsidRPr="009349BC">
        <w:t>territory</w:t>
      </w:r>
      <w:r w:rsidR="005815C3" w:rsidRPr="009349BC">
        <w:t xml:space="preserve">. </w:t>
      </w:r>
      <w:r w:rsidR="005815C3" w:rsidRPr="009349BC">
        <w:rPr>
          <w:rStyle w:val="Referencingstyle"/>
        </w:rPr>
        <w:t>[</w:t>
      </w:r>
      <w:r w:rsidR="00CA05A5" w:rsidRPr="009349BC">
        <w:rPr>
          <w:rStyle w:val="Referencingstyle"/>
        </w:rPr>
        <w:t>Part 4</w:t>
      </w:r>
      <w:r w:rsidR="00B56699" w:rsidRPr="009349BC">
        <w:rPr>
          <w:rStyle w:val="Referencingstyle"/>
        </w:rPr>
        <w:t>,</w:t>
      </w:r>
      <w:r w:rsidR="00CA05A5" w:rsidRPr="009349BC">
        <w:rPr>
          <w:rStyle w:val="Referencingstyle"/>
        </w:rPr>
        <w:t xml:space="preserve"> Division 1</w:t>
      </w:r>
      <w:r w:rsidR="00B56699" w:rsidRPr="009349BC">
        <w:rPr>
          <w:rStyle w:val="Referencingstyle"/>
        </w:rPr>
        <w:t>,</w:t>
      </w:r>
      <w:r w:rsidR="00CA05A5" w:rsidRPr="009349BC">
        <w:rPr>
          <w:rStyle w:val="Referencingstyle"/>
        </w:rPr>
        <w:t xml:space="preserve"> </w:t>
      </w:r>
      <w:r w:rsidR="00AD6183" w:rsidRPr="009349BC">
        <w:rPr>
          <w:rStyle w:val="Referencingstyle"/>
        </w:rPr>
        <w:t>sub</w:t>
      </w:r>
      <w:r w:rsidR="00CA05A5" w:rsidRPr="009349BC">
        <w:rPr>
          <w:rStyle w:val="Referencingstyle"/>
        </w:rPr>
        <w:t>section</w:t>
      </w:r>
      <w:r w:rsidR="00C00A0E" w:rsidRPr="009349BC">
        <w:rPr>
          <w:rStyle w:val="Referencingstyle"/>
        </w:rPr>
        <w:t> </w:t>
      </w:r>
      <w:r w:rsidR="00CA05A5" w:rsidRPr="009349BC">
        <w:rPr>
          <w:rStyle w:val="Referencingstyle"/>
        </w:rPr>
        <w:t>65</w:t>
      </w:r>
      <w:r w:rsidR="00AD6183" w:rsidRPr="009349BC">
        <w:rPr>
          <w:rStyle w:val="Referencingstyle"/>
        </w:rPr>
        <w:t>(</w:t>
      </w:r>
      <w:r w:rsidR="000E559D" w:rsidRPr="009349BC">
        <w:rPr>
          <w:rStyle w:val="Referencingstyle"/>
        </w:rPr>
        <w:t>f</w:t>
      </w:r>
      <w:r w:rsidR="00AD6183" w:rsidRPr="009349BC">
        <w:rPr>
          <w:rStyle w:val="Referencingstyle"/>
        </w:rPr>
        <w:t>)</w:t>
      </w:r>
      <w:r w:rsidR="005815C3" w:rsidRPr="009349BC">
        <w:rPr>
          <w:rStyle w:val="Referencingstyle"/>
        </w:rPr>
        <w:t>]</w:t>
      </w:r>
    </w:p>
    <w:p w14:paraId="3A8D4D32" w14:textId="77777777" w:rsidR="009C2D18" w:rsidRDefault="009C2D18">
      <w:pPr>
        <w:pStyle w:val="Heading2"/>
      </w:pPr>
      <w:r>
        <w:t>Other powers</w:t>
      </w:r>
    </w:p>
    <w:p w14:paraId="59D74A09" w14:textId="77777777" w:rsidR="009C2D18" w:rsidRDefault="009C2D18" w:rsidP="00200FC3">
      <w:pPr>
        <w:pStyle w:val="base-text-paragraph"/>
      </w:pPr>
      <w:r>
        <w:t>The Bill</w:t>
      </w:r>
      <w:r w:rsidR="00193B93">
        <w:t>, w</w:t>
      </w:r>
      <w:r w:rsidR="00193B93" w:rsidRPr="00193B93">
        <w:t xml:space="preserve">here </w:t>
      </w:r>
      <w:r w:rsidR="00193B93">
        <w:t>an</w:t>
      </w:r>
      <w:r w:rsidR="00193B93" w:rsidRPr="00193B93">
        <w:t xml:space="preserve"> action is by, affects, or may affect a small business or family enterprise</w:t>
      </w:r>
      <w:r w:rsidR="00193B93">
        <w:t>,</w:t>
      </w:r>
      <w:r>
        <w:t xml:space="preserve"> relies on </w:t>
      </w:r>
      <w:r w:rsidR="009A4024">
        <w:t>c</w:t>
      </w:r>
      <w:r w:rsidR="00193B93">
        <w:t xml:space="preserve">onstitutional </w:t>
      </w:r>
      <w:r>
        <w:t>powers that deal with:</w:t>
      </w:r>
    </w:p>
    <w:p w14:paraId="33401110" w14:textId="77777777" w:rsidR="009C2D18" w:rsidRPr="009D7CCD" w:rsidRDefault="009C2D18" w:rsidP="009D7CCD">
      <w:pPr>
        <w:pStyle w:val="exampledotpoint1"/>
        <w:rPr>
          <w:sz w:val="22"/>
          <w:szCs w:val="22"/>
        </w:rPr>
      </w:pPr>
      <w:r w:rsidRPr="009D7CCD">
        <w:rPr>
          <w:sz w:val="22"/>
          <w:szCs w:val="22"/>
        </w:rPr>
        <w:t>past, present or proposed policies or practices of any entity in relation to one or more of the following:</w:t>
      </w:r>
    </w:p>
    <w:p w14:paraId="3BDB6BD4" w14:textId="77777777" w:rsidR="009C2D18" w:rsidRPr="009349BC" w:rsidRDefault="009C2D18" w:rsidP="009349BC">
      <w:pPr>
        <w:pStyle w:val="ListParagraph"/>
      </w:pPr>
      <w:r w:rsidRPr="009349BC">
        <w:t>insurance;</w:t>
      </w:r>
    </w:p>
    <w:p w14:paraId="6BC475C3" w14:textId="77777777" w:rsidR="009C2D18" w:rsidRPr="009349BC" w:rsidRDefault="009C2D18" w:rsidP="009349BC">
      <w:pPr>
        <w:pStyle w:val="ListParagraph"/>
      </w:pPr>
      <w:r w:rsidRPr="009349BC">
        <w:t>banking;</w:t>
      </w:r>
    </w:p>
    <w:p w14:paraId="6AE69A32" w14:textId="77777777" w:rsidR="009C2D18" w:rsidRPr="009349BC" w:rsidRDefault="009C2D18" w:rsidP="009349BC">
      <w:pPr>
        <w:pStyle w:val="ListParagraph"/>
      </w:pPr>
      <w:r w:rsidRPr="009349BC">
        <w:t>telecommunications;</w:t>
      </w:r>
    </w:p>
    <w:p w14:paraId="2BB660A2" w14:textId="3AA205EE" w:rsidR="009C2D18" w:rsidRPr="009349BC" w:rsidRDefault="009C2D18" w:rsidP="009349BC">
      <w:pPr>
        <w:pStyle w:val="ListParagraph"/>
      </w:pPr>
      <w:r w:rsidRPr="009349BC">
        <w:t xml:space="preserve">copyright, patents, designs or </w:t>
      </w:r>
      <w:r w:rsidR="009349BC" w:rsidRPr="009349BC">
        <w:t>trademarks</w:t>
      </w:r>
      <w:r w:rsidR="000E368D" w:rsidRPr="009349BC">
        <w:t xml:space="preserve"> </w:t>
      </w:r>
      <w:r w:rsidR="00A72D62" w:rsidRPr="009349BC">
        <w:rPr>
          <w:rStyle w:val="Referencingstyle"/>
        </w:rPr>
        <w:t>[Part 3, Division 1, subsection 35(f)]</w:t>
      </w:r>
      <w:r w:rsidRPr="009349BC">
        <w:t>;</w:t>
      </w:r>
    </w:p>
    <w:p w14:paraId="0EA5F30F" w14:textId="77777777" w:rsidR="009C2D18" w:rsidRPr="009D7CCD" w:rsidRDefault="009C2D18" w:rsidP="009D7CCD">
      <w:pPr>
        <w:pStyle w:val="exampledotpoint1"/>
        <w:rPr>
          <w:sz w:val="22"/>
          <w:szCs w:val="22"/>
        </w:rPr>
      </w:pPr>
      <w:r w:rsidRPr="009D7CCD">
        <w:rPr>
          <w:sz w:val="22"/>
          <w:szCs w:val="22"/>
        </w:rPr>
        <w:t>to the extent that those policies or practices also affect, or may affect, small businesses or family enterprises;</w:t>
      </w:r>
      <w:r w:rsidR="0087318F" w:rsidRPr="009D7CCD">
        <w:rPr>
          <w:sz w:val="22"/>
          <w:szCs w:val="22"/>
        </w:rPr>
        <w:t xml:space="preserve"> and/or</w:t>
      </w:r>
    </w:p>
    <w:p w14:paraId="0F6A2F83" w14:textId="77777777" w:rsidR="009C2D18" w:rsidRPr="009D7CCD" w:rsidRDefault="009C2D18" w:rsidP="009D7CCD">
      <w:pPr>
        <w:pStyle w:val="exampledotpoint1"/>
        <w:rPr>
          <w:sz w:val="22"/>
          <w:szCs w:val="22"/>
        </w:rPr>
      </w:pPr>
      <w:r w:rsidRPr="009D7CCD">
        <w:rPr>
          <w:sz w:val="22"/>
          <w:szCs w:val="22"/>
        </w:rPr>
        <w:t>action in relation to one or more of the following:</w:t>
      </w:r>
    </w:p>
    <w:p w14:paraId="77AD7CBE" w14:textId="77777777" w:rsidR="009C2D18" w:rsidRPr="009349BC" w:rsidRDefault="009C2D18" w:rsidP="009349BC">
      <w:pPr>
        <w:pStyle w:val="ListParagraph"/>
      </w:pPr>
      <w:r w:rsidRPr="009349BC">
        <w:t>insurance;</w:t>
      </w:r>
    </w:p>
    <w:p w14:paraId="55978227" w14:textId="77777777" w:rsidR="009C2D18" w:rsidRPr="009349BC" w:rsidRDefault="009C2D18" w:rsidP="009349BC">
      <w:pPr>
        <w:pStyle w:val="ListParagraph"/>
      </w:pPr>
      <w:r w:rsidRPr="009349BC">
        <w:t>banking;</w:t>
      </w:r>
    </w:p>
    <w:p w14:paraId="3068F90C" w14:textId="77777777" w:rsidR="009C2D18" w:rsidRPr="009349BC" w:rsidRDefault="009C2D18" w:rsidP="009349BC">
      <w:pPr>
        <w:pStyle w:val="ListParagraph"/>
      </w:pPr>
      <w:r w:rsidRPr="009349BC">
        <w:t>telecommunications;</w:t>
      </w:r>
    </w:p>
    <w:p w14:paraId="462703E5" w14:textId="606A5324" w:rsidR="009C2D18" w:rsidRPr="009349BC" w:rsidRDefault="009C2D18" w:rsidP="009349BC">
      <w:pPr>
        <w:pStyle w:val="ListParagraph"/>
      </w:pPr>
      <w:r w:rsidRPr="009349BC">
        <w:t xml:space="preserve">copyright, patents, designs or </w:t>
      </w:r>
      <w:r w:rsidR="009349BC" w:rsidRPr="009349BC">
        <w:t>trademarks</w:t>
      </w:r>
      <w:r w:rsidR="000E368D" w:rsidRPr="009349BC">
        <w:rPr>
          <w:rStyle w:val="Referencingstyle"/>
          <w:b w:val="0"/>
          <w:i w:val="0"/>
          <w:sz w:val="22"/>
        </w:rPr>
        <w:t>.</w:t>
      </w:r>
      <w:r w:rsidR="00A72D62" w:rsidRPr="009349BC">
        <w:rPr>
          <w:rStyle w:val="Referencingstyle"/>
          <w:b w:val="0"/>
          <w:i w:val="0"/>
          <w:sz w:val="22"/>
        </w:rPr>
        <w:t xml:space="preserve"> </w:t>
      </w:r>
      <w:r w:rsidR="00A72D62" w:rsidRPr="009349BC">
        <w:rPr>
          <w:rStyle w:val="Referencingstyle"/>
        </w:rPr>
        <w:t>[Part 4, Division 1, subsection 65(</w:t>
      </w:r>
      <w:r w:rsidR="000E559D" w:rsidRPr="009349BC">
        <w:rPr>
          <w:rStyle w:val="Referencingstyle"/>
        </w:rPr>
        <w:t>e</w:t>
      </w:r>
      <w:r w:rsidR="00A72D62" w:rsidRPr="009349BC">
        <w:rPr>
          <w:rStyle w:val="Referencingstyle"/>
        </w:rPr>
        <w:t>)]</w:t>
      </w:r>
    </w:p>
    <w:p w14:paraId="61CD4D6B" w14:textId="5531B16E" w:rsidR="009C2D18" w:rsidRDefault="009C2D18" w:rsidP="00200FC3">
      <w:pPr>
        <w:pStyle w:val="base-text-paragraph"/>
      </w:pPr>
      <w:r>
        <w:t>Other Commonwealth powers apply to the sections of the Bill which give the O</w:t>
      </w:r>
      <w:r w:rsidR="00B55771">
        <w:t>mbudsman</w:t>
      </w:r>
      <w:r>
        <w:t xml:space="preserve"> information</w:t>
      </w:r>
      <w:r w:rsidR="009349BC">
        <w:noBreakHyphen/>
      </w:r>
      <w:r>
        <w:t>gathering powers</w:t>
      </w:r>
      <w:r w:rsidR="00A72D62">
        <w:t>,</w:t>
      </w:r>
      <w:r>
        <w:t xml:space="preserve"> to the extent that these powers relate to, for example, provisions of the </w:t>
      </w:r>
      <w:r w:rsidRPr="009C1756">
        <w:rPr>
          <w:i/>
        </w:rPr>
        <w:t>Crimes</w:t>
      </w:r>
      <w:r w:rsidR="00B55771" w:rsidRPr="009C1756">
        <w:rPr>
          <w:i/>
        </w:rPr>
        <w:t> </w:t>
      </w:r>
      <w:r w:rsidRPr="009C1756">
        <w:rPr>
          <w:i/>
        </w:rPr>
        <w:t>Act</w:t>
      </w:r>
      <w:r w:rsidR="00B55771" w:rsidRPr="009C1756">
        <w:rPr>
          <w:i/>
        </w:rPr>
        <w:t> </w:t>
      </w:r>
      <w:r w:rsidRPr="009C1756">
        <w:rPr>
          <w:i/>
        </w:rPr>
        <w:t>1914</w:t>
      </w:r>
      <w:r>
        <w:t xml:space="preserve"> or </w:t>
      </w:r>
      <w:r w:rsidRPr="009C1756">
        <w:rPr>
          <w:i/>
        </w:rPr>
        <w:t>Criminal Code</w:t>
      </w:r>
      <w:r w:rsidR="00A72D62">
        <w:t>, these powers rely on the Commonwealth powers supporting those criminal laws.</w:t>
      </w:r>
    </w:p>
    <w:p w14:paraId="1C1FEAEC" w14:textId="77777777" w:rsidR="009C2D18" w:rsidRDefault="009C2D18" w:rsidP="009C2D18">
      <w:pPr>
        <w:sectPr w:rsidR="009C2D18" w:rsidSect="009C2D18">
          <w:headerReference w:type="even" r:id="rId34"/>
          <w:headerReference w:type="default" r:id="rId35"/>
          <w:footerReference w:type="even" r:id="rId36"/>
          <w:footerReference w:type="default" r:id="rId37"/>
          <w:footerReference w:type="first" r:id="rId38"/>
          <w:type w:val="oddPage"/>
          <w:pgSz w:w="11906" w:h="16838" w:code="9"/>
          <w:pgMar w:top="2466" w:right="2098" w:bottom="2466" w:left="2098" w:header="1559" w:footer="1899" w:gutter="0"/>
          <w:cols w:space="708"/>
          <w:titlePg/>
          <w:docGrid w:linePitch="360"/>
        </w:sectPr>
      </w:pPr>
    </w:p>
    <w:p w14:paraId="0F842C8A" w14:textId="77777777" w:rsidR="009C2D18" w:rsidRPr="00F51A71" w:rsidRDefault="009C2D18" w:rsidP="009C2D18">
      <w:pPr>
        <w:pStyle w:val="ChapterHeading"/>
      </w:pPr>
      <w:bookmarkStart w:id="18" w:name="_Toc417980509"/>
      <w:bookmarkStart w:id="19" w:name="_Toc417985043"/>
      <w:r w:rsidRPr="00F51A71">
        <w:br/>
      </w:r>
      <w:bookmarkStart w:id="20" w:name="_Toc419101546"/>
      <w:bookmarkStart w:id="21" w:name="_Toc419136752"/>
      <w:bookmarkStart w:id="22" w:name="_Toc420587199"/>
      <w:r>
        <w:t>Preliminary</w:t>
      </w:r>
      <w:bookmarkEnd w:id="18"/>
      <w:bookmarkEnd w:id="19"/>
      <w:bookmarkEnd w:id="20"/>
      <w:bookmarkEnd w:id="21"/>
      <w:bookmarkEnd w:id="22"/>
    </w:p>
    <w:p w14:paraId="5CAD6493" w14:textId="77777777" w:rsidR="009C2D18" w:rsidRDefault="009C2D18" w:rsidP="009C2D18">
      <w:pPr>
        <w:pStyle w:val="Heading2"/>
      </w:pPr>
      <w:r>
        <w:t xml:space="preserve">Outline of </w:t>
      </w:r>
      <w:r w:rsidR="00B95B99">
        <w:t>chapter</w:t>
      </w:r>
    </w:p>
    <w:p w14:paraId="02F84F52" w14:textId="77777777" w:rsidR="00B56699" w:rsidRDefault="00BB7C2A" w:rsidP="00200FC3">
      <w:pPr>
        <w:pStyle w:val="base-text-paragraph"/>
      </w:pPr>
      <w:r w:rsidRPr="00B56699">
        <w:t>Th</w:t>
      </w:r>
      <w:r w:rsidR="00E43378" w:rsidRPr="00B56699">
        <w:t xml:space="preserve">is </w:t>
      </w:r>
      <w:r w:rsidR="00026DE8">
        <w:t>c</w:t>
      </w:r>
      <w:r w:rsidR="00026DE8" w:rsidRPr="00B56699">
        <w:t xml:space="preserve">hapter </w:t>
      </w:r>
      <w:r w:rsidRPr="00B56699">
        <w:t>sets out the objects of the Bill, when the Bill will commence, definitions</w:t>
      </w:r>
      <w:r w:rsidR="00FB5935" w:rsidRPr="00B56699">
        <w:t>, and a simplified outline of the Bill</w:t>
      </w:r>
      <w:r w:rsidRPr="00B56699">
        <w:t>.</w:t>
      </w:r>
      <w:r w:rsidR="00FB5935" w:rsidRPr="00B56699">
        <w:t xml:space="preserve"> It should be noted that, while the simplified outline is included to assist readers to understand the substantive provisions of the Bill, the outline is not intended to be comprehensive. </w:t>
      </w:r>
      <w:r w:rsidR="008D3645" w:rsidRPr="00ED057C">
        <w:rPr>
          <w:rStyle w:val="Referencingstyle"/>
        </w:rPr>
        <w:t>[Part</w:t>
      </w:r>
      <w:r w:rsidR="008D3645">
        <w:rPr>
          <w:rStyle w:val="Referencingstyle"/>
        </w:rPr>
        <w:t> </w:t>
      </w:r>
      <w:r w:rsidR="008D3645" w:rsidRPr="00ED057C">
        <w:rPr>
          <w:rStyle w:val="Referencingstyle"/>
        </w:rPr>
        <w:t>1</w:t>
      </w:r>
      <w:r w:rsidR="008D3645">
        <w:rPr>
          <w:rStyle w:val="Referencingstyle"/>
        </w:rPr>
        <w:t>,</w:t>
      </w:r>
      <w:r w:rsidR="008D3645" w:rsidRPr="00ED057C">
        <w:rPr>
          <w:rStyle w:val="Referencingstyle"/>
        </w:rPr>
        <w:t xml:space="preserve"> section </w:t>
      </w:r>
      <w:r w:rsidR="008D3645">
        <w:rPr>
          <w:rStyle w:val="Referencingstyle"/>
        </w:rPr>
        <w:t>3</w:t>
      </w:r>
      <w:r w:rsidR="008D3645" w:rsidRPr="00ED057C">
        <w:rPr>
          <w:rStyle w:val="Referencingstyle"/>
        </w:rPr>
        <w:t>]</w:t>
      </w:r>
    </w:p>
    <w:p w14:paraId="0B07B032" w14:textId="77777777" w:rsidR="009C2D18" w:rsidRDefault="009C2D18" w:rsidP="009C2D18">
      <w:pPr>
        <w:pStyle w:val="Heading2"/>
      </w:pPr>
      <w:r w:rsidRPr="00A03FDB">
        <w:t>Detailed explanation of new law</w:t>
      </w:r>
    </w:p>
    <w:p w14:paraId="40FF1282" w14:textId="77777777" w:rsidR="00BB7C2A" w:rsidRDefault="00BB7C2A" w:rsidP="00C71EE9">
      <w:pPr>
        <w:pStyle w:val="Heading3"/>
      </w:pPr>
      <w:r>
        <w:t>Object</w:t>
      </w:r>
    </w:p>
    <w:p w14:paraId="1475D35F" w14:textId="77777777" w:rsidR="00B56699" w:rsidRDefault="00BB7C2A" w:rsidP="00200FC3">
      <w:pPr>
        <w:pStyle w:val="base-text-paragraph"/>
      </w:pPr>
      <w:r>
        <w:t>The Bill establishes the Australian Small Business and Family Enterprise Ombudsman with advocacy and assistance functions.</w:t>
      </w:r>
      <w:r w:rsidR="00B56699" w:rsidRPr="00B56699">
        <w:t xml:space="preserve"> </w:t>
      </w:r>
    </w:p>
    <w:p w14:paraId="073A9904" w14:textId="77777777" w:rsidR="00BB7C2A" w:rsidRPr="00B56699" w:rsidRDefault="00BB7C2A" w:rsidP="00C71EE9">
      <w:pPr>
        <w:pStyle w:val="Heading3"/>
      </w:pPr>
      <w:r w:rsidRPr="00B56699">
        <w:t>Commencement</w:t>
      </w:r>
    </w:p>
    <w:p w14:paraId="6E0CD616" w14:textId="77777777" w:rsidR="00BB7C2A" w:rsidRPr="00BB7C2A" w:rsidRDefault="00FF5F8B" w:rsidP="00200FC3">
      <w:pPr>
        <w:pStyle w:val="base-text-paragraph"/>
      </w:pPr>
      <w:r>
        <w:t xml:space="preserve">Section 1 (the name of the </w:t>
      </w:r>
      <w:r w:rsidRPr="00B4462D">
        <w:rPr>
          <w:i/>
        </w:rPr>
        <w:t>Australian Small Business and Family Enterprise Ombudsman Act 2015</w:t>
      </w:r>
      <w:r>
        <w:t xml:space="preserve"> </w:t>
      </w:r>
      <w:r w:rsidRPr="00ED057C">
        <w:rPr>
          <w:rStyle w:val="Referencingstyle"/>
        </w:rPr>
        <w:t>[Part</w:t>
      </w:r>
      <w:r>
        <w:rPr>
          <w:rStyle w:val="Referencingstyle"/>
        </w:rPr>
        <w:t> </w:t>
      </w:r>
      <w:r w:rsidRPr="00ED057C">
        <w:rPr>
          <w:rStyle w:val="Referencingstyle"/>
        </w:rPr>
        <w:t>1</w:t>
      </w:r>
      <w:r>
        <w:rPr>
          <w:rStyle w:val="Referencingstyle"/>
        </w:rPr>
        <w:t>,</w:t>
      </w:r>
      <w:r w:rsidRPr="00ED057C">
        <w:rPr>
          <w:rStyle w:val="Referencingstyle"/>
        </w:rPr>
        <w:t xml:space="preserve"> section </w:t>
      </w:r>
      <w:r>
        <w:rPr>
          <w:rStyle w:val="Referencingstyle"/>
        </w:rPr>
        <w:t>1</w:t>
      </w:r>
      <w:r w:rsidRPr="00ED057C">
        <w:rPr>
          <w:rStyle w:val="Referencingstyle"/>
        </w:rPr>
        <w:t>]</w:t>
      </w:r>
      <w:r>
        <w:t xml:space="preserve">), and Section 2 (the commencement provisions), will both </w:t>
      </w:r>
      <w:r w:rsidR="00BB7C2A">
        <w:t xml:space="preserve">commence on the day the Bill receives Royal Assent. Sections 3 to 96 </w:t>
      </w:r>
      <w:r w:rsidR="007470ED">
        <w:t xml:space="preserve">of the Act will </w:t>
      </w:r>
      <w:r w:rsidR="00BB7C2A">
        <w:t>commence on a day to be fixed by Proclamation.</w:t>
      </w:r>
      <w:r w:rsidR="0046183E">
        <w:t xml:space="preserve"> </w:t>
      </w:r>
      <w:r w:rsidR="0046183E" w:rsidRPr="00ED057C">
        <w:rPr>
          <w:rStyle w:val="Referencingstyle"/>
        </w:rPr>
        <w:t>[Part</w:t>
      </w:r>
      <w:r w:rsidR="00EC2043">
        <w:rPr>
          <w:rStyle w:val="Referencingstyle"/>
        </w:rPr>
        <w:t> </w:t>
      </w:r>
      <w:r w:rsidR="0046183E" w:rsidRPr="00ED057C">
        <w:rPr>
          <w:rStyle w:val="Referencingstyle"/>
        </w:rPr>
        <w:t>1</w:t>
      </w:r>
      <w:r w:rsidR="00677AE7">
        <w:rPr>
          <w:rStyle w:val="Referencingstyle"/>
        </w:rPr>
        <w:t>,</w:t>
      </w:r>
      <w:r w:rsidR="0046183E" w:rsidRPr="00ED057C">
        <w:rPr>
          <w:rStyle w:val="Referencingstyle"/>
        </w:rPr>
        <w:t xml:space="preserve"> section 2]</w:t>
      </w:r>
    </w:p>
    <w:p w14:paraId="7D7E0D90" w14:textId="77777777" w:rsidR="00C66BFB" w:rsidRPr="00EC2043" w:rsidRDefault="00C66BFB" w:rsidP="00EC2043">
      <w:pPr>
        <w:pStyle w:val="Heading2"/>
      </w:pPr>
      <w:r w:rsidRPr="00EC2043">
        <w:t>Application</w:t>
      </w:r>
    </w:p>
    <w:p w14:paraId="67DB4C04" w14:textId="77777777" w:rsidR="00BB7C2A" w:rsidRPr="00EC2043" w:rsidRDefault="00BB7C2A" w:rsidP="00C71EE9">
      <w:pPr>
        <w:pStyle w:val="Heading3"/>
      </w:pPr>
      <w:r w:rsidRPr="00EC2043">
        <w:t>Definitions</w:t>
      </w:r>
    </w:p>
    <w:p w14:paraId="63001549" w14:textId="77777777" w:rsidR="0046183E" w:rsidRDefault="00304EE2" w:rsidP="00200FC3">
      <w:pPr>
        <w:pStyle w:val="base-text-paragraph"/>
      </w:pPr>
      <w:r>
        <w:t>D</w:t>
      </w:r>
      <w:r w:rsidR="0046183E">
        <w:t xml:space="preserve">efinitions </w:t>
      </w:r>
      <w:r>
        <w:t>are</w:t>
      </w:r>
      <w:r w:rsidR="0046183E">
        <w:t xml:space="preserve"> included in section 4 of the Bill.</w:t>
      </w:r>
      <w:r w:rsidR="00683449">
        <w:t xml:space="preserve"> </w:t>
      </w:r>
      <w:r w:rsidR="00683449" w:rsidRPr="00ED057C">
        <w:rPr>
          <w:rStyle w:val="Referencingstyle"/>
        </w:rPr>
        <w:t>[Part 1</w:t>
      </w:r>
      <w:r w:rsidR="00D03090">
        <w:rPr>
          <w:rStyle w:val="Referencingstyle"/>
        </w:rPr>
        <w:t>,</w:t>
      </w:r>
      <w:r w:rsidR="00683449" w:rsidRPr="00ED057C">
        <w:rPr>
          <w:rStyle w:val="Referencingstyle"/>
        </w:rPr>
        <w:t xml:space="preserve"> section 4]</w:t>
      </w:r>
    </w:p>
    <w:p w14:paraId="153D7793" w14:textId="02DEE28A" w:rsidR="00304EE2" w:rsidRDefault="00304EE2" w:rsidP="00200FC3">
      <w:pPr>
        <w:pStyle w:val="base-text-paragraph"/>
      </w:pPr>
      <w:r>
        <w:t xml:space="preserve">The Bill defines </w:t>
      </w:r>
      <w:r w:rsidR="009349BC">
        <w:t>‘</w:t>
      </w:r>
      <w:r>
        <w:t>alternative dispute resolution processes</w:t>
      </w:r>
      <w:r w:rsidR="009349BC">
        <w:t>’</w:t>
      </w:r>
      <w:r>
        <w:t xml:space="preserve"> broadly </w:t>
      </w:r>
      <w:r w:rsidR="00FE1F49">
        <w:t xml:space="preserve">as </w:t>
      </w:r>
      <w:r>
        <w:t>includ</w:t>
      </w:r>
      <w:r w:rsidR="00FE1F49">
        <w:t>ing</w:t>
      </w:r>
      <w:r>
        <w:t>:</w:t>
      </w:r>
    </w:p>
    <w:p w14:paraId="72210503" w14:textId="77777777" w:rsidR="00304EE2" w:rsidRPr="00893D86" w:rsidRDefault="00304EE2" w:rsidP="00304EE2">
      <w:pPr>
        <w:pStyle w:val="exampledotpoint1"/>
        <w:rPr>
          <w:sz w:val="22"/>
        </w:rPr>
      </w:pPr>
      <w:r w:rsidRPr="00893D86">
        <w:rPr>
          <w:sz w:val="22"/>
        </w:rPr>
        <w:t>conferencing; and</w:t>
      </w:r>
    </w:p>
    <w:p w14:paraId="77CA3049" w14:textId="77777777" w:rsidR="00304EE2" w:rsidRPr="00893D86" w:rsidRDefault="00304EE2" w:rsidP="00304EE2">
      <w:pPr>
        <w:pStyle w:val="exampledotpoint1"/>
        <w:rPr>
          <w:sz w:val="22"/>
        </w:rPr>
      </w:pPr>
      <w:r w:rsidRPr="00893D86">
        <w:rPr>
          <w:sz w:val="22"/>
        </w:rPr>
        <w:t>mediation; and</w:t>
      </w:r>
    </w:p>
    <w:p w14:paraId="22AB4573" w14:textId="77777777" w:rsidR="00304EE2" w:rsidRPr="00893D86" w:rsidRDefault="00304EE2" w:rsidP="00304EE2">
      <w:pPr>
        <w:pStyle w:val="exampledotpoint1"/>
        <w:rPr>
          <w:sz w:val="22"/>
        </w:rPr>
      </w:pPr>
      <w:r w:rsidRPr="00893D86">
        <w:rPr>
          <w:sz w:val="22"/>
        </w:rPr>
        <w:t>neutral evaluation; and</w:t>
      </w:r>
    </w:p>
    <w:p w14:paraId="1F941A08" w14:textId="77777777" w:rsidR="00304EE2" w:rsidRPr="00893D86" w:rsidRDefault="00304EE2" w:rsidP="00304EE2">
      <w:pPr>
        <w:pStyle w:val="exampledotpoint1"/>
        <w:rPr>
          <w:sz w:val="22"/>
        </w:rPr>
      </w:pPr>
      <w:r w:rsidRPr="00893D86">
        <w:rPr>
          <w:sz w:val="22"/>
        </w:rPr>
        <w:t>case appraisal; and</w:t>
      </w:r>
    </w:p>
    <w:p w14:paraId="0FB762CD" w14:textId="77777777" w:rsidR="00304EE2" w:rsidRPr="00893D86" w:rsidRDefault="00304EE2" w:rsidP="00304EE2">
      <w:pPr>
        <w:pStyle w:val="exampledotpoint1"/>
        <w:rPr>
          <w:sz w:val="22"/>
        </w:rPr>
      </w:pPr>
      <w:r w:rsidRPr="00893D86">
        <w:rPr>
          <w:sz w:val="22"/>
        </w:rPr>
        <w:t>conciliation; and</w:t>
      </w:r>
    </w:p>
    <w:p w14:paraId="0956074D" w14:textId="77777777" w:rsidR="00304EE2" w:rsidRPr="00893D86" w:rsidRDefault="00304EE2" w:rsidP="00304EE2">
      <w:pPr>
        <w:pStyle w:val="exampledotpoint1"/>
        <w:rPr>
          <w:sz w:val="22"/>
        </w:rPr>
      </w:pPr>
      <w:r w:rsidRPr="00893D86">
        <w:rPr>
          <w:sz w:val="22"/>
        </w:rPr>
        <w:t>prescribed procedures or services.</w:t>
      </w:r>
    </w:p>
    <w:p w14:paraId="4462CA9F" w14:textId="1A9A989E" w:rsidR="00683449" w:rsidRDefault="00042DB1" w:rsidP="00200FC3">
      <w:pPr>
        <w:pStyle w:val="base-text-paragraph"/>
      </w:pPr>
      <w:r>
        <w:t xml:space="preserve">The Ombudsman may recommend that alternative dispute resolution </w:t>
      </w:r>
      <w:r w:rsidR="00FE1F49">
        <w:t xml:space="preserve">(ADR) </w:t>
      </w:r>
      <w:r>
        <w:t>processes be undertaken</w:t>
      </w:r>
      <w:r w:rsidR="00654F19">
        <w:t xml:space="preserve"> (section 71)</w:t>
      </w:r>
      <w:r>
        <w:t xml:space="preserve">, however </w:t>
      </w:r>
      <w:r w:rsidRPr="00042DB1">
        <w:t xml:space="preserve">the </w:t>
      </w:r>
      <w:r w:rsidR="00E14D5C">
        <w:t>Ombudsman</w:t>
      </w:r>
      <w:r w:rsidRPr="00042DB1">
        <w:t xml:space="preserve">, delegates of the </w:t>
      </w:r>
      <w:r w:rsidR="00E14D5C">
        <w:t>Ombudsman</w:t>
      </w:r>
      <w:r w:rsidRPr="00042DB1">
        <w:t xml:space="preserve">, the </w:t>
      </w:r>
      <w:r w:rsidR="00E14D5C">
        <w:t>Ombudsman</w:t>
      </w:r>
      <w:r w:rsidR="009349BC">
        <w:t>’</w:t>
      </w:r>
      <w:r w:rsidR="00E14D5C">
        <w:t>s</w:t>
      </w:r>
      <w:r w:rsidR="00E14D5C" w:rsidRPr="00042DB1">
        <w:t xml:space="preserve"> </w:t>
      </w:r>
      <w:r w:rsidRPr="00042DB1">
        <w:t>staff, and consultants e</w:t>
      </w:r>
      <w:r>
        <w:t xml:space="preserve">ngaged for the </w:t>
      </w:r>
      <w:r w:rsidR="00E14D5C">
        <w:t>Ombudsman</w:t>
      </w:r>
      <w:r>
        <w:t>, will not</w:t>
      </w:r>
      <w:r w:rsidRPr="00042DB1">
        <w:t xml:space="preserve"> conduct any alternative dispute resolution processes</w:t>
      </w:r>
      <w:r w:rsidR="00654F19">
        <w:t xml:space="preserve"> </w:t>
      </w:r>
      <w:r w:rsidR="00497B46" w:rsidRPr="00ED057C">
        <w:rPr>
          <w:rStyle w:val="Referencingstyle"/>
        </w:rPr>
        <w:t>[</w:t>
      </w:r>
      <w:r w:rsidR="00497B46" w:rsidRPr="00497B46">
        <w:rPr>
          <w:rStyle w:val="Referencingstyle"/>
        </w:rPr>
        <w:t>Part 4</w:t>
      </w:r>
      <w:r w:rsidR="00D03090">
        <w:rPr>
          <w:rStyle w:val="Referencingstyle"/>
        </w:rPr>
        <w:t>,</w:t>
      </w:r>
      <w:r w:rsidR="00497B46" w:rsidRPr="00497B46">
        <w:rPr>
          <w:rStyle w:val="Referencingstyle"/>
        </w:rPr>
        <w:t xml:space="preserve"> Division 3</w:t>
      </w:r>
      <w:r w:rsidR="00D03090">
        <w:rPr>
          <w:rStyle w:val="Referencingstyle"/>
        </w:rPr>
        <w:t>,</w:t>
      </w:r>
      <w:r w:rsidR="00497B46" w:rsidRPr="00497B46">
        <w:rPr>
          <w:rStyle w:val="Referencingstyle"/>
        </w:rPr>
        <w:t xml:space="preserve"> subsection 73(2)]</w:t>
      </w:r>
      <w:r>
        <w:t xml:space="preserve">, </w:t>
      </w:r>
      <w:r w:rsidR="00654F19">
        <w:t xml:space="preserve">which will </w:t>
      </w:r>
      <w:r>
        <w:t xml:space="preserve">instead </w:t>
      </w:r>
      <w:r w:rsidR="00654F19">
        <w:t xml:space="preserve">be </w:t>
      </w:r>
      <w:r>
        <w:t>conducted by alternative dispute resolution providers through the Ombudsman</w:t>
      </w:r>
      <w:r w:rsidR="009349BC">
        <w:t>’</w:t>
      </w:r>
      <w:r>
        <w:t>s outsourced dispute resolution function</w:t>
      </w:r>
      <w:r w:rsidRPr="00042DB1">
        <w:t xml:space="preserve">. </w:t>
      </w:r>
      <w:r w:rsidR="00FE1F49">
        <w:t xml:space="preserve">It should also be noted that the Constitution restricts the exercise of Commonwealth judicial power to the </w:t>
      </w:r>
      <w:r w:rsidR="00FF2BC4">
        <w:t>F</w:t>
      </w:r>
      <w:r w:rsidR="00FE1F49">
        <w:t xml:space="preserve">ederal </w:t>
      </w:r>
      <w:r w:rsidR="00FF2BC4">
        <w:t>Court system</w:t>
      </w:r>
      <w:r w:rsidR="00FE1F49">
        <w:t>.</w:t>
      </w:r>
    </w:p>
    <w:p w14:paraId="1D0411B4" w14:textId="77777777" w:rsidR="009C2D18" w:rsidRPr="00A03FDB" w:rsidRDefault="009C2D18" w:rsidP="00C71EE9">
      <w:pPr>
        <w:pStyle w:val="Heading3"/>
      </w:pPr>
      <w:r w:rsidRPr="00A03FDB">
        <w:t>Meaning of a small business and family enterprise</w:t>
      </w:r>
    </w:p>
    <w:p w14:paraId="4027D4FF" w14:textId="4F300AB4" w:rsidR="009C2D18" w:rsidRDefault="009C2D18" w:rsidP="00200FC3">
      <w:pPr>
        <w:pStyle w:val="base-text-paragraph"/>
      </w:pPr>
      <w:r w:rsidRPr="00680E77">
        <w:t>There are many existing definitions of small business used within government</w:t>
      </w:r>
      <w:r w:rsidR="003B53C7">
        <w:t xml:space="preserve">. </w:t>
      </w:r>
      <w:r w:rsidRPr="00680E77">
        <w:t xml:space="preserve">The recent report of the Productivity Commission on </w:t>
      </w:r>
      <w:r w:rsidRPr="00B56699">
        <w:rPr>
          <w:i/>
        </w:rPr>
        <w:t>Regulator Engagement with Small Business</w:t>
      </w:r>
      <w:r w:rsidRPr="00680E77">
        <w:t xml:space="preserve"> warned against governments imposing a single definition of small business</w:t>
      </w:r>
      <w:r w:rsidR="008E4A59">
        <w:t>,</w:t>
      </w:r>
      <w:r w:rsidRPr="00680E77">
        <w:t xml:space="preserve"> and stated that </w:t>
      </w:r>
      <w:r w:rsidR="009349BC">
        <w:t>‘</w:t>
      </w:r>
      <w:r w:rsidRPr="00680E77">
        <w:t>Policy makers and regulators are best placed to define a small business in ways that are practical and appropriate for their regulatory area.</w:t>
      </w:r>
      <w:r w:rsidR="009349BC">
        <w:t>’</w:t>
      </w:r>
    </w:p>
    <w:p w14:paraId="532313BA" w14:textId="7D019E34" w:rsidR="009C2D18" w:rsidRPr="00AF389E" w:rsidRDefault="009C2D18" w:rsidP="00200FC3">
      <w:pPr>
        <w:pStyle w:val="base-text-paragraph"/>
      </w:pPr>
      <w:r w:rsidRPr="00AF389E">
        <w:t xml:space="preserve">In the Bill, a small business is defined as </w:t>
      </w:r>
      <w:r w:rsidR="008E4A59">
        <w:t>a business</w:t>
      </w:r>
      <w:r w:rsidRPr="00AF389E">
        <w:t xml:space="preserve"> with fewer than 100 employees or revenue under $5 million in the previous financial year</w:t>
      </w:r>
      <w:r w:rsidR="00B361B1">
        <w:t xml:space="preserve"> </w:t>
      </w:r>
      <w:r w:rsidR="005815C3" w:rsidRPr="00ED057C">
        <w:rPr>
          <w:rStyle w:val="Referencingstyle"/>
        </w:rPr>
        <w:t>[</w:t>
      </w:r>
      <w:r w:rsidR="006A10E0" w:rsidRPr="00ED057C">
        <w:rPr>
          <w:rStyle w:val="Referencingstyle"/>
        </w:rPr>
        <w:t>Part 1</w:t>
      </w:r>
      <w:r w:rsidR="00D03090">
        <w:rPr>
          <w:rStyle w:val="Referencingstyle"/>
        </w:rPr>
        <w:t>,</w:t>
      </w:r>
      <w:r w:rsidR="006A10E0" w:rsidRPr="00ED057C">
        <w:rPr>
          <w:rStyle w:val="Referencingstyle"/>
        </w:rPr>
        <w:t xml:space="preserve"> section 5]</w:t>
      </w:r>
      <w:r w:rsidR="00643754" w:rsidRPr="00B56699">
        <w:rPr>
          <w:rStyle w:val="Referencingstyle"/>
          <w:i w:val="0"/>
        </w:rPr>
        <w:t>.</w:t>
      </w:r>
      <w:r w:rsidR="00643754">
        <w:rPr>
          <w:rStyle w:val="Referencingstyle"/>
        </w:rPr>
        <w:t xml:space="preserve"> </w:t>
      </w:r>
      <w:r w:rsidRPr="00AF389E">
        <w:t>Including this definition will provide the O</w:t>
      </w:r>
      <w:r w:rsidR="00B50C78">
        <w:t>mbudsman</w:t>
      </w:r>
      <w:r w:rsidRPr="00AF389E">
        <w:t xml:space="preserve"> with a clear remit, and provide clarity to the public on the extent of the O</w:t>
      </w:r>
      <w:r w:rsidR="00B50C78">
        <w:t>mbudsman</w:t>
      </w:r>
      <w:r w:rsidR="009349BC">
        <w:t>’</w:t>
      </w:r>
      <w:r w:rsidRPr="00AF389E">
        <w:t>s role.</w:t>
      </w:r>
    </w:p>
    <w:p w14:paraId="03B89F4A" w14:textId="77777777" w:rsidR="009C2D18" w:rsidRDefault="009C2D18" w:rsidP="00200FC3">
      <w:pPr>
        <w:pStyle w:val="base-text-paragraph"/>
      </w:pPr>
      <w:r>
        <w:t>Family enterprise is an extremely diverse component of the business sector and can be particularly difficult to define</w:t>
      </w:r>
      <w:r w:rsidR="003B53C7">
        <w:t xml:space="preserve">. </w:t>
      </w:r>
      <w:r>
        <w:t xml:space="preserve">The report of the Joint Parliamentary Committee on </w:t>
      </w:r>
      <w:r w:rsidRPr="00E14D5C">
        <w:rPr>
          <w:i/>
        </w:rPr>
        <w:t>Family Businesses in Australia</w:t>
      </w:r>
      <w:r>
        <w:t xml:space="preserve"> noted that no official definition exists, although organisations have applied particular definitions at various times for the purpose of gathering information on the sector</w:t>
      </w:r>
      <w:r w:rsidR="003B53C7">
        <w:t xml:space="preserve">. </w:t>
      </w:r>
      <w:r>
        <w:t xml:space="preserve">Family enterprises, nevertheless, often </w:t>
      </w:r>
      <w:r w:rsidR="00145F5D">
        <w:t xml:space="preserve">have unique </w:t>
      </w:r>
      <w:r>
        <w:t xml:space="preserve">characteristic traits and face </w:t>
      </w:r>
      <w:r w:rsidR="00145F5D">
        <w:t xml:space="preserve">unique </w:t>
      </w:r>
      <w:r>
        <w:t>challenges.</w:t>
      </w:r>
    </w:p>
    <w:p w14:paraId="5CC38FC1" w14:textId="719E2A17" w:rsidR="00F65B03" w:rsidRDefault="009C2D18" w:rsidP="00F65B03">
      <w:pPr>
        <w:pStyle w:val="base-text-paragraph"/>
      </w:pPr>
      <w:r>
        <w:t>While it appears from surveys that many family enterprises are small businesses, there are also medium</w:t>
      </w:r>
      <w:r w:rsidR="009349BC">
        <w:noBreakHyphen/>
      </w:r>
      <w:r>
        <w:t xml:space="preserve">sized and large family </w:t>
      </w:r>
      <w:r w:rsidR="00E14D5C">
        <w:t>enterprises</w:t>
      </w:r>
      <w:r w:rsidR="003B53C7">
        <w:t xml:space="preserve">. </w:t>
      </w:r>
      <w:r>
        <w:t xml:space="preserve">The Bill focuses on a subset of these businesses and defines a family </w:t>
      </w:r>
      <w:r w:rsidR="008E4A59">
        <w:t xml:space="preserve">enterprise for the purposes of the Ombudsman as one which meets the definition of </w:t>
      </w:r>
      <w:r>
        <w:t xml:space="preserve">small business </w:t>
      </w:r>
      <w:r w:rsidR="008E4A59">
        <w:t>in the Bill</w:t>
      </w:r>
      <w:r w:rsidR="00761BEF">
        <w:t>.</w:t>
      </w:r>
      <w:r w:rsidR="005815C3">
        <w:t xml:space="preserve"> </w:t>
      </w:r>
      <w:r w:rsidR="005815C3" w:rsidRPr="00ED057C">
        <w:rPr>
          <w:rStyle w:val="Referencingstyle"/>
        </w:rPr>
        <w:t>[</w:t>
      </w:r>
      <w:r w:rsidR="006A10E0" w:rsidRPr="00ED057C">
        <w:rPr>
          <w:rStyle w:val="Referencingstyle"/>
        </w:rPr>
        <w:t>Part 1</w:t>
      </w:r>
      <w:r w:rsidR="0000455B">
        <w:rPr>
          <w:rStyle w:val="Referencingstyle"/>
        </w:rPr>
        <w:t>,</w:t>
      </w:r>
      <w:r w:rsidR="006A10E0" w:rsidRPr="00ED057C">
        <w:rPr>
          <w:rStyle w:val="Referencingstyle"/>
        </w:rPr>
        <w:t xml:space="preserve"> section 6]</w:t>
      </w:r>
      <w:r w:rsidR="006A10E0">
        <w:rPr>
          <w:rStyle w:val="Referencingstyle"/>
        </w:rPr>
        <w:t xml:space="preserve"> </w:t>
      </w:r>
    </w:p>
    <w:p w14:paraId="556ECFF4" w14:textId="77777777" w:rsidR="0046183E" w:rsidRPr="00F50AF4" w:rsidRDefault="0046183E" w:rsidP="00F65B03">
      <w:pPr>
        <w:pStyle w:val="Heading3"/>
      </w:pPr>
      <w:r w:rsidRPr="00F50AF4">
        <w:t>Meaning of action</w:t>
      </w:r>
    </w:p>
    <w:p w14:paraId="172CB29D" w14:textId="6B134FCC" w:rsidR="0000455B" w:rsidRDefault="006A10E0" w:rsidP="00200FC3">
      <w:pPr>
        <w:pStyle w:val="base-text-paragraph"/>
      </w:pPr>
      <w:r>
        <w:t xml:space="preserve">The definition of </w:t>
      </w:r>
      <w:r w:rsidR="009349BC">
        <w:t>‘</w:t>
      </w:r>
      <w:r>
        <w:t>action</w:t>
      </w:r>
      <w:r w:rsidR="009349BC">
        <w:t>’</w:t>
      </w:r>
      <w:r>
        <w:t xml:space="preserve"> relates to the Ombudsman</w:t>
      </w:r>
      <w:r w:rsidR="009349BC">
        <w:t>’</w:t>
      </w:r>
      <w:r>
        <w:t xml:space="preserve">s assistance function and the </w:t>
      </w:r>
      <w:r w:rsidR="009A4024">
        <w:t>c</w:t>
      </w:r>
      <w:r w:rsidR="004E5526">
        <w:t>onstitutional</w:t>
      </w:r>
      <w:r>
        <w:t xml:space="preserve"> connection associated with </w:t>
      </w:r>
      <w:r w:rsidR="00E14D5C">
        <w:t xml:space="preserve">the </w:t>
      </w:r>
      <w:r w:rsidR="004E5526">
        <w:t xml:space="preserve">meaning of </w:t>
      </w:r>
      <w:r w:rsidR="009349BC">
        <w:t>‘</w:t>
      </w:r>
      <w:r w:rsidR="004E5526">
        <w:t>relevant action</w:t>
      </w:r>
      <w:r w:rsidR="009349BC">
        <w:t>’</w:t>
      </w:r>
      <w:r w:rsidR="004D0E5E">
        <w:t>,</w:t>
      </w:r>
      <w:r w:rsidR="004E5526">
        <w:t xml:space="preserve"> in </w:t>
      </w:r>
      <w:r w:rsidR="00E43378">
        <w:t>section</w:t>
      </w:r>
      <w:r w:rsidR="004D0E5E">
        <w:t xml:space="preserve"> </w:t>
      </w:r>
      <w:r w:rsidR="004E5526">
        <w:t>65 of the Bill</w:t>
      </w:r>
      <w:r w:rsidR="00643754">
        <w:t xml:space="preserve">. </w:t>
      </w:r>
      <w:r w:rsidR="004E5526">
        <w:t>As part of its assistance function, the Ombudsman is to give assistance in relation to relevant actions. Actions</w:t>
      </w:r>
      <w:r w:rsidR="00CA10D3">
        <w:t xml:space="preserve"> include the following:</w:t>
      </w:r>
      <w:r w:rsidR="0000455B" w:rsidRPr="0000455B">
        <w:t xml:space="preserve"> </w:t>
      </w:r>
    </w:p>
    <w:p w14:paraId="28CCE4E3" w14:textId="77777777" w:rsidR="00CA10D3" w:rsidRPr="00F26DB0" w:rsidRDefault="00CA10D3" w:rsidP="00F50AF4">
      <w:pPr>
        <w:pStyle w:val="exampledotpoint1"/>
        <w:rPr>
          <w:sz w:val="22"/>
        </w:rPr>
      </w:pPr>
      <w:r w:rsidRPr="00F26DB0">
        <w:rPr>
          <w:sz w:val="22"/>
        </w:rPr>
        <w:t xml:space="preserve">an activity or series of activities; </w:t>
      </w:r>
    </w:p>
    <w:p w14:paraId="5775A69D" w14:textId="77777777" w:rsidR="00CA10D3" w:rsidRPr="00F26DB0" w:rsidRDefault="00CA10D3" w:rsidP="00F50AF4">
      <w:pPr>
        <w:pStyle w:val="exampledotpoint1"/>
        <w:rPr>
          <w:sz w:val="22"/>
        </w:rPr>
      </w:pPr>
      <w:r w:rsidRPr="00F26DB0">
        <w:rPr>
          <w:sz w:val="22"/>
        </w:rPr>
        <w:t xml:space="preserve">a project, development or undertaking; </w:t>
      </w:r>
    </w:p>
    <w:p w14:paraId="5785C02E" w14:textId="77777777" w:rsidR="00CA10D3" w:rsidRPr="00F26DB0" w:rsidRDefault="00CA10D3" w:rsidP="00F50AF4">
      <w:pPr>
        <w:pStyle w:val="exampledotpoint1"/>
        <w:rPr>
          <w:sz w:val="22"/>
        </w:rPr>
      </w:pPr>
      <w:r w:rsidRPr="00F26DB0">
        <w:rPr>
          <w:sz w:val="22"/>
        </w:rPr>
        <w:t xml:space="preserve">making a decision or recommendation; </w:t>
      </w:r>
    </w:p>
    <w:p w14:paraId="412A9B2C" w14:textId="77777777" w:rsidR="00CA10D3" w:rsidRPr="00F26DB0" w:rsidRDefault="00CA10D3" w:rsidP="00F50AF4">
      <w:pPr>
        <w:pStyle w:val="exampledotpoint1"/>
        <w:rPr>
          <w:sz w:val="22"/>
        </w:rPr>
      </w:pPr>
      <w:r w:rsidRPr="00F26DB0">
        <w:rPr>
          <w:sz w:val="22"/>
        </w:rPr>
        <w:t xml:space="preserve">formulating a proposal; </w:t>
      </w:r>
    </w:p>
    <w:p w14:paraId="1A8FC77F" w14:textId="77777777" w:rsidR="00CA10D3" w:rsidRPr="00F26DB0" w:rsidRDefault="00CA10D3" w:rsidP="00F50AF4">
      <w:pPr>
        <w:pStyle w:val="exampledotpoint1"/>
        <w:rPr>
          <w:sz w:val="22"/>
        </w:rPr>
      </w:pPr>
      <w:r w:rsidRPr="00F26DB0">
        <w:rPr>
          <w:sz w:val="22"/>
        </w:rPr>
        <w:t xml:space="preserve">requiring that communications with an entity be in a particular manner or form; </w:t>
      </w:r>
    </w:p>
    <w:p w14:paraId="18E504D1" w14:textId="77777777" w:rsidR="00CA10D3" w:rsidRPr="00F26DB0" w:rsidRDefault="00CA10D3" w:rsidP="00F50AF4">
      <w:pPr>
        <w:pStyle w:val="exampledotpoint1"/>
        <w:rPr>
          <w:sz w:val="22"/>
        </w:rPr>
      </w:pPr>
      <w:r w:rsidRPr="00F26DB0">
        <w:rPr>
          <w:sz w:val="22"/>
        </w:rPr>
        <w:t>an alteration of any of the things, including decisions, proposals and requirements; and</w:t>
      </w:r>
    </w:p>
    <w:p w14:paraId="24F689D0" w14:textId="77777777" w:rsidR="00CA10D3" w:rsidRPr="00F26DB0" w:rsidRDefault="00CA10D3" w:rsidP="00F50AF4">
      <w:pPr>
        <w:pStyle w:val="exampledotpoint1"/>
        <w:rPr>
          <w:sz w:val="22"/>
        </w:rPr>
      </w:pPr>
      <w:r w:rsidRPr="00F26DB0">
        <w:rPr>
          <w:sz w:val="22"/>
        </w:rPr>
        <w:t xml:space="preserve">failure or refusal to do any of the things mentioned </w:t>
      </w:r>
      <w:r w:rsidR="00F50AF4" w:rsidRPr="00F26DB0">
        <w:rPr>
          <w:sz w:val="22"/>
        </w:rPr>
        <w:t>in dot points above</w:t>
      </w:r>
      <w:r w:rsidR="00761BEF" w:rsidRPr="00F26DB0">
        <w:rPr>
          <w:sz w:val="22"/>
        </w:rPr>
        <w:t xml:space="preserve">. </w:t>
      </w:r>
      <w:r w:rsidR="00761BEF" w:rsidRPr="008B1611">
        <w:rPr>
          <w:rStyle w:val="Referencingstyle"/>
        </w:rPr>
        <w:t>[Part 1</w:t>
      </w:r>
      <w:r w:rsidR="00D03090">
        <w:rPr>
          <w:rStyle w:val="Referencingstyle"/>
        </w:rPr>
        <w:t>,</w:t>
      </w:r>
      <w:r w:rsidR="00761BEF" w:rsidRPr="008B1611">
        <w:rPr>
          <w:rStyle w:val="Referencingstyle"/>
        </w:rPr>
        <w:t xml:space="preserve"> </w:t>
      </w:r>
      <w:r w:rsidR="00D03090">
        <w:rPr>
          <w:rStyle w:val="Referencingstyle"/>
        </w:rPr>
        <w:t>s</w:t>
      </w:r>
      <w:r w:rsidR="00D03090" w:rsidRPr="008B1611">
        <w:rPr>
          <w:rStyle w:val="Referencingstyle"/>
        </w:rPr>
        <w:t xml:space="preserve">ection </w:t>
      </w:r>
      <w:r w:rsidR="00761BEF" w:rsidRPr="008B1611">
        <w:rPr>
          <w:rStyle w:val="Referencingstyle"/>
        </w:rPr>
        <w:t>7]</w:t>
      </w:r>
    </w:p>
    <w:p w14:paraId="2111B9C5" w14:textId="77777777" w:rsidR="0046183E" w:rsidRPr="00ED057C" w:rsidRDefault="0046183E" w:rsidP="00C71EE9">
      <w:pPr>
        <w:pStyle w:val="Heading3"/>
        <w:rPr>
          <w:i/>
        </w:rPr>
      </w:pPr>
      <w:r w:rsidRPr="00A03FDB">
        <w:t xml:space="preserve">Meaning of </w:t>
      </w:r>
      <w:r w:rsidRPr="00ED057C">
        <w:rPr>
          <w:i/>
        </w:rPr>
        <w:t>agency</w:t>
      </w:r>
    </w:p>
    <w:p w14:paraId="40107FCD" w14:textId="1AC7B70F" w:rsidR="008B1611" w:rsidRDefault="009349BC" w:rsidP="00200FC3">
      <w:pPr>
        <w:pStyle w:val="base-text-paragraph"/>
      </w:pPr>
      <w:r>
        <w:t>‘</w:t>
      </w:r>
      <w:r w:rsidR="00CA10D3">
        <w:t>Agency</w:t>
      </w:r>
      <w:r>
        <w:t>’</w:t>
      </w:r>
      <w:r w:rsidR="00CA10D3">
        <w:t xml:space="preserve"> </w:t>
      </w:r>
      <w:r w:rsidR="007702BF">
        <w:t xml:space="preserve">of the Commonwealth, a </w:t>
      </w:r>
      <w:r w:rsidR="00F50AF4">
        <w:t xml:space="preserve">state </w:t>
      </w:r>
      <w:r w:rsidR="007702BF">
        <w:t xml:space="preserve">or a </w:t>
      </w:r>
      <w:r w:rsidR="00F50AF4">
        <w:t xml:space="preserve">territory </w:t>
      </w:r>
      <w:r w:rsidR="00CA10D3">
        <w:t xml:space="preserve">is defined in </w:t>
      </w:r>
      <w:r w:rsidR="001C1B09">
        <w:t xml:space="preserve">section 8 and relates to various aspects of the Bill. </w:t>
      </w:r>
      <w:r w:rsidR="00665D3A" w:rsidRPr="00ED057C">
        <w:rPr>
          <w:rStyle w:val="Referencingstyle"/>
        </w:rPr>
        <w:t>[Part 1</w:t>
      </w:r>
      <w:r w:rsidR="00D03090">
        <w:rPr>
          <w:rStyle w:val="Referencingstyle"/>
        </w:rPr>
        <w:t>,</w:t>
      </w:r>
      <w:r w:rsidR="00665D3A" w:rsidRPr="00ED057C">
        <w:rPr>
          <w:rStyle w:val="Referencingstyle"/>
        </w:rPr>
        <w:t xml:space="preserve"> section</w:t>
      </w:r>
      <w:r w:rsidR="00FE1F49">
        <w:rPr>
          <w:rStyle w:val="Referencingstyle"/>
        </w:rPr>
        <w:t> </w:t>
      </w:r>
      <w:r w:rsidR="00665D3A" w:rsidRPr="00ED057C">
        <w:rPr>
          <w:rStyle w:val="Referencingstyle"/>
        </w:rPr>
        <w:t>8]</w:t>
      </w:r>
      <w:r w:rsidR="008B1611" w:rsidRPr="008B1611">
        <w:t xml:space="preserve"> </w:t>
      </w:r>
    </w:p>
    <w:p w14:paraId="5403AF04" w14:textId="10A3FE1E" w:rsidR="008B1611" w:rsidRDefault="001C1B09" w:rsidP="00200FC3">
      <w:pPr>
        <w:pStyle w:val="base-text-paragraph"/>
      </w:pPr>
      <w:r>
        <w:t xml:space="preserve">Firstly, it is used to define the scope of the advocacy and assistance functions. </w:t>
      </w:r>
      <w:r w:rsidR="009349BC">
        <w:t>‘</w:t>
      </w:r>
      <w:r>
        <w:t>Relevant legislation, policies and practices</w:t>
      </w:r>
      <w:r w:rsidR="009349BC">
        <w:t>’</w:t>
      </w:r>
      <w:r>
        <w:t xml:space="preserve"> (in respect of the Ombudsman</w:t>
      </w:r>
      <w:r w:rsidR="009349BC">
        <w:t>’</w:t>
      </w:r>
      <w:r>
        <w:t xml:space="preserve">s advocacy function) include past, present or proposed legislation, policies or practices of a Commonwealth or a </w:t>
      </w:r>
      <w:r w:rsidR="00F50AF4">
        <w:t xml:space="preserve">territory </w:t>
      </w:r>
      <w:r>
        <w:t xml:space="preserve">agency (subsections 35(a) and (b)) and </w:t>
      </w:r>
      <w:r w:rsidR="009349BC">
        <w:t>‘</w:t>
      </w:r>
      <w:r>
        <w:t>relevant action</w:t>
      </w:r>
      <w:r w:rsidR="009349BC">
        <w:t>’</w:t>
      </w:r>
      <w:r>
        <w:t xml:space="preserve"> (in respect of the Ombudsman</w:t>
      </w:r>
      <w:r w:rsidR="009349BC">
        <w:t>’</w:t>
      </w:r>
      <w:r>
        <w:t xml:space="preserve">s assistance function) includes </w:t>
      </w:r>
      <w:r w:rsidR="00FE1F49">
        <w:t xml:space="preserve">an </w:t>
      </w:r>
      <w:r>
        <w:t>action by an agency of the Commonwealth that affects, or may affect, a small business or family enterprise (subsection 65(a)). Secondly, it is used in section 69 to define the circumstances in which the Ombudsman must transfer a request for assistance to another agency. Thirdly, it is used in section 70 to define the circumstances in which the Ombudsman may work co</w:t>
      </w:r>
      <w:r w:rsidR="009349BC">
        <w:noBreakHyphen/>
      </w:r>
      <w:r>
        <w:t>operatively with another agency to give assistance. Fourthly, the secrecy provisions refer to certain agencies to which information may be disclosed (sections 86 and 91).</w:t>
      </w:r>
      <w:r w:rsidR="008B1611" w:rsidRPr="008B1611">
        <w:t xml:space="preserve"> </w:t>
      </w:r>
    </w:p>
    <w:p w14:paraId="2C5E1A99" w14:textId="2453054B" w:rsidR="008B1611" w:rsidRDefault="003C0DEE" w:rsidP="007821F0">
      <w:pPr>
        <w:pStyle w:val="base-text-paragraph"/>
        <w:keepNext/>
        <w:keepLines/>
      </w:pPr>
      <w:r>
        <w:t>The Bill is intended to cover a wide range of agencies</w:t>
      </w:r>
      <w:r w:rsidR="00463019">
        <w:t>,</w:t>
      </w:r>
      <w:r>
        <w:t xml:space="preserve"> to ensure that the functions of the Ombudsman are not duplicat</w:t>
      </w:r>
      <w:r w:rsidR="00463019">
        <w:t>ing</w:t>
      </w:r>
      <w:r>
        <w:t xml:space="preserve"> </w:t>
      </w:r>
      <w:r w:rsidR="00463019">
        <w:t xml:space="preserve">the functions </w:t>
      </w:r>
      <w:r>
        <w:t xml:space="preserve">other </w:t>
      </w:r>
      <w:r w:rsidR="009209EC">
        <w:t xml:space="preserve">Commonwealth, </w:t>
      </w:r>
      <w:r w:rsidR="005E7F7A">
        <w:t>s</w:t>
      </w:r>
      <w:r w:rsidR="009209EC">
        <w:t xml:space="preserve">tate or </w:t>
      </w:r>
      <w:r w:rsidR="005E7F7A">
        <w:t>t</w:t>
      </w:r>
      <w:r w:rsidR="009209EC">
        <w:t xml:space="preserve">erritory </w:t>
      </w:r>
      <w:r>
        <w:t xml:space="preserve">officials. </w:t>
      </w:r>
      <w:r w:rsidR="00850FCE">
        <w:t xml:space="preserve">The term </w:t>
      </w:r>
      <w:r w:rsidR="009349BC">
        <w:t>‘</w:t>
      </w:r>
      <w:r w:rsidR="00850FCE">
        <w:t>a</w:t>
      </w:r>
      <w:r w:rsidR="007702BF">
        <w:t>gency</w:t>
      </w:r>
      <w:r w:rsidR="009349BC">
        <w:t>’</w:t>
      </w:r>
      <w:r w:rsidR="00850FCE">
        <w:t xml:space="preserve"> is very broad and</w:t>
      </w:r>
      <w:r w:rsidR="007702BF">
        <w:t xml:space="preserve"> includes a </w:t>
      </w:r>
      <w:r w:rsidR="004D0E5E">
        <w:t>d</w:t>
      </w:r>
      <w:r w:rsidR="007702BF">
        <w:t xml:space="preserve">epartment of </w:t>
      </w:r>
      <w:r w:rsidR="00F50AF4">
        <w:t xml:space="preserve">state </w:t>
      </w:r>
      <w:r w:rsidR="007702BF">
        <w:t>or a local government body. It also include</w:t>
      </w:r>
      <w:r>
        <w:t>s</w:t>
      </w:r>
      <w:r w:rsidR="007702BF">
        <w:t xml:space="preserve"> any other agency, authority or body (whether incorporated or not) established for a public purpose by or under a law of the Commonwealth, </w:t>
      </w:r>
      <w:r w:rsidR="00E14D5C">
        <w:t>a</w:t>
      </w:r>
      <w:r w:rsidR="007702BF">
        <w:t xml:space="preserve"> </w:t>
      </w:r>
      <w:r w:rsidR="00F50AF4">
        <w:t xml:space="preserve">state </w:t>
      </w:r>
      <w:r w:rsidR="007702BF">
        <w:t xml:space="preserve">or </w:t>
      </w:r>
      <w:r w:rsidR="00E14D5C">
        <w:t>a</w:t>
      </w:r>
      <w:r w:rsidR="007702BF">
        <w:t xml:space="preserve"> </w:t>
      </w:r>
      <w:r w:rsidR="00F50AF4">
        <w:t>territory</w:t>
      </w:r>
      <w:r w:rsidR="007702BF">
        <w:t>.</w:t>
      </w:r>
      <w:r w:rsidR="00EC6A0D">
        <w:t xml:space="preserve"> </w:t>
      </w:r>
      <w:r w:rsidR="005E7F7A">
        <w:t>Additionally</w:t>
      </w:r>
      <w:r w:rsidR="00463019">
        <w:t>,</w:t>
      </w:r>
      <w:r w:rsidR="005E7F7A">
        <w:t xml:space="preserve"> any </w:t>
      </w:r>
      <w:r w:rsidR="00463019">
        <w:t>entity</w:t>
      </w:r>
      <w:r w:rsidR="005E7F7A">
        <w:t xml:space="preserve"> (whether incorporated or not) </w:t>
      </w:r>
      <w:r w:rsidR="00463019">
        <w:t xml:space="preserve">may be prescribed </w:t>
      </w:r>
      <w:r w:rsidR="005E7F7A">
        <w:t xml:space="preserve">as an agency for the purposes of the Bill. </w:t>
      </w:r>
      <w:r w:rsidR="00E14D5C" w:rsidRPr="00ED057C">
        <w:rPr>
          <w:rStyle w:val="Referencingstyle"/>
        </w:rPr>
        <w:t>[Part 1</w:t>
      </w:r>
      <w:r w:rsidR="00E14D5C">
        <w:rPr>
          <w:rStyle w:val="Referencingstyle"/>
        </w:rPr>
        <w:t>,</w:t>
      </w:r>
      <w:r w:rsidR="00E14D5C" w:rsidRPr="00ED057C">
        <w:rPr>
          <w:rStyle w:val="Referencingstyle"/>
        </w:rPr>
        <w:t xml:space="preserve"> section 8]</w:t>
      </w:r>
      <w:r w:rsidR="00E14D5C" w:rsidRPr="008B1611">
        <w:t xml:space="preserve"> </w:t>
      </w:r>
    </w:p>
    <w:p w14:paraId="312F39DF" w14:textId="77777777" w:rsidR="0046183E" w:rsidRPr="00A03FDB" w:rsidRDefault="0046183E" w:rsidP="00C71EE9">
      <w:pPr>
        <w:pStyle w:val="Heading3"/>
      </w:pPr>
      <w:r w:rsidRPr="00A03FDB">
        <w:t xml:space="preserve">Meaning of </w:t>
      </w:r>
      <w:r w:rsidRPr="00ED057C">
        <w:rPr>
          <w:i/>
        </w:rPr>
        <w:t>confidential</w:t>
      </w:r>
      <w:r>
        <w:t xml:space="preserve"> information</w:t>
      </w:r>
    </w:p>
    <w:p w14:paraId="7BCBF520" w14:textId="77777777" w:rsidR="008B1611" w:rsidRDefault="00702118" w:rsidP="00200FC3">
      <w:pPr>
        <w:pStyle w:val="base-text-paragraph"/>
      </w:pPr>
      <w:r>
        <w:t xml:space="preserve">The definition of confidential information is in section 9 of the Bill. </w:t>
      </w:r>
      <w:r w:rsidR="00683449" w:rsidRPr="00ED057C">
        <w:rPr>
          <w:rStyle w:val="Referencingstyle"/>
        </w:rPr>
        <w:t>[Part 1</w:t>
      </w:r>
      <w:r w:rsidR="00D03090">
        <w:rPr>
          <w:rStyle w:val="Referencingstyle"/>
        </w:rPr>
        <w:t>,</w:t>
      </w:r>
      <w:r w:rsidR="00683449" w:rsidRPr="00ED057C">
        <w:rPr>
          <w:rStyle w:val="Referencingstyle"/>
        </w:rPr>
        <w:t xml:space="preserve"> section 9]</w:t>
      </w:r>
      <w:r w:rsidR="008B1611" w:rsidRPr="008B1611">
        <w:t xml:space="preserve"> </w:t>
      </w:r>
    </w:p>
    <w:p w14:paraId="5A87DA03" w14:textId="27E268B6" w:rsidR="008B1611" w:rsidRDefault="001432E0" w:rsidP="00200FC3">
      <w:pPr>
        <w:pStyle w:val="base-text-paragraph"/>
      </w:pPr>
      <w:r>
        <w:t>Aspects of the Ombudsman</w:t>
      </w:r>
      <w:r w:rsidR="009349BC">
        <w:t>’</w:t>
      </w:r>
      <w:r>
        <w:t xml:space="preserve">s functions under the Bill involve the use of confidential information. Provisions in the Bill seek to protect confidential information by, for example, requiring the Ombudsman to delete any confidential information before publishing advice to the Minister as the result of a review </w:t>
      </w:r>
      <w:r w:rsidR="00F10BB8" w:rsidRPr="00994214">
        <w:rPr>
          <w:rStyle w:val="Referencingstyle"/>
        </w:rPr>
        <w:t xml:space="preserve">[Part </w:t>
      </w:r>
      <w:r w:rsidR="00F10BB8">
        <w:rPr>
          <w:rStyle w:val="Referencingstyle"/>
        </w:rPr>
        <w:t>3 Division 6</w:t>
      </w:r>
      <w:r w:rsidR="00F10BB8" w:rsidRPr="00994214">
        <w:rPr>
          <w:rStyle w:val="Referencingstyle"/>
        </w:rPr>
        <w:t xml:space="preserve"> </w:t>
      </w:r>
      <w:r w:rsidRPr="00994214">
        <w:rPr>
          <w:rStyle w:val="Referencingstyle"/>
        </w:rPr>
        <w:t>secti</w:t>
      </w:r>
      <w:r>
        <w:rPr>
          <w:rStyle w:val="Referencingstyle"/>
        </w:rPr>
        <w:t>on</w:t>
      </w:r>
      <w:r w:rsidR="00F10BB8">
        <w:rPr>
          <w:rStyle w:val="Referencingstyle"/>
        </w:rPr>
        <w:t> </w:t>
      </w:r>
      <w:r>
        <w:rPr>
          <w:rStyle w:val="Referencingstyle"/>
        </w:rPr>
        <w:t>63</w:t>
      </w:r>
      <w:r w:rsidR="00F10BB8" w:rsidRPr="00994214">
        <w:rPr>
          <w:rStyle w:val="Referencingstyle"/>
        </w:rPr>
        <w:t>]</w:t>
      </w:r>
      <w:r>
        <w:t>.</w:t>
      </w:r>
      <w:r w:rsidR="00A05AA8">
        <w:t xml:space="preserve"> The definition in section 9 involves a subjective test of what constitutes confidential information. I</w:t>
      </w:r>
      <w:r w:rsidR="00E319BB">
        <w:t xml:space="preserve">nformation is </w:t>
      </w:r>
      <w:r w:rsidR="009349BC">
        <w:t>‘</w:t>
      </w:r>
      <w:r w:rsidR="00E319BB">
        <w:t>confidential</w:t>
      </w:r>
      <w:r w:rsidR="009349BC">
        <w:t>’</w:t>
      </w:r>
      <w:r w:rsidR="00E319BB">
        <w:t xml:space="preserve"> i</w:t>
      </w:r>
      <w:r w:rsidR="00A05AA8">
        <w:t>f the decision maker</w:t>
      </w:r>
      <w:r w:rsidR="00E319BB">
        <w:t xml:space="preserve"> (</w:t>
      </w:r>
      <w:r w:rsidR="00A05AA8">
        <w:t>the person required or permitted to table, publish or otherwise make publicly available the information</w:t>
      </w:r>
      <w:r w:rsidR="00E319BB">
        <w:t>)</w:t>
      </w:r>
      <w:r w:rsidR="00A05AA8">
        <w:t xml:space="preserve"> is satisfied</w:t>
      </w:r>
      <w:r w:rsidR="00E319BB">
        <w:t xml:space="preserve"> that</w:t>
      </w:r>
      <w:r w:rsidR="001269E8">
        <w:t>:</w:t>
      </w:r>
      <w:r w:rsidR="008B1611" w:rsidRPr="008B1611">
        <w:t xml:space="preserve"> </w:t>
      </w:r>
    </w:p>
    <w:p w14:paraId="28C39C01" w14:textId="77777777" w:rsidR="001269E8" w:rsidRPr="00700363" w:rsidRDefault="00E319BB" w:rsidP="00213898">
      <w:pPr>
        <w:pStyle w:val="exampledotpoint1"/>
        <w:rPr>
          <w:szCs w:val="22"/>
        </w:rPr>
      </w:pPr>
      <w:r w:rsidRPr="00213898">
        <w:rPr>
          <w:sz w:val="22"/>
          <w:szCs w:val="22"/>
        </w:rPr>
        <w:t>t</w:t>
      </w:r>
      <w:r w:rsidR="001269E8" w:rsidRPr="00213898">
        <w:rPr>
          <w:sz w:val="22"/>
          <w:szCs w:val="22"/>
        </w:rPr>
        <w:t>he disclosure of the information would cause undue distress or embarrassment to the person</w:t>
      </w:r>
      <w:r w:rsidR="00F50AF4">
        <w:rPr>
          <w:sz w:val="22"/>
          <w:szCs w:val="22"/>
        </w:rPr>
        <w:t>;</w:t>
      </w:r>
    </w:p>
    <w:p w14:paraId="73448FF4" w14:textId="70BA9020" w:rsidR="001269E8" w:rsidRPr="00700363" w:rsidRDefault="001269E8" w:rsidP="00213898">
      <w:pPr>
        <w:pStyle w:val="exampledotpoint1"/>
        <w:rPr>
          <w:szCs w:val="22"/>
        </w:rPr>
      </w:pPr>
      <w:r w:rsidRPr="00213898">
        <w:rPr>
          <w:sz w:val="22"/>
          <w:szCs w:val="22"/>
        </w:rPr>
        <w:t>the information is commercial</w:t>
      </w:r>
      <w:r w:rsidR="009349BC">
        <w:rPr>
          <w:sz w:val="22"/>
          <w:szCs w:val="22"/>
        </w:rPr>
        <w:noBreakHyphen/>
      </w:r>
      <w:r w:rsidRPr="00213898">
        <w:rPr>
          <w:sz w:val="22"/>
          <w:szCs w:val="22"/>
        </w:rPr>
        <w:t>in</w:t>
      </w:r>
      <w:r w:rsidR="009349BC">
        <w:rPr>
          <w:sz w:val="22"/>
          <w:szCs w:val="22"/>
        </w:rPr>
        <w:noBreakHyphen/>
      </w:r>
      <w:r w:rsidRPr="00213898">
        <w:rPr>
          <w:sz w:val="22"/>
          <w:szCs w:val="22"/>
        </w:rPr>
        <w:t>confidence; or</w:t>
      </w:r>
    </w:p>
    <w:p w14:paraId="28536952" w14:textId="77777777" w:rsidR="001269E8" w:rsidRPr="00700363" w:rsidRDefault="00E319BB" w:rsidP="00213898">
      <w:pPr>
        <w:pStyle w:val="exampledotpoint1"/>
        <w:rPr>
          <w:szCs w:val="22"/>
        </w:rPr>
      </w:pPr>
      <w:r w:rsidRPr="00213898">
        <w:rPr>
          <w:sz w:val="22"/>
          <w:szCs w:val="22"/>
        </w:rPr>
        <w:t>t</w:t>
      </w:r>
      <w:r w:rsidR="001269E8" w:rsidRPr="00213898">
        <w:rPr>
          <w:sz w:val="22"/>
          <w:szCs w:val="22"/>
        </w:rPr>
        <w:t>he disclosure of the information would be contrary to the public interest.</w:t>
      </w:r>
    </w:p>
    <w:p w14:paraId="22FC3500" w14:textId="10C18B30" w:rsidR="008B1611" w:rsidRDefault="001269E8" w:rsidP="00200FC3">
      <w:pPr>
        <w:pStyle w:val="base-text-paragraph"/>
      </w:pPr>
      <w:r>
        <w:t xml:space="preserve">A decision </w:t>
      </w:r>
      <w:r w:rsidR="00E319BB">
        <w:t xml:space="preserve">maker </w:t>
      </w:r>
      <w:r>
        <w:t>may be satisfied that the information is commercial</w:t>
      </w:r>
      <w:r w:rsidR="009349BC">
        <w:noBreakHyphen/>
      </w:r>
      <w:r>
        <w:t>in</w:t>
      </w:r>
      <w:r w:rsidR="009349BC">
        <w:noBreakHyphen/>
      </w:r>
      <w:r>
        <w:t>confidence</w:t>
      </w:r>
      <w:r w:rsidR="00941BA2">
        <w:t>,</w:t>
      </w:r>
      <w:r>
        <w:t xml:space="preserve"> under subsection </w:t>
      </w:r>
      <w:r w:rsidR="00F10BB8">
        <w:t>9</w:t>
      </w:r>
      <w:r>
        <w:t>(2)</w:t>
      </w:r>
      <w:r w:rsidR="00941BA2">
        <w:t>. Matters to be taken into account by the decision maker</w:t>
      </w:r>
      <w:r w:rsidR="008F1ED7">
        <w:t xml:space="preserve"> </w:t>
      </w:r>
      <w:r w:rsidR="00941BA2">
        <w:t>are:</w:t>
      </w:r>
      <w:r w:rsidR="008F1ED7">
        <w:t xml:space="preserve"> that the information could unreasonably affect the person or a business or action related to the person in an adverse manner</w:t>
      </w:r>
      <w:r w:rsidR="00941BA2">
        <w:t>;</w:t>
      </w:r>
      <w:r w:rsidR="00E319BB">
        <w:t xml:space="preserve"> the information is not in the public domain</w:t>
      </w:r>
      <w:r w:rsidR="00941BA2">
        <w:t>;</w:t>
      </w:r>
      <w:r w:rsidR="00E319BB">
        <w:t xml:space="preserve"> the information is not required to be disclosed under another law</w:t>
      </w:r>
      <w:r w:rsidR="00941BA2">
        <w:t>;</w:t>
      </w:r>
      <w:r w:rsidR="00E319BB">
        <w:t xml:space="preserve"> and</w:t>
      </w:r>
      <w:r w:rsidR="00941BA2">
        <w:t>,</w:t>
      </w:r>
      <w:r w:rsidR="00E319BB">
        <w:t xml:space="preserve"> the information is not readily discoverable. </w:t>
      </w:r>
      <w:r w:rsidR="00E319BB" w:rsidRPr="00ED057C">
        <w:rPr>
          <w:rStyle w:val="Referencingstyle"/>
        </w:rPr>
        <w:t>[Part 1</w:t>
      </w:r>
      <w:r w:rsidR="00D03090">
        <w:rPr>
          <w:rStyle w:val="Referencingstyle"/>
        </w:rPr>
        <w:t>,</w:t>
      </w:r>
      <w:r w:rsidR="00E319BB" w:rsidRPr="00ED057C">
        <w:rPr>
          <w:rStyle w:val="Referencingstyle"/>
        </w:rPr>
        <w:t xml:space="preserve"> subsection 9(2)]</w:t>
      </w:r>
      <w:r w:rsidR="008B1611" w:rsidRPr="008B1611">
        <w:t xml:space="preserve"> </w:t>
      </w:r>
    </w:p>
    <w:p w14:paraId="4089FC0B" w14:textId="7F68C9D1" w:rsidR="008B1611" w:rsidRDefault="007C77B0" w:rsidP="00200FC3">
      <w:pPr>
        <w:pStyle w:val="base-text-paragraph"/>
      </w:pPr>
      <w:r>
        <w:t>The Ombudsman</w:t>
      </w:r>
      <w:r w:rsidR="009349BC">
        <w:t>’</w:t>
      </w:r>
      <w:r>
        <w:t>s ability to make information publicly available is an important part of having an Ombudsman with real power</w:t>
      </w:r>
      <w:r w:rsidR="00E319BB">
        <w:t>,</w:t>
      </w:r>
      <w:r>
        <w:t xml:space="preserve"> however</w:t>
      </w:r>
      <w:r w:rsidR="00E319BB">
        <w:t>,</w:t>
      </w:r>
      <w:r>
        <w:t xml:space="preserve"> this objective has been balanced in the Bill with the need to ensure that confidential information is protected.</w:t>
      </w:r>
      <w:r w:rsidR="008B1611" w:rsidRPr="008B1611">
        <w:t xml:space="preserve"> </w:t>
      </w:r>
    </w:p>
    <w:p w14:paraId="089710EF" w14:textId="77777777" w:rsidR="00071381" w:rsidRPr="00483666" w:rsidRDefault="00071381" w:rsidP="00C71EE9">
      <w:pPr>
        <w:pStyle w:val="Heading3"/>
      </w:pPr>
      <w:r w:rsidRPr="00483666">
        <w:t>Extension to Territories</w:t>
      </w:r>
    </w:p>
    <w:p w14:paraId="2671599F" w14:textId="77777777" w:rsidR="008B1611" w:rsidRDefault="00071381" w:rsidP="00200FC3">
      <w:pPr>
        <w:pStyle w:val="base-text-paragraph"/>
      </w:pPr>
      <w:r>
        <w:t xml:space="preserve">The Bill </w:t>
      </w:r>
      <w:r w:rsidR="0075287C">
        <w:t xml:space="preserve">will bind the Crown </w:t>
      </w:r>
      <w:r w:rsidR="0075287C" w:rsidRPr="00ED057C">
        <w:rPr>
          <w:rStyle w:val="Referencingstyle"/>
        </w:rPr>
        <w:t>[Part 1</w:t>
      </w:r>
      <w:r w:rsidR="0075287C">
        <w:rPr>
          <w:rStyle w:val="Referencingstyle"/>
        </w:rPr>
        <w:t>,</w:t>
      </w:r>
      <w:r w:rsidR="0075287C" w:rsidRPr="00ED057C">
        <w:rPr>
          <w:rStyle w:val="Referencingstyle"/>
        </w:rPr>
        <w:t xml:space="preserve"> section 1</w:t>
      </w:r>
      <w:r w:rsidR="0075287C">
        <w:rPr>
          <w:rStyle w:val="Referencingstyle"/>
        </w:rPr>
        <w:t>0</w:t>
      </w:r>
      <w:r w:rsidR="0075287C" w:rsidRPr="00ED057C">
        <w:rPr>
          <w:rStyle w:val="Referencingstyle"/>
        </w:rPr>
        <w:t>]</w:t>
      </w:r>
      <w:r w:rsidR="0075287C" w:rsidRPr="008B1611">
        <w:t xml:space="preserve"> </w:t>
      </w:r>
      <w:r w:rsidR="0075287C">
        <w:t xml:space="preserve">and will </w:t>
      </w:r>
      <w:r>
        <w:t>extend to every external Territory</w:t>
      </w:r>
      <w:r w:rsidR="0075287C">
        <w:t>, including:</w:t>
      </w:r>
      <w:r>
        <w:t xml:space="preserve"> Norfolk Island, the Territory of </w:t>
      </w:r>
      <w:r w:rsidR="00EF315F">
        <w:t xml:space="preserve">the </w:t>
      </w:r>
      <w:r>
        <w:t>Cocos (Keeling) Islands</w:t>
      </w:r>
      <w:r w:rsidR="00624679">
        <w:t>,</w:t>
      </w:r>
      <w:r>
        <w:t xml:space="preserve"> and the Territory of Christmas Island.</w:t>
      </w:r>
      <w:r w:rsidR="00E319BB">
        <w:t xml:space="preserve"> </w:t>
      </w:r>
      <w:r w:rsidR="00E319BB" w:rsidRPr="00ED057C">
        <w:rPr>
          <w:rStyle w:val="Referencingstyle"/>
        </w:rPr>
        <w:t>[Part 1</w:t>
      </w:r>
      <w:r w:rsidR="00D03090">
        <w:rPr>
          <w:rStyle w:val="Referencingstyle"/>
        </w:rPr>
        <w:t>,</w:t>
      </w:r>
      <w:r w:rsidR="00E319BB" w:rsidRPr="00ED057C">
        <w:rPr>
          <w:rStyle w:val="Referencingstyle"/>
        </w:rPr>
        <w:t xml:space="preserve"> section 11]</w:t>
      </w:r>
      <w:r w:rsidR="008B1611" w:rsidRPr="008B1611">
        <w:t xml:space="preserve"> </w:t>
      </w:r>
    </w:p>
    <w:p w14:paraId="6587F676" w14:textId="77777777" w:rsidR="006A10E0" w:rsidRDefault="006A10E0" w:rsidP="00200FC3">
      <w:pPr>
        <w:pStyle w:val="base-text-paragraph"/>
        <w:sectPr w:rsidR="006A10E0" w:rsidSect="00821379">
          <w:headerReference w:type="even" r:id="rId39"/>
          <w:headerReference w:type="default" r:id="rId40"/>
          <w:footerReference w:type="even" r:id="rId41"/>
          <w:footerReference w:type="default" r:id="rId42"/>
          <w:headerReference w:type="first" r:id="rId43"/>
          <w:footerReference w:type="first" r:id="rId44"/>
          <w:type w:val="oddPage"/>
          <w:pgSz w:w="11906" w:h="16838" w:code="9"/>
          <w:pgMar w:top="2466" w:right="2098" w:bottom="2466" w:left="2098" w:header="1559" w:footer="1899" w:gutter="0"/>
          <w:cols w:space="708"/>
          <w:titlePg/>
          <w:docGrid w:linePitch="360"/>
        </w:sectPr>
      </w:pPr>
    </w:p>
    <w:p w14:paraId="2C06F492" w14:textId="77777777" w:rsidR="009C2D18" w:rsidRPr="00F51A71" w:rsidRDefault="009C2D18" w:rsidP="009C2D18">
      <w:pPr>
        <w:pStyle w:val="ChapterHeading"/>
      </w:pPr>
      <w:bookmarkStart w:id="23" w:name="_Toc417985044"/>
      <w:bookmarkStart w:id="24" w:name="_Toc417989798"/>
      <w:r w:rsidRPr="00F51A71">
        <w:br/>
      </w:r>
      <w:bookmarkStart w:id="25" w:name="_Toc419101547"/>
      <w:bookmarkStart w:id="26" w:name="_Toc419136753"/>
      <w:bookmarkStart w:id="27" w:name="_Toc420587200"/>
      <w:r>
        <w:t>Australian Small Business and Family Enterprise Ombudsman</w:t>
      </w:r>
      <w:bookmarkEnd w:id="23"/>
      <w:bookmarkEnd w:id="24"/>
      <w:bookmarkEnd w:id="25"/>
      <w:bookmarkEnd w:id="26"/>
      <w:bookmarkEnd w:id="27"/>
    </w:p>
    <w:p w14:paraId="21E14781" w14:textId="77777777" w:rsidR="009C2D18" w:rsidRDefault="009C2D18">
      <w:pPr>
        <w:pStyle w:val="Heading2"/>
      </w:pPr>
      <w:r>
        <w:t xml:space="preserve">Outline of </w:t>
      </w:r>
      <w:r w:rsidR="00FA4E45">
        <w:t>chapter</w:t>
      </w:r>
    </w:p>
    <w:p w14:paraId="5A80D7C2" w14:textId="0C518AB5" w:rsidR="008B1611" w:rsidRDefault="00DB06A5" w:rsidP="00200FC3">
      <w:pPr>
        <w:pStyle w:val="base-text-paragraph"/>
      </w:pPr>
      <w:r>
        <w:t xml:space="preserve">This </w:t>
      </w:r>
      <w:r w:rsidR="00C06BCC">
        <w:t xml:space="preserve">chapter </w:t>
      </w:r>
      <w:r w:rsidR="009C2D18">
        <w:t>explains</w:t>
      </w:r>
      <w:r>
        <w:t>:</w:t>
      </w:r>
      <w:r w:rsidR="009C2D18">
        <w:t xml:space="preserve"> the establishment</w:t>
      </w:r>
      <w:r w:rsidR="00537ACE">
        <w:t xml:space="preserve"> and </w:t>
      </w:r>
      <w:r w:rsidR="009C2D18">
        <w:t xml:space="preserve">functions  </w:t>
      </w:r>
      <w:r w:rsidR="00537ACE">
        <w:t xml:space="preserve">(including advocacy and assistance functions) </w:t>
      </w:r>
      <w:r w:rsidR="009C2D18">
        <w:t>of the Ombudsman</w:t>
      </w:r>
      <w:r w:rsidR="00537ACE">
        <w:t xml:space="preserve"> </w:t>
      </w:r>
      <w:r w:rsidR="00537ACE" w:rsidRPr="00E658ED">
        <w:rPr>
          <w:rStyle w:val="Referencingstyle"/>
        </w:rPr>
        <w:t>[Part</w:t>
      </w:r>
      <w:r w:rsidR="00537ACE">
        <w:rPr>
          <w:rStyle w:val="Referencingstyle"/>
        </w:rPr>
        <w:t> </w:t>
      </w:r>
      <w:r w:rsidR="00537ACE" w:rsidRPr="00E658ED">
        <w:rPr>
          <w:rStyle w:val="Referencingstyle"/>
        </w:rPr>
        <w:t>2</w:t>
      </w:r>
      <w:r w:rsidR="00537ACE">
        <w:rPr>
          <w:rStyle w:val="Referencingstyle"/>
        </w:rPr>
        <w:t>,</w:t>
      </w:r>
      <w:r w:rsidR="00537ACE" w:rsidRPr="00E658ED">
        <w:rPr>
          <w:rStyle w:val="Referencingstyle"/>
        </w:rPr>
        <w:t xml:space="preserve"> Division </w:t>
      </w:r>
      <w:r w:rsidR="00537ACE">
        <w:rPr>
          <w:rStyle w:val="Referencingstyle"/>
        </w:rPr>
        <w:t>1,</w:t>
      </w:r>
      <w:r w:rsidR="00537ACE" w:rsidRPr="00E658ED">
        <w:rPr>
          <w:rStyle w:val="Referencingstyle"/>
        </w:rPr>
        <w:t xml:space="preserve"> section</w:t>
      </w:r>
      <w:r w:rsidR="00537ACE">
        <w:rPr>
          <w:rStyle w:val="Referencingstyle"/>
        </w:rPr>
        <w:t>s</w:t>
      </w:r>
      <w:r w:rsidR="00537ACE" w:rsidRPr="00E658ED">
        <w:rPr>
          <w:rStyle w:val="Referencingstyle"/>
        </w:rPr>
        <w:t xml:space="preserve"> </w:t>
      </w:r>
      <w:r w:rsidR="00537ACE">
        <w:rPr>
          <w:rStyle w:val="Referencingstyle"/>
        </w:rPr>
        <w:t>12 to 15</w:t>
      </w:r>
      <w:r w:rsidR="00537ACE" w:rsidRPr="00E658ED">
        <w:rPr>
          <w:rStyle w:val="Referencingstyle"/>
        </w:rPr>
        <w:t>]</w:t>
      </w:r>
      <w:r w:rsidR="00537ACE">
        <w:t>. This Chapter also sets out</w:t>
      </w:r>
      <w:r>
        <w:t xml:space="preserve"> </w:t>
      </w:r>
      <w:r w:rsidR="009C2D18">
        <w:t>the general policy guidelines underpinning the performance of the O</w:t>
      </w:r>
      <w:r>
        <w:t>mbudsman</w:t>
      </w:r>
      <w:r w:rsidR="009349BC">
        <w:t>’</w:t>
      </w:r>
      <w:r w:rsidR="009C2D18">
        <w:t>s functions;</w:t>
      </w:r>
      <w:r>
        <w:t xml:space="preserve"> and </w:t>
      </w:r>
      <w:r w:rsidR="009C2D18">
        <w:t>sets out the terms and conditions of appointment of the O</w:t>
      </w:r>
      <w:r>
        <w:t>mbudsman</w:t>
      </w:r>
      <w:r w:rsidR="009C2D18">
        <w:t xml:space="preserve"> (and acting O</w:t>
      </w:r>
      <w:r>
        <w:t>mbudsman</w:t>
      </w:r>
      <w:r w:rsidR="009C2D18">
        <w:t>), the O</w:t>
      </w:r>
      <w:r>
        <w:t>mbudsman</w:t>
      </w:r>
      <w:r w:rsidR="009349BC">
        <w:t>’</w:t>
      </w:r>
      <w:r w:rsidR="009C2D18">
        <w:t>s powers of delegation, staffing matters and other governance requirements</w:t>
      </w:r>
      <w:r>
        <w:t>.</w:t>
      </w:r>
      <w:r w:rsidR="009C2D18">
        <w:t xml:space="preserve"> </w:t>
      </w:r>
    </w:p>
    <w:p w14:paraId="1BE21AA6" w14:textId="77777777" w:rsidR="009C2D18" w:rsidRPr="00076F39" w:rsidRDefault="009C2D18" w:rsidP="00076F39">
      <w:pPr>
        <w:pStyle w:val="Heading2"/>
      </w:pPr>
      <w:r w:rsidRPr="00076F39">
        <w:t>Detailed explanation of new law</w:t>
      </w:r>
    </w:p>
    <w:p w14:paraId="4C251EBB" w14:textId="34AA426B" w:rsidR="009C2D18" w:rsidRPr="00076F39" w:rsidRDefault="009C2D18" w:rsidP="00C71EE9">
      <w:pPr>
        <w:pStyle w:val="Heading3"/>
      </w:pPr>
      <w:r w:rsidRPr="00076F39">
        <w:t xml:space="preserve">The </w:t>
      </w:r>
      <w:r w:rsidR="006F6410" w:rsidRPr="00076F39">
        <w:t>Ombudsman</w:t>
      </w:r>
      <w:r w:rsidR="009349BC">
        <w:t>’</w:t>
      </w:r>
      <w:r w:rsidR="006F6410" w:rsidRPr="00076F39">
        <w:t xml:space="preserve">s </w:t>
      </w:r>
      <w:r w:rsidRPr="00076F39">
        <w:t>functions under the Bill</w:t>
      </w:r>
    </w:p>
    <w:p w14:paraId="4718D043" w14:textId="77777777" w:rsidR="008B1611" w:rsidRDefault="009C2D18" w:rsidP="00200FC3">
      <w:pPr>
        <w:pStyle w:val="base-text-paragraph"/>
      </w:pPr>
      <w:r w:rsidRPr="00A03FDB">
        <w:t>The Ombudsman has an advocacy function and an assistance function.</w:t>
      </w:r>
      <w:r w:rsidR="008B1611" w:rsidRPr="008B1611">
        <w:t xml:space="preserve"> </w:t>
      </w:r>
    </w:p>
    <w:p w14:paraId="1DFA7C80" w14:textId="77777777" w:rsidR="008B1611" w:rsidRDefault="009C2D18" w:rsidP="00200FC3">
      <w:pPr>
        <w:pStyle w:val="base-text-paragraph"/>
      </w:pPr>
      <w:r w:rsidRPr="00A03FDB">
        <w:t>Under the advocacy function, the Ombudsman:</w:t>
      </w:r>
      <w:r w:rsidR="008B1611" w:rsidRPr="008B1611">
        <w:t xml:space="preserve"> </w:t>
      </w:r>
    </w:p>
    <w:p w14:paraId="2D86EC07" w14:textId="77777777" w:rsidR="009C2D18" w:rsidRPr="005C239E" w:rsidRDefault="009C2D18" w:rsidP="005C239E">
      <w:pPr>
        <w:pStyle w:val="exampledotpoint1"/>
        <w:rPr>
          <w:sz w:val="22"/>
          <w:szCs w:val="22"/>
        </w:rPr>
      </w:pPr>
      <w:r w:rsidRPr="005C239E">
        <w:rPr>
          <w:sz w:val="22"/>
          <w:szCs w:val="22"/>
        </w:rPr>
        <w:t>undertakes research and inquiries into legislation, policies and practices affecting small businesses;</w:t>
      </w:r>
    </w:p>
    <w:p w14:paraId="2C19A4DB" w14:textId="77777777" w:rsidR="009C2D18" w:rsidRPr="005C239E" w:rsidRDefault="009C2D18" w:rsidP="005C239E">
      <w:pPr>
        <w:pStyle w:val="exampledotpoint1"/>
        <w:rPr>
          <w:sz w:val="22"/>
          <w:szCs w:val="22"/>
        </w:rPr>
      </w:pPr>
      <w:r w:rsidRPr="005C239E">
        <w:rPr>
          <w:sz w:val="22"/>
          <w:szCs w:val="22"/>
        </w:rPr>
        <w:t>reports and gives advice to the Minister on those matters;</w:t>
      </w:r>
    </w:p>
    <w:p w14:paraId="6ED63701" w14:textId="77777777" w:rsidR="009C2D18" w:rsidRPr="005C239E" w:rsidRDefault="009C2D18" w:rsidP="005C239E">
      <w:pPr>
        <w:pStyle w:val="exampledotpoint1"/>
        <w:rPr>
          <w:sz w:val="22"/>
          <w:szCs w:val="22"/>
        </w:rPr>
      </w:pPr>
      <w:r w:rsidRPr="005C239E">
        <w:rPr>
          <w:sz w:val="22"/>
          <w:szCs w:val="22"/>
        </w:rPr>
        <w:t>contributes to inquiries by others into those matters;</w:t>
      </w:r>
    </w:p>
    <w:p w14:paraId="2B090C36" w14:textId="77777777" w:rsidR="009C2D18" w:rsidRPr="005C239E" w:rsidRDefault="009C2D18" w:rsidP="005C239E">
      <w:pPr>
        <w:pStyle w:val="exampledotpoint1"/>
        <w:rPr>
          <w:sz w:val="22"/>
          <w:szCs w:val="22"/>
        </w:rPr>
      </w:pPr>
      <w:r w:rsidRPr="005C239E">
        <w:rPr>
          <w:sz w:val="22"/>
          <w:szCs w:val="22"/>
        </w:rPr>
        <w:t>contributes to developing national strategies on those matters;</w:t>
      </w:r>
    </w:p>
    <w:p w14:paraId="15264E35" w14:textId="77777777" w:rsidR="0074271C" w:rsidRPr="005C239E" w:rsidRDefault="009C2D18" w:rsidP="005C239E">
      <w:pPr>
        <w:pStyle w:val="exampledotpoint1"/>
        <w:rPr>
          <w:sz w:val="22"/>
          <w:szCs w:val="22"/>
        </w:rPr>
      </w:pPr>
      <w:r w:rsidRPr="005C239E">
        <w:rPr>
          <w:sz w:val="22"/>
          <w:szCs w:val="22"/>
        </w:rPr>
        <w:t>reviews proposals relating to those matters and advises the Minister on them;</w:t>
      </w:r>
      <w:r w:rsidR="00683B8E" w:rsidRPr="005C239E">
        <w:rPr>
          <w:sz w:val="22"/>
          <w:szCs w:val="22"/>
        </w:rPr>
        <w:t xml:space="preserve"> and</w:t>
      </w:r>
    </w:p>
    <w:p w14:paraId="799311E1" w14:textId="77777777" w:rsidR="009C2D18" w:rsidRPr="005C239E" w:rsidRDefault="009C2D18" w:rsidP="005C239E">
      <w:pPr>
        <w:pStyle w:val="exampledotpoint1"/>
        <w:rPr>
          <w:sz w:val="22"/>
          <w:szCs w:val="22"/>
        </w:rPr>
      </w:pPr>
      <w:r w:rsidRPr="005C239E">
        <w:rPr>
          <w:sz w:val="22"/>
          <w:szCs w:val="22"/>
        </w:rPr>
        <w:t>promotes best practice in dealing with small businesses.</w:t>
      </w:r>
    </w:p>
    <w:p w14:paraId="1A21E1A5" w14:textId="2510829B" w:rsidR="008B1611" w:rsidRDefault="009C2D18" w:rsidP="00200FC3">
      <w:pPr>
        <w:pStyle w:val="base-text-paragraph"/>
      </w:pPr>
      <w:r w:rsidRPr="00A03FDB">
        <w:t>Under the assistance function, the Ombudsman responds to requests for assistance by an operator of a small business</w:t>
      </w:r>
      <w:r w:rsidR="00FC2CF0">
        <w:t xml:space="preserve"> </w:t>
      </w:r>
      <w:r w:rsidR="008E4A59">
        <w:t>o</w:t>
      </w:r>
      <w:r w:rsidR="00FC2CF0">
        <w:t>r</w:t>
      </w:r>
      <w:r w:rsidR="008E4A59">
        <w:t xml:space="preserve"> family enterprise</w:t>
      </w:r>
      <w:r w:rsidR="003B53C7">
        <w:t xml:space="preserve">. </w:t>
      </w:r>
      <w:r w:rsidRPr="00A03FDB">
        <w:t>The Ombudsman will not duplicate the operations of other agencies</w:t>
      </w:r>
      <w:r w:rsidR="008E4A59">
        <w:t xml:space="preserve"> and so </w:t>
      </w:r>
      <w:r w:rsidRPr="00A03FDB">
        <w:t xml:space="preserve">must transfer a request for assistance to another Commonwealth, </w:t>
      </w:r>
      <w:r w:rsidR="008E4A59">
        <w:t>s</w:t>
      </w:r>
      <w:r w:rsidRPr="00A03FDB">
        <w:t xml:space="preserve">tate or </w:t>
      </w:r>
      <w:r w:rsidR="008E4A59">
        <w:t>t</w:t>
      </w:r>
      <w:r w:rsidRPr="00A03FDB">
        <w:t xml:space="preserve">erritory, if that </w:t>
      </w:r>
      <w:r w:rsidR="008E4A59">
        <w:t xml:space="preserve">other </w:t>
      </w:r>
      <w:r w:rsidRPr="00A03FDB">
        <w:t xml:space="preserve">agency could deal with the request </w:t>
      </w:r>
      <w:r w:rsidR="008E4A59">
        <w:t xml:space="preserve">in a </w:t>
      </w:r>
      <w:r w:rsidRPr="00A03FDB">
        <w:t xml:space="preserve">more effective and convenient </w:t>
      </w:r>
      <w:r w:rsidR="008E4A59">
        <w:t>manner</w:t>
      </w:r>
      <w:r w:rsidR="003B53C7">
        <w:t xml:space="preserve">. </w:t>
      </w:r>
      <w:r>
        <w:t>The Ombudsman may also work co</w:t>
      </w:r>
      <w:r w:rsidR="009349BC">
        <w:noBreakHyphen/>
      </w:r>
      <w:r w:rsidRPr="00A03FDB">
        <w:t xml:space="preserve">operatively with other agencies of the Commonwealth, the </w:t>
      </w:r>
      <w:r w:rsidR="008E4A59">
        <w:t>s</w:t>
      </w:r>
      <w:r w:rsidRPr="00A03FDB">
        <w:t xml:space="preserve">tates and the </w:t>
      </w:r>
      <w:r w:rsidR="008E4A59">
        <w:t>t</w:t>
      </w:r>
      <w:r w:rsidRPr="00A03FDB">
        <w:t>erritories if it is more convenient and effective to do so.</w:t>
      </w:r>
      <w:r w:rsidR="008B1611" w:rsidRPr="008B1611">
        <w:t xml:space="preserve"> </w:t>
      </w:r>
    </w:p>
    <w:p w14:paraId="20DA48FD" w14:textId="77777777" w:rsidR="008B1611" w:rsidRDefault="005E7F7A" w:rsidP="00200FC3">
      <w:pPr>
        <w:pStyle w:val="base-text-paragraph"/>
      </w:pPr>
      <w:r>
        <w:t xml:space="preserve">If the request for assistance is more conveniently and effectively dealt with by the Ombudsman, the </w:t>
      </w:r>
      <w:r w:rsidR="009C2D18" w:rsidRPr="00A03FDB">
        <w:t xml:space="preserve">Ombudsman may recommend that an </w:t>
      </w:r>
      <w:r w:rsidR="008E4A59">
        <w:t>alternative dispute resolution (</w:t>
      </w:r>
      <w:r w:rsidR="00BD7DFE">
        <w:t>ADR</w:t>
      </w:r>
      <w:r w:rsidR="008E4A59">
        <w:t>)</w:t>
      </w:r>
      <w:r w:rsidR="009C2D18" w:rsidRPr="00A03FDB">
        <w:t xml:space="preserve"> process be undertaken</w:t>
      </w:r>
      <w:r w:rsidR="003B53C7">
        <w:t xml:space="preserve">. </w:t>
      </w:r>
      <w:r w:rsidR="009C2D18" w:rsidRPr="00A03FDB">
        <w:t>If an entity does not undertake that process, or withdraws from that process, the Ombudsman may publish that fact</w:t>
      </w:r>
      <w:r w:rsidR="003B53C7">
        <w:t xml:space="preserve">. </w:t>
      </w:r>
      <w:r w:rsidR="009C2D18" w:rsidRPr="00A03FDB">
        <w:t xml:space="preserve">The Ombudsman may keep a list of </w:t>
      </w:r>
      <w:r w:rsidR="00BD7DFE">
        <w:t>ADR</w:t>
      </w:r>
      <w:r w:rsidR="009C2D18" w:rsidRPr="00A03FDB">
        <w:t xml:space="preserve"> providers, to assist small businesses and family enterprises in accessing </w:t>
      </w:r>
      <w:r w:rsidR="00BD7DFE">
        <w:t>ADR</w:t>
      </w:r>
      <w:r w:rsidR="009C2D18" w:rsidRPr="00A03FDB">
        <w:t>.</w:t>
      </w:r>
      <w:r w:rsidR="008B1611" w:rsidRPr="008B1611">
        <w:t xml:space="preserve"> </w:t>
      </w:r>
    </w:p>
    <w:p w14:paraId="712EE7C6" w14:textId="48714535" w:rsidR="008B1611" w:rsidRDefault="009C2D18" w:rsidP="00200FC3">
      <w:pPr>
        <w:pStyle w:val="base-text-paragraph"/>
      </w:pPr>
      <w:r>
        <w:t xml:space="preserve">To assist </w:t>
      </w:r>
      <w:r w:rsidRPr="00A03FDB">
        <w:t>the Ombudsman in carrying out the Ombudsman</w:t>
      </w:r>
      <w:r w:rsidR="009349BC">
        <w:t>’</w:t>
      </w:r>
      <w:r w:rsidRPr="00A03FDB">
        <w:t>s functions, the Ombudsman has information gathering powers</w:t>
      </w:r>
      <w:r w:rsidR="003B53C7">
        <w:t xml:space="preserve">. </w:t>
      </w:r>
      <w:r w:rsidRPr="00A03FDB">
        <w:t>Where the Minister directs the Ombudsman to inquire into a matter, this includes the power to conduct, and take evidence in, hearings.</w:t>
      </w:r>
      <w:r w:rsidR="008B1611" w:rsidRPr="008B1611">
        <w:t xml:space="preserve"> </w:t>
      </w:r>
    </w:p>
    <w:p w14:paraId="2F7E9D47" w14:textId="05C10DED" w:rsidR="008B1611" w:rsidRDefault="00BB6C49" w:rsidP="00200FC3">
      <w:pPr>
        <w:pStyle w:val="base-text-paragraph"/>
      </w:pPr>
      <w:r w:rsidRPr="00BB6C49">
        <w:t xml:space="preserve">The functions of the </w:t>
      </w:r>
      <w:r>
        <w:t>Ombudsman</w:t>
      </w:r>
      <w:r w:rsidRPr="00BB6C49">
        <w:t xml:space="preserve"> </w:t>
      </w:r>
      <w:r>
        <w:t xml:space="preserve">as set out under the Bill </w:t>
      </w:r>
      <w:r w:rsidRPr="00BB6C49">
        <w:t>extend, as much as possible, the scope of the Government</w:t>
      </w:r>
      <w:r w:rsidR="009349BC">
        <w:t>’</w:t>
      </w:r>
      <w:r w:rsidRPr="00BB6C49">
        <w:t>s commitment.</w:t>
      </w:r>
      <w:r>
        <w:t xml:space="preserve"> They are intended to be flexible and </w:t>
      </w:r>
      <w:r w:rsidRPr="00BB6C49">
        <w:t xml:space="preserve">allow the Ombudsman </w:t>
      </w:r>
      <w:r>
        <w:t>the use of</w:t>
      </w:r>
      <w:r w:rsidRPr="00BB6C49">
        <w:t xml:space="preserve"> a range of working methods in the performance of these functions</w:t>
      </w:r>
      <w:r>
        <w:t xml:space="preserve"> </w:t>
      </w:r>
      <w:r w:rsidRPr="00ED057C">
        <w:rPr>
          <w:rStyle w:val="Referencingstyle"/>
        </w:rPr>
        <w:t>[Part 2</w:t>
      </w:r>
      <w:r w:rsidR="00287798">
        <w:rPr>
          <w:rStyle w:val="Referencingstyle"/>
        </w:rPr>
        <w:t>,</w:t>
      </w:r>
      <w:r w:rsidRPr="00ED057C">
        <w:rPr>
          <w:rStyle w:val="Referencingstyle"/>
        </w:rPr>
        <w:t xml:space="preserve"> Division 1</w:t>
      </w:r>
      <w:r w:rsidR="00287798">
        <w:rPr>
          <w:rStyle w:val="Referencingstyle"/>
        </w:rPr>
        <w:t>,</w:t>
      </w:r>
      <w:r w:rsidRPr="00ED057C">
        <w:rPr>
          <w:rStyle w:val="Referencingstyle"/>
        </w:rPr>
        <w:t xml:space="preserve"> section 17]</w:t>
      </w:r>
      <w:r w:rsidR="00643754">
        <w:t xml:space="preserve">. </w:t>
      </w:r>
      <w:r>
        <w:t xml:space="preserve">The Ombudsman also has the power to do all things necessary or convenient to be done for or in connection with the performance of its functions. </w:t>
      </w:r>
      <w:r w:rsidRPr="00ED057C">
        <w:rPr>
          <w:rStyle w:val="Referencingstyle"/>
        </w:rPr>
        <w:t>[Part 2</w:t>
      </w:r>
      <w:r w:rsidR="00287798">
        <w:rPr>
          <w:rStyle w:val="Referencingstyle"/>
        </w:rPr>
        <w:t>,</w:t>
      </w:r>
      <w:r w:rsidRPr="00ED057C">
        <w:rPr>
          <w:rStyle w:val="Referencingstyle"/>
        </w:rPr>
        <w:t xml:space="preserve"> Division </w:t>
      </w:r>
      <w:r w:rsidR="00826673">
        <w:rPr>
          <w:rStyle w:val="Referencingstyle"/>
        </w:rPr>
        <w:t>1</w:t>
      </w:r>
      <w:r w:rsidR="00287798">
        <w:rPr>
          <w:rStyle w:val="Referencingstyle"/>
        </w:rPr>
        <w:t>,</w:t>
      </w:r>
      <w:r w:rsidR="00826673">
        <w:rPr>
          <w:rStyle w:val="Referencingstyle"/>
        </w:rPr>
        <w:t xml:space="preserve"> </w:t>
      </w:r>
      <w:r w:rsidRPr="00ED057C">
        <w:rPr>
          <w:rStyle w:val="Referencingstyle"/>
        </w:rPr>
        <w:t>section 18]</w:t>
      </w:r>
      <w:r w:rsidR="00B928AF" w:rsidRPr="00B928AF">
        <w:t xml:space="preserve"> </w:t>
      </w:r>
    </w:p>
    <w:p w14:paraId="27647A7F" w14:textId="77777777" w:rsidR="008B1611" w:rsidRPr="00F26DB0" w:rsidRDefault="00B928AF" w:rsidP="00200FC3">
      <w:pPr>
        <w:pStyle w:val="base-text-paragraph"/>
      </w:pPr>
      <w:r>
        <w:t xml:space="preserve">The Ombudsman may delegate, by written instrument, the powers and functions of the Ombudsman to a Senior Executive Service, or an Australian Public Service employee of the Department. </w:t>
      </w:r>
      <w:r w:rsidRPr="00E658ED">
        <w:rPr>
          <w:rStyle w:val="Referencingstyle"/>
        </w:rPr>
        <w:t>[Part 2</w:t>
      </w:r>
      <w:r w:rsidR="00287798">
        <w:rPr>
          <w:rStyle w:val="Referencingstyle"/>
        </w:rPr>
        <w:t>,</w:t>
      </w:r>
      <w:r w:rsidRPr="00E658ED">
        <w:rPr>
          <w:rStyle w:val="Referencingstyle"/>
        </w:rPr>
        <w:t xml:space="preserve"> Division</w:t>
      </w:r>
      <w:r w:rsidR="00C06BCC">
        <w:rPr>
          <w:rStyle w:val="Referencingstyle"/>
        </w:rPr>
        <w:t> </w:t>
      </w:r>
      <w:r w:rsidR="00826673">
        <w:rPr>
          <w:rStyle w:val="Referencingstyle"/>
        </w:rPr>
        <w:t>1</w:t>
      </w:r>
      <w:r w:rsidR="00C06BCC">
        <w:rPr>
          <w:rStyle w:val="Referencingstyle"/>
        </w:rPr>
        <w:t>,</w:t>
      </w:r>
      <w:r w:rsidRPr="00E658ED">
        <w:rPr>
          <w:rStyle w:val="Referencingstyle"/>
        </w:rPr>
        <w:t xml:space="preserve"> section 1</w:t>
      </w:r>
      <w:r>
        <w:rPr>
          <w:rStyle w:val="Referencingstyle"/>
        </w:rPr>
        <w:t>9</w:t>
      </w:r>
      <w:r w:rsidRPr="00E658ED">
        <w:rPr>
          <w:rStyle w:val="Referencingstyle"/>
        </w:rPr>
        <w:t>]</w:t>
      </w:r>
      <w:r w:rsidR="008B1611" w:rsidRPr="008B1611">
        <w:t xml:space="preserve"> </w:t>
      </w:r>
    </w:p>
    <w:p w14:paraId="54BC1B79" w14:textId="77777777" w:rsidR="008B1611" w:rsidRDefault="00B52DF3" w:rsidP="00200FC3">
      <w:pPr>
        <w:pStyle w:val="base-text-paragraph"/>
      </w:pPr>
      <w:r>
        <w:t xml:space="preserve">The Minister may, by legislative instrument give written directions to the Ombudsman, but only in relation to general matters. </w:t>
      </w:r>
      <w:r w:rsidRPr="00E658ED">
        <w:rPr>
          <w:rStyle w:val="Referencingstyle"/>
        </w:rPr>
        <w:t>[Part</w:t>
      </w:r>
      <w:r w:rsidR="005C239E">
        <w:rPr>
          <w:rStyle w:val="Referencingstyle"/>
        </w:rPr>
        <w:t> </w:t>
      </w:r>
      <w:r w:rsidRPr="00E658ED">
        <w:rPr>
          <w:rStyle w:val="Referencingstyle"/>
        </w:rPr>
        <w:t>2</w:t>
      </w:r>
      <w:r w:rsidR="00287798">
        <w:rPr>
          <w:rStyle w:val="Referencingstyle"/>
        </w:rPr>
        <w:t>,</w:t>
      </w:r>
      <w:r w:rsidRPr="00E658ED">
        <w:rPr>
          <w:rStyle w:val="Referencingstyle"/>
        </w:rPr>
        <w:t xml:space="preserve"> Division </w:t>
      </w:r>
      <w:r w:rsidR="00826673">
        <w:rPr>
          <w:rStyle w:val="Referencingstyle"/>
        </w:rPr>
        <w:t>1</w:t>
      </w:r>
      <w:r w:rsidR="00287798">
        <w:rPr>
          <w:rStyle w:val="Referencingstyle"/>
        </w:rPr>
        <w:t>,</w:t>
      </w:r>
      <w:r w:rsidRPr="00E658ED">
        <w:rPr>
          <w:rStyle w:val="Referencingstyle"/>
        </w:rPr>
        <w:t xml:space="preserve"> section </w:t>
      </w:r>
      <w:r>
        <w:rPr>
          <w:rStyle w:val="Referencingstyle"/>
        </w:rPr>
        <w:t>20</w:t>
      </w:r>
      <w:r w:rsidRPr="00E658ED">
        <w:rPr>
          <w:rStyle w:val="Referencingstyle"/>
        </w:rPr>
        <w:t>]</w:t>
      </w:r>
      <w:r w:rsidR="008B1611" w:rsidRPr="008B1611">
        <w:t xml:space="preserve"> </w:t>
      </w:r>
    </w:p>
    <w:p w14:paraId="4F76D9C8" w14:textId="77777777" w:rsidR="009C2D18" w:rsidRPr="00076F39" w:rsidRDefault="009C2D18" w:rsidP="00C71EE9">
      <w:pPr>
        <w:pStyle w:val="Heading4"/>
      </w:pPr>
      <w:r w:rsidRPr="00076F39">
        <w:t>General policy guidelines</w:t>
      </w:r>
    </w:p>
    <w:p w14:paraId="1D8DABEB" w14:textId="2E3A5B63" w:rsidR="008B1611" w:rsidRDefault="009C2D18" w:rsidP="00200FC3">
      <w:pPr>
        <w:pStyle w:val="base-text-paragraph"/>
      </w:pPr>
      <w:r>
        <w:t>To achieve the Government</w:t>
      </w:r>
      <w:r w:rsidR="009349BC">
        <w:t>’</w:t>
      </w:r>
      <w:r>
        <w:t>s election commitment to create an O</w:t>
      </w:r>
      <w:r w:rsidR="00C41BC8">
        <w:t>mbudsman</w:t>
      </w:r>
      <w:r>
        <w:t xml:space="preserve"> with </w:t>
      </w:r>
      <w:r w:rsidR="009349BC">
        <w:t>‘</w:t>
      </w:r>
      <w:r>
        <w:t>real power</w:t>
      </w:r>
      <w:r w:rsidR="009349BC">
        <w:t>’</w:t>
      </w:r>
      <w:r>
        <w:t xml:space="preserve"> and in light of the deregulation agenda, the general policy guidelines in section 16 </w:t>
      </w:r>
      <w:r w:rsidR="00941BA2">
        <w:t xml:space="preserve">of the Bill, </w:t>
      </w:r>
      <w:r>
        <w:t>set out the main focus of the Bill which is for the O</w:t>
      </w:r>
      <w:r w:rsidR="00C41BC8">
        <w:t>mbudsman</w:t>
      </w:r>
      <w:r>
        <w:t xml:space="preserve"> to work co</w:t>
      </w:r>
      <w:r w:rsidR="009349BC">
        <w:noBreakHyphen/>
      </w:r>
      <w:r>
        <w:t>operative</w:t>
      </w:r>
      <w:r w:rsidR="008E4A59">
        <w:t>ly with existing Commonwealth, state and t</w:t>
      </w:r>
      <w:r>
        <w:t>erritory agencies in performing its functions</w:t>
      </w:r>
      <w:r w:rsidR="008E4A59">
        <w:t>,</w:t>
      </w:r>
      <w:r>
        <w:t xml:space="preserve"> and avoid duplication with the operations of </w:t>
      </w:r>
      <w:r w:rsidR="008E4A59">
        <w:t xml:space="preserve">such </w:t>
      </w:r>
      <w:r>
        <w:t>agencies</w:t>
      </w:r>
      <w:r w:rsidR="003B53C7">
        <w:t xml:space="preserve">. </w:t>
      </w:r>
      <w:r>
        <w:t>This general policy is highlighted throughout the Bill and supports all of the functions of the O</w:t>
      </w:r>
      <w:r w:rsidR="00C41BC8">
        <w:t>mbudsman</w:t>
      </w:r>
      <w:r>
        <w:t>.</w:t>
      </w:r>
      <w:r w:rsidR="00B52DF3">
        <w:t xml:space="preserve"> </w:t>
      </w:r>
      <w:r w:rsidR="00B52DF3" w:rsidRPr="00E658ED">
        <w:rPr>
          <w:rStyle w:val="Referencingstyle"/>
        </w:rPr>
        <w:t>[Part 2</w:t>
      </w:r>
      <w:r w:rsidR="00287798">
        <w:rPr>
          <w:rStyle w:val="Referencingstyle"/>
        </w:rPr>
        <w:t>,</w:t>
      </w:r>
      <w:r w:rsidR="00B52DF3" w:rsidRPr="00E658ED">
        <w:rPr>
          <w:rStyle w:val="Referencingstyle"/>
        </w:rPr>
        <w:t xml:space="preserve"> Division </w:t>
      </w:r>
      <w:r w:rsidR="00826673">
        <w:rPr>
          <w:rStyle w:val="Referencingstyle"/>
        </w:rPr>
        <w:t>1</w:t>
      </w:r>
      <w:r w:rsidR="00287798">
        <w:rPr>
          <w:rStyle w:val="Referencingstyle"/>
        </w:rPr>
        <w:t>,</w:t>
      </w:r>
      <w:r w:rsidR="00B52DF3" w:rsidRPr="00E658ED">
        <w:rPr>
          <w:rStyle w:val="Referencingstyle"/>
        </w:rPr>
        <w:t xml:space="preserve"> section 1</w:t>
      </w:r>
      <w:r w:rsidR="00B52DF3">
        <w:rPr>
          <w:rStyle w:val="Referencingstyle"/>
        </w:rPr>
        <w:t>6</w:t>
      </w:r>
      <w:r w:rsidR="00B52DF3" w:rsidRPr="00E658ED">
        <w:rPr>
          <w:rStyle w:val="Referencingstyle"/>
        </w:rPr>
        <w:t>]</w:t>
      </w:r>
      <w:r w:rsidR="008B1611" w:rsidRPr="008B1611">
        <w:t xml:space="preserve"> </w:t>
      </w:r>
    </w:p>
    <w:p w14:paraId="5F091D2D" w14:textId="77777777" w:rsidR="009C2D18" w:rsidRDefault="009C2D18" w:rsidP="00C71EE9">
      <w:pPr>
        <w:pStyle w:val="Heading4"/>
      </w:pPr>
      <w:r>
        <w:t>Reporting requirements</w:t>
      </w:r>
    </w:p>
    <w:p w14:paraId="7BB13A22" w14:textId="77777777" w:rsidR="008B1611" w:rsidRDefault="009C2D18" w:rsidP="00200FC3">
      <w:pPr>
        <w:pStyle w:val="base-text-paragraph"/>
      </w:pPr>
      <w:r w:rsidRPr="00625D24">
        <w:t xml:space="preserve">To comply with section 46 of the </w:t>
      </w:r>
      <w:r w:rsidRPr="00625D24">
        <w:rPr>
          <w:i/>
        </w:rPr>
        <w:t>Public Governance, Performance and Accountability Act 2013</w:t>
      </w:r>
      <w:r w:rsidRPr="00625D24">
        <w:t>, an annual report must be prepared by the Department and given to the Minister</w:t>
      </w:r>
      <w:r w:rsidR="00643754">
        <w:t xml:space="preserve">. </w:t>
      </w:r>
      <w:r w:rsidRPr="00625D24">
        <w:t>The annual report must comply with the content requirements listed in the section</w:t>
      </w:r>
      <w:r w:rsidR="00941BA2">
        <w:t xml:space="preserve"> 23 of the Bill</w:t>
      </w:r>
      <w:r w:rsidRPr="00625D24">
        <w:t>.</w:t>
      </w:r>
      <w:r w:rsidR="008B1611" w:rsidRPr="008B1611">
        <w:t xml:space="preserve"> </w:t>
      </w:r>
      <w:r w:rsidR="00941BA2" w:rsidRPr="00ED057C">
        <w:rPr>
          <w:rStyle w:val="Referencingstyle"/>
        </w:rPr>
        <w:t>[</w:t>
      </w:r>
      <w:r w:rsidR="00941BA2">
        <w:rPr>
          <w:rStyle w:val="Referencingstyle"/>
        </w:rPr>
        <w:t xml:space="preserve">Part 2, Division 1, </w:t>
      </w:r>
      <w:r w:rsidR="00941BA2" w:rsidRPr="00E92BD7">
        <w:rPr>
          <w:rStyle w:val="Referencingstyle"/>
        </w:rPr>
        <w:t>section 23</w:t>
      </w:r>
      <w:r w:rsidR="00941BA2">
        <w:rPr>
          <w:rStyle w:val="Referencingstyle"/>
        </w:rPr>
        <w:t>]</w:t>
      </w:r>
    </w:p>
    <w:p w14:paraId="5910350B" w14:textId="51D3A8F2" w:rsidR="008B1611" w:rsidRDefault="009C2D18" w:rsidP="00200FC3">
      <w:pPr>
        <w:pStyle w:val="base-text-paragraph"/>
      </w:pPr>
      <w:r w:rsidRPr="00625D24">
        <w:t>The O</w:t>
      </w:r>
      <w:r w:rsidR="00C41BC8">
        <w:t>mbudsman</w:t>
      </w:r>
      <w:r w:rsidRPr="00625D24">
        <w:t xml:space="preserve"> must also prepare specified reports which relate to the O</w:t>
      </w:r>
      <w:r w:rsidR="004836AF">
        <w:t>mbudsman</w:t>
      </w:r>
      <w:r w:rsidR="009349BC">
        <w:t>’</w:t>
      </w:r>
      <w:r w:rsidRPr="00625D24">
        <w:t>s functions</w:t>
      </w:r>
      <w:r w:rsidR="00826673">
        <w:t>, if directed by the Minister</w:t>
      </w:r>
      <w:r w:rsidR="005815C3">
        <w:t xml:space="preserve">. </w:t>
      </w:r>
      <w:r w:rsidR="005815C3" w:rsidRPr="00ED057C">
        <w:rPr>
          <w:rStyle w:val="Referencingstyle"/>
        </w:rPr>
        <w:t>[</w:t>
      </w:r>
      <w:r w:rsidR="00CA05A5">
        <w:rPr>
          <w:rStyle w:val="Referencingstyle"/>
        </w:rPr>
        <w:t>Part 2</w:t>
      </w:r>
      <w:r w:rsidR="00D3504D">
        <w:rPr>
          <w:rStyle w:val="Referencingstyle"/>
        </w:rPr>
        <w:t>,</w:t>
      </w:r>
      <w:r w:rsidR="00CA05A5">
        <w:rPr>
          <w:rStyle w:val="Referencingstyle"/>
        </w:rPr>
        <w:t xml:space="preserve"> Division 1</w:t>
      </w:r>
      <w:r w:rsidR="00D3504D">
        <w:rPr>
          <w:rStyle w:val="Referencingstyle"/>
        </w:rPr>
        <w:t>,</w:t>
      </w:r>
      <w:r w:rsidR="00CA05A5">
        <w:rPr>
          <w:rStyle w:val="Referencingstyle"/>
        </w:rPr>
        <w:t xml:space="preserve"> </w:t>
      </w:r>
      <w:r w:rsidRPr="00E92BD7">
        <w:rPr>
          <w:rStyle w:val="Referencingstyle"/>
        </w:rPr>
        <w:t>section 21</w:t>
      </w:r>
      <w:r w:rsidR="005815C3">
        <w:rPr>
          <w:rStyle w:val="Referencingstyle"/>
        </w:rPr>
        <w:t>]</w:t>
      </w:r>
      <w:r w:rsidR="003B53C7">
        <w:t xml:space="preserve"> </w:t>
      </w:r>
    </w:p>
    <w:p w14:paraId="5DCFC93A" w14:textId="77777777" w:rsidR="009C2D18" w:rsidRPr="008C21A1" w:rsidRDefault="009C2D18" w:rsidP="00C71EE9">
      <w:pPr>
        <w:pStyle w:val="Heading4"/>
      </w:pPr>
      <w:r w:rsidRPr="008C21A1">
        <w:t>Terms and conditions of appointment</w:t>
      </w:r>
    </w:p>
    <w:p w14:paraId="076794EF" w14:textId="5C6353D1" w:rsidR="008B1611" w:rsidRDefault="009C2D18" w:rsidP="00200FC3">
      <w:pPr>
        <w:pStyle w:val="base-text-paragraph"/>
      </w:pPr>
      <w:r>
        <w:t>An O</w:t>
      </w:r>
      <w:r w:rsidR="00FB22CF">
        <w:t>mbudsman</w:t>
      </w:r>
      <w:r>
        <w:t xml:space="preserve"> is to be appointed by the Governor</w:t>
      </w:r>
      <w:r w:rsidR="009349BC">
        <w:noBreakHyphen/>
      </w:r>
      <w:r>
        <w:t>General and will hold office on a full</w:t>
      </w:r>
      <w:r w:rsidR="009349BC">
        <w:noBreakHyphen/>
      </w:r>
      <w:r>
        <w:t>time basis for a period not exceeding five years, and is eligible (if otherwise qualified) for re appointment</w:t>
      </w:r>
      <w:r w:rsidR="005815C3">
        <w:t xml:space="preserve">. </w:t>
      </w:r>
      <w:r w:rsidR="005815C3" w:rsidRPr="00ED057C">
        <w:rPr>
          <w:rStyle w:val="Referencingstyle"/>
        </w:rPr>
        <w:t>[</w:t>
      </w:r>
      <w:r w:rsidR="00CA05A5">
        <w:rPr>
          <w:rStyle w:val="Referencingstyle"/>
        </w:rPr>
        <w:t xml:space="preserve">Part </w:t>
      </w:r>
      <w:r w:rsidR="00BE5172">
        <w:rPr>
          <w:rStyle w:val="Referencingstyle"/>
        </w:rPr>
        <w:t>2</w:t>
      </w:r>
      <w:r w:rsidR="00287798">
        <w:rPr>
          <w:rStyle w:val="Referencingstyle"/>
        </w:rPr>
        <w:t>,</w:t>
      </w:r>
      <w:r w:rsidR="00BE5172">
        <w:rPr>
          <w:rStyle w:val="Referencingstyle"/>
        </w:rPr>
        <w:t xml:space="preserve"> Division 2</w:t>
      </w:r>
      <w:r w:rsidR="00287798">
        <w:rPr>
          <w:rStyle w:val="Referencingstyle"/>
        </w:rPr>
        <w:t>,</w:t>
      </w:r>
      <w:r w:rsidR="00BE5172">
        <w:rPr>
          <w:rStyle w:val="Referencingstyle"/>
        </w:rPr>
        <w:t xml:space="preserve"> </w:t>
      </w:r>
      <w:r w:rsidRPr="00E92BD7">
        <w:rPr>
          <w:rStyle w:val="Referencingstyle"/>
        </w:rPr>
        <w:t>section 24</w:t>
      </w:r>
      <w:r w:rsidR="005815C3">
        <w:rPr>
          <w:rStyle w:val="Referencingstyle"/>
        </w:rPr>
        <w:t xml:space="preserve">] </w:t>
      </w:r>
    </w:p>
    <w:p w14:paraId="2BC946A7" w14:textId="53E39A7C" w:rsidR="008B1611" w:rsidRDefault="009C2D18" w:rsidP="00200FC3">
      <w:pPr>
        <w:pStyle w:val="base-text-paragraph"/>
      </w:pPr>
      <w:r>
        <w:t>Before the Governor</w:t>
      </w:r>
      <w:r w:rsidR="009349BC">
        <w:noBreakHyphen/>
      </w:r>
      <w:r>
        <w:t>General appoints the O</w:t>
      </w:r>
      <w:r w:rsidR="004407A7">
        <w:t>mbudsman</w:t>
      </w:r>
      <w:r>
        <w:t>, the Minister must be satisfied that the appointee has demonstrated suitable qualifications or experience, and is of good character for the position</w:t>
      </w:r>
      <w:r w:rsidR="005815C3">
        <w:t xml:space="preserve">. </w:t>
      </w:r>
      <w:r w:rsidR="005815C3" w:rsidRPr="00ED057C">
        <w:rPr>
          <w:rStyle w:val="Referencingstyle"/>
        </w:rPr>
        <w:t>[</w:t>
      </w:r>
      <w:r w:rsidR="00BE5172">
        <w:rPr>
          <w:rStyle w:val="Referencingstyle"/>
        </w:rPr>
        <w:t>Part</w:t>
      </w:r>
      <w:r w:rsidR="005C239E">
        <w:rPr>
          <w:rStyle w:val="Referencingstyle"/>
        </w:rPr>
        <w:t> </w:t>
      </w:r>
      <w:r w:rsidR="00BE5172">
        <w:rPr>
          <w:rStyle w:val="Referencingstyle"/>
        </w:rPr>
        <w:t>2</w:t>
      </w:r>
      <w:r w:rsidR="00287798">
        <w:rPr>
          <w:rStyle w:val="Referencingstyle"/>
        </w:rPr>
        <w:t>,</w:t>
      </w:r>
      <w:r w:rsidR="00BE5172">
        <w:rPr>
          <w:rStyle w:val="Referencingstyle"/>
        </w:rPr>
        <w:t xml:space="preserve"> Division 2</w:t>
      </w:r>
      <w:r w:rsidR="00287798">
        <w:rPr>
          <w:rStyle w:val="Referencingstyle"/>
        </w:rPr>
        <w:t>,</w:t>
      </w:r>
      <w:r w:rsidR="00BE5172">
        <w:rPr>
          <w:rStyle w:val="Referencingstyle"/>
        </w:rPr>
        <w:t xml:space="preserve"> </w:t>
      </w:r>
      <w:r w:rsidR="00CB433F">
        <w:rPr>
          <w:rStyle w:val="Referencingstyle"/>
        </w:rPr>
        <w:t>sub</w:t>
      </w:r>
      <w:r w:rsidR="00BE5172">
        <w:rPr>
          <w:rStyle w:val="Referencingstyle"/>
        </w:rPr>
        <w:t>section 24</w:t>
      </w:r>
      <w:r w:rsidR="00CB433F">
        <w:rPr>
          <w:rStyle w:val="Referencingstyle"/>
        </w:rPr>
        <w:t>(</w:t>
      </w:r>
      <w:r w:rsidRPr="00E92BD7">
        <w:rPr>
          <w:rStyle w:val="Referencingstyle"/>
        </w:rPr>
        <w:t>2</w:t>
      </w:r>
      <w:r w:rsidR="00CB433F">
        <w:rPr>
          <w:rStyle w:val="Referencingstyle"/>
        </w:rPr>
        <w:t>)</w:t>
      </w:r>
      <w:r w:rsidR="005815C3">
        <w:rPr>
          <w:rStyle w:val="Referencingstyle"/>
        </w:rPr>
        <w:t>]</w:t>
      </w:r>
      <w:r w:rsidR="003B53C7">
        <w:t xml:space="preserve"> </w:t>
      </w:r>
    </w:p>
    <w:p w14:paraId="63A8467D" w14:textId="7027EA09" w:rsidR="004761A7" w:rsidRDefault="009C2D18" w:rsidP="00200FC3">
      <w:pPr>
        <w:pStyle w:val="base-text-paragraph"/>
      </w:pPr>
      <w:r>
        <w:t>The Minister will be responsible for appointing an acting O</w:t>
      </w:r>
      <w:r w:rsidR="004407A7">
        <w:t>mbudsman</w:t>
      </w:r>
      <w:r>
        <w:t xml:space="preserve"> to undertake the activities of the O</w:t>
      </w:r>
      <w:r w:rsidR="004407A7">
        <w:t>mbudsman</w:t>
      </w:r>
      <w:r>
        <w:t xml:space="preserve"> during the illness or absence of the O</w:t>
      </w:r>
      <w:r w:rsidR="004407A7">
        <w:t>mbudsman</w:t>
      </w:r>
      <w:r w:rsidR="00F555E3">
        <w:t>,</w:t>
      </w:r>
      <w:r>
        <w:t xml:space="preserve"> or during a vacancy pending permanent appointment of an O</w:t>
      </w:r>
      <w:r w:rsidR="004407A7">
        <w:t>mbudsman</w:t>
      </w:r>
      <w:r>
        <w:t xml:space="preserve"> by the Governor</w:t>
      </w:r>
      <w:r w:rsidR="009349BC">
        <w:noBreakHyphen/>
      </w:r>
      <w:r>
        <w:t>General</w:t>
      </w:r>
      <w:r w:rsidR="003B53C7">
        <w:t xml:space="preserve">. </w:t>
      </w:r>
      <w:r>
        <w:t>The acting O</w:t>
      </w:r>
      <w:r w:rsidR="004407A7">
        <w:t>mbudsman</w:t>
      </w:r>
      <w:r>
        <w:t xml:space="preserve"> has all the same functions as the O</w:t>
      </w:r>
      <w:r w:rsidR="004407A7">
        <w:t>mbudsman</w:t>
      </w:r>
      <w:r w:rsidR="00DB0A33">
        <w:t>.</w:t>
      </w:r>
      <w:r w:rsidR="005815C3">
        <w:t xml:space="preserve"> </w:t>
      </w:r>
      <w:r w:rsidR="005815C3" w:rsidRPr="00ED057C">
        <w:rPr>
          <w:rStyle w:val="Referencingstyle"/>
        </w:rPr>
        <w:t>[</w:t>
      </w:r>
      <w:r w:rsidR="00BE5172">
        <w:rPr>
          <w:rStyle w:val="Referencingstyle"/>
        </w:rPr>
        <w:t>Part 2</w:t>
      </w:r>
      <w:r w:rsidR="00287798">
        <w:rPr>
          <w:rStyle w:val="Referencingstyle"/>
        </w:rPr>
        <w:t>,</w:t>
      </w:r>
      <w:r w:rsidR="00BE5172">
        <w:rPr>
          <w:rStyle w:val="Referencingstyle"/>
        </w:rPr>
        <w:t xml:space="preserve"> Division 2</w:t>
      </w:r>
      <w:r w:rsidR="00287798">
        <w:rPr>
          <w:rStyle w:val="Referencingstyle"/>
        </w:rPr>
        <w:t>,</w:t>
      </w:r>
      <w:r w:rsidR="00BE5172">
        <w:rPr>
          <w:rStyle w:val="Referencingstyle"/>
        </w:rPr>
        <w:t xml:space="preserve"> </w:t>
      </w:r>
      <w:r w:rsidRPr="00E92BD7">
        <w:rPr>
          <w:rStyle w:val="Referencingstyle"/>
        </w:rPr>
        <w:t>section</w:t>
      </w:r>
      <w:r w:rsidR="004407A7" w:rsidRPr="00E92BD7">
        <w:rPr>
          <w:rStyle w:val="Referencingstyle"/>
        </w:rPr>
        <w:t> </w:t>
      </w:r>
      <w:r w:rsidRPr="00E92BD7">
        <w:rPr>
          <w:rStyle w:val="Referencingstyle"/>
        </w:rPr>
        <w:t>32]</w:t>
      </w:r>
      <w:r w:rsidR="003B53C7">
        <w:t xml:space="preserve"> </w:t>
      </w:r>
    </w:p>
    <w:p w14:paraId="49A510BC" w14:textId="77777777" w:rsidR="004761A7" w:rsidRDefault="009C2D18" w:rsidP="00200FC3">
      <w:pPr>
        <w:pStyle w:val="base-text-paragraph"/>
      </w:pPr>
      <w:r>
        <w:t xml:space="preserve">The Bill </w:t>
      </w:r>
      <w:r w:rsidRPr="00C5130F">
        <w:t>provide</w:t>
      </w:r>
      <w:r>
        <w:t>s</w:t>
      </w:r>
      <w:r w:rsidRPr="00C5130F">
        <w:t xml:space="preserve"> that the O</w:t>
      </w:r>
      <w:r w:rsidR="009247BC">
        <w:t>mbudsman</w:t>
      </w:r>
      <w:r w:rsidRPr="00C5130F">
        <w:t xml:space="preserve"> be paid such remuneration as is determined by the Remuneration Tribunal, and paid such allowances as are prescribed by legislative instrument</w:t>
      </w:r>
      <w:r w:rsidR="005815C3">
        <w:t xml:space="preserve"> </w:t>
      </w:r>
      <w:r w:rsidR="005815C3" w:rsidRPr="00ED057C">
        <w:rPr>
          <w:rStyle w:val="Referencingstyle"/>
        </w:rPr>
        <w:t>[</w:t>
      </w:r>
      <w:r w:rsidR="00BE5172">
        <w:rPr>
          <w:rStyle w:val="Referencingstyle"/>
        </w:rPr>
        <w:t>Part 2</w:t>
      </w:r>
      <w:r w:rsidR="00D3504D">
        <w:rPr>
          <w:rStyle w:val="Referencingstyle"/>
        </w:rPr>
        <w:t>,</w:t>
      </w:r>
      <w:r w:rsidR="00BE5172">
        <w:rPr>
          <w:rStyle w:val="Referencingstyle"/>
        </w:rPr>
        <w:t xml:space="preserve"> </w:t>
      </w:r>
      <w:r w:rsidR="00D3504D">
        <w:rPr>
          <w:rStyle w:val="Referencingstyle"/>
        </w:rPr>
        <w:t>Division </w:t>
      </w:r>
      <w:r w:rsidR="00BE5172">
        <w:rPr>
          <w:rStyle w:val="Referencingstyle"/>
        </w:rPr>
        <w:t>2</w:t>
      </w:r>
      <w:r w:rsidR="00D3504D">
        <w:rPr>
          <w:rStyle w:val="Referencingstyle"/>
        </w:rPr>
        <w:t>,</w:t>
      </w:r>
      <w:r w:rsidR="00BE5172">
        <w:rPr>
          <w:rStyle w:val="Referencingstyle"/>
        </w:rPr>
        <w:t xml:space="preserve"> </w:t>
      </w:r>
      <w:r w:rsidRPr="003443D4">
        <w:rPr>
          <w:rStyle w:val="Referencingstyle"/>
        </w:rPr>
        <w:t>section 25</w:t>
      </w:r>
      <w:r w:rsidR="005815C3">
        <w:rPr>
          <w:rStyle w:val="Referencingstyle"/>
        </w:rPr>
        <w:t>]</w:t>
      </w:r>
      <w:r w:rsidR="00643754">
        <w:t xml:space="preserve">. </w:t>
      </w:r>
      <w:r w:rsidRPr="00C5130F">
        <w:t>The O</w:t>
      </w:r>
      <w:r w:rsidR="00E87887">
        <w:t>mbudsman</w:t>
      </w:r>
      <w:r w:rsidRPr="00C5130F">
        <w:t xml:space="preserve"> will also have the recreation leave entitlements as are determined by the Remuneration Tribunal</w:t>
      </w:r>
      <w:r w:rsidR="005815C3">
        <w:t xml:space="preserve">. </w:t>
      </w:r>
      <w:r w:rsidR="005815C3" w:rsidRPr="00ED057C">
        <w:rPr>
          <w:rStyle w:val="Referencingstyle"/>
        </w:rPr>
        <w:t>[</w:t>
      </w:r>
      <w:r w:rsidR="00BE5172">
        <w:rPr>
          <w:rStyle w:val="Referencingstyle"/>
        </w:rPr>
        <w:t>Part</w:t>
      </w:r>
      <w:r w:rsidR="0008180F">
        <w:rPr>
          <w:rStyle w:val="Referencingstyle"/>
        </w:rPr>
        <w:t> </w:t>
      </w:r>
      <w:r w:rsidR="00BE5172">
        <w:rPr>
          <w:rStyle w:val="Referencingstyle"/>
        </w:rPr>
        <w:t>2</w:t>
      </w:r>
      <w:r w:rsidR="00287798">
        <w:rPr>
          <w:rStyle w:val="Referencingstyle"/>
        </w:rPr>
        <w:t>,</w:t>
      </w:r>
      <w:r w:rsidR="0008180F">
        <w:rPr>
          <w:rStyle w:val="Referencingstyle"/>
        </w:rPr>
        <w:t> </w:t>
      </w:r>
      <w:r w:rsidR="00BE5172">
        <w:rPr>
          <w:rStyle w:val="Referencingstyle"/>
        </w:rPr>
        <w:t>Division 2</w:t>
      </w:r>
      <w:r w:rsidR="00287798">
        <w:rPr>
          <w:rStyle w:val="Referencingstyle"/>
        </w:rPr>
        <w:t>,</w:t>
      </w:r>
      <w:r w:rsidR="00BE5172">
        <w:rPr>
          <w:rStyle w:val="Referencingstyle"/>
        </w:rPr>
        <w:t xml:space="preserve"> </w:t>
      </w:r>
      <w:r w:rsidRPr="00E92BD7">
        <w:rPr>
          <w:rStyle w:val="Referencingstyle"/>
        </w:rPr>
        <w:t>section 26</w:t>
      </w:r>
      <w:r w:rsidR="005815C3">
        <w:rPr>
          <w:rStyle w:val="Referencingstyle"/>
        </w:rPr>
        <w:t>]</w:t>
      </w:r>
      <w:r w:rsidR="000C4D08">
        <w:t xml:space="preserve"> </w:t>
      </w:r>
    </w:p>
    <w:p w14:paraId="5C7FE8A4" w14:textId="7FF5F433" w:rsidR="004761A7" w:rsidRDefault="00B52DF3" w:rsidP="00200FC3">
      <w:pPr>
        <w:pStyle w:val="base-text-paragraph"/>
      </w:pPr>
      <w:r>
        <w:t>The Ombudsman may not, without the Minister</w:t>
      </w:r>
      <w:r w:rsidR="009349BC">
        <w:t>’</w:t>
      </w:r>
      <w:r>
        <w:t xml:space="preserve">s approval, undertake work </w:t>
      </w:r>
      <w:r w:rsidR="00F76BFE">
        <w:t xml:space="preserve">outside the duties of the office of the </w:t>
      </w:r>
      <w:r>
        <w:t xml:space="preserve">Ombudsman </w:t>
      </w:r>
      <w:r w:rsidRPr="00E658ED">
        <w:rPr>
          <w:rStyle w:val="Referencingstyle"/>
        </w:rPr>
        <w:t>[Part 2 Division 2</w:t>
      </w:r>
      <w:r w:rsidR="00C06BCC">
        <w:rPr>
          <w:rStyle w:val="Referencingstyle"/>
        </w:rPr>
        <w:t>,</w:t>
      </w:r>
      <w:r w:rsidRPr="00E658ED">
        <w:rPr>
          <w:rStyle w:val="Referencingstyle"/>
        </w:rPr>
        <w:t xml:space="preserve"> section 2</w:t>
      </w:r>
      <w:r>
        <w:rPr>
          <w:rStyle w:val="Referencingstyle"/>
        </w:rPr>
        <w:t>7</w:t>
      </w:r>
      <w:r w:rsidRPr="00E658ED">
        <w:rPr>
          <w:rStyle w:val="Referencingstyle"/>
        </w:rPr>
        <w:t>]</w:t>
      </w:r>
      <w:r w:rsidR="00643754">
        <w:t xml:space="preserve">. </w:t>
      </w:r>
      <w:r w:rsidRPr="00ED057C">
        <w:t xml:space="preserve">The Ombudsman must also disclose </w:t>
      </w:r>
      <w:r w:rsidR="009447E2" w:rsidRPr="00ED057C">
        <w:t xml:space="preserve">to the Minister, </w:t>
      </w:r>
      <w:r w:rsidRPr="00ED057C">
        <w:t>all relevant personal interests</w:t>
      </w:r>
      <w:r w:rsidR="009447E2" w:rsidRPr="00ED057C">
        <w:t xml:space="preserve"> relating to the functions of the </w:t>
      </w:r>
      <w:r w:rsidRPr="00ED057C">
        <w:t>Ombudsman</w:t>
      </w:r>
      <w:r w:rsidR="009447E2" w:rsidRPr="00ED057C">
        <w:t>.</w:t>
      </w:r>
      <w:r w:rsidR="009447E2">
        <w:t xml:space="preserve"> </w:t>
      </w:r>
      <w:r w:rsidR="009447E2" w:rsidRPr="00E658ED">
        <w:rPr>
          <w:rStyle w:val="Referencingstyle"/>
        </w:rPr>
        <w:t>[Part 2</w:t>
      </w:r>
      <w:r w:rsidR="00287798">
        <w:rPr>
          <w:rStyle w:val="Referencingstyle"/>
        </w:rPr>
        <w:t>,</w:t>
      </w:r>
      <w:r w:rsidR="009447E2" w:rsidRPr="00E658ED">
        <w:rPr>
          <w:rStyle w:val="Referencingstyle"/>
        </w:rPr>
        <w:t> Division 2</w:t>
      </w:r>
      <w:r w:rsidR="00287798">
        <w:rPr>
          <w:rStyle w:val="Referencingstyle"/>
        </w:rPr>
        <w:t>,</w:t>
      </w:r>
      <w:r w:rsidR="009447E2" w:rsidRPr="00E658ED">
        <w:rPr>
          <w:rStyle w:val="Referencingstyle"/>
        </w:rPr>
        <w:t xml:space="preserve"> section 2</w:t>
      </w:r>
      <w:r w:rsidR="009447E2">
        <w:rPr>
          <w:rStyle w:val="Referencingstyle"/>
        </w:rPr>
        <w:t>9</w:t>
      </w:r>
      <w:r w:rsidR="009447E2" w:rsidRPr="00E658ED">
        <w:rPr>
          <w:rStyle w:val="Referencingstyle"/>
        </w:rPr>
        <w:t>]</w:t>
      </w:r>
      <w:r w:rsidR="004761A7" w:rsidRPr="004761A7">
        <w:t xml:space="preserve"> </w:t>
      </w:r>
    </w:p>
    <w:p w14:paraId="320CCE72" w14:textId="073446C3" w:rsidR="004761A7" w:rsidRDefault="00084918" w:rsidP="007821F0">
      <w:pPr>
        <w:pStyle w:val="base-text-paragraph"/>
        <w:keepNext/>
        <w:keepLines/>
      </w:pPr>
      <w:r>
        <w:t xml:space="preserve">The Minister may terminate the appointment of the Ombudsman </w:t>
      </w:r>
      <w:r w:rsidR="00B52DF3">
        <w:t xml:space="preserve">for </w:t>
      </w:r>
      <w:r w:rsidR="009349BC">
        <w:t>‘</w:t>
      </w:r>
      <w:r w:rsidR="00B52DF3">
        <w:t>misbehaviour</w:t>
      </w:r>
      <w:r w:rsidR="009349BC">
        <w:t>’</w:t>
      </w:r>
      <w:r w:rsidR="00B52DF3">
        <w:t xml:space="preserve">, </w:t>
      </w:r>
      <w:r w:rsidR="00F03ED5">
        <w:t xml:space="preserve">or </w:t>
      </w:r>
      <w:r>
        <w:t>if the Ombudsman is unable to perform his or her duties</w:t>
      </w:r>
      <w:r w:rsidR="005815C3">
        <w:t xml:space="preserve"> </w:t>
      </w:r>
      <w:r w:rsidR="005815C3" w:rsidRPr="00ED057C">
        <w:rPr>
          <w:rStyle w:val="Referencingstyle"/>
        </w:rPr>
        <w:t>[</w:t>
      </w:r>
      <w:r w:rsidR="00BE5172">
        <w:rPr>
          <w:rStyle w:val="Referencingstyle"/>
        </w:rPr>
        <w:t>Part</w:t>
      </w:r>
      <w:r w:rsidR="0008180F">
        <w:rPr>
          <w:rStyle w:val="Referencingstyle"/>
        </w:rPr>
        <w:t> </w:t>
      </w:r>
      <w:r w:rsidR="00BE5172">
        <w:rPr>
          <w:rStyle w:val="Referencingstyle"/>
        </w:rPr>
        <w:t>2</w:t>
      </w:r>
      <w:r w:rsidR="00287798">
        <w:rPr>
          <w:rStyle w:val="Referencingstyle"/>
        </w:rPr>
        <w:t>,</w:t>
      </w:r>
      <w:r w:rsidR="0008180F">
        <w:rPr>
          <w:rStyle w:val="Referencingstyle"/>
        </w:rPr>
        <w:t> </w:t>
      </w:r>
      <w:r w:rsidR="00BE5172">
        <w:rPr>
          <w:rStyle w:val="Referencingstyle"/>
        </w:rPr>
        <w:t>Division 2</w:t>
      </w:r>
      <w:r w:rsidR="00287798">
        <w:rPr>
          <w:rStyle w:val="Referencingstyle"/>
        </w:rPr>
        <w:t>,</w:t>
      </w:r>
      <w:r w:rsidR="00BE5172">
        <w:rPr>
          <w:rStyle w:val="Referencingstyle"/>
        </w:rPr>
        <w:t xml:space="preserve"> section </w:t>
      </w:r>
      <w:r w:rsidR="00944528">
        <w:rPr>
          <w:rStyle w:val="Referencingstyle"/>
        </w:rPr>
        <w:t>30</w:t>
      </w:r>
      <w:r w:rsidR="005815C3">
        <w:rPr>
          <w:rStyle w:val="Referencingstyle"/>
        </w:rPr>
        <w:t>]</w:t>
      </w:r>
      <w:r w:rsidR="00643754">
        <w:t xml:space="preserve">. </w:t>
      </w:r>
      <w:r w:rsidR="00B52DF3">
        <w:t>Other c</w:t>
      </w:r>
      <w:r>
        <w:t>ircumstances under which the Minister may terminate the Ombudsman</w:t>
      </w:r>
      <w:r w:rsidR="009349BC">
        <w:t>’</w:t>
      </w:r>
      <w:r>
        <w:t>s appointment include if the Ombudsman:</w:t>
      </w:r>
      <w:r w:rsidR="004761A7" w:rsidRPr="004761A7">
        <w:t xml:space="preserve"> </w:t>
      </w:r>
    </w:p>
    <w:p w14:paraId="3058B059" w14:textId="77777777" w:rsidR="00132835" w:rsidRPr="00B41D67" w:rsidRDefault="00132835" w:rsidP="00B41D67">
      <w:pPr>
        <w:pStyle w:val="exampledotpoint1"/>
        <w:rPr>
          <w:sz w:val="22"/>
          <w:szCs w:val="22"/>
        </w:rPr>
      </w:pPr>
      <w:r w:rsidRPr="00B41D67">
        <w:rPr>
          <w:sz w:val="22"/>
          <w:szCs w:val="22"/>
        </w:rPr>
        <w:t>becomes bankrupt; or</w:t>
      </w:r>
    </w:p>
    <w:p w14:paraId="5572245E" w14:textId="77777777" w:rsidR="00132835" w:rsidRPr="00B41D67" w:rsidRDefault="00132835" w:rsidP="00B41D67">
      <w:pPr>
        <w:pStyle w:val="exampledotpoint1"/>
        <w:rPr>
          <w:sz w:val="22"/>
          <w:szCs w:val="22"/>
        </w:rPr>
      </w:pPr>
      <w:r w:rsidRPr="00B41D67">
        <w:rPr>
          <w:sz w:val="22"/>
          <w:szCs w:val="22"/>
        </w:rPr>
        <w:t>takes steps to take the benefit of any law for the relief of bankrupt or insolvent debtors; or</w:t>
      </w:r>
    </w:p>
    <w:p w14:paraId="16EA026B" w14:textId="77777777" w:rsidR="00132835" w:rsidRPr="00B41D67" w:rsidRDefault="00132835" w:rsidP="00B41D67">
      <w:pPr>
        <w:pStyle w:val="exampledotpoint1"/>
        <w:rPr>
          <w:sz w:val="22"/>
          <w:szCs w:val="22"/>
        </w:rPr>
      </w:pPr>
      <w:r w:rsidRPr="00B41D67">
        <w:rPr>
          <w:sz w:val="22"/>
          <w:szCs w:val="22"/>
        </w:rPr>
        <w:t>compounds with one or more of his or her creditors; or</w:t>
      </w:r>
    </w:p>
    <w:p w14:paraId="2A6B754D" w14:textId="77777777" w:rsidR="00084918" w:rsidRPr="00B41D67" w:rsidRDefault="00132835" w:rsidP="00B41D67">
      <w:pPr>
        <w:pStyle w:val="exampledotpoint1"/>
        <w:rPr>
          <w:sz w:val="22"/>
          <w:szCs w:val="22"/>
        </w:rPr>
      </w:pPr>
      <w:r w:rsidRPr="00B41D67">
        <w:rPr>
          <w:sz w:val="22"/>
          <w:szCs w:val="22"/>
        </w:rPr>
        <w:t>makes an assignment of his or her remuneration for the benefit of one or more of his or her creditors</w:t>
      </w:r>
      <w:r w:rsidR="005815C3" w:rsidRPr="00B41D67">
        <w:rPr>
          <w:sz w:val="22"/>
          <w:szCs w:val="22"/>
        </w:rPr>
        <w:t xml:space="preserve">. </w:t>
      </w:r>
      <w:r w:rsidR="005815C3" w:rsidRPr="00B41D67">
        <w:rPr>
          <w:rStyle w:val="Referencingstyle"/>
        </w:rPr>
        <w:t>[</w:t>
      </w:r>
      <w:r w:rsidR="00BE5172" w:rsidRPr="00B41D67">
        <w:rPr>
          <w:rStyle w:val="Referencingstyle"/>
        </w:rPr>
        <w:t>Part 2</w:t>
      </w:r>
      <w:r w:rsidR="00287798">
        <w:rPr>
          <w:rStyle w:val="Referencingstyle"/>
        </w:rPr>
        <w:t>,</w:t>
      </w:r>
      <w:r w:rsidR="00BE5172" w:rsidRPr="00B41D67">
        <w:rPr>
          <w:rStyle w:val="Referencingstyle"/>
        </w:rPr>
        <w:t xml:space="preserve"> Division</w:t>
      </w:r>
      <w:r w:rsidR="00287798">
        <w:rPr>
          <w:rStyle w:val="Referencingstyle"/>
        </w:rPr>
        <w:t> </w:t>
      </w:r>
      <w:r w:rsidR="00BE5172" w:rsidRPr="00B41D67">
        <w:rPr>
          <w:rStyle w:val="Referencingstyle"/>
        </w:rPr>
        <w:t>2</w:t>
      </w:r>
      <w:r w:rsidR="00287798">
        <w:rPr>
          <w:rStyle w:val="Referencingstyle"/>
        </w:rPr>
        <w:t>,</w:t>
      </w:r>
      <w:r w:rsidR="00BE5172" w:rsidRPr="00B41D67">
        <w:rPr>
          <w:rStyle w:val="Referencingstyle"/>
        </w:rPr>
        <w:t xml:space="preserve"> </w:t>
      </w:r>
      <w:r w:rsidR="00F110A8" w:rsidRPr="00B41D67">
        <w:rPr>
          <w:rStyle w:val="Referencingstyle"/>
        </w:rPr>
        <w:t>sub</w:t>
      </w:r>
      <w:r w:rsidR="00BE5172" w:rsidRPr="00B41D67">
        <w:rPr>
          <w:rStyle w:val="Referencingstyle"/>
        </w:rPr>
        <w:t>section 30</w:t>
      </w:r>
      <w:r w:rsidR="00F110A8" w:rsidRPr="00B41D67">
        <w:rPr>
          <w:rStyle w:val="Referencingstyle"/>
        </w:rPr>
        <w:t>(</w:t>
      </w:r>
      <w:r w:rsidR="000A1285" w:rsidRPr="00B41D67">
        <w:rPr>
          <w:rStyle w:val="Referencingstyle"/>
        </w:rPr>
        <w:t>2</w:t>
      </w:r>
      <w:r w:rsidR="00F110A8" w:rsidRPr="00B41D67">
        <w:rPr>
          <w:rStyle w:val="Referencingstyle"/>
        </w:rPr>
        <w:t>)</w:t>
      </w:r>
      <w:r w:rsidR="005815C3" w:rsidRPr="00B41D67">
        <w:rPr>
          <w:rStyle w:val="Referencingstyle"/>
        </w:rPr>
        <w:t>]</w:t>
      </w:r>
    </w:p>
    <w:p w14:paraId="777FC7D0" w14:textId="77777777" w:rsidR="004761A7" w:rsidRDefault="009447E2" w:rsidP="00200FC3">
      <w:pPr>
        <w:pStyle w:val="base-text-paragraph"/>
      </w:pPr>
      <w:r>
        <w:t xml:space="preserve">If the Ombudsman wishes to resign, the Ombudsman must do so in writing to the Minister. </w:t>
      </w:r>
      <w:r w:rsidRPr="00E658ED">
        <w:rPr>
          <w:rStyle w:val="Referencingstyle"/>
        </w:rPr>
        <w:t>[Part 2</w:t>
      </w:r>
      <w:r w:rsidR="00287798">
        <w:rPr>
          <w:rStyle w:val="Referencingstyle"/>
        </w:rPr>
        <w:t>,</w:t>
      </w:r>
      <w:r w:rsidRPr="00E658ED">
        <w:rPr>
          <w:rStyle w:val="Referencingstyle"/>
        </w:rPr>
        <w:t xml:space="preserve"> Division 2</w:t>
      </w:r>
      <w:r w:rsidR="00287798">
        <w:rPr>
          <w:rStyle w:val="Referencingstyle"/>
        </w:rPr>
        <w:t>,</w:t>
      </w:r>
      <w:r w:rsidRPr="00E658ED">
        <w:rPr>
          <w:rStyle w:val="Referencingstyle"/>
        </w:rPr>
        <w:t xml:space="preserve"> section </w:t>
      </w:r>
      <w:r>
        <w:rPr>
          <w:rStyle w:val="Referencingstyle"/>
        </w:rPr>
        <w:t>28</w:t>
      </w:r>
      <w:r w:rsidRPr="00E658ED">
        <w:rPr>
          <w:rStyle w:val="Referencingstyle"/>
        </w:rPr>
        <w:t>]</w:t>
      </w:r>
      <w:r w:rsidR="004761A7" w:rsidRPr="004761A7">
        <w:t xml:space="preserve"> </w:t>
      </w:r>
    </w:p>
    <w:p w14:paraId="7C216348" w14:textId="77777777" w:rsidR="004761A7" w:rsidRDefault="009C2D18" w:rsidP="00200FC3">
      <w:pPr>
        <w:pStyle w:val="base-text-paragraph"/>
      </w:pPr>
      <w:r>
        <w:t>The O</w:t>
      </w:r>
      <w:r w:rsidR="004C2113">
        <w:t>mbudsman</w:t>
      </w:r>
      <w:r>
        <w:t xml:space="preserve"> will report directly to the Minister</w:t>
      </w:r>
      <w:r w:rsidR="003B53C7">
        <w:t xml:space="preserve">. </w:t>
      </w:r>
      <w:r>
        <w:t xml:space="preserve">As a departmental official, the Ombudsman would be subject to requirements under the </w:t>
      </w:r>
      <w:r w:rsidRPr="00E92BD7">
        <w:rPr>
          <w:i/>
        </w:rPr>
        <w:t>Public Governance, Performance and Accountability Act 2013</w:t>
      </w:r>
      <w:r w:rsidR="005815C3">
        <w:rPr>
          <w:i/>
        </w:rPr>
        <w:t xml:space="preserve">. </w:t>
      </w:r>
      <w:r w:rsidR="005815C3" w:rsidRPr="00E71783">
        <w:rPr>
          <w:rStyle w:val="Referencingstyle"/>
        </w:rPr>
        <w:t>[</w:t>
      </w:r>
      <w:r w:rsidR="00287798">
        <w:rPr>
          <w:rStyle w:val="Referencingstyle"/>
        </w:rPr>
        <w:t xml:space="preserve">Part 2, </w:t>
      </w:r>
      <w:r w:rsidR="0008180F">
        <w:rPr>
          <w:rStyle w:val="Referencingstyle"/>
        </w:rPr>
        <w:t>Division 1</w:t>
      </w:r>
      <w:r w:rsidR="00287798">
        <w:rPr>
          <w:rStyle w:val="Referencingstyle"/>
        </w:rPr>
        <w:t>,</w:t>
      </w:r>
      <w:r w:rsidR="0008180F">
        <w:rPr>
          <w:rStyle w:val="Referencingstyle"/>
        </w:rPr>
        <w:t xml:space="preserve"> </w:t>
      </w:r>
      <w:r w:rsidR="0008180F" w:rsidRPr="00E92BD7">
        <w:rPr>
          <w:rStyle w:val="Referencingstyle"/>
        </w:rPr>
        <w:t>section 22</w:t>
      </w:r>
      <w:r w:rsidR="005815C3">
        <w:rPr>
          <w:rStyle w:val="Referencingstyle"/>
        </w:rPr>
        <w:t>]</w:t>
      </w:r>
      <w:r w:rsidR="005B21BF">
        <w:t xml:space="preserve"> </w:t>
      </w:r>
    </w:p>
    <w:p w14:paraId="27EAB094" w14:textId="04340F82" w:rsidR="004761A7" w:rsidRDefault="009C2D18" w:rsidP="00200FC3">
      <w:pPr>
        <w:pStyle w:val="base-text-paragraph"/>
      </w:pPr>
      <w:r w:rsidRPr="00937D58">
        <w:t>Consistent with the Government</w:t>
      </w:r>
      <w:r w:rsidR="009349BC">
        <w:t>’</w:t>
      </w:r>
      <w:r w:rsidRPr="00937D58">
        <w:t>s smaller government agenda, the O</w:t>
      </w:r>
      <w:r w:rsidR="004C3805">
        <w:t>mbudsman</w:t>
      </w:r>
      <w:r w:rsidRPr="00937D58">
        <w:t xml:space="preserve"> will receive corporate system support and staffing from the Department</w:t>
      </w:r>
      <w:r w:rsidR="003B53C7">
        <w:t xml:space="preserve">. </w:t>
      </w:r>
      <w:r w:rsidRPr="00937D58">
        <w:t>Use of the Department</w:t>
      </w:r>
      <w:r w:rsidR="009349BC">
        <w:t>’</w:t>
      </w:r>
      <w:r w:rsidRPr="00937D58">
        <w:t>s staff and other departmental corporate structures will allow for full and proper functioning of the O</w:t>
      </w:r>
      <w:r w:rsidR="00460DD0">
        <w:t>mbudsman</w:t>
      </w:r>
      <w:r w:rsidR="009349BC">
        <w:t>’</w:t>
      </w:r>
      <w:r w:rsidRPr="00937D58">
        <w:t>s office, including its advocacy and assistance functions</w:t>
      </w:r>
      <w:r w:rsidR="005815C3">
        <w:t xml:space="preserve">. </w:t>
      </w:r>
      <w:r w:rsidR="005815C3" w:rsidRPr="00ED057C">
        <w:rPr>
          <w:rStyle w:val="Referencingstyle"/>
        </w:rPr>
        <w:t>[</w:t>
      </w:r>
      <w:r w:rsidR="00557F34" w:rsidRPr="00A216FB">
        <w:rPr>
          <w:rStyle w:val="Referencingstyle"/>
        </w:rPr>
        <w:t>Part 2</w:t>
      </w:r>
      <w:r w:rsidR="00287798">
        <w:rPr>
          <w:rStyle w:val="Referencingstyle"/>
        </w:rPr>
        <w:t>,</w:t>
      </w:r>
      <w:r w:rsidR="00557F34" w:rsidRPr="00A216FB">
        <w:rPr>
          <w:rStyle w:val="Referencingstyle"/>
        </w:rPr>
        <w:t xml:space="preserve"> Division 3</w:t>
      </w:r>
      <w:r w:rsidR="00287798">
        <w:rPr>
          <w:rStyle w:val="Referencingstyle"/>
        </w:rPr>
        <w:t>,</w:t>
      </w:r>
      <w:r w:rsidR="00557F34" w:rsidRPr="00A216FB">
        <w:rPr>
          <w:rStyle w:val="Referencingstyle"/>
        </w:rPr>
        <w:t xml:space="preserve"> section 33</w:t>
      </w:r>
      <w:r w:rsidR="005815C3" w:rsidRPr="00A216FB">
        <w:rPr>
          <w:rStyle w:val="Referencingstyle"/>
        </w:rPr>
        <w:t>]</w:t>
      </w:r>
      <w:r w:rsidRPr="00937D58">
        <w:t xml:space="preserve"> </w:t>
      </w:r>
    </w:p>
    <w:p w14:paraId="7184D523" w14:textId="77777777" w:rsidR="009C2D18" w:rsidRDefault="009C2D18" w:rsidP="00200FC3">
      <w:pPr>
        <w:pStyle w:val="base-text-paragraph"/>
      </w:pPr>
      <w:r w:rsidRPr="00937D58">
        <w:t>The O</w:t>
      </w:r>
      <w:r w:rsidR="00460DD0">
        <w:t>mbudsman</w:t>
      </w:r>
      <w:r w:rsidRPr="00937D58">
        <w:t xml:space="preserve"> may also engage consultants, subject to available resources, to deliver specific and specialised services</w:t>
      </w:r>
      <w:r w:rsidR="005815C3">
        <w:t xml:space="preserve">. </w:t>
      </w:r>
      <w:r w:rsidR="005815C3" w:rsidRPr="00ED057C">
        <w:rPr>
          <w:rStyle w:val="Referencingstyle"/>
        </w:rPr>
        <w:t>[</w:t>
      </w:r>
      <w:r w:rsidR="00370269" w:rsidRPr="00A216FB">
        <w:rPr>
          <w:rStyle w:val="Referencingstyle"/>
        </w:rPr>
        <w:t>Part 2</w:t>
      </w:r>
      <w:r w:rsidR="00287798">
        <w:rPr>
          <w:rStyle w:val="Referencingstyle"/>
        </w:rPr>
        <w:t>,</w:t>
      </w:r>
      <w:r w:rsidR="00370269" w:rsidRPr="00A216FB">
        <w:rPr>
          <w:rStyle w:val="Referencingstyle"/>
        </w:rPr>
        <w:t xml:space="preserve"> Division 3</w:t>
      </w:r>
      <w:r w:rsidR="00287798">
        <w:rPr>
          <w:rStyle w:val="Referencingstyle"/>
        </w:rPr>
        <w:t>,</w:t>
      </w:r>
      <w:r w:rsidR="00370269" w:rsidRPr="00A216FB">
        <w:rPr>
          <w:rStyle w:val="Referencingstyle"/>
        </w:rPr>
        <w:t xml:space="preserve"> section</w:t>
      </w:r>
      <w:r w:rsidR="00F03ED5">
        <w:rPr>
          <w:rStyle w:val="Referencingstyle"/>
        </w:rPr>
        <w:t> </w:t>
      </w:r>
      <w:r w:rsidR="00370269" w:rsidRPr="00A216FB">
        <w:rPr>
          <w:rStyle w:val="Referencingstyle"/>
        </w:rPr>
        <w:t>34</w:t>
      </w:r>
      <w:r w:rsidR="005815C3" w:rsidRPr="00A216FB">
        <w:rPr>
          <w:rStyle w:val="Referencingstyle"/>
        </w:rPr>
        <w:t>]</w:t>
      </w:r>
      <w:r w:rsidRPr="00937D58">
        <w:t xml:space="preserve"> </w:t>
      </w:r>
    </w:p>
    <w:p w14:paraId="0FF18279" w14:textId="77777777" w:rsidR="009C1756" w:rsidRDefault="009C1756">
      <w:pPr>
        <w:spacing w:before="0" w:after="0"/>
        <w:sectPr w:rsidR="009C1756" w:rsidSect="00821379">
          <w:headerReference w:type="even" r:id="rId45"/>
          <w:headerReference w:type="default" r:id="rId46"/>
          <w:type w:val="oddPage"/>
          <w:pgSz w:w="11906" w:h="16838" w:code="9"/>
          <w:pgMar w:top="2466" w:right="2098" w:bottom="2466" w:left="2098" w:header="1559" w:footer="1899" w:gutter="0"/>
          <w:cols w:space="708"/>
          <w:titlePg/>
          <w:docGrid w:linePitch="360"/>
        </w:sectPr>
      </w:pPr>
    </w:p>
    <w:p w14:paraId="3F271EDE" w14:textId="77777777" w:rsidR="001009B8" w:rsidRPr="006477AB" w:rsidRDefault="001009B8" w:rsidP="001009B8">
      <w:pPr>
        <w:pStyle w:val="ChapterHeading"/>
      </w:pPr>
      <w:bookmarkStart w:id="28" w:name="_Toc417985045"/>
      <w:bookmarkStart w:id="29" w:name="_Toc417989799"/>
      <w:r w:rsidRPr="006477AB">
        <w:br/>
      </w:r>
      <w:bookmarkStart w:id="30" w:name="_Toc419101548"/>
      <w:bookmarkStart w:id="31" w:name="_Toc419136754"/>
      <w:bookmarkStart w:id="32" w:name="_Toc420587201"/>
      <w:r>
        <w:t>Advoca</w:t>
      </w:r>
      <w:r w:rsidR="00190BFB">
        <w:t>ting for small businesses and family enterprises</w:t>
      </w:r>
      <w:bookmarkEnd w:id="28"/>
      <w:bookmarkEnd w:id="29"/>
      <w:bookmarkEnd w:id="30"/>
      <w:bookmarkEnd w:id="31"/>
      <w:bookmarkEnd w:id="32"/>
    </w:p>
    <w:p w14:paraId="5AD80C5B" w14:textId="77777777" w:rsidR="001009B8" w:rsidRPr="00AC537C" w:rsidRDefault="001009B8">
      <w:pPr>
        <w:pStyle w:val="Heading2"/>
      </w:pPr>
      <w:r w:rsidRPr="00AC537C">
        <w:t xml:space="preserve">Outline of </w:t>
      </w:r>
      <w:r w:rsidR="00FA4E45">
        <w:t>chapter</w:t>
      </w:r>
    </w:p>
    <w:p w14:paraId="2D5ED381" w14:textId="2B7F5277" w:rsidR="001009B8" w:rsidRDefault="009F0E00" w:rsidP="00200FC3">
      <w:pPr>
        <w:pStyle w:val="base-text-paragraph"/>
        <w:numPr>
          <w:ilvl w:val="1"/>
          <w:numId w:val="17"/>
        </w:numPr>
      </w:pPr>
      <w:r>
        <w:t xml:space="preserve">This </w:t>
      </w:r>
      <w:r w:rsidR="00C06BCC">
        <w:t xml:space="preserve">chapter </w:t>
      </w:r>
      <w:r>
        <w:t xml:space="preserve">explains </w:t>
      </w:r>
      <w:r w:rsidR="00C36B24">
        <w:t xml:space="preserve">Part 3 of the </w:t>
      </w:r>
      <w:r w:rsidR="006F6410">
        <w:t>Bill which relates to the Ombudsman</w:t>
      </w:r>
      <w:r w:rsidR="009349BC">
        <w:t>’</w:t>
      </w:r>
      <w:r w:rsidR="006F6410">
        <w:t xml:space="preserve">s advocacy function. </w:t>
      </w:r>
    </w:p>
    <w:p w14:paraId="29E4CA8A" w14:textId="77777777" w:rsidR="00BE2568" w:rsidRDefault="00BE2568" w:rsidP="00C71EE9">
      <w:pPr>
        <w:pStyle w:val="Heading3"/>
      </w:pPr>
      <w:r>
        <w:t>Constitutional connection</w:t>
      </w:r>
    </w:p>
    <w:p w14:paraId="493ADF55" w14:textId="57F855FA" w:rsidR="004761A7" w:rsidRPr="00F26DB0" w:rsidRDefault="00C4058F" w:rsidP="00200FC3">
      <w:pPr>
        <w:pStyle w:val="base-text-paragraph"/>
      </w:pPr>
      <w:r>
        <w:t>Part 3 Division 1 sets out the connection</w:t>
      </w:r>
      <w:r w:rsidR="009379CB">
        <w:t>s</w:t>
      </w:r>
      <w:r>
        <w:t xml:space="preserve"> linking the </w:t>
      </w:r>
      <w:r w:rsidR="006373FE">
        <w:t>Ombudsman</w:t>
      </w:r>
      <w:r w:rsidR="009349BC">
        <w:t>’</w:t>
      </w:r>
      <w:r w:rsidR="006373FE">
        <w:t xml:space="preserve">s </w:t>
      </w:r>
      <w:r>
        <w:t xml:space="preserve">advocacy </w:t>
      </w:r>
      <w:r w:rsidR="006373FE">
        <w:t xml:space="preserve">function </w:t>
      </w:r>
      <w:r>
        <w:t>to the Constitution</w:t>
      </w:r>
      <w:r w:rsidR="008904C2">
        <w:t xml:space="preserve"> (see Chapter 2 above</w:t>
      </w:r>
      <w:r w:rsidR="002F1587" w:rsidRPr="002F1587">
        <w:t>, regarding the constit</w:t>
      </w:r>
      <w:r w:rsidR="002F1587">
        <w:t>utional basis for the Bill</w:t>
      </w:r>
      <w:r w:rsidR="008904C2">
        <w:t>)</w:t>
      </w:r>
      <w:r>
        <w:t xml:space="preserve">. </w:t>
      </w:r>
      <w:r w:rsidR="008904C2" w:rsidRPr="00E658ED">
        <w:rPr>
          <w:rStyle w:val="Referencingstyle"/>
        </w:rPr>
        <w:t>[</w:t>
      </w:r>
      <w:r w:rsidR="008904C2">
        <w:rPr>
          <w:rStyle w:val="Referencingstyle"/>
        </w:rPr>
        <w:t>Part 3</w:t>
      </w:r>
      <w:r w:rsidR="000603A7">
        <w:rPr>
          <w:rStyle w:val="Referencingstyle"/>
        </w:rPr>
        <w:t>,</w:t>
      </w:r>
      <w:r w:rsidR="008904C2">
        <w:rPr>
          <w:rStyle w:val="Referencingstyle"/>
        </w:rPr>
        <w:t> Division 1</w:t>
      </w:r>
      <w:r w:rsidR="000603A7">
        <w:rPr>
          <w:rStyle w:val="Referencingstyle"/>
        </w:rPr>
        <w:t>,</w:t>
      </w:r>
      <w:r w:rsidR="008904C2">
        <w:rPr>
          <w:rStyle w:val="Referencingstyle"/>
        </w:rPr>
        <w:t xml:space="preserve"> </w:t>
      </w:r>
      <w:r w:rsidR="008904C2" w:rsidRPr="00E92BD7">
        <w:rPr>
          <w:rStyle w:val="Referencingstyle"/>
        </w:rPr>
        <w:t>section 3</w:t>
      </w:r>
      <w:r w:rsidR="008904C2">
        <w:rPr>
          <w:rStyle w:val="Referencingstyle"/>
        </w:rPr>
        <w:t>5]</w:t>
      </w:r>
      <w:r w:rsidR="004761A7" w:rsidRPr="004761A7">
        <w:t xml:space="preserve"> </w:t>
      </w:r>
    </w:p>
    <w:p w14:paraId="7296997E" w14:textId="49C67E05" w:rsidR="00BE2568" w:rsidRDefault="00BE2568" w:rsidP="00C71EE9">
      <w:pPr>
        <w:pStyle w:val="Heading3"/>
      </w:pPr>
      <w:r>
        <w:t>Ombudsman</w:t>
      </w:r>
      <w:r w:rsidR="009349BC">
        <w:t>’</w:t>
      </w:r>
      <w:r>
        <w:t>s own initiative inquiries</w:t>
      </w:r>
    </w:p>
    <w:p w14:paraId="168B59E8" w14:textId="77777777" w:rsidR="004761A7" w:rsidRDefault="00464F0A" w:rsidP="00200FC3">
      <w:pPr>
        <w:pStyle w:val="base-text-paragraph"/>
      </w:pPr>
      <w:r>
        <w:t>Section 36</w:t>
      </w:r>
      <w:r w:rsidR="00C63147">
        <w:t xml:space="preserve"> of the </w:t>
      </w:r>
      <w:r w:rsidR="00B6599B">
        <w:t>Bill</w:t>
      </w:r>
      <w:r w:rsidR="00C63147">
        <w:t xml:space="preserve"> </w:t>
      </w:r>
      <w:r w:rsidR="00B26743">
        <w:t xml:space="preserve">provides </w:t>
      </w:r>
      <w:r>
        <w:t xml:space="preserve">that </w:t>
      </w:r>
      <w:r w:rsidR="00B26743">
        <w:t xml:space="preserve">the Ombudsman </w:t>
      </w:r>
      <w:r>
        <w:t>may</w:t>
      </w:r>
      <w:r w:rsidR="00B26743">
        <w:t xml:space="preserve"> conduct research </w:t>
      </w:r>
      <w:r>
        <w:t xml:space="preserve">or make </w:t>
      </w:r>
      <w:r w:rsidR="00B26743">
        <w:t xml:space="preserve">inquiries </w:t>
      </w:r>
      <w:r>
        <w:t xml:space="preserve">in relation to relevant legislation, policies and practices </w:t>
      </w:r>
      <w:r w:rsidRPr="00E658ED">
        <w:rPr>
          <w:rStyle w:val="Referencingstyle"/>
        </w:rPr>
        <w:t>[</w:t>
      </w:r>
      <w:r>
        <w:rPr>
          <w:rStyle w:val="Referencingstyle"/>
        </w:rPr>
        <w:t>Part 3</w:t>
      </w:r>
      <w:r w:rsidR="000603A7">
        <w:rPr>
          <w:rStyle w:val="Referencingstyle"/>
        </w:rPr>
        <w:t>,</w:t>
      </w:r>
      <w:r>
        <w:rPr>
          <w:rStyle w:val="Referencingstyle"/>
        </w:rPr>
        <w:t> Division 2</w:t>
      </w:r>
      <w:r w:rsidR="000603A7">
        <w:rPr>
          <w:rStyle w:val="Referencingstyle"/>
        </w:rPr>
        <w:t>,</w:t>
      </w:r>
      <w:r>
        <w:rPr>
          <w:rStyle w:val="Referencingstyle"/>
        </w:rPr>
        <w:t xml:space="preserve"> </w:t>
      </w:r>
      <w:r w:rsidRPr="00E92BD7">
        <w:rPr>
          <w:rStyle w:val="Referencingstyle"/>
        </w:rPr>
        <w:t>section 36</w:t>
      </w:r>
      <w:r>
        <w:rPr>
          <w:rStyle w:val="Referencingstyle"/>
        </w:rPr>
        <w:t>]</w:t>
      </w:r>
      <w:r w:rsidR="00643754">
        <w:t xml:space="preserve">. </w:t>
      </w:r>
      <w:r w:rsidR="00B20191">
        <w:t xml:space="preserve">The Ombudsman </w:t>
      </w:r>
      <w:r w:rsidR="00B6599B">
        <w:t>will be</w:t>
      </w:r>
      <w:r w:rsidR="00B20191">
        <w:t xml:space="preserve"> </w:t>
      </w:r>
      <w:r>
        <w:t>able</w:t>
      </w:r>
      <w:r w:rsidR="00B20191">
        <w:t xml:space="preserve"> to assess where legislation, policies and practices </w:t>
      </w:r>
      <w:r>
        <w:t xml:space="preserve">may </w:t>
      </w:r>
      <w:r w:rsidR="00B20191">
        <w:t>be improved to benefit small businesses</w:t>
      </w:r>
      <w:r w:rsidR="00B6599B">
        <w:t xml:space="preserve"> and family enterprises</w:t>
      </w:r>
      <w:r w:rsidR="003B53C7">
        <w:t xml:space="preserve">. </w:t>
      </w:r>
    </w:p>
    <w:p w14:paraId="7B04D8BE" w14:textId="77777777" w:rsidR="00C139E4" w:rsidRPr="00954C6D" w:rsidRDefault="00C139E4" w:rsidP="00C71EE9">
      <w:pPr>
        <w:pStyle w:val="Heading4"/>
      </w:pPr>
      <w:r w:rsidRPr="00954C6D">
        <w:t>Providing information and documents</w:t>
      </w:r>
    </w:p>
    <w:p w14:paraId="03FBEB76" w14:textId="48BA4D2B" w:rsidR="004761A7" w:rsidRDefault="009379CB" w:rsidP="00200FC3">
      <w:pPr>
        <w:pStyle w:val="base-text-paragraph"/>
      </w:pPr>
      <w:r>
        <w:t xml:space="preserve">Under section 37 </w:t>
      </w:r>
      <w:r w:rsidR="00FC5EE2">
        <w:t xml:space="preserve">of the Bill, </w:t>
      </w:r>
      <w:r>
        <w:t>a person may be required by notice to provide information or documents to the Ombudsman which are relevant to the Ombudsman</w:t>
      </w:r>
      <w:r w:rsidR="009349BC">
        <w:t>’</w:t>
      </w:r>
      <w:r>
        <w:t>s own initiative research or i</w:t>
      </w:r>
      <w:r w:rsidRPr="00C63147">
        <w:t>nquir</w:t>
      </w:r>
      <w:r>
        <w:t xml:space="preserve">ies. </w:t>
      </w:r>
      <w:r w:rsidR="00B221AC">
        <w:t xml:space="preserve">The notice will be in writing and must allow </w:t>
      </w:r>
      <w:r w:rsidR="009349BC">
        <w:t>‘</w:t>
      </w:r>
      <w:r w:rsidR="00B221AC">
        <w:t>at least 10 business days</w:t>
      </w:r>
      <w:r w:rsidR="009349BC">
        <w:t>’</w:t>
      </w:r>
      <w:r w:rsidR="00B221AC">
        <w:t xml:space="preserve"> for the notice to be complied with (this provision is modelled on subsection 48(2) in the </w:t>
      </w:r>
      <w:r w:rsidR="00B221AC" w:rsidRPr="00FC5EE2">
        <w:rPr>
          <w:i/>
        </w:rPr>
        <w:t>Productivity Commission Act 1998</w:t>
      </w:r>
      <w:r w:rsidR="00B221AC">
        <w:t xml:space="preserve">). The penalty for not complying with a notice is 30 penalty units (a penalty unit is a financial penalty defined in section 4AA of the </w:t>
      </w:r>
      <w:r w:rsidR="00B221AC" w:rsidRPr="00FC5EE2">
        <w:rPr>
          <w:i/>
        </w:rPr>
        <w:t xml:space="preserve">Crimes Act 1914; </w:t>
      </w:r>
      <w:r w:rsidR="00B221AC" w:rsidRPr="00E658ED">
        <w:t>note that the penalty for corporations may be up to five times higher than that for a</w:t>
      </w:r>
      <w:r w:rsidR="00B221AC">
        <w:t xml:space="preserve"> </w:t>
      </w:r>
      <w:r w:rsidR="009349BC">
        <w:t>‘</w:t>
      </w:r>
      <w:r w:rsidR="00B221AC">
        <w:t>natural person</w:t>
      </w:r>
      <w:r w:rsidR="009349BC">
        <w:t>’</w:t>
      </w:r>
      <w:r w:rsidR="00B221AC">
        <w:t xml:space="preserve"> under section 4B of the </w:t>
      </w:r>
      <w:r w:rsidR="00B221AC" w:rsidRPr="00FC5EE2">
        <w:rPr>
          <w:i/>
        </w:rPr>
        <w:t>Crimes Act 1914</w:t>
      </w:r>
      <w:r w:rsidR="00B221AC" w:rsidRPr="00D75C33">
        <w:t>)</w:t>
      </w:r>
      <w:r w:rsidR="00B221AC">
        <w:t xml:space="preserve">. No penalty applies where the person does not have the required information or documents, or </w:t>
      </w:r>
      <w:r w:rsidR="00FC5EE2">
        <w:t>is</w:t>
      </w:r>
      <w:r w:rsidR="00B221AC">
        <w:t xml:space="preserve"> unable to obtain the information or documents despite taking </w:t>
      </w:r>
      <w:r w:rsidR="009349BC">
        <w:t>‘</w:t>
      </w:r>
      <w:r w:rsidR="00B221AC">
        <w:t>all reasonable steps</w:t>
      </w:r>
      <w:r w:rsidR="009349BC">
        <w:t>’</w:t>
      </w:r>
      <w:r w:rsidR="00B221AC">
        <w:t xml:space="preserve"> to obtain them </w:t>
      </w:r>
      <w:r w:rsidRPr="00E658ED">
        <w:rPr>
          <w:rStyle w:val="Referencingstyle"/>
        </w:rPr>
        <w:t>[</w:t>
      </w:r>
      <w:r>
        <w:rPr>
          <w:rStyle w:val="Referencingstyle"/>
        </w:rPr>
        <w:t>Part 3</w:t>
      </w:r>
      <w:r w:rsidR="000603A7">
        <w:rPr>
          <w:rStyle w:val="Referencingstyle"/>
        </w:rPr>
        <w:t>,</w:t>
      </w:r>
      <w:r>
        <w:rPr>
          <w:rStyle w:val="Referencingstyle"/>
        </w:rPr>
        <w:t> Division 2</w:t>
      </w:r>
      <w:r w:rsidR="000603A7">
        <w:rPr>
          <w:rStyle w:val="Referencingstyle"/>
        </w:rPr>
        <w:t>,</w:t>
      </w:r>
      <w:r>
        <w:rPr>
          <w:rStyle w:val="Referencingstyle"/>
        </w:rPr>
        <w:t> section 37]</w:t>
      </w:r>
      <w:r w:rsidR="00C06BCC">
        <w:rPr>
          <w:rStyle w:val="Referencingstyle"/>
          <w:b w:val="0"/>
          <w:i w:val="0"/>
          <w:sz w:val="22"/>
          <w:szCs w:val="22"/>
        </w:rPr>
        <w:t>.</w:t>
      </w:r>
      <w:r w:rsidR="00643754">
        <w:t xml:space="preserve"> </w:t>
      </w:r>
      <w:r w:rsidR="005567B3">
        <w:t>T</w:t>
      </w:r>
      <w:r w:rsidR="00E40626">
        <w:t>he Ombudsman</w:t>
      </w:r>
      <w:r w:rsidR="005567B3">
        <w:t xml:space="preserve"> would not impose any penalty, rather the imposition of a penalty would be a decision of a court. </w:t>
      </w:r>
    </w:p>
    <w:p w14:paraId="7284B9B3" w14:textId="77777777" w:rsidR="005B7E2F" w:rsidRDefault="005B7E2F" w:rsidP="00C71EE9">
      <w:pPr>
        <w:pStyle w:val="Heading4"/>
      </w:pPr>
      <w:r>
        <w:t>Documents produced in relation to research or inquiry</w:t>
      </w:r>
    </w:p>
    <w:p w14:paraId="68D4EBD4" w14:textId="77777777" w:rsidR="004761A7" w:rsidRDefault="00ED63E9" w:rsidP="00200FC3">
      <w:pPr>
        <w:pStyle w:val="base-text-paragraph"/>
      </w:pPr>
      <w:r>
        <w:t>The Ombudsman may take possession of, and make copies of, or take extracts from</w:t>
      </w:r>
      <w:r w:rsidR="003F0C30">
        <w:t>,</w:t>
      </w:r>
      <w:r>
        <w:t xml:space="preserve"> documents</w:t>
      </w:r>
      <w:r w:rsidR="005815C3">
        <w:t xml:space="preserve">. </w:t>
      </w:r>
      <w:r>
        <w:t xml:space="preserve">The Ombudsman may </w:t>
      </w:r>
      <w:r w:rsidR="005567B3">
        <w:t xml:space="preserve">also </w:t>
      </w:r>
      <w:r w:rsidR="005E6270">
        <w:t>keep documents</w:t>
      </w:r>
      <w:r w:rsidR="00F03ED5">
        <w:t xml:space="preserve">, but only </w:t>
      </w:r>
      <w:r w:rsidR="005E6270">
        <w:t xml:space="preserve">for </w:t>
      </w:r>
      <w:r w:rsidR="005567B3">
        <w:t xml:space="preserve">so </w:t>
      </w:r>
      <w:r w:rsidR="005E6270">
        <w:t>long as is necessary for the research or inquiry</w:t>
      </w:r>
      <w:r w:rsidR="005815C3">
        <w:t xml:space="preserve">. </w:t>
      </w:r>
      <w:r w:rsidR="005C7010">
        <w:t xml:space="preserve">The Ombudsman </w:t>
      </w:r>
      <w:r w:rsidR="00A30D46">
        <w:t>must</w:t>
      </w:r>
      <w:r w:rsidR="00B3308F">
        <w:t xml:space="preserve"> </w:t>
      </w:r>
      <w:r w:rsidR="005C7010">
        <w:t xml:space="preserve">also </w:t>
      </w:r>
      <w:r w:rsidR="00B3308F">
        <w:t xml:space="preserve">allow the documents to be inspected at </w:t>
      </w:r>
      <w:r w:rsidR="00200378">
        <w:t>all reasonable</w:t>
      </w:r>
      <w:r w:rsidR="00B3308F">
        <w:t xml:space="preserve"> time</w:t>
      </w:r>
      <w:r w:rsidR="00200378">
        <w:t>s</w:t>
      </w:r>
      <w:r w:rsidR="00B3308F">
        <w:t xml:space="preserve"> by people </w:t>
      </w:r>
      <w:r w:rsidR="005C7010">
        <w:t xml:space="preserve">who are </w:t>
      </w:r>
      <w:r w:rsidR="00B3308F">
        <w:t>entitled to inspect them</w:t>
      </w:r>
      <w:r w:rsidR="005815C3">
        <w:t xml:space="preserve">. </w:t>
      </w:r>
      <w:r w:rsidR="009F7239" w:rsidRPr="00E658ED">
        <w:rPr>
          <w:rStyle w:val="Referencingstyle"/>
        </w:rPr>
        <w:t>[</w:t>
      </w:r>
      <w:r w:rsidR="009F7239">
        <w:rPr>
          <w:rStyle w:val="Referencingstyle"/>
        </w:rPr>
        <w:t>Part 3</w:t>
      </w:r>
      <w:r w:rsidR="000603A7">
        <w:rPr>
          <w:rStyle w:val="Referencingstyle"/>
        </w:rPr>
        <w:t>,</w:t>
      </w:r>
      <w:r w:rsidR="009F7239">
        <w:rPr>
          <w:rStyle w:val="Referencingstyle"/>
        </w:rPr>
        <w:t> Division 2</w:t>
      </w:r>
      <w:r w:rsidR="000603A7">
        <w:rPr>
          <w:rStyle w:val="Referencingstyle"/>
        </w:rPr>
        <w:t>,</w:t>
      </w:r>
      <w:r w:rsidR="009F7239">
        <w:rPr>
          <w:rStyle w:val="Referencingstyle"/>
        </w:rPr>
        <w:t> </w:t>
      </w:r>
      <w:r w:rsidR="009F7239" w:rsidRPr="00E92BD7">
        <w:rPr>
          <w:rStyle w:val="Referencingstyle"/>
        </w:rPr>
        <w:t>section</w:t>
      </w:r>
      <w:r w:rsidR="009F7239">
        <w:rPr>
          <w:rStyle w:val="Referencingstyle"/>
        </w:rPr>
        <w:t> </w:t>
      </w:r>
      <w:r w:rsidR="009F7239" w:rsidRPr="00E92BD7">
        <w:rPr>
          <w:rStyle w:val="Referencingstyle"/>
        </w:rPr>
        <w:t>38</w:t>
      </w:r>
      <w:r w:rsidR="009F7239">
        <w:rPr>
          <w:rStyle w:val="Referencingstyle"/>
        </w:rPr>
        <w:t>]</w:t>
      </w:r>
      <w:r w:rsidR="004761A7" w:rsidRPr="004761A7">
        <w:t xml:space="preserve"> </w:t>
      </w:r>
    </w:p>
    <w:p w14:paraId="4B68221F" w14:textId="77777777" w:rsidR="00B85D1C" w:rsidRDefault="00B85D1C" w:rsidP="00C71EE9">
      <w:pPr>
        <w:pStyle w:val="Heading4"/>
      </w:pPr>
      <w:r>
        <w:t>Limitation on powers</w:t>
      </w:r>
    </w:p>
    <w:p w14:paraId="74F1CDA2" w14:textId="65C6FB85" w:rsidR="004761A7" w:rsidRDefault="008E57E1" w:rsidP="00200FC3">
      <w:pPr>
        <w:pStyle w:val="base-text-paragraph"/>
      </w:pPr>
      <w:r>
        <w:t xml:space="preserve">Nothing in Part 3 Division 2 </w:t>
      </w:r>
      <w:r w:rsidR="00DC1CE8">
        <w:t>(research and inquiries on the Ombudsman</w:t>
      </w:r>
      <w:r w:rsidR="009349BC">
        <w:t>’</w:t>
      </w:r>
      <w:r w:rsidR="00DC1CE8">
        <w:t xml:space="preserve">s own initiative) </w:t>
      </w:r>
      <w:r>
        <w:t xml:space="preserve">of the Bill allows a power to be exercised to the </w:t>
      </w:r>
      <w:r w:rsidR="006035AC">
        <w:t xml:space="preserve">detriment </w:t>
      </w:r>
      <w:r>
        <w:t xml:space="preserve">of a </w:t>
      </w:r>
      <w:r w:rsidR="00D426F7">
        <w:t>s</w:t>
      </w:r>
      <w:r>
        <w:t xml:space="preserve">tate </w:t>
      </w:r>
      <w:r w:rsidR="006035AC">
        <w:t xml:space="preserve">being able </w:t>
      </w:r>
      <w:r>
        <w:t>to exercise its constitutional powers</w:t>
      </w:r>
      <w:r w:rsidR="005815C3">
        <w:t xml:space="preserve">. </w:t>
      </w:r>
      <w:r w:rsidR="005815C3" w:rsidRPr="00ED057C">
        <w:rPr>
          <w:rStyle w:val="Referencingstyle"/>
        </w:rPr>
        <w:t>[</w:t>
      </w:r>
      <w:r w:rsidR="008A1907">
        <w:rPr>
          <w:rStyle w:val="Referencingstyle"/>
        </w:rPr>
        <w:t>Part 3</w:t>
      </w:r>
      <w:r w:rsidR="000603A7">
        <w:rPr>
          <w:rStyle w:val="Referencingstyle"/>
        </w:rPr>
        <w:t>,</w:t>
      </w:r>
      <w:r w:rsidR="008A1907">
        <w:rPr>
          <w:rStyle w:val="Referencingstyle"/>
        </w:rPr>
        <w:t> Division 2</w:t>
      </w:r>
      <w:r w:rsidR="000603A7">
        <w:rPr>
          <w:rStyle w:val="Referencingstyle"/>
        </w:rPr>
        <w:t>,</w:t>
      </w:r>
      <w:r w:rsidR="008A1907">
        <w:rPr>
          <w:rStyle w:val="Referencingstyle"/>
        </w:rPr>
        <w:t> </w:t>
      </w:r>
      <w:r w:rsidRPr="00E92BD7">
        <w:rPr>
          <w:rStyle w:val="Referencingstyle"/>
        </w:rPr>
        <w:t>section</w:t>
      </w:r>
      <w:r w:rsidR="008A1907">
        <w:rPr>
          <w:rStyle w:val="Referencingstyle"/>
        </w:rPr>
        <w:t> </w:t>
      </w:r>
      <w:r w:rsidRPr="00E92BD7">
        <w:rPr>
          <w:rStyle w:val="Referencingstyle"/>
        </w:rPr>
        <w:t>39</w:t>
      </w:r>
      <w:r w:rsidR="005815C3">
        <w:rPr>
          <w:rStyle w:val="Referencingstyle"/>
        </w:rPr>
        <w:t>]</w:t>
      </w:r>
      <w:r>
        <w:t xml:space="preserve"> </w:t>
      </w:r>
    </w:p>
    <w:p w14:paraId="7B6ABFE7" w14:textId="77777777" w:rsidR="00840D3F" w:rsidRDefault="004D0F5B" w:rsidP="00C71EE9">
      <w:pPr>
        <w:pStyle w:val="Heading4"/>
      </w:pPr>
      <w:r>
        <w:t>Reports to the Minister</w:t>
      </w:r>
    </w:p>
    <w:p w14:paraId="4950EB17" w14:textId="0E06E161" w:rsidR="004761A7" w:rsidRDefault="00DC7885" w:rsidP="00200FC3">
      <w:pPr>
        <w:pStyle w:val="base-text-paragraph"/>
      </w:pPr>
      <w:r>
        <w:t xml:space="preserve">The </w:t>
      </w:r>
      <w:r w:rsidR="00020AE6">
        <w:t>r</w:t>
      </w:r>
      <w:r w:rsidR="00840D3F">
        <w:t>epo</w:t>
      </w:r>
      <w:r w:rsidR="00020AE6">
        <w:t>rting</w:t>
      </w:r>
      <w:r w:rsidR="00A30D46">
        <w:t xml:space="preserve"> that will be required of the Ombudsman</w:t>
      </w:r>
      <w:r w:rsidR="00020AE6">
        <w:t>, both quarterly</w:t>
      </w:r>
      <w:r w:rsidR="005815C3">
        <w:t xml:space="preserve"> </w:t>
      </w:r>
      <w:r w:rsidR="00020AE6">
        <w:t xml:space="preserve">and </w:t>
      </w:r>
      <w:r w:rsidR="00020AE6" w:rsidRPr="00510C9D">
        <w:rPr>
          <w:i/>
        </w:rPr>
        <w:t>ad hoc</w:t>
      </w:r>
      <w:r w:rsidR="00B44BB1">
        <w:t xml:space="preserve">, </w:t>
      </w:r>
      <w:r w:rsidR="00020AE6">
        <w:t xml:space="preserve">is designed to ensure that the Minister </w:t>
      </w:r>
      <w:r w:rsidR="005C7010">
        <w:t>receives</w:t>
      </w:r>
      <w:r w:rsidR="00020AE6">
        <w:t xml:space="preserve"> regular information about the Ombudsman</w:t>
      </w:r>
      <w:r w:rsidR="009349BC">
        <w:t>’</w:t>
      </w:r>
      <w:r w:rsidR="00020AE6">
        <w:t xml:space="preserve">s </w:t>
      </w:r>
      <w:r w:rsidR="005C7010">
        <w:t>work</w:t>
      </w:r>
      <w:r w:rsidR="00510C9D">
        <w:t xml:space="preserve">. The </w:t>
      </w:r>
      <w:r w:rsidR="00B44BB1">
        <w:t>quarterly report</w:t>
      </w:r>
      <w:r w:rsidR="00A30D46">
        <w:t>ing requirement</w:t>
      </w:r>
      <w:r w:rsidR="00510C9D">
        <w:t xml:space="preserve"> mirrors </w:t>
      </w:r>
      <w:r w:rsidR="00A30D46">
        <w:t xml:space="preserve">that </w:t>
      </w:r>
      <w:r w:rsidR="00510C9D">
        <w:t xml:space="preserve">in other legislation, such as section 60J of the </w:t>
      </w:r>
      <w:r w:rsidR="00510C9D" w:rsidRPr="00510C9D">
        <w:rPr>
          <w:i/>
        </w:rPr>
        <w:t>Competition and Consumer Act 2010</w:t>
      </w:r>
      <w:r w:rsidR="00A30D46">
        <w:t>. Quarterly reports are</w:t>
      </w:r>
      <w:r w:rsidR="00B44BB1">
        <w:t xml:space="preserve"> required to be provided within 20</w:t>
      </w:r>
      <w:r w:rsidR="00510C9D">
        <w:t> </w:t>
      </w:r>
      <w:r w:rsidR="00B44BB1">
        <w:t xml:space="preserve">business days after the end of </w:t>
      </w:r>
      <w:r w:rsidR="005C7010">
        <w:t>each</w:t>
      </w:r>
      <w:r w:rsidR="00B44BB1">
        <w:t xml:space="preserve"> quarter</w:t>
      </w:r>
      <w:r w:rsidR="005815C3">
        <w:t xml:space="preserve">. </w:t>
      </w:r>
      <w:r w:rsidR="001C5052">
        <w:t>The Ombudsman may include recommendations to the Minister in relation to any matter included in the</w:t>
      </w:r>
      <w:r w:rsidR="00A30D46">
        <w:t xml:space="preserve"> Ombudsman</w:t>
      </w:r>
      <w:r w:rsidR="009349BC">
        <w:t>’</w:t>
      </w:r>
      <w:r w:rsidR="00A30D46">
        <w:t>s</w:t>
      </w:r>
      <w:r w:rsidR="001C5052">
        <w:t xml:space="preserve"> report</w:t>
      </w:r>
      <w:r w:rsidR="00F43155">
        <w:t>s</w:t>
      </w:r>
      <w:r w:rsidR="005815C3">
        <w:t xml:space="preserve">. </w:t>
      </w:r>
      <w:r w:rsidR="005815C3" w:rsidRPr="00ED057C">
        <w:rPr>
          <w:rStyle w:val="Referencingstyle"/>
        </w:rPr>
        <w:t>[</w:t>
      </w:r>
      <w:r w:rsidR="00684ECC">
        <w:rPr>
          <w:rStyle w:val="Referencingstyle"/>
        </w:rPr>
        <w:t>Part 3</w:t>
      </w:r>
      <w:r w:rsidR="000603A7">
        <w:rPr>
          <w:rStyle w:val="Referencingstyle"/>
        </w:rPr>
        <w:t>,</w:t>
      </w:r>
      <w:r w:rsidR="00684ECC">
        <w:rPr>
          <w:rStyle w:val="Referencingstyle"/>
        </w:rPr>
        <w:t> Division 2</w:t>
      </w:r>
      <w:r w:rsidR="000603A7">
        <w:rPr>
          <w:rStyle w:val="Referencingstyle"/>
        </w:rPr>
        <w:t>,</w:t>
      </w:r>
      <w:r w:rsidR="00684ECC">
        <w:rPr>
          <w:rStyle w:val="Referencingstyle"/>
        </w:rPr>
        <w:t> </w:t>
      </w:r>
      <w:r w:rsidR="001C5052" w:rsidRPr="00E92BD7">
        <w:rPr>
          <w:rStyle w:val="Referencingstyle"/>
        </w:rPr>
        <w:t>section</w:t>
      </w:r>
      <w:r w:rsidR="00684ECC">
        <w:rPr>
          <w:rStyle w:val="Referencingstyle"/>
        </w:rPr>
        <w:t> </w:t>
      </w:r>
      <w:r w:rsidR="0078459E" w:rsidRPr="00E92BD7">
        <w:rPr>
          <w:rStyle w:val="Referencingstyle"/>
        </w:rPr>
        <w:t>40</w:t>
      </w:r>
      <w:r w:rsidR="005815C3">
        <w:rPr>
          <w:rStyle w:val="Referencingstyle"/>
        </w:rPr>
        <w:t xml:space="preserve">] </w:t>
      </w:r>
    </w:p>
    <w:p w14:paraId="4057BA08" w14:textId="73E92520" w:rsidR="00795B1F" w:rsidRDefault="00795B1F" w:rsidP="00C71EE9">
      <w:pPr>
        <w:pStyle w:val="Heading4"/>
      </w:pPr>
      <w:r>
        <w:t>Minister may publish Ombudsman</w:t>
      </w:r>
      <w:r w:rsidR="009349BC">
        <w:t>’</w:t>
      </w:r>
      <w:r>
        <w:t>s report</w:t>
      </w:r>
    </w:p>
    <w:p w14:paraId="0088953C" w14:textId="0DB2B3DB" w:rsidR="004761A7" w:rsidRDefault="00AD6820" w:rsidP="00200FC3">
      <w:pPr>
        <w:pStyle w:val="base-text-paragraph"/>
      </w:pPr>
      <w:r>
        <w:t>The Minister may publish a report</w:t>
      </w:r>
      <w:r w:rsidR="001D473D">
        <w:t>,</w:t>
      </w:r>
      <w:r>
        <w:t xml:space="preserve"> or any part of a report</w:t>
      </w:r>
      <w:r w:rsidR="001D473D">
        <w:t>,</w:t>
      </w:r>
      <w:r>
        <w:t xml:space="preserve"> received under section 40</w:t>
      </w:r>
      <w:r w:rsidR="001D473D">
        <w:t xml:space="preserve"> (this is similar to section 18 of the </w:t>
      </w:r>
      <w:r w:rsidR="001D473D" w:rsidRPr="00176F6A">
        <w:rPr>
          <w:i/>
        </w:rPr>
        <w:t>Productivity Commission Act 1998</w:t>
      </w:r>
      <w:r w:rsidR="001D473D">
        <w:t>)</w:t>
      </w:r>
      <w:r w:rsidR="005815C3">
        <w:t xml:space="preserve">. </w:t>
      </w:r>
      <w:r w:rsidR="009E58FB">
        <w:t>If</w:t>
      </w:r>
      <w:r w:rsidR="000E4059">
        <w:t xml:space="preserve"> </w:t>
      </w:r>
      <w:r w:rsidR="009E58FB">
        <w:t xml:space="preserve">such </w:t>
      </w:r>
      <w:r w:rsidR="000E4059">
        <w:t xml:space="preserve">publication </w:t>
      </w:r>
      <w:r w:rsidR="009E58FB">
        <w:t xml:space="preserve">would </w:t>
      </w:r>
      <w:r w:rsidR="000E4059">
        <w:t xml:space="preserve">adversely affect the interests of any person, the Minister </w:t>
      </w:r>
      <w:r w:rsidR="00F355B0">
        <w:t xml:space="preserve">must issue a directive </w:t>
      </w:r>
      <w:r w:rsidR="000E4059">
        <w:t>to the Ombudsman to notify that person</w:t>
      </w:r>
      <w:r w:rsidR="009E58FB">
        <w:t>,</w:t>
      </w:r>
      <w:r w:rsidR="000E4059">
        <w:t xml:space="preserve"> and give </w:t>
      </w:r>
      <w:r w:rsidR="00F43155">
        <w:t>that person</w:t>
      </w:r>
      <w:r w:rsidR="000E4059">
        <w:t xml:space="preserve"> a reasonable period of </w:t>
      </w:r>
      <w:r w:rsidR="00F43155">
        <w:t xml:space="preserve">up to </w:t>
      </w:r>
      <w:r w:rsidR="000E4059">
        <w:t>30</w:t>
      </w:r>
      <w:r w:rsidR="00F43155">
        <w:t> </w:t>
      </w:r>
      <w:r w:rsidR="000E4059">
        <w:t>days to make representations about the release of the information</w:t>
      </w:r>
      <w:r w:rsidR="005815C3">
        <w:t xml:space="preserve">. </w:t>
      </w:r>
      <w:r w:rsidR="00F355B0">
        <w:t xml:space="preserve">Such a directive is not a legislative instrument. </w:t>
      </w:r>
      <w:r w:rsidR="009E58FB">
        <w:t>T</w:t>
      </w:r>
      <w:r w:rsidR="00160722">
        <w:t xml:space="preserve">he </w:t>
      </w:r>
      <w:r w:rsidR="009E58FB">
        <w:t xml:space="preserve">Bill will give the </w:t>
      </w:r>
      <w:r w:rsidR="00160722">
        <w:t xml:space="preserve">Minister the power to </w:t>
      </w:r>
      <w:r w:rsidR="009349BC">
        <w:t>‘</w:t>
      </w:r>
      <w:r w:rsidR="00160722">
        <w:t>delete any information or recommendation</w:t>
      </w:r>
      <w:r w:rsidR="009349BC">
        <w:t>’</w:t>
      </w:r>
      <w:r w:rsidR="00160722">
        <w:t xml:space="preserve"> from </w:t>
      </w:r>
      <w:r w:rsidR="009E58FB">
        <w:t xml:space="preserve">a </w:t>
      </w:r>
      <w:r w:rsidR="00160722">
        <w:t xml:space="preserve">report before it is published, </w:t>
      </w:r>
      <w:r w:rsidR="009E58FB">
        <w:t>if</w:t>
      </w:r>
      <w:r w:rsidR="00160722">
        <w:t xml:space="preserve"> the information </w:t>
      </w:r>
      <w:r w:rsidR="009E58FB">
        <w:t>is</w:t>
      </w:r>
      <w:r w:rsidR="00160722">
        <w:t xml:space="preserve"> likely to adversely affect the interests of any person</w:t>
      </w:r>
      <w:r w:rsidR="003E55D5">
        <w:t>,</w:t>
      </w:r>
      <w:r w:rsidR="00160722">
        <w:t xml:space="preserve"> and the Minister believes it is </w:t>
      </w:r>
      <w:r w:rsidR="009349BC">
        <w:t>‘</w:t>
      </w:r>
      <w:r w:rsidR="00160722">
        <w:t>in the public interest</w:t>
      </w:r>
      <w:r w:rsidR="009349BC">
        <w:t>’</w:t>
      </w:r>
      <w:r w:rsidR="00160722">
        <w:t xml:space="preserve"> to delete the information or recommendation</w:t>
      </w:r>
      <w:r w:rsidR="005815C3">
        <w:t xml:space="preserve">. </w:t>
      </w:r>
      <w:r w:rsidR="0092663A">
        <w:t>The Minister must also delete any confidential information prior to publication</w:t>
      </w:r>
      <w:r w:rsidR="005815C3">
        <w:t xml:space="preserve">. </w:t>
      </w:r>
      <w:r w:rsidR="004708AF">
        <w:t xml:space="preserve">Decisions taken by the Minister </w:t>
      </w:r>
      <w:r w:rsidR="009349BC">
        <w:t>‘</w:t>
      </w:r>
      <w:r w:rsidR="00F355B0">
        <w:t>in the public interest</w:t>
      </w:r>
      <w:r w:rsidR="009349BC">
        <w:t>’</w:t>
      </w:r>
      <w:r w:rsidR="00F355B0">
        <w:t xml:space="preserve"> </w:t>
      </w:r>
      <w:r w:rsidR="004708AF">
        <w:t xml:space="preserve">are subject to </w:t>
      </w:r>
      <w:r w:rsidR="003E55D5">
        <w:t>review</w:t>
      </w:r>
      <w:r w:rsidR="004708AF">
        <w:t xml:space="preserve"> </w:t>
      </w:r>
      <w:r w:rsidR="00F355B0">
        <w:t>by</w:t>
      </w:r>
      <w:r w:rsidR="004708AF">
        <w:t xml:space="preserve"> the Administrative Appeals Tribunal</w:t>
      </w:r>
      <w:r w:rsidR="00F355B0">
        <w:t xml:space="preserve"> under section 92</w:t>
      </w:r>
      <w:r w:rsidR="00437C89">
        <w:t xml:space="preserve"> of the Bill</w:t>
      </w:r>
      <w:r w:rsidR="005815C3">
        <w:t xml:space="preserve">. </w:t>
      </w:r>
      <w:r w:rsidR="005815C3" w:rsidRPr="00ED057C">
        <w:rPr>
          <w:rStyle w:val="Referencingstyle"/>
        </w:rPr>
        <w:t>[</w:t>
      </w:r>
      <w:r w:rsidR="008838EE">
        <w:rPr>
          <w:rStyle w:val="Referencingstyle"/>
        </w:rPr>
        <w:t>Part 3</w:t>
      </w:r>
      <w:r w:rsidR="000603A7">
        <w:rPr>
          <w:rStyle w:val="Referencingstyle"/>
        </w:rPr>
        <w:t>,</w:t>
      </w:r>
      <w:r w:rsidR="008838EE">
        <w:rPr>
          <w:rStyle w:val="Referencingstyle"/>
        </w:rPr>
        <w:t> Division 2</w:t>
      </w:r>
      <w:r w:rsidR="000603A7">
        <w:rPr>
          <w:rStyle w:val="Referencingstyle"/>
        </w:rPr>
        <w:t>,</w:t>
      </w:r>
      <w:r w:rsidR="008838EE">
        <w:rPr>
          <w:rStyle w:val="Referencingstyle"/>
        </w:rPr>
        <w:t> </w:t>
      </w:r>
      <w:r w:rsidR="00832B46" w:rsidRPr="00E92BD7">
        <w:rPr>
          <w:rStyle w:val="Referencingstyle"/>
        </w:rPr>
        <w:t>section</w:t>
      </w:r>
      <w:r w:rsidR="008838EE">
        <w:rPr>
          <w:rStyle w:val="Referencingstyle"/>
        </w:rPr>
        <w:t> </w:t>
      </w:r>
      <w:r w:rsidR="00832B46" w:rsidRPr="00E92BD7">
        <w:rPr>
          <w:rStyle w:val="Referencingstyle"/>
        </w:rPr>
        <w:t>41</w:t>
      </w:r>
      <w:r w:rsidR="005815C3">
        <w:rPr>
          <w:rStyle w:val="Referencingstyle"/>
        </w:rPr>
        <w:t xml:space="preserve">] </w:t>
      </w:r>
    </w:p>
    <w:p w14:paraId="12D1C77C" w14:textId="77777777" w:rsidR="001009B8" w:rsidRPr="00954C6D" w:rsidRDefault="001009B8" w:rsidP="00C71EE9">
      <w:pPr>
        <w:pStyle w:val="Heading4"/>
      </w:pPr>
      <w:r w:rsidRPr="00954C6D">
        <w:t xml:space="preserve">Inquiries </w:t>
      </w:r>
      <w:r w:rsidR="004A7137" w:rsidRPr="00954C6D">
        <w:t>on referral from the</w:t>
      </w:r>
      <w:r w:rsidRPr="00954C6D">
        <w:t xml:space="preserve"> Minister</w:t>
      </w:r>
    </w:p>
    <w:p w14:paraId="14DEABBB" w14:textId="77777777" w:rsidR="001009B8" w:rsidRDefault="003573F3" w:rsidP="00200FC3">
      <w:pPr>
        <w:pStyle w:val="base-text-paragraph"/>
      </w:pPr>
      <w:r>
        <w:t xml:space="preserve">Part 3 Division 3 of the </w:t>
      </w:r>
      <w:r w:rsidR="00260122">
        <w:t>Bill</w:t>
      </w:r>
      <w:r>
        <w:t xml:space="preserve"> provides </w:t>
      </w:r>
      <w:r w:rsidR="00F355B0">
        <w:t xml:space="preserve">the Minister to refer inquiries to </w:t>
      </w:r>
      <w:r>
        <w:t>the Ombudsman</w:t>
      </w:r>
      <w:r w:rsidR="00F355B0">
        <w:t xml:space="preserve"> in relation to legislation, policies and practices</w:t>
      </w:r>
      <w:r w:rsidR="006613EB" w:rsidRPr="006613EB">
        <w:t xml:space="preserve"> </w:t>
      </w:r>
      <w:r w:rsidR="006613EB">
        <w:t>that come within the constitutional reach of the Ombudsman, and affect small businesses and family enterprises</w:t>
      </w:r>
      <w:r w:rsidR="00F355B0">
        <w:t>.</w:t>
      </w:r>
      <w:r>
        <w:t xml:space="preserve"> </w:t>
      </w:r>
      <w:r w:rsidR="005815C3" w:rsidRPr="00ED057C">
        <w:rPr>
          <w:rStyle w:val="Referencingstyle"/>
        </w:rPr>
        <w:t>[</w:t>
      </w:r>
      <w:r w:rsidR="00705245">
        <w:rPr>
          <w:rStyle w:val="Referencingstyle"/>
        </w:rPr>
        <w:t>Part 3</w:t>
      </w:r>
      <w:r w:rsidR="000603A7">
        <w:rPr>
          <w:rStyle w:val="Referencingstyle"/>
        </w:rPr>
        <w:t>,</w:t>
      </w:r>
      <w:r w:rsidR="00705245">
        <w:rPr>
          <w:rStyle w:val="Referencingstyle"/>
        </w:rPr>
        <w:t> Division 3</w:t>
      </w:r>
      <w:r w:rsidR="000603A7">
        <w:rPr>
          <w:rStyle w:val="Referencingstyle"/>
        </w:rPr>
        <w:t>,</w:t>
      </w:r>
      <w:r w:rsidR="00705245">
        <w:rPr>
          <w:rStyle w:val="Referencingstyle"/>
        </w:rPr>
        <w:t> </w:t>
      </w:r>
      <w:r w:rsidR="007D6040">
        <w:rPr>
          <w:rStyle w:val="Referencingstyle"/>
        </w:rPr>
        <w:t>Subdivision A</w:t>
      </w:r>
      <w:r w:rsidR="007D6040" w:rsidRPr="00E92BD7">
        <w:rPr>
          <w:rStyle w:val="Referencingstyle"/>
        </w:rPr>
        <w:t xml:space="preserve"> </w:t>
      </w:r>
      <w:r w:rsidR="00D44315" w:rsidRPr="00E92BD7">
        <w:rPr>
          <w:rStyle w:val="Referencingstyle"/>
        </w:rPr>
        <w:t>section 42</w:t>
      </w:r>
      <w:r w:rsidR="005815C3">
        <w:rPr>
          <w:rStyle w:val="Referencingstyle"/>
        </w:rPr>
        <w:t>]</w:t>
      </w:r>
      <w:r w:rsidR="003B53C7">
        <w:t xml:space="preserve"> </w:t>
      </w:r>
    </w:p>
    <w:p w14:paraId="3D6ECF15" w14:textId="0786FFEE" w:rsidR="004761A7" w:rsidRDefault="003C3425" w:rsidP="00200FC3">
      <w:pPr>
        <w:pStyle w:val="base-text-paragraph"/>
      </w:pPr>
      <w:r>
        <w:t xml:space="preserve">The powers granted to the Minister under </w:t>
      </w:r>
      <w:r w:rsidR="00E9084C">
        <w:t>sub</w:t>
      </w:r>
      <w:r w:rsidR="00715D19">
        <w:t>section</w:t>
      </w:r>
      <w:r w:rsidR="00E9084C">
        <w:t>s</w:t>
      </w:r>
      <w:r w:rsidR="00715D19">
        <w:t xml:space="preserve"> </w:t>
      </w:r>
      <w:r>
        <w:t>42(2</w:t>
      </w:r>
      <w:r w:rsidR="00FE3A42">
        <w:t>) to (</w:t>
      </w:r>
      <w:r w:rsidR="007C06F7">
        <w:t xml:space="preserve">4) </w:t>
      </w:r>
      <w:r w:rsidR="008E2AE1">
        <w:t xml:space="preserve">are </w:t>
      </w:r>
      <w:r w:rsidR="00E26A4C">
        <w:t xml:space="preserve">modelled on </w:t>
      </w:r>
      <w:r w:rsidR="00F355B0">
        <w:t>s</w:t>
      </w:r>
      <w:r w:rsidR="008E2AE1">
        <w:t>ection 11</w:t>
      </w:r>
      <w:r w:rsidR="007C06F7">
        <w:t xml:space="preserve"> </w:t>
      </w:r>
      <w:r w:rsidR="008E2AE1">
        <w:t xml:space="preserve">of the </w:t>
      </w:r>
      <w:r w:rsidR="008E2AE1" w:rsidRPr="00316968">
        <w:rPr>
          <w:i/>
        </w:rPr>
        <w:t>Productivity Commission Act 1998</w:t>
      </w:r>
      <w:r w:rsidR="0071345C">
        <w:t>.</w:t>
      </w:r>
      <w:r w:rsidR="00E8533F">
        <w:t xml:space="preserve"> These powers include the ability to: require the Ombudsman to hold hearings; specify a period in which the Ombudsman must provide a report </w:t>
      </w:r>
      <w:r w:rsidR="007D6040">
        <w:t xml:space="preserve">to the Minister </w:t>
      </w:r>
      <w:r w:rsidR="00E8533F">
        <w:t xml:space="preserve">on the inquiry; require the Ombudsman make </w:t>
      </w:r>
      <w:r w:rsidR="009349BC">
        <w:t>‘</w:t>
      </w:r>
      <w:r w:rsidR="00E8533F">
        <w:t>a draft report available to the public during an inquiry</w:t>
      </w:r>
      <w:r w:rsidR="009349BC">
        <w:t>’</w:t>
      </w:r>
      <w:r w:rsidR="00E8533F">
        <w:t>; and require the Ombudsman to make recommendations</w:t>
      </w:r>
      <w:r w:rsidR="00750965">
        <w:t>.</w:t>
      </w:r>
      <w:r w:rsidR="005815C3">
        <w:t xml:space="preserve"> </w:t>
      </w:r>
      <w:r w:rsidR="005815C3" w:rsidRPr="00ED057C">
        <w:rPr>
          <w:rStyle w:val="Referencingstyle"/>
        </w:rPr>
        <w:t>[</w:t>
      </w:r>
      <w:r w:rsidR="00F60AA0">
        <w:rPr>
          <w:rStyle w:val="Referencingstyle"/>
        </w:rPr>
        <w:t>Part 3</w:t>
      </w:r>
      <w:r w:rsidR="000603A7">
        <w:rPr>
          <w:rStyle w:val="Referencingstyle"/>
        </w:rPr>
        <w:t>,</w:t>
      </w:r>
      <w:r w:rsidR="00F60AA0">
        <w:rPr>
          <w:rStyle w:val="Referencingstyle"/>
        </w:rPr>
        <w:t> Division 3</w:t>
      </w:r>
      <w:r w:rsidR="000603A7">
        <w:rPr>
          <w:rStyle w:val="Referencingstyle"/>
        </w:rPr>
        <w:t>,</w:t>
      </w:r>
      <w:r w:rsidR="00F60AA0">
        <w:rPr>
          <w:rStyle w:val="Referencingstyle"/>
        </w:rPr>
        <w:t> </w:t>
      </w:r>
      <w:r w:rsidR="007D6040">
        <w:rPr>
          <w:rStyle w:val="Referencingstyle"/>
        </w:rPr>
        <w:t>Subdivision A</w:t>
      </w:r>
      <w:r w:rsidR="000603A7">
        <w:rPr>
          <w:rStyle w:val="Referencingstyle"/>
        </w:rPr>
        <w:t>,</w:t>
      </w:r>
      <w:r w:rsidR="007D6040">
        <w:rPr>
          <w:rStyle w:val="Referencingstyle"/>
        </w:rPr>
        <w:t xml:space="preserve"> subsection</w:t>
      </w:r>
      <w:r w:rsidR="002352F1">
        <w:rPr>
          <w:rStyle w:val="Referencingstyle"/>
        </w:rPr>
        <w:t>s</w:t>
      </w:r>
      <w:r w:rsidR="00E8533F" w:rsidRPr="00E92BD7">
        <w:rPr>
          <w:rStyle w:val="Referencingstyle"/>
        </w:rPr>
        <w:t xml:space="preserve"> 42(2</w:t>
      </w:r>
      <w:r w:rsidR="002352F1">
        <w:rPr>
          <w:rStyle w:val="Referencingstyle"/>
        </w:rPr>
        <w:t>) to 42(4)</w:t>
      </w:r>
      <w:r w:rsidR="00E8533F" w:rsidRPr="00E92BD7">
        <w:rPr>
          <w:rStyle w:val="Referencingstyle"/>
        </w:rPr>
        <w:t>]</w:t>
      </w:r>
      <w:r w:rsidR="00E8533F" w:rsidRPr="00ED057C">
        <w:rPr>
          <w:rStyle w:val="Referencingstyle"/>
        </w:rPr>
        <w:t xml:space="preserve"> </w:t>
      </w:r>
    </w:p>
    <w:p w14:paraId="5F0B25EA" w14:textId="77777777" w:rsidR="004761A7" w:rsidRDefault="00BB49B4" w:rsidP="00200FC3">
      <w:pPr>
        <w:pStyle w:val="base-text-paragraph"/>
      </w:pPr>
      <w:r>
        <w:t xml:space="preserve">The Ombudsman must comply </w:t>
      </w:r>
      <w:r w:rsidR="007D6040">
        <w:t>with any requirement imposed by</w:t>
      </w:r>
      <w:r>
        <w:t xml:space="preserve"> the Minister</w:t>
      </w:r>
      <w:r w:rsidR="005815C3">
        <w:t xml:space="preserve"> </w:t>
      </w:r>
      <w:r w:rsidR="00F072F1">
        <w:t xml:space="preserve">under subsection 42(2) </w:t>
      </w:r>
      <w:r w:rsidR="005815C3" w:rsidRPr="00ED057C">
        <w:rPr>
          <w:rStyle w:val="Referencingstyle"/>
        </w:rPr>
        <w:t>[</w:t>
      </w:r>
      <w:r w:rsidR="003D231D">
        <w:rPr>
          <w:rStyle w:val="Referencingstyle"/>
        </w:rPr>
        <w:t>Part 3</w:t>
      </w:r>
      <w:r w:rsidR="000603A7">
        <w:rPr>
          <w:rStyle w:val="Referencingstyle"/>
        </w:rPr>
        <w:t>,</w:t>
      </w:r>
      <w:r w:rsidR="003D231D">
        <w:rPr>
          <w:rStyle w:val="Referencingstyle"/>
        </w:rPr>
        <w:t> Division 3</w:t>
      </w:r>
      <w:r w:rsidR="000603A7">
        <w:rPr>
          <w:rStyle w:val="Referencingstyle"/>
        </w:rPr>
        <w:t>,</w:t>
      </w:r>
      <w:r w:rsidR="003D231D">
        <w:rPr>
          <w:rStyle w:val="Referencingstyle"/>
        </w:rPr>
        <w:t> </w:t>
      </w:r>
      <w:r w:rsidR="007D6040">
        <w:rPr>
          <w:rStyle w:val="Referencingstyle"/>
        </w:rPr>
        <w:t>Subdivision A</w:t>
      </w:r>
      <w:r w:rsidR="000603A7">
        <w:rPr>
          <w:rStyle w:val="Referencingstyle"/>
        </w:rPr>
        <w:t>,</w:t>
      </w:r>
      <w:r w:rsidR="007D6040" w:rsidRPr="00E92BD7">
        <w:rPr>
          <w:rStyle w:val="Referencingstyle"/>
        </w:rPr>
        <w:t xml:space="preserve"> </w:t>
      </w:r>
      <w:r w:rsidRPr="00E92BD7">
        <w:rPr>
          <w:rStyle w:val="Referencingstyle"/>
        </w:rPr>
        <w:t>subse</w:t>
      </w:r>
      <w:r w:rsidRPr="00BB49B4">
        <w:rPr>
          <w:rStyle w:val="Referencingstyle"/>
        </w:rPr>
        <w:t>ction</w:t>
      </w:r>
      <w:r>
        <w:rPr>
          <w:rStyle w:val="Referencingstyle"/>
        </w:rPr>
        <w:t> </w:t>
      </w:r>
      <w:r w:rsidRPr="00E92BD7">
        <w:rPr>
          <w:rStyle w:val="Referencingstyle"/>
        </w:rPr>
        <w:t>42(3)</w:t>
      </w:r>
      <w:r w:rsidR="005815C3">
        <w:rPr>
          <w:rStyle w:val="Referencingstyle"/>
        </w:rPr>
        <w:t>]</w:t>
      </w:r>
      <w:r w:rsidR="00643754">
        <w:t xml:space="preserve">. </w:t>
      </w:r>
      <w:r w:rsidR="00260122">
        <w:t>T</w:t>
      </w:r>
      <w:r w:rsidR="009651C1">
        <w:t xml:space="preserve">he Minister may withdraw or amend </w:t>
      </w:r>
      <w:r w:rsidR="007D6040">
        <w:t>a</w:t>
      </w:r>
      <w:r w:rsidR="009651C1">
        <w:t xml:space="preserve"> referral at any time before receiving the report from the Ombudsman</w:t>
      </w:r>
      <w:r w:rsidR="005815C3">
        <w:t xml:space="preserve"> </w:t>
      </w:r>
      <w:r w:rsidR="005815C3" w:rsidRPr="00ED057C">
        <w:rPr>
          <w:rStyle w:val="Referencingstyle"/>
        </w:rPr>
        <w:t>[</w:t>
      </w:r>
      <w:r w:rsidR="003D231D">
        <w:rPr>
          <w:rStyle w:val="Referencingstyle"/>
        </w:rPr>
        <w:t>Part 3</w:t>
      </w:r>
      <w:r w:rsidR="000603A7">
        <w:rPr>
          <w:rStyle w:val="Referencingstyle"/>
        </w:rPr>
        <w:t>,</w:t>
      </w:r>
      <w:r w:rsidR="003D231D">
        <w:rPr>
          <w:rStyle w:val="Referencingstyle"/>
        </w:rPr>
        <w:t> Division 3</w:t>
      </w:r>
      <w:r w:rsidR="000603A7">
        <w:rPr>
          <w:rStyle w:val="Referencingstyle"/>
        </w:rPr>
        <w:t>,</w:t>
      </w:r>
      <w:r w:rsidR="003D231D">
        <w:rPr>
          <w:rStyle w:val="Referencingstyle"/>
        </w:rPr>
        <w:t> </w:t>
      </w:r>
      <w:r w:rsidR="007D6040">
        <w:rPr>
          <w:rStyle w:val="Referencingstyle"/>
        </w:rPr>
        <w:t>Subdivision A</w:t>
      </w:r>
      <w:r w:rsidR="000603A7">
        <w:rPr>
          <w:rStyle w:val="Referencingstyle"/>
        </w:rPr>
        <w:t>,</w:t>
      </w:r>
      <w:r w:rsidR="007D6040" w:rsidRPr="00E92BD7">
        <w:rPr>
          <w:rStyle w:val="Referencingstyle"/>
        </w:rPr>
        <w:t xml:space="preserve"> </w:t>
      </w:r>
      <w:r w:rsidR="009651C1" w:rsidRPr="00E92BD7">
        <w:rPr>
          <w:rStyle w:val="Referencingstyle"/>
        </w:rPr>
        <w:t>subse</w:t>
      </w:r>
      <w:r w:rsidR="009651C1" w:rsidRPr="009651C1">
        <w:rPr>
          <w:rStyle w:val="Referencingstyle"/>
        </w:rPr>
        <w:t>ction</w:t>
      </w:r>
      <w:r w:rsidR="009651C1">
        <w:rPr>
          <w:rStyle w:val="Referencingstyle"/>
        </w:rPr>
        <w:t> </w:t>
      </w:r>
      <w:r w:rsidR="009651C1" w:rsidRPr="00E92BD7">
        <w:rPr>
          <w:rStyle w:val="Referencingstyle"/>
        </w:rPr>
        <w:t>42(4)</w:t>
      </w:r>
      <w:r w:rsidR="005815C3">
        <w:rPr>
          <w:rStyle w:val="Referencingstyle"/>
        </w:rPr>
        <w:t>]</w:t>
      </w:r>
      <w:r w:rsidR="00643754">
        <w:t xml:space="preserve">. </w:t>
      </w:r>
      <w:r w:rsidR="00516184">
        <w:t>Th</w:t>
      </w:r>
      <w:r w:rsidR="00260122">
        <w:t>is</w:t>
      </w:r>
      <w:r w:rsidR="00516184">
        <w:t xml:space="preserve"> latter provision </w:t>
      </w:r>
      <w:r w:rsidR="007D6040">
        <w:t>could</w:t>
      </w:r>
      <w:r w:rsidR="00516184">
        <w:t xml:space="preserve"> be used, for example, in the event that the Minister receives new information that the issue being investigated is no longer of concern.</w:t>
      </w:r>
      <w:r w:rsidR="004761A7" w:rsidRPr="004761A7">
        <w:t xml:space="preserve"> </w:t>
      </w:r>
    </w:p>
    <w:p w14:paraId="49BA7CF7" w14:textId="77777777" w:rsidR="004761A7" w:rsidRDefault="001D462C" w:rsidP="00200FC3">
      <w:pPr>
        <w:pStyle w:val="base-text-paragraph"/>
      </w:pPr>
      <w:r>
        <w:t>When writing a report on a matter referred by the Minister, the Ombudsman has the ability to make recommendations in the report related to any matter relevant to the matter referred</w:t>
      </w:r>
      <w:r w:rsidR="005815C3">
        <w:t xml:space="preserve">. </w:t>
      </w:r>
      <w:r w:rsidR="005815C3" w:rsidRPr="00ED057C">
        <w:rPr>
          <w:rStyle w:val="Referencingstyle"/>
        </w:rPr>
        <w:t>[</w:t>
      </w:r>
      <w:r w:rsidR="003D231D">
        <w:rPr>
          <w:rStyle w:val="Referencingstyle"/>
        </w:rPr>
        <w:t>Part 3</w:t>
      </w:r>
      <w:r w:rsidR="000603A7">
        <w:rPr>
          <w:rStyle w:val="Referencingstyle"/>
        </w:rPr>
        <w:t>,</w:t>
      </w:r>
      <w:r w:rsidR="003D231D">
        <w:rPr>
          <w:rStyle w:val="Referencingstyle"/>
        </w:rPr>
        <w:t> Division 3</w:t>
      </w:r>
      <w:r w:rsidR="000603A7">
        <w:rPr>
          <w:rStyle w:val="Referencingstyle"/>
        </w:rPr>
        <w:t>,</w:t>
      </w:r>
      <w:r w:rsidR="003D231D">
        <w:rPr>
          <w:rStyle w:val="Referencingstyle"/>
        </w:rPr>
        <w:t> Subdivision A</w:t>
      </w:r>
      <w:r w:rsidR="000603A7">
        <w:rPr>
          <w:rStyle w:val="Referencingstyle"/>
        </w:rPr>
        <w:t>,</w:t>
      </w:r>
      <w:r w:rsidR="003D231D">
        <w:rPr>
          <w:rStyle w:val="Referencingstyle"/>
        </w:rPr>
        <w:t xml:space="preserve"> </w:t>
      </w:r>
      <w:r w:rsidR="003D231D" w:rsidRPr="00E92BD7">
        <w:rPr>
          <w:rStyle w:val="Referencingstyle"/>
        </w:rPr>
        <w:t>subsection 42(5)</w:t>
      </w:r>
      <w:r w:rsidR="005815C3">
        <w:rPr>
          <w:rStyle w:val="Referencingstyle"/>
        </w:rPr>
        <w:t>]</w:t>
      </w:r>
      <w:r w:rsidR="006962BA">
        <w:t xml:space="preserve"> </w:t>
      </w:r>
    </w:p>
    <w:p w14:paraId="1258EC58" w14:textId="77777777" w:rsidR="00DF47A9" w:rsidRPr="008174B4" w:rsidRDefault="00DF47A9" w:rsidP="008A4D85">
      <w:pPr>
        <w:pStyle w:val="ExampleHeading"/>
      </w:pPr>
      <w:r w:rsidRPr="008174B4">
        <w:t xml:space="preserve">: </w:t>
      </w:r>
      <w:r w:rsidRPr="005B78FF">
        <w:t>Inquir</w:t>
      </w:r>
      <w:r>
        <w:t>y</w:t>
      </w:r>
      <w:r w:rsidRPr="005B78FF">
        <w:t xml:space="preserve"> on referral from the Minister</w:t>
      </w:r>
    </w:p>
    <w:p w14:paraId="786FB2EC" w14:textId="77777777" w:rsidR="00DF47A9" w:rsidRPr="00BB6056" w:rsidRDefault="00DF47A9" w:rsidP="00FD5423">
      <w:pPr>
        <w:pStyle w:val="exampletext"/>
      </w:pPr>
      <w:r>
        <w:t xml:space="preserve">The Minister becomes aware of a significant, national issue affecting small businesses and family enterprises. This issue relates to the policies and practices of corporations that affect small business and family enterprises, and therefore come within the constitutional reach of the Ombudsman (see 35(c) of the Bill). The Minister decides that he needs advice on this issue, and refers the matter to the Ombudsman for inquiry (section 42 of the Bill). </w:t>
      </w:r>
    </w:p>
    <w:p w14:paraId="70300875" w14:textId="77777777" w:rsidR="00753345" w:rsidRDefault="00753345" w:rsidP="00C71EE9">
      <w:pPr>
        <w:pStyle w:val="Heading3"/>
      </w:pPr>
      <w:r>
        <w:t>Notice</w:t>
      </w:r>
      <w:r w:rsidR="00B80CFB">
        <w:t>s</w:t>
      </w:r>
      <w:r>
        <w:t xml:space="preserve"> of inquir</w:t>
      </w:r>
      <w:r w:rsidR="00B80CFB">
        <w:t>ies and hearings</w:t>
      </w:r>
    </w:p>
    <w:p w14:paraId="7DC172F3" w14:textId="2CE371B5" w:rsidR="004761A7" w:rsidRDefault="009349BC" w:rsidP="00200FC3">
      <w:pPr>
        <w:pStyle w:val="base-text-paragraph"/>
      </w:pPr>
      <w:r>
        <w:t>‘</w:t>
      </w:r>
      <w:r w:rsidR="007D6040" w:rsidRPr="00B80CFB">
        <w:t>As soon as practicable</w:t>
      </w:r>
      <w:r>
        <w:t>’</w:t>
      </w:r>
      <w:r w:rsidR="007D6040" w:rsidRPr="00B80CFB">
        <w:t xml:space="preserve"> the Ombudsman must give notice that an inquiry is to be held, by way of an advertisement </w:t>
      </w:r>
      <w:r>
        <w:t>‘</w:t>
      </w:r>
      <w:r w:rsidR="007D6040" w:rsidRPr="00B80CFB">
        <w:t>publish</w:t>
      </w:r>
      <w:r w:rsidR="000A61A1" w:rsidRPr="00B80CFB">
        <w:t>ed in</w:t>
      </w:r>
      <w:r w:rsidR="007D6040" w:rsidRPr="00B80CFB">
        <w:t xml:space="preserve"> a newspaper circulating</w:t>
      </w:r>
      <w:r>
        <w:t>’</w:t>
      </w:r>
      <w:r w:rsidR="000A61A1" w:rsidRPr="00B80CFB">
        <w:t xml:space="preserve"> in each </w:t>
      </w:r>
      <w:r w:rsidR="000362FD">
        <w:t>state and territory</w:t>
      </w:r>
      <w:r w:rsidR="000A61A1" w:rsidRPr="00B80CFB">
        <w:t xml:space="preserve"> </w:t>
      </w:r>
      <w:r w:rsidR="007D6040" w:rsidRPr="00B80CFB">
        <w:rPr>
          <w:rStyle w:val="Referencingstyle"/>
        </w:rPr>
        <w:t>[Part 3</w:t>
      </w:r>
      <w:r w:rsidR="000603A7">
        <w:rPr>
          <w:rStyle w:val="Referencingstyle"/>
        </w:rPr>
        <w:t>,</w:t>
      </w:r>
      <w:r w:rsidR="007D6040" w:rsidRPr="00B80CFB">
        <w:rPr>
          <w:rStyle w:val="Referencingstyle"/>
        </w:rPr>
        <w:t> Division 3</w:t>
      </w:r>
      <w:r w:rsidR="000603A7">
        <w:rPr>
          <w:rStyle w:val="Referencingstyle"/>
        </w:rPr>
        <w:t>,</w:t>
      </w:r>
      <w:r w:rsidR="007D6040" w:rsidRPr="00B80CFB">
        <w:rPr>
          <w:rStyle w:val="Referencingstyle"/>
        </w:rPr>
        <w:t> Subdivision B</w:t>
      </w:r>
      <w:r w:rsidR="000603A7">
        <w:rPr>
          <w:rStyle w:val="Referencingstyle"/>
        </w:rPr>
        <w:t>,</w:t>
      </w:r>
      <w:r w:rsidR="007D6040" w:rsidRPr="00B80CFB">
        <w:rPr>
          <w:rStyle w:val="Referencingstyle"/>
        </w:rPr>
        <w:t xml:space="preserve"> section 43]</w:t>
      </w:r>
      <w:r w:rsidR="00463FCF" w:rsidRPr="00B80CFB">
        <w:t xml:space="preserve">. </w:t>
      </w:r>
      <w:r w:rsidR="000A61A1" w:rsidRPr="00B80CFB">
        <w:t xml:space="preserve">This provision is modelled on section 13 of the </w:t>
      </w:r>
      <w:r w:rsidR="000A61A1" w:rsidRPr="00B80CFB">
        <w:rPr>
          <w:i/>
        </w:rPr>
        <w:t>Productivity Commission Act 1998</w:t>
      </w:r>
      <w:r w:rsidR="000A61A1" w:rsidRPr="00B80CFB">
        <w:t>.</w:t>
      </w:r>
      <w:r w:rsidR="00982CAC" w:rsidRPr="00B80CFB">
        <w:t xml:space="preserve"> The Ombudsman must provide reasonable notice of the intention to hold a hearing, the subject of the hearing, and the time and place of the hearing. Such notices must </w:t>
      </w:r>
      <w:r w:rsidR="00B80CFB" w:rsidRPr="00ED057C">
        <w:t xml:space="preserve">also </w:t>
      </w:r>
      <w:r w:rsidR="00982CAC" w:rsidRPr="00B80CFB">
        <w:t>be published in a newspaper circulat</w:t>
      </w:r>
      <w:r w:rsidR="00B80CFB" w:rsidRPr="00ED057C">
        <w:t>ing in each state and territory</w:t>
      </w:r>
      <w:r w:rsidR="00982CAC" w:rsidRPr="00B80CFB">
        <w:t xml:space="preserve"> </w:t>
      </w:r>
      <w:r w:rsidR="00982CAC" w:rsidRPr="00B80CFB">
        <w:rPr>
          <w:rStyle w:val="Referencingstyle"/>
        </w:rPr>
        <w:t>[Part 3</w:t>
      </w:r>
      <w:r w:rsidR="000603A7">
        <w:rPr>
          <w:rStyle w:val="Referencingstyle"/>
        </w:rPr>
        <w:t>,</w:t>
      </w:r>
      <w:r w:rsidR="00982CAC" w:rsidRPr="00B80CFB">
        <w:rPr>
          <w:rStyle w:val="Referencingstyle"/>
        </w:rPr>
        <w:t> Division 3</w:t>
      </w:r>
      <w:r w:rsidR="000603A7">
        <w:rPr>
          <w:rStyle w:val="Referencingstyle"/>
        </w:rPr>
        <w:t>,</w:t>
      </w:r>
      <w:r w:rsidR="00982CAC" w:rsidRPr="00B80CFB">
        <w:rPr>
          <w:rStyle w:val="Referencingstyle"/>
        </w:rPr>
        <w:t> Subdivision C</w:t>
      </w:r>
      <w:r w:rsidR="000603A7">
        <w:rPr>
          <w:rStyle w:val="Referencingstyle"/>
        </w:rPr>
        <w:t>,</w:t>
      </w:r>
      <w:r w:rsidR="00982CAC" w:rsidRPr="00B80CFB">
        <w:rPr>
          <w:rStyle w:val="Referencingstyle"/>
        </w:rPr>
        <w:t> section 45]</w:t>
      </w:r>
      <w:r w:rsidR="00B80CFB" w:rsidRPr="00ED057C">
        <w:t xml:space="preserve">. </w:t>
      </w:r>
      <w:r w:rsidR="00982CAC" w:rsidRPr="00B80CFB">
        <w:t xml:space="preserve">These requirements are modelled on section 14 of the </w:t>
      </w:r>
      <w:r w:rsidR="00982CAC" w:rsidRPr="00B80CFB">
        <w:rPr>
          <w:i/>
        </w:rPr>
        <w:t>Productivity Commission Act 1998</w:t>
      </w:r>
      <w:r w:rsidR="00982CAC" w:rsidRPr="00B80CFB">
        <w:t>.</w:t>
      </w:r>
      <w:r w:rsidR="004761A7" w:rsidRPr="004761A7">
        <w:t xml:space="preserve"> </w:t>
      </w:r>
    </w:p>
    <w:p w14:paraId="0163DDA0" w14:textId="77777777" w:rsidR="009E433D" w:rsidRPr="00954C6D" w:rsidRDefault="00B80CFB" w:rsidP="00954C6D">
      <w:pPr>
        <w:pStyle w:val="Heading2"/>
      </w:pPr>
      <w:r w:rsidRPr="00954C6D">
        <w:t>Details of h</w:t>
      </w:r>
      <w:r w:rsidR="004A332E" w:rsidRPr="00954C6D">
        <w:t>earings</w:t>
      </w:r>
    </w:p>
    <w:p w14:paraId="6F39F4A6" w14:textId="77777777" w:rsidR="004761A7" w:rsidRDefault="000A61A1" w:rsidP="00440638">
      <w:pPr>
        <w:pStyle w:val="base-text-paragraph"/>
        <w:spacing w:before="80" w:after="80"/>
      </w:pPr>
      <w:r>
        <w:t>The Ombudsman may be required to hold hearings by the Minister</w:t>
      </w:r>
      <w:r w:rsidR="000A32DA">
        <w:t>, where the Minister has referred a matter to the Ombudsman for inquiry</w:t>
      </w:r>
      <w:r>
        <w:t>.</w:t>
      </w:r>
      <w:r w:rsidRPr="000A61A1">
        <w:rPr>
          <w:rStyle w:val="Referencingstyle"/>
        </w:rPr>
        <w:t xml:space="preserve"> </w:t>
      </w:r>
      <w:r w:rsidRPr="00E658ED">
        <w:rPr>
          <w:rStyle w:val="Referencingstyle"/>
        </w:rPr>
        <w:t>[</w:t>
      </w:r>
      <w:r>
        <w:rPr>
          <w:rStyle w:val="Referencingstyle"/>
        </w:rPr>
        <w:t>Part 3</w:t>
      </w:r>
      <w:r w:rsidR="000603A7">
        <w:rPr>
          <w:rStyle w:val="Referencingstyle"/>
        </w:rPr>
        <w:t>,</w:t>
      </w:r>
      <w:r>
        <w:rPr>
          <w:rStyle w:val="Referencingstyle"/>
        </w:rPr>
        <w:t> Division 3</w:t>
      </w:r>
      <w:r w:rsidR="000603A7">
        <w:rPr>
          <w:rStyle w:val="Referencingstyle"/>
        </w:rPr>
        <w:t>,</w:t>
      </w:r>
      <w:r>
        <w:rPr>
          <w:rStyle w:val="Referencingstyle"/>
        </w:rPr>
        <w:t> Subdivision A</w:t>
      </w:r>
      <w:r w:rsidR="000603A7">
        <w:rPr>
          <w:rStyle w:val="Referencingstyle"/>
        </w:rPr>
        <w:t>,</w:t>
      </w:r>
      <w:r>
        <w:rPr>
          <w:rStyle w:val="Referencingstyle"/>
        </w:rPr>
        <w:t xml:space="preserve"> </w:t>
      </w:r>
      <w:r w:rsidR="00F072F1">
        <w:rPr>
          <w:rStyle w:val="Referencingstyle"/>
        </w:rPr>
        <w:t xml:space="preserve">paragraph </w:t>
      </w:r>
      <w:r w:rsidRPr="00E92BD7">
        <w:rPr>
          <w:rStyle w:val="Referencingstyle"/>
        </w:rPr>
        <w:t>4</w:t>
      </w:r>
      <w:r>
        <w:rPr>
          <w:rStyle w:val="Referencingstyle"/>
        </w:rPr>
        <w:t>2</w:t>
      </w:r>
      <w:r w:rsidR="00F072F1">
        <w:rPr>
          <w:rStyle w:val="Referencingstyle"/>
        </w:rPr>
        <w:t>(2)(a)</w:t>
      </w:r>
      <w:r w:rsidR="002352F1">
        <w:rPr>
          <w:rStyle w:val="Referencingstyle"/>
        </w:rPr>
        <w:t>;</w:t>
      </w:r>
      <w:r>
        <w:rPr>
          <w:rStyle w:val="Referencingstyle"/>
        </w:rPr>
        <w:t xml:space="preserve"> Part 3</w:t>
      </w:r>
      <w:r w:rsidR="000603A7">
        <w:rPr>
          <w:rStyle w:val="Referencingstyle"/>
        </w:rPr>
        <w:t>,</w:t>
      </w:r>
      <w:r>
        <w:rPr>
          <w:rStyle w:val="Referencingstyle"/>
        </w:rPr>
        <w:t> Division 3</w:t>
      </w:r>
      <w:r w:rsidR="000603A7">
        <w:rPr>
          <w:rStyle w:val="Referencingstyle"/>
        </w:rPr>
        <w:t>,</w:t>
      </w:r>
      <w:r>
        <w:rPr>
          <w:rStyle w:val="Referencingstyle"/>
        </w:rPr>
        <w:t> Subdivision C</w:t>
      </w:r>
      <w:r w:rsidR="000603A7">
        <w:rPr>
          <w:rStyle w:val="Referencingstyle"/>
        </w:rPr>
        <w:t>,</w:t>
      </w:r>
      <w:r>
        <w:rPr>
          <w:rStyle w:val="Referencingstyle"/>
        </w:rPr>
        <w:t> </w:t>
      </w:r>
      <w:r w:rsidRPr="00E92BD7">
        <w:rPr>
          <w:rStyle w:val="Referencingstyle"/>
        </w:rPr>
        <w:t>section 4</w:t>
      </w:r>
      <w:r>
        <w:rPr>
          <w:rStyle w:val="Referencingstyle"/>
        </w:rPr>
        <w:t>4]</w:t>
      </w:r>
      <w:r w:rsidR="004761A7" w:rsidRPr="004761A7">
        <w:t xml:space="preserve"> </w:t>
      </w:r>
    </w:p>
    <w:p w14:paraId="1D6B86FC" w14:textId="77777777" w:rsidR="0014107C" w:rsidRDefault="0014107C" w:rsidP="00C71EE9">
      <w:pPr>
        <w:pStyle w:val="Heading3"/>
      </w:pPr>
      <w:r>
        <w:t>Procedure at hearings</w:t>
      </w:r>
    </w:p>
    <w:p w14:paraId="4126282B" w14:textId="69178A55" w:rsidR="004761A7" w:rsidRDefault="00D75C33" w:rsidP="00440638">
      <w:pPr>
        <w:pStyle w:val="base-text-paragraph"/>
        <w:spacing w:before="80" w:after="80"/>
      </w:pPr>
      <w:r>
        <w:t xml:space="preserve">Hearings will be held in public, except if the Ombudsman </w:t>
      </w:r>
      <w:r w:rsidR="009349BC">
        <w:t>‘</w:t>
      </w:r>
      <w:r>
        <w:t>reasonably believes</w:t>
      </w:r>
      <w:r w:rsidR="009349BC">
        <w:t>’</w:t>
      </w:r>
      <w:r>
        <w:t xml:space="preserve"> that it is </w:t>
      </w:r>
      <w:r w:rsidR="009349BC">
        <w:t>‘</w:t>
      </w:r>
      <w:r>
        <w:t>in the public interest</w:t>
      </w:r>
      <w:r w:rsidR="009349BC">
        <w:t>’</w:t>
      </w:r>
      <w:r>
        <w:t xml:space="preserve"> to hold </w:t>
      </w:r>
      <w:r w:rsidR="00DF47A9">
        <w:t xml:space="preserve">a </w:t>
      </w:r>
      <w:r>
        <w:t xml:space="preserve">hearing in private </w:t>
      </w:r>
      <w:r w:rsidRPr="00E658ED">
        <w:rPr>
          <w:rStyle w:val="Referencingstyle"/>
        </w:rPr>
        <w:t>[</w:t>
      </w:r>
      <w:r>
        <w:rPr>
          <w:rStyle w:val="Referencingstyle"/>
        </w:rPr>
        <w:t>Part 3</w:t>
      </w:r>
      <w:r w:rsidR="000603A7">
        <w:rPr>
          <w:rStyle w:val="Referencingstyle"/>
        </w:rPr>
        <w:t>,</w:t>
      </w:r>
      <w:r>
        <w:rPr>
          <w:rStyle w:val="Referencingstyle"/>
        </w:rPr>
        <w:t> Division 3</w:t>
      </w:r>
      <w:r w:rsidR="000603A7">
        <w:rPr>
          <w:rStyle w:val="Referencingstyle"/>
        </w:rPr>
        <w:t>,</w:t>
      </w:r>
      <w:r>
        <w:rPr>
          <w:rStyle w:val="Referencingstyle"/>
        </w:rPr>
        <w:t> Subdivision C</w:t>
      </w:r>
      <w:r w:rsidR="000603A7">
        <w:rPr>
          <w:rStyle w:val="Referencingstyle"/>
        </w:rPr>
        <w:t>,</w:t>
      </w:r>
      <w:r>
        <w:rPr>
          <w:rStyle w:val="Referencingstyle"/>
        </w:rPr>
        <w:t> section 46]</w:t>
      </w:r>
      <w:r w:rsidR="00463FCF">
        <w:t xml:space="preserve">. </w:t>
      </w:r>
      <w:r>
        <w:t xml:space="preserve">This requirement is modelled on subsections 15(1) and (2) of the </w:t>
      </w:r>
      <w:r w:rsidRPr="00316968">
        <w:rPr>
          <w:i/>
        </w:rPr>
        <w:t>Productivity</w:t>
      </w:r>
      <w:r>
        <w:rPr>
          <w:i/>
        </w:rPr>
        <w:t> </w:t>
      </w:r>
      <w:r w:rsidRPr="00316968">
        <w:rPr>
          <w:i/>
        </w:rPr>
        <w:t>Commission Act</w:t>
      </w:r>
      <w:r w:rsidR="007C3936">
        <w:rPr>
          <w:i/>
        </w:rPr>
        <w:t> </w:t>
      </w:r>
      <w:r w:rsidRPr="00316968">
        <w:rPr>
          <w:i/>
        </w:rPr>
        <w:t>1998</w:t>
      </w:r>
      <w:r>
        <w:t xml:space="preserve">. </w:t>
      </w:r>
    </w:p>
    <w:p w14:paraId="6FDFE36B" w14:textId="77777777" w:rsidR="0072343D" w:rsidRDefault="0072343D" w:rsidP="00C71EE9">
      <w:pPr>
        <w:pStyle w:val="Heading3"/>
      </w:pPr>
      <w:r>
        <w:t>Providing information and documents</w:t>
      </w:r>
    </w:p>
    <w:p w14:paraId="7B246BFD" w14:textId="3076BD1E" w:rsidR="004761A7" w:rsidRDefault="00550360" w:rsidP="00440638">
      <w:pPr>
        <w:pStyle w:val="base-text-paragraph"/>
        <w:spacing w:before="80" w:after="80"/>
      </w:pPr>
      <w:r>
        <w:t xml:space="preserve">Under section 47 </w:t>
      </w:r>
      <w:r w:rsidR="002352F1">
        <w:t xml:space="preserve">of the Bill, </w:t>
      </w:r>
      <w:r>
        <w:t>a person may be required by notice to provide information or documents to the Ombudsman which are relevant to i</w:t>
      </w:r>
      <w:r w:rsidRPr="00C63147">
        <w:t>nquir</w:t>
      </w:r>
      <w:r>
        <w:t xml:space="preserve">ies referred by the Minister to the Ombudsman. The notice will be in writing and must allow </w:t>
      </w:r>
      <w:r w:rsidR="009349BC">
        <w:t>‘</w:t>
      </w:r>
      <w:r>
        <w:t>at least 10 business days</w:t>
      </w:r>
      <w:r w:rsidR="009349BC">
        <w:t>’</w:t>
      </w:r>
      <w:r>
        <w:t xml:space="preserve"> for the notice to be complied with. The penalty for not complying with a notice is 30 penalty units. No penalty applies where the person does not have the required information or documents, or </w:t>
      </w:r>
      <w:r w:rsidR="00FC5EE2">
        <w:t xml:space="preserve">is </w:t>
      </w:r>
      <w:r>
        <w:t xml:space="preserve">unable to obtain the information or documents despite taking </w:t>
      </w:r>
      <w:r w:rsidR="009349BC">
        <w:t>‘</w:t>
      </w:r>
      <w:r>
        <w:t>all reasonable steps</w:t>
      </w:r>
      <w:r w:rsidR="009349BC">
        <w:t>’</w:t>
      </w:r>
      <w:r>
        <w:t xml:space="preserve"> to obtain them</w:t>
      </w:r>
      <w:r w:rsidR="0086494B">
        <w:t>.</w:t>
      </w:r>
      <w:r>
        <w:t xml:space="preserve"> </w:t>
      </w:r>
      <w:r w:rsidRPr="00E658ED">
        <w:rPr>
          <w:rStyle w:val="Referencingstyle"/>
        </w:rPr>
        <w:t>[</w:t>
      </w:r>
      <w:r>
        <w:rPr>
          <w:rStyle w:val="Referencingstyle"/>
        </w:rPr>
        <w:t>Part 3</w:t>
      </w:r>
      <w:r w:rsidR="000603A7">
        <w:rPr>
          <w:rStyle w:val="Referencingstyle"/>
        </w:rPr>
        <w:t>,</w:t>
      </w:r>
      <w:r>
        <w:rPr>
          <w:rStyle w:val="Referencingstyle"/>
        </w:rPr>
        <w:t> Division 3</w:t>
      </w:r>
      <w:r w:rsidR="000603A7">
        <w:rPr>
          <w:rStyle w:val="Referencingstyle"/>
        </w:rPr>
        <w:t>,</w:t>
      </w:r>
      <w:r>
        <w:rPr>
          <w:rStyle w:val="Referencingstyle"/>
        </w:rPr>
        <w:t> section 47]</w:t>
      </w:r>
      <w:r w:rsidR="00463FCF">
        <w:t xml:space="preserve"> </w:t>
      </w:r>
    </w:p>
    <w:p w14:paraId="3F4FCD4F" w14:textId="77777777" w:rsidR="000D23C2" w:rsidRDefault="009D104C" w:rsidP="00C71EE9">
      <w:pPr>
        <w:pStyle w:val="Heading3"/>
      </w:pPr>
      <w:r>
        <w:t>Attendance at a hearing</w:t>
      </w:r>
    </w:p>
    <w:p w14:paraId="73842809" w14:textId="77777777" w:rsidR="004761A7" w:rsidRDefault="009D104C" w:rsidP="00440638">
      <w:pPr>
        <w:pStyle w:val="base-text-paragraph"/>
        <w:spacing w:before="80" w:after="80"/>
      </w:pPr>
      <w:r>
        <w:t>The Ombudsman may summon a person</w:t>
      </w:r>
      <w:r w:rsidR="00E724A0">
        <w:t xml:space="preserve"> in writing</w:t>
      </w:r>
      <w:r>
        <w:t xml:space="preserve"> to appear at a</w:t>
      </w:r>
      <w:r w:rsidR="00816FF8">
        <w:t> </w:t>
      </w:r>
      <w:r>
        <w:t xml:space="preserve">hearing to give evidence and to produce documents. </w:t>
      </w:r>
      <w:r w:rsidR="00EC5389">
        <w:t xml:space="preserve">A penalty </w:t>
      </w:r>
      <w:r>
        <w:t>of 30</w:t>
      </w:r>
      <w:r w:rsidR="00816FF8">
        <w:t> </w:t>
      </w:r>
      <w:r>
        <w:t xml:space="preserve">penalty units </w:t>
      </w:r>
      <w:r w:rsidR="00EC5389">
        <w:t xml:space="preserve">may apply in the event that a person fails to </w:t>
      </w:r>
      <w:r>
        <w:t>comply.</w:t>
      </w:r>
      <w:r w:rsidR="005815C3">
        <w:t xml:space="preserve"> </w:t>
      </w:r>
      <w:r w:rsidR="005815C3" w:rsidRPr="00ED057C">
        <w:rPr>
          <w:rStyle w:val="Referencingstyle"/>
        </w:rPr>
        <w:t>[</w:t>
      </w:r>
      <w:r w:rsidR="00AC541C">
        <w:rPr>
          <w:rStyle w:val="Referencingstyle"/>
        </w:rPr>
        <w:t>Part 3</w:t>
      </w:r>
      <w:r w:rsidR="000603A7">
        <w:rPr>
          <w:rStyle w:val="Referencingstyle"/>
        </w:rPr>
        <w:t>,</w:t>
      </w:r>
      <w:r w:rsidR="00AC541C">
        <w:rPr>
          <w:rStyle w:val="Referencingstyle"/>
        </w:rPr>
        <w:t> Division 3</w:t>
      </w:r>
      <w:r w:rsidR="000603A7">
        <w:rPr>
          <w:rStyle w:val="Referencingstyle"/>
        </w:rPr>
        <w:t>,</w:t>
      </w:r>
      <w:r w:rsidR="00AC541C">
        <w:rPr>
          <w:rStyle w:val="Referencingstyle"/>
        </w:rPr>
        <w:t> Subdivision C</w:t>
      </w:r>
      <w:r w:rsidR="000603A7">
        <w:rPr>
          <w:rStyle w:val="Referencingstyle"/>
        </w:rPr>
        <w:t>,</w:t>
      </w:r>
      <w:r w:rsidR="00AC541C">
        <w:rPr>
          <w:rStyle w:val="Referencingstyle"/>
        </w:rPr>
        <w:t> </w:t>
      </w:r>
      <w:r w:rsidR="00EC5389" w:rsidRPr="00E92BD7">
        <w:rPr>
          <w:rStyle w:val="Referencingstyle"/>
        </w:rPr>
        <w:t>section 4</w:t>
      </w:r>
      <w:r>
        <w:rPr>
          <w:rStyle w:val="Referencingstyle"/>
        </w:rPr>
        <w:t>8</w:t>
      </w:r>
      <w:r w:rsidR="00796CE1" w:rsidRPr="00E92BD7">
        <w:rPr>
          <w:rStyle w:val="Referencingstyle"/>
        </w:rPr>
        <w:t>]</w:t>
      </w:r>
      <w:r>
        <w:t xml:space="preserve"> </w:t>
      </w:r>
    </w:p>
    <w:p w14:paraId="3000E764" w14:textId="79F08D86" w:rsidR="004761A7" w:rsidRDefault="009D104C" w:rsidP="00440638">
      <w:pPr>
        <w:pStyle w:val="base-text-paragraph"/>
        <w:spacing w:before="80" w:after="80"/>
      </w:pPr>
      <w:r>
        <w:t xml:space="preserve">A person who appears as a witness at a hearing must not refuse to answer </w:t>
      </w:r>
      <w:r w:rsidR="00EC5389">
        <w:t xml:space="preserve">a question </w:t>
      </w:r>
      <w:r>
        <w:t xml:space="preserve">as required by </w:t>
      </w:r>
      <w:r w:rsidR="00EC5389">
        <w:t xml:space="preserve">the Ombudsman or produce a document required by </w:t>
      </w:r>
      <w:r>
        <w:t xml:space="preserve">the summons. A penalty of 30 penalty units may apply in the event that a person fails to comply. No penalty applies if the person does not have the required information or document, and the person has taken </w:t>
      </w:r>
      <w:r w:rsidR="009349BC">
        <w:t>‘</w:t>
      </w:r>
      <w:r>
        <w:t>all reasonable steps</w:t>
      </w:r>
      <w:r w:rsidR="009349BC">
        <w:t>’</w:t>
      </w:r>
      <w:r>
        <w:t xml:space="preserve"> to obtain the required information and document. </w:t>
      </w:r>
      <w:r w:rsidR="005815C3" w:rsidRPr="00ED057C">
        <w:rPr>
          <w:rStyle w:val="Referencingstyle"/>
        </w:rPr>
        <w:t>[</w:t>
      </w:r>
      <w:r w:rsidR="00AC541C">
        <w:rPr>
          <w:rStyle w:val="Referencingstyle"/>
        </w:rPr>
        <w:t>Part 3</w:t>
      </w:r>
      <w:r w:rsidR="000603A7">
        <w:rPr>
          <w:rStyle w:val="Referencingstyle"/>
        </w:rPr>
        <w:t>,</w:t>
      </w:r>
      <w:r w:rsidR="00AC541C">
        <w:rPr>
          <w:rStyle w:val="Referencingstyle"/>
        </w:rPr>
        <w:t> Division 3</w:t>
      </w:r>
      <w:r w:rsidR="000603A7">
        <w:rPr>
          <w:rStyle w:val="Referencingstyle"/>
        </w:rPr>
        <w:t>,</w:t>
      </w:r>
      <w:r w:rsidR="00AC541C">
        <w:rPr>
          <w:rStyle w:val="Referencingstyle"/>
        </w:rPr>
        <w:t> Subdivision C</w:t>
      </w:r>
      <w:r w:rsidR="000603A7">
        <w:rPr>
          <w:rStyle w:val="Referencingstyle"/>
        </w:rPr>
        <w:t>,</w:t>
      </w:r>
      <w:r w:rsidR="00AC541C">
        <w:rPr>
          <w:rStyle w:val="Referencingstyle"/>
        </w:rPr>
        <w:t> </w:t>
      </w:r>
      <w:r w:rsidR="00AC541C" w:rsidRPr="00E92BD7">
        <w:rPr>
          <w:rStyle w:val="Referencingstyle"/>
        </w:rPr>
        <w:t>section 49</w:t>
      </w:r>
      <w:r w:rsidR="005815C3">
        <w:rPr>
          <w:rStyle w:val="Referencingstyle"/>
        </w:rPr>
        <w:t>]</w:t>
      </w:r>
      <w:r w:rsidR="00213717">
        <w:t xml:space="preserve"> </w:t>
      </w:r>
    </w:p>
    <w:p w14:paraId="2DB9C66A" w14:textId="77777777" w:rsidR="0016473E" w:rsidRDefault="0016473E" w:rsidP="00C71EE9">
      <w:pPr>
        <w:pStyle w:val="Heading3"/>
      </w:pPr>
      <w:r>
        <w:t>Documents produced in relation to inquiry</w:t>
      </w:r>
    </w:p>
    <w:p w14:paraId="4AFD973D" w14:textId="77777777" w:rsidR="004761A7" w:rsidRDefault="009F7239" w:rsidP="00200FC3">
      <w:pPr>
        <w:pStyle w:val="base-text-paragraph"/>
      </w:pPr>
      <w:r>
        <w:t xml:space="preserve">The Ombudsman may take possession of, and make copies of, or take extracts from, documents for an inquiry. The Ombudsman may keep the documents for as long as is necessary for the inquiry. The Ombudsman must also allow the documents to be inspected at all reasonable times by people who are entitled to inspect them. </w:t>
      </w:r>
      <w:r w:rsidRPr="00E658ED">
        <w:rPr>
          <w:rStyle w:val="Referencingstyle"/>
        </w:rPr>
        <w:t>[</w:t>
      </w:r>
      <w:r>
        <w:rPr>
          <w:rStyle w:val="Referencingstyle"/>
        </w:rPr>
        <w:t>Part 3</w:t>
      </w:r>
      <w:r w:rsidR="000603A7">
        <w:rPr>
          <w:rStyle w:val="Referencingstyle"/>
        </w:rPr>
        <w:t>,</w:t>
      </w:r>
      <w:r>
        <w:rPr>
          <w:rStyle w:val="Referencingstyle"/>
        </w:rPr>
        <w:t xml:space="preserve"> Division</w:t>
      </w:r>
      <w:r w:rsidR="00C773F0">
        <w:rPr>
          <w:rStyle w:val="Referencingstyle"/>
        </w:rPr>
        <w:t> </w:t>
      </w:r>
      <w:r>
        <w:rPr>
          <w:rStyle w:val="Referencingstyle"/>
        </w:rPr>
        <w:t>3</w:t>
      </w:r>
      <w:r w:rsidR="000603A7">
        <w:rPr>
          <w:rStyle w:val="Referencingstyle"/>
        </w:rPr>
        <w:t>,</w:t>
      </w:r>
      <w:r>
        <w:rPr>
          <w:rStyle w:val="Referencingstyle"/>
        </w:rPr>
        <w:t xml:space="preserve"> section 50]</w:t>
      </w:r>
      <w:r w:rsidR="004761A7" w:rsidRPr="004761A7">
        <w:t xml:space="preserve"> </w:t>
      </w:r>
    </w:p>
    <w:p w14:paraId="7D9FEAFB" w14:textId="77777777" w:rsidR="00AE3801" w:rsidRDefault="00AE3801" w:rsidP="00C71EE9">
      <w:pPr>
        <w:pStyle w:val="Heading3"/>
      </w:pPr>
      <w:r>
        <w:t>Allowances to witnesses</w:t>
      </w:r>
    </w:p>
    <w:p w14:paraId="7B0687A1" w14:textId="77777777" w:rsidR="004761A7" w:rsidRDefault="00AE3801" w:rsidP="00200FC3">
      <w:pPr>
        <w:pStyle w:val="base-text-paragraph"/>
      </w:pPr>
      <w:r w:rsidRPr="00AE3801">
        <w:t xml:space="preserve">A person </w:t>
      </w:r>
      <w:r>
        <w:t>summon</w:t>
      </w:r>
      <w:r w:rsidR="00C773F0">
        <w:t>ed by the Ombudsman to attend a hearing</w:t>
      </w:r>
      <w:r>
        <w:t xml:space="preserve"> </w:t>
      </w:r>
      <w:r w:rsidRPr="00AE3801">
        <w:t>is entitled to be paid by the Commonwealth such allowances and expenses as are prescribed</w:t>
      </w:r>
      <w:r w:rsidR="00C773F0">
        <w:t>.</w:t>
      </w:r>
      <w:r w:rsidR="005815C3">
        <w:t xml:space="preserve"> </w:t>
      </w:r>
      <w:r w:rsidR="005815C3" w:rsidRPr="00ED057C">
        <w:rPr>
          <w:rStyle w:val="Referencingstyle"/>
        </w:rPr>
        <w:t>[</w:t>
      </w:r>
      <w:r w:rsidR="0064585E">
        <w:rPr>
          <w:rStyle w:val="Referencingstyle"/>
        </w:rPr>
        <w:t>Part 3</w:t>
      </w:r>
      <w:r w:rsidR="000603A7">
        <w:rPr>
          <w:rStyle w:val="Referencingstyle"/>
        </w:rPr>
        <w:t>,</w:t>
      </w:r>
      <w:r w:rsidR="0064585E">
        <w:rPr>
          <w:rStyle w:val="Referencingstyle"/>
        </w:rPr>
        <w:t> Division 3</w:t>
      </w:r>
      <w:r w:rsidR="000603A7">
        <w:rPr>
          <w:rStyle w:val="Referencingstyle"/>
        </w:rPr>
        <w:t>,</w:t>
      </w:r>
      <w:r w:rsidR="0064585E">
        <w:rPr>
          <w:rStyle w:val="Referencingstyle"/>
        </w:rPr>
        <w:t> Subdivision C</w:t>
      </w:r>
      <w:r w:rsidR="000603A7">
        <w:rPr>
          <w:rStyle w:val="Referencingstyle"/>
        </w:rPr>
        <w:t>,</w:t>
      </w:r>
      <w:r w:rsidR="0064585E">
        <w:rPr>
          <w:rStyle w:val="Referencingstyle"/>
        </w:rPr>
        <w:t> </w:t>
      </w:r>
      <w:r w:rsidRPr="00E92BD7">
        <w:rPr>
          <w:rStyle w:val="Referencingstyle"/>
        </w:rPr>
        <w:t>section 51</w:t>
      </w:r>
      <w:r w:rsidR="005815C3">
        <w:rPr>
          <w:rStyle w:val="Referencingstyle"/>
        </w:rPr>
        <w:t>]</w:t>
      </w:r>
      <w:r w:rsidR="006E275B">
        <w:t xml:space="preserve"> </w:t>
      </w:r>
    </w:p>
    <w:p w14:paraId="448E33A2" w14:textId="77777777" w:rsidR="00056CDC" w:rsidRPr="00840D3F" w:rsidRDefault="0008495F" w:rsidP="00C71EE9">
      <w:pPr>
        <w:pStyle w:val="Heading3"/>
      </w:pPr>
      <w:r>
        <w:t>Restrictions on p</w:t>
      </w:r>
      <w:r w:rsidR="00056CDC">
        <w:t>ublication of evidence</w:t>
      </w:r>
    </w:p>
    <w:p w14:paraId="1E5FA957" w14:textId="77777777" w:rsidR="004761A7" w:rsidRDefault="00FC2909" w:rsidP="00200FC3">
      <w:pPr>
        <w:pStyle w:val="base-text-paragraph"/>
      </w:pPr>
      <w:r>
        <w:t xml:space="preserve">The Ombudsman may give directions prohibiting or restricting the publication of evidence </w:t>
      </w:r>
      <w:r w:rsidR="00056CDC">
        <w:t>provided in connection with a hearing</w:t>
      </w:r>
      <w:r>
        <w:t>.</w:t>
      </w:r>
      <w:r w:rsidR="005815C3">
        <w:t xml:space="preserve"> </w:t>
      </w:r>
      <w:r>
        <w:t>A penalty of 30 penalty units may apply in the event that a person contravene</w:t>
      </w:r>
      <w:r w:rsidR="00B221AC">
        <w:t>s</w:t>
      </w:r>
      <w:r>
        <w:t xml:space="preserve"> the directions</w:t>
      </w:r>
      <w:r w:rsidR="00B221AC">
        <w:t xml:space="preserve">. </w:t>
      </w:r>
      <w:r w:rsidR="005815C3" w:rsidRPr="00ED057C">
        <w:rPr>
          <w:rStyle w:val="Referencingstyle"/>
        </w:rPr>
        <w:t>[</w:t>
      </w:r>
      <w:r w:rsidR="008B22DF">
        <w:rPr>
          <w:rStyle w:val="Referencingstyle"/>
        </w:rPr>
        <w:t>Part 3</w:t>
      </w:r>
      <w:r w:rsidR="000603A7">
        <w:rPr>
          <w:rStyle w:val="Referencingstyle"/>
        </w:rPr>
        <w:t>,</w:t>
      </w:r>
      <w:r w:rsidR="008B22DF">
        <w:rPr>
          <w:rStyle w:val="Referencingstyle"/>
        </w:rPr>
        <w:t> Division 3</w:t>
      </w:r>
      <w:r w:rsidR="000603A7">
        <w:rPr>
          <w:rStyle w:val="Referencingstyle"/>
        </w:rPr>
        <w:t>,</w:t>
      </w:r>
      <w:r w:rsidR="008B22DF">
        <w:rPr>
          <w:rStyle w:val="Referencingstyle"/>
        </w:rPr>
        <w:t> Subdivision C</w:t>
      </w:r>
      <w:r w:rsidR="000603A7">
        <w:rPr>
          <w:rStyle w:val="Referencingstyle"/>
        </w:rPr>
        <w:t>,</w:t>
      </w:r>
      <w:r w:rsidR="008B22DF">
        <w:rPr>
          <w:rStyle w:val="Referencingstyle"/>
        </w:rPr>
        <w:t> </w:t>
      </w:r>
      <w:r w:rsidR="00056CDC" w:rsidRPr="00E92BD7">
        <w:rPr>
          <w:rStyle w:val="Referencingstyle"/>
        </w:rPr>
        <w:t>section 52</w:t>
      </w:r>
      <w:r w:rsidR="005815C3">
        <w:rPr>
          <w:rStyle w:val="Referencingstyle"/>
        </w:rPr>
        <w:t>]</w:t>
      </w:r>
      <w:r w:rsidR="006E275B">
        <w:t xml:space="preserve"> </w:t>
      </w:r>
    </w:p>
    <w:p w14:paraId="56F04020" w14:textId="77777777" w:rsidR="007024B7" w:rsidRDefault="007024B7" w:rsidP="00C71EE9">
      <w:pPr>
        <w:pStyle w:val="Heading3"/>
      </w:pPr>
      <w:r>
        <w:t>Written statements etc. to be made public</w:t>
      </w:r>
    </w:p>
    <w:p w14:paraId="59D8FD71" w14:textId="77777777" w:rsidR="004761A7" w:rsidRDefault="007024B7" w:rsidP="00200FC3">
      <w:pPr>
        <w:pStyle w:val="base-text-paragraph"/>
      </w:pPr>
      <w:r>
        <w:t xml:space="preserve">The Ombudsman </w:t>
      </w:r>
      <w:r w:rsidR="00B221AC">
        <w:t xml:space="preserve">must </w:t>
      </w:r>
      <w:r>
        <w:t xml:space="preserve">make </w:t>
      </w:r>
      <w:r w:rsidR="00B221AC">
        <w:t>available</w:t>
      </w:r>
      <w:r w:rsidR="00A95575">
        <w:t xml:space="preserve"> to the public,</w:t>
      </w:r>
      <w:r w:rsidR="00B221AC">
        <w:t xml:space="preserve"> </w:t>
      </w:r>
      <w:r w:rsidR="00A95575" w:rsidRPr="000E3321">
        <w:rPr>
          <w:rStyle w:val="Referencingstyle"/>
          <w:b w:val="0"/>
          <w:i w:val="0"/>
          <w:sz w:val="22"/>
        </w:rPr>
        <w:t xml:space="preserve">in any way </w:t>
      </w:r>
      <w:r w:rsidR="00A95575">
        <w:rPr>
          <w:rStyle w:val="Referencingstyle"/>
          <w:b w:val="0"/>
          <w:i w:val="0"/>
          <w:sz w:val="22"/>
        </w:rPr>
        <w:t>considered appropriate,</w:t>
      </w:r>
      <w:r w:rsidR="00A95575">
        <w:t xml:space="preserve"> </w:t>
      </w:r>
      <w:r>
        <w:t xml:space="preserve">written evidence </w:t>
      </w:r>
      <w:r w:rsidR="00A95575">
        <w:t>or</w:t>
      </w:r>
      <w:r>
        <w:t xml:space="preserve"> document provided in connection with </w:t>
      </w:r>
      <w:r w:rsidR="00A95575">
        <w:t>an</w:t>
      </w:r>
      <w:r>
        <w:t xml:space="preserve"> inquiry</w:t>
      </w:r>
      <w:r w:rsidR="006E275B">
        <w:rPr>
          <w:rStyle w:val="Referencingstyle"/>
          <w:b w:val="0"/>
          <w:i w:val="0"/>
          <w:sz w:val="22"/>
        </w:rPr>
        <w:t xml:space="preserve">. </w:t>
      </w:r>
      <w:r w:rsidR="00A95575">
        <w:rPr>
          <w:rStyle w:val="Referencingstyle"/>
          <w:b w:val="0"/>
          <w:i w:val="0"/>
          <w:sz w:val="22"/>
        </w:rPr>
        <w:t>The Ombudsman must delete a</w:t>
      </w:r>
      <w:r w:rsidR="00202FE3">
        <w:t xml:space="preserve">ny confidential information before </w:t>
      </w:r>
      <w:r w:rsidR="00A95575">
        <w:t xml:space="preserve">making </w:t>
      </w:r>
      <w:r w:rsidR="00202FE3">
        <w:t>the evidence or document public</w:t>
      </w:r>
      <w:r w:rsidR="00A95575">
        <w:t>ly available.</w:t>
      </w:r>
      <w:r w:rsidR="005815C3">
        <w:t xml:space="preserve"> </w:t>
      </w:r>
      <w:r w:rsidR="005815C3" w:rsidRPr="00ED057C">
        <w:rPr>
          <w:rStyle w:val="Referencingstyle"/>
        </w:rPr>
        <w:t>[</w:t>
      </w:r>
      <w:r w:rsidR="002A73FB" w:rsidRPr="009F7239">
        <w:rPr>
          <w:rStyle w:val="Referencingstyle"/>
        </w:rPr>
        <w:t>Part 3</w:t>
      </w:r>
      <w:r w:rsidR="000603A7">
        <w:rPr>
          <w:rStyle w:val="Referencingstyle"/>
        </w:rPr>
        <w:t>,</w:t>
      </w:r>
      <w:r w:rsidR="002A73FB" w:rsidRPr="009F7239">
        <w:rPr>
          <w:rStyle w:val="Referencingstyle"/>
        </w:rPr>
        <w:t> Division 3</w:t>
      </w:r>
      <w:r w:rsidR="000603A7">
        <w:rPr>
          <w:rStyle w:val="Referencingstyle"/>
        </w:rPr>
        <w:t>,</w:t>
      </w:r>
      <w:r w:rsidR="002A73FB" w:rsidRPr="009F7239">
        <w:rPr>
          <w:rStyle w:val="Referencingstyle"/>
        </w:rPr>
        <w:t> Subdivision C</w:t>
      </w:r>
      <w:r w:rsidR="000603A7">
        <w:rPr>
          <w:rStyle w:val="Referencingstyle"/>
        </w:rPr>
        <w:t>,</w:t>
      </w:r>
      <w:r w:rsidR="002A73FB" w:rsidRPr="009F7239">
        <w:rPr>
          <w:rStyle w:val="Referencingstyle"/>
        </w:rPr>
        <w:t> </w:t>
      </w:r>
      <w:r w:rsidR="00DF47A9" w:rsidRPr="009F7239" w:rsidDel="00DF47A9">
        <w:rPr>
          <w:rStyle w:val="Referencingstyle"/>
        </w:rPr>
        <w:t xml:space="preserve"> </w:t>
      </w:r>
      <w:r w:rsidR="008B22DF" w:rsidRPr="009F7239">
        <w:rPr>
          <w:rStyle w:val="Referencingstyle"/>
        </w:rPr>
        <w:t>section 53</w:t>
      </w:r>
      <w:r w:rsidR="005815C3" w:rsidRPr="009F7239">
        <w:rPr>
          <w:rStyle w:val="Referencingstyle"/>
        </w:rPr>
        <w:t>]</w:t>
      </w:r>
      <w:r w:rsidR="006E275B">
        <w:t xml:space="preserve"> </w:t>
      </w:r>
    </w:p>
    <w:p w14:paraId="747FAE84" w14:textId="77777777" w:rsidR="00DE5B9C" w:rsidRDefault="00DE5B9C" w:rsidP="00C71EE9">
      <w:pPr>
        <w:pStyle w:val="Heading3"/>
      </w:pPr>
      <w:r>
        <w:t>Limitation on powers</w:t>
      </w:r>
    </w:p>
    <w:p w14:paraId="6156EF51" w14:textId="77777777" w:rsidR="004761A7" w:rsidRDefault="00DE5B9C" w:rsidP="00200FC3">
      <w:pPr>
        <w:pStyle w:val="base-text-paragraph"/>
      </w:pPr>
      <w:r>
        <w:t>Nothing in Part 3</w:t>
      </w:r>
      <w:r w:rsidR="00F961BF">
        <w:t>,</w:t>
      </w:r>
      <w:r>
        <w:t xml:space="preserve"> Division 3</w:t>
      </w:r>
      <w:r w:rsidR="00F961BF">
        <w:t>,</w:t>
      </w:r>
      <w:r>
        <w:t xml:space="preserve"> </w:t>
      </w:r>
      <w:r w:rsidR="00F961BF">
        <w:t>Subdivision C (</w:t>
      </w:r>
      <w:r w:rsidR="00DC1CE8">
        <w:t>h</w:t>
      </w:r>
      <w:r w:rsidR="00F961BF">
        <w:t xml:space="preserve">earings), </w:t>
      </w:r>
      <w:r>
        <w:t xml:space="preserve">of the Bill allows a power to be exercised to the </w:t>
      </w:r>
      <w:r w:rsidR="00DF47A9">
        <w:t>detriment</w:t>
      </w:r>
      <w:r>
        <w:t xml:space="preserve"> of a </w:t>
      </w:r>
      <w:r w:rsidR="002352F1">
        <w:t>s</w:t>
      </w:r>
      <w:r>
        <w:t xml:space="preserve">tate </w:t>
      </w:r>
      <w:r w:rsidR="00DF47A9">
        <w:t xml:space="preserve">being able </w:t>
      </w:r>
      <w:r>
        <w:t>to exercise its constitutional powers</w:t>
      </w:r>
      <w:r w:rsidR="005815C3">
        <w:t xml:space="preserve">. </w:t>
      </w:r>
      <w:r w:rsidR="005815C3" w:rsidRPr="00ED057C">
        <w:rPr>
          <w:rStyle w:val="Referencingstyle"/>
        </w:rPr>
        <w:t>[</w:t>
      </w:r>
      <w:r w:rsidR="00384883" w:rsidRPr="009F7239">
        <w:rPr>
          <w:rStyle w:val="Referencingstyle"/>
        </w:rPr>
        <w:t>Part 3</w:t>
      </w:r>
      <w:r w:rsidR="000603A7">
        <w:rPr>
          <w:rStyle w:val="Referencingstyle"/>
        </w:rPr>
        <w:t>,</w:t>
      </w:r>
      <w:r w:rsidR="00384883" w:rsidRPr="009F7239">
        <w:rPr>
          <w:rStyle w:val="Referencingstyle"/>
        </w:rPr>
        <w:t> Division 3</w:t>
      </w:r>
      <w:r w:rsidR="000603A7">
        <w:rPr>
          <w:rStyle w:val="Referencingstyle"/>
        </w:rPr>
        <w:t>,</w:t>
      </w:r>
      <w:r w:rsidR="00384883" w:rsidRPr="009F7239">
        <w:rPr>
          <w:rStyle w:val="Referencingstyle"/>
        </w:rPr>
        <w:t> Subdivision C</w:t>
      </w:r>
      <w:r w:rsidR="000603A7">
        <w:rPr>
          <w:rStyle w:val="Referencingstyle"/>
        </w:rPr>
        <w:t>,</w:t>
      </w:r>
      <w:r w:rsidR="00384883" w:rsidRPr="009F7239">
        <w:rPr>
          <w:rStyle w:val="Referencingstyle"/>
        </w:rPr>
        <w:t> section</w:t>
      </w:r>
      <w:r w:rsidR="00DF47A9">
        <w:rPr>
          <w:rStyle w:val="Referencingstyle"/>
        </w:rPr>
        <w:t> </w:t>
      </w:r>
      <w:r w:rsidR="00384883" w:rsidRPr="009F7239">
        <w:rPr>
          <w:rStyle w:val="Referencingstyle"/>
        </w:rPr>
        <w:t>54</w:t>
      </w:r>
      <w:r w:rsidR="005815C3" w:rsidRPr="009F7239">
        <w:rPr>
          <w:rStyle w:val="Referencingstyle"/>
        </w:rPr>
        <w:t>]</w:t>
      </w:r>
      <w:r>
        <w:t xml:space="preserve"> </w:t>
      </w:r>
    </w:p>
    <w:p w14:paraId="5F27EFE2" w14:textId="77777777" w:rsidR="009965BB" w:rsidRPr="00840D3F" w:rsidRDefault="009965BB" w:rsidP="00C71EE9">
      <w:pPr>
        <w:pStyle w:val="Heading3"/>
      </w:pPr>
      <w:r>
        <w:t>Report of inquiry</w:t>
      </w:r>
    </w:p>
    <w:p w14:paraId="1A2A9BCD" w14:textId="77777777" w:rsidR="004761A7" w:rsidRDefault="002D02FB" w:rsidP="00200FC3">
      <w:pPr>
        <w:pStyle w:val="base-text-paragraph"/>
      </w:pPr>
      <w:r>
        <w:t>The Ombudsman is required to prepare a written report for the Minister</w:t>
      </w:r>
      <w:r w:rsidR="00214C54">
        <w:t>,</w:t>
      </w:r>
      <w:r>
        <w:t xml:space="preserve"> on a matter referred </w:t>
      </w:r>
      <w:r w:rsidR="00214C54">
        <w:t xml:space="preserve">by the Minister </w:t>
      </w:r>
      <w:r>
        <w:t>to the Ombudsman for inquiry, unless the referral is withdrawn</w:t>
      </w:r>
      <w:r w:rsidR="005815C3">
        <w:t xml:space="preserve">. </w:t>
      </w:r>
      <w:r w:rsidR="005815C3" w:rsidRPr="00ED057C">
        <w:rPr>
          <w:rStyle w:val="Referencingstyle"/>
        </w:rPr>
        <w:t>[</w:t>
      </w:r>
      <w:r w:rsidR="00384883" w:rsidRPr="009F7239">
        <w:rPr>
          <w:rStyle w:val="Referencingstyle"/>
        </w:rPr>
        <w:t>Part 3</w:t>
      </w:r>
      <w:r w:rsidR="000603A7">
        <w:rPr>
          <w:rStyle w:val="Referencingstyle"/>
        </w:rPr>
        <w:t>,</w:t>
      </w:r>
      <w:r w:rsidR="00384883" w:rsidRPr="009F7239">
        <w:rPr>
          <w:rStyle w:val="Referencingstyle"/>
        </w:rPr>
        <w:t> Division 3</w:t>
      </w:r>
      <w:r w:rsidR="000603A7">
        <w:rPr>
          <w:rStyle w:val="Referencingstyle"/>
        </w:rPr>
        <w:t>,</w:t>
      </w:r>
      <w:r w:rsidR="00384883" w:rsidRPr="009F7239">
        <w:rPr>
          <w:rStyle w:val="Referencingstyle"/>
        </w:rPr>
        <w:t> Subdivision D</w:t>
      </w:r>
      <w:r w:rsidR="000603A7">
        <w:rPr>
          <w:rStyle w:val="Referencingstyle"/>
        </w:rPr>
        <w:t>,</w:t>
      </w:r>
      <w:r w:rsidR="00384883" w:rsidRPr="009F7239">
        <w:rPr>
          <w:rStyle w:val="Referencingstyle"/>
        </w:rPr>
        <w:t> section 55</w:t>
      </w:r>
      <w:r w:rsidR="005815C3" w:rsidRPr="009F7239">
        <w:rPr>
          <w:rStyle w:val="Referencingstyle"/>
        </w:rPr>
        <w:t>]</w:t>
      </w:r>
      <w:r w:rsidR="00222082">
        <w:t xml:space="preserve"> </w:t>
      </w:r>
    </w:p>
    <w:p w14:paraId="6FA7D41F" w14:textId="16086A82" w:rsidR="004761A7" w:rsidRDefault="00475A56" w:rsidP="00AD0337">
      <w:pPr>
        <w:pStyle w:val="base-text-paragraph"/>
        <w:keepNext/>
        <w:keepLines/>
      </w:pPr>
      <w:r>
        <w:t>The</w:t>
      </w:r>
      <w:r w:rsidR="00EA05A2">
        <w:t>se</w:t>
      </w:r>
      <w:r w:rsidR="00E36C49">
        <w:t xml:space="preserve"> </w:t>
      </w:r>
      <w:r>
        <w:t xml:space="preserve">reports </w:t>
      </w:r>
      <w:r w:rsidR="00EA05A2">
        <w:t xml:space="preserve">must be </w:t>
      </w:r>
      <w:r>
        <w:t xml:space="preserve">tabled in </w:t>
      </w:r>
      <w:r w:rsidR="001827C6">
        <w:t xml:space="preserve">each House of Parliament </w:t>
      </w:r>
      <w:r w:rsidR="009349BC">
        <w:t>‘</w:t>
      </w:r>
      <w:r w:rsidR="001827C6">
        <w:t xml:space="preserve">within </w:t>
      </w:r>
      <w:r w:rsidR="00EA05A2">
        <w:t>25 sitting days</w:t>
      </w:r>
      <w:r w:rsidR="009349BC">
        <w:t>’</w:t>
      </w:r>
      <w:r w:rsidR="00EA05A2">
        <w:t xml:space="preserve"> (a provision modelled on section 12 of the </w:t>
      </w:r>
      <w:r w:rsidR="00EA05A2" w:rsidRPr="00444722">
        <w:rPr>
          <w:i/>
        </w:rPr>
        <w:t>Productivity Commission Act 1998</w:t>
      </w:r>
      <w:r w:rsidR="00EA05A2">
        <w:t xml:space="preserve">). If a report </w:t>
      </w:r>
      <w:r w:rsidR="009349BC">
        <w:t>‘</w:t>
      </w:r>
      <w:r w:rsidR="00EA05A2">
        <w:t>would be likely to adversely affect the interests of any person</w:t>
      </w:r>
      <w:r w:rsidR="009349BC">
        <w:t>’</w:t>
      </w:r>
      <w:r w:rsidR="003619A6">
        <w:t xml:space="preserve">, the Minister, before tabling the report, must direct the Ombudsman to notify that person and give them a reasonable period (not exceeding 30 days) to respond </w:t>
      </w:r>
      <w:r w:rsidR="003619A6" w:rsidRPr="00ED057C">
        <w:rPr>
          <w:rStyle w:val="Referencingstyle"/>
        </w:rPr>
        <w:t>[</w:t>
      </w:r>
      <w:r w:rsidR="003619A6" w:rsidRPr="00E84792">
        <w:rPr>
          <w:rStyle w:val="Referencingstyle"/>
        </w:rPr>
        <w:t>Part 3</w:t>
      </w:r>
      <w:r w:rsidR="000603A7">
        <w:rPr>
          <w:rStyle w:val="Referencingstyle"/>
        </w:rPr>
        <w:t>,</w:t>
      </w:r>
      <w:r w:rsidR="003619A6" w:rsidRPr="00E84792">
        <w:rPr>
          <w:rStyle w:val="Referencingstyle"/>
        </w:rPr>
        <w:t> Division 3</w:t>
      </w:r>
      <w:r w:rsidR="000603A7">
        <w:rPr>
          <w:rStyle w:val="Referencingstyle"/>
        </w:rPr>
        <w:t>,</w:t>
      </w:r>
      <w:r w:rsidR="003619A6" w:rsidRPr="00E84792">
        <w:rPr>
          <w:rStyle w:val="Referencingstyle"/>
        </w:rPr>
        <w:t> Subdivision D</w:t>
      </w:r>
      <w:r w:rsidR="000603A7">
        <w:rPr>
          <w:rStyle w:val="Referencingstyle"/>
        </w:rPr>
        <w:t>,</w:t>
      </w:r>
      <w:r w:rsidR="003619A6" w:rsidRPr="00E84792">
        <w:rPr>
          <w:rStyle w:val="Referencingstyle"/>
        </w:rPr>
        <w:t> </w:t>
      </w:r>
      <w:r w:rsidR="002352F1">
        <w:rPr>
          <w:rStyle w:val="Referencingstyle"/>
        </w:rPr>
        <w:t>subsection</w:t>
      </w:r>
      <w:r w:rsidR="002352F1" w:rsidRPr="00E84792">
        <w:rPr>
          <w:rStyle w:val="Referencingstyle"/>
        </w:rPr>
        <w:t xml:space="preserve"> </w:t>
      </w:r>
      <w:r w:rsidR="003619A6" w:rsidRPr="00E84792">
        <w:rPr>
          <w:rStyle w:val="Referencingstyle"/>
        </w:rPr>
        <w:t>56(2)]</w:t>
      </w:r>
      <w:r w:rsidR="00BC51B7" w:rsidRPr="00F26DB0">
        <w:rPr>
          <w:rStyle w:val="Referencingstyle"/>
          <w:b w:val="0"/>
          <w:i w:val="0"/>
        </w:rPr>
        <w:t>.</w:t>
      </w:r>
      <w:r w:rsidR="00BC51B7" w:rsidRPr="00BB0BFC">
        <w:rPr>
          <w:rStyle w:val="Referencingstyle"/>
          <w:b w:val="0"/>
          <w:i w:val="0"/>
        </w:rPr>
        <w:t xml:space="preserve"> </w:t>
      </w:r>
      <w:r w:rsidR="00BC51B7" w:rsidRPr="00B7167F">
        <w:t>A direction under subsection </w:t>
      </w:r>
      <w:r w:rsidR="00BC51B7">
        <w:t>56</w:t>
      </w:r>
      <w:r w:rsidR="00BC51B7" w:rsidRPr="00B7167F">
        <w:t>(2)</w:t>
      </w:r>
      <w:r w:rsidR="00BC51B7">
        <w:t>,</w:t>
      </w:r>
      <w:r w:rsidR="00BC51B7" w:rsidRPr="00B7167F">
        <w:t xml:space="preserve"> if made in writing</w:t>
      </w:r>
      <w:r w:rsidR="00BC51B7">
        <w:t>,</w:t>
      </w:r>
      <w:r w:rsidR="00BC51B7" w:rsidRPr="00B7167F">
        <w:t xml:space="preserve"> is not a legislative instrument</w:t>
      </w:r>
      <w:r w:rsidR="00BC51B7">
        <w:t xml:space="preserve"> </w:t>
      </w:r>
      <w:r w:rsidR="00BC51B7" w:rsidRPr="00ED057C">
        <w:rPr>
          <w:rStyle w:val="Referencingstyle"/>
        </w:rPr>
        <w:t>[</w:t>
      </w:r>
      <w:r w:rsidR="00BC51B7" w:rsidRPr="00E84792">
        <w:rPr>
          <w:rStyle w:val="Referencingstyle"/>
        </w:rPr>
        <w:t>Part 3</w:t>
      </w:r>
      <w:r w:rsidR="000603A7">
        <w:rPr>
          <w:rStyle w:val="Referencingstyle"/>
        </w:rPr>
        <w:t>,</w:t>
      </w:r>
      <w:r w:rsidR="00BC51B7" w:rsidRPr="00E84792">
        <w:rPr>
          <w:rStyle w:val="Referencingstyle"/>
        </w:rPr>
        <w:t> Division 3</w:t>
      </w:r>
      <w:r w:rsidR="000603A7">
        <w:rPr>
          <w:rStyle w:val="Referencingstyle"/>
        </w:rPr>
        <w:t>,</w:t>
      </w:r>
      <w:r w:rsidR="00BC51B7" w:rsidRPr="00E84792">
        <w:rPr>
          <w:rStyle w:val="Referencingstyle"/>
        </w:rPr>
        <w:t> Sub</w:t>
      </w:r>
      <w:r w:rsidR="00BC51B7">
        <w:rPr>
          <w:rStyle w:val="Referencingstyle"/>
        </w:rPr>
        <w:t>division</w:t>
      </w:r>
      <w:r w:rsidR="00BC51B7" w:rsidRPr="00E84792">
        <w:rPr>
          <w:rStyle w:val="Referencingstyle"/>
        </w:rPr>
        <w:t> D</w:t>
      </w:r>
      <w:r w:rsidR="000603A7">
        <w:rPr>
          <w:rStyle w:val="Referencingstyle"/>
        </w:rPr>
        <w:t>,</w:t>
      </w:r>
      <w:r w:rsidR="00BC51B7" w:rsidRPr="00E84792">
        <w:rPr>
          <w:rStyle w:val="Referencingstyle"/>
        </w:rPr>
        <w:t> subsection 56(5)]</w:t>
      </w:r>
      <w:r w:rsidR="007C3936">
        <w:t>.</w:t>
      </w:r>
    </w:p>
    <w:p w14:paraId="1481A280" w14:textId="57FC5EDE" w:rsidR="004761A7" w:rsidRDefault="00427FCC" w:rsidP="00200FC3">
      <w:pPr>
        <w:pStyle w:val="base-text-paragraph"/>
      </w:pPr>
      <w:r>
        <w:t>Before the Minister may delete any information or opinion from the report</w:t>
      </w:r>
      <w:r w:rsidR="006337DC">
        <w:t>,</w:t>
      </w:r>
      <w:r>
        <w:t xml:space="preserve"> if the information or opinion would be likely to adversely affect the interests of any person</w:t>
      </w:r>
      <w:r w:rsidR="006337DC">
        <w:t>,</w:t>
      </w:r>
      <w:r>
        <w:t xml:space="preserve"> and the Minister reasonably believes that it is in the public interest to delete the</w:t>
      </w:r>
      <w:r w:rsidR="000603A7">
        <w:t> </w:t>
      </w:r>
      <w:r>
        <w:t>information or opinion</w:t>
      </w:r>
      <w:r w:rsidR="005815C3">
        <w:t xml:space="preserve"> </w:t>
      </w:r>
      <w:r w:rsidR="005815C3" w:rsidRPr="00ED057C">
        <w:rPr>
          <w:rStyle w:val="Referencingstyle"/>
        </w:rPr>
        <w:t>[</w:t>
      </w:r>
      <w:r w:rsidR="00884E7C" w:rsidRPr="00E84792">
        <w:rPr>
          <w:rStyle w:val="Referencingstyle"/>
        </w:rPr>
        <w:t>Part 3</w:t>
      </w:r>
      <w:r w:rsidR="000603A7">
        <w:rPr>
          <w:rStyle w:val="Referencingstyle"/>
        </w:rPr>
        <w:t>,</w:t>
      </w:r>
      <w:r w:rsidR="002B2671">
        <w:rPr>
          <w:rStyle w:val="Referencingstyle"/>
        </w:rPr>
        <w:t xml:space="preserve"> </w:t>
      </w:r>
      <w:r w:rsidR="00884E7C" w:rsidRPr="00E84792">
        <w:rPr>
          <w:rStyle w:val="Referencingstyle"/>
        </w:rPr>
        <w:t>Divisio</w:t>
      </w:r>
      <w:r w:rsidR="002B2671">
        <w:rPr>
          <w:rStyle w:val="Referencingstyle"/>
        </w:rPr>
        <w:t xml:space="preserve">n </w:t>
      </w:r>
      <w:r w:rsidR="00884E7C" w:rsidRPr="00E84792">
        <w:rPr>
          <w:rStyle w:val="Referencingstyle"/>
        </w:rPr>
        <w:t>3</w:t>
      </w:r>
      <w:r w:rsidR="000603A7">
        <w:rPr>
          <w:rStyle w:val="Referencingstyle"/>
        </w:rPr>
        <w:t>,</w:t>
      </w:r>
      <w:r w:rsidR="002B2671">
        <w:rPr>
          <w:rStyle w:val="Referencingstyle"/>
        </w:rPr>
        <w:t xml:space="preserve"> Subdivision </w:t>
      </w:r>
      <w:r w:rsidR="00884E7C" w:rsidRPr="00E84792">
        <w:rPr>
          <w:rStyle w:val="Referencingstyle"/>
        </w:rPr>
        <w:t>D</w:t>
      </w:r>
      <w:r w:rsidR="000603A7">
        <w:rPr>
          <w:rStyle w:val="Referencingstyle"/>
        </w:rPr>
        <w:t>,</w:t>
      </w:r>
      <w:r w:rsidR="002B2671">
        <w:rPr>
          <w:rStyle w:val="Referencingstyle"/>
        </w:rPr>
        <w:t xml:space="preserve"> </w:t>
      </w:r>
      <w:r w:rsidR="002352F1">
        <w:rPr>
          <w:rStyle w:val="Referencingstyle"/>
        </w:rPr>
        <w:t xml:space="preserve">subsection </w:t>
      </w:r>
      <w:r w:rsidRPr="00E84792">
        <w:rPr>
          <w:rStyle w:val="Referencingstyle"/>
        </w:rPr>
        <w:t>56(3)</w:t>
      </w:r>
      <w:r w:rsidR="005815C3" w:rsidRPr="00E84792">
        <w:rPr>
          <w:rStyle w:val="Referencingstyle"/>
        </w:rPr>
        <w:t>]</w:t>
      </w:r>
      <w:r w:rsidR="001C658B">
        <w:t xml:space="preserve">. </w:t>
      </w:r>
      <w:r w:rsidR="006337DC">
        <w:t>The Minister</w:t>
      </w:r>
      <w:r w:rsidR="009349BC">
        <w:t>’</w:t>
      </w:r>
      <w:r w:rsidR="006337DC">
        <w:t>s decision to delete the information or opinion must take into account any representations made by the person</w:t>
      </w:r>
      <w:r w:rsidR="006337DC">
        <w:rPr>
          <w:rStyle w:val="Referencingstyle"/>
        </w:rPr>
        <w:t xml:space="preserve"> [Part 3</w:t>
      </w:r>
      <w:r w:rsidR="002B2671">
        <w:rPr>
          <w:rStyle w:val="Referencingstyle"/>
        </w:rPr>
        <w:t>,</w:t>
      </w:r>
      <w:r w:rsidR="006337DC">
        <w:rPr>
          <w:rStyle w:val="Referencingstyle"/>
        </w:rPr>
        <w:t> Division 3</w:t>
      </w:r>
      <w:r w:rsidR="002B2671">
        <w:rPr>
          <w:rStyle w:val="Referencingstyle"/>
        </w:rPr>
        <w:t>,</w:t>
      </w:r>
      <w:r w:rsidR="006337DC">
        <w:rPr>
          <w:rStyle w:val="Referencingstyle"/>
        </w:rPr>
        <w:t> Subdivision D </w:t>
      </w:r>
      <w:r w:rsidR="002B2671">
        <w:rPr>
          <w:rStyle w:val="Referencingstyle"/>
        </w:rPr>
        <w:t>,</w:t>
      </w:r>
      <w:r w:rsidR="006337DC" w:rsidRPr="00E92BD7">
        <w:rPr>
          <w:rStyle w:val="Referencingstyle"/>
        </w:rPr>
        <w:t>subsection 56(4)</w:t>
      </w:r>
      <w:r w:rsidR="006337DC">
        <w:rPr>
          <w:rStyle w:val="Referencingstyle"/>
        </w:rPr>
        <w:t>]</w:t>
      </w:r>
      <w:r w:rsidR="00BC51B7">
        <w:t xml:space="preserve">. </w:t>
      </w:r>
      <w:r w:rsidR="006337DC">
        <w:t xml:space="preserve">Decisions taken under subparagraph 56(3)(a)(ii) are subject to appeal to the Administrative Appeals Tribunal under section 92 of the Bill. </w:t>
      </w:r>
      <w:r>
        <w:t xml:space="preserve">The Minister must </w:t>
      </w:r>
      <w:r w:rsidR="002352F1">
        <w:t xml:space="preserve">also </w:t>
      </w:r>
      <w:r>
        <w:t>delete any confidential information</w:t>
      </w:r>
      <w:r w:rsidR="00551F92">
        <w:t xml:space="preserve"> from the report</w:t>
      </w:r>
      <w:r w:rsidR="005815C3">
        <w:t xml:space="preserve"> </w:t>
      </w:r>
      <w:r w:rsidR="005815C3" w:rsidRPr="00ED057C">
        <w:rPr>
          <w:rStyle w:val="Referencingstyle"/>
        </w:rPr>
        <w:t>[</w:t>
      </w:r>
      <w:r w:rsidR="00884E7C" w:rsidRPr="00E84792">
        <w:rPr>
          <w:rStyle w:val="Referencingstyle"/>
        </w:rPr>
        <w:t>Part 3</w:t>
      </w:r>
      <w:r w:rsidR="002B2671">
        <w:rPr>
          <w:rStyle w:val="Referencingstyle"/>
        </w:rPr>
        <w:t>,</w:t>
      </w:r>
      <w:r w:rsidR="00884E7C" w:rsidRPr="00E84792">
        <w:rPr>
          <w:rStyle w:val="Referencingstyle"/>
        </w:rPr>
        <w:t> Division 3</w:t>
      </w:r>
      <w:r w:rsidR="002B2671">
        <w:rPr>
          <w:rStyle w:val="Referencingstyle"/>
        </w:rPr>
        <w:t>,</w:t>
      </w:r>
      <w:r w:rsidR="00884E7C" w:rsidRPr="00E84792">
        <w:rPr>
          <w:rStyle w:val="Referencingstyle"/>
        </w:rPr>
        <w:t> Subdivision D</w:t>
      </w:r>
      <w:r w:rsidR="002B2671">
        <w:rPr>
          <w:rStyle w:val="Referencingstyle"/>
        </w:rPr>
        <w:t>,</w:t>
      </w:r>
      <w:r w:rsidR="00884E7C" w:rsidRPr="00E84792">
        <w:rPr>
          <w:rStyle w:val="Referencingstyle"/>
        </w:rPr>
        <w:t> </w:t>
      </w:r>
      <w:r w:rsidR="002352F1">
        <w:rPr>
          <w:rStyle w:val="Referencingstyle"/>
        </w:rPr>
        <w:t>subsection</w:t>
      </w:r>
      <w:r w:rsidR="002352F1" w:rsidRPr="00E84792">
        <w:rPr>
          <w:rStyle w:val="Referencingstyle"/>
        </w:rPr>
        <w:t xml:space="preserve"> </w:t>
      </w:r>
      <w:r w:rsidRPr="00E84792">
        <w:rPr>
          <w:rStyle w:val="Referencingstyle"/>
        </w:rPr>
        <w:t>56(3</w:t>
      </w:r>
      <w:r w:rsidR="00675DE4" w:rsidRPr="00E84792">
        <w:rPr>
          <w:rStyle w:val="Referencingstyle"/>
        </w:rPr>
        <w:t>)</w:t>
      </w:r>
      <w:r w:rsidR="005815C3" w:rsidRPr="00E84792">
        <w:rPr>
          <w:rStyle w:val="Referencingstyle"/>
        </w:rPr>
        <w:t>]</w:t>
      </w:r>
      <w:r w:rsidR="007C3936">
        <w:t>.</w:t>
      </w:r>
    </w:p>
    <w:p w14:paraId="4C43B7EE" w14:textId="77777777" w:rsidR="004A332E" w:rsidRPr="00954C6D" w:rsidRDefault="00297C8A" w:rsidP="00954C6D">
      <w:pPr>
        <w:pStyle w:val="Heading2"/>
      </w:pPr>
      <w:r w:rsidRPr="00954C6D">
        <w:t>Providing advice to the Minister</w:t>
      </w:r>
    </w:p>
    <w:p w14:paraId="5CF3FE79" w14:textId="5F279B51" w:rsidR="004A332E" w:rsidRDefault="00297C8A" w:rsidP="00200FC3">
      <w:pPr>
        <w:pStyle w:val="base-text-paragraph"/>
      </w:pPr>
      <w:r>
        <w:t xml:space="preserve">Part 3 Division 4 </w:t>
      </w:r>
      <w:r w:rsidR="00A61B73">
        <w:t xml:space="preserve">allows the Minister to refer </w:t>
      </w:r>
      <w:r w:rsidR="00F961BF">
        <w:t xml:space="preserve">certain </w:t>
      </w:r>
      <w:r w:rsidR="00A61B73">
        <w:t>matter</w:t>
      </w:r>
      <w:r w:rsidR="00F961BF">
        <w:t>s</w:t>
      </w:r>
      <w:r w:rsidR="00A61B73">
        <w:t xml:space="preserve"> to the Ombudsman for advice</w:t>
      </w:r>
      <w:r w:rsidR="00F961BF">
        <w:t>.</w:t>
      </w:r>
      <w:r w:rsidR="005815C3">
        <w:t xml:space="preserve"> </w:t>
      </w:r>
      <w:r w:rsidR="00F961BF">
        <w:t>The Minister</w:t>
      </w:r>
      <w:r w:rsidR="009349BC">
        <w:t>’</w:t>
      </w:r>
      <w:r w:rsidR="00F961BF">
        <w:t xml:space="preserve">s referral may specify that the advice is to be in writing, the time period the advice is to be provided within, and any matter the Ombudsman is to have regard to </w:t>
      </w:r>
      <w:r w:rsidR="001D473D">
        <w:t xml:space="preserve">when </w:t>
      </w:r>
      <w:r w:rsidR="00F961BF">
        <w:t xml:space="preserve">preparing the advice. The Ombudsman must comply with such requirements. </w:t>
      </w:r>
      <w:r w:rsidR="005815C3" w:rsidRPr="007C3936">
        <w:rPr>
          <w:rStyle w:val="Referencingstyle"/>
        </w:rPr>
        <w:t>[</w:t>
      </w:r>
      <w:r w:rsidR="00874D9D">
        <w:rPr>
          <w:rStyle w:val="Referencingstyle"/>
        </w:rPr>
        <w:t>Part 3</w:t>
      </w:r>
      <w:r w:rsidR="002B2671">
        <w:rPr>
          <w:rStyle w:val="Referencingstyle"/>
        </w:rPr>
        <w:t>,</w:t>
      </w:r>
      <w:r w:rsidR="00874D9D">
        <w:rPr>
          <w:rStyle w:val="Referencingstyle"/>
        </w:rPr>
        <w:t xml:space="preserve"> Division 4</w:t>
      </w:r>
      <w:r w:rsidR="002B2671">
        <w:rPr>
          <w:rStyle w:val="Referencingstyle"/>
        </w:rPr>
        <w:t>,</w:t>
      </w:r>
      <w:r w:rsidR="00874D9D">
        <w:rPr>
          <w:rStyle w:val="Referencingstyle"/>
        </w:rPr>
        <w:t xml:space="preserve"> </w:t>
      </w:r>
      <w:r w:rsidR="003D37A4" w:rsidRPr="00E92BD7">
        <w:rPr>
          <w:rStyle w:val="Referencingstyle"/>
        </w:rPr>
        <w:t>section 57</w:t>
      </w:r>
      <w:r w:rsidR="005815C3">
        <w:rPr>
          <w:rStyle w:val="Referencingstyle"/>
        </w:rPr>
        <w:t>]</w:t>
      </w:r>
    </w:p>
    <w:p w14:paraId="17766012" w14:textId="68232825" w:rsidR="004761A7" w:rsidRDefault="00893CBE" w:rsidP="00200FC3">
      <w:pPr>
        <w:pStyle w:val="base-text-paragraph"/>
      </w:pPr>
      <w:r>
        <w:t xml:space="preserve">The Minister </w:t>
      </w:r>
      <w:r w:rsidR="00F961BF">
        <w:t xml:space="preserve">may </w:t>
      </w:r>
      <w:r>
        <w:t>publish the advice given by the Ombudsman</w:t>
      </w:r>
      <w:r w:rsidR="001D473D">
        <w:t>,</w:t>
      </w:r>
      <w:r>
        <w:t xml:space="preserve"> in any way </w:t>
      </w:r>
      <w:r w:rsidR="00270008">
        <w:t>considered appropriate</w:t>
      </w:r>
      <w:r w:rsidR="005815C3">
        <w:t xml:space="preserve">. </w:t>
      </w:r>
      <w:r w:rsidR="001D473D">
        <w:t xml:space="preserve">If such publication would adversely affect the interests of any person, the Minister must issue a directive to the Ombudsman to notify that person, and give that person a reasonable period of up to 30 days to make representations about the release of the information. Such a directive is not a legislative instrument. The Bill will give the Minister the power to </w:t>
      </w:r>
      <w:r w:rsidR="009349BC">
        <w:t>‘</w:t>
      </w:r>
      <w:r w:rsidR="001D473D">
        <w:t>delete any information or recommendation</w:t>
      </w:r>
      <w:r w:rsidR="009349BC">
        <w:t>’</w:t>
      </w:r>
      <w:r w:rsidR="001D473D">
        <w:t xml:space="preserve"> from a report before it is published, if the information is likely to adversely affect the interests of any person, and the Minister believes it is </w:t>
      </w:r>
      <w:r w:rsidR="009349BC">
        <w:t>‘</w:t>
      </w:r>
      <w:r w:rsidR="001D473D">
        <w:t>in the public interest</w:t>
      </w:r>
      <w:r w:rsidR="009349BC">
        <w:t>’</w:t>
      </w:r>
      <w:r w:rsidR="001D473D">
        <w:t xml:space="preserve"> to delete the information or recommendation. The Minister must also delete any confidential information prior to publication. Decisions taken by the Minister </w:t>
      </w:r>
      <w:r w:rsidR="009349BC">
        <w:t>‘</w:t>
      </w:r>
      <w:r w:rsidR="001D473D">
        <w:t>in the public interest</w:t>
      </w:r>
      <w:r w:rsidR="009349BC">
        <w:t>’</w:t>
      </w:r>
      <w:r w:rsidR="001D473D">
        <w:t xml:space="preserve"> are subject to review by the Administrative Appeals Tribunal under section 92</w:t>
      </w:r>
      <w:r w:rsidR="00437C89">
        <w:t xml:space="preserve"> of the Bill</w:t>
      </w:r>
      <w:r w:rsidR="001D473D">
        <w:t>.</w:t>
      </w:r>
      <w:r w:rsidR="001D473D" w:rsidRPr="00ED057C">
        <w:rPr>
          <w:rStyle w:val="Referencingstyle"/>
        </w:rPr>
        <w:t xml:space="preserve"> </w:t>
      </w:r>
      <w:r w:rsidR="005815C3" w:rsidRPr="00ED057C">
        <w:rPr>
          <w:rStyle w:val="Referencingstyle"/>
        </w:rPr>
        <w:t>[</w:t>
      </w:r>
      <w:r w:rsidR="003C221F" w:rsidRPr="00E84792">
        <w:rPr>
          <w:rStyle w:val="Referencingstyle"/>
        </w:rPr>
        <w:t>Part 3</w:t>
      </w:r>
      <w:r w:rsidR="002B2671">
        <w:rPr>
          <w:rStyle w:val="Referencingstyle"/>
        </w:rPr>
        <w:t>,</w:t>
      </w:r>
      <w:r w:rsidR="003C221F" w:rsidRPr="00E84792">
        <w:rPr>
          <w:rStyle w:val="Referencingstyle"/>
        </w:rPr>
        <w:t> Division 4</w:t>
      </w:r>
      <w:r w:rsidR="002B2671">
        <w:rPr>
          <w:rStyle w:val="Referencingstyle"/>
        </w:rPr>
        <w:t>,</w:t>
      </w:r>
      <w:r w:rsidR="003C221F" w:rsidRPr="00E84792">
        <w:rPr>
          <w:rStyle w:val="Referencingstyle"/>
        </w:rPr>
        <w:t> </w:t>
      </w:r>
      <w:r w:rsidRPr="00E84792">
        <w:rPr>
          <w:rStyle w:val="Referencingstyle"/>
        </w:rPr>
        <w:t>section 58</w:t>
      </w:r>
      <w:r w:rsidR="005815C3" w:rsidRPr="00E84792">
        <w:rPr>
          <w:rStyle w:val="Referencingstyle"/>
        </w:rPr>
        <w:t>]</w:t>
      </w:r>
      <w:r>
        <w:t xml:space="preserve"> </w:t>
      </w:r>
    </w:p>
    <w:p w14:paraId="33504C89" w14:textId="77777777" w:rsidR="00094FF3" w:rsidRPr="00954C6D" w:rsidRDefault="00094FF3" w:rsidP="00094FF3">
      <w:pPr>
        <w:pStyle w:val="Heading2"/>
      </w:pPr>
      <w:r>
        <w:t>National strategies</w:t>
      </w:r>
    </w:p>
    <w:p w14:paraId="2A94EDE0" w14:textId="29F24D2E" w:rsidR="004761A7" w:rsidRDefault="00094FF3" w:rsidP="00200FC3">
      <w:pPr>
        <w:pStyle w:val="base-text-paragraph"/>
      </w:pPr>
      <w:r>
        <w:t>T</w:t>
      </w:r>
      <w:r w:rsidR="002F3BAE">
        <w:t xml:space="preserve">he Ombudsman </w:t>
      </w:r>
      <w:r>
        <w:t>must work co</w:t>
      </w:r>
      <w:r w:rsidR="009349BC">
        <w:noBreakHyphen/>
      </w:r>
      <w:r>
        <w:t>operatively, as far as is possible, with appropriate agencies</w:t>
      </w:r>
      <w:r w:rsidR="002F3BAE">
        <w:t xml:space="preserve"> to develop national strategies in relation to legislation, policies and practices that affect</w:t>
      </w:r>
      <w:r w:rsidR="00C5702C">
        <w:t>,</w:t>
      </w:r>
      <w:r w:rsidR="002F3BAE">
        <w:t xml:space="preserve"> or </w:t>
      </w:r>
      <w:r w:rsidR="00C5702C">
        <w:t xml:space="preserve">may </w:t>
      </w:r>
      <w:r w:rsidR="002F3BAE">
        <w:t>affect</w:t>
      </w:r>
      <w:r w:rsidR="00C5702C">
        <w:t>,</w:t>
      </w:r>
      <w:r w:rsidR="002F3BAE">
        <w:t xml:space="preserve"> small businesses</w:t>
      </w:r>
      <w:r>
        <w:t xml:space="preserve"> or family enterprises</w:t>
      </w:r>
      <w:r w:rsidR="003B53C7">
        <w:t xml:space="preserve">. </w:t>
      </w:r>
      <w:r w:rsidR="005815C3" w:rsidRPr="00ED057C">
        <w:rPr>
          <w:rStyle w:val="Referencingstyle"/>
        </w:rPr>
        <w:t>[</w:t>
      </w:r>
      <w:r w:rsidR="0074499C" w:rsidRPr="00E84792">
        <w:rPr>
          <w:rStyle w:val="Referencingstyle"/>
        </w:rPr>
        <w:t>Part 3</w:t>
      </w:r>
      <w:r w:rsidR="002B2671">
        <w:rPr>
          <w:rStyle w:val="Referencingstyle"/>
        </w:rPr>
        <w:t>,</w:t>
      </w:r>
      <w:r w:rsidR="0074499C" w:rsidRPr="00E84792">
        <w:rPr>
          <w:rStyle w:val="Referencingstyle"/>
        </w:rPr>
        <w:t> Division 5</w:t>
      </w:r>
      <w:r w:rsidR="002B2671">
        <w:rPr>
          <w:rStyle w:val="Referencingstyle"/>
        </w:rPr>
        <w:t>,</w:t>
      </w:r>
      <w:r w:rsidR="0074499C" w:rsidRPr="00E84792">
        <w:rPr>
          <w:rStyle w:val="Referencingstyle"/>
        </w:rPr>
        <w:t> </w:t>
      </w:r>
      <w:r w:rsidR="000E6C52" w:rsidRPr="00E84792">
        <w:rPr>
          <w:rStyle w:val="Referencingstyle"/>
        </w:rPr>
        <w:t>section</w:t>
      </w:r>
      <w:r w:rsidR="005C239E">
        <w:rPr>
          <w:rStyle w:val="Referencingstyle"/>
        </w:rPr>
        <w:t> </w:t>
      </w:r>
      <w:r w:rsidR="000E6C52" w:rsidRPr="00E84792">
        <w:rPr>
          <w:rStyle w:val="Referencingstyle"/>
        </w:rPr>
        <w:t>59</w:t>
      </w:r>
      <w:r w:rsidR="005815C3" w:rsidRPr="00E84792">
        <w:rPr>
          <w:rStyle w:val="Referencingstyle"/>
        </w:rPr>
        <w:t>]</w:t>
      </w:r>
      <w:r w:rsidR="000E6C52">
        <w:t xml:space="preserve"> </w:t>
      </w:r>
    </w:p>
    <w:p w14:paraId="2E767681" w14:textId="77777777" w:rsidR="004761A7" w:rsidRDefault="00B46F7E" w:rsidP="00200FC3">
      <w:pPr>
        <w:pStyle w:val="base-text-paragraph"/>
      </w:pPr>
      <w:r>
        <w:t xml:space="preserve">In developing these strategies, the Ombudsman </w:t>
      </w:r>
      <w:r w:rsidR="00094FF3">
        <w:t>may</w:t>
      </w:r>
      <w:r>
        <w:t xml:space="preserve"> provide secretariat or research services to joint Commonwealth, </w:t>
      </w:r>
      <w:r w:rsidR="00094FF3">
        <w:t>s</w:t>
      </w:r>
      <w:r>
        <w:t xml:space="preserve">tate and </w:t>
      </w:r>
      <w:r w:rsidR="00094FF3">
        <w:t>t</w:t>
      </w:r>
      <w:r>
        <w:t>erritory bodies formed for the purpose of developing the national strategies</w:t>
      </w:r>
      <w:r w:rsidR="005815C3">
        <w:t xml:space="preserve">. </w:t>
      </w:r>
      <w:r w:rsidR="005815C3" w:rsidRPr="00ED057C">
        <w:rPr>
          <w:rStyle w:val="Referencingstyle"/>
        </w:rPr>
        <w:t>[</w:t>
      </w:r>
      <w:r w:rsidR="0074499C" w:rsidRPr="00E84792">
        <w:rPr>
          <w:rStyle w:val="Referencingstyle"/>
        </w:rPr>
        <w:t>Part 3</w:t>
      </w:r>
      <w:r w:rsidR="002B2671">
        <w:rPr>
          <w:rStyle w:val="Referencingstyle"/>
        </w:rPr>
        <w:t>,</w:t>
      </w:r>
      <w:r w:rsidR="0074499C" w:rsidRPr="00E84792">
        <w:rPr>
          <w:rStyle w:val="Referencingstyle"/>
        </w:rPr>
        <w:t> Division 5</w:t>
      </w:r>
      <w:r w:rsidR="002B2671">
        <w:rPr>
          <w:rStyle w:val="Referencingstyle"/>
        </w:rPr>
        <w:t>,</w:t>
      </w:r>
      <w:r w:rsidR="0074499C" w:rsidRPr="00E84792">
        <w:rPr>
          <w:rStyle w:val="Referencingstyle"/>
        </w:rPr>
        <w:t> </w:t>
      </w:r>
      <w:r w:rsidRPr="00E84792">
        <w:rPr>
          <w:rStyle w:val="Referencingstyle"/>
        </w:rPr>
        <w:t>section 60</w:t>
      </w:r>
      <w:r w:rsidR="005815C3" w:rsidRPr="00E84792">
        <w:rPr>
          <w:rStyle w:val="Referencingstyle"/>
        </w:rPr>
        <w:t>]</w:t>
      </w:r>
      <w:r>
        <w:t xml:space="preserve"> </w:t>
      </w:r>
    </w:p>
    <w:p w14:paraId="11ACFB52" w14:textId="77777777" w:rsidR="003C5A8F" w:rsidRPr="00954C6D" w:rsidRDefault="003C5A8F" w:rsidP="00954C6D">
      <w:pPr>
        <w:pStyle w:val="Heading2"/>
      </w:pPr>
      <w:r w:rsidRPr="00954C6D">
        <w:t>Other advocacy functions</w:t>
      </w:r>
    </w:p>
    <w:p w14:paraId="34324511" w14:textId="77777777" w:rsidR="004D3C94" w:rsidRDefault="004D3C94" w:rsidP="00C71EE9">
      <w:pPr>
        <w:pStyle w:val="Heading3"/>
      </w:pPr>
      <w:r>
        <w:t>Contributing to inquiries into relevant legislation, policies and practices</w:t>
      </w:r>
    </w:p>
    <w:p w14:paraId="07907392" w14:textId="27000F05" w:rsidR="000E6C52" w:rsidRDefault="00105A0E" w:rsidP="00200FC3">
      <w:pPr>
        <w:pStyle w:val="base-text-paragraph"/>
      </w:pPr>
      <w:r>
        <w:t>One of the Ombudsman</w:t>
      </w:r>
      <w:r w:rsidR="009349BC">
        <w:t>’</w:t>
      </w:r>
      <w:r>
        <w:t xml:space="preserve">s functions will be to </w:t>
      </w:r>
      <w:r w:rsidRPr="003C5A8F">
        <w:t>contribut</w:t>
      </w:r>
      <w:r>
        <w:t xml:space="preserve">e to </w:t>
      </w:r>
      <w:r w:rsidRPr="003C5A8F">
        <w:t>inquiries into legislation, policies and practices</w:t>
      </w:r>
      <w:r>
        <w:t>, within the Ombudsman</w:t>
      </w:r>
      <w:r w:rsidR="009349BC">
        <w:t>’</w:t>
      </w:r>
      <w:r>
        <w:t xml:space="preserve">s constitutional reach, which affect </w:t>
      </w:r>
      <w:r w:rsidRPr="002E60E0">
        <w:t>small businesses and family enterprises</w:t>
      </w:r>
      <w:r>
        <w:t xml:space="preserve">. </w:t>
      </w:r>
      <w:r w:rsidR="005815C3" w:rsidRPr="00ED057C">
        <w:rPr>
          <w:rStyle w:val="Referencingstyle"/>
        </w:rPr>
        <w:t>[</w:t>
      </w:r>
      <w:r w:rsidR="00776D04" w:rsidRPr="00E84792">
        <w:rPr>
          <w:rStyle w:val="Referencingstyle"/>
        </w:rPr>
        <w:t>Part 3</w:t>
      </w:r>
      <w:r w:rsidR="002B2671">
        <w:rPr>
          <w:rStyle w:val="Referencingstyle"/>
        </w:rPr>
        <w:t>,</w:t>
      </w:r>
      <w:r w:rsidR="00776D04" w:rsidRPr="00E84792">
        <w:rPr>
          <w:rStyle w:val="Referencingstyle"/>
        </w:rPr>
        <w:t> Division 6</w:t>
      </w:r>
      <w:r w:rsidR="002B2671">
        <w:rPr>
          <w:rStyle w:val="Referencingstyle"/>
        </w:rPr>
        <w:t>,</w:t>
      </w:r>
      <w:r w:rsidR="00776D04" w:rsidRPr="00E84792">
        <w:rPr>
          <w:rStyle w:val="Referencingstyle"/>
        </w:rPr>
        <w:t> </w:t>
      </w:r>
      <w:r w:rsidR="003C5A8F" w:rsidRPr="00E84792">
        <w:rPr>
          <w:rStyle w:val="Referencingstyle"/>
        </w:rPr>
        <w:t>section 61</w:t>
      </w:r>
      <w:r w:rsidR="005815C3" w:rsidRPr="00E84792">
        <w:rPr>
          <w:rStyle w:val="Referencingstyle"/>
        </w:rPr>
        <w:t>]</w:t>
      </w:r>
      <w:r w:rsidR="001C658B">
        <w:t xml:space="preserve"> </w:t>
      </w:r>
    </w:p>
    <w:p w14:paraId="4BAE6C13" w14:textId="77777777" w:rsidR="004D3C94" w:rsidRDefault="004D3C94" w:rsidP="00C71EE9">
      <w:pPr>
        <w:pStyle w:val="Heading3"/>
      </w:pPr>
      <w:r>
        <w:t>Reviewing proposals relating to relevant legislation, policies and practices</w:t>
      </w:r>
    </w:p>
    <w:p w14:paraId="7D74EC0A" w14:textId="4CEBB1B9" w:rsidR="004761A7" w:rsidRDefault="00105A0E" w:rsidP="00200FC3">
      <w:pPr>
        <w:pStyle w:val="base-text-paragraph"/>
      </w:pPr>
      <w:r w:rsidRPr="0087799E">
        <w:t xml:space="preserve">In 2014 the former Australian Small Business Commissioner produced a report entitled: </w:t>
      </w:r>
      <w:r w:rsidRPr="00930E47">
        <w:rPr>
          <w:i/>
        </w:rPr>
        <w:t>ASIO building</w:t>
      </w:r>
      <w:r w:rsidR="009349BC">
        <w:rPr>
          <w:i/>
        </w:rPr>
        <w:t xml:space="preserve"> — </w:t>
      </w:r>
      <w:r w:rsidRPr="00930E47">
        <w:rPr>
          <w:i/>
        </w:rPr>
        <w:t>the costs of poor contracting practices</w:t>
      </w:r>
      <w:r w:rsidRPr="0087799E">
        <w:t xml:space="preserve">. </w:t>
      </w:r>
      <w:r>
        <w:t>The Ombudsman will expand on this work, and on the Ombudsman</w:t>
      </w:r>
      <w:r w:rsidR="009349BC">
        <w:t>’</w:t>
      </w:r>
      <w:r>
        <w:t>s own initiative, or on referral from the Minister, review proposals relating to relevant legislation, policies and practices. Referrals from the Minister may specify, among other things, deadlines for reviews to be undertaken and advice to be provided, and any matters the Ombudsman must consider while carrying out reviews or giving advice. The Ombudsman must comply with the</w:t>
      </w:r>
      <w:r w:rsidR="002A3BA8">
        <w:t>se</w:t>
      </w:r>
      <w:r>
        <w:t xml:space="preserve"> Minister</w:t>
      </w:r>
      <w:r w:rsidR="002A3BA8">
        <w:t>ial</w:t>
      </w:r>
      <w:r>
        <w:t xml:space="preserve"> directions.</w:t>
      </w:r>
      <w:r w:rsidRPr="00ED057C">
        <w:rPr>
          <w:rStyle w:val="Referencingstyle"/>
        </w:rPr>
        <w:t xml:space="preserve"> </w:t>
      </w:r>
      <w:r w:rsidR="005815C3" w:rsidRPr="00ED057C">
        <w:rPr>
          <w:rStyle w:val="Referencingstyle"/>
        </w:rPr>
        <w:t>[</w:t>
      </w:r>
      <w:r w:rsidR="004C7333" w:rsidRPr="00E84792">
        <w:rPr>
          <w:rStyle w:val="Referencingstyle"/>
        </w:rPr>
        <w:t>Part 3</w:t>
      </w:r>
      <w:r w:rsidR="002B2671">
        <w:rPr>
          <w:rStyle w:val="Referencingstyle"/>
        </w:rPr>
        <w:t>,</w:t>
      </w:r>
      <w:r w:rsidR="004C7333" w:rsidRPr="00E84792">
        <w:rPr>
          <w:rStyle w:val="Referencingstyle"/>
        </w:rPr>
        <w:t> Division 6</w:t>
      </w:r>
      <w:r w:rsidR="002B2671">
        <w:rPr>
          <w:rStyle w:val="Referencingstyle"/>
        </w:rPr>
        <w:t>,</w:t>
      </w:r>
      <w:r w:rsidR="004C7333" w:rsidRPr="00E84792">
        <w:rPr>
          <w:rStyle w:val="Referencingstyle"/>
        </w:rPr>
        <w:t> </w:t>
      </w:r>
      <w:r w:rsidR="00F1594C" w:rsidRPr="00E84792">
        <w:rPr>
          <w:rStyle w:val="Referencingstyle"/>
        </w:rPr>
        <w:t>section</w:t>
      </w:r>
      <w:r w:rsidR="002A1695">
        <w:rPr>
          <w:rStyle w:val="Referencingstyle"/>
        </w:rPr>
        <w:t> </w:t>
      </w:r>
      <w:r w:rsidR="00F1594C" w:rsidRPr="00E84792">
        <w:rPr>
          <w:rStyle w:val="Referencingstyle"/>
        </w:rPr>
        <w:t>62</w:t>
      </w:r>
      <w:r w:rsidR="005815C3" w:rsidRPr="00E84792">
        <w:rPr>
          <w:rStyle w:val="Referencingstyle"/>
        </w:rPr>
        <w:t>]</w:t>
      </w:r>
      <w:r w:rsidR="00F1594C">
        <w:t xml:space="preserve"> </w:t>
      </w:r>
    </w:p>
    <w:p w14:paraId="0990455B" w14:textId="77777777" w:rsidR="001C012D" w:rsidRDefault="001C012D" w:rsidP="00C71EE9">
      <w:pPr>
        <w:pStyle w:val="Heading3"/>
      </w:pPr>
      <w:r>
        <w:t>Minister may publish advice given as a result of a review</w:t>
      </w:r>
    </w:p>
    <w:p w14:paraId="7EC161FC" w14:textId="714908A6" w:rsidR="004761A7" w:rsidRDefault="00EF2B02" w:rsidP="00200FC3">
      <w:pPr>
        <w:pStyle w:val="base-text-paragraph"/>
      </w:pPr>
      <w:r>
        <w:t xml:space="preserve">The Minister may publish the advice given by the Ombudsman under section 62, in any way considered appropriate. If such publication would adversely affect the interests of any person, the Minister must issue a directive to the Ombudsman to notify that person, and give that person a reasonable period of up to 30 days to make representations about the release of the information. Such a directive is not a legislative instrument. The Bill will give the Minister the power to </w:t>
      </w:r>
      <w:r w:rsidR="009349BC">
        <w:t>‘</w:t>
      </w:r>
      <w:r>
        <w:t>delete any information or recommendation</w:t>
      </w:r>
      <w:r w:rsidR="009349BC">
        <w:t>’</w:t>
      </w:r>
      <w:r>
        <w:t xml:space="preserve"> from a report before it is published, if the information is likely to adversely affect the interests of any person, and the Minister believes it is </w:t>
      </w:r>
      <w:r w:rsidR="009349BC">
        <w:t>‘</w:t>
      </w:r>
      <w:r>
        <w:t>in the public interest</w:t>
      </w:r>
      <w:r w:rsidR="009349BC">
        <w:t>’</w:t>
      </w:r>
      <w:r>
        <w:t xml:space="preserve"> to delete the information or recommendation. The Minister must also delete any confidential information prior to publication. Decisions taken by the Minister </w:t>
      </w:r>
      <w:r w:rsidR="009349BC">
        <w:t>‘</w:t>
      </w:r>
      <w:r>
        <w:t>in the public interest</w:t>
      </w:r>
      <w:r w:rsidR="009349BC">
        <w:t>’</w:t>
      </w:r>
      <w:r>
        <w:t xml:space="preserve"> are subject to review by the Administrative Appeals Tribunal under section 92</w:t>
      </w:r>
      <w:r w:rsidR="00437C89">
        <w:t xml:space="preserve"> of the Bill</w:t>
      </w:r>
      <w:r>
        <w:t>.</w:t>
      </w:r>
      <w:r w:rsidRPr="00ED057C">
        <w:rPr>
          <w:rStyle w:val="Referencingstyle"/>
        </w:rPr>
        <w:t xml:space="preserve"> </w:t>
      </w:r>
      <w:r w:rsidR="005815C3" w:rsidRPr="00ED057C">
        <w:rPr>
          <w:rStyle w:val="Referencingstyle"/>
        </w:rPr>
        <w:t>[</w:t>
      </w:r>
      <w:r w:rsidR="004C7333" w:rsidRPr="00E84792">
        <w:rPr>
          <w:rStyle w:val="Referencingstyle"/>
        </w:rPr>
        <w:t>Part 3</w:t>
      </w:r>
      <w:r w:rsidR="002B2671">
        <w:rPr>
          <w:rStyle w:val="Referencingstyle"/>
        </w:rPr>
        <w:t>,</w:t>
      </w:r>
      <w:r w:rsidR="004C7333" w:rsidRPr="00E84792">
        <w:rPr>
          <w:rStyle w:val="Referencingstyle"/>
        </w:rPr>
        <w:t> Division 6</w:t>
      </w:r>
      <w:r w:rsidR="002B2671">
        <w:rPr>
          <w:rStyle w:val="Referencingstyle"/>
        </w:rPr>
        <w:t>,</w:t>
      </w:r>
      <w:r w:rsidR="004C7333" w:rsidRPr="00E84792">
        <w:rPr>
          <w:rStyle w:val="Referencingstyle"/>
        </w:rPr>
        <w:t> </w:t>
      </w:r>
      <w:r w:rsidR="007D4361" w:rsidRPr="00E84792">
        <w:rPr>
          <w:rStyle w:val="Referencingstyle"/>
        </w:rPr>
        <w:t>section 63</w:t>
      </w:r>
      <w:r w:rsidR="005815C3" w:rsidRPr="00E84792">
        <w:rPr>
          <w:rStyle w:val="Referencingstyle"/>
        </w:rPr>
        <w:t>]</w:t>
      </w:r>
      <w:r w:rsidR="007D4361">
        <w:t xml:space="preserve"> </w:t>
      </w:r>
    </w:p>
    <w:p w14:paraId="5BD90E03" w14:textId="77777777" w:rsidR="00DA2452" w:rsidRDefault="00DA2452" w:rsidP="00C71EE9">
      <w:pPr>
        <w:pStyle w:val="Heading3"/>
      </w:pPr>
      <w:r>
        <w:t>Promoting best practice</w:t>
      </w:r>
    </w:p>
    <w:p w14:paraId="30FB6088" w14:textId="68CCFE27" w:rsidR="004761A7" w:rsidRDefault="00004C53" w:rsidP="00200FC3">
      <w:pPr>
        <w:pStyle w:val="base-text-paragraph"/>
      </w:pPr>
      <w:r>
        <w:t>T</w:t>
      </w:r>
      <w:r w:rsidR="00476C69">
        <w:t>he Ombudsman may</w:t>
      </w:r>
      <w:r>
        <w:t>, on the Ombudsman</w:t>
      </w:r>
      <w:r w:rsidR="009349BC">
        <w:t>’</w:t>
      </w:r>
      <w:r>
        <w:t xml:space="preserve">s own initiative, </w:t>
      </w:r>
      <w:r w:rsidR="00476C69">
        <w:t xml:space="preserve">take steps to promote best practice in interactions </w:t>
      </w:r>
      <w:r>
        <w:t>between small businesses and family enterprises, and entities within</w:t>
      </w:r>
      <w:r w:rsidR="00761BEF">
        <w:t xml:space="preserve"> the</w:t>
      </w:r>
      <w:r>
        <w:t xml:space="preserve"> remit of the Commonwealth Constitution.</w:t>
      </w:r>
      <w:r w:rsidR="005815C3">
        <w:t xml:space="preserve"> </w:t>
      </w:r>
      <w:r w:rsidR="005815C3" w:rsidRPr="00ED057C">
        <w:rPr>
          <w:rStyle w:val="Referencingstyle"/>
        </w:rPr>
        <w:t>[</w:t>
      </w:r>
      <w:r w:rsidR="00626429" w:rsidRPr="00E84792">
        <w:rPr>
          <w:rStyle w:val="Referencingstyle"/>
        </w:rPr>
        <w:t>Part 3</w:t>
      </w:r>
      <w:r w:rsidR="002B2671">
        <w:rPr>
          <w:rStyle w:val="Referencingstyle"/>
        </w:rPr>
        <w:t>,</w:t>
      </w:r>
      <w:r w:rsidR="00626429" w:rsidRPr="00E84792">
        <w:rPr>
          <w:rStyle w:val="Referencingstyle"/>
        </w:rPr>
        <w:t> Division 6</w:t>
      </w:r>
      <w:r w:rsidR="002B2671">
        <w:rPr>
          <w:rStyle w:val="Referencingstyle"/>
        </w:rPr>
        <w:t>,</w:t>
      </w:r>
      <w:r w:rsidR="00626429" w:rsidRPr="00E84792">
        <w:rPr>
          <w:rStyle w:val="Referencingstyle"/>
        </w:rPr>
        <w:t> </w:t>
      </w:r>
      <w:r w:rsidR="00476C69" w:rsidRPr="00E84792">
        <w:rPr>
          <w:rStyle w:val="Referencingstyle"/>
        </w:rPr>
        <w:t>section 64</w:t>
      </w:r>
      <w:r w:rsidR="005815C3" w:rsidRPr="00E84792">
        <w:rPr>
          <w:rStyle w:val="Referencingstyle"/>
        </w:rPr>
        <w:t>]</w:t>
      </w:r>
    </w:p>
    <w:p w14:paraId="36B31A46" w14:textId="77777777" w:rsidR="009C1756" w:rsidRDefault="009C1756" w:rsidP="004A332E">
      <w:pPr>
        <w:spacing w:before="0" w:after="0"/>
        <w:sectPr w:rsidR="009C1756" w:rsidSect="00821379">
          <w:headerReference w:type="even" r:id="rId47"/>
          <w:headerReference w:type="default" r:id="rId48"/>
          <w:type w:val="oddPage"/>
          <w:pgSz w:w="11906" w:h="16838" w:code="9"/>
          <w:pgMar w:top="2466" w:right="2098" w:bottom="2466" w:left="2098" w:header="1559" w:footer="1899" w:gutter="0"/>
          <w:cols w:space="708"/>
          <w:titlePg/>
          <w:docGrid w:linePitch="360"/>
        </w:sectPr>
      </w:pPr>
    </w:p>
    <w:p w14:paraId="1003B33E" w14:textId="77777777" w:rsidR="009715BB" w:rsidRPr="009715BB" w:rsidRDefault="001009B8" w:rsidP="00E92BD7">
      <w:pPr>
        <w:pStyle w:val="ChapterHeading"/>
      </w:pPr>
      <w:bookmarkStart w:id="33" w:name="_Toc417980512"/>
      <w:bookmarkStart w:id="34" w:name="_Toc417985046"/>
      <w:r w:rsidRPr="006477AB">
        <w:br/>
      </w:r>
      <w:bookmarkStart w:id="35" w:name="_Toc419101549"/>
      <w:bookmarkStart w:id="36" w:name="_Toc419136755"/>
      <w:bookmarkStart w:id="37" w:name="_Toc420587202"/>
      <w:r>
        <w:t>Assist</w:t>
      </w:r>
      <w:r w:rsidR="009C2D18">
        <w:t>ing a small business or family enterprise</w:t>
      </w:r>
      <w:bookmarkEnd w:id="33"/>
      <w:bookmarkEnd w:id="34"/>
      <w:bookmarkEnd w:id="35"/>
      <w:bookmarkEnd w:id="36"/>
      <w:bookmarkEnd w:id="37"/>
    </w:p>
    <w:p w14:paraId="790013C2" w14:textId="77777777" w:rsidR="009C2D18" w:rsidRPr="00AC537C" w:rsidRDefault="009C2D18" w:rsidP="009C2D18">
      <w:pPr>
        <w:pStyle w:val="Heading2"/>
      </w:pPr>
      <w:r w:rsidRPr="00AC537C">
        <w:t xml:space="preserve">Outline of </w:t>
      </w:r>
      <w:r w:rsidR="00FA4E45">
        <w:t xml:space="preserve">chapter </w:t>
      </w:r>
    </w:p>
    <w:p w14:paraId="1302E933" w14:textId="5B35C575" w:rsidR="00BE2568" w:rsidRDefault="00127591" w:rsidP="00200FC3">
      <w:pPr>
        <w:pStyle w:val="base-text-paragraph"/>
      </w:pPr>
      <w:r>
        <w:t xml:space="preserve">This </w:t>
      </w:r>
      <w:r w:rsidR="00FA4E45">
        <w:t xml:space="preserve">chapter </w:t>
      </w:r>
      <w:r w:rsidR="00BE2568">
        <w:t>explains Part 4</w:t>
      </w:r>
      <w:r w:rsidR="00BE2568" w:rsidRPr="00BE2568">
        <w:t xml:space="preserve"> of the Bill which relates to the Ombudsman</w:t>
      </w:r>
      <w:r w:rsidR="009349BC">
        <w:t>’</w:t>
      </w:r>
      <w:r w:rsidR="00BE2568" w:rsidRPr="00BE2568">
        <w:t xml:space="preserve">s </w:t>
      </w:r>
      <w:r w:rsidR="00BE2568">
        <w:t>assistance</w:t>
      </w:r>
      <w:r w:rsidR="00BE2568" w:rsidRPr="00BE2568">
        <w:t xml:space="preserve"> function.</w:t>
      </w:r>
      <w:r w:rsidR="004761A7" w:rsidRPr="004761A7">
        <w:t xml:space="preserve"> </w:t>
      </w:r>
    </w:p>
    <w:p w14:paraId="71B8F668" w14:textId="77777777" w:rsidR="00BE2568" w:rsidRDefault="00BE2568" w:rsidP="00B8091F">
      <w:pPr>
        <w:pStyle w:val="Heading2"/>
      </w:pPr>
      <w:r>
        <w:t>Constitutional connection</w:t>
      </w:r>
    </w:p>
    <w:p w14:paraId="5FD1EC6A" w14:textId="41DCAE34" w:rsidR="00BE2568" w:rsidRDefault="00BE2568" w:rsidP="00200FC3">
      <w:pPr>
        <w:pStyle w:val="base-text-paragraph"/>
      </w:pPr>
      <w:r>
        <w:t>Part 4 Division 1 sets out the connections linking the Ombudsman</w:t>
      </w:r>
      <w:r w:rsidR="009349BC">
        <w:t>’</w:t>
      </w:r>
      <w:r>
        <w:t>s assistance function to the Constitution (see Chapter 2 above</w:t>
      </w:r>
      <w:r w:rsidR="00010B32">
        <w:t>, regarding the constitutional basis for the Bill</w:t>
      </w:r>
      <w:r>
        <w:t xml:space="preserve">). </w:t>
      </w:r>
      <w:r w:rsidRPr="00B8091F">
        <w:rPr>
          <w:rStyle w:val="Referencingstyle"/>
        </w:rPr>
        <w:t>[Part 4</w:t>
      </w:r>
      <w:r w:rsidR="00CB7821">
        <w:rPr>
          <w:rStyle w:val="Referencingstyle"/>
        </w:rPr>
        <w:t>,</w:t>
      </w:r>
      <w:r w:rsidRPr="00B8091F">
        <w:rPr>
          <w:rStyle w:val="Referencingstyle"/>
        </w:rPr>
        <w:t xml:space="preserve"> Division 1</w:t>
      </w:r>
      <w:r w:rsidR="00CB7821">
        <w:rPr>
          <w:rStyle w:val="Referencingstyle"/>
        </w:rPr>
        <w:t>,</w:t>
      </w:r>
      <w:r w:rsidRPr="00B8091F">
        <w:rPr>
          <w:rStyle w:val="Referencingstyle"/>
        </w:rPr>
        <w:t xml:space="preserve"> section 65]</w:t>
      </w:r>
      <w:r w:rsidR="004761A7" w:rsidRPr="004761A7">
        <w:t xml:space="preserve"> </w:t>
      </w:r>
    </w:p>
    <w:p w14:paraId="13678949" w14:textId="77777777" w:rsidR="00A66A78" w:rsidRPr="00700363" w:rsidRDefault="00A66A78" w:rsidP="00700363">
      <w:pPr>
        <w:pStyle w:val="Heading2"/>
      </w:pPr>
      <w:r w:rsidRPr="00700363">
        <w:t xml:space="preserve">Responding to requests for assistance </w:t>
      </w:r>
    </w:p>
    <w:p w14:paraId="060A62C8" w14:textId="728E5E67" w:rsidR="008353A2" w:rsidRDefault="00AA0356" w:rsidP="00200FC3">
      <w:pPr>
        <w:pStyle w:val="base-text-paragraph"/>
      </w:pPr>
      <w:r>
        <w:t xml:space="preserve">Any person may request assistance from the Ombudsman in relation to a </w:t>
      </w:r>
      <w:r w:rsidR="009349BC">
        <w:t>‘</w:t>
      </w:r>
      <w:r>
        <w:t>relevant action</w:t>
      </w:r>
      <w:r w:rsidR="009349BC">
        <w:t>’</w:t>
      </w:r>
      <w:r>
        <w:t xml:space="preserve"> </w:t>
      </w:r>
      <w:r w:rsidR="00BE2568">
        <w:t>(</w:t>
      </w:r>
      <w:r>
        <w:t>defined by section 65</w:t>
      </w:r>
      <w:r w:rsidR="00BE2568">
        <w:t xml:space="preserve"> of the Bill)</w:t>
      </w:r>
      <w:r w:rsidR="007F4CB5">
        <w:t>.</w:t>
      </w:r>
      <w:r w:rsidR="005815C3">
        <w:t xml:space="preserve"> </w:t>
      </w:r>
      <w:r w:rsidR="00010B32">
        <w:t>R</w:t>
      </w:r>
      <w:r w:rsidR="00BE2568">
        <w:t>equest</w:t>
      </w:r>
      <w:r w:rsidR="00010B32">
        <w:t>s</w:t>
      </w:r>
      <w:r w:rsidR="00BE2568">
        <w:t xml:space="preserve"> may be made</w:t>
      </w:r>
      <w:r w:rsidR="005F5DC1" w:rsidRPr="00750965">
        <w:t xml:space="preserve"> orally or in writing</w:t>
      </w:r>
      <w:r w:rsidR="005815C3">
        <w:t xml:space="preserve">. </w:t>
      </w:r>
      <w:r w:rsidR="00FD42AF">
        <w:t xml:space="preserve">If the request is made orally to the Ombudsman, the Ombudsman may reduce the request to writing; or at any time require the person who made the request to reduce the request to </w:t>
      </w:r>
      <w:r w:rsidR="00FD42AF" w:rsidRPr="0049055E">
        <w:t>writing</w:t>
      </w:r>
      <w:r w:rsidR="00FD42AF" w:rsidRPr="00FD42AF">
        <w:t>.</w:t>
      </w:r>
      <w:r w:rsidR="00FD42AF" w:rsidRPr="00F26DB0">
        <w:t xml:space="preserve"> A request for assistance in relation to a relevant action made to the Ombudsman in writing, or reduced to writing, is a </w:t>
      </w:r>
      <w:r w:rsidR="009349BC">
        <w:t>‘</w:t>
      </w:r>
      <w:r w:rsidR="00FD42AF" w:rsidRPr="00F26DB0">
        <w:t>formal request</w:t>
      </w:r>
      <w:r w:rsidR="009349BC">
        <w:t>’</w:t>
      </w:r>
      <w:r w:rsidR="00FD42AF" w:rsidRPr="00F26DB0">
        <w:t>.</w:t>
      </w:r>
      <w:r w:rsidR="00FD42AF">
        <w:rPr>
          <w:rStyle w:val="Referencingstyle"/>
          <w:b w:val="0"/>
        </w:rPr>
        <w:t xml:space="preserve"> </w:t>
      </w:r>
      <w:r w:rsidR="005815C3" w:rsidRPr="00ED057C">
        <w:rPr>
          <w:rStyle w:val="Referencingstyle"/>
        </w:rPr>
        <w:t>[</w:t>
      </w:r>
      <w:r w:rsidR="00373FDA" w:rsidRPr="00E84792">
        <w:rPr>
          <w:rStyle w:val="Referencingstyle"/>
        </w:rPr>
        <w:t>Part 4</w:t>
      </w:r>
      <w:r w:rsidR="00CB7821">
        <w:rPr>
          <w:rStyle w:val="Referencingstyle"/>
        </w:rPr>
        <w:t>,</w:t>
      </w:r>
      <w:r w:rsidR="00373FDA" w:rsidRPr="00E84792">
        <w:rPr>
          <w:rStyle w:val="Referencingstyle"/>
        </w:rPr>
        <w:t> Division 2</w:t>
      </w:r>
      <w:r w:rsidR="00CB7821">
        <w:rPr>
          <w:rStyle w:val="Referencingstyle"/>
        </w:rPr>
        <w:t>,</w:t>
      </w:r>
      <w:r w:rsidR="00373FDA" w:rsidRPr="00E84792">
        <w:rPr>
          <w:rStyle w:val="Referencingstyle"/>
        </w:rPr>
        <w:t> </w:t>
      </w:r>
      <w:r w:rsidR="005F5DC1" w:rsidRPr="00E84792">
        <w:rPr>
          <w:rStyle w:val="Referencingstyle"/>
        </w:rPr>
        <w:t>section 6</w:t>
      </w:r>
      <w:r w:rsidR="0047404A" w:rsidRPr="00E84792">
        <w:rPr>
          <w:rStyle w:val="Referencingstyle"/>
        </w:rPr>
        <w:t>6</w:t>
      </w:r>
      <w:r w:rsidR="005815C3" w:rsidRPr="00E84792">
        <w:rPr>
          <w:rStyle w:val="Referencingstyle"/>
        </w:rPr>
        <w:t>]</w:t>
      </w:r>
      <w:r w:rsidR="004761A7" w:rsidRPr="004761A7">
        <w:t xml:space="preserve"> </w:t>
      </w:r>
    </w:p>
    <w:p w14:paraId="577C3B0B" w14:textId="77777777" w:rsidR="00B12BD1" w:rsidRDefault="00B12BD1" w:rsidP="00200FC3">
      <w:pPr>
        <w:pStyle w:val="base-text-paragraph"/>
      </w:pPr>
      <w:r>
        <w:t>In certain circumstances the Ombudsman will not be authorised to deal with a request for assistance</w:t>
      </w:r>
      <w:r w:rsidR="000A6117">
        <w:t xml:space="preserve">, such as </w:t>
      </w:r>
      <w:r w:rsidR="00D33CCF">
        <w:t xml:space="preserve">when </w:t>
      </w:r>
      <w:r>
        <w:t xml:space="preserve">the request for assistance </w:t>
      </w:r>
      <w:r w:rsidR="004477BC">
        <w:t>r</w:t>
      </w:r>
      <w:r>
        <w:t>elate</w:t>
      </w:r>
      <w:r w:rsidR="004477BC">
        <w:t xml:space="preserve">s </w:t>
      </w:r>
      <w:r>
        <w:t>to an action taken by a Minister of the Commonwealth, a state or a territory</w:t>
      </w:r>
      <w:r w:rsidR="000A6117">
        <w:t>;</w:t>
      </w:r>
      <w:r w:rsidR="004477BC">
        <w:t xml:space="preserve"> or</w:t>
      </w:r>
      <w:r>
        <w:t xml:space="preserve"> an action taken by an agency of a state or a territory</w:t>
      </w:r>
      <w:r w:rsidR="004477BC">
        <w:t>.</w:t>
      </w:r>
      <w:r w:rsidR="000A6117">
        <w:t xml:space="preserve"> Where the Ombudsman does not deal with a request, the Ombudsman must give the person who made the request, a notice in writing setting out the </w:t>
      </w:r>
      <w:r w:rsidR="001820B2">
        <w:t xml:space="preserve">reasons. </w:t>
      </w:r>
      <w:r w:rsidR="000A6117" w:rsidRPr="00ED057C">
        <w:rPr>
          <w:rStyle w:val="Referencingstyle"/>
        </w:rPr>
        <w:t>[</w:t>
      </w:r>
      <w:r w:rsidR="000A6117" w:rsidRPr="00E84792">
        <w:rPr>
          <w:rStyle w:val="Referencingstyle"/>
        </w:rPr>
        <w:t>Part 4</w:t>
      </w:r>
      <w:r w:rsidR="000A6117">
        <w:rPr>
          <w:rStyle w:val="Referencingstyle"/>
        </w:rPr>
        <w:t>,</w:t>
      </w:r>
      <w:r w:rsidR="000A6117" w:rsidRPr="00E84792">
        <w:rPr>
          <w:rStyle w:val="Referencingstyle"/>
        </w:rPr>
        <w:t> Division 2</w:t>
      </w:r>
      <w:r w:rsidR="000A6117">
        <w:rPr>
          <w:rStyle w:val="Referencingstyle"/>
        </w:rPr>
        <w:t>,</w:t>
      </w:r>
      <w:r w:rsidR="000A6117" w:rsidRPr="00E84792">
        <w:rPr>
          <w:rStyle w:val="Referencingstyle"/>
        </w:rPr>
        <w:t> section 6</w:t>
      </w:r>
      <w:r w:rsidR="000A6117">
        <w:rPr>
          <w:rStyle w:val="Referencingstyle"/>
        </w:rPr>
        <w:t>7</w:t>
      </w:r>
      <w:r w:rsidR="000A6117" w:rsidRPr="00E84792">
        <w:rPr>
          <w:rStyle w:val="Referencingstyle"/>
        </w:rPr>
        <w:t>]</w:t>
      </w:r>
    </w:p>
    <w:p w14:paraId="53F1EB2A" w14:textId="77777777" w:rsidR="005A3C3C" w:rsidRDefault="005A3C3C" w:rsidP="00200FC3">
      <w:pPr>
        <w:pStyle w:val="base-text-paragraph"/>
      </w:pPr>
      <w:r>
        <w:t xml:space="preserve">Upon receiving a request for assistance, the Ombudsman: </w:t>
      </w:r>
    </w:p>
    <w:p w14:paraId="02D77FC1" w14:textId="77777777" w:rsidR="005A3C3C" w:rsidRDefault="005A3C3C" w:rsidP="00BD6A73">
      <w:pPr>
        <w:pStyle w:val="dotpoint"/>
      </w:pPr>
      <w:r>
        <w:t>may d</w:t>
      </w:r>
      <w:r w:rsidR="00B12BD1">
        <w:t xml:space="preserve">ecide </w:t>
      </w:r>
      <w:r w:rsidR="00B12BD1" w:rsidRPr="00C71EE9">
        <w:t>not</w:t>
      </w:r>
      <w:r w:rsidR="00B12BD1">
        <w:t xml:space="preserve"> to </w:t>
      </w:r>
      <w:r w:rsidR="00B12BD1" w:rsidRPr="00F83544">
        <w:t>provide</w:t>
      </w:r>
      <w:r w:rsidR="00B12BD1">
        <w:t xml:space="preserve"> assistance</w:t>
      </w:r>
      <w:r>
        <w:t xml:space="preserve"> </w:t>
      </w:r>
      <w:r w:rsidRPr="00F26DB0">
        <w:rPr>
          <w:rStyle w:val="Referencingstyle"/>
        </w:rPr>
        <w:t>[Part 4, Division 2, section</w:t>
      </w:r>
      <w:r w:rsidR="00C71EE9">
        <w:rPr>
          <w:rStyle w:val="Referencingstyle"/>
        </w:rPr>
        <w:t> </w:t>
      </w:r>
      <w:r w:rsidRPr="00F26DB0">
        <w:rPr>
          <w:rStyle w:val="Referencingstyle"/>
        </w:rPr>
        <w:t>68]</w:t>
      </w:r>
      <w:r w:rsidR="00B12BD1">
        <w:t>;</w:t>
      </w:r>
    </w:p>
    <w:p w14:paraId="204CCC42" w14:textId="77777777" w:rsidR="005A3C3C" w:rsidRDefault="005A3C3C" w:rsidP="00BD6A73">
      <w:pPr>
        <w:pStyle w:val="dotpoint"/>
      </w:pPr>
      <w:r>
        <w:t xml:space="preserve">must </w:t>
      </w:r>
      <w:r w:rsidR="00B12BD1">
        <w:t>transfer</w:t>
      </w:r>
      <w:r>
        <w:t xml:space="preserve"> the dispute to the appropriate agency </w:t>
      </w:r>
      <w:r w:rsidRPr="00F26DB0">
        <w:rPr>
          <w:rStyle w:val="Referencingstyle"/>
        </w:rPr>
        <w:t>[Part 4, Division 2, section 69]</w:t>
      </w:r>
      <w:r>
        <w:t xml:space="preserve">; </w:t>
      </w:r>
    </w:p>
    <w:p w14:paraId="3D44BBD9" w14:textId="20BF7A41" w:rsidR="005A3C3C" w:rsidRDefault="00127591" w:rsidP="00BD6A73">
      <w:pPr>
        <w:pStyle w:val="dotpoint"/>
      </w:pPr>
      <w:r w:rsidRPr="00127591">
        <w:t>in certain circumstances</w:t>
      </w:r>
      <w:r>
        <w:t>,</w:t>
      </w:r>
      <w:r w:rsidRPr="00127591">
        <w:t xml:space="preserve"> </w:t>
      </w:r>
      <w:r w:rsidR="005A3C3C">
        <w:t>may work co</w:t>
      </w:r>
      <w:r w:rsidR="009349BC">
        <w:noBreakHyphen/>
      </w:r>
      <w:r w:rsidR="005A3C3C">
        <w:t xml:space="preserve">operatively with another </w:t>
      </w:r>
      <w:r>
        <w:t xml:space="preserve">Commonwealth, state or territory </w:t>
      </w:r>
      <w:r w:rsidR="005A3C3C">
        <w:t xml:space="preserve">agency </w:t>
      </w:r>
      <w:r w:rsidR="005A3C3C" w:rsidRPr="00F26DB0">
        <w:rPr>
          <w:rStyle w:val="Referencingstyle"/>
        </w:rPr>
        <w:t>[Part 4, Division 2, section 70]</w:t>
      </w:r>
      <w:r w:rsidR="00B12BD1" w:rsidRPr="00F26DB0">
        <w:t>; or</w:t>
      </w:r>
    </w:p>
    <w:p w14:paraId="10E74356" w14:textId="77777777" w:rsidR="005A3C3C" w:rsidRDefault="00B12BD1" w:rsidP="00BD6A73">
      <w:pPr>
        <w:pStyle w:val="dotpoint"/>
      </w:pPr>
      <w:r>
        <w:t xml:space="preserve">may </w:t>
      </w:r>
      <w:r w:rsidR="005A3C3C">
        <w:t xml:space="preserve">recommend an </w:t>
      </w:r>
      <w:r w:rsidR="00186764">
        <w:t>alternative dispute resolution (</w:t>
      </w:r>
      <w:r w:rsidR="005A3C3C">
        <w:t>ADR</w:t>
      </w:r>
      <w:r w:rsidR="00186764">
        <w:t>)</w:t>
      </w:r>
      <w:r w:rsidR="005A3C3C">
        <w:t xml:space="preserve"> process</w:t>
      </w:r>
      <w:r>
        <w:t>.</w:t>
      </w:r>
      <w:r w:rsidR="005A3C3C">
        <w:t xml:space="preserve"> </w:t>
      </w:r>
      <w:r w:rsidR="005A3C3C" w:rsidRPr="00F26DB0">
        <w:rPr>
          <w:rStyle w:val="Referencingstyle"/>
        </w:rPr>
        <w:t>[Part 4, Division 3, section 71]</w:t>
      </w:r>
    </w:p>
    <w:p w14:paraId="130EE302" w14:textId="7B8BB808" w:rsidR="00DE4F85" w:rsidRPr="00F26DB0" w:rsidRDefault="00DE4F85" w:rsidP="00200FC3">
      <w:pPr>
        <w:pStyle w:val="base-text-paragraph"/>
        <w:rPr>
          <w:rStyle w:val="Referencingstyle"/>
          <w:b w:val="0"/>
          <w:i w:val="0"/>
          <w:sz w:val="22"/>
        </w:rPr>
      </w:pPr>
      <w:r>
        <w:t xml:space="preserve">The Ombudsman may decide not to provide assistance because, for example, the Ombudsman </w:t>
      </w:r>
      <w:r w:rsidR="009349BC">
        <w:t>‘</w:t>
      </w:r>
      <w:r>
        <w:t>reasonably believes</w:t>
      </w:r>
      <w:r w:rsidR="009349BC">
        <w:t>’</w:t>
      </w:r>
      <w:r>
        <w:t xml:space="preserve"> that the request for assistance is frivolous or vexatious. </w:t>
      </w:r>
      <w:r w:rsidR="006D7849" w:rsidRPr="00BB6056">
        <w:t xml:space="preserve">Requests </w:t>
      </w:r>
      <w:r w:rsidR="006D7849">
        <w:t xml:space="preserve">for assistance </w:t>
      </w:r>
      <w:r w:rsidR="006D7849" w:rsidRPr="00BB6056">
        <w:t xml:space="preserve">can </w:t>
      </w:r>
      <w:r w:rsidR="006D7849">
        <w:t xml:space="preserve">also </w:t>
      </w:r>
      <w:r w:rsidR="006D7849" w:rsidRPr="00BB6056">
        <w:t xml:space="preserve">be declined on the basis of, for example, the request being made more than 12 months after the applicant became aware of the </w:t>
      </w:r>
      <w:r w:rsidR="006D7849">
        <w:t xml:space="preserve">relevant issue, or </w:t>
      </w:r>
      <w:r w:rsidR="006D7849" w:rsidRPr="00BB6056">
        <w:t>if the person does not have a sufficient interest in the issue</w:t>
      </w:r>
      <w:r w:rsidR="006D7849">
        <w:t xml:space="preserve">. </w:t>
      </w:r>
      <w:r>
        <w:t xml:space="preserve">Where the Ombudsman makes such a decision, the Ombudsman must give the person who made the request, a notice in writing setting out the reasons. </w:t>
      </w:r>
      <w:r w:rsidRPr="00893D86">
        <w:rPr>
          <w:rStyle w:val="Referencingstyle"/>
        </w:rPr>
        <w:t>[Part 4, Division 2, section 68]</w:t>
      </w:r>
    </w:p>
    <w:p w14:paraId="3D277002" w14:textId="4E742B0D" w:rsidR="00494937" w:rsidRDefault="00494937" w:rsidP="00200FC3">
      <w:pPr>
        <w:pStyle w:val="base-text-paragraph"/>
      </w:pPr>
      <w:r>
        <w:t>T</w:t>
      </w:r>
      <w:r w:rsidR="00A543C3">
        <w:t xml:space="preserve">he Ombudsman must </w:t>
      </w:r>
      <w:r>
        <w:t>transfer a request</w:t>
      </w:r>
      <w:r w:rsidR="006C0987">
        <w:t xml:space="preserve"> (</w:t>
      </w:r>
      <w:r w:rsidR="005B2800">
        <w:t>or an aspect of a request</w:t>
      </w:r>
      <w:r w:rsidR="006C0987">
        <w:t>)</w:t>
      </w:r>
      <w:r w:rsidR="005B2800">
        <w:t>, for assistance,</w:t>
      </w:r>
      <w:r>
        <w:t xml:space="preserve"> to another agency, Commonwealth, state or territory, where the Ombudsman </w:t>
      </w:r>
      <w:r w:rsidR="009349BC">
        <w:t>‘</w:t>
      </w:r>
      <w:r>
        <w:t>reasonably believes</w:t>
      </w:r>
      <w:r w:rsidR="009349BC">
        <w:t>’</w:t>
      </w:r>
      <w:r>
        <w:t xml:space="preserve"> that the request could have been made to the other agency, and the request could be more </w:t>
      </w:r>
      <w:r w:rsidR="009349BC">
        <w:t>‘</w:t>
      </w:r>
      <w:r>
        <w:t>conveniently or effectively</w:t>
      </w:r>
      <w:r w:rsidR="009349BC">
        <w:t>’</w:t>
      </w:r>
      <w:r>
        <w:t xml:space="preserve"> dealt with by that other agency</w:t>
      </w:r>
      <w:r w:rsidR="006C0987">
        <w:t xml:space="preserve">. The other </w:t>
      </w:r>
      <w:r>
        <w:t xml:space="preserve">agency </w:t>
      </w:r>
      <w:r w:rsidR="006C0987">
        <w:t>must have</w:t>
      </w:r>
      <w:r>
        <w:t xml:space="preserve"> the legal power to deal with the request. The Ombudsman must </w:t>
      </w:r>
      <w:r w:rsidR="00127591">
        <w:t xml:space="preserve">also </w:t>
      </w:r>
      <w:r>
        <w:t>consult with the other agency before transferring the request</w:t>
      </w:r>
      <w:r w:rsidR="006C0987">
        <w:t xml:space="preserve">. </w:t>
      </w:r>
      <w:r w:rsidR="006D7849" w:rsidRPr="006D7849">
        <w:t xml:space="preserve">Examples of such </w:t>
      </w:r>
      <w:r w:rsidR="006D7849">
        <w:t xml:space="preserve">other </w:t>
      </w:r>
      <w:r w:rsidR="006D7849" w:rsidRPr="006D7849">
        <w:t xml:space="preserve">agencies include, but are not limited to, the Commonwealth Ombudsman and </w:t>
      </w:r>
      <w:r w:rsidR="006D7849">
        <w:t xml:space="preserve">the </w:t>
      </w:r>
      <w:r w:rsidR="006D7849" w:rsidRPr="006D7849">
        <w:t xml:space="preserve">state small business commissioners. </w:t>
      </w:r>
      <w:r w:rsidR="006C0987">
        <w:t>W</w:t>
      </w:r>
      <w:r w:rsidR="006C0987" w:rsidRPr="006C0987">
        <w:t xml:space="preserve">hen transferring </w:t>
      </w:r>
      <w:r w:rsidR="006D7849">
        <w:t>a</w:t>
      </w:r>
      <w:r w:rsidR="006C0987" w:rsidRPr="006C0987">
        <w:t xml:space="preserve"> request</w:t>
      </w:r>
      <w:r>
        <w:t xml:space="preserve">, </w:t>
      </w:r>
      <w:r w:rsidR="006C0987">
        <w:t xml:space="preserve">the Ombudsman must give </w:t>
      </w:r>
      <w:r>
        <w:t xml:space="preserve">the other agency relevant information and documents. </w:t>
      </w:r>
      <w:r w:rsidR="00F24162">
        <w:t>T</w:t>
      </w:r>
      <w:r>
        <w:t xml:space="preserve">he Ombudsman must </w:t>
      </w:r>
      <w:r w:rsidR="00F24162">
        <w:t xml:space="preserve">also </w:t>
      </w:r>
      <w:r>
        <w:t xml:space="preserve">give the person who made the request, a notice concerning the transfer. </w:t>
      </w:r>
      <w:r>
        <w:rPr>
          <w:rStyle w:val="Referencingstyle"/>
        </w:rPr>
        <w:t>[Part 4, Division 2, section 69</w:t>
      </w:r>
      <w:r w:rsidRPr="00893D86">
        <w:rPr>
          <w:rStyle w:val="Referencingstyle"/>
        </w:rPr>
        <w:t>]</w:t>
      </w:r>
    </w:p>
    <w:p w14:paraId="2D00E3FB" w14:textId="36A1A981" w:rsidR="004761A7" w:rsidRDefault="00494937" w:rsidP="00200FC3">
      <w:pPr>
        <w:pStyle w:val="base-text-paragraph"/>
      </w:pPr>
      <w:r>
        <w:t xml:space="preserve"> The Ombudsman </w:t>
      </w:r>
      <w:r w:rsidR="00127591">
        <w:t>may</w:t>
      </w:r>
      <w:r>
        <w:t xml:space="preserve"> work </w:t>
      </w:r>
      <w:r w:rsidR="00F24162">
        <w:t>co</w:t>
      </w:r>
      <w:r w:rsidR="009349BC">
        <w:noBreakHyphen/>
      </w:r>
      <w:r w:rsidR="00F24162">
        <w:t>operatively</w:t>
      </w:r>
      <w:r>
        <w:t xml:space="preserve"> with other agencies, Commonwealth, state, or territory</w:t>
      </w:r>
      <w:r w:rsidR="005B2800">
        <w:t xml:space="preserve"> to provide assistance to small businesses and family enterprises</w:t>
      </w:r>
      <w:r>
        <w:t xml:space="preserve">. </w:t>
      </w:r>
      <w:r w:rsidR="00A543C3">
        <w:t>Additional governance arrangements</w:t>
      </w:r>
      <w:r w:rsidR="005B2800">
        <w:t xml:space="preserve">, </w:t>
      </w:r>
      <w:r w:rsidR="00F24162">
        <w:t>for example m</w:t>
      </w:r>
      <w:r w:rsidR="005B2800">
        <w:t>emoranda</w:t>
      </w:r>
      <w:r w:rsidR="00F24162">
        <w:t xml:space="preserve"> of understanding</w:t>
      </w:r>
      <w:r w:rsidR="005B2800">
        <w:t xml:space="preserve"> (MOUs),</w:t>
      </w:r>
      <w:r w:rsidR="00A543C3">
        <w:t xml:space="preserve"> </w:t>
      </w:r>
      <w:r w:rsidR="00F24162">
        <w:t>may</w:t>
      </w:r>
      <w:r w:rsidR="00A543C3">
        <w:t xml:space="preserve"> underpin this process</w:t>
      </w:r>
      <w:r w:rsidR="005815C3">
        <w:t xml:space="preserve">. </w:t>
      </w:r>
      <w:r w:rsidR="006C0987">
        <w:t>As part of working co</w:t>
      </w:r>
      <w:r w:rsidR="009349BC">
        <w:noBreakHyphen/>
      </w:r>
      <w:r w:rsidR="006C0987">
        <w:t xml:space="preserve">operatively with other agencies, the Ombudsman may transfer aspects of requests to those other agencies which, when transferred are </w:t>
      </w:r>
      <w:r w:rsidR="006C0987" w:rsidRPr="006C0987">
        <w:t>taken to have been made under the law</w:t>
      </w:r>
      <w:r w:rsidR="00127591">
        <w:t>s</w:t>
      </w:r>
      <w:r w:rsidR="006C0987" w:rsidRPr="006C0987">
        <w:t xml:space="preserve"> granting th</w:t>
      </w:r>
      <w:r w:rsidR="00127591">
        <w:t>ose other agencies</w:t>
      </w:r>
      <w:r w:rsidR="006C0987" w:rsidRPr="006C0987">
        <w:t xml:space="preserve"> the power to deal with the </w:t>
      </w:r>
      <w:r w:rsidR="00127591">
        <w:t xml:space="preserve">aspects of the </w:t>
      </w:r>
      <w:r w:rsidR="006C0987" w:rsidRPr="006C0987">
        <w:t>request</w:t>
      </w:r>
      <w:r w:rsidR="00127591">
        <w:t>s</w:t>
      </w:r>
      <w:r w:rsidR="006C0987" w:rsidRPr="006C0987">
        <w:t>.</w:t>
      </w:r>
      <w:r w:rsidR="006C0987" w:rsidRPr="006C0987">
        <w:rPr>
          <w:rStyle w:val="Referencingstyle"/>
          <w:b w:val="0"/>
          <w:i w:val="0"/>
          <w:sz w:val="22"/>
        </w:rPr>
        <w:t xml:space="preserve"> </w:t>
      </w:r>
      <w:r w:rsidR="005815C3" w:rsidRPr="00ED057C">
        <w:rPr>
          <w:rStyle w:val="Referencingstyle"/>
        </w:rPr>
        <w:t>[</w:t>
      </w:r>
      <w:r w:rsidR="008B26E7" w:rsidRPr="00E84792">
        <w:rPr>
          <w:rStyle w:val="Referencingstyle"/>
        </w:rPr>
        <w:t>Part 4</w:t>
      </w:r>
      <w:r w:rsidR="00CB7821">
        <w:rPr>
          <w:rStyle w:val="Referencingstyle"/>
        </w:rPr>
        <w:t>,</w:t>
      </w:r>
      <w:r w:rsidR="008B26E7" w:rsidRPr="00E84792">
        <w:rPr>
          <w:rStyle w:val="Referencingstyle"/>
        </w:rPr>
        <w:t> Division 2</w:t>
      </w:r>
      <w:r w:rsidR="00CB7821">
        <w:rPr>
          <w:rStyle w:val="Referencingstyle"/>
        </w:rPr>
        <w:t>,</w:t>
      </w:r>
      <w:r w:rsidR="008B26E7" w:rsidRPr="00E84792">
        <w:rPr>
          <w:rStyle w:val="Referencingstyle"/>
        </w:rPr>
        <w:t> </w:t>
      </w:r>
      <w:r w:rsidR="00F20826" w:rsidRPr="00E84792">
        <w:rPr>
          <w:rStyle w:val="Referencingstyle"/>
        </w:rPr>
        <w:t>section 70</w:t>
      </w:r>
      <w:r w:rsidR="005815C3" w:rsidRPr="00E84792">
        <w:rPr>
          <w:rStyle w:val="Referencingstyle"/>
        </w:rPr>
        <w:t>]</w:t>
      </w:r>
      <w:r w:rsidR="00F20826">
        <w:t xml:space="preserve"> </w:t>
      </w:r>
    </w:p>
    <w:p w14:paraId="1636D333" w14:textId="2C505FAA" w:rsidR="004761A7" w:rsidRDefault="00A543C3" w:rsidP="00AD0337">
      <w:pPr>
        <w:pStyle w:val="base-text-paragraph"/>
        <w:keepNext/>
        <w:keepLines/>
      </w:pPr>
      <w:r>
        <w:t>Th</w:t>
      </w:r>
      <w:r w:rsidR="002E3B67">
        <w:t xml:space="preserve">e requirement to </w:t>
      </w:r>
      <w:r w:rsidR="006C0987">
        <w:t>transfer requests for assistance</w:t>
      </w:r>
      <w:r w:rsidR="002E3B67">
        <w:t xml:space="preserve"> to relevant </w:t>
      </w:r>
      <w:r w:rsidR="006C0987">
        <w:t xml:space="preserve">agencies, forms part of the </w:t>
      </w:r>
      <w:r>
        <w:t>Ombudsman</w:t>
      </w:r>
      <w:r w:rsidR="009349BC">
        <w:t>’</w:t>
      </w:r>
      <w:r w:rsidR="006C0987">
        <w:t>s</w:t>
      </w:r>
      <w:r>
        <w:t xml:space="preserve"> </w:t>
      </w:r>
      <w:r w:rsidR="009349BC">
        <w:t>‘</w:t>
      </w:r>
      <w:r>
        <w:t>concierge</w:t>
      </w:r>
      <w:r w:rsidR="009349BC">
        <w:t>’</w:t>
      </w:r>
      <w:r>
        <w:t xml:space="preserve"> </w:t>
      </w:r>
      <w:r w:rsidR="006C0987">
        <w:t xml:space="preserve">function. Once transferred, the requests become the sole responsibility of the agencies to which they have been transferred. </w:t>
      </w:r>
      <w:r w:rsidR="00186764">
        <w:t>Requests for assistance which are not transferred to other agencies, may be, in some cases, referred by the Ombudsman to the Ombudsman</w:t>
      </w:r>
      <w:r w:rsidR="009349BC">
        <w:t>’</w:t>
      </w:r>
      <w:r w:rsidR="00186764">
        <w:t>s own outsourced alternative dispute resolution service.</w:t>
      </w:r>
      <w:r w:rsidR="00127591">
        <w:t xml:space="preserve"> </w:t>
      </w:r>
      <w:r w:rsidR="00127591" w:rsidRPr="00ED057C">
        <w:rPr>
          <w:rStyle w:val="Referencingstyle"/>
        </w:rPr>
        <w:t>[</w:t>
      </w:r>
      <w:r w:rsidR="00127591" w:rsidRPr="00E84792">
        <w:rPr>
          <w:rStyle w:val="Referencingstyle"/>
        </w:rPr>
        <w:t>Part 4</w:t>
      </w:r>
      <w:r w:rsidR="00127591">
        <w:rPr>
          <w:rStyle w:val="Referencingstyle"/>
        </w:rPr>
        <w:t>, Division 3,</w:t>
      </w:r>
      <w:r w:rsidR="00127591" w:rsidRPr="00E84792">
        <w:rPr>
          <w:rStyle w:val="Referencingstyle"/>
        </w:rPr>
        <w:t> </w:t>
      </w:r>
      <w:r w:rsidR="00127591">
        <w:rPr>
          <w:rStyle w:val="Referencingstyle"/>
        </w:rPr>
        <w:t>section 71</w:t>
      </w:r>
      <w:r w:rsidR="00127591" w:rsidRPr="00E84792">
        <w:rPr>
          <w:rStyle w:val="Referencingstyle"/>
        </w:rPr>
        <w:t>]</w:t>
      </w:r>
      <w:r w:rsidR="00127591">
        <w:t xml:space="preserve"> </w:t>
      </w:r>
    </w:p>
    <w:p w14:paraId="50511C26" w14:textId="77777777" w:rsidR="00C314A4" w:rsidRPr="008174B4" w:rsidRDefault="00C314A4" w:rsidP="00CA5E7A">
      <w:pPr>
        <w:pStyle w:val="ExampleHeading"/>
      </w:pPr>
      <w:r w:rsidRPr="008174B4">
        <w:t xml:space="preserve">: </w:t>
      </w:r>
      <w:r w:rsidR="00700363">
        <w:t>C</w:t>
      </w:r>
      <w:r w:rsidR="0026328D" w:rsidRPr="008174B4">
        <w:t>ircumstance where the Ombudsman would not provide assistance</w:t>
      </w:r>
      <w:r w:rsidRPr="008174B4">
        <w:t xml:space="preserve"> </w:t>
      </w:r>
    </w:p>
    <w:p w14:paraId="52B1C8BA" w14:textId="258C37B6" w:rsidR="0038394C" w:rsidRPr="00BB6056" w:rsidRDefault="00D76B18" w:rsidP="00F26DB0">
      <w:pPr>
        <w:pStyle w:val="exampletext"/>
      </w:pPr>
      <w:r w:rsidRPr="008174B4">
        <w:t>A</w:t>
      </w:r>
      <w:r w:rsidR="00F52E03" w:rsidRPr="008174B4">
        <w:t xml:space="preserve"> small business </w:t>
      </w:r>
      <w:r w:rsidR="005E6EB7" w:rsidRPr="00ED057C">
        <w:t>seeks</w:t>
      </w:r>
      <w:r w:rsidR="00F52E03" w:rsidRPr="008174B4">
        <w:t xml:space="preserve"> assistance from the Ombudsman </w:t>
      </w:r>
      <w:r w:rsidR="005E6EB7" w:rsidRPr="00ED057C">
        <w:t>regarding</w:t>
      </w:r>
      <w:r w:rsidR="00F52E03" w:rsidRPr="008174B4">
        <w:t xml:space="preserve"> </w:t>
      </w:r>
      <w:r w:rsidR="00155017" w:rsidRPr="008174B4">
        <w:t xml:space="preserve">a </w:t>
      </w:r>
      <w:r w:rsidR="005E6EB7" w:rsidRPr="00ED057C">
        <w:t xml:space="preserve">corporation that allegedly </w:t>
      </w:r>
      <w:r w:rsidR="00155017" w:rsidRPr="008174B4">
        <w:t>del</w:t>
      </w:r>
      <w:r w:rsidR="00F52E03" w:rsidRPr="008174B4">
        <w:t xml:space="preserve">ayed </w:t>
      </w:r>
      <w:r w:rsidR="00155017" w:rsidRPr="008174B4">
        <w:t>providing services,</w:t>
      </w:r>
      <w:r w:rsidR="00F52E03" w:rsidRPr="008174B4">
        <w:t xml:space="preserve"> </w:t>
      </w:r>
      <w:r w:rsidR="005E6EB7" w:rsidRPr="00ED057C">
        <w:t>thus</w:t>
      </w:r>
      <w:r w:rsidR="005E6EB7" w:rsidRPr="008174B4">
        <w:t xml:space="preserve"> </w:t>
      </w:r>
      <w:r w:rsidR="005E6EB7" w:rsidRPr="00ED057C">
        <w:t xml:space="preserve">causing </w:t>
      </w:r>
      <w:r w:rsidR="008174B4" w:rsidRPr="00ED057C">
        <w:t>the</w:t>
      </w:r>
      <w:r w:rsidR="005E6EB7" w:rsidRPr="00ED057C">
        <w:t xml:space="preserve"> small </w:t>
      </w:r>
      <w:r w:rsidR="00F52E03" w:rsidRPr="008174B4">
        <w:t>business</w:t>
      </w:r>
      <w:r w:rsidR="000C725A" w:rsidRPr="00ED057C">
        <w:t xml:space="preserve"> to lose </w:t>
      </w:r>
      <w:r w:rsidR="008174B4" w:rsidRPr="00ED057C">
        <w:t>customers</w:t>
      </w:r>
      <w:r w:rsidR="000C4D08" w:rsidRPr="008174B4">
        <w:t>.</w:t>
      </w:r>
      <w:r w:rsidR="003B53C7" w:rsidRPr="008174B4">
        <w:t xml:space="preserve"> </w:t>
      </w:r>
      <w:r w:rsidR="00F52E03" w:rsidRPr="008174B4">
        <w:t>The Ombudsman inform</w:t>
      </w:r>
      <w:r w:rsidR="00C314A4" w:rsidRPr="008174B4">
        <w:t>ed</w:t>
      </w:r>
      <w:r w:rsidR="00F52E03" w:rsidRPr="008174B4">
        <w:t xml:space="preserve"> </w:t>
      </w:r>
      <w:r w:rsidR="00155017" w:rsidRPr="008174B4">
        <w:t>the small business</w:t>
      </w:r>
      <w:r w:rsidR="00F52E03" w:rsidRPr="008174B4">
        <w:t xml:space="preserve"> that the appropriate </w:t>
      </w:r>
      <w:r w:rsidR="005E6EB7" w:rsidRPr="00ED057C">
        <w:t>entity</w:t>
      </w:r>
      <w:r w:rsidR="005E6EB7" w:rsidRPr="008174B4">
        <w:t xml:space="preserve"> </w:t>
      </w:r>
      <w:r w:rsidR="00F52E03" w:rsidRPr="008174B4">
        <w:t xml:space="preserve">to deal with this dispute is </w:t>
      </w:r>
      <w:r w:rsidR="005E6EB7" w:rsidRPr="00ED057C">
        <w:t>a particular agency</w:t>
      </w:r>
      <w:r w:rsidR="000C4D08" w:rsidRPr="008174B4">
        <w:t>.</w:t>
      </w:r>
      <w:r w:rsidR="003B53C7" w:rsidRPr="008174B4">
        <w:t xml:space="preserve"> </w:t>
      </w:r>
      <w:r w:rsidR="00155017" w:rsidRPr="008174B4">
        <w:t xml:space="preserve">The small business </w:t>
      </w:r>
      <w:r w:rsidR="00F52E03" w:rsidRPr="008174B4">
        <w:t>approach</w:t>
      </w:r>
      <w:r w:rsidR="00155017" w:rsidRPr="008174B4">
        <w:t>e</w:t>
      </w:r>
      <w:r w:rsidR="008174B4" w:rsidRPr="00ED057C">
        <w:t>d</w:t>
      </w:r>
      <w:r w:rsidR="00F52E03" w:rsidRPr="008174B4">
        <w:t xml:space="preserve"> th</w:t>
      </w:r>
      <w:r w:rsidR="005E6EB7" w:rsidRPr="00ED057C">
        <w:t>is agency</w:t>
      </w:r>
      <w:r w:rsidR="00F52E03" w:rsidRPr="008174B4">
        <w:t xml:space="preserve">, but </w:t>
      </w:r>
      <w:r w:rsidR="008174B4" w:rsidRPr="00ED057C">
        <w:t>was</w:t>
      </w:r>
      <w:r w:rsidR="008174B4" w:rsidRPr="008174B4">
        <w:t xml:space="preserve"> </w:t>
      </w:r>
      <w:r w:rsidR="00155017" w:rsidRPr="008174B4">
        <w:t>dissatisfied with the result and so</w:t>
      </w:r>
      <w:r w:rsidR="008174B4" w:rsidRPr="00ED057C">
        <w:t xml:space="preserve"> returns</w:t>
      </w:r>
      <w:r w:rsidR="003B53C7" w:rsidRPr="008174B4">
        <w:t xml:space="preserve"> </w:t>
      </w:r>
      <w:r w:rsidR="00F52E03" w:rsidRPr="008174B4">
        <w:t>to the Ombudsman</w:t>
      </w:r>
      <w:r w:rsidR="000C4D08" w:rsidRPr="008174B4">
        <w:t>.</w:t>
      </w:r>
      <w:r w:rsidR="003B53C7" w:rsidRPr="008174B4">
        <w:t xml:space="preserve"> </w:t>
      </w:r>
      <w:r w:rsidR="00F52E03" w:rsidRPr="008174B4">
        <w:t>The Ombuds</w:t>
      </w:r>
      <w:r w:rsidR="0035070D" w:rsidRPr="008174B4">
        <w:t>man w</w:t>
      </w:r>
      <w:r w:rsidR="00F52E03" w:rsidRPr="008174B4">
        <w:t>ould in these circumstances decline</w:t>
      </w:r>
      <w:r w:rsidR="0035070D" w:rsidRPr="008174B4">
        <w:t xml:space="preserve"> </w:t>
      </w:r>
      <w:r w:rsidR="008174B4" w:rsidRPr="00ED057C">
        <w:t>to deal with the matter</w:t>
      </w:r>
      <w:r w:rsidR="0035070D" w:rsidRPr="008174B4">
        <w:t xml:space="preserve"> because the </w:t>
      </w:r>
      <w:r w:rsidR="008174B4" w:rsidRPr="00ED057C">
        <w:t xml:space="preserve">agency </w:t>
      </w:r>
      <w:r w:rsidR="0035070D" w:rsidRPr="008174B4">
        <w:t xml:space="preserve">is the correct </w:t>
      </w:r>
      <w:r w:rsidR="008174B4" w:rsidRPr="00ED057C">
        <w:t xml:space="preserve">entity to </w:t>
      </w:r>
      <w:r w:rsidR="0035070D" w:rsidRPr="008174B4">
        <w:t xml:space="preserve">deal with </w:t>
      </w:r>
      <w:r w:rsidR="008174B4" w:rsidRPr="00ED057C">
        <w:t>it</w:t>
      </w:r>
      <w:r w:rsidR="003B53C7" w:rsidRPr="008174B4">
        <w:t xml:space="preserve">. </w:t>
      </w:r>
      <w:r w:rsidR="0035070D" w:rsidRPr="008174B4">
        <w:t xml:space="preserve">The Ombudsman </w:t>
      </w:r>
      <w:r w:rsidR="00155017" w:rsidRPr="008174B4">
        <w:t xml:space="preserve">cannot function as </w:t>
      </w:r>
      <w:r w:rsidR="00D73641" w:rsidRPr="008174B4">
        <w:t>a</w:t>
      </w:r>
      <w:r w:rsidR="00155017" w:rsidRPr="008174B4">
        <w:t xml:space="preserve"> reviewer of other officials</w:t>
      </w:r>
      <w:r w:rsidR="009349BC">
        <w:t>’</w:t>
      </w:r>
      <w:r w:rsidR="00155017" w:rsidRPr="008174B4">
        <w:t xml:space="preserve"> decisions</w:t>
      </w:r>
      <w:r w:rsidR="003B53C7" w:rsidRPr="008174B4">
        <w:t xml:space="preserve">. </w:t>
      </w:r>
    </w:p>
    <w:p w14:paraId="096E6921" w14:textId="77777777" w:rsidR="004D3EE9" w:rsidRPr="005A4CE8" w:rsidRDefault="004D3EE9" w:rsidP="00CA5E7A">
      <w:pPr>
        <w:pStyle w:val="ExampleHeading"/>
      </w:pPr>
      <w:r w:rsidRPr="005A4CE8">
        <w:t>: Transferring a request to a state small business commissioner</w:t>
      </w:r>
    </w:p>
    <w:p w14:paraId="6BC3DD7E" w14:textId="737058EF" w:rsidR="004D3EE9" w:rsidRDefault="004D3EE9" w:rsidP="004D3EE9">
      <w:pPr>
        <w:pStyle w:val="exampletext"/>
      </w:pPr>
      <w:r w:rsidRPr="005A4CE8">
        <w:t xml:space="preserve">A small business </w:t>
      </w:r>
      <w:r w:rsidR="0019448B">
        <w:t xml:space="preserve">(whether incorporated or not is irrelevant) </w:t>
      </w:r>
      <w:r w:rsidRPr="005A4CE8">
        <w:t xml:space="preserve">in Western Australia </w:t>
      </w:r>
      <w:r w:rsidRPr="00ED057C">
        <w:t>seeks assistance</w:t>
      </w:r>
      <w:r w:rsidRPr="005A4CE8">
        <w:t xml:space="preserve"> </w:t>
      </w:r>
      <w:r w:rsidRPr="00ED057C">
        <w:t xml:space="preserve">from </w:t>
      </w:r>
      <w:r w:rsidRPr="005A4CE8">
        <w:t>the Ombudsman about what it perceives as unfair market practices. Under Western Australia</w:t>
      </w:r>
      <w:r w:rsidR="009349BC">
        <w:t>’</w:t>
      </w:r>
      <w:r w:rsidRPr="005A4CE8">
        <w:t xml:space="preserve">s </w:t>
      </w:r>
      <w:r w:rsidRPr="00ED057C">
        <w:rPr>
          <w:i/>
        </w:rPr>
        <w:t>Small Business Development Corporation Act 1983</w:t>
      </w:r>
      <w:r w:rsidRPr="005A4CE8">
        <w:t>, the Small Business Commissioner for Western Australia investigates complaints about unfair market practices affecting small business</w:t>
      </w:r>
      <w:r w:rsidRPr="00ED057C">
        <w:t>es</w:t>
      </w:r>
      <w:r w:rsidRPr="005A4CE8">
        <w:t>, and provides assistance to attempt to resolve those complaints. The Ombudsman therefore consults the Western Australian Small Business Commissioner and</w:t>
      </w:r>
      <w:r>
        <w:t>,</w:t>
      </w:r>
      <w:r w:rsidRPr="005A4CE8">
        <w:t xml:space="preserve"> as soon as </w:t>
      </w:r>
      <w:r w:rsidRPr="00ED057C">
        <w:t xml:space="preserve">is reasonably </w:t>
      </w:r>
      <w:r w:rsidRPr="005A4CE8">
        <w:t>practicable</w:t>
      </w:r>
      <w:r>
        <w:t>,</w:t>
      </w:r>
      <w:r w:rsidRPr="005A4CE8">
        <w:t xml:space="preserve"> </w:t>
      </w:r>
      <w:r>
        <w:t>transfers</w:t>
      </w:r>
      <w:r w:rsidRPr="005A4CE8">
        <w:t xml:space="preserve"> the </w:t>
      </w:r>
      <w:r w:rsidRPr="00ED057C">
        <w:t>request for assistance</w:t>
      </w:r>
      <w:r w:rsidRPr="005A4CE8">
        <w:t xml:space="preserve"> to that Commissioner, along with any documents gathered in relation to the complaint. The</w:t>
      </w:r>
      <w:r>
        <w:t xml:space="preserve"> Ombudsman also, </w:t>
      </w:r>
      <w:r w:rsidRPr="00B7167F">
        <w:t>as soon as is reasonably practicable</w:t>
      </w:r>
      <w:r>
        <w:t>,</w:t>
      </w:r>
      <w:r w:rsidRPr="00B7167F">
        <w:t xml:space="preserve"> give</w:t>
      </w:r>
      <w:r>
        <w:t>s</w:t>
      </w:r>
      <w:r w:rsidRPr="00B7167F">
        <w:t xml:space="preserve"> the person who made the request</w:t>
      </w:r>
      <w:r>
        <w:t>,</w:t>
      </w:r>
      <w:r w:rsidRPr="00B7167F">
        <w:t xml:space="preserve"> notice that the request</w:t>
      </w:r>
      <w:r>
        <w:t xml:space="preserve">, </w:t>
      </w:r>
      <w:r w:rsidRPr="00B7167F">
        <w:t xml:space="preserve">has been transferred to the </w:t>
      </w:r>
      <w:r>
        <w:t>Western Australian Small Business Commissioner.</w:t>
      </w:r>
    </w:p>
    <w:p w14:paraId="5415280D" w14:textId="77777777" w:rsidR="004761A7" w:rsidRDefault="006F2D34" w:rsidP="00200FC3">
      <w:pPr>
        <w:pStyle w:val="base-text-paragraph"/>
      </w:pPr>
      <w:r>
        <w:t xml:space="preserve">If the Ombudsman is approached to </w:t>
      </w:r>
      <w:r w:rsidR="004D3EE9">
        <w:t xml:space="preserve">give </w:t>
      </w:r>
      <w:r>
        <w:t xml:space="preserve">assistance in a dispute, </w:t>
      </w:r>
      <w:r w:rsidR="00A7160E">
        <w:t xml:space="preserve">and the Ombudsman does not transfer a request to another agency, </w:t>
      </w:r>
      <w:r w:rsidR="003C014B">
        <w:t>the Ombudsman</w:t>
      </w:r>
      <w:r>
        <w:t xml:space="preserve"> may </w:t>
      </w:r>
      <w:r w:rsidR="00A7160E">
        <w:t xml:space="preserve">make </w:t>
      </w:r>
      <w:r>
        <w:t>recommendations on how the dispute may be managed</w:t>
      </w:r>
      <w:r w:rsidR="00A7160E">
        <w:t xml:space="preserve">. </w:t>
      </w:r>
      <w:r w:rsidR="007B7A58">
        <w:t>R</w:t>
      </w:r>
      <w:r w:rsidR="00A7160E">
        <w:t xml:space="preserve">ecommendations </w:t>
      </w:r>
      <w:r w:rsidR="007B7A58">
        <w:t xml:space="preserve">by the Ombudsman </w:t>
      </w:r>
      <w:r w:rsidR="00A7160E">
        <w:t>may</w:t>
      </w:r>
      <w:r>
        <w:t xml:space="preserve"> involve</w:t>
      </w:r>
      <w:r w:rsidR="00700FE5">
        <w:t xml:space="preserve"> </w:t>
      </w:r>
      <w:r>
        <w:t>referring the party</w:t>
      </w:r>
      <w:r w:rsidR="000C5AD6">
        <w:t xml:space="preserve">, in writing, </w:t>
      </w:r>
      <w:r>
        <w:t>to ADR</w:t>
      </w:r>
      <w:r w:rsidR="000C5AD6">
        <w:t xml:space="preserve">. </w:t>
      </w:r>
      <w:r w:rsidR="000C5AD6" w:rsidRPr="004D3EE9">
        <w:t>Th</w:t>
      </w:r>
      <w:r w:rsidR="00F53243">
        <w:t>es</w:t>
      </w:r>
      <w:r w:rsidR="000C5AD6" w:rsidRPr="004D3EE9">
        <w:t xml:space="preserve">e written </w:t>
      </w:r>
      <w:r w:rsidR="00F53243">
        <w:t>notices</w:t>
      </w:r>
      <w:r w:rsidR="000C5AD6" w:rsidRPr="004D3EE9">
        <w:t xml:space="preserve"> must </w:t>
      </w:r>
      <w:r w:rsidR="000C5AD6">
        <w:t>include a warning to the parties that if they</w:t>
      </w:r>
      <w:r w:rsidR="000C5AD6" w:rsidRPr="004D3EE9">
        <w:t xml:space="preserve"> choose not to undertake, or to withdraw from, the recommended ADR process, the Ombudsman </w:t>
      </w:r>
      <w:r w:rsidR="000C5AD6">
        <w:t>may</w:t>
      </w:r>
      <w:r w:rsidR="000C5AD6" w:rsidRPr="004D3EE9">
        <w:t xml:space="preserve"> publish this fact</w:t>
      </w:r>
      <w:r w:rsidR="00692760">
        <w:t xml:space="preserve"> </w:t>
      </w:r>
      <w:r w:rsidR="00A7160E" w:rsidRPr="00ED057C">
        <w:rPr>
          <w:rStyle w:val="Referencingstyle"/>
        </w:rPr>
        <w:t>[</w:t>
      </w:r>
      <w:r w:rsidR="00A7160E" w:rsidRPr="00E84792">
        <w:rPr>
          <w:rStyle w:val="Referencingstyle"/>
        </w:rPr>
        <w:t>Part 4</w:t>
      </w:r>
      <w:r w:rsidR="00A7160E">
        <w:rPr>
          <w:rStyle w:val="Referencingstyle"/>
        </w:rPr>
        <w:t>,</w:t>
      </w:r>
      <w:r w:rsidR="00A7160E" w:rsidRPr="00E84792">
        <w:rPr>
          <w:rStyle w:val="Referencingstyle"/>
        </w:rPr>
        <w:t> Division 3</w:t>
      </w:r>
      <w:r w:rsidR="00A7160E">
        <w:rPr>
          <w:rStyle w:val="Referencingstyle"/>
        </w:rPr>
        <w:t>,</w:t>
      </w:r>
      <w:r w:rsidR="00A7160E" w:rsidRPr="00E84792">
        <w:rPr>
          <w:rStyle w:val="Referencingstyle"/>
        </w:rPr>
        <w:t> section 71]</w:t>
      </w:r>
      <w:r w:rsidR="00A7160E">
        <w:t xml:space="preserve">. </w:t>
      </w:r>
      <w:r w:rsidR="003C014B">
        <w:t xml:space="preserve">In connection with this, the Ombudsman will </w:t>
      </w:r>
      <w:r w:rsidR="00A7160E">
        <w:t xml:space="preserve">publish </w:t>
      </w:r>
      <w:r w:rsidR="003C014B">
        <w:t>a list of qualified ADR providers</w:t>
      </w:r>
      <w:r w:rsidR="00A7160E">
        <w:t xml:space="preserve">, from which the parties </w:t>
      </w:r>
      <w:r w:rsidR="007B7A58">
        <w:t>may</w:t>
      </w:r>
      <w:r w:rsidR="00A7160E">
        <w:t xml:space="preserve"> choose an appropriate </w:t>
      </w:r>
      <w:r w:rsidR="00B43EEE">
        <w:t xml:space="preserve">ADR </w:t>
      </w:r>
      <w:r w:rsidR="00A7160E">
        <w:t>provider</w:t>
      </w:r>
      <w:r w:rsidR="005815C3">
        <w:t xml:space="preserve">. </w:t>
      </w:r>
      <w:r w:rsidR="005815C3" w:rsidRPr="00ED057C">
        <w:rPr>
          <w:rStyle w:val="Referencingstyle"/>
        </w:rPr>
        <w:t>[</w:t>
      </w:r>
      <w:r w:rsidR="000A1DC8" w:rsidRPr="00E84792">
        <w:rPr>
          <w:rStyle w:val="Referencingstyle"/>
        </w:rPr>
        <w:t>Part 4</w:t>
      </w:r>
      <w:r w:rsidR="00CB7821">
        <w:rPr>
          <w:rStyle w:val="Referencingstyle"/>
        </w:rPr>
        <w:t>,</w:t>
      </w:r>
      <w:r w:rsidR="000A1DC8" w:rsidRPr="00E84792">
        <w:rPr>
          <w:rStyle w:val="Referencingstyle"/>
        </w:rPr>
        <w:t> Division 3</w:t>
      </w:r>
      <w:r w:rsidR="00CB7821">
        <w:rPr>
          <w:rStyle w:val="Referencingstyle"/>
        </w:rPr>
        <w:t>,</w:t>
      </w:r>
      <w:r w:rsidR="000A1DC8" w:rsidRPr="00E84792">
        <w:rPr>
          <w:rStyle w:val="Referencingstyle"/>
        </w:rPr>
        <w:t> </w:t>
      </w:r>
      <w:r w:rsidR="003C014B" w:rsidRPr="00E84792">
        <w:rPr>
          <w:rStyle w:val="Referencingstyle"/>
        </w:rPr>
        <w:t>section 72</w:t>
      </w:r>
      <w:r w:rsidR="005815C3" w:rsidRPr="00E84792">
        <w:rPr>
          <w:rStyle w:val="Referencingstyle"/>
        </w:rPr>
        <w:t>]</w:t>
      </w:r>
      <w:r w:rsidR="004761A7" w:rsidRPr="004761A7">
        <w:t xml:space="preserve"> </w:t>
      </w:r>
    </w:p>
    <w:p w14:paraId="4AAE6F89" w14:textId="06261F6B" w:rsidR="000C5AD6" w:rsidRPr="006527E4" w:rsidRDefault="00F53243" w:rsidP="00200FC3">
      <w:pPr>
        <w:pStyle w:val="base-text-paragraph"/>
      </w:pPr>
      <w:r>
        <w:t>An</w:t>
      </w:r>
      <w:r w:rsidR="000C5AD6">
        <w:t xml:space="preserve"> </w:t>
      </w:r>
      <w:r>
        <w:t>ADR</w:t>
      </w:r>
      <w:r w:rsidR="000C5AD6">
        <w:t xml:space="preserve"> process recommended by the Ombudsman must not be conducted by</w:t>
      </w:r>
      <w:r>
        <w:t>:</w:t>
      </w:r>
      <w:r w:rsidR="000C5AD6">
        <w:t xml:space="preserve"> the </w:t>
      </w:r>
      <w:r w:rsidRPr="00F53243">
        <w:t>Ombudsman, delegates of the Ombudsman, the Ombudsman</w:t>
      </w:r>
      <w:r w:rsidR="009349BC">
        <w:t>’</w:t>
      </w:r>
      <w:r w:rsidRPr="00F53243">
        <w:t xml:space="preserve">s staff, </w:t>
      </w:r>
      <w:r>
        <w:t>or</w:t>
      </w:r>
      <w:r w:rsidRPr="00F53243">
        <w:t xml:space="preserve"> consultants engaged for the Ombudsman</w:t>
      </w:r>
      <w:r>
        <w:t xml:space="preserve">. This is because </w:t>
      </w:r>
      <w:r w:rsidR="000C5AD6">
        <w:t xml:space="preserve">the </w:t>
      </w:r>
      <w:r>
        <w:t xml:space="preserve">Ombudsman must be </w:t>
      </w:r>
      <w:r w:rsidR="000C5AD6">
        <w:t>seen to be impartial</w:t>
      </w:r>
      <w:r>
        <w:t>, and therefore the Ombudsman</w:t>
      </w:r>
      <w:r w:rsidR="009349BC">
        <w:t>’</w:t>
      </w:r>
      <w:r>
        <w:t>s advocacy and assistance functions must be entirely separate</w:t>
      </w:r>
      <w:r w:rsidRPr="006527E4">
        <w:t xml:space="preserve">. </w:t>
      </w:r>
      <w:r w:rsidR="00AB65D7">
        <w:t xml:space="preserve">The </w:t>
      </w:r>
      <w:r w:rsidR="009349BC">
        <w:t>‘</w:t>
      </w:r>
      <w:r w:rsidR="00AB65D7">
        <w:t>parties to the dispute</w:t>
      </w:r>
      <w:r w:rsidR="009349BC">
        <w:t>’</w:t>
      </w:r>
      <w:r w:rsidR="00AB65D7">
        <w:t xml:space="preserve"> must cho</w:t>
      </w:r>
      <w:r w:rsidR="004A4E87">
        <w:t>o</w:t>
      </w:r>
      <w:r w:rsidR="00AB65D7">
        <w:t xml:space="preserve">se the person who conducts the ADR process. </w:t>
      </w:r>
      <w:r w:rsidRPr="00F26DB0">
        <w:rPr>
          <w:rStyle w:val="Referencingstyle"/>
        </w:rPr>
        <w:t>[Part 4</w:t>
      </w:r>
      <w:r w:rsidRPr="006527E4">
        <w:rPr>
          <w:rStyle w:val="Referencingstyle"/>
        </w:rPr>
        <w:t>,</w:t>
      </w:r>
      <w:r w:rsidRPr="00F26DB0">
        <w:rPr>
          <w:rStyle w:val="Referencingstyle"/>
        </w:rPr>
        <w:t> Division 3</w:t>
      </w:r>
      <w:r w:rsidRPr="006527E4">
        <w:rPr>
          <w:rStyle w:val="Referencingstyle"/>
        </w:rPr>
        <w:t>,</w:t>
      </w:r>
      <w:r w:rsidRPr="00F26DB0">
        <w:rPr>
          <w:rStyle w:val="Referencingstyle"/>
        </w:rPr>
        <w:t> section 73]</w:t>
      </w:r>
    </w:p>
    <w:p w14:paraId="20F9BB6E" w14:textId="77777777" w:rsidR="00F53243" w:rsidRPr="00424175" w:rsidRDefault="00F53243" w:rsidP="00CA5E7A">
      <w:pPr>
        <w:pStyle w:val="ExampleHeading"/>
      </w:pPr>
      <w:r w:rsidRPr="00424175">
        <w:t>: The Ombudsman recommends ADR</w:t>
      </w:r>
    </w:p>
    <w:p w14:paraId="27982A94" w14:textId="7D008936" w:rsidR="00F53243" w:rsidRDefault="00F53243" w:rsidP="00F53243">
      <w:pPr>
        <w:pStyle w:val="exampletext"/>
      </w:pPr>
      <w:r w:rsidRPr="00424175">
        <w:t xml:space="preserve">A small business based in one state, is in dispute with a business in another state, over the suitability of </w:t>
      </w:r>
      <w:r>
        <w:t>services</w:t>
      </w:r>
      <w:r w:rsidRPr="00424175">
        <w:t xml:space="preserve"> it has </w:t>
      </w:r>
      <w:r>
        <w:t>been</w:t>
      </w:r>
      <w:r w:rsidRPr="00424175">
        <w:t xml:space="preserve"> provided</w:t>
      </w:r>
      <w:r>
        <w:t xml:space="preserve"> with</w:t>
      </w:r>
      <w:r w:rsidRPr="00424175">
        <w:t xml:space="preserve">. </w:t>
      </w:r>
      <w:r w:rsidR="009D677B">
        <w:t>If</w:t>
      </w:r>
      <w:r w:rsidRPr="00424175">
        <w:t xml:space="preserve"> no Commonwealth agency could deal with this dispute, and since it involves interstate trade and commerce, it </w:t>
      </w:r>
      <w:r w:rsidR="009D677B">
        <w:t>would be</w:t>
      </w:r>
      <w:r w:rsidRPr="00424175">
        <w:t xml:space="preserve"> within the Ombudsman</w:t>
      </w:r>
      <w:r w:rsidR="009349BC">
        <w:t>’</w:t>
      </w:r>
      <w:r w:rsidRPr="00424175">
        <w:t xml:space="preserve">s </w:t>
      </w:r>
      <w:r>
        <w:t>remit</w:t>
      </w:r>
      <w:r w:rsidRPr="00424175">
        <w:t>, regardless of whether the businesses are incorporated. The Ombudsman makes inquiries, and decides that the matter is not a vexatious one, and would be</w:t>
      </w:r>
      <w:r>
        <w:t>nefit from</w:t>
      </w:r>
      <w:r w:rsidRPr="00424175">
        <w:t xml:space="preserve"> an ADR process. </w:t>
      </w:r>
      <w:r w:rsidR="009D677B">
        <w:t xml:space="preserve">The businesses in dispute do not have their own preferred ADR provider, therefore the </w:t>
      </w:r>
      <w:r w:rsidR="009D677B" w:rsidRPr="00424175">
        <w:t xml:space="preserve">Ombudsman </w:t>
      </w:r>
      <w:r w:rsidR="009D677B" w:rsidRPr="00ED057C">
        <w:t>may</w:t>
      </w:r>
      <w:r w:rsidR="009D677B" w:rsidRPr="00D6011C">
        <w:t xml:space="preserve"> </w:t>
      </w:r>
      <w:r w:rsidR="009D677B" w:rsidRPr="00424175">
        <w:t xml:space="preserve">recommend </w:t>
      </w:r>
      <w:r w:rsidR="009D677B" w:rsidRPr="00D6011C">
        <w:t xml:space="preserve">that </w:t>
      </w:r>
      <w:r w:rsidR="009D677B">
        <w:t xml:space="preserve">they choose </w:t>
      </w:r>
      <w:r w:rsidR="009349BC">
        <w:t>‘</w:t>
      </w:r>
      <w:r w:rsidR="009D677B">
        <w:t>one or more</w:t>
      </w:r>
      <w:r w:rsidR="009349BC">
        <w:t>’</w:t>
      </w:r>
      <w:r w:rsidR="009D677B">
        <w:t xml:space="preserve"> ADR providers from a </w:t>
      </w:r>
      <w:r w:rsidR="009349BC">
        <w:t>‘</w:t>
      </w:r>
      <w:r w:rsidR="009D677B">
        <w:t>group</w:t>
      </w:r>
      <w:r w:rsidR="009349BC">
        <w:t>’</w:t>
      </w:r>
      <w:r w:rsidR="009D677B">
        <w:t xml:space="preserve"> of suitable ADR providers listed in the Ombudsman</w:t>
      </w:r>
      <w:r w:rsidR="009349BC">
        <w:t>’</w:t>
      </w:r>
      <w:r w:rsidR="009D677B">
        <w:t xml:space="preserve">s recommendation to undertake ADR (paragraph 71(2)(b) of the Bill). This </w:t>
      </w:r>
      <w:r w:rsidR="009349BC">
        <w:t>‘</w:t>
      </w:r>
      <w:r w:rsidR="009D677B">
        <w:t>group</w:t>
      </w:r>
      <w:r w:rsidR="009349BC">
        <w:t>’</w:t>
      </w:r>
      <w:r w:rsidR="009D677B">
        <w:t xml:space="preserve"> presumably would be a subset of the </w:t>
      </w:r>
      <w:r w:rsidR="009D677B" w:rsidRPr="00ED057C">
        <w:t>published list</w:t>
      </w:r>
      <w:r w:rsidR="009D677B">
        <w:t>,</w:t>
      </w:r>
      <w:r w:rsidR="009D677B" w:rsidRPr="00ED057C">
        <w:t xml:space="preserve"> of </w:t>
      </w:r>
      <w:r w:rsidR="009D677B">
        <w:t>ADR</w:t>
      </w:r>
      <w:r w:rsidR="009D677B" w:rsidRPr="00ED057C">
        <w:t xml:space="preserve"> providers</w:t>
      </w:r>
      <w:r w:rsidR="009D677B">
        <w:t>,</w:t>
      </w:r>
      <w:r w:rsidR="009D677B" w:rsidRPr="00ED057C">
        <w:t xml:space="preserve"> maintained by the Ombudsman (</w:t>
      </w:r>
      <w:r w:rsidR="009D677B">
        <w:t>sub</w:t>
      </w:r>
      <w:r w:rsidR="009D677B" w:rsidRPr="00ED057C">
        <w:t>section</w:t>
      </w:r>
      <w:r w:rsidR="009D677B">
        <w:t> </w:t>
      </w:r>
      <w:r w:rsidR="009D677B" w:rsidRPr="00ED057C">
        <w:t>72</w:t>
      </w:r>
      <w:r w:rsidR="009D677B">
        <w:t>(1) of the Bill</w:t>
      </w:r>
      <w:r w:rsidR="009D677B" w:rsidRPr="00ED057C">
        <w:t>)</w:t>
      </w:r>
      <w:r w:rsidR="009D677B">
        <w:t>. The parties in dispute must always choose the specific ADR provider, or providers, that they wish to assist with their dispute (subsection 73(1)).</w:t>
      </w:r>
    </w:p>
    <w:p w14:paraId="13A62B69" w14:textId="77777777" w:rsidR="00A1443B" w:rsidRDefault="00A1443B" w:rsidP="00C71EE9">
      <w:pPr>
        <w:pStyle w:val="Heading3"/>
      </w:pPr>
      <w:r w:rsidRPr="00C71EE9">
        <w:t>Publishing</w:t>
      </w:r>
      <w:r>
        <w:t xml:space="preserve"> failure to participate in an alternative dispute resolution process</w:t>
      </w:r>
    </w:p>
    <w:p w14:paraId="68DC2519" w14:textId="77777777" w:rsidR="004761A7" w:rsidRDefault="00703D03" w:rsidP="00200FC3">
      <w:pPr>
        <w:pStyle w:val="base-text-paragraph"/>
      </w:pPr>
      <w:r>
        <w:t>The Ombudsman may publicise, in any way that the Ombudsman thinks appropriate, that an entity has refused to engage in an</w:t>
      </w:r>
      <w:r w:rsidR="00C71EE9">
        <w:t> </w:t>
      </w:r>
      <w:r>
        <w:t xml:space="preserve">ADR process recommended by the Ombudsman, or has withdrawn from such a process </w:t>
      </w:r>
      <w:r w:rsidR="00212EED" w:rsidRPr="00893D86">
        <w:rPr>
          <w:rStyle w:val="Referencingstyle"/>
        </w:rPr>
        <w:t>[Part 4, Division 3, section </w:t>
      </w:r>
      <w:r w:rsidR="00212EED">
        <w:rPr>
          <w:rStyle w:val="Referencingstyle"/>
        </w:rPr>
        <w:t>74</w:t>
      </w:r>
      <w:r w:rsidR="00212EED" w:rsidRPr="00893D86">
        <w:rPr>
          <w:rStyle w:val="Referencingstyle"/>
        </w:rPr>
        <w:t>]</w:t>
      </w:r>
      <w:r w:rsidR="00212EED">
        <w:t xml:space="preserve">. </w:t>
      </w:r>
      <w:r>
        <w:t>A decision under subsection</w:t>
      </w:r>
      <w:r w:rsidR="00C71EE9">
        <w:t> </w:t>
      </w:r>
      <w:r>
        <w:t>74(1) to publicise that a party to a dispute has refused to engage in, or has withdrawn from, an ADR process is an administrative decision, which can be reviewed by the Administrative Appeals Tribunal (section 92</w:t>
      </w:r>
      <w:r w:rsidR="00E2481E">
        <w:t xml:space="preserve"> of the Bill</w:t>
      </w:r>
      <w:r>
        <w:t>)</w:t>
      </w:r>
      <w:r w:rsidR="00CA3A1A">
        <w:t>.</w:t>
      </w:r>
      <w:r>
        <w:t xml:space="preserve"> </w:t>
      </w:r>
    </w:p>
    <w:p w14:paraId="608814A2" w14:textId="77777777" w:rsidR="00A1443B" w:rsidRDefault="00A1443B" w:rsidP="00CA5E7A">
      <w:pPr>
        <w:pStyle w:val="ExampleHeading"/>
      </w:pPr>
      <w:r>
        <w:t>: Publishing the failure to participate</w:t>
      </w:r>
    </w:p>
    <w:p w14:paraId="5F8C81E9" w14:textId="671449A5" w:rsidR="00A1443B" w:rsidRPr="005B5AAF" w:rsidRDefault="00A1443B" w:rsidP="00F26DB0">
      <w:pPr>
        <w:pStyle w:val="exampletext"/>
      </w:pPr>
      <w:r w:rsidRPr="005B5AAF">
        <w:t>The Ombudsman has recommended</w:t>
      </w:r>
      <w:r>
        <w:t>,</w:t>
      </w:r>
      <w:r w:rsidRPr="005B5AAF">
        <w:t xml:space="preserve"> by written notice</w:t>
      </w:r>
      <w:r>
        <w:t>,</w:t>
      </w:r>
      <w:r w:rsidRPr="005B5AAF">
        <w:t xml:space="preserve"> that a </w:t>
      </w:r>
      <w:r w:rsidR="00F33CCE">
        <w:t xml:space="preserve">small </w:t>
      </w:r>
      <w:r w:rsidRPr="005B5AAF">
        <w:t>business</w:t>
      </w:r>
      <w:r w:rsidR="00DE3356">
        <w:t>,</w:t>
      </w:r>
      <w:r w:rsidRPr="005B5AAF">
        <w:t xml:space="preserve"> in </w:t>
      </w:r>
      <w:r w:rsidR="00DE3356">
        <w:t>Coolangatta</w:t>
      </w:r>
      <w:r w:rsidRPr="005B5AAF">
        <w:t xml:space="preserve">, </w:t>
      </w:r>
      <w:r w:rsidR="00DE3356">
        <w:t>Queensland</w:t>
      </w:r>
      <w:r w:rsidRPr="005B5AAF">
        <w:t xml:space="preserve">, participate in </w:t>
      </w:r>
      <w:r w:rsidR="00A375CF">
        <w:t>the Ombudsman</w:t>
      </w:r>
      <w:r w:rsidR="009349BC">
        <w:t>’</w:t>
      </w:r>
      <w:r w:rsidR="00A375CF">
        <w:t>s</w:t>
      </w:r>
      <w:r w:rsidR="00A375CF" w:rsidRPr="005B5AAF">
        <w:t xml:space="preserve"> </w:t>
      </w:r>
      <w:r w:rsidRPr="005B5AAF">
        <w:t xml:space="preserve">own outsourced </w:t>
      </w:r>
      <w:r>
        <w:t>ADR</w:t>
      </w:r>
      <w:r w:rsidRPr="005B5AAF">
        <w:t xml:space="preserve"> service</w:t>
      </w:r>
      <w:r w:rsidR="00DE3356">
        <w:t>,</w:t>
      </w:r>
      <w:r w:rsidRPr="005B5AAF">
        <w:t xml:space="preserve"> to resolve a dispute with a business </w:t>
      </w:r>
      <w:r w:rsidR="00DE3356">
        <w:t xml:space="preserve">located </w:t>
      </w:r>
      <w:r w:rsidRPr="005B5AAF">
        <w:t xml:space="preserve">in </w:t>
      </w:r>
      <w:r w:rsidR="00DE3356">
        <w:t>adjacent</w:t>
      </w:r>
      <w:r w:rsidR="00DE3356" w:rsidRPr="005B5AAF">
        <w:t xml:space="preserve"> </w:t>
      </w:r>
      <w:r w:rsidR="00DE3356">
        <w:t>Tweed Heads</w:t>
      </w:r>
      <w:r w:rsidRPr="005B5AAF">
        <w:t xml:space="preserve">, NSW, over </w:t>
      </w:r>
      <w:r w:rsidR="00CA3A1A">
        <w:t>the</w:t>
      </w:r>
      <w:r w:rsidRPr="005B5AAF">
        <w:t xml:space="preserve"> late delivery of supplies</w:t>
      </w:r>
      <w:r w:rsidR="00F33CCE">
        <w:t xml:space="preserve"> (it is irrelevant whether these businesses are incorporated)</w:t>
      </w:r>
      <w:r>
        <w:t xml:space="preserve">. </w:t>
      </w:r>
      <w:r w:rsidRPr="005B5AAF">
        <w:t xml:space="preserve">This matter involves interstate commerce, and </w:t>
      </w:r>
      <w:r w:rsidR="00F33CCE">
        <w:t>thus may</w:t>
      </w:r>
      <w:r w:rsidR="00F33CCE" w:rsidRPr="005B5AAF">
        <w:t xml:space="preserve"> </w:t>
      </w:r>
      <w:r w:rsidRPr="005B5AAF">
        <w:t>come under the jurisdiction of the Ombudsman</w:t>
      </w:r>
      <w:r w:rsidR="009349BC">
        <w:t xml:space="preserve"> — </w:t>
      </w:r>
      <w:r w:rsidR="00F33CCE">
        <w:t>if it does not come under the jurisdiction of another Commonwealth agency</w:t>
      </w:r>
      <w:r>
        <w:t xml:space="preserve">. </w:t>
      </w:r>
      <w:r w:rsidRPr="005B5AAF">
        <w:t>The Ombudsman</w:t>
      </w:r>
      <w:r w:rsidR="009349BC">
        <w:t>’</w:t>
      </w:r>
      <w:r>
        <w:t>s written notice informs</w:t>
      </w:r>
      <w:r w:rsidRPr="005B5AAF">
        <w:t xml:space="preserve"> the businesses that if they do not participate in the recommended </w:t>
      </w:r>
      <w:r>
        <w:t>ADR</w:t>
      </w:r>
      <w:r w:rsidRPr="005B5AAF">
        <w:t xml:space="preserve"> process, or if they withdraw from the process, then the Ombudsman may publi</w:t>
      </w:r>
      <w:r>
        <w:t>sh</w:t>
      </w:r>
      <w:r w:rsidRPr="005B5AAF">
        <w:t xml:space="preserve"> that fact</w:t>
      </w:r>
      <w:r>
        <w:t xml:space="preserve">. </w:t>
      </w:r>
      <w:r w:rsidRPr="005B5AAF">
        <w:t xml:space="preserve">One of the businesses refuses to participate in the recommended </w:t>
      </w:r>
      <w:r>
        <w:t>ADR</w:t>
      </w:r>
      <w:r w:rsidRPr="005B5AAF">
        <w:t xml:space="preserve">, and so the Ombudsman publishes that fact. </w:t>
      </w:r>
    </w:p>
    <w:p w14:paraId="2C60B989" w14:textId="77777777" w:rsidR="008E13D0" w:rsidRDefault="009B35EF" w:rsidP="00C71EE9">
      <w:pPr>
        <w:pStyle w:val="Heading3"/>
      </w:pPr>
      <w:r>
        <w:t>Gathering information about requests for assistance</w:t>
      </w:r>
    </w:p>
    <w:p w14:paraId="15BA9A35" w14:textId="2D8DAB87" w:rsidR="004761A7" w:rsidRDefault="00CA3A1A" w:rsidP="00200FC3">
      <w:pPr>
        <w:pStyle w:val="base-text-paragraph"/>
      </w:pPr>
      <w:r>
        <w:t xml:space="preserve">In relation to </w:t>
      </w:r>
      <w:r w:rsidR="00C93A1A">
        <w:t xml:space="preserve">some requests for assistance, the Ombudsman may </w:t>
      </w:r>
      <w:r>
        <w:t>make inquiries, for example,</w:t>
      </w:r>
      <w:r w:rsidR="00C93A1A">
        <w:t xml:space="preserve"> to determine whether </w:t>
      </w:r>
      <w:r>
        <w:t xml:space="preserve">the requests </w:t>
      </w:r>
      <w:r w:rsidR="00C93A1A">
        <w:t xml:space="preserve">would fall within the </w:t>
      </w:r>
      <w:r>
        <w:t xml:space="preserve">remit </w:t>
      </w:r>
      <w:r w:rsidR="00C93A1A">
        <w:t xml:space="preserve">of the Ombudsman or more </w:t>
      </w:r>
      <w:r w:rsidR="009349BC">
        <w:t>‘</w:t>
      </w:r>
      <w:r>
        <w:t>conveniently or effectively</w:t>
      </w:r>
      <w:r w:rsidR="009349BC">
        <w:t>’</w:t>
      </w:r>
      <w:r>
        <w:t xml:space="preserve"> be dealt with by </w:t>
      </w:r>
      <w:r w:rsidR="00C93A1A">
        <w:t xml:space="preserve">another </w:t>
      </w:r>
      <w:r>
        <w:t>agency</w:t>
      </w:r>
      <w:r w:rsidR="00C93A1A">
        <w:t>.</w:t>
      </w:r>
      <w:r w:rsidR="005815C3" w:rsidRPr="006527E4">
        <w:rPr>
          <w:b/>
          <w:i/>
        </w:rPr>
        <w:t xml:space="preserve"> </w:t>
      </w:r>
      <w:r w:rsidR="005815C3" w:rsidRPr="00E57D84">
        <w:rPr>
          <w:b/>
          <w:i/>
        </w:rPr>
        <w:t>[</w:t>
      </w:r>
      <w:r w:rsidR="009A651A">
        <w:rPr>
          <w:rStyle w:val="Referencingstyle"/>
        </w:rPr>
        <w:t>Part 4</w:t>
      </w:r>
      <w:r w:rsidR="00CB7821">
        <w:rPr>
          <w:rStyle w:val="Referencingstyle"/>
        </w:rPr>
        <w:t>,</w:t>
      </w:r>
      <w:r w:rsidR="009A651A">
        <w:rPr>
          <w:rStyle w:val="Referencingstyle"/>
        </w:rPr>
        <w:t> Division 4</w:t>
      </w:r>
      <w:r w:rsidR="00CB7821">
        <w:rPr>
          <w:rStyle w:val="Referencingstyle"/>
        </w:rPr>
        <w:t>,</w:t>
      </w:r>
      <w:r w:rsidR="009A651A">
        <w:rPr>
          <w:rStyle w:val="Referencingstyle"/>
        </w:rPr>
        <w:t> </w:t>
      </w:r>
      <w:r w:rsidR="003B2347" w:rsidRPr="00750965">
        <w:rPr>
          <w:rStyle w:val="Referencingstyle"/>
        </w:rPr>
        <w:t>section 75]</w:t>
      </w:r>
      <w:r w:rsidR="003B2347" w:rsidRPr="006527E4">
        <w:rPr>
          <w:b/>
          <w:i/>
        </w:rPr>
        <w:t xml:space="preserve"> </w:t>
      </w:r>
    </w:p>
    <w:p w14:paraId="32BAAA23" w14:textId="67985453" w:rsidR="004761A7" w:rsidRDefault="00CA3A1A" w:rsidP="00200FC3">
      <w:pPr>
        <w:pStyle w:val="base-text-paragraph"/>
      </w:pPr>
      <w:r>
        <w:t>A person may be required by notice to provide information or documents to the Ombudsman which are relevant to i</w:t>
      </w:r>
      <w:r w:rsidRPr="00C63147">
        <w:t>nquir</w:t>
      </w:r>
      <w:r>
        <w:t>ies about requests for</w:t>
      </w:r>
      <w:r w:rsidR="0099061F">
        <w:t xml:space="preserve"> assistance</w:t>
      </w:r>
      <w:r>
        <w:t xml:space="preserve">. The notice will be in writing and must allow </w:t>
      </w:r>
      <w:r w:rsidR="009349BC">
        <w:t>‘</w:t>
      </w:r>
      <w:r>
        <w:t>at least 10 business days</w:t>
      </w:r>
      <w:r w:rsidR="009349BC">
        <w:t>’</w:t>
      </w:r>
      <w:r>
        <w:t xml:space="preserve"> for the notice to be complied with. The penalty for not complying with a notice is 30 penalty units. No penalty applies where the person does not have the required information or documents, or </w:t>
      </w:r>
      <w:r w:rsidR="00FC5EE2">
        <w:t>is</w:t>
      </w:r>
      <w:r>
        <w:t xml:space="preserve"> unable to obtain the information or documents despite taking </w:t>
      </w:r>
      <w:r w:rsidR="009349BC">
        <w:t>‘</w:t>
      </w:r>
      <w:r>
        <w:t>all reasonable steps</w:t>
      </w:r>
      <w:r w:rsidR="009349BC">
        <w:t>’</w:t>
      </w:r>
      <w:r>
        <w:t xml:space="preserve"> to obtain them. </w:t>
      </w:r>
      <w:r w:rsidR="005815C3" w:rsidRPr="00ED057C">
        <w:rPr>
          <w:rStyle w:val="Referencingstyle"/>
        </w:rPr>
        <w:t>[</w:t>
      </w:r>
      <w:r w:rsidR="00B17246" w:rsidRPr="00FD3295">
        <w:rPr>
          <w:rStyle w:val="Referencingstyle"/>
        </w:rPr>
        <w:t>Part 4</w:t>
      </w:r>
      <w:r w:rsidR="00CB7821">
        <w:rPr>
          <w:rStyle w:val="Referencingstyle"/>
        </w:rPr>
        <w:t>,</w:t>
      </w:r>
      <w:r w:rsidR="00B17246" w:rsidRPr="00FD3295">
        <w:rPr>
          <w:rStyle w:val="Referencingstyle"/>
        </w:rPr>
        <w:t> Division 4</w:t>
      </w:r>
      <w:r w:rsidR="00CB7821">
        <w:rPr>
          <w:rStyle w:val="Referencingstyle"/>
        </w:rPr>
        <w:t>,</w:t>
      </w:r>
      <w:r w:rsidR="00B17246" w:rsidRPr="00FD3295">
        <w:rPr>
          <w:rStyle w:val="Referencingstyle"/>
        </w:rPr>
        <w:t> </w:t>
      </w:r>
      <w:r w:rsidR="00E22C92" w:rsidRPr="00FD3295">
        <w:rPr>
          <w:rStyle w:val="Referencingstyle"/>
        </w:rPr>
        <w:t>section 76</w:t>
      </w:r>
      <w:r w:rsidR="005815C3" w:rsidRPr="00FD3295">
        <w:rPr>
          <w:rStyle w:val="Referencingstyle"/>
        </w:rPr>
        <w:t>]</w:t>
      </w:r>
      <w:r w:rsidR="00281AE0">
        <w:t xml:space="preserve"> </w:t>
      </w:r>
    </w:p>
    <w:p w14:paraId="3E1DD41C" w14:textId="77777777" w:rsidR="004761A7" w:rsidRDefault="00FE75E2" w:rsidP="00200FC3">
      <w:pPr>
        <w:pStyle w:val="base-text-paragraph"/>
      </w:pPr>
      <w:r>
        <w:t xml:space="preserve">The Ombudsman may take possession of, and make copies of, or take extracts from, documents. The Ombudsman may also keep documents, but only for so long as is necessary for the inquiry. The Ombudsman must also allow the documents to be inspected at all reasonable times by people who are entitled to inspect them. </w:t>
      </w:r>
      <w:r w:rsidR="005815C3" w:rsidRPr="00ED057C">
        <w:rPr>
          <w:rStyle w:val="Referencingstyle"/>
        </w:rPr>
        <w:t>[</w:t>
      </w:r>
      <w:r w:rsidR="0005433F" w:rsidRPr="00FD3295">
        <w:rPr>
          <w:rStyle w:val="Referencingstyle"/>
        </w:rPr>
        <w:t>Part 4</w:t>
      </w:r>
      <w:r w:rsidR="00CB7821">
        <w:rPr>
          <w:rStyle w:val="Referencingstyle"/>
        </w:rPr>
        <w:t xml:space="preserve">, Division 4, </w:t>
      </w:r>
      <w:r w:rsidR="00497FE2" w:rsidRPr="00FD3295">
        <w:rPr>
          <w:rStyle w:val="Referencingstyle"/>
        </w:rPr>
        <w:t>section 77</w:t>
      </w:r>
      <w:r w:rsidR="005815C3" w:rsidRPr="00FD3295">
        <w:rPr>
          <w:rStyle w:val="Referencingstyle"/>
        </w:rPr>
        <w:t>]</w:t>
      </w:r>
      <w:r w:rsidR="00497FE2">
        <w:t xml:space="preserve"> </w:t>
      </w:r>
    </w:p>
    <w:p w14:paraId="195F1662" w14:textId="77777777" w:rsidR="00C60759" w:rsidRDefault="00C60759" w:rsidP="00C71EE9">
      <w:pPr>
        <w:pStyle w:val="Heading3"/>
      </w:pPr>
      <w:r>
        <w:t>Limitation on powers</w:t>
      </w:r>
    </w:p>
    <w:p w14:paraId="6FEA69C4" w14:textId="77777777" w:rsidR="004761A7" w:rsidRDefault="00C60759" w:rsidP="00200FC3">
      <w:pPr>
        <w:pStyle w:val="base-text-paragraph"/>
      </w:pPr>
      <w:r>
        <w:t xml:space="preserve">Nothing in Part </w:t>
      </w:r>
      <w:r w:rsidR="00713D3D">
        <w:t>4</w:t>
      </w:r>
      <w:r>
        <w:t xml:space="preserve"> Division </w:t>
      </w:r>
      <w:r w:rsidR="00713D3D">
        <w:t>4</w:t>
      </w:r>
      <w:r>
        <w:t xml:space="preserve"> of the Bill</w:t>
      </w:r>
      <w:r w:rsidR="00F33CCE">
        <w:t xml:space="preserve"> (</w:t>
      </w:r>
      <w:r w:rsidR="000C651F">
        <w:t>dealing with assisting a small business or family enterprise</w:t>
      </w:r>
      <w:r w:rsidR="00F33CCE">
        <w:t>)</w:t>
      </w:r>
      <w:r w:rsidR="000C651F">
        <w:t xml:space="preserve"> </w:t>
      </w:r>
      <w:r>
        <w:t xml:space="preserve">allows a power to be exercised to the </w:t>
      </w:r>
      <w:r w:rsidR="00F33CCE">
        <w:t xml:space="preserve">detriment </w:t>
      </w:r>
      <w:r>
        <w:t xml:space="preserve">of a </w:t>
      </w:r>
      <w:r w:rsidR="00A16433">
        <w:t xml:space="preserve">state </w:t>
      </w:r>
      <w:r w:rsidR="00F33CCE">
        <w:t xml:space="preserve">being able </w:t>
      </w:r>
      <w:r>
        <w:t>to exercise its constitutional powers</w:t>
      </w:r>
      <w:r w:rsidR="005815C3">
        <w:t xml:space="preserve">. </w:t>
      </w:r>
      <w:r w:rsidR="005815C3" w:rsidRPr="00ED057C">
        <w:rPr>
          <w:rStyle w:val="Referencingstyle"/>
        </w:rPr>
        <w:t>[</w:t>
      </w:r>
      <w:r w:rsidR="005D55FF" w:rsidRPr="00FD3295">
        <w:rPr>
          <w:rStyle w:val="Referencingstyle"/>
        </w:rPr>
        <w:t>Part 4</w:t>
      </w:r>
      <w:r w:rsidR="00CB7821">
        <w:rPr>
          <w:rStyle w:val="Referencingstyle"/>
        </w:rPr>
        <w:t>,</w:t>
      </w:r>
      <w:r w:rsidR="005D55FF" w:rsidRPr="00FD3295">
        <w:rPr>
          <w:rStyle w:val="Referencingstyle"/>
        </w:rPr>
        <w:t> Division 4</w:t>
      </w:r>
      <w:r w:rsidR="00CB7821">
        <w:rPr>
          <w:rStyle w:val="Referencingstyle"/>
        </w:rPr>
        <w:t>,</w:t>
      </w:r>
      <w:r w:rsidR="005D55FF" w:rsidRPr="00FD3295">
        <w:rPr>
          <w:rStyle w:val="Referencingstyle"/>
        </w:rPr>
        <w:t> </w:t>
      </w:r>
      <w:r w:rsidRPr="00FD3295">
        <w:rPr>
          <w:rStyle w:val="Referencingstyle"/>
        </w:rPr>
        <w:t xml:space="preserve">section </w:t>
      </w:r>
      <w:r w:rsidR="004E38B9" w:rsidRPr="00FD3295">
        <w:rPr>
          <w:rStyle w:val="Referencingstyle"/>
        </w:rPr>
        <w:t>78</w:t>
      </w:r>
      <w:r w:rsidR="005815C3" w:rsidRPr="00FD3295">
        <w:rPr>
          <w:rStyle w:val="Referencingstyle"/>
        </w:rPr>
        <w:t>]</w:t>
      </w:r>
      <w:r>
        <w:t xml:space="preserve"> </w:t>
      </w:r>
    </w:p>
    <w:p w14:paraId="0EE87EF0" w14:textId="77777777" w:rsidR="008E13D0" w:rsidRDefault="008E13D0" w:rsidP="006F614C">
      <w:pPr>
        <w:pStyle w:val="ChapterHeading"/>
        <w:tabs>
          <w:tab w:val="left" w:pos="1985"/>
        </w:tabs>
        <w:ind w:left="1134"/>
        <w:sectPr w:rsidR="008E13D0" w:rsidSect="00821379">
          <w:headerReference w:type="default" r:id="rId49"/>
          <w:type w:val="oddPage"/>
          <w:pgSz w:w="11906" w:h="16838" w:code="9"/>
          <w:pgMar w:top="2466" w:right="2098" w:bottom="2466" w:left="2098" w:header="1559" w:footer="1899" w:gutter="0"/>
          <w:cols w:space="708"/>
          <w:titlePg/>
          <w:docGrid w:linePitch="360"/>
        </w:sectPr>
      </w:pPr>
    </w:p>
    <w:p w14:paraId="085A84E6" w14:textId="77777777" w:rsidR="008E13D0" w:rsidRPr="00700363" w:rsidRDefault="008E13D0" w:rsidP="00700363">
      <w:pPr>
        <w:pStyle w:val="ChapterHeading"/>
      </w:pPr>
      <w:bookmarkStart w:id="38" w:name="_Toc417980513"/>
      <w:bookmarkStart w:id="39" w:name="_Toc417985047"/>
      <w:bookmarkStart w:id="40" w:name="_Toc417989801"/>
      <w:r w:rsidRPr="00700363">
        <w:br/>
      </w:r>
      <w:bookmarkStart w:id="41" w:name="_Toc419101550"/>
      <w:bookmarkStart w:id="42" w:name="_Toc419136756"/>
      <w:bookmarkStart w:id="43" w:name="_Toc420587203"/>
      <w:r w:rsidR="006A7D99" w:rsidRPr="00700363">
        <w:t>General requirements</w:t>
      </w:r>
      <w:bookmarkEnd w:id="38"/>
      <w:bookmarkEnd w:id="39"/>
      <w:bookmarkEnd w:id="40"/>
      <w:bookmarkEnd w:id="41"/>
      <w:bookmarkEnd w:id="42"/>
      <w:bookmarkEnd w:id="43"/>
    </w:p>
    <w:p w14:paraId="13A91884" w14:textId="77777777" w:rsidR="008E13D0" w:rsidRPr="00700363" w:rsidRDefault="008E13D0" w:rsidP="00700363">
      <w:pPr>
        <w:pStyle w:val="Heading2"/>
      </w:pPr>
      <w:r w:rsidRPr="00700363">
        <w:t xml:space="preserve">Outline of </w:t>
      </w:r>
      <w:r w:rsidR="00FA4E45" w:rsidRPr="00700363">
        <w:t xml:space="preserve">chapter </w:t>
      </w:r>
    </w:p>
    <w:p w14:paraId="591E32D4" w14:textId="77777777" w:rsidR="004761A7" w:rsidRDefault="00DD5892" w:rsidP="00200FC3">
      <w:pPr>
        <w:pStyle w:val="base-text-paragraph"/>
      </w:pPr>
      <w:r>
        <w:t xml:space="preserve">This </w:t>
      </w:r>
      <w:r w:rsidR="005C239E">
        <w:t xml:space="preserve">chapter </w:t>
      </w:r>
      <w:r>
        <w:t xml:space="preserve">explains </w:t>
      </w:r>
      <w:r w:rsidR="00EA0785">
        <w:t xml:space="preserve">Part 5 of the </w:t>
      </w:r>
      <w:r w:rsidR="0099061F">
        <w:t>Bill</w:t>
      </w:r>
      <w:r>
        <w:t>, which</w:t>
      </w:r>
      <w:r w:rsidR="00EA0785">
        <w:t xml:space="preserve"> outlines </w:t>
      </w:r>
      <w:r w:rsidR="00862B60">
        <w:t xml:space="preserve">the general requirements in the </w:t>
      </w:r>
      <w:r w:rsidR="006E4A93">
        <w:t>Bill</w:t>
      </w:r>
      <w:r w:rsidR="00BC3142">
        <w:t xml:space="preserve">, including </w:t>
      </w:r>
      <w:r w:rsidR="004937E6">
        <w:t xml:space="preserve">provisions related to the </w:t>
      </w:r>
      <w:r w:rsidR="004937E6" w:rsidRPr="009C1756">
        <w:t>disclosure</w:t>
      </w:r>
      <w:r w:rsidR="004937E6">
        <w:t xml:space="preserve"> of protected information, </w:t>
      </w:r>
      <w:r w:rsidR="00BC3142">
        <w:t xml:space="preserve">and the </w:t>
      </w:r>
      <w:r w:rsidR="004937E6">
        <w:t xml:space="preserve">review of </w:t>
      </w:r>
      <w:r w:rsidR="00BC3142">
        <w:t xml:space="preserve">certain </w:t>
      </w:r>
      <w:r w:rsidR="004937E6">
        <w:t xml:space="preserve">decisions </w:t>
      </w:r>
      <w:r w:rsidR="006F614C">
        <w:t xml:space="preserve">that may be taken </w:t>
      </w:r>
      <w:r w:rsidR="004937E6">
        <w:t xml:space="preserve">under the </w:t>
      </w:r>
      <w:r w:rsidR="006F614C">
        <w:t>Bill</w:t>
      </w:r>
      <w:r w:rsidR="004937E6">
        <w:t>.</w:t>
      </w:r>
      <w:r w:rsidR="004761A7" w:rsidRPr="004761A7">
        <w:t xml:space="preserve"> </w:t>
      </w:r>
    </w:p>
    <w:p w14:paraId="7690D5AA" w14:textId="77777777" w:rsidR="004D4D4E" w:rsidRPr="00700363" w:rsidRDefault="004D4D4E" w:rsidP="00700363">
      <w:pPr>
        <w:pStyle w:val="Heading2"/>
      </w:pPr>
      <w:r w:rsidRPr="00700363">
        <w:t xml:space="preserve">Concurrent operation of </w:t>
      </w:r>
      <w:r w:rsidR="00D426F7">
        <w:t>s</w:t>
      </w:r>
      <w:r w:rsidRPr="00700363">
        <w:t>tate law</w:t>
      </w:r>
    </w:p>
    <w:p w14:paraId="2D61D51E" w14:textId="77777777" w:rsidR="004761A7" w:rsidRDefault="0099061F" w:rsidP="00200FC3">
      <w:pPr>
        <w:pStyle w:val="base-text-paragraph"/>
      </w:pPr>
      <w:r>
        <w:t>The</w:t>
      </w:r>
      <w:r w:rsidR="00931160">
        <w:t xml:space="preserve"> Bill, when operational, </w:t>
      </w:r>
      <w:r w:rsidR="00E615D6">
        <w:t xml:space="preserve">will not </w:t>
      </w:r>
      <w:r>
        <w:t>limit</w:t>
      </w:r>
      <w:r w:rsidR="00A25022">
        <w:t xml:space="preserve"> </w:t>
      </w:r>
      <w:r w:rsidR="00931160">
        <w:t>any</w:t>
      </w:r>
      <w:r w:rsidR="00A25022">
        <w:t xml:space="preserve"> </w:t>
      </w:r>
      <w:r w:rsidR="00931160">
        <w:t>s</w:t>
      </w:r>
      <w:r w:rsidR="00A25022">
        <w:t xml:space="preserve">tate or </w:t>
      </w:r>
      <w:r w:rsidR="00931160">
        <w:t>t</w:t>
      </w:r>
      <w:r w:rsidR="00A25022">
        <w:t>erritory law where</w:t>
      </w:r>
      <w:r>
        <w:t>,</w:t>
      </w:r>
      <w:r w:rsidR="00A25022">
        <w:t xml:space="preserve"> </w:t>
      </w:r>
      <w:r w:rsidR="00931160">
        <w:t xml:space="preserve">such </w:t>
      </w:r>
      <w:r w:rsidR="00A25022">
        <w:t xml:space="preserve">law can operate concurrently with the </w:t>
      </w:r>
      <w:r w:rsidR="00931160" w:rsidRPr="006F614C">
        <w:rPr>
          <w:i/>
        </w:rPr>
        <w:t xml:space="preserve">Australian Small Business and Family Enterprise </w:t>
      </w:r>
      <w:r w:rsidR="003E39E5" w:rsidRPr="006F614C">
        <w:rPr>
          <w:i/>
        </w:rPr>
        <w:t xml:space="preserve">Ombudsman </w:t>
      </w:r>
      <w:r>
        <w:rPr>
          <w:i/>
        </w:rPr>
        <w:t>Act</w:t>
      </w:r>
      <w:r w:rsidRPr="006F614C">
        <w:rPr>
          <w:i/>
        </w:rPr>
        <w:t xml:space="preserve"> </w:t>
      </w:r>
      <w:r w:rsidR="00931160" w:rsidRPr="006F614C">
        <w:rPr>
          <w:i/>
        </w:rPr>
        <w:t>2015</w:t>
      </w:r>
      <w:r w:rsidR="00931160">
        <w:t>.</w:t>
      </w:r>
      <w:r w:rsidR="005815C3">
        <w:t xml:space="preserve"> </w:t>
      </w:r>
      <w:r w:rsidR="005815C3" w:rsidRPr="00ED057C">
        <w:rPr>
          <w:rStyle w:val="Referencingstyle"/>
        </w:rPr>
        <w:t>[</w:t>
      </w:r>
      <w:r w:rsidR="00846BC0" w:rsidRPr="00A216FB">
        <w:rPr>
          <w:rStyle w:val="Referencingstyle"/>
        </w:rPr>
        <w:t>Part 5</w:t>
      </w:r>
      <w:r w:rsidR="00062715">
        <w:rPr>
          <w:rStyle w:val="Referencingstyle"/>
        </w:rPr>
        <w:t>,</w:t>
      </w:r>
      <w:r w:rsidR="00846BC0" w:rsidRPr="00A216FB">
        <w:rPr>
          <w:rStyle w:val="Referencingstyle"/>
        </w:rPr>
        <w:t> Division 1</w:t>
      </w:r>
      <w:r w:rsidR="00062715">
        <w:rPr>
          <w:rStyle w:val="Referencingstyle"/>
        </w:rPr>
        <w:t>,</w:t>
      </w:r>
      <w:r w:rsidR="00846BC0" w:rsidRPr="00A216FB">
        <w:rPr>
          <w:rStyle w:val="Referencingstyle"/>
        </w:rPr>
        <w:t> </w:t>
      </w:r>
      <w:r w:rsidR="00417886" w:rsidRPr="00A216FB">
        <w:rPr>
          <w:rStyle w:val="Referencingstyle"/>
        </w:rPr>
        <w:t>section 79</w:t>
      </w:r>
      <w:r w:rsidR="005815C3" w:rsidRPr="00A216FB">
        <w:rPr>
          <w:rStyle w:val="Referencingstyle"/>
        </w:rPr>
        <w:t>]</w:t>
      </w:r>
      <w:r w:rsidR="003B53C7">
        <w:t xml:space="preserve"> </w:t>
      </w:r>
    </w:p>
    <w:p w14:paraId="1D39AB34" w14:textId="77777777" w:rsidR="008E13D0" w:rsidRDefault="004D4D4E" w:rsidP="00700363">
      <w:pPr>
        <w:pStyle w:val="Heading2"/>
      </w:pPr>
      <w:r>
        <w:t>Secrecy</w:t>
      </w:r>
    </w:p>
    <w:p w14:paraId="4869B26C" w14:textId="044D7A90" w:rsidR="004761A7" w:rsidRDefault="00931160" w:rsidP="00200FC3">
      <w:pPr>
        <w:pStyle w:val="base-text-paragraph"/>
      </w:pPr>
      <w:r>
        <w:t>P</w:t>
      </w:r>
      <w:r w:rsidR="008447F0">
        <w:t xml:space="preserve">rotected information </w:t>
      </w:r>
      <w:r>
        <w:t xml:space="preserve">is defined as </w:t>
      </w:r>
      <w:r w:rsidR="00251F9D">
        <w:t xml:space="preserve">information </w:t>
      </w:r>
      <w:r>
        <w:t>relating to the affairs of a small business or family enterprise, disclosed</w:t>
      </w:r>
      <w:r w:rsidR="00251F9D">
        <w:t xml:space="preserve"> </w:t>
      </w:r>
      <w:r>
        <w:t>to</w:t>
      </w:r>
      <w:r w:rsidR="0099061F">
        <w:t>, or obtained by,</w:t>
      </w:r>
      <w:r>
        <w:t xml:space="preserve"> a </w:t>
      </w:r>
      <w:r w:rsidR="009349BC">
        <w:t>‘</w:t>
      </w:r>
      <w:r>
        <w:t>person assisting</w:t>
      </w:r>
      <w:r w:rsidR="009349BC">
        <w:t>’</w:t>
      </w:r>
      <w:r>
        <w:t xml:space="preserve"> a small business or family enterprise.</w:t>
      </w:r>
      <w:r w:rsidR="001A7A7E">
        <w:t xml:space="preserve"> </w:t>
      </w:r>
      <w:r w:rsidRPr="00ED057C">
        <w:rPr>
          <w:rStyle w:val="Referencingstyle"/>
        </w:rPr>
        <w:t>[</w:t>
      </w:r>
      <w:r w:rsidRPr="00FD3295">
        <w:rPr>
          <w:rStyle w:val="Referencingstyle"/>
        </w:rPr>
        <w:t>Part 5</w:t>
      </w:r>
      <w:r w:rsidR="00062715">
        <w:rPr>
          <w:rStyle w:val="Referencingstyle"/>
        </w:rPr>
        <w:t>,</w:t>
      </w:r>
      <w:r w:rsidRPr="00FD3295">
        <w:rPr>
          <w:rStyle w:val="Referencingstyle"/>
        </w:rPr>
        <w:t> Division 2</w:t>
      </w:r>
      <w:r w:rsidR="00062715">
        <w:rPr>
          <w:rStyle w:val="Referencingstyle"/>
        </w:rPr>
        <w:t>,</w:t>
      </w:r>
      <w:r w:rsidRPr="00FD3295">
        <w:rPr>
          <w:rStyle w:val="Referencingstyle"/>
        </w:rPr>
        <w:t> section </w:t>
      </w:r>
      <w:r>
        <w:rPr>
          <w:rStyle w:val="Referencingstyle"/>
        </w:rPr>
        <w:t>80</w:t>
      </w:r>
      <w:r w:rsidRPr="00FD3295">
        <w:rPr>
          <w:rStyle w:val="Referencingstyle"/>
        </w:rPr>
        <w:t>]</w:t>
      </w:r>
      <w:r w:rsidR="004761A7" w:rsidRPr="004761A7">
        <w:t xml:space="preserve"> </w:t>
      </w:r>
    </w:p>
    <w:p w14:paraId="19EEAC7B" w14:textId="77777777" w:rsidR="00CF7CB7" w:rsidRDefault="001A7A7E" w:rsidP="00200FC3">
      <w:pPr>
        <w:pStyle w:val="base-text-paragraph"/>
      </w:pPr>
      <w:r>
        <w:t xml:space="preserve">A person assisting </w:t>
      </w:r>
      <w:r w:rsidR="00CF7CB7">
        <w:t xml:space="preserve">a </w:t>
      </w:r>
      <w:r>
        <w:t xml:space="preserve">small business </w:t>
      </w:r>
      <w:r w:rsidR="00CF7CB7">
        <w:t xml:space="preserve">or family enterprise </w:t>
      </w:r>
      <w:r>
        <w:t xml:space="preserve">is </w:t>
      </w:r>
      <w:r w:rsidR="00CF7CB7">
        <w:t>defined as:</w:t>
      </w:r>
      <w:r w:rsidR="004761A7" w:rsidRPr="004761A7">
        <w:t xml:space="preserve"> </w:t>
      </w:r>
    </w:p>
    <w:p w14:paraId="745BBCF4" w14:textId="77777777" w:rsidR="00CF7CB7" w:rsidRPr="006F3456" w:rsidRDefault="00CF7CB7" w:rsidP="006F614C">
      <w:pPr>
        <w:pStyle w:val="exampledotpoint1"/>
        <w:rPr>
          <w:szCs w:val="22"/>
        </w:rPr>
      </w:pPr>
      <w:r w:rsidRPr="006F614C">
        <w:rPr>
          <w:sz w:val="22"/>
          <w:szCs w:val="22"/>
        </w:rPr>
        <w:t>the Ombudsman;</w:t>
      </w:r>
    </w:p>
    <w:p w14:paraId="7E6CC769" w14:textId="77777777" w:rsidR="00D16FD4" w:rsidRPr="006F3456" w:rsidRDefault="00D16FD4" w:rsidP="006F614C">
      <w:pPr>
        <w:pStyle w:val="exampledotpoint1"/>
        <w:rPr>
          <w:szCs w:val="22"/>
        </w:rPr>
      </w:pPr>
      <w:r w:rsidRPr="006F614C">
        <w:rPr>
          <w:sz w:val="22"/>
          <w:szCs w:val="22"/>
        </w:rPr>
        <w:t>a delegate of the Ombudsman;</w:t>
      </w:r>
    </w:p>
    <w:p w14:paraId="2E2B0134" w14:textId="77777777" w:rsidR="00D16FD4" w:rsidRPr="006F3456" w:rsidRDefault="0009178D" w:rsidP="006F614C">
      <w:pPr>
        <w:pStyle w:val="exampledotpoint1"/>
        <w:rPr>
          <w:szCs w:val="22"/>
        </w:rPr>
      </w:pPr>
      <w:r w:rsidRPr="006F614C">
        <w:rPr>
          <w:sz w:val="22"/>
          <w:szCs w:val="22"/>
        </w:rPr>
        <w:t>a</w:t>
      </w:r>
      <w:r w:rsidR="00D16FD4" w:rsidRPr="006F614C">
        <w:rPr>
          <w:sz w:val="22"/>
          <w:szCs w:val="22"/>
        </w:rPr>
        <w:t xml:space="preserve"> person assisting the Ombudsman under section 33 of the Bill (staff of the Ombudsman);</w:t>
      </w:r>
    </w:p>
    <w:p w14:paraId="42D9FDAF" w14:textId="77777777" w:rsidR="00D16FD4" w:rsidRPr="00A82CD1" w:rsidRDefault="0009178D" w:rsidP="006F614C">
      <w:pPr>
        <w:pStyle w:val="exampledotpoint1"/>
        <w:rPr>
          <w:szCs w:val="22"/>
        </w:rPr>
      </w:pPr>
      <w:r w:rsidRPr="00A82CD1">
        <w:rPr>
          <w:sz w:val="22"/>
          <w:szCs w:val="22"/>
        </w:rPr>
        <w:t>a</w:t>
      </w:r>
      <w:r w:rsidR="00D16FD4" w:rsidRPr="00A82CD1">
        <w:rPr>
          <w:sz w:val="22"/>
          <w:szCs w:val="22"/>
        </w:rPr>
        <w:t xml:space="preserve"> person engaged as a consultant under section 34 (consultants engaged to assist the Ombudsman);</w:t>
      </w:r>
      <w:r w:rsidR="005C239E" w:rsidRPr="00A82CD1">
        <w:rPr>
          <w:sz w:val="22"/>
          <w:szCs w:val="22"/>
        </w:rPr>
        <w:t xml:space="preserve"> </w:t>
      </w:r>
    </w:p>
    <w:p w14:paraId="3FE5FB97" w14:textId="77777777" w:rsidR="00CA5E7A" w:rsidRPr="00CA5E7A" w:rsidRDefault="0009178D" w:rsidP="006F614C">
      <w:pPr>
        <w:pStyle w:val="exampledotpoint1"/>
        <w:rPr>
          <w:szCs w:val="22"/>
        </w:rPr>
      </w:pPr>
      <w:r w:rsidRPr="006F614C">
        <w:rPr>
          <w:sz w:val="22"/>
          <w:szCs w:val="22"/>
        </w:rPr>
        <w:t>a</w:t>
      </w:r>
      <w:r w:rsidR="00D16FD4" w:rsidRPr="006F614C">
        <w:rPr>
          <w:sz w:val="22"/>
          <w:szCs w:val="22"/>
        </w:rPr>
        <w:t xml:space="preserve"> person providing an alternative dispute resolution process in connection with a dispute in relation to a relevant action. </w:t>
      </w:r>
    </w:p>
    <w:p w14:paraId="74F1A199" w14:textId="77777777" w:rsidR="00D16FD4" w:rsidRPr="006F3456" w:rsidRDefault="00D16FD4" w:rsidP="00CA5E7A">
      <w:pPr>
        <w:pStyle w:val="base-text-paragraphnonumbers"/>
        <w:rPr>
          <w:szCs w:val="22"/>
        </w:rPr>
      </w:pPr>
      <w:r w:rsidRPr="00F12FC0">
        <w:rPr>
          <w:rStyle w:val="Referencingstyle"/>
        </w:rPr>
        <w:t>[Part 5</w:t>
      </w:r>
      <w:r w:rsidR="00A1209F">
        <w:rPr>
          <w:rStyle w:val="Referencingstyle"/>
        </w:rPr>
        <w:t>,</w:t>
      </w:r>
      <w:r w:rsidRPr="00F12FC0">
        <w:rPr>
          <w:rStyle w:val="Referencingstyle"/>
        </w:rPr>
        <w:t> Division 2</w:t>
      </w:r>
      <w:r w:rsidR="00A1209F">
        <w:rPr>
          <w:rStyle w:val="Referencingstyle"/>
        </w:rPr>
        <w:t>,</w:t>
      </w:r>
      <w:r w:rsidRPr="00F12FC0">
        <w:rPr>
          <w:rStyle w:val="Referencingstyle"/>
        </w:rPr>
        <w:t> section 81]</w:t>
      </w:r>
    </w:p>
    <w:p w14:paraId="74D1714D" w14:textId="7D90A18E" w:rsidR="004761A7" w:rsidRDefault="00FB1EB6" w:rsidP="00AD0337">
      <w:pPr>
        <w:pStyle w:val="base-text-paragraph"/>
        <w:spacing w:before="80" w:after="80"/>
      </w:pPr>
      <w:r>
        <w:t xml:space="preserve">Unauthorised </w:t>
      </w:r>
      <w:r w:rsidR="006C38F1">
        <w:t>disclosure</w:t>
      </w:r>
      <w:r w:rsidR="00026C51">
        <w:t>,</w:t>
      </w:r>
      <w:r w:rsidR="006C38F1">
        <w:t xml:space="preserve"> or use</w:t>
      </w:r>
      <w:r w:rsidR="00026C51">
        <w:t>,</w:t>
      </w:r>
      <w:r w:rsidR="006C38F1">
        <w:t xml:space="preserve"> of protected information </w:t>
      </w:r>
      <w:r w:rsidR="00D90B99">
        <w:t>by a person assisting small business</w:t>
      </w:r>
      <w:r>
        <w:t xml:space="preserve"> or </w:t>
      </w:r>
      <w:r w:rsidR="00D90B99">
        <w:t xml:space="preserve">family enterprise </w:t>
      </w:r>
      <w:r w:rsidR="006C38F1">
        <w:t>carries a penalty of imprisonment for two years</w:t>
      </w:r>
      <w:r w:rsidR="0074411A">
        <w:t>,</w:t>
      </w:r>
      <w:r w:rsidR="006C38F1">
        <w:t xml:space="preserve"> or</w:t>
      </w:r>
      <w:r w:rsidR="00FC0629">
        <w:t xml:space="preserve"> </w:t>
      </w:r>
      <w:r w:rsidR="00521227">
        <w:t>120</w:t>
      </w:r>
      <w:r w:rsidR="00FC0629">
        <w:t xml:space="preserve"> penalty units</w:t>
      </w:r>
      <w:r w:rsidR="004D1C36">
        <w:t xml:space="preserve">. </w:t>
      </w:r>
      <w:r w:rsidR="00FC0629">
        <w:t xml:space="preserve">The intention </w:t>
      </w:r>
      <w:r w:rsidR="00837CC5">
        <w:t xml:space="preserve">is that </w:t>
      </w:r>
      <w:r w:rsidR="00FC0629">
        <w:t xml:space="preserve">protected information </w:t>
      </w:r>
      <w:r w:rsidR="00837CC5">
        <w:t xml:space="preserve">should be handled </w:t>
      </w:r>
      <w:r w:rsidR="00FC0629">
        <w:t>appropriately</w:t>
      </w:r>
      <w:r w:rsidR="00877279">
        <w:t xml:space="preserve">. </w:t>
      </w:r>
      <w:r w:rsidR="001348F0">
        <w:t xml:space="preserve">No penalty applies where disclosure of the </w:t>
      </w:r>
      <w:r w:rsidR="00D90B99">
        <w:t>protected information</w:t>
      </w:r>
      <w:r w:rsidR="00026C51">
        <w:t xml:space="preserve"> is authorised by</w:t>
      </w:r>
      <w:r w:rsidR="001348F0">
        <w:t xml:space="preserve"> a law of the Commonwealth, a state or a territory. </w:t>
      </w:r>
      <w:r w:rsidR="00026C51">
        <w:t>Also, e</w:t>
      </w:r>
      <w:r w:rsidR="005C750E">
        <w:t xml:space="preserve">xcept for the purpose of giving effect to provisions </w:t>
      </w:r>
      <w:r w:rsidR="00026C51">
        <w:t>of this Bill, a person</w:t>
      </w:r>
      <w:r w:rsidR="005C750E">
        <w:t xml:space="preserve"> assisting a small business or family enterprise is not required to produce documents for, or disclose information to, </w:t>
      </w:r>
      <w:r w:rsidR="009349BC">
        <w:t>‘</w:t>
      </w:r>
      <w:r w:rsidR="005C750E">
        <w:t>a court or tribunal</w:t>
      </w:r>
      <w:r w:rsidR="009349BC">
        <w:t>’</w:t>
      </w:r>
      <w:r w:rsidR="005C750E">
        <w:t xml:space="preserve">. </w:t>
      </w:r>
      <w:r w:rsidR="005815C3" w:rsidRPr="00ED057C">
        <w:rPr>
          <w:rStyle w:val="Referencingstyle"/>
        </w:rPr>
        <w:t>[</w:t>
      </w:r>
      <w:r w:rsidR="005F566C" w:rsidRPr="00FD3295">
        <w:rPr>
          <w:rStyle w:val="Referencingstyle"/>
        </w:rPr>
        <w:t>Part 5</w:t>
      </w:r>
      <w:r w:rsidR="00062715">
        <w:rPr>
          <w:rStyle w:val="Referencingstyle"/>
        </w:rPr>
        <w:t>,</w:t>
      </w:r>
      <w:r w:rsidR="005F566C" w:rsidRPr="00FD3295">
        <w:rPr>
          <w:rStyle w:val="Referencingstyle"/>
        </w:rPr>
        <w:t> Division 2</w:t>
      </w:r>
      <w:r w:rsidR="00062715">
        <w:rPr>
          <w:rStyle w:val="Referencingstyle"/>
        </w:rPr>
        <w:t>,</w:t>
      </w:r>
      <w:r w:rsidR="005F566C" w:rsidRPr="00FD3295">
        <w:rPr>
          <w:rStyle w:val="Referencingstyle"/>
        </w:rPr>
        <w:t> </w:t>
      </w:r>
      <w:r w:rsidR="00D23EBD" w:rsidRPr="00FD3295">
        <w:rPr>
          <w:rStyle w:val="Referencingstyle"/>
        </w:rPr>
        <w:t>section 82</w:t>
      </w:r>
      <w:r w:rsidR="005815C3" w:rsidRPr="00FD3295">
        <w:rPr>
          <w:rStyle w:val="Referencingstyle"/>
        </w:rPr>
        <w:t>]</w:t>
      </w:r>
      <w:r w:rsidR="004761A7" w:rsidRPr="004761A7">
        <w:t xml:space="preserve"> </w:t>
      </w:r>
    </w:p>
    <w:p w14:paraId="21F48771" w14:textId="29DC572C" w:rsidR="004761A7" w:rsidRDefault="00875A96" w:rsidP="00AD0337">
      <w:pPr>
        <w:pStyle w:val="base-text-paragraph"/>
        <w:spacing w:before="80" w:after="80"/>
      </w:pPr>
      <w:r>
        <w:t>A</w:t>
      </w:r>
      <w:r w:rsidR="00126CF2">
        <w:t xml:space="preserve"> person assisting a small business </w:t>
      </w:r>
      <w:r w:rsidR="001A07E1">
        <w:t xml:space="preserve">or family enterprise </w:t>
      </w:r>
      <w:r w:rsidR="00126CF2">
        <w:t xml:space="preserve">may disclose or use protected information if the disclosure </w:t>
      </w:r>
      <w:r w:rsidR="004B7E72">
        <w:t xml:space="preserve">or use </w:t>
      </w:r>
      <w:r w:rsidR="00126CF2">
        <w:t>is for the purposes of this Bill or a legislative instrument under this Bill</w:t>
      </w:r>
      <w:r w:rsidR="005815C3">
        <w:t xml:space="preserve"> </w:t>
      </w:r>
      <w:r w:rsidR="005815C3" w:rsidRPr="00ED057C">
        <w:rPr>
          <w:rStyle w:val="Referencingstyle"/>
        </w:rPr>
        <w:t>[</w:t>
      </w:r>
      <w:r w:rsidR="00C67DE6" w:rsidRPr="00FD3295">
        <w:rPr>
          <w:rStyle w:val="Referencingstyle"/>
        </w:rPr>
        <w:t>Part 5</w:t>
      </w:r>
      <w:r w:rsidR="00062715">
        <w:rPr>
          <w:rStyle w:val="Referencingstyle"/>
        </w:rPr>
        <w:t>,</w:t>
      </w:r>
      <w:r w:rsidR="00C67DE6" w:rsidRPr="00FD3295">
        <w:rPr>
          <w:rStyle w:val="Referencingstyle"/>
        </w:rPr>
        <w:t> Division 2</w:t>
      </w:r>
      <w:r w:rsidR="00062715">
        <w:rPr>
          <w:rStyle w:val="Referencingstyle"/>
        </w:rPr>
        <w:t>,</w:t>
      </w:r>
      <w:r w:rsidR="00C67DE6" w:rsidRPr="00FD3295">
        <w:rPr>
          <w:rStyle w:val="Referencingstyle"/>
        </w:rPr>
        <w:t> </w:t>
      </w:r>
      <w:r w:rsidR="00126CF2" w:rsidRPr="00FD3295">
        <w:rPr>
          <w:rStyle w:val="Referencingstyle"/>
        </w:rPr>
        <w:t>section</w:t>
      </w:r>
      <w:r w:rsidR="005C239E">
        <w:rPr>
          <w:rStyle w:val="Referencingstyle"/>
        </w:rPr>
        <w:t> </w:t>
      </w:r>
      <w:r w:rsidR="00126CF2" w:rsidRPr="00FD3295">
        <w:rPr>
          <w:rStyle w:val="Referencingstyle"/>
        </w:rPr>
        <w:t>83</w:t>
      </w:r>
      <w:r w:rsidR="005815C3" w:rsidRPr="00FD3295">
        <w:rPr>
          <w:rStyle w:val="Referencingstyle"/>
        </w:rPr>
        <w:t>]</w:t>
      </w:r>
      <w:r w:rsidR="004D1C36">
        <w:t xml:space="preserve">. </w:t>
      </w:r>
      <w:r w:rsidR="0046439D">
        <w:t>Similarly, the Ombudsman, the</w:t>
      </w:r>
      <w:r>
        <w:t xml:space="preserve"> Ombudsman</w:t>
      </w:r>
      <w:r w:rsidR="009349BC">
        <w:t>’</w:t>
      </w:r>
      <w:r>
        <w:t>s</w:t>
      </w:r>
      <w:r w:rsidR="0046439D">
        <w:t xml:space="preserve"> delegate</w:t>
      </w:r>
      <w:r>
        <w:t xml:space="preserve">, and </w:t>
      </w:r>
      <w:r w:rsidR="0046439D">
        <w:t>a person assisting the Ombudsman</w:t>
      </w:r>
      <w:r>
        <w:t>, may</w:t>
      </w:r>
      <w:r w:rsidR="0046439D">
        <w:t xml:space="preserve"> disclose information to the Minister </w:t>
      </w:r>
      <w:r>
        <w:t xml:space="preserve">and </w:t>
      </w:r>
      <w:r w:rsidR="0046439D">
        <w:t>the Secretary</w:t>
      </w:r>
      <w:r w:rsidR="00D22635">
        <w:t xml:space="preserve"> </w:t>
      </w:r>
      <w:r w:rsidR="0046439D">
        <w:t>(</w:t>
      </w:r>
      <w:r>
        <w:t>and</w:t>
      </w:r>
      <w:r w:rsidR="0046439D">
        <w:t xml:space="preserve"> someone authorised in writing by the Secretary), unless it relates to a request for assistance in relation to a dispute with the </w:t>
      </w:r>
      <w:r w:rsidR="002C5DE2">
        <w:t>Minister/Secretary</w:t>
      </w:r>
      <w:r w:rsidR="009349BC">
        <w:t>’</w:t>
      </w:r>
      <w:r w:rsidR="002C5DE2">
        <w:t xml:space="preserve">s </w:t>
      </w:r>
      <w:r w:rsidR="0046439D">
        <w:t>Department</w:t>
      </w:r>
      <w:r w:rsidR="005815C3">
        <w:t xml:space="preserve">. </w:t>
      </w:r>
      <w:r w:rsidR="005815C3" w:rsidRPr="00ED057C">
        <w:rPr>
          <w:rStyle w:val="Referencingstyle"/>
        </w:rPr>
        <w:t>[</w:t>
      </w:r>
      <w:r w:rsidR="00C67DE6" w:rsidRPr="00FD3295">
        <w:rPr>
          <w:rStyle w:val="Referencingstyle"/>
        </w:rPr>
        <w:t>Part 5</w:t>
      </w:r>
      <w:r w:rsidR="00062715">
        <w:rPr>
          <w:rStyle w:val="Referencingstyle"/>
        </w:rPr>
        <w:t>,</w:t>
      </w:r>
      <w:r w:rsidR="00C67DE6" w:rsidRPr="00FD3295">
        <w:rPr>
          <w:rStyle w:val="Referencingstyle"/>
        </w:rPr>
        <w:t> Division 2</w:t>
      </w:r>
      <w:r w:rsidR="00062715">
        <w:rPr>
          <w:rStyle w:val="Referencingstyle"/>
        </w:rPr>
        <w:t>,</w:t>
      </w:r>
      <w:r w:rsidR="00C67DE6" w:rsidRPr="00FD3295">
        <w:rPr>
          <w:rStyle w:val="Referencingstyle"/>
        </w:rPr>
        <w:t> </w:t>
      </w:r>
      <w:r w:rsidR="0046439D" w:rsidRPr="00FD3295">
        <w:rPr>
          <w:rStyle w:val="Referencingstyle"/>
        </w:rPr>
        <w:t>sections 84</w:t>
      </w:r>
      <w:r w:rsidR="00C67DE6" w:rsidRPr="00FD3295">
        <w:rPr>
          <w:rStyle w:val="Referencingstyle"/>
        </w:rPr>
        <w:t xml:space="preserve"> </w:t>
      </w:r>
      <w:r w:rsidR="004B7E72">
        <w:rPr>
          <w:rStyle w:val="Referencingstyle"/>
        </w:rPr>
        <w:t>and</w:t>
      </w:r>
      <w:r w:rsidR="00C67DE6" w:rsidRPr="00FD3295">
        <w:rPr>
          <w:rStyle w:val="Referencingstyle"/>
        </w:rPr>
        <w:t xml:space="preserve"> </w:t>
      </w:r>
      <w:r w:rsidR="0046439D" w:rsidRPr="00FD3295">
        <w:rPr>
          <w:rStyle w:val="Referencingstyle"/>
        </w:rPr>
        <w:t>85</w:t>
      </w:r>
      <w:r w:rsidR="005815C3" w:rsidRPr="00FD3295">
        <w:rPr>
          <w:rStyle w:val="Referencingstyle"/>
        </w:rPr>
        <w:t>]</w:t>
      </w:r>
      <w:r w:rsidR="005815C3">
        <w:rPr>
          <w:rStyle w:val="Referencingstyle"/>
        </w:rPr>
        <w:t xml:space="preserve"> </w:t>
      </w:r>
    </w:p>
    <w:p w14:paraId="3CFCC641" w14:textId="42D9DEE4" w:rsidR="004761A7" w:rsidRDefault="0074411A" w:rsidP="00AD0337">
      <w:pPr>
        <w:pStyle w:val="base-text-paragraph"/>
        <w:spacing w:before="80" w:after="80"/>
      </w:pPr>
      <w:r>
        <w:t>T</w:t>
      </w:r>
      <w:r w:rsidR="00D65A6D">
        <w:t xml:space="preserve">he Ombudsman </w:t>
      </w:r>
      <w:r>
        <w:t xml:space="preserve">may </w:t>
      </w:r>
      <w:r w:rsidR="00D65A6D">
        <w:t xml:space="preserve">disclose protected information to </w:t>
      </w:r>
      <w:r>
        <w:t xml:space="preserve">certain </w:t>
      </w:r>
      <w:r w:rsidR="00D65A6D">
        <w:t>agencies</w:t>
      </w:r>
      <w:r>
        <w:t>,</w:t>
      </w:r>
      <w:r w:rsidR="00D65A6D">
        <w:t xml:space="preserve"> bodies, </w:t>
      </w:r>
      <w:r>
        <w:t xml:space="preserve">and persons, such as the Commonwealth Ombudsman. A penalty of imprisonment for two years, or a fine to the value of 120 penalty units, applies to </w:t>
      </w:r>
      <w:r w:rsidR="000B0777">
        <w:t xml:space="preserve">a person in a professional disciplinary body </w:t>
      </w:r>
      <w:r w:rsidR="00D65A6D">
        <w:t>who discloses</w:t>
      </w:r>
      <w:r w:rsidR="000B0777">
        <w:t>,</w:t>
      </w:r>
      <w:r w:rsidR="00D65A6D">
        <w:t xml:space="preserve"> or uses</w:t>
      </w:r>
      <w:r w:rsidR="000B0777">
        <w:t>,</w:t>
      </w:r>
      <w:r w:rsidR="00D65A6D">
        <w:t xml:space="preserve"> the information provided by the Ombudsman without the Ombudsman</w:t>
      </w:r>
      <w:r w:rsidR="009349BC">
        <w:t>’</w:t>
      </w:r>
      <w:r w:rsidR="00D65A6D">
        <w:t xml:space="preserve">s consent, </w:t>
      </w:r>
      <w:r w:rsidR="000B0777">
        <w:t xml:space="preserve">unless the disclosure or use </w:t>
      </w:r>
      <w:r w:rsidR="004B7E72">
        <w:t xml:space="preserve">is </w:t>
      </w:r>
      <w:r w:rsidR="00EA5F52">
        <w:t>related to taking disciplinary action</w:t>
      </w:r>
      <w:r w:rsidR="004B62DD">
        <w:t>.</w:t>
      </w:r>
      <w:r w:rsidR="005815C3">
        <w:t xml:space="preserve"> </w:t>
      </w:r>
      <w:r w:rsidR="005815C3" w:rsidRPr="00ED057C">
        <w:rPr>
          <w:rStyle w:val="Referencingstyle"/>
        </w:rPr>
        <w:t>[</w:t>
      </w:r>
      <w:r w:rsidR="00AE29B2" w:rsidRPr="00FD3295">
        <w:rPr>
          <w:rStyle w:val="Referencingstyle"/>
        </w:rPr>
        <w:t>Part 5</w:t>
      </w:r>
      <w:r w:rsidR="00062715">
        <w:rPr>
          <w:rStyle w:val="Referencingstyle"/>
        </w:rPr>
        <w:t>,</w:t>
      </w:r>
      <w:r w:rsidR="00AE29B2" w:rsidRPr="00FD3295">
        <w:rPr>
          <w:rStyle w:val="Referencingstyle"/>
        </w:rPr>
        <w:t> Division 2</w:t>
      </w:r>
      <w:r w:rsidR="00062715">
        <w:rPr>
          <w:rStyle w:val="Referencingstyle"/>
        </w:rPr>
        <w:t>,</w:t>
      </w:r>
      <w:r w:rsidR="00AE29B2" w:rsidRPr="00FD3295">
        <w:rPr>
          <w:rStyle w:val="Referencingstyle"/>
        </w:rPr>
        <w:t> </w:t>
      </w:r>
      <w:r w:rsidR="00EA5F52" w:rsidRPr="00FD3295">
        <w:rPr>
          <w:rStyle w:val="Referencingstyle"/>
        </w:rPr>
        <w:t>section 8</w:t>
      </w:r>
      <w:r>
        <w:rPr>
          <w:rStyle w:val="Referencingstyle"/>
        </w:rPr>
        <w:t>6</w:t>
      </w:r>
      <w:r w:rsidR="005815C3" w:rsidRPr="00FD3295">
        <w:rPr>
          <w:rStyle w:val="Referencingstyle"/>
        </w:rPr>
        <w:t>]</w:t>
      </w:r>
      <w:r w:rsidR="004D1C36">
        <w:t xml:space="preserve"> </w:t>
      </w:r>
    </w:p>
    <w:p w14:paraId="484E7B09" w14:textId="77777777" w:rsidR="004761A7" w:rsidRDefault="003F3DB1" w:rsidP="00AD0337">
      <w:pPr>
        <w:pStyle w:val="base-text-paragraph"/>
        <w:spacing w:before="80" w:after="80"/>
      </w:pPr>
      <w:r>
        <w:t>Disclosure may be made in certain circumstances, such as with the consent of the person to whose affairs the information relates</w:t>
      </w:r>
      <w:r w:rsidR="005815C3">
        <w:t xml:space="preserve"> </w:t>
      </w:r>
      <w:r w:rsidR="005815C3" w:rsidRPr="00ED057C">
        <w:rPr>
          <w:rStyle w:val="Referencingstyle"/>
        </w:rPr>
        <w:t>[</w:t>
      </w:r>
      <w:r w:rsidR="00AE29B2" w:rsidRPr="00FD3295">
        <w:rPr>
          <w:rStyle w:val="Referencingstyle"/>
        </w:rPr>
        <w:t>Part 5</w:t>
      </w:r>
      <w:r w:rsidR="00062715">
        <w:rPr>
          <w:rStyle w:val="Referencingstyle"/>
        </w:rPr>
        <w:t>,</w:t>
      </w:r>
      <w:r w:rsidR="00AE29B2" w:rsidRPr="00FD3295">
        <w:rPr>
          <w:rStyle w:val="Referencingstyle"/>
        </w:rPr>
        <w:t> Division 2</w:t>
      </w:r>
      <w:r w:rsidR="00062715">
        <w:rPr>
          <w:rStyle w:val="Referencingstyle"/>
        </w:rPr>
        <w:t>,</w:t>
      </w:r>
      <w:r w:rsidR="00AE29B2" w:rsidRPr="00FD3295">
        <w:rPr>
          <w:rStyle w:val="Referencingstyle"/>
        </w:rPr>
        <w:t> </w:t>
      </w:r>
      <w:r w:rsidR="00D65A6D" w:rsidRPr="00FD3295">
        <w:rPr>
          <w:rStyle w:val="Referencingstyle"/>
        </w:rPr>
        <w:t>section 87</w:t>
      </w:r>
      <w:r w:rsidR="007C1CBC" w:rsidRPr="00FD3295">
        <w:rPr>
          <w:rStyle w:val="Referencingstyle"/>
        </w:rPr>
        <w:t>]</w:t>
      </w:r>
      <w:r w:rsidR="004B7E72">
        <w:t>;</w:t>
      </w:r>
      <w:r w:rsidR="00D65A6D">
        <w:t xml:space="preserve"> </w:t>
      </w:r>
      <w:r>
        <w:t>if the person assisting a small business or family enterprise reasonably believes that disclosure is necessary to prevent a threat to life or health</w:t>
      </w:r>
      <w:r w:rsidR="005815C3">
        <w:t xml:space="preserve"> </w:t>
      </w:r>
      <w:r w:rsidR="005815C3" w:rsidRPr="00ED057C">
        <w:rPr>
          <w:rStyle w:val="Referencingstyle"/>
        </w:rPr>
        <w:t>[</w:t>
      </w:r>
      <w:r w:rsidR="00AE29B2" w:rsidRPr="00FD3295">
        <w:rPr>
          <w:rStyle w:val="Referencingstyle"/>
        </w:rPr>
        <w:t>Part 5</w:t>
      </w:r>
      <w:r w:rsidR="00062715">
        <w:rPr>
          <w:rStyle w:val="Referencingstyle"/>
        </w:rPr>
        <w:t>,</w:t>
      </w:r>
      <w:r w:rsidR="00AE29B2" w:rsidRPr="00FD3295">
        <w:rPr>
          <w:rStyle w:val="Referencingstyle"/>
        </w:rPr>
        <w:t> Division 2</w:t>
      </w:r>
      <w:r w:rsidR="00062715">
        <w:rPr>
          <w:rStyle w:val="Referencingstyle"/>
        </w:rPr>
        <w:t>,</w:t>
      </w:r>
      <w:r w:rsidR="00AE29B2" w:rsidRPr="00FD3295">
        <w:rPr>
          <w:rStyle w:val="Referencingstyle"/>
        </w:rPr>
        <w:t> </w:t>
      </w:r>
      <w:r w:rsidR="00D65A6D" w:rsidRPr="00FD3295">
        <w:rPr>
          <w:rStyle w:val="Referencingstyle"/>
        </w:rPr>
        <w:t>section</w:t>
      </w:r>
      <w:r w:rsidR="00AE29B2" w:rsidRPr="00FD3295">
        <w:rPr>
          <w:rStyle w:val="Referencingstyle"/>
        </w:rPr>
        <w:t> </w:t>
      </w:r>
      <w:r w:rsidR="00D65A6D" w:rsidRPr="00FD3295">
        <w:rPr>
          <w:rStyle w:val="Referencingstyle"/>
        </w:rPr>
        <w:t>88</w:t>
      </w:r>
      <w:r w:rsidR="007C1CBC" w:rsidRPr="00FD3295">
        <w:rPr>
          <w:rStyle w:val="Referencingstyle"/>
        </w:rPr>
        <w:t>]</w:t>
      </w:r>
      <w:r w:rsidR="004B7E72">
        <w:t xml:space="preserve">; </w:t>
      </w:r>
      <w:r w:rsidR="00D65A6D">
        <w:t xml:space="preserve">or if the </w:t>
      </w:r>
      <w:r>
        <w:t xml:space="preserve">protected </w:t>
      </w:r>
      <w:r w:rsidR="00D65A6D">
        <w:t>information is already publicly available</w:t>
      </w:r>
      <w:r w:rsidR="004B7E72">
        <w:t>.</w:t>
      </w:r>
      <w:r w:rsidR="005815C3">
        <w:t xml:space="preserve"> </w:t>
      </w:r>
      <w:r w:rsidR="005815C3" w:rsidRPr="00ED057C">
        <w:rPr>
          <w:rStyle w:val="Referencingstyle"/>
        </w:rPr>
        <w:t>[</w:t>
      </w:r>
      <w:r w:rsidR="00487870" w:rsidRPr="00FD3295">
        <w:rPr>
          <w:rStyle w:val="Referencingstyle"/>
        </w:rPr>
        <w:t>Part 5</w:t>
      </w:r>
      <w:r w:rsidR="00062715">
        <w:rPr>
          <w:rStyle w:val="Referencingstyle"/>
        </w:rPr>
        <w:t>,</w:t>
      </w:r>
      <w:r w:rsidR="00487870" w:rsidRPr="00FD3295">
        <w:rPr>
          <w:rStyle w:val="Referencingstyle"/>
        </w:rPr>
        <w:t> Division 2</w:t>
      </w:r>
      <w:r w:rsidR="00062715">
        <w:rPr>
          <w:rStyle w:val="Referencingstyle"/>
        </w:rPr>
        <w:t>,</w:t>
      </w:r>
      <w:r w:rsidR="00487870" w:rsidRPr="00FD3295">
        <w:rPr>
          <w:rStyle w:val="Referencingstyle"/>
        </w:rPr>
        <w:t> </w:t>
      </w:r>
      <w:r w:rsidR="00D65A6D" w:rsidRPr="00FD3295">
        <w:rPr>
          <w:rStyle w:val="Referencingstyle"/>
        </w:rPr>
        <w:t>section</w:t>
      </w:r>
      <w:r w:rsidR="00F12FC0">
        <w:rPr>
          <w:rStyle w:val="Referencingstyle"/>
        </w:rPr>
        <w:t> </w:t>
      </w:r>
      <w:r w:rsidR="00D65A6D" w:rsidRPr="00FD3295">
        <w:rPr>
          <w:rStyle w:val="Referencingstyle"/>
        </w:rPr>
        <w:t>89</w:t>
      </w:r>
      <w:r w:rsidR="005815C3" w:rsidRPr="00FD3295">
        <w:rPr>
          <w:rStyle w:val="Referencingstyle"/>
        </w:rPr>
        <w:t>]</w:t>
      </w:r>
      <w:r w:rsidR="004D1C36">
        <w:t xml:space="preserve"> </w:t>
      </w:r>
    </w:p>
    <w:p w14:paraId="05D2F6CB" w14:textId="77777777" w:rsidR="004761A7" w:rsidRDefault="00F267A8" w:rsidP="00AD0337">
      <w:pPr>
        <w:pStyle w:val="base-text-paragraph"/>
        <w:spacing w:before="80" w:after="80"/>
      </w:pPr>
      <w:r>
        <w:t>A person assisting small business may disclose or use summaries of protected information or statistics derived from protected information</w:t>
      </w:r>
      <w:r w:rsidR="003F3DB1">
        <w:t xml:space="preserve"> that are</w:t>
      </w:r>
      <w:r>
        <w:t xml:space="preserve"> not likely to </w:t>
      </w:r>
      <w:r w:rsidR="003F3DB1">
        <w:t>identify</w:t>
      </w:r>
      <w:r>
        <w:t xml:space="preserve"> a person</w:t>
      </w:r>
      <w:r w:rsidR="005815C3">
        <w:t xml:space="preserve">. </w:t>
      </w:r>
      <w:r w:rsidR="005815C3" w:rsidRPr="00ED057C">
        <w:rPr>
          <w:rStyle w:val="Referencingstyle"/>
        </w:rPr>
        <w:t>[</w:t>
      </w:r>
      <w:r w:rsidR="004D05AF" w:rsidRPr="00FD3295">
        <w:rPr>
          <w:rStyle w:val="Referencingstyle"/>
        </w:rPr>
        <w:t>Part 5</w:t>
      </w:r>
      <w:r w:rsidR="00062715">
        <w:rPr>
          <w:rStyle w:val="Referencingstyle"/>
        </w:rPr>
        <w:t>,</w:t>
      </w:r>
      <w:r w:rsidR="004D05AF" w:rsidRPr="00FD3295">
        <w:rPr>
          <w:rStyle w:val="Referencingstyle"/>
        </w:rPr>
        <w:t> Division 2</w:t>
      </w:r>
      <w:r w:rsidR="00062715">
        <w:rPr>
          <w:rStyle w:val="Referencingstyle"/>
        </w:rPr>
        <w:t>,</w:t>
      </w:r>
      <w:r w:rsidR="004D05AF" w:rsidRPr="00FD3295">
        <w:rPr>
          <w:rStyle w:val="Referencingstyle"/>
        </w:rPr>
        <w:t> </w:t>
      </w:r>
      <w:r w:rsidRPr="00FD3295">
        <w:rPr>
          <w:rStyle w:val="Referencingstyle"/>
        </w:rPr>
        <w:t>section</w:t>
      </w:r>
      <w:r w:rsidR="00F12FC0">
        <w:rPr>
          <w:rStyle w:val="Referencingstyle"/>
        </w:rPr>
        <w:t> </w:t>
      </w:r>
      <w:r w:rsidRPr="00FD3295">
        <w:rPr>
          <w:rStyle w:val="Referencingstyle"/>
        </w:rPr>
        <w:t>90</w:t>
      </w:r>
      <w:r w:rsidR="005815C3" w:rsidRPr="00FD3295">
        <w:rPr>
          <w:rStyle w:val="Referencingstyle"/>
        </w:rPr>
        <w:t>]</w:t>
      </w:r>
      <w:r w:rsidR="004761A7" w:rsidRPr="00F26DB0">
        <w:t xml:space="preserve"> </w:t>
      </w:r>
    </w:p>
    <w:p w14:paraId="09527A27" w14:textId="6DB9D470" w:rsidR="004761A7" w:rsidRDefault="003F3DB1" w:rsidP="00AD0337">
      <w:pPr>
        <w:pStyle w:val="base-text-paragraph"/>
        <w:spacing w:before="80" w:after="80"/>
      </w:pPr>
      <w:r>
        <w:t xml:space="preserve">The Ombudsman may disclose protected information if the Ombudsman reasonably believes that it is necessary for the purposes of law enforcement </w:t>
      </w:r>
      <w:r w:rsidR="004B62DD">
        <w:t>or</w:t>
      </w:r>
      <w:r>
        <w:t xml:space="preserve"> national security. </w:t>
      </w:r>
      <w:r w:rsidR="004B62DD">
        <w:t>A penalty of imprisonment for two years, or 120 penalty units, applies to persons, to whom information is disclosed, who then disclose, or use, the information provided by the Ombudsman without the Ombudsman</w:t>
      </w:r>
      <w:r w:rsidR="009349BC">
        <w:t>’</w:t>
      </w:r>
      <w:r w:rsidR="004B62DD">
        <w:t xml:space="preserve">s consent, unless the disclosure or use related to law enforcement or national security purposes. </w:t>
      </w:r>
      <w:r w:rsidR="005815C3" w:rsidRPr="00ED057C">
        <w:rPr>
          <w:rStyle w:val="Referencingstyle"/>
        </w:rPr>
        <w:t>[</w:t>
      </w:r>
      <w:r w:rsidR="00196650" w:rsidRPr="00FD3295">
        <w:rPr>
          <w:rStyle w:val="Referencingstyle"/>
        </w:rPr>
        <w:t>Part 5</w:t>
      </w:r>
      <w:r w:rsidR="00062715">
        <w:rPr>
          <w:rStyle w:val="Referencingstyle"/>
        </w:rPr>
        <w:t>,</w:t>
      </w:r>
      <w:r w:rsidR="00196650" w:rsidRPr="00FD3295">
        <w:rPr>
          <w:rStyle w:val="Referencingstyle"/>
        </w:rPr>
        <w:t> Division 2</w:t>
      </w:r>
      <w:r w:rsidR="00062715">
        <w:rPr>
          <w:rStyle w:val="Referencingstyle"/>
        </w:rPr>
        <w:t>,</w:t>
      </w:r>
      <w:r w:rsidR="00196650" w:rsidRPr="00FD3295">
        <w:rPr>
          <w:rStyle w:val="Referencingstyle"/>
        </w:rPr>
        <w:t> </w:t>
      </w:r>
      <w:r w:rsidR="004C7E68" w:rsidRPr="00FD3295">
        <w:rPr>
          <w:rStyle w:val="Referencingstyle"/>
        </w:rPr>
        <w:t>section 91</w:t>
      </w:r>
      <w:r w:rsidR="005815C3" w:rsidRPr="00FD3295">
        <w:rPr>
          <w:rStyle w:val="Referencingstyle"/>
        </w:rPr>
        <w:t>]</w:t>
      </w:r>
      <w:r w:rsidR="004761A7" w:rsidRPr="004761A7">
        <w:t xml:space="preserve"> </w:t>
      </w:r>
    </w:p>
    <w:p w14:paraId="3C24EAAF" w14:textId="77777777" w:rsidR="00060B58" w:rsidRDefault="00060B58" w:rsidP="00700363">
      <w:pPr>
        <w:pStyle w:val="Heading2"/>
      </w:pPr>
      <w:r>
        <w:t>Review of decisions</w:t>
      </w:r>
    </w:p>
    <w:p w14:paraId="6F4BFE1C" w14:textId="77777777" w:rsidR="006F440E" w:rsidRDefault="004B7E72" w:rsidP="00200FC3">
      <w:pPr>
        <w:pStyle w:val="base-text-paragraph"/>
      </w:pPr>
      <w:r>
        <w:t>Section 92 of the Bill allows p</w:t>
      </w:r>
      <w:r w:rsidR="00EA05B1">
        <w:t xml:space="preserve">arties </w:t>
      </w:r>
      <w:r>
        <w:t xml:space="preserve">to </w:t>
      </w:r>
      <w:r w:rsidR="00C236C7">
        <w:t>appeal decisions</w:t>
      </w:r>
      <w:r>
        <w:t xml:space="preserve"> by the Ombudsman to the Administrative Appeals Tribunal</w:t>
      </w:r>
      <w:r w:rsidR="006F440E">
        <w:t>:</w:t>
      </w:r>
    </w:p>
    <w:p w14:paraId="51605D66" w14:textId="77777777" w:rsidR="006F440E" w:rsidRDefault="006F440E" w:rsidP="00BD6A73">
      <w:pPr>
        <w:pStyle w:val="dotpoint"/>
      </w:pPr>
      <w:r>
        <w:t>that information is not to be treated as confidential information;</w:t>
      </w:r>
    </w:p>
    <w:p w14:paraId="78EBFB2D" w14:textId="77777777" w:rsidR="006F440E" w:rsidRDefault="006F440E" w:rsidP="00BD6A73">
      <w:pPr>
        <w:pStyle w:val="dotpoint"/>
      </w:pPr>
      <w:r>
        <w:t xml:space="preserve">that it is not in the public interest to delete information, a recommendation or an opinion from a report or an advice, before </w:t>
      </w:r>
      <w:r w:rsidR="00ED6B6D">
        <w:t>the</w:t>
      </w:r>
      <w:r>
        <w:t xml:space="preserve"> report or advice is tabled or published; and</w:t>
      </w:r>
    </w:p>
    <w:p w14:paraId="100FE77C" w14:textId="77777777" w:rsidR="00A1209F" w:rsidRDefault="006F440E" w:rsidP="00BD6A73">
      <w:pPr>
        <w:pStyle w:val="dotpoint"/>
      </w:pPr>
      <w:r>
        <w:t>to publicise that a party to a dispute has refused to engage in, or has withdrawn from, an ADR process</w:t>
      </w:r>
      <w:r w:rsidR="003B53C7">
        <w:t xml:space="preserve">. </w:t>
      </w:r>
    </w:p>
    <w:p w14:paraId="4D30365F" w14:textId="77777777" w:rsidR="004761A7" w:rsidRDefault="00ED6B6D" w:rsidP="00A1209F">
      <w:pPr>
        <w:pStyle w:val="base-text-paragraphnonumbers"/>
      </w:pPr>
      <w:r w:rsidRPr="00ED057C">
        <w:rPr>
          <w:rStyle w:val="Referencingstyle"/>
        </w:rPr>
        <w:t>[</w:t>
      </w:r>
      <w:r w:rsidRPr="00FD3295">
        <w:rPr>
          <w:rStyle w:val="Referencingstyle"/>
        </w:rPr>
        <w:t>Part 5</w:t>
      </w:r>
      <w:r>
        <w:rPr>
          <w:rStyle w:val="Referencingstyle"/>
        </w:rPr>
        <w:t>,</w:t>
      </w:r>
      <w:r w:rsidRPr="00FD3295">
        <w:rPr>
          <w:rStyle w:val="Referencingstyle"/>
        </w:rPr>
        <w:t> Division 4</w:t>
      </w:r>
      <w:r>
        <w:rPr>
          <w:rStyle w:val="Referencingstyle"/>
        </w:rPr>
        <w:t>,</w:t>
      </w:r>
      <w:r w:rsidRPr="00FD3295">
        <w:rPr>
          <w:rStyle w:val="Referencingstyle"/>
        </w:rPr>
        <w:t> section 92)]</w:t>
      </w:r>
    </w:p>
    <w:p w14:paraId="4DA2A870" w14:textId="77777777" w:rsidR="0032273B" w:rsidRDefault="006A7D99" w:rsidP="00CA5E7A">
      <w:pPr>
        <w:pStyle w:val="ExampleHeading"/>
      </w:pPr>
      <w:r>
        <w:t>: W</w:t>
      </w:r>
      <w:r w:rsidR="00573ECA">
        <w:t xml:space="preserve">hen </w:t>
      </w:r>
      <w:r w:rsidR="0032273B">
        <w:t>a decision could go to the Administrative Appeals Tribunal</w:t>
      </w:r>
    </w:p>
    <w:p w14:paraId="7424A6ED" w14:textId="626197ED" w:rsidR="0032273B" w:rsidRDefault="003213AB" w:rsidP="001E486D">
      <w:pPr>
        <w:pStyle w:val="exampletext"/>
      </w:pPr>
      <w:r>
        <w:t>A business</w:t>
      </w:r>
      <w:r w:rsidR="005A572A">
        <w:t xml:space="preserve"> has </w:t>
      </w:r>
      <w:r w:rsidR="00D713D9">
        <w:t>refused to participate in</w:t>
      </w:r>
      <w:r w:rsidR="005A572A">
        <w:t xml:space="preserve"> an ADR process recommended by the Ombudsman, and the Ombudsman </w:t>
      </w:r>
      <w:r w:rsidR="00072449">
        <w:t xml:space="preserve">intends to </w:t>
      </w:r>
      <w:r w:rsidR="00A375CF">
        <w:t>publish this fact</w:t>
      </w:r>
      <w:r w:rsidR="005A572A">
        <w:t xml:space="preserve"> under </w:t>
      </w:r>
      <w:r w:rsidR="00C236C7">
        <w:t>subsection</w:t>
      </w:r>
      <w:r w:rsidR="00254C53">
        <w:t xml:space="preserve"> </w:t>
      </w:r>
      <w:r w:rsidR="005A572A">
        <w:t>74(1)</w:t>
      </w:r>
      <w:r>
        <w:t xml:space="preserve"> of the Bill</w:t>
      </w:r>
      <w:r w:rsidR="003B53C7">
        <w:t xml:space="preserve">. </w:t>
      </w:r>
      <w:r w:rsidR="00A375CF">
        <w:t xml:space="preserve">The business </w:t>
      </w:r>
      <w:r w:rsidR="004B7E72">
        <w:t xml:space="preserve">has a court action underway, in relation to a different matter with another party. The business </w:t>
      </w:r>
      <w:r w:rsidR="005A572A">
        <w:t xml:space="preserve">would not like </w:t>
      </w:r>
      <w:r w:rsidR="004B7E72">
        <w:t xml:space="preserve">this other party to </w:t>
      </w:r>
      <w:r w:rsidR="00A375CF">
        <w:t xml:space="preserve">know that it is in </w:t>
      </w:r>
      <w:r w:rsidR="004B7E72">
        <w:t xml:space="preserve">another </w:t>
      </w:r>
      <w:r w:rsidR="00A375CF">
        <w:t xml:space="preserve">dispute. </w:t>
      </w:r>
      <w:r w:rsidR="00072449">
        <w:t xml:space="preserve">The </w:t>
      </w:r>
      <w:r w:rsidR="005172B1">
        <w:t xml:space="preserve">business </w:t>
      </w:r>
      <w:r w:rsidR="00072449">
        <w:t xml:space="preserve">may therefore </w:t>
      </w:r>
      <w:r w:rsidR="00785C37">
        <w:t xml:space="preserve">chose to </w:t>
      </w:r>
      <w:r w:rsidR="00072449">
        <w:t>appeal the Ombudsman</w:t>
      </w:r>
      <w:r w:rsidR="009349BC">
        <w:t>’</w:t>
      </w:r>
      <w:r w:rsidR="00072449">
        <w:t xml:space="preserve">s </w:t>
      </w:r>
      <w:r w:rsidR="00906C20">
        <w:t>decision to publish to the Adminis</w:t>
      </w:r>
      <w:r w:rsidR="00D713D9">
        <w:t>trative Appeals Tr</w:t>
      </w:r>
      <w:r w:rsidR="00410608">
        <w:t>ibunal</w:t>
      </w:r>
      <w:r w:rsidR="005815C3">
        <w:t xml:space="preserve">. </w:t>
      </w:r>
    </w:p>
    <w:p w14:paraId="3D24D4EC" w14:textId="77777777" w:rsidR="00AF2FFA" w:rsidRDefault="00AF2FFA" w:rsidP="00700363">
      <w:pPr>
        <w:pStyle w:val="Heading2"/>
      </w:pPr>
      <w:r>
        <w:t>Other matters</w:t>
      </w:r>
    </w:p>
    <w:p w14:paraId="4909411E" w14:textId="77777777" w:rsidR="008E13D0" w:rsidRDefault="008E13D0" w:rsidP="00C71EE9">
      <w:pPr>
        <w:pStyle w:val="Heading3"/>
      </w:pPr>
      <w:r>
        <w:t>Privileges not waived</w:t>
      </w:r>
    </w:p>
    <w:p w14:paraId="0313FE82" w14:textId="0E825E8E" w:rsidR="004761A7" w:rsidRDefault="00917DD7" w:rsidP="00200FC3">
      <w:pPr>
        <w:pStyle w:val="base-text-paragraph"/>
      </w:pPr>
      <w:r>
        <w:t>T</w:t>
      </w:r>
      <w:r w:rsidR="00522E4F">
        <w:t>he privileges of protection against self</w:t>
      </w:r>
      <w:r w:rsidR="009349BC">
        <w:noBreakHyphen/>
      </w:r>
      <w:r w:rsidR="00522E4F">
        <w:t xml:space="preserve">incrimination and legal professional privilege </w:t>
      </w:r>
      <w:r>
        <w:t xml:space="preserve">will be </w:t>
      </w:r>
      <w:r w:rsidR="00522E4F">
        <w:t xml:space="preserve">maintained under the </w:t>
      </w:r>
      <w:r>
        <w:t>Bill</w:t>
      </w:r>
      <w:r w:rsidR="005172B1">
        <w:t>.</w:t>
      </w:r>
      <w:r w:rsidR="005815C3">
        <w:t xml:space="preserve"> </w:t>
      </w:r>
      <w:r w:rsidR="005815C3" w:rsidRPr="00ED057C">
        <w:rPr>
          <w:rStyle w:val="Referencingstyle"/>
        </w:rPr>
        <w:t>[</w:t>
      </w:r>
      <w:r w:rsidR="00476C7A">
        <w:rPr>
          <w:rStyle w:val="Referencingstyle"/>
        </w:rPr>
        <w:t>Part 5</w:t>
      </w:r>
      <w:r w:rsidR="00062715">
        <w:rPr>
          <w:rStyle w:val="Referencingstyle"/>
        </w:rPr>
        <w:t>,</w:t>
      </w:r>
      <w:r w:rsidR="00476C7A">
        <w:rPr>
          <w:rStyle w:val="Referencingstyle"/>
        </w:rPr>
        <w:t> Division 4</w:t>
      </w:r>
      <w:r w:rsidR="00062715">
        <w:rPr>
          <w:rStyle w:val="Referencingstyle"/>
        </w:rPr>
        <w:t>,</w:t>
      </w:r>
      <w:r w:rsidR="00476C7A">
        <w:rPr>
          <w:rStyle w:val="Referencingstyle"/>
        </w:rPr>
        <w:t> </w:t>
      </w:r>
      <w:r w:rsidR="00522E4F" w:rsidRPr="00E92BD7">
        <w:rPr>
          <w:rStyle w:val="Referencingstyle"/>
        </w:rPr>
        <w:t>section 9</w:t>
      </w:r>
      <w:r w:rsidR="009409C6">
        <w:rPr>
          <w:rStyle w:val="Referencingstyle"/>
        </w:rPr>
        <w:t>3</w:t>
      </w:r>
      <w:r w:rsidR="009409C6" w:rsidRPr="00E92BD7">
        <w:rPr>
          <w:rStyle w:val="Referencingstyle"/>
        </w:rPr>
        <w:t>]</w:t>
      </w:r>
      <w:r w:rsidR="004761A7" w:rsidRPr="004761A7">
        <w:t xml:space="preserve"> </w:t>
      </w:r>
    </w:p>
    <w:p w14:paraId="31177634" w14:textId="77777777" w:rsidR="00B96474" w:rsidRDefault="00B96474" w:rsidP="00C71EE9">
      <w:pPr>
        <w:pStyle w:val="Heading3"/>
      </w:pPr>
      <w:r>
        <w:t>Provision of other Acts in relation to information and documents</w:t>
      </w:r>
    </w:p>
    <w:p w14:paraId="6C1E6C7A" w14:textId="77777777" w:rsidR="004761A7" w:rsidRDefault="00B96474" w:rsidP="00200FC3">
      <w:pPr>
        <w:pStyle w:val="base-text-paragraph"/>
      </w:pPr>
      <w:r w:rsidRPr="00B96474">
        <w:t xml:space="preserve">Nothing in </w:t>
      </w:r>
      <w:r w:rsidR="00917DD7">
        <w:t>the Bill will</w:t>
      </w:r>
      <w:r w:rsidRPr="00B96474">
        <w:t xml:space="preserve"> affect the operation of any other law of the Commonwealth to the extent that the other law limits the use or disclosu</w:t>
      </w:r>
      <w:r>
        <w:t>re of information or a document</w:t>
      </w:r>
      <w:r w:rsidR="001A0634">
        <w:t>.</w:t>
      </w:r>
      <w:r w:rsidR="005815C3">
        <w:t xml:space="preserve"> </w:t>
      </w:r>
      <w:r w:rsidR="005815C3" w:rsidRPr="00ED057C">
        <w:rPr>
          <w:rStyle w:val="Referencingstyle"/>
        </w:rPr>
        <w:t>[</w:t>
      </w:r>
      <w:r w:rsidR="00F808F8">
        <w:rPr>
          <w:rStyle w:val="Referencingstyle"/>
        </w:rPr>
        <w:t>Part 5</w:t>
      </w:r>
      <w:r w:rsidR="00062715">
        <w:rPr>
          <w:rStyle w:val="Referencingstyle"/>
        </w:rPr>
        <w:t>,</w:t>
      </w:r>
      <w:r w:rsidR="00F808F8">
        <w:rPr>
          <w:rStyle w:val="Referencingstyle"/>
        </w:rPr>
        <w:t> Division 4</w:t>
      </w:r>
      <w:r w:rsidR="00062715">
        <w:rPr>
          <w:rStyle w:val="Referencingstyle"/>
        </w:rPr>
        <w:t>,</w:t>
      </w:r>
      <w:r w:rsidR="00F808F8">
        <w:rPr>
          <w:rStyle w:val="Referencingstyle"/>
        </w:rPr>
        <w:t> </w:t>
      </w:r>
      <w:r w:rsidRPr="00B96474">
        <w:rPr>
          <w:rStyle w:val="Referencingstyle"/>
        </w:rPr>
        <w:t>section 94]</w:t>
      </w:r>
      <w:r w:rsidR="004761A7" w:rsidRPr="004761A7">
        <w:t xml:space="preserve"> </w:t>
      </w:r>
    </w:p>
    <w:p w14:paraId="66346F04" w14:textId="77777777" w:rsidR="008E13D0" w:rsidRDefault="008E13D0" w:rsidP="00B10F05">
      <w:pPr>
        <w:pStyle w:val="Heading3"/>
        <w:keepLines/>
      </w:pPr>
      <w:r>
        <w:t>Review of assistance function</w:t>
      </w:r>
    </w:p>
    <w:p w14:paraId="0493DF79" w14:textId="64C291D1" w:rsidR="00917DD7" w:rsidRPr="007E59D4" w:rsidRDefault="00785C37" w:rsidP="00B10F05">
      <w:pPr>
        <w:pStyle w:val="base-text-paragraph"/>
        <w:keepNext/>
        <w:keepLines/>
      </w:pPr>
      <w:r>
        <w:t>To evaluat</w:t>
      </w:r>
      <w:r w:rsidR="004E18C3">
        <w:t>e</w:t>
      </w:r>
      <w:r>
        <w:t xml:space="preserve"> the Ombudsman</w:t>
      </w:r>
      <w:r w:rsidR="009349BC">
        <w:t>’</w:t>
      </w:r>
      <w:r>
        <w:t>s assistance</w:t>
      </w:r>
      <w:r w:rsidR="0021652E">
        <w:t> </w:t>
      </w:r>
      <w:r>
        <w:t xml:space="preserve">function, </w:t>
      </w:r>
      <w:r w:rsidR="002A051C" w:rsidRPr="00917DD7">
        <w:t xml:space="preserve">section 95 </w:t>
      </w:r>
      <w:r w:rsidR="004E18C3">
        <w:t>requires</w:t>
      </w:r>
      <w:r w:rsidR="002A051C" w:rsidRPr="00917DD7">
        <w:t xml:space="preserve"> a review of th</w:t>
      </w:r>
      <w:r w:rsidR="004E18C3">
        <w:t>e</w:t>
      </w:r>
      <w:r w:rsidR="002A051C" w:rsidRPr="00917DD7">
        <w:t xml:space="preserve"> </w:t>
      </w:r>
      <w:r w:rsidR="004E18C3">
        <w:t xml:space="preserve">assistance </w:t>
      </w:r>
      <w:r w:rsidR="002A051C" w:rsidRPr="00917DD7">
        <w:t xml:space="preserve">function, </w:t>
      </w:r>
      <w:r w:rsidR="00917DD7">
        <w:t>by</w:t>
      </w:r>
      <w:r w:rsidR="0021652E">
        <w:t> </w:t>
      </w:r>
      <w:r w:rsidR="00917DD7">
        <w:t>30 June</w:t>
      </w:r>
      <w:r w:rsidR="0021652E">
        <w:t> </w:t>
      </w:r>
      <w:r w:rsidR="00917DD7">
        <w:t xml:space="preserve">2017 </w:t>
      </w:r>
      <w:r w:rsidR="00917DD7" w:rsidRPr="00893D86">
        <w:t>(such a review is consistent with review provisions in other legislation, such as</w:t>
      </w:r>
      <w:r>
        <w:t>:</w:t>
      </w:r>
      <w:r w:rsidR="00917DD7" w:rsidRPr="00893D86">
        <w:t xml:space="preserve"> </w:t>
      </w:r>
      <w:r>
        <w:t>section 151CN,</w:t>
      </w:r>
      <w:r>
        <w:rPr>
          <w:i/>
        </w:rPr>
        <w:t xml:space="preserve"> </w:t>
      </w:r>
      <w:r w:rsidR="00917DD7" w:rsidRPr="00893D86">
        <w:rPr>
          <w:i/>
        </w:rPr>
        <w:t>Competition and Consumer Act</w:t>
      </w:r>
      <w:r w:rsidR="0021652E">
        <w:rPr>
          <w:i/>
        </w:rPr>
        <w:t> </w:t>
      </w:r>
      <w:r w:rsidR="00917DD7" w:rsidRPr="00893D86">
        <w:rPr>
          <w:i/>
        </w:rPr>
        <w:t>2010</w:t>
      </w:r>
      <w:r w:rsidR="00917DD7">
        <w:t xml:space="preserve">). After the initial review, </w:t>
      </w:r>
      <w:r w:rsidR="004E18C3">
        <w:t xml:space="preserve">further </w:t>
      </w:r>
      <w:r w:rsidR="00917DD7">
        <w:t xml:space="preserve">reviews of the assistance function </w:t>
      </w:r>
      <w:r w:rsidR="004E18C3">
        <w:t>must</w:t>
      </w:r>
      <w:r w:rsidR="00917DD7">
        <w:t xml:space="preserve"> be conducted at intervals of not more than four years. R</w:t>
      </w:r>
      <w:r w:rsidR="00917DD7" w:rsidRPr="007E59D4">
        <w:t>eview</w:t>
      </w:r>
      <w:r>
        <w:t>s</w:t>
      </w:r>
      <w:r w:rsidR="00917DD7" w:rsidRPr="007E59D4">
        <w:t xml:space="preserve"> must consider the:</w:t>
      </w:r>
    </w:p>
    <w:p w14:paraId="37F0D177" w14:textId="77777777" w:rsidR="00917DD7" w:rsidRPr="007E59D4" w:rsidRDefault="00917DD7" w:rsidP="00BD6A73">
      <w:pPr>
        <w:pStyle w:val="dotpoint"/>
      </w:pPr>
      <w:r w:rsidRPr="007E59D4">
        <w:t xml:space="preserve">the kinds of assistance requested during the </w:t>
      </w:r>
      <w:r w:rsidR="004E18C3">
        <w:t xml:space="preserve">review </w:t>
      </w:r>
      <w:r w:rsidRPr="007E59D4">
        <w:t>period;</w:t>
      </w:r>
    </w:p>
    <w:p w14:paraId="2CA09806" w14:textId="77777777" w:rsidR="00917DD7" w:rsidRPr="007E59D4" w:rsidRDefault="00917DD7" w:rsidP="00BD6A73">
      <w:pPr>
        <w:pStyle w:val="dotpoint"/>
      </w:pPr>
      <w:r w:rsidRPr="007E59D4">
        <w:t xml:space="preserve">whether the assistance given was convenient and effective for the small business and family enterprise </w:t>
      </w:r>
      <w:r w:rsidR="004E18C3">
        <w:t xml:space="preserve">operators </w:t>
      </w:r>
      <w:r w:rsidRPr="007E59D4">
        <w:t xml:space="preserve">who requested </w:t>
      </w:r>
      <w:r w:rsidR="004E18C3">
        <w:t xml:space="preserve">the </w:t>
      </w:r>
      <w:r w:rsidRPr="007E59D4">
        <w:t>assistance;</w:t>
      </w:r>
    </w:p>
    <w:p w14:paraId="27F4F732" w14:textId="77777777" w:rsidR="00917DD7" w:rsidRDefault="00917DD7" w:rsidP="00BD6A73">
      <w:pPr>
        <w:pStyle w:val="dotpoint"/>
      </w:pPr>
      <w:r w:rsidRPr="007E59D4">
        <w:t>whether amendment of th</w:t>
      </w:r>
      <w:r w:rsidR="00785C37">
        <w:t>e</w:t>
      </w:r>
      <w:r w:rsidRPr="007E59D4">
        <w:t xml:space="preserve"> </w:t>
      </w:r>
      <w:r w:rsidR="00785C37" w:rsidRPr="00F26DB0">
        <w:rPr>
          <w:i/>
        </w:rPr>
        <w:t xml:space="preserve">Australian Small Business and Family Enterprise </w:t>
      </w:r>
      <w:r w:rsidRPr="00F26DB0">
        <w:rPr>
          <w:i/>
        </w:rPr>
        <w:t xml:space="preserve">Act </w:t>
      </w:r>
      <w:r w:rsidR="00785C37" w:rsidRPr="00F26DB0">
        <w:rPr>
          <w:i/>
        </w:rPr>
        <w:t>2015</w:t>
      </w:r>
      <w:r w:rsidR="00785C37">
        <w:t xml:space="preserve"> </w:t>
      </w:r>
      <w:r w:rsidRPr="007E59D4">
        <w:t>is needed to more conveniently and effectively assist small businesses and family enterprises.</w:t>
      </w:r>
    </w:p>
    <w:p w14:paraId="7BBC0AE8" w14:textId="77777777" w:rsidR="0021652E" w:rsidRDefault="0021652E" w:rsidP="00200FC3">
      <w:pPr>
        <w:pStyle w:val="base-text-paragraph"/>
      </w:pPr>
      <w:r>
        <w:t>Reviews may additionally consider other matters. After each review, a written report must be given to the Minister, who must lay it before each House of Parliament</w:t>
      </w:r>
      <w:r w:rsidRPr="00893D86">
        <w:t>.</w:t>
      </w:r>
      <w:r>
        <w:t xml:space="preserve"> </w:t>
      </w:r>
      <w:r w:rsidRPr="00917DD7">
        <w:rPr>
          <w:rStyle w:val="Referencingstyle"/>
        </w:rPr>
        <w:t>[Part 5, Division 4, section 95]</w:t>
      </w:r>
    </w:p>
    <w:p w14:paraId="77FB6D00" w14:textId="77777777" w:rsidR="000D7224" w:rsidRDefault="000D7224" w:rsidP="00C71EE9">
      <w:pPr>
        <w:pStyle w:val="Heading3"/>
      </w:pPr>
      <w:r>
        <w:t>Legislative instrument</w:t>
      </w:r>
    </w:p>
    <w:p w14:paraId="03918979" w14:textId="77777777" w:rsidR="004761A7" w:rsidRDefault="000D7224" w:rsidP="00200FC3">
      <w:pPr>
        <w:pStyle w:val="base-text-paragraph"/>
      </w:pPr>
      <w:r w:rsidRPr="000D7224">
        <w:t>The Minister may, by legislative instrument,</w:t>
      </w:r>
      <w:r>
        <w:t xml:space="preserve"> make rules prescribing matters </w:t>
      </w:r>
      <w:r w:rsidRPr="000D7224">
        <w:t>required or permitted by th</w:t>
      </w:r>
      <w:r w:rsidR="006F614C">
        <w:t>e</w:t>
      </w:r>
      <w:r w:rsidRPr="000D7224">
        <w:t xml:space="preserve"> </w:t>
      </w:r>
      <w:r>
        <w:t>Bill</w:t>
      </w:r>
      <w:r w:rsidRPr="000D7224">
        <w:t xml:space="preserve"> to be prescribed by the rules; or</w:t>
      </w:r>
      <w:r>
        <w:t xml:space="preserve"> </w:t>
      </w:r>
      <w:r w:rsidRPr="000D7224">
        <w:t>necessary or convenient to be prescribed for carrying out</w:t>
      </w:r>
      <w:r>
        <w:t xml:space="preserve"> or giving effect to th</w:t>
      </w:r>
      <w:r w:rsidR="006F614C">
        <w:t>e</w:t>
      </w:r>
      <w:r>
        <w:t xml:space="preserve"> Bill</w:t>
      </w:r>
      <w:r w:rsidR="001A0634">
        <w:t>.</w:t>
      </w:r>
      <w:r w:rsidR="005815C3">
        <w:t xml:space="preserve"> </w:t>
      </w:r>
      <w:r w:rsidR="005815C3" w:rsidRPr="00ED057C">
        <w:rPr>
          <w:rStyle w:val="Referencingstyle"/>
        </w:rPr>
        <w:t>[</w:t>
      </w:r>
      <w:r w:rsidR="00681FFB">
        <w:rPr>
          <w:rStyle w:val="Referencingstyle"/>
        </w:rPr>
        <w:t>Part 5</w:t>
      </w:r>
      <w:r w:rsidR="00062715">
        <w:rPr>
          <w:rStyle w:val="Referencingstyle"/>
        </w:rPr>
        <w:t>,</w:t>
      </w:r>
      <w:r w:rsidR="00681FFB">
        <w:rPr>
          <w:rStyle w:val="Referencingstyle"/>
        </w:rPr>
        <w:t> Division 4</w:t>
      </w:r>
      <w:r w:rsidR="00062715">
        <w:rPr>
          <w:rStyle w:val="Referencingstyle"/>
        </w:rPr>
        <w:t>,</w:t>
      </w:r>
      <w:r w:rsidR="00681FFB">
        <w:rPr>
          <w:rStyle w:val="Referencingstyle"/>
        </w:rPr>
        <w:t> </w:t>
      </w:r>
      <w:r w:rsidRPr="000D7224">
        <w:rPr>
          <w:rStyle w:val="Referencingstyle"/>
        </w:rPr>
        <w:t>section 96]</w:t>
      </w:r>
      <w:r w:rsidR="004761A7" w:rsidRPr="004761A7">
        <w:t xml:space="preserve"> </w:t>
      </w:r>
    </w:p>
    <w:p w14:paraId="01538CCD" w14:textId="77777777" w:rsidR="00FD30C2" w:rsidRDefault="00FD30C2" w:rsidP="006F614C">
      <w:pPr>
        <w:tabs>
          <w:tab w:val="left" w:pos="1985"/>
        </w:tabs>
        <w:ind w:left="1134"/>
        <w:sectPr w:rsidR="00FD30C2" w:rsidSect="00DD1F1A">
          <w:headerReference w:type="even" r:id="rId50"/>
          <w:headerReference w:type="default" r:id="rId51"/>
          <w:footerReference w:type="even" r:id="rId52"/>
          <w:footerReference w:type="default" r:id="rId53"/>
          <w:headerReference w:type="first" r:id="rId54"/>
          <w:footerReference w:type="first" r:id="rId55"/>
          <w:type w:val="oddPage"/>
          <w:pgSz w:w="11906" w:h="16838" w:code="9"/>
          <w:pgMar w:top="2466" w:right="2098" w:bottom="2466" w:left="2098" w:header="1559" w:footer="1899" w:gutter="0"/>
          <w:cols w:space="708"/>
          <w:titlePg/>
          <w:docGrid w:linePitch="360"/>
        </w:sectPr>
      </w:pPr>
    </w:p>
    <w:p w14:paraId="7D4D3D88" w14:textId="77777777" w:rsidR="00132835" w:rsidRPr="00F51A71" w:rsidRDefault="00132835" w:rsidP="00B64A6A">
      <w:pPr>
        <w:pStyle w:val="ChapterHeading"/>
        <w:tabs>
          <w:tab w:val="clear" w:pos="1134"/>
          <w:tab w:val="num" w:pos="-142"/>
          <w:tab w:val="left" w:pos="1985"/>
        </w:tabs>
      </w:pPr>
      <w:r w:rsidRPr="00F51A71">
        <w:br/>
      </w:r>
      <w:bookmarkStart w:id="44" w:name="_Toc419101551"/>
      <w:bookmarkStart w:id="45" w:name="_Toc419136757"/>
      <w:bookmarkStart w:id="46" w:name="_Toc420587204"/>
      <w:r w:rsidR="00E516A5">
        <w:t>Consequential amendments</w:t>
      </w:r>
      <w:bookmarkEnd w:id="44"/>
      <w:bookmarkEnd w:id="45"/>
      <w:bookmarkEnd w:id="46"/>
    </w:p>
    <w:p w14:paraId="173E78EE" w14:textId="77777777" w:rsidR="00132835" w:rsidRDefault="00132835" w:rsidP="00B64A6A">
      <w:pPr>
        <w:pStyle w:val="Heading2"/>
        <w:tabs>
          <w:tab w:val="left" w:pos="1985"/>
        </w:tabs>
      </w:pPr>
      <w:r>
        <w:t xml:space="preserve">Outline of </w:t>
      </w:r>
      <w:r w:rsidR="00FA4E45">
        <w:t>chapter</w:t>
      </w:r>
    </w:p>
    <w:p w14:paraId="52B1FE54" w14:textId="77777777" w:rsidR="00A22C8D" w:rsidRPr="00140433" w:rsidRDefault="00A22C8D" w:rsidP="00200FC3">
      <w:pPr>
        <w:pStyle w:val="base-text-paragraph"/>
      </w:pPr>
      <w:r>
        <w:t xml:space="preserve">This </w:t>
      </w:r>
      <w:r w:rsidR="00FA4E45">
        <w:t xml:space="preserve">chapter </w:t>
      </w:r>
      <w:r>
        <w:t>explains</w:t>
      </w:r>
      <w:r w:rsidR="00785C37">
        <w:t xml:space="preserve"> </w:t>
      </w:r>
      <w:r w:rsidRPr="00785C37">
        <w:t>the consequential legislative amendments</w:t>
      </w:r>
      <w:r w:rsidR="00785C37" w:rsidRPr="00785C37">
        <w:t xml:space="preserve"> related to the Australian Small Business and Family Enterprise Ombudsman Bill 2015 (Bill)</w:t>
      </w:r>
      <w:r w:rsidR="00785C37">
        <w:t>.</w:t>
      </w:r>
    </w:p>
    <w:p w14:paraId="1176BB61" w14:textId="3C0DDC27" w:rsidR="007F4CB5" w:rsidRPr="007F4CB5" w:rsidRDefault="001C4083" w:rsidP="00200FC3">
      <w:pPr>
        <w:pStyle w:val="base-text-paragraph"/>
      </w:pPr>
      <w:r w:rsidRPr="007F4CB5">
        <w:t xml:space="preserve">References in this </w:t>
      </w:r>
      <w:r w:rsidR="00FA4E45" w:rsidRPr="007F4CB5">
        <w:t xml:space="preserve">chapter </w:t>
      </w:r>
      <w:r w:rsidRPr="007F4CB5">
        <w:t xml:space="preserve">to the </w:t>
      </w:r>
      <w:r w:rsidR="009349BC">
        <w:t>‘</w:t>
      </w:r>
      <w:r w:rsidRPr="007F4CB5">
        <w:t xml:space="preserve">Consequential and Transitional </w:t>
      </w:r>
      <w:r w:rsidR="00E8176E" w:rsidRPr="007F4CB5">
        <w:t xml:space="preserve">Provisions </w:t>
      </w:r>
      <w:r w:rsidRPr="007F4CB5">
        <w:t>Bill</w:t>
      </w:r>
      <w:r w:rsidR="009349BC">
        <w:t>’</w:t>
      </w:r>
      <w:r w:rsidRPr="007F4CB5">
        <w:t xml:space="preserve"> are references to the Australian Small Business and Family Enterprise Ombudsman (Consequential and Transitional Provisions) Bill 2015. </w:t>
      </w:r>
      <w:r w:rsidR="005E08B2" w:rsidRPr="007F4CB5">
        <w:t>R</w:t>
      </w:r>
      <w:r w:rsidRPr="007F4CB5">
        <w:t xml:space="preserve">eferences to </w:t>
      </w:r>
      <w:r w:rsidR="009349BC">
        <w:t>‘</w:t>
      </w:r>
      <w:r w:rsidRPr="007F4CB5">
        <w:t>the Bill</w:t>
      </w:r>
      <w:r w:rsidR="009349BC">
        <w:t>’</w:t>
      </w:r>
      <w:r w:rsidRPr="007F4CB5">
        <w:t xml:space="preserve"> are references to the </w:t>
      </w:r>
      <w:r w:rsidR="005E08B2" w:rsidRPr="007F4CB5">
        <w:t>main Australian Small Business and Family Enterprise Bill 2015</w:t>
      </w:r>
      <w:r w:rsidRPr="007F4CB5">
        <w:t>.</w:t>
      </w:r>
      <w:r w:rsidR="004761A7" w:rsidRPr="007F4CB5">
        <w:t xml:space="preserve"> </w:t>
      </w:r>
    </w:p>
    <w:p w14:paraId="12FF2A12" w14:textId="5275AB7E" w:rsidR="004761A7" w:rsidRDefault="00D256A9" w:rsidP="00200FC3">
      <w:pPr>
        <w:pStyle w:val="base-text-paragraph"/>
      </w:pPr>
      <w:r>
        <w:t xml:space="preserve">References to </w:t>
      </w:r>
      <w:r w:rsidR="009349BC">
        <w:t>‘</w:t>
      </w:r>
      <w:r>
        <w:t>ASBFE</w:t>
      </w:r>
      <w:r w:rsidR="00A64FB2">
        <w:t xml:space="preserve"> Ombudsman</w:t>
      </w:r>
      <w:r w:rsidR="009349BC">
        <w:t>’</w:t>
      </w:r>
      <w:r w:rsidR="00A64FB2">
        <w:t xml:space="preserve"> are used in th</w:t>
      </w:r>
      <w:r w:rsidR="00785C37">
        <w:t>is</w:t>
      </w:r>
      <w:r w:rsidR="001C4083">
        <w:t xml:space="preserve"> </w:t>
      </w:r>
      <w:r w:rsidR="00FA4E45">
        <w:t xml:space="preserve">chapter </w:t>
      </w:r>
      <w:r w:rsidR="00A64FB2">
        <w:t>to distinguish the Australian Small Business and Family Enterprise Ombudsman (</w:t>
      </w:r>
      <w:r w:rsidR="009349BC">
        <w:t>‘</w:t>
      </w:r>
      <w:r w:rsidR="00A64FB2">
        <w:t>ASBFE Ombudsman</w:t>
      </w:r>
      <w:r w:rsidR="009349BC">
        <w:t>’</w:t>
      </w:r>
      <w:r w:rsidR="00A64FB2">
        <w:t>) from the existing Commonwealth Ombudsman</w:t>
      </w:r>
      <w:r w:rsidR="005E08B2">
        <w:t>,</w:t>
      </w:r>
      <w:r w:rsidR="00A64FB2">
        <w:t xml:space="preserve"> created under the </w:t>
      </w:r>
      <w:r w:rsidR="00A64FB2" w:rsidRPr="006E4A93">
        <w:rPr>
          <w:i/>
        </w:rPr>
        <w:t>Ombudsman Act 1976</w:t>
      </w:r>
      <w:r w:rsidR="00A64FB2">
        <w:t>.</w:t>
      </w:r>
      <w:r w:rsidR="004761A7" w:rsidRPr="004761A7">
        <w:t xml:space="preserve"> </w:t>
      </w:r>
    </w:p>
    <w:p w14:paraId="61FD9FFF" w14:textId="77777777" w:rsidR="00132835" w:rsidRDefault="00132835" w:rsidP="00B64A6A">
      <w:pPr>
        <w:pStyle w:val="Heading2"/>
        <w:tabs>
          <w:tab w:val="left" w:pos="1985"/>
        </w:tabs>
      </w:pPr>
      <w:r>
        <w:t>Summary of new law</w:t>
      </w:r>
    </w:p>
    <w:p w14:paraId="59EFE0F6" w14:textId="60DB6BE4" w:rsidR="004761A7" w:rsidRDefault="00CE0562" w:rsidP="00200FC3">
      <w:pPr>
        <w:pStyle w:val="base-text-paragraph"/>
      </w:pPr>
      <w:r>
        <w:t xml:space="preserve">Under the Bill (section 16) the ASBFE Ombudsman </w:t>
      </w:r>
      <w:r w:rsidR="000A067D">
        <w:t xml:space="preserve">will </w:t>
      </w:r>
      <w:r>
        <w:t xml:space="preserve">avoid duplication and overlap with other agencies, including in relation to the </w:t>
      </w:r>
      <w:r w:rsidR="002C75ED">
        <w:t>ASBFE</w:t>
      </w:r>
      <w:r w:rsidR="001C4083">
        <w:t xml:space="preserve"> Ombudsman</w:t>
      </w:r>
      <w:r w:rsidR="009349BC">
        <w:t>’</w:t>
      </w:r>
      <w:r w:rsidR="001C4083">
        <w:t>s assistance function</w:t>
      </w:r>
      <w:r>
        <w:t>. T</w:t>
      </w:r>
      <w:r w:rsidR="001C4083">
        <w:t xml:space="preserve">he </w:t>
      </w:r>
      <w:r w:rsidR="009555F6">
        <w:t xml:space="preserve">ASBFE </w:t>
      </w:r>
      <w:r w:rsidR="001C4083">
        <w:t xml:space="preserve">Ombudsman </w:t>
      </w:r>
      <w:r>
        <w:t xml:space="preserve">therefore </w:t>
      </w:r>
      <w:r w:rsidR="001C4083">
        <w:t>must work co</w:t>
      </w:r>
      <w:r w:rsidR="009349BC">
        <w:noBreakHyphen/>
      </w:r>
      <w:r w:rsidR="001C4083">
        <w:t>operatively with other agencies to deal with requests for assistance</w:t>
      </w:r>
      <w:r w:rsidR="005815C3">
        <w:t xml:space="preserve">. </w:t>
      </w:r>
      <w:r w:rsidR="001C4083">
        <w:t xml:space="preserve">To </w:t>
      </w:r>
      <w:r>
        <w:t>facilitate this,</w:t>
      </w:r>
      <w:r w:rsidR="002C75ED">
        <w:t xml:space="preserve"> and allow the ASBFE</w:t>
      </w:r>
      <w:r w:rsidR="001C4083">
        <w:t xml:space="preserve"> Ombudsman to successfully perform </w:t>
      </w:r>
      <w:r>
        <w:t>the</w:t>
      </w:r>
      <w:r w:rsidR="001C4083">
        <w:t xml:space="preserve"> assistance function, consequential legislative amendments are necessary to enable the </w:t>
      </w:r>
      <w:r w:rsidR="00D632EA">
        <w:t xml:space="preserve">transfer of matters </w:t>
      </w:r>
      <w:r>
        <w:t xml:space="preserve">from the Commonwealth Ombudsman </w:t>
      </w:r>
      <w:r w:rsidR="002C75ED">
        <w:t>to the ASBFE</w:t>
      </w:r>
      <w:r w:rsidR="00D632EA">
        <w:t xml:space="preserve"> </w:t>
      </w:r>
      <w:r w:rsidR="001C4083">
        <w:t>Ombudsman.</w:t>
      </w:r>
      <w:r w:rsidR="004761A7" w:rsidRPr="004761A7">
        <w:t xml:space="preserve"> </w:t>
      </w:r>
    </w:p>
    <w:p w14:paraId="629629B6" w14:textId="77777777" w:rsidR="00132835" w:rsidRDefault="00132835" w:rsidP="00B64A6A">
      <w:pPr>
        <w:pStyle w:val="Heading2"/>
        <w:tabs>
          <w:tab w:val="left" w:pos="1985"/>
        </w:tabs>
      </w:pPr>
      <w:r>
        <w:t>Detailed explanation of new law</w:t>
      </w:r>
    </w:p>
    <w:p w14:paraId="35CB1DFC" w14:textId="57800D1E" w:rsidR="000A067D" w:rsidRDefault="000A067D" w:rsidP="00200FC3">
      <w:pPr>
        <w:pStyle w:val="base-text-paragraph"/>
      </w:pPr>
      <w:r>
        <w:t xml:space="preserve">The Commonwealth Ombudsman is an independent statutory office which has a range of functions under the </w:t>
      </w:r>
      <w:r w:rsidRPr="000A067D">
        <w:rPr>
          <w:i/>
        </w:rPr>
        <w:t>Ombudsman Act 1976</w:t>
      </w:r>
      <w:r>
        <w:t>. The Commonwealth Ombudsman can, for example, investigate the administrative actions of government officials and agencies, either on receipt of a complaint, or on the Commonwealth Ombudsman</w:t>
      </w:r>
      <w:r w:rsidR="009349BC">
        <w:t>’</w:t>
      </w:r>
      <w:r>
        <w:t>s own initiative.</w:t>
      </w:r>
      <w:r w:rsidRPr="004761A7">
        <w:t xml:space="preserve"> </w:t>
      </w:r>
    </w:p>
    <w:p w14:paraId="4C4A117B" w14:textId="77777777" w:rsidR="000A067D" w:rsidRDefault="000A067D" w:rsidP="00200FC3">
      <w:pPr>
        <w:pStyle w:val="base-text-paragraph"/>
      </w:pPr>
      <w:r>
        <w:t xml:space="preserve">The ASBFE Ombudsman will also be created as a statutory office. Under the Bill, the ASBFE Ombudsman will have the power to, for example, deal with relevant actions involving an agency of the Commonwealth that affects, or may affect, a small business or family enterprise. There will thus be an overlap in jurisdiction between the Commonwealth Ombudsman and the ASBFE Ombudsman. </w:t>
      </w:r>
    </w:p>
    <w:p w14:paraId="508D79B8" w14:textId="77777777" w:rsidR="004761A7" w:rsidRDefault="000A067D" w:rsidP="00200FC3">
      <w:pPr>
        <w:pStyle w:val="base-text-paragraph"/>
      </w:pPr>
      <w:r>
        <w:t xml:space="preserve">The </w:t>
      </w:r>
      <w:r w:rsidRPr="00BD220C">
        <w:t xml:space="preserve">Consequential and Transitional </w:t>
      </w:r>
      <w:r>
        <w:t xml:space="preserve">Provisions </w:t>
      </w:r>
      <w:r w:rsidRPr="00BD220C">
        <w:t>Bill</w:t>
      </w:r>
      <w:r>
        <w:t xml:space="preserve"> will amend the </w:t>
      </w:r>
      <w:r w:rsidRPr="006E4A93">
        <w:rPr>
          <w:i/>
        </w:rPr>
        <w:t>Ombudsman Act 1976</w:t>
      </w:r>
      <w:r>
        <w:t>, to</w:t>
      </w:r>
      <w:r w:rsidR="00D632EA">
        <w:t xml:space="preserve"> </w:t>
      </w:r>
      <w:r w:rsidR="002C75ED">
        <w:t>enable the Commonwealth Ombudsman to transfer complaints</w:t>
      </w:r>
      <w:r w:rsidR="00D632EA">
        <w:t xml:space="preserve"> to </w:t>
      </w:r>
      <w:r w:rsidR="002C75ED">
        <w:t>the ASBFE Ombudsman</w:t>
      </w:r>
      <w:r w:rsidR="00980302">
        <w:t xml:space="preserve">. </w:t>
      </w:r>
      <w:r w:rsidR="00152AFB">
        <w:t xml:space="preserve">The Consequential and Transitional Provisions Bill </w:t>
      </w:r>
      <w:r>
        <w:t xml:space="preserve">will </w:t>
      </w:r>
      <w:r w:rsidR="00152AFB">
        <w:t>allow the Commonwealth Ombudsman to transfer a complaint</w:t>
      </w:r>
      <w:r w:rsidR="00630D98">
        <w:t xml:space="preserve"> </w:t>
      </w:r>
      <w:r w:rsidR="00980302">
        <w:t>to the ASBFE Ombudsman where:</w:t>
      </w:r>
      <w:r w:rsidR="004761A7" w:rsidRPr="004761A7">
        <w:t xml:space="preserve"> </w:t>
      </w:r>
    </w:p>
    <w:p w14:paraId="5E83601C" w14:textId="77777777" w:rsidR="00980302" w:rsidRPr="006F3456" w:rsidRDefault="00152AFB" w:rsidP="006F614C">
      <w:pPr>
        <w:pStyle w:val="exampledotpoint1"/>
        <w:rPr>
          <w:szCs w:val="22"/>
        </w:rPr>
      </w:pPr>
      <w:r w:rsidRPr="006F614C">
        <w:rPr>
          <w:sz w:val="22"/>
          <w:szCs w:val="22"/>
        </w:rPr>
        <w:t>the complaint co</w:t>
      </w:r>
      <w:r w:rsidR="00E14D5C">
        <w:rPr>
          <w:sz w:val="22"/>
          <w:szCs w:val="22"/>
        </w:rPr>
        <w:t>uld have been made to the ASBFE</w:t>
      </w:r>
      <w:r w:rsidRPr="006F614C">
        <w:rPr>
          <w:sz w:val="22"/>
          <w:szCs w:val="22"/>
        </w:rPr>
        <w:t xml:space="preserve"> Ombudsman</w:t>
      </w:r>
      <w:r w:rsidR="00980302" w:rsidRPr="006F614C">
        <w:rPr>
          <w:sz w:val="22"/>
          <w:szCs w:val="22"/>
        </w:rPr>
        <w:t>,</w:t>
      </w:r>
      <w:r w:rsidRPr="006F614C">
        <w:rPr>
          <w:sz w:val="22"/>
          <w:szCs w:val="22"/>
        </w:rPr>
        <w:t xml:space="preserve"> and </w:t>
      </w:r>
    </w:p>
    <w:p w14:paraId="710AEAF6" w14:textId="7F643C5D" w:rsidR="00A1209F" w:rsidRPr="00A1209F" w:rsidRDefault="00980302" w:rsidP="006F614C">
      <w:pPr>
        <w:pStyle w:val="exampledotpoint1"/>
        <w:rPr>
          <w:szCs w:val="22"/>
        </w:rPr>
      </w:pPr>
      <w:r w:rsidRPr="006F614C">
        <w:rPr>
          <w:sz w:val="22"/>
          <w:szCs w:val="22"/>
        </w:rPr>
        <w:t xml:space="preserve">the complaint </w:t>
      </w:r>
      <w:r w:rsidR="00152AFB" w:rsidRPr="006F614C">
        <w:rPr>
          <w:sz w:val="22"/>
          <w:szCs w:val="22"/>
        </w:rPr>
        <w:t xml:space="preserve">could have been </w:t>
      </w:r>
      <w:r w:rsidR="009349BC">
        <w:rPr>
          <w:sz w:val="22"/>
          <w:szCs w:val="22"/>
        </w:rPr>
        <w:t>‘</w:t>
      </w:r>
      <w:r w:rsidR="00152AFB" w:rsidRPr="006F614C">
        <w:rPr>
          <w:sz w:val="22"/>
          <w:szCs w:val="22"/>
        </w:rPr>
        <w:t>more conveniently or effectively</w:t>
      </w:r>
      <w:r w:rsidR="009349BC">
        <w:rPr>
          <w:sz w:val="22"/>
          <w:szCs w:val="22"/>
        </w:rPr>
        <w:t>’</w:t>
      </w:r>
      <w:r w:rsidR="00152AFB" w:rsidRPr="006F614C">
        <w:rPr>
          <w:sz w:val="22"/>
          <w:szCs w:val="22"/>
        </w:rPr>
        <w:t xml:space="preserve"> dealt with by the ASBFE Ombudsman</w:t>
      </w:r>
      <w:r w:rsidR="005815C3" w:rsidRPr="006F614C">
        <w:rPr>
          <w:sz w:val="22"/>
          <w:szCs w:val="22"/>
        </w:rPr>
        <w:t xml:space="preserve">. </w:t>
      </w:r>
    </w:p>
    <w:p w14:paraId="4AE4C292" w14:textId="77777777" w:rsidR="00980302" w:rsidRPr="006F3456" w:rsidRDefault="00E30EC0" w:rsidP="00A1209F">
      <w:pPr>
        <w:pStyle w:val="base-text-paragraphnonumbers"/>
        <w:rPr>
          <w:szCs w:val="22"/>
        </w:rPr>
      </w:pPr>
      <w:r w:rsidRPr="00F12FC0">
        <w:rPr>
          <w:rStyle w:val="Referencingstyle"/>
        </w:rPr>
        <w:t>[</w:t>
      </w:r>
      <w:r w:rsidR="00F12FC0" w:rsidRPr="00F12FC0">
        <w:rPr>
          <w:rStyle w:val="Referencingstyle"/>
        </w:rPr>
        <w:t>Schedule</w:t>
      </w:r>
      <w:r w:rsidR="00F12FC0">
        <w:rPr>
          <w:rStyle w:val="Referencingstyle"/>
        </w:rPr>
        <w:t> </w:t>
      </w:r>
      <w:r w:rsidRPr="00F12FC0">
        <w:rPr>
          <w:rStyle w:val="Referencingstyle"/>
        </w:rPr>
        <w:t>1, item 1]</w:t>
      </w:r>
      <w:r w:rsidRPr="006F614C">
        <w:rPr>
          <w:szCs w:val="22"/>
        </w:rPr>
        <w:t xml:space="preserve"> </w:t>
      </w:r>
    </w:p>
    <w:p w14:paraId="450947C3" w14:textId="77777777" w:rsidR="004761A7" w:rsidRDefault="00152AFB" w:rsidP="00200FC3">
      <w:pPr>
        <w:pStyle w:val="base-text-paragraph"/>
      </w:pPr>
      <w:r>
        <w:t>The ASBFE Ombudsman must also have the power to deal with the complaint under the Bill</w:t>
      </w:r>
      <w:r w:rsidR="005815C3">
        <w:t xml:space="preserve">. </w:t>
      </w:r>
      <w:r>
        <w:t xml:space="preserve">The Commonwealth Ombudsman has the discretion whether or not to transfer a </w:t>
      </w:r>
      <w:r w:rsidR="002C6C5E">
        <w:t>complaint</w:t>
      </w:r>
      <w:r w:rsidR="005815C3">
        <w:t xml:space="preserve">. </w:t>
      </w:r>
      <w:r w:rsidR="00E30EC0" w:rsidRPr="00E658ED">
        <w:rPr>
          <w:rStyle w:val="Referencingstyle"/>
        </w:rPr>
        <w:t xml:space="preserve">[Schedule 1, item </w:t>
      </w:r>
      <w:r w:rsidR="00E30EC0">
        <w:rPr>
          <w:rStyle w:val="Referencingstyle"/>
        </w:rPr>
        <w:t>1</w:t>
      </w:r>
      <w:r w:rsidR="00E30EC0" w:rsidRPr="00E658ED">
        <w:rPr>
          <w:rStyle w:val="Referencingstyle"/>
        </w:rPr>
        <w:t>]</w:t>
      </w:r>
      <w:r w:rsidR="00E30EC0">
        <w:t xml:space="preserve"> </w:t>
      </w:r>
    </w:p>
    <w:p w14:paraId="1012CCD3" w14:textId="41E2760C" w:rsidR="004761A7" w:rsidRDefault="003B5437" w:rsidP="00200FC3">
      <w:pPr>
        <w:pStyle w:val="base-text-paragraph"/>
      </w:pPr>
      <w:r>
        <w:t xml:space="preserve">In order to make a decision relating to a complaint, the Commonwealth Ombudsman must </w:t>
      </w:r>
      <w:r w:rsidR="002C6C5E">
        <w:t xml:space="preserve">first </w:t>
      </w:r>
      <w:r>
        <w:t>c</w:t>
      </w:r>
      <w:r w:rsidR="00BD3A9E">
        <w:t>onsult with the ASBFE Ombudsman.</w:t>
      </w:r>
      <w:r w:rsidR="005815C3">
        <w:t xml:space="preserve"> </w:t>
      </w:r>
      <w:r>
        <w:t>This will ensure that both ombudsmen work co</w:t>
      </w:r>
      <w:r w:rsidR="009349BC">
        <w:noBreakHyphen/>
      </w:r>
      <w:r>
        <w:t>operatively</w:t>
      </w:r>
      <w:r w:rsidR="002C6C5E">
        <w:t>,</w:t>
      </w:r>
      <w:r>
        <w:t xml:space="preserve"> and that complaints </w:t>
      </w:r>
      <w:r w:rsidR="002C6C5E">
        <w:t xml:space="preserve">will be </w:t>
      </w:r>
      <w:r>
        <w:t xml:space="preserve">dealt with </w:t>
      </w:r>
      <w:r w:rsidR="0065264A">
        <w:t xml:space="preserve">by </w:t>
      </w:r>
      <w:r w:rsidR="00FD4FF7">
        <w:t xml:space="preserve">the </w:t>
      </w:r>
      <w:r w:rsidR="002C6C5E">
        <w:t xml:space="preserve">ombudsman </w:t>
      </w:r>
      <w:r w:rsidR="00FD4FF7">
        <w:t xml:space="preserve">that can </w:t>
      </w:r>
      <w:r w:rsidR="009349BC">
        <w:t>‘</w:t>
      </w:r>
      <w:r w:rsidR="002C6C5E">
        <w:t xml:space="preserve">more </w:t>
      </w:r>
      <w:r>
        <w:t>conveniently or effectively</w:t>
      </w:r>
      <w:r w:rsidR="009349BC">
        <w:t>’</w:t>
      </w:r>
      <w:r w:rsidR="00FD4FF7">
        <w:t xml:space="preserve"> deal with them</w:t>
      </w:r>
      <w:r>
        <w:t>.</w:t>
      </w:r>
      <w:r w:rsidR="0065264A">
        <w:t xml:space="preserve"> Once a decision has been made</w:t>
      </w:r>
      <w:r w:rsidR="002C6C5E">
        <w:t xml:space="preserve"> to transfer a complaint</w:t>
      </w:r>
      <w:r w:rsidR="0065264A">
        <w:t>, the Commonwealth Ombudsman must transfer the complaint</w:t>
      </w:r>
      <w:r w:rsidR="00E14D5C">
        <w:t xml:space="preserve"> to the ASBFE</w:t>
      </w:r>
      <w:r w:rsidR="004034AF">
        <w:t xml:space="preserve"> Ombudsman</w:t>
      </w:r>
      <w:r w:rsidR="002C6C5E">
        <w:t xml:space="preserve"> </w:t>
      </w:r>
      <w:r w:rsidR="009349BC">
        <w:t>‘</w:t>
      </w:r>
      <w:r w:rsidR="002C6C5E">
        <w:t>as soon as is reasonable practicable</w:t>
      </w:r>
      <w:r w:rsidR="009349BC">
        <w:t>’</w:t>
      </w:r>
      <w:r w:rsidR="0065264A">
        <w:t>.</w:t>
      </w:r>
      <w:r w:rsidR="005815C3">
        <w:t xml:space="preserve"> </w:t>
      </w:r>
      <w:r w:rsidR="00E30EC0" w:rsidRPr="00E658ED">
        <w:rPr>
          <w:rStyle w:val="Referencingstyle"/>
        </w:rPr>
        <w:t xml:space="preserve">[Schedule 1, item </w:t>
      </w:r>
      <w:r w:rsidR="00E30EC0">
        <w:rPr>
          <w:rStyle w:val="Referencingstyle"/>
        </w:rPr>
        <w:t>1</w:t>
      </w:r>
      <w:r w:rsidR="00E30EC0" w:rsidRPr="00E658ED">
        <w:rPr>
          <w:rStyle w:val="Referencingstyle"/>
        </w:rPr>
        <w:t>]</w:t>
      </w:r>
      <w:r w:rsidR="00E30EC0">
        <w:t xml:space="preserve"> </w:t>
      </w:r>
    </w:p>
    <w:p w14:paraId="3C486AFB" w14:textId="7AFB1AD3" w:rsidR="004761A7" w:rsidRDefault="0065264A" w:rsidP="00200FC3">
      <w:pPr>
        <w:pStyle w:val="base-text-paragraph"/>
      </w:pPr>
      <w:r>
        <w:t>To facilitate the provision of information, the Commonwealth Ombudsman must give the ASBFE Ombudsman any information or documents relating to the complaint</w:t>
      </w:r>
      <w:r w:rsidR="002C6C5E">
        <w:t>,</w:t>
      </w:r>
      <w:r>
        <w:t xml:space="preserve"> to enable the ASBFE Ombudsman to deal with the complaint</w:t>
      </w:r>
      <w:r w:rsidR="005815C3">
        <w:t xml:space="preserve">. </w:t>
      </w:r>
      <w:r w:rsidR="002C6C5E">
        <w:t xml:space="preserve">Written notice must also be given by the Commonwealth Ombudsman to the complainant, </w:t>
      </w:r>
      <w:r w:rsidR="009349BC">
        <w:t>‘</w:t>
      </w:r>
      <w:r w:rsidR="002C6C5E">
        <w:t>as soon as is reasonably practicable</w:t>
      </w:r>
      <w:r w:rsidR="009349BC">
        <w:t>’</w:t>
      </w:r>
      <w:r w:rsidR="002C6C5E">
        <w:t xml:space="preserve">, regarding the transfer of the complaint to the ASBFE Ombudsman. </w:t>
      </w:r>
      <w:r w:rsidR="00E30EC0" w:rsidRPr="00E658ED">
        <w:rPr>
          <w:rStyle w:val="Referencingstyle"/>
        </w:rPr>
        <w:t xml:space="preserve">[Schedule 1, item </w:t>
      </w:r>
      <w:r w:rsidR="00E30EC0">
        <w:rPr>
          <w:rStyle w:val="Referencingstyle"/>
        </w:rPr>
        <w:t>1</w:t>
      </w:r>
      <w:r w:rsidR="00E30EC0" w:rsidRPr="00E658ED">
        <w:rPr>
          <w:rStyle w:val="Referencingstyle"/>
        </w:rPr>
        <w:t>]</w:t>
      </w:r>
      <w:r w:rsidR="00E30EC0">
        <w:t xml:space="preserve"> </w:t>
      </w:r>
    </w:p>
    <w:p w14:paraId="413CFF18" w14:textId="1E9630BF" w:rsidR="004761A7" w:rsidRDefault="008F1ED7" w:rsidP="00200FC3">
      <w:pPr>
        <w:pStyle w:val="base-text-paragraph"/>
      </w:pPr>
      <w:r>
        <w:t xml:space="preserve">The wording </w:t>
      </w:r>
      <w:r w:rsidR="002C6C5E">
        <w:t>of the amendment</w:t>
      </w:r>
      <w:r>
        <w:t xml:space="preserve"> is</w:t>
      </w:r>
      <w:r w:rsidRPr="008F1ED7">
        <w:t xml:space="preserve"> based on similar provisions in the </w:t>
      </w:r>
      <w:r w:rsidRPr="00ED057C">
        <w:rPr>
          <w:i/>
        </w:rPr>
        <w:t>Ombudsman Act 1976</w:t>
      </w:r>
      <w:r w:rsidR="006C6853" w:rsidRPr="00A71260">
        <w:t xml:space="preserve"> </w:t>
      </w:r>
      <w:r w:rsidR="006C6853" w:rsidRPr="006C6853">
        <w:t>(for example, section 6A)</w:t>
      </w:r>
      <w:r w:rsidRPr="006C6853">
        <w:t>.</w:t>
      </w:r>
      <w:r w:rsidRPr="008F1ED7">
        <w:t xml:space="preserve"> Whether an aspect of a request for assistance must be transferred will depend on the </w:t>
      </w:r>
      <w:r w:rsidR="009349BC">
        <w:t>‘</w:t>
      </w:r>
      <w:r w:rsidRPr="008F1ED7">
        <w:t>conveniently or effectively</w:t>
      </w:r>
      <w:r w:rsidR="009349BC">
        <w:t>’</w:t>
      </w:r>
      <w:r w:rsidRPr="008F1ED7">
        <w:t xml:space="preserve"> test</w:t>
      </w:r>
      <w:r w:rsidR="006C6853">
        <w:t xml:space="preserve">, which would apply </w:t>
      </w:r>
      <w:r w:rsidR="00FB219D">
        <w:t>to</w:t>
      </w:r>
      <w:r w:rsidR="008F249E" w:rsidRPr="008F249E">
        <w:t xml:space="preserve"> both </w:t>
      </w:r>
      <w:r w:rsidR="006C6853">
        <w:t>ombudsmen</w:t>
      </w:r>
      <w:r w:rsidR="008F249E" w:rsidRPr="008F249E">
        <w:t xml:space="preserve"> and </w:t>
      </w:r>
      <w:r w:rsidR="006C6853">
        <w:t xml:space="preserve">the </w:t>
      </w:r>
      <w:r w:rsidR="008F249E" w:rsidRPr="008F249E">
        <w:t xml:space="preserve">parties </w:t>
      </w:r>
      <w:r w:rsidR="008F249E">
        <w:t>involved in the complaint.</w:t>
      </w:r>
      <w:r w:rsidR="006C6853" w:rsidRPr="00A71260">
        <w:rPr>
          <w:b/>
          <w:i/>
        </w:rPr>
        <w:t xml:space="preserve"> </w:t>
      </w:r>
      <w:r w:rsidR="006C6853" w:rsidRPr="00A71260">
        <w:rPr>
          <w:rStyle w:val="Referencingstyle"/>
        </w:rPr>
        <w:t>[Schedule 1, item 1]</w:t>
      </w:r>
      <w:r w:rsidR="004761A7" w:rsidRPr="004761A7">
        <w:t xml:space="preserve"> </w:t>
      </w:r>
    </w:p>
    <w:p w14:paraId="5C130260" w14:textId="77777777" w:rsidR="004761A7" w:rsidRDefault="00E67BA7" w:rsidP="00200FC3">
      <w:pPr>
        <w:pStyle w:val="base-text-paragraph"/>
      </w:pPr>
      <w:r>
        <w:t xml:space="preserve">The proposed subsection 6E(4), that will be inserted into the </w:t>
      </w:r>
      <w:r w:rsidRPr="00ED057C">
        <w:rPr>
          <w:i/>
        </w:rPr>
        <w:t>Ombudsman Act 1976</w:t>
      </w:r>
      <w:r>
        <w:t xml:space="preserve">, will operate so that a complaint made to the Commonwealth Ombudsman and then transferred to the ASBFE Ombudsman, will be deemed to be a request for assistance under the </w:t>
      </w:r>
      <w:r w:rsidRPr="00A71260">
        <w:rPr>
          <w:i/>
        </w:rPr>
        <w:t>Australian Small Business and Family Enterprise Ombudsman Act 2015</w:t>
      </w:r>
      <w:r>
        <w:t>, made on the date that the complaint was transferred to the ASBFE Ombudsman.</w:t>
      </w:r>
      <w:r w:rsidR="0079020D">
        <w:t xml:space="preserve"> </w:t>
      </w:r>
      <w:r w:rsidR="0079020D" w:rsidRPr="00A71260">
        <w:rPr>
          <w:rStyle w:val="Referencingstyle"/>
        </w:rPr>
        <w:t>[Schedule 1, item 1]</w:t>
      </w:r>
      <w:r w:rsidR="004761A7" w:rsidRPr="004761A7">
        <w:t xml:space="preserve"> </w:t>
      </w:r>
    </w:p>
    <w:p w14:paraId="604F01BA" w14:textId="275D8D09" w:rsidR="007F4CB5" w:rsidRDefault="006C6853" w:rsidP="00200FC3">
      <w:pPr>
        <w:pStyle w:val="base-text-paragraph"/>
      </w:pPr>
      <w:r>
        <w:t>The proposed s</w:t>
      </w:r>
      <w:r w:rsidR="00FA23E3">
        <w:t>ub</w:t>
      </w:r>
      <w:r w:rsidR="00E43378">
        <w:t>section</w:t>
      </w:r>
      <w:r w:rsidR="00AD5C55">
        <w:t xml:space="preserve"> </w:t>
      </w:r>
      <w:r w:rsidR="006C7B31">
        <w:t>6E</w:t>
      </w:r>
      <w:r w:rsidR="00AD5C55">
        <w:t>(5)</w:t>
      </w:r>
      <w:r>
        <w:t xml:space="preserve">, that will be inserted into the </w:t>
      </w:r>
      <w:r w:rsidR="006C7B31" w:rsidRPr="00ED057C">
        <w:rPr>
          <w:i/>
        </w:rPr>
        <w:t>Ombudsman Act 1976</w:t>
      </w:r>
      <w:r>
        <w:t xml:space="preserve">, </w:t>
      </w:r>
      <w:r w:rsidR="00AD5C55">
        <w:t xml:space="preserve">deems a complaint which has been transferred under the </w:t>
      </w:r>
      <w:r w:rsidR="00AD5C55" w:rsidRPr="00F26DB0">
        <w:rPr>
          <w:i/>
        </w:rPr>
        <w:t>Ombudsman Act</w:t>
      </w:r>
      <w:r w:rsidR="000A067D" w:rsidRPr="00F26DB0">
        <w:rPr>
          <w:i/>
        </w:rPr>
        <w:t xml:space="preserve"> 1976</w:t>
      </w:r>
      <w:r>
        <w:t>,</w:t>
      </w:r>
      <w:r w:rsidR="00AD5C55">
        <w:t xml:space="preserve"> to be a </w:t>
      </w:r>
      <w:r w:rsidR="009349BC">
        <w:t>‘</w:t>
      </w:r>
      <w:r w:rsidR="00AD5C55">
        <w:t>formal request</w:t>
      </w:r>
      <w:r w:rsidR="009349BC">
        <w:t>’</w:t>
      </w:r>
      <w:r w:rsidR="00AD5C55">
        <w:t xml:space="preserve"> for assista</w:t>
      </w:r>
      <w:r w:rsidR="00FA23E3">
        <w:t xml:space="preserve">nce for the purposes of the </w:t>
      </w:r>
      <w:r w:rsidR="00FA23E3" w:rsidRPr="00A71260">
        <w:rPr>
          <w:i/>
        </w:rPr>
        <w:t>Australian Small Business and Family Enterprise Ombudsman Act 2015</w:t>
      </w:r>
      <w:r w:rsidR="00AD5C55">
        <w:t xml:space="preserve"> (</w:t>
      </w:r>
      <w:r w:rsidR="009349BC">
        <w:t>‘</w:t>
      </w:r>
      <w:r w:rsidR="00AD5C55">
        <w:t>formal request</w:t>
      </w:r>
      <w:r w:rsidR="009349BC">
        <w:t>’</w:t>
      </w:r>
      <w:r w:rsidR="00AD5C55">
        <w:t xml:space="preserve"> is defined in subsection 66(5) of the Australian Small Business and Family Enterprise Ombudsman Bill 2015). Because the transferred complaint is defined as a </w:t>
      </w:r>
      <w:r w:rsidR="009349BC">
        <w:t>‘</w:t>
      </w:r>
      <w:r w:rsidR="00AD5C55">
        <w:t>formal request</w:t>
      </w:r>
      <w:r w:rsidR="009349BC">
        <w:t>’</w:t>
      </w:r>
      <w:r w:rsidR="00AD5C55">
        <w:t xml:space="preserve">, </w:t>
      </w:r>
      <w:r w:rsidR="00FA23E3">
        <w:t>section</w:t>
      </w:r>
      <w:r w:rsidR="00AD5C55">
        <w:t xml:space="preserve"> 23, and sub</w:t>
      </w:r>
      <w:r w:rsidR="00FA23E3">
        <w:t>sections</w:t>
      </w:r>
      <w:r w:rsidR="00AD5C55">
        <w:t xml:space="preserve"> 67(3), 68(2), 69(6), and 70(4) of the Bill, which relate to the ASBFE Ombudsman</w:t>
      </w:r>
      <w:r w:rsidR="009349BC">
        <w:t>’</w:t>
      </w:r>
      <w:r w:rsidR="00AD5C55">
        <w:t>s functions, apply to the transferred complaint.</w:t>
      </w:r>
      <w:r w:rsidR="0079020D">
        <w:t xml:space="preserve"> </w:t>
      </w:r>
      <w:r w:rsidR="0079020D" w:rsidRPr="00A71260">
        <w:rPr>
          <w:rStyle w:val="Referencingstyle"/>
        </w:rPr>
        <w:t>[Schedule 1, item 1</w:t>
      </w:r>
      <w:r w:rsidR="007F4CB5" w:rsidRPr="00A71260">
        <w:rPr>
          <w:rStyle w:val="Referencingstyle"/>
        </w:rPr>
        <w:t>]</w:t>
      </w:r>
    </w:p>
    <w:p w14:paraId="52022924" w14:textId="77777777" w:rsidR="004761A7" w:rsidRDefault="006315B3" w:rsidP="00200FC3">
      <w:pPr>
        <w:pStyle w:val="base-text-paragraph"/>
      </w:pPr>
      <w:r w:rsidRPr="00C20074">
        <w:t>The</w:t>
      </w:r>
      <w:r w:rsidR="000A067D">
        <w:t xml:space="preserve">se </w:t>
      </w:r>
      <w:r w:rsidRPr="00ED057C">
        <w:t xml:space="preserve">consequential amendments </w:t>
      </w:r>
      <w:r w:rsidR="00670C83">
        <w:t xml:space="preserve">will </w:t>
      </w:r>
      <w:r w:rsidRPr="00ED057C">
        <w:t xml:space="preserve">commence </w:t>
      </w:r>
      <w:r w:rsidR="00C20074" w:rsidRPr="00ED057C">
        <w:t>immediately after the commencement of sections 3 to 96 of the Bill</w:t>
      </w:r>
      <w:r w:rsidR="006E4A93">
        <w:t xml:space="preserve">. </w:t>
      </w:r>
      <w:r w:rsidR="006E4A93" w:rsidRPr="00A71260">
        <w:rPr>
          <w:rStyle w:val="Referencingstyle"/>
        </w:rPr>
        <w:t>[S</w:t>
      </w:r>
      <w:r w:rsidR="006E4A93">
        <w:rPr>
          <w:rStyle w:val="Referencingstyle"/>
        </w:rPr>
        <w:t>ection 2</w:t>
      </w:r>
      <w:r w:rsidR="006E4A93" w:rsidRPr="00A71260">
        <w:rPr>
          <w:rStyle w:val="Referencingstyle"/>
        </w:rPr>
        <w:t>]</w:t>
      </w:r>
      <w:r w:rsidR="004761A7" w:rsidRPr="004761A7">
        <w:t xml:space="preserve"> </w:t>
      </w:r>
    </w:p>
    <w:p w14:paraId="37F12B7C" w14:textId="5630799F" w:rsidR="004761A7" w:rsidRDefault="00082C6F" w:rsidP="00200FC3">
      <w:pPr>
        <w:pStyle w:val="base-text-paragraph"/>
      </w:pPr>
      <w:r>
        <w:t xml:space="preserve">The consequential amendments take into account changes </w:t>
      </w:r>
      <w:r w:rsidR="000A067D">
        <w:t>resulting</w:t>
      </w:r>
      <w:r>
        <w:t xml:space="preserve"> from measures in the </w:t>
      </w:r>
      <w:r w:rsidRPr="00A71260">
        <w:rPr>
          <w:i/>
        </w:rPr>
        <w:t xml:space="preserve">Tax and Superannuation Laws Amendment (2014 Measures No. 70) </w:t>
      </w:r>
      <w:r w:rsidR="000A1AFC" w:rsidRPr="00A71260">
        <w:rPr>
          <w:i/>
        </w:rPr>
        <w:t>Act 2015</w:t>
      </w:r>
      <w:r w:rsidR="00670C83">
        <w:t xml:space="preserve">, </w:t>
      </w:r>
      <w:r>
        <w:t>which transfer</w:t>
      </w:r>
      <w:r w:rsidR="00670C83">
        <w:t>red</w:t>
      </w:r>
      <w:r>
        <w:t xml:space="preserve"> </w:t>
      </w:r>
      <w:r w:rsidR="00670C83">
        <w:t>certain</w:t>
      </w:r>
      <w:r w:rsidR="000A1AFC" w:rsidRPr="000A1AFC">
        <w:t xml:space="preserve"> tax investigation and complaint handling function</w:t>
      </w:r>
      <w:r w:rsidR="00670C83">
        <w:t>s from</w:t>
      </w:r>
      <w:r w:rsidR="000A1AFC" w:rsidRPr="000A1AFC">
        <w:t xml:space="preserve"> the Commonwealth Ombudsman to the Inspector</w:t>
      </w:r>
      <w:r w:rsidR="009349BC">
        <w:noBreakHyphen/>
      </w:r>
      <w:r w:rsidR="000A1AFC" w:rsidRPr="000A1AFC">
        <w:t>General of Taxation</w:t>
      </w:r>
      <w:r w:rsidR="000A1AFC">
        <w:t>.</w:t>
      </w:r>
      <w:r w:rsidR="004761A7" w:rsidRPr="004761A7">
        <w:t xml:space="preserve"> </w:t>
      </w:r>
    </w:p>
    <w:p w14:paraId="3A1E12FB" w14:textId="77777777" w:rsidR="00132835" w:rsidRDefault="00132835" w:rsidP="006F614C">
      <w:pPr>
        <w:tabs>
          <w:tab w:val="left" w:pos="1985"/>
        </w:tabs>
        <w:ind w:left="1134"/>
        <w:sectPr w:rsidR="00132835" w:rsidSect="00DD1F1A">
          <w:headerReference w:type="even" r:id="rId56"/>
          <w:headerReference w:type="default" r:id="rId57"/>
          <w:footerReference w:type="even" r:id="rId58"/>
          <w:footerReference w:type="default" r:id="rId59"/>
          <w:headerReference w:type="first" r:id="rId60"/>
          <w:footerReference w:type="first" r:id="rId61"/>
          <w:type w:val="oddPage"/>
          <w:pgSz w:w="11906" w:h="16838" w:code="9"/>
          <w:pgMar w:top="2466" w:right="2098" w:bottom="2466" w:left="2098" w:header="1559" w:footer="1899" w:gutter="0"/>
          <w:cols w:space="708"/>
          <w:titlePg/>
          <w:docGrid w:linePitch="360"/>
        </w:sectPr>
      </w:pPr>
    </w:p>
    <w:p w14:paraId="2ECB0658" w14:textId="77777777" w:rsidR="005E6B63" w:rsidRPr="00F51A71" w:rsidRDefault="005E6B63" w:rsidP="00B64A6A">
      <w:pPr>
        <w:pStyle w:val="ChapterHeading"/>
        <w:tabs>
          <w:tab w:val="clear" w:pos="1134"/>
          <w:tab w:val="left" w:pos="1985"/>
        </w:tabs>
      </w:pPr>
      <w:r w:rsidRPr="00F51A71">
        <w:br/>
      </w:r>
      <w:bookmarkStart w:id="47" w:name="_Toc419101552"/>
      <w:bookmarkStart w:id="48" w:name="_Toc419136758"/>
      <w:bookmarkStart w:id="49" w:name="_Toc420587205"/>
      <w:r w:rsidR="00E516A5">
        <w:t>Transitional provisions</w:t>
      </w:r>
      <w:bookmarkEnd w:id="47"/>
      <w:bookmarkEnd w:id="48"/>
      <w:bookmarkEnd w:id="49"/>
    </w:p>
    <w:p w14:paraId="3DBF2BAB" w14:textId="77777777" w:rsidR="005E6B63" w:rsidRPr="00F12FC0" w:rsidRDefault="005E6B63" w:rsidP="00F12FC0">
      <w:pPr>
        <w:pStyle w:val="Heading2"/>
      </w:pPr>
      <w:r w:rsidRPr="00F12FC0">
        <w:t xml:space="preserve">Outline of </w:t>
      </w:r>
      <w:r w:rsidR="00FA4E45" w:rsidRPr="00F12FC0">
        <w:t>chapter</w:t>
      </w:r>
    </w:p>
    <w:p w14:paraId="69FB26D2" w14:textId="77777777" w:rsidR="00D808B7" w:rsidRDefault="004D513C" w:rsidP="00200FC3">
      <w:pPr>
        <w:pStyle w:val="base-text-paragraph"/>
      </w:pPr>
      <w:r>
        <w:t xml:space="preserve">This </w:t>
      </w:r>
      <w:r w:rsidR="00FA4E45">
        <w:t xml:space="preserve">chapter </w:t>
      </w:r>
      <w:r>
        <w:t xml:space="preserve">explains the transitional arrangements that will apply under the Australian Small Business and Family Enterprise Ombudsman (Consequential and Transitional Provisions) Bill 2015 (Consequential and Transitional Provisions Bill), specifically </w:t>
      </w:r>
      <w:r w:rsidR="00243A73">
        <w:t xml:space="preserve">in relation to </w:t>
      </w:r>
      <w:r>
        <w:t>the disclosure, collection and use of information and documents held by the Australian Small Business Commissioner (Commissioner).</w:t>
      </w:r>
      <w:r w:rsidR="00D808B7" w:rsidRPr="00D808B7">
        <w:t xml:space="preserve"> </w:t>
      </w:r>
    </w:p>
    <w:p w14:paraId="630D2F1D" w14:textId="77777777" w:rsidR="005E6B63" w:rsidRPr="00F12FC0" w:rsidRDefault="005E6B63" w:rsidP="00F12FC0">
      <w:pPr>
        <w:pStyle w:val="Heading2"/>
      </w:pPr>
      <w:r w:rsidRPr="00F12FC0">
        <w:t>Summary of new law</w:t>
      </w:r>
    </w:p>
    <w:p w14:paraId="0BD549CC" w14:textId="3E75F8D9" w:rsidR="00D808B7" w:rsidRDefault="0035270E" w:rsidP="00200FC3">
      <w:pPr>
        <w:pStyle w:val="base-text-paragraph"/>
      </w:pPr>
      <w:r>
        <w:t xml:space="preserve">The transitional arrangements allow </w:t>
      </w:r>
      <w:r w:rsidR="004D513C">
        <w:t xml:space="preserve">relevant work of the Australian Small Business Commissioner (Commissioner), which is ongoing at the time of the creation of the Australian Small Business and Family Enterprise Ombudsman (Ombudsman), to be transferred to the </w:t>
      </w:r>
      <w:r w:rsidR="00281A05">
        <w:t>Ombudsman</w:t>
      </w:r>
      <w:r w:rsidR="004D513C">
        <w:t xml:space="preserve"> for completion under the Ombudsman</w:t>
      </w:r>
      <w:r w:rsidR="009349BC">
        <w:t>’</w:t>
      </w:r>
      <w:r w:rsidR="004D513C">
        <w:t xml:space="preserve">s </w:t>
      </w:r>
      <w:r w:rsidR="00281A05">
        <w:t>advocacy and assistance functions.</w:t>
      </w:r>
      <w:r w:rsidR="00D808B7" w:rsidRPr="00D808B7">
        <w:t xml:space="preserve"> </w:t>
      </w:r>
    </w:p>
    <w:p w14:paraId="107CDDEB" w14:textId="77777777" w:rsidR="005E6B63" w:rsidRPr="00F12FC0" w:rsidRDefault="005E6B63" w:rsidP="00F12FC0">
      <w:pPr>
        <w:pStyle w:val="Heading2"/>
      </w:pPr>
      <w:r w:rsidRPr="00F12FC0">
        <w:t>Detailed explanation of new law</w:t>
      </w:r>
    </w:p>
    <w:p w14:paraId="215A4CCD" w14:textId="77777777" w:rsidR="00D808B7" w:rsidRDefault="00FE064F" w:rsidP="00200FC3">
      <w:pPr>
        <w:pStyle w:val="base-text-paragraph"/>
      </w:pPr>
      <w:r>
        <w:t xml:space="preserve">The </w:t>
      </w:r>
      <w:r w:rsidR="004B7D41">
        <w:t xml:space="preserve">Commissioner </w:t>
      </w:r>
      <w:r w:rsidR="004D513C">
        <w:t xml:space="preserve">commenced </w:t>
      </w:r>
      <w:r w:rsidR="00932DE2">
        <w:t xml:space="preserve">operation </w:t>
      </w:r>
      <w:r w:rsidR="004D513C">
        <w:t>on 2 January</w:t>
      </w:r>
      <w:r w:rsidR="002C4367">
        <w:t> </w:t>
      </w:r>
      <w:r w:rsidR="004D513C">
        <w:t>2</w:t>
      </w:r>
      <w:r w:rsidR="004B7D41">
        <w:t xml:space="preserve">013. </w:t>
      </w:r>
      <w:r w:rsidR="004D513C">
        <w:t>Since that time</w:t>
      </w:r>
      <w:r w:rsidR="00F432C1">
        <w:t>, documents and information have been obtained by the Commissioner in the course of performing its role and duties as Commissioner.</w:t>
      </w:r>
      <w:r w:rsidR="004D513C">
        <w:t xml:space="preserve"> Where work is ongoing, it is appropriate that relevant documents and information be passed to the </w:t>
      </w:r>
      <w:r w:rsidR="00932DE2">
        <w:t xml:space="preserve">Ombudsman </w:t>
      </w:r>
      <w:r w:rsidR="00D3504D">
        <w:t>—</w:t>
      </w:r>
      <w:r w:rsidR="002A3F75">
        <w:t xml:space="preserve"> so </w:t>
      </w:r>
      <w:r w:rsidR="00F432C1">
        <w:t>that there is</w:t>
      </w:r>
      <w:r w:rsidR="00932DE2">
        <w:t xml:space="preserve"> a</w:t>
      </w:r>
      <w:r w:rsidR="00F432C1">
        <w:t xml:space="preserve"> continuation </w:t>
      </w:r>
      <w:r w:rsidR="00932DE2">
        <w:t>and progress</w:t>
      </w:r>
      <w:r w:rsidR="002A3F75">
        <w:t>ion</w:t>
      </w:r>
      <w:r w:rsidR="00932DE2">
        <w:t xml:space="preserve"> </w:t>
      </w:r>
      <w:r w:rsidR="00F432C1">
        <w:t xml:space="preserve">of </w:t>
      </w:r>
      <w:r w:rsidR="002A3F75">
        <w:t xml:space="preserve">the </w:t>
      </w:r>
      <w:r w:rsidR="00F432C1">
        <w:t>work</w:t>
      </w:r>
      <w:r w:rsidR="00D07183">
        <w:t xml:space="preserve">. </w:t>
      </w:r>
    </w:p>
    <w:p w14:paraId="20411271" w14:textId="6005C4E6" w:rsidR="00D808B7" w:rsidRDefault="00D819CB" w:rsidP="00200FC3">
      <w:pPr>
        <w:pStyle w:val="base-text-paragraph"/>
      </w:pPr>
      <w:r>
        <w:t>Schedule 2 of the Consequential and Transitional Provisions Bill</w:t>
      </w:r>
      <w:r w:rsidR="00932DE2">
        <w:t xml:space="preserve"> allows for this by providing that the </w:t>
      </w:r>
      <w:r w:rsidR="007565CE">
        <w:t xml:space="preserve">Commissioner may disclose to the Ombudsman relevant information and documents </w:t>
      </w:r>
      <w:r w:rsidR="002A3F75">
        <w:t>collected by the Commissioner</w:t>
      </w:r>
      <w:r w:rsidR="007565CE">
        <w:t xml:space="preserve"> for the purposes of the Ombudsman</w:t>
      </w:r>
      <w:r w:rsidR="009349BC">
        <w:t>’</w:t>
      </w:r>
      <w:r w:rsidR="002A3F75">
        <w:t>s</w:t>
      </w:r>
      <w:r w:rsidR="007565CE">
        <w:t xml:space="preserve"> advocacy and assistance functions.</w:t>
      </w:r>
      <w:r w:rsidR="005815C3">
        <w:t xml:space="preserve"> </w:t>
      </w:r>
      <w:r w:rsidR="005815C3" w:rsidRPr="00ED057C">
        <w:rPr>
          <w:rStyle w:val="Referencingstyle"/>
        </w:rPr>
        <w:t>[</w:t>
      </w:r>
      <w:r w:rsidR="007565CE" w:rsidRPr="00ED057C">
        <w:rPr>
          <w:rStyle w:val="Referencingstyle"/>
        </w:rPr>
        <w:t>Schedule 2, item 1]</w:t>
      </w:r>
      <w:r w:rsidR="00D808B7" w:rsidRPr="00D808B7">
        <w:t xml:space="preserve"> </w:t>
      </w:r>
    </w:p>
    <w:p w14:paraId="7B6D34D7" w14:textId="1355FC49" w:rsidR="00D808B7" w:rsidRDefault="007565CE" w:rsidP="00200FC3">
      <w:pPr>
        <w:pStyle w:val="base-text-paragraph"/>
      </w:pPr>
      <w:r>
        <w:t xml:space="preserve">The Ombudsman may </w:t>
      </w:r>
      <w:r w:rsidR="002A3F75">
        <w:t>receive</w:t>
      </w:r>
      <w:r>
        <w:t xml:space="preserve"> and use </w:t>
      </w:r>
      <w:r w:rsidR="002A3F75">
        <w:t xml:space="preserve">the </w:t>
      </w:r>
      <w:r>
        <w:t>relevant information or documents only for the purposes of performing the Ombudsman</w:t>
      </w:r>
      <w:r w:rsidR="009349BC">
        <w:t>’</w:t>
      </w:r>
      <w:r>
        <w:t xml:space="preserve">s functions under the </w:t>
      </w:r>
      <w:r w:rsidR="002A3F75">
        <w:t xml:space="preserve">Australian Small Business and Family Enterprise Ombudsman </w:t>
      </w:r>
      <w:r>
        <w:t>Bill</w:t>
      </w:r>
      <w:r w:rsidR="002A3F75">
        <w:t xml:space="preserve"> 2015 (Bill)</w:t>
      </w:r>
      <w:r>
        <w:t>.</w:t>
      </w:r>
      <w:r w:rsidR="00C83E0F">
        <w:t xml:space="preserve"> There are </w:t>
      </w:r>
      <w:r w:rsidR="002F0C5E">
        <w:t xml:space="preserve">also </w:t>
      </w:r>
      <w:r w:rsidR="00C83E0F">
        <w:t>protections in the Bill in relation to</w:t>
      </w:r>
      <w:r w:rsidR="009F6273">
        <w:t>, for example,</w:t>
      </w:r>
      <w:r w:rsidR="00C83E0F">
        <w:t xml:space="preserve"> the use of confidential information</w:t>
      </w:r>
      <w:r w:rsidR="005815C3">
        <w:t xml:space="preserve"> </w:t>
      </w:r>
      <w:r w:rsidR="00BD3A9E">
        <w:t>(</w:t>
      </w:r>
      <w:r w:rsidR="00C83E0F">
        <w:t>see</w:t>
      </w:r>
      <w:r w:rsidR="00C83E0F" w:rsidRPr="00C83E0F">
        <w:t xml:space="preserve"> definition of </w:t>
      </w:r>
      <w:r w:rsidR="009349BC">
        <w:t>‘</w:t>
      </w:r>
      <w:r w:rsidR="00C83E0F" w:rsidRPr="00C83E0F">
        <w:t>con</w:t>
      </w:r>
      <w:r w:rsidR="00C83E0F">
        <w:t>fidential information</w:t>
      </w:r>
      <w:r w:rsidR="009349BC">
        <w:t>’</w:t>
      </w:r>
      <w:r w:rsidR="00C83E0F">
        <w:t xml:space="preserve"> in </w:t>
      </w:r>
      <w:r w:rsidR="00E43378">
        <w:t>section</w:t>
      </w:r>
      <w:r w:rsidR="00C83E0F" w:rsidRPr="00C83E0F">
        <w:t xml:space="preserve"> 9</w:t>
      </w:r>
      <w:r w:rsidR="00C83E0F">
        <w:t xml:space="preserve"> of the Bill</w:t>
      </w:r>
      <w:r w:rsidR="00BD3A9E">
        <w:t>)</w:t>
      </w:r>
      <w:r w:rsidR="00C83E0F" w:rsidRPr="00C83E0F">
        <w:t xml:space="preserve">, </w:t>
      </w:r>
      <w:r w:rsidR="00C83E0F">
        <w:t>information which is subject to legal professional privilege</w:t>
      </w:r>
      <w:r w:rsidR="005815C3">
        <w:t xml:space="preserve"> </w:t>
      </w:r>
      <w:r w:rsidR="00BD3A9E">
        <w:t>(</w:t>
      </w:r>
      <w:r w:rsidR="00E43378">
        <w:t>section</w:t>
      </w:r>
      <w:r w:rsidR="00C83E0F">
        <w:t xml:space="preserve"> 93</w:t>
      </w:r>
      <w:r w:rsidR="00BD3A9E">
        <w:t xml:space="preserve"> of the Bill),</w:t>
      </w:r>
      <w:r w:rsidR="009F6273">
        <w:t xml:space="preserve"> and protected information</w:t>
      </w:r>
      <w:r w:rsidR="005815C3">
        <w:t xml:space="preserve"> </w:t>
      </w:r>
      <w:r w:rsidR="00BD3A9E">
        <w:t>(</w:t>
      </w:r>
      <w:r w:rsidR="009F6273">
        <w:t xml:space="preserve">see definition in </w:t>
      </w:r>
      <w:r w:rsidR="00E43378">
        <w:t>section</w:t>
      </w:r>
      <w:r w:rsidR="009F6273">
        <w:t xml:space="preserve"> 80 of the Bill</w:t>
      </w:r>
      <w:r w:rsidR="00BD3A9E">
        <w:t>)</w:t>
      </w:r>
      <w:r w:rsidR="00E43378">
        <w:t>.</w:t>
      </w:r>
      <w:r w:rsidR="005815C3">
        <w:t xml:space="preserve"> </w:t>
      </w:r>
    </w:p>
    <w:p w14:paraId="27911A5D" w14:textId="77777777" w:rsidR="00D808B7" w:rsidRDefault="002F0C5E" w:rsidP="00200FC3">
      <w:pPr>
        <w:pStyle w:val="base-text-paragraph"/>
      </w:pPr>
      <w:r w:rsidRPr="002F0C5E">
        <w:t>The transitional provisions in Schedule 2 of the Consequential and Transitional Provisions Bill commence on the day that the Consequential and Transitional Provisions</w:t>
      </w:r>
      <w:r w:rsidR="002A3F75">
        <w:t xml:space="preserve"> Bill</w:t>
      </w:r>
      <w:r w:rsidRPr="002F0C5E">
        <w:t xml:space="preserve"> receives Royal Assent. </w:t>
      </w:r>
    </w:p>
    <w:p w14:paraId="04AD17D0" w14:textId="77777777" w:rsidR="005E6B63" w:rsidRDefault="005E6B63" w:rsidP="006F614C">
      <w:pPr>
        <w:tabs>
          <w:tab w:val="left" w:pos="1985"/>
        </w:tabs>
        <w:ind w:left="1134"/>
        <w:sectPr w:rsidR="005E6B63" w:rsidSect="005E6B63">
          <w:headerReference w:type="even" r:id="rId62"/>
          <w:headerReference w:type="default" r:id="rId63"/>
          <w:footerReference w:type="even" r:id="rId64"/>
          <w:footerReference w:type="default" r:id="rId65"/>
          <w:footerReference w:type="first" r:id="rId66"/>
          <w:type w:val="oddPage"/>
          <w:pgSz w:w="11906" w:h="16838" w:code="9"/>
          <w:pgMar w:top="2466" w:right="2098" w:bottom="2466" w:left="2098" w:header="1559" w:footer="1899" w:gutter="0"/>
          <w:cols w:space="708"/>
          <w:titlePg/>
          <w:docGrid w:linePitch="360"/>
        </w:sectPr>
      </w:pPr>
    </w:p>
    <w:p w14:paraId="7F77389C" w14:textId="77777777" w:rsidR="00DC6CCD" w:rsidRPr="00F12FC0" w:rsidRDefault="00DC6CCD" w:rsidP="0036043A">
      <w:pPr>
        <w:pStyle w:val="ChapterHeading"/>
        <w:numPr>
          <w:ilvl w:val="0"/>
          <w:numId w:val="22"/>
        </w:numPr>
      </w:pPr>
      <w:r w:rsidRPr="00F12FC0">
        <w:br/>
      </w:r>
      <w:bookmarkStart w:id="50" w:name="_Toc419101555"/>
      <w:bookmarkStart w:id="51" w:name="_Toc419136759"/>
      <w:bookmarkStart w:id="52" w:name="_Toc420587206"/>
      <w:r w:rsidRPr="00F12FC0">
        <w:t>Regulation impact statement</w:t>
      </w:r>
      <w:bookmarkEnd w:id="50"/>
      <w:bookmarkEnd w:id="51"/>
      <w:bookmarkEnd w:id="52"/>
    </w:p>
    <w:p w14:paraId="1BC3C5C4" w14:textId="77777777" w:rsidR="00AC4A99" w:rsidRDefault="00AC4A99" w:rsidP="00AC4A99">
      <w:pPr>
        <w:pStyle w:val="Heading2"/>
      </w:pPr>
      <w:r>
        <w:t>Outline of chapter</w:t>
      </w:r>
    </w:p>
    <w:p w14:paraId="4086A4E1" w14:textId="77777777" w:rsidR="00D808B7" w:rsidRPr="00AC4A99" w:rsidRDefault="0079199E" w:rsidP="00200FC3">
      <w:pPr>
        <w:pStyle w:val="base-text-paragraph"/>
      </w:pPr>
      <w:r w:rsidRPr="00AC4A99">
        <w:t xml:space="preserve">The following Regulation Impact Statement (RIS) including Attachments A and B was published by the Office of Best Practice Regulation and is located on their website at </w:t>
      </w:r>
      <w:r w:rsidR="00474428" w:rsidRPr="00AC4A99">
        <w:t>http://ris.dpmc.gov.au/</w:t>
      </w:r>
      <w:r w:rsidR="0019177E" w:rsidRPr="00AC4A99">
        <w:t>.l</w:t>
      </w:r>
      <w:r w:rsidR="00A1209F">
        <w:t>.</w:t>
      </w:r>
    </w:p>
    <w:p w14:paraId="087019D1" w14:textId="77777777" w:rsidR="00DC6CCD" w:rsidRPr="00F12FC0" w:rsidRDefault="0079199E" w:rsidP="00F26DB0">
      <w:pPr>
        <w:pStyle w:val="Heading2"/>
        <w:spacing w:before="240"/>
      </w:pPr>
      <w:r w:rsidRPr="00F12FC0">
        <w:t>Background</w:t>
      </w:r>
    </w:p>
    <w:p w14:paraId="4F9B24BE" w14:textId="77777777" w:rsidR="00D808B7" w:rsidRDefault="0079199E" w:rsidP="00200FC3">
      <w:pPr>
        <w:pStyle w:val="base-text-paragraph"/>
      </w:pPr>
      <w:r>
        <w:t>The establishment of the Ombudsman is an election commitment</w:t>
      </w:r>
      <w:r w:rsidR="009041EE">
        <w:t xml:space="preserve">. </w:t>
      </w:r>
      <w:r>
        <w:t>The Regulation Impact Statement (RIS) considers the likely regulatory impact on businesses of different ways of implementing this initiative</w:t>
      </w:r>
      <w:r w:rsidR="009041EE">
        <w:t xml:space="preserve">. </w:t>
      </w:r>
    </w:p>
    <w:p w14:paraId="0DDD613F" w14:textId="77777777" w:rsidR="00D808B7" w:rsidRDefault="0079199E" w:rsidP="00200FC3">
      <w:pPr>
        <w:pStyle w:val="base-text-paragraph"/>
      </w:pPr>
      <w:r>
        <w:t>The RIS addresses seven questions outlined in the Australian Government Guide to Regulation.</w:t>
      </w:r>
      <w:r w:rsidR="004761A7" w:rsidRPr="004761A7">
        <w:t xml:space="preserve"> </w:t>
      </w:r>
    </w:p>
    <w:p w14:paraId="00E867A9" w14:textId="77777777" w:rsidR="0079199E" w:rsidRPr="00F12FC0" w:rsidRDefault="0079199E" w:rsidP="00C71EE9">
      <w:pPr>
        <w:pStyle w:val="Heading3"/>
      </w:pPr>
      <w:r w:rsidRPr="00F12FC0">
        <w:t>The establishment of the Australian Small Business and Family Enterprise Ombudsman</w:t>
      </w:r>
    </w:p>
    <w:p w14:paraId="6EDD7397" w14:textId="22C95877" w:rsidR="00D808B7" w:rsidRDefault="0079199E" w:rsidP="00200FC3">
      <w:pPr>
        <w:pStyle w:val="base-text-paragraph"/>
      </w:pPr>
      <w:r>
        <w:t>The Coalition</w:t>
      </w:r>
      <w:r w:rsidR="009349BC">
        <w:t>’</w:t>
      </w:r>
      <w:r>
        <w:t>s Policy for Small Business</w:t>
      </w:r>
      <w:r>
        <w:rPr>
          <w:rStyle w:val="FootnoteReference"/>
        </w:rPr>
        <w:footnoteReference w:id="2"/>
      </w:r>
      <w:r>
        <w:t xml:space="preserve"> (August 2013) outlined a commitment to create a Small Business and Family Enterprise Ombudsman</w:t>
      </w:r>
      <w:r w:rsidR="009041EE">
        <w:t xml:space="preserve">. </w:t>
      </w:r>
    </w:p>
    <w:p w14:paraId="40A866B6" w14:textId="69EF6805" w:rsidR="00D808B7" w:rsidRDefault="0079199E" w:rsidP="00200FC3">
      <w:pPr>
        <w:pStyle w:val="base-text-paragraph"/>
      </w:pPr>
      <w:r>
        <w:t xml:space="preserve">On 18 August 2014, following a period of public consultation, the Government announced its chosen model for the scope of the role </w:t>
      </w:r>
      <w:r w:rsidR="00A1209F">
        <w:t>—</w:t>
      </w:r>
      <w:r w:rsidR="00134653">
        <w:t xml:space="preserve"> to </w:t>
      </w:r>
      <w:r>
        <w:t>be titled The Australian Small Business and Family Enterprise Ombudsman (the Ombudsman)</w:t>
      </w:r>
      <w:r>
        <w:rPr>
          <w:rStyle w:val="FootnoteReference"/>
        </w:rPr>
        <w:footnoteReference w:id="3"/>
      </w:r>
      <w:r>
        <w:t>. An early</w:t>
      </w:r>
      <w:r w:rsidR="009349BC">
        <w:noBreakHyphen/>
      </w:r>
      <w:r>
        <w:t>assessment RIS was developed to support the Government</w:t>
      </w:r>
      <w:r w:rsidR="009349BC">
        <w:t>’</w:t>
      </w:r>
      <w:r>
        <w:t>s decision.</w:t>
      </w:r>
      <w:r w:rsidR="004761A7" w:rsidRPr="004761A7">
        <w:t xml:space="preserve"> </w:t>
      </w:r>
    </w:p>
    <w:p w14:paraId="177926EA" w14:textId="77777777" w:rsidR="00D808B7" w:rsidRDefault="0079199E" w:rsidP="00B10F05">
      <w:pPr>
        <w:pStyle w:val="base-text-paragraph"/>
        <w:keepNext/>
        <w:keepLines/>
      </w:pPr>
      <w:r>
        <w:t>The Ombudsman will be a</w:t>
      </w:r>
      <w:r w:rsidRPr="00C651E4">
        <w:t>:</w:t>
      </w:r>
      <w:r w:rsidR="00D808B7" w:rsidRPr="00D808B7">
        <w:t xml:space="preserve"> </w:t>
      </w:r>
    </w:p>
    <w:p w14:paraId="1DD6ADD6" w14:textId="0F68033B" w:rsidR="0079199E" w:rsidRPr="00F12FC0" w:rsidRDefault="0079199E" w:rsidP="00F26DB0">
      <w:pPr>
        <w:pStyle w:val="exampledotpoint1"/>
        <w:keepNext/>
        <w:keepLines/>
        <w:rPr>
          <w:szCs w:val="22"/>
          <w:lang w:val="en-US"/>
        </w:rPr>
      </w:pPr>
      <w:r w:rsidRPr="00F12FC0">
        <w:rPr>
          <w:sz w:val="22"/>
          <w:szCs w:val="22"/>
          <w:lang w:val="en-US"/>
        </w:rPr>
        <w:t>Commonwealth</w:t>
      </w:r>
      <w:r w:rsidR="009349BC">
        <w:rPr>
          <w:sz w:val="22"/>
          <w:szCs w:val="22"/>
          <w:lang w:val="en-US"/>
        </w:rPr>
        <w:noBreakHyphen/>
      </w:r>
      <w:r w:rsidRPr="00F12FC0">
        <w:rPr>
          <w:sz w:val="22"/>
          <w:szCs w:val="22"/>
          <w:lang w:val="en-US"/>
        </w:rPr>
        <w:t>wide advocate for small businesses and family enterprises;</w:t>
      </w:r>
    </w:p>
    <w:p w14:paraId="4FD7A184" w14:textId="77777777" w:rsidR="0079199E" w:rsidRPr="00F12FC0" w:rsidRDefault="0079199E" w:rsidP="00F26DB0">
      <w:pPr>
        <w:pStyle w:val="exampledotpoint1"/>
        <w:keepNext/>
        <w:keepLines/>
        <w:rPr>
          <w:szCs w:val="22"/>
          <w:lang w:val="en-US"/>
        </w:rPr>
      </w:pPr>
      <w:r w:rsidRPr="00F12FC0">
        <w:rPr>
          <w:sz w:val="22"/>
          <w:szCs w:val="22"/>
          <w:lang w:val="en-US"/>
        </w:rPr>
        <w:t>Concierge for dispute resolution and provide its own dispute resolution service; and</w:t>
      </w:r>
    </w:p>
    <w:p w14:paraId="1E5C1654" w14:textId="77777777" w:rsidR="0079199E" w:rsidRPr="00F12FC0" w:rsidRDefault="0079199E" w:rsidP="00F26DB0">
      <w:pPr>
        <w:pStyle w:val="exampledotpoint1"/>
        <w:keepNext/>
        <w:keepLines/>
        <w:rPr>
          <w:szCs w:val="22"/>
          <w:lang w:val="en-US"/>
        </w:rPr>
      </w:pPr>
      <w:r w:rsidRPr="00F12FC0">
        <w:rPr>
          <w:sz w:val="22"/>
          <w:szCs w:val="22"/>
          <w:lang w:val="en-US"/>
        </w:rPr>
        <w:t>Contributor to the development of small business friendly Commonwealth laws and regulations.</w:t>
      </w:r>
    </w:p>
    <w:p w14:paraId="4DD15208" w14:textId="0599BEBA" w:rsidR="00D808B7" w:rsidRPr="00F26DB0" w:rsidRDefault="0079199E" w:rsidP="00200FC3">
      <w:pPr>
        <w:pStyle w:val="base-text-paragraph"/>
      </w:pPr>
      <w:r w:rsidRPr="001F74CD">
        <w:rPr>
          <w:lang w:val="en-US"/>
        </w:rPr>
        <w:t>The Ombudsman will also seamlessly link with the Government</w:t>
      </w:r>
      <w:r w:rsidR="009349BC">
        <w:rPr>
          <w:lang w:val="en-US"/>
        </w:rPr>
        <w:t>’</w:t>
      </w:r>
      <w:r w:rsidRPr="001F74CD">
        <w:rPr>
          <w:lang w:val="en-US"/>
        </w:rPr>
        <w:t xml:space="preserve">s </w:t>
      </w:r>
      <w:r>
        <w:rPr>
          <w:lang w:val="en-US"/>
        </w:rPr>
        <w:t>s</w:t>
      </w:r>
      <w:r w:rsidRPr="001F74CD">
        <w:rPr>
          <w:lang w:val="en-US"/>
        </w:rPr>
        <w:t xml:space="preserve">ingle </w:t>
      </w:r>
      <w:r>
        <w:rPr>
          <w:lang w:val="en-US"/>
        </w:rPr>
        <w:t>b</w:t>
      </w:r>
      <w:r w:rsidRPr="001F74CD">
        <w:rPr>
          <w:lang w:val="en-US"/>
        </w:rPr>
        <w:t xml:space="preserve">usiness </w:t>
      </w:r>
      <w:r>
        <w:rPr>
          <w:lang w:val="en-US"/>
        </w:rPr>
        <w:t>s</w:t>
      </w:r>
      <w:r w:rsidRPr="001F74CD">
        <w:rPr>
          <w:lang w:val="en-US"/>
        </w:rPr>
        <w:t xml:space="preserve">ervice to help small businesses easily find out about other Government services and </w:t>
      </w:r>
      <w:proofErr w:type="spellStart"/>
      <w:r w:rsidRPr="001F74CD">
        <w:rPr>
          <w:lang w:val="en-US"/>
        </w:rPr>
        <w:t>programmes</w:t>
      </w:r>
      <w:proofErr w:type="spellEnd"/>
      <w:r w:rsidRPr="001F74CD">
        <w:rPr>
          <w:lang w:val="en-US"/>
        </w:rPr>
        <w:t>, including general business advice.</w:t>
      </w:r>
      <w:r w:rsidR="004761A7" w:rsidRPr="004761A7">
        <w:t xml:space="preserve"> </w:t>
      </w:r>
    </w:p>
    <w:p w14:paraId="7244DB9D" w14:textId="4385C325" w:rsidR="00D808B7" w:rsidRDefault="0079199E" w:rsidP="00200FC3">
      <w:pPr>
        <w:pStyle w:val="base-text-paragraph"/>
      </w:pPr>
      <w:r>
        <w:t>Funding of $8 million over four years was allocated in the 2014</w:t>
      </w:r>
      <w:r w:rsidR="009349BC">
        <w:noBreakHyphen/>
      </w:r>
      <w:r>
        <w:t>15 Budget to transform the existing Office of the Australian Small Business Commissioner into a Small Business and Family Enterprise Ombudsman.</w:t>
      </w:r>
      <w:r w:rsidR="004761A7" w:rsidRPr="004761A7">
        <w:t xml:space="preserve"> </w:t>
      </w:r>
    </w:p>
    <w:p w14:paraId="56AA06A7" w14:textId="0281E948" w:rsidR="00D808B7" w:rsidRDefault="0079199E" w:rsidP="00200FC3">
      <w:pPr>
        <w:pStyle w:val="base-text-paragraph"/>
      </w:pPr>
      <w:r>
        <w:t>On 11 March 2015, Treasury released the exposure draft of the Australian Small Business and Family Enterprise Ombudsman Bill for public consultation. This final</w:t>
      </w:r>
      <w:r w:rsidR="009349BC">
        <w:noBreakHyphen/>
      </w:r>
      <w:r>
        <w:t>assessment RIS has been developed to support the Government</w:t>
      </w:r>
      <w:r w:rsidR="009349BC">
        <w:t>’</w:t>
      </w:r>
      <w:r>
        <w:t xml:space="preserve">s decision to introduce the legislation into Parliament. Further detail on the consultation processes undertaken to develop this initiative is outlined under </w:t>
      </w:r>
      <w:r w:rsidRPr="00BA1715">
        <w:t>RIS Question 5: Consultation Plan</w:t>
      </w:r>
      <w:bookmarkStart w:id="53" w:name="_Toc386465060"/>
      <w:r>
        <w:t xml:space="preserve">. </w:t>
      </w:r>
    </w:p>
    <w:bookmarkEnd w:id="53"/>
    <w:p w14:paraId="53CE0ECE" w14:textId="77777777" w:rsidR="00DC6CCD" w:rsidRPr="00F12FC0" w:rsidRDefault="0079199E" w:rsidP="00F12FC0">
      <w:pPr>
        <w:pStyle w:val="Heading2"/>
      </w:pPr>
      <w:r w:rsidRPr="00F12FC0">
        <w:t>RIS Question 1: What is the problem being addressed?</w:t>
      </w:r>
    </w:p>
    <w:p w14:paraId="231AE262" w14:textId="31007784" w:rsidR="00D808B7" w:rsidRDefault="0079199E" w:rsidP="00200FC3">
      <w:pPr>
        <w:pStyle w:val="base-text-paragraph"/>
      </w:pPr>
      <w:r>
        <w:t>Small businesses make a substantial contribution to employment and production in Australia</w:t>
      </w:r>
      <w:r w:rsidR="009349BC">
        <w:t>’</w:t>
      </w:r>
      <w:r>
        <w:t>s economy. There are more than 2 million actively trading small businesses</w:t>
      </w:r>
      <w:r w:rsidR="009041EE">
        <w:t xml:space="preserve">. </w:t>
      </w:r>
      <w:r>
        <w:t>As a group, they account for over 97</w:t>
      </w:r>
      <w:r w:rsidR="002C4367">
        <w:t> </w:t>
      </w:r>
      <w:r>
        <w:t>per</w:t>
      </w:r>
      <w:r w:rsidR="002C4367">
        <w:t> </w:t>
      </w:r>
      <w:r>
        <w:t>cent of all businesses, employ around 4.6 million Australians (or</w:t>
      </w:r>
      <w:r w:rsidR="002C4367">
        <w:t> </w:t>
      </w:r>
      <w:r>
        <w:t>about 43</w:t>
      </w:r>
      <w:r w:rsidR="002C4367">
        <w:t> </w:t>
      </w:r>
      <w:r>
        <w:t>per cent of private sector non</w:t>
      </w:r>
      <w:r w:rsidR="009349BC">
        <w:noBreakHyphen/>
      </w:r>
      <w:r>
        <w:t xml:space="preserve">financial employment) and contribute more than 33 per cent of private sector production as measured by industry value added. </w:t>
      </w:r>
    </w:p>
    <w:p w14:paraId="596B9281" w14:textId="77777777" w:rsidR="00D808B7" w:rsidRPr="00F26DB0" w:rsidRDefault="0079199E" w:rsidP="00200FC3">
      <w:pPr>
        <w:pStyle w:val="base-text-paragraph"/>
      </w:pPr>
      <w:r w:rsidRPr="00565A73">
        <w:t xml:space="preserve">The </w:t>
      </w:r>
      <w:r>
        <w:t xml:space="preserve">Government has stated that </w:t>
      </w:r>
      <w:r>
        <w:rPr>
          <w:lang w:val="en"/>
        </w:rPr>
        <w:t>b</w:t>
      </w:r>
      <w:r w:rsidRPr="005F6398">
        <w:rPr>
          <w:lang w:val="en"/>
        </w:rPr>
        <w:t xml:space="preserve">uilding a strong and confident small business community is an important part of </w:t>
      </w:r>
      <w:r>
        <w:rPr>
          <w:lang w:val="en"/>
        </w:rPr>
        <w:t>its</w:t>
      </w:r>
      <w:r w:rsidRPr="005F6398">
        <w:rPr>
          <w:lang w:val="en"/>
        </w:rPr>
        <w:t xml:space="preserve"> commitment to delivering a productive and competitive economy</w:t>
      </w:r>
      <w:r w:rsidRPr="00565A73">
        <w:t>.</w:t>
      </w:r>
      <w:r>
        <w:rPr>
          <w:rStyle w:val="FootnoteReference"/>
        </w:rPr>
        <w:footnoteReference w:id="4"/>
      </w:r>
      <w:r w:rsidR="004761A7" w:rsidRPr="004761A7">
        <w:t xml:space="preserve"> </w:t>
      </w:r>
    </w:p>
    <w:p w14:paraId="0EE054F4" w14:textId="63A93D04" w:rsidR="00D808B7" w:rsidRDefault="0079199E" w:rsidP="00B10F05">
      <w:pPr>
        <w:pStyle w:val="base-text-paragraph"/>
        <w:spacing w:before="100" w:after="100"/>
      </w:pPr>
      <w:r>
        <w:rPr>
          <w:i/>
        </w:rPr>
        <w:t>The Coalition</w:t>
      </w:r>
      <w:r w:rsidR="009349BC">
        <w:rPr>
          <w:i/>
        </w:rPr>
        <w:t>’</w:t>
      </w:r>
      <w:r>
        <w:rPr>
          <w:i/>
        </w:rPr>
        <w:t>s Policy for Small Business</w:t>
      </w:r>
      <w:r>
        <w:rPr>
          <w:rStyle w:val="FootnoteReference"/>
          <w:i/>
        </w:rPr>
        <w:footnoteReference w:id="5"/>
      </w:r>
      <w:r>
        <w:t xml:space="preserve"> announced an election commitment in August 2013 to create a Small Business and Family Enterprise Ombudsman</w:t>
      </w:r>
      <w:r w:rsidR="009041EE">
        <w:t xml:space="preserve">. </w:t>
      </w:r>
      <w:r>
        <w:t xml:space="preserve">The Australian Small Business and Family Enterprise Ombudsman (the Ombudsman) will be </w:t>
      </w:r>
      <w:r w:rsidRPr="00C651E4">
        <w:t>a:</w:t>
      </w:r>
      <w:r w:rsidR="004761A7" w:rsidRPr="004761A7">
        <w:t xml:space="preserve"> </w:t>
      </w:r>
    </w:p>
    <w:p w14:paraId="4F27D24E" w14:textId="21A37042" w:rsidR="0079199E" w:rsidRPr="00F12FC0" w:rsidRDefault="0079199E" w:rsidP="009F5AF7">
      <w:pPr>
        <w:pStyle w:val="exampledotpoint1"/>
        <w:spacing w:before="40" w:after="40"/>
        <w:ind w:left="2269" w:hanging="284"/>
        <w:rPr>
          <w:szCs w:val="22"/>
        </w:rPr>
      </w:pPr>
      <w:r w:rsidRPr="00F12FC0">
        <w:rPr>
          <w:sz w:val="22"/>
          <w:szCs w:val="22"/>
        </w:rPr>
        <w:t>Commonwealth</w:t>
      </w:r>
      <w:r w:rsidR="009349BC">
        <w:rPr>
          <w:sz w:val="22"/>
          <w:szCs w:val="22"/>
        </w:rPr>
        <w:noBreakHyphen/>
      </w:r>
      <w:r w:rsidRPr="00F12FC0">
        <w:rPr>
          <w:sz w:val="22"/>
          <w:szCs w:val="22"/>
        </w:rPr>
        <w:t>wide advocate for small businesses and family enterprises;</w:t>
      </w:r>
    </w:p>
    <w:p w14:paraId="45BBE6FB" w14:textId="77777777" w:rsidR="0079199E" w:rsidRPr="00F12FC0" w:rsidRDefault="0079199E" w:rsidP="009F5AF7">
      <w:pPr>
        <w:pStyle w:val="exampledotpoint1"/>
        <w:spacing w:before="40" w:after="40"/>
        <w:ind w:left="2269" w:hanging="284"/>
        <w:rPr>
          <w:szCs w:val="22"/>
        </w:rPr>
      </w:pPr>
      <w:r w:rsidRPr="00F12FC0">
        <w:rPr>
          <w:sz w:val="22"/>
          <w:szCs w:val="22"/>
        </w:rPr>
        <w:t>Concierge for dispute resolution and provide its own service; and</w:t>
      </w:r>
    </w:p>
    <w:p w14:paraId="5499138F" w14:textId="77777777" w:rsidR="0079199E" w:rsidRPr="00F12FC0" w:rsidRDefault="0079199E" w:rsidP="009F5AF7">
      <w:pPr>
        <w:pStyle w:val="exampledotpoint1"/>
        <w:spacing w:before="40" w:after="40"/>
        <w:ind w:left="2269" w:hanging="284"/>
        <w:rPr>
          <w:szCs w:val="22"/>
        </w:rPr>
      </w:pPr>
      <w:r w:rsidRPr="00F12FC0">
        <w:rPr>
          <w:sz w:val="22"/>
          <w:szCs w:val="22"/>
        </w:rPr>
        <w:t>Contributor to the development of small business friendly Commonwealth laws and regulations.</w:t>
      </w:r>
    </w:p>
    <w:p w14:paraId="0F902FC4" w14:textId="77777777" w:rsidR="00D808B7" w:rsidRDefault="0079199E" w:rsidP="00B10F05">
      <w:pPr>
        <w:pStyle w:val="base-text-paragraph"/>
        <w:spacing w:before="100" w:after="100"/>
      </w:pPr>
      <w:r w:rsidRPr="0079199E">
        <w:t>The role of the Ombudsman will be complementary to, and avoid overlap with, the roles and responsibilities of other ombudsmen, the state small business commissioners and the services provided by state and territory governments where there are no small business commissioners.</w:t>
      </w:r>
      <w:r w:rsidR="004761A7" w:rsidRPr="004761A7">
        <w:t xml:space="preserve"> </w:t>
      </w:r>
    </w:p>
    <w:p w14:paraId="29852B60" w14:textId="77777777" w:rsidR="0079199E" w:rsidRDefault="0079199E" w:rsidP="00C71EE9">
      <w:pPr>
        <w:pStyle w:val="Heading3"/>
      </w:pPr>
      <w:r>
        <w:t>The Australian Small Business Commissioner</w:t>
      </w:r>
    </w:p>
    <w:p w14:paraId="74DDCC0D" w14:textId="77777777" w:rsidR="00D808B7" w:rsidRDefault="0079199E" w:rsidP="00B10F05">
      <w:pPr>
        <w:pStyle w:val="base-text-paragraph"/>
        <w:spacing w:before="100" w:after="100"/>
      </w:pPr>
      <w:r>
        <w:t>The existing Australian Small Business Commissioner has been operating since 2 January 2013. The appointment is not supported by legislated powers. The Australian Small Business Commissioner reports to the Minister for Small Business and operates on a whole of Australian Government basis</w:t>
      </w:r>
      <w:r w:rsidR="009041EE">
        <w:t xml:space="preserve">. </w:t>
      </w:r>
    </w:p>
    <w:p w14:paraId="7BEA082E" w14:textId="6FC5BE8D" w:rsidR="00D808B7" w:rsidRDefault="0079199E" w:rsidP="00B10F05">
      <w:pPr>
        <w:pStyle w:val="base-text-paragraph"/>
        <w:spacing w:before="100" w:after="100"/>
      </w:pPr>
      <w:r>
        <w:t>The Australian Small Business Commissioner provides advocacy and representation of small business interests and concerns to the Australian Government</w:t>
      </w:r>
      <w:r w:rsidR="009041EE">
        <w:t xml:space="preserve">. </w:t>
      </w:r>
      <w:r>
        <w:t>The Australian Small Business Commissioner also provides information and assistance to small businesses, including referrals to existing dispute resolution services and practical help in discerning and dealing with core issues in disputes. The non</w:t>
      </w:r>
      <w:r w:rsidR="009349BC">
        <w:noBreakHyphen/>
      </w:r>
      <w:r>
        <w:t>statutory basis of the Australian Small Business Commissioner means that the role has limited independence, credibility and effectiveness in facilitating small business access to justice through alternative dispute resolution services.</w:t>
      </w:r>
      <w:r w:rsidR="004761A7" w:rsidRPr="004761A7">
        <w:t xml:space="preserve"> </w:t>
      </w:r>
    </w:p>
    <w:p w14:paraId="5C48B77B" w14:textId="77777777" w:rsidR="0079199E" w:rsidRDefault="0079199E" w:rsidP="00C71EE9">
      <w:pPr>
        <w:pStyle w:val="Heading3"/>
      </w:pPr>
      <w:r>
        <w:t>State small business commissioners</w:t>
      </w:r>
    </w:p>
    <w:p w14:paraId="6CB3E3BD" w14:textId="77777777" w:rsidR="00D808B7" w:rsidRDefault="0079199E" w:rsidP="00200FC3">
      <w:pPr>
        <w:pStyle w:val="base-text-paragraph"/>
      </w:pPr>
      <w:r>
        <w:t xml:space="preserve">The governments of New South Wales, Victoria, Western Australia and South Australia have established small business commissioners. The Australian Small Business Commissioner works collaboratively with the state small business commissioners to address current and emerging small business issues affecting multiple jurisdictions. </w:t>
      </w:r>
    </w:p>
    <w:p w14:paraId="4C34C5BE" w14:textId="77777777" w:rsidR="00D808B7" w:rsidRDefault="0079199E" w:rsidP="00200FC3">
      <w:pPr>
        <w:pStyle w:val="base-text-paragraph"/>
      </w:pPr>
      <w:r>
        <w:t>All four state small business commissioners are independent statutory officers</w:t>
      </w:r>
      <w:r w:rsidR="009041EE">
        <w:t xml:space="preserve">. </w:t>
      </w:r>
      <w:r>
        <w:t>They all have a role in receiving and investigating complaints and providing dispute resolution services, although the nature and scope of their ind</w:t>
      </w:r>
      <w:r w:rsidR="00AC4A99">
        <w:t xml:space="preserve">ividual roles and powers vary. </w:t>
      </w:r>
      <w:r>
        <w:t>Some commissioners also oversee state based legislation relating to retail tenancy and fair trading.</w:t>
      </w:r>
      <w:r w:rsidR="004761A7" w:rsidRPr="004761A7">
        <w:t xml:space="preserve"> </w:t>
      </w:r>
    </w:p>
    <w:p w14:paraId="1F92DC12" w14:textId="77777777" w:rsidR="0079199E" w:rsidRDefault="0079199E" w:rsidP="00C71EE9">
      <w:pPr>
        <w:pStyle w:val="Heading3"/>
      </w:pPr>
      <w:r>
        <w:t>States and territories with</w:t>
      </w:r>
      <w:r w:rsidRPr="00096457">
        <w:t xml:space="preserve"> </w:t>
      </w:r>
      <w:r>
        <w:t>no small business commissioners</w:t>
      </w:r>
    </w:p>
    <w:p w14:paraId="60117468" w14:textId="77777777" w:rsidR="00D808B7" w:rsidRDefault="0079199E" w:rsidP="00200FC3">
      <w:pPr>
        <w:pStyle w:val="base-text-paragraph"/>
      </w:pPr>
      <w:r w:rsidRPr="0079199E">
        <w:t>There are currently no small business commissioners in Queensland, Tasmania, the Australian Capital Territo</w:t>
      </w:r>
      <w:r w:rsidR="0019177E">
        <w:t xml:space="preserve">ry and the Northern Territory. </w:t>
      </w:r>
      <w:r w:rsidRPr="0079199E">
        <w:t xml:space="preserve">In these jurisdictions, the respective governments perform similar functions as the state small business commissioners through various agencies and departments. Small business assistance is delivered through a variety of means such as information portals, support lines and dispute resolution services through civil and small claims tribunals, fair trading offices, conflict resolution </w:t>
      </w:r>
      <w:r w:rsidR="0019177E">
        <w:t xml:space="preserve">services and the court system. </w:t>
      </w:r>
      <w:r w:rsidRPr="0079199E">
        <w:t>The Australian Small Business Commissioner also works collaboratively with these agencies to address small business issues.</w:t>
      </w:r>
      <w:r w:rsidR="004761A7" w:rsidRPr="004761A7">
        <w:t xml:space="preserve"> </w:t>
      </w:r>
    </w:p>
    <w:p w14:paraId="18AB99C4" w14:textId="77777777" w:rsidR="0079199E" w:rsidRDefault="0079199E" w:rsidP="00C71EE9">
      <w:pPr>
        <w:pStyle w:val="Heading3"/>
      </w:pPr>
      <w:r>
        <w:t>Existing ombudsmen</w:t>
      </w:r>
    </w:p>
    <w:p w14:paraId="0A36C1D5" w14:textId="77777777" w:rsidR="004761A7" w:rsidRDefault="0079199E" w:rsidP="00200FC3">
      <w:pPr>
        <w:pStyle w:val="base-text-paragraph"/>
      </w:pPr>
      <w:r w:rsidRPr="0079199E">
        <w:t>There are a range of ombudsmen which assist individuals and businesses to resolve disputes with government agencies or businesses</w:t>
      </w:r>
      <w:r w:rsidR="009041EE">
        <w:t xml:space="preserve">. </w:t>
      </w:r>
      <w:r w:rsidRPr="0079199E">
        <w:t>General parliamentary ombudsmen, such as the Commonwealth Ombudsman, investigate complaints concerning the conduct and decision making of government agencies while specialised government ombudsmen operate in particular policy areas, for example the Fair Work Ombudsman</w:t>
      </w:r>
      <w:r w:rsidR="009041EE">
        <w:t xml:space="preserve">. </w:t>
      </w:r>
      <w:r w:rsidRPr="0079199E">
        <w:t>Industry ombudsmen oversee the conduct of firms in a particular industry, including telecommunications, electricity and gas, and financial services.</w:t>
      </w:r>
      <w:r w:rsidR="004761A7" w:rsidRPr="004761A7">
        <w:t xml:space="preserve"> </w:t>
      </w:r>
    </w:p>
    <w:p w14:paraId="71B6C2BF" w14:textId="77777777" w:rsidR="00030A0B" w:rsidRDefault="00030A0B" w:rsidP="000B2A25">
      <w:pPr>
        <w:pStyle w:val="Heading3"/>
        <w:keepLines/>
      </w:pPr>
      <w:r>
        <w:t>The Australian Small Business and Family Enterprise Ombudsman</w:t>
      </w:r>
    </w:p>
    <w:p w14:paraId="0B5A0656" w14:textId="6DB5ADA5" w:rsidR="004761A7" w:rsidRDefault="00030A0B" w:rsidP="000B2A25">
      <w:pPr>
        <w:pStyle w:val="base-text-paragraph"/>
        <w:keepNext/>
        <w:keepLines/>
      </w:pPr>
      <w:r>
        <w:t>The Ombudsman will extend and build on the activities of the Australian Small Business Commissioner to create a more purposeful, empowered and effective role. Statutory backing for the Ombudsman will help reinforce the Ombudsman</w:t>
      </w:r>
      <w:r w:rsidR="009349BC">
        <w:t>’</w:t>
      </w:r>
      <w:r>
        <w:t>s impartiality and equip it with the necessary tools to effectively receive and deal with small business concerns and disputes</w:t>
      </w:r>
      <w:r w:rsidR="009041EE">
        <w:t xml:space="preserve">. </w:t>
      </w:r>
    </w:p>
    <w:p w14:paraId="17B1C8C4" w14:textId="77777777" w:rsidR="004761A7" w:rsidRDefault="00030A0B" w:rsidP="00200FC3">
      <w:pPr>
        <w:pStyle w:val="base-text-paragraph"/>
      </w:pPr>
      <w:r>
        <w:t>Specifically, the Ombudsman initiative addresses the following problems that limit the ongoing productivity and competitiveness of small businesses:</w:t>
      </w:r>
      <w:r w:rsidR="00223317">
        <w:t xml:space="preserve"> </w:t>
      </w:r>
    </w:p>
    <w:p w14:paraId="1A6FD189" w14:textId="77777777" w:rsidR="00030A0B" w:rsidRPr="0019177E" w:rsidRDefault="00030A0B" w:rsidP="006F614C">
      <w:pPr>
        <w:pStyle w:val="exampledotpoint1"/>
        <w:rPr>
          <w:szCs w:val="22"/>
        </w:rPr>
      </w:pPr>
      <w:r w:rsidRPr="0019177E">
        <w:rPr>
          <w:sz w:val="22"/>
          <w:szCs w:val="22"/>
        </w:rPr>
        <w:t>Small businesses incur proportionally higher compliance costs than larger businesses.</w:t>
      </w:r>
    </w:p>
    <w:p w14:paraId="4EC62F70" w14:textId="77777777" w:rsidR="00030A0B" w:rsidRPr="0019177E" w:rsidRDefault="00030A0B" w:rsidP="006F614C">
      <w:pPr>
        <w:pStyle w:val="exampledotpoint1"/>
        <w:rPr>
          <w:szCs w:val="22"/>
        </w:rPr>
      </w:pPr>
      <w:r w:rsidRPr="0019177E">
        <w:rPr>
          <w:sz w:val="22"/>
          <w:szCs w:val="22"/>
        </w:rPr>
        <w:t>It can be confusing for small businesses to navigate appropriate access to justice avenues for addressing and resolving disputes.</w:t>
      </w:r>
    </w:p>
    <w:p w14:paraId="2416BE25" w14:textId="77777777" w:rsidR="00030A0B" w:rsidRPr="0019177E" w:rsidRDefault="00030A0B" w:rsidP="006F614C">
      <w:pPr>
        <w:pStyle w:val="exampledotpoint1"/>
        <w:rPr>
          <w:szCs w:val="22"/>
        </w:rPr>
      </w:pPr>
      <w:r w:rsidRPr="0019177E">
        <w:rPr>
          <w:sz w:val="22"/>
          <w:szCs w:val="22"/>
        </w:rPr>
        <w:t>Small businesses can be deterred from seeking advice on a dispute because they perceive that the costs are too high.</w:t>
      </w:r>
    </w:p>
    <w:p w14:paraId="17895ED8" w14:textId="77777777" w:rsidR="00030A0B" w:rsidRPr="0019177E" w:rsidRDefault="00030A0B" w:rsidP="006F614C">
      <w:pPr>
        <w:pStyle w:val="exampledotpoint1"/>
        <w:rPr>
          <w:szCs w:val="22"/>
        </w:rPr>
      </w:pPr>
      <w:r w:rsidRPr="0019177E">
        <w:rPr>
          <w:sz w:val="22"/>
          <w:szCs w:val="22"/>
        </w:rPr>
        <w:t>There is no formal framework for a small business to access alternative dispute resolution processes at the Commonwealth level.</w:t>
      </w:r>
    </w:p>
    <w:p w14:paraId="0C08504D" w14:textId="77777777" w:rsidR="004761A7" w:rsidRDefault="000D7181" w:rsidP="00200FC3">
      <w:pPr>
        <w:pStyle w:val="base-text-paragraph"/>
      </w:pPr>
      <w:r>
        <w:t>Central to these problems are the unique characteristics of small businesses which influence the way they run their business and their capacity to deal with issues as they arise. The majority of all businesses in Australia, 60.7 per cent, do not employ staff. This means that most small business owners are also managers and are required to be in a position to take decisions across all aspects of their business. A further 27.2 per cent of all businesses only employ between one and four people</w:t>
      </w:r>
      <w:r w:rsidR="009041EE">
        <w:t>.</w:t>
      </w:r>
    </w:p>
    <w:p w14:paraId="35FD468E" w14:textId="65B8BE08" w:rsidR="004761A7" w:rsidRDefault="000D7181" w:rsidP="00200FC3">
      <w:pPr>
        <w:pStyle w:val="base-text-paragraph"/>
      </w:pPr>
      <w:r>
        <w:t>The Australian Small Business and Family Enterprise Ombudsman Bill (Bill) will establish the Ombudsman position and specify the powers and functions of the role. The Bill outlines the Ombudsman</w:t>
      </w:r>
      <w:r w:rsidR="009349BC">
        <w:t>’</w:t>
      </w:r>
      <w:r>
        <w:t>s role under two key functions: advocacy and assistance.</w:t>
      </w:r>
      <w:r w:rsidR="004761A7" w:rsidRPr="004761A7">
        <w:t xml:space="preserve"> </w:t>
      </w:r>
    </w:p>
    <w:p w14:paraId="50889259" w14:textId="77777777" w:rsidR="00DC6CCD" w:rsidRPr="00F12FC0" w:rsidRDefault="000D7181" w:rsidP="00C71EE9">
      <w:pPr>
        <w:pStyle w:val="Heading3"/>
      </w:pPr>
      <w:r w:rsidRPr="00F12FC0">
        <w:t>Advocacy function</w:t>
      </w:r>
    </w:p>
    <w:p w14:paraId="2263353A" w14:textId="07A3E15A" w:rsidR="004761A7" w:rsidRDefault="000D7181" w:rsidP="00200FC3">
      <w:pPr>
        <w:pStyle w:val="base-text-paragraph"/>
      </w:pPr>
      <w:r>
        <w:t xml:space="preserve">The aim of the advocacy function is to make it easier for small businesses to have their views heard by the Government and </w:t>
      </w:r>
      <w:r w:rsidR="00134653">
        <w:t>corporations</w:t>
      </w:r>
      <w:r>
        <w:t>. A key challenge for policy makers remains engaging with small businesses to gain their input on how regulations and policies may impact them. Time</w:t>
      </w:r>
      <w:r w:rsidR="009349BC">
        <w:noBreakHyphen/>
      </w:r>
      <w:r>
        <w:t>poor business owners are unlikely to actively engage with public service officials and there is no one representative industry group that reaches the entire small business community. This makes it difficult for government agencies to get practical insights and evidence on the impact of existing regulations and regulator activity on the small business community.</w:t>
      </w:r>
      <w:r w:rsidR="004761A7" w:rsidRPr="004761A7">
        <w:t xml:space="preserve"> </w:t>
      </w:r>
    </w:p>
    <w:p w14:paraId="52FDC431" w14:textId="77777777" w:rsidR="004761A7" w:rsidRDefault="000D7181" w:rsidP="00200FC3">
      <w:pPr>
        <w:pStyle w:val="base-text-paragraph"/>
      </w:pPr>
      <w:r>
        <w:t>Under the advocacy function, the Ombudsman will:</w:t>
      </w:r>
      <w:r w:rsidR="004761A7" w:rsidRPr="004761A7">
        <w:t xml:space="preserve"> </w:t>
      </w:r>
    </w:p>
    <w:p w14:paraId="6C5C68A2" w14:textId="77777777" w:rsidR="000D7181" w:rsidRPr="006F3456" w:rsidRDefault="000D7181" w:rsidP="000B2A25">
      <w:pPr>
        <w:pStyle w:val="exampledotpoint1"/>
        <w:spacing w:before="60" w:after="60"/>
        <w:ind w:left="2269" w:hanging="284"/>
        <w:rPr>
          <w:szCs w:val="22"/>
        </w:rPr>
      </w:pPr>
      <w:r w:rsidRPr="006F614C">
        <w:rPr>
          <w:sz w:val="22"/>
          <w:szCs w:val="22"/>
        </w:rPr>
        <w:t>undertake research and inquiries into legislation, policies and practices affecting small businesses and family enterprises;</w:t>
      </w:r>
    </w:p>
    <w:p w14:paraId="30271114" w14:textId="77777777" w:rsidR="000D7181" w:rsidRPr="006F3456" w:rsidRDefault="000D7181" w:rsidP="000B2A25">
      <w:pPr>
        <w:pStyle w:val="exampledotpoint1"/>
        <w:spacing w:before="60" w:after="60"/>
        <w:ind w:left="2269" w:hanging="284"/>
        <w:rPr>
          <w:szCs w:val="22"/>
        </w:rPr>
      </w:pPr>
      <w:r w:rsidRPr="006F614C">
        <w:rPr>
          <w:sz w:val="22"/>
          <w:szCs w:val="22"/>
        </w:rPr>
        <w:t>report and give advice to the Minister for Small Business on those matters;</w:t>
      </w:r>
    </w:p>
    <w:p w14:paraId="65C6FA44" w14:textId="77777777" w:rsidR="000D7181" w:rsidRPr="006F3456" w:rsidRDefault="000D7181" w:rsidP="000B2A25">
      <w:pPr>
        <w:pStyle w:val="exampledotpoint1"/>
        <w:spacing w:before="60" w:after="60"/>
        <w:ind w:left="2269" w:hanging="284"/>
        <w:rPr>
          <w:szCs w:val="22"/>
        </w:rPr>
      </w:pPr>
      <w:r w:rsidRPr="006F614C">
        <w:rPr>
          <w:sz w:val="22"/>
          <w:szCs w:val="22"/>
        </w:rPr>
        <w:t>contribute to inquiries by others into those matters;</w:t>
      </w:r>
    </w:p>
    <w:p w14:paraId="1D7BDFEB" w14:textId="77777777" w:rsidR="000D7181" w:rsidRPr="006F3456" w:rsidRDefault="000D7181" w:rsidP="000B2A25">
      <w:pPr>
        <w:pStyle w:val="exampledotpoint1"/>
        <w:spacing w:before="60" w:after="60"/>
        <w:ind w:left="2269" w:hanging="284"/>
        <w:rPr>
          <w:szCs w:val="22"/>
        </w:rPr>
      </w:pPr>
      <w:r w:rsidRPr="006F614C">
        <w:rPr>
          <w:sz w:val="22"/>
          <w:szCs w:val="22"/>
        </w:rPr>
        <w:t>contribute to developing national strategies on those matters;</w:t>
      </w:r>
      <w:r w:rsidR="0019177E" w:rsidRPr="006F614C">
        <w:rPr>
          <w:sz w:val="22"/>
          <w:szCs w:val="22"/>
        </w:rPr>
        <w:t xml:space="preserve"> or</w:t>
      </w:r>
    </w:p>
    <w:p w14:paraId="3449EC59" w14:textId="77777777" w:rsidR="000D7181" w:rsidRPr="006F3456" w:rsidRDefault="000D7181" w:rsidP="000B2A25">
      <w:pPr>
        <w:pStyle w:val="exampledotpoint1"/>
        <w:spacing w:before="60" w:after="60"/>
        <w:ind w:left="2269" w:hanging="284"/>
        <w:rPr>
          <w:szCs w:val="22"/>
        </w:rPr>
      </w:pPr>
      <w:r w:rsidRPr="006F614C">
        <w:rPr>
          <w:sz w:val="22"/>
          <w:szCs w:val="22"/>
        </w:rPr>
        <w:t>review proposals relating to those matters and advise the Minister for Small Business on them; and promote best practice in dealing with small businesses and family enterprises.</w:t>
      </w:r>
    </w:p>
    <w:p w14:paraId="12FCF218" w14:textId="6CC46000" w:rsidR="004761A7" w:rsidRDefault="000D7181" w:rsidP="00200FC3">
      <w:pPr>
        <w:pStyle w:val="base-text-paragraph"/>
      </w:pPr>
      <w:r>
        <w:t>The Ombudsman</w:t>
      </w:r>
      <w:r w:rsidR="009349BC">
        <w:t>’</w:t>
      </w:r>
      <w:r>
        <w:t>s advocacy function will be supported by information gathering powers. The Ombudsman can also undertake research and inquiries into matter impacting small businesses, including the power to conduct, and take evidence in, hearings.</w:t>
      </w:r>
      <w:r w:rsidR="004761A7" w:rsidRPr="004761A7">
        <w:t xml:space="preserve"> </w:t>
      </w:r>
    </w:p>
    <w:p w14:paraId="0CE03B71" w14:textId="77777777" w:rsidR="004761A7" w:rsidRDefault="000D7181" w:rsidP="00200FC3">
      <w:pPr>
        <w:pStyle w:val="base-text-paragraph"/>
      </w:pPr>
      <w:r>
        <w:t>Governments across Australia have put in place various institutions and processes to ensure impacts on small business are considered and the views of small business are explicitly taken into account in the development of regulations. For example, some jurisdictions, including the Australian Government, have regulatory impact assessment processes for all new policy proposals which must assess the likely compliance cost on businesses. Some governments have established separate small business focussed units or advisory bodies that assist agencies to determine the impacts of policy proposals on small business (for example, the Western Australian Small Business Development Corporation). The Western Australian, New South Wales, Victorian and South Australian governments have established small business commissioner positions with a capacity to undertake advocacy work and contribute to the design of regulations affecting small businesses.</w:t>
      </w:r>
      <w:r w:rsidR="002A51F5">
        <w:rPr>
          <w:rStyle w:val="FootnoteReference"/>
        </w:rPr>
        <w:footnoteReference w:id="6"/>
      </w:r>
      <w:r>
        <w:t xml:space="preserve"> </w:t>
      </w:r>
    </w:p>
    <w:p w14:paraId="115524C9" w14:textId="77777777" w:rsidR="002D4703" w:rsidRDefault="002D4703" w:rsidP="00C71EE9">
      <w:pPr>
        <w:pStyle w:val="Heading3"/>
      </w:pPr>
      <w:r>
        <w:t>Assistance function</w:t>
      </w:r>
    </w:p>
    <w:p w14:paraId="0A70F87B" w14:textId="30603B1A" w:rsidR="004761A7" w:rsidRDefault="002D4703" w:rsidP="00200FC3">
      <w:pPr>
        <w:pStyle w:val="base-text-paragraph"/>
      </w:pPr>
      <w:r w:rsidRPr="002D4703">
        <w:t>Under the assistance function, the Ombudsman will respond to requests for assistance by an operator of a small business or family enterprise. The aim is to facilitate a quick and cost</w:t>
      </w:r>
      <w:r w:rsidR="009349BC">
        <w:noBreakHyphen/>
      </w:r>
      <w:r w:rsidRPr="002D4703">
        <w:t>effective resolution that enables the commercial relationship to be maintained and get people back to the business of running their business.</w:t>
      </w:r>
      <w:r w:rsidR="004761A7" w:rsidRPr="004761A7">
        <w:t xml:space="preserve"> </w:t>
      </w:r>
    </w:p>
    <w:p w14:paraId="2AF948C6" w14:textId="0587018D" w:rsidR="004761A7" w:rsidRDefault="002D4703" w:rsidP="00200FC3">
      <w:pPr>
        <w:pStyle w:val="base-text-paragraph"/>
      </w:pPr>
      <w:r w:rsidRPr="002D4703">
        <w:t>A range of dispute resolution mechanisms exist for small businesses to resolve business</w:t>
      </w:r>
      <w:r w:rsidR="009349BC">
        <w:noBreakHyphen/>
      </w:r>
      <w:r w:rsidRPr="002D4703">
        <w:t>to</w:t>
      </w:r>
      <w:r w:rsidR="009349BC">
        <w:noBreakHyphen/>
      </w:r>
      <w:r w:rsidRPr="002D4703">
        <w:t>business disputes</w:t>
      </w:r>
      <w:r w:rsidR="009041EE">
        <w:t xml:space="preserve">. </w:t>
      </w:r>
      <w:r w:rsidRPr="002D4703">
        <w:t>In addition to state and territory legal avenues there are industry ombudsmen, state</w:t>
      </w:r>
      <w:r w:rsidR="009349BC">
        <w:noBreakHyphen/>
      </w:r>
      <w:r w:rsidRPr="002D4703">
        <w:t>based small business commissioners; sector specific codes of conduct, industry organisations and private dispute resolution services</w:t>
      </w:r>
      <w:r w:rsidR="009041EE">
        <w:t xml:space="preserve">. </w:t>
      </w:r>
      <w:r w:rsidRPr="002D4703">
        <w:t>There is also a range of low</w:t>
      </w:r>
      <w:r w:rsidR="009349BC">
        <w:noBreakHyphen/>
      </w:r>
      <w:r w:rsidRPr="002D4703">
        <w:t>cost options available to businesses to resolve disputes that do not involve expensive and prolonged litigation through the courts</w:t>
      </w:r>
      <w:r w:rsidR="009041EE">
        <w:t xml:space="preserve">. </w:t>
      </w:r>
    </w:p>
    <w:p w14:paraId="38698F59" w14:textId="77777777" w:rsidR="004761A7" w:rsidRDefault="002D4703" w:rsidP="00200FC3">
      <w:pPr>
        <w:pStyle w:val="base-text-paragraph"/>
      </w:pPr>
      <w:r w:rsidRPr="002D4703">
        <w:t>Alternative dispute resolution</w:t>
      </w:r>
      <w:r w:rsidR="0074693E">
        <w:t xml:space="preserve"> </w:t>
      </w:r>
      <w:r w:rsidRPr="002D4703">
        <w:t>(ADR) mechanisms include a range of negotiation based methods that enable parties to prevent or manage their own disputes</w:t>
      </w:r>
      <w:r w:rsidR="009041EE">
        <w:t xml:space="preserve">. </w:t>
      </w:r>
      <w:r w:rsidRPr="002D4703">
        <w:t>These can include services such as: the provision of information and education to small businesses to help parties avoid disputes; early stage guided resolution; investigation; conciliation (making no determinations); assisted negotiation and mediation.</w:t>
      </w:r>
      <w:r w:rsidR="004761A7" w:rsidRPr="004761A7">
        <w:t xml:space="preserve"> </w:t>
      </w:r>
    </w:p>
    <w:p w14:paraId="44AD24BF" w14:textId="62C02054" w:rsidR="004761A7" w:rsidRDefault="002D4703" w:rsidP="00200FC3">
      <w:pPr>
        <w:pStyle w:val="base-text-paragraph"/>
      </w:pPr>
      <w:r w:rsidRPr="002D4703">
        <w:t>A small business may be aware that it has an issue, but may not have an appreciation of the nature and extent of the issue, or how to address it</w:t>
      </w:r>
      <w:r w:rsidR="009041EE">
        <w:t xml:space="preserve">. </w:t>
      </w:r>
      <w:r w:rsidRPr="002D4703">
        <w:t>Small businesses owners are time</w:t>
      </w:r>
      <w:r w:rsidR="009349BC">
        <w:noBreakHyphen/>
      </w:r>
      <w:r w:rsidRPr="002D4703">
        <w:t>poor and are unlikely to have the expertise themselves, or the skilled staff, to progress the issue, particularly as disputes tend to be ad</w:t>
      </w:r>
      <w:r w:rsidR="009349BC">
        <w:noBreakHyphen/>
      </w:r>
      <w:r w:rsidRPr="002D4703">
        <w:t xml:space="preserve">hoc and not part of </w:t>
      </w:r>
      <w:r w:rsidR="009349BC">
        <w:t>‘</w:t>
      </w:r>
      <w:r w:rsidRPr="002D4703">
        <w:t>business as usual</w:t>
      </w:r>
      <w:r w:rsidR="009349BC">
        <w:t>’</w:t>
      </w:r>
      <w:r w:rsidRPr="002D4703">
        <w:t xml:space="preserve"> activities</w:t>
      </w:r>
      <w:r w:rsidR="009041EE">
        <w:t xml:space="preserve">. </w:t>
      </w:r>
      <w:r w:rsidRPr="002D4703">
        <w:t>As a result, small business operators may not be aware of the value, range and efficacy of dispute resolution services available</w:t>
      </w:r>
      <w:r w:rsidR="009041EE">
        <w:t xml:space="preserve">. </w:t>
      </w:r>
      <w:r w:rsidRPr="002D4703">
        <w:t>In some cases, they may perceive that the costs of resolving a dispute are too high and are deterred from seeking resolution of the issue</w:t>
      </w:r>
      <w:r w:rsidR="009041EE">
        <w:t xml:space="preserve">. </w:t>
      </w:r>
    </w:p>
    <w:p w14:paraId="41677DF1" w14:textId="77777777" w:rsidR="004761A7" w:rsidRDefault="002D4703" w:rsidP="00200FC3">
      <w:pPr>
        <w:pStyle w:val="base-text-paragraph"/>
      </w:pPr>
      <w:r w:rsidRPr="002D4703">
        <w:t>Stakeholder feedback is that small businesses often do not seek support to help address a dispute until the business relationship has broken down, making it difficult for parties to begin or continue discussions on the matter</w:t>
      </w:r>
      <w:r w:rsidR="009041EE">
        <w:t xml:space="preserve">. </w:t>
      </w:r>
      <w:r w:rsidRPr="002D4703">
        <w:t>Dispute resolution services can assist to bridge this divide to help provide a pathway for parties to reach an agreement and move forward</w:t>
      </w:r>
      <w:r w:rsidR="009041EE">
        <w:t xml:space="preserve">. </w:t>
      </w:r>
    </w:p>
    <w:p w14:paraId="3A575620" w14:textId="77777777" w:rsidR="004761A7" w:rsidRDefault="002D4703" w:rsidP="00200FC3">
      <w:pPr>
        <w:pStyle w:val="base-text-paragraph"/>
      </w:pPr>
      <w:r w:rsidRPr="002D4703">
        <w:t xml:space="preserve">A discussion paper, </w:t>
      </w:r>
      <w:r w:rsidRPr="002D4703">
        <w:rPr>
          <w:i/>
        </w:rPr>
        <w:t>Resolution of small business disputes</w:t>
      </w:r>
      <w:r w:rsidRPr="002D4703">
        <w:t>, released by the former Department of Innovation, Industry, Science and Research (DIISR) noted that stakeholders considered that low dispute management skills and a lack of awareness of available dispute resolution services meant that small businesses faced an increased risk of business failure</w:t>
      </w:r>
      <w:r w:rsidR="002A51F5">
        <w:t>.</w:t>
      </w:r>
      <w:r w:rsidR="002A51F5">
        <w:rPr>
          <w:rStyle w:val="FootnoteReference"/>
        </w:rPr>
        <w:footnoteReference w:id="7"/>
      </w:r>
      <w:r w:rsidRPr="002D4703">
        <w:t xml:space="preserve"> It suggested that improving the capacity of small businesses to address disputes may empower them to effectively deal with disputes at an early stage and avoid the escalation of disputes.</w:t>
      </w:r>
      <w:r w:rsidR="004761A7" w:rsidRPr="004761A7">
        <w:t xml:space="preserve"> </w:t>
      </w:r>
    </w:p>
    <w:p w14:paraId="438FDFB8" w14:textId="5939B1E9" w:rsidR="004761A7" w:rsidRDefault="002D4703" w:rsidP="00200FC3">
      <w:pPr>
        <w:pStyle w:val="base-text-paragraph"/>
      </w:pPr>
      <w:r w:rsidRPr="002D4703">
        <w:t>The independence of the Ombudsman will provide small businesses with comfort and confidence to seek advice on concerns and disputes</w:t>
      </w:r>
      <w:r w:rsidR="009041EE">
        <w:t xml:space="preserve">. </w:t>
      </w:r>
      <w:r w:rsidRPr="002D4703">
        <w:t>The Ombudsman</w:t>
      </w:r>
      <w:r w:rsidR="009349BC">
        <w:t>’</w:t>
      </w:r>
      <w:r w:rsidRPr="002D4703">
        <w:t xml:space="preserve">s concierge function will support parties to understand their options to address their concerns. The Ombudsman will not duplicate the operations of other agencies. Depending on the nature of the request, the Ombudsman may transfer a request for assistance to another Commonwealth, </w:t>
      </w:r>
      <w:r w:rsidR="00182F12">
        <w:t>state or territory</w:t>
      </w:r>
      <w:r w:rsidRPr="002D4703">
        <w:t xml:space="preserve"> agency or work </w:t>
      </w:r>
      <w:r w:rsidR="006773C3" w:rsidRPr="002D4703">
        <w:t>co</w:t>
      </w:r>
      <w:r w:rsidR="009349BC">
        <w:noBreakHyphen/>
      </w:r>
      <w:r w:rsidR="006773C3" w:rsidRPr="002D4703">
        <w:t>operatively</w:t>
      </w:r>
      <w:r w:rsidRPr="002D4703">
        <w:t xml:space="preserve"> with other agencies to address the request. </w:t>
      </w:r>
    </w:p>
    <w:p w14:paraId="0186645F" w14:textId="29AFF24E" w:rsidR="004761A7" w:rsidRDefault="002D4703" w:rsidP="00200FC3">
      <w:pPr>
        <w:pStyle w:val="base-text-paragraph"/>
      </w:pPr>
      <w:r w:rsidRPr="002D4703">
        <w:t>If appropriate, the Ombudsman may recommend that parties to a dispute take part in an ADR process through its own service, on a user pays basis</w:t>
      </w:r>
      <w:r w:rsidR="009041EE">
        <w:t xml:space="preserve">. </w:t>
      </w:r>
      <w:r w:rsidRPr="002D4703">
        <w:t>The Ombudsman</w:t>
      </w:r>
      <w:r w:rsidR="009349BC">
        <w:t>’</w:t>
      </w:r>
      <w:r w:rsidRPr="002D4703">
        <w:t>s own ADR service will address gaps in the current range of alternative dispute resolution services available to small businesses at the Commonwealth</w:t>
      </w:r>
      <w:r w:rsidR="009349BC">
        <w:noBreakHyphen/>
      </w:r>
      <w:r w:rsidRPr="002D4703">
        <w:t>level. The scope of this service is also limited by the Commonwealth</w:t>
      </w:r>
      <w:r w:rsidR="009349BC">
        <w:t>’</w:t>
      </w:r>
      <w:r w:rsidRPr="002D4703">
        <w:t>s constitutional powers</w:t>
      </w:r>
      <w:r w:rsidR="009041EE">
        <w:t xml:space="preserve">. </w:t>
      </w:r>
      <w:r w:rsidRPr="002D4703">
        <w:t>It will only cover small business disputes that relate to Commonwealth Government agencies, international trade or interstate trade.</w:t>
      </w:r>
      <w:r w:rsidR="004761A7" w:rsidRPr="004761A7">
        <w:t xml:space="preserve"> </w:t>
      </w:r>
    </w:p>
    <w:p w14:paraId="1BC551C7" w14:textId="77777777" w:rsidR="004761A7" w:rsidRDefault="003334B4" w:rsidP="00200FC3">
      <w:pPr>
        <w:pStyle w:val="base-text-paragraph"/>
      </w:pPr>
      <w:r>
        <w:t xml:space="preserve">If an entity does not undertake a recommended alternative dispute resolution process, or withdraws from that process, the Ombudsman may publish that fact. </w:t>
      </w:r>
    </w:p>
    <w:p w14:paraId="7BDEFAC9" w14:textId="77777777" w:rsidR="003334B4" w:rsidRDefault="003334B4" w:rsidP="00C71EE9">
      <w:pPr>
        <w:pStyle w:val="Heading4"/>
      </w:pPr>
      <w:r>
        <w:t xml:space="preserve">Gap in alternative dispute resolution services for small businesses </w:t>
      </w:r>
    </w:p>
    <w:p w14:paraId="3447DEE7" w14:textId="77777777" w:rsidR="004761A7" w:rsidRDefault="003334B4" w:rsidP="00200FC3">
      <w:pPr>
        <w:pStyle w:val="base-text-paragraph"/>
      </w:pPr>
      <w:r>
        <w:t>Currently, there is no formal framework for a small business to access ADR processes at the Commonwealth level</w:t>
      </w:r>
      <w:r w:rsidR="009041EE">
        <w:t xml:space="preserve">. </w:t>
      </w:r>
      <w:r>
        <w:t>There is no safety net if a small business has an issue that falls outside the jurisdiction of existing complaints bodies. Some bodies are not equipped to provide meaningful referrals to another agency or offer an alternative dispute resolution process, leaving small businesses to spend more time in search of support</w:t>
      </w:r>
      <w:r w:rsidR="009041EE">
        <w:t xml:space="preserve">. </w:t>
      </w:r>
      <w:r>
        <w:t xml:space="preserve">This leads to suboptimal outcomes where small business issues, complaints and requests for advice often go unaddressed. </w:t>
      </w:r>
    </w:p>
    <w:p w14:paraId="443F18F6" w14:textId="77777777" w:rsidR="004761A7" w:rsidRDefault="003334B4" w:rsidP="00200FC3">
      <w:pPr>
        <w:pStyle w:val="base-text-paragraph"/>
      </w:pPr>
      <w:r>
        <w:t>For example, in 2014, the Australian Competition and Consumer Commission received 912 small business complaints which it did not consider raised Australian Consumer Law or competition issues.</w:t>
      </w:r>
      <w:r>
        <w:rPr>
          <w:rStyle w:val="FootnoteReference"/>
        </w:rPr>
        <w:footnoteReference w:id="8"/>
      </w:r>
      <w:r>
        <w:t xml:space="preserve"> These figures do not include small business complaints which the Australian Competition and Consumer Commission immediately assessed were not within their remit. This suggests that the total number of small business complaints to the Australian Competition and Consumer Commission were greater than those officially recorded</w:t>
      </w:r>
      <w:r w:rsidR="009041EE">
        <w:t xml:space="preserve">. </w:t>
      </w:r>
    </w:p>
    <w:p w14:paraId="43AD756D" w14:textId="77777777" w:rsidR="004761A7" w:rsidRDefault="003334B4" w:rsidP="00200FC3">
      <w:pPr>
        <w:pStyle w:val="base-text-paragraph"/>
      </w:pPr>
      <w:r>
        <w:t>There are a number of low cost dispute resolution alternatives available. However, the level of public understanding of these services, and their ability to reduce the level of unmet legal need through a</w:t>
      </w:r>
      <w:r w:rsidR="00547357">
        <w:t xml:space="preserve"> low cost alternative, is low. </w:t>
      </w:r>
      <w:r>
        <w:t>The Productivity Commission has highlighted that ombudsmen and other low cost and informal dispute resolution services can provide an alternative to address this unmet demand, but that the services tend not to be visible to those who might require a low cost alternative to formal legal representation.</w:t>
      </w:r>
      <w:r w:rsidR="001F63E3">
        <w:rPr>
          <w:rStyle w:val="FootnoteReference"/>
        </w:rPr>
        <w:footnoteReference w:id="9"/>
      </w:r>
      <w:r w:rsidR="004761A7" w:rsidRPr="004761A7">
        <w:t xml:space="preserve"> </w:t>
      </w:r>
    </w:p>
    <w:p w14:paraId="707EAB30" w14:textId="77777777" w:rsidR="00DC6CCD" w:rsidRPr="00F12FC0" w:rsidRDefault="00AE7486" w:rsidP="00F12FC0">
      <w:pPr>
        <w:pStyle w:val="Heading2"/>
      </w:pPr>
      <w:r w:rsidRPr="00F12FC0">
        <w:t>RIS Question 2: Why is government action needed?</w:t>
      </w:r>
    </w:p>
    <w:p w14:paraId="467A5369" w14:textId="77777777" w:rsidR="00DC6CCD" w:rsidRDefault="00AE7486" w:rsidP="00C71EE9">
      <w:pPr>
        <w:pStyle w:val="Heading3"/>
      </w:pPr>
      <w:r>
        <w:t>Small businesses face barriers to adequately address and resolve disputes</w:t>
      </w:r>
    </w:p>
    <w:p w14:paraId="5DDED077" w14:textId="77777777" w:rsidR="004761A7" w:rsidRDefault="00AE7486" w:rsidP="00200FC3">
      <w:pPr>
        <w:pStyle w:val="base-text-paragraph"/>
      </w:pPr>
      <w:r>
        <w:t xml:space="preserve">The objectives of Government intervention are to provide information and facilitate small business access to avenues for dispute resolution. </w:t>
      </w:r>
    </w:p>
    <w:p w14:paraId="47F03F98" w14:textId="77777777" w:rsidR="004761A7" w:rsidRDefault="00AE7486" w:rsidP="00200FC3">
      <w:pPr>
        <w:pStyle w:val="base-text-paragraph"/>
      </w:pPr>
      <w:r>
        <w:t xml:space="preserve">Disputes are damaging and costly for small businesses. A significant part of the problem for small businesses to access justice arrangements is the cost of finding information on how they can address their dispute. </w:t>
      </w:r>
    </w:p>
    <w:p w14:paraId="66C4864E" w14:textId="77777777" w:rsidR="004761A7" w:rsidRDefault="00AE7486" w:rsidP="00200FC3">
      <w:pPr>
        <w:pStyle w:val="base-text-paragraph"/>
      </w:pPr>
      <w:r>
        <w:t>Small business operators are often both unaware of the value or the potential benefits to themselves from seeking and accessing business advisory services to improve their capability to run their business (for example, business management skills). This lack of information about the quality and value of advice means that small businesses are less willing to pay to access private providers of advisory services.</w:t>
      </w:r>
      <w:r w:rsidRPr="00756062">
        <w:rPr>
          <w:vertAlign w:val="superscript"/>
        </w:rPr>
        <w:t>[7]</w:t>
      </w:r>
      <w:r w:rsidR="00223317">
        <w:rPr>
          <w:vertAlign w:val="superscript"/>
        </w:rPr>
        <w:t xml:space="preserve"> </w:t>
      </w:r>
    </w:p>
    <w:p w14:paraId="1C61413E" w14:textId="5DF96802" w:rsidR="004761A7" w:rsidRDefault="00AE7486" w:rsidP="00200FC3">
      <w:pPr>
        <w:pStyle w:val="base-text-paragraph"/>
      </w:pPr>
      <w:r>
        <w:t>Small businesses often have limited time, resources and financial capacity to search for and locate low</w:t>
      </w:r>
      <w:r w:rsidR="009349BC">
        <w:noBreakHyphen/>
      </w:r>
      <w:r>
        <w:t>cost advice that is relevant to their business operations</w:t>
      </w:r>
      <w:r w:rsidR="009041EE">
        <w:t xml:space="preserve">. </w:t>
      </w:r>
      <w:r>
        <w:t>The transaction costs of searching and locating information are high for small busin</w:t>
      </w:r>
      <w:r w:rsidR="000D72CA">
        <w:t>esses due to the owner</w:t>
      </w:r>
      <w:r w:rsidR="009349BC">
        <w:noBreakHyphen/>
      </w:r>
      <w:r>
        <w:t>operator management structure that is common in the sector</w:t>
      </w:r>
      <w:r w:rsidR="009041EE">
        <w:t xml:space="preserve">. </w:t>
      </w:r>
      <w:r>
        <w:t>Small</w:t>
      </w:r>
      <w:r w:rsidR="000D72CA">
        <w:t> </w:t>
      </w:r>
      <w:r>
        <w:t xml:space="preserve">businesses often do not have the resources to maintain internal accountants and solicitors and usually have to seek advice from external sources. Small businesses find it difficult to judge the value and quality of advice, particularly legal advice, and may be deterred from approaching a private provider to discuss their issue. </w:t>
      </w:r>
    </w:p>
    <w:p w14:paraId="5A10B85F" w14:textId="77777777" w:rsidR="004761A7" w:rsidRDefault="00AE7486" w:rsidP="00200FC3">
      <w:pPr>
        <w:pStyle w:val="base-text-paragraph"/>
      </w:pPr>
      <w:r>
        <w:t>Government is well placed to bridge the information gap for small businesses. The Government is seen as an independent broker without a commercial interest in providing advice so can act as an informed intermediary to help small business operators understand the various dispute resolution mechanisms that are available so they can deal with their disputes in a better informed manner</w:t>
      </w:r>
      <w:r w:rsidR="009041EE">
        <w:t xml:space="preserve">. </w:t>
      </w:r>
    </w:p>
    <w:p w14:paraId="4E7DEDFA" w14:textId="77777777" w:rsidR="001A5C5B" w:rsidRDefault="001A5C5B" w:rsidP="00C71EE9">
      <w:pPr>
        <w:pStyle w:val="Heading4"/>
      </w:pPr>
      <w:r>
        <w:t>Ability of the Government to address this issue</w:t>
      </w:r>
    </w:p>
    <w:p w14:paraId="501F6503" w14:textId="77777777" w:rsidR="004761A7" w:rsidRDefault="001A5C5B" w:rsidP="00200FC3">
      <w:pPr>
        <w:pStyle w:val="base-text-paragraph"/>
      </w:pPr>
      <w:r w:rsidRPr="001A5C5B">
        <w:t>The governments of New South Wales, Victoria, South Australia and Western Australia have sought to address these information gaps by establishing small business commissioner positions with statutory powers relating to general small business disputes. These positions also have varying powers to address other matters such as retail tenancy (all four states) and farm debt mediation (Victoria only). The Productivity Commission found that the intervention of small business commissioners (or equivalent organisations) has been successful in reducing the cost, time and stress associated with resolving small business disputes. They can provide an important dispute resolution option in those jurisdictions that lack a significant civil tribunal.</w:t>
      </w:r>
      <w:r>
        <w:rPr>
          <w:rStyle w:val="FootnoteReference"/>
        </w:rPr>
        <w:footnoteReference w:id="10"/>
      </w:r>
      <w:r w:rsidR="00223317">
        <w:t xml:space="preserve"> </w:t>
      </w:r>
    </w:p>
    <w:p w14:paraId="5F731215" w14:textId="77777777" w:rsidR="004761A7" w:rsidRDefault="001A5C5B" w:rsidP="00200FC3">
      <w:pPr>
        <w:pStyle w:val="base-text-paragraph"/>
      </w:pPr>
      <w:r w:rsidRPr="001A5C5B">
        <w:t>The Australian Government has demonstrated experience in facilitating businesses to assess and resolve issues and disputes. The Government currently facilitates dispute resolution services for businesses operating under the franchising, horticulture, produce and grocery, and petroleum (</w:t>
      </w:r>
      <w:proofErr w:type="spellStart"/>
      <w:r w:rsidRPr="001A5C5B">
        <w:t>oilcode</w:t>
      </w:r>
      <w:proofErr w:type="spellEnd"/>
      <w:r w:rsidRPr="001A5C5B">
        <w:t>) industry codes of conduct. These services are delivered through a single contract with an external service provider</w:t>
      </w:r>
      <w:r w:rsidR="009041EE">
        <w:t xml:space="preserve">. </w:t>
      </w:r>
    </w:p>
    <w:p w14:paraId="5C89A258" w14:textId="77777777" w:rsidR="00DC6CCD" w:rsidRDefault="001A5C5B" w:rsidP="00C71EE9">
      <w:pPr>
        <w:pStyle w:val="Heading4"/>
      </w:pPr>
      <w:r>
        <w:t>Small businesses incur proportionally higher regulatory compliance costs than larger businesses</w:t>
      </w:r>
    </w:p>
    <w:p w14:paraId="2725E755" w14:textId="77777777" w:rsidR="004761A7" w:rsidRDefault="001A5C5B" w:rsidP="00200FC3">
      <w:pPr>
        <w:pStyle w:val="base-text-paragraph"/>
      </w:pPr>
      <w:r>
        <w:t>The objective of Government intervention is to minimise unnecessary compliance burdens on small business.</w:t>
      </w:r>
      <w:r w:rsidR="004761A7" w:rsidRPr="004761A7">
        <w:t xml:space="preserve"> </w:t>
      </w:r>
    </w:p>
    <w:p w14:paraId="742867CA" w14:textId="77777777" w:rsidR="004761A7" w:rsidRDefault="001A5C5B" w:rsidP="00200FC3">
      <w:pPr>
        <w:pStyle w:val="base-text-paragraph"/>
      </w:pPr>
      <w:r>
        <w:t xml:space="preserve">Unnecessary compliance burdens create a barrier for small businesses productivity and growth. Small businesses are time and resource poor. Trying to find information on their compliance requirements and meeting these requirements divert their time and resources away from running their business. </w:t>
      </w:r>
    </w:p>
    <w:p w14:paraId="4D22AE43" w14:textId="77777777" w:rsidR="004761A7" w:rsidRDefault="001A5C5B" w:rsidP="00200FC3">
      <w:pPr>
        <w:pStyle w:val="base-text-paragraph"/>
      </w:pPr>
      <w:r>
        <w:t>As a regulator, the Australian Government has a clear role in ensuring that regulations are appropriate and are achieving the desired outcomes in an efficient way. Both the design and delivery of regulations are important considerations. In designing regulation, policy officers must ensure impacts on small business are considered and the views of small business taken into account.</w:t>
      </w:r>
      <w:r w:rsidR="004761A7" w:rsidRPr="004761A7">
        <w:t xml:space="preserve"> </w:t>
      </w:r>
    </w:p>
    <w:p w14:paraId="4684202C" w14:textId="77777777" w:rsidR="001A5C5B" w:rsidRDefault="001A5C5B" w:rsidP="00C71EE9">
      <w:pPr>
        <w:pStyle w:val="Heading4"/>
      </w:pPr>
      <w:r>
        <w:t>Ability of the Government to address this issue</w:t>
      </w:r>
    </w:p>
    <w:p w14:paraId="55D31E09" w14:textId="77777777" w:rsidR="004761A7" w:rsidRDefault="001A5C5B" w:rsidP="00200FC3">
      <w:pPr>
        <w:pStyle w:val="base-text-paragraph"/>
      </w:pPr>
      <w:r w:rsidRPr="001A5C5B">
        <w:t>The small business community is diverse and fragmented which can make it difficult to engage</w:t>
      </w:r>
      <w:r w:rsidR="009041EE">
        <w:t xml:space="preserve">. </w:t>
      </w:r>
      <w:r w:rsidRPr="001A5C5B">
        <w:t>The Government utilises a number of tools and engagement strategies to reach small business to capture their views on proposed policies. Discussions with industry associations and representative groups are useful intermediaries to engage with but still have limited reach given that many small businesses are members an industry body</w:t>
      </w:r>
      <w:r w:rsidR="009041EE">
        <w:t xml:space="preserve">. </w:t>
      </w:r>
    </w:p>
    <w:p w14:paraId="1F34283F" w14:textId="3FC9C153" w:rsidR="001A5C5B" w:rsidRPr="001A5C5B" w:rsidRDefault="001A5C5B" w:rsidP="00200FC3">
      <w:pPr>
        <w:pStyle w:val="base-text-paragraph"/>
      </w:pPr>
      <w:r w:rsidRPr="001A5C5B">
        <w:t>The Productivity Comm</w:t>
      </w:r>
      <w:r w:rsidR="00E14D5C">
        <w:t xml:space="preserve">ission draft report, </w:t>
      </w:r>
      <w:r w:rsidR="00E14D5C" w:rsidRPr="00E14D5C">
        <w:rPr>
          <w:i/>
        </w:rPr>
        <w:t>Regulator Engagement with Small B</w:t>
      </w:r>
      <w:r w:rsidRPr="00E14D5C">
        <w:rPr>
          <w:i/>
        </w:rPr>
        <w:t>usiness</w:t>
      </w:r>
      <w:r w:rsidRPr="001A5C5B">
        <w:t>, identified that the way regulations are implemented is often as important to small business and to compliance outcomes as the content of the regulations themselves.</w:t>
      </w:r>
      <w:r>
        <w:rPr>
          <w:rStyle w:val="FootnoteReference"/>
        </w:rPr>
        <w:footnoteReference w:id="11"/>
      </w:r>
      <w:r w:rsidRPr="001A5C5B">
        <w:t xml:space="preserve"> For businesses, good engagement with a regulator is generally associated with an educative and facilitative regulatory approach, rather than a combative approach. The report highlighted that the time spent by businesses understanding regulations can be substantially reduced, and the likelihood of regulators</w:t>
      </w:r>
      <w:r w:rsidR="009349BC">
        <w:t>’</w:t>
      </w:r>
      <w:r w:rsidRPr="001A5C5B">
        <w:t xml:space="preserve"> activities delivering good outcomes increased, when regulator communication is effective, and advice and guidance are accessible</w:t>
      </w:r>
      <w:r w:rsidR="009041EE">
        <w:t xml:space="preserve">. </w:t>
      </w:r>
    </w:p>
    <w:p w14:paraId="2EF8BEB9" w14:textId="57A0A5A8" w:rsidR="004761A7" w:rsidRDefault="001A5C5B" w:rsidP="00200FC3">
      <w:pPr>
        <w:pStyle w:val="base-text-paragraph"/>
      </w:pPr>
      <w:r w:rsidRPr="001A5C5B">
        <w:t>The Australian Small Business Commissioner</w:t>
      </w:r>
      <w:r w:rsidR="009349BC">
        <w:t>’</w:t>
      </w:r>
      <w:r w:rsidRPr="001A5C5B">
        <w:t>s current advocacy role is constrained as it does not have legislated backing to undertake enquiries and reviews into issues negatively affecting the small business community. For example, if a number of businesses are raising similar concerns or complaints, the Australian Small Business Commissioner does not have the authority to obtain information (such as through stakeholder meetings and requests for data) to understand the drivers behind particular issues of concern. This limits the ability of the Australian Small Business Commissioner to gather and analyse on</w:t>
      </w:r>
      <w:r w:rsidR="009349BC">
        <w:noBreakHyphen/>
      </w:r>
      <w:r w:rsidRPr="001A5C5B">
        <w:t>the</w:t>
      </w:r>
      <w:r w:rsidR="009349BC">
        <w:noBreakHyphen/>
      </w:r>
      <w:r w:rsidRPr="001A5C5B">
        <w:t>ground evidence of issues (such as burdensome regulation) and advise the Minister and relevant agencies.</w:t>
      </w:r>
      <w:r w:rsidR="004761A7" w:rsidRPr="004761A7">
        <w:t xml:space="preserve"> </w:t>
      </w:r>
    </w:p>
    <w:p w14:paraId="17B97DC6" w14:textId="77777777" w:rsidR="001A5C5B" w:rsidRPr="00F12FC0" w:rsidRDefault="001A5C5B" w:rsidP="00F12FC0">
      <w:pPr>
        <w:pStyle w:val="Heading2"/>
      </w:pPr>
      <w:r w:rsidRPr="00F12FC0">
        <w:t>RIS Question 3: Policy options under consideration</w:t>
      </w:r>
    </w:p>
    <w:p w14:paraId="421AE21B" w14:textId="1AFD69F6" w:rsidR="004761A7" w:rsidRDefault="001A5C5B" w:rsidP="00200FC3">
      <w:pPr>
        <w:pStyle w:val="base-text-paragraph"/>
      </w:pPr>
      <w:r w:rsidRPr="001A5C5B">
        <w:t>A detailed comparison of the functions and powers of policy options 1</w:t>
      </w:r>
      <w:r w:rsidR="009349BC">
        <w:noBreakHyphen/>
      </w:r>
      <w:r w:rsidRPr="001A5C5B">
        <w:t xml:space="preserve">3 are outlined at </w:t>
      </w:r>
      <w:r w:rsidRPr="00D53C03">
        <w:rPr>
          <w:b/>
        </w:rPr>
        <w:t>Appendix B</w:t>
      </w:r>
      <w:r w:rsidRPr="001A5C5B">
        <w:t>.</w:t>
      </w:r>
      <w:r w:rsidR="004761A7" w:rsidRPr="004761A7">
        <w:t xml:space="preserve"> </w:t>
      </w:r>
    </w:p>
    <w:p w14:paraId="1C610319" w14:textId="77777777" w:rsidR="001A5C5B" w:rsidRDefault="001A5C5B" w:rsidP="00C71EE9">
      <w:pPr>
        <w:pStyle w:val="Heading3"/>
      </w:pPr>
      <w:r>
        <w:t>Option 1: Status quo</w:t>
      </w:r>
    </w:p>
    <w:p w14:paraId="50C08F07" w14:textId="76B76961" w:rsidR="004761A7" w:rsidRDefault="001A5C5B" w:rsidP="00200FC3">
      <w:pPr>
        <w:pStyle w:val="base-text-paragraph"/>
      </w:pPr>
      <w:r w:rsidRPr="001A5C5B">
        <w:t>The status quo would be to retain the existing Australian Small Business Commissioner position. The Australian Small Business Commissione</w:t>
      </w:r>
      <w:r w:rsidR="00AC4A99">
        <w:t>r is a non</w:t>
      </w:r>
      <w:r w:rsidR="009349BC">
        <w:noBreakHyphen/>
      </w:r>
      <w:r w:rsidR="00AC4A99">
        <w:t xml:space="preserve">statutory position. </w:t>
      </w:r>
      <w:r w:rsidRPr="001A5C5B">
        <w:t>Key functions of the Australian Small Business Commissioner are to:</w:t>
      </w:r>
      <w:r w:rsidR="004761A7" w:rsidRPr="004761A7">
        <w:t xml:space="preserve"> </w:t>
      </w:r>
    </w:p>
    <w:p w14:paraId="063BDB2F" w14:textId="77777777" w:rsidR="001A5C5B" w:rsidRPr="006F3456" w:rsidRDefault="001A5C5B" w:rsidP="006F614C">
      <w:pPr>
        <w:pStyle w:val="exampledotpoint1"/>
        <w:rPr>
          <w:szCs w:val="22"/>
        </w:rPr>
      </w:pPr>
      <w:r w:rsidRPr="006F614C">
        <w:rPr>
          <w:sz w:val="22"/>
          <w:szCs w:val="22"/>
        </w:rPr>
        <w:t>advocate and represent small business interests and concerns to the Australian Government;</w:t>
      </w:r>
    </w:p>
    <w:p w14:paraId="4154532B" w14:textId="77777777" w:rsidR="001A5C5B" w:rsidRPr="006F3456" w:rsidRDefault="001A5C5B" w:rsidP="006F614C">
      <w:pPr>
        <w:pStyle w:val="exampledotpoint1"/>
        <w:rPr>
          <w:szCs w:val="22"/>
        </w:rPr>
      </w:pPr>
      <w:r w:rsidRPr="006F614C">
        <w:rPr>
          <w:sz w:val="22"/>
          <w:szCs w:val="22"/>
        </w:rPr>
        <w:t>provide information and assistance to small businesses, including referral to dispute resolution services; and</w:t>
      </w:r>
    </w:p>
    <w:p w14:paraId="5B078232" w14:textId="77777777" w:rsidR="001A5C5B" w:rsidRPr="006F3456" w:rsidRDefault="001A5C5B" w:rsidP="006F614C">
      <w:pPr>
        <w:pStyle w:val="exampledotpoint1"/>
        <w:rPr>
          <w:szCs w:val="22"/>
        </w:rPr>
      </w:pPr>
      <w:r w:rsidRPr="006F614C">
        <w:rPr>
          <w:sz w:val="22"/>
          <w:szCs w:val="22"/>
        </w:rPr>
        <w:t>work with government to promote a consistent and coordinated approach to small business matters.</w:t>
      </w:r>
    </w:p>
    <w:p w14:paraId="4A1A8F61" w14:textId="1B36A63F" w:rsidR="004761A7" w:rsidRDefault="001A5C5B" w:rsidP="00200FC3">
      <w:pPr>
        <w:pStyle w:val="base-text-paragraph"/>
      </w:pPr>
      <w:r w:rsidRPr="001A5C5B">
        <w:t>This option would also not meet the Government</w:t>
      </w:r>
      <w:r w:rsidR="009349BC">
        <w:t>’</w:t>
      </w:r>
      <w:r w:rsidRPr="001A5C5B">
        <w:t>s election commitment to establish the Australian Small Business and Family Enterprise Ombudsman</w:t>
      </w:r>
      <w:r w:rsidR="009041EE">
        <w:t xml:space="preserve">. </w:t>
      </w:r>
    </w:p>
    <w:p w14:paraId="77FB668F" w14:textId="77777777" w:rsidR="004761A7" w:rsidRDefault="001A5C5B" w:rsidP="00200FC3">
      <w:pPr>
        <w:pStyle w:val="base-text-paragraph"/>
      </w:pPr>
      <w:r w:rsidRPr="001A5C5B">
        <w:t xml:space="preserve">Stakeholder consultation supported the establishment of an Ombudsman role that is supported by legislated powers. Broad powers were generally recommended for the Ombudsman to investigate, mediate, enforce or refer a dispute to the appropriate agency. The majority of stakeholders were supportive of the Ombudsman as an advocate of small business interests and concerns, particularly to the Government. </w:t>
      </w:r>
    </w:p>
    <w:p w14:paraId="029A727D" w14:textId="77777777" w:rsidR="001A5C5B" w:rsidRPr="00F12FC0" w:rsidRDefault="001A5C5B" w:rsidP="009349BC">
      <w:pPr>
        <w:pStyle w:val="Heading3"/>
      </w:pPr>
      <w:r w:rsidRPr="00F12FC0">
        <w:t>Option 2: Establish a Small Business and Family Enterprise Ombudsman with stronger powers (preferred)</w:t>
      </w:r>
    </w:p>
    <w:p w14:paraId="7A26E685" w14:textId="7D5A550E" w:rsidR="004761A7" w:rsidRDefault="001A5C5B" w:rsidP="00200FC3">
      <w:pPr>
        <w:pStyle w:val="base-text-paragraph"/>
      </w:pPr>
      <w:r w:rsidRPr="001A5C5B">
        <w:t>The establishment of the Ombudsman was a 2013 small business election commitment. The Government committed to extend and enhance the activities of the existing Australian Small Business Commissioner to create the Ombudsman. Funding of $8 million over four years was allocated in the 2014</w:t>
      </w:r>
      <w:r w:rsidR="009349BC">
        <w:noBreakHyphen/>
      </w:r>
      <w:r w:rsidRPr="001A5C5B">
        <w:t xml:space="preserve">15 Budget to deliver this initiative. </w:t>
      </w:r>
    </w:p>
    <w:p w14:paraId="4166769A" w14:textId="77777777" w:rsidR="004761A7" w:rsidRDefault="001A5C5B" w:rsidP="00200FC3">
      <w:pPr>
        <w:pStyle w:val="base-text-paragraph"/>
      </w:pPr>
      <w:r w:rsidRPr="001A5C5B">
        <w:t>Following ongoing consultation with the small business community, the Government has confirmed strong support for the Australian Small Business and Family Enterprise Ombudsman.</w:t>
      </w:r>
      <w:r w:rsidR="004761A7" w:rsidRPr="004761A7">
        <w:t xml:space="preserve"> </w:t>
      </w:r>
    </w:p>
    <w:p w14:paraId="12E0CD23" w14:textId="77777777" w:rsidR="004761A7" w:rsidRDefault="001A5C5B" w:rsidP="00200FC3">
      <w:pPr>
        <w:pStyle w:val="base-text-paragraph"/>
      </w:pPr>
      <w:r w:rsidRPr="001A5C5B">
        <w:t>The Government has committed to introducing legislation that will provide for the Ombudsman to:</w:t>
      </w:r>
      <w:r w:rsidR="004761A7" w:rsidRPr="004761A7">
        <w:t xml:space="preserve"> </w:t>
      </w:r>
    </w:p>
    <w:p w14:paraId="552A6D5D" w14:textId="77777777" w:rsidR="001A5C5B" w:rsidRPr="006F3456" w:rsidRDefault="001A5C5B" w:rsidP="006F614C">
      <w:pPr>
        <w:pStyle w:val="exampledotpoint1"/>
        <w:rPr>
          <w:szCs w:val="22"/>
        </w:rPr>
      </w:pPr>
      <w:r w:rsidRPr="006F614C">
        <w:rPr>
          <w:sz w:val="22"/>
          <w:szCs w:val="22"/>
        </w:rPr>
        <w:t>be an impartial and independent position that can give small business the advice they need;</w:t>
      </w:r>
    </w:p>
    <w:p w14:paraId="57B264B9" w14:textId="77777777" w:rsidR="001A5C5B" w:rsidRPr="006F3456" w:rsidRDefault="001A5C5B" w:rsidP="006F614C">
      <w:pPr>
        <w:pStyle w:val="exampledotpoint1"/>
        <w:rPr>
          <w:szCs w:val="22"/>
        </w:rPr>
      </w:pPr>
      <w:r w:rsidRPr="006F614C">
        <w:rPr>
          <w:sz w:val="22"/>
          <w:szCs w:val="22"/>
        </w:rPr>
        <w:t xml:space="preserve">help Government policy makers better understand the needs of small business; and </w:t>
      </w:r>
    </w:p>
    <w:p w14:paraId="71CEE22C" w14:textId="77777777" w:rsidR="001A5C5B" w:rsidRPr="006F3456" w:rsidRDefault="001A5C5B" w:rsidP="006F614C">
      <w:pPr>
        <w:pStyle w:val="exampledotpoint1"/>
        <w:rPr>
          <w:szCs w:val="22"/>
        </w:rPr>
      </w:pPr>
      <w:r w:rsidRPr="006F614C">
        <w:rPr>
          <w:sz w:val="22"/>
          <w:szCs w:val="22"/>
        </w:rPr>
        <w:t xml:space="preserve">be equipped with the tools to effectively receive and deal with small business concerns and disputes. </w:t>
      </w:r>
    </w:p>
    <w:p w14:paraId="28C7B170" w14:textId="52A2D574" w:rsidR="004761A7" w:rsidRDefault="001A5C5B" w:rsidP="00200FC3">
      <w:pPr>
        <w:pStyle w:val="base-text-paragraph"/>
      </w:pPr>
      <w:r w:rsidRPr="001A5C5B">
        <w:t xml:space="preserve">Consistent with the </w:t>
      </w:r>
      <w:r w:rsidRPr="001A5C5B">
        <w:rPr>
          <w:i/>
        </w:rPr>
        <w:t>Australian Government Guide to Regulation</w:t>
      </w:r>
      <w:r w:rsidRPr="001A5C5B">
        <w:t>, Government decisions about the scope and powers of the Ombudsman</w:t>
      </w:r>
      <w:r w:rsidR="009349BC">
        <w:t>’</w:t>
      </w:r>
      <w:r w:rsidRPr="001A5C5B">
        <w:t>s functions were informed by a RIS. An early</w:t>
      </w:r>
      <w:r w:rsidR="009349BC">
        <w:noBreakHyphen/>
      </w:r>
      <w:r w:rsidRPr="001A5C5B">
        <w:t>assessment RIS was prepared to support the Government</w:t>
      </w:r>
      <w:r w:rsidR="009349BC">
        <w:t>’</w:t>
      </w:r>
      <w:r w:rsidRPr="001A5C5B">
        <w:t>s decision on the scope of the Ombudsman</w:t>
      </w:r>
      <w:r w:rsidR="009349BC">
        <w:t>’</w:t>
      </w:r>
      <w:r w:rsidRPr="001A5C5B">
        <w:t>s powers and functions. The Government announced its decision in August 2014. This final assessment RIS has been prepared for the Government</w:t>
      </w:r>
      <w:r w:rsidR="009349BC">
        <w:t>’</w:t>
      </w:r>
      <w:r w:rsidRPr="001A5C5B">
        <w:t>s consideration of the Australian Small Business and Family Enterprise Ombudsman Bill (Bill) prior to introduction into Parliament.</w:t>
      </w:r>
      <w:r w:rsidR="004761A7" w:rsidRPr="004761A7">
        <w:t xml:space="preserve"> </w:t>
      </w:r>
    </w:p>
    <w:p w14:paraId="0FEEEE7B" w14:textId="77777777" w:rsidR="004761A7" w:rsidRDefault="001A5C5B" w:rsidP="00200FC3">
      <w:pPr>
        <w:pStyle w:val="base-text-paragraph"/>
      </w:pPr>
      <w:r w:rsidRPr="001A5C5B">
        <w:t>Under the proposed legislation, the functions of the Ombudsman are to:</w:t>
      </w:r>
      <w:r w:rsidR="004761A7" w:rsidRPr="004761A7">
        <w:t xml:space="preserve"> </w:t>
      </w:r>
    </w:p>
    <w:p w14:paraId="5C3FA186" w14:textId="77777777" w:rsidR="001A5C5B" w:rsidRPr="006F3456" w:rsidRDefault="001A5C5B" w:rsidP="006F614C">
      <w:pPr>
        <w:pStyle w:val="exampledotpoint1"/>
        <w:rPr>
          <w:szCs w:val="22"/>
        </w:rPr>
      </w:pPr>
      <w:r w:rsidRPr="006F614C">
        <w:rPr>
          <w:sz w:val="22"/>
          <w:szCs w:val="22"/>
        </w:rPr>
        <w:t>advocate for small businesses and family enterprises in relation to relevant legislation, policies and practices (advocacy function);</w:t>
      </w:r>
    </w:p>
    <w:p w14:paraId="10247E67" w14:textId="77777777" w:rsidR="001A5C5B" w:rsidRPr="006F3456" w:rsidRDefault="001A5C5B" w:rsidP="006F614C">
      <w:pPr>
        <w:pStyle w:val="exampledotpoint1"/>
        <w:rPr>
          <w:szCs w:val="22"/>
        </w:rPr>
      </w:pPr>
      <w:r w:rsidRPr="006F614C">
        <w:rPr>
          <w:sz w:val="22"/>
          <w:szCs w:val="22"/>
        </w:rPr>
        <w:t>give assistance in relation to relevant actions if requested to do so (assistance function); and</w:t>
      </w:r>
    </w:p>
    <w:p w14:paraId="6311FE65" w14:textId="77777777" w:rsidR="001A5C5B" w:rsidRPr="006F3456" w:rsidRDefault="001A5C5B" w:rsidP="006F614C">
      <w:pPr>
        <w:pStyle w:val="exampledotpoint1"/>
        <w:rPr>
          <w:szCs w:val="22"/>
        </w:rPr>
      </w:pPr>
      <w:r w:rsidRPr="006F614C">
        <w:rPr>
          <w:sz w:val="22"/>
          <w:szCs w:val="22"/>
        </w:rPr>
        <w:t>perform any other function conferred on the Ombudsman by any Act or legislative instrument.</w:t>
      </w:r>
    </w:p>
    <w:p w14:paraId="445965BF" w14:textId="3F8AD8F9" w:rsidR="004761A7" w:rsidRDefault="001A5C5B" w:rsidP="00200FC3">
      <w:pPr>
        <w:pStyle w:val="base-text-paragraph"/>
      </w:pPr>
      <w:r w:rsidRPr="001A5C5B">
        <w:t xml:space="preserve">The legislation provides flexibility for the Ombudsman to perform the functions of the role in any way that he or she sees fit, in the most convenient and effective way possible, as long as there is no duplication of functions performed by Commonwealth, </w:t>
      </w:r>
      <w:r w:rsidR="00BC16F6">
        <w:t>s</w:t>
      </w:r>
      <w:r w:rsidR="00BC16F6" w:rsidRPr="001A5C5B">
        <w:t xml:space="preserve">tate </w:t>
      </w:r>
      <w:r w:rsidRPr="001A5C5B">
        <w:t xml:space="preserve">or </w:t>
      </w:r>
      <w:r w:rsidR="00BC16F6">
        <w:t>t</w:t>
      </w:r>
      <w:r w:rsidR="00BC16F6" w:rsidRPr="001A5C5B">
        <w:t xml:space="preserve">erritory </w:t>
      </w:r>
      <w:r w:rsidRPr="001A5C5B">
        <w:t>agencies. The Ombudsman will also work co</w:t>
      </w:r>
      <w:r w:rsidR="009349BC">
        <w:noBreakHyphen/>
      </w:r>
      <w:r w:rsidRPr="001A5C5B">
        <w:t xml:space="preserve">operatively with Commonwealth, </w:t>
      </w:r>
      <w:r w:rsidR="00BC16F6">
        <w:t>s</w:t>
      </w:r>
      <w:r w:rsidR="00BC16F6" w:rsidRPr="001A5C5B">
        <w:t xml:space="preserve">tate </w:t>
      </w:r>
      <w:r w:rsidRPr="001A5C5B">
        <w:t xml:space="preserve">and </w:t>
      </w:r>
      <w:r w:rsidR="00BC16F6">
        <w:t>t</w:t>
      </w:r>
      <w:r w:rsidR="00BC16F6" w:rsidRPr="001A5C5B">
        <w:t xml:space="preserve">erritory </w:t>
      </w:r>
      <w:r w:rsidRPr="001A5C5B">
        <w:t>and comply with all other Commonwealth laws.</w:t>
      </w:r>
      <w:r w:rsidR="004761A7" w:rsidRPr="004761A7">
        <w:t xml:space="preserve"> </w:t>
      </w:r>
    </w:p>
    <w:p w14:paraId="34A1304C" w14:textId="525D3CD1" w:rsidR="004761A7" w:rsidRDefault="001A5C5B" w:rsidP="00200FC3">
      <w:pPr>
        <w:pStyle w:val="base-text-paragraph"/>
      </w:pPr>
      <w:r w:rsidRPr="001A5C5B">
        <w:t>In considering the chosen model for the Ombudsman, the Government considered that dispute related queries are best handled by the Ombudsman and queries on general business advice, grants and support are best handled by the Department of Industry</w:t>
      </w:r>
      <w:r w:rsidR="009349BC">
        <w:t>’</w:t>
      </w:r>
      <w:r w:rsidRPr="001A5C5B">
        <w:t>s single business service (www.business.gov.au, 13 28 46). Governance arrangements will be in place to ensure that the Ombudsman and the single business service work co</w:t>
      </w:r>
      <w:r w:rsidR="009349BC">
        <w:noBreakHyphen/>
      </w:r>
      <w:r w:rsidRPr="001A5C5B">
        <w:t>operatively to provide a user</w:t>
      </w:r>
      <w:r w:rsidR="009349BC">
        <w:noBreakHyphen/>
      </w:r>
      <w:r w:rsidRPr="001A5C5B">
        <w:t xml:space="preserve">friendly service to ensure small businesses receive the right assistance. </w:t>
      </w:r>
    </w:p>
    <w:p w14:paraId="26C69A45" w14:textId="77777777" w:rsidR="004761A7" w:rsidRDefault="001A5C5B" w:rsidP="00200FC3">
      <w:pPr>
        <w:pStyle w:val="base-text-paragraph"/>
      </w:pPr>
      <w:r w:rsidRPr="001A5C5B">
        <w:t xml:space="preserve">Detail on the powers and functions of the Ombudsman outlined in the Bill, including stakeholder views are outlined below. </w:t>
      </w:r>
    </w:p>
    <w:p w14:paraId="2C19078F" w14:textId="77777777" w:rsidR="001A5C5B" w:rsidRPr="00F12FC0" w:rsidRDefault="001A5C5B" w:rsidP="00C71EE9">
      <w:pPr>
        <w:pStyle w:val="Heading3"/>
      </w:pPr>
      <w:r w:rsidRPr="00F12FC0">
        <w:t>Summary of powers in the Bill</w:t>
      </w:r>
    </w:p>
    <w:p w14:paraId="5743BF28" w14:textId="77777777" w:rsidR="001A5C5B" w:rsidRDefault="001A5C5B" w:rsidP="00C71EE9">
      <w:pPr>
        <w:pStyle w:val="Heading4"/>
      </w:pPr>
      <w:r>
        <w:t>Advocacy function</w:t>
      </w:r>
    </w:p>
    <w:p w14:paraId="5D0942F0" w14:textId="77777777" w:rsidR="004761A7" w:rsidRDefault="001A5C5B" w:rsidP="00200FC3">
      <w:pPr>
        <w:pStyle w:val="base-text-paragraph"/>
      </w:pPr>
      <w:r w:rsidRPr="001A5C5B">
        <w:t>Under the advocacy function, the Ombudsman will have the power to conduct inquiries into the effect of relevant laws, policies and practices on small businesses, and make recommendations for how these might be improved.</w:t>
      </w:r>
      <w:r w:rsidR="004761A7" w:rsidRPr="004761A7">
        <w:t xml:space="preserve"> </w:t>
      </w:r>
    </w:p>
    <w:p w14:paraId="4759D01F" w14:textId="7DB3C2B9" w:rsidR="004761A7" w:rsidRDefault="001A5C5B" w:rsidP="00200FC3">
      <w:pPr>
        <w:pStyle w:val="base-text-paragraph"/>
      </w:pPr>
      <w:r w:rsidRPr="001A5C5B">
        <w:t>Inquiries may be under the Ombudsman</w:t>
      </w:r>
      <w:r w:rsidR="009349BC">
        <w:t>’</w:t>
      </w:r>
      <w:r w:rsidRPr="001A5C5B">
        <w:t>s initiative or at the direction of the Minister for Small Business. In conducting an inquiry, the Ombudsman can require a person to produce information or documents, with at least 10 business days</w:t>
      </w:r>
      <w:r w:rsidR="009349BC">
        <w:t>’</w:t>
      </w:r>
      <w:r w:rsidRPr="001A5C5B">
        <w:t xml:space="preserve"> notice. Non</w:t>
      </w:r>
      <w:r w:rsidR="009349BC">
        <w:noBreakHyphen/>
      </w:r>
      <w:r w:rsidRPr="001A5C5B">
        <w:t>compliance with a request carries a financial penalty of 30 penalty units.</w:t>
      </w:r>
      <w:r w:rsidR="004761A7" w:rsidRPr="004761A7">
        <w:t xml:space="preserve"> </w:t>
      </w:r>
    </w:p>
    <w:p w14:paraId="5B92146B" w14:textId="0AC60B67" w:rsidR="004761A7" w:rsidRDefault="001A5C5B" w:rsidP="00200FC3">
      <w:pPr>
        <w:pStyle w:val="base-text-paragraph"/>
      </w:pPr>
      <w:r w:rsidRPr="001A5C5B">
        <w:t>Under an inquiry undertaken at the direction of the Minister for Small Business, the Ombudsman can choose to hold formal hearings, with at least 10 business days</w:t>
      </w:r>
      <w:r w:rsidR="009349BC">
        <w:t>’</w:t>
      </w:r>
      <w:r w:rsidRPr="001A5C5B">
        <w:t xml:space="preserve"> notice. The Ombudsman may summon a person to appear at a hearing to give evidence and produce documents. Failure to attend a hearing, refusal to answer questions or produce documents, or publication of evidence from a hearing against the Ombudsman</w:t>
      </w:r>
      <w:r w:rsidR="009349BC">
        <w:t>’</w:t>
      </w:r>
      <w:r w:rsidRPr="001A5C5B">
        <w:t>s direction carries a financial penalty of 30 penalty units.</w:t>
      </w:r>
      <w:r w:rsidR="004761A7" w:rsidRPr="004761A7">
        <w:t xml:space="preserve"> </w:t>
      </w:r>
    </w:p>
    <w:p w14:paraId="0E2640F0" w14:textId="77777777" w:rsidR="001A5C5B" w:rsidRDefault="001A5C5B" w:rsidP="00C71EE9">
      <w:pPr>
        <w:pStyle w:val="Heading4"/>
      </w:pPr>
      <w:r>
        <w:t>Assistance function</w:t>
      </w:r>
    </w:p>
    <w:p w14:paraId="6C95F886" w14:textId="77777777" w:rsidR="004761A7" w:rsidRDefault="001A5C5B" w:rsidP="00200FC3">
      <w:pPr>
        <w:pStyle w:val="base-text-paragraph"/>
      </w:pPr>
      <w:r w:rsidRPr="001A5C5B">
        <w:t>The Ombudsman can provide assistance to a small business or family enterprise where action by an entity with a constitutional connection affects or may affect a small business or family enterprise. Such entities include:</w:t>
      </w:r>
      <w:r w:rsidR="004761A7" w:rsidRPr="004761A7">
        <w:t xml:space="preserve"> </w:t>
      </w:r>
    </w:p>
    <w:p w14:paraId="506C1581" w14:textId="77777777" w:rsidR="001A5C5B" w:rsidRPr="006F3456" w:rsidRDefault="001A5C5B" w:rsidP="000D72CA">
      <w:pPr>
        <w:pStyle w:val="exampledotpoint1"/>
        <w:spacing w:before="80" w:after="80"/>
        <w:ind w:left="2269" w:hanging="284"/>
        <w:rPr>
          <w:szCs w:val="22"/>
        </w:rPr>
      </w:pPr>
      <w:r w:rsidRPr="006F614C">
        <w:rPr>
          <w:sz w:val="22"/>
          <w:szCs w:val="22"/>
        </w:rPr>
        <w:t>Commonwealth and Territory agencies;</w:t>
      </w:r>
    </w:p>
    <w:p w14:paraId="5D81D432" w14:textId="77777777" w:rsidR="001A5C5B" w:rsidRPr="006F3456" w:rsidRDefault="001A5C5B" w:rsidP="000B2A25">
      <w:pPr>
        <w:pStyle w:val="exampledotpoint1"/>
        <w:spacing w:before="60" w:after="60"/>
        <w:ind w:left="2269" w:hanging="284"/>
        <w:rPr>
          <w:szCs w:val="22"/>
        </w:rPr>
      </w:pPr>
      <w:r w:rsidRPr="006F614C">
        <w:rPr>
          <w:sz w:val="22"/>
          <w:szCs w:val="22"/>
        </w:rPr>
        <w:t>Constitutional corporations</w:t>
      </w:r>
      <w:r w:rsidRPr="006F614C">
        <w:rPr>
          <w:rStyle w:val="FootnoteReference"/>
          <w:sz w:val="22"/>
          <w:szCs w:val="22"/>
        </w:rPr>
        <w:footnoteReference w:id="12"/>
      </w:r>
      <w:r w:rsidRPr="006F614C">
        <w:rPr>
          <w:sz w:val="22"/>
          <w:szCs w:val="22"/>
        </w:rPr>
        <w:t>;</w:t>
      </w:r>
    </w:p>
    <w:p w14:paraId="58B6764D" w14:textId="77777777" w:rsidR="001A5C5B" w:rsidRPr="006F3456" w:rsidRDefault="001A5C5B" w:rsidP="000B2A25">
      <w:pPr>
        <w:pStyle w:val="exampledotpoint1"/>
        <w:spacing w:before="60" w:after="60"/>
        <w:ind w:left="2269" w:hanging="284"/>
        <w:rPr>
          <w:szCs w:val="22"/>
        </w:rPr>
      </w:pPr>
      <w:r w:rsidRPr="006F614C">
        <w:rPr>
          <w:sz w:val="22"/>
          <w:szCs w:val="22"/>
        </w:rPr>
        <w:t>Any entity engaged in international trade or commerce;</w:t>
      </w:r>
    </w:p>
    <w:p w14:paraId="6AE556A4" w14:textId="77777777" w:rsidR="001A5C5B" w:rsidRPr="006F3456" w:rsidRDefault="001A5C5B" w:rsidP="000B2A25">
      <w:pPr>
        <w:pStyle w:val="exampledotpoint1"/>
        <w:spacing w:before="60" w:after="60"/>
        <w:ind w:left="2269" w:hanging="284"/>
        <w:rPr>
          <w:szCs w:val="22"/>
        </w:rPr>
      </w:pPr>
      <w:r w:rsidRPr="006F614C">
        <w:rPr>
          <w:sz w:val="22"/>
          <w:szCs w:val="22"/>
        </w:rPr>
        <w:t>Any entity engaged in trade or commerce among the States, within a Territory, between Territories or between a State and a Territory;</w:t>
      </w:r>
    </w:p>
    <w:p w14:paraId="7B39B647" w14:textId="77777777" w:rsidR="001A5C5B" w:rsidRPr="006F3456" w:rsidRDefault="001A5C5B" w:rsidP="000B2A25">
      <w:pPr>
        <w:pStyle w:val="exampledotpoint1"/>
        <w:spacing w:before="60" w:after="60"/>
        <w:ind w:left="2269" w:hanging="284"/>
        <w:rPr>
          <w:szCs w:val="22"/>
        </w:rPr>
      </w:pPr>
      <w:r w:rsidRPr="006F614C">
        <w:rPr>
          <w:sz w:val="22"/>
          <w:szCs w:val="22"/>
        </w:rPr>
        <w:t>Any entity in relation to insurance, banking, telecommunications, copyright, patents, designs or trademarks; and</w:t>
      </w:r>
    </w:p>
    <w:p w14:paraId="7012C6CA" w14:textId="77777777" w:rsidR="001A5C5B" w:rsidRPr="006F3456" w:rsidRDefault="001A5C5B" w:rsidP="000B2A25">
      <w:pPr>
        <w:pStyle w:val="exampledotpoint1"/>
        <w:spacing w:before="60" w:after="60"/>
        <w:ind w:left="2269" w:hanging="284"/>
        <w:rPr>
          <w:szCs w:val="22"/>
        </w:rPr>
      </w:pPr>
      <w:r w:rsidRPr="006F614C">
        <w:rPr>
          <w:sz w:val="22"/>
          <w:szCs w:val="22"/>
        </w:rPr>
        <w:t>Any entity that is operated by those living in or is located in a Territory.</w:t>
      </w:r>
    </w:p>
    <w:p w14:paraId="1B611D1C" w14:textId="77777777" w:rsidR="004761A7" w:rsidRDefault="001A5C5B" w:rsidP="00200FC3">
      <w:pPr>
        <w:pStyle w:val="base-text-paragraph"/>
      </w:pPr>
      <w:r w:rsidRPr="001A5C5B">
        <w:t>On receiving a request for assistance, the Ombudsman may take the following actions:</w:t>
      </w:r>
      <w:r w:rsidR="004761A7" w:rsidRPr="004761A7">
        <w:t xml:space="preserve"> </w:t>
      </w:r>
    </w:p>
    <w:p w14:paraId="77A67A09" w14:textId="77777777" w:rsidR="001A5C5B" w:rsidRPr="006F3456" w:rsidRDefault="001A5C5B" w:rsidP="000B2A25">
      <w:pPr>
        <w:pStyle w:val="exampledotpoint1"/>
        <w:spacing w:before="60" w:after="60"/>
        <w:ind w:left="2269" w:hanging="284"/>
        <w:rPr>
          <w:szCs w:val="22"/>
        </w:rPr>
      </w:pPr>
      <w:r w:rsidRPr="006F614C">
        <w:rPr>
          <w:sz w:val="22"/>
          <w:szCs w:val="22"/>
        </w:rPr>
        <w:t>Refer the dispute to the appropriate agency;</w:t>
      </w:r>
    </w:p>
    <w:p w14:paraId="48A49452" w14:textId="77777777" w:rsidR="001A5C5B" w:rsidRPr="006F3456" w:rsidRDefault="001A5C5B" w:rsidP="000B2A25">
      <w:pPr>
        <w:pStyle w:val="exampledotpoint1"/>
        <w:spacing w:before="60" w:after="60"/>
        <w:ind w:left="2269" w:hanging="284"/>
        <w:rPr>
          <w:szCs w:val="22"/>
        </w:rPr>
      </w:pPr>
      <w:r w:rsidRPr="006F614C">
        <w:rPr>
          <w:sz w:val="22"/>
          <w:szCs w:val="22"/>
        </w:rPr>
        <w:t>Recommend an alternative dispute resolution mechanism; or</w:t>
      </w:r>
    </w:p>
    <w:p w14:paraId="6CDADA97" w14:textId="77777777" w:rsidR="001A5C5B" w:rsidRPr="006F3456" w:rsidRDefault="001A5C5B" w:rsidP="000B2A25">
      <w:pPr>
        <w:pStyle w:val="exampledotpoint1"/>
        <w:spacing w:before="60" w:after="60"/>
        <w:ind w:left="2269" w:hanging="284"/>
        <w:rPr>
          <w:szCs w:val="22"/>
        </w:rPr>
      </w:pPr>
      <w:r w:rsidRPr="006F614C">
        <w:rPr>
          <w:sz w:val="22"/>
          <w:szCs w:val="22"/>
        </w:rPr>
        <w:t>Decide not to provide assistance.</w:t>
      </w:r>
    </w:p>
    <w:p w14:paraId="2300B3AA" w14:textId="001736A1" w:rsidR="004761A7" w:rsidRDefault="001A5C5B" w:rsidP="00200FC3">
      <w:pPr>
        <w:pStyle w:val="base-text-paragraph"/>
      </w:pPr>
      <w:r w:rsidRPr="001A5C5B">
        <w:t>Under the assistance function, the Ombudsman may publicise a matter or a person</w:t>
      </w:r>
      <w:r w:rsidR="009349BC">
        <w:t>’</w:t>
      </w:r>
      <w:r w:rsidRPr="001A5C5B">
        <w:t>s name where a party to a dispute has refused to engage in an alternative dispute resolution process recommended by the Ombudsman.</w:t>
      </w:r>
      <w:r w:rsidR="004761A7" w:rsidRPr="004761A7">
        <w:t xml:space="preserve"> </w:t>
      </w:r>
    </w:p>
    <w:p w14:paraId="6CF94E4E" w14:textId="6D60A963" w:rsidR="004761A7" w:rsidRDefault="001A5C5B" w:rsidP="00200FC3">
      <w:pPr>
        <w:pStyle w:val="base-text-paragraph"/>
      </w:pPr>
      <w:r w:rsidRPr="001A5C5B">
        <w:t>In deciding how to handle a request for assistance, the Ombudsman may make inquiries. As part of these inquiries, the Ombudsman can require a person to provide, with at least 10 business days</w:t>
      </w:r>
      <w:r w:rsidR="009349BC">
        <w:t>’</w:t>
      </w:r>
      <w:r w:rsidRPr="001A5C5B">
        <w:t xml:space="preserve"> notice, specified information and documents. Failure to comply with the notice carries a penalty of 30 penalty units.</w:t>
      </w:r>
      <w:r w:rsidR="004761A7" w:rsidRPr="004761A7">
        <w:t xml:space="preserve"> </w:t>
      </w:r>
    </w:p>
    <w:p w14:paraId="333E0677" w14:textId="77777777" w:rsidR="001A5C5B" w:rsidRPr="0005431F" w:rsidRDefault="001A5C5B" w:rsidP="00C71EE9">
      <w:pPr>
        <w:pStyle w:val="Heading3"/>
      </w:pPr>
      <w:r w:rsidRPr="00F12FC0">
        <w:t>Specific provisions in the Bill in detail</w:t>
      </w:r>
    </w:p>
    <w:p w14:paraId="6D8ACDEE" w14:textId="77777777" w:rsidR="001A5C5B" w:rsidRDefault="001A5C5B" w:rsidP="00C71EE9">
      <w:pPr>
        <w:pStyle w:val="Heading4"/>
      </w:pPr>
      <w:r>
        <w:t>Appointment and staff</w:t>
      </w:r>
    </w:p>
    <w:p w14:paraId="010B2757" w14:textId="41EE698A" w:rsidR="004761A7" w:rsidRDefault="001A5C5B" w:rsidP="00200FC3">
      <w:pPr>
        <w:pStyle w:val="base-text-paragraph"/>
      </w:pPr>
      <w:r w:rsidRPr="001A5C5B">
        <w:t>The Ombudsman will be appointed by the Governor</w:t>
      </w:r>
      <w:r w:rsidR="009349BC">
        <w:noBreakHyphen/>
      </w:r>
      <w:r w:rsidRPr="001A5C5B">
        <w:t>General for a five</w:t>
      </w:r>
      <w:r w:rsidR="009349BC">
        <w:noBreakHyphen/>
      </w:r>
      <w:r w:rsidRPr="001A5C5B">
        <w:t xml:space="preserve">year term, and may be reappointed. The Ombudsman will be supported by an Office of the Ombudsman, including staff employed under the </w:t>
      </w:r>
      <w:r w:rsidRPr="001A5C5B">
        <w:rPr>
          <w:i/>
        </w:rPr>
        <w:t>Public Service Act 1999</w:t>
      </w:r>
      <w:r w:rsidRPr="001A5C5B">
        <w:t>, plus consultants as needed</w:t>
      </w:r>
      <w:r w:rsidR="009041EE">
        <w:t xml:space="preserve">. </w:t>
      </w:r>
      <w:r w:rsidRPr="001A5C5B">
        <w:t>These staff and consultants will work on inquiries and hearings, as well as supporting the Ombudsman in researching and providing advice to the Minister for Small Business.</w:t>
      </w:r>
      <w:r w:rsidR="004761A7" w:rsidRPr="004761A7">
        <w:t xml:space="preserve"> </w:t>
      </w:r>
    </w:p>
    <w:p w14:paraId="23F0DC18" w14:textId="77777777" w:rsidR="004761A7" w:rsidRDefault="001A5C5B" w:rsidP="000B2A25">
      <w:pPr>
        <w:pStyle w:val="base-text-paragraph"/>
        <w:spacing w:before="80" w:after="80"/>
      </w:pPr>
      <w:r w:rsidRPr="001A5C5B">
        <w:t>These powers are similar to other statutory positions. Stakeholders did not raise concerns with these arrangements.</w:t>
      </w:r>
      <w:r w:rsidR="004761A7" w:rsidRPr="004761A7">
        <w:t xml:space="preserve"> </w:t>
      </w:r>
    </w:p>
    <w:p w14:paraId="6A3853FE" w14:textId="77777777" w:rsidR="001A5C5B" w:rsidRDefault="001A5C5B" w:rsidP="00C71EE9">
      <w:pPr>
        <w:pStyle w:val="Heading4"/>
      </w:pPr>
      <w:r>
        <w:t>Small business and family enterprise definitions</w:t>
      </w:r>
    </w:p>
    <w:p w14:paraId="0DFB235C" w14:textId="77777777" w:rsidR="004761A7" w:rsidRDefault="001A5C5B" w:rsidP="000B2A25">
      <w:pPr>
        <w:pStyle w:val="base-text-paragraph"/>
        <w:spacing w:before="80" w:after="80"/>
      </w:pPr>
      <w:r w:rsidRPr="001A5C5B">
        <w:t>The Bill defines small businesses as those with fewer than 100</w:t>
      </w:r>
      <w:r w:rsidR="000D72CA">
        <w:t> </w:t>
      </w:r>
      <w:r w:rsidRPr="001A5C5B">
        <w:t>employees, or having revenue of $5 million in the previous financial</w:t>
      </w:r>
      <w:r w:rsidR="000D72CA">
        <w:t> </w:t>
      </w:r>
      <w:r w:rsidRPr="001A5C5B">
        <w:t>year.</w:t>
      </w:r>
      <w:r w:rsidR="004761A7" w:rsidRPr="004761A7">
        <w:t xml:space="preserve"> </w:t>
      </w:r>
    </w:p>
    <w:p w14:paraId="768847C0" w14:textId="77777777" w:rsidR="004761A7" w:rsidRDefault="001A5C5B" w:rsidP="000B2A25">
      <w:pPr>
        <w:pStyle w:val="base-text-paragraph"/>
        <w:spacing w:before="80" w:after="80"/>
      </w:pPr>
      <w:r w:rsidRPr="001A5C5B">
        <w:t xml:space="preserve">The small business definition is closely linked to that of family enterprises. The Bill defines a family enterprise as small business operated as a family business. The 2013 Parliamentary Joint Committee on Corporations and Financial Services inquiry into </w:t>
      </w:r>
      <w:r w:rsidRPr="00E14D5C">
        <w:rPr>
          <w:i/>
        </w:rPr>
        <w:t>Family Business in Australia</w:t>
      </w:r>
      <w:r w:rsidRPr="001A5C5B">
        <w:t xml:space="preserve"> found that most, but not all, family businesses were small businesses. It is also assumed that larger family businesses are better equipped to manage disputes than their smaller counterparts.</w:t>
      </w:r>
      <w:r w:rsidR="004761A7" w:rsidRPr="004761A7">
        <w:t xml:space="preserve"> </w:t>
      </w:r>
    </w:p>
    <w:p w14:paraId="65358DF4" w14:textId="77777777" w:rsidR="001A5C5B" w:rsidRDefault="001A5C5B" w:rsidP="00C71EE9">
      <w:pPr>
        <w:pStyle w:val="Heading5"/>
      </w:pPr>
      <w:r>
        <w:t>Stakeholder feedback</w:t>
      </w:r>
    </w:p>
    <w:p w14:paraId="5293B78F" w14:textId="77777777" w:rsidR="004761A7" w:rsidRDefault="001A5C5B" w:rsidP="000B2A25">
      <w:pPr>
        <w:pStyle w:val="base-text-paragraph"/>
        <w:spacing w:before="80" w:after="80"/>
      </w:pPr>
      <w:r w:rsidRPr="001A5C5B">
        <w:t>Stakeholders were generally supportive of the broad definition, but some raised concerns that the definition in the Bill is inconsistent with existing, widely adopted definitions and could result in confusion. Some stakeholders were concerned that some organisations have narrower definitions of a small business, and that they would reject referrals from the Ombudsman on that basis, leaving many businesses without an avenue for support.</w:t>
      </w:r>
      <w:r w:rsidR="004761A7" w:rsidRPr="004761A7">
        <w:t xml:space="preserve"> </w:t>
      </w:r>
    </w:p>
    <w:p w14:paraId="07F5D4B3" w14:textId="77777777" w:rsidR="004761A7" w:rsidRDefault="001A5C5B" w:rsidP="000B2A25">
      <w:pPr>
        <w:pStyle w:val="base-text-paragraph"/>
        <w:spacing w:before="80" w:after="80"/>
      </w:pPr>
      <w:r w:rsidRPr="001A5C5B">
        <w:t xml:space="preserve">The Government has chosen to use an inclusive definition of small business. Common definitions, such as those used by the Australian Bureau of Statistics and Australian Taxation Office were considered too restrictive and would limit the scope of regulation and legislation the Ombudsman could review. The definition of small businesses applies only to the services and activities of the Ombudsman. It does not apply to other </w:t>
      </w:r>
      <w:r w:rsidR="00182F12">
        <w:t>state or territory</w:t>
      </w:r>
      <w:r w:rsidRPr="001A5C5B">
        <w:t xml:space="preserve"> Acts.</w:t>
      </w:r>
      <w:r w:rsidR="004761A7" w:rsidRPr="004761A7">
        <w:t xml:space="preserve"> </w:t>
      </w:r>
    </w:p>
    <w:p w14:paraId="7CED9224" w14:textId="77777777" w:rsidR="001A5C5B" w:rsidRDefault="001A5C5B" w:rsidP="00C71EE9">
      <w:pPr>
        <w:pStyle w:val="Heading4"/>
      </w:pPr>
      <w:r>
        <w:t>Advocacy</w:t>
      </w:r>
    </w:p>
    <w:p w14:paraId="410C7B58" w14:textId="57143C35" w:rsidR="004761A7" w:rsidRDefault="001A5C5B" w:rsidP="000B2A25">
      <w:pPr>
        <w:pStyle w:val="base-text-paragraph"/>
        <w:spacing w:before="80" w:after="80"/>
      </w:pPr>
      <w:r w:rsidRPr="001A5C5B">
        <w:t>The Ombudsman will be an independent advocate that can represent small business interests at the national level. In practice, this will mean that the Ombudsman has the power to conduct inquiries into the effect of relevant laws, policies and practices on small businesses, and how these might be improved</w:t>
      </w:r>
      <w:r w:rsidR="009041EE">
        <w:t xml:space="preserve">. </w:t>
      </w:r>
      <w:r w:rsidRPr="001A5C5B">
        <w:t>Inquiries can be made on the basis of the Ombudsman</w:t>
      </w:r>
      <w:r w:rsidR="009349BC">
        <w:t>’</w:t>
      </w:r>
      <w:r w:rsidRPr="001A5C5B">
        <w:t xml:space="preserve">s own motion or referral from the Minister. </w:t>
      </w:r>
    </w:p>
    <w:p w14:paraId="16E4BA02" w14:textId="0F7E79DD" w:rsidR="004761A7" w:rsidRDefault="001A5C5B" w:rsidP="000B2A25">
      <w:pPr>
        <w:pStyle w:val="base-text-paragraph"/>
        <w:spacing w:before="80" w:after="80"/>
      </w:pPr>
      <w:r w:rsidRPr="001A5C5B">
        <w:t>When conducting an inquiry, the Ombudsman may hold formal, public hearings. The Ombudsman may require a person to appear at a hearing; and/or require a person to provide information and documentation. Non</w:t>
      </w:r>
      <w:r w:rsidR="009349BC">
        <w:noBreakHyphen/>
      </w:r>
      <w:r w:rsidRPr="001A5C5B">
        <w:t>compliance with a request carries a financial penalty of 30 penalty units.</w:t>
      </w:r>
      <w:r w:rsidR="004761A7" w:rsidRPr="004761A7">
        <w:t xml:space="preserve"> </w:t>
      </w:r>
    </w:p>
    <w:p w14:paraId="5FC0ACCD" w14:textId="1B065B07" w:rsidR="004761A7" w:rsidRDefault="001A5C5B" w:rsidP="00200FC3">
      <w:pPr>
        <w:pStyle w:val="base-text-paragraph"/>
      </w:pPr>
      <w:r w:rsidRPr="001A5C5B">
        <w:t>The Ombudsman will regularly report to the Minister for Small Business on his/her activities and small business concerns, including a quarterly report to the Minister outlining the research conducted and inquiries made during the year</w:t>
      </w:r>
      <w:r w:rsidR="009041EE">
        <w:t xml:space="preserve">. </w:t>
      </w:r>
      <w:r w:rsidRPr="001A5C5B">
        <w:t>In addition, the Ombudsman may, at any time, provide the reports to the Minister outlining the findings and any related recommendations from his/her own</w:t>
      </w:r>
      <w:r w:rsidR="009349BC">
        <w:noBreakHyphen/>
      </w:r>
      <w:r w:rsidRPr="001A5C5B">
        <w:t>motion research and inquiries. The Minister may release these reports publicly</w:t>
      </w:r>
      <w:r w:rsidR="009041EE">
        <w:t xml:space="preserve">. </w:t>
      </w:r>
      <w:r w:rsidRPr="001A5C5B">
        <w:t>Before doing so, the Minister needs to take into account whether information in the report would negatively impact the interests o</w:t>
      </w:r>
      <w:r w:rsidR="00BC16F6">
        <w:t xml:space="preserve">f a business or individual. </w:t>
      </w:r>
      <w:r w:rsidRPr="001A5C5B">
        <w:t>When the Minister has referred a matter to the Ombudsman for inquiry, the Ombudsman must produce a report on the inquiry, which the Minister must table in Parliament</w:t>
      </w:r>
      <w:r w:rsidR="009041EE">
        <w:t xml:space="preserve">. </w:t>
      </w:r>
    </w:p>
    <w:p w14:paraId="7DB218A6" w14:textId="77777777" w:rsidR="004761A7" w:rsidRDefault="001A5C5B" w:rsidP="00200FC3">
      <w:pPr>
        <w:pStyle w:val="base-text-paragraph"/>
      </w:pPr>
      <w:r w:rsidRPr="001A5C5B">
        <w:t>As a national advocate, it is expected that the Ombudsman will represent small business interests on relevant g</w:t>
      </w:r>
      <w:r w:rsidR="00BC16F6">
        <w:t xml:space="preserve">overnment boards and councils. </w:t>
      </w:r>
      <w:r w:rsidRPr="001A5C5B">
        <w:t>The Ombudsman will also collaborate with state and territory small business commissioners and officials, and provide a single point of authority on systemic issues that warrant a coherent, coordinated national voice to government at all levels.</w:t>
      </w:r>
      <w:r w:rsidR="004761A7" w:rsidRPr="004761A7">
        <w:t xml:space="preserve"> </w:t>
      </w:r>
    </w:p>
    <w:p w14:paraId="346892E3" w14:textId="77777777" w:rsidR="001A5C5B" w:rsidRDefault="001A5C5B" w:rsidP="00C71EE9">
      <w:pPr>
        <w:pStyle w:val="Heading5"/>
      </w:pPr>
      <w:r>
        <w:t>Stakeholder feedback</w:t>
      </w:r>
    </w:p>
    <w:p w14:paraId="2AD7EE99" w14:textId="235F2BCF" w:rsidR="004761A7" w:rsidRDefault="001A5C5B" w:rsidP="00200FC3">
      <w:pPr>
        <w:pStyle w:val="base-text-paragraph"/>
      </w:pPr>
      <w:r w:rsidRPr="001A5C5B">
        <w:t>The majority of stakeholders were supportive of the Ombudsman as an advocate of small business interests and concerns, particularly to the Government. Key concerns raised related to privacy; the scope of the inquiry powers; and the potential conflict between the Ombudsman</w:t>
      </w:r>
      <w:r w:rsidR="009349BC">
        <w:t>’</w:t>
      </w:r>
      <w:r w:rsidRPr="001A5C5B">
        <w:t xml:space="preserve">s advocacy and dispute resolution role. </w:t>
      </w:r>
    </w:p>
    <w:p w14:paraId="38E93F25" w14:textId="16DB81FC" w:rsidR="004761A7" w:rsidRDefault="001A5C5B" w:rsidP="00200FC3">
      <w:pPr>
        <w:pStyle w:val="base-text-paragraph"/>
      </w:pPr>
      <w:r w:rsidRPr="001A5C5B">
        <w:t>Stakeholders considered that the Ombudsman should be able to receive concerns in confidence to encourage parties to openly bring forward issues for advocacy. Some raised concerns that the Ombudsman</w:t>
      </w:r>
      <w:r w:rsidR="009349BC">
        <w:t>’</w:t>
      </w:r>
      <w:r w:rsidRPr="001A5C5B">
        <w:t>s information gathering powers were broad and information collected under them would still be subject to Freedom of Information provisions, which could see the release of commercial in confidence material. Stakeholders emphasised the importance of keeping commercial in confidence information out of the public domain. To address these concerns, the Bill includes provisions to protect information that is commercial in confidence or subject to legal professional privilege. For example, the Bill provides for the Minister to direct the Ombudsman to notify relevant stakeholders about the intention to publish a report and give them sufficient time (up to 30 days) to put forward any concerns or objections. The Bill also requires confidential information to be deleted from the report prior to publication. This will ensure that private or commercially sensitive information is not cast into the public domain where it may cause undue embarrassment or disclose trade secrets. Information obtained by the Ombudsman will remain subject to Freedom of Information provisions.</w:t>
      </w:r>
      <w:r w:rsidR="004761A7" w:rsidRPr="004761A7">
        <w:t xml:space="preserve"> </w:t>
      </w:r>
    </w:p>
    <w:p w14:paraId="672846EE" w14:textId="3C6A3AC0" w:rsidR="004761A7" w:rsidRDefault="001A5C5B" w:rsidP="000B2A25">
      <w:pPr>
        <w:pStyle w:val="base-text-paragraph"/>
        <w:spacing w:before="80" w:after="80"/>
      </w:pPr>
      <w:r w:rsidRPr="001A5C5B">
        <w:t>Some stakeholders were concerned at the extent of the Ombudsman</w:t>
      </w:r>
      <w:r w:rsidR="009349BC">
        <w:t>’</w:t>
      </w:r>
      <w:r w:rsidRPr="001A5C5B">
        <w:t xml:space="preserve">s powers to conduct inquiries and wanted to ensure that they did not undertake </w:t>
      </w:r>
      <w:r w:rsidR="009349BC">
        <w:t>‘</w:t>
      </w:r>
      <w:r w:rsidRPr="001A5C5B">
        <w:t>fishing expeditions</w:t>
      </w:r>
      <w:r w:rsidR="009349BC">
        <w:t>’</w:t>
      </w:r>
      <w:r w:rsidRPr="001A5C5B">
        <w:t xml:space="preserve"> into particular industries, as opposed to acting on genuine concerns raised by small businesses</w:t>
      </w:r>
      <w:r w:rsidR="009041EE">
        <w:t xml:space="preserve">. </w:t>
      </w:r>
      <w:r w:rsidRPr="001A5C5B">
        <w:t>Broad powers under the advocacy function are important to ensure that the Ombudsman is equipped to advocate on behalf of small business and meet the Government</w:t>
      </w:r>
      <w:r w:rsidR="009349BC">
        <w:t>’</w:t>
      </w:r>
      <w:r w:rsidRPr="001A5C5B">
        <w:t xml:space="preserve">s election commitment. The legislative provisions are appropriate given the role needs to be designed for any individual to occupy it. However, in practice, the discretion and judgement of the appointee will determine how these powers are used. </w:t>
      </w:r>
    </w:p>
    <w:p w14:paraId="0F360629" w14:textId="145D08A8" w:rsidR="004761A7" w:rsidRDefault="001A5C5B" w:rsidP="000B2A25">
      <w:pPr>
        <w:pStyle w:val="base-text-paragraph"/>
        <w:spacing w:before="80" w:after="80"/>
      </w:pPr>
      <w:r w:rsidRPr="001A5C5B">
        <w:t>Some stakeholders were concerned about the level of oversight and power granted to the Minister to prevent publication of information and to direct the Ombudsman to conduct an inquiry, arguing that it calls into question the Ombudsman</w:t>
      </w:r>
      <w:r w:rsidR="009349BC">
        <w:t>’</w:t>
      </w:r>
      <w:r w:rsidRPr="001A5C5B">
        <w:t>s independence and allows the Ombudsman to be politicised. The reporting structure proposed for the Ombudsman is consistent with the arrangements for state</w:t>
      </w:r>
      <w:r w:rsidR="009349BC">
        <w:noBreakHyphen/>
      </w:r>
      <w:r w:rsidRPr="001A5C5B">
        <w:t xml:space="preserve">based commissioners, who also report to their respective State Ministers. </w:t>
      </w:r>
    </w:p>
    <w:p w14:paraId="26970360" w14:textId="3EF5A848" w:rsidR="004761A7" w:rsidRDefault="001A5C5B" w:rsidP="000B2A25">
      <w:pPr>
        <w:pStyle w:val="base-text-paragraph"/>
        <w:spacing w:before="80" w:after="80"/>
      </w:pPr>
      <w:r w:rsidRPr="001A5C5B">
        <w:t>There was some stakeholder concern on the need for the Ombudsman to be independent in its dispute resolution which may conflict with the advocacy function. Based on these concerns and advice from the Attorney</w:t>
      </w:r>
      <w:r w:rsidR="009349BC">
        <w:noBreakHyphen/>
      </w:r>
      <w:r w:rsidRPr="001A5C5B">
        <w:t>General</w:t>
      </w:r>
      <w:r w:rsidR="009349BC">
        <w:t>’</w:t>
      </w:r>
      <w:r w:rsidRPr="001A5C5B">
        <w:t>s Department, the advocacy role will be functionally separate to the broader activities of the Ombudsman to dispel any perceptions that the Ombudsman unduly favours one set of interests in the conduct of its dispute resolution activities</w:t>
      </w:r>
      <w:r w:rsidR="009041EE">
        <w:t xml:space="preserve">. </w:t>
      </w:r>
    </w:p>
    <w:p w14:paraId="0A69415C" w14:textId="77777777" w:rsidR="001A5C5B" w:rsidRDefault="001A5C5B" w:rsidP="00C71EE9">
      <w:pPr>
        <w:pStyle w:val="Heading4"/>
      </w:pPr>
      <w:r>
        <w:t>Concierge for dispute resolution</w:t>
      </w:r>
    </w:p>
    <w:p w14:paraId="02FD24D7" w14:textId="180218BF" w:rsidR="004761A7" w:rsidRDefault="001A5C5B" w:rsidP="000B2A25">
      <w:pPr>
        <w:pStyle w:val="base-text-paragraph"/>
        <w:spacing w:before="80" w:after="80"/>
      </w:pPr>
      <w:r w:rsidRPr="001A5C5B">
        <w:t>Unresolved disputes and conflicts can significantly impact the performance of a small business</w:t>
      </w:r>
      <w:r w:rsidR="009041EE">
        <w:t xml:space="preserve">. </w:t>
      </w:r>
      <w:r w:rsidRPr="001A5C5B">
        <w:t xml:space="preserve">Given the large number of small businesses that have experienced a dispute, but generally lack the resources to resolve it, the Ombudsman will act as a </w:t>
      </w:r>
      <w:r w:rsidR="009349BC">
        <w:t>‘</w:t>
      </w:r>
      <w:r w:rsidRPr="001A5C5B">
        <w:t>concierge</w:t>
      </w:r>
      <w:r w:rsidR="009349BC">
        <w:t>’</w:t>
      </w:r>
      <w:r w:rsidRPr="001A5C5B">
        <w:t xml:space="preserve"> for dispute resolution and provide his/her own (limited) dispute resolution service, assisting small businesses on request. The objective of the Ombudsman</w:t>
      </w:r>
      <w:r w:rsidR="009349BC">
        <w:t>’</w:t>
      </w:r>
      <w:r w:rsidRPr="001A5C5B">
        <w:t>s dispute resolution service is to facilitate both parties to reach an agreed position on the issue at hand and allow small businesses to shift their focus back to running their business as quickly as possible</w:t>
      </w:r>
      <w:r w:rsidR="009041EE">
        <w:t xml:space="preserve">. </w:t>
      </w:r>
    </w:p>
    <w:p w14:paraId="447B0B58" w14:textId="77777777" w:rsidR="004761A7" w:rsidRDefault="001A5C5B" w:rsidP="000B2A25">
      <w:pPr>
        <w:pStyle w:val="base-text-paragraph"/>
        <w:spacing w:before="80" w:after="80"/>
      </w:pPr>
      <w:r w:rsidRPr="001A5C5B">
        <w:t xml:space="preserve">All small business complaints and enquiries received by the Ombudsman will go through an initial assistance and referral phase. On receiving a request for assistance in a dispute, the Ombudsman may take the following actions: </w:t>
      </w:r>
    </w:p>
    <w:p w14:paraId="3F6F1480" w14:textId="77777777" w:rsidR="001A5C5B" w:rsidRPr="006F3456" w:rsidRDefault="001A5C5B" w:rsidP="000B2A25">
      <w:pPr>
        <w:pStyle w:val="exampledotpoint1"/>
        <w:spacing w:before="60" w:after="60"/>
        <w:ind w:left="2269" w:hanging="284"/>
        <w:rPr>
          <w:szCs w:val="22"/>
        </w:rPr>
      </w:pPr>
      <w:r w:rsidRPr="006F614C">
        <w:rPr>
          <w:sz w:val="22"/>
          <w:szCs w:val="22"/>
        </w:rPr>
        <w:t>decide not to provide assistance</w:t>
      </w:r>
      <w:r w:rsidR="00AC4A99">
        <w:rPr>
          <w:sz w:val="22"/>
          <w:szCs w:val="22"/>
        </w:rPr>
        <w:t>;</w:t>
      </w:r>
    </w:p>
    <w:p w14:paraId="237241B4" w14:textId="77777777" w:rsidR="001A5C5B" w:rsidRPr="006F3456" w:rsidRDefault="001A5C5B" w:rsidP="000B2A25">
      <w:pPr>
        <w:pStyle w:val="exampledotpoint1"/>
        <w:spacing w:before="60" w:after="60"/>
        <w:ind w:left="2269" w:hanging="284"/>
        <w:rPr>
          <w:szCs w:val="22"/>
        </w:rPr>
      </w:pPr>
      <w:r w:rsidRPr="006F614C">
        <w:rPr>
          <w:sz w:val="22"/>
          <w:szCs w:val="22"/>
        </w:rPr>
        <w:t>refer the dispute to the appropriate agency;</w:t>
      </w:r>
      <w:r w:rsidR="00AC4A99">
        <w:rPr>
          <w:sz w:val="22"/>
          <w:szCs w:val="22"/>
        </w:rPr>
        <w:t xml:space="preserve"> </w:t>
      </w:r>
      <w:r w:rsidR="00A82CD1">
        <w:rPr>
          <w:sz w:val="22"/>
          <w:szCs w:val="22"/>
        </w:rPr>
        <w:t>or</w:t>
      </w:r>
    </w:p>
    <w:p w14:paraId="714F49A4" w14:textId="77777777" w:rsidR="001A5C5B" w:rsidRPr="006F3456" w:rsidRDefault="001A5C5B" w:rsidP="000B2A25">
      <w:pPr>
        <w:pStyle w:val="exampledotpoint1"/>
        <w:spacing w:before="60" w:after="60"/>
        <w:ind w:left="2269" w:hanging="284"/>
        <w:rPr>
          <w:szCs w:val="22"/>
        </w:rPr>
      </w:pPr>
      <w:r w:rsidRPr="006F614C">
        <w:rPr>
          <w:sz w:val="22"/>
          <w:szCs w:val="22"/>
        </w:rPr>
        <w:t>recommend an alternative dispute resolution process.</w:t>
      </w:r>
    </w:p>
    <w:p w14:paraId="09C8FBB6" w14:textId="77777777" w:rsidR="001A5C5B" w:rsidRDefault="00096457" w:rsidP="00C71EE9">
      <w:pPr>
        <w:pStyle w:val="Heading5"/>
      </w:pPr>
      <w:r>
        <w:t>Not providing assistance</w:t>
      </w:r>
    </w:p>
    <w:p w14:paraId="7E6D3494" w14:textId="77777777" w:rsidR="00E8538E" w:rsidRDefault="00096457" w:rsidP="00200FC3">
      <w:pPr>
        <w:pStyle w:val="base-text-paragraph"/>
      </w:pPr>
      <w:r w:rsidRPr="00096457">
        <w:t>The Ombudsman may decide not to provide assistance on a matter brought forward by a small business</w:t>
      </w:r>
      <w:r w:rsidR="009041EE">
        <w:t xml:space="preserve">. </w:t>
      </w:r>
      <w:r w:rsidRPr="00096457">
        <w:t>Requests can be declined on the basis of, for example, the request being made more than 12 months after the applicant became aware of the action, or the request not being made in good faith. Requests can also be declined if the person does not have a sufficient interest in the issue; that is, they are too far removed from the issue.</w:t>
      </w:r>
      <w:r w:rsidR="00E8538E" w:rsidRPr="00E8538E">
        <w:t xml:space="preserve"> </w:t>
      </w:r>
    </w:p>
    <w:p w14:paraId="3E870C33" w14:textId="6033D3F4" w:rsidR="00E8538E" w:rsidRDefault="00096457" w:rsidP="00200FC3">
      <w:pPr>
        <w:pStyle w:val="base-text-paragraph"/>
      </w:pPr>
      <w:r w:rsidRPr="00096457">
        <w:t xml:space="preserve">Some stakeholders raised concerns that the Ombudsman would have the power to reopen decisions that had been taken by other bodies and as such would allow dissatisfied parties to </w:t>
      </w:r>
      <w:r w:rsidR="009349BC">
        <w:t>‘</w:t>
      </w:r>
      <w:r w:rsidRPr="00096457">
        <w:t>forum shop</w:t>
      </w:r>
      <w:r w:rsidR="009349BC">
        <w:t>’</w:t>
      </w:r>
      <w:r w:rsidRPr="00096457">
        <w:t xml:space="preserve"> when they did not like an outcome. The Bill is designed to prevent forum shopping, as the Ombudsman cannot act outside his/her jurisdiction or deal with a request that has already had action taken by a court or </w:t>
      </w:r>
      <w:r w:rsidR="00AC4A99">
        <w:t>G</w:t>
      </w:r>
      <w:r w:rsidR="00AC4A99" w:rsidRPr="00096457">
        <w:t xml:space="preserve">overnment </w:t>
      </w:r>
      <w:r w:rsidR="00AC4A99">
        <w:t>A</w:t>
      </w:r>
      <w:r w:rsidR="00AC4A99" w:rsidRPr="00096457">
        <w:t>gency</w:t>
      </w:r>
      <w:r w:rsidRPr="00096457">
        <w:t>.</w:t>
      </w:r>
      <w:r w:rsidR="00E8538E" w:rsidRPr="00E8538E">
        <w:t xml:space="preserve"> </w:t>
      </w:r>
    </w:p>
    <w:p w14:paraId="5DEBD2B9" w14:textId="77777777" w:rsidR="00096457" w:rsidRDefault="00096457" w:rsidP="00C71EE9">
      <w:pPr>
        <w:pStyle w:val="Heading5"/>
      </w:pPr>
      <w:r>
        <w:t>Referrals</w:t>
      </w:r>
    </w:p>
    <w:p w14:paraId="3AFFE703" w14:textId="77777777" w:rsidR="00E8538E" w:rsidRDefault="00096457" w:rsidP="00200FC3">
      <w:pPr>
        <w:pStyle w:val="base-text-paragraph"/>
      </w:pPr>
      <w:r w:rsidRPr="00096457">
        <w:t xml:space="preserve">A key role of the Ombudsman will be to help small businesses understand what mechanisms are available to them to address a dispute. </w:t>
      </w:r>
    </w:p>
    <w:p w14:paraId="064E35D6" w14:textId="2767F127" w:rsidR="00E8538E" w:rsidRDefault="00096457" w:rsidP="00200FC3">
      <w:pPr>
        <w:pStyle w:val="base-text-paragraph"/>
      </w:pPr>
      <w:r w:rsidRPr="00096457">
        <w:t>There are a number of existing mechanisms in place for small businesses to ad</w:t>
      </w:r>
      <w:r w:rsidR="00AC4A99">
        <w:t xml:space="preserve">dress complaints and disputes. </w:t>
      </w:r>
      <w:r w:rsidRPr="00096457">
        <w:t>For example, the state</w:t>
      </w:r>
      <w:r w:rsidR="009349BC">
        <w:noBreakHyphen/>
      </w:r>
      <w:r w:rsidRPr="00096457">
        <w:t>based small business commissioners provide a range of alternative dispute resolution services</w:t>
      </w:r>
      <w:r w:rsidR="009041EE">
        <w:t xml:space="preserve">. </w:t>
      </w:r>
      <w:r w:rsidRPr="00096457">
        <w:t>In the states and territories without small business commissioners the respective governments perform similar functions through var</w:t>
      </w:r>
      <w:r w:rsidR="00AC4A99">
        <w:t xml:space="preserve">ious agencies and departments. </w:t>
      </w:r>
      <w:r w:rsidRPr="00096457">
        <w:t xml:space="preserve">Small business assistance is delivered through a variety of means such as information portals, support lines and dispute resolution services through civil and small claims tribunals, fair trading offices, conflict resolution services and the court system. There is also a range of government and industry ombudsman, as well as private mediation providers. </w:t>
      </w:r>
    </w:p>
    <w:p w14:paraId="0173FAC2" w14:textId="25240BEE" w:rsidR="00E8538E" w:rsidRDefault="00096457" w:rsidP="00200FC3">
      <w:pPr>
        <w:pStyle w:val="base-text-paragraph"/>
      </w:pPr>
      <w:r w:rsidRPr="00096457">
        <w:t>When a small business complaint or dispute comes through, the Ombudsman</w:t>
      </w:r>
      <w:r w:rsidR="009349BC">
        <w:t>’</w:t>
      </w:r>
      <w:r w:rsidRPr="00096457">
        <w:t>s default position will be to determine whether or not the issue would be more appropriately addressed under other access to justice arrangements, such as those listed above. The Ombudsman may also provide immediate information on what options a small business has to resolve the dispute or actions it should pursue first through existing complaints its frameworks. For example, a small business in dispute with a Commonwealth Government agency will be encouraged to pursue their complaint through the agency</w:t>
      </w:r>
      <w:r w:rsidR="009349BC">
        <w:t>’</w:t>
      </w:r>
      <w:r w:rsidRPr="00096457">
        <w:t>s internal complaints process in the first instance before escalating the issue through the Ombudsman.</w:t>
      </w:r>
      <w:r w:rsidR="00E8538E" w:rsidRPr="00E8538E">
        <w:t xml:space="preserve"> </w:t>
      </w:r>
    </w:p>
    <w:p w14:paraId="596797CD" w14:textId="77777777" w:rsidR="00E8538E" w:rsidRDefault="00096457" w:rsidP="00200FC3">
      <w:pPr>
        <w:pStyle w:val="base-text-paragraph"/>
      </w:pPr>
      <w:r w:rsidRPr="00096457">
        <w:t>Businesses that use ADR mechanisms referred by the Ombudsman would need to pay for these services.</w:t>
      </w:r>
      <w:r w:rsidR="00E8538E" w:rsidRPr="00E8538E">
        <w:t xml:space="preserve"> </w:t>
      </w:r>
    </w:p>
    <w:p w14:paraId="76377D92" w14:textId="77777777" w:rsidR="00096457" w:rsidRDefault="00096457" w:rsidP="00C71EE9">
      <w:pPr>
        <w:pStyle w:val="Heading6"/>
      </w:pPr>
      <w:r>
        <w:t>Stakeholder feedback</w:t>
      </w:r>
    </w:p>
    <w:p w14:paraId="49D93722" w14:textId="7103393A" w:rsidR="00E8538E" w:rsidRDefault="00096457" w:rsidP="00200FC3">
      <w:pPr>
        <w:pStyle w:val="base-text-paragraph"/>
      </w:pPr>
      <w:r w:rsidRPr="00096457">
        <w:t>Stakeholders emphasised that the Ombudsman</w:t>
      </w:r>
      <w:r w:rsidR="009349BC">
        <w:t>’</w:t>
      </w:r>
      <w:r w:rsidRPr="00096457">
        <w:t>s dispute resolution activities should not duplicate existing services</w:t>
      </w:r>
      <w:r w:rsidR="009041EE">
        <w:t xml:space="preserve">. </w:t>
      </w:r>
      <w:r w:rsidRPr="00096457">
        <w:t>The guiding policy principle under the Ombudsman is to avoid duplicating functions of Commonwealth, state or territory agencies. The Bill includes key clauses stating that the Ombudsman must refer requests to an appropriate agency or organisation for further action when that agency is able to deal with the request more conveniently or effectively or that agency has the legal authority to deal with the request. The Ombudsman may also work co</w:t>
      </w:r>
      <w:r w:rsidR="009349BC">
        <w:noBreakHyphen/>
      </w:r>
      <w:r w:rsidRPr="00096457">
        <w:t>operatively with other agencies to provide assistance</w:t>
      </w:r>
      <w:r w:rsidR="009041EE">
        <w:t xml:space="preserve">. </w:t>
      </w:r>
      <w:r w:rsidRPr="00096457">
        <w:t xml:space="preserve">Examples of these agencies or organisations could include (but are not limited to) the </w:t>
      </w:r>
      <w:r w:rsidR="00D12AF4">
        <w:rPr>
          <w:lang w:val="en-US" w:eastAsia="en-US"/>
        </w:rPr>
        <w:t>Australian Competition and Consumer Commission</w:t>
      </w:r>
      <w:r w:rsidRPr="00096457">
        <w:t>, the Commonwealth Ombudsman, or state</w:t>
      </w:r>
      <w:r w:rsidR="009349BC">
        <w:noBreakHyphen/>
      </w:r>
      <w:r w:rsidRPr="00096457">
        <w:t>based small business commissioners, as appropriate. In order to ensure a smooth process for the person making the request, the Ombudsman must consult with that agency before transferring the request, and must share all information and documents with them</w:t>
      </w:r>
      <w:r w:rsidR="009041EE">
        <w:t xml:space="preserve">. </w:t>
      </w:r>
    </w:p>
    <w:p w14:paraId="2D24FF2D" w14:textId="77777777" w:rsidR="00E8538E" w:rsidRDefault="00096457" w:rsidP="00200FC3">
      <w:pPr>
        <w:pStyle w:val="base-text-paragraph"/>
      </w:pPr>
      <w:r w:rsidRPr="00096457">
        <w:t>Several stakeholders who already offer services to small businesses thought that the Ombudsman is given too much discretion when determining referrals, and that the service provision agency should be able to decide whether a matter falls in their jurisdiction or not (or at least give consent whether to accept a matter or not)</w:t>
      </w:r>
      <w:r w:rsidR="009041EE">
        <w:t xml:space="preserve">. </w:t>
      </w:r>
      <w:r w:rsidRPr="00096457">
        <w:t>Some agencies suggested specific receiving agencies be listed in the Bill</w:t>
      </w:r>
      <w:r w:rsidR="009041EE">
        <w:t xml:space="preserve">. </w:t>
      </w:r>
      <w:r w:rsidRPr="00096457">
        <w:t>Additional governance arrangements, such as memoranda of understanding (MOUs) or an exchange of letters with other agencies will underpin the referral process and identify the types of matters which would be dealt by the respective agencies. This approach is considered to be more appropriate than listing specific agencies as the names and jurisdictions of agencies can change over time and would not provide flexibility as new agencies are formed in the future.</w:t>
      </w:r>
      <w:r w:rsidR="00E8538E" w:rsidRPr="00E8538E">
        <w:t xml:space="preserve"> </w:t>
      </w:r>
    </w:p>
    <w:p w14:paraId="7F5E236E" w14:textId="77777777" w:rsidR="00E8538E" w:rsidRDefault="00096457" w:rsidP="00200FC3">
      <w:pPr>
        <w:pStyle w:val="base-text-paragraph"/>
      </w:pPr>
      <w:r w:rsidRPr="00096457">
        <w:t>These requirements are intended to see disputes resolved in the most appropriate manner by the most appropriate body, whilst causing as little administrative inconvenience to the small business in question as possible.</w:t>
      </w:r>
      <w:r w:rsidR="00E8538E" w:rsidRPr="00E8538E">
        <w:t xml:space="preserve"> </w:t>
      </w:r>
    </w:p>
    <w:p w14:paraId="59823B1B" w14:textId="4A5A8587" w:rsidR="00E8538E" w:rsidRDefault="00096457" w:rsidP="00200FC3">
      <w:pPr>
        <w:pStyle w:val="base-text-paragraph"/>
      </w:pPr>
      <w:r w:rsidRPr="00096457">
        <w:t>It is expected that a large proportion of inquires received by the Ombudsman will be referred to existing agencies given the limitations on the Ombudsman</w:t>
      </w:r>
      <w:r w:rsidR="009349BC">
        <w:t>’</w:t>
      </w:r>
      <w:r w:rsidRPr="00096457">
        <w:t xml:space="preserve">s own </w:t>
      </w:r>
      <w:r w:rsidR="00AC4A99">
        <w:t xml:space="preserve">ADR service (discussed below). </w:t>
      </w:r>
      <w:r w:rsidRPr="00096457">
        <w:t>In most cases, it is expected that providing timely information at this early stage helps to resolve the issue and eliminate the necessity to escalate into a formal ADR process</w:t>
      </w:r>
      <w:r w:rsidR="009041EE">
        <w:t xml:space="preserve">. </w:t>
      </w:r>
      <w:r w:rsidRPr="00096457">
        <w:t>Initial advice and referrals activities will be undertaken at no financial cost to small businesses or family enterprises.</w:t>
      </w:r>
      <w:r w:rsidR="00E8538E" w:rsidRPr="00E8538E">
        <w:t xml:space="preserve"> </w:t>
      </w:r>
    </w:p>
    <w:p w14:paraId="7422564B" w14:textId="4D9F9598" w:rsidR="004E0983" w:rsidRDefault="004E0983" w:rsidP="00C71EE9">
      <w:pPr>
        <w:pStyle w:val="Heading5"/>
      </w:pPr>
      <w:r>
        <w:t>Ombudsman</w:t>
      </w:r>
      <w:r w:rsidR="009349BC">
        <w:t>’</w:t>
      </w:r>
      <w:r>
        <w:t>s own ADR service</w:t>
      </w:r>
    </w:p>
    <w:p w14:paraId="64557321" w14:textId="77777777" w:rsidR="00E8538E" w:rsidRDefault="004E0983" w:rsidP="00200FC3">
      <w:pPr>
        <w:pStyle w:val="base-text-paragraph"/>
      </w:pPr>
      <w:r w:rsidRPr="004E0983">
        <w:t>If appropriate, the Ombudsman may recommend that parties to a dispute take part in an ADR process through its own service, on a user pays basis</w:t>
      </w:r>
      <w:r w:rsidR="009041EE">
        <w:t xml:space="preserve">. </w:t>
      </w:r>
      <w:r w:rsidRPr="004E0983">
        <w:t>ADR processes can include conferencing, mediation, neutral evaluation, case appraisal, conciliation, prescribed procedures/ services.</w:t>
      </w:r>
      <w:r w:rsidR="00E8538E" w:rsidRPr="00E8538E">
        <w:t xml:space="preserve"> </w:t>
      </w:r>
    </w:p>
    <w:p w14:paraId="3D2EAACE" w14:textId="1AAED688" w:rsidR="00E8538E" w:rsidRDefault="004E0983" w:rsidP="00200FC3">
      <w:pPr>
        <w:pStyle w:val="base-text-paragraph"/>
      </w:pPr>
      <w:r w:rsidRPr="004E0983">
        <w:t>The Ombudsman</w:t>
      </w:r>
      <w:r w:rsidR="009349BC">
        <w:t>’</w:t>
      </w:r>
      <w:r w:rsidRPr="004E0983">
        <w:t>s own dispute resolution service will address gaps in the current range of alternative dispute resolution services available to small businesses at the Commonwealth</w:t>
      </w:r>
      <w:r w:rsidR="009349BC">
        <w:noBreakHyphen/>
      </w:r>
      <w:r w:rsidRPr="004E0983">
        <w:t>level. The scope of this service is also limited by the Commonwealth</w:t>
      </w:r>
      <w:r w:rsidR="009349BC">
        <w:t>’</w:t>
      </w:r>
      <w:r w:rsidRPr="004E0983">
        <w:t>s constitutional powers</w:t>
      </w:r>
      <w:r w:rsidR="009041EE">
        <w:t xml:space="preserve">. </w:t>
      </w:r>
      <w:r w:rsidRPr="004E0983">
        <w:t>It will only cover small business disputes that relate to Commonwealth Government agencies, international trade or interstate trade.</w:t>
      </w:r>
      <w:r w:rsidR="00E8538E" w:rsidRPr="00E8538E">
        <w:t xml:space="preserve"> </w:t>
      </w:r>
    </w:p>
    <w:p w14:paraId="425B774E" w14:textId="116BEE65" w:rsidR="00E8538E" w:rsidRDefault="004E0983" w:rsidP="00200FC3">
      <w:pPr>
        <w:pStyle w:val="base-text-paragraph"/>
      </w:pPr>
      <w:r w:rsidRPr="004E0983">
        <w:t>Should the parties choose not to undertake, or to withdraw from, the recommended ADR process, the Ombudsman can make this knowledge public</w:t>
      </w:r>
      <w:r w:rsidR="009041EE">
        <w:t xml:space="preserve">. </w:t>
      </w:r>
      <w:r w:rsidRPr="004E0983">
        <w:t>This provision provides strong incentives for parties to consider carefully their approach to the Ombudsman, but also to take seriously his/her recommendations. The Ombudsman</w:t>
      </w:r>
      <w:r w:rsidR="009349BC">
        <w:t>’</w:t>
      </w:r>
      <w:r w:rsidRPr="004E0983">
        <w:t>s dispute resolution function is also supported by powers to require a person to provide information or documentation</w:t>
      </w:r>
      <w:r w:rsidR="009041EE">
        <w:t xml:space="preserve">. </w:t>
      </w:r>
      <w:r w:rsidRPr="004E0983">
        <w:t>A financial penalty (30 penalty units) may apply for non</w:t>
      </w:r>
      <w:r w:rsidR="009349BC">
        <w:noBreakHyphen/>
      </w:r>
      <w:r w:rsidRPr="004E0983">
        <w:t>compliance.</w:t>
      </w:r>
      <w:r w:rsidR="00E8538E" w:rsidRPr="00E8538E">
        <w:t xml:space="preserve"> </w:t>
      </w:r>
    </w:p>
    <w:p w14:paraId="49FCB657" w14:textId="77777777" w:rsidR="004E0983" w:rsidRDefault="004E0983" w:rsidP="00C71EE9">
      <w:pPr>
        <w:pStyle w:val="Heading6"/>
      </w:pPr>
      <w:r>
        <w:t>Stakeholder feedback</w:t>
      </w:r>
    </w:p>
    <w:p w14:paraId="7EEBFA9F" w14:textId="57A24F42" w:rsidR="00D808B7" w:rsidRDefault="004E0983" w:rsidP="00200FC3">
      <w:pPr>
        <w:pStyle w:val="base-text-paragraph"/>
      </w:pPr>
      <w:r w:rsidRPr="004E0983">
        <w:t>Stakeholder views on the extent of the Ombudsman</w:t>
      </w:r>
      <w:r w:rsidR="009349BC">
        <w:t>’</w:t>
      </w:r>
      <w:r w:rsidRPr="004E0983">
        <w:t xml:space="preserve">s ADR role were mixed. Whilst many stakeholders supported the </w:t>
      </w:r>
      <w:r w:rsidR="009349BC">
        <w:t>‘</w:t>
      </w:r>
      <w:r w:rsidRPr="004E0983">
        <w:t>name and shame</w:t>
      </w:r>
      <w:r w:rsidR="009349BC">
        <w:t>’</w:t>
      </w:r>
      <w:r w:rsidRPr="004E0983">
        <w:t xml:space="preserve"> provisions, some were concerned that it was too heavy</w:t>
      </w:r>
      <w:r w:rsidR="009349BC">
        <w:noBreakHyphen/>
      </w:r>
      <w:r w:rsidRPr="004E0983">
        <w:t>handed and will be difficult for the Ombudsman</w:t>
      </w:r>
      <w:r w:rsidR="009349BC">
        <w:t>’</w:t>
      </w:r>
      <w:r w:rsidRPr="004E0983">
        <w:t>s office to track. On the other hand, some stakeholders called for stronger, determinative powers</w:t>
      </w:r>
      <w:r w:rsidR="009041EE">
        <w:t xml:space="preserve">. </w:t>
      </w:r>
      <w:r w:rsidRPr="004E0983">
        <w:t xml:space="preserve">Feedback from dispute resolution providers emphasised that mediation is more likely to be successful if both parties are willing to engage and participate in the process. In finalising the Bill, the </w:t>
      </w:r>
      <w:r w:rsidR="009349BC">
        <w:t>‘</w:t>
      </w:r>
      <w:r w:rsidRPr="004E0983">
        <w:t>name and shame</w:t>
      </w:r>
      <w:r w:rsidR="009349BC">
        <w:t>’</w:t>
      </w:r>
      <w:r w:rsidRPr="004E0983">
        <w:t xml:space="preserve"> powers were considered to provide the right balance to encourage parties to participate in the process, but no so punitive that small businesses would be discouraged to approach the Ombudsman.</w:t>
      </w:r>
      <w:r w:rsidR="00D808B7" w:rsidRPr="00D808B7">
        <w:t xml:space="preserve"> </w:t>
      </w:r>
    </w:p>
    <w:p w14:paraId="3DFAAFDB" w14:textId="63079C24" w:rsidR="00D808B7" w:rsidRDefault="004E0983" w:rsidP="00200FC3">
      <w:pPr>
        <w:pStyle w:val="base-text-paragraph"/>
      </w:pPr>
      <w:r w:rsidRPr="004E0983">
        <w:t>To maintain impartiality, the Ombudsman cannot undertake ADR personally, and ADR mediators must be chosen by parties to the dispute. This ensures that the Ombudsman</w:t>
      </w:r>
      <w:r w:rsidR="009349BC">
        <w:t>’</w:t>
      </w:r>
      <w:r w:rsidRPr="004E0983">
        <w:t>s advice remains impartial, but also that the Ombudsman</w:t>
      </w:r>
      <w:r w:rsidR="009349BC">
        <w:t>’</w:t>
      </w:r>
      <w:r w:rsidRPr="004E0983">
        <w:t>s assistance work does not bias his/her advocacy work. In practice, this means that the Ombudsman will make use of a panel of specialist ADR providers for parties to choose from to progress their dispute. Some stakeholders were supportive of an outsourced arrangement; the state</w:t>
      </w:r>
      <w:r w:rsidR="009349BC">
        <w:noBreakHyphen/>
      </w:r>
      <w:r w:rsidRPr="004E0983">
        <w:t xml:space="preserve">based commissioners generally manage a panel of mediators. </w:t>
      </w:r>
    </w:p>
    <w:p w14:paraId="55393568" w14:textId="72F5C9EE" w:rsidR="00D808B7" w:rsidRDefault="004E0983" w:rsidP="00200FC3">
      <w:pPr>
        <w:pStyle w:val="base-text-paragraph"/>
      </w:pPr>
      <w:r w:rsidRPr="004E0983">
        <w:t>The 2014 policy discussion paper for the Ombudsman sought stakeholder views on whether the Ombudsman</w:t>
      </w:r>
      <w:r w:rsidR="009349BC">
        <w:t>’</w:t>
      </w:r>
      <w:r w:rsidRPr="004E0983">
        <w:t xml:space="preserve">s ADR service should extend to the mandatory industry codes of conduct established under the </w:t>
      </w:r>
      <w:r w:rsidRPr="004E0983">
        <w:rPr>
          <w:i/>
        </w:rPr>
        <w:t>Competition and Consumer Act 2010</w:t>
      </w:r>
      <w:r w:rsidRPr="004E0983">
        <w:t>. Given the need for the Ombudsman</w:t>
      </w:r>
      <w:r w:rsidR="009349BC">
        <w:t>’</w:t>
      </w:r>
      <w:r w:rsidRPr="004E0983">
        <w:t>s advocacy and dispute resolution roles to be to separate, it is not appropriate for the Ombudsman to be appointed as the mediation adviser for these codes.</w:t>
      </w:r>
      <w:r w:rsidR="00D808B7" w:rsidRPr="00D808B7">
        <w:t xml:space="preserve"> </w:t>
      </w:r>
    </w:p>
    <w:p w14:paraId="0EC2B040" w14:textId="77777777" w:rsidR="004E0983" w:rsidRDefault="004E0983" w:rsidP="00C71EE9">
      <w:pPr>
        <w:pStyle w:val="Heading4"/>
      </w:pPr>
      <w:r>
        <w:t>Title</w:t>
      </w:r>
    </w:p>
    <w:p w14:paraId="5DF03614" w14:textId="25A05C83" w:rsidR="00D808B7" w:rsidRDefault="004E0983" w:rsidP="00200FC3">
      <w:pPr>
        <w:pStyle w:val="base-text-paragraph"/>
      </w:pPr>
      <w:r w:rsidRPr="004E0983">
        <w:t xml:space="preserve">Several stakeholders expressed a preference to retain the existing title of </w:t>
      </w:r>
      <w:r w:rsidR="009349BC">
        <w:t>‘</w:t>
      </w:r>
      <w:r w:rsidRPr="004E0983">
        <w:t>Commissioner</w:t>
      </w:r>
      <w:r w:rsidR="009349BC">
        <w:t>’</w:t>
      </w:r>
      <w:r w:rsidRPr="004E0983">
        <w:t xml:space="preserve"> due to its brand recognition and consistency with state</w:t>
      </w:r>
      <w:r w:rsidR="009349BC">
        <w:noBreakHyphen/>
      </w:r>
      <w:r w:rsidRPr="004E0983">
        <w:t xml:space="preserve">based commissioners. The Government considers that the </w:t>
      </w:r>
      <w:r w:rsidR="009349BC">
        <w:t>‘</w:t>
      </w:r>
      <w:r w:rsidRPr="004E0983">
        <w:t>Ombudsman</w:t>
      </w:r>
      <w:r w:rsidR="009349BC">
        <w:t>’</w:t>
      </w:r>
      <w:r w:rsidRPr="004E0983">
        <w:t xml:space="preserve"> title reflects the expanded functions and powers of the position and emphasises the independence of the role</w:t>
      </w:r>
      <w:r w:rsidR="009041EE">
        <w:t xml:space="preserve">. </w:t>
      </w:r>
      <w:r w:rsidRPr="004E0983">
        <w:t>Recognising the need for an Ombudsman to be impartial, the Office of the Ombudsman will be structured so that there is a clear separation between its dispute resolution and advocacy functions. This will allow the Ombudsman to speak to the Government about issues facing smaller businesses, but also provide an independent dispute resolution service that helps businesses get the help they need.</w:t>
      </w:r>
      <w:r w:rsidR="00D808B7" w:rsidRPr="00D808B7">
        <w:t xml:space="preserve"> </w:t>
      </w:r>
    </w:p>
    <w:p w14:paraId="63578B42" w14:textId="77777777" w:rsidR="004E0983" w:rsidRDefault="004E0983" w:rsidP="00C71EE9">
      <w:pPr>
        <w:pStyle w:val="Heading4"/>
      </w:pPr>
      <w:r>
        <w:t>Appeals</w:t>
      </w:r>
    </w:p>
    <w:p w14:paraId="308655B1" w14:textId="5779A13D" w:rsidR="00D808B7" w:rsidRDefault="004E0983" w:rsidP="00200FC3">
      <w:pPr>
        <w:pStyle w:val="base-text-paragraph"/>
      </w:pPr>
      <w:r w:rsidRPr="004E0983">
        <w:t>Stakeholders raised the question of how the Ombudsman</w:t>
      </w:r>
      <w:r w:rsidR="009349BC">
        <w:t>’</w:t>
      </w:r>
      <w:r w:rsidRPr="004E0983">
        <w:t>s decisions can be appealed. The Bill states that decisions taken by the Ombudsman can be appealed by application to the Administrative Appeals Tribunal.</w:t>
      </w:r>
      <w:r w:rsidR="00D808B7" w:rsidRPr="00D808B7">
        <w:t xml:space="preserve"> </w:t>
      </w:r>
    </w:p>
    <w:p w14:paraId="2C9244AA" w14:textId="77777777" w:rsidR="004E0983" w:rsidRDefault="004E0983" w:rsidP="009349BC">
      <w:pPr>
        <w:pStyle w:val="Heading3"/>
      </w:pPr>
      <w:r>
        <w:t>Option 3: Establish the Australian Small Business and Family Enterprise Ombudsman with limited powers</w:t>
      </w:r>
    </w:p>
    <w:p w14:paraId="0260EDAD" w14:textId="77777777" w:rsidR="00D808B7" w:rsidRDefault="004E0983" w:rsidP="00200FC3">
      <w:pPr>
        <w:pStyle w:val="base-text-paragraph"/>
      </w:pPr>
      <w:r w:rsidRPr="004E0983">
        <w:t>This option involves establishing the Australian Small Business and Family Enterprise Ombudsman under legislation with the same four functions as listed under option 2</w:t>
      </w:r>
      <w:r w:rsidR="009041EE">
        <w:t xml:space="preserve">. </w:t>
      </w:r>
      <w:r w:rsidRPr="004E0983">
        <w:t>Under this option however the Ombudsman would have more limited powers than that proposed under option 2</w:t>
      </w:r>
      <w:r w:rsidR="009041EE">
        <w:t>.</w:t>
      </w:r>
      <w:r w:rsidR="00223317">
        <w:t xml:space="preserve"> </w:t>
      </w:r>
    </w:p>
    <w:p w14:paraId="5B8AB700" w14:textId="77777777" w:rsidR="00D808B7" w:rsidRDefault="004E0983" w:rsidP="00200FC3">
      <w:pPr>
        <w:pStyle w:val="base-text-paragraph"/>
      </w:pPr>
      <w:r w:rsidRPr="004E0983">
        <w:t>Under option 3, the key powers that have a regulatory impact on small business under option 2 would be removed</w:t>
      </w:r>
      <w:r w:rsidR="009041EE">
        <w:t xml:space="preserve">. </w:t>
      </w:r>
      <w:r w:rsidRPr="004E0983">
        <w:t>Specifically, the:</w:t>
      </w:r>
      <w:r w:rsidR="00D808B7" w:rsidRPr="00D808B7">
        <w:t xml:space="preserve"> </w:t>
      </w:r>
    </w:p>
    <w:p w14:paraId="739B5AD5" w14:textId="77777777" w:rsidR="004E0983" w:rsidRPr="006F3456" w:rsidRDefault="004E0983" w:rsidP="006F614C">
      <w:pPr>
        <w:pStyle w:val="exampledotpoint1"/>
        <w:rPr>
          <w:szCs w:val="22"/>
        </w:rPr>
      </w:pPr>
      <w:r w:rsidRPr="006F614C">
        <w:rPr>
          <w:sz w:val="22"/>
          <w:szCs w:val="22"/>
        </w:rPr>
        <w:t>ability to require information from parties in dispute (and associated financial penalties).</w:t>
      </w:r>
    </w:p>
    <w:p w14:paraId="29F89A70" w14:textId="77777777" w:rsidR="004E0983" w:rsidRPr="006F3456" w:rsidRDefault="004E0983" w:rsidP="006F614C">
      <w:pPr>
        <w:pStyle w:val="exampledotpoint1"/>
        <w:rPr>
          <w:szCs w:val="22"/>
        </w:rPr>
      </w:pPr>
      <w:r w:rsidRPr="006F614C">
        <w:rPr>
          <w:sz w:val="22"/>
          <w:szCs w:val="22"/>
        </w:rPr>
        <w:t>ability to require parties to attend hearings (and associated financial penalties).</w:t>
      </w:r>
    </w:p>
    <w:p w14:paraId="4149744F" w14:textId="77777777" w:rsidR="004E0983" w:rsidRPr="006F3456" w:rsidRDefault="004E0983" w:rsidP="006F614C">
      <w:pPr>
        <w:pStyle w:val="exampledotpoint1"/>
        <w:rPr>
          <w:szCs w:val="22"/>
        </w:rPr>
      </w:pPr>
      <w:r w:rsidRPr="006F614C">
        <w:rPr>
          <w:sz w:val="22"/>
          <w:szCs w:val="22"/>
        </w:rPr>
        <w:t>ability to publicise the names or parties that do not participate, or withdraw from, a recommended ADR process.</w:t>
      </w:r>
    </w:p>
    <w:p w14:paraId="39FFC853" w14:textId="533C5114" w:rsidR="00D808B7" w:rsidRDefault="004E0983" w:rsidP="00200FC3">
      <w:pPr>
        <w:pStyle w:val="base-text-paragraph"/>
      </w:pPr>
      <w:r w:rsidRPr="004E0983">
        <w:t>These powers support the dispute resolution and advocacy functions of the Ombudsman</w:t>
      </w:r>
      <w:r w:rsidR="009041EE">
        <w:t xml:space="preserve">. </w:t>
      </w:r>
      <w:r w:rsidRPr="004E0983">
        <w:t>This will mean that the Ombudsman</w:t>
      </w:r>
      <w:r w:rsidR="009349BC">
        <w:t>’</w:t>
      </w:r>
      <w:r w:rsidRPr="004E0983">
        <w:t>s dispute resolution services are entirely voluntary</w:t>
      </w:r>
      <w:r w:rsidR="009041EE">
        <w:t xml:space="preserve">. </w:t>
      </w:r>
    </w:p>
    <w:p w14:paraId="24B4F8E3" w14:textId="77777777" w:rsidR="00D808B7" w:rsidRDefault="004E0983" w:rsidP="00200FC3">
      <w:pPr>
        <w:pStyle w:val="base-text-paragraph"/>
      </w:pPr>
      <w:r w:rsidRPr="004E0983">
        <w:t xml:space="preserve">Under option 3, the position will still be provided with a legislated framework in providing advocacy and dispute resolution services and to undertake enquiries into issues affecting small businesses. </w:t>
      </w:r>
    </w:p>
    <w:p w14:paraId="4DBCE30C" w14:textId="1DD1ED38" w:rsidR="00D808B7" w:rsidRDefault="004E0983" w:rsidP="00200FC3">
      <w:pPr>
        <w:pStyle w:val="base-text-paragraph"/>
      </w:pPr>
      <w:r w:rsidRPr="004E0983">
        <w:t>This option would provide for a statutory, independent Ombudsman to be established. Legislation would clearly outline the key functions of the role and also allow the Ombudsman to provide its own ADR service, addressing the gaps in the current range of alternative dispute resolution services available to small businesses. The Ombudsman</w:t>
      </w:r>
      <w:r w:rsidR="009349BC">
        <w:t>’</w:t>
      </w:r>
      <w:r w:rsidRPr="004E0983">
        <w:t>s dispute resolution roles will also address information gaps small businesses face in understanding what justice mechanisms are available to them to address a complaint or dispute</w:t>
      </w:r>
      <w:r w:rsidR="009041EE">
        <w:t xml:space="preserve">. </w:t>
      </w:r>
    </w:p>
    <w:p w14:paraId="625F213E" w14:textId="595752A0" w:rsidR="00D808B7" w:rsidRDefault="004E0983" w:rsidP="00200FC3">
      <w:pPr>
        <w:pStyle w:val="base-text-paragraph"/>
      </w:pPr>
      <w:r w:rsidRPr="004E0983">
        <w:t>This option would partially address stakeholder support for the establishment of a statutory Ombudsman to advocate small business concerns and provide dispute resolution support. This option would meet the Government</w:t>
      </w:r>
      <w:r w:rsidR="009349BC">
        <w:t>’</w:t>
      </w:r>
      <w:r w:rsidRPr="004E0983">
        <w:t xml:space="preserve">s election commitment to establish the role with </w:t>
      </w:r>
      <w:r w:rsidR="009349BC">
        <w:t>‘</w:t>
      </w:r>
      <w:r w:rsidRPr="004E0983">
        <w:t>real teeth</w:t>
      </w:r>
      <w:r w:rsidR="009349BC">
        <w:t>’</w:t>
      </w:r>
      <w:r w:rsidRPr="004E0983">
        <w:t xml:space="preserve">. </w:t>
      </w:r>
    </w:p>
    <w:p w14:paraId="768B3836" w14:textId="5C7F1A7E" w:rsidR="00D808B7" w:rsidRDefault="004E0983" w:rsidP="00200FC3">
      <w:pPr>
        <w:pStyle w:val="base-text-paragraph"/>
      </w:pPr>
      <w:r w:rsidRPr="004E0983">
        <w:t>This lighter touch approach would not achieve the same outcomes for small businesses as the model proposed under option 2. The Ombudsman</w:t>
      </w:r>
      <w:r w:rsidR="009349BC">
        <w:t>’</w:t>
      </w:r>
      <w:r w:rsidRPr="004E0983">
        <w:t>s advocacy role would be dampened as he or she would not be able to incentivise parties to co</w:t>
      </w:r>
      <w:r w:rsidR="009349BC">
        <w:noBreakHyphen/>
      </w:r>
      <w:r w:rsidRPr="004E0983">
        <w:t>operate on research and inquiries projects, thus limiting his or her ability to fully identify and analyse issues. This will make it difficult for the Ombudsman to provide meaningful recommendations to Government on how to improve regulations, laws, processes and practices that are adversely impacting small businesses.</w:t>
      </w:r>
      <w:r w:rsidR="00D808B7" w:rsidRPr="00D808B7">
        <w:t xml:space="preserve"> </w:t>
      </w:r>
    </w:p>
    <w:p w14:paraId="55F87703" w14:textId="77777777" w:rsidR="004E0983" w:rsidRDefault="004E0983" w:rsidP="00F12FC0">
      <w:pPr>
        <w:pStyle w:val="Heading2"/>
      </w:pPr>
      <w:r>
        <w:t>RIS Question 4: What is the net benefit of each option?</w:t>
      </w:r>
    </w:p>
    <w:p w14:paraId="37FA909F" w14:textId="77777777" w:rsidR="004E0983" w:rsidRDefault="004E0983" w:rsidP="00C71EE9">
      <w:pPr>
        <w:pStyle w:val="Heading3"/>
      </w:pPr>
      <w:r>
        <w:t>Option 1: Status quo</w:t>
      </w:r>
    </w:p>
    <w:p w14:paraId="228AF822" w14:textId="09D1D609" w:rsidR="00D808B7" w:rsidRDefault="004E0983" w:rsidP="00200FC3">
      <w:pPr>
        <w:pStyle w:val="base-text-paragraph"/>
      </w:pPr>
      <w:r w:rsidRPr="004E0983">
        <w:t>This option is not preferred</w:t>
      </w:r>
      <w:r w:rsidR="009041EE">
        <w:t xml:space="preserve">. </w:t>
      </w:r>
      <w:r w:rsidRPr="004E0983">
        <w:t>It will not deliver on the Government</w:t>
      </w:r>
      <w:r w:rsidR="009349BC">
        <w:t>’</w:t>
      </w:r>
      <w:r w:rsidRPr="004E0983">
        <w:t>s commitment to establish the Ombudsman</w:t>
      </w:r>
      <w:r w:rsidR="009041EE">
        <w:t xml:space="preserve">. </w:t>
      </w:r>
    </w:p>
    <w:p w14:paraId="485DF80F" w14:textId="77777777" w:rsidR="00D808B7" w:rsidRDefault="004E0983" w:rsidP="00200FC3">
      <w:pPr>
        <w:pStyle w:val="base-text-paragraph"/>
      </w:pPr>
      <w:r w:rsidRPr="004E0983">
        <w:t>A wide range of Commonwealth, state and territory government agencies provide avenues for access to justice which can be complex for small business to understand and navigate</w:t>
      </w:r>
      <w:r w:rsidR="009041EE">
        <w:t xml:space="preserve">. </w:t>
      </w:r>
      <w:r w:rsidRPr="004E0983">
        <w:t>Currently, there is no formal framework for access to alternative dispute resolution processes at the Commonwealth level</w:t>
      </w:r>
      <w:r w:rsidR="009041EE">
        <w:t xml:space="preserve">. </w:t>
      </w:r>
      <w:r w:rsidRPr="004E0983">
        <w:t>There is no safety net if issues fall outside the regulatory reach of agencies, which are not equipped to provide meaningful referrals</w:t>
      </w:r>
      <w:r w:rsidR="009041EE">
        <w:t xml:space="preserve">. </w:t>
      </w:r>
      <w:r w:rsidRPr="004E0983">
        <w:t>This leads to suboptimal outcomes as small business issues, complaints and requests for advice may go unaddressed</w:t>
      </w:r>
      <w:r w:rsidR="009041EE">
        <w:t xml:space="preserve">. </w:t>
      </w:r>
    </w:p>
    <w:p w14:paraId="58022AC5" w14:textId="77777777" w:rsidR="00D808B7" w:rsidRDefault="004E0983" w:rsidP="00200FC3">
      <w:pPr>
        <w:pStyle w:val="base-text-paragraph"/>
      </w:pPr>
      <w:r w:rsidRPr="004E0983">
        <w:t>The Australian Small Business Commissioner was established without legislation or a comprehensive operating framework, which has precluded it from having a role in assisting small businesses to access justice arrangements, beyond referring businesses to an existing, appropriate service. If a business raises a matter with the Office of the Australian Small Business Commissioner, the Office provides a triage service by undertaking preliminary discussions to determine the most appropriate course of action, and where appropriate, refer the business to other existing dispute resolution services or other complaint bodies. The Australian Small Business Commissioner does not have authority to provide assistance beyond this triage role, thus limiting its ability to facilitate appropriate access to justice for small business</w:t>
      </w:r>
      <w:r w:rsidR="009041EE">
        <w:t xml:space="preserve">. </w:t>
      </w:r>
    </w:p>
    <w:p w14:paraId="662FA0CE" w14:textId="7E3F6954" w:rsidR="00D808B7" w:rsidRDefault="004E0983" w:rsidP="00200FC3">
      <w:pPr>
        <w:pStyle w:val="base-text-paragraph"/>
      </w:pPr>
      <w:r w:rsidRPr="004E0983">
        <w:t>The Australian Small Business Commissioner</w:t>
      </w:r>
      <w:r w:rsidR="009349BC">
        <w:t>’</w:t>
      </w:r>
      <w:r w:rsidRPr="004E0983">
        <w:t>s current advocacy role is constrained in its ability to undertake enquiries and research into issues negatively affecting the small business community. For example, if a number of businesses are raising similar concerns or complaints, the Australian Small Business Commissioner does not have the authority to obtain information to understand the drivers behind particular issues of concern</w:t>
      </w:r>
      <w:r w:rsidR="009041EE">
        <w:t xml:space="preserve">. </w:t>
      </w:r>
      <w:r w:rsidRPr="004E0983">
        <w:t>This limits the ability of the Australian Small Business Commissioner to gather and analyse on</w:t>
      </w:r>
      <w:r w:rsidR="009349BC">
        <w:noBreakHyphen/>
      </w:r>
      <w:r w:rsidRPr="004E0983">
        <w:t>the</w:t>
      </w:r>
      <w:r w:rsidR="009349BC">
        <w:noBreakHyphen/>
      </w:r>
      <w:r w:rsidRPr="004E0983">
        <w:t xml:space="preserve">ground evidence of issues (such as burdensome regulation) and advise the Minister and relevant Government agencies where appropriate. </w:t>
      </w:r>
    </w:p>
    <w:p w14:paraId="4C38E57D" w14:textId="46F2620C" w:rsidR="00D808B7" w:rsidRDefault="004E0983" w:rsidP="00200FC3">
      <w:pPr>
        <w:pStyle w:val="base-text-paragraph"/>
      </w:pPr>
      <w:r w:rsidRPr="004E0983">
        <w:t>As the Australian Small Business Commissioner is not supported by powers, it is not considered to impose a regulatory cost on</w:t>
      </w:r>
      <w:r w:rsidR="005431CA">
        <w:t> </w:t>
      </w:r>
      <w:r w:rsidRPr="004E0983">
        <w:t>businesses</w:t>
      </w:r>
      <w:r w:rsidR="009041EE">
        <w:t xml:space="preserve">. </w:t>
      </w:r>
      <w:r w:rsidRPr="004E0983">
        <w:t>The costs to Government of this role relate to the operating</w:t>
      </w:r>
      <w:r w:rsidR="005431CA">
        <w:t> </w:t>
      </w:r>
      <w:r w:rsidRPr="004E0983">
        <w:t>costs for the Office of the Australian Small Business Commissioner</w:t>
      </w:r>
      <w:r w:rsidR="009041EE">
        <w:t xml:space="preserve">. </w:t>
      </w:r>
      <w:r w:rsidRPr="004E0983">
        <w:t>Funding of $8.3 million over four years was provided in</w:t>
      </w:r>
      <w:r w:rsidR="005431CA">
        <w:t> </w:t>
      </w:r>
      <w:r w:rsidRPr="004E0983">
        <w:t>the 2012</w:t>
      </w:r>
      <w:r w:rsidR="009349BC">
        <w:noBreakHyphen/>
      </w:r>
      <w:r w:rsidRPr="004E0983">
        <w:t>13</w:t>
      </w:r>
      <w:r w:rsidR="005431CA">
        <w:t> </w:t>
      </w:r>
      <w:r w:rsidRPr="004E0983">
        <w:t>Budget to establish the Office of the Australian Small Business Commissioner.</w:t>
      </w:r>
      <w:r w:rsidR="00D808B7" w:rsidRPr="00D808B7">
        <w:t xml:space="preserve"> </w:t>
      </w:r>
    </w:p>
    <w:p w14:paraId="3DC8C068" w14:textId="77777777" w:rsidR="004E0983" w:rsidRDefault="004E0983" w:rsidP="00C71EE9">
      <w:pPr>
        <w:pStyle w:val="Heading3"/>
      </w:pPr>
      <w:r>
        <w:t>Option 2: Establish a Small Business and Family Enterprise Ombudsman with real power (preferred)</w:t>
      </w:r>
    </w:p>
    <w:p w14:paraId="598A2102" w14:textId="77777777" w:rsidR="00D808B7" w:rsidRDefault="004E0983" w:rsidP="00200FC3">
      <w:pPr>
        <w:pStyle w:val="base-text-paragraph"/>
      </w:pPr>
      <w:r w:rsidRPr="004E0983">
        <w:t>This option is preferred as it provides the greatest net benefit</w:t>
      </w:r>
      <w:r w:rsidR="009041EE">
        <w:t xml:space="preserve">. </w:t>
      </w:r>
    </w:p>
    <w:p w14:paraId="232131A7" w14:textId="04E9EBE8" w:rsidR="00D808B7" w:rsidRDefault="004E0983" w:rsidP="00200FC3">
      <w:pPr>
        <w:pStyle w:val="base-text-paragraph"/>
      </w:pPr>
      <w:r w:rsidRPr="004E0983">
        <w:t>A strong and confident small business community is central to the Government</w:t>
      </w:r>
      <w:r w:rsidR="009349BC">
        <w:t>’</w:t>
      </w:r>
      <w:r w:rsidRPr="004E0983">
        <w:t xml:space="preserve">s commitment to delivering a productive and competitive economy. The Ombudsman will help contribute to this commitment by: </w:t>
      </w:r>
    </w:p>
    <w:p w14:paraId="4B7AAB09" w14:textId="77777777" w:rsidR="004E0983" w:rsidRPr="006F3456" w:rsidRDefault="004E0983" w:rsidP="00AD7CB2">
      <w:pPr>
        <w:pStyle w:val="exampledotpoint1"/>
        <w:spacing w:before="60" w:after="60"/>
        <w:ind w:left="2269" w:hanging="284"/>
        <w:rPr>
          <w:szCs w:val="22"/>
        </w:rPr>
      </w:pPr>
      <w:r w:rsidRPr="006F614C">
        <w:rPr>
          <w:sz w:val="22"/>
          <w:szCs w:val="22"/>
        </w:rPr>
        <w:t xml:space="preserve">helping small businesses resolve disputes early, in turn improving business productivity, preserving business relationships and avoiding expensive litigation; </w:t>
      </w:r>
    </w:p>
    <w:p w14:paraId="3C004A2B" w14:textId="77777777" w:rsidR="004E0983" w:rsidRPr="006F3456" w:rsidRDefault="004E0983" w:rsidP="00AD7CB2">
      <w:pPr>
        <w:pStyle w:val="exampledotpoint1"/>
        <w:spacing w:before="60" w:after="60"/>
        <w:ind w:left="2269" w:hanging="284"/>
        <w:rPr>
          <w:szCs w:val="22"/>
        </w:rPr>
      </w:pPr>
      <w:r w:rsidRPr="006F614C">
        <w:rPr>
          <w:sz w:val="22"/>
          <w:szCs w:val="22"/>
        </w:rPr>
        <w:t>improving engagement between the Government and the small business sector to ensure that small business interests are at the centre of policy and programme design and business interaction; and</w:t>
      </w:r>
    </w:p>
    <w:p w14:paraId="722A1B8D" w14:textId="77777777" w:rsidR="004E0983" w:rsidRPr="006F3456" w:rsidRDefault="004E0983" w:rsidP="00AD7CB2">
      <w:pPr>
        <w:pStyle w:val="exampledotpoint1"/>
        <w:spacing w:before="60" w:after="60"/>
        <w:ind w:left="2269" w:hanging="284"/>
        <w:rPr>
          <w:szCs w:val="22"/>
        </w:rPr>
      </w:pPr>
      <w:r w:rsidRPr="006F614C">
        <w:rPr>
          <w:sz w:val="22"/>
          <w:szCs w:val="22"/>
        </w:rPr>
        <w:t xml:space="preserve">streamlining access to Government assistance and support to reduce complexity and save time. </w:t>
      </w:r>
    </w:p>
    <w:p w14:paraId="546FD872" w14:textId="0F99FDFC" w:rsidR="00D808B7" w:rsidRDefault="004E0983" w:rsidP="00200FC3">
      <w:pPr>
        <w:pStyle w:val="base-text-paragraph"/>
      </w:pPr>
      <w:r w:rsidRPr="004E0983">
        <w:t>Granting of statutory powers will allow the Ombudsman to more effectively contribute to the Government</w:t>
      </w:r>
      <w:r w:rsidR="009349BC">
        <w:t>’</w:t>
      </w:r>
      <w:r w:rsidRPr="004E0983">
        <w:t>s understanding of small business interests and the impact that Government actions have on small businesses. This will support the Government</w:t>
      </w:r>
      <w:r w:rsidR="009349BC">
        <w:t>’</w:t>
      </w:r>
      <w:r w:rsidRPr="004E0983">
        <w:t>s broader deregulation agenda, and help achieve benefits for small businesses by gathering and providing on</w:t>
      </w:r>
      <w:r w:rsidR="009349BC">
        <w:noBreakHyphen/>
      </w:r>
      <w:r w:rsidRPr="004E0983">
        <w:t>the</w:t>
      </w:r>
      <w:r w:rsidR="009349BC">
        <w:noBreakHyphen/>
      </w:r>
      <w:r w:rsidRPr="004E0983">
        <w:t>ground evidence and practical solutions to policy makers and regulators.</w:t>
      </w:r>
      <w:r w:rsidR="00D808B7" w:rsidRPr="00D808B7">
        <w:t xml:space="preserve"> </w:t>
      </w:r>
    </w:p>
    <w:p w14:paraId="61CF80BA" w14:textId="2DEE4A25" w:rsidR="00D808B7" w:rsidRDefault="004E0983" w:rsidP="00200FC3">
      <w:pPr>
        <w:pStyle w:val="base-text-paragraph"/>
      </w:pPr>
      <w:r w:rsidRPr="004E0983">
        <w:t>The costs and benefits of each of the Ombudsman</w:t>
      </w:r>
      <w:r w:rsidR="009349BC">
        <w:t>’</w:t>
      </w:r>
      <w:r w:rsidRPr="004E0983">
        <w:t xml:space="preserve">s key functions have been quantified using the framework outlined in </w:t>
      </w:r>
      <w:r w:rsidRPr="004E0983">
        <w:rPr>
          <w:i/>
        </w:rPr>
        <w:t>The Australian Government Guide to Regulation</w:t>
      </w:r>
      <w:r w:rsidRPr="004E0983">
        <w:t>. Regulatory costs to business, community organisations and/or individuals are quantified using the Regulatory Burden Measurement (RBM) framework. This framework includes consideration of administrative costs, substantive compliance costs and delay costs. Broader economic costs have also been quantified and detailed below.</w:t>
      </w:r>
      <w:r w:rsidR="00D808B7" w:rsidRPr="00D808B7">
        <w:t xml:space="preserve"> </w:t>
      </w:r>
    </w:p>
    <w:p w14:paraId="708A4E50" w14:textId="77777777" w:rsidR="004E0983" w:rsidRDefault="004E0983" w:rsidP="00C71EE9">
      <w:pPr>
        <w:pStyle w:val="Heading4"/>
      </w:pPr>
      <w:r>
        <w:t>Quantitative costs: advocacy</w:t>
      </w:r>
    </w:p>
    <w:p w14:paraId="04EB3EBD" w14:textId="77777777" w:rsidR="00D808B7" w:rsidRDefault="004E0983" w:rsidP="00200FC3">
      <w:pPr>
        <w:pStyle w:val="base-text-paragraph"/>
      </w:pPr>
      <w:r w:rsidRPr="004E0983">
        <w:t>The Bill provides for Ombudsman to conduct research and inquiries into the effect of relevant laws, policies and practices on small businesses, and how these might be improved. For example, the Ombudsman may help monitor and report on the efficacy of industry codes of conduct and fair trading provisions, the behaviour of regulators in undertaking compliance activities, and responsiveness and effectiveness of agency complaints mechanisms</w:t>
      </w:r>
      <w:r w:rsidR="009041EE">
        <w:t xml:space="preserve">. </w:t>
      </w:r>
    </w:p>
    <w:p w14:paraId="4FD28CE2" w14:textId="77777777" w:rsidR="00D808B7" w:rsidRDefault="004E0983" w:rsidP="00200FC3">
      <w:pPr>
        <w:pStyle w:val="base-text-paragraph"/>
      </w:pPr>
      <w:r w:rsidRPr="004E0983">
        <w:t>The Ombudsman can undertake research and inquiries through informal stakeholder meetings and interview or data analysis. The Bill also provides for the Ombudsman to conduct formal hearings and provides information gathering powers.</w:t>
      </w:r>
      <w:r w:rsidR="00D808B7" w:rsidRPr="00D808B7">
        <w:t xml:space="preserve"> </w:t>
      </w:r>
    </w:p>
    <w:p w14:paraId="5B73AB18" w14:textId="77777777" w:rsidR="00D808B7" w:rsidRDefault="004E0983" w:rsidP="00200FC3">
      <w:pPr>
        <w:pStyle w:val="base-text-paragraph"/>
      </w:pPr>
      <w:r w:rsidRPr="004E0983">
        <w:t>It is expected that these powers would be seldom exercised and most parties would participate voluntarily. In general, business compliance costs relating to activities that small businesses would already be engaging in, or engaging in on a voluntary basis, such as participating in voluntary hearings or inquiries, are not included in the RBM. However there is an economic cost to those organisations assisting the Ombudsman with such activities. Costs could include time taken to prepare for and participate in hearings or informal stakeholder consultations and interviews. These economic costs are quantified below.</w:t>
      </w:r>
      <w:r w:rsidR="00D808B7" w:rsidRPr="00D808B7">
        <w:t xml:space="preserve"> </w:t>
      </w:r>
    </w:p>
    <w:p w14:paraId="7F778E42" w14:textId="5C340136" w:rsidR="00D808B7" w:rsidRDefault="004E0983" w:rsidP="00200FC3">
      <w:pPr>
        <w:pStyle w:val="base-text-paragraph"/>
      </w:pPr>
      <w:r w:rsidRPr="004E0983">
        <w:t>The Ombudsman</w:t>
      </w:r>
      <w:r w:rsidR="009349BC">
        <w:t>’</w:t>
      </w:r>
      <w:r w:rsidRPr="004E0983">
        <w:t>s advocacy powers are similar to the Productivity Commission. The Productivity Commission incurs publishes the costs of undertaking inquiries, including holding public hearings, in its annual reports. In consultations, the Productivity Commission noted for a large inquiry it incurs costs of around $2 million to run. For example, its inquiry into Childcare a</w:t>
      </w:r>
      <w:r>
        <w:t>nd Early Childhood Learning (11 </w:t>
      </w:r>
      <w:r w:rsidRPr="004E0983">
        <w:t>month inquiry, final report to Government in October 2014) cost $2.3 million.</w:t>
      </w:r>
      <w:r w:rsidR="00D808B7" w:rsidRPr="00D808B7">
        <w:t xml:space="preserve"> </w:t>
      </w:r>
    </w:p>
    <w:p w14:paraId="28997250" w14:textId="1581F6A5" w:rsidR="00D808B7" w:rsidRDefault="004E0983" w:rsidP="00200FC3">
      <w:pPr>
        <w:pStyle w:val="base-text-paragraph"/>
      </w:pPr>
      <w:r>
        <w:t>The resourcing of the Ombudsman ($2 million per annum) will necessarily limit the scope and scale of its inquiries, particularly through holding hearings. It is therefore assumed the Ombudsman</w:t>
      </w:r>
      <w:r w:rsidR="009349BC">
        <w:t>’</w:t>
      </w:r>
      <w:r>
        <w:t xml:space="preserve">s power to hold hearings will not be exercised for all advocacy projects. </w:t>
      </w:r>
    </w:p>
    <w:p w14:paraId="21C335F7" w14:textId="46827200" w:rsidR="00D808B7" w:rsidRDefault="004E0983" w:rsidP="00200FC3">
      <w:pPr>
        <w:pStyle w:val="base-text-paragraph"/>
      </w:pPr>
      <w:r>
        <w:t>In estimating the costs for the Ombudsman</w:t>
      </w:r>
      <w:r w:rsidR="009349BC">
        <w:t>’</w:t>
      </w:r>
      <w:r>
        <w:t>s advocacy function, it is assumed that the Ombudsman</w:t>
      </w:r>
      <w:r w:rsidR="009349BC">
        <w:t>’</w:t>
      </w:r>
      <w:r>
        <w:t>s resourcing would support:</w:t>
      </w:r>
      <w:r w:rsidR="00D808B7" w:rsidRPr="00D808B7">
        <w:t xml:space="preserve"> </w:t>
      </w:r>
    </w:p>
    <w:p w14:paraId="58FA0278" w14:textId="77777777" w:rsidR="004E0983" w:rsidRPr="006F3456" w:rsidRDefault="004E0983" w:rsidP="006F614C">
      <w:pPr>
        <w:pStyle w:val="exampledotpoint1"/>
        <w:rPr>
          <w:szCs w:val="22"/>
        </w:rPr>
      </w:pPr>
      <w:r w:rsidRPr="004E36B7">
        <w:rPr>
          <w:sz w:val="22"/>
          <w:szCs w:val="22"/>
        </w:rPr>
        <w:t>1</w:t>
      </w:r>
      <w:r w:rsidRPr="006F614C">
        <w:rPr>
          <w:sz w:val="22"/>
          <w:szCs w:val="22"/>
        </w:rPr>
        <w:t xml:space="preserve"> significant research and inquiry project involving public hearings every four years. </w:t>
      </w:r>
    </w:p>
    <w:p w14:paraId="0A3DA936" w14:textId="77777777" w:rsidR="004E0983" w:rsidRPr="006F3456" w:rsidRDefault="004E0983" w:rsidP="006F614C">
      <w:pPr>
        <w:pStyle w:val="exampledotpoint1"/>
        <w:rPr>
          <w:szCs w:val="22"/>
        </w:rPr>
      </w:pPr>
      <w:r w:rsidRPr="004E36B7">
        <w:rPr>
          <w:sz w:val="22"/>
          <w:szCs w:val="22"/>
        </w:rPr>
        <w:t>1.5</w:t>
      </w:r>
      <w:r w:rsidRPr="006F614C">
        <w:rPr>
          <w:sz w:val="22"/>
          <w:szCs w:val="22"/>
        </w:rPr>
        <w:t xml:space="preserve"> smaller scale research and inquiry projects each year involving desktop research, stakeholder interviews, data analysis and call for submissions (or 6 over 4 years). </w:t>
      </w:r>
    </w:p>
    <w:p w14:paraId="7A913A81" w14:textId="77777777" w:rsidR="004E0983" w:rsidRDefault="004E0983" w:rsidP="00C71EE9">
      <w:pPr>
        <w:pStyle w:val="Heading5"/>
      </w:pPr>
      <w:r>
        <w:t>Public hearing based projects</w:t>
      </w:r>
    </w:p>
    <w:p w14:paraId="307E686A" w14:textId="20D62C09" w:rsidR="00D808B7" w:rsidRDefault="004E0983" w:rsidP="00200FC3">
      <w:pPr>
        <w:pStyle w:val="base-text-paragraph"/>
      </w:pPr>
      <w:r w:rsidRPr="004E0983">
        <w:t>The costs of these projects is modelled off the Productivity Commission</w:t>
      </w:r>
      <w:r w:rsidR="009349BC">
        <w:t>’</w:t>
      </w:r>
      <w:r w:rsidRPr="004E0983">
        <w:t xml:space="preserve">s report </w:t>
      </w:r>
      <w:r w:rsidRPr="004E0983">
        <w:rPr>
          <w:i/>
        </w:rPr>
        <w:t>Australia</w:t>
      </w:r>
      <w:r w:rsidR="009349BC">
        <w:rPr>
          <w:i/>
        </w:rPr>
        <w:t>’</w:t>
      </w:r>
      <w:r w:rsidRPr="004E0983">
        <w:rPr>
          <w:i/>
        </w:rPr>
        <w:t>s Automotive Manufacturing Industry</w:t>
      </w:r>
      <w:r w:rsidRPr="004E0983">
        <w:t xml:space="preserve"> which was released in August 2014. The cost to the Productivity Commission to hold this inquiry was $1.1 million.</w:t>
      </w:r>
      <w:r w:rsidR="00D808B7" w:rsidRPr="00D808B7">
        <w:t xml:space="preserve"> </w:t>
      </w:r>
    </w:p>
    <w:p w14:paraId="7C788697" w14:textId="77777777" w:rsidR="00D808B7" w:rsidRDefault="004E0983" w:rsidP="00200FC3">
      <w:pPr>
        <w:pStyle w:val="base-text-paragraph"/>
      </w:pPr>
      <w:r w:rsidRPr="004E0983">
        <w:t>The inquiry was held over five months, involved visits to 46 parties and hearings held over five days. It is assumed that parties would attend the hearing in the nearest capital city. The Productivity Commission estimates that up to 15 parties appear each day with each party appearing for 45 minutes on average</w:t>
      </w:r>
      <w:r w:rsidR="009041EE">
        <w:t xml:space="preserve">. </w:t>
      </w:r>
    </w:p>
    <w:p w14:paraId="36D05820" w14:textId="27DF4F5A" w:rsidR="00D808B7" w:rsidRDefault="004E0983" w:rsidP="00200FC3">
      <w:pPr>
        <w:pStyle w:val="base-text-paragraph"/>
      </w:pPr>
      <w:r w:rsidRPr="004E0983">
        <w:t>It is assumed that each party would involve four staff in this process</w:t>
      </w:r>
      <w:r w:rsidR="009349BC">
        <w:t xml:space="preserve"> — </w:t>
      </w:r>
      <w:r w:rsidRPr="004E0983">
        <w:t xml:space="preserve">A general manager, senior manager and a junior professional staff member. The hourly cost of this staff time is outlined in </w:t>
      </w:r>
      <w:r w:rsidR="00A82CD1">
        <w:t xml:space="preserve">the </w:t>
      </w:r>
      <w:r w:rsidRPr="00920E36">
        <w:t>Table</w:t>
      </w:r>
      <w:r w:rsidR="00920E36">
        <w:t xml:space="preserve"> 10.1 </w:t>
      </w:r>
      <w:r w:rsidR="00A82CD1" w:rsidRPr="00A82CD1">
        <w:t>below</w:t>
      </w:r>
      <w:r w:rsidRPr="004E0983">
        <w:t>.</w:t>
      </w:r>
      <w:r w:rsidR="00D808B7" w:rsidRPr="00D808B7">
        <w:t xml:space="preserve"> </w:t>
      </w:r>
    </w:p>
    <w:p w14:paraId="71D19478" w14:textId="77777777" w:rsidR="000976AD" w:rsidRDefault="000976AD" w:rsidP="0036043A">
      <w:pPr>
        <w:pStyle w:val="TableHeadingoutsidetable"/>
        <w:numPr>
          <w:ilvl w:val="4"/>
          <w:numId w:val="23"/>
        </w:numPr>
      </w:pPr>
      <w:r>
        <w:t>: Estimated hourly staff costs</w:t>
      </w:r>
    </w:p>
    <w:tbl>
      <w:tblPr>
        <w:tblStyle w:val="TableGrid"/>
        <w:tblW w:w="0" w:type="auto"/>
        <w:tblInd w:w="1242" w:type="dxa"/>
        <w:tblLook w:val="04A0" w:firstRow="1" w:lastRow="0" w:firstColumn="1" w:lastColumn="0" w:noHBand="0" w:noVBand="1"/>
      </w:tblPr>
      <w:tblGrid>
        <w:gridCol w:w="2552"/>
        <w:gridCol w:w="1701"/>
        <w:gridCol w:w="2312"/>
      </w:tblGrid>
      <w:tr w:rsidR="00920E36" w14:paraId="59CBC992" w14:textId="77777777" w:rsidTr="00D62694">
        <w:tc>
          <w:tcPr>
            <w:tcW w:w="2552" w:type="dxa"/>
          </w:tcPr>
          <w:p w14:paraId="1039BF6D" w14:textId="77777777" w:rsidR="00920E36" w:rsidRDefault="00920E36" w:rsidP="0012012E">
            <w:pPr>
              <w:pStyle w:val="tableheaderwithintable"/>
            </w:pPr>
            <w:r>
              <w:t>Position</w:t>
            </w:r>
          </w:p>
        </w:tc>
        <w:tc>
          <w:tcPr>
            <w:tcW w:w="1701" w:type="dxa"/>
          </w:tcPr>
          <w:p w14:paraId="1271676E" w14:textId="77777777" w:rsidR="00920E36" w:rsidRDefault="00920E36" w:rsidP="0012012E">
            <w:pPr>
              <w:pStyle w:val="tableheaderwithintable"/>
            </w:pPr>
            <w:r>
              <w:t>Average weekly pay</w:t>
            </w:r>
          </w:p>
        </w:tc>
        <w:tc>
          <w:tcPr>
            <w:tcW w:w="2312" w:type="dxa"/>
          </w:tcPr>
          <w:p w14:paraId="2399AE98" w14:textId="3AAE2EC3" w:rsidR="00920E36" w:rsidRDefault="00920E36" w:rsidP="00D62694">
            <w:pPr>
              <w:pStyle w:val="tableheaderwithintable"/>
            </w:pPr>
            <w:r>
              <w:t>Hourly rate</w:t>
            </w:r>
            <w:r w:rsidR="00D62694">
              <w:br/>
            </w:r>
            <w:r>
              <w:t>(assuming 40 hour week)</w:t>
            </w:r>
          </w:p>
        </w:tc>
      </w:tr>
      <w:tr w:rsidR="00920E36" w14:paraId="1B915C66" w14:textId="77777777" w:rsidTr="00D62694">
        <w:tc>
          <w:tcPr>
            <w:tcW w:w="2552" w:type="dxa"/>
          </w:tcPr>
          <w:p w14:paraId="7A00C366" w14:textId="55CEC721" w:rsidR="00920E36" w:rsidRDefault="00920E36" w:rsidP="0012012E">
            <w:pPr>
              <w:pStyle w:val="tabletext"/>
              <w:ind w:left="0"/>
              <w:jc w:val="both"/>
            </w:pPr>
            <w:r>
              <w:t>General</w:t>
            </w:r>
            <w:r w:rsidR="009349BC">
              <w:noBreakHyphen/>
            </w:r>
            <w:r>
              <w:t>Manager (GM)</w:t>
            </w:r>
          </w:p>
        </w:tc>
        <w:tc>
          <w:tcPr>
            <w:tcW w:w="1701" w:type="dxa"/>
            <w:vAlign w:val="center"/>
          </w:tcPr>
          <w:p w14:paraId="0A550656" w14:textId="77777777" w:rsidR="00920E36" w:rsidRDefault="00920E36" w:rsidP="00920E36">
            <w:pPr>
              <w:pStyle w:val="tabletext"/>
              <w:ind w:left="7"/>
              <w:jc w:val="center"/>
            </w:pPr>
            <w:r>
              <w:t>2573.6</w:t>
            </w:r>
          </w:p>
        </w:tc>
        <w:tc>
          <w:tcPr>
            <w:tcW w:w="2312" w:type="dxa"/>
            <w:vAlign w:val="center"/>
          </w:tcPr>
          <w:p w14:paraId="7AE0C278" w14:textId="77777777" w:rsidR="00920E36" w:rsidRDefault="00920E36" w:rsidP="00920E36">
            <w:pPr>
              <w:pStyle w:val="tabletext"/>
              <w:ind w:left="34"/>
              <w:jc w:val="center"/>
            </w:pPr>
            <w:r>
              <w:t>64.3</w:t>
            </w:r>
          </w:p>
        </w:tc>
      </w:tr>
      <w:tr w:rsidR="00920E36" w14:paraId="20FD5C28" w14:textId="77777777" w:rsidTr="00D62694">
        <w:tc>
          <w:tcPr>
            <w:tcW w:w="2552" w:type="dxa"/>
          </w:tcPr>
          <w:p w14:paraId="329270A0" w14:textId="77777777" w:rsidR="00920E36" w:rsidRDefault="00920E36" w:rsidP="0012012E">
            <w:pPr>
              <w:pStyle w:val="tabletext"/>
              <w:ind w:left="0"/>
              <w:jc w:val="both"/>
            </w:pPr>
            <w:r>
              <w:t>Senior Manager (SM)</w:t>
            </w:r>
          </w:p>
        </w:tc>
        <w:tc>
          <w:tcPr>
            <w:tcW w:w="1701" w:type="dxa"/>
            <w:vAlign w:val="center"/>
          </w:tcPr>
          <w:p w14:paraId="36F76D1D" w14:textId="77777777" w:rsidR="00920E36" w:rsidRDefault="00920E36" w:rsidP="00920E36">
            <w:pPr>
              <w:pStyle w:val="tabletext"/>
              <w:ind w:left="7"/>
              <w:jc w:val="center"/>
            </w:pPr>
            <w:r>
              <w:t>2113.8</w:t>
            </w:r>
          </w:p>
        </w:tc>
        <w:tc>
          <w:tcPr>
            <w:tcW w:w="2312" w:type="dxa"/>
            <w:vAlign w:val="center"/>
          </w:tcPr>
          <w:p w14:paraId="4D21B3D9" w14:textId="77777777" w:rsidR="00920E36" w:rsidRDefault="00920E36" w:rsidP="00920E36">
            <w:pPr>
              <w:pStyle w:val="tabletext"/>
              <w:ind w:left="34"/>
              <w:jc w:val="center"/>
            </w:pPr>
            <w:r>
              <w:t>52.8</w:t>
            </w:r>
          </w:p>
        </w:tc>
      </w:tr>
      <w:tr w:rsidR="00920E36" w14:paraId="64D1AC41" w14:textId="77777777" w:rsidTr="00D62694">
        <w:tc>
          <w:tcPr>
            <w:tcW w:w="2552" w:type="dxa"/>
          </w:tcPr>
          <w:p w14:paraId="32C53995" w14:textId="77777777" w:rsidR="00920E36" w:rsidRDefault="00920E36" w:rsidP="0012012E">
            <w:pPr>
              <w:pStyle w:val="tabletext"/>
              <w:ind w:left="0"/>
              <w:jc w:val="both"/>
            </w:pPr>
            <w:r>
              <w:t>Professional (P)</w:t>
            </w:r>
          </w:p>
        </w:tc>
        <w:tc>
          <w:tcPr>
            <w:tcW w:w="1701" w:type="dxa"/>
            <w:vAlign w:val="center"/>
          </w:tcPr>
          <w:p w14:paraId="533ED4CE" w14:textId="77777777" w:rsidR="00920E36" w:rsidRDefault="00920E36" w:rsidP="00920E36">
            <w:pPr>
              <w:pStyle w:val="tabletext"/>
              <w:ind w:left="7"/>
              <w:jc w:val="center"/>
            </w:pPr>
            <w:r>
              <w:t>1548.2</w:t>
            </w:r>
          </w:p>
        </w:tc>
        <w:tc>
          <w:tcPr>
            <w:tcW w:w="2312" w:type="dxa"/>
            <w:vAlign w:val="center"/>
          </w:tcPr>
          <w:p w14:paraId="2C76CE36" w14:textId="77777777" w:rsidR="00920E36" w:rsidRDefault="00920E36" w:rsidP="00920E36">
            <w:pPr>
              <w:pStyle w:val="tabletext"/>
              <w:ind w:left="34"/>
              <w:jc w:val="center"/>
            </w:pPr>
            <w:r>
              <w:t>38.7</w:t>
            </w:r>
          </w:p>
        </w:tc>
      </w:tr>
    </w:tbl>
    <w:p w14:paraId="5ACA341F" w14:textId="77777777" w:rsidR="000976AD" w:rsidRPr="00D62694" w:rsidRDefault="000976AD" w:rsidP="00D62694">
      <w:pPr>
        <w:pStyle w:val="base-text-paragraphnonumbers"/>
        <w:rPr>
          <w:sz w:val="18"/>
        </w:rPr>
      </w:pPr>
      <w:r w:rsidRPr="00D62694">
        <w:rPr>
          <w:sz w:val="18"/>
        </w:rPr>
        <w:t>Source: ABS, 2015, Employee Earnings and Hours, Australia, May 2014, cat no. 6306.0.</w:t>
      </w:r>
    </w:p>
    <w:p w14:paraId="1A3E626E" w14:textId="77777777" w:rsidR="00D808B7" w:rsidRDefault="003C346A" w:rsidP="00200FC3">
      <w:pPr>
        <w:pStyle w:val="base-text-paragraph"/>
      </w:pPr>
      <w:r>
        <w:t xml:space="preserve">The cost per party of participating in a hearing process is outlined in </w:t>
      </w:r>
      <w:r w:rsidR="001F2284" w:rsidRPr="00E26B9A">
        <w:rPr>
          <w:b/>
        </w:rPr>
        <w:t>Table</w:t>
      </w:r>
      <w:r w:rsidR="00A82CD1" w:rsidRPr="00E26B9A">
        <w:rPr>
          <w:b/>
        </w:rPr>
        <w:t> 10.</w:t>
      </w:r>
      <w:r w:rsidR="001F2284" w:rsidRPr="00E26B9A">
        <w:rPr>
          <w:b/>
        </w:rPr>
        <w:t>2</w:t>
      </w:r>
      <w:r w:rsidRPr="00330A01">
        <w:t xml:space="preserve"> </w:t>
      </w:r>
      <w:r w:rsidR="00330A01" w:rsidRPr="00330A01">
        <w:t>and</w:t>
      </w:r>
      <w:r w:rsidR="00C7523D">
        <w:t xml:space="preserve"> </w:t>
      </w:r>
      <w:r w:rsidR="00C7523D" w:rsidRPr="00E26B9A">
        <w:rPr>
          <w:b/>
        </w:rPr>
        <w:t>10.3</w:t>
      </w:r>
      <w:r w:rsidR="00C7523D">
        <w:t xml:space="preserve"> </w:t>
      </w:r>
      <w:r>
        <w:t>below. It assumes a total of 75 parties (5</w:t>
      </w:r>
      <w:r w:rsidR="00C7523D">
        <w:t> </w:t>
      </w:r>
      <w:r>
        <w:t>hearings</w:t>
      </w:r>
      <w:r w:rsidR="00C7523D">
        <w:t xml:space="preserve"> </w:t>
      </w:r>
      <w:r>
        <w:t>x</w:t>
      </w:r>
      <w:r w:rsidR="00C7523D">
        <w:t xml:space="preserve"> </w:t>
      </w:r>
      <w:r>
        <w:t>15 parties per day) attending hearings and an additional 46</w:t>
      </w:r>
      <w:r w:rsidR="00C7523D">
        <w:t> </w:t>
      </w:r>
      <w:r>
        <w:t xml:space="preserve">parties involved in separate meetings (face to face at their premises or via telephone). </w:t>
      </w:r>
    </w:p>
    <w:p w14:paraId="6652CF47" w14:textId="1D925DF1" w:rsidR="00D808B7" w:rsidRDefault="003C346A" w:rsidP="00200FC3">
      <w:pPr>
        <w:pStyle w:val="base-text-paragraph"/>
      </w:pPr>
      <w:r>
        <w:t>The subject matter of enquiries will be on systemic issues facing small businesses, such as the impacts of particular laws and regulations. It is not expected that the nature of these hearings will require legal advice, however some businesses may choose to seek such advice if compelled to provide documentation or evidence at a hearing. The costs assume that businesses will seek legal advice at a cost of $1500</w:t>
      </w:r>
      <w:r>
        <w:rPr>
          <w:rStyle w:val="FootnoteReference"/>
        </w:rPr>
        <w:footnoteReference w:id="13"/>
      </w:r>
      <w:r>
        <w:t>. As evidence and transcripts at hearings are made public, it is assumed that a party will invest greater preparation and follow</w:t>
      </w:r>
      <w:r w:rsidR="009349BC">
        <w:noBreakHyphen/>
      </w:r>
      <w:r>
        <w:t>up time in participating in hearings compared to one</w:t>
      </w:r>
      <w:r w:rsidR="009349BC">
        <w:noBreakHyphen/>
      </w:r>
      <w:r>
        <w:t>on</w:t>
      </w:r>
      <w:r w:rsidR="009349BC">
        <w:noBreakHyphen/>
      </w:r>
      <w:r>
        <w:t>one consultations.</w:t>
      </w:r>
      <w:r w:rsidR="00D808B7" w:rsidRPr="00D808B7">
        <w:t xml:space="preserve"> </w:t>
      </w:r>
    </w:p>
    <w:p w14:paraId="11E6D546" w14:textId="77777777" w:rsidR="002444C0" w:rsidRDefault="002444C0" w:rsidP="00C7523D">
      <w:pPr>
        <w:pStyle w:val="base-text-paragraphnonumbers"/>
        <w:sectPr w:rsidR="002444C0" w:rsidSect="00313956">
          <w:headerReference w:type="even" r:id="rId67"/>
          <w:headerReference w:type="default" r:id="rId68"/>
          <w:footerReference w:type="even" r:id="rId69"/>
          <w:footerReference w:type="default" r:id="rId70"/>
          <w:footerReference w:type="first" r:id="rId71"/>
          <w:type w:val="oddPage"/>
          <w:pgSz w:w="11906" w:h="16838" w:code="9"/>
          <w:pgMar w:top="2466" w:right="2098" w:bottom="2466" w:left="2098" w:header="1559" w:footer="1899" w:gutter="0"/>
          <w:cols w:space="708"/>
          <w:titlePg/>
          <w:docGrid w:linePitch="360"/>
        </w:sectPr>
      </w:pPr>
    </w:p>
    <w:p w14:paraId="5F90A948" w14:textId="77777777" w:rsidR="002444C0" w:rsidRDefault="002444C0" w:rsidP="00D62694">
      <w:pPr>
        <w:pStyle w:val="TableHeadingoutsidetable"/>
        <w:numPr>
          <w:ilvl w:val="4"/>
          <w:numId w:val="23"/>
        </w:numPr>
        <w:ind w:left="0"/>
      </w:pPr>
      <w:r>
        <w:t>: Estimated cost of participating in hearings</w:t>
      </w:r>
    </w:p>
    <w:tbl>
      <w:tblPr>
        <w:tblStyle w:val="TableGrid"/>
        <w:tblW w:w="0" w:type="auto"/>
        <w:tblLook w:val="04A0" w:firstRow="1" w:lastRow="0" w:firstColumn="1" w:lastColumn="0" w:noHBand="0" w:noVBand="1"/>
      </w:tblPr>
      <w:tblGrid>
        <w:gridCol w:w="959"/>
        <w:gridCol w:w="1134"/>
        <w:gridCol w:w="992"/>
        <w:gridCol w:w="992"/>
        <w:gridCol w:w="1560"/>
        <w:gridCol w:w="1559"/>
        <w:gridCol w:w="1559"/>
        <w:gridCol w:w="992"/>
        <w:gridCol w:w="1134"/>
        <w:gridCol w:w="1134"/>
      </w:tblGrid>
      <w:tr w:rsidR="00D62694" w14:paraId="13C1C147" w14:textId="77777777" w:rsidTr="00D62694">
        <w:tc>
          <w:tcPr>
            <w:tcW w:w="959" w:type="dxa"/>
          </w:tcPr>
          <w:p w14:paraId="55A5491E" w14:textId="77777777" w:rsidR="00D62694" w:rsidRDefault="00D62694" w:rsidP="00EF15B6">
            <w:pPr>
              <w:pStyle w:val="tableheaderwithintable"/>
            </w:pPr>
            <w:r>
              <w:t>No. of parties</w:t>
            </w:r>
          </w:p>
        </w:tc>
        <w:tc>
          <w:tcPr>
            <w:tcW w:w="1134" w:type="dxa"/>
          </w:tcPr>
          <w:p w14:paraId="40F2F99C" w14:textId="77777777" w:rsidR="00D62694" w:rsidRDefault="00D62694" w:rsidP="00EF15B6">
            <w:pPr>
              <w:pStyle w:val="tableheaderwithintable"/>
            </w:pPr>
            <w:r>
              <w:t>Hours at hearing per party</w:t>
            </w:r>
          </w:p>
        </w:tc>
        <w:tc>
          <w:tcPr>
            <w:tcW w:w="992" w:type="dxa"/>
          </w:tcPr>
          <w:p w14:paraId="445EBD39" w14:textId="77777777" w:rsidR="00D62694" w:rsidRDefault="00D62694" w:rsidP="00EF15B6">
            <w:pPr>
              <w:pStyle w:val="tableheaderwithintable"/>
            </w:pPr>
            <w:r>
              <w:t>No. staff per party</w:t>
            </w:r>
          </w:p>
        </w:tc>
        <w:tc>
          <w:tcPr>
            <w:tcW w:w="992" w:type="dxa"/>
          </w:tcPr>
          <w:p w14:paraId="018E0E99" w14:textId="77777777" w:rsidR="00D62694" w:rsidRDefault="00D62694" w:rsidP="00EF15B6">
            <w:pPr>
              <w:pStyle w:val="tableheaderwithintable"/>
            </w:pPr>
            <w:r>
              <w:t>Travel time (hours)</w:t>
            </w:r>
          </w:p>
        </w:tc>
        <w:tc>
          <w:tcPr>
            <w:tcW w:w="1560" w:type="dxa"/>
          </w:tcPr>
          <w:p w14:paraId="41D2C3B9" w14:textId="77777777" w:rsidR="00D62694" w:rsidRDefault="00D62694" w:rsidP="00EF15B6">
            <w:pPr>
              <w:pStyle w:val="tableheaderwithintable"/>
            </w:pPr>
            <w:r>
              <w:t>Preparation and follow</w:t>
            </w:r>
            <w:r>
              <w:noBreakHyphen/>
              <w:t>ups (G)</w:t>
            </w:r>
          </w:p>
        </w:tc>
        <w:tc>
          <w:tcPr>
            <w:tcW w:w="1559" w:type="dxa"/>
          </w:tcPr>
          <w:p w14:paraId="4DAB5644" w14:textId="77777777" w:rsidR="00D62694" w:rsidRDefault="00D62694" w:rsidP="00EF15B6">
            <w:pPr>
              <w:pStyle w:val="tableheaderwithintable"/>
            </w:pPr>
            <w:r>
              <w:t>Preparation and follow</w:t>
            </w:r>
            <w:r>
              <w:noBreakHyphen/>
              <w:t>ups (S)</w:t>
            </w:r>
          </w:p>
        </w:tc>
        <w:tc>
          <w:tcPr>
            <w:tcW w:w="1559" w:type="dxa"/>
          </w:tcPr>
          <w:p w14:paraId="41194DA3" w14:textId="77777777" w:rsidR="00D62694" w:rsidRDefault="00D62694" w:rsidP="00EF15B6">
            <w:pPr>
              <w:pStyle w:val="tableheaderwithintable"/>
            </w:pPr>
            <w:r>
              <w:t>Preparation and follow</w:t>
            </w:r>
            <w:r>
              <w:noBreakHyphen/>
              <w:t>ups (P)</w:t>
            </w:r>
          </w:p>
        </w:tc>
        <w:tc>
          <w:tcPr>
            <w:tcW w:w="992" w:type="dxa"/>
          </w:tcPr>
          <w:p w14:paraId="02C44561" w14:textId="041B301E" w:rsidR="00D62694" w:rsidRDefault="00D62694" w:rsidP="00EF15B6">
            <w:pPr>
              <w:pStyle w:val="tableheaderwithintable"/>
            </w:pPr>
            <w:r>
              <w:t>Legal costs</w:t>
            </w:r>
            <w:r>
              <w:br/>
              <w:t>($)</w:t>
            </w:r>
          </w:p>
        </w:tc>
        <w:tc>
          <w:tcPr>
            <w:tcW w:w="1134" w:type="dxa"/>
          </w:tcPr>
          <w:p w14:paraId="3EA64193" w14:textId="4D046DAE" w:rsidR="00D62694" w:rsidRDefault="00D62694" w:rsidP="00EF15B6">
            <w:pPr>
              <w:pStyle w:val="tableheaderwithintable"/>
            </w:pPr>
            <w:r>
              <w:t>Cost per party</w:t>
            </w:r>
            <w:r>
              <w:br/>
              <w:t>($)</w:t>
            </w:r>
          </w:p>
        </w:tc>
        <w:tc>
          <w:tcPr>
            <w:tcW w:w="1134" w:type="dxa"/>
          </w:tcPr>
          <w:p w14:paraId="0B2E8C1C" w14:textId="77777777" w:rsidR="00D62694" w:rsidRDefault="00D62694" w:rsidP="00EF15B6">
            <w:pPr>
              <w:pStyle w:val="tableheaderwithintable"/>
            </w:pPr>
            <w:r>
              <w:t>Total costs ($)</w:t>
            </w:r>
          </w:p>
        </w:tc>
      </w:tr>
      <w:tr w:rsidR="00D62694" w14:paraId="6249A91C" w14:textId="77777777" w:rsidTr="00D62694">
        <w:trPr>
          <w:trHeight w:val="235"/>
        </w:trPr>
        <w:tc>
          <w:tcPr>
            <w:tcW w:w="959" w:type="dxa"/>
          </w:tcPr>
          <w:p w14:paraId="0B206FA0" w14:textId="77777777" w:rsidR="00D62694" w:rsidRDefault="00D62694" w:rsidP="00EF15B6">
            <w:pPr>
              <w:pStyle w:val="exampletext"/>
              <w:ind w:left="0"/>
              <w:jc w:val="center"/>
            </w:pPr>
            <w:r>
              <w:t>75</w:t>
            </w:r>
          </w:p>
        </w:tc>
        <w:tc>
          <w:tcPr>
            <w:tcW w:w="1134" w:type="dxa"/>
          </w:tcPr>
          <w:p w14:paraId="766714C1" w14:textId="77777777" w:rsidR="00D62694" w:rsidRDefault="00D62694" w:rsidP="00EF15B6">
            <w:pPr>
              <w:pStyle w:val="exampletext"/>
              <w:ind w:left="0"/>
              <w:jc w:val="center"/>
            </w:pPr>
            <w:r>
              <w:t>0.75</w:t>
            </w:r>
          </w:p>
        </w:tc>
        <w:tc>
          <w:tcPr>
            <w:tcW w:w="992" w:type="dxa"/>
          </w:tcPr>
          <w:p w14:paraId="6B9422D3" w14:textId="77777777" w:rsidR="00D62694" w:rsidRDefault="00D62694" w:rsidP="00EF15B6">
            <w:pPr>
              <w:pStyle w:val="exampletext"/>
              <w:ind w:left="0"/>
              <w:jc w:val="center"/>
            </w:pPr>
            <w:r>
              <w:t>3</w:t>
            </w:r>
          </w:p>
        </w:tc>
        <w:tc>
          <w:tcPr>
            <w:tcW w:w="992" w:type="dxa"/>
          </w:tcPr>
          <w:p w14:paraId="2D08FC74" w14:textId="77777777" w:rsidR="00D62694" w:rsidRDefault="00D62694" w:rsidP="00EF15B6">
            <w:pPr>
              <w:pStyle w:val="exampletext"/>
              <w:ind w:left="0"/>
              <w:jc w:val="center"/>
            </w:pPr>
            <w:r>
              <w:t>1.5</w:t>
            </w:r>
          </w:p>
        </w:tc>
        <w:tc>
          <w:tcPr>
            <w:tcW w:w="1560" w:type="dxa"/>
          </w:tcPr>
          <w:p w14:paraId="4CC9B519" w14:textId="77777777" w:rsidR="00D62694" w:rsidRDefault="00D62694" w:rsidP="00EF15B6">
            <w:pPr>
              <w:pStyle w:val="exampletext"/>
              <w:ind w:left="0"/>
              <w:jc w:val="center"/>
            </w:pPr>
            <w:r>
              <w:t>8</w:t>
            </w:r>
          </w:p>
        </w:tc>
        <w:tc>
          <w:tcPr>
            <w:tcW w:w="1559" w:type="dxa"/>
          </w:tcPr>
          <w:p w14:paraId="71355A71" w14:textId="77777777" w:rsidR="00D62694" w:rsidRDefault="00D62694" w:rsidP="00EF15B6">
            <w:pPr>
              <w:pStyle w:val="exampletext"/>
              <w:ind w:left="0"/>
              <w:jc w:val="center"/>
            </w:pPr>
            <w:r>
              <w:t>15</w:t>
            </w:r>
          </w:p>
        </w:tc>
        <w:tc>
          <w:tcPr>
            <w:tcW w:w="1559" w:type="dxa"/>
          </w:tcPr>
          <w:p w14:paraId="26DBA381" w14:textId="77777777" w:rsidR="00D62694" w:rsidRDefault="00D62694" w:rsidP="00EF15B6">
            <w:pPr>
              <w:pStyle w:val="exampletext"/>
              <w:ind w:left="0"/>
              <w:jc w:val="center"/>
            </w:pPr>
            <w:r>
              <w:t>25</w:t>
            </w:r>
          </w:p>
        </w:tc>
        <w:tc>
          <w:tcPr>
            <w:tcW w:w="992" w:type="dxa"/>
          </w:tcPr>
          <w:p w14:paraId="531C487B" w14:textId="77777777" w:rsidR="00D62694" w:rsidRDefault="00D62694" w:rsidP="00EF15B6">
            <w:pPr>
              <w:pStyle w:val="exampletext"/>
              <w:ind w:left="0"/>
              <w:jc w:val="center"/>
            </w:pPr>
            <w:r>
              <w:t>1,5400</w:t>
            </w:r>
          </w:p>
        </w:tc>
        <w:tc>
          <w:tcPr>
            <w:tcW w:w="1134" w:type="dxa"/>
          </w:tcPr>
          <w:p w14:paraId="7F156E7F" w14:textId="77777777" w:rsidR="00D62694" w:rsidRDefault="00D62694" w:rsidP="00EF15B6">
            <w:pPr>
              <w:pStyle w:val="exampletext"/>
              <w:ind w:left="0"/>
              <w:jc w:val="center"/>
            </w:pPr>
            <w:r>
              <w:t>4,126</w:t>
            </w:r>
          </w:p>
        </w:tc>
        <w:tc>
          <w:tcPr>
            <w:tcW w:w="1134" w:type="dxa"/>
          </w:tcPr>
          <w:p w14:paraId="743CF9D7" w14:textId="77777777" w:rsidR="00D62694" w:rsidRDefault="00D62694" w:rsidP="00EF15B6">
            <w:pPr>
              <w:pStyle w:val="exampletext"/>
              <w:ind w:left="0"/>
              <w:jc w:val="center"/>
            </w:pPr>
            <w:r>
              <w:t>309,433</w:t>
            </w:r>
          </w:p>
        </w:tc>
      </w:tr>
    </w:tbl>
    <w:p w14:paraId="4BBB1A9A" w14:textId="77777777" w:rsidR="00DE2601" w:rsidRDefault="00DE2601" w:rsidP="00D62694">
      <w:pPr>
        <w:pStyle w:val="TableHeadingoutsidetable"/>
        <w:numPr>
          <w:ilvl w:val="4"/>
          <w:numId w:val="23"/>
        </w:numPr>
        <w:spacing w:before="240"/>
        <w:ind w:left="0"/>
      </w:pPr>
      <w:r>
        <w:t>: Estimated cost of participating in consultations</w:t>
      </w:r>
    </w:p>
    <w:tbl>
      <w:tblPr>
        <w:tblStyle w:val="TableGrid"/>
        <w:tblW w:w="0" w:type="auto"/>
        <w:tblLook w:val="04A0" w:firstRow="1" w:lastRow="0" w:firstColumn="1" w:lastColumn="0" w:noHBand="0" w:noVBand="1"/>
      </w:tblPr>
      <w:tblGrid>
        <w:gridCol w:w="1384"/>
        <w:gridCol w:w="1701"/>
        <w:gridCol w:w="1985"/>
        <w:gridCol w:w="1984"/>
        <w:gridCol w:w="1985"/>
        <w:gridCol w:w="1417"/>
        <w:gridCol w:w="1559"/>
      </w:tblGrid>
      <w:tr w:rsidR="00DE2601" w14:paraId="10136DD4" w14:textId="77777777" w:rsidTr="00D62694">
        <w:tc>
          <w:tcPr>
            <w:tcW w:w="1384" w:type="dxa"/>
          </w:tcPr>
          <w:p w14:paraId="69FBD426" w14:textId="77777777" w:rsidR="00DE2601" w:rsidRDefault="00DE2601" w:rsidP="0012012E">
            <w:pPr>
              <w:pStyle w:val="tableheaderwithintable"/>
            </w:pPr>
            <w:r>
              <w:t>No. of parties</w:t>
            </w:r>
          </w:p>
        </w:tc>
        <w:tc>
          <w:tcPr>
            <w:tcW w:w="1701" w:type="dxa"/>
          </w:tcPr>
          <w:p w14:paraId="7D06B5B4" w14:textId="77777777" w:rsidR="00DE2601" w:rsidRDefault="00DE2601" w:rsidP="0012012E">
            <w:pPr>
              <w:pStyle w:val="tableheaderwithintable"/>
            </w:pPr>
            <w:r>
              <w:t>Hours in interview</w:t>
            </w:r>
          </w:p>
        </w:tc>
        <w:tc>
          <w:tcPr>
            <w:tcW w:w="1985" w:type="dxa"/>
          </w:tcPr>
          <w:p w14:paraId="0575BCEB" w14:textId="34626686" w:rsidR="00DE2601" w:rsidRDefault="00DE2601" w:rsidP="0012012E">
            <w:pPr>
              <w:pStyle w:val="tableheaderwithintable"/>
            </w:pPr>
            <w:r>
              <w:t>Preparation and follow</w:t>
            </w:r>
            <w:r w:rsidR="009349BC">
              <w:noBreakHyphen/>
            </w:r>
            <w:r>
              <w:t>ups (G)</w:t>
            </w:r>
          </w:p>
        </w:tc>
        <w:tc>
          <w:tcPr>
            <w:tcW w:w="1984" w:type="dxa"/>
          </w:tcPr>
          <w:p w14:paraId="10DD46E2" w14:textId="3904171C" w:rsidR="00DE2601" w:rsidRDefault="00DE2601" w:rsidP="0012012E">
            <w:pPr>
              <w:pStyle w:val="tableheaderwithintable"/>
            </w:pPr>
            <w:r>
              <w:t>Preparation and follow</w:t>
            </w:r>
            <w:r w:rsidR="009349BC">
              <w:noBreakHyphen/>
            </w:r>
            <w:r>
              <w:t>ups (S)</w:t>
            </w:r>
          </w:p>
        </w:tc>
        <w:tc>
          <w:tcPr>
            <w:tcW w:w="1985" w:type="dxa"/>
          </w:tcPr>
          <w:p w14:paraId="13F518D5" w14:textId="6B8520C2" w:rsidR="00DE2601" w:rsidRDefault="00DE2601" w:rsidP="0012012E">
            <w:pPr>
              <w:pStyle w:val="tableheaderwithintable"/>
            </w:pPr>
            <w:r>
              <w:t>Preparation and follow</w:t>
            </w:r>
            <w:r w:rsidR="009349BC">
              <w:noBreakHyphen/>
            </w:r>
            <w:r>
              <w:t>ups (P)</w:t>
            </w:r>
          </w:p>
        </w:tc>
        <w:tc>
          <w:tcPr>
            <w:tcW w:w="1417" w:type="dxa"/>
          </w:tcPr>
          <w:p w14:paraId="3CC656DB" w14:textId="77777777" w:rsidR="00DE2601" w:rsidRDefault="00DE2601" w:rsidP="0012012E">
            <w:pPr>
              <w:pStyle w:val="tableheaderwithintable"/>
            </w:pPr>
            <w:r>
              <w:t>Cost per party ($)</w:t>
            </w:r>
          </w:p>
        </w:tc>
        <w:tc>
          <w:tcPr>
            <w:tcW w:w="1559" w:type="dxa"/>
          </w:tcPr>
          <w:p w14:paraId="1FFEE13C" w14:textId="1AEF29D6" w:rsidR="00DE2601" w:rsidRDefault="00DE2601" w:rsidP="00D62694">
            <w:pPr>
              <w:pStyle w:val="tableheaderwithintable"/>
            </w:pPr>
            <w:r>
              <w:t>Total costs</w:t>
            </w:r>
            <w:r w:rsidR="00D62694">
              <w:br/>
            </w:r>
            <w:r>
              <w:t>($)</w:t>
            </w:r>
          </w:p>
        </w:tc>
      </w:tr>
      <w:tr w:rsidR="00DE2601" w14:paraId="30C31BDD" w14:textId="77777777" w:rsidTr="00D62694">
        <w:trPr>
          <w:trHeight w:val="420"/>
        </w:trPr>
        <w:tc>
          <w:tcPr>
            <w:tcW w:w="1384" w:type="dxa"/>
            <w:vAlign w:val="center"/>
          </w:tcPr>
          <w:p w14:paraId="546905E0" w14:textId="77777777" w:rsidR="00DE2601" w:rsidRDefault="00DE2601" w:rsidP="0012012E">
            <w:pPr>
              <w:pStyle w:val="tabletext"/>
              <w:ind w:left="54"/>
              <w:jc w:val="center"/>
            </w:pPr>
            <w:r>
              <w:t>46</w:t>
            </w:r>
          </w:p>
        </w:tc>
        <w:tc>
          <w:tcPr>
            <w:tcW w:w="1701" w:type="dxa"/>
            <w:vAlign w:val="center"/>
          </w:tcPr>
          <w:p w14:paraId="5C13547D" w14:textId="77777777" w:rsidR="00DE2601" w:rsidRDefault="00DE2601" w:rsidP="0012012E">
            <w:pPr>
              <w:pStyle w:val="tabletext"/>
              <w:ind w:left="-8"/>
              <w:jc w:val="center"/>
            </w:pPr>
            <w:r>
              <w:t>1.0</w:t>
            </w:r>
          </w:p>
        </w:tc>
        <w:tc>
          <w:tcPr>
            <w:tcW w:w="1985" w:type="dxa"/>
            <w:vAlign w:val="center"/>
          </w:tcPr>
          <w:p w14:paraId="6C9D31C0" w14:textId="77777777" w:rsidR="00DE2601" w:rsidRDefault="00DE2601" w:rsidP="0012012E">
            <w:pPr>
              <w:pStyle w:val="tabletext"/>
              <w:ind w:left="0"/>
              <w:jc w:val="center"/>
            </w:pPr>
            <w:r>
              <w:t>4</w:t>
            </w:r>
          </w:p>
        </w:tc>
        <w:tc>
          <w:tcPr>
            <w:tcW w:w="1984" w:type="dxa"/>
            <w:vAlign w:val="center"/>
          </w:tcPr>
          <w:p w14:paraId="658A73A1" w14:textId="77777777" w:rsidR="00DE2601" w:rsidRDefault="00DE2601" w:rsidP="0012012E">
            <w:pPr>
              <w:pStyle w:val="tabletext"/>
              <w:ind w:left="0"/>
              <w:jc w:val="center"/>
            </w:pPr>
            <w:r>
              <w:t>8</w:t>
            </w:r>
          </w:p>
        </w:tc>
        <w:tc>
          <w:tcPr>
            <w:tcW w:w="1985" w:type="dxa"/>
            <w:vAlign w:val="center"/>
          </w:tcPr>
          <w:p w14:paraId="0B82E273" w14:textId="77777777" w:rsidR="00DE2601" w:rsidRDefault="00DE2601" w:rsidP="0012012E">
            <w:pPr>
              <w:pStyle w:val="tabletext"/>
              <w:ind w:left="0"/>
              <w:jc w:val="center"/>
            </w:pPr>
            <w:r>
              <w:t>15</w:t>
            </w:r>
          </w:p>
        </w:tc>
        <w:tc>
          <w:tcPr>
            <w:tcW w:w="1417" w:type="dxa"/>
            <w:vAlign w:val="center"/>
          </w:tcPr>
          <w:p w14:paraId="37360C07" w14:textId="77777777" w:rsidR="00DE2601" w:rsidRDefault="00DE2601" w:rsidP="0012012E">
            <w:pPr>
              <w:pStyle w:val="tabletext"/>
              <w:ind w:left="0"/>
              <w:jc w:val="center"/>
            </w:pPr>
            <w:r>
              <w:t>1,417</w:t>
            </w:r>
          </w:p>
        </w:tc>
        <w:tc>
          <w:tcPr>
            <w:tcW w:w="1559" w:type="dxa"/>
            <w:vAlign w:val="center"/>
          </w:tcPr>
          <w:p w14:paraId="2F782F80" w14:textId="77777777" w:rsidR="00DE2601" w:rsidRDefault="00DE2601" w:rsidP="0012012E">
            <w:pPr>
              <w:pStyle w:val="tabletext"/>
              <w:ind w:left="0"/>
              <w:jc w:val="center"/>
            </w:pPr>
            <w:r>
              <w:t>65,163</w:t>
            </w:r>
          </w:p>
        </w:tc>
      </w:tr>
    </w:tbl>
    <w:p w14:paraId="4810C95F" w14:textId="4989EE41" w:rsidR="0012012E" w:rsidRDefault="0012012E" w:rsidP="00D62694">
      <w:pPr>
        <w:pStyle w:val="TableHeadingoutsidetable"/>
        <w:numPr>
          <w:ilvl w:val="4"/>
          <w:numId w:val="23"/>
        </w:numPr>
        <w:spacing w:before="240"/>
        <w:ind w:left="0"/>
      </w:pPr>
      <w:r>
        <w:t xml:space="preserve">: </w:t>
      </w:r>
      <w:r w:rsidR="00114C62">
        <w:t>Estimated time required per in</w:t>
      </w:r>
      <w:r w:rsidR="009349BC">
        <w:noBreakHyphen/>
      </w:r>
      <w:r w:rsidR="00114C62">
        <w:t>depth inquiry of the Ombudsman</w:t>
      </w:r>
    </w:p>
    <w:tbl>
      <w:tblPr>
        <w:tblStyle w:val="TableGrid"/>
        <w:tblW w:w="12015" w:type="dxa"/>
        <w:tblLook w:val="04A0" w:firstRow="1" w:lastRow="0" w:firstColumn="1" w:lastColumn="0" w:noHBand="0" w:noVBand="1"/>
      </w:tblPr>
      <w:tblGrid>
        <w:gridCol w:w="1242"/>
        <w:gridCol w:w="851"/>
        <w:gridCol w:w="1276"/>
        <w:gridCol w:w="1275"/>
        <w:gridCol w:w="1276"/>
        <w:gridCol w:w="992"/>
        <w:gridCol w:w="851"/>
        <w:gridCol w:w="992"/>
        <w:gridCol w:w="992"/>
        <w:gridCol w:w="1134"/>
        <w:gridCol w:w="1134"/>
      </w:tblGrid>
      <w:tr w:rsidR="0012012E" w14:paraId="2ADCD4F4" w14:textId="77777777" w:rsidTr="00D62694">
        <w:tc>
          <w:tcPr>
            <w:tcW w:w="1242" w:type="dxa"/>
          </w:tcPr>
          <w:p w14:paraId="470A246B" w14:textId="77777777" w:rsidR="0012012E" w:rsidRDefault="0012012E" w:rsidP="0012012E">
            <w:pPr>
              <w:pStyle w:val="tableheaderwithintable"/>
            </w:pPr>
            <w:r>
              <w:t>Parties</w:t>
            </w:r>
          </w:p>
        </w:tc>
        <w:tc>
          <w:tcPr>
            <w:tcW w:w="851" w:type="dxa"/>
          </w:tcPr>
          <w:p w14:paraId="6B23EDB7" w14:textId="77777777" w:rsidR="0012012E" w:rsidRDefault="0012012E" w:rsidP="0012012E">
            <w:pPr>
              <w:pStyle w:val="tableheaderwithintable"/>
            </w:pPr>
            <w:r>
              <w:t>No. of parties</w:t>
            </w:r>
          </w:p>
        </w:tc>
        <w:tc>
          <w:tcPr>
            <w:tcW w:w="1276" w:type="dxa"/>
          </w:tcPr>
          <w:p w14:paraId="5C63854F" w14:textId="71B621B0" w:rsidR="0012012E" w:rsidRDefault="0012012E" w:rsidP="0012012E">
            <w:pPr>
              <w:pStyle w:val="tableheaderwithintable"/>
            </w:pPr>
            <w:r>
              <w:t>Preparation and follow</w:t>
            </w:r>
            <w:r w:rsidR="009349BC">
              <w:noBreakHyphen/>
            </w:r>
            <w:r>
              <w:t>ups (GM)</w:t>
            </w:r>
          </w:p>
        </w:tc>
        <w:tc>
          <w:tcPr>
            <w:tcW w:w="1275" w:type="dxa"/>
          </w:tcPr>
          <w:p w14:paraId="70FDFCE4" w14:textId="2C8D1061" w:rsidR="0012012E" w:rsidRDefault="0012012E" w:rsidP="0012012E">
            <w:pPr>
              <w:pStyle w:val="tableheaderwithintable"/>
            </w:pPr>
            <w:r>
              <w:t>Preparation and follow</w:t>
            </w:r>
            <w:r w:rsidR="009349BC">
              <w:noBreakHyphen/>
            </w:r>
            <w:r>
              <w:t>ups (SM)</w:t>
            </w:r>
          </w:p>
        </w:tc>
        <w:tc>
          <w:tcPr>
            <w:tcW w:w="1276" w:type="dxa"/>
          </w:tcPr>
          <w:p w14:paraId="5ADBA4D2" w14:textId="13D35D1D" w:rsidR="0012012E" w:rsidRDefault="0012012E" w:rsidP="0012012E">
            <w:pPr>
              <w:pStyle w:val="tableheaderwithintable"/>
            </w:pPr>
            <w:r>
              <w:t>Preparation and follow</w:t>
            </w:r>
            <w:r w:rsidR="009349BC">
              <w:noBreakHyphen/>
            </w:r>
            <w:r>
              <w:t>ups (P)</w:t>
            </w:r>
          </w:p>
        </w:tc>
        <w:tc>
          <w:tcPr>
            <w:tcW w:w="992" w:type="dxa"/>
          </w:tcPr>
          <w:p w14:paraId="374EFF01" w14:textId="77777777" w:rsidR="0012012E" w:rsidRDefault="0012012E" w:rsidP="0012012E">
            <w:pPr>
              <w:pStyle w:val="tableheaderwithintable"/>
            </w:pPr>
            <w:r>
              <w:t>No. of phone calls</w:t>
            </w:r>
          </w:p>
        </w:tc>
        <w:tc>
          <w:tcPr>
            <w:tcW w:w="851" w:type="dxa"/>
          </w:tcPr>
          <w:p w14:paraId="6C99A6B9" w14:textId="77777777" w:rsidR="0012012E" w:rsidRDefault="0012012E" w:rsidP="0012012E">
            <w:pPr>
              <w:pStyle w:val="tableheaderwithintable"/>
            </w:pPr>
            <w:r>
              <w:t>Hours per phone call</w:t>
            </w:r>
          </w:p>
        </w:tc>
        <w:tc>
          <w:tcPr>
            <w:tcW w:w="992" w:type="dxa"/>
          </w:tcPr>
          <w:p w14:paraId="5D9DED7C" w14:textId="77777777" w:rsidR="0012012E" w:rsidRDefault="0012012E" w:rsidP="0012012E">
            <w:pPr>
              <w:pStyle w:val="tableheaderwithintable"/>
            </w:pPr>
            <w:r>
              <w:t>No. of meetings</w:t>
            </w:r>
          </w:p>
        </w:tc>
        <w:tc>
          <w:tcPr>
            <w:tcW w:w="992" w:type="dxa"/>
          </w:tcPr>
          <w:p w14:paraId="0EAC85A4" w14:textId="77777777" w:rsidR="0012012E" w:rsidRDefault="0012012E" w:rsidP="0012012E">
            <w:pPr>
              <w:pStyle w:val="tableheaderwithintable"/>
            </w:pPr>
            <w:r>
              <w:t>Hours per meeting</w:t>
            </w:r>
          </w:p>
        </w:tc>
        <w:tc>
          <w:tcPr>
            <w:tcW w:w="1134" w:type="dxa"/>
          </w:tcPr>
          <w:p w14:paraId="0B8FA505" w14:textId="28CFB9C7" w:rsidR="0012012E" w:rsidRDefault="0012012E" w:rsidP="00D62694">
            <w:pPr>
              <w:pStyle w:val="tableheaderwithintable"/>
            </w:pPr>
            <w:r>
              <w:t>Cost per party</w:t>
            </w:r>
            <w:r w:rsidR="00D62694">
              <w:br/>
            </w:r>
            <w:r>
              <w:t>($)</w:t>
            </w:r>
          </w:p>
        </w:tc>
        <w:tc>
          <w:tcPr>
            <w:tcW w:w="1134" w:type="dxa"/>
          </w:tcPr>
          <w:p w14:paraId="20BA6C63" w14:textId="77777777" w:rsidR="0012012E" w:rsidRDefault="0012012E" w:rsidP="0012012E">
            <w:pPr>
              <w:pStyle w:val="tableheaderwithintable"/>
            </w:pPr>
            <w:r>
              <w:t>Total costs ($)</w:t>
            </w:r>
          </w:p>
        </w:tc>
      </w:tr>
      <w:tr w:rsidR="0012012E" w14:paraId="35B2FAF1" w14:textId="77777777" w:rsidTr="00D62694">
        <w:tc>
          <w:tcPr>
            <w:tcW w:w="1242" w:type="dxa"/>
          </w:tcPr>
          <w:p w14:paraId="74E256F3" w14:textId="77777777" w:rsidR="0012012E" w:rsidRDefault="0012012E" w:rsidP="0012012E">
            <w:pPr>
              <w:pStyle w:val="tabletext"/>
              <w:ind w:left="0"/>
            </w:pPr>
            <w:r>
              <w:t>Primary</w:t>
            </w:r>
          </w:p>
        </w:tc>
        <w:tc>
          <w:tcPr>
            <w:tcW w:w="851" w:type="dxa"/>
            <w:vAlign w:val="center"/>
          </w:tcPr>
          <w:p w14:paraId="2A2E9EF7" w14:textId="77777777" w:rsidR="0012012E" w:rsidRDefault="0012012E" w:rsidP="0012012E">
            <w:pPr>
              <w:pStyle w:val="tabletext"/>
              <w:ind w:left="0"/>
              <w:jc w:val="center"/>
            </w:pPr>
            <w:r>
              <w:t>3</w:t>
            </w:r>
          </w:p>
        </w:tc>
        <w:tc>
          <w:tcPr>
            <w:tcW w:w="1276" w:type="dxa"/>
            <w:vAlign w:val="center"/>
          </w:tcPr>
          <w:p w14:paraId="599538C7" w14:textId="77777777" w:rsidR="0012012E" w:rsidRDefault="0012012E" w:rsidP="0012012E">
            <w:pPr>
              <w:pStyle w:val="tabletext"/>
              <w:ind w:left="0"/>
              <w:jc w:val="center"/>
            </w:pPr>
            <w:r>
              <w:t>25</w:t>
            </w:r>
          </w:p>
        </w:tc>
        <w:tc>
          <w:tcPr>
            <w:tcW w:w="1275" w:type="dxa"/>
            <w:vAlign w:val="center"/>
          </w:tcPr>
          <w:p w14:paraId="4CB01C55" w14:textId="77777777" w:rsidR="0012012E" w:rsidRDefault="0012012E" w:rsidP="0012012E">
            <w:pPr>
              <w:pStyle w:val="tabletext"/>
              <w:ind w:left="0"/>
              <w:jc w:val="center"/>
            </w:pPr>
            <w:r>
              <w:t>30</w:t>
            </w:r>
          </w:p>
        </w:tc>
        <w:tc>
          <w:tcPr>
            <w:tcW w:w="1276" w:type="dxa"/>
            <w:vAlign w:val="center"/>
          </w:tcPr>
          <w:p w14:paraId="1B3BD441" w14:textId="77777777" w:rsidR="0012012E" w:rsidRDefault="0012012E" w:rsidP="0012012E">
            <w:pPr>
              <w:pStyle w:val="tabletext"/>
              <w:ind w:left="0"/>
              <w:jc w:val="center"/>
            </w:pPr>
            <w:r>
              <w:t>35</w:t>
            </w:r>
          </w:p>
        </w:tc>
        <w:tc>
          <w:tcPr>
            <w:tcW w:w="992" w:type="dxa"/>
            <w:vAlign w:val="center"/>
          </w:tcPr>
          <w:p w14:paraId="614A8040" w14:textId="77777777" w:rsidR="0012012E" w:rsidRDefault="0012012E" w:rsidP="0012012E">
            <w:pPr>
              <w:pStyle w:val="tabletext"/>
              <w:ind w:left="0"/>
              <w:jc w:val="center"/>
            </w:pPr>
            <w:r>
              <w:t>5</w:t>
            </w:r>
          </w:p>
        </w:tc>
        <w:tc>
          <w:tcPr>
            <w:tcW w:w="851" w:type="dxa"/>
            <w:vAlign w:val="center"/>
          </w:tcPr>
          <w:p w14:paraId="022711C3" w14:textId="77777777" w:rsidR="0012012E" w:rsidRDefault="0012012E" w:rsidP="0012012E">
            <w:pPr>
              <w:pStyle w:val="tabletext"/>
              <w:ind w:left="0"/>
              <w:jc w:val="center"/>
            </w:pPr>
            <w:r>
              <w:t>2</w:t>
            </w:r>
          </w:p>
        </w:tc>
        <w:tc>
          <w:tcPr>
            <w:tcW w:w="992" w:type="dxa"/>
            <w:vAlign w:val="center"/>
          </w:tcPr>
          <w:p w14:paraId="2FE118A4" w14:textId="77777777" w:rsidR="0012012E" w:rsidRDefault="0012012E" w:rsidP="0012012E">
            <w:pPr>
              <w:pStyle w:val="tabletext"/>
              <w:ind w:left="0"/>
              <w:jc w:val="center"/>
            </w:pPr>
            <w:r>
              <w:t>5</w:t>
            </w:r>
          </w:p>
        </w:tc>
        <w:tc>
          <w:tcPr>
            <w:tcW w:w="992" w:type="dxa"/>
            <w:vAlign w:val="center"/>
          </w:tcPr>
          <w:p w14:paraId="697B2B43" w14:textId="77777777" w:rsidR="0012012E" w:rsidRDefault="0012012E" w:rsidP="0012012E">
            <w:pPr>
              <w:pStyle w:val="tabletext"/>
              <w:ind w:left="0"/>
              <w:jc w:val="center"/>
            </w:pPr>
            <w:r>
              <w:t>3</w:t>
            </w:r>
          </w:p>
        </w:tc>
        <w:tc>
          <w:tcPr>
            <w:tcW w:w="1134" w:type="dxa"/>
            <w:vAlign w:val="center"/>
          </w:tcPr>
          <w:p w14:paraId="35379876" w14:textId="77777777" w:rsidR="0012012E" w:rsidRDefault="0012012E" w:rsidP="0012012E">
            <w:pPr>
              <w:pStyle w:val="tabletext"/>
              <w:ind w:left="0"/>
              <w:jc w:val="center"/>
            </w:pPr>
            <w:r>
              <w:t>8,446</w:t>
            </w:r>
          </w:p>
        </w:tc>
        <w:tc>
          <w:tcPr>
            <w:tcW w:w="1134" w:type="dxa"/>
            <w:vAlign w:val="center"/>
          </w:tcPr>
          <w:p w14:paraId="30E0A8A8" w14:textId="77777777" w:rsidR="0012012E" w:rsidRDefault="0012012E" w:rsidP="0012012E">
            <w:pPr>
              <w:pStyle w:val="tabletext"/>
              <w:ind w:left="0"/>
              <w:jc w:val="center"/>
            </w:pPr>
            <w:r>
              <w:t>25,337</w:t>
            </w:r>
          </w:p>
        </w:tc>
      </w:tr>
      <w:tr w:rsidR="0012012E" w14:paraId="37A445D3" w14:textId="77777777" w:rsidTr="00D62694">
        <w:tc>
          <w:tcPr>
            <w:tcW w:w="1242" w:type="dxa"/>
          </w:tcPr>
          <w:p w14:paraId="2E51B516" w14:textId="77777777" w:rsidR="0012012E" w:rsidRDefault="0012012E" w:rsidP="0012012E">
            <w:pPr>
              <w:pStyle w:val="tabletext"/>
              <w:ind w:left="0"/>
            </w:pPr>
            <w:r>
              <w:t>Secondary</w:t>
            </w:r>
          </w:p>
        </w:tc>
        <w:tc>
          <w:tcPr>
            <w:tcW w:w="851" w:type="dxa"/>
            <w:vAlign w:val="center"/>
          </w:tcPr>
          <w:p w14:paraId="0F9CD60D" w14:textId="77777777" w:rsidR="0012012E" w:rsidRDefault="0012012E" w:rsidP="0012012E">
            <w:pPr>
              <w:pStyle w:val="tabletext"/>
              <w:ind w:left="0"/>
              <w:jc w:val="center"/>
            </w:pPr>
            <w:r>
              <w:t>5</w:t>
            </w:r>
          </w:p>
        </w:tc>
        <w:tc>
          <w:tcPr>
            <w:tcW w:w="1276" w:type="dxa"/>
            <w:vAlign w:val="center"/>
          </w:tcPr>
          <w:p w14:paraId="0ECC6806" w14:textId="77777777" w:rsidR="0012012E" w:rsidRDefault="0012012E" w:rsidP="0012012E">
            <w:pPr>
              <w:pStyle w:val="tabletext"/>
              <w:ind w:left="0"/>
              <w:jc w:val="center"/>
            </w:pPr>
            <w:r>
              <w:t>15</w:t>
            </w:r>
          </w:p>
        </w:tc>
        <w:tc>
          <w:tcPr>
            <w:tcW w:w="1275" w:type="dxa"/>
            <w:vAlign w:val="center"/>
          </w:tcPr>
          <w:p w14:paraId="52BF639A" w14:textId="77777777" w:rsidR="0012012E" w:rsidRDefault="0012012E" w:rsidP="0012012E">
            <w:pPr>
              <w:pStyle w:val="tabletext"/>
              <w:ind w:left="0"/>
              <w:jc w:val="center"/>
            </w:pPr>
            <w:r>
              <w:t>20</w:t>
            </w:r>
          </w:p>
        </w:tc>
        <w:tc>
          <w:tcPr>
            <w:tcW w:w="1276" w:type="dxa"/>
            <w:vAlign w:val="center"/>
          </w:tcPr>
          <w:p w14:paraId="135CF858" w14:textId="77777777" w:rsidR="0012012E" w:rsidRDefault="0012012E" w:rsidP="0012012E">
            <w:pPr>
              <w:pStyle w:val="tabletext"/>
              <w:ind w:left="0"/>
              <w:jc w:val="center"/>
            </w:pPr>
            <w:r>
              <w:t>25</w:t>
            </w:r>
          </w:p>
        </w:tc>
        <w:tc>
          <w:tcPr>
            <w:tcW w:w="992" w:type="dxa"/>
            <w:vAlign w:val="center"/>
          </w:tcPr>
          <w:p w14:paraId="70B002EF" w14:textId="77777777" w:rsidR="0012012E" w:rsidRDefault="0012012E" w:rsidP="0012012E">
            <w:pPr>
              <w:pStyle w:val="tabletext"/>
              <w:ind w:left="0"/>
              <w:jc w:val="center"/>
            </w:pPr>
            <w:r>
              <w:t>3</w:t>
            </w:r>
          </w:p>
        </w:tc>
        <w:tc>
          <w:tcPr>
            <w:tcW w:w="851" w:type="dxa"/>
            <w:vAlign w:val="center"/>
          </w:tcPr>
          <w:p w14:paraId="2B6D8928" w14:textId="77777777" w:rsidR="0012012E" w:rsidRDefault="0012012E" w:rsidP="0012012E">
            <w:pPr>
              <w:pStyle w:val="tabletext"/>
              <w:ind w:left="0"/>
              <w:jc w:val="center"/>
            </w:pPr>
            <w:r>
              <w:t>2</w:t>
            </w:r>
          </w:p>
        </w:tc>
        <w:tc>
          <w:tcPr>
            <w:tcW w:w="992" w:type="dxa"/>
            <w:vAlign w:val="center"/>
          </w:tcPr>
          <w:p w14:paraId="24338073" w14:textId="77777777" w:rsidR="0012012E" w:rsidRDefault="0012012E" w:rsidP="0012012E">
            <w:pPr>
              <w:pStyle w:val="tabletext"/>
              <w:ind w:left="0"/>
              <w:jc w:val="center"/>
            </w:pPr>
            <w:r>
              <w:t>3</w:t>
            </w:r>
          </w:p>
        </w:tc>
        <w:tc>
          <w:tcPr>
            <w:tcW w:w="992" w:type="dxa"/>
            <w:vAlign w:val="center"/>
          </w:tcPr>
          <w:p w14:paraId="66D3891A" w14:textId="77777777" w:rsidR="0012012E" w:rsidRDefault="0012012E" w:rsidP="0012012E">
            <w:pPr>
              <w:pStyle w:val="tabletext"/>
              <w:ind w:left="0"/>
              <w:jc w:val="center"/>
            </w:pPr>
            <w:r>
              <w:t>3</w:t>
            </w:r>
          </w:p>
        </w:tc>
        <w:tc>
          <w:tcPr>
            <w:tcW w:w="1134" w:type="dxa"/>
            <w:vAlign w:val="center"/>
          </w:tcPr>
          <w:p w14:paraId="5C3F95AB" w14:textId="77777777" w:rsidR="0012012E" w:rsidRDefault="0012012E" w:rsidP="0012012E">
            <w:pPr>
              <w:pStyle w:val="tabletext"/>
              <w:ind w:left="0"/>
              <w:jc w:val="center"/>
            </w:pPr>
            <w:r>
              <w:t>5,328</w:t>
            </w:r>
          </w:p>
        </w:tc>
        <w:tc>
          <w:tcPr>
            <w:tcW w:w="1134" w:type="dxa"/>
            <w:vAlign w:val="center"/>
          </w:tcPr>
          <w:p w14:paraId="0E5D9831" w14:textId="77777777" w:rsidR="0012012E" w:rsidRDefault="0012012E" w:rsidP="0012012E">
            <w:pPr>
              <w:pStyle w:val="tabletext"/>
              <w:ind w:left="0"/>
              <w:jc w:val="center"/>
            </w:pPr>
            <w:r>
              <w:t>26,640</w:t>
            </w:r>
          </w:p>
        </w:tc>
      </w:tr>
      <w:tr w:rsidR="0012012E" w14:paraId="0858E7D4" w14:textId="77777777" w:rsidTr="00D62694">
        <w:tc>
          <w:tcPr>
            <w:tcW w:w="1242" w:type="dxa"/>
          </w:tcPr>
          <w:p w14:paraId="34178812" w14:textId="77777777" w:rsidR="0012012E" w:rsidRDefault="0012012E" w:rsidP="0012012E">
            <w:pPr>
              <w:pStyle w:val="tabletext"/>
              <w:ind w:left="0"/>
            </w:pPr>
            <w:r>
              <w:t>Other</w:t>
            </w:r>
          </w:p>
        </w:tc>
        <w:tc>
          <w:tcPr>
            <w:tcW w:w="851" w:type="dxa"/>
            <w:vAlign w:val="center"/>
          </w:tcPr>
          <w:p w14:paraId="05CBDAE8" w14:textId="77777777" w:rsidR="0012012E" w:rsidRDefault="0012012E" w:rsidP="0012012E">
            <w:pPr>
              <w:pStyle w:val="tabletext"/>
              <w:ind w:left="0"/>
              <w:jc w:val="center"/>
            </w:pPr>
            <w:r>
              <w:t>8</w:t>
            </w:r>
          </w:p>
        </w:tc>
        <w:tc>
          <w:tcPr>
            <w:tcW w:w="1276" w:type="dxa"/>
            <w:vAlign w:val="center"/>
          </w:tcPr>
          <w:p w14:paraId="7899AAE1" w14:textId="77777777" w:rsidR="0012012E" w:rsidRDefault="0012012E" w:rsidP="0012012E">
            <w:pPr>
              <w:pStyle w:val="tabletext"/>
              <w:ind w:left="0"/>
              <w:jc w:val="center"/>
            </w:pPr>
            <w:r>
              <w:t>3</w:t>
            </w:r>
          </w:p>
        </w:tc>
        <w:tc>
          <w:tcPr>
            <w:tcW w:w="1275" w:type="dxa"/>
            <w:vAlign w:val="center"/>
          </w:tcPr>
          <w:p w14:paraId="3A3D6736" w14:textId="77777777" w:rsidR="0012012E" w:rsidRDefault="0012012E" w:rsidP="0012012E">
            <w:pPr>
              <w:pStyle w:val="tabletext"/>
              <w:ind w:left="0"/>
              <w:jc w:val="center"/>
            </w:pPr>
            <w:r>
              <w:t>5</w:t>
            </w:r>
          </w:p>
        </w:tc>
        <w:tc>
          <w:tcPr>
            <w:tcW w:w="1276" w:type="dxa"/>
            <w:vAlign w:val="center"/>
          </w:tcPr>
          <w:p w14:paraId="60AD44A1" w14:textId="77777777" w:rsidR="0012012E" w:rsidRDefault="0012012E" w:rsidP="0012012E">
            <w:pPr>
              <w:pStyle w:val="tabletext"/>
              <w:ind w:left="0"/>
              <w:jc w:val="center"/>
            </w:pPr>
            <w:r>
              <w:t>8</w:t>
            </w:r>
          </w:p>
        </w:tc>
        <w:tc>
          <w:tcPr>
            <w:tcW w:w="992" w:type="dxa"/>
            <w:vAlign w:val="center"/>
          </w:tcPr>
          <w:p w14:paraId="722EAF4C" w14:textId="77777777" w:rsidR="0012012E" w:rsidRDefault="0012012E" w:rsidP="0012012E">
            <w:pPr>
              <w:pStyle w:val="tabletext"/>
              <w:ind w:left="0"/>
              <w:jc w:val="center"/>
            </w:pPr>
            <w:r>
              <w:t>0</w:t>
            </w:r>
          </w:p>
        </w:tc>
        <w:tc>
          <w:tcPr>
            <w:tcW w:w="851" w:type="dxa"/>
            <w:vAlign w:val="center"/>
          </w:tcPr>
          <w:p w14:paraId="0407FC83" w14:textId="77777777" w:rsidR="0012012E" w:rsidRDefault="0012012E" w:rsidP="0012012E">
            <w:pPr>
              <w:pStyle w:val="tabletext"/>
              <w:ind w:left="0"/>
              <w:jc w:val="center"/>
            </w:pPr>
            <w:r>
              <w:t>0</w:t>
            </w:r>
          </w:p>
        </w:tc>
        <w:tc>
          <w:tcPr>
            <w:tcW w:w="992" w:type="dxa"/>
            <w:vAlign w:val="center"/>
          </w:tcPr>
          <w:p w14:paraId="416ED17B" w14:textId="77777777" w:rsidR="0012012E" w:rsidRDefault="0012012E" w:rsidP="0012012E">
            <w:pPr>
              <w:pStyle w:val="tabletext"/>
              <w:ind w:left="0"/>
              <w:jc w:val="center"/>
            </w:pPr>
            <w:r>
              <w:t>1</w:t>
            </w:r>
          </w:p>
        </w:tc>
        <w:tc>
          <w:tcPr>
            <w:tcW w:w="992" w:type="dxa"/>
            <w:vAlign w:val="center"/>
          </w:tcPr>
          <w:p w14:paraId="536735BF" w14:textId="77777777" w:rsidR="0012012E" w:rsidRDefault="0012012E" w:rsidP="0012012E">
            <w:pPr>
              <w:pStyle w:val="tabletext"/>
              <w:ind w:left="0"/>
              <w:jc w:val="center"/>
            </w:pPr>
            <w:r>
              <w:t>3</w:t>
            </w:r>
          </w:p>
        </w:tc>
        <w:tc>
          <w:tcPr>
            <w:tcW w:w="1134" w:type="dxa"/>
            <w:vAlign w:val="center"/>
          </w:tcPr>
          <w:p w14:paraId="3985C6F7" w14:textId="77777777" w:rsidR="0012012E" w:rsidRDefault="0012012E" w:rsidP="0012012E">
            <w:pPr>
              <w:pStyle w:val="tabletext"/>
              <w:ind w:left="0"/>
              <w:jc w:val="center"/>
            </w:pPr>
            <w:r>
              <w:t>1,235</w:t>
            </w:r>
          </w:p>
        </w:tc>
        <w:tc>
          <w:tcPr>
            <w:tcW w:w="1134" w:type="dxa"/>
            <w:vAlign w:val="center"/>
          </w:tcPr>
          <w:p w14:paraId="5C2EBEC1" w14:textId="77777777" w:rsidR="0012012E" w:rsidRDefault="0012012E" w:rsidP="0012012E">
            <w:pPr>
              <w:pStyle w:val="tabletext"/>
              <w:ind w:left="0"/>
              <w:jc w:val="center"/>
            </w:pPr>
            <w:r>
              <w:t>9,876</w:t>
            </w:r>
          </w:p>
        </w:tc>
      </w:tr>
      <w:tr w:rsidR="0012012E" w14:paraId="6FBC8F9F" w14:textId="77777777" w:rsidTr="00D62694">
        <w:tc>
          <w:tcPr>
            <w:tcW w:w="1242" w:type="dxa"/>
          </w:tcPr>
          <w:p w14:paraId="55C27134" w14:textId="77777777" w:rsidR="0012012E" w:rsidRDefault="0012012E" w:rsidP="0012012E">
            <w:pPr>
              <w:pStyle w:val="tabletext"/>
              <w:ind w:left="0"/>
            </w:pPr>
            <w:r>
              <w:t>Total</w:t>
            </w:r>
          </w:p>
        </w:tc>
        <w:tc>
          <w:tcPr>
            <w:tcW w:w="851" w:type="dxa"/>
            <w:vAlign w:val="center"/>
          </w:tcPr>
          <w:p w14:paraId="1F7DB2C8" w14:textId="77777777" w:rsidR="0012012E" w:rsidRDefault="0012012E" w:rsidP="0012012E">
            <w:pPr>
              <w:pStyle w:val="tabletext"/>
              <w:ind w:left="0"/>
              <w:jc w:val="center"/>
            </w:pPr>
          </w:p>
        </w:tc>
        <w:tc>
          <w:tcPr>
            <w:tcW w:w="1276" w:type="dxa"/>
            <w:vAlign w:val="center"/>
          </w:tcPr>
          <w:p w14:paraId="344062CC" w14:textId="77777777" w:rsidR="0012012E" w:rsidRDefault="0012012E" w:rsidP="0012012E">
            <w:pPr>
              <w:pStyle w:val="tabletext"/>
              <w:ind w:left="0"/>
              <w:jc w:val="center"/>
            </w:pPr>
          </w:p>
        </w:tc>
        <w:tc>
          <w:tcPr>
            <w:tcW w:w="1275" w:type="dxa"/>
            <w:vAlign w:val="center"/>
          </w:tcPr>
          <w:p w14:paraId="251AF22B" w14:textId="77777777" w:rsidR="0012012E" w:rsidRDefault="0012012E" w:rsidP="0012012E">
            <w:pPr>
              <w:pStyle w:val="tabletext"/>
              <w:ind w:left="0"/>
              <w:jc w:val="center"/>
            </w:pPr>
          </w:p>
        </w:tc>
        <w:tc>
          <w:tcPr>
            <w:tcW w:w="1276" w:type="dxa"/>
            <w:vAlign w:val="center"/>
          </w:tcPr>
          <w:p w14:paraId="15C92F18" w14:textId="77777777" w:rsidR="0012012E" w:rsidRDefault="0012012E" w:rsidP="0012012E">
            <w:pPr>
              <w:pStyle w:val="tabletext"/>
              <w:ind w:left="0"/>
              <w:jc w:val="center"/>
            </w:pPr>
          </w:p>
        </w:tc>
        <w:tc>
          <w:tcPr>
            <w:tcW w:w="992" w:type="dxa"/>
            <w:vAlign w:val="center"/>
          </w:tcPr>
          <w:p w14:paraId="62206C88" w14:textId="77777777" w:rsidR="0012012E" w:rsidRDefault="0012012E" w:rsidP="0012012E">
            <w:pPr>
              <w:pStyle w:val="tabletext"/>
              <w:ind w:left="0"/>
              <w:jc w:val="center"/>
            </w:pPr>
          </w:p>
        </w:tc>
        <w:tc>
          <w:tcPr>
            <w:tcW w:w="851" w:type="dxa"/>
            <w:vAlign w:val="center"/>
          </w:tcPr>
          <w:p w14:paraId="10F07BD2" w14:textId="77777777" w:rsidR="0012012E" w:rsidRDefault="0012012E" w:rsidP="0012012E">
            <w:pPr>
              <w:pStyle w:val="tabletext"/>
              <w:ind w:left="0"/>
              <w:jc w:val="center"/>
            </w:pPr>
          </w:p>
        </w:tc>
        <w:tc>
          <w:tcPr>
            <w:tcW w:w="992" w:type="dxa"/>
            <w:vAlign w:val="center"/>
          </w:tcPr>
          <w:p w14:paraId="74CAD5AB" w14:textId="77777777" w:rsidR="0012012E" w:rsidRDefault="0012012E" w:rsidP="0012012E">
            <w:pPr>
              <w:pStyle w:val="tabletext"/>
              <w:ind w:left="0"/>
              <w:jc w:val="center"/>
            </w:pPr>
          </w:p>
        </w:tc>
        <w:tc>
          <w:tcPr>
            <w:tcW w:w="992" w:type="dxa"/>
            <w:vAlign w:val="center"/>
          </w:tcPr>
          <w:p w14:paraId="2473EBAC" w14:textId="77777777" w:rsidR="0012012E" w:rsidRDefault="0012012E" w:rsidP="0012012E">
            <w:pPr>
              <w:pStyle w:val="tabletext"/>
              <w:ind w:left="0"/>
              <w:jc w:val="center"/>
            </w:pPr>
          </w:p>
        </w:tc>
        <w:tc>
          <w:tcPr>
            <w:tcW w:w="1134" w:type="dxa"/>
            <w:vAlign w:val="center"/>
          </w:tcPr>
          <w:p w14:paraId="0E24E434" w14:textId="77777777" w:rsidR="0012012E" w:rsidRDefault="0012012E" w:rsidP="0012012E">
            <w:pPr>
              <w:pStyle w:val="tabletext"/>
              <w:ind w:left="0"/>
              <w:jc w:val="center"/>
            </w:pPr>
          </w:p>
        </w:tc>
        <w:tc>
          <w:tcPr>
            <w:tcW w:w="1134" w:type="dxa"/>
            <w:vAlign w:val="center"/>
          </w:tcPr>
          <w:p w14:paraId="385353A4" w14:textId="77777777" w:rsidR="0012012E" w:rsidRDefault="0012012E" w:rsidP="0012012E">
            <w:pPr>
              <w:pStyle w:val="tabletext"/>
              <w:ind w:left="0"/>
              <w:jc w:val="center"/>
            </w:pPr>
            <w:r>
              <w:t>61,854</w:t>
            </w:r>
          </w:p>
        </w:tc>
      </w:tr>
    </w:tbl>
    <w:p w14:paraId="2FDEA6D2" w14:textId="77777777" w:rsidR="002444C0" w:rsidRDefault="002444C0" w:rsidP="00D62694">
      <w:pPr>
        <w:pStyle w:val="base-text-paragraphnonumbers"/>
        <w:ind w:left="0"/>
      </w:pPr>
    </w:p>
    <w:p w14:paraId="0BB29AE3" w14:textId="77777777" w:rsidR="002444C0" w:rsidRDefault="002444C0" w:rsidP="00D62694">
      <w:pPr>
        <w:pStyle w:val="base-text-paragraphnonumbers"/>
        <w:ind w:left="0"/>
        <w:sectPr w:rsidR="002444C0" w:rsidSect="002444C0">
          <w:headerReference w:type="first" r:id="rId72"/>
          <w:footerReference w:type="first" r:id="rId73"/>
          <w:pgSz w:w="16838" w:h="11906" w:orient="landscape" w:code="9"/>
          <w:pgMar w:top="2098" w:right="2466" w:bottom="2098" w:left="2466" w:header="1559" w:footer="1899" w:gutter="0"/>
          <w:cols w:space="708"/>
          <w:titlePg/>
          <w:docGrid w:linePitch="360"/>
        </w:sectPr>
      </w:pPr>
    </w:p>
    <w:p w14:paraId="5DECACB6" w14:textId="74DD7A56" w:rsidR="00D808B7" w:rsidRDefault="003C346A" w:rsidP="00200FC3">
      <w:pPr>
        <w:pStyle w:val="base-text-paragraph"/>
      </w:pPr>
      <w:r w:rsidRPr="003C346A">
        <w:t>The cost to business of participating in a hearing</w:t>
      </w:r>
      <w:r w:rsidR="009349BC">
        <w:noBreakHyphen/>
      </w:r>
      <w:r w:rsidRPr="003C346A">
        <w:t>based inquiry is $374,596. If one hearing</w:t>
      </w:r>
      <w:r w:rsidR="009349BC">
        <w:noBreakHyphen/>
      </w:r>
      <w:r w:rsidRPr="003C346A">
        <w:t>based inquiry is conducted every four years, this would average $93,649 per year.</w:t>
      </w:r>
      <w:r w:rsidR="00D808B7" w:rsidRPr="00D808B7">
        <w:t xml:space="preserve"> </w:t>
      </w:r>
    </w:p>
    <w:p w14:paraId="5BAAAF70" w14:textId="77777777" w:rsidR="003C346A" w:rsidRDefault="003C346A" w:rsidP="00C71EE9">
      <w:pPr>
        <w:pStyle w:val="Heading5"/>
      </w:pPr>
      <w:r>
        <w:t>Interview/submission based projects</w:t>
      </w:r>
    </w:p>
    <w:p w14:paraId="3E19360D" w14:textId="6196C70A" w:rsidR="00D808B7" w:rsidRDefault="003C346A" w:rsidP="00200FC3">
      <w:pPr>
        <w:pStyle w:val="base-text-paragraph"/>
      </w:pPr>
      <w:r w:rsidRPr="003C346A">
        <w:t>The Australian Small Business Commissioner</w:t>
      </w:r>
      <w:r w:rsidR="009349BC">
        <w:t>’</w:t>
      </w:r>
      <w:r w:rsidRPr="003C346A">
        <w:t xml:space="preserve">s report </w:t>
      </w:r>
      <w:r w:rsidRPr="003C346A">
        <w:rPr>
          <w:i/>
        </w:rPr>
        <w:t>ASIO building: the costs of poor contracting practices</w:t>
      </w:r>
      <w:r w:rsidRPr="003C346A">
        <w:t xml:space="preserve"> has been used as a model for these costs</w:t>
      </w:r>
      <w:r w:rsidR="009041EE">
        <w:t xml:space="preserve">. </w:t>
      </w:r>
    </w:p>
    <w:p w14:paraId="683B6CCF" w14:textId="7A3A433B" w:rsidR="00D808B7" w:rsidRDefault="003C346A" w:rsidP="00200FC3">
      <w:pPr>
        <w:pStyle w:val="base-text-paragraph"/>
      </w:pPr>
      <w:r w:rsidRPr="003C346A">
        <w:t>For the purposes of estimating the economic cost, parties involved in the Ombudsman</w:t>
      </w:r>
      <w:r w:rsidR="009349BC">
        <w:t>’</w:t>
      </w:r>
      <w:r w:rsidRPr="003C346A">
        <w:t>s inquiries have been categorised as primary, secondary or other stakeholders</w:t>
      </w:r>
      <w:r w:rsidR="009041EE">
        <w:t xml:space="preserve">. </w:t>
      </w:r>
      <w:r w:rsidRPr="003C346A">
        <w:t>It is assumed the Office of the Ombudsman could conduct both an interactive engagement with these stakeholders through meetings and phone conferences</w:t>
      </w:r>
      <w:r w:rsidR="009041EE">
        <w:t xml:space="preserve">. </w:t>
      </w:r>
      <w:r w:rsidRPr="003C346A">
        <w:t xml:space="preserve">It may also openly call for submissions from organisations on a voluntary basis. </w:t>
      </w:r>
    </w:p>
    <w:p w14:paraId="4ACA241B" w14:textId="77777777" w:rsidR="00D808B7" w:rsidRDefault="003C346A" w:rsidP="00200FC3">
      <w:pPr>
        <w:pStyle w:val="base-text-paragraph"/>
      </w:pPr>
      <w:r w:rsidRPr="003C346A">
        <w:t xml:space="preserve">On average, each party is assumed to involve three staff (general manager, senior manager, junior professional) in the process. The costs of these staff the same as those outlined in </w:t>
      </w:r>
      <w:r w:rsidRPr="00E26B9A">
        <w:rPr>
          <w:b/>
        </w:rPr>
        <w:t xml:space="preserve">Table </w:t>
      </w:r>
      <w:r w:rsidR="00A82CD1" w:rsidRPr="00E26B9A">
        <w:rPr>
          <w:b/>
        </w:rPr>
        <w:t>10.</w:t>
      </w:r>
      <w:r w:rsidRPr="00E26B9A">
        <w:rPr>
          <w:b/>
        </w:rPr>
        <w:t>1</w:t>
      </w:r>
      <w:r w:rsidRPr="003C346A">
        <w:t xml:space="preserve">. </w:t>
      </w:r>
    </w:p>
    <w:p w14:paraId="47D7F0A8" w14:textId="77777777" w:rsidR="00D808B7" w:rsidRDefault="003C346A" w:rsidP="00200FC3">
      <w:pPr>
        <w:pStyle w:val="base-text-paragraph"/>
      </w:pPr>
      <w:r w:rsidRPr="003C346A">
        <w:t xml:space="preserve">The average time spent assisting with the inquiry is outlined in </w:t>
      </w:r>
      <w:r w:rsidR="00A82CD1">
        <w:t xml:space="preserve">the </w:t>
      </w:r>
      <w:r w:rsidRPr="00A82CD1">
        <w:rPr>
          <w:b/>
        </w:rPr>
        <w:t>Table</w:t>
      </w:r>
      <w:r w:rsidR="00E26B9A">
        <w:rPr>
          <w:b/>
        </w:rPr>
        <w:t xml:space="preserve"> 10.3</w:t>
      </w:r>
      <w:r w:rsidRPr="003C346A">
        <w:t>. It assumed that all four staff will participate in meetings, phone interviews and undertake preparatory work.</w:t>
      </w:r>
      <w:r w:rsidR="00D808B7" w:rsidRPr="00D808B7">
        <w:t xml:space="preserve"> </w:t>
      </w:r>
    </w:p>
    <w:p w14:paraId="4238367F" w14:textId="77777777" w:rsidR="00114C62" w:rsidRDefault="00114C62" w:rsidP="00200FC3">
      <w:pPr>
        <w:pStyle w:val="base-text-paragraph"/>
      </w:pPr>
      <w:r>
        <w:t xml:space="preserve">Undertaking taking 1.5 </w:t>
      </w:r>
      <w:r w:rsidRPr="00B77F55">
        <w:t xml:space="preserve">Interview/ submission based </w:t>
      </w:r>
      <w:r>
        <w:t>projects per</w:t>
      </w:r>
      <w:r w:rsidR="000D67D8">
        <w:t> </w:t>
      </w:r>
      <w:r>
        <w:t>year, the estimated cost to business is estimated to be $92,780</w:t>
      </w:r>
      <w:r>
        <w:rPr>
          <w:rFonts w:ascii="Calibri" w:hAnsi="Calibri"/>
          <w:color w:val="000000"/>
        </w:rPr>
        <w:t>.</w:t>
      </w:r>
    </w:p>
    <w:p w14:paraId="018F7B56" w14:textId="77777777" w:rsidR="00D9423F" w:rsidRDefault="00D9423F" w:rsidP="00C71EE9">
      <w:pPr>
        <w:pStyle w:val="Heading4"/>
      </w:pPr>
      <w:r>
        <w:t>Quant</w:t>
      </w:r>
      <w:r w:rsidR="00D23705">
        <w:t>it</w:t>
      </w:r>
      <w:r>
        <w:t>ative costs: dispute resolution</w:t>
      </w:r>
    </w:p>
    <w:p w14:paraId="787B3382" w14:textId="2462A0EF" w:rsidR="00D808B7" w:rsidRDefault="00D9423F" w:rsidP="00200FC3">
      <w:pPr>
        <w:pStyle w:val="base-text-paragraph"/>
      </w:pPr>
      <w:r w:rsidRPr="00D9423F">
        <w:t>The Ombudsman</w:t>
      </w:r>
      <w:r w:rsidR="009349BC">
        <w:t>’</w:t>
      </w:r>
      <w:r w:rsidRPr="00D9423F">
        <w:t>s dispute resolution function will be supported by legislated powers to refer matters to appropriate, existing agencies; require parties to provide information in relation to a dispute; refer matters to its own ADR service; and publicise name of parties not willing to participate in a recommended ADR process</w:t>
      </w:r>
      <w:r w:rsidR="009041EE">
        <w:t xml:space="preserve">. </w:t>
      </w:r>
    </w:p>
    <w:p w14:paraId="2973F4F2" w14:textId="74DC61BB" w:rsidR="00D808B7" w:rsidRDefault="00D9423F" w:rsidP="00200FC3">
      <w:pPr>
        <w:pStyle w:val="base-text-paragraph"/>
      </w:pPr>
      <w:r w:rsidRPr="00D9423F">
        <w:t>It is not expected that the Ombudsman would regularly exercise its powers to incentivise parties to participate in mediation. However parties participating in the Ombudsman</w:t>
      </w:r>
      <w:r w:rsidR="009349BC">
        <w:t>’</w:t>
      </w:r>
      <w:r w:rsidRPr="00D9423F">
        <w:t>s own ADR service will bear economic costs (in staffing resources and out of pocket expenses)</w:t>
      </w:r>
      <w:r w:rsidR="009041EE">
        <w:t xml:space="preserve">. </w:t>
      </w:r>
    </w:p>
    <w:p w14:paraId="6088AA60" w14:textId="77777777" w:rsidR="00D808B7" w:rsidRDefault="00D9423F" w:rsidP="00200FC3">
      <w:pPr>
        <w:pStyle w:val="base-text-paragraph"/>
      </w:pPr>
      <w:r w:rsidRPr="00D9423F">
        <w:t>The costs borne by parties depend on how the issue is dealt with by the Ombudsman</w:t>
      </w:r>
      <w:r w:rsidR="009041EE">
        <w:t xml:space="preserve">. </w:t>
      </w:r>
      <w:r w:rsidRPr="00D9423F">
        <w:t>All small business complaints and enquiries received by the Ombudsman will go through an initial assistance and referral phase. On receiving a request for assistance in a dispute, the Ombudsman may decide not to provide assistance; refer the dispute to the appropriate agency; or recommend an alternative dispute resolution process.</w:t>
      </w:r>
      <w:r w:rsidR="00D808B7" w:rsidRPr="00D808B7">
        <w:t xml:space="preserve"> </w:t>
      </w:r>
    </w:p>
    <w:p w14:paraId="75FD0322" w14:textId="77777777" w:rsidR="00D808B7" w:rsidRDefault="00D9423F" w:rsidP="00200FC3">
      <w:pPr>
        <w:pStyle w:val="base-text-paragraph"/>
      </w:pPr>
      <w:r w:rsidRPr="00D53C03">
        <w:rPr>
          <w:b/>
        </w:rPr>
        <w:t>Appendix C</w:t>
      </w:r>
      <w:r w:rsidRPr="00D9423F">
        <w:t xml:space="preserve"> depicts the process of how a case is managed and escalated through the office of the Ombudsman. It also includes estimates on the number of cases that are expected to be dealt with by the Ombudsman each year</w:t>
      </w:r>
      <w:r w:rsidR="009041EE">
        <w:t xml:space="preserve">. </w:t>
      </w:r>
      <w:r w:rsidRPr="00D9423F">
        <w:t>Assumptions underlying these figures are detailed below.</w:t>
      </w:r>
      <w:r w:rsidR="00D808B7" w:rsidRPr="00D808B7">
        <w:t xml:space="preserve"> </w:t>
      </w:r>
    </w:p>
    <w:p w14:paraId="066E1C87" w14:textId="77777777" w:rsidR="00D9423F" w:rsidRDefault="00D9423F" w:rsidP="00C71EE9">
      <w:pPr>
        <w:pStyle w:val="Heading5"/>
      </w:pPr>
      <w:r>
        <w:t>Incoming enquiries</w:t>
      </w:r>
    </w:p>
    <w:p w14:paraId="49490D2E" w14:textId="77777777" w:rsidR="00D808B7" w:rsidRDefault="00D9423F" w:rsidP="00200FC3">
      <w:pPr>
        <w:pStyle w:val="base-text-paragraph"/>
      </w:pPr>
      <w:r w:rsidRPr="00D9423F">
        <w:t>As an estimate for demand for dispute resolution, Treasury has sought figures from existing Commonwealth and national complaints bodies to identify the number of complaints each agency received in the last financial year from small businesses that fell outside their jurisdiction. The Ombudsman is expected to fill this gap so small businesses can have their complaints heard. Treasury has used these figures as a proxy for the expected volume of small business disputes that may be brought forward to the Ombudsman each year</w:t>
      </w:r>
      <w:r w:rsidR="009041EE">
        <w:t xml:space="preserve">. </w:t>
      </w:r>
    </w:p>
    <w:p w14:paraId="128B8903" w14:textId="77777777" w:rsidR="00D808B7" w:rsidRDefault="00D9423F" w:rsidP="00200FC3">
      <w:pPr>
        <w:pStyle w:val="base-text-paragraph"/>
      </w:pPr>
      <w:r w:rsidRPr="00D9423F">
        <w:t>Treasury assumes that the level of disputation will not increase above the status quo as the estimated demand is based on the existing number of enquiries that come through to, but not within the jurisdiction of, existing complaints frameworks</w:t>
      </w:r>
      <w:r w:rsidR="009041EE">
        <w:t xml:space="preserve">. </w:t>
      </w:r>
    </w:p>
    <w:p w14:paraId="0E13EFC4" w14:textId="77777777" w:rsidR="00D9423F" w:rsidRDefault="00D9423F" w:rsidP="00C71EE9">
      <w:pPr>
        <w:pStyle w:val="Heading5"/>
      </w:pPr>
      <w:r>
        <w:t>Initial advice and referrals</w:t>
      </w:r>
    </w:p>
    <w:p w14:paraId="2DE1E41B" w14:textId="62ADB108" w:rsidR="00D808B7" w:rsidRDefault="00D9423F" w:rsidP="00200FC3">
      <w:pPr>
        <w:pStyle w:val="base-text-paragraph"/>
      </w:pPr>
      <w:r w:rsidRPr="00D9423F">
        <w:t>Requests for assistance from small businesses are expected to initially be triaged through an information line service, similar to the Australian Small Business Commissioner</w:t>
      </w:r>
      <w:r w:rsidR="009349BC">
        <w:t>’</w:t>
      </w:r>
      <w:r w:rsidRPr="00D9423F">
        <w:t xml:space="preserve">s Information Line. This initial inquiry stage will involve talking through the issues with the business and suggesting informal and formal actions they could take to progress to the dispute. </w:t>
      </w:r>
    </w:p>
    <w:p w14:paraId="4DF8B899" w14:textId="4AC81E2B" w:rsidR="00D808B7" w:rsidRDefault="00D9423F" w:rsidP="00200FC3">
      <w:pPr>
        <w:pStyle w:val="base-text-paragraph"/>
      </w:pPr>
      <w:r w:rsidRPr="00D9423F">
        <w:t>Not all incoming enquiries will fall within the Ombudsman</w:t>
      </w:r>
      <w:r w:rsidR="009349BC">
        <w:t>’</w:t>
      </w:r>
      <w:r w:rsidRPr="00D9423F">
        <w:t>s jurisdiction and therefore be escalated to its own ADR service</w:t>
      </w:r>
      <w:r w:rsidR="009041EE">
        <w:t xml:space="preserve">. </w:t>
      </w:r>
      <w:r w:rsidRPr="00D9423F">
        <w:t xml:space="preserve">Further, the Bill requires the Ombudsman to transfer a request for assistance to another Commonwealth, </w:t>
      </w:r>
      <w:r w:rsidR="00182F12">
        <w:t>state or territory</w:t>
      </w:r>
      <w:r w:rsidRPr="00D9423F">
        <w:t xml:space="preserve"> agency, if that agency could deal with the request and it would be more effective and convenient for that agency to do so. </w:t>
      </w:r>
    </w:p>
    <w:p w14:paraId="59CEA8C9" w14:textId="6A22FF95" w:rsidR="00D808B7" w:rsidRDefault="00D9423F" w:rsidP="00200FC3">
      <w:pPr>
        <w:pStyle w:val="base-text-paragraph"/>
      </w:pPr>
      <w:r w:rsidRPr="00D9423F">
        <w:t>It is difficult to estimate the number of matters that will fall within the jurisdiction of the Ombudsman</w:t>
      </w:r>
      <w:r w:rsidR="009349BC">
        <w:t>’</w:t>
      </w:r>
      <w:r w:rsidRPr="00D9423F">
        <w:t>s own ADR service (small business disputes relating to Commonwealth agencies, interstate trade and international trade) and where an ADR process would be appropriate. The complaints data obtained from Commonwealth complaints agencies does not capture sufficient information to identify whether matters fall within these categories. Given the narrow range of disputes that can be handled by the Ombudsman</w:t>
      </w:r>
      <w:r w:rsidR="009349BC">
        <w:t>’</w:t>
      </w:r>
      <w:r w:rsidRPr="00D9423F">
        <w:t>s own ADR service, it is assumed 75 per cent of inquiries would be either be dealt with through initial advice or referred to other existing services. The remaining 25 per cent would be within scope of the Ombudsman</w:t>
      </w:r>
      <w:r w:rsidR="009349BC">
        <w:t>’</w:t>
      </w:r>
      <w:r w:rsidRPr="00D9423F">
        <w:t xml:space="preserve">s own ADR service and for which an ADR service is considered an appropriate course of action. </w:t>
      </w:r>
    </w:p>
    <w:p w14:paraId="682E13BD" w14:textId="77777777" w:rsidR="00D808B7" w:rsidRDefault="00D9423F" w:rsidP="00200FC3">
      <w:pPr>
        <w:pStyle w:val="base-text-paragraph"/>
      </w:pPr>
      <w:r w:rsidRPr="00D9423F">
        <w:t>Given that small business and family enterprises can approach the Ombudsman voluntarily (it is not anticipated that there will be any application forms to receive information and advice), there is no regulatory cost for businesses at this stage</w:t>
      </w:r>
      <w:r w:rsidR="009041EE">
        <w:t xml:space="preserve">. </w:t>
      </w:r>
    </w:p>
    <w:p w14:paraId="4AB82901" w14:textId="77777777" w:rsidR="00D9423F" w:rsidRDefault="00D9423F" w:rsidP="00C71EE9">
      <w:pPr>
        <w:pStyle w:val="Heading5"/>
      </w:pPr>
      <w:r>
        <w:t>Own ADR service</w:t>
      </w:r>
    </w:p>
    <w:p w14:paraId="1609E20F" w14:textId="2E7052AB" w:rsidR="00D808B7" w:rsidRDefault="00D9423F" w:rsidP="00200FC3">
      <w:pPr>
        <w:pStyle w:val="base-text-paragraph"/>
      </w:pPr>
      <w:r w:rsidRPr="00D9423F">
        <w:t>If a dispute falls under the Ombudsman</w:t>
      </w:r>
      <w:r w:rsidR="009349BC">
        <w:t>’</w:t>
      </w:r>
      <w:r w:rsidRPr="00D9423F">
        <w:t>s jurisdiction, the Ombudsman may recommend parties participate in an ADR process</w:t>
      </w:r>
      <w:r w:rsidR="009041EE">
        <w:t xml:space="preserve">. </w:t>
      </w:r>
      <w:r w:rsidRPr="00D9423F">
        <w:t>ADR (as defined in the Bill) can include early stage guided resolution; investigation; conciliation (making no determinations); assisted negotiation and mediation. To ensure impartiality, the Ombudsman</w:t>
      </w:r>
      <w:r w:rsidR="009349BC">
        <w:t>’</w:t>
      </w:r>
      <w:r w:rsidRPr="00D9423F">
        <w:t xml:space="preserve">s own ADR service will be delivered through an outsourced arrangement. </w:t>
      </w:r>
    </w:p>
    <w:p w14:paraId="143212FF" w14:textId="5BCC6090" w:rsidR="00D808B7" w:rsidRDefault="00D9423F" w:rsidP="00200FC3">
      <w:pPr>
        <w:pStyle w:val="base-text-paragraph"/>
      </w:pPr>
      <w:r w:rsidRPr="00D9423F">
        <w:t>The type of ADR process will impact the cost to businesses of participating. For example, state</w:t>
      </w:r>
      <w:r w:rsidR="009349BC">
        <w:noBreakHyphen/>
      </w:r>
      <w:r w:rsidRPr="00D9423F">
        <w:t>based small business commissioners generally offer a pre</w:t>
      </w:r>
      <w:r w:rsidR="009349BC">
        <w:noBreakHyphen/>
      </w:r>
      <w:r w:rsidRPr="00D9423F">
        <w:t>mediation service at no charge. This lighter touch approach can be conducive to resolving a dispute without the necessity to progress into formal mediation processes. It can involve case manager</w:t>
      </w:r>
      <w:r w:rsidR="009349BC">
        <w:t>’</w:t>
      </w:r>
      <w:r w:rsidRPr="00D9423F">
        <w:t>s separately approaching parties to a dispute to gather and clarify factual information on the matter.</w:t>
      </w:r>
      <w:r w:rsidR="00D808B7" w:rsidRPr="00D808B7">
        <w:t xml:space="preserve"> </w:t>
      </w:r>
    </w:p>
    <w:p w14:paraId="600F874B" w14:textId="77777777" w:rsidR="00D9423F" w:rsidRDefault="00D9423F" w:rsidP="00C71EE9">
      <w:pPr>
        <w:pStyle w:val="Heading6"/>
      </w:pPr>
      <w:r>
        <w:t>Light touch</w:t>
      </w:r>
    </w:p>
    <w:p w14:paraId="4EC62D19" w14:textId="5A71AECF" w:rsidR="00D808B7" w:rsidRDefault="00D9423F" w:rsidP="00200FC3">
      <w:pPr>
        <w:pStyle w:val="base-text-paragraph"/>
      </w:pPr>
      <w:r w:rsidRPr="00D9423F">
        <w:t>It is assumed that the proportion of cases that would go through a lighter touch ADR service reflects the number of inquiries that are received by the state</w:t>
      </w:r>
      <w:r w:rsidR="009349BC">
        <w:noBreakHyphen/>
      </w:r>
      <w:r w:rsidRPr="00D9423F">
        <w:t>based small business commissioners that go through their pre</w:t>
      </w:r>
      <w:r w:rsidR="009349BC">
        <w:noBreakHyphen/>
      </w:r>
      <w:r w:rsidRPr="00D9423F">
        <w:t>mediation service. On average, this is estimated to be 13 per cent.</w:t>
      </w:r>
      <w:r w:rsidR="00D808B7" w:rsidRPr="00D808B7">
        <w:t xml:space="preserve"> </w:t>
      </w:r>
    </w:p>
    <w:p w14:paraId="23BD04A8" w14:textId="1569A15A" w:rsidR="00D808B7" w:rsidRDefault="00D9423F" w:rsidP="00200FC3">
      <w:pPr>
        <w:pStyle w:val="base-text-paragraph"/>
      </w:pPr>
      <w:r w:rsidRPr="00D9423F">
        <w:t>Advice from case managers within the offices of the state</w:t>
      </w:r>
      <w:r w:rsidR="009349BC">
        <w:noBreakHyphen/>
      </w:r>
      <w:r w:rsidRPr="00D9423F">
        <w:t>based small business commissioners and the Australian Small Business Commissioner is that the most common process the Ombudsman may take to approach the respondent is via a letter</w:t>
      </w:r>
      <w:r w:rsidR="009041EE">
        <w:t xml:space="preserve">. </w:t>
      </w:r>
      <w:r w:rsidRPr="00D9423F">
        <w:t>The Ombudsman would bring the issue to the respondent</w:t>
      </w:r>
      <w:r w:rsidR="009349BC">
        <w:t>’</w:t>
      </w:r>
      <w:r w:rsidRPr="00D9423F">
        <w:t>s attention and seek their views and feedback</w:t>
      </w:r>
      <w:r w:rsidR="009041EE">
        <w:t xml:space="preserve">. </w:t>
      </w:r>
      <w:r w:rsidRPr="00D9423F">
        <w:t xml:space="preserve">This process may continue through a number of exchanges. </w:t>
      </w:r>
    </w:p>
    <w:p w14:paraId="25685C14" w14:textId="77777777" w:rsidR="00D808B7" w:rsidRDefault="00D9423F" w:rsidP="00200FC3">
      <w:pPr>
        <w:pStyle w:val="base-text-paragraph"/>
      </w:pPr>
      <w:r w:rsidRPr="00D9423F">
        <w:t>The cost to business in this phase is the time taken by a respondent to reply to the Ombudsman. For each case, costs are calculated assuming:</w:t>
      </w:r>
      <w:r w:rsidR="00D808B7" w:rsidRPr="00D808B7">
        <w:t xml:space="preserve"> </w:t>
      </w:r>
    </w:p>
    <w:p w14:paraId="2FA123D6" w14:textId="77777777" w:rsidR="00D9423F" w:rsidRPr="006F3456" w:rsidRDefault="00D9423F" w:rsidP="000B2A25">
      <w:pPr>
        <w:pStyle w:val="exampledotpoint1"/>
        <w:spacing w:before="80" w:after="80"/>
        <w:ind w:left="2269" w:hanging="284"/>
        <w:rPr>
          <w:szCs w:val="22"/>
        </w:rPr>
      </w:pPr>
      <w:r w:rsidRPr="006F614C">
        <w:rPr>
          <w:sz w:val="22"/>
          <w:szCs w:val="22"/>
        </w:rPr>
        <w:t>The responding party must reply to an average of two letters from the Ombudsman.</w:t>
      </w:r>
    </w:p>
    <w:p w14:paraId="53E8A7E6" w14:textId="77777777" w:rsidR="00D9423F" w:rsidRPr="006F3456" w:rsidRDefault="00D9423F" w:rsidP="000B2A25">
      <w:pPr>
        <w:pStyle w:val="exampledotpoint1"/>
        <w:spacing w:before="80" w:after="80"/>
        <w:ind w:left="2269" w:hanging="284"/>
        <w:rPr>
          <w:szCs w:val="22"/>
        </w:rPr>
      </w:pPr>
      <w:r w:rsidRPr="006F614C">
        <w:rPr>
          <w:sz w:val="22"/>
          <w:szCs w:val="22"/>
        </w:rPr>
        <w:t>A general manager will spend 1.5 hours considering a response to each letter.</w:t>
      </w:r>
    </w:p>
    <w:p w14:paraId="1F7E169F" w14:textId="77777777" w:rsidR="00D9423F" w:rsidRPr="006F3456" w:rsidRDefault="00D9423F" w:rsidP="000B2A25">
      <w:pPr>
        <w:pStyle w:val="exampledotpoint1"/>
        <w:spacing w:before="80" w:after="80"/>
        <w:ind w:left="2269" w:hanging="284"/>
        <w:rPr>
          <w:szCs w:val="22"/>
        </w:rPr>
      </w:pPr>
      <w:r w:rsidRPr="006F614C">
        <w:rPr>
          <w:sz w:val="22"/>
          <w:szCs w:val="22"/>
        </w:rPr>
        <w:t>A senior manager in the organisation will spend 3 hours considering a response to each letter.</w:t>
      </w:r>
    </w:p>
    <w:p w14:paraId="43369319" w14:textId="77777777" w:rsidR="00D9423F" w:rsidRPr="006F3456" w:rsidRDefault="00D9423F" w:rsidP="000B2A25">
      <w:pPr>
        <w:pStyle w:val="exampledotpoint1"/>
        <w:spacing w:before="80" w:after="80"/>
        <w:ind w:left="2269" w:hanging="284"/>
        <w:rPr>
          <w:szCs w:val="22"/>
        </w:rPr>
      </w:pPr>
      <w:r w:rsidRPr="006F614C">
        <w:rPr>
          <w:sz w:val="22"/>
          <w:szCs w:val="22"/>
        </w:rPr>
        <w:t>A junior team member (professional) will spend 6 hours considering a response to each letter.</w:t>
      </w:r>
    </w:p>
    <w:p w14:paraId="1FB60EE9" w14:textId="6CFAD720" w:rsidR="00D808B7" w:rsidRDefault="00D9423F" w:rsidP="000B2A25">
      <w:pPr>
        <w:pStyle w:val="base-text-paragraph"/>
        <w:spacing w:before="100" w:after="100"/>
      </w:pPr>
      <w:r w:rsidRPr="00D9423F">
        <w:t>Feedback from consultations is that larger businesses may allocate greater staffing hours than a small business. The staff costs above are assumed to be an average per party as it is difficult to estimate the business size of parties to disputes that will come through. Further, the complexity of a dispute will also influence the time a business t</w:t>
      </w:r>
      <w:r w:rsidR="00D53C03">
        <w:t>akes to engage in this process.</w:t>
      </w:r>
    </w:p>
    <w:p w14:paraId="2666B88B" w14:textId="77777777" w:rsidR="00D808B7" w:rsidRDefault="00D9423F" w:rsidP="000B2A25">
      <w:pPr>
        <w:pStyle w:val="base-text-paragraph"/>
        <w:spacing w:before="100" w:after="100"/>
      </w:pPr>
      <w:r w:rsidRPr="00D9423F">
        <w:t>Costs have been applied to both parties to the dispute (applicant and the respondent)</w:t>
      </w:r>
      <w:r w:rsidR="009041EE">
        <w:t xml:space="preserve">. </w:t>
      </w:r>
      <w:r w:rsidRPr="00D9423F">
        <w:t>While the respondent is being compelled to respond, the applicant will also need to provide information and respond to letters in order to progress the dispute</w:t>
      </w:r>
      <w:r w:rsidR="009041EE">
        <w:t>.</w:t>
      </w:r>
    </w:p>
    <w:p w14:paraId="4DC2734E" w14:textId="77777777" w:rsidR="00FE48B6" w:rsidRDefault="00FE48B6" w:rsidP="00C71EE9">
      <w:pPr>
        <w:pStyle w:val="TableHeadingoutsidetable"/>
      </w:pPr>
      <w:r>
        <w:t>:</w:t>
      </w:r>
      <w:r w:rsidR="00D9423F">
        <w:t xml:space="preserve"> Cost per party of light touch ADR process</w:t>
      </w:r>
    </w:p>
    <w:tbl>
      <w:tblPr>
        <w:tblStyle w:val="TableGrid"/>
        <w:tblW w:w="6565" w:type="dxa"/>
        <w:tblInd w:w="1242" w:type="dxa"/>
        <w:tblLook w:val="04A0" w:firstRow="1" w:lastRow="0" w:firstColumn="1" w:lastColumn="0" w:noHBand="0" w:noVBand="1"/>
      </w:tblPr>
      <w:tblGrid>
        <w:gridCol w:w="1701"/>
        <w:gridCol w:w="1134"/>
        <w:gridCol w:w="1134"/>
        <w:gridCol w:w="1134"/>
        <w:gridCol w:w="1462"/>
      </w:tblGrid>
      <w:tr w:rsidR="000D67D8" w14:paraId="050F5F6A" w14:textId="77777777" w:rsidTr="009015C5">
        <w:tc>
          <w:tcPr>
            <w:tcW w:w="1701" w:type="dxa"/>
          </w:tcPr>
          <w:p w14:paraId="37CE43C3" w14:textId="76B77A1D" w:rsidR="000D67D8" w:rsidRDefault="000D67D8" w:rsidP="000D67D8">
            <w:pPr>
              <w:pStyle w:val="tableheaderwithintable"/>
              <w:keepLines/>
              <w:jc w:val="left"/>
            </w:pPr>
            <w:r>
              <w:t>Staff</w:t>
            </w:r>
            <w:r w:rsidR="009349BC">
              <w:t xml:space="preserve"> — </w:t>
            </w:r>
            <w:r>
              <w:t>position/role</w:t>
            </w:r>
          </w:p>
        </w:tc>
        <w:tc>
          <w:tcPr>
            <w:tcW w:w="1134" w:type="dxa"/>
          </w:tcPr>
          <w:p w14:paraId="7F0A742A" w14:textId="77777777" w:rsidR="000D67D8" w:rsidRDefault="000D67D8" w:rsidP="000D67D8">
            <w:pPr>
              <w:pStyle w:val="tableheaderwithintable"/>
              <w:keepLines/>
            </w:pPr>
            <w:r>
              <w:t>Hours per letter</w:t>
            </w:r>
          </w:p>
        </w:tc>
        <w:tc>
          <w:tcPr>
            <w:tcW w:w="1134" w:type="dxa"/>
          </w:tcPr>
          <w:p w14:paraId="4F1777C7" w14:textId="77777777" w:rsidR="000D67D8" w:rsidRDefault="000D67D8" w:rsidP="000D67D8">
            <w:pPr>
              <w:pStyle w:val="tableheaderwithintable"/>
              <w:keepLines/>
            </w:pPr>
            <w:r>
              <w:t>Numbers of letters</w:t>
            </w:r>
          </w:p>
        </w:tc>
        <w:tc>
          <w:tcPr>
            <w:tcW w:w="1134" w:type="dxa"/>
          </w:tcPr>
          <w:p w14:paraId="525AE52F" w14:textId="77777777" w:rsidR="000D67D8" w:rsidRDefault="000D67D8" w:rsidP="000D67D8">
            <w:pPr>
              <w:pStyle w:val="tableheaderwithintable"/>
              <w:keepLines/>
            </w:pPr>
            <w:r>
              <w:t>Total staff hours</w:t>
            </w:r>
          </w:p>
        </w:tc>
        <w:tc>
          <w:tcPr>
            <w:tcW w:w="1462" w:type="dxa"/>
          </w:tcPr>
          <w:p w14:paraId="04171864" w14:textId="77777777" w:rsidR="000D67D8" w:rsidRDefault="000D67D8" w:rsidP="000D67D8">
            <w:pPr>
              <w:pStyle w:val="tableheaderwithintable"/>
              <w:keepLines/>
            </w:pPr>
            <w:r>
              <w:t>Total staff cost ($)</w:t>
            </w:r>
          </w:p>
        </w:tc>
      </w:tr>
      <w:tr w:rsidR="000D67D8" w14:paraId="6B9D7A10" w14:textId="77777777" w:rsidTr="009015C5">
        <w:trPr>
          <w:trHeight w:val="420"/>
        </w:trPr>
        <w:tc>
          <w:tcPr>
            <w:tcW w:w="1701" w:type="dxa"/>
            <w:vAlign w:val="center"/>
          </w:tcPr>
          <w:p w14:paraId="39CC29FE" w14:textId="77777777" w:rsidR="000D67D8" w:rsidRDefault="000D67D8" w:rsidP="000D67D8">
            <w:pPr>
              <w:pStyle w:val="tabletext"/>
              <w:keepNext/>
              <w:keepLines/>
              <w:ind w:left="0"/>
            </w:pPr>
            <w:r>
              <w:t>General Manager</w:t>
            </w:r>
          </w:p>
        </w:tc>
        <w:tc>
          <w:tcPr>
            <w:tcW w:w="1134" w:type="dxa"/>
            <w:vAlign w:val="center"/>
          </w:tcPr>
          <w:p w14:paraId="6873CFDC" w14:textId="77777777" w:rsidR="000D67D8" w:rsidRDefault="000D67D8" w:rsidP="000D67D8">
            <w:pPr>
              <w:pStyle w:val="tabletext"/>
              <w:keepNext/>
              <w:keepLines/>
              <w:ind w:left="-8"/>
              <w:jc w:val="center"/>
            </w:pPr>
            <w:r>
              <w:t>1.5</w:t>
            </w:r>
          </w:p>
        </w:tc>
        <w:tc>
          <w:tcPr>
            <w:tcW w:w="1134" w:type="dxa"/>
            <w:vAlign w:val="center"/>
          </w:tcPr>
          <w:p w14:paraId="3DFA1BEA" w14:textId="77777777" w:rsidR="000D67D8" w:rsidRDefault="000D67D8" w:rsidP="000D67D8">
            <w:pPr>
              <w:pStyle w:val="tabletext"/>
              <w:keepNext/>
              <w:keepLines/>
              <w:ind w:left="0"/>
              <w:jc w:val="center"/>
            </w:pPr>
            <w:r>
              <w:t>2</w:t>
            </w:r>
          </w:p>
        </w:tc>
        <w:tc>
          <w:tcPr>
            <w:tcW w:w="1134" w:type="dxa"/>
            <w:vAlign w:val="center"/>
          </w:tcPr>
          <w:p w14:paraId="3F0DB68D" w14:textId="77777777" w:rsidR="000D67D8" w:rsidRDefault="000D67D8" w:rsidP="000D67D8">
            <w:pPr>
              <w:pStyle w:val="tabletext"/>
              <w:keepNext/>
              <w:keepLines/>
              <w:ind w:left="0"/>
              <w:jc w:val="center"/>
            </w:pPr>
            <w:r>
              <w:t>3</w:t>
            </w:r>
          </w:p>
        </w:tc>
        <w:tc>
          <w:tcPr>
            <w:tcW w:w="1462" w:type="dxa"/>
            <w:vAlign w:val="center"/>
          </w:tcPr>
          <w:p w14:paraId="0C211133" w14:textId="77777777" w:rsidR="000D67D8" w:rsidRDefault="000D67D8" w:rsidP="000D67D8">
            <w:pPr>
              <w:pStyle w:val="tabletext"/>
              <w:keepNext/>
              <w:keepLines/>
              <w:ind w:left="0"/>
              <w:jc w:val="center"/>
            </w:pPr>
            <w:r>
              <w:t>193</w:t>
            </w:r>
          </w:p>
        </w:tc>
      </w:tr>
      <w:tr w:rsidR="000D67D8" w14:paraId="5DF53ECA" w14:textId="77777777" w:rsidTr="009015C5">
        <w:trPr>
          <w:trHeight w:val="420"/>
        </w:trPr>
        <w:tc>
          <w:tcPr>
            <w:tcW w:w="1701" w:type="dxa"/>
            <w:vAlign w:val="center"/>
          </w:tcPr>
          <w:p w14:paraId="13609BEB" w14:textId="77777777" w:rsidR="000D67D8" w:rsidRDefault="000D67D8" w:rsidP="000D67D8">
            <w:pPr>
              <w:pStyle w:val="tabletext"/>
              <w:keepNext/>
              <w:keepLines/>
              <w:ind w:left="0"/>
            </w:pPr>
            <w:r>
              <w:t>Senior Manager</w:t>
            </w:r>
          </w:p>
        </w:tc>
        <w:tc>
          <w:tcPr>
            <w:tcW w:w="1134" w:type="dxa"/>
            <w:vAlign w:val="center"/>
          </w:tcPr>
          <w:p w14:paraId="7C4A539E" w14:textId="77777777" w:rsidR="000D67D8" w:rsidRDefault="000D67D8" w:rsidP="000D67D8">
            <w:pPr>
              <w:pStyle w:val="tabletext"/>
              <w:keepNext/>
              <w:keepLines/>
              <w:ind w:left="-8"/>
              <w:jc w:val="center"/>
            </w:pPr>
            <w:r>
              <w:t>3</w:t>
            </w:r>
          </w:p>
        </w:tc>
        <w:tc>
          <w:tcPr>
            <w:tcW w:w="1134" w:type="dxa"/>
            <w:vAlign w:val="center"/>
          </w:tcPr>
          <w:p w14:paraId="4A76DF04" w14:textId="77777777" w:rsidR="000D67D8" w:rsidRDefault="000D67D8" w:rsidP="000D67D8">
            <w:pPr>
              <w:pStyle w:val="tabletext"/>
              <w:keepNext/>
              <w:keepLines/>
              <w:ind w:left="0"/>
              <w:jc w:val="center"/>
            </w:pPr>
            <w:r>
              <w:t>2</w:t>
            </w:r>
          </w:p>
        </w:tc>
        <w:tc>
          <w:tcPr>
            <w:tcW w:w="1134" w:type="dxa"/>
            <w:vAlign w:val="center"/>
          </w:tcPr>
          <w:p w14:paraId="4D5677A4" w14:textId="77777777" w:rsidR="000D67D8" w:rsidRDefault="000D67D8" w:rsidP="000D67D8">
            <w:pPr>
              <w:pStyle w:val="tabletext"/>
              <w:keepNext/>
              <w:keepLines/>
              <w:ind w:left="0"/>
              <w:jc w:val="center"/>
            </w:pPr>
            <w:r>
              <w:t>6</w:t>
            </w:r>
          </w:p>
        </w:tc>
        <w:tc>
          <w:tcPr>
            <w:tcW w:w="1462" w:type="dxa"/>
            <w:vAlign w:val="center"/>
          </w:tcPr>
          <w:p w14:paraId="0938AA98" w14:textId="77777777" w:rsidR="000D67D8" w:rsidRDefault="000D67D8" w:rsidP="000D67D8">
            <w:pPr>
              <w:pStyle w:val="tabletext"/>
              <w:keepNext/>
              <w:keepLines/>
              <w:ind w:left="0"/>
              <w:jc w:val="center"/>
            </w:pPr>
            <w:r>
              <w:t>317</w:t>
            </w:r>
          </w:p>
        </w:tc>
      </w:tr>
      <w:tr w:rsidR="000D67D8" w14:paraId="70D879D2" w14:textId="77777777" w:rsidTr="009015C5">
        <w:trPr>
          <w:trHeight w:val="420"/>
        </w:trPr>
        <w:tc>
          <w:tcPr>
            <w:tcW w:w="1701" w:type="dxa"/>
            <w:vAlign w:val="center"/>
          </w:tcPr>
          <w:p w14:paraId="2476C6B7" w14:textId="77777777" w:rsidR="000D67D8" w:rsidRDefault="000D67D8" w:rsidP="000D67D8">
            <w:pPr>
              <w:pStyle w:val="tabletext"/>
              <w:ind w:left="0"/>
            </w:pPr>
            <w:r>
              <w:t>Professional</w:t>
            </w:r>
          </w:p>
        </w:tc>
        <w:tc>
          <w:tcPr>
            <w:tcW w:w="1134" w:type="dxa"/>
            <w:vAlign w:val="center"/>
          </w:tcPr>
          <w:p w14:paraId="7BB23391" w14:textId="77777777" w:rsidR="000D67D8" w:rsidRDefault="000D67D8" w:rsidP="000D67D8">
            <w:pPr>
              <w:pStyle w:val="tabletext"/>
              <w:ind w:left="-8"/>
              <w:jc w:val="center"/>
            </w:pPr>
            <w:r>
              <w:t>6</w:t>
            </w:r>
          </w:p>
        </w:tc>
        <w:tc>
          <w:tcPr>
            <w:tcW w:w="1134" w:type="dxa"/>
            <w:vAlign w:val="center"/>
          </w:tcPr>
          <w:p w14:paraId="7E7140C0" w14:textId="77777777" w:rsidR="000D67D8" w:rsidRDefault="000D67D8" w:rsidP="000D67D8">
            <w:pPr>
              <w:pStyle w:val="tabletext"/>
              <w:ind w:left="0"/>
              <w:jc w:val="center"/>
            </w:pPr>
            <w:r>
              <w:t>2</w:t>
            </w:r>
          </w:p>
        </w:tc>
        <w:tc>
          <w:tcPr>
            <w:tcW w:w="1134" w:type="dxa"/>
            <w:vAlign w:val="center"/>
          </w:tcPr>
          <w:p w14:paraId="59CE0859" w14:textId="77777777" w:rsidR="000D67D8" w:rsidRDefault="000D67D8" w:rsidP="000D67D8">
            <w:pPr>
              <w:pStyle w:val="tabletext"/>
              <w:ind w:left="0"/>
              <w:jc w:val="center"/>
            </w:pPr>
            <w:r>
              <w:t>12</w:t>
            </w:r>
          </w:p>
        </w:tc>
        <w:tc>
          <w:tcPr>
            <w:tcW w:w="1462" w:type="dxa"/>
            <w:vAlign w:val="center"/>
          </w:tcPr>
          <w:p w14:paraId="50232F40" w14:textId="77777777" w:rsidR="000D67D8" w:rsidRDefault="000D67D8" w:rsidP="000D67D8">
            <w:pPr>
              <w:pStyle w:val="tabletext"/>
              <w:ind w:left="0"/>
              <w:jc w:val="center"/>
            </w:pPr>
            <w:r>
              <w:t>464</w:t>
            </w:r>
          </w:p>
        </w:tc>
      </w:tr>
      <w:tr w:rsidR="000D67D8" w14:paraId="38C3A0B3" w14:textId="77777777" w:rsidTr="009015C5">
        <w:trPr>
          <w:trHeight w:val="420"/>
        </w:trPr>
        <w:tc>
          <w:tcPr>
            <w:tcW w:w="1701" w:type="dxa"/>
            <w:vAlign w:val="center"/>
          </w:tcPr>
          <w:p w14:paraId="3BC669BF" w14:textId="77777777" w:rsidR="000D67D8" w:rsidRPr="00F22F21" w:rsidRDefault="000D67D8" w:rsidP="000D67D8">
            <w:pPr>
              <w:pStyle w:val="tabletext"/>
              <w:ind w:left="0"/>
              <w:rPr>
                <w:b/>
              </w:rPr>
            </w:pPr>
            <w:r w:rsidRPr="00F22F21">
              <w:rPr>
                <w:b/>
              </w:rPr>
              <w:t>TOTAL</w:t>
            </w:r>
          </w:p>
        </w:tc>
        <w:tc>
          <w:tcPr>
            <w:tcW w:w="1134" w:type="dxa"/>
            <w:vAlign w:val="center"/>
          </w:tcPr>
          <w:p w14:paraId="45D392FD" w14:textId="77777777" w:rsidR="000D67D8" w:rsidRDefault="000D67D8" w:rsidP="000D67D8">
            <w:pPr>
              <w:pStyle w:val="tabletext"/>
              <w:ind w:left="-8"/>
              <w:jc w:val="center"/>
            </w:pPr>
          </w:p>
        </w:tc>
        <w:tc>
          <w:tcPr>
            <w:tcW w:w="1134" w:type="dxa"/>
            <w:vAlign w:val="center"/>
          </w:tcPr>
          <w:p w14:paraId="60BABC24" w14:textId="77777777" w:rsidR="000D67D8" w:rsidRDefault="000D67D8" w:rsidP="000D67D8">
            <w:pPr>
              <w:pStyle w:val="tabletext"/>
              <w:ind w:left="0"/>
              <w:jc w:val="center"/>
            </w:pPr>
          </w:p>
        </w:tc>
        <w:tc>
          <w:tcPr>
            <w:tcW w:w="1134" w:type="dxa"/>
            <w:vAlign w:val="center"/>
          </w:tcPr>
          <w:p w14:paraId="76D08ECF" w14:textId="77777777" w:rsidR="000D67D8" w:rsidRDefault="000D67D8" w:rsidP="000D67D8">
            <w:pPr>
              <w:pStyle w:val="tabletext"/>
              <w:ind w:left="0"/>
              <w:jc w:val="center"/>
            </w:pPr>
          </w:p>
        </w:tc>
        <w:tc>
          <w:tcPr>
            <w:tcW w:w="1462" w:type="dxa"/>
            <w:vAlign w:val="center"/>
          </w:tcPr>
          <w:p w14:paraId="3A03A452" w14:textId="77777777" w:rsidR="000D67D8" w:rsidRPr="00E10B6A" w:rsidRDefault="000D67D8" w:rsidP="000D67D8">
            <w:pPr>
              <w:pStyle w:val="tabletext"/>
              <w:ind w:left="0"/>
              <w:jc w:val="center"/>
              <w:rPr>
                <w:b/>
              </w:rPr>
            </w:pPr>
            <w:r w:rsidRPr="00E10B6A">
              <w:rPr>
                <w:b/>
              </w:rPr>
              <w:t>975</w:t>
            </w:r>
          </w:p>
        </w:tc>
      </w:tr>
    </w:tbl>
    <w:p w14:paraId="43F8D4BC" w14:textId="77777777" w:rsidR="00D808B7" w:rsidRDefault="00D9423F" w:rsidP="000B2A25">
      <w:pPr>
        <w:pStyle w:val="base-text-paragraph"/>
        <w:spacing w:after="80"/>
      </w:pPr>
      <w:r w:rsidRPr="00D9423F">
        <w:t>The total cost of a lighter touch ADR process for two parties is assumed to be $1949 ($975 each).</w:t>
      </w:r>
      <w:r w:rsidR="00D808B7" w:rsidRPr="00D808B7">
        <w:t xml:space="preserve"> </w:t>
      </w:r>
    </w:p>
    <w:p w14:paraId="3C0604BE" w14:textId="77777777" w:rsidR="00D9423F" w:rsidRDefault="00D9423F" w:rsidP="00C71EE9">
      <w:pPr>
        <w:pStyle w:val="Heading5"/>
      </w:pPr>
      <w:r>
        <w:t>Mediation</w:t>
      </w:r>
    </w:p>
    <w:p w14:paraId="4DF0BBB3" w14:textId="77777777" w:rsidR="00D808B7" w:rsidRDefault="00D9423F" w:rsidP="000B2A25">
      <w:pPr>
        <w:pStyle w:val="base-text-paragraph"/>
        <w:spacing w:before="100" w:after="100"/>
      </w:pPr>
      <w:r w:rsidRPr="00D9423F">
        <w:t xml:space="preserve">It is assumed that the remaining proportion of cases (87 per cent) will go through a more involved ADR process such as mediation. </w:t>
      </w:r>
    </w:p>
    <w:p w14:paraId="275D913A" w14:textId="5329756A" w:rsidR="00D808B7" w:rsidRDefault="00D9423F" w:rsidP="000B2A25">
      <w:pPr>
        <w:pStyle w:val="base-text-paragraph"/>
        <w:spacing w:before="100" w:after="100"/>
      </w:pPr>
      <w:r w:rsidRPr="00D9423F">
        <w:t>Costs borne by parties to a dispute includes the time to prepare for and participate in a mediation session</w:t>
      </w:r>
      <w:r w:rsidR="009041EE">
        <w:t xml:space="preserve">. </w:t>
      </w:r>
      <w:r w:rsidRPr="00D9423F">
        <w:t>There may also be out</w:t>
      </w:r>
      <w:r w:rsidR="009349BC">
        <w:noBreakHyphen/>
      </w:r>
      <w:r w:rsidRPr="00D9423F">
        <w:t>of</w:t>
      </w:r>
      <w:r w:rsidR="009349BC">
        <w:noBreakHyphen/>
      </w:r>
      <w:r w:rsidRPr="00D9423F">
        <w:t>pocket expenses including travel, room hire and the cost of the mediator. These costs will be shared evenly by both parties</w:t>
      </w:r>
      <w:r w:rsidR="009041EE">
        <w:t xml:space="preserve">. </w:t>
      </w:r>
      <w:r w:rsidRPr="00D9423F">
        <w:t>Consultation with dispute resolution providers indicate that businesses may also seek external legal advice and may also have legal representation during the mediation session. Key cost assumptions are listed below.</w:t>
      </w:r>
      <w:r w:rsidR="00D808B7" w:rsidRPr="00D808B7">
        <w:t xml:space="preserve"> </w:t>
      </w:r>
    </w:p>
    <w:p w14:paraId="1360ED24" w14:textId="77777777" w:rsidR="009015C5" w:rsidRDefault="009015C5">
      <w:pPr>
        <w:spacing w:before="0" w:after="0"/>
      </w:pPr>
      <w:r>
        <w:br w:type="page"/>
      </w:r>
    </w:p>
    <w:p w14:paraId="4B9937AF" w14:textId="109731DF" w:rsidR="00D808B7" w:rsidRDefault="00D9423F" w:rsidP="00200FC3">
      <w:pPr>
        <w:pStyle w:val="base-text-paragraph"/>
      </w:pPr>
      <w:r w:rsidRPr="00D9423F">
        <w:t>Out of pocket expenses per party:</w:t>
      </w:r>
      <w:r w:rsidR="00D808B7" w:rsidRPr="00D808B7">
        <w:t xml:space="preserve"> </w:t>
      </w:r>
    </w:p>
    <w:p w14:paraId="4FFA17B4" w14:textId="77777777" w:rsidR="00D9423F" w:rsidRPr="006F3456" w:rsidRDefault="00D9423F" w:rsidP="006F614C">
      <w:pPr>
        <w:pStyle w:val="exampledotpoint1"/>
        <w:rPr>
          <w:szCs w:val="22"/>
        </w:rPr>
      </w:pPr>
      <w:r w:rsidRPr="006F614C">
        <w:rPr>
          <w:sz w:val="22"/>
          <w:szCs w:val="22"/>
        </w:rPr>
        <w:t>Average travel costs for attending mediation: $178 (average travel cost to attend a VCAT hearing).</w:t>
      </w:r>
      <w:r w:rsidRPr="006F614C">
        <w:rPr>
          <w:rStyle w:val="FootnoteReference"/>
          <w:sz w:val="22"/>
          <w:szCs w:val="22"/>
        </w:rPr>
        <w:footnoteReference w:id="14"/>
      </w:r>
      <w:r w:rsidR="00223317">
        <w:rPr>
          <w:sz w:val="22"/>
          <w:szCs w:val="22"/>
        </w:rPr>
        <w:t xml:space="preserve"> </w:t>
      </w:r>
      <w:r w:rsidRPr="006F614C">
        <w:rPr>
          <w:sz w:val="22"/>
          <w:szCs w:val="22"/>
        </w:rPr>
        <w:t xml:space="preserve">Stakeholders highlighted that mediation sessions are generally held in person and at a location convenient to both parties. It is expected that the Ombudsman will have access to providers located across metropolitan and regional areas. </w:t>
      </w:r>
    </w:p>
    <w:p w14:paraId="486C3A25" w14:textId="77777777" w:rsidR="00D9423F" w:rsidRPr="006F3456" w:rsidRDefault="00D9423F" w:rsidP="006F614C">
      <w:pPr>
        <w:pStyle w:val="exampledotpoint1"/>
        <w:rPr>
          <w:szCs w:val="22"/>
        </w:rPr>
      </w:pPr>
      <w:r w:rsidRPr="006F614C">
        <w:rPr>
          <w:sz w:val="22"/>
          <w:szCs w:val="22"/>
        </w:rPr>
        <w:t>Room hire: $450 (split between both parties).</w:t>
      </w:r>
      <w:r w:rsidRPr="006F614C">
        <w:rPr>
          <w:rStyle w:val="FootnoteReference"/>
          <w:sz w:val="22"/>
          <w:szCs w:val="22"/>
        </w:rPr>
        <w:footnoteReference w:id="15"/>
      </w:r>
      <w:r w:rsidR="00223317">
        <w:rPr>
          <w:sz w:val="22"/>
          <w:szCs w:val="22"/>
        </w:rPr>
        <w:t xml:space="preserve"> </w:t>
      </w:r>
    </w:p>
    <w:p w14:paraId="7AFF6A8A" w14:textId="77777777" w:rsidR="00D9423F" w:rsidRPr="006F3456" w:rsidRDefault="00D9423F" w:rsidP="006F614C">
      <w:pPr>
        <w:pStyle w:val="exampledotpoint1"/>
        <w:rPr>
          <w:szCs w:val="22"/>
        </w:rPr>
      </w:pPr>
      <w:r w:rsidRPr="006F614C">
        <w:rPr>
          <w:sz w:val="22"/>
          <w:szCs w:val="22"/>
        </w:rPr>
        <w:t>Cost of mediator: $275 per hour (full cost to be shared between both parties).</w:t>
      </w:r>
      <w:r w:rsidRPr="006F614C">
        <w:rPr>
          <w:rStyle w:val="FootnoteReference"/>
          <w:sz w:val="22"/>
          <w:szCs w:val="22"/>
        </w:rPr>
        <w:footnoteReference w:id="16"/>
      </w:r>
      <w:r w:rsidRPr="006F614C">
        <w:rPr>
          <w:sz w:val="22"/>
          <w:szCs w:val="22"/>
        </w:rPr>
        <w:t xml:space="preserve"> </w:t>
      </w:r>
    </w:p>
    <w:p w14:paraId="33A72CD1" w14:textId="77777777" w:rsidR="00D9423F" w:rsidRPr="006F3456" w:rsidRDefault="00D9423F" w:rsidP="006F614C">
      <w:pPr>
        <w:pStyle w:val="exampledotpoint1"/>
        <w:rPr>
          <w:szCs w:val="22"/>
        </w:rPr>
      </w:pPr>
      <w:r w:rsidRPr="006F614C">
        <w:rPr>
          <w:sz w:val="22"/>
          <w:szCs w:val="22"/>
        </w:rPr>
        <w:t xml:space="preserve">Average length of mediation session is 6 hours (based on stakeholder consultations). On average the mediator will put 1 hour of preparation time per hour of mediation. </w:t>
      </w:r>
    </w:p>
    <w:p w14:paraId="2F6F0AFE" w14:textId="0CDE752D" w:rsidR="00D9423F" w:rsidRPr="006F3456" w:rsidRDefault="00D9423F" w:rsidP="006F614C">
      <w:pPr>
        <w:pStyle w:val="exampledotpoint1"/>
        <w:rPr>
          <w:szCs w:val="22"/>
        </w:rPr>
      </w:pPr>
      <w:r w:rsidRPr="006F614C">
        <w:rPr>
          <w:sz w:val="22"/>
          <w:szCs w:val="22"/>
        </w:rPr>
        <w:t>Legal advice: $2700</w:t>
      </w:r>
      <w:r w:rsidR="009349BC">
        <w:rPr>
          <w:sz w:val="22"/>
          <w:szCs w:val="22"/>
        </w:rPr>
        <w:t xml:space="preserve"> — </w:t>
      </w:r>
      <w:r w:rsidRPr="006F614C">
        <w:rPr>
          <w:sz w:val="22"/>
          <w:szCs w:val="22"/>
        </w:rPr>
        <w:t>assuming all parties seek legal advice prior to mediation ($1500 based on stakeholder consultations) and 50 per cent of stakeholders have a lawyer present during mediation (0.5 x 6 hours x $400/hours)</w:t>
      </w:r>
      <w:r w:rsidRPr="006F614C">
        <w:rPr>
          <w:rStyle w:val="FootnoteReference"/>
          <w:sz w:val="22"/>
          <w:szCs w:val="22"/>
        </w:rPr>
        <w:footnoteReference w:id="17"/>
      </w:r>
      <w:r w:rsidRPr="006F614C">
        <w:rPr>
          <w:sz w:val="22"/>
          <w:szCs w:val="22"/>
        </w:rPr>
        <w:t>.</w:t>
      </w:r>
    </w:p>
    <w:p w14:paraId="52058D89" w14:textId="77777777" w:rsidR="00D808B7" w:rsidRDefault="00EC0A9D" w:rsidP="00200FC3">
      <w:pPr>
        <w:pStyle w:val="base-text-paragraph"/>
      </w:pPr>
      <w:r w:rsidRPr="00A82CD1">
        <w:rPr>
          <w:b/>
        </w:rPr>
        <w:t>Table</w:t>
      </w:r>
      <w:r w:rsidR="00A82CD1" w:rsidRPr="00A82CD1">
        <w:rPr>
          <w:b/>
        </w:rPr>
        <w:t>s</w:t>
      </w:r>
      <w:r w:rsidRPr="00E26B9A">
        <w:rPr>
          <w:b/>
        </w:rPr>
        <w:t xml:space="preserve"> </w:t>
      </w:r>
      <w:r w:rsidR="00E26B9A" w:rsidRPr="00E26B9A">
        <w:rPr>
          <w:b/>
        </w:rPr>
        <w:t>10.</w:t>
      </w:r>
      <w:r w:rsidR="00E26B9A">
        <w:rPr>
          <w:b/>
        </w:rPr>
        <w:t>6</w:t>
      </w:r>
      <w:r w:rsidR="00E26B9A" w:rsidRPr="00E26B9A">
        <w:rPr>
          <w:b/>
        </w:rPr>
        <w:t xml:space="preserve"> </w:t>
      </w:r>
      <w:r w:rsidR="00E26B9A" w:rsidRPr="00A1209F">
        <w:t>and</w:t>
      </w:r>
      <w:r w:rsidR="00E26B9A" w:rsidRPr="00E26B9A">
        <w:rPr>
          <w:b/>
        </w:rPr>
        <w:t xml:space="preserve"> 10.</w:t>
      </w:r>
      <w:r w:rsidR="00E26B9A">
        <w:rPr>
          <w:b/>
        </w:rPr>
        <w:t>7</w:t>
      </w:r>
      <w:r w:rsidRPr="00EC0A9D">
        <w:t xml:space="preserve"> outline the total out of pocket expenses and staff costs per party to participate in a mediation session. Stakeholder feedback is that the number of representatives that attend mediation varies greatly from 1 representative per party to up to 10 (not common). Feedback is that on average 3 representatives may attend, including a senior manager as parties are expected to be in a position to make a decision on any agreements coming out of the mediation.</w:t>
      </w:r>
      <w:r w:rsidR="00D808B7" w:rsidRPr="00D808B7">
        <w:t xml:space="preserve"> </w:t>
      </w:r>
    </w:p>
    <w:p w14:paraId="3A13A3C0" w14:textId="21C2C0FF" w:rsidR="008C65DF" w:rsidRDefault="008C65DF" w:rsidP="00C71EE9">
      <w:pPr>
        <w:pStyle w:val="TableHeadingoutsidetable"/>
      </w:pPr>
      <w:r>
        <w:t>:</w:t>
      </w:r>
      <w:r w:rsidR="00EC0A9D">
        <w:t xml:space="preserve"> Mediation out</w:t>
      </w:r>
      <w:r w:rsidR="009349BC">
        <w:noBreakHyphen/>
      </w:r>
      <w:r w:rsidR="00EC0A9D">
        <w:t>of</w:t>
      </w:r>
      <w:r w:rsidR="009349BC">
        <w:noBreakHyphen/>
      </w:r>
      <w:r w:rsidR="00EC0A9D">
        <w:t>pocket expenses per party</w:t>
      </w:r>
    </w:p>
    <w:tbl>
      <w:tblPr>
        <w:tblStyle w:val="TableGrid"/>
        <w:tblW w:w="6579" w:type="dxa"/>
        <w:tblInd w:w="1242" w:type="dxa"/>
        <w:tblLook w:val="04A0" w:firstRow="1" w:lastRow="0" w:firstColumn="1" w:lastColumn="0" w:noHBand="0" w:noVBand="1"/>
      </w:tblPr>
      <w:tblGrid>
        <w:gridCol w:w="804"/>
        <w:gridCol w:w="910"/>
        <w:gridCol w:w="1185"/>
        <w:gridCol w:w="605"/>
        <w:gridCol w:w="827"/>
        <w:gridCol w:w="686"/>
        <w:gridCol w:w="675"/>
        <w:gridCol w:w="887"/>
      </w:tblGrid>
      <w:tr w:rsidR="000D67D8" w14:paraId="19F0E4DA" w14:textId="77777777" w:rsidTr="009015C5">
        <w:tc>
          <w:tcPr>
            <w:tcW w:w="650" w:type="dxa"/>
          </w:tcPr>
          <w:p w14:paraId="1E7DD491" w14:textId="77777777" w:rsidR="000D67D8" w:rsidRDefault="000D67D8" w:rsidP="009015C5">
            <w:pPr>
              <w:pStyle w:val="tableheaderwithintable"/>
              <w:ind w:left="-70" w:right="-77"/>
            </w:pPr>
            <w:r>
              <w:t>No. of mediator (per hour)</w:t>
            </w:r>
          </w:p>
        </w:tc>
        <w:tc>
          <w:tcPr>
            <w:tcW w:w="910" w:type="dxa"/>
          </w:tcPr>
          <w:p w14:paraId="5C509405" w14:textId="77777777" w:rsidR="000D67D8" w:rsidRDefault="000D67D8" w:rsidP="009015C5">
            <w:pPr>
              <w:pStyle w:val="tableheaderwithintable"/>
              <w:ind w:left="-69" w:right="-60"/>
            </w:pPr>
            <w:r>
              <w:t>Hours in mediation</w:t>
            </w:r>
          </w:p>
        </w:tc>
        <w:tc>
          <w:tcPr>
            <w:tcW w:w="1226" w:type="dxa"/>
          </w:tcPr>
          <w:p w14:paraId="1A4B5963" w14:textId="77777777" w:rsidR="000D67D8" w:rsidRDefault="000D67D8" w:rsidP="009015C5">
            <w:pPr>
              <w:pStyle w:val="tableheaderwithintable"/>
              <w:ind w:left="-58" w:right="-45"/>
            </w:pPr>
            <w:r>
              <w:t>Mediator preparation time (hours)</w:t>
            </w:r>
          </w:p>
        </w:tc>
        <w:tc>
          <w:tcPr>
            <w:tcW w:w="616" w:type="dxa"/>
          </w:tcPr>
          <w:p w14:paraId="57B0EF13" w14:textId="77777777" w:rsidR="000D67D8" w:rsidRDefault="000D67D8" w:rsidP="009015C5">
            <w:pPr>
              <w:pStyle w:val="tableheaderwithintable"/>
              <w:ind w:left="-59" w:right="-69"/>
            </w:pPr>
            <w:r>
              <w:t>Room hire ($)</w:t>
            </w:r>
          </w:p>
        </w:tc>
        <w:tc>
          <w:tcPr>
            <w:tcW w:w="851" w:type="dxa"/>
          </w:tcPr>
          <w:p w14:paraId="39D08A03" w14:textId="77777777" w:rsidR="000D67D8" w:rsidRDefault="000D67D8" w:rsidP="009015C5">
            <w:pPr>
              <w:pStyle w:val="tableheaderwithintable"/>
              <w:ind w:left="-49" w:right="-57"/>
            </w:pPr>
            <w:r>
              <w:t>Shared costs per party($)</w:t>
            </w:r>
          </w:p>
        </w:tc>
        <w:tc>
          <w:tcPr>
            <w:tcW w:w="709" w:type="dxa"/>
          </w:tcPr>
          <w:p w14:paraId="104B7454" w14:textId="77777777" w:rsidR="000D67D8" w:rsidRDefault="000D67D8" w:rsidP="009015C5">
            <w:pPr>
              <w:pStyle w:val="tableheaderwithintable"/>
              <w:ind w:left="-61" w:right="-62"/>
            </w:pPr>
            <w:r>
              <w:t>Travel ($)</w:t>
            </w:r>
          </w:p>
        </w:tc>
        <w:tc>
          <w:tcPr>
            <w:tcW w:w="708" w:type="dxa"/>
          </w:tcPr>
          <w:p w14:paraId="39BA68D2" w14:textId="77777777" w:rsidR="000D67D8" w:rsidRDefault="000D67D8" w:rsidP="009015C5">
            <w:pPr>
              <w:pStyle w:val="tableheaderwithintable"/>
              <w:ind w:left="-70" w:right="-80"/>
            </w:pPr>
            <w:r>
              <w:t>Legal advice ($)</w:t>
            </w:r>
          </w:p>
        </w:tc>
        <w:tc>
          <w:tcPr>
            <w:tcW w:w="909" w:type="dxa"/>
          </w:tcPr>
          <w:p w14:paraId="3F5423DE" w14:textId="77777777" w:rsidR="000D67D8" w:rsidRDefault="000D67D8" w:rsidP="009015C5">
            <w:pPr>
              <w:pStyle w:val="tableheaderwithintable"/>
              <w:ind w:left="-66" w:right="-54"/>
            </w:pPr>
            <w:r>
              <w:t>Total expenses per party($)</w:t>
            </w:r>
          </w:p>
        </w:tc>
      </w:tr>
      <w:tr w:rsidR="000D67D8" w14:paraId="2D9D680B" w14:textId="77777777" w:rsidTr="009015C5">
        <w:trPr>
          <w:trHeight w:val="420"/>
        </w:trPr>
        <w:tc>
          <w:tcPr>
            <w:tcW w:w="650" w:type="dxa"/>
            <w:vAlign w:val="center"/>
          </w:tcPr>
          <w:p w14:paraId="49883392" w14:textId="77777777" w:rsidR="000D67D8" w:rsidRDefault="000D67D8" w:rsidP="009015C5">
            <w:pPr>
              <w:pStyle w:val="tabletext"/>
              <w:ind w:left="-70" w:right="-77"/>
              <w:jc w:val="center"/>
            </w:pPr>
            <w:r>
              <w:t>275</w:t>
            </w:r>
          </w:p>
        </w:tc>
        <w:tc>
          <w:tcPr>
            <w:tcW w:w="910" w:type="dxa"/>
            <w:vAlign w:val="center"/>
          </w:tcPr>
          <w:p w14:paraId="092F409C" w14:textId="77777777" w:rsidR="000D67D8" w:rsidRDefault="000D67D8" w:rsidP="009015C5">
            <w:pPr>
              <w:pStyle w:val="tabletext"/>
              <w:ind w:left="-69" w:right="-60"/>
              <w:jc w:val="center"/>
            </w:pPr>
            <w:r>
              <w:t>6</w:t>
            </w:r>
          </w:p>
        </w:tc>
        <w:tc>
          <w:tcPr>
            <w:tcW w:w="1226" w:type="dxa"/>
            <w:vAlign w:val="center"/>
          </w:tcPr>
          <w:p w14:paraId="74CE489B" w14:textId="77777777" w:rsidR="000D67D8" w:rsidRDefault="000D67D8" w:rsidP="009015C5">
            <w:pPr>
              <w:pStyle w:val="tabletext"/>
              <w:ind w:left="-58" w:right="-45"/>
              <w:jc w:val="center"/>
            </w:pPr>
            <w:r>
              <w:t>6</w:t>
            </w:r>
          </w:p>
        </w:tc>
        <w:tc>
          <w:tcPr>
            <w:tcW w:w="616" w:type="dxa"/>
            <w:vAlign w:val="center"/>
          </w:tcPr>
          <w:p w14:paraId="28C45B65" w14:textId="77777777" w:rsidR="000D67D8" w:rsidRDefault="000D67D8" w:rsidP="009015C5">
            <w:pPr>
              <w:pStyle w:val="tabletext"/>
              <w:ind w:left="-59" w:right="-69"/>
              <w:jc w:val="center"/>
            </w:pPr>
            <w:r>
              <w:t>450</w:t>
            </w:r>
          </w:p>
        </w:tc>
        <w:tc>
          <w:tcPr>
            <w:tcW w:w="851" w:type="dxa"/>
            <w:vAlign w:val="center"/>
          </w:tcPr>
          <w:p w14:paraId="0FF2F98D" w14:textId="77777777" w:rsidR="000D67D8" w:rsidRDefault="000D67D8" w:rsidP="009015C5">
            <w:pPr>
              <w:pStyle w:val="tabletext"/>
              <w:ind w:left="-49" w:right="-57"/>
              <w:jc w:val="center"/>
            </w:pPr>
            <w:r>
              <w:t>2,100</w:t>
            </w:r>
          </w:p>
        </w:tc>
        <w:tc>
          <w:tcPr>
            <w:tcW w:w="709" w:type="dxa"/>
            <w:vAlign w:val="center"/>
          </w:tcPr>
          <w:p w14:paraId="775C511D" w14:textId="77777777" w:rsidR="000D67D8" w:rsidRDefault="000D67D8" w:rsidP="009015C5">
            <w:pPr>
              <w:pStyle w:val="tabletext"/>
              <w:ind w:left="-61" w:right="-62"/>
              <w:jc w:val="center"/>
            </w:pPr>
            <w:r>
              <w:t>178</w:t>
            </w:r>
          </w:p>
        </w:tc>
        <w:tc>
          <w:tcPr>
            <w:tcW w:w="708" w:type="dxa"/>
            <w:vAlign w:val="center"/>
          </w:tcPr>
          <w:p w14:paraId="2BA0BCE6" w14:textId="77777777" w:rsidR="000D67D8" w:rsidRDefault="000D67D8" w:rsidP="009015C5">
            <w:pPr>
              <w:pStyle w:val="tabletext"/>
              <w:ind w:left="-70" w:right="-80"/>
              <w:jc w:val="center"/>
            </w:pPr>
            <w:r>
              <w:t>2,700</w:t>
            </w:r>
          </w:p>
        </w:tc>
        <w:tc>
          <w:tcPr>
            <w:tcW w:w="909" w:type="dxa"/>
            <w:vAlign w:val="center"/>
          </w:tcPr>
          <w:p w14:paraId="507B84AB" w14:textId="77777777" w:rsidR="000D67D8" w:rsidRPr="00B838AA" w:rsidRDefault="000D67D8" w:rsidP="009015C5">
            <w:pPr>
              <w:pStyle w:val="tabletext"/>
              <w:ind w:left="-66" w:right="-54"/>
              <w:jc w:val="center"/>
              <w:rPr>
                <w:b/>
              </w:rPr>
            </w:pPr>
            <w:r w:rsidRPr="00B838AA">
              <w:rPr>
                <w:b/>
              </w:rPr>
              <w:t>4,978</w:t>
            </w:r>
          </w:p>
        </w:tc>
      </w:tr>
    </w:tbl>
    <w:p w14:paraId="0AAD3242" w14:textId="77777777" w:rsidR="008C65DF" w:rsidRDefault="008C65DF" w:rsidP="000D67D8">
      <w:pPr>
        <w:pStyle w:val="TableHeadingoutsidetable"/>
        <w:spacing w:before="200"/>
      </w:pPr>
      <w:r>
        <w:t>:</w:t>
      </w:r>
      <w:r w:rsidR="00EC0A9D">
        <w:t xml:space="preserve"> Mediation staff costs per party</w:t>
      </w:r>
    </w:p>
    <w:tbl>
      <w:tblPr>
        <w:tblStyle w:val="TableGrid"/>
        <w:tblW w:w="6579" w:type="dxa"/>
        <w:tblInd w:w="1242" w:type="dxa"/>
        <w:tblLayout w:type="fixed"/>
        <w:tblLook w:val="04A0" w:firstRow="1" w:lastRow="0" w:firstColumn="1" w:lastColumn="0" w:noHBand="0" w:noVBand="1"/>
      </w:tblPr>
      <w:tblGrid>
        <w:gridCol w:w="1722"/>
        <w:gridCol w:w="1113"/>
        <w:gridCol w:w="1276"/>
        <w:gridCol w:w="1276"/>
        <w:gridCol w:w="1192"/>
      </w:tblGrid>
      <w:tr w:rsidR="000D67D8" w14:paraId="63F59F87" w14:textId="77777777" w:rsidTr="009015C5">
        <w:tc>
          <w:tcPr>
            <w:tcW w:w="1722" w:type="dxa"/>
          </w:tcPr>
          <w:p w14:paraId="316DD3A9" w14:textId="2F34C09F" w:rsidR="000D67D8" w:rsidRDefault="000D67D8" w:rsidP="000D67D8">
            <w:pPr>
              <w:pStyle w:val="tableheaderwithintable"/>
              <w:jc w:val="left"/>
            </w:pPr>
            <w:r>
              <w:t>Staff</w:t>
            </w:r>
            <w:r w:rsidR="009349BC">
              <w:t xml:space="preserve"> — </w:t>
            </w:r>
            <w:r>
              <w:t>position/role</w:t>
            </w:r>
          </w:p>
        </w:tc>
        <w:tc>
          <w:tcPr>
            <w:tcW w:w="1113" w:type="dxa"/>
          </w:tcPr>
          <w:p w14:paraId="5D5DD163" w14:textId="77777777" w:rsidR="000D67D8" w:rsidRDefault="000D67D8" w:rsidP="000D67D8">
            <w:pPr>
              <w:pStyle w:val="tableheaderwithintable"/>
            </w:pPr>
            <w:r>
              <w:t>Hours in mediation</w:t>
            </w:r>
          </w:p>
        </w:tc>
        <w:tc>
          <w:tcPr>
            <w:tcW w:w="1276" w:type="dxa"/>
          </w:tcPr>
          <w:p w14:paraId="73369861" w14:textId="77777777" w:rsidR="000D67D8" w:rsidRDefault="000D67D8" w:rsidP="000D67D8">
            <w:pPr>
              <w:pStyle w:val="tableheaderwithintable"/>
            </w:pPr>
            <w:r>
              <w:t>Preparation (hours)</w:t>
            </w:r>
          </w:p>
        </w:tc>
        <w:tc>
          <w:tcPr>
            <w:tcW w:w="1276" w:type="dxa"/>
          </w:tcPr>
          <w:p w14:paraId="1080C424" w14:textId="77777777" w:rsidR="000D67D8" w:rsidRDefault="000D67D8" w:rsidP="000D67D8">
            <w:pPr>
              <w:pStyle w:val="tableheaderwithintable"/>
            </w:pPr>
            <w:r>
              <w:t>Total staff hours</w:t>
            </w:r>
          </w:p>
        </w:tc>
        <w:tc>
          <w:tcPr>
            <w:tcW w:w="1192" w:type="dxa"/>
          </w:tcPr>
          <w:p w14:paraId="36F15925" w14:textId="77777777" w:rsidR="000D67D8" w:rsidRDefault="000D67D8" w:rsidP="000D67D8">
            <w:pPr>
              <w:pStyle w:val="tableheaderwithintable"/>
            </w:pPr>
            <w:r>
              <w:t>Total staff cost ($)</w:t>
            </w:r>
          </w:p>
        </w:tc>
      </w:tr>
      <w:tr w:rsidR="000D67D8" w14:paraId="19A4C223" w14:textId="77777777" w:rsidTr="009015C5">
        <w:trPr>
          <w:trHeight w:val="420"/>
        </w:trPr>
        <w:tc>
          <w:tcPr>
            <w:tcW w:w="1722" w:type="dxa"/>
            <w:vAlign w:val="center"/>
          </w:tcPr>
          <w:p w14:paraId="60F5FBFF" w14:textId="77777777" w:rsidR="000D67D8" w:rsidRDefault="000D67D8" w:rsidP="000D67D8">
            <w:pPr>
              <w:pStyle w:val="tabletext"/>
              <w:ind w:left="0"/>
            </w:pPr>
            <w:r>
              <w:t>General Manager</w:t>
            </w:r>
          </w:p>
        </w:tc>
        <w:tc>
          <w:tcPr>
            <w:tcW w:w="1113" w:type="dxa"/>
            <w:vAlign w:val="center"/>
          </w:tcPr>
          <w:p w14:paraId="57D14C70" w14:textId="77777777" w:rsidR="000D67D8" w:rsidRDefault="000D67D8" w:rsidP="000D67D8">
            <w:pPr>
              <w:pStyle w:val="tabletext"/>
              <w:ind w:left="-8"/>
              <w:jc w:val="center"/>
            </w:pPr>
            <w:r>
              <w:t>6</w:t>
            </w:r>
          </w:p>
        </w:tc>
        <w:tc>
          <w:tcPr>
            <w:tcW w:w="1276" w:type="dxa"/>
            <w:vAlign w:val="center"/>
          </w:tcPr>
          <w:p w14:paraId="136E469F" w14:textId="77777777" w:rsidR="000D67D8" w:rsidRDefault="000D67D8" w:rsidP="000D67D8">
            <w:pPr>
              <w:pStyle w:val="tabletext"/>
              <w:ind w:left="0"/>
              <w:jc w:val="center"/>
            </w:pPr>
            <w:r>
              <w:t>6</w:t>
            </w:r>
          </w:p>
        </w:tc>
        <w:tc>
          <w:tcPr>
            <w:tcW w:w="1276" w:type="dxa"/>
            <w:vAlign w:val="center"/>
          </w:tcPr>
          <w:p w14:paraId="089804C0" w14:textId="77777777" w:rsidR="000D67D8" w:rsidRDefault="000D67D8" w:rsidP="000D67D8">
            <w:pPr>
              <w:pStyle w:val="tabletext"/>
              <w:ind w:left="0"/>
              <w:jc w:val="center"/>
            </w:pPr>
            <w:r>
              <w:t>12</w:t>
            </w:r>
          </w:p>
        </w:tc>
        <w:tc>
          <w:tcPr>
            <w:tcW w:w="1192" w:type="dxa"/>
            <w:vAlign w:val="center"/>
          </w:tcPr>
          <w:p w14:paraId="4AFAFC10" w14:textId="77777777" w:rsidR="000D67D8" w:rsidRDefault="000D67D8" w:rsidP="000D67D8">
            <w:pPr>
              <w:pStyle w:val="tabletext"/>
              <w:ind w:left="0"/>
              <w:jc w:val="center"/>
            </w:pPr>
            <w:r>
              <w:t>772</w:t>
            </w:r>
          </w:p>
        </w:tc>
      </w:tr>
      <w:tr w:rsidR="000D67D8" w14:paraId="64DA47F0" w14:textId="77777777" w:rsidTr="009015C5">
        <w:trPr>
          <w:trHeight w:val="420"/>
        </w:trPr>
        <w:tc>
          <w:tcPr>
            <w:tcW w:w="1722" w:type="dxa"/>
            <w:vAlign w:val="center"/>
          </w:tcPr>
          <w:p w14:paraId="60B887C3" w14:textId="77777777" w:rsidR="000D67D8" w:rsidRDefault="000D67D8" w:rsidP="000D67D8">
            <w:pPr>
              <w:pStyle w:val="tabletext"/>
              <w:ind w:left="0"/>
            </w:pPr>
            <w:r>
              <w:t>Senior Manager</w:t>
            </w:r>
          </w:p>
        </w:tc>
        <w:tc>
          <w:tcPr>
            <w:tcW w:w="1113" w:type="dxa"/>
            <w:vAlign w:val="center"/>
          </w:tcPr>
          <w:p w14:paraId="223D35E2" w14:textId="77777777" w:rsidR="000D67D8" w:rsidRDefault="000D67D8" w:rsidP="000D67D8">
            <w:pPr>
              <w:pStyle w:val="tabletext"/>
              <w:ind w:left="-8"/>
              <w:jc w:val="center"/>
            </w:pPr>
            <w:r>
              <w:t>6</w:t>
            </w:r>
          </w:p>
        </w:tc>
        <w:tc>
          <w:tcPr>
            <w:tcW w:w="1276" w:type="dxa"/>
            <w:vAlign w:val="center"/>
          </w:tcPr>
          <w:p w14:paraId="2148E41D" w14:textId="77777777" w:rsidR="000D67D8" w:rsidRDefault="000D67D8" w:rsidP="000D67D8">
            <w:pPr>
              <w:pStyle w:val="tabletext"/>
              <w:ind w:left="0"/>
              <w:jc w:val="center"/>
            </w:pPr>
            <w:r>
              <w:t>20</w:t>
            </w:r>
          </w:p>
        </w:tc>
        <w:tc>
          <w:tcPr>
            <w:tcW w:w="1276" w:type="dxa"/>
            <w:vAlign w:val="center"/>
          </w:tcPr>
          <w:p w14:paraId="0463EB2E" w14:textId="77777777" w:rsidR="000D67D8" w:rsidRDefault="000D67D8" w:rsidP="000D67D8">
            <w:pPr>
              <w:pStyle w:val="tabletext"/>
              <w:ind w:left="0"/>
              <w:jc w:val="center"/>
            </w:pPr>
            <w:r>
              <w:t>26</w:t>
            </w:r>
          </w:p>
        </w:tc>
        <w:tc>
          <w:tcPr>
            <w:tcW w:w="1192" w:type="dxa"/>
            <w:vAlign w:val="center"/>
          </w:tcPr>
          <w:p w14:paraId="0841F17F" w14:textId="77777777" w:rsidR="000D67D8" w:rsidRDefault="000D67D8" w:rsidP="000D67D8">
            <w:pPr>
              <w:pStyle w:val="tabletext"/>
              <w:ind w:left="0"/>
              <w:jc w:val="center"/>
            </w:pPr>
            <w:r>
              <w:t>1,374</w:t>
            </w:r>
          </w:p>
        </w:tc>
      </w:tr>
      <w:tr w:rsidR="000D67D8" w14:paraId="61F9EE30" w14:textId="77777777" w:rsidTr="009015C5">
        <w:trPr>
          <w:trHeight w:val="420"/>
        </w:trPr>
        <w:tc>
          <w:tcPr>
            <w:tcW w:w="1722" w:type="dxa"/>
            <w:vAlign w:val="center"/>
          </w:tcPr>
          <w:p w14:paraId="2506A1DF" w14:textId="77777777" w:rsidR="000D67D8" w:rsidRDefault="000D67D8" w:rsidP="000D67D8">
            <w:pPr>
              <w:pStyle w:val="tabletext"/>
              <w:ind w:left="0"/>
            </w:pPr>
            <w:r>
              <w:t>Professional</w:t>
            </w:r>
          </w:p>
        </w:tc>
        <w:tc>
          <w:tcPr>
            <w:tcW w:w="1113" w:type="dxa"/>
            <w:vAlign w:val="center"/>
          </w:tcPr>
          <w:p w14:paraId="0A7CC022" w14:textId="77777777" w:rsidR="000D67D8" w:rsidRDefault="000D67D8" w:rsidP="000D67D8">
            <w:pPr>
              <w:pStyle w:val="tabletext"/>
              <w:ind w:left="-8"/>
              <w:jc w:val="center"/>
            </w:pPr>
            <w:r>
              <w:t>6</w:t>
            </w:r>
          </w:p>
        </w:tc>
        <w:tc>
          <w:tcPr>
            <w:tcW w:w="1276" w:type="dxa"/>
            <w:vAlign w:val="center"/>
          </w:tcPr>
          <w:p w14:paraId="6EE37CD7" w14:textId="77777777" w:rsidR="000D67D8" w:rsidRDefault="000D67D8" w:rsidP="000D67D8">
            <w:pPr>
              <w:pStyle w:val="tabletext"/>
              <w:ind w:left="0"/>
              <w:jc w:val="center"/>
            </w:pPr>
            <w:r>
              <w:t>30</w:t>
            </w:r>
          </w:p>
        </w:tc>
        <w:tc>
          <w:tcPr>
            <w:tcW w:w="1276" w:type="dxa"/>
            <w:vAlign w:val="center"/>
          </w:tcPr>
          <w:p w14:paraId="28392F8E" w14:textId="77777777" w:rsidR="000D67D8" w:rsidRDefault="000D67D8" w:rsidP="000D67D8">
            <w:pPr>
              <w:pStyle w:val="tabletext"/>
              <w:ind w:left="0"/>
              <w:jc w:val="center"/>
            </w:pPr>
            <w:r>
              <w:t>36</w:t>
            </w:r>
          </w:p>
        </w:tc>
        <w:tc>
          <w:tcPr>
            <w:tcW w:w="1192" w:type="dxa"/>
            <w:vAlign w:val="center"/>
          </w:tcPr>
          <w:p w14:paraId="34E22032" w14:textId="77777777" w:rsidR="000D67D8" w:rsidRDefault="000D67D8" w:rsidP="000D67D8">
            <w:pPr>
              <w:pStyle w:val="tabletext"/>
              <w:ind w:left="0"/>
              <w:jc w:val="center"/>
            </w:pPr>
            <w:r>
              <w:t>1,393</w:t>
            </w:r>
          </w:p>
        </w:tc>
      </w:tr>
      <w:tr w:rsidR="000D67D8" w14:paraId="6DEA25FF" w14:textId="77777777" w:rsidTr="009015C5">
        <w:trPr>
          <w:trHeight w:val="420"/>
        </w:trPr>
        <w:tc>
          <w:tcPr>
            <w:tcW w:w="1722" w:type="dxa"/>
            <w:vAlign w:val="center"/>
          </w:tcPr>
          <w:p w14:paraId="4C3380FA" w14:textId="77777777" w:rsidR="000D67D8" w:rsidRPr="00F22F21" w:rsidRDefault="000D67D8" w:rsidP="000D67D8">
            <w:pPr>
              <w:pStyle w:val="tabletext"/>
              <w:ind w:left="0"/>
              <w:rPr>
                <w:b/>
              </w:rPr>
            </w:pPr>
            <w:r w:rsidRPr="00F22F21">
              <w:rPr>
                <w:b/>
              </w:rPr>
              <w:t>TOTAL</w:t>
            </w:r>
          </w:p>
        </w:tc>
        <w:tc>
          <w:tcPr>
            <w:tcW w:w="1113" w:type="dxa"/>
            <w:vAlign w:val="center"/>
          </w:tcPr>
          <w:p w14:paraId="6EE7D2FB" w14:textId="77777777" w:rsidR="000D67D8" w:rsidRDefault="000D67D8" w:rsidP="000D67D8">
            <w:pPr>
              <w:pStyle w:val="tabletext"/>
              <w:ind w:left="-8"/>
              <w:jc w:val="center"/>
            </w:pPr>
          </w:p>
        </w:tc>
        <w:tc>
          <w:tcPr>
            <w:tcW w:w="1276" w:type="dxa"/>
            <w:vAlign w:val="center"/>
          </w:tcPr>
          <w:p w14:paraId="4E95D10F" w14:textId="77777777" w:rsidR="000D67D8" w:rsidRDefault="000D67D8" w:rsidP="000D67D8">
            <w:pPr>
              <w:pStyle w:val="tabletext"/>
              <w:ind w:left="0"/>
              <w:jc w:val="center"/>
            </w:pPr>
          </w:p>
        </w:tc>
        <w:tc>
          <w:tcPr>
            <w:tcW w:w="1276" w:type="dxa"/>
            <w:vAlign w:val="center"/>
          </w:tcPr>
          <w:p w14:paraId="6481F940" w14:textId="77777777" w:rsidR="000D67D8" w:rsidRDefault="000D67D8" w:rsidP="000D67D8">
            <w:pPr>
              <w:pStyle w:val="tabletext"/>
              <w:ind w:left="0"/>
              <w:jc w:val="center"/>
            </w:pPr>
          </w:p>
        </w:tc>
        <w:tc>
          <w:tcPr>
            <w:tcW w:w="1192" w:type="dxa"/>
            <w:vAlign w:val="center"/>
          </w:tcPr>
          <w:p w14:paraId="6943ED0E" w14:textId="77777777" w:rsidR="000D67D8" w:rsidRPr="00E10B6A" w:rsidRDefault="000D67D8" w:rsidP="000D67D8">
            <w:pPr>
              <w:pStyle w:val="tabletext"/>
              <w:ind w:left="0"/>
              <w:jc w:val="center"/>
              <w:rPr>
                <w:b/>
              </w:rPr>
            </w:pPr>
            <w:r>
              <w:rPr>
                <w:b/>
              </w:rPr>
              <w:t>3,539</w:t>
            </w:r>
          </w:p>
        </w:tc>
      </w:tr>
    </w:tbl>
    <w:p w14:paraId="4AC0A7C4" w14:textId="77777777" w:rsidR="00EC0A9D" w:rsidRDefault="00EC0A9D" w:rsidP="000D67D8">
      <w:pPr>
        <w:pStyle w:val="Heading4"/>
        <w:spacing w:before="200" w:after="80"/>
      </w:pPr>
      <w:r>
        <w:t>Qualitative costs</w:t>
      </w:r>
    </w:p>
    <w:p w14:paraId="5BF0D4E8" w14:textId="1C9093F6" w:rsidR="00D808B7" w:rsidRDefault="00EC0A9D" w:rsidP="000B2A25">
      <w:pPr>
        <w:pStyle w:val="base-text-paragraph"/>
        <w:spacing w:before="80" w:after="80"/>
      </w:pPr>
      <w:r w:rsidRPr="00EC0A9D">
        <w:t>Some stakeholders highlighted concerns that small businesses may be confused about the role and remit of the Ombudsman. For example, a small business may be unsure of whether they should approach the Ombudsman, a state</w:t>
      </w:r>
      <w:r w:rsidR="009349BC">
        <w:noBreakHyphen/>
      </w:r>
      <w:r w:rsidRPr="00EC0A9D">
        <w:t>based small business commissioner, or an industry ombudsman to seek advice on a dispute. Industry bodies echoed that that it will be equally important that they understand the extent of the Ombudsman</w:t>
      </w:r>
      <w:r w:rsidR="009349BC">
        <w:t>’</w:t>
      </w:r>
      <w:r w:rsidRPr="00EC0A9D">
        <w:t>s services. It is difficult to anticipate whether such confusion will be a significant concern. This risk will be mitigated through a targeted communications and engagement strategy, particularly in the first 12 months of operation, to educate the community (small businesses, industry organisations and other ADR providers) about the Ombudsman</w:t>
      </w:r>
      <w:r w:rsidR="009349BC">
        <w:t>’</w:t>
      </w:r>
      <w:r w:rsidRPr="00EC0A9D">
        <w:t>s role and powers</w:t>
      </w:r>
      <w:r w:rsidR="009041EE">
        <w:t xml:space="preserve">. </w:t>
      </w:r>
    </w:p>
    <w:p w14:paraId="4124A5CB" w14:textId="302E38E8" w:rsidR="00D808B7" w:rsidRDefault="00EC0A9D" w:rsidP="000B2A25">
      <w:pPr>
        <w:pStyle w:val="base-text-paragraph"/>
        <w:spacing w:before="80" w:after="80"/>
      </w:pPr>
      <w:r w:rsidRPr="00EC0A9D">
        <w:t>It is not anticipated that businesses will bear significant costs from misunderstanding the role of the Ombudsman. The aim of the Ombudsman</w:t>
      </w:r>
      <w:r w:rsidR="009349BC">
        <w:t>’</w:t>
      </w:r>
      <w:r w:rsidRPr="00EC0A9D">
        <w:t>s to facilitate a quick and cost</w:t>
      </w:r>
      <w:r w:rsidR="009349BC">
        <w:noBreakHyphen/>
      </w:r>
      <w:r w:rsidRPr="00EC0A9D">
        <w:t>effective resolution</w:t>
      </w:r>
      <w:r w:rsidR="009041EE">
        <w:t xml:space="preserve">. </w:t>
      </w:r>
      <w:r w:rsidRPr="00EC0A9D">
        <w:t xml:space="preserve">As noted earlier, often businesses will not pursue a dispute as they are not aware of what avenues are available to them to resolve the matter. If a small business contacts the Ombudsman with a request for assistance, the Ombudsman will help small businesses understand their options to address the matter and facilitate a seamless referral to the most appropriate support agency. Such referral processes will be facilitated through governance arrangements, such as </w:t>
      </w:r>
      <w:proofErr w:type="spellStart"/>
      <w:r w:rsidRPr="00EC0A9D">
        <w:t>MoUs</w:t>
      </w:r>
      <w:proofErr w:type="spellEnd"/>
      <w:r w:rsidRPr="00EC0A9D">
        <w:t xml:space="preserve">, with existing Commonwealth, </w:t>
      </w:r>
      <w:r w:rsidR="0005431F">
        <w:t>s</w:t>
      </w:r>
      <w:r w:rsidR="0005431F" w:rsidRPr="00EC0A9D">
        <w:t xml:space="preserve">tate </w:t>
      </w:r>
      <w:r w:rsidRPr="00EC0A9D">
        <w:t xml:space="preserve">and </w:t>
      </w:r>
      <w:r w:rsidR="0005431F">
        <w:t>t</w:t>
      </w:r>
      <w:r w:rsidR="0005431F" w:rsidRPr="00EC0A9D">
        <w:t xml:space="preserve">erritory </w:t>
      </w:r>
      <w:r w:rsidRPr="00EC0A9D">
        <w:t>bodies.</w:t>
      </w:r>
      <w:r w:rsidR="00D808B7" w:rsidRPr="00D808B7">
        <w:t xml:space="preserve"> </w:t>
      </w:r>
    </w:p>
    <w:p w14:paraId="35F92A99" w14:textId="478DDF48" w:rsidR="00D808B7" w:rsidRDefault="00EC0A9D" w:rsidP="00200FC3">
      <w:pPr>
        <w:pStyle w:val="base-text-paragraph"/>
      </w:pPr>
      <w:r w:rsidRPr="00EC0A9D">
        <w:t>Small business disputes with Commonwealth Government agencies can be directed through the Ombudsman</w:t>
      </w:r>
      <w:r w:rsidR="009349BC">
        <w:t>’</w:t>
      </w:r>
      <w:r w:rsidRPr="00EC0A9D">
        <w:t>s own ADR service</w:t>
      </w:r>
      <w:r w:rsidR="009041EE">
        <w:t xml:space="preserve">. </w:t>
      </w:r>
      <w:r w:rsidRPr="00EC0A9D">
        <w:t>This could result in more small businesses pursuing disputes with their dealings with Government agencies. Some businesses may have otherwise left a dispute unaddressed if pursing a complaint with a larger Government agency was perceived as difficult. It is hard to estimate the possible change in the volume of such disputes, particularly as parties would still be encouraged to pursue disputes though existing internal complaints processes in the first instance. It is anticipated that as an advocate, the Ombudsman would also play a role in helping officials understand how to improve small business engagement and avoid disputes in the future.</w:t>
      </w:r>
      <w:r w:rsidR="00D808B7" w:rsidRPr="00D808B7">
        <w:t xml:space="preserve"> </w:t>
      </w:r>
    </w:p>
    <w:p w14:paraId="32E3FEDB" w14:textId="77777777" w:rsidR="00EC0A9D" w:rsidRDefault="00EC0A9D" w:rsidP="00C71EE9">
      <w:pPr>
        <w:pStyle w:val="Heading4"/>
      </w:pPr>
      <w:r>
        <w:t>Quant</w:t>
      </w:r>
      <w:r w:rsidR="00D23705">
        <w:t>it</w:t>
      </w:r>
      <w:r>
        <w:t>ative benefits</w:t>
      </w:r>
    </w:p>
    <w:p w14:paraId="6FB4F823" w14:textId="77777777" w:rsidR="00EC0A9D" w:rsidRDefault="00EC0A9D" w:rsidP="00C71EE9">
      <w:pPr>
        <w:pStyle w:val="Heading5"/>
      </w:pPr>
      <w:r>
        <w:t>Dispute resolution</w:t>
      </w:r>
    </w:p>
    <w:p w14:paraId="0CA05C17" w14:textId="12B0AB31" w:rsidR="00D808B7" w:rsidRDefault="00EC0A9D" w:rsidP="00200FC3">
      <w:pPr>
        <w:pStyle w:val="base-text-paragraph"/>
      </w:pPr>
      <w:r w:rsidRPr="00EC0A9D">
        <w:t>The Ombudsman</w:t>
      </w:r>
      <w:r w:rsidR="009349BC">
        <w:t>’</w:t>
      </w:r>
      <w:r w:rsidRPr="00EC0A9D">
        <w:t>s own ADR service (pre</w:t>
      </w:r>
      <w:r w:rsidR="009349BC">
        <w:noBreakHyphen/>
      </w:r>
      <w:r w:rsidRPr="00EC0A9D">
        <w:t>mediation and formal mediation) is intended to offer businesses an alternative process to address a dispute compared with more formal court and tribunal proceedings</w:t>
      </w:r>
      <w:r w:rsidR="009041EE">
        <w:t xml:space="preserve">. </w:t>
      </w:r>
      <w:r w:rsidRPr="00EC0A9D">
        <w:t>It does not preclude participants from seeking concurrent assistance from other sources.</w:t>
      </w:r>
      <w:r w:rsidR="00D808B7" w:rsidRPr="00D808B7">
        <w:t xml:space="preserve"> </w:t>
      </w:r>
    </w:p>
    <w:p w14:paraId="7EF99E1E" w14:textId="314303C8" w:rsidR="00D808B7" w:rsidRDefault="00EC0A9D" w:rsidP="00200FC3">
      <w:pPr>
        <w:pStyle w:val="base-text-paragraph"/>
      </w:pPr>
      <w:r w:rsidRPr="00EC0A9D">
        <w:t>There is a regulatory saving to small businesses accessing the Ombudsman</w:t>
      </w:r>
      <w:r w:rsidR="009349BC">
        <w:t>’</w:t>
      </w:r>
      <w:r w:rsidRPr="00EC0A9D">
        <w:t>s own ADR service rather than proceeding to court</w:t>
      </w:r>
      <w:r w:rsidR="009041EE">
        <w:t xml:space="preserve">. </w:t>
      </w:r>
      <w:r w:rsidRPr="00EC0A9D">
        <w:t>It is assumed that a proportion of the matters that are within the scope of the Ombudsman</w:t>
      </w:r>
      <w:r w:rsidR="009349BC">
        <w:t>’</w:t>
      </w:r>
      <w:r w:rsidRPr="00EC0A9D">
        <w:t>s own ADR service (small business disputes relating to Commonwealth Government agencies, international trade and interstate trade) would have been pursued through the Federal Court system. This would result in fewer cases being taken through the courts, resulting in a minor regulatory saving from time taken to apply to the Federal Court.</w:t>
      </w:r>
      <w:r w:rsidR="00D808B7" w:rsidRPr="00D808B7">
        <w:t xml:space="preserve"> </w:t>
      </w:r>
    </w:p>
    <w:p w14:paraId="4933D4D7" w14:textId="77777777" w:rsidR="00EC0A9D" w:rsidRPr="00EC0A9D" w:rsidRDefault="00EC0A9D" w:rsidP="00200FC3">
      <w:pPr>
        <w:pStyle w:val="base-text-paragraph"/>
      </w:pPr>
      <w:r w:rsidRPr="00EC0A9D">
        <w:t>The following assumptions have been made to calculate these</w:t>
      </w:r>
      <w:r w:rsidR="00AC4A99">
        <w:t xml:space="preserve"> </w:t>
      </w:r>
      <w:r w:rsidRPr="00EC0A9D">
        <w:t>costs:</w:t>
      </w:r>
    </w:p>
    <w:p w14:paraId="6479242E" w14:textId="77777777" w:rsidR="00EC0A9D" w:rsidRPr="006F3456" w:rsidRDefault="00EC0A9D" w:rsidP="006F614C">
      <w:pPr>
        <w:pStyle w:val="exampledotpoint1"/>
        <w:rPr>
          <w:szCs w:val="22"/>
        </w:rPr>
      </w:pPr>
      <w:r w:rsidRPr="006F614C">
        <w:rPr>
          <w:sz w:val="22"/>
          <w:szCs w:val="22"/>
        </w:rPr>
        <w:t>Time taken to complete Federal Court application form: 1 hour</w:t>
      </w:r>
    </w:p>
    <w:p w14:paraId="166DDE04" w14:textId="77777777" w:rsidR="00EC0A9D" w:rsidRPr="006F3456" w:rsidRDefault="00EC0A9D" w:rsidP="006F614C">
      <w:pPr>
        <w:pStyle w:val="exampledotpoint1"/>
        <w:rPr>
          <w:szCs w:val="22"/>
        </w:rPr>
      </w:pPr>
      <w:r w:rsidRPr="006F614C">
        <w:rPr>
          <w:sz w:val="22"/>
          <w:szCs w:val="22"/>
        </w:rPr>
        <w:t>Staff costs of a General Manager level staff member to compete form: $64.3 per hour.</w:t>
      </w:r>
    </w:p>
    <w:p w14:paraId="0FEB091C" w14:textId="365E5973" w:rsidR="00EC0A9D" w:rsidRPr="006F3456" w:rsidRDefault="00EC0A9D" w:rsidP="006F614C">
      <w:pPr>
        <w:pStyle w:val="exampledotpoint1"/>
        <w:rPr>
          <w:szCs w:val="22"/>
        </w:rPr>
      </w:pPr>
      <w:r w:rsidRPr="006F614C">
        <w:rPr>
          <w:sz w:val="22"/>
          <w:szCs w:val="22"/>
        </w:rPr>
        <w:t>A third of cases resolved through the Ombudsman</w:t>
      </w:r>
      <w:r w:rsidR="009349BC">
        <w:rPr>
          <w:sz w:val="22"/>
          <w:szCs w:val="22"/>
        </w:rPr>
        <w:t>’</w:t>
      </w:r>
      <w:r w:rsidRPr="006F614C">
        <w:rPr>
          <w:sz w:val="22"/>
          <w:szCs w:val="22"/>
        </w:rPr>
        <w:t>s own ADR service would have otherwise been pursued through the courts.</w:t>
      </w:r>
    </w:p>
    <w:p w14:paraId="46C93FDA" w14:textId="77777777" w:rsidR="00D808B7" w:rsidRDefault="00EC0A9D" w:rsidP="00200FC3">
      <w:pPr>
        <w:pStyle w:val="base-text-paragraph"/>
      </w:pPr>
      <w:r w:rsidRPr="00EC0A9D">
        <w:t>It is expected that this would result in a regulatory savings of $7,021.64 per year. These avoided costs have been included in the RBM.</w:t>
      </w:r>
      <w:r w:rsidR="00D808B7" w:rsidRPr="00D808B7">
        <w:t xml:space="preserve"> </w:t>
      </w:r>
    </w:p>
    <w:p w14:paraId="31A36F61" w14:textId="77777777" w:rsidR="00EC0A9D" w:rsidRDefault="00EC0A9D" w:rsidP="00C71EE9">
      <w:pPr>
        <w:pStyle w:val="Heading5"/>
      </w:pPr>
      <w:r>
        <w:t>Own ADR process</w:t>
      </w:r>
    </w:p>
    <w:p w14:paraId="65F4A644" w14:textId="2BA57950" w:rsidR="00D808B7" w:rsidRDefault="00EC0A9D" w:rsidP="00200FC3">
      <w:pPr>
        <w:pStyle w:val="base-text-paragraph"/>
      </w:pPr>
      <w:r w:rsidRPr="00EC0A9D">
        <w:t>There wi</w:t>
      </w:r>
      <w:r w:rsidR="00547357">
        <w:t>l</w:t>
      </w:r>
      <w:r w:rsidRPr="00EC0A9D">
        <w:t>l be a broader economic saving to businesses that have been able to resolve disputes through the Ombudsman</w:t>
      </w:r>
      <w:r w:rsidR="009349BC">
        <w:t>’</w:t>
      </w:r>
      <w:r w:rsidRPr="00EC0A9D">
        <w:t>s own ADR service rather than pursuing it through the courts. The following assumptions have been made to quantify these economic savings.</w:t>
      </w:r>
      <w:r w:rsidR="00D808B7" w:rsidRPr="00D808B7">
        <w:t xml:space="preserve"> </w:t>
      </w:r>
    </w:p>
    <w:p w14:paraId="759B6A39" w14:textId="56998CDA" w:rsidR="00EC0A9D" w:rsidRPr="006F3456" w:rsidRDefault="00EC0A9D" w:rsidP="00F26DB0">
      <w:pPr>
        <w:pStyle w:val="exampledotpoint1"/>
        <w:keepNext/>
        <w:keepLines/>
        <w:rPr>
          <w:szCs w:val="22"/>
        </w:rPr>
      </w:pPr>
      <w:r w:rsidRPr="006F614C">
        <w:rPr>
          <w:sz w:val="22"/>
          <w:szCs w:val="22"/>
        </w:rPr>
        <w:t>One third of the matters proceeding through the Ombudsman</w:t>
      </w:r>
      <w:r w:rsidR="009349BC">
        <w:rPr>
          <w:sz w:val="22"/>
          <w:szCs w:val="22"/>
        </w:rPr>
        <w:t>’</w:t>
      </w:r>
      <w:r w:rsidRPr="006F614C">
        <w:rPr>
          <w:sz w:val="22"/>
          <w:szCs w:val="22"/>
        </w:rPr>
        <w:t xml:space="preserve">s ADR service would have otherwise been pursued through a Commonwealth jurisdiction court. </w:t>
      </w:r>
    </w:p>
    <w:p w14:paraId="6646FFA5" w14:textId="77777777" w:rsidR="00EC0A9D" w:rsidRPr="006F3456" w:rsidRDefault="00EC0A9D" w:rsidP="00F26DB0">
      <w:pPr>
        <w:pStyle w:val="exampledotpoint1"/>
        <w:keepNext/>
        <w:keepLines/>
        <w:rPr>
          <w:szCs w:val="22"/>
        </w:rPr>
      </w:pPr>
      <w:r w:rsidRPr="006F614C">
        <w:rPr>
          <w:sz w:val="22"/>
          <w:szCs w:val="22"/>
        </w:rPr>
        <w:t>Only parties reaching an agreement through the ADR process would have avoided these costs (if still unresolved, parties may choose to escalate the matter through the courts).</w:t>
      </w:r>
    </w:p>
    <w:p w14:paraId="4CCA4F35" w14:textId="2AE64166" w:rsidR="00EC0A9D" w:rsidRPr="006F3456" w:rsidRDefault="00EC0A9D" w:rsidP="006F614C">
      <w:pPr>
        <w:pStyle w:val="exampledotpoint1"/>
        <w:rPr>
          <w:szCs w:val="22"/>
        </w:rPr>
      </w:pPr>
      <w:r w:rsidRPr="006F614C">
        <w:rPr>
          <w:sz w:val="22"/>
          <w:szCs w:val="22"/>
        </w:rPr>
        <w:t>The average out</w:t>
      </w:r>
      <w:r w:rsidR="009349BC">
        <w:rPr>
          <w:sz w:val="22"/>
          <w:szCs w:val="22"/>
        </w:rPr>
        <w:noBreakHyphen/>
      </w:r>
      <w:r w:rsidRPr="006F614C">
        <w:rPr>
          <w:sz w:val="22"/>
          <w:szCs w:val="22"/>
        </w:rPr>
        <w:t>of</w:t>
      </w:r>
      <w:r w:rsidR="009349BC">
        <w:rPr>
          <w:sz w:val="22"/>
          <w:szCs w:val="22"/>
        </w:rPr>
        <w:noBreakHyphen/>
      </w:r>
      <w:r w:rsidRPr="006F614C">
        <w:rPr>
          <w:sz w:val="22"/>
          <w:szCs w:val="22"/>
        </w:rPr>
        <w:t>pocket costs of litigation through the Federal Court is $111,120 for the applicant and $99,805 for the respondent.</w:t>
      </w:r>
      <w:r w:rsidRPr="006F614C">
        <w:rPr>
          <w:rStyle w:val="FootnoteReference"/>
          <w:sz w:val="22"/>
          <w:szCs w:val="22"/>
        </w:rPr>
        <w:footnoteReference w:id="18"/>
      </w:r>
      <w:r w:rsidRPr="006F614C">
        <w:rPr>
          <w:sz w:val="22"/>
          <w:szCs w:val="22"/>
        </w:rPr>
        <w:t xml:space="preserve"> Stakeholder feedback was that initial proxy of state Supreme Court costs (around $50,000) was too low. Examples of typical legal costs provided were include court fees ($5,000); discovery ($35,000); Barrister briefing ($20,000), trial cost per day ($10,000). </w:t>
      </w:r>
    </w:p>
    <w:p w14:paraId="084D7E2C" w14:textId="4C704EEA" w:rsidR="00EC0A9D" w:rsidRPr="006F3456" w:rsidRDefault="00EC0A9D" w:rsidP="006F614C">
      <w:pPr>
        <w:pStyle w:val="exampledotpoint1"/>
        <w:rPr>
          <w:szCs w:val="22"/>
        </w:rPr>
      </w:pPr>
      <w:r w:rsidRPr="006F614C">
        <w:rPr>
          <w:sz w:val="22"/>
          <w:szCs w:val="22"/>
        </w:rPr>
        <w:t>Staff costs are (at least) twice those of participating in mediation per party. Litigation processes are estimated to take up to 6 months compared to 8</w:t>
      </w:r>
      <w:r w:rsidR="009349BC">
        <w:rPr>
          <w:sz w:val="22"/>
          <w:szCs w:val="22"/>
        </w:rPr>
        <w:noBreakHyphen/>
      </w:r>
      <w:r w:rsidRPr="006F614C">
        <w:rPr>
          <w:sz w:val="22"/>
          <w:szCs w:val="22"/>
        </w:rPr>
        <w:t>12 weeks for mediation. This equates to $7,079 per party.</w:t>
      </w:r>
    </w:p>
    <w:p w14:paraId="1FEE1043" w14:textId="4E2E35C1" w:rsidR="00EC0A9D" w:rsidRPr="006F3456" w:rsidRDefault="00EC0A9D" w:rsidP="006F614C">
      <w:pPr>
        <w:pStyle w:val="exampledotpoint1"/>
        <w:rPr>
          <w:szCs w:val="22"/>
        </w:rPr>
      </w:pPr>
      <w:r w:rsidRPr="006F614C">
        <w:rPr>
          <w:sz w:val="22"/>
          <w:szCs w:val="22"/>
        </w:rPr>
        <w:t>A third of cases resolved through the Ombudsman</w:t>
      </w:r>
      <w:r w:rsidR="009349BC">
        <w:rPr>
          <w:sz w:val="22"/>
          <w:szCs w:val="22"/>
        </w:rPr>
        <w:t>’</w:t>
      </w:r>
      <w:r w:rsidRPr="006F614C">
        <w:rPr>
          <w:sz w:val="22"/>
          <w:szCs w:val="22"/>
        </w:rPr>
        <w:t>s own ADR service would have otherwise been pursued through the courts.</w:t>
      </w:r>
    </w:p>
    <w:p w14:paraId="0AF2AF9D" w14:textId="77777777" w:rsidR="00D808B7" w:rsidRDefault="00EC0A9D" w:rsidP="00200FC3">
      <w:pPr>
        <w:pStyle w:val="base-text-paragraph"/>
      </w:pPr>
      <w:r w:rsidRPr="00EC0A9D">
        <w:t>The avoided court costs per resolved case is estimated to be $225,083.</w:t>
      </w:r>
      <w:r w:rsidR="00D808B7" w:rsidRPr="00D808B7">
        <w:t xml:space="preserve"> </w:t>
      </w:r>
    </w:p>
    <w:p w14:paraId="1B47C246" w14:textId="77777777" w:rsidR="00D808B7" w:rsidRDefault="00EC0A9D" w:rsidP="00200FC3">
      <w:pPr>
        <w:pStyle w:val="base-text-paragraph"/>
      </w:pPr>
      <w:r w:rsidRPr="00EC0A9D">
        <w:t xml:space="preserve">The net economic benefit of this initiative is outlined in </w:t>
      </w:r>
      <w:r w:rsidR="00A82CD1">
        <w:t>the</w:t>
      </w:r>
      <w:r w:rsidR="00727351">
        <w:t> </w:t>
      </w:r>
      <w:r w:rsidRPr="00F26DB0">
        <w:rPr>
          <w:b/>
        </w:rPr>
        <w:t>Table</w:t>
      </w:r>
      <w:r w:rsidR="00727351">
        <w:rPr>
          <w:b/>
        </w:rPr>
        <w:t xml:space="preserve"> 10.8</w:t>
      </w:r>
      <w:r w:rsidRPr="00F26DB0">
        <w:t xml:space="preserve"> </w:t>
      </w:r>
      <w:r w:rsidRPr="00EC0A9D">
        <w:t xml:space="preserve">below. The net regulatory burden is outlined </w:t>
      </w:r>
      <w:r w:rsidRPr="00A82CD1">
        <w:t xml:space="preserve">in </w:t>
      </w:r>
      <w:r w:rsidRPr="00F26DB0">
        <w:rPr>
          <w:b/>
        </w:rPr>
        <w:t>Table</w:t>
      </w:r>
      <w:r w:rsidR="00727351">
        <w:rPr>
          <w:b/>
        </w:rPr>
        <w:t> </w:t>
      </w:r>
      <w:r w:rsidR="00A82CD1" w:rsidRPr="00A82CD1">
        <w:rPr>
          <w:b/>
        </w:rPr>
        <w:t>10.9</w:t>
      </w:r>
      <w:r w:rsidR="00727351">
        <w:t> </w:t>
      </w:r>
      <w:r w:rsidRPr="00EC0A9D">
        <w:t>below.</w:t>
      </w:r>
      <w:r w:rsidR="00D808B7" w:rsidRPr="00D808B7">
        <w:t xml:space="preserve"> </w:t>
      </w:r>
    </w:p>
    <w:p w14:paraId="2AF4BFAA" w14:textId="77777777" w:rsidR="00942A74" w:rsidRDefault="00942A74" w:rsidP="00C71EE9">
      <w:pPr>
        <w:pStyle w:val="TableHeadingoutsidetable"/>
      </w:pPr>
      <w:r>
        <w:t>:</w:t>
      </w:r>
      <w:r w:rsidR="00EC0A9D">
        <w:t xml:space="preserve"> Summary of economic costs and savings per year</w:t>
      </w:r>
    </w:p>
    <w:tbl>
      <w:tblPr>
        <w:tblW w:w="657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134"/>
        <w:gridCol w:w="1192"/>
      </w:tblGrid>
      <w:tr w:rsidR="007A374A" w:rsidRPr="00067F36" w14:paraId="37B6F2DF" w14:textId="77777777" w:rsidTr="009015C5">
        <w:trPr>
          <w:trHeight w:val="300"/>
        </w:trPr>
        <w:tc>
          <w:tcPr>
            <w:tcW w:w="3119" w:type="dxa"/>
            <w:shd w:val="clear" w:color="auto" w:fill="auto"/>
            <w:noWrap/>
            <w:vAlign w:val="bottom"/>
            <w:hideMark/>
          </w:tcPr>
          <w:p w14:paraId="0A699422" w14:textId="77777777" w:rsidR="007A374A" w:rsidRPr="00067F36" w:rsidRDefault="007A374A" w:rsidP="005448BC">
            <w:pPr>
              <w:pStyle w:val="tableheaderwithintable"/>
            </w:pPr>
            <w:r w:rsidRPr="00067F36">
              <w:t xml:space="preserve">Total </w:t>
            </w:r>
            <w:r>
              <w:t>Economic c</w:t>
            </w:r>
            <w:r w:rsidRPr="00067F36">
              <w:t>osts</w:t>
            </w:r>
          </w:p>
        </w:tc>
        <w:tc>
          <w:tcPr>
            <w:tcW w:w="1134" w:type="dxa"/>
            <w:shd w:val="clear" w:color="auto" w:fill="auto"/>
            <w:noWrap/>
            <w:vAlign w:val="bottom"/>
            <w:hideMark/>
          </w:tcPr>
          <w:p w14:paraId="0F6498BF" w14:textId="77777777" w:rsidR="007A374A" w:rsidRPr="00067F36" w:rsidRDefault="007A374A" w:rsidP="005448BC">
            <w:pPr>
              <w:pStyle w:val="tableheaderwithintable"/>
            </w:pPr>
            <w:r w:rsidRPr="00067F36">
              <w:t>Number of cases (#)</w:t>
            </w:r>
          </w:p>
        </w:tc>
        <w:tc>
          <w:tcPr>
            <w:tcW w:w="1134" w:type="dxa"/>
            <w:shd w:val="clear" w:color="auto" w:fill="auto"/>
            <w:noWrap/>
            <w:vAlign w:val="bottom"/>
            <w:hideMark/>
          </w:tcPr>
          <w:p w14:paraId="21449A4D" w14:textId="77777777" w:rsidR="007A374A" w:rsidRPr="00067F36" w:rsidRDefault="007A374A" w:rsidP="005448BC">
            <w:pPr>
              <w:pStyle w:val="tableheaderwithintable"/>
            </w:pPr>
            <w:r w:rsidRPr="00067F36">
              <w:t>Cost per case ($)</w:t>
            </w:r>
          </w:p>
        </w:tc>
        <w:tc>
          <w:tcPr>
            <w:tcW w:w="1192" w:type="dxa"/>
            <w:shd w:val="clear" w:color="auto" w:fill="auto"/>
            <w:noWrap/>
            <w:vAlign w:val="bottom"/>
            <w:hideMark/>
          </w:tcPr>
          <w:p w14:paraId="5FE03750" w14:textId="77777777" w:rsidR="007A374A" w:rsidRPr="00067F36" w:rsidRDefault="007A374A" w:rsidP="005448BC">
            <w:pPr>
              <w:pStyle w:val="tableheaderwithintable"/>
            </w:pPr>
            <w:r w:rsidRPr="00067F36">
              <w:t>Total ($)</w:t>
            </w:r>
          </w:p>
        </w:tc>
      </w:tr>
      <w:tr w:rsidR="007A374A" w:rsidRPr="00067F36" w14:paraId="774026E0" w14:textId="77777777" w:rsidTr="009015C5">
        <w:trPr>
          <w:trHeight w:val="300"/>
        </w:trPr>
        <w:tc>
          <w:tcPr>
            <w:tcW w:w="3119" w:type="dxa"/>
            <w:shd w:val="clear" w:color="auto" w:fill="auto"/>
            <w:noWrap/>
            <w:vAlign w:val="bottom"/>
            <w:hideMark/>
          </w:tcPr>
          <w:p w14:paraId="009023B1" w14:textId="77777777" w:rsidR="007A374A" w:rsidRPr="00067F36" w:rsidRDefault="007A374A" w:rsidP="005448BC">
            <w:pPr>
              <w:pStyle w:val="tabletext"/>
            </w:pPr>
            <w:r w:rsidRPr="00067F36">
              <w:t>Advocacy</w:t>
            </w:r>
          </w:p>
        </w:tc>
        <w:tc>
          <w:tcPr>
            <w:tcW w:w="1134" w:type="dxa"/>
            <w:shd w:val="clear" w:color="auto" w:fill="auto"/>
            <w:noWrap/>
            <w:vAlign w:val="bottom"/>
            <w:hideMark/>
          </w:tcPr>
          <w:p w14:paraId="34B5E623" w14:textId="77777777" w:rsidR="007A374A" w:rsidRPr="00067F36" w:rsidRDefault="007A374A" w:rsidP="005448BC">
            <w:pPr>
              <w:pStyle w:val="tabletext"/>
            </w:pPr>
          </w:p>
        </w:tc>
        <w:tc>
          <w:tcPr>
            <w:tcW w:w="1134" w:type="dxa"/>
            <w:shd w:val="clear" w:color="auto" w:fill="auto"/>
            <w:noWrap/>
            <w:vAlign w:val="bottom"/>
            <w:hideMark/>
          </w:tcPr>
          <w:p w14:paraId="414AA655" w14:textId="77777777" w:rsidR="007A374A" w:rsidRPr="00067F36" w:rsidRDefault="007A374A" w:rsidP="005448BC">
            <w:pPr>
              <w:pStyle w:val="tabletext"/>
            </w:pPr>
          </w:p>
        </w:tc>
        <w:tc>
          <w:tcPr>
            <w:tcW w:w="1192" w:type="dxa"/>
            <w:shd w:val="clear" w:color="auto" w:fill="auto"/>
            <w:noWrap/>
            <w:vAlign w:val="bottom"/>
            <w:hideMark/>
          </w:tcPr>
          <w:p w14:paraId="67DBD325" w14:textId="77777777" w:rsidR="007A374A" w:rsidRPr="00067F36" w:rsidRDefault="007A374A" w:rsidP="005448BC">
            <w:pPr>
              <w:pStyle w:val="tabletext"/>
              <w:rPr>
                <w:bCs/>
              </w:rPr>
            </w:pPr>
            <w:r w:rsidRPr="00067F36">
              <w:rPr>
                <w:bCs/>
              </w:rPr>
              <w:t>186</w:t>
            </w:r>
            <w:r>
              <w:rPr>
                <w:bCs/>
              </w:rPr>
              <w:t>,</w:t>
            </w:r>
            <w:r w:rsidRPr="00067F36">
              <w:rPr>
                <w:bCs/>
              </w:rPr>
              <w:t>429</w:t>
            </w:r>
          </w:p>
        </w:tc>
      </w:tr>
      <w:tr w:rsidR="007A374A" w:rsidRPr="00067F36" w14:paraId="44FDB58A" w14:textId="77777777" w:rsidTr="009015C5">
        <w:trPr>
          <w:trHeight w:val="300"/>
        </w:trPr>
        <w:tc>
          <w:tcPr>
            <w:tcW w:w="3119" w:type="dxa"/>
            <w:shd w:val="clear" w:color="auto" w:fill="auto"/>
            <w:noWrap/>
            <w:vAlign w:val="bottom"/>
            <w:hideMark/>
          </w:tcPr>
          <w:p w14:paraId="732069EA" w14:textId="77777777" w:rsidR="007A374A" w:rsidRPr="00067F36" w:rsidRDefault="007A374A" w:rsidP="005448BC">
            <w:pPr>
              <w:pStyle w:val="tabletext"/>
            </w:pPr>
            <w:r w:rsidRPr="00067F36">
              <w:t>Dispute Resolution (Light Touch)</w:t>
            </w:r>
          </w:p>
        </w:tc>
        <w:tc>
          <w:tcPr>
            <w:tcW w:w="1134" w:type="dxa"/>
            <w:shd w:val="clear" w:color="auto" w:fill="auto"/>
            <w:noWrap/>
            <w:vAlign w:val="bottom"/>
            <w:hideMark/>
          </w:tcPr>
          <w:p w14:paraId="3D8C30AA" w14:textId="77777777" w:rsidR="007A374A" w:rsidRPr="00067F36" w:rsidRDefault="007A374A" w:rsidP="005448BC">
            <w:pPr>
              <w:pStyle w:val="tabletext"/>
            </w:pPr>
            <w:r w:rsidRPr="00067F36">
              <w:t>53</w:t>
            </w:r>
          </w:p>
        </w:tc>
        <w:tc>
          <w:tcPr>
            <w:tcW w:w="1134" w:type="dxa"/>
            <w:shd w:val="clear" w:color="auto" w:fill="auto"/>
            <w:noWrap/>
            <w:vAlign w:val="bottom"/>
            <w:hideMark/>
          </w:tcPr>
          <w:p w14:paraId="4633D0EF" w14:textId="77777777" w:rsidR="007A374A" w:rsidRPr="00067F36" w:rsidRDefault="007A374A" w:rsidP="005448BC">
            <w:pPr>
              <w:pStyle w:val="tabletext"/>
            </w:pPr>
            <w:r w:rsidRPr="00067F36">
              <w:t>1949</w:t>
            </w:r>
          </w:p>
        </w:tc>
        <w:tc>
          <w:tcPr>
            <w:tcW w:w="1192" w:type="dxa"/>
            <w:shd w:val="clear" w:color="auto" w:fill="auto"/>
            <w:noWrap/>
            <w:vAlign w:val="bottom"/>
            <w:hideMark/>
          </w:tcPr>
          <w:p w14:paraId="4CE33F3C" w14:textId="77777777" w:rsidR="007A374A" w:rsidRPr="00067F36" w:rsidRDefault="007A374A" w:rsidP="005448BC">
            <w:pPr>
              <w:pStyle w:val="tabletext"/>
              <w:rPr>
                <w:bCs/>
              </w:rPr>
            </w:pPr>
            <w:r w:rsidRPr="00067F36">
              <w:rPr>
                <w:bCs/>
              </w:rPr>
              <w:t>103</w:t>
            </w:r>
            <w:r>
              <w:rPr>
                <w:bCs/>
              </w:rPr>
              <w:t>,</w:t>
            </w:r>
            <w:r w:rsidRPr="00067F36">
              <w:rPr>
                <w:bCs/>
              </w:rPr>
              <w:t>697</w:t>
            </w:r>
          </w:p>
        </w:tc>
      </w:tr>
      <w:tr w:rsidR="007A374A" w:rsidRPr="00067F36" w14:paraId="13F1AC46" w14:textId="77777777" w:rsidTr="009015C5">
        <w:trPr>
          <w:trHeight w:val="300"/>
        </w:trPr>
        <w:tc>
          <w:tcPr>
            <w:tcW w:w="3119" w:type="dxa"/>
            <w:shd w:val="clear" w:color="auto" w:fill="auto"/>
            <w:noWrap/>
            <w:vAlign w:val="bottom"/>
            <w:hideMark/>
          </w:tcPr>
          <w:p w14:paraId="542A59AE" w14:textId="77777777" w:rsidR="007A374A" w:rsidRPr="00067F36" w:rsidRDefault="007A374A" w:rsidP="005448BC">
            <w:pPr>
              <w:pStyle w:val="tabletext"/>
            </w:pPr>
            <w:r w:rsidRPr="00067F36">
              <w:t>Dispute Resolution (Mediation)</w:t>
            </w:r>
          </w:p>
        </w:tc>
        <w:tc>
          <w:tcPr>
            <w:tcW w:w="1134" w:type="dxa"/>
            <w:shd w:val="clear" w:color="auto" w:fill="auto"/>
            <w:noWrap/>
            <w:vAlign w:val="bottom"/>
            <w:hideMark/>
          </w:tcPr>
          <w:p w14:paraId="77BF4D49" w14:textId="77777777" w:rsidR="007A374A" w:rsidRPr="00067F36" w:rsidRDefault="007A374A" w:rsidP="005448BC">
            <w:pPr>
              <w:pStyle w:val="tabletext"/>
            </w:pPr>
            <w:r w:rsidRPr="00067F36">
              <w:t>356</w:t>
            </w:r>
          </w:p>
        </w:tc>
        <w:tc>
          <w:tcPr>
            <w:tcW w:w="1134" w:type="dxa"/>
            <w:shd w:val="clear" w:color="auto" w:fill="auto"/>
            <w:noWrap/>
            <w:vAlign w:val="bottom"/>
            <w:hideMark/>
          </w:tcPr>
          <w:p w14:paraId="0104EB00" w14:textId="77777777" w:rsidR="007A374A" w:rsidRPr="00067F36" w:rsidRDefault="007A374A" w:rsidP="005448BC">
            <w:pPr>
              <w:pStyle w:val="tabletext"/>
            </w:pPr>
            <w:r w:rsidRPr="00067F36">
              <w:t>17035</w:t>
            </w:r>
          </w:p>
        </w:tc>
        <w:tc>
          <w:tcPr>
            <w:tcW w:w="1192" w:type="dxa"/>
            <w:shd w:val="clear" w:color="auto" w:fill="auto"/>
            <w:noWrap/>
            <w:vAlign w:val="bottom"/>
            <w:hideMark/>
          </w:tcPr>
          <w:p w14:paraId="34B80DAE" w14:textId="77777777" w:rsidR="007A374A" w:rsidRPr="00067F36" w:rsidRDefault="007A374A" w:rsidP="005448BC">
            <w:pPr>
              <w:pStyle w:val="tabletext"/>
              <w:rPr>
                <w:bCs/>
              </w:rPr>
            </w:pPr>
            <w:r w:rsidRPr="00067F36">
              <w:rPr>
                <w:bCs/>
              </w:rPr>
              <w:t>6</w:t>
            </w:r>
            <w:r>
              <w:rPr>
                <w:bCs/>
              </w:rPr>
              <w:t>,</w:t>
            </w:r>
            <w:r w:rsidRPr="00067F36">
              <w:rPr>
                <w:bCs/>
              </w:rPr>
              <w:t>065</w:t>
            </w:r>
            <w:r>
              <w:rPr>
                <w:bCs/>
              </w:rPr>
              <w:t>,</w:t>
            </w:r>
            <w:r w:rsidRPr="00067F36">
              <w:rPr>
                <w:bCs/>
              </w:rPr>
              <w:t>219</w:t>
            </w:r>
          </w:p>
        </w:tc>
      </w:tr>
      <w:tr w:rsidR="007A374A" w:rsidRPr="00067F36" w14:paraId="1D96445D" w14:textId="77777777" w:rsidTr="009015C5">
        <w:trPr>
          <w:trHeight w:val="300"/>
        </w:trPr>
        <w:tc>
          <w:tcPr>
            <w:tcW w:w="3119" w:type="dxa"/>
            <w:shd w:val="clear" w:color="auto" w:fill="auto"/>
            <w:noWrap/>
            <w:vAlign w:val="bottom"/>
            <w:hideMark/>
          </w:tcPr>
          <w:p w14:paraId="396AB32A" w14:textId="77777777" w:rsidR="007A374A" w:rsidRPr="00067F36" w:rsidRDefault="007A374A" w:rsidP="005448BC">
            <w:pPr>
              <w:pStyle w:val="tabletext"/>
              <w:rPr>
                <w:i/>
              </w:rPr>
            </w:pPr>
            <w:r w:rsidRPr="00067F36">
              <w:rPr>
                <w:i/>
              </w:rPr>
              <w:t>Total cost</w:t>
            </w:r>
          </w:p>
        </w:tc>
        <w:tc>
          <w:tcPr>
            <w:tcW w:w="1134" w:type="dxa"/>
            <w:shd w:val="clear" w:color="auto" w:fill="auto"/>
            <w:noWrap/>
            <w:vAlign w:val="bottom"/>
            <w:hideMark/>
          </w:tcPr>
          <w:p w14:paraId="4D681727" w14:textId="77777777" w:rsidR="007A374A" w:rsidRPr="00067F36" w:rsidRDefault="007A374A" w:rsidP="005448BC">
            <w:pPr>
              <w:pStyle w:val="tabletext"/>
              <w:rPr>
                <w:i/>
              </w:rPr>
            </w:pPr>
          </w:p>
        </w:tc>
        <w:tc>
          <w:tcPr>
            <w:tcW w:w="1134" w:type="dxa"/>
            <w:shd w:val="clear" w:color="auto" w:fill="auto"/>
            <w:noWrap/>
            <w:vAlign w:val="bottom"/>
            <w:hideMark/>
          </w:tcPr>
          <w:p w14:paraId="2D4D20F0" w14:textId="77777777" w:rsidR="007A374A" w:rsidRPr="00067F36" w:rsidRDefault="007A374A" w:rsidP="005448BC">
            <w:pPr>
              <w:pStyle w:val="tabletext"/>
              <w:rPr>
                <w:i/>
              </w:rPr>
            </w:pPr>
          </w:p>
        </w:tc>
        <w:tc>
          <w:tcPr>
            <w:tcW w:w="1192" w:type="dxa"/>
            <w:shd w:val="clear" w:color="auto" w:fill="auto"/>
            <w:noWrap/>
            <w:vAlign w:val="bottom"/>
            <w:hideMark/>
          </w:tcPr>
          <w:p w14:paraId="02F57500" w14:textId="77777777" w:rsidR="007A374A" w:rsidRPr="00067F36" w:rsidRDefault="007A374A" w:rsidP="005448BC">
            <w:pPr>
              <w:pStyle w:val="tabletext"/>
              <w:rPr>
                <w:bCs/>
                <w:i/>
              </w:rPr>
            </w:pPr>
            <w:r w:rsidRPr="00067F36">
              <w:rPr>
                <w:bCs/>
                <w:i/>
              </w:rPr>
              <w:t>6</w:t>
            </w:r>
            <w:r>
              <w:rPr>
                <w:bCs/>
                <w:i/>
              </w:rPr>
              <w:t>,</w:t>
            </w:r>
            <w:r w:rsidRPr="00067F36">
              <w:rPr>
                <w:bCs/>
                <w:i/>
              </w:rPr>
              <w:t>355</w:t>
            </w:r>
            <w:r>
              <w:rPr>
                <w:bCs/>
                <w:i/>
              </w:rPr>
              <w:t>,</w:t>
            </w:r>
            <w:r w:rsidRPr="00067F36">
              <w:rPr>
                <w:bCs/>
                <w:i/>
              </w:rPr>
              <w:t>346</w:t>
            </w:r>
          </w:p>
        </w:tc>
      </w:tr>
      <w:tr w:rsidR="007A374A" w:rsidRPr="00067F36" w14:paraId="1E13B85E" w14:textId="77777777" w:rsidTr="009015C5">
        <w:trPr>
          <w:trHeight w:val="300"/>
        </w:trPr>
        <w:tc>
          <w:tcPr>
            <w:tcW w:w="3119" w:type="dxa"/>
            <w:shd w:val="clear" w:color="auto" w:fill="auto"/>
            <w:noWrap/>
            <w:vAlign w:val="bottom"/>
            <w:hideMark/>
          </w:tcPr>
          <w:p w14:paraId="28C96294" w14:textId="77777777" w:rsidR="007A374A" w:rsidRPr="00067F36" w:rsidRDefault="007A374A" w:rsidP="005448BC">
            <w:pPr>
              <w:pStyle w:val="tabletext"/>
            </w:pPr>
            <w:r w:rsidRPr="00067F36">
              <w:t xml:space="preserve">Total Federal Court </w:t>
            </w:r>
            <w:r>
              <w:t>c</w:t>
            </w:r>
            <w:r w:rsidRPr="00067F36">
              <w:t xml:space="preserve">osts </w:t>
            </w:r>
            <w:r>
              <w:t>a</w:t>
            </w:r>
            <w:r w:rsidRPr="00067F36">
              <w:t>voided</w:t>
            </w:r>
          </w:p>
        </w:tc>
        <w:tc>
          <w:tcPr>
            <w:tcW w:w="1134" w:type="dxa"/>
            <w:shd w:val="clear" w:color="auto" w:fill="auto"/>
            <w:noWrap/>
            <w:vAlign w:val="bottom"/>
            <w:hideMark/>
          </w:tcPr>
          <w:p w14:paraId="50D79A7C" w14:textId="77777777" w:rsidR="007A374A" w:rsidRPr="00067F36" w:rsidRDefault="007A374A" w:rsidP="005448BC">
            <w:pPr>
              <w:pStyle w:val="tabletext"/>
            </w:pPr>
            <w:r>
              <w:t>109</w:t>
            </w:r>
          </w:p>
        </w:tc>
        <w:tc>
          <w:tcPr>
            <w:tcW w:w="1134" w:type="dxa"/>
            <w:shd w:val="clear" w:color="auto" w:fill="auto"/>
            <w:noWrap/>
            <w:vAlign w:val="bottom"/>
            <w:hideMark/>
          </w:tcPr>
          <w:p w14:paraId="7A4E7543" w14:textId="77777777" w:rsidR="007A374A" w:rsidRPr="00067F36" w:rsidRDefault="007A374A" w:rsidP="005448BC">
            <w:pPr>
              <w:pStyle w:val="tabletext"/>
            </w:pPr>
            <w:r w:rsidRPr="00067F36">
              <w:t>225083</w:t>
            </w:r>
          </w:p>
        </w:tc>
        <w:tc>
          <w:tcPr>
            <w:tcW w:w="1192" w:type="dxa"/>
            <w:shd w:val="clear" w:color="auto" w:fill="auto"/>
            <w:noWrap/>
            <w:vAlign w:val="bottom"/>
            <w:hideMark/>
          </w:tcPr>
          <w:p w14:paraId="2EF592F6" w14:textId="3AFFF4E1" w:rsidR="007A374A" w:rsidRPr="00067F36" w:rsidRDefault="009349BC" w:rsidP="005448BC">
            <w:pPr>
              <w:pStyle w:val="tabletext"/>
              <w:rPr>
                <w:bCs/>
              </w:rPr>
            </w:pPr>
            <w:r>
              <w:rPr>
                <w:bCs/>
              </w:rPr>
              <w:noBreakHyphen/>
            </w:r>
            <w:r w:rsidR="007A374A" w:rsidRPr="00686D41">
              <w:rPr>
                <w:bCs/>
              </w:rPr>
              <w:t>24</w:t>
            </w:r>
            <w:r w:rsidR="007A374A">
              <w:rPr>
                <w:bCs/>
              </w:rPr>
              <w:t>,</w:t>
            </w:r>
            <w:r w:rsidR="007A374A" w:rsidRPr="00686D41">
              <w:rPr>
                <w:bCs/>
              </w:rPr>
              <w:t>564</w:t>
            </w:r>
            <w:r w:rsidR="007A374A">
              <w:rPr>
                <w:bCs/>
              </w:rPr>
              <w:t>,</w:t>
            </w:r>
            <w:r w:rsidR="007A374A" w:rsidRPr="00686D41">
              <w:rPr>
                <w:bCs/>
              </w:rPr>
              <w:t>028</w:t>
            </w:r>
          </w:p>
        </w:tc>
      </w:tr>
      <w:tr w:rsidR="007A374A" w:rsidRPr="00067F36" w14:paraId="0DB25201" w14:textId="77777777" w:rsidTr="009015C5">
        <w:trPr>
          <w:trHeight w:val="300"/>
        </w:trPr>
        <w:tc>
          <w:tcPr>
            <w:tcW w:w="3119" w:type="dxa"/>
            <w:shd w:val="clear" w:color="auto" w:fill="auto"/>
            <w:noWrap/>
            <w:vAlign w:val="bottom"/>
            <w:hideMark/>
          </w:tcPr>
          <w:p w14:paraId="7594AF2F" w14:textId="77777777" w:rsidR="007A374A" w:rsidRPr="00580CB0" w:rsidRDefault="007A374A" w:rsidP="005448BC">
            <w:pPr>
              <w:pStyle w:val="tabletext"/>
              <w:rPr>
                <w:b/>
              </w:rPr>
            </w:pPr>
            <w:r w:rsidRPr="00580CB0">
              <w:rPr>
                <w:b/>
              </w:rPr>
              <w:t>Net economic benefit</w:t>
            </w:r>
          </w:p>
        </w:tc>
        <w:tc>
          <w:tcPr>
            <w:tcW w:w="1134" w:type="dxa"/>
            <w:shd w:val="clear" w:color="auto" w:fill="auto"/>
            <w:noWrap/>
            <w:vAlign w:val="bottom"/>
            <w:hideMark/>
          </w:tcPr>
          <w:p w14:paraId="64119163" w14:textId="77777777" w:rsidR="007A374A" w:rsidRPr="00580CB0" w:rsidRDefault="007A374A" w:rsidP="005448BC">
            <w:pPr>
              <w:pStyle w:val="tabletext"/>
              <w:rPr>
                <w:b/>
              </w:rPr>
            </w:pPr>
          </w:p>
        </w:tc>
        <w:tc>
          <w:tcPr>
            <w:tcW w:w="1134" w:type="dxa"/>
            <w:shd w:val="clear" w:color="auto" w:fill="auto"/>
            <w:noWrap/>
            <w:vAlign w:val="bottom"/>
            <w:hideMark/>
          </w:tcPr>
          <w:p w14:paraId="110371C9" w14:textId="77777777" w:rsidR="007A374A" w:rsidRPr="00580CB0" w:rsidRDefault="007A374A" w:rsidP="005448BC">
            <w:pPr>
              <w:pStyle w:val="tabletext"/>
              <w:rPr>
                <w:b/>
              </w:rPr>
            </w:pPr>
          </w:p>
        </w:tc>
        <w:tc>
          <w:tcPr>
            <w:tcW w:w="1192" w:type="dxa"/>
            <w:shd w:val="clear" w:color="auto" w:fill="auto"/>
            <w:noWrap/>
            <w:vAlign w:val="bottom"/>
            <w:hideMark/>
          </w:tcPr>
          <w:p w14:paraId="4C30F84C" w14:textId="3B047C8F" w:rsidR="007A374A" w:rsidRPr="00580CB0" w:rsidRDefault="009349BC" w:rsidP="005448BC">
            <w:pPr>
              <w:pStyle w:val="tabletext"/>
              <w:rPr>
                <w:b/>
                <w:bCs/>
              </w:rPr>
            </w:pPr>
            <w:r>
              <w:rPr>
                <w:b/>
                <w:bCs/>
              </w:rPr>
              <w:noBreakHyphen/>
            </w:r>
            <w:r w:rsidR="007A374A" w:rsidRPr="00580CB0">
              <w:rPr>
                <w:b/>
                <w:bCs/>
              </w:rPr>
              <w:t>18,208,682</w:t>
            </w:r>
          </w:p>
        </w:tc>
      </w:tr>
    </w:tbl>
    <w:p w14:paraId="0D00B467" w14:textId="77777777" w:rsidR="00942A74" w:rsidRDefault="00942A74" w:rsidP="007A374A">
      <w:pPr>
        <w:pStyle w:val="TableHeadingoutsidetable"/>
        <w:spacing w:before="240"/>
      </w:pPr>
      <w:r>
        <w:t>:</w:t>
      </w:r>
      <w:r w:rsidR="00EC0A9D">
        <w:t>Regulatory burden and cost offset estimate table</w:t>
      </w:r>
    </w:p>
    <w:tbl>
      <w:tblPr>
        <w:tblStyle w:val="LightGrid"/>
        <w:tblW w:w="6579" w:type="dxa"/>
        <w:tblInd w:w="1242" w:type="dxa"/>
        <w:tblLook w:val="06A0" w:firstRow="1" w:lastRow="0" w:firstColumn="1" w:lastColumn="0" w:noHBand="1" w:noVBand="1"/>
        <w:tblCaption w:val="Regulatory burden and cost offset estimate table - offsets from outside the agency"/>
        <w:tblDescription w:val="An example of the regulatory burden and cost offset estimate table when using offsets from outside the agency."/>
      </w:tblPr>
      <w:tblGrid>
        <w:gridCol w:w="1134"/>
        <w:gridCol w:w="1070"/>
        <w:gridCol w:w="1418"/>
        <w:gridCol w:w="1134"/>
        <w:gridCol w:w="1823"/>
      </w:tblGrid>
      <w:tr w:rsidR="00081818" w:rsidRPr="00A76068" w14:paraId="277D5585" w14:textId="77777777" w:rsidTr="000C131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79" w:type="dxa"/>
            <w:gridSpan w:val="5"/>
            <w:tcBorders>
              <w:bottom w:val="single" w:sz="4" w:space="0" w:color="auto"/>
            </w:tcBorders>
            <w:noWrap/>
          </w:tcPr>
          <w:p w14:paraId="6F158432" w14:textId="77777777" w:rsidR="00081818" w:rsidRPr="00712EF5" w:rsidRDefault="00081818" w:rsidP="005448BC">
            <w:pPr>
              <w:pStyle w:val="tableheaderwithintable"/>
              <w:rPr>
                <w:b/>
              </w:rPr>
            </w:pPr>
            <w:r>
              <w:br w:type="page"/>
            </w:r>
            <w:r w:rsidRPr="00712EF5">
              <w:rPr>
                <w:b/>
              </w:rPr>
              <w:t>Average annual regulatory costs (from business as usual)</w:t>
            </w:r>
          </w:p>
        </w:tc>
      </w:tr>
      <w:tr w:rsidR="00081818" w:rsidRPr="00A76068" w14:paraId="2CA097F6" w14:textId="77777777" w:rsidTr="000C1317">
        <w:trPr>
          <w:trHeight w:val="30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tcBorders>
            <w:noWrap/>
          </w:tcPr>
          <w:p w14:paraId="0E46A39D" w14:textId="77777777" w:rsidR="00081818" w:rsidRPr="00081818" w:rsidRDefault="00081818" w:rsidP="00A1209F">
            <w:pPr>
              <w:pStyle w:val="tabletext"/>
              <w:keepNext/>
              <w:keepLines/>
              <w:rPr>
                <w:rFonts w:ascii="Times New Roman" w:hAnsi="Times New Roman" w:cs="Times New Roman"/>
                <w:b w:val="0"/>
              </w:rPr>
            </w:pPr>
            <w:r w:rsidRPr="00081818">
              <w:rPr>
                <w:rFonts w:ascii="Times New Roman" w:hAnsi="Times New Roman" w:cs="Times New Roman"/>
                <w:b w:val="0"/>
              </w:rPr>
              <w:t>Change in costs ($million)</w:t>
            </w:r>
          </w:p>
        </w:tc>
        <w:tc>
          <w:tcPr>
            <w:tcW w:w="1070" w:type="dxa"/>
            <w:tcBorders>
              <w:top w:val="single" w:sz="4" w:space="0" w:color="auto"/>
            </w:tcBorders>
            <w:noWrap/>
          </w:tcPr>
          <w:p w14:paraId="46FF7EC6" w14:textId="77777777" w:rsidR="00081818" w:rsidRPr="00081818" w:rsidRDefault="00081818" w:rsidP="00A1209F">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81818">
              <w:rPr>
                <w:rFonts w:ascii="Times New Roman" w:hAnsi="Times New Roman" w:cs="Times New Roman"/>
              </w:rPr>
              <w:t>Business</w:t>
            </w:r>
          </w:p>
        </w:tc>
        <w:tc>
          <w:tcPr>
            <w:tcW w:w="1418" w:type="dxa"/>
            <w:tcBorders>
              <w:top w:val="single" w:sz="4" w:space="0" w:color="auto"/>
            </w:tcBorders>
            <w:noWrap/>
          </w:tcPr>
          <w:p w14:paraId="52AF495F" w14:textId="77777777" w:rsidR="00081818" w:rsidRPr="00081818" w:rsidRDefault="00081818" w:rsidP="00A1209F">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81818">
              <w:rPr>
                <w:rFonts w:ascii="Times New Roman" w:hAnsi="Times New Roman" w:cs="Times New Roman"/>
              </w:rPr>
              <w:t>Community Organisations</w:t>
            </w:r>
          </w:p>
        </w:tc>
        <w:tc>
          <w:tcPr>
            <w:tcW w:w="1134" w:type="dxa"/>
            <w:tcBorders>
              <w:top w:val="single" w:sz="4" w:space="0" w:color="auto"/>
            </w:tcBorders>
            <w:noWrap/>
          </w:tcPr>
          <w:p w14:paraId="299E9A61" w14:textId="77777777" w:rsidR="00081818" w:rsidRPr="00081818" w:rsidRDefault="00081818" w:rsidP="00A1209F">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81818">
              <w:rPr>
                <w:rFonts w:ascii="Times New Roman" w:hAnsi="Times New Roman" w:cs="Times New Roman"/>
              </w:rPr>
              <w:t>Individuals</w:t>
            </w:r>
          </w:p>
        </w:tc>
        <w:tc>
          <w:tcPr>
            <w:tcW w:w="1823" w:type="dxa"/>
            <w:tcBorders>
              <w:top w:val="single" w:sz="4" w:space="0" w:color="auto"/>
            </w:tcBorders>
            <w:noWrap/>
          </w:tcPr>
          <w:p w14:paraId="44953F0C" w14:textId="77777777" w:rsidR="00081818" w:rsidRPr="00081818" w:rsidRDefault="00081818" w:rsidP="00A1209F">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81818">
              <w:rPr>
                <w:rFonts w:ascii="Times New Roman" w:hAnsi="Times New Roman" w:cs="Times New Roman"/>
              </w:rPr>
              <w:t>Total change in cost</w:t>
            </w:r>
          </w:p>
        </w:tc>
      </w:tr>
      <w:tr w:rsidR="00081818" w:rsidRPr="00A76068" w14:paraId="1970BCA8" w14:textId="77777777" w:rsidTr="009015C5">
        <w:trPr>
          <w:trHeight w:val="300"/>
        </w:trPr>
        <w:tc>
          <w:tcPr>
            <w:cnfStyle w:val="001000000000" w:firstRow="0" w:lastRow="0" w:firstColumn="1" w:lastColumn="0" w:oddVBand="0" w:evenVBand="0" w:oddHBand="0" w:evenHBand="0" w:firstRowFirstColumn="0" w:firstRowLastColumn="0" w:lastRowFirstColumn="0" w:lastRowLastColumn="0"/>
            <w:tcW w:w="1134" w:type="dxa"/>
            <w:noWrap/>
          </w:tcPr>
          <w:p w14:paraId="27F281B9" w14:textId="77777777" w:rsidR="00081818" w:rsidRPr="00081818" w:rsidRDefault="00081818" w:rsidP="00A1209F">
            <w:pPr>
              <w:pStyle w:val="tabletext"/>
              <w:keepNext/>
              <w:keepLines/>
              <w:rPr>
                <w:rFonts w:ascii="Times New Roman" w:hAnsi="Times New Roman" w:cs="Times New Roman"/>
                <w:b w:val="0"/>
              </w:rPr>
            </w:pPr>
            <w:r w:rsidRPr="00081818">
              <w:rPr>
                <w:rFonts w:ascii="Times New Roman" w:hAnsi="Times New Roman" w:cs="Times New Roman"/>
                <w:b w:val="0"/>
              </w:rPr>
              <w:t>Total, by sector</w:t>
            </w:r>
          </w:p>
        </w:tc>
        <w:tc>
          <w:tcPr>
            <w:tcW w:w="1070" w:type="dxa"/>
            <w:noWrap/>
          </w:tcPr>
          <w:p w14:paraId="1D676961" w14:textId="35E14D93" w:rsidR="00081818" w:rsidRPr="00081818" w:rsidRDefault="009349BC" w:rsidP="00A1209F">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noBreakHyphen/>
            </w:r>
            <w:r w:rsidR="00081818" w:rsidRPr="00081818">
              <w:rPr>
                <w:rFonts w:ascii="Times New Roman" w:hAnsi="Times New Roman" w:cs="Times New Roman"/>
                <w:color w:val="000000"/>
              </w:rPr>
              <w:t>0.007</w:t>
            </w:r>
          </w:p>
        </w:tc>
        <w:tc>
          <w:tcPr>
            <w:tcW w:w="1418" w:type="dxa"/>
            <w:noWrap/>
          </w:tcPr>
          <w:p w14:paraId="2342798B" w14:textId="77777777" w:rsidR="00081818" w:rsidRPr="00081818" w:rsidRDefault="00081818" w:rsidP="00A1209F">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tcPr>
          <w:p w14:paraId="483D9207" w14:textId="77777777" w:rsidR="00081818" w:rsidRPr="00081818" w:rsidRDefault="00081818" w:rsidP="00A1209F">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23" w:type="dxa"/>
            <w:noWrap/>
          </w:tcPr>
          <w:p w14:paraId="7D17E9C9" w14:textId="3A341637" w:rsidR="00081818" w:rsidRPr="00081818" w:rsidRDefault="009349BC" w:rsidP="00A1209F">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noBreakHyphen/>
            </w:r>
            <w:r w:rsidR="00081818" w:rsidRPr="00081818">
              <w:rPr>
                <w:rFonts w:ascii="Times New Roman" w:hAnsi="Times New Roman" w:cs="Times New Roman"/>
                <w:color w:val="000000"/>
              </w:rPr>
              <w:t>0.007</w:t>
            </w:r>
          </w:p>
        </w:tc>
      </w:tr>
      <w:tr w:rsidR="00081818" w:rsidRPr="00A76068" w14:paraId="11FBEBAD" w14:textId="77777777" w:rsidTr="009015C5">
        <w:trPr>
          <w:trHeight w:val="300"/>
        </w:trPr>
        <w:tc>
          <w:tcPr>
            <w:cnfStyle w:val="001000000000" w:firstRow="0" w:lastRow="0" w:firstColumn="1" w:lastColumn="0" w:oddVBand="0" w:evenVBand="0" w:oddHBand="0" w:evenHBand="0" w:firstRowFirstColumn="0" w:firstRowLastColumn="0" w:lastRowFirstColumn="0" w:lastRowLastColumn="0"/>
            <w:tcW w:w="6579" w:type="dxa"/>
            <w:gridSpan w:val="5"/>
            <w:noWrap/>
          </w:tcPr>
          <w:p w14:paraId="15023D72" w14:textId="77777777" w:rsidR="00081818" w:rsidRPr="00081818" w:rsidRDefault="00081818" w:rsidP="00A1209F">
            <w:pPr>
              <w:pStyle w:val="tabletext"/>
              <w:keepNext/>
              <w:keepLines/>
              <w:rPr>
                <w:rFonts w:ascii="Times New Roman" w:hAnsi="Times New Roman" w:cs="Times New Roman"/>
                <w:b w:val="0"/>
              </w:rPr>
            </w:pPr>
          </w:p>
        </w:tc>
      </w:tr>
      <w:tr w:rsidR="00081818" w:rsidRPr="00A76068" w14:paraId="15B0B1B2" w14:textId="77777777" w:rsidTr="009015C5">
        <w:trPr>
          <w:trHeight w:val="300"/>
        </w:trPr>
        <w:tc>
          <w:tcPr>
            <w:cnfStyle w:val="001000000000" w:firstRow="0" w:lastRow="0" w:firstColumn="1" w:lastColumn="0" w:oddVBand="0" w:evenVBand="0" w:oddHBand="0" w:evenHBand="0" w:firstRowFirstColumn="0" w:firstRowLastColumn="0" w:lastRowFirstColumn="0" w:lastRowLastColumn="0"/>
            <w:tcW w:w="1134" w:type="dxa"/>
            <w:noWrap/>
          </w:tcPr>
          <w:p w14:paraId="088CF43D" w14:textId="77777777" w:rsidR="00081818" w:rsidRPr="00081818" w:rsidRDefault="00081818" w:rsidP="00A1209F">
            <w:pPr>
              <w:pStyle w:val="tabletext"/>
              <w:keepNext/>
              <w:keepLines/>
              <w:rPr>
                <w:rFonts w:ascii="Times New Roman" w:hAnsi="Times New Roman" w:cs="Times New Roman"/>
                <w:b w:val="0"/>
              </w:rPr>
            </w:pPr>
            <w:r w:rsidRPr="00081818">
              <w:rPr>
                <w:rFonts w:ascii="Times New Roman" w:hAnsi="Times New Roman" w:cs="Times New Roman"/>
                <w:b w:val="0"/>
              </w:rPr>
              <w:t>Cost offset ($ million)</w:t>
            </w:r>
          </w:p>
        </w:tc>
        <w:tc>
          <w:tcPr>
            <w:tcW w:w="1070" w:type="dxa"/>
            <w:noWrap/>
          </w:tcPr>
          <w:p w14:paraId="228277F7" w14:textId="77777777" w:rsidR="00081818" w:rsidRPr="00081818" w:rsidRDefault="00081818" w:rsidP="00A1209F">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81818">
              <w:rPr>
                <w:rFonts w:ascii="Times New Roman" w:hAnsi="Times New Roman" w:cs="Times New Roman"/>
              </w:rPr>
              <w:t>Business</w:t>
            </w:r>
          </w:p>
        </w:tc>
        <w:tc>
          <w:tcPr>
            <w:tcW w:w="1418" w:type="dxa"/>
            <w:noWrap/>
          </w:tcPr>
          <w:p w14:paraId="0241143A" w14:textId="77777777" w:rsidR="00081818" w:rsidRPr="00081818" w:rsidRDefault="00081818" w:rsidP="00A1209F">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81818">
              <w:rPr>
                <w:rFonts w:ascii="Times New Roman" w:hAnsi="Times New Roman" w:cs="Times New Roman"/>
              </w:rPr>
              <w:t>Community organisations</w:t>
            </w:r>
          </w:p>
        </w:tc>
        <w:tc>
          <w:tcPr>
            <w:tcW w:w="1134" w:type="dxa"/>
            <w:noWrap/>
          </w:tcPr>
          <w:p w14:paraId="15B1B237" w14:textId="77777777" w:rsidR="00081818" w:rsidRPr="00081818" w:rsidRDefault="00081818" w:rsidP="00A1209F">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81818">
              <w:rPr>
                <w:rFonts w:ascii="Times New Roman" w:hAnsi="Times New Roman" w:cs="Times New Roman"/>
              </w:rPr>
              <w:t>Individuals</w:t>
            </w:r>
          </w:p>
        </w:tc>
        <w:tc>
          <w:tcPr>
            <w:tcW w:w="1823" w:type="dxa"/>
            <w:noWrap/>
          </w:tcPr>
          <w:p w14:paraId="5D0EA3D9" w14:textId="77777777" w:rsidR="00081818" w:rsidRPr="00081818" w:rsidRDefault="00081818" w:rsidP="00A1209F">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81818">
              <w:rPr>
                <w:rFonts w:ascii="Times New Roman" w:hAnsi="Times New Roman" w:cs="Times New Roman"/>
              </w:rPr>
              <w:t xml:space="preserve">Total, by source </w:t>
            </w:r>
          </w:p>
        </w:tc>
      </w:tr>
      <w:tr w:rsidR="00081818" w:rsidRPr="00A76068" w14:paraId="665CFFAE" w14:textId="77777777" w:rsidTr="009015C5">
        <w:trPr>
          <w:trHeight w:val="300"/>
        </w:trPr>
        <w:tc>
          <w:tcPr>
            <w:cnfStyle w:val="001000000000" w:firstRow="0" w:lastRow="0" w:firstColumn="1" w:lastColumn="0" w:oddVBand="0" w:evenVBand="0" w:oddHBand="0" w:evenHBand="0" w:firstRowFirstColumn="0" w:firstRowLastColumn="0" w:lastRowFirstColumn="0" w:lastRowLastColumn="0"/>
            <w:tcW w:w="1134" w:type="dxa"/>
            <w:noWrap/>
          </w:tcPr>
          <w:p w14:paraId="369DC8CA" w14:textId="77777777" w:rsidR="00081818" w:rsidRPr="00081818" w:rsidRDefault="00081818" w:rsidP="00A1209F">
            <w:pPr>
              <w:pStyle w:val="tabletext"/>
              <w:keepNext/>
              <w:keepLines/>
              <w:rPr>
                <w:rFonts w:ascii="Times New Roman" w:hAnsi="Times New Roman" w:cs="Times New Roman"/>
                <w:b w:val="0"/>
              </w:rPr>
            </w:pPr>
            <w:r w:rsidRPr="00081818">
              <w:rPr>
                <w:rFonts w:ascii="Times New Roman" w:hAnsi="Times New Roman" w:cs="Times New Roman"/>
                <w:b w:val="0"/>
              </w:rPr>
              <w:t xml:space="preserve">Agency </w:t>
            </w:r>
          </w:p>
        </w:tc>
        <w:tc>
          <w:tcPr>
            <w:tcW w:w="1070" w:type="dxa"/>
            <w:noWrap/>
          </w:tcPr>
          <w:p w14:paraId="5E2CC007" w14:textId="77777777" w:rsidR="00081818" w:rsidRPr="00081818" w:rsidRDefault="00081818" w:rsidP="00A1209F">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8" w:type="dxa"/>
            <w:noWrap/>
          </w:tcPr>
          <w:p w14:paraId="75CFB3CB" w14:textId="77777777" w:rsidR="00081818" w:rsidRPr="00081818" w:rsidRDefault="00081818" w:rsidP="00A1209F">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tcPr>
          <w:p w14:paraId="3C315820" w14:textId="77777777" w:rsidR="00081818" w:rsidRPr="00081818" w:rsidRDefault="00081818" w:rsidP="00A1209F">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23" w:type="dxa"/>
            <w:noWrap/>
          </w:tcPr>
          <w:p w14:paraId="4C0E9453" w14:textId="77777777" w:rsidR="00081818" w:rsidRPr="00081818" w:rsidRDefault="00081818" w:rsidP="00A1209F">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81818" w:rsidRPr="00A76068" w14:paraId="03571AD6" w14:textId="77777777" w:rsidTr="009015C5">
        <w:trPr>
          <w:trHeight w:val="300"/>
        </w:trPr>
        <w:tc>
          <w:tcPr>
            <w:cnfStyle w:val="001000000000" w:firstRow="0" w:lastRow="0" w:firstColumn="1" w:lastColumn="0" w:oddVBand="0" w:evenVBand="0" w:oddHBand="0" w:evenHBand="0" w:firstRowFirstColumn="0" w:firstRowLastColumn="0" w:lastRowFirstColumn="0" w:lastRowLastColumn="0"/>
            <w:tcW w:w="6579" w:type="dxa"/>
            <w:gridSpan w:val="5"/>
            <w:noWrap/>
          </w:tcPr>
          <w:p w14:paraId="18C993A6" w14:textId="77777777" w:rsidR="00081818" w:rsidRPr="00081818" w:rsidRDefault="00081818" w:rsidP="00A1209F">
            <w:pPr>
              <w:pStyle w:val="tabletext"/>
              <w:keepNext/>
              <w:keepLines/>
              <w:rPr>
                <w:rFonts w:ascii="Times New Roman" w:hAnsi="Times New Roman" w:cs="Times New Roman"/>
                <w:b w:val="0"/>
              </w:rPr>
            </w:pPr>
            <w:r w:rsidRPr="00081818">
              <w:rPr>
                <w:rFonts w:ascii="Times New Roman" w:hAnsi="Times New Roman" w:cs="Times New Roman"/>
                <w:b w:val="0"/>
              </w:rPr>
              <w:t xml:space="preserve">Are all new costs offset? </w:t>
            </w:r>
          </w:p>
          <w:p w14:paraId="08320E31" w14:textId="0FE4AB25" w:rsidR="00081818" w:rsidRPr="00081818" w:rsidRDefault="00081818" w:rsidP="009015C5">
            <w:pPr>
              <w:pStyle w:val="tabletext"/>
              <w:keepNext/>
              <w:keepLines/>
              <w:rPr>
                <w:rFonts w:ascii="Times New Roman" w:hAnsi="Times New Roman" w:cs="Times New Roman"/>
                <w:b w:val="0"/>
              </w:rPr>
            </w:pPr>
            <w:r w:rsidRPr="00081818">
              <w:rPr>
                <w:rFonts w:ascii="Times New Roman" w:hAnsi="Times New Roman" w:cs="Times New Roman"/>
                <w:b w:val="0"/>
              </w:rPr>
              <w:sym w:font="Wingdings 2" w:char="F02A"/>
            </w:r>
            <w:r w:rsidRPr="00081818">
              <w:rPr>
                <w:rFonts w:ascii="Times New Roman" w:hAnsi="Times New Roman" w:cs="Times New Roman"/>
                <w:b w:val="0"/>
              </w:rPr>
              <w:t xml:space="preserve"> Yes, costs are offset</w:t>
            </w:r>
            <w:r w:rsidR="00223317">
              <w:rPr>
                <w:rFonts w:ascii="Times New Roman" w:hAnsi="Times New Roman" w:cs="Times New Roman"/>
                <w:b w:val="0"/>
              </w:rPr>
              <w:t xml:space="preserve">  </w:t>
            </w:r>
            <w:r w:rsidRPr="00081818">
              <w:rPr>
                <w:rFonts w:ascii="Times New Roman" w:hAnsi="Times New Roman" w:cs="Times New Roman"/>
                <w:b w:val="0"/>
              </w:rPr>
              <w:sym w:font="Wingdings 2" w:char="F02A"/>
            </w:r>
            <w:r w:rsidRPr="00081818">
              <w:rPr>
                <w:rFonts w:ascii="Times New Roman" w:hAnsi="Times New Roman" w:cs="Times New Roman"/>
                <w:b w:val="0"/>
              </w:rPr>
              <w:t xml:space="preserve"> No, costs are not offset</w:t>
            </w:r>
            <w:r w:rsidR="009015C5">
              <w:rPr>
                <w:rFonts w:ascii="Times New Roman" w:hAnsi="Times New Roman" w:cs="Times New Roman"/>
                <w:b w:val="0"/>
              </w:rPr>
              <w:br/>
            </w:r>
            <w:r w:rsidRPr="00081818">
              <w:rPr>
                <w:rFonts w:ascii="Times New Roman" w:hAnsi="Times New Roman" w:cs="Times New Roman"/>
                <w:b w:val="0"/>
              </w:rPr>
              <w:sym w:font="Wingdings 2" w:char="F052"/>
            </w:r>
            <w:r w:rsidRPr="00081818">
              <w:rPr>
                <w:rFonts w:ascii="Times New Roman" w:hAnsi="Times New Roman" w:cs="Times New Roman"/>
                <w:b w:val="0"/>
              </w:rPr>
              <w:t xml:space="preserve"> Deregulatory—no offsets required</w:t>
            </w:r>
          </w:p>
        </w:tc>
      </w:tr>
      <w:tr w:rsidR="00081818" w:rsidRPr="00A76068" w14:paraId="74208605" w14:textId="77777777" w:rsidTr="009015C5">
        <w:tc>
          <w:tcPr>
            <w:cnfStyle w:val="001000000000" w:firstRow="0" w:lastRow="0" w:firstColumn="1" w:lastColumn="0" w:oddVBand="0" w:evenVBand="0" w:oddHBand="0" w:evenHBand="0" w:firstRowFirstColumn="0" w:firstRowLastColumn="0" w:lastRowFirstColumn="0" w:lastRowLastColumn="0"/>
            <w:tcW w:w="6579" w:type="dxa"/>
            <w:gridSpan w:val="5"/>
          </w:tcPr>
          <w:p w14:paraId="3FAD3D96" w14:textId="461D0E69" w:rsidR="00081818" w:rsidRPr="00081818" w:rsidRDefault="00081818" w:rsidP="009015C5">
            <w:pPr>
              <w:pStyle w:val="tabletext"/>
              <w:keepNext/>
              <w:keepLines/>
              <w:rPr>
                <w:rFonts w:ascii="Times New Roman" w:hAnsi="Times New Roman" w:cs="Times New Roman"/>
                <w:b w:val="0"/>
              </w:rPr>
            </w:pPr>
            <w:r w:rsidRPr="00081818">
              <w:rPr>
                <w:rFonts w:ascii="Times New Roman" w:hAnsi="Times New Roman" w:cs="Times New Roman"/>
                <w:b w:val="0"/>
              </w:rPr>
              <w:t>Total (Change in costs</w:t>
            </w:r>
            <w:r w:rsidR="009349BC">
              <w:rPr>
                <w:rFonts w:ascii="Times New Roman" w:hAnsi="Times New Roman" w:cs="Times New Roman"/>
                <w:b w:val="0"/>
              </w:rPr>
              <w:t xml:space="preserve"> </w:t>
            </w:r>
            <w:r w:rsidR="009015C5">
              <w:rPr>
                <w:rFonts w:ascii="Times New Roman" w:hAnsi="Times New Roman" w:cs="Times New Roman"/>
                <w:b w:val="0"/>
              </w:rPr>
              <w:t>–</w:t>
            </w:r>
            <w:r w:rsidR="009349BC">
              <w:rPr>
                <w:rFonts w:ascii="Times New Roman" w:hAnsi="Times New Roman" w:cs="Times New Roman"/>
                <w:b w:val="0"/>
              </w:rPr>
              <w:t xml:space="preserve"> </w:t>
            </w:r>
            <w:r w:rsidRPr="00081818">
              <w:rPr>
                <w:rFonts w:ascii="Times New Roman" w:hAnsi="Times New Roman" w:cs="Times New Roman"/>
                <w:b w:val="0"/>
              </w:rPr>
              <w:t xml:space="preserve">Cost offset) ($million) = </w:t>
            </w:r>
            <w:r w:rsidR="009015C5">
              <w:rPr>
                <w:rFonts w:ascii="Times New Roman" w:hAnsi="Times New Roman" w:cs="Times New Roman"/>
                <w:b w:val="0"/>
              </w:rPr>
              <w:t>-</w:t>
            </w:r>
            <w:r w:rsidRPr="00081818">
              <w:rPr>
                <w:rFonts w:ascii="Times New Roman" w:hAnsi="Times New Roman" w:cs="Times New Roman"/>
                <w:b w:val="0"/>
              </w:rPr>
              <w:t>$</w:t>
            </w:r>
            <w:r w:rsidRPr="00081818">
              <w:rPr>
                <w:rFonts w:ascii="Times New Roman" w:hAnsi="Times New Roman" w:cs="Times New Roman"/>
                <w:b w:val="0"/>
                <w:color w:val="000000"/>
              </w:rPr>
              <w:t>0.007</w:t>
            </w:r>
          </w:p>
        </w:tc>
      </w:tr>
    </w:tbl>
    <w:p w14:paraId="1EC2688D" w14:textId="77777777" w:rsidR="00EC0A9D" w:rsidRDefault="00D23705" w:rsidP="00081818">
      <w:pPr>
        <w:pStyle w:val="Heading4"/>
        <w:spacing w:before="240" w:after="0"/>
      </w:pPr>
      <w:r w:rsidRPr="000833EF">
        <w:t>Qualitative</w:t>
      </w:r>
      <w:r>
        <w:t xml:space="preserve"> benefits</w:t>
      </w:r>
    </w:p>
    <w:p w14:paraId="2331B0EE" w14:textId="77777777" w:rsidR="00D23705" w:rsidRDefault="00D23705" w:rsidP="000833EF">
      <w:pPr>
        <w:pStyle w:val="Heading5"/>
      </w:pPr>
      <w:r w:rsidRPr="000833EF">
        <w:t>Advocacy</w:t>
      </w:r>
    </w:p>
    <w:p w14:paraId="445D6DC8" w14:textId="12548EDE" w:rsidR="00D808B7" w:rsidRDefault="00D23705" w:rsidP="00A26D73">
      <w:pPr>
        <w:pStyle w:val="base-text-paragraph"/>
        <w:spacing w:before="80" w:after="80"/>
      </w:pPr>
      <w:r w:rsidRPr="00D23705">
        <w:t>The benefits to small business from the Ombudsman</w:t>
      </w:r>
      <w:r w:rsidR="009349BC">
        <w:t>’</w:t>
      </w:r>
      <w:r w:rsidRPr="00D23705">
        <w:t>s advocacy role are difficult to quantify, however there are a wide range of qualitative benefits.</w:t>
      </w:r>
      <w:r w:rsidR="00D808B7" w:rsidRPr="00D808B7">
        <w:t xml:space="preserve"> </w:t>
      </w:r>
    </w:p>
    <w:p w14:paraId="4F496AE5" w14:textId="77777777" w:rsidR="00D808B7" w:rsidRDefault="00D23705" w:rsidP="00A26D73">
      <w:pPr>
        <w:pStyle w:val="base-text-paragraph"/>
        <w:spacing w:before="80" w:after="80"/>
      </w:pPr>
      <w:r w:rsidRPr="00D23705">
        <w:t>By receiving concerns and complaints from small businesses, the Ombudsman will be well positioned to identify emerging or existing issues that are affecting small businesses nationally</w:t>
      </w:r>
      <w:r w:rsidR="009041EE">
        <w:t xml:space="preserve">. </w:t>
      </w:r>
      <w:r w:rsidRPr="00D23705">
        <w:t>As a voice for small businesses, the Ombudsman will advise Government policy makers on how proposed policies and regulations will, and are, impacting small businesses. For example, the Ombudsman may help monitor and report on the efficacy of industry codes of conduct and fair trading provisions, the behaviour of regulators in undertaking compliance activities, and responsiveness and effectiveness of agency complaints mechanisms.</w:t>
      </w:r>
      <w:r w:rsidR="00D808B7" w:rsidRPr="00D808B7">
        <w:t xml:space="preserve"> </w:t>
      </w:r>
    </w:p>
    <w:p w14:paraId="4E96B9D8" w14:textId="553ECBB2" w:rsidR="00D808B7" w:rsidRDefault="00D23705" w:rsidP="00A26D73">
      <w:pPr>
        <w:pStyle w:val="base-text-paragraph"/>
        <w:spacing w:before="80" w:after="80"/>
      </w:pPr>
      <w:r w:rsidRPr="00D23705">
        <w:t>Economic savings to businesses will be in the form of time and costs saved from a reduced compliance burden resulting from the Ombudsman identifying where improvements to legislation, regulation or practices can reduce the regulatory burden on small business. These savings are difficult to quantify.</w:t>
      </w:r>
    </w:p>
    <w:p w14:paraId="07646778" w14:textId="77777777" w:rsidR="00D808B7" w:rsidRDefault="00D23705" w:rsidP="00A26D73">
      <w:pPr>
        <w:pStyle w:val="base-text-paragraph"/>
        <w:spacing w:before="80" w:after="80"/>
      </w:pPr>
      <w:r w:rsidRPr="00D23705">
        <w:t>By granting the Ombudsman statutory independence, the Government can provide the role with a credible base from which to advocate the fair treatment of small business within government and the community more broadly. It will further allow the Ombudsman to receive, consider and report on small business issues and complaints in a truly independent manner</w:t>
      </w:r>
      <w:r w:rsidR="009041EE">
        <w:t xml:space="preserve">. </w:t>
      </w:r>
    </w:p>
    <w:p w14:paraId="31E20B76" w14:textId="77777777" w:rsidR="00D808B7" w:rsidRDefault="00D23705" w:rsidP="00A26D73">
      <w:pPr>
        <w:pStyle w:val="base-text-paragraph"/>
        <w:spacing w:before="80" w:after="80"/>
      </w:pPr>
      <w:r w:rsidRPr="00D23705">
        <w:t>The Ombudsman will also be an advocate amongst the business community by encouraging the fair treatment of small businesses, best commercial practice between all businesses, improved management practices within small businesses, and forward planning to address known smaller family enterprise issues such as succession planning</w:t>
      </w:r>
      <w:r w:rsidR="009041EE">
        <w:t xml:space="preserve">. </w:t>
      </w:r>
      <w:r w:rsidRPr="00D23705">
        <w:t>This could help improve the operating environment for all businesses, and may also help alleviate the incidence of business to business disputes through the adoption of best practice principles by businesses of all sizes.</w:t>
      </w:r>
      <w:r w:rsidR="00D808B7" w:rsidRPr="00D808B7">
        <w:t xml:space="preserve"> </w:t>
      </w:r>
    </w:p>
    <w:p w14:paraId="47DE6F6E" w14:textId="141B4D47" w:rsidR="00D808B7" w:rsidRDefault="00D23705" w:rsidP="00A26D73">
      <w:pPr>
        <w:pStyle w:val="base-text-paragraph"/>
        <w:spacing w:before="80" w:after="80"/>
      </w:pPr>
      <w:r w:rsidRPr="00D23705">
        <w:t>To dispel perceptions that the Ombudsman unduly favours one set of interests in the conduct of its dispute resolution activities, the Ombudsman</w:t>
      </w:r>
      <w:r w:rsidR="009349BC">
        <w:t>’</w:t>
      </w:r>
      <w:r w:rsidRPr="00D23705">
        <w:t xml:space="preserve">s advocacy functions will be separate from the functions concerned with dispute resolution. This will be achieved through the use of a panel of specialist alternative dispute resolution providers, and by requiring any specialists employed directly by the Ombudsman to be functionally separate to the broader activities of the Ombudsman. </w:t>
      </w:r>
    </w:p>
    <w:p w14:paraId="3B65A654" w14:textId="77F4DF1F" w:rsidR="00D808B7" w:rsidRDefault="00D23705" w:rsidP="00A26D73">
      <w:pPr>
        <w:pStyle w:val="base-text-paragraph"/>
        <w:spacing w:before="80" w:after="80"/>
      </w:pPr>
      <w:r w:rsidRPr="00D23705">
        <w:t>Similar to the Ombudsman</w:t>
      </w:r>
      <w:r w:rsidR="009349BC">
        <w:t>’</w:t>
      </w:r>
      <w:r w:rsidRPr="00D23705">
        <w:t>s dispute resolution function, the Ombudsman</w:t>
      </w:r>
      <w:r w:rsidR="009349BC">
        <w:t>’</w:t>
      </w:r>
      <w:r w:rsidRPr="00D23705">
        <w:t>s advocacy function is expected to have positive impacts on the behaviour of businesses. Anecdotal feedback from the Australian Small Business Commissioner has highlighted that some businesses, particularly larger businesses, have welcomed the Commissioner raising practices of concern to their attention</w:t>
      </w:r>
      <w:r w:rsidR="009041EE">
        <w:t xml:space="preserve">. </w:t>
      </w:r>
      <w:r w:rsidRPr="00D23705">
        <w:t>This has enabled them to review their practices and revise their practices so they are more small business friendly</w:t>
      </w:r>
      <w:r w:rsidR="009041EE">
        <w:t xml:space="preserve">. </w:t>
      </w:r>
    </w:p>
    <w:p w14:paraId="45AAB66A" w14:textId="77777777" w:rsidR="00EC0A9D" w:rsidRDefault="00D23705" w:rsidP="00A26D73">
      <w:pPr>
        <w:pStyle w:val="Heading5"/>
        <w:spacing w:before="80"/>
      </w:pPr>
      <w:r>
        <w:t>Dispute resolution</w:t>
      </w:r>
    </w:p>
    <w:p w14:paraId="4124C870" w14:textId="77777777" w:rsidR="00D808B7" w:rsidRDefault="00D23705" w:rsidP="00A26D73">
      <w:pPr>
        <w:pStyle w:val="base-text-paragraph"/>
        <w:spacing w:before="80" w:after="80"/>
      </w:pPr>
      <w:r w:rsidRPr="00D23705">
        <w:t>As a concierge for dispute resolution, the Ombudsman will help address the information gap small businesses face in understanding what justice mechanisms are available to them to address a complaint or dispute. By providing information, advice, and direct referrals, small business will be able to make more informed decisions about how they want to pursue their complaint</w:t>
      </w:r>
      <w:r w:rsidR="009041EE">
        <w:t xml:space="preserve">. </w:t>
      </w:r>
      <w:r w:rsidRPr="00D23705">
        <w:t>This process will also save them time they would have otherwise spent researching information on dispute resolution processes and reaching an appropriate complaints body</w:t>
      </w:r>
      <w:r w:rsidR="009041EE">
        <w:t xml:space="preserve">. </w:t>
      </w:r>
    </w:p>
    <w:p w14:paraId="3B2A58EA" w14:textId="77777777" w:rsidR="00D808B7" w:rsidRDefault="00D23705" w:rsidP="00200FC3">
      <w:pPr>
        <w:pStyle w:val="base-text-paragraph"/>
      </w:pPr>
      <w:r w:rsidRPr="00D23705">
        <w:t>Importantly, as a first step, when a small business brings an issue to the Ombudsman, the Ombudsman will ask fundamental questions about the nature of the dispute. This could include whether the small business has a contract in place, or whether the small business has discussed the issue directly with the other party. This process in itself can help small businesses understand their own actions in managing disputes and how they can improve their own business practices such as contract management and managing business relationships</w:t>
      </w:r>
      <w:r w:rsidR="009041EE">
        <w:t xml:space="preserve">. </w:t>
      </w:r>
    </w:p>
    <w:p w14:paraId="62A1D5E2" w14:textId="65454D7F" w:rsidR="00D808B7" w:rsidRDefault="00D23705" w:rsidP="00200FC3">
      <w:pPr>
        <w:pStyle w:val="base-text-paragraph"/>
      </w:pPr>
      <w:r w:rsidRPr="00D23705">
        <w:t>The Ombudsman</w:t>
      </w:r>
      <w:r w:rsidR="009349BC">
        <w:t>’</w:t>
      </w:r>
      <w:r w:rsidRPr="00D23705">
        <w:t>s own ADR service will also address gaps in the current range of alternative dispute resolution services available to small businesses. Research and preliminary stakeholder consultation on the dispute resolution services and complaints bodies available to small businesses at the Commonwealth level indicates that the Ombudsman would be an appropriate body to deal with a range of small business disputes</w:t>
      </w:r>
      <w:r w:rsidR="009041EE">
        <w:t xml:space="preserve">. </w:t>
      </w:r>
    </w:p>
    <w:p w14:paraId="759726E0" w14:textId="225D823E" w:rsidR="00D808B7" w:rsidRDefault="00D23705" w:rsidP="00200FC3">
      <w:pPr>
        <w:pStyle w:val="base-text-paragraph"/>
      </w:pPr>
      <w:r w:rsidRPr="00D23705">
        <w:t>While the Ombudsman will have powers to require parties to attend mediation, it is intended that where possible, the Ombudsman will seek to resolve disputes through initial information and referrals and pre</w:t>
      </w:r>
      <w:r w:rsidR="009349BC">
        <w:noBreakHyphen/>
      </w:r>
      <w:r w:rsidRPr="00D23705">
        <w:t xml:space="preserve">mediation activities. Providing support and advice to businesses on how they can address their dispute can lead to improved business practices as business owners learn from their experience and avoid disputes in the future. </w:t>
      </w:r>
    </w:p>
    <w:p w14:paraId="42BB4F2B" w14:textId="77777777" w:rsidR="00D808B7" w:rsidRDefault="00D23705" w:rsidP="00200FC3">
      <w:pPr>
        <w:pStyle w:val="base-text-paragraph"/>
      </w:pPr>
      <w:r w:rsidRPr="00D23705">
        <w:t>There will be cases where the respondent in a dispute does not wish to participate in mediation. The power to require parties to attend mediation may be a cost to business, but this will ensure that a genuine alternative to the courts is available. This will boost small business confidence in their dealings with other businesses; particularly larger ones where there would otherwise be a considerable power imbalance were a dispute to arise. It also provides a mechanism for ensuring that businesses are not forced to close due to unresolved disputes and, further, in many cases, allows for productive business relationships to continue.</w:t>
      </w:r>
      <w:r w:rsidR="00D808B7" w:rsidRPr="00D808B7">
        <w:t xml:space="preserve"> </w:t>
      </w:r>
    </w:p>
    <w:p w14:paraId="26D8FEC3" w14:textId="5F8C789F" w:rsidR="00D23705" w:rsidRDefault="00D23705" w:rsidP="00C71EE9">
      <w:pPr>
        <w:pStyle w:val="Heading6"/>
      </w:pPr>
      <w:r>
        <w:t>Benefits associated with the Ombudsman</w:t>
      </w:r>
      <w:r w:rsidR="009349BC">
        <w:t>’</w:t>
      </w:r>
      <w:r>
        <w:t>s powers</w:t>
      </w:r>
    </w:p>
    <w:p w14:paraId="6DB24605" w14:textId="25DBF3AF" w:rsidR="00D808B7" w:rsidRDefault="00D23705" w:rsidP="00200FC3">
      <w:pPr>
        <w:pStyle w:val="base-text-paragraph"/>
      </w:pPr>
      <w:r w:rsidRPr="00D23705">
        <w:t>It is anticipated that the Ombudsman</w:t>
      </w:r>
      <w:r w:rsidR="009349BC">
        <w:t>’</w:t>
      </w:r>
      <w:r w:rsidRPr="00D23705">
        <w:t xml:space="preserve"> dispute resolution role, and the associated powers will have a positive impact on the behaviour of small and large businesses and improve the efficient operation of the market more generally. It is plausible that some businesses may become more risk adverse or reluctant to do business with small businesses as a result of the introduction of the Ombudsman</w:t>
      </w:r>
      <w:r w:rsidR="009349BC">
        <w:t>’</w:t>
      </w:r>
      <w:r w:rsidRPr="00D23705">
        <w:t>s dispute resolution function</w:t>
      </w:r>
      <w:r w:rsidR="009041EE">
        <w:t xml:space="preserve">. </w:t>
      </w:r>
      <w:r w:rsidRPr="00D23705">
        <w:t>This is considered a very small risk as the Ombudsman</w:t>
      </w:r>
      <w:r w:rsidR="009349BC">
        <w:t>’</w:t>
      </w:r>
      <w:r w:rsidRPr="00D23705">
        <w:t xml:space="preserve">s dispute resolution functions are not intended or designed to replace the existing recourse businesses have to pursue issues through the courts and tribunals. </w:t>
      </w:r>
    </w:p>
    <w:p w14:paraId="6B351D15" w14:textId="0C512F8D" w:rsidR="00D808B7" w:rsidRDefault="00D23705" w:rsidP="00200FC3">
      <w:pPr>
        <w:pStyle w:val="base-text-paragraph"/>
      </w:pPr>
      <w:r w:rsidRPr="00D23705">
        <w:t>Further, ADR processes are designed as a low</w:t>
      </w:r>
      <w:r w:rsidR="009349BC">
        <w:noBreakHyphen/>
      </w:r>
      <w:r w:rsidRPr="00D23705">
        <w:t>cost, timely way for parties to address a dispute and facilitate a shared agreement on how to move forward. The estimated out</w:t>
      </w:r>
      <w:r w:rsidR="009349BC">
        <w:noBreakHyphen/>
      </w:r>
      <w:r w:rsidRPr="00D23705">
        <w:t>of</w:t>
      </w:r>
      <w:r w:rsidR="009349BC">
        <w:noBreakHyphen/>
      </w:r>
      <w:r w:rsidRPr="00D23705">
        <w:t>pocket and staff expenses are relatively low and are not expected to be passed on to consumers through the price of goods and services offered by businesses</w:t>
      </w:r>
      <w:r w:rsidR="009041EE">
        <w:t xml:space="preserve">. </w:t>
      </w:r>
    </w:p>
    <w:p w14:paraId="6FA9A4CA" w14:textId="77777777" w:rsidR="00D808B7" w:rsidRDefault="00D23705" w:rsidP="00200FC3">
      <w:pPr>
        <w:pStyle w:val="base-text-paragraph"/>
      </w:pPr>
      <w:r w:rsidRPr="00D23705">
        <w:t xml:space="preserve">The Ombudsman will send enquiries to existing services (that is, maintaining the status quo) and will have a narrow scope of disputes to address through its own service. Generally, the Ombudsman will not publicly report on the individual parties that access the Ombudsman services, or the nature of their dispute. Therefore small businesses will not be reluctant to pursue the dispute for fear of retribution or being seen as being difficult to deal with. </w:t>
      </w:r>
    </w:p>
    <w:p w14:paraId="5A23C474" w14:textId="04CD7009" w:rsidR="00D808B7" w:rsidRDefault="00D23705" w:rsidP="00200FC3">
      <w:pPr>
        <w:pStyle w:val="base-text-paragraph"/>
      </w:pPr>
      <w:r w:rsidRPr="00D23705">
        <w:t>A key objective of the Ombudsman</w:t>
      </w:r>
      <w:r w:rsidR="009349BC">
        <w:t>’</w:t>
      </w:r>
      <w:r w:rsidRPr="00D23705">
        <w:t>s dispute resolution services is to facilitate parties to a dispute to voice their side of the story and come to an agreed position. That is why the Ombudsman will not have determinative powers. This is supported by discussions with the Western Australian Small Business Commissioner who considers that when offering alternative dispute resolution services, co</w:t>
      </w:r>
      <w:r w:rsidR="009349BC">
        <w:noBreakHyphen/>
      </w:r>
      <w:r w:rsidRPr="00D23705">
        <w:t>operation is more likely without such powers</w:t>
      </w:r>
      <w:r w:rsidR="009041EE">
        <w:t xml:space="preserve">. </w:t>
      </w:r>
    </w:p>
    <w:p w14:paraId="293485B6" w14:textId="3D2221AC" w:rsidR="00D808B7" w:rsidRDefault="00D23705" w:rsidP="00200FC3">
      <w:pPr>
        <w:pStyle w:val="base-text-paragraph"/>
      </w:pPr>
      <w:r w:rsidRPr="00D23705">
        <w:t>The Ombudsman</w:t>
      </w:r>
      <w:r w:rsidR="009349BC">
        <w:t>’</w:t>
      </w:r>
      <w:r w:rsidRPr="00D23705">
        <w:t>s power to name unco</w:t>
      </w:r>
      <w:r w:rsidR="009349BC">
        <w:noBreakHyphen/>
      </w:r>
      <w:r w:rsidRPr="00D23705">
        <w:t>operative parties is intended to incentivise all parties to a dispute (businesses of all sizes and government agencies) to participate in the Ombudsman</w:t>
      </w:r>
      <w:r w:rsidR="009349BC">
        <w:t>’</w:t>
      </w:r>
      <w:r w:rsidRPr="00D23705">
        <w:t>s dispute resolution processes</w:t>
      </w:r>
      <w:r w:rsidR="009041EE">
        <w:t xml:space="preserve">. </w:t>
      </w:r>
      <w:r w:rsidRPr="00D23705">
        <w:t>The reputation of organisations that are publicly named are expected to be adversely affected, which could potentially lead to lost business, however this is difficult to quantify</w:t>
      </w:r>
      <w:r w:rsidR="009041EE">
        <w:t xml:space="preserve">. </w:t>
      </w:r>
      <w:r w:rsidRPr="00D23705">
        <w:t>It is also difficult at this stage to estimate the number of businesses that might be affected, however it is intended that the Ombudsman would exercise this power sparingly</w:t>
      </w:r>
      <w:r w:rsidR="009041EE">
        <w:t xml:space="preserve">. </w:t>
      </w:r>
    </w:p>
    <w:p w14:paraId="5EFA5C59" w14:textId="77777777" w:rsidR="00D808B7" w:rsidRDefault="00D23705" w:rsidP="00200FC3">
      <w:pPr>
        <w:pStyle w:val="base-text-paragraph"/>
      </w:pPr>
      <w:r w:rsidRPr="00D23705">
        <w:t>It is expected that small businesses that access alternative dispute resolution services will build their knowledge of the dispute resolution mechanisms available to them, and improve their own processes and practices to avoid similar disputes in the future. For larger businesses, working through a dispute, or having the Ombudsman raise a practice of concern to small businesses, may help them identify how they can improve their own practices to be more small business friendly.</w:t>
      </w:r>
      <w:r w:rsidR="00D808B7" w:rsidRPr="00D808B7">
        <w:t xml:space="preserve"> </w:t>
      </w:r>
    </w:p>
    <w:p w14:paraId="45B5BC3E" w14:textId="5E542914" w:rsidR="00D808B7" w:rsidRDefault="00D23705" w:rsidP="00200FC3">
      <w:pPr>
        <w:pStyle w:val="base-text-paragraph"/>
      </w:pPr>
      <w:r w:rsidRPr="00D23705">
        <w:t>It is not anticipated that this function will have an adverse consequence on consumers. The dispute resolution services offered by the Ombudsman will be low</w:t>
      </w:r>
      <w:r w:rsidR="009349BC">
        <w:noBreakHyphen/>
      </w:r>
      <w:r w:rsidRPr="00D23705">
        <w:t>cost. In aggregate, it is important to note that the broad benefits of an effective civil justice system are significant</w:t>
      </w:r>
      <w:r w:rsidR="009041EE">
        <w:t xml:space="preserve">. </w:t>
      </w:r>
      <w:r w:rsidRPr="00D23705">
        <w:t>As the Productivity Commission has stated:</w:t>
      </w:r>
      <w:r w:rsidR="00D808B7" w:rsidRPr="00D808B7">
        <w:t xml:space="preserve"> </w:t>
      </w:r>
    </w:p>
    <w:p w14:paraId="68035E4D" w14:textId="3F9F872E" w:rsidR="00D23705" w:rsidRDefault="009349BC" w:rsidP="006F614C">
      <w:pPr>
        <w:pStyle w:val="exampletext"/>
        <w:tabs>
          <w:tab w:val="left" w:pos="1985"/>
        </w:tabs>
        <w:ind w:left="1440"/>
      </w:pPr>
      <w:r>
        <w:t>‘</w:t>
      </w:r>
      <w:r w:rsidR="00D23705" w:rsidRPr="00D23705">
        <w:t>a well</w:t>
      </w:r>
      <w:r>
        <w:noBreakHyphen/>
      </w:r>
      <w:r w:rsidR="00D23705" w:rsidRPr="00D23705">
        <w:t>functioning civil justice system serves more than just private interests</w:t>
      </w:r>
      <w:r>
        <w:t xml:space="preserve"> — </w:t>
      </w:r>
      <w:r w:rsidR="00D23705" w:rsidRPr="00D23705">
        <w:t>it promotes social order, and communicates and reinforces civic values and norms. A well</w:t>
      </w:r>
      <w:r>
        <w:noBreakHyphen/>
      </w:r>
      <w:r w:rsidR="00D23705" w:rsidRPr="00D23705">
        <w:t>functioning system also gives people the confidence to enter into business relationships, to enter into contracts, and to invest. This, in turn, contributes to Australia</w:t>
      </w:r>
      <w:r>
        <w:t>’</w:t>
      </w:r>
      <w:r w:rsidR="00D23705" w:rsidRPr="00D23705">
        <w:t>s economic performance.</w:t>
      </w:r>
      <w:r w:rsidR="00D23705">
        <w:rPr>
          <w:rStyle w:val="FootnoteReference"/>
        </w:rPr>
        <w:footnoteReference w:id="19"/>
      </w:r>
      <w:r>
        <w:t>‘</w:t>
      </w:r>
    </w:p>
    <w:p w14:paraId="6445B09F" w14:textId="6FDB22C3" w:rsidR="00D808B7" w:rsidRDefault="00D23705" w:rsidP="00200FC3">
      <w:pPr>
        <w:pStyle w:val="base-text-paragraph"/>
      </w:pPr>
      <w:r w:rsidRPr="00D23705">
        <w:t>The Ombudsman</w:t>
      </w:r>
      <w:r w:rsidR="009349BC">
        <w:t>’</w:t>
      </w:r>
      <w:r w:rsidRPr="00D23705">
        <w:t>s role in providing dispute resolution services will contribute towards the effective functioning of Australia</w:t>
      </w:r>
      <w:r w:rsidR="009349BC">
        <w:t>’</w:t>
      </w:r>
      <w:r w:rsidRPr="00D23705">
        <w:t>s civil justice system. This includes the economic benefits and associated behavioural changes that can arise from improved business and consumer confidence in establishing and maintaining business relationships.</w:t>
      </w:r>
      <w:r w:rsidR="00D808B7" w:rsidRPr="00D808B7">
        <w:t xml:space="preserve"> </w:t>
      </w:r>
    </w:p>
    <w:p w14:paraId="6095BF3E" w14:textId="77777777" w:rsidR="00D23705" w:rsidRPr="00213898" w:rsidRDefault="00D23705" w:rsidP="00C71EE9">
      <w:pPr>
        <w:pStyle w:val="Heading3"/>
      </w:pPr>
      <w:r w:rsidRPr="00213898">
        <w:t>Option 3: Establish a Small Business and Family Enterprise Ombudsman with more limited powers</w:t>
      </w:r>
    </w:p>
    <w:p w14:paraId="6BD6948C" w14:textId="3508F581" w:rsidR="00D808B7" w:rsidRDefault="00D23705" w:rsidP="00200FC3">
      <w:pPr>
        <w:pStyle w:val="base-text-paragraph"/>
      </w:pPr>
      <w:r w:rsidRPr="00D23705">
        <w:t>The powers of the Ombudsman under this option are not expected to have a regulatory cost on businesses as participation in the Ombudsman</w:t>
      </w:r>
      <w:r w:rsidR="009349BC">
        <w:t>’</w:t>
      </w:r>
      <w:r w:rsidRPr="00D23705">
        <w:t xml:space="preserve">s services would be voluntary given the Ombudsman has no power to require parties to provide information or attend mediation. This option is not preferred as it does not provide an effective response to the problems outlined in </w:t>
      </w:r>
      <w:r w:rsidR="00213898">
        <w:t>C</w:t>
      </w:r>
      <w:r w:rsidR="00213898" w:rsidRPr="00D23705">
        <w:t xml:space="preserve">hapter </w:t>
      </w:r>
      <w:r w:rsidRPr="00D23705">
        <w:t>2</w:t>
      </w:r>
      <w:r w:rsidR="009041EE">
        <w:t xml:space="preserve">. </w:t>
      </w:r>
    </w:p>
    <w:p w14:paraId="220DB5B3" w14:textId="77777777" w:rsidR="00D808B7" w:rsidRDefault="00D23705" w:rsidP="00200FC3">
      <w:pPr>
        <w:pStyle w:val="base-text-paragraph"/>
      </w:pPr>
      <w:r w:rsidRPr="00D23705">
        <w:t xml:space="preserve">Establishing a statutorily appointed Small Business and Family Enterprise Ombudsman with a range of powers and with a formal framework to provide a range of alternative dispute resolution processes does go some way toward addressing the problems outlined in </w:t>
      </w:r>
      <w:r w:rsidR="00213898">
        <w:t>C</w:t>
      </w:r>
      <w:r w:rsidR="00213898" w:rsidRPr="00D23705">
        <w:t xml:space="preserve">hapter </w:t>
      </w:r>
      <w:r w:rsidRPr="00D23705">
        <w:t>2</w:t>
      </w:r>
      <w:r w:rsidR="009041EE">
        <w:t xml:space="preserve">. </w:t>
      </w:r>
      <w:r w:rsidRPr="00D23705">
        <w:t>The Ombudsman will still be able to provide information and advice to small businesses on what mechanisms are available to them to resolve a dispute</w:t>
      </w:r>
      <w:r w:rsidR="009041EE">
        <w:t xml:space="preserve">. </w:t>
      </w:r>
    </w:p>
    <w:p w14:paraId="03004AA7" w14:textId="77777777" w:rsidR="00D808B7" w:rsidRDefault="00D23705" w:rsidP="00200FC3">
      <w:pPr>
        <w:pStyle w:val="base-text-paragraph"/>
      </w:pPr>
      <w:r w:rsidRPr="00D23705">
        <w:t>The powers to require parties to attend mediation (by imposing a penalty for failure to attend mediation) are used as an incentive for parties to formally discuss disputes in a clear, accessible framework</w:t>
      </w:r>
      <w:r w:rsidR="009041EE">
        <w:t xml:space="preserve">. </w:t>
      </w:r>
      <w:r w:rsidRPr="00D23705">
        <w:t>This process seeks to resolve disputes early, helping to preserve the business relationship and avoid the high costs of court proceedings</w:t>
      </w:r>
      <w:r w:rsidR="009041EE">
        <w:t xml:space="preserve">. </w:t>
      </w:r>
    </w:p>
    <w:p w14:paraId="3D3CAC1B" w14:textId="77777777" w:rsidR="00D808B7" w:rsidRDefault="00D23705" w:rsidP="00200FC3">
      <w:pPr>
        <w:pStyle w:val="base-text-paragraph"/>
      </w:pPr>
      <w:r w:rsidRPr="00D23705">
        <w:t>Under this option, the Ombudsman will not be as effective in facilitating the resolution of disputes</w:t>
      </w:r>
      <w:r w:rsidR="009041EE">
        <w:t xml:space="preserve">. </w:t>
      </w:r>
      <w:r w:rsidRPr="00D23705">
        <w:t xml:space="preserve">The intention of the Ombudsman is to facilitate the most appropriate commercial outcome for both parties in a dispute. To achieve this, both parties must be willing to fully engage with this process and provide all the information and facts about the issue at hand. Facilitating a resolution will be difficult if the Ombudsman is not able to incentivise parties (particularly where there is a power imbalance between the parties) to participate in discussions about the issue at hand and to ensure that all parties are making decisions based on the same information. </w:t>
      </w:r>
    </w:p>
    <w:p w14:paraId="5BA34D91" w14:textId="77777777" w:rsidR="00D808B7" w:rsidRDefault="00D23705" w:rsidP="00200FC3">
      <w:pPr>
        <w:pStyle w:val="base-text-paragraph"/>
      </w:pPr>
      <w:r w:rsidRPr="00D23705">
        <w:t>The Western Australia Small Business Commissioner has advised that, in the last two years of providing alternative dispute resolution processes by the Western Australia Small Business Development Corporation, there has been a small number of instances where stronger mechanisms to engender greater participation from parties would have been helpful and improved outcomes to disputes. A balance needs to be struck between influencing parties to voluntarily participate in resolving disputes and ensuring that there are consequences for parties that refuse to provide information in reasonable timeframes or participate in dispute resolution in a meaningful way. These behaviours are invariably detrimental to small business owners who have insufficient resources to utilise the judicial system. Without appropriate powers to mitigate the impact of these behaviours, the Ombudsman would be less likely to contribute to the effective functioning of the civil justice system, and the broader benefits that may arise when this system functions well.</w:t>
      </w:r>
      <w:r w:rsidR="00D808B7" w:rsidRPr="00D808B7">
        <w:t xml:space="preserve"> </w:t>
      </w:r>
    </w:p>
    <w:p w14:paraId="22E3A8A4" w14:textId="544F7FFF" w:rsidR="00D808B7" w:rsidRDefault="00D23705" w:rsidP="00200FC3">
      <w:pPr>
        <w:pStyle w:val="base-text-paragraph"/>
      </w:pPr>
      <w:r w:rsidRPr="00D23705">
        <w:t xml:space="preserve">This feedback is supported by the experience of the Victorian Small Business Commissioner. The </w:t>
      </w:r>
      <w:r w:rsidRPr="00D23705">
        <w:rPr>
          <w:i/>
        </w:rPr>
        <w:t>Small Business Commissioner Act</w:t>
      </w:r>
      <w:r w:rsidR="000822AF">
        <w:rPr>
          <w:i/>
        </w:rPr>
        <w:t> </w:t>
      </w:r>
      <w:r w:rsidRPr="00D23705">
        <w:rPr>
          <w:i/>
        </w:rPr>
        <w:t>2003</w:t>
      </w:r>
      <w:r w:rsidRPr="00D23705">
        <w:t xml:space="preserve"> (Vic) does not provide the Victorian Small Business Commissioner an explicit power to require businesses to provide information in relation to a dispute. In 2013</w:t>
      </w:r>
      <w:r w:rsidR="009349BC">
        <w:noBreakHyphen/>
      </w:r>
      <w:r w:rsidRPr="00D23705">
        <w:t>14, 51.7 per cent</w:t>
      </w:r>
      <w:r>
        <w:rPr>
          <w:rStyle w:val="FootnoteReference"/>
        </w:rPr>
        <w:footnoteReference w:id="20"/>
      </w:r>
      <w:r w:rsidRPr="00D23705">
        <w:t xml:space="preserve"> of respondent parties to general business dispute applications (as opposed to applications specifically relating to its other dispute resolution functions such as retail and farm mediation) refused to engage with the Office of the Victorian Small Business Commissioner. Including all dispute applications, this response rate is better, with around 20 per cent respondents which refused to engage with the Office. Applying this rate to the Ombudsman</w:t>
      </w:r>
      <w:r w:rsidR="009349BC">
        <w:t>’</w:t>
      </w:r>
      <w:r w:rsidRPr="00D23705">
        <w:t>s ADR service under this option, at a minimum, half of the cases dealt with in the pre</w:t>
      </w:r>
      <w:r w:rsidR="009349BC">
        <w:noBreakHyphen/>
      </w:r>
      <w:r w:rsidRPr="00D23705">
        <w:t>mediation phase would not be resolved. This would subsequently reduce the number of cases proceeding through to mediation. Without the ability to incentivise parties to discuss the issue, the Ombudsman</w:t>
      </w:r>
      <w:r w:rsidR="009349BC">
        <w:t>’</w:t>
      </w:r>
      <w:r w:rsidRPr="00D23705">
        <w:t>s ability to resolve disputes at an early stage is limited</w:t>
      </w:r>
      <w:r w:rsidR="009041EE">
        <w:t xml:space="preserve">. </w:t>
      </w:r>
    </w:p>
    <w:p w14:paraId="12C963D0" w14:textId="77777777" w:rsidR="00D23705" w:rsidRPr="00213898" w:rsidRDefault="00D23705" w:rsidP="00213898">
      <w:pPr>
        <w:pStyle w:val="Heading2"/>
      </w:pPr>
      <w:r w:rsidRPr="00213898">
        <w:t>RIS Question 5: Consultation</w:t>
      </w:r>
    </w:p>
    <w:p w14:paraId="5306D9EF" w14:textId="77777777" w:rsidR="00D808B7" w:rsidRDefault="00D23705" w:rsidP="00200FC3">
      <w:pPr>
        <w:pStyle w:val="base-text-paragraph"/>
      </w:pPr>
      <w:r w:rsidRPr="00D23705">
        <w:t xml:space="preserve">Treasury has undertaken two interactive formal public consultation processes, in addition to ongoing stakeholder discussions, on the scope and powers of the Ombudsman. </w:t>
      </w:r>
    </w:p>
    <w:p w14:paraId="48E38894" w14:textId="77777777" w:rsidR="00D23705" w:rsidRPr="006F3456" w:rsidRDefault="00D23705" w:rsidP="006F614C">
      <w:pPr>
        <w:pStyle w:val="exampledotpoint1"/>
        <w:rPr>
          <w:szCs w:val="22"/>
        </w:rPr>
      </w:pPr>
      <w:r w:rsidRPr="006F614C">
        <w:rPr>
          <w:sz w:val="22"/>
          <w:szCs w:val="22"/>
        </w:rPr>
        <w:t>A policy discussion paper on the broad scope and powers of the Ombudsman role (May 2014);</w:t>
      </w:r>
      <w:r w:rsidR="00213898">
        <w:rPr>
          <w:sz w:val="22"/>
          <w:szCs w:val="22"/>
        </w:rPr>
        <w:t xml:space="preserve"> </w:t>
      </w:r>
    </w:p>
    <w:p w14:paraId="5BFB7F0A" w14:textId="6B3D073A" w:rsidR="00D23705" w:rsidRPr="006F3456" w:rsidRDefault="00D23705" w:rsidP="006F614C">
      <w:pPr>
        <w:pStyle w:val="exampledotpoint1"/>
        <w:rPr>
          <w:szCs w:val="22"/>
        </w:rPr>
      </w:pPr>
      <w:r w:rsidRPr="006F614C">
        <w:rPr>
          <w:sz w:val="22"/>
          <w:szCs w:val="22"/>
        </w:rPr>
        <w:t>Exposure draft legislation establishing the role and specifying the functions and powers of the Ombudsman (March</w:t>
      </w:r>
      <w:r w:rsidR="009349BC">
        <w:rPr>
          <w:sz w:val="22"/>
          <w:szCs w:val="22"/>
        </w:rPr>
        <w:noBreakHyphen/>
      </w:r>
      <w:r w:rsidRPr="006F614C">
        <w:rPr>
          <w:sz w:val="22"/>
          <w:szCs w:val="22"/>
        </w:rPr>
        <w:t>April 2015).</w:t>
      </w:r>
    </w:p>
    <w:p w14:paraId="5A458457" w14:textId="77777777" w:rsidR="00D23705" w:rsidRDefault="00D23705" w:rsidP="00C71EE9">
      <w:pPr>
        <w:pStyle w:val="Heading3"/>
      </w:pPr>
      <w:r>
        <w:t>Policy discussion paper</w:t>
      </w:r>
    </w:p>
    <w:p w14:paraId="37F2D20D" w14:textId="21435E69" w:rsidR="00D808B7" w:rsidRDefault="00D23705" w:rsidP="00200FC3">
      <w:pPr>
        <w:pStyle w:val="base-text-paragraph"/>
      </w:pPr>
      <w:r w:rsidRPr="00D23705">
        <w:t>Preliminary discussions were held in February 2014 with the Australian Small Business Commissioner, the Australian Competition and</w:t>
      </w:r>
      <w:r w:rsidR="00443BA1">
        <w:t> </w:t>
      </w:r>
      <w:r w:rsidRPr="00D23705">
        <w:t>Consumer Commission, the Commonwealth Ombudsman, the four</w:t>
      </w:r>
      <w:r w:rsidR="00443BA1">
        <w:t> </w:t>
      </w:r>
      <w:r w:rsidRPr="00D23705">
        <w:t>state</w:t>
      </w:r>
      <w:r w:rsidR="009349BC">
        <w:noBreakHyphen/>
      </w:r>
      <w:r w:rsidRPr="00D23705">
        <w:t>based small business commissioners, and state and territory government officials to seek their high level views on the scope of the functions of the Ombudsman.</w:t>
      </w:r>
      <w:r w:rsidR="00D808B7" w:rsidRPr="00D808B7">
        <w:t xml:space="preserve"> </w:t>
      </w:r>
    </w:p>
    <w:p w14:paraId="79710B65" w14:textId="08FB3AA6" w:rsidR="00D808B7" w:rsidRDefault="00D23705" w:rsidP="00200FC3">
      <w:pPr>
        <w:pStyle w:val="base-text-paragraph"/>
      </w:pPr>
      <w:r w:rsidRPr="00D23705">
        <w:t>Feedback from the preliminary consultations was used to develop a discussion paper on the nature and scope of the four key responsibilities of the Ombudsman outlined in the Government</w:t>
      </w:r>
      <w:r w:rsidR="009349BC">
        <w:t>’</w:t>
      </w:r>
      <w:r w:rsidRPr="00D23705">
        <w:t>s election</w:t>
      </w:r>
      <w:r w:rsidR="00443BA1">
        <w:t> </w:t>
      </w:r>
      <w:r w:rsidRPr="00D23705">
        <w:t>commitment and how to best provide the Ombudsman with appropriate</w:t>
      </w:r>
      <w:r w:rsidR="00443BA1">
        <w:t> </w:t>
      </w:r>
      <w:r w:rsidRPr="00D23705">
        <w:t>powers to deliver benefits to Australian small businesses</w:t>
      </w:r>
      <w:r w:rsidR="009041EE">
        <w:t xml:space="preserve">. </w:t>
      </w:r>
      <w:r w:rsidRPr="00D23705">
        <w:t>On</w:t>
      </w:r>
      <w:r w:rsidR="00443BA1">
        <w:t> </w:t>
      </w:r>
      <w:r w:rsidRPr="00D23705">
        <w:t>30</w:t>
      </w:r>
      <w:r w:rsidR="00443BA1">
        <w:t> </w:t>
      </w:r>
      <w:r w:rsidRPr="00D23705">
        <w:t>April</w:t>
      </w:r>
      <w:r w:rsidR="00443BA1">
        <w:t> </w:t>
      </w:r>
      <w:r w:rsidRPr="00D23705">
        <w:t>2014, the Minister for Small Business released the discussion</w:t>
      </w:r>
      <w:r w:rsidR="00443BA1">
        <w:t> </w:t>
      </w:r>
      <w:r w:rsidRPr="00D23705">
        <w:t>paper inviting interested stakeholders to put forward their views on the role</w:t>
      </w:r>
      <w:r w:rsidR="009041EE">
        <w:t xml:space="preserve">. </w:t>
      </w:r>
    </w:p>
    <w:p w14:paraId="00CF1742" w14:textId="2B0C919D" w:rsidR="00D808B7" w:rsidRDefault="00D23705" w:rsidP="00200FC3">
      <w:pPr>
        <w:pStyle w:val="base-text-paragraph"/>
      </w:pPr>
      <w:r w:rsidRPr="00D23705">
        <w:t>Recognising that many stakeholders, particularly small businesses, are time</w:t>
      </w:r>
      <w:r w:rsidR="009349BC">
        <w:noBreakHyphen/>
      </w:r>
      <w:r w:rsidRPr="00D23705">
        <w:t>poor, interested parties were invited to provide views on issues raised in the discussion paper in one of two ways</w:t>
      </w:r>
      <w:r w:rsidR="009041EE">
        <w:t xml:space="preserve">. </w:t>
      </w:r>
      <w:r w:rsidRPr="00D23705">
        <w:t>A formal written submission could be provided, or a brief comment could be submitted through an online form on the Treasury website</w:t>
      </w:r>
      <w:r w:rsidR="009041EE">
        <w:t xml:space="preserve">. </w:t>
      </w:r>
      <w:r w:rsidRPr="00D23705">
        <w:t>The paper was also published on the Business Consultation Website available through business.gov.au</w:t>
      </w:r>
      <w:r w:rsidR="009041EE">
        <w:t xml:space="preserve">. </w:t>
      </w:r>
    </w:p>
    <w:p w14:paraId="23BBF24E" w14:textId="77777777" w:rsidR="00D808B7" w:rsidRDefault="00D23705" w:rsidP="00200FC3">
      <w:pPr>
        <w:pStyle w:val="base-text-paragraph"/>
      </w:pPr>
      <w:r w:rsidRPr="00D23705">
        <w:t>Submissions on the discussion paper closed on 23 May 2014; 53</w:t>
      </w:r>
      <w:r w:rsidR="00443BA1">
        <w:t> </w:t>
      </w:r>
      <w:r w:rsidRPr="00D23705">
        <w:t>submissions were received. These submissions, along with a summary of the issues raised, were published on the Treasury website.</w:t>
      </w:r>
      <w:r w:rsidR="00D808B7" w:rsidRPr="00D808B7">
        <w:t xml:space="preserve"> </w:t>
      </w:r>
    </w:p>
    <w:p w14:paraId="7C4B5E12" w14:textId="2B26CE94" w:rsidR="00D808B7" w:rsidRDefault="00D23705" w:rsidP="00200FC3">
      <w:pPr>
        <w:pStyle w:val="base-text-paragraph"/>
      </w:pPr>
      <w:r w:rsidRPr="00D23705">
        <w:t>Treasury officials also conducted a series of detailed, one</w:t>
      </w:r>
      <w:r w:rsidR="009349BC">
        <w:noBreakHyphen/>
      </w:r>
      <w:r w:rsidRPr="00D23705">
        <w:t>on</w:t>
      </w:r>
      <w:r w:rsidR="009349BC">
        <w:noBreakHyphen/>
      </w:r>
      <w:r w:rsidRPr="00D23705">
        <w:t>one, meetings with 30 targeted stakeholders in early May to discuss their view directly</w:t>
      </w:r>
      <w:r w:rsidR="009041EE">
        <w:t xml:space="preserve">. </w:t>
      </w:r>
      <w:r w:rsidRPr="00D23705">
        <w:t>Meetings were held in Canberra, Sydney, Melbourne and via teleconference</w:t>
      </w:r>
      <w:r w:rsidR="009041EE">
        <w:t xml:space="preserve">. </w:t>
      </w:r>
      <w:r w:rsidRPr="00D23705">
        <w:t>These stakeholders are listed in Appendix A. Treasury also engaged with its portfolio agencies to engage with existing small business consultative mechanisms, including the Australian Competition and Consumer Commission</w:t>
      </w:r>
      <w:r w:rsidR="009349BC">
        <w:t>’</w:t>
      </w:r>
      <w:r w:rsidRPr="00D23705">
        <w:t>s Small Business Consultative Committee.</w:t>
      </w:r>
      <w:r w:rsidR="00D808B7" w:rsidRPr="00D808B7">
        <w:t xml:space="preserve"> </w:t>
      </w:r>
    </w:p>
    <w:p w14:paraId="7264C5AB" w14:textId="77777777" w:rsidR="00D23705" w:rsidRDefault="00D23705" w:rsidP="00C71EE9">
      <w:pPr>
        <w:pStyle w:val="Heading3"/>
      </w:pPr>
      <w:r>
        <w:t>Exposure draft legislation</w:t>
      </w:r>
    </w:p>
    <w:p w14:paraId="1F003393" w14:textId="630819E5" w:rsidR="00D808B7" w:rsidRDefault="00D23705" w:rsidP="00200FC3">
      <w:pPr>
        <w:pStyle w:val="base-text-paragraph"/>
      </w:pPr>
      <w:r w:rsidRPr="00D23705">
        <w:t>Following the discussion paper consultations, on 18 August 2015, the Government announced</w:t>
      </w:r>
      <w:r>
        <w:rPr>
          <w:rStyle w:val="FootnoteReference"/>
        </w:rPr>
        <w:footnoteReference w:id="21"/>
      </w:r>
      <w:r w:rsidRPr="00D23705">
        <w:t xml:space="preserve"> its chosen model for the scope of the Ombudsman</w:t>
      </w:r>
      <w:r w:rsidR="009349BC">
        <w:t>’</w:t>
      </w:r>
      <w:r w:rsidRPr="00D23705">
        <w:t>s functions, confirming the Ombudsman would be a:</w:t>
      </w:r>
      <w:r w:rsidR="00D808B7" w:rsidRPr="00D808B7">
        <w:t xml:space="preserve"> </w:t>
      </w:r>
    </w:p>
    <w:p w14:paraId="65C74B04" w14:textId="45C14512" w:rsidR="00D23705" w:rsidRPr="006F3456" w:rsidRDefault="00D23705" w:rsidP="006F614C">
      <w:pPr>
        <w:pStyle w:val="exampledotpoint1"/>
        <w:rPr>
          <w:szCs w:val="22"/>
        </w:rPr>
      </w:pPr>
      <w:r w:rsidRPr="006F614C">
        <w:rPr>
          <w:sz w:val="22"/>
          <w:szCs w:val="22"/>
        </w:rPr>
        <w:t>Commonwealth</w:t>
      </w:r>
      <w:r w:rsidR="009349BC">
        <w:rPr>
          <w:sz w:val="22"/>
          <w:szCs w:val="22"/>
        </w:rPr>
        <w:noBreakHyphen/>
      </w:r>
      <w:r w:rsidRPr="006F614C">
        <w:rPr>
          <w:sz w:val="22"/>
          <w:szCs w:val="22"/>
        </w:rPr>
        <w:t>wide advocate for small businesses and family enterprises;</w:t>
      </w:r>
    </w:p>
    <w:p w14:paraId="2995D6A2" w14:textId="77777777" w:rsidR="00D23705" w:rsidRPr="006F3456" w:rsidRDefault="00D23705" w:rsidP="006F614C">
      <w:pPr>
        <w:pStyle w:val="exampledotpoint1"/>
        <w:rPr>
          <w:szCs w:val="22"/>
        </w:rPr>
      </w:pPr>
      <w:r w:rsidRPr="006F614C">
        <w:rPr>
          <w:sz w:val="22"/>
          <w:szCs w:val="22"/>
        </w:rPr>
        <w:t>Concierge for dispute resolution service; and</w:t>
      </w:r>
    </w:p>
    <w:p w14:paraId="7457DA31" w14:textId="77777777" w:rsidR="00D23705" w:rsidRPr="006F3456" w:rsidRDefault="00D23705" w:rsidP="006F614C">
      <w:pPr>
        <w:pStyle w:val="exampledotpoint1"/>
        <w:rPr>
          <w:szCs w:val="22"/>
        </w:rPr>
      </w:pPr>
      <w:r w:rsidRPr="006F614C">
        <w:rPr>
          <w:sz w:val="22"/>
          <w:szCs w:val="22"/>
        </w:rPr>
        <w:t>Contributor to the development of small business friendly Commonwealth laws and regulations.</w:t>
      </w:r>
    </w:p>
    <w:p w14:paraId="695A85BB" w14:textId="41B6030E" w:rsidR="00D808B7" w:rsidRDefault="00D23705" w:rsidP="00200FC3">
      <w:pPr>
        <w:pStyle w:val="base-text-paragraph"/>
      </w:pPr>
      <w:r w:rsidRPr="00D23705">
        <w:t>The Ombudsman would also link with the Government</w:t>
      </w:r>
      <w:r w:rsidR="009349BC">
        <w:t>’</w:t>
      </w:r>
      <w:r w:rsidRPr="00D23705">
        <w:t>s single business service to help small businesses easily find out about other Government services and programmes, including general business advice.</w:t>
      </w:r>
      <w:r w:rsidR="00D808B7" w:rsidRPr="00D808B7">
        <w:t xml:space="preserve"> </w:t>
      </w:r>
    </w:p>
    <w:p w14:paraId="50C94168" w14:textId="77777777" w:rsidR="00D808B7" w:rsidRDefault="00D23705" w:rsidP="00200FC3">
      <w:pPr>
        <w:pStyle w:val="base-text-paragraph"/>
      </w:pPr>
      <w:r w:rsidRPr="00D23705">
        <w:t>Draft legislation, detailing specific powers for the role, was subsequently developed. Treasury conducted a public consultation process on the exposure draft of the Australian Small Business and Family Enterprise Ombudsman Bill (Bill) between 11 March and 7 April 2015. Similar to the engagement mechanisms used during the policy discussion paper consultation process, the Treasury invited written submissions from stakeholders on the provisions in the Bill. Treasury received 44 written submissions and held face to face meetings and teleconferences with 43</w:t>
      </w:r>
      <w:r w:rsidR="00974BC3">
        <w:t> </w:t>
      </w:r>
      <w:r w:rsidRPr="00D23705">
        <w:t xml:space="preserve">organisations. </w:t>
      </w:r>
    </w:p>
    <w:p w14:paraId="53DF10E4" w14:textId="5E8C850B" w:rsidR="00D808B7" w:rsidRDefault="00D23705" w:rsidP="00200FC3">
      <w:pPr>
        <w:pStyle w:val="base-text-paragraph"/>
      </w:pPr>
      <w:r w:rsidRPr="00D23705">
        <w:t xml:space="preserve">Submissions unanimously supported the establishment of the Ombudsman. Comments touched on both specific provisions in the legislation and broader implementation and operational issues. </w:t>
      </w:r>
      <w:r w:rsidR="00213898">
        <w:t>C</w:t>
      </w:r>
      <w:r w:rsidR="00213898" w:rsidRPr="00D23705">
        <w:t xml:space="preserve">oncerns </w:t>
      </w:r>
      <w:r w:rsidRPr="00D23705">
        <w:t>extended to the definition of small business; the advocacy function; referral mechanisms of disputes and scope of the Ombudsman</w:t>
      </w:r>
      <w:r w:rsidR="009349BC">
        <w:t>’</w:t>
      </w:r>
      <w:r w:rsidRPr="00D23705">
        <w:t>s own dispute advice; the definition of agency; the Ombudsman title; and governance arrangements.</w:t>
      </w:r>
      <w:r w:rsidR="00D808B7" w:rsidRPr="00D808B7">
        <w:t xml:space="preserve"> </w:t>
      </w:r>
    </w:p>
    <w:p w14:paraId="2F97DA10" w14:textId="77777777" w:rsidR="00D808B7" w:rsidRDefault="00D23705" w:rsidP="00200FC3">
      <w:pPr>
        <w:pStyle w:val="base-text-paragraph"/>
      </w:pPr>
      <w:r w:rsidRPr="00D23705">
        <w:t xml:space="preserve">Stakeholder feedback from the policy discussion paper and exposure draft legislation consultation processes through this process has been incorporated under discussion on policy options. </w:t>
      </w:r>
    </w:p>
    <w:p w14:paraId="6F956C7B" w14:textId="77777777" w:rsidR="00D23705" w:rsidRPr="00213898" w:rsidRDefault="00D23705" w:rsidP="00213898">
      <w:pPr>
        <w:pStyle w:val="Heading2"/>
      </w:pPr>
      <w:r w:rsidRPr="00213898">
        <w:t>RIS Question 6: What is the best option from those you have considered</w:t>
      </w:r>
    </w:p>
    <w:p w14:paraId="526F8E43" w14:textId="77777777" w:rsidR="00D808B7" w:rsidRDefault="00D23705" w:rsidP="00200FC3">
      <w:pPr>
        <w:pStyle w:val="base-text-paragraph"/>
      </w:pPr>
      <w:r w:rsidRPr="00D23705">
        <w:t xml:space="preserve">The preferred option is that the Government establish the Ombudsman in accordance with Option 2 as outlined under RIS </w:t>
      </w:r>
      <w:r w:rsidR="00213898" w:rsidRPr="00D23705">
        <w:t>Question</w:t>
      </w:r>
      <w:r w:rsidR="00213898">
        <w:t> </w:t>
      </w:r>
      <w:r w:rsidRPr="00D23705">
        <w:t>3. This option provides a net economic benefit of $18,208,682 per annum.</w:t>
      </w:r>
      <w:r w:rsidR="00D808B7" w:rsidRPr="00D808B7">
        <w:t xml:space="preserve"> </w:t>
      </w:r>
    </w:p>
    <w:p w14:paraId="1CB1899E" w14:textId="4B7A374B" w:rsidR="00D808B7" w:rsidRDefault="00D23705" w:rsidP="00200FC3">
      <w:pPr>
        <w:pStyle w:val="base-text-paragraph"/>
      </w:pPr>
      <w:r w:rsidRPr="00D23705">
        <w:t>A thorough review and consultation process has resulted in a number of suggestions of how to best implement the Government</w:t>
      </w:r>
      <w:r w:rsidR="009349BC">
        <w:t>’</w:t>
      </w:r>
      <w:r w:rsidRPr="00D23705">
        <w:t xml:space="preserve">s election commitment to transform the Australian Small Business Commissioner into the Australian Small Business and Family Enterprise Ombudsman. </w:t>
      </w:r>
    </w:p>
    <w:p w14:paraId="61F92DBD" w14:textId="77777777" w:rsidR="00D808B7" w:rsidRDefault="00D23705" w:rsidP="00200FC3">
      <w:pPr>
        <w:pStyle w:val="base-text-paragraph"/>
      </w:pPr>
      <w:r w:rsidRPr="00D23705">
        <w:t>The proposed functions and powers outlines in the Bill will improve the operating environment for small business; reduce unnecessary compliance burdens; and assist small business and family enterprises to resolve disputes early, helping to preserve the business relationship and avoid the high costs of court proceedings</w:t>
      </w:r>
      <w:r w:rsidR="009041EE">
        <w:t xml:space="preserve">. </w:t>
      </w:r>
    </w:p>
    <w:p w14:paraId="2F5CA678" w14:textId="77777777" w:rsidR="00D808B7" w:rsidRDefault="00D23705" w:rsidP="00200FC3">
      <w:pPr>
        <w:pStyle w:val="base-text-paragraph"/>
      </w:pPr>
      <w:r w:rsidRPr="00D23705">
        <w:t>Stakeholders supported the establishment of a statutory position with powers to equip the Ombudsman to achieve genuine outcomes for small businesses</w:t>
      </w:r>
      <w:r w:rsidR="009041EE">
        <w:t xml:space="preserve">. </w:t>
      </w:r>
      <w:r w:rsidRPr="00D23705">
        <w:t>Stakeholders also supported the Ombudsman to advocate small business concerns to the Government and provide dispute resolution support.</w:t>
      </w:r>
      <w:r w:rsidR="00D808B7" w:rsidRPr="00D808B7">
        <w:t xml:space="preserve"> </w:t>
      </w:r>
    </w:p>
    <w:p w14:paraId="106B1846" w14:textId="77777777" w:rsidR="00D23705" w:rsidRPr="00213898" w:rsidRDefault="00D23705" w:rsidP="00896496">
      <w:pPr>
        <w:pStyle w:val="Heading2"/>
      </w:pPr>
      <w:r w:rsidRPr="00213898">
        <w:t>RIS Question 7: How will you implement and evaluate your chosen option?</w:t>
      </w:r>
    </w:p>
    <w:p w14:paraId="778EDE43" w14:textId="77777777" w:rsidR="00D23705" w:rsidRDefault="00D23705" w:rsidP="00C71EE9">
      <w:pPr>
        <w:pStyle w:val="Heading3"/>
      </w:pPr>
      <w:r>
        <w:t>Implementation</w:t>
      </w:r>
    </w:p>
    <w:p w14:paraId="3EF1B051" w14:textId="77777777" w:rsidR="00D808B7" w:rsidRDefault="00D23705" w:rsidP="00200FC3">
      <w:pPr>
        <w:pStyle w:val="base-text-paragraph"/>
      </w:pPr>
      <w:r w:rsidRPr="00D23705">
        <w:t>The Australian Small Business and Family Enterprise Ombudsman Bill will establish the Ombudsman role</w:t>
      </w:r>
      <w:r w:rsidR="009041EE">
        <w:t xml:space="preserve">. </w:t>
      </w:r>
      <w:r w:rsidRPr="00D23705">
        <w:t>An exposure draft of this legislation was released for public consultation between 11 March and 7 April 2015. Feedback on the exposure draft has been taken into account in finalising the Bill. The office of the Ombudsman will commence operations on proclamation of the Act. It is expected that this will take place in the second half of 2015.</w:t>
      </w:r>
      <w:r w:rsidR="00D808B7" w:rsidRPr="00D808B7">
        <w:t xml:space="preserve"> </w:t>
      </w:r>
    </w:p>
    <w:p w14:paraId="5905F68E" w14:textId="0E0119B3" w:rsidR="00D808B7" w:rsidRDefault="00D23705" w:rsidP="00200FC3">
      <w:pPr>
        <w:pStyle w:val="base-text-paragraph"/>
      </w:pPr>
      <w:r w:rsidRPr="00D23705">
        <w:t>The Office of Ombudsman will build on the existing Office of the Australian Small Business Commissioner. Sufficient accommodation (based in Canberra) is available within the existing Office of the Commissioner to provide for the expanded activities. Work has commenced on developing new branding and marketing for the new role</w:t>
      </w:r>
      <w:r w:rsidR="009041EE">
        <w:t xml:space="preserve">. </w:t>
      </w:r>
      <w:r w:rsidRPr="00D23705">
        <w:t>A communications strategy, particularly in the first year of operation, will be developed to actively engage with stakeholders to build awareness and understanding of the scope of the role. The existing Australian Small Business Commissioner Information Line, delivered through the Department of Industry and Science</w:t>
      </w:r>
      <w:r w:rsidR="009349BC">
        <w:t>’</w:t>
      </w:r>
      <w:r w:rsidRPr="00D23705">
        <w:t xml:space="preserve">s single business service will be revised to meet the requirements for the Ombudsman. </w:t>
      </w:r>
    </w:p>
    <w:p w14:paraId="54D08B56" w14:textId="72EB66E7" w:rsidR="00D808B7" w:rsidRDefault="00D23705" w:rsidP="00200FC3">
      <w:pPr>
        <w:pStyle w:val="base-text-paragraph"/>
      </w:pPr>
      <w:r w:rsidRPr="00D23705">
        <w:t>The Office of the Commissioner does not provide an ADR service. As the Ombudsman</w:t>
      </w:r>
      <w:r w:rsidR="009349BC">
        <w:t>’</w:t>
      </w:r>
      <w:r w:rsidRPr="00D23705">
        <w:t>s ADR service must be at arm</w:t>
      </w:r>
      <w:r w:rsidR="009349BC">
        <w:t>’</w:t>
      </w:r>
      <w:r w:rsidRPr="00D23705">
        <w:t>s</w:t>
      </w:r>
      <w:r w:rsidR="009349BC">
        <w:noBreakHyphen/>
      </w:r>
      <w:r w:rsidRPr="00D23705">
        <w:t xml:space="preserve">length, the office will manage a procurement process to develop an outsourced provider arrangement. This office of the Ombudsman will be able to build on the Dispute Assist tool developed by the Australian Small Business Commissioner to help small businesses identify what existing ADR providers they could approach for support. The Office will also develop </w:t>
      </w:r>
      <w:proofErr w:type="spellStart"/>
      <w:r w:rsidRPr="00D23705">
        <w:t>MoUs</w:t>
      </w:r>
      <w:proofErr w:type="spellEnd"/>
      <w:r w:rsidRPr="00D23705">
        <w:t xml:space="preserve"> with existing service providers to ensure smooth referral of matters.</w:t>
      </w:r>
      <w:r w:rsidR="00D808B7" w:rsidRPr="00D808B7">
        <w:t xml:space="preserve"> </w:t>
      </w:r>
    </w:p>
    <w:p w14:paraId="5F7E55B5" w14:textId="77777777" w:rsidR="00D23705" w:rsidRDefault="00D23705" w:rsidP="00C71EE9">
      <w:pPr>
        <w:pStyle w:val="Heading4"/>
      </w:pPr>
      <w:r>
        <w:t>Evaluation</w:t>
      </w:r>
    </w:p>
    <w:p w14:paraId="0CAAD713" w14:textId="2B187CD7" w:rsidR="00D808B7" w:rsidRDefault="00D23705" w:rsidP="00200FC3">
      <w:pPr>
        <w:pStyle w:val="base-text-paragraph"/>
      </w:pPr>
      <w:r w:rsidRPr="00D23705">
        <w:t>The Bill includes provisions for the Ombudsman</w:t>
      </w:r>
      <w:r w:rsidR="009349BC">
        <w:t>’</w:t>
      </w:r>
      <w:r w:rsidRPr="00D23705">
        <w:t>s functions to be formally reviewed at regular intervals. The review must consider:</w:t>
      </w:r>
      <w:r w:rsidR="00D808B7" w:rsidRPr="00D808B7">
        <w:t xml:space="preserve"> </w:t>
      </w:r>
    </w:p>
    <w:p w14:paraId="1109B0F9" w14:textId="77777777" w:rsidR="00D23705" w:rsidRPr="006F3456" w:rsidRDefault="00D23705" w:rsidP="006F614C">
      <w:pPr>
        <w:pStyle w:val="exampledotpoint1"/>
        <w:rPr>
          <w:szCs w:val="22"/>
        </w:rPr>
      </w:pPr>
      <w:r w:rsidRPr="006F614C">
        <w:rPr>
          <w:sz w:val="22"/>
          <w:szCs w:val="22"/>
        </w:rPr>
        <w:t>the kinds of assistance requested during the period being reviewed;</w:t>
      </w:r>
    </w:p>
    <w:p w14:paraId="3BD6F55B" w14:textId="77777777" w:rsidR="00D23705" w:rsidRPr="006F3456" w:rsidRDefault="00D23705" w:rsidP="006F614C">
      <w:pPr>
        <w:pStyle w:val="exampledotpoint1"/>
        <w:rPr>
          <w:szCs w:val="22"/>
        </w:rPr>
      </w:pPr>
      <w:r w:rsidRPr="006F614C">
        <w:rPr>
          <w:sz w:val="22"/>
          <w:szCs w:val="22"/>
        </w:rPr>
        <w:t>whether the assistance given was convenient and effective for the operators of small businesses and family enterprises who requested assistance;</w:t>
      </w:r>
    </w:p>
    <w:p w14:paraId="408F870A" w14:textId="77777777" w:rsidR="00D23705" w:rsidRPr="006F3456" w:rsidRDefault="00D23705" w:rsidP="006F614C">
      <w:pPr>
        <w:pStyle w:val="exampledotpoint1"/>
        <w:rPr>
          <w:szCs w:val="22"/>
        </w:rPr>
      </w:pPr>
      <w:r w:rsidRPr="006F614C">
        <w:rPr>
          <w:sz w:val="22"/>
          <w:szCs w:val="22"/>
        </w:rPr>
        <w:t>whether amendment of the Act is needed to more conveniently and effectively assist the operators of small businesses and family enterprises.</w:t>
      </w:r>
    </w:p>
    <w:p w14:paraId="5D3C6273" w14:textId="77777777" w:rsidR="00D808B7" w:rsidRDefault="00D23705" w:rsidP="00200FC3">
      <w:pPr>
        <w:pStyle w:val="base-text-paragraph"/>
      </w:pPr>
      <w:r w:rsidRPr="00D23705">
        <w:t>The Minister must appoint a suitably qualified person to conduct the review</w:t>
      </w:r>
      <w:r w:rsidR="009041EE">
        <w:t xml:space="preserve">. </w:t>
      </w:r>
      <w:r w:rsidRPr="00D23705">
        <w:t>This person must have sufficient independence from the Ombudsman, the Minister and the Department to conduct the review impartially.</w:t>
      </w:r>
      <w:r w:rsidR="00D808B7" w:rsidRPr="00D808B7">
        <w:t xml:space="preserve"> </w:t>
      </w:r>
    </w:p>
    <w:p w14:paraId="7099AB1E" w14:textId="77777777" w:rsidR="00241F66" w:rsidRDefault="00D23705" w:rsidP="00200FC3">
      <w:pPr>
        <w:pStyle w:val="base-text-paragraph"/>
        <w:sectPr w:rsidR="00241F66" w:rsidSect="002444C0">
          <w:headerReference w:type="first" r:id="rId74"/>
          <w:footerReference w:type="first" r:id="rId75"/>
          <w:pgSz w:w="11906" w:h="16838" w:code="9"/>
          <w:pgMar w:top="2466" w:right="2098" w:bottom="2466" w:left="2098" w:header="1559" w:footer="1899" w:gutter="0"/>
          <w:cols w:space="708"/>
          <w:titlePg/>
          <w:docGrid w:linePitch="360"/>
        </w:sectPr>
      </w:pPr>
      <w:r w:rsidRPr="00D23705">
        <w:t>The Bill states that the first review must be completed, and a written report given to the Minister, no later than 30 June 2017. Subsequent reviews must be conducted every four years. A copy of the review must be tabled in Parliament.</w:t>
      </w:r>
      <w:r w:rsidR="00D808B7" w:rsidRPr="00D808B7">
        <w:t xml:space="preserve"> </w:t>
      </w:r>
    </w:p>
    <w:p w14:paraId="524699D4" w14:textId="77777777" w:rsidR="00D23705" w:rsidRDefault="004319CF" w:rsidP="003F092F">
      <w:pPr>
        <w:pStyle w:val="Heading2"/>
        <w:spacing w:before="240"/>
      </w:pPr>
      <w:r>
        <w:t>Appendix A</w:t>
      </w:r>
    </w:p>
    <w:p w14:paraId="7988447C" w14:textId="77777777" w:rsidR="004319CF" w:rsidRDefault="004319CF" w:rsidP="00C71EE9">
      <w:pPr>
        <w:pStyle w:val="Heading3"/>
      </w:pPr>
      <w:r>
        <w:t>Consultation on April 2014 Small Business and Family Enterprise Ombudsman Discussion Paper</w:t>
      </w:r>
    </w:p>
    <w:p w14:paraId="7BB84D84" w14:textId="77777777" w:rsidR="004319CF" w:rsidRDefault="00213898" w:rsidP="009015C5">
      <w:pPr>
        <w:pStyle w:val="TableHeadingoutsidetable"/>
        <w:ind w:left="0"/>
      </w:pPr>
      <w:r>
        <w:t xml:space="preserve">: </w:t>
      </w:r>
      <w:r w:rsidR="004319CF">
        <w:t>Organisations which provided a submission</w:t>
      </w:r>
    </w:p>
    <w:tbl>
      <w:tblPr>
        <w:tblW w:w="0" w:type="auto"/>
        <w:tblInd w:w="108" w:type="dxa"/>
        <w:tblLook w:val="04A0" w:firstRow="1" w:lastRow="0" w:firstColumn="1" w:lastColumn="0" w:noHBand="0" w:noVBand="1"/>
      </w:tblPr>
      <w:tblGrid>
        <w:gridCol w:w="7713"/>
      </w:tblGrid>
      <w:tr w:rsidR="004319CF" w:rsidRPr="000909C9" w14:paraId="7C07E3F7" w14:textId="77777777" w:rsidTr="003F092F">
        <w:trPr>
          <w:trHeight w:val="300"/>
        </w:trPr>
        <w:tc>
          <w:tcPr>
            <w:tcW w:w="7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2C68C" w14:textId="77777777" w:rsidR="004319CF" w:rsidRPr="000909C9" w:rsidRDefault="004319CF" w:rsidP="004319CF">
            <w:pPr>
              <w:pStyle w:val="tabletext"/>
            </w:pPr>
            <w:r w:rsidRPr="000909C9">
              <w:t>Accord Group</w:t>
            </w:r>
          </w:p>
        </w:tc>
      </w:tr>
      <w:tr w:rsidR="004319CF" w:rsidRPr="000909C9" w14:paraId="775739DE" w14:textId="77777777" w:rsidTr="003F092F">
        <w:trPr>
          <w:trHeight w:val="272"/>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55C16547" w14:textId="77777777" w:rsidR="004319CF" w:rsidRPr="000909C9" w:rsidRDefault="004319CF" w:rsidP="004319CF">
            <w:pPr>
              <w:pStyle w:val="tabletext"/>
            </w:pPr>
            <w:r w:rsidRPr="000909C9">
              <w:t>Australasian Association of Convenience Stores</w:t>
            </w:r>
          </w:p>
        </w:tc>
      </w:tr>
      <w:tr w:rsidR="004319CF" w:rsidRPr="000909C9" w14:paraId="78D5CFAA"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6853FB1F" w14:textId="77777777" w:rsidR="004319CF" w:rsidRPr="000909C9" w:rsidRDefault="004319CF" w:rsidP="004319CF">
            <w:pPr>
              <w:pStyle w:val="tabletext"/>
            </w:pPr>
            <w:r w:rsidRPr="000909C9">
              <w:t>Australia Marketing Pty Ltd</w:t>
            </w:r>
          </w:p>
        </w:tc>
      </w:tr>
      <w:tr w:rsidR="004319CF" w:rsidRPr="000909C9" w14:paraId="59C2C04E" w14:textId="77777777" w:rsidTr="003F092F">
        <w:trPr>
          <w:trHeight w:val="299"/>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3D8CB32E" w14:textId="77777777" w:rsidR="004319CF" w:rsidRPr="000909C9" w:rsidRDefault="004319CF" w:rsidP="004319CF">
            <w:pPr>
              <w:pStyle w:val="tabletext"/>
            </w:pPr>
            <w:r w:rsidRPr="000909C9">
              <w:t>Australian and New Zealand Ombudsman Association</w:t>
            </w:r>
          </w:p>
        </w:tc>
      </w:tr>
      <w:tr w:rsidR="004319CF" w:rsidRPr="000909C9" w14:paraId="198CCD3D"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1F584CF3" w14:textId="77777777" w:rsidR="004319CF" w:rsidRPr="000909C9" w:rsidRDefault="004319CF" w:rsidP="004319CF">
            <w:pPr>
              <w:pStyle w:val="tabletext"/>
            </w:pPr>
            <w:r w:rsidRPr="000909C9">
              <w:t>Australian Automotive Dealer Association</w:t>
            </w:r>
          </w:p>
        </w:tc>
      </w:tr>
      <w:tr w:rsidR="004319CF" w:rsidRPr="000909C9" w14:paraId="25F86DFC"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49AA5129" w14:textId="15076AB0" w:rsidR="004319CF" w:rsidRPr="000909C9" w:rsidRDefault="004319CF" w:rsidP="004319CF">
            <w:pPr>
              <w:pStyle w:val="tabletext"/>
            </w:pPr>
            <w:r w:rsidRPr="000909C9">
              <w:t>Australian Bankers</w:t>
            </w:r>
            <w:r w:rsidR="009349BC">
              <w:t>’</w:t>
            </w:r>
            <w:r w:rsidRPr="000909C9">
              <w:t xml:space="preserve"> Association Inc.</w:t>
            </w:r>
          </w:p>
        </w:tc>
      </w:tr>
      <w:tr w:rsidR="004319CF" w:rsidRPr="000909C9" w14:paraId="06EF5835" w14:textId="77777777" w:rsidTr="003F092F">
        <w:trPr>
          <w:trHeight w:val="287"/>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46A01917" w14:textId="77777777" w:rsidR="004319CF" w:rsidRPr="000909C9" w:rsidRDefault="004319CF" w:rsidP="004319CF">
            <w:pPr>
              <w:pStyle w:val="tabletext"/>
            </w:pPr>
            <w:r w:rsidRPr="000909C9">
              <w:t>Australian Chamber of Commerce and Industry</w:t>
            </w:r>
          </w:p>
        </w:tc>
      </w:tr>
      <w:tr w:rsidR="004319CF" w:rsidRPr="000909C9" w14:paraId="4FD62440" w14:textId="77777777" w:rsidTr="003F092F">
        <w:trPr>
          <w:trHeight w:val="337"/>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27179C5B" w14:textId="77777777" w:rsidR="004319CF" w:rsidRPr="000909C9" w:rsidRDefault="004319CF" w:rsidP="004319CF">
            <w:pPr>
              <w:pStyle w:val="tabletext"/>
            </w:pPr>
            <w:r w:rsidRPr="000909C9">
              <w:t>Australian Chamber of Fruit and Vegetable Industries Limited</w:t>
            </w:r>
          </w:p>
        </w:tc>
      </w:tr>
      <w:tr w:rsidR="004319CF" w:rsidRPr="000909C9" w14:paraId="6DB8D23C"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6539993E" w14:textId="77777777" w:rsidR="004319CF" w:rsidRPr="000909C9" w:rsidRDefault="004319CF" w:rsidP="004319CF">
            <w:pPr>
              <w:pStyle w:val="tabletext"/>
            </w:pPr>
            <w:r w:rsidRPr="000909C9">
              <w:t>Australian Finance Conference</w:t>
            </w:r>
          </w:p>
        </w:tc>
      </w:tr>
      <w:tr w:rsidR="004319CF" w:rsidRPr="000909C9" w14:paraId="7D6C1397"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66664B85" w14:textId="77777777" w:rsidR="004319CF" w:rsidRPr="000909C9" w:rsidRDefault="004319CF" w:rsidP="004319CF">
            <w:pPr>
              <w:pStyle w:val="tabletext"/>
            </w:pPr>
            <w:r w:rsidRPr="000909C9">
              <w:t>Australian Motor Industry Federation</w:t>
            </w:r>
          </w:p>
        </w:tc>
      </w:tr>
      <w:tr w:rsidR="004319CF" w:rsidRPr="000909C9" w14:paraId="316F5D22"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363885BC" w14:textId="5AC40C2F" w:rsidR="004319CF" w:rsidRPr="000909C9" w:rsidRDefault="004319CF" w:rsidP="004319CF">
            <w:pPr>
              <w:pStyle w:val="tabletext"/>
            </w:pPr>
            <w:r w:rsidRPr="000909C9">
              <w:t>Australian Newsagents</w:t>
            </w:r>
            <w:r w:rsidR="009349BC">
              <w:t>’</w:t>
            </w:r>
            <w:r w:rsidRPr="000909C9">
              <w:t xml:space="preserve"> Federation</w:t>
            </w:r>
          </w:p>
        </w:tc>
      </w:tr>
      <w:tr w:rsidR="004319CF" w:rsidRPr="000909C9" w14:paraId="01B2E59D"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1854A10B" w14:textId="77777777" w:rsidR="004319CF" w:rsidRPr="000909C9" w:rsidRDefault="004319CF" w:rsidP="004319CF">
            <w:pPr>
              <w:pStyle w:val="tabletext"/>
            </w:pPr>
            <w:r w:rsidRPr="000909C9">
              <w:t>Australian Sporting Goods Association Inc.</w:t>
            </w:r>
          </w:p>
        </w:tc>
      </w:tr>
      <w:tr w:rsidR="004319CF" w:rsidRPr="000909C9" w14:paraId="186CD4CC"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471F5781" w14:textId="77777777" w:rsidR="004319CF" w:rsidRPr="000909C9" w:rsidRDefault="004319CF" w:rsidP="004319CF">
            <w:pPr>
              <w:pStyle w:val="tabletext"/>
            </w:pPr>
            <w:r w:rsidRPr="000909C9">
              <w:t>Business Enterprise Centres of Australia</w:t>
            </w:r>
          </w:p>
        </w:tc>
      </w:tr>
      <w:tr w:rsidR="004319CF" w:rsidRPr="000909C9" w14:paraId="199C7F52"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222C53ED" w14:textId="77777777" w:rsidR="004319CF" w:rsidRPr="000909C9" w:rsidRDefault="004319CF" w:rsidP="004319CF">
            <w:pPr>
              <w:pStyle w:val="tabletext"/>
            </w:pPr>
            <w:r w:rsidRPr="000909C9">
              <w:t>Business SA</w:t>
            </w:r>
          </w:p>
        </w:tc>
      </w:tr>
      <w:tr w:rsidR="004319CF" w:rsidRPr="000909C9" w14:paraId="104D1784"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23CD2690" w14:textId="77777777" w:rsidR="004319CF" w:rsidRPr="000909C9" w:rsidRDefault="004319CF" w:rsidP="004319CF">
            <w:pPr>
              <w:pStyle w:val="tabletext"/>
            </w:pPr>
            <w:r w:rsidRPr="000909C9">
              <w:t xml:space="preserve">Combined Small Business Alliance of WA </w:t>
            </w:r>
          </w:p>
        </w:tc>
      </w:tr>
      <w:tr w:rsidR="004319CF" w:rsidRPr="000909C9" w14:paraId="277A4DF6"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788BD514" w14:textId="77777777" w:rsidR="004319CF" w:rsidRPr="000909C9" w:rsidRDefault="004319CF" w:rsidP="004319CF">
            <w:pPr>
              <w:pStyle w:val="tabletext"/>
            </w:pPr>
            <w:r w:rsidRPr="000909C9">
              <w:t>Commonwealth Ombudsman</w:t>
            </w:r>
          </w:p>
        </w:tc>
      </w:tr>
      <w:tr w:rsidR="004319CF" w:rsidRPr="000909C9" w14:paraId="19BAB81A"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1A0DAD36" w14:textId="77777777" w:rsidR="004319CF" w:rsidRPr="000909C9" w:rsidRDefault="004319CF" w:rsidP="004319CF">
            <w:pPr>
              <w:pStyle w:val="tabletext"/>
            </w:pPr>
            <w:r w:rsidRPr="000909C9">
              <w:t>Council of Small Business of Australia</w:t>
            </w:r>
          </w:p>
        </w:tc>
      </w:tr>
      <w:tr w:rsidR="004319CF" w:rsidRPr="000909C9" w14:paraId="3DDD8C86"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2B357BDD" w14:textId="77777777" w:rsidR="004319CF" w:rsidRPr="000909C9" w:rsidRDefault="004319CF" w:rsidP="004319CF">
            <w:pPr>
              <w:pStyle w:val="tabletext"/>
            </w:pPr>
            <w:r w:rsidRPr="000909C9">
              <w:t>CPA Australia</w:t>
            </w:r>
          </w:p>
        </w:tc>
      </w:tr>
      <w:tr w:rsidR="004319CF" w:rsidRPr="000909C9" w14:paraId="727A8DD0"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7764D634" w14:textId="77777777" w:rsidR="004319CF" w:rsidRPr="000909C9" w:rsidRDefault="004319CF" w:rsidP="004319CF">
            <w:pPr>
              <w:pStyle w:val="tabletext"/>
            </w:pPr>
            <w:r w:rsidRPr="000909C9">
              <w:t>Dwyer Lawyers</w:t>
            </w:r>
          </w:p>
        </w:tc>
      </w:tr>
      <w:tr w:rsidR="004319CF" w:rsidRPr="000909C9" w14:paraId="137CF7E8"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629F473E" w14:textId="77777777" w:rsidR="004319CF" w:rsidRPr="000909C9" w:rsidRDefault="004319CF" w:rsidP="004319CF">
            <w:pPr>
              <w:pStyle w:val="tabletext"/>
            </w:pPr>
            <w:r w:rsidRPr="000909C9">
              <w:t>Energy and Water Ombudsman (Victoria)</w:t>
            </w:r>
          </w:p>
        </w:tc>
      </w:tr>
      <w:tr w:rsidR="004319CF" w:rsidRPr="000909C9" w14:paraId="62624D6D"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3C3F45B7" w14:textId="77777777" w:rsidR="004319CF" w:rsidRPr="000909C9" w:rsidRDefault="004319CF" w:rsidP="004319CF">
            <w:pPr>
              <w:pStyle w:val="tabletext"/>
            </w:pPr>
            <w:r w:rsidRPr="000909C9">
              <w:t>Financial Ombudsman Service</w:t>
            </w:r>
          </w:p>
        </w:tc>
      </w:tr>
      <w:tr w:rsidR="004319CF" w:rsidRPr="000909C9" w14:paraId="13620CB1"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70414787" w14:textId="77777777" w:rsidR="004319CF" w:rsidRPr="000909C9" w:rsidRDefault="004319CF" w:rsidP="004319CF">
            <w:pPr>
              <w:pStyle w:val="tabletext"/>
            </w:pPr>
            <w:r w:rsidRPr="000909C9">
              <w:t>Franchise Council of Australia</w:t>
            </w:r>
          </w:p>
        </w:tc>
      </w:tr>
      <w:tr w:rsidR="004319CF" w:rsidRPr="000909C9" w14:paraId="5C1369CE"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338DA583" w14:textId="77777777" w:rsidR="004319CF" w:rsidRPr="000909C9" w:rsidRDefault="004319CF" w:rsidP="004319CF">
            <w:pPr>
              <w:pStyle w:val="tabletext"/>
            </w:pPr>
            <w:proofErr w:type="spellStart"/>
            <w:r w:rsidRPr="000909C9">
              <w:t>Franchwise</w:t>
            </w:r>
            <w:proofErr w:type="spellEnd"/>
          </w:p>
        </w:tc>
      </w:tr>
      <w:tr w:rsidR="004319CF" w:rsidRPr="000909C9" w14:paraId="70936B11"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6FCEEE28" w14:textId="77777777" w:rsidR="004319CF" w:rsidRPr="000909C9" w:rsidRDefault="004319CF" w:rsidP="004319CF">
            <w:pPr>
              <w:pStyle w:val="tabletext"/>
            </w:pPr>
            <w:r w:rsidRPr="000909C9">
              <w:t>Housing Industry Association</w:t>
            </w:r>
          </w:p>
        </w:tc>
      </w:tr>
      <w:tr w:rsidR="004319CF" w:rsidRPr="000909C9" w14:paraId="4992A4AA"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627F52A6" w14:textId="77777777" w:rsidR="004319CF" w:rsidRPr="000909C9" w:rsidRDefault="004319CF" w:rsidP="004319CF">
            <w:pPr>
              <w:pStyle w:val="tabletext"/>
            </w:pPr>
            <w:r w:rsidRPr="000909C9">
              <w:t>Independent Contractors Australia</w:t>
            </w:r>
          </w:p>
        </w:tc>
      </w:tr>
      <w:tr w:rsidR="004319CF" w:rsidRPr="000909C9" w14:paraId="0968237A"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19C3D8FD" w14:textId="77777777" w:rsidR="004319CF" w:rsidRPr="000909C9" w:rsidRDefault="004319CF" w:rsidP="004319CF">
            <w:pPr>
              <w:pStyle w:val="tabletext"/>
            </w:pPr>
            <w:r w:rsidRPr="000909C9">
              <w:t>Institute of Public Accountants</w:t>
            </w:r>
          </w:p>
        </w:tc>
      </w:tr>
      <w:tr w:rsidR="004319CF" w:rsidRPr="000909C9" w14:paraId="6FEA320C"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7B25B052" w14:textId="77777777" w:rsidR="004319CF" w:rsidRPr="000909C9" w:rsidRDefault="004319CF" w:rsidP="004319CF">
            <w:pPr>
              <w:pStyle w:val="tabletext"/>
            </w:pPr>
            <w:r w:rsidRPr="000909C9">
              <w:t>Insurance Council of Australia</w:t>
            </w:r>
          </w:p>
        </w:tc>
      </w:tr>
      <w:tr w:rsidR="004319CF" w:rsidRPr="000909C9" w14:paraId="32E9A2D7"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068EE4BC" w14:textId="77777777" w:rsidR="004319CF" w:rsidRPr="000909C9" w:rsidRDefault="004319CF" w:rsidP="004319CF">
            <w:pPr>
              <w:pStyle w:val="tabletext"/>
            </w:pPr>
            <w:r w:rsidRPr="000909C9">
              <w:t>International Ombudsman Institute</w:t>
            </w:r>
          </w:p>
        </w:tc>
      </w:tr>
      <w:tr w:rsidR="004319CF" w:rsidRPr="000909C9" w14:paraId="7D9C660B"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4818E1D4" w14:textId="77777777" w:rsidR="004319CF" w:rsidRPr="000909C9" w:rsidRDefault="004319CF" w:rsidP="004319CF">
            <w:pPr>
              <w:pStyle w:val="tabletext"/>
            </w:pPr>
            <w:r w:rsidRPr="000909C9">
              <w:t>Intuit Inc.</w:t>
            </w:r>
          </w:p>
        </w:tc>
      </w:tr>
    </w:tbl>
    <w:p w14:paraId="73C928F0" w14:textId="6F1EF1D2" w:rsidR="00EF15B6" w:rsidRPr="00EF15B6" w:rsidRDefault="00EF15B6" w:rsidP="00EF15B6">
      <w:pPr>
        <w:spacing w:before="0" w:after="0"/>
        <w:rPr>
          <w:sz w:val="4"/>
          <w:szCs w:val="4"/>
        </w:rPr>
      </w:pPr>
      <w:r w:rsidRPr="00EF15B6">
        <w:rPr>
          <w:sz w:val="4"/>
          <w:szCs w:val="4"/>
        </w:rPr>
        <w:br w:type="page"/>
      </w:r>
    </w:p>
    <w:p w14:paraId="1EAD082A" w14:textId="23705359" w:rsidR="00EF15B6" w:rsidRDefault="00EF15B6" w:rsidP="00EF15B6">
      <w:pPr>
        <w:pStyle w:val="TableHeadingoutsidetable"/>
        <w:numPr>
          <w:ilvl w:val="4"/>
          <w:numId w:val="44"/>
        </w:numPr>
        <w:ind w:left="0"/>
      </w:pPr>
      <w:r>
        <w:t>: Organisations which provided a submission (continued)</w:t>
      </w:r>
    </w:p>
    <w:tbl>
      <w:tblPr>
        <w:tblW w:w="0" w:type="auto"/>
        <w:tblInd w:w="108" w:type="dxa"/>
        <w:tblLook w:val="04A0" w:firstRow="1" w:lastRow="0" w:firstColumn="1" w:lastColumn="0" w:noHBand="0" w:noVBand="1"/>
      </w:tblPr>
      <w:tblGrid>
        <w:gridCol w:w="7713"/>
      </w:tblGrid>
      <w:tr w:rsidR="004319CF" w:rsidRPr="000909C9" w14:paraId="4A369BF4" w14:textId="77777777" w:rsidTr="003F092F">
        <w:trPr>
          <w:trHeight w:val="300"/>
        </w:trPr>
        <w:tc>
          <w:tcPr>
            <w:tcW w:w="7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3A0A4" w14:textId="29EFE8F8" w:rsidR="004319CF" w:rsidRPr="000909C9" w:rsidRDefault="004319CF" w:rsidP="004319CF">
            <w:pPr>
              <w:pStyle w:val="tabletext"/>
            </w:pPr>
            <w:r w:rsidRPr="000909C9">
              <w:t>Law Council of Australia</w:t>
            </w:r>
          </w:p>
        </w:tc>
      </w:tr>
      <w:tr w:rsidR="004319CF" w:rsidRPr="000909C9" w14:paraId="0C45B38C" w14:textId="77777777" w:rsidTr="003F092F">
        <w:trPr>
          <w:trHeight w:val="300"/>
        </w:trPr>
        <w:tc>
          <w:tcPr>
            <w:tcW w:w="7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9BA88" w14:textId="77777777" w:rsidR="004319CF" w:rsidRPr="000909C9" w:rsidRDefault="004319CF" w:rsidP="004319CF">
            <w:pPr>
              <w:pStyle w:val="tabletext"/>
            </w:pPr>
            <w:r w:rsidRPr="000909C9">
              <w:t>Law Society of New South Wales</w:t>
            </w:r>
          </w:p>
        </w:tc>
      </w:tr>
      <w:tr w:rsidR="004319CF" w:rsidRPr="000909C9" w14:paraId="1DD355D8"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6905C7EA" w14:textId="77777777" w:rsidR="004319CF" w:rsidRPr="000909C9" w:rsidRDefault="004319CF" w:rsidP="004319CF">
            <w:pPr>
              <w:pStyle w:val="tabletext"/>
            </w:pPr>
            <w:r w:rsidRPr="000909C9">
              <w:t>LEADR</w:t>
            </w:r>
          </w:p>
        </w:tc>
      </w:tr>
      <w:tr w:rsidR="004319CF" w:rsidRPr="000909C9" w14:paraId="08C4A892"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4F910048" w14:textId="77777777" w:rsidR="004319CF" w:rsidRPr="000909C9" w:rsidRDefault="004319CF" w:rsidP="004319CF">
            <w:pPr>
              <w:pStyle w:val="tabletext"/>
            </w:pPr>
            <w:proofErr w:type="spellStart"/>
            <w:r w:rsidRPr="000909C9">
              <w:t>Mazzarol</w:t>
            </w:r>
            <w:proofErr w:type="spellEnd"/>
            <w:r w:rsidRPr="000909C9">
              <w:t>, Professor Tim</w:t>
            </w:r>
          </w:p>
        </w:tc>
      </w:tr>
      <w:tr w:rsidR="004319CF" w:rsidRPr="000909C9" w14:paraId="0254CE6C"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7B83976B" w14:textId="59AC46F2" w:rsidR="004319CF" w:rsidRPr="000909C9" w:rsidRDefault="004319CF" w:rsidP="004319CF">
            <w:pPr>
              <w:pStyle w:val="tabletext"/>
            </w:pPr>
            <w:r w:rsidRPr="000909C9">
              <w:t>National Farmers</w:t>
            </w:r>
            <w:r w:rsidR="009349BC">
              <w:t>’</w:t>
            </w:r>
            <w:r w:rsidRPr="000909C9">
              <w:t xml:space="preserve"> Federation</w:t>
            </w:r>
          </w:p>
        </w:tc>
      </w:tr>
      <w:tr w:rsidR="004319CF" w:rsidRPr="000909C9" w14:paraId="628D1C64"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0A7FC3F4" w14:textId="77777777" w:rsidR="004319CF" w:rsidRPr="000909C9" w:rsidRDefault="004319CF" w:rsidP="004319CF">
            <w:pPr>
              <w:pStyle w:val="tabletext"/>
            </w:pPr>
            <w:proofErr w:type="spellStart"/>
            <w:r w:rsidRPr="000909C9">
              <w:t>Negocio</w:t>
            </w:r>
            <w:proofErr w:type="spellEnd"/>
            <w:r w:rsidRPr="000909C9">
              <w:t xml:space="preserve"> Resolutions</w:t>
            </w:r>
          </w:p>
        </w:tc>
      </w:tr>
      <w:tr w:rsidR="004319CF" w:rsidRPr="000909C9" w14:paraId="0B2521DC"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5A87145D" w14:textId="77777777" w:rsidR="004319CF" w:rsidRPr="000909C9" w:rsidRDefault="004319CF" w:rsidP="004319CF">
            <w:pPr>
              <w:pStyle w:val="tabletext"/>
            </w:pPr>
            <w:r w:rsidRPr="000909C9">
              <w:t>News Corp Australia</w:t>
            </w:r>
          </w:p>
        </w:tc>
      </w:tr>
      <w:tr w:rsidR="004319CF" w:rsidRPr="000909C9" w14:paraId="099F0DFB"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2A90A1E1" w14:textId="77777777" w:rsidR="004319CF" w:rsidRPr="000909C9" w:rsidRDefault="004319CF" w:rsidP="004319CF">
            <w:pPr>
              <w:pStyle w:val="tabletext"/>
            </w:pPr>
            <w:r w:rsidRPr="000909C9">
              <w:t>NSW Business Chamber</w:t>
            </w:r>
          </w:p>
        </w:tc>
      </w:tr>
      <w:tr w:rsidR="004319CF" w:rsidRPr="000909C9" w14:paraId="23B2F3F4"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35E81679" w14:textId="77777777" w:rsidR="004319CF" w:rsidRPr="000909C9" w:rsidRDefault="004319CF" w:rsidP="004319CF">
            <w:pPr>
              <w:pStyle w:val="tabletext"/>
            </w:pPr>
            <w:r w:rsidRPr="000909C9">
              <w:t>NSW Small Business Commissioner</w:t>
            </w:r>
          </w:p>
        </w:tc>
      </w:tr>
      <w:tr w:rsidR="004319CF" w:rsidRPr="000909C9" w14:paraId="41860693"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2345A2DF" w14:textId="77777777" w:rsidR="004319CF" w:rsidRPr="000909C9" w:rsidRDefault="004319CF" w:rsidP="004319CF">
            <w:pPr>
              <w:pStyle w:val="tabletext"/>
            </w:pPr>
            <w:r w:rsidRPr="000909C9">
              <w:t>Pallet Loss Prevention Pty Ltd</w:t>
            </w:r>
          </w:p>
        </w:tc>
      </w:tr>
      <w:tr w:rsidR="004319CF" w:rsidRPr="000909C9" w14:paraId="0271B378"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4DB70CC5" w14:textId="77777777" w:rsidR="004319CF" w:rsidRPr="000909C9" w:rsidRDefault="004319CF" w:rsidP="004319CF">
            <w:pPr>
              <w:pStyle w:val="tabletext"/>
            </w:pPr>
            <w:r w:rsidRPr="000909C9">
              <w:t>Public Transport Ombudsman</w:t>
            </w:r>
          </w:p>
        </w:tc>
      </w:tr>
      <w:tr w:rsidR="004319CF" w:rsidRPr="000909C9" w14:paraId="69ECA11F"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5EFEA429" w14:textId="77777777" w:rsidR="004319CF" w:rsidRPr="000909C9" w:rsidRDefault="004319CF" w:rsidP="004319CF">
            <w:pPr>
              <w:pStyle w:val="tabletext"/>
            </w:pPr>
            <w:r w:rsidRPr="000909C9">
              <w:t>RD Williams Pty Ltd</w:t>
            </w:r>
          </w:p>
        </w:tc>
      </w:tr>
      <w:tr w:rsidR="004319CF" w:rsidRPr="000909C9" w14:paraId="076E71CB" w14:textId="77777777" w:rsidTr="003F092F">
        <w:trPr>
          <w:trHeight w:val="368"/>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35EE0624" w14:textId="77777777" w:rsidR="004319CF" w:rsidRPr="000909C9" w:rsidRDefault="004319CF" w:rsidP="004319CF">
            <w:pPr>
              <w:pStyle w:val="tabletext"/>
            </w:pPr>
            <w:r w:rsidRPr="000909C9">
              <w:t>Restaurant &amp; Catering Industry Association</w:t>
            </w:r>
          </w:p>
        </w:tc>
      </w:tr>
      <w:tr w:rsidR="004319CF" w:rsidRPr="000909C9" w14:paraId="0C277348"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33101CA3" w14:textId="77777777" w:rsidR="004319CF" w:rsidRPr="000909C9" w:rsidRDefault="004319CF" w:rsidP="004319CF">
            <w:pPr>
              <w:pStyle w:val="tabletext"/>
            </w:pPr>
            <w:r w:rsidRPr="000909C9">
              <w:t>Small Business Association of Australia</w:t>
            </w:r>
          </w:p>
        </w:tc>
      </w:tr>
      <w:tr w:rsidR="004319CF" w:rsidRPr="000909C9" w14:paraId="69047689" w14:textId="77777777" w:rsidTr="003F092F">
        <w:trPr>
          <w:trHeight w:val="251"/>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607E515E" w14:textId="77777777" w:rsidR="004319CF" w:rsidRPr="000909C9" w:rsidRDefault="004319CF" w:rsidP="004319CF">
            <w:pPr>
              <w:pStyle w:val="tabletext"/>
            </w:pPr>
            <w:r w:rsidRPr="000909C9">
              <w:t>South Australian Small Business Commissioner</w:t>
            </w:r>
          </w:p>
        </w:tc>
      </w:tr>
      <w:tr w:rsidR="004319CF" w:rsidRPr="000909C9" w14:paraId="3876653C" w14:textId="77777777" w:rsidTr="003F092F">
        <w:trPr>
          <w:trHeight w:val="271"/>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6B445B7B" w14:textId="77777777" w:rsidR="004319CF" w:rsidRPr="000909C9" w:rsidRDefault="004319CF" w:rsidP="004319CF">
            <w:pPr>
              <w:pStyle w:val="tabletext"/>
            </w:pPr>
            <w:r w:rsidRPr="000909C9">
              <w:t>Tasmanian Department of State Growth (formerly Department of Economic Development, Tourism and Arts)</w:t>
            </w:r>
          </w:p>
        </w:tc>
      </w:tr>
      <w:tr w:rsidR="004319CF" w:rsidRPr="000909C9" w14:paraId="48ACE513"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311689B0" w14:textId="77777777" w:rsidR="004319CF" w:rsidRPr="000909C9" w:rsidRDefault="004319CF" w:rsidP="004319CF">
            <w:pPr>
              <w:pStyle w:val="tabletext"/>
            </w:pPr>
            <w:r w:rsidRPr="000909C9">
              <w:t>Telecommunications Industry Ombudsman</w:t>
            </w:r>
          </w:p>
        </w:tc>
      </w:tr>
      <w:tr w:rsidR="004319CF" w:rsidRPr="000909C9" w14:paraId="56E2A19F"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2BDCF653" w14:textId="77777777" w:rsidR="004319CF" w:rsidRPr="000909C9" w:rsidRDefault="004319CF" w:rsidP="004319CF">
            <w:pPr>
              <w:pStyle w:val="tabletext"/>
            </w:pPr>
            <w:r w:rsidRPr="000909C9">
              <w:t>Tolling Customer Ombudsman</w:t>
            </w:r>
          </w:p>
        </w:tc>
      </w:tr>
      <w:tr w:rsidR="004319CF" w:rsidRPr="000909C9" w14:paraId="12F1D09A" w14:textId="77777777" w:rsidTr="003F092F">
        <w:trPr>
          <w:trHeight w:val="369"/>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4F5F37F0" w14:textId="77777777" w:rsidR="004319CF" w:rsidRPr="000909C9" w:rsidRDefault="004319CF" w:rsidP="004319CF">
            <w:pPr>
              <w:pStyle w:val="tabletext"/>
            </w:pPr>
            <w:r w:rsidRPr="000909C9">
              <w:t>Victorian Department of State Development, Business and Innovation</w:t>
            </w:r>
          </w:p>
        </w:tc>
      </w:tr>
      <w:tr w:rsidR="004319CF" w:rsidRPr="000909C9" w14:paraId="5C4F24B3"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61DC5253" w14:textId="77777777" w:rsidR="004319CF" w:rsidRPr="000909C9" w:rsidRDefault="004319CF" w:rsidP="004319CF">
            <w:pPr>
              <w:pStyle w:val="tabletext"/>
            </w:pPr>
            <w:r w:rsidRPr="000909C9">
              <w:t>Victorian Ombudsman</w:t>
            </w:r>
          </w:p>
        </w:tc>
      </w:tr>
      <w:tr w:rsidR="004319CF" w:rsidRPr="000909C9" w14:paraId="218602EC" w14:textId="77777777" w:rsidTr="003F092F">
        <w:trPr>
          <w:trHeight w:val="300"/>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633FCC1B" w14:textId="77777777" w:rsidR="004319CF" w:rsidRPr="000909C9" w:rsidRDefault="004319CF" w:rsidP="004319CF">
            <w:pPr>
              <w:pStyle w:val="tabletext"/>
            </w:pPr>
            <w:r w:rsidRPr="000909C9">
              <w:t>Victorian Small Business Commissioner</w:t>
            </w:r>
          </w:p>
        </w:tc>
      </w:tr>
      <w:tr w:rsidR="004319CF" w:rsidRPr="000909C9" w14:paraId="62CA6E59" w14:textId="77777777" w:rsidTr="003F092F">
        <w:trPr>
          <w:trHeight w:val="215"/>
        </w:trPr>
        <w:tc>
          <w:tcPr>
            <w:tcW w:w="7713" w:type="dxa"/>
            <w:tcBorders>
              <w:top w:val="nil"/>
              <w:left w:val="single" w:sz="4" w:space="0" w:color="auto"/>
              <w:bottom w:val="single" w:sz="4" w:space="0" w:color="auto"/>
              <w:right w:val="single" w:sz="4" w:space="0" w:color="auto"/>
            </w:tcBorders>
            <w:shd w:val="clear" w:color="auto" w:fill="auto"/>
            <w:vAlign w:val="center"/>
            <w:hideMark/>
          </w:tcPr>
          <w:p w14:paraId="2D2AECC8" w14:textId="77777777" w:rsidR="004319CF" w:rsidRPr="000909C9" w:rsidRDefault="004319CF" w:rsidP="004319CF">
            <w:pPr>
              <w:pStyle w:val="tabletext"/>
            </w:pPr>
            <w:r w:rsidRPr="000909C9">
              <w:t>WA Small Business Development Corporation</w:t>
            </w:r>
          </w:p>
        </w:tc>
      </w:tr>
    </w:tbl>
    <w:p w14:paraId="0AF8474B" w14:textId="77777777" w:rsidR="004319CF" w:rsidRDefault="00213898" w:rsidP="00EF15B6">
      <w:pPr>
        <w:pStyle w:val="TableHeadingoutsidetable"/>
        <w:spacing w:before="240"/>
        <w:ind w:left="0"/>
      </w:pPr>
      <w:r>
        <w:t xml:space="preserve">: </w:t>
      </w:r>
      <w:r w:rsidR="004319CF">
        <w:t>Organisations which participated in targeted meetings</w:t>
      </w:r>
    </w:p>
    <w:tbl>
      <w:tblPr>
        <w:tblStyle w:val="TableGrid"/>
        <w:tblW w:w="4866" w:type="pct"/>
        <w:tblInd w:w="108" w:type="dxa"/>
        <w:shd w:val="clear" w:color="auto" w:fill="FFFFFF" w:themeFill="background1"/>
        <w:tblLook w:val="04A0" w:firstRow="1" w:lastRow="0" w:firstColumn="1" w:lastColumn="0" w:noHBand="0" w:noVBand="1"/>
      </w:tblPr>
      <w:tblGrid>
        <w:gridCol w:w="7714"/>
      </w:tblGrid>
      <w:tr w:rsidR="004319CF" w:rsidRPr="00BE63FD" w14:paraId="633FD518" w14:textId="77777777" w:rsidTr="003F092F">
        <w:trPr>
          <w:trHeight w:val="150"/>
        </w:trPr>
        <w:tc>
          <w:tcPr>
            <w:tcW w:w="5000" w:type="pct"/>
            <w:shd w:val="clear" w:color="auto" w:fill="FFFFFF" w:themeFill="background1"/>
          </w:tcPr>
          <w:p w14:paraId="71D3BE7E" w14:textId="77777777" w:rsidR="004319CF" w:rsidRPr="00BE63FD" w:rsidRDefault="004319CF" w:rsidP="00C71EE9">
            <w:pPr>
              <w:pStyle w:val="tableheaderwithintable"/>
            </w:pPr>
            <w:r w:rsidRPr="00BE63FD">
              <w:t>Organisation</w:t>
            </w:r>
          </w:p>
        </w:tc>
      </w:tr>
      <w:tr w:rsidR="004319CF" w:rsidRPr="00BE63FD" w14:paraId="597DE596" w14:textId="77777777" w:rsidTr="003F092F">
        <w:trPr>
          <w:trHeight w:val="172"/>
        </w:trPr>
        <w:tc>
          <w:tcPr>
            <w:tcW w:w="5000" w:type="pct"/>
            <w:shd w:val="clear" w:color="auto" w:fill="FFFFFF" w:themeFill="background1"/>
          </w:tcPr>
          <w:p w14:paraId="22DED429" w14:textId="1B50F97B" w:rsidR="004319CF" w:rsidRPr="00BE63FD" w:rsidRDefault="004319CF" w:rsidP="00241F66">
            <w:pPr>
              <w:pStyle w:val="tabletext"/>
              <w:ind w:left="0"/>
            </w:pPr>
            <w:r w:rsidRPr="00BE63FD">
              <w:t>Attorney General</w:t>
            </w:r>
            <w:r w:rsidR="009349BC">
              <w:t>’</w:t>
            </w:r>
            <w:r w:rsidRPr="00BE63FD">
              <w:t xml:space="preserve">s Department </w:t>
            </w:r>
          </w:p>
        </w:tc>
      </w:tr>
      <w:tr w:rsidR="004319CF" w:rsidRPr="00BE63FD" w14:paraId="470E9704" w14:textId="77777777" w:rsidTr="003F092F">
        <w:trPr>
          <w:trHeight w:val="246"/>
        </w:trPr>
        <w:tc>
          <w:tcPr>
            <w:tcW w:w="5000" w:type="pct"/>
            <w:shd w:val="clear" w:color="auto" w:fill="FFFFFF" w:themeFill="background1"/>
          </w:tcPr>
          <w:p w14:paraId="4DDD8A47" w14:textId="77777777" w:rsidR="004319CF" w:rsidRPr="00BE63FD" w:rsidRDefault="004319CF" w:rsidP="00241F66">
            <w:pPr>
              <w:pStyle w:val="tabletext"/>
              <w:ind w:left="0"/>
            </w:pPr>
            <w:r w:rsidRPr="00BE63FD">
              <w:t>Australasian Association of Convenience Stores</w:t>
            </w:r>
          </w:p>
        </w:tc>
      </w:tr>
      <w:tr w:rsidR="004319CF" w:rsidRPr="00BE63FD" w14:paraId="2666EBA5" w14:textId="77777777" w:rsidTr="003F092F">
        <w:trPr>
          <w:trHeight w:val="185"/>
        </w:trPr>
        <w:tc>
          <w:tcPr>
            <w:tcW w:w="5000" w:type="pct"/>
            <w:shd w:val="clear" w:color="auto" w:fill="FFFFFF" w:themeFill="background1"/>
          </w:tcPr>
          <w:p w14:paraId="15C44A66" w14:textId="77777777" w:rsidR="004319CF" w:rsidRPr="00BE63FD" w:rsidRDefault="004319CF" w:rsidP="00241F66">
            <w:pPr>
              <w:pStyle w:val="tabletext"/>
              <w:ind w:left="0"/>
            </w:pPr>
            <w:r w:rsidRPr="00BE63FD">
              <w:t xml:space="preserve">Australian and New Zealand Ombudsman Association </w:t>
            </w:r>
          </w:p>
        </w:tc>
      </w:tr>
      <w:tr w:rsidR="004319CF" w:rsidRPr="00BE63FD" w14:paraId="007E1086" w14:textId="77777777" w:rsidTr="003F092F">
        <w:trPr>
          <w:trHeight w:val="246"/>
        </w:trPr>
        <w:tc>
          <w:tcPr>
            <w:tcW w:w="5000" w:type="pct"/>
            <w:shd w:val="clear" w:color="auto" w:fill="FFFFFF" w:themeFill="background1"/>
          </w:tcPr>
          <w:p w14:paraId="556AE272" w14:textId="77777777" w:rsidR="004319CF" w:rsidRPr="00BE63FD" w:rsidRDefault="004319CF" w:rsidP="00241F66">
            <w:pPr>
              <w:pStyle w:val="tabletext"/>
              <w:ind w:left="0"/>
            </w:pPr>
            <w:r w:rsidRPr="00BE63FD">
              <w:t>Australian Chamber of Commerce and Industry</w:t>
            </w:r>
          </w:p>
        </w:tc>
      </w:tr>
      <w:tr w:rsidR="004319CF" w:rsidRPr="00BE63FD" w14:paraId="3ACBED4E" w14:textId="77777777" w:rsidTr="003F092F">
        <w:trPr>
          <w:trHeight w:val="246"/>
        </w:trPr>
        <w:tc>
          <w:tcPr>
            <w:tcW w:w="5000" w:type="pct"/>
            <w:shd w:val="clear" w:color="auto" w:fill="FFFFFF" w:themeFill="background1"/>
          </w:tcPr>
          <w:p w14:paraId="7F4CA7BD" w14:textId="77777777" w:rsidR="004319CF" w:rsidRPr="00BE63FD" w:rsidRDefault="004319CF" w:rsidP="00241F66">
            <w:pPr>
              <w:pStyle w:val="tabletext"/>
              <w:ind w:left="0"/>
            </w:pPr>
            <w:r w:rsidRPr="00BE63FD">
              <w:t>Australian Motor Industry Federation</w:t>
            </w:r>
          </w:p>
        </w:tc>
      </w:tr>
      <w:tr w:rsidR="004319CF" w:rsidRPr="00BE63FD" w14:paraId="223F4AA5" w14:textId="77777777" w:rsidTr="003F092F">
        <w:trPr>
          <w:trHeight w:val="250"/>
        </w:trPr>
        <w:tc>
          <w:tcPr>
            <w:tcW w:w="5000" w:type="pct"/>
            <w:shd w:val="clear" w:color="auto" w:fill="FFFFFF" w:themeFill="background1"/>
          </w:tcPr>
          <w:p w14:paraId="3C5BA114" w14:textId="19A545BA" w:rsidR="004319CF" w:rsidRPr="00BE63FD" w:rsidRDefault="004319CF" w:rsidP="00241F66">
            <w:pPr>
              <w:pStyle w:val="tabletext"/>
              <w:ind w:left="0"/>
            </w:pPr>
            <w:r w:rsidRPr="00BE63FD">
              <w:t>Australian Newsagents</w:t>
            </w:r>
            <w:r w:rsidR="009349BC">
              <w:t>’</w:t>
            </w:r>
            <w:r w:rsidRPr="00BE63FD">
              <w:t xml:space="preserve"> Federation</w:t>
            </w:r>
          </w:p>
        </w:tc>
      </w:tr>
      <w:tr w:rsidR="004319CF" w:rsidRPr="00BE63FD" w14:paraId="5930CDCD" w14:textId="77777777" w:rsidTr="003F092F">
        <w:trPr>
          <w:trHeight w:val="301"/>
        </w:trPr>
        <w:tc>
          <w:tcPr>
            <w:tcW w:w="5000" w:type="pct"/>
            <w:shd w:val="clear" w:color="auto" w:fill="FFFFFF" w:themeFill="background1"/>
          </w:tcPr>
          <w:p w14:paraId="711F4F44" w14:textId="77777777" w:rsidR="004319CF" w:rsidRPr="00BE63FD" w:rsidRDefault="004319CF" w:rsidP="00241F66">
            <w:pPr>
              <w:pStyle w:val="tabletext"/>
              <w:ind w:left="0"/>
            </w:pPr>
            <w:r w:rsidRPr="00BE63FD">
              <w:t xml:space="preserve">Australian Retailers Association </w:t>
            </w:r>
          </w:p>
        </w:tc>
      </w:tr>
      <w:tr w:rsidR="004319CF" w:rsidRPr="00BE63FD" w14:paraId="746DC048" w14:textId="77777777" w:rsidTr="003F092F">
        <w:trPr>
          <w:trHeight w:val="203"/>
        </w:trPr>
        <w:tc>
          <w:tcPr>
            <w:tcW w:w="5000" w:type="pct"/>
            <w:shd w:val="clear" w:color="auto" w:fill="FFFFFF" w:themeFill="background1"/>
          </w:tcPr>
          <w:p w14:paraId="4054131B" w14:textId="77777777" w:rsidR="004319CF" w:rsidRPr="00BE63FD" w:rsidRDefault="004319CF" w:rsidP="00241F66">
            <w:pPr>
              <w:pStyle w:val="tabletext"/>
              <w:ind w:left="0"/>
            </w:pPr>
            <w:r w:rsidRPr="00BE63FD">
              <w:t xml:space="preserve">Business Council of Australia </w:t>
            </w:r>
          </w:p>
        </w:tc>
      </w:tr>
    </w:tbl>
    <w:p w14:paraId="7B6B508A" w14:textId="2142726C" w:rsidR="00EF15B6" w:rsidRDefault="00EF15B6">
      <w:r>
        <w:br w:type="page"/>
      </w:r>
    </w:p>
    <w:p w14:paraId="49321452" w14:textId="0E9F5043" w:rsidR="00EF15B6" w:rsidRDefault="00EF15B6" w:rsidP="00EF15B6">
      <w:pPr>
        <w:pStyle w:val="TableHeadingoutsidetable"/>
        <w:numPr>
          <w:ilvl w:val="4"/>
          <w:numId w:val="45"/>
        </w:numPr>
        <w:spacing w:before="240"/>
        <w:ind w:left="0"/>
      </w:pPr>
      <w:r>
        <w:t>: Organisations which participated in targeted meetings (continued)</w:t>
      </w:r>
    </w:p>
    <w:tbl>
      <w:tblPr>
        <w:tblStyle w:val="TableGrid"/>
        <w:tblW w:w="4866" w:type="pct"/>
        <w:tblInd w:w="108" w:type="dxa"/>
        <w:shd w:val="clear" w:color="auto" w:fill="FFFFFF" w:themeFill="background1"/>
        <w:tblLook w:val="04A0" w:firstRow="1" w:lastRow="0" w:firstColumn="1" w:lastColumn="0" w:noHBand="0" w:noVBand="1"/>
      </w:tblPr>
      <w:tblGrid>
        <w:gridCol w:w="7714"/>
      </w:tblGrid>
      <w:tr w:rsidR="00EF15B6" w:rsidRPr="00BE63FD" w14:paraId="550CC652" w14:textId="77777777" w:rsidTr="003F092F">
        <w:trPr>
          <w:trHeight w:val="150"/>
        </w:trPr>
        <w:tc>
          <w:tcPr>
            <w:tcW w:w="5000" w:type="pct"/>
            <w:shd w:val="clear" w:color="auto" w:fill="FFFFFF" w:themeFill="background1"/>
          </w:tcPr>
          <w:p w14:paraId="3BFC31BC" w14:textId="77777777" w:rsidR="00EF15B6" w:rsidRPr="00BE63FD" w:rsidRDefault="00EF15B6" w:rsidP="00EF15B6">
            <w:pPr>
              <w:pStyle w:val="tableheaderwithintable"/>
            </w:pPr>
            <w:r w:rsidRPr="00BE63FD">
              <w:t>Organisation</w:t>
            </w:r>
          </w:p>
        </w:tc>
      </w:tr>
      <w:tr w:rsidR="004319CF" w:rsidRPr="00BE63FD" w14:paraId="2A988954" w14:textId="77777777" w:rsidTr="003F092F">
        <w:trPr>
          <w:trHeight w:val="246"/>
        </w:trPr>
        <w:tc>
          <w:tcPr>
            <w:tcW w:w="5000" w:type="pct"/>
            <w:shd w:val="clear" w:color="auto" w:fill="FFFFFF" w:themeFill="background1"/>
          </w:tcPr>
          <w:p w14:paraId="31768351" w14:textId="038E0BE7" w:rsidR="004319CF" w:rsidRPr="00BE63FD" w:rsidRDefault="004319CF" w:rsidP="00241F66">
            <w:pPr>
              <w:pStyle w:val="tabletext"/>
              <w:ind w:left="0"/>
            </w:pPr>
            <w:r w:rsidRPr="00BE63FD">
              <w:t>Business Enterprise Centres Australia</w:t>
            </w:r>
          </w:p>
        </w:tc>
      </w:tr>
      <w:tr w:rsidR="004319CF" w:rsidRPr="00BE63FD" w14:paraId="7BAAC639" w14:textId="77777777" w:rsidTr="003F092F">
        <w:trPr>
          <w:trHeight w:val="246"/>
        </w:trPr>
        <w:tc>
          <w:tcPr>
            <w:tcW w:w="5000" w:type="pct"/>
            <w:shd w:val="clear" w:color="auto" w:fill="FFFFFF" w:themeFill="background1"/>
          </w:tcPr>
          <w:p w14:paraId="38D91942" w14:textId="77777777" w:rsidR="004319CF" w:rsidRPr="00BE63FD" w:rsidRDefault="004319CF" w:rsidP="00241F66">
            <w:pPr>
              <w:pStyle w:val="tabletext"/>
              <w:ind w:left="0"/>
            </w:pPr>
            <w:proofErr w:type="spellStart"/>
            <w:r w:rsidRPr="00BE63FD">
              <w:t>Carix</w:t>
            </w:r>
            <w:proofErr w:type="spellEnd"/>
          </w:p>
        </w:tc>
      </w:tr>
      <w:tr w:rsidR="004319CF" w:rsidRPr="00BE63FD" w14:paraId="0D51E258" w14:textId="77777777" w:rsidTr="003F092F">
        <w:trPr>
          <w:trHeight w:val="246"/>
        </w:trPr>
        <w:tc>
          <w:tcPr>
            <w:tcW w:w="5000" w:type="pct"/>
            <w:shd w:val="clear" w:color="auto" w:fill="FFFFFF" w:themeFill="background1"/>
          </w:tcPr>
          <w:p w14:paraId="61838353" w14:textId="77777777" w:rsidR="004319CF" w:rsidRPr="00BE63FD" w:rsidRDefault="004319CF" w:rsidP="00241F66">
            <w:pPr>
              <w:pStyle w:val="tabletext"/>
              <w:ind w:left="0"/>
            </w:pPr>
            <w:r w:rsidRPr="00BE63FD">
              <w:t>COSBOA</w:t>
            </w:r>
          </w:p>
        </w:tc>
      </w:tr>
      <w:tr w:rsidR="004319CF" w:rsidRPr="00BE63FD" w14:paraId="52AF2C56" w14:textId="77777777" w:rsidTr="003F092F">
        <w:trPr>
          <w:trHeight w:val="272"/>
        </w:trPr>
        <w:tc>
          <w:tcPr>
            <w:tcW w:w="5000" w:type="pct"/>
            <w:shd w:val="clear" w:color="auto" w:fill="FFFFFF" w:themeFill="background1"/>
          </w:tcPr>
          <w:p w14:paraId="1964FF9F" w14:textId="77777777" w:rsidR="004319CF" w:rsidRPr="00BE63FD" w:rsidRDefault="004319CF" w:rsidP="00241F66">
            <w:pPr>
              <w:pStyle w:val="tabletext"/>
              <w:ind w:left="0"/>
            </w:pPr>
            <w:r w:rsidRPr="00BE63FD">
              <w:t xml:space="preserve">CPA Australia </w:t>
            </w:r>
          </w:p>
        </w:tc>
      </w:tr>
      <w:tr w:rsidR="004319CF" w:rsidRPr="00BE63FD" w14:paraId="57C254B5" w14:textId="77777777" w:rsidTr="003F092F">
        <w:trPr>
          <w:trHeight w:val="246"/>
        </w:trPr>
        <w:tc>
          <w:tcPr>
            <w:tcW w:w="5000" w:type="pct"/>
            <w:shd w:val="clear" w:color="auto" w:fill="FFFFFF" w:themeFill="background1"/>
          </w:tcPr>
          <w:p w14:paraId="2544B436" w14:textId="77777777" w:rsidR="004319CF" w:rsidRPr="00BE63FD" w:rsidRDefault="004319CF" w:rsidP="00241F66">
            <w:pPr>
              <w:pStyle w:val="tabletext"/>
              <w:ind w:left="0"/>
            </w:pPr>
            <w:r w:rsidRPr="00BE63FD">
              <w:t>Department of Agriculture</w:t>
            </w:r>
          </w:p>
        </w:tc>
      </w:tr>
      <w:tr w:rsidR="004319CF" w:rsidRPr="00BE63FD" w14:paraId="730BE3D4" w14:textId="77777777" w:rsidTr="003F092F">
        <w:trPr>
          <w:trHeight w:val="246"/>
        </w:trPr>
        <w:tc>
          <w:tcPr>
            <w:tcW w:w="5000" w:type="pct"/>
            <w:shd w:val="clear" w:color="auto" w:fill="FFFFFF" w:themeFill="background1"/>
          </w:tcPr>
          <w:p w14:paraId="55387C78" w14:textId="77777777" w:rsidR="004319CF" w:rsidRPr="00BE63FD" w:rsidRDefault="004319CF" w:rsidP="00241F66">
            <w:pPr>
              <w:pStyle w:val="tabletext"/>
              <w:ind w:left="0"/>
            </w:pPr>
            <w:r w:rsidRPr="00BE63FD">
              <w:rPr>
                <w:bCs/>
              </w:rPr>
              <w:t>Department of Tourism, Major Events, Small Business and the Commonwealth Games</w:t>
            </w:r>
            <w:r>
              <w:rPr>
                <w:bCs/>
              </w:rPr>
              <w:t xml:space="preserve"> (QLD)</w:t>
            </w:r>
          </w:p>
        </w:tc>
      </w:tr>
      <w:tr w:rsidR="004319CF" w:rsidRPr="00BE63FD" w14:paraId="1535BC88" w14:textId="77777777" w:rsidTr="003F092F">
        <w:trPr>
          <w:trHeight w:val="203"/>
        </w:trPr>
        <w:tc>
          <w:tcPr>
            <w:tcW w:w="5000" w:type="pct"/>
            <w:shd w:val="clear" w:color="auto" w:fill="FFFFFF" w:themeFill="background1"/>
          </w:tcPr>
          <w:p w14:paraId="2A302CDC" w14:textId="77777777" w:rsidR="004319CF" w:rsidRPr="00BE63FD" w:rsidRDefault="004319CF" w:rsidP="00241F66">
            <w:pPr>
              <w:pStyle w:val="tabletext"/>
              <w:ind w:left="0"/>
            </w:pPr>
            <w:r w:rsidRPr="00BE63FD">
              <w:t>Family Business Australia</w:t>
            </w:r>
          </w:p>
        </w:tc>
      </w:tr>
      <w:tr w:rsidR="004319CF" w:rsidRPr="00BE63FD" w14:paraId="7635EF20" w14:textId="77777777" w:rsidTr="003F092F">
        <w:trPr>
          <w:trHeight w:val="246"/>
        </w:trPr>
        <w:tc>
          <w:tcPr>
            <w:tcW w:w="5000" w:type="pct"/>
            <w:shd w:val="clear" w:color="auto" w:fill="FFFFFF" w:themeFill="background1"/>
          </w:tcPr>
          <w:p w14:paraId="498E6142" w14:textId="77777777" w:rsidR="004319CF" w:rsidRPr="00BE63FD" w:rsidRDefault="004319CF" w:rsidP="00241F66">
            <w:pPr>
              <w:pStyle w:val="tabletext"/>
              <w:ind w:left="0"/>
            </w:pPr>
            <w:r w:rsidRPr="00BE63FD">
              <w:t>Financial Ombudsman Service</w:t>
            </w:r>
          </w:p>
        </w:tc>
      </w:tr>
      <w:tr w:rsidR="004319CF" w:rsidRPr="00BE63FD" w14:paraId="04694108" w14:textId="77777777" w:rsidTr="003F092F">
        <w:trPr>
          <w:trHeight w:val="246"/>
        </w:trPr>
        <w:tc>
          <w:tcPr>
            <w:tcW w:w="5000" w:type="pct"/>
            <w:shd w:val="clear" w:color="auto" w:fill="FFFFFF" w:themeFill="background1"/>
          </w:tcPr>
          <w:p w14:paraId="0E2389C7" w14:textId="77777777" w:rsidR="004319CF" w:rsidRPr="00BE63FD" w:rsidRDefault="004319CF" w:rsidP="00241F66">
            <w:pPr>
              <w:pStyle w:val="tabletext"/>
              <w:ind w:left="0"/>
              <w:rPr>
                <w:bCs/>
              </w:rPr>
            </w:pPr>
            <w:r w:rsidRPr="00BE63FD">
              <w:rPr>
                <w:bCs/>
              </w:rPr>
              <w:t>FINH</w:t>
            </w:r>
          </w:p>
        </w:tc>
      </w:tr>
      <w:tr w:rsidR="004319CF" w:rsidRPr="00BE63FD" w14:paraId="2AECECC4" w14:textId="77777777" w:rsidTr="003F092F">
        <w:trPr>
          <w:trHeight w:val="203"/>
        </w:trPr>
        <w:tc>
          <w:tcPr>
            <w:tcW w:w="5000" w:type="pct"/>
            <w:shd w:val="clear" w:color="auto" w:fill="FFFFFF" w:themeFill="background1"/>
          </w:tcPr>
          <w:p w14:paraId="54F08A0D" w14:textId="77777777" w:rsidR="004319CF" w:rsidRPr="00BE63FD" w:rsidRDefault="004319CF" w:rsidP="00241F66">
            <w:pPr>
              <w:pStyle w:val="tabletext"/>
              <w:ind w:left="0"/>
            </w:pPr>
            <w:r w:rsidRPr="00BE63FD">
              <w:t>Franchise Council of Australia</w:t>
            </w:r>
          </w:p>
        </w:tc>
      </w:tr>
      <w:tr w:rsidR="004319CF" w:rsidRPr="00BE63FD" w14:paraId="6CD23E8F" w14:textId="77777777" w:rsidTr="003F092F">
        <w:trPr>
          <w:trHeight w:val="203"/>
        </w:trPr>
        <w:tc>
          <w:tcPr>
            <w:tcW w:w="5000" w:type="pct"/>
            <w:shd w:val="clear" w:color="auto" w:fill="FFFFFF" w:themeFill="background1"/>
          </w:tcPr>
          <w:p w14:paraId="5E43DF16" w14:textId="77777777" w:rsidR="004319CF" w:rsidRPr="00BE63FD" w:rsidRDefault="004319CF" w:rsidP="00241F66">
            <w:pPr>
              <w:pStyle w:val="tabletext"/>
              <w:ind w:left="0"/>
            </w:pPr>
            <w:r w:rsidRPr="00BE63FD">
              <w:t>Independent Contractors Australia</w:t>
            </w:r>
          </w:p>
        </w:tc>
      </w:tr>
      <w:tr w:rsidR="004319CF" w:rsidRPr="00BE63FD" w14:paraId="7AAAD167" w14:textId="77777777" w:rsidTr="003F092F">
        <w:trPr>
          <w:trHeight w:val="206"/>
        </w:trPr>
        <w:tc>
          <w:tcPr>
            <w:tcW w:w="5000" w:type="pct"/>
            <w:shd w:val="clear" w:color="auto" w:fill="FFFFFF" w:themeFill="background1"/>
          </w:tcPr>
          <w:p w14:paraId="58B6DF8C" w14:textId="77777777" w:rsidR="004319CF" w:rsidRPr="00BE63FD" w:rsidRDefault="004319CF" w:rsidP="00241F66">
            <w:pPr>
              <w:pStyle w:val="tabletext"/>
              <w:ind w:left="0"/>
            </w:pPr>
            <w:r w:rsidRPr="00BE63FD">
              <w:t>Institute of Public Accountants</w:t>
            </w:r>
          </w:p>
        </w:tc>
      </w:tr>
      <w:tr w:rsidR="004319CF" w:rsidRPr="00BE63FD" w14:paraId="05A9509B" w14:textId="77777777" w:rsidTr="003F092F">
        <w:trPr>
          <w:trHeight w:val="330"/>
        </w:trPr>
        <w:tc>
          <w:tcPr>
            <w:tcW w:w="5000" w:type="pct"/>
            <w:shd w:val="clear" w:color="auto" w:fill="FFFFFF" w:themeFill="background1"/>
          </w:tcPr>
          <w:p w14:paraId="06304A91" w14:textId="77777777" w:rsidR="004319CF" w:rsidRPr="00BE63FD" w:rsidRDefault="004319CF" w:rsidP="00241F66">
            <w:pPr>
              <w:pStyle w:val="tabletext"/>
              <w:ind w:left="0"/>
            </w:pPr>
            <w:r w:rsidRPr="00BE63FD">
              <w:t>LEADR</w:t>
            </w:r>
          </w:p>
        </w:tc>
      </w:tr>
      <w:tr w:rsidR="004319CF" w:rsidRPr="00BE63FD" w14:paraId="6DB0C1D6" w14:textId="77777777" w:rsidTr="003F092F">
        <w:trPr>
          <w:trHeight w:val="185"/>
        </w:trPr>
        <w:tc>
          <w:tcPr>
            <w:tcW w:w="5000" w:type="pct"/>
            <w:shd w:val="clear" w:color="auto" w:fill="FFFFFF" w:themeFill="background1"/>
          </w:tcPr>
          <w:p w14:paraId="4B85F910" w14:textId="77777777" w:rsidR="004319CF" w:rsidRPr="00BE63FD" w:rsidRDefault="004319CF" w:rsidP="00241F66">
            <w:pPr>
              <w:pStyle w:val="tabletext"/>
              <w:ind w:left="0"/>
            </w:pPr>
            <w:r w:rsidRPr="00BE63FD">
              <w:t>NSW Small Business Commissioner</w:t>
            </w:r>
          </w:p>
        </w:tc>
      </w:tr>
      <w:tr w:rsidR="004319CF" w:rsidRPr="00BE63FD" w14:paraId="46F37BC0" w14:textId="77777777" w:rsidTr="003F092F">
        <w:trPr>
          <w:trHeight w:val="206"/>
        </w:trPr>
        <w:tc>
          <w:tcPr>
            <w:tcW w:w="5000" w:type="pct"/>
            <w:shd w:val="clear" w:color="auto" w:fill="FFFFFF" w:themeFill="background1"/>
          </w:tcPr>
          <w:p w14:paraId="31092594" w14:textId="77777777" w:rsidR="004319CF" w:rsidRPr="00BE63FD" w:rsidRDefault="004319CF" w:rsidP="00241F66">
            <w:pPr>
              <w:pStyle w:val="tabletext"/>
              <w:ind w:left="0"/>
            </w:pPr>
            <w:r w:rsidRPr="00BE63FD">
              <w:t>Post Office Agents Association Limited</w:t>
            </w:r>
          </w:p>
        </w:tc>
      </w:tr>
      <w:tr w:rsidR="004319CF" w:rsidRPr="00BE63FD" w14:paraId="653B0CFB" w14:textId="77777777" w:rsidTr="003F092F">
        <w:trPr>
          <w:trHeight w:val="246"/>
        </w:trPr>
        <w:tc>
          <w:tcPr>
            <w:tcW w:w="5000" w:type="pct"/>
            <w:shd w:val="clear" w:color="auto" w:fill="FFFFFF" w:themeFill="background1"/>
          </w:tcPr>
          <w:p w14:paraId="05DF5E8D" w14:textId="77777777" w:rsidR="004319CF" w:rsidRPr="00BE63FD" w:rsidRDefault="004319CF" w:rsidP="00241F66">
            <w:pPr>
              <w:pStyle w:val="tabletext"/>
              <w:ind w:left="0"/>
              <w:rPr>
                <w:bCs/>
              </w:rPr>
            </w:pPr>
            <w:r w:rsidRPr="00BE63FD">
              <w:rPr>
                <w:bCs/>
              </w:rPr>
              <w:t>Restaurant and Catering Industry Association</w:t>
            </w:r>
          </w:p>
        </w:tc>
      </w:tr>
      <w:tr w:rsidR="004319CF" w:rsidRPr="00BE63FD" w14:paraId="01E377BE" w14:textId="77777777" w:rsidTr="003F092F">
        <w:trPr>
          <w:trHeight w:val="250"/>
        </w:trPr>
        <w:tc>
          <w:tcPr>
            <w:tcW w:w="5000" w:type="pct"/>
            <w:shd w:val="clear" w:color="auto" w:fill="FFFFFF" w:themeFill="background1"/>
          </w:tcPr>
          <w:p w14:paraId="256DD725" w14:textId="77777777" w:rsidR="004319CF" w:rsidRPr="00BE63FD" w:rsidRDefault="004319CF" w:rsidP="00241F66">
            <w:pPr>
              <w:pStyle w:val="tabletext"/>
              <w:ind w:left="0"/>
            </w:pPr>
            <w:r w:rsidRPr="00BE63FD">
              <w:t xml:space="preserve">Shopping Centre Council of Australia </w:t>
            </w:r>
          </w:p>
        </w:tc>
      </w:tr>
      <w:tr w:rsidR="004319CF" w:rsidRPr="00BE63FD" w14:paraId="498645DF" w14:textId="77777777" w:rsidTr="003F092F">
        <w:trPr>
          <w:trHeight w:val="246"/>
        </w:trPr>
        <w:tc>
          <w:tcPr>
            <w:tcW w:w="5000" w:type="pct"/>
            <w:shd w:val="clear" w:color="auto" w:fill="FFFFFF" w:themeFill="background1"/>
          </w:tcPr>
          <w:p w14:paraId="0E756A93" w14:textId="77777777" w:rsidR="004319CF" w:rsidRPr="00BE63FD" w:rsidRDefault="004319CF" w:rsidP="00241F66">
            <w:pPr>
              <w:pStyle w:val="tabletext"/>
              <w:ind w:left="0"/>
            </w:pPr>
            <w:r w:rsidRPr="00BE63FD">
              <w:t>Small Business Association of Australia</w:t>
            </w:r>
          </w:p>
        </w:tc>
      </w:tr>
      <w:tr w:rsidR="004319CF" w:rsidRPr="00BE63FD" w14:paraId="307F91B6" w14:textId="77777777" w:rsidTr="003F092F">
        <w:trPr>
          <w:trHeight w:val="185"/>
        </w:trPr>
        <w:tc>
          <w:tcPr>
            <w:tcW w:w="5000" w:type="pct"/>
            <w:shd w:val="clear" w:color="auto" w:fill="FFFFFF" w:themeFill="background1"/>
          </w:tcPr>
          <w:p w14:paraId="3F335CE5" w14:textId="77777777" w:rsidR="004319CF" w:rsidRPr="00BE63FD" w:rsidRDefault="004319CF" w:rsidP="00241F66">
            <w:pPr>
              <w:pStyle w:val="tabletext"/>
              <w:ind w:left="0"/>
            </w:pPr>
            <w:r w:rsidRPr="00BE63FD">
              <w:t>Small Enterprise Association of Australia and New Zealand</w:t>
            </w:r>
          </w:p>
        </w:tc>
      </w:tr>
      <w:tr w:rsidR="004319CF" w:rsidRPr="00BE63FD" w14:paraId="5DF3ABEB" w14:textId="77777777" w:rsidTr="003F092F">
        <w:trPr>
          <w:trHeight w:val="185"/>
        </w:trPr>
        <w:tc>
          <w:tcPr>
            <w:tcW w:w="5000" w:type="pct"/>
            <w:shd w:val="clear" w:color="auto" w:fill="FFFFFF" w:themeFill="background1"/>
          </w:tcPr>
          <w:p w14:paraId="2905C8C3" w14:textId="77777777" w:rsidR="004319CF" w:rsidRPr="00BE63FD" w:rsidRDefault="004319CF" w:rsidP="00241F66">
            <w:pPr>
              <w:pStyle w:val="tabletext"/>
              <w:ind w:left="0"/>
            </w:pPr>
            <w:r>
              <w:t>SME Association of Australia</w:t>
            </w:r>
          </w:p>
        </w:tc>
      </w:tr>
      <w:tr w:rsidR="004319CF" w:rsidRPr="00BE63FD" w14:paraId="5CA71907" w14:textId="77777777" w:rsidTr="003F092F">
        <w:trPr>
          <w:trHeight w:val="246"/>
        </w:trPr>
        <w:tc>
          <w:tcPr>
            <w:tcW w:w="5000" w:type="pct"/>
            <w:shd w:val="clear" w:color="auto" w:fill="FFFFFF" w:themeFill="background1"/>
          </w:tcPr>
          <w:p w14:paraId="6817305C" w14:textId="77777777" w:rsidR="004319CF" w:rsidRPr="00BE63FD" w:rsidRDefault="004319CF" w:rsidP="00241F66">
            <w:pPr>
              <w:pStyle w:val="tabletext"/>
              <w:ind w:left="0"/>
            </w:pPr>
            <w:r w:rsidRPr="00BE63FD">
              <w:t>Telecommunications Industry Ombudsman</w:t>
            </w:r>
          </w:p>
        </w:tc>
      </w:tr>
      <w:tr w:rsidR="004319CF" w:rsidRPr="00BE63FD" w14:paraId="4765FD0F" w14:textId="77777777" w:rsidTr="003F092F">
        <w:trPr>
          <w:trHeight w:val="246"/>
        </w:trPr>
        <w:tc>
          <w:tcPr>
            <w:tcW w:w="5000" w:type="pct"/>
            <w:shd w:val="clear" w:color="auto" w:fill="FFFFFF" w:themeFill="background1"/>
          </w:tcPr>
          <w:p w14:paraId="1178190F" w14:textId="77777777" w:rsidR="004319CF" w:rsidRPr="00BE63FD" w:rsidRDefault="004319CF" w:rsidP="00241F66">
            <w:pPr>
              <w:pStyle w:val="tabletext"/>
              <w:ind w:left="0"/>
            </w:pPr>
            <w:r w:rsidRPr="00BE63FD">
              <w:t>The Accord Group</w:t>
            </w:r>
          </w:p>
        </w:tc>
      </w:tr>
    </w:tbl>
    <w:p w14:paraId="2EAA1386" w14:textId="77777777" w:rsidR="004319CF" w:rsidRDefault="00C9218D" w:rsidP="003F092F">
      <w:pPr>
        <w:pStyle w:val="Heading3"/>
        <w:spacing w:before="360"/>
      </w:pPr>
      <w:r>
        <w:t>Consultation on exposure draft legislation</w:t>
      </w:r>
    </w:p>
    <w:p w14:paraId="4DBBC4CF" w14:textId="77777777" w:rsidR="00C9218D" w:rsidRDefault="00213898" w:rsidP="003F092F">
      <w:pPr>
        <w:pStyle w:val="TableHeadingoutsidetable"/>
        <w:ind w:left="0"/>
      </w:pPr>
      <w:r>
        <w:t xml:space="preserve">: </w:t>
      </w:r>
      <w:r w:rsidR="00C9218D">
        <w:t>Formal submissions</w:t>
      </w:r>
    </w:p>
    <w:tbl>
      <w:tblPr>
        <w:tblStyle w:val="TableGrid"/>
        <w:tblW w:w="0" w:type="auto"/>
        <w:tblInd w:w="108" w:type="dxa"/>
        <w:tblLook w:val="04A0" w:firstRow="1" w:lastRow="0" w:firstColumn="1" w:lastColumn="0" w:noHBand="0" w:noVBand="1"/>
      </w:tblPr>
      <w:tblGrid>
        <w:gridCol w:w="426"/>
        <w:gridCol w:w="7287"/>
      </w:tblGrid>
      <w:tr w:rsidR="00C9218D" w:rsidRPr="00D07D96" w14:paraId="72CD71FA" w14:textId="77777777" w:rsidTr="003F092F">
        <w:trPr>
          <w:trHeight w:val="283"/>
        </w:trPr>
        <w:tc>
          <w:tcPr>
            <w:tcW w:w="426" w:type="dxa"/>
            <w:vAlign w:val="center"/>
          </w:tcPr>
          <w:p w14:paraId="377A1DD4" w14:textId="77777777" w:rsidR="00C9218D" w:rsidRPr="00125157" w:rsidRDefault="00C9218D" w:rsidP="00241F66">
            <w:pPr>
              <w:pStyle w:val="tabletext"/>
              <w:ind w:left="0"/>
            </w:pPr>
            <w:r>
              <w:t>1</w:t>
            </w:r>
          </w:p>
        </w:tc>
        <w:tc>
          <w:tcPr>
            <w:tcW w:w="7287" w:type="dxa"/>
            <w:vAlign w:val="center"/>
            <w:hideMark/>
          </w:tcPr>
          <w:p w14:paraId="62D725AE" w14:textId="77777777" w:rsidR="00C9218D" w:rsidRPr="00125157" w:rsidRDefault="00C9218D" w:rsidP="00241F66">
            <w:pPr>
              <w:pStyle w:val="tabletext"/>
              <w:ind w:left="0"/>
            </w:pPr>
            <w:r w:rsidRPr="00125157">
              <w:t>ACT Civil and Administrative Tribunal</w:t>
            </w:r>
          </w:p>
        </w:tc>
      </w:tr>
      <w:tr w:rsidR="00C9218D" w:rsidRPr="00D07D96" w14:paraId="13AC8FCB" w14:textId="77777777" w:rsidTr="003F092F">
        <w:trPr>
          <w:trHeight w:val="283"/>
        </w:trPr>
        <w:tc>
          <w:tcPr>
            <w:tcW w:w="426" w:type="dxa"/>
            <w:vAlign w:val="center"/>
          </w:tcPr>
          <w:p w14:paraId="4E9A87FE" w14:textId="77777777" w:rsidR="00C9218D" w:rsidRPr="00125157" w:rsidRDefault="00C9218D" w:rsidP="00241F66">
            <w:pPr>
              <w:pStyle w:val="tabletext"/>
              <w:ind w:left="0"/>
            </w:pPr>
            <w:r>
              <w:t>2</w:t>
            </w:r>
          </w:p>
        </w:tc>
        <w:tc>
          <w:tcPr>
            <w:tcW w:w="7287" w:type="dxa"/>
            <w:vAlign w:val="center"/>
            <w:hideMark/>
          </w:tcPr>
          <w:p w14:paraId="19600500" w14:textId="77777777" w:rsidR="00C9218D" w:rsidRPr="00125157" w:rsidRDefault="00C9218D" w:rsidP="00241F66">
            <w:pPr>
              <w:pStyle w:val="tabletext"/>
              <w:ind w:left="0"/>
            </w:pPr>
            <w:proofErr w:type="spellStart"/>
            <w:r w:rsidRPr="00125157">
              <w:t>Astroglide</w:t>
            </w:r>
            <w:proofErr w:type="spellEnd"/>
            <w:r w:rsidRPr="00125157">
              <w:t xml:space="preserve"> Pty Ltd</w:t>
            </w:r>
            <w:r>
              <w:t xml:space="preserve"> (CONFIDENTIAL SUBMISSION)</w:t>
            </w:r>
          </w:p>
        </w:tc>
      </w:tr>
      <w:tr w:rsidR="00C9218D" w:rsidRPr="00D07D96" w14:paraId="5A9C7099" w14:textId="77777777" w:rsidTr="003F092F">
        <w:trPr>
          <w:trHeight w:val="283"/>
        </w:trPr>
        <w:tc>
          <w:tcPr>
            <w:tcW w:w="426" w:type="dxa"/>
            <w:vAlign w:val="center"/>
          </w:tcPr>
          <w:p w14:paraId="5E151A76" w14:textId="77777777" w:rsidR="00C9218D" w:rsidRPr="00125157" w:rsidRDefault="00C9218D" w:rsidP="00241F66">
            <w:pPr>
              <w:pStyle w:val="tabletext"/>
              <w:ind w:left="0"/>
            </w:pPr>
            <w:r>
              <w:t>3</w:t>
            </w:r>
          </w:p>
        </w:tc>
        <w:tc>
          <w:tcPr>
            <w:tcW w:w="7287" w:type="dxa"/>
            <w:vAlign w:val="center"/>
            <w:hideMark/>
          </w:tcPr>
          <w:p w14:paraId="6AA51827" w14:textId="77777777" w:rsidR="00C9218D" w:rsidRPr="00125157" w:rsidRDefault="00C9218D" w:rsidP="00241F66">
            <w:pPr>
              <w:pStyle w:val="tabletext"/>
              <w:ind w:left="0"/>
            </w:pPr>
            <w:r w:rsidRPr="00125157">
              <w:t>Australian and New Zealand Ombudsman Association</w:t>
            </w:r>
          </w:p>
        </w:tc>
      </w:tr>
      <w:tr w:rsidR="00C9218D" w:rsidRPr="00D07D96" w14:paraId="67EE6F7B" w14:textId="77777777" w:rsidTr="003F092F">
        <w:trPr>
          <w:trHeight w:val="283"/>
        </w:trPr>
        <w:tc>
          <w:tcPr>
            <w:tcW w:w="426" w:type="dxa"/>
            <w:vAlign w:val="center"/>
          </w:tcPr>
          <w:p w14:paraId="3E989505" w14:textId="77777777" w:rsidR="00C9218D" w:rsidRPr="00125157" w:rsidRDefault="00C9218D" w:rsidP="00241F66">
            <w:pPr>
              <w:pStyle w:val="tabletext"/>
              <w:ind w:left="0"/>
            </w:pPr>
            <w:r>
              <w:t>4</w:t>
            </w:r>
          </w:p>
        </w:tc>
        <w:tc>
          <w:tcPr>
            <w:tcW w:w="7287" w:type="dxa"/>
            <w:vAlign w:val="center"/>
            <w:hideMark/>
          </w:tcPr>
          <w:p w14:paraId="7E99A8D2" w14:textId="77777777" w:rsidR="00C9218D" w:rsidRPr="00125157" w:rsidRDefault="00C9218D" w:rsidP="00241F66">
            <w:pPr>
              <w:pStyle w:val="tabletext"/>
              <w:ind w:left="0"/>
            </w:pPr>
            <w:r w:rsidRPr="00125157">
              <w:t>Australian Automotive Dealer Association Ltd</w:t>
            </w:r>
          </w:p>
        </w:tc>
      </w:tr>
      <w:tr w:rsidR="00C9218D" w:rsidRPr="00D07D96" w14:paraId="15671009" w14:textId="77777777" w:rsidTr="003F092F">
        <w:trPr>
          <w:trHeight w:val="283"/>
        </w:trPr>
        <w:tc>
          <w:tcPr>
            <w:tcW w:w="426" w:type="dxa"/>
            <w:vAlign w:val="center"/>
          </w:tcPr>
          <w:p w14:paraId="4137B0CD" w14:textId="77777777" w:rsidR="00C9218D" w:rsidRPr="00125157" w:rsidRDefault="00C9218D" w:rsidP="00241F66">
            <w:pPr>
              <w:pStyle w:val="tabletext"/>
              <w:ind w:left="0"/>
            </w:pPr>
            <w:r>
              <w:t>5</w:t>
            </w:r>
          </w:p>
        </w:tc>
        <w:tc>
          <w:tcPr>
            <w:tcW w:w="7287" w:type="dxa"/>
            <w:vAlign w:val="center"/>
            <w:hideMark/>
          </w:tcPr>
          <w:p w14:paraId="108690A0" w14:textId="77777777" w:rsidR="00C9218D" w:rsidRPr="00125157" w:rsidRDefault="00C9218D" w:rsidP="00241F66">
            <w:pPr>
              <w:pStyle w:val="tabletext"/>
              <w:ind w:left="0"/>
            </w:pPr>
            <w:r w:rsidRPr="00125157">
              <w:t xml:space="preserve">Australian Bankers Association </w:t>
            </w:r>
            <w:proofErr w:type="spellStart"/>
            <w:r w:rsidRPr="00125157">
              <w:t>Inc</w:t>
            </w:r>
            <w:proofErr w:type="spellEnd"/>
          </w:p>
        </w:tc>
      </w:tr>
      <w:tr w:rsidR="00C9218D" w:rsidRPr="00D07D96" w14:paraId="2093917E" w14:textId="77777777" w:rsidTr="003F092F">
        <w:trPr>
          <w:trHeight w:val="283"/>
        </w:trPr>
        <w:tc>
          <w:tcPr>
            <w:tcW w:w="426" w:type="dxa"/>
            <w:vAlign w:val="center"/>
          </w:tcPr>
          <w:p w14:paraId="2DDEEECE" w14:textId="77777777" w:rsidR="00C9218D" w:rsidRPr="00125157" w:rsidRDefault="00C9218D" w:rsidP="00241F66">
            <w:pPr>
              <w:pStyle w:val="tabletext"/>
              <w:ind w:left="0"/>
            </w:pPr>
            <w:r>
              <w:t>6</w:t>
            </w:r>
          </w:p>
        </w:tc>
        <w:tc>
          <w:tcPr>
            <w:tcW w:w="7287" w:type="dxa"/>
            <w:vAlign w:val="center"/>
            <w:hideMark/>
          </w:tcPr>
          <w:p w14:paraId="5C7C1DE4" w14:textId="77777777" w:rsidR="00C9218D" w:rsidRPr="00125157" w:rsidRDefault="00C9218D" w:rsidP="00241F66">
            <w:pPr>
              <w:pStyle w:val="tabletext"/>
              <w:ind w:left="0"/>
            </w:pPr>
            <w:r w:rsidRPr="00125157">
              <w:t>Australian Dairy Farmers</w:t>
            </w:r>
          </w:p>
        </w:tc>
      </w:tr>
      <w:tr w:rsidR="00C9218D" w:rsidRPr="00D07D96" w14:paraId="2FE19248" w14:textId="77777777" w:rsidTr="003F092F">
        <w:trPr>
          <w:trHeight w:val="283"/>
        </w:trPr>
        <w:tc>
          <w:tcPr>
            <w:tcW w:w="426" w:type="dxa"/>
            <w:vAlign w:val="center"/>
          </w:tcPr>
          <w:p w14:paraId="58414432" w14:textId="77777777" w:rsidR="00C9218D" w:rsidRDefault="00C9218D" w:rsidP="00241F66">
            <w:pPr>
              <w:pStyle w:val="tabletext"/>
              <w:ind w:left="0"/>
            </w:pPr>
            <w:r>
              <w:t>7</w:t>
            </w:r>
          </w:p>
        </w:tc>
        <w:tc>
          <w:tcPr>
            <w:tcW w:w="7287" w:type="dxa"/>
            <w:vAlign w:val="center"/>
          </w:tcPr>
          <w:p w14:paraId="5AE21F8F" w14:textId="77777777" w:rsidR="00C9218D" w:rsidRPr="00B45358" w:rsidRDefault="00C9218D" w:rsidP="00241F66">
            <w:pPr>
              <w:pStyle w:val="tabletext"/>
              <w:ind w:left="0"/>
              <w:rPr>
                <w:bCs/>
              </w:rPr>
            </w:pPr>
            <w:r w:rsidRPr="00B45358">
              <w:rPr>
                <w:bCs/>
              </w:rPr>
              <w:t>Australian Finance Conference Ltd</w:t>
            </w:r>
          </w:p>
        </w:tc>
      </w:tr>
    </w:tbl>
    <w:p w14:paraId="1B5E9603" w14:textId="515C05AE" w:rsidR="003F092F" w:rsidRDefault="003F092F">
      <w:r>
        <w:br w:type="page"/>
      </w:r>
    </w:p>
    <w:p w14:paraId="3134CAFC" w14:textId="6A2E8AC2" w:rsidR="003F092F" w:rsidRDefault="003F092F" w:rsidP="003F092F">
      <w:pPr>
        <w:pStyle w:val="TableHeadingoutsidetable"/>
        <w:numPr>
          <w:ilvl w:val="4"/>
          <w:numId w:val="46"/>
        </w:numPr>
        <w:ind w:left="0"/>
      </w:pPr>
      <w:r>
        <w:t>: Formal submissions (continued)</w:t>
      </w:r>
    </w:p>
    <w:tbl>
      <w:tblPr>
        <w:tblStyle w:val="TableGrid"/>
        <w:tblW w:w="0" w:type="auto"/>
        <w:tblInd w:w="108" w:type="dxa"/>
        <w:tblLook w:val="04A0" w:firstRow="1" w:lastRow="0" w:firstColumn="1" w:lastColumn="0" w:noHBand="0" w:noVBand="1"/>
      </w:tblPr>
      <w:tblGrid>
        <w:gridCol w:w="426"/>
        <w:gridCol w:w="7287"/>
      </w:tblGrid>
      <w:tr w:rsidR="00C9218D" w:rsidRPr="00D07D96" w14:paraId="205015E6" w14:textId="77777777" w:rsidTr="003F092F">
        <w:trPr>
          <w:trHeight w:val="283"/>
        </w:trPr>
        <w:tc>
          <w:tcPr>
            <w:tcW w:w="426" w:type="dxa"/>
            <w:vAlign w:val="center"/>
          </w:tcPr>
          <w:p w14:paraId="7BB5AC1E" w14:textId="522CCA6D" w:rsidR="00C9218D" w:rsidRDefault="00C9218D" w:rsidP="00241F66">
            <w:pPr>
              <w:pStyle w:val="tabletext"/>
              <w:ind w:left="0"/>
            </w:pPr>
            <w:r>
              <w:t>8</w:t>
            </w:r>
          </w:p>
        </w:tc>
        <w:tc>
          <w:tcPr>
            <w:tcW w:w="7287" w:type="dxa"/>
            <w:vAlign w:val="center"/>
          </w:tcPr>
          <w:p w14:paraId="0399048C" w14:textId="77777777" w:rsidR="00C9218D" w:rsidRPr="00B45358" w:rsidRDefault="00C9218D" w:rsidP="00241F66">
            <w:pPr>
              <w:pStyle w:val="tabletext"/>
              <w:ind w:left="0"/>
              <w:rPr>
                <w:bCs/>
              </w:rPr>
            </w:pPr>
            <w:r>
              <w:t>Australian Motor Industry Federation</w:t>
            </w:r>
          </w:p>
        </w:tc>
      </w:tr>
      <w:tr w:rsidR="00C9218D" w:rsidRPr="00D07D96" w14:paraId="43F7159F" w14:textId="77777777" w:rsidTr="003F092F">
        <w:trPr>
          <w:trHeight w:val="283"/>
        </w:trPr>
        <w:tc>
          <w:tcPr>
            <w:tcW w:w="426" w:type="dxa"/>
            <w:vAlign w:val="center"/>
          </w:tcPr>
          <w:p w14:paraId="3B64E462" w14:textId="77777777" w:rsidR="00C9218D" w:rsidRPr="00125157" w:rsidRDefault="00C9218D" w:rsidP="00241F66">
            <w:pPr>
              <w:pStyle w:val="tabletext"/>
              <w:ind w:left="0"/>
            </w:pPr>
            <w:r>
              <w:t>9</w:t>
            </w:r>
          </w:p>
        </w:tc>
        <w:tc>
          <w:tcPr>
            <w:tcW w:w="7287" w:type="dxa"/>
            <w:vAlign w:val="center"/>
            <w:hideMark/>
          </w:tcPr>
          <w:p w14:paraId="289A568D" w14:textId="77777777" w:rsidR="00C9218D" w:rsidRPr="00125157" w:rsidRDefault="00C9218D" w:rsidP="00241F66">
            <w:pPr>
              <w:pStyle w:val="tabletext"/>
              <w:ind w:left="0"/>
            </w:pPr>
            <w:r w:rsidRPr="00125157">
              <w:t>Australian National Retailers Association</w:t>
            </w:r>
          </w:p>
        </w:tc>
      </w:tr>
      <w:tr w:rsidR="00C9218D" w:rsidRPr="00125157" w14:paraId="7EC5A900" w14:textId="77777777" w:rsidTr="003F092F">
        <w:trPr>
          <w:trHeight w:val="283"/>
        </w:trPr>
        <w:tc>
          <w:tcPr>
            <w:tcW w:w="426" w:type="dxa"/>
            <w:vAlign w:val="center"/>
          </w:tcPr>
          <w:p w14:paraId="790549A7" w14:textId="77777777" w:rsidR="00C9218D" w:rsidRPr="00125157" w:rsidRDefault="00C9218D" w:rsidP="00241F66">
            <w:pPr>
              <w:pStyle w:val="tabletext"/>
              <w:ind w:left="0"/>
            </w:pPr>
            <w:r>
              <w:t>10</w:t>
            </w:r>
          </w:p>
        </w:tc>
        <w:tc>
          <w:tcPr>
            <w:tcW w:w="7287" w:type="dxa"/>
            <w:vAlign w:val="center"/>
          </w:tcPr>
          <w:p w14:paraId="5AE78427" w14:textId="77777777" w:rsidR="00C9218D" w:rsidRPr="00125157" w:rsidRDefault="00C9218D" w:rsidP="00241F66">
            <w:pPr>
              <w:pStyle w:val="tabletext"/>
              <w:ind w:left="0"/>
            </w:pPr>
            <w:r w:rsidRPr="00125157">
              <w:t>Australian Securities and Investments Commission (ASIC)</w:t>
            </w:r>
          </w:p>
        </w:tc>
      </w:tr>
      <w:tr w:rsidR="00C9218D" w:rsidRPr="00D07D96" w14:paraId="294D91D4" w14:textId="77777777" w:rsidTr="003F092F">
        <w:trPr>
          <w:trHeight w:val="283"/>
        </w:trPr>
        <w:tc>
          <w:tcPr>
            <w:tcW w:w="426" w:type="dxa"/>
            <w:vAlign w:val="center"/>
          </w:tcPr>
          <w:p w14:paraId="7FF16739" w14:textId="77777777" w:rsidR="00C9218D" w:rsidRPr="00125157" w:rsidRDefault="00C9218D" w:rsidP="00241F66">
            <w:pPr>
              <w:pStyle w:val="tabletext"/>
              <w:ind w:left="0"/>
            </w:pPr>
            <w:r>
              <w:t>11</w:t>
            </w:r>
          </w:p>
        </w:tc>
        <w:tc>
          <w:tcPr>
            <w:tcW w:w="7287" w:type="dxa"/>
            <w:vAlign w:val="center"/>
            <w:hideMark/>
          </w:tcPr>
          <w:p w14:paraId="6B11EA12" w14:textId="77777777" w:rsidR="00C9218D" w:rsidRPr="00125157" w:rsidRDefault="00C9218D" w:rsidP="00241F66">
            <w:pPr>
              <w:pStyle w:val="tabletext"/>
              <w:ind w:left="0"/>
            </w:pPr>
            <w:r w:rsidRPr="00125157">
              <w:t>Australian Taxation Office</w:t>
            </w:r>
            <w:r>
              <w:t xml:space="preserve"> (CONFIDENTIAL SUBMISSION)</w:t>
            </w:r>
          </w:p>
        </w:tc>
      </w:tr>
      <w:tr w:rsidR="00C9218D" w:rsidRPr="00D07D96" w14:paraId="27DC9EB7" w14:textId="77777777" w:rsidTr="003F092F">
        <w:trPr>
          <w:trHeight w:val="283"/>
        </w:trPr>
        <w:tc>
          <w:tcPr>
            <w:tcW w:w="426" w:type="dxa"/>
            <w:vAlign w:val="center"/>
          </w:tcPr>
          <w:p w14:paraId="1FE02B0A" w14:textId="77777777" w:rsidR="00C9218D" w:rsidRDefault="00C9218D" w:rsidP="00241F66">
            <w:pPr>
              <w:pStyle w:val="tabletext"/>
              <w:ind w:left="0"/>
            </w:pPr>
            <w:r>
              <w:t>12</w:t>
            </w:r>
          </w:p>
        </w:tc>
        <w:tc>
          <w:tcPr>
            <w:tcW w:w="7287" w:type="dxa"/>
            <w:vAlign w:val="center"/>
          </w:tcPr>
          <w:p w14:paraId="75DFDADF" w14:textId="239C6C24" w:rsidR="00C9218D" w:rsidRPr="00125157" w:rsidRDefault="00C9218D" w:rsidP="00241F66">
            <w:pPr>
              <w:pStyle w:val="tabletext"/>
              <w:ind w:left="0"/>
            </w:pPr>
            <w:r>
              <w:t>Australian Women</w:t>
            </w:r>
            <w:r w:rsidR="009349BC">
              <w:t>’</w:t>
            </w:r>
            <w:r>
              <w:t>s Chamber of Commerce and Industry</w:t>
            </w:r>
          </w:p>
        </w:tc>
      </w:tr>
      <w:tr w:rsidR="00C9218D" w:rsidRPr="00D07D96" w14:paraId="50E0F39F" w14:textId="77777777" w:rsidTr="003F092F">
        <w:trPr>
          <w:trHeight w:val="283"/>
        </w:trPr>
        <w:tc>
          <w:tcPr>
            <w:tcW w:w="426" w:type="dxa"/>
            <w:vAlign w:val="center"/>
          </w:tcPr>
          <w:p w14:paraId="55C19624" w14:textId="77777777" w:rsidR="00C9218D" w:rsidRPr="00125157" w:rsidRDefault="00C9218D" w:rsidP="00241F66">
            <w:pPr>
              <w:pStyle w:val="tabletext"/>
              <w:ind w:left="0"/>
            </w:pPr>
            <w:r>
              <w:t>13</w:t>
            </w:r>
          </w:p>
        </w:tc>
        <w:tc>
          <w:tcPr>
            <w:tcW w:w="7287" w:type="dxa"/>
            <w:vAlign w:val="center"/>
            <w:hideMark/>
          </w:tcPr>
          <w:p w14:paraId="7EA9BDBD" w14:textId="77777777" w:rsidR="00C9218D" w:rsidRPr="00125157" w:rsidRDefault="00C9218D" w:rsidP="00241F66">
            <w:pPr>
              <w:pStyle w:val="tabletext"/>
              <w:ind w:left="0"/>
            </w:pPr>
            <w:r w:rsidRPr="00125157">
              <w:t>AUSVEG</w:t>
            </w:r>
          </w:p>
        </w:tc>
      </w:tr>
      <w:tr w:rsidR="00C9218D" w:rsidRPr="00D07D96" w14:paraId="25F9C281" w14:textId="77777777" w:rsidTr="003F092F">
        <w:trPr>
          <w:trHeight w:val="283"/>
        </w:trPr>
        <w:tc>
          <w:tcPr>
            <w:tcW w:w="426" w:type="dxa"/>
            <w:vAlign w:val="center"/>
          </w:tcPr>
          <w:p w14:paraId="60EEED42" w14:textId="77777777" w:rsidR="00C9218D" w:rsidRPr="00125157" w:rsidRDefault="00C9218D" w:rsidP="00241F66">
            <w:pPr>
              <w:pStyle w:val="tabletext"/>
              <w:ind w:left="0"/>
            </w:pPr>
            <w:r>
              <w:t>14</w:t>
            </w:r>
          </w:p>
        </w:tc>
        <w:tc>
          <w:tcPr>
            <w:tcW w:w="7287" w:type="dxa"/>
            <w:vAlign w:val="center"/>
            <w:hideMark/>
          </w:tcPr>
          <w:p w14:paraId="4910D64A" w14:textId="77777777" w:rsidR="00C9218D" w:rsidRPr="00125157" w:rsidRDefault="00C9218D" w:rsidP="00241F66">
            <w:pPr>
              <w:pStyle w:val="tabletext"/>
              <w:ind w:left="0"/>
            </w:pPr>
            <w:r w:rsidRPr="00125157">
              <w:t>Customs and Border Protection</w:t>
            </w:r>
          </w:p>
        </w:tc>
      </w:tr>
      <w:tr w:rsidR="00C9218D" w:rsidRPr="00D07D96" w14:paraId="39BBE2D2" w14:textId="77777777" w:rsidTr="003F092F">
        <w:trPr>
          <w:trHeight w:val="283"/>
        </w:trPr>
        <w:tc>
          <w:tcPr>
            <w:tcW w:w="426" w:type="dxa"/>
            <w:vAlign w:val="center"/>
          </w:tcPr>
          <w:p w14:paraId="79A79EBC" w14:textId="77777777" w:rsidR="00C9218D" w:rsidRPr="00125157" w:rsidRDefault="00C9218D" w:rsidP="00241F66">
            <w:pPr>
              <w:pStyle w:val="tabletext"/>
              <w:ind w:left="0"/>
            </w:pPr>
            <w:r>
              <w:t>15</w:t>
            </w:r>
          </w:p>
        </w:tc>
        <w:tc>
          <w:tcPr>
            <w:tcW w:w="7287" w:type="dxa"/>
            <w:vAlign w:val="center"/>
            <w:hideMark/>
          </w:tcPr>
          <w:p w14:paraId="2E818444" w14:textId="77777777" w:rsidR="00C9218D" w:rsidRPr="00125157" w:rsidRDefault="00C9218D" w:rsidP="00241F66">
            <w:pPr>
              <w:pStyle w:val="tabletext"/>
              <w:ind w:left="0"/>
            </w:pPr>
            <w:r w:rsidRPr="00125157">
              <w:t>Deloitte Private Pty Ltd</w:t>
            </w:r>
          </w:p>
        </w:tc>
      </w:tr>
      <w:tr w:rsidR="00C9218D" w:rsidRPr="00D07D96" w14:paraId="61FAE15D" w14:textId="77777777" w:rsidTr="003F092F">
        <w:trPr>
          <w:trHeight w:val="283"/>
        </w:trPr>
        <w:tc>
          <w:tcPr>
            <w:tcW w:w="426" w:type="dxa"/>
            <w:vAlign w:val="center"/>
          </w:tcPr>
          <w:p w14:paraId="77F95C04" w14:textId="77777777" w:rsidR="00C9218D" w:rsidRPr="00125157" w:rsidRDefault="00C9218D" w:rsidP="00241F66">
            <w:pPr>
              <w:pStyle w:val="tabletext"/>
              <w:ind w:left="0"/>
            </w:pPr>
            <w:r>
              <w:t>16</w:t>
            </w:r>
          </w:p>
        </w:tc>
        <w:tc>
          <w:tcPr>
            <w:tcW w:w="7287" w:type="dxa"/>
            <w:vAlign w:val="center"/>
            <w:hideMark/>
          </w:tcPr>
          <w:p w14:paraId="344BFB77" w14:textId="77777777" w:rsidR="00C9218D" w:rsidRPr="00125157" w:rsidRDefault="00C9218D" w:rsidP="00241F66">
            <w:pPr>
              <w:pStyle w:val="tabletext"/>
              <w:ind w:left="0"/>
            </w:pPr>
            <w:r w:rsidRPr="00125157">
              <w:t>Department of Finance</w:t>
            </w:r>
          </w:p>
        </w:tc>
      </w:tr>
      <w:tr w:rsidR="00C9218D" w:rsidRPr="00125157" w14:paraId="2F856AF3" w14:textId="77777777" w:rsidTr="003F092F">
        <w:trPr>
          <w:trHeight w:val="283"/>
        </w:trPr>
        <w:tc>
          <w:tcPr>
            <w:tcW w:w="426" w:type="dxa"/>
            <w:vAlign w:val="center"/>
          </w:tcPr>
          <w:p w14:paraId="70A4A485" w14:textId="77777777" w:rsidR="00C9218D" w:rsidRPr="00125157" w:rsidRDefault="00C9218D" w:rsidP="00241F66">
            <w:pPr>
              <w:pStyle w:val="tabletext"/>
              <w:ind w:left="0"/>
            </w:pPr>
            <w:r>
              <w:t>17</w:t>
            </w:r>
          </w:p>
        </w:tc>
        <w:tc>
          <w:tcPr>
            <w:tcW w:w="7287" w:type="dxa"/>
            <w:vAlign w:val="center"/>
          </w:tcPr>
          <w:p w14:paraId="77486631" w14:textId="77777777" w:rsidR="00C9218D" w:rsidRPr="00125157" w:rsidRDefault="00C9218D" w:rsidP="00241F66">
            <w:pPr>
              <w:pStyle w:val="tabletext"/>
              <w:ind w:left="0"/>
            </w:pPr>
            <w:r w:rsidRPr="00125157">
              <w:t>Department of Foreign Affairs and Trade (Trade, Investment and Economic Diplomacy Division)</w:t>
            </w:r>
          </w:p>
        </w:tc>
      </w:tr>
      <w:tr w:rsidR="00C9218D" w:rsidRPr="00125157" w14:paraId="623F18E4" w14:textId="77777777" w:rsidTr="003F092F">
        <w:trPr>
          <w:trHeight w:val="283"/>
        </w:trPr>
        <w:tc>
          <w:tcPr>
            <w:tcW w:w="426" w:type="dxa"/>
            <w:vAlign w:val="center"/>
          </w:tcPr>
          <w:p w14:paraId="2C64BD93" w14:textId="77777777" w:rsidR="00C9218D" w:rsidRDefault="00C9218D" w:rsidP="00241F66">
            <w:pPr>
              <w:pStyle w:val="tabletext"/>
              <w:ind w:left="0"/>
            </w:pPr>
            <w:r>
              <w:t>18</w:t>
            </w:r>
          </w:p>
        </w:tc>
        <w:tc>
          <w:tcPr>
            <w:tcW w:w="7287" w:type="dxa"/>
            <w:vAlign w:val="center"/>
          </w:tcPr>
          <w:p w14:paraId="2FC98D51" w14:textId="77777777" w:rsidR="00C9218D" w:rsidRDefault="00C9218D" w:rsidP="00241F66">
            <w:pPr>
              <w:pStyle w:val="tabletext"/>
              <w:ind w:left="0"/>
            </w:pPr>
            <w:r w:rsidRPr="00125157">
              <w:t>Department of Infrastructure and Regional Development</w:t>
            </w:r>
          </w:p>
        </w:tc>
      </w:tr>
      <w:tr w:rsidR="00C9218D" w:rsidRPr="00125157" w14:paraId="00FF9B73" w14:textId="77777777" w:rsidTr="003F092F">
        <w:trPr>
          <w:trHeight w:val="283"/>
        </w:trPr>
        <w:tc>
          <w:tcPr>
            <w:tcW w:w="426" w:type="dxa"/>
            <w:vAlign w:val="center"/>
          </w:tcPr>
          <w:p w14:paraId="29AAD313" w14:textId="77777777" w:rsidR="00C9218D" w:rsidRDefault="00C9218D" w:rsidP="00241F66">
            <w:pPr>
              <w:pStyle w:val="tabletext"/>
              <w:ind w:left="0"/>
            </w:pPr>
            <w:r>
              <w:t>19</w:t>
            </w:r>
          </w:p>
        </w:tc>
        <w:tc>
          <w:tcPr>
            <w:tcW w:w="7287" w:type="dxa"/>
            <w:vAlign w:val="center"/>
          </w:tcPr>
          <w:p w14:paraId="19703721" w14:textId="77777777" w:rsidR="00C9218D" w:rsidRPr="00057C3C" w:rsidRDefault="00C9218D" w:rsidP="00241F66">
            <w:pPr>
              <w:pStyle w:val="tabletext"/>
              <w:ind w:left="0"/>
              <w:rPr>
                <w:bCs/>
              </w:rPr>
            </w:pPr>
            <w:r w:rsidRPr="00057C3C">
              <w:rPr>
                <w:bCs/>
              </w:rPr>
              <w:t>Energy &amp; Water Ombudsman NSW</w:t>
            </w:r>
          </w:p>
        </w:tc>
      </w:tr>
      <w:tr w:rsidR="00C9218D" w:rsidRPr="00D07D96" w14:paraId="09A463CF" w14:textId="77777777" w:rsidTr="003F092F">
        <w:trPr>
          <w:trHeight w:val="283"/>
        </w:trPr>
        <w:tc>
          <w:tcPr>
            <w:tcW w:w="426" w:type="dxa"/>
            <w:vAlign w:val="center"/>
          </w:tcPr>
          <w:p w14:paraId="68FB2F91" w14:textId="77777777" w:rsidR="00C9218D" w:rsidRPr="00125157" w:rsidRDefault="00C9218D" w:rsidP="00241F66">
            <w:pPr>
              <w:pStyle w:val="tabletext"/>
              <w:ind w:left="0"/>
            </w:pPr>
            <w:r>
              <w:t>20</w:t>
            </w:r>
          </w:p>
        </w:tc>
        <w:tc>
          <w:tcPr>
            <w:tcW w:w="7287" w:type="dxa"/>
            <w:vAlign w:val="center"/>
            <w:hideMark/>
          </w:tcPr>
          <w:p w14:paraId="075CAEA3" w14:textId="77777777" w:rsidR="00C9218D" w:rsidRPr="00125157" w:rsidRDefault="00C9218D" w:rsidP="00241F66">
            <w:pPr>
              <w:pStyle w:val="tabletext"/>
              <w:ind w:left="0"/>
            </w:pPr>
            <w:r w:rsidRPr="00125157">
              <w:t>Fair Work Ombudsman</w:t>
            </w:r>
          </w:p>
        </w:tc>
      </w:tr>
      <w:tr w:rsidR="00C9218D" w:rsidRPr="00D07D96" w14:paraId="6B2B088B" w14:textId="77777777" w:rsidTr="003F092F">
        <w:trPr>
          <w:trHeight w:val="283"/>
        </w:trPr>
        <w:tc>
          <w:tcPr>
            <w:tcW w:w="426" w:type="dxa"/>
            <w:vAlign w:val="center"/>
          </w:tcPr>
          <w:p w14:paraId="02959F58" w14:textId="77777777" w:rsidR="00C9218D" w:rsidRDefault="00C9218D" w:rsidP="00241F66">
            <w:pPr>
              <w:pStyle w:val="tabletext"/>
              <w:ind w:left="0"/>
            </w:pPr>
            <w:r>
              <w:t>21</w:t>
            </w:r>
          </w:p>
        </w:tc>
        <w:tc>
          <w:tcPr>
            <w:tcW w:w="7287" w:type="dxa"/>
            <w:vAlign w:val="center"/>
          </w:tcPr>
          <w:p w14:paraId="410EADB6" w14:textId="77777777" w:rsidR="00C9218D" w:rsidRPr="00125157" w:rsidRDefault="00C9218D" w:rsidP="00241F66">
            <w:pPr>
              <w:pStyle w:val="tabletext"/>
              <w:ind w:left="0"/>
            </w:pPr>
            <w:r>
              <w:t>Financial Ombudsman Service</w:t>
            </w:r>
          </w:p>
        </w:tc>
      </w:tr>
      <w:tr w:rsidR="00C9218D" w:rsidRPr="00D07D96" w14:paraId="1AE786F1" w14:textId="77777777" w:rsidTr="003F092F">
        <w:trPr>
          <w:trHeight w:val="283"/>
        </w:trPr>
        <w:tc>
          <w:tcPr>
            <w:tcW w:w="426" w:type="dxa"/>
            <w:vAlign w:val="center"/>
          </w:tcPr>
          <w:p w14:paraId="6CF39CC7" w14:textId="77777777" w:rsidR="00C9218D" w:rsidRPr="00125157" w:rsidRDefault="00C9218D" w:rsidP="00241F66">
            <w:pPr>
              <w:pStyle w:val="tabletext"/>
              <w:ind w:left="0"/>
            </w:pPr>
            <w:r>
              <w:t>22</w:t>
            </w:r>
          </w:p>
        </w:tc>
        <w:tc>
          <w:tcPr>
            <w:tcW w:w="7287" w:type="dxa"/>
            <w:vAlign w:val="center"/>
            <w:hideMark/>
          </w:tcPr>
          <w:p w14:paraId="58D267DE" w14:textId="77777777" w:rsidR="00C9218D" w:rsidRPr="00125157" w:rsidRDefault="00C9218D" w:rsidP="00241F66">
            <w:pPr>
              <w:pStyle w:val="tabletext"/>
              <w:ind w:left="0"/>
            </w:pPr>
            <w:r w:rsidRPr="00125157">
              <w:t>Franchise Council of Australia</w:t>
            </w:r>
          </w:p>
        </w:tc>
      </w:tr>
      <w:tr w:rsidR="00C9218D" w:rsidRPr="00D07D96" w14:paraId="7E00EC25" w14:textId="77777777" w:rsidTr="003F092F">
        <w:trPr>
          <w:trHeight w:val="283"/>
        </w:trPr>
        <w:tc>
          <w:tcPr>
            <w:tcW w:w="426" w:type="dxa"/>
            <w:vAlign w:val="center"/>
          </w:tcPr>
          <w:p w14:paraId="3F30967B" w14:textId="77777777" w:rsidR="00C9218D" w:rsidRPr="00125157" w:rsidRDefault="00C9218D" w:rsidP="00241F66">
            <w:pPr>
              <w:pStyle w:val="tabletext"/>
              <w:ind w:left="0"/>
            </w:pPr>
            <w:r>
              <w:t>23</w:t>
            </w:r>
          </w:p>
        </w:tc>
        <w:tc>
          <w:tcPr>
            <w:tcW w:w="7287" w:type="dxa"/>
            <w:vAlign w:val="center"/>
            <w:hideMark/>
          </w:tcPr>
          <w:p w14:paraId="4609B8BC" w14:textId="77777777" w:rsidR="00C9218D" w:rsidRPr="00125157" w:rsidRDefault="00C9218D" w:rsidP="00241F66">
            <w:pPr>
              <w:pStyle w:val="tabletext"/>
              <w:ind w:left="0"/>
            </w:pPr>
            <w:r w:rsidRPr="00125157">
              <w:t>Insurance Council of Australia</w:t>
            </w:r>
          </w:p>
        </w:tc>
      </w:tr>
      <w:tr w:rsidR="00C9218D" w:rsidRPr="00D07D96" w14:paraId="1D576013" w14:textId="77777777" w:rsidTr="003F092F">
        <w:trPr>
          <w:trHeight w:val="283"/>
        </w:trPr>
        <w:tc>
          <w:tcPr>
            <w:tcW w:w="426" w:type="dxa"/>
            <w:vAlign w:val="center"/>
          </w:tcPr>
          <w:p w14:paraId="04703E35" w14:textId="77777777" w:rsidR="00C9218D" w:rsidRPr="00125157" w:rsidRDefault="00C9218D" w:rsidP="00241F66">
            <w:pPr>
              <w:pStyle w:val="tabletext"/>
              <w:ind w:left="0"/>
            </w:pPr>
            <w:r>
              <w:t>24</w:t>
            </w:r>
          </w:p>
        </w:tc>
        <w:tc>
          <w:tcPr>
            <w:tcW w:w="7287" w:type="dxa"/>
            <w:vAlign w:val="center"/>
            <w:hideMark/>
          </w:tcPr>
          <w:p w14:paraId="610F26FB" w14:textId="77777777" w:rsidR="00C9218D" w:rsidRPr="00125157" w:rsidRDefault="00C9218D" w:rsidP="00241F66">
            <w:pPr>
              <w:pStyle w:val="tabletext"/>
              <w:ind w:left="0"/>
            </w:pPr>
            <w:r w:rsidRPr="00125157">
              <w:t>Intuit Australia</w:t>
            </w:r>
          </w:p>
        </w:tc>
      </w:tr>
      <w:tr w:rsidR="00C9218D" w:rsidRPr="00D07D96" w14:paraId="695D5DEA" w14:textId="77777777" w:rsidTr="003F092F">
        <w:trPr>
          <w:trHeight w:val="283"/>
        </w:trPr>
        <w:tc>
          <w:tcPr>
            <w:tcW w:w="426" w:type="dxa"/>
            <w:vAlign w:val="center"/>
          </w:tcPr>
          <w:p w14:paraId="3C0D7A2A" w14:textId="77777777" w:rsidR="00C9218D" w:rsidRPr="00125157" w:rsidRDefault="00C9218D" w:rsidP="00241F66">
            <w:pPr>
              <w:pStyle w:val="tabletext"/>
              <w:ind w:left="0"/>
            </w:pPr>
            <w:r>
              <w:t>25</w:t>
            </w:r>
          </w:p>
        </w:tc>
        <w:tc>
          <w:tcPr>
            <w:tcW w:w="7287" w:type="dxa"/>
            <w:vAlign w:val="center"/>
            <w:hideMark/>
          </w:tcPr>
          <w:p w14:paraId="6C147F1D" w14:textId="77777777" w:rsidR="00C9218D" w:rsidRPr="00125157" w:rsidRDefault="00C9218D" w:rsidP="00241F66">
            <w:pPr>
              <w:pStyle w:val="tabletext"/>
              <w:ind w:left="0"/>
            </w:pPr>
            <w:proofErr w:type="spellStart"/>
            <w:r w:rsidRPr="00125157">
              <w:t>Kirit</w:t>
            </w:r>
            <w:proofErr w:type="spellEnd"/>
            <w:r w:rsidRPr="00125157">
              <w:t xml:space="preserve"> </w:t>
            </w:r>
            <w:proofErr w:type="spellStart"/>
            <w:r w:rsidRPr="00125157">
              <w:t>Ruparelia</w:t>
            </w:r>
            <w:proofErr w:type="spellEnd"/>
          </w:p>
        </w:tc>
      </w:tr>
      <w:tr w:rsidR="00C9218D" w:rsidRPr="00D07D96" w14:paraId="1415077C" w14:textId="77777777" w:rsidTr="003F092F">
        <w:trPr>
          <w:trHeight w:val="283"/>
        </w:trPr>
        <w:tc>
          <w:tcPr>
            <w:tcW w:w="426" w:type="dxa"/>
            <w:vAlign w:val="center"/>
          </w:tcPr>
          <w:p w14:paraId="3DE8C6E1" w14:textId="77777777" w:rsidR="00C9218D" w:rsidRPr="00125157" w:rsidRDefault="00C9218D" w:rsidP="00241F66">
            <w:pPr>
              <w:pStyle w:val="tabletext"/>
              <w:ind w:left="0"/>
            </w:pPr>
            <w:r>
              <w:t>26</w:t>
            </w:r>
          </w:p>
        </w:tc>
        <w:tc>
          <w:tcPr>
            <w:tcW w:w="7287" w:type="dxa"/>
            <w:vAlign w:val="center"/>
            <w:hideMark/>
          </w:tcPr>
          <w:p w14:paraId="26227CA8" w14:textId="77777777" w:rsidR="00C9218D" w:rsidRPr="00125157" w:rsidRDefault="00C9218D" w:rsidP="00241F66">
            <w:pPr>
              <w:pStyle w:val="tabletext"/>
              <w:ind w:left="0"/>
            </w:pPr>
            <w:r w:rsidRPr="00125157">
              <w:t>Law Council of Australia (SME Committee)</w:t>
            </w:r>
          </w:p>
        </w:tc>
      </w:tr>
      <w:tr w:rsidR="00C9218D" w:rsidRPr="00D07D96" w14:paraId="3DD23323" w14:textId="77777777" w:rsidTr="003F092F">
        <w:trPr>
          <w:trHeight w:val="283"/>
        </w:trPr>
        <w:tc>
          <w:tcPr>
            <w:tcW w:w="426" w:type="dxa"/>
            <w:vAlign w:val="center"/>
          </w:tcPr>
          <w:p w14:paraId="05CCDA58" w14:textId="77777777" w:rsidR="00C9218D" w:rsidRPr="00125157" w:rsidRDefault="00C9218D" w:rsidP="00241F66">
            <w:pPr>
              <w:pStyle w:val="tabletext"/>
              <w:ind w:left="0"/>
            </w:pPr>
            <w:r>
              <w:t>27</w:t>
            </w:r>
          </w:p>
        </w:tc>
        <w:tc>
          <w:tcPr>
            <w:tcW w:w="7287" w:type="dxa"/>
            <w:vAlign w:val="center"/>
            <w:hideMark/>
          </w:tcPr>
          <w:p w14:paraId="1EE12196" w14:textId="28C87B1E" w:rsidR="00C9218D" w:rsidRPr="00125157" w:rsidRDefault="00C9218D" w:rsidP="00241F66">
            <w:pPr>
              <w:pStyle w:val="tabletext"/>
              <w:ind w:left="0"/>
            </w:pPr>
            <w:proofErr w:type="spellStart"/>
            <w:r w:rsidRPr="00125157">
              <w:t>Ufuomanefe</w:t>
            </w:r>
            <w:proofErr w:type="spellEnd"/>
            <w:r w:rsidRPr="00125157">
              <w:t xml:space="preserve"> Levy (</w:t>
            </w:r>
            <w:proofErr w:type="spellStart"/>
            <w:r w:rsidRPr="00125157">
              <w:t>Nefe</w:t>
            </w:r>
            <w:r w:rsidR="009349BC">
              <w:t>’</w:t>
            </w:r>
            <w:r w:rsidRPr="00125157">
              <w:t>s</w:t>
            </w:r>
            <w:proofErr w:type="spellEnd"/>
            <w:r w:rsidRPr="00125157">
              <w:t xml:space="preserve"> Family </w:t>
            </w:r>
            <w:proofErr w:type="spellStart"/>
            <w:r w:rsidRPr="00125157">
              <w:t>Daycare</w:t>
            </w:r>
            <w:proofErr w:type="spellEnd"/>
            <w:r w:rsidRPr="00125157">
              <w:t>)</w:t>
            </w:r>
          </w:p>
        </w:tc>
      </w:tr>
      <w:tr w:rsidR="00C9218D" w:rsidRPr="00D07D96" w14:paraId="2EBFF88C" w14:textId="77777777" w:rsidTr="003F092F">
        <w:trPr>
          <w:trHeight w:val="283"/>
        </w:trPr>
        <w:tc>
          <w:tcPr>
            <w:tcW w:w="426" w:type="dxa"/>
            <w:vAlign w:val="center"/>
          </w:tcPr>
          <w:p w14:paraId="44008FAB" w14:textId="77777777" w:rsidR="00C9218D" w:rsidRPr="00125157" w:rsidRDefault="00C9218D" w:rsidP="00241F66">
            <w:pPr>
              <w:pStyle w:val="tabletext"/>
              <w:ind w:left="0"/>
            </w:pPr>
            <w:r>
              <w:t>28</w:t>
            </w:r>
          </w:p>
        </w:tc>
        <w:tc>
          <w:tcPr>
            <w:tcW w:w="7287" w:type="dxa"/>
            <w:vAlign w:val="center"/>
            <w:hideMark/>
          </w:tcPr>
          <w:p w14:paraId="649477AC" w14:textId="77777777" w:rsidR="00C9218D" w:rsidRPr="00125157" w:rsidRDefault="00C9218D" w:rsidP="00241F66">
            <w:pPr>
              <w:pStyle w:val="tabletext"/>
              <w:ind w:left="0"/>
            </w:pPr>
            <w:r w:rsidRPr="00125157">
              <w:t>LEADER and IAMA</w:t>
            </w:r>
          </w:p>
        </w:tc>
      </w:tr>
      <w:tr w:rsidR="00C9218D" w:rsidRPr="00D07D96" w14:paraId="52F08B4D" w14:textId="77777777" w:rsidTr="003F092F">
        <w:trPr>
          <w:trHeight w:val="283"/>
        </w:trPr>
        <w:tc>
          <w:tcPr>
            <w:tcW w:w="426" w:type="dxa"/>
            <w:vAlign w:val="center"/>
          </w:tcPr>
          <w:p w14:paraId="15AEDE64" w14:textId="77777777" w:rsidR="00C9218D" w:rsidRPr="00125157" w:rsidRDefault="00C9218D" w:rsidP="00241F66">
            <w:pPr>
              <w:pStyle w:val="tabletext"/>
              <w:ind w:left="0"/>
            </w:pPr>
            <w:r>
              <w:t>29</w:t>
            </w:r>
          </w:p>
        </w:tc>
        <w:tc>
          <w:tcPr>
            <w:tcW w:w="7287" w:type="dxa"/>
            <w:vAlign w:val="center"/>
            <w:hideMark/>
          </w:tcPr>
          <w:p w14:paraId="70965966" w14:textId="77777777" w:rsidR="00C9218D" w:rsidRPr="00125157" w:rsidRDefault="00C9218D" w:rsidP="00241F66">
            <w:pPr>
              <w:pStyle w:val="tabletext"/>
              <w:ind w:left="0"/>
            </w:pPr>
            <w:r w:rsidRPr="00125157">
              <w:t>Mediator Standards Board</w:t>
            </w:r>
          </w:p>
        </w:tc>
      </w:tr>
      <w:tr w:rsidR="00C9218D" w:rsidRPr="00D07D96" w14:paraId="367E9F97" w14:textId="77777777" w:rsidTr="003F092F">
        <w:trPr>
          <w:trHeight w:val="283"/>
        </w:trPr>
        <w:tc>
          <w:tcPr>
            <w:tcW w:w="426" w:type="dxa"/>
            <w:vAlign w:val="center"/>
          </w:tcPr>
          <w:p w14:paraId="711CDC5D" w14:textId="77777777" w:rsidR="00C9218D" w:rsidRPr="00125157" w:rsidRDefault="00C9218D" w:rsidP="00241F66">
            <w:pPr>
              <w:pStyle w:val="tabletext"/>
              <w:ind w:left="0"/>
            </w:pPr>
            <w:r>
              <w:t>30</w:t>
            </w:r>
          </w:p>
        </w:tc>
        <w:tc>
          <w:tcPr>
            <w:tcW w:w="7287" w:type="dxa"/>
            <w:vAlign w:val="center"/>
            <w:hideMark/>
          </w:tcPr>
          <w:p w14:paraId="7B3EE25A" w14:textId="77777777" w:rsidR="00C9218D" w:rsidRPr="00125157" w:rsidRDefault="00C9218D" w:rsidP="00241F66">
            <w:pPr>
              <w:pStyle w:val="tabletext"/>
              <w:ind w:left="0"/>
            </w:pPr>
            <w:r w:rsidRPr="00125157">
              <w:t>Motor Trades Association Queensland</w:t>
            </w:r>
          </w:p>
        </w:tc>
      </w:tr>
      <w:tr w:rsidR="00C9218D" w:rsidRPr="00D07D96" w14:paraId="60F69F81" w14:textId="77777777" w:rsidTr="003F092F">
        <w:trPr>
          <w:trHeight w:val="283"/>
        </w:trPr>
        <w:tc>
          <w:tcPr>
            <w:tcW w:w="426" w:type="dxa"/>
            <w:vAlign w:val="center"/>
          </w:tcPr>
          <w:p w14:paraId="32BD384D" w14:textId="77777777" w:rsidR="00C9218D" w:rsidRPr="00125157" w:rsidRDefault="00C9218D" w:rsidP="00241F66">
            <w:pPr>
              <w:pStyle w:val="tabletext"/>
              <w:ind w:left="0"/>
            </w:pPr>
            <w:r>
              <w:t>31</w:t>
            </w:r>
          </w:p>
        </w:tc>
        <w:tc>
          <w:tcPr>
            <w:tcW w:w="7287" w:type="dxa"/>
            <w:vAlign w:val="center"/>
            <w:hideMark/>
          </w:tcPr>
          <w:p w14:paraId="2025B0A6" w14:textId="77777777" w:rsidR="00C9218D" w:rsidRPr="00125157" w:rsidRDefault="00C9218D" w:rsidP="00241F66">
            <w:pPr>
              <w:pStyle w:val="tabletext"/>
              <w:ind w:left="0"/>
            </w:pPr>
            <w:r w:rsidRPr="00125157">
              <w:t>Mr Hamilton Dwight Walker</w:t>
            </w:r>
          </w:p>
        </w:tc>
      </w:tr>
      <w:tr w:rsidR="00C9218D" w:rsidRPr="00D07D96" w14:paraId="1415F99C" w14:textId="77777777" w:rsidTr="003F092F">
        <w:trPr>
          <w:trHeight w:val="283"/>
        </w:trPr>
        <w:tc>
          <w:tcPr>
            <w:tcW w:w="426" w:type="dxa"/>
            <w:vAlign w:val="center"/>
          </w:tcPr>
          <w:p w14:paraId="7051F17A" w14:textId="77777777" w:rsidR="00C9218D" w:rsidRPr="00125157" w:rsidRDefault="00C9218D" w:rsidP="00241F66">
            <w:pPr>
              <w:pStyle w:val="tabletext"/>
              <w:ind w:left="0"/>
            </w:pPr>
            <w:r>
              <w:t>32</w:t>
            </w:r>
          </w:p>
        </w:tc>
        <w:tc>
          <w:tcPr>
            <w:tcW w:w="7287" w:type="dxa"/>
            <w:vAlign w:val="center"/>
            <w:hideMark/>
          </w:tcPr>
          <w:p w14:paraId="12A9B874" w14:textId="77777777" w:rsidR="00C9218D" w:rsidRPr="00125157" w:rsidRDefault="00C9218D" w:rsidP="00241F66">
            <w:pPr>
              <w:pStyle w:val="tabletext"/>
              <w:ind w:left="0"/>
            </w:pPr>
            <w:r w:rsidRPr="00125157">
              <w:t>National Farmers Federation</w:t>
            </w:r>
          </w:p>
        </w:tc>
      </w:tr>
      <w:tr w:rsidR="00C9218D" w:rsidRPr="00125157" w14:paraId="2D2A7021" w14:textId="77777777" w:rsidTr="003F092F">
        <w:trPr>
          <w:trHeight w:val="283"/>
        </w:trPr>
        <w:tc>
          <w:tcPr>
            <w:tcW w:w="426" w:type="dxa"/>
            <w:vAlign w:val="center"/>
          </w:tcPr>
          <w:p w14:paraId="2A158361" w14:textId="77777777" w:rsidR="00C9218D" w:rsidRPr="00125157" w:rsidRDefault="00C9218D" w:rsidP="00241F66">
            <w:pPr>
              <w:pStyle w:val="tabletext"/>
              <w:ind w:left="0"/>
            </w:pPr>
            <w:r>
              <w:t>33</w:t>
            </w:r>
          </w:p>
        </w:tc>
        <w:tc>
          <w:tcPr>
            <w:tcW w:w="7287" w:type="dxa"/>
            <w:vAlign w:val="center"/>
          </w:tcPr>
          <w:p w14:paraId="165DF270" w14:textId="77777777" w:rsidR="00C9218D" w:rsidRPr="00125157" w:rsidRDefault="00C9218D" w:rsidP="00241F66">
            <w:pPr>
              <w:pStyle w:val="tabletext"/>
              <w:ind w:left="0"/>
            </w:pPr>
            <w:r w:rsidRPr="00125157">
              <w:t>NSW Small Business Commissioner</w:t>
            </w:r>
          </w:p>
        </w:tc>
      </w:tr>
      <w:tr w:rsidR="00C9218D" w:rsidRPr="00D07D96" w14:paraId="3B15B564" w14:textId="77777777" w:rsidTr="003F092F">
        <w:trPr>
          <w:trHeight w:val="283"/>
        </w:trPr>
        <w:tc>
          <w:tcPr>
            <w:tcW w:w="426" w:type="dxa"/>
            <w:vAlign w:val="center"/>
          </w:tcPr>
          <w:p w14:paraId="501C79BB" w14:textId="77777777" w:rsidR="00C9218D" w:rsidRPr="00125157" w:rsidRDefault="00C9218D" w:rsidP="00241F66">
            <w:pPr>
              <w:pStyle w:val="tabletext"/>
              <w:ind w:left="0"/>
            </w:pPr>
            <w:r>
              <w:t>34</w:t>
            </w:r>
          </w:p>
        </w:tc>
        <w:tc>
          <w:tcPr>
            <w:tcW w:w="7287" w:type="dxa"/>
            <w:vAlign w:val="center"/>
            <w:hideMark/>
          </w:tcPr>
          <w:p w14:paraId="6F76C94E" w14:textId="77777777" w:rsidR="00C9218D" w:rsidRPr="00125157" w:rsidRDefault="00C9218D" w:rsidP="00241F66">
            <w:pPr>
              <w:pStyle w:val="tabletext"/>
              <w:ind w:left="0"/>
            </w:pPr>
            <w:r w:rsidRPr="00125157">
              <w:t>Queensland Department of Tourism, Major Events, Small Business and the Commonwealth Games</w:t>
            </w:r>
          </w:p>
        </w:tc>
      </w:tr>
      <w:tr w:rsidR="00C9218D" w:rsidRPr="00D07D96" w14:paraId="73D960C7" w14:textId="77777777" w:rsidTr="003F092F">
        <w:trPr>
          <w:trHeight w:val="283"/>
        </w:trPr>
        <w:tc>
          <w:tcPr>
            <w:tcW w:w="426" w:type="dxa"/>
            <w:vAlign w:val="center"/>
          </w:tcPr>
          <w:p w14:paraId="4ADC8123" w14:textId="77777777" w:rsidR="00C9218D" w:rsidRPr="00125157" w:rsidRDefault="00C9218D" w:rsidP="00241F66">
            <w:pPr>
              <w:pStyle w:val="tabletext"/>
              <w:ind w:left="0"/>
            </w:pPr>
            <w:r>
              <w:t>35</w:t>
            </w:r>
          </w:p>
        </w:tc>
        <w:tc>
          <w:tcPr>
            <w:tcW w:w="7287" w:type="dxa"/>
            <w:vAlign w:val="center"/>
            <w:hideMark/>
          </w:tcPr>
          <w:p w14:paraId="08530452" w14:textId="77777777" w:rsidR="00C9218D" w:rsidRPr="00125157" w:rsidRDefault="00C9218D" w:rsidP="00241F66">
            <w:pPr>
              <w:pStyle w:val="tabletext"/>
              <w:ind w:left="0"/>
            </w:pPr>
            <w:r w:rsidRPr="00125157">
              <w:t>Queensland Energy and Water Ombudsman</w:t>
            </w:r>
          </w:p>
        </w:tc>
      </w:tr>
      <w:tr w:rsidR="00C9218D" w:rsidRPr="00D07D96" w14:paraId="2F60A565" w14:textId="77777777" w:rsidTr="003F092F">
        <w:trPr>
          <w:trHeight w:val="283"/>
        </w:trPr>
        <w:tc>
          <w:tcPr>
            <w:tcW w:w="426" w:type="dxa"/>
            <w:vAlign w:val="center"/>
          </w:tcPr>
          <w:p w14:paraId="7562ABD3" w14:textId="77777777" w:rsidR="00C9218D" w:rsidRPr="00125157" w:rsidRDefault="00C9218D" w:rsidP="00241F66">
            <w:pPr>
              <w:pStyle w:val="tabletext"/>
              <w:ind w:left="0"/>
            </w:pPr>
            <w:r>
              <w:t>36</w:t>
            </w:r>
          </w:p>
        </w:tc>
        <w:tc>
          <w:tcPr>
            <w:tcW w:w="7287" w:type="dxa"/>
            <w:vAlign w:val="center"/>
            <w:hideMark/>
          </w:tcPr>
          <w:p w14:paraId="6566AF51" w14:textId="77777777" w:rsidR="00C9218D" w:rsidRPr="00125157" w:rsidRDefault="00C9218D" w:rsidP="00241F66">
            <w:pPr>
              <w:pStyle w:val="tabletext"/>
              <w:ind w:left="0"/>
            </w:pPr>
            <w:r w:rsidRPr="00125157">
              <w:t>Restaurant and Catering Australia</w:t>
            </w:r>
          </w:p>
        </w:tc>
      </w:tr>
      <w:tr w:rsidR="00C9218D" w:rsidRPr="00D07D96" w14:paraId="6DE1861B" w14:textId="77777777" w:rsidTr="003F092F">
        <w:trPr>
          <w:trHeight w:val="283"/>
        </w:trPr>
        <w:tc>
          <w:tcPr>
            <w:tcW w:w="426" w:type="dxa"/>
            <w:vAlign w:val="center"/>
          </w:tcPr>
          <w:p w14:paraId="29B5EDE8" w14:textId="77777777" w:rsidR="00C9218D" w:rsidRPr="00125157" w:rsidRDefault="00C9218D" w:rsidP="00241F66">
            <w:pPr>
              <w:pStyle w:val="tabletext"/>
              <w:ind w:left="0"/>
            </w:pPr>
            <w:r>
              <w:t>37</w:t>
            </w:r>
          </w:p>
        </w:tc>
        <w:tc>
          <w:tcPr>
            <w:tcW w:w="7287" w:type="dxa"/>
            <w:vAlign w:val="center"/>
            <w:hideMark/>
          </w:tcPr>
          <w:p w14:paraId="4374AB6E" w14:textId="77777777" w:rsidR="00C9218D" w:rsidRPr="00125157" w:rsidRDefault="00C9218D" w:rsidP="00241F66">
            <w:pPr>
              <w:pStyle w:val="tabletext"/>
              <w:ind w:left="0"/>
            </w:pPr>
            <w:r w:rsidRPr="00125157">
              <w:t>Shopping Centre Council of Australia</w:t>
            </w:r>
          </w:p>
        </w:tc>
      </w:tr>
      <w:tr w:rsidR="00C9218D" w:rsidRPr="00D07D96" w14:paraId="79AAEA63" w14:textId="77777777" w:rsidTr="003F092F">
        <w:trPr>
          <w:trHeight w:val="283"/>
        </w:trPr>
        <w:tc>
          <w:tcPr>
            <w:tcW w:w="426" w:type="dxa"/>
            <w:vAlign w:val="center"/>
          </w:tcPr>
          <w:p w14:paraId="7FE2B044" w14:textId="77777777" w:rsidR="00C9218D" w:rsidRPr="00125157" w:rsidRDefault="00C9218D" w:rsidP="00241F66">
            <w:pPr>
              <w:pStyle w:val="tabletext"/>
              <w:ind w:left="0"/>
            </w:pPr>
            <w:r>
              <w:t>38</w:t>
            </w:r>
          </w:p>
        </w:tc>
        <w:tc>
          <w:tcPr>
            <w:tcW w:w="7287" w:type="dxa"/>
            <w:vAlign w:val="center"/>
            <w:hideMark/>
          </w:tcPr>
          <w:p w14:paraId="369127A6" w14:textId="77777777" w:rsidR="00C9218D" w:rsidRPr="00125157" w:rsidRDefault="00C9218D" w:rsidP="00241F66">
            <w:pPr>
              <w:pStyle w:val="tabletext"/>
              <w:ind w:left="0"/>
            </w:pPr>
            <w:r w:rsidRPr="00125157">
              <w:t>South Australia Chamber of Commerce and Industry</w:t>
            </w:r>
          </w:p>
        </w:tc>
      </w:tr>
      <w:tr w:rsidR="00C9218D" w:rsidRPr="00D07D96" w14:paraId="39E58B84" w14:textId="77777777" w:rsidTr="003F092F">
        <w:trPr>
          <w:trHeight w:val="283"/>
        </w:trPr>
        <w:tc>
          <w:tcPr>
            <w:tcW w:w="426" w:type="dxa"/>
            <w:vAlign w:val="center"/>
          </w:tcPr>
          <w:p w14:paraId="2CEEC510" w14:textId="77777777" w:rsidR="00C9218D" w:rsidRPr="00125157" w:rsidRDefault="00C9218D" w:rsidP="00241F66">
            <w:pPr>
              <w:pStyle w:val="tabletext"/>
              <w:ind w:left="0"/>
            </w:pPr>
            <w:r>
              <w:t>39</w:t>
            </w:r>
          </w:p>
        </w:tc>
        <w:tc>
          <w:tcPr>
            <w:tcW w:w="7287" w:type="dxa"/>
            <w:vAlign w:val="center"/>
            <w:hideMark/>
          </w:tcPr>
          <w:p w14:paraId="5F0ABC45" w14:textId="77777777" w:rsidR="00C9218D" w:rsidRPr="00125157" w:rsidRDefault="00C9218D" w:rsidP="00241F66">
            <w:pPr>
              <w:pStyle w:val="tabletext"/>
              <w:ind w:left="0"/>
            </w:pPr>
            <w:r w:rsidRPr="00125157">
              <w:t>South Australia Small Business Commissioner</w:t>
            </w:r>
          </w:p>
        </w:tc>
      </w:tr>
      <w:tr w:rsidR="00C9218D" w:rsidRPr="00D07D96" w14:paraId="179703AC" w14:textId="77777777" w:rsidTr="003F092F">
        <w:trPr>
          <w:trHeight w:val="283"/>
        </w:trPr>
        <w:tc>
          <w:tcPr>
            <w:tcW w:w="426" w:type="dxa"/>
            <w:vAlign w:val="center"/>
          </w:tcPr>
          <w:p w14:paraId="362628BC" w14:textId="77777777" w:rsidR="00C9218D" w:rsidRPr="00125157" w:rsidRDefault="00C9218D" w:rsidP="00241F66">
            <w:pPr>
              <w:pStyle w:val="tabletext"/>
              <w:ind w:left="0"/>
            </w:pPr>
            <w:r>
              <w:t>40</w:t>
            </w:r>
          </w:p>
        </w:tc>
        <w:tc>
          <w:tcPr>
            <w:tcW w:w="7287" w:type="dxa"/>
            <w:vAlign w:val="center"/>
            <w:hideMark/>
          </w:tcPr>
          <w:p w14:paraId="70F58FB5" w14:textId="77777777" w:rsidR="00C9218D" w:rsidRPr="00125157" w:rsidRDefault="00C9218D" w:rsidP="00241F66">
            <w:pPr>
              <w:pStyle w:val="tabletext"/>
              <w:ind w:left="0"/>
            </w:pPr>
            <w:r w:rsidRPr="00125157">
              <w:t>Telecommunications Industry Ombudsman (TIO)</w:t>
            </w:r>
          </w:p>
        </w:tc>
      </w:tr>
    </w:tbl>
    <w:p w14:paraId="58D7A7BF" w14:textId="406ADBDF" w:rsidR="003F092F" w:rsidRDefault="003F092F">
      <w:r>
        <w:br w:type="page"/>
      </w:r>
    </w:p>
    <w:p w14:paraId="22CD7E16" w14:textId="168E186F" w:rsidR="003F092F" w:rsidRDefault="003F092F" w:rsidP="003F092F">
      <w:pPr>
        <w:pStyle w:val="TableHeadingoutsidetable"/>
        <w:numPr>
          <w:ilvl w:val="4"/>
          <w:numId w:val="47"/>
        </w:numPr>
        <w:ind w:left="0"/>
      </w:pPr>
      <w:r>
        <w:t>: Formal submissions (continued)</w:t>
      </w:r>
    </w:p>
    <w:tbl>
      <w:tblPr>
        <w:tblStyle w:val="TableGrid"/>
        <w:tblW w:w="0" w:type="auto"/>
        <w:tblInd w:w="108" w:type="dxa"/>
        <w:tblLook w:val="04A0" w:firstRow="1" w:lastRow="0" w:firstColumn="1" w:lastColumn="0" w:noHBand="0" w:noVBand="1"/>
      </w:tblPr>
      <w:tblGrid>
        <w:gridCol w:w="426"/>
        <w:gridCol w:w="7287"/>
      </w:tblGrid>
      <w:tr w:rsidR="00C9218D" w:rsidRPr="00D07D96" w14:paraId="3C5582EA" w14:textId="77777777" w:rsidTr="003F092F">
        <w:trPr>
          <w:trHeight w:val="283"/>
        </w:trPr>
        <w:tc>
          <w:tcPr>
            <w:tcW w:w="426" w:type="dxa"/>
            <w:vAlign w:val="center"/>
          </w:tcPr>
          <w:p w14:paraId="1774AD23" w14:textId="6495908F" w:rsidR="00C9218D" w:rsidRPr="00125157" w:rsidRDefault="00C9218D" w:rsidP="00241F66">
            <w:pPr>
              <w:pStyle w:val="tabletext"/>
              <w:ind w:left="0"/>
            </w:pPr>
            <w:r>
              <w:t>41</w:t>
            </w:r>
          </w:p>
        </w:tc>
        <w:tc>
          <w:tcPr>
            <w:tcW w:w="7287" w:type="dxa"/>
            <w:vAlign w:val="center"/>
            <w:hideMark/>
          </w:tcPr>
          <w:p w14:paraId="7222CE69" w14:textId="77777777" w:rsidR="00C9218D" w:rsidRPr="00125157" w:rsidRDefault="00C9218D" w:rsidP="00241F66">
            <w:pPr>
              <w:pStyle w:val="tabletext"/>
              <w:ind w:left="0"/>
            </w:pPr>
            <w:r w:rsidRPr="00125157">
              <w:t>Victorian Energy and Water Ombudsman</w:t>
            </w:r>
          </w:p>
        </w:tc>
      </w:tr>
      <w:tr w:rsidR="00C9218D" w:rsidRPr="00D07D96" w14:paraId="70677F75" w14:textId="77777777" w:rsidTr="003F092F">
        <w:trPr>
          <w:trHeight w:val="283"/>
        </w:trPr>
        <w:tc>
          <w:tcPr>
            <w:tcW w:w="426" w:type="dxa"/>
            <w:vAlign w:val="center"/>
          </w:tcPr>
          <w:p w14:paraId="378C0CB9" w14:textId="77777777" w:rsidR="00C9218D" w:rsidRPr="00125157" w:rsidRDefault="00C9218D" w:rsidP="00241F66">
            <w:pPr>
              <w:pStyle w:val="tabletext"/>
              <w:ind w:left="0"/>
            </w:pPr>
            <w:r>
              <w:t>42</w:t>
            </w:r>
          </w:p>
        </w:tc>
        <w:tc>
          <w:tcPr>
            <w:tcW w:w="7287" w:type="dxa"/>
            <w:vAlign w:val="center"/>
            <w:hideMark/>
          </w:tcPr>
          <w:p w14:paraId="12D0D426" w14:textId="77777777" w:rsidR="00C9218D" w:rsidRPr="00125157" w:rsidRDefault="00C9218D" w:rsidP="00241F66">
            <w:pPr>
              <w:pStyle w:val="tabletext"/>
              <w:ind w:left="0"/>
            </w:pPr>
            <w:r w:rsidRPr="00125157">
              <w:t>Victorian Small Business Commissioner</w:t>
            </w:r>
          </w:p>
        </w:tc>
      </w:tr>
      <w:tr w:rsidR="00C9218D" w:rsidRPr="00D07D96" w14:paraId="49074606" w14:textId="77777777" w:rsidTr="003F092F">
        <w:trPr>
          <w:trHeight w:val="283"/>
        </w:trPr>
        <w:tc>
          <w:tcPr>
            <w:tcW w:w="426" w:type="dxa"/>
            <w:vAlign w:val="center"/>
          </w:tcPr>
          <w:p w14:paraId="4D919A8C" w14:textId="77777777" w:rsidR="00C9218D" w:rsidRDefault="00C9218D" w:rsidP="00241F66">
            <w:pPr>
              <w:pStyle w:val="tabletext"/>
              <w:ind w:left="0"/>
            </w:pPr>
            <w:r>
              <w:t>43</w:t>
            </w:r>
          </w:p>
        </w:tc>
        <w:tc>
          <w:tcPr>
            <w:tcW w:w="7287" w:type="dxa"/>
            <w:vAlign w:val="center"/>
          </w:tcPr>
          <w:p w14:paraId="65E2CE0A" w14:textId="77777777" w:rsidR="00C9218D" w:rsidRPr="00125157" w:rsidRDefault="00C9218D" w:rsidP="00241F66">
            <w:pPr>
              <w:pStyle w:val="tabletext"/>
              <w:ind w:left="0"/>
            </w:pPr>
            <w:r>
              <w:t>WA Small Business Commissioner</w:t>
            </w:r>
          </w:p>
        </w:tc>
      </w:tr>
      <w:tr w:rsidR="00C9218D" w:rsidRPr="00D07D96" w14:paraId="0DDCFE00" w14:textId="77777777" w:rsidTr="003F092F">
        <w:trPr>
          <w:trHeight w:val="283"/>
        </w:trPr>
        <w:tc>
          <w:tcPr>
            <w:tcW w:w="426" w:type="dxa"/>
            <w:vAlign w:val="center"/>
          </w:tcPr>
          <w:p w14:paraId="37163FB4" w14:textId="77777777" w:rsidR="00C9218D" w:rsidRPr="00125157" w:rsidRDefault="00C9218D" w:rsidP="00241F66">
            <w:pPr>
              <w:pStyle w:val="tabletext"/>
              <w:ind w:left="0"/>
            </w:pPr>
            <w:r>
              <w:t>44</w:t>
            </w:r>
          </w:p>
        </w:tc>
        <w:tc>
          <w:tcPr>
            <w:tcW w:w="7287" w:type="dxa"/>
            <w:vAlign w:val="center"/>
            <w:hideMark/>
          </w:tcPr>
          <w:p w14:paraId="6B96A8F7" w14:textId="77777777" w:rsidR="00C9218D" w:rsidRPr="00125157" w:rsidRDefault="00C9218D" w:rsidP="00241F66">
            <w:pPr>
              <w:pStyle w:val="tabletext"/>
              <w:ind w:left="0"/>
            </w:pPr>
            <w:r w:rsidRPr="00125157">
              <w:t>Winemakers Federation of Australia</w:t>
            </w:r>
          </w:p>
        </w:tc>
      </w:tr>
    </w:tbl>
    <w:p w14:paraId="7208F99F" w14:textId="77777777" w:rsidR="00C9218D" w:rsidRDefault="00213898" w:rsidP="003F092F">
      <w:pPr>
        <w:pStyle w:val="TableHeadingoutsidetable"/>
        <w:spacing w:before="240"/>
        <w:ind w:left="0"/>
      </w:pPr>
      <w:r>
        <w:t xml:space="preserve">: </w:t>
      </w:r>
      <w:r w:rsidR="00C9218D">
        <w:t>Face to face and teleconference consultations</w:t>
      </w:r>
    </w:p>
    <w:tbl>
      <w:tblPr>
        <w:tblStyle w:val="TableGrid"/>
        <w:tblW w:w="0" w:type="auto"/>
        <w:tblInd w:w="108" w:type="dxa"/>
        <w:tblLook w:val="04A0" w:firstRow="1" w:lastRow="0" w:firstColumn="1" w:lastColumn="0" w:noHBand="0" w:noVBand="1"/>
      </w:tblPr>
      <w:tblGrid>
        <w:gridCol w:w="426"/>
        <w:gridCol w:w="5244"/>
        <w:gridCol w:w="2043"/>
      </w:tblGrid>
      <w:tr w:rsidR="00C9218D" w14:paraId="3F89C00A" w14:textId="77777777" w:rsidTr="003F092F">
        <w:tc>
          <w:tcPr>
            <w:tcW w:w="426" w:type="dxa"/>
          </w:tcPr>
          <w:p w14:paraId="5D5D4EBB" w14:textId="77777777" w:rsidR="00C9218D" w:rsidRDefault="00C9218D" w:rsidP="00974BC3">
            <w:pPr>
              <w:keepNext/>
              <w:keepLines/>
              <w:ind w:left="0"/>
              <w:rPr>
                <w:b/>
              </w:rPr>
            </w:pPr>
          </w:p>
        </w:tc>
        <w:tc>
          <w:tcPr>
            <w:tcW w:w="5244" w:type="dxa"/>
            <w:vAlign w:val="center"/>
          </w:tcPr>
          <w:p w14:paraId="5FA25371" w14:textId="77777777" w:rsidR="00C9218D" w:rsidRDefault="00C9218D" w:rsidP="00974BC3">
            <w:pPr>
              <w:pStyle w:val="tableheaderwithintable"/>
              <w:keepLines/>
            </w:pPr>
            <w:r>
              <w:t>Organisation</w:t>
            </w:r>
          </w:p>
        </w:tc>
        <w:tc>
          <w:tcPr>
            <w:tcW w:w="2043" w:type="dxa"/>
            <w:vAlign w:val="center"/>
          </w:tcPr>
          <w:p w14:paraId="71680B63" w14:textId="77777777" w:rsidR="00C9218D" w:rsidRDefault="00C9218D" w:rsidP="00974BC3">
            <w:pPr>
              <w:pStyle w:val="tableheaderwithintable"/>
              <w:keepLines/>
            </w:pPr>
            <w:r>
              <w:t>Meeting location/ teleconference</w:t>
            </w:r>
          </w:p>
        </w:tc>
      </w:tr>
      <w:tr w:rsidR="00C9218D" w14:paraId="6D9EB5F2" w14:textId="77777777" w:rsidTr="003F092F">
        <w:tc>
          <w:tcPr>
            <w:tcW w:w="426" w:type="dxa"/>
          </w:tcPr>
          <w:p w14:paraId="229908D7" w14:textId="77777777" w:rsidR="00C9218D" w:rsidRPr="00B77F55" w:rsidRDefault="00C9218D" w:rsidP="00974BC3">
            <w:pPr>
              <w:pStyle w:val="tabletext"/>
              <w:keepNext/>
              <w:keepLines/>
              <w:ind w:left="0"/>
            </w:pPr>
            <w:r w:rsidRPr="00B77F55">
              <w:t>1</w:t>
            </w:r>
          </w:p>
        </w:tc>
        <w:tc>
          <w:tcPr>
            <w:tcW w:w="5244" w:type="dxa"/>
            <w:vAlign w:val="center"/>
          </w:tcPr>
          <w:p w14:paraId="63F4E556" w14:textId="77777777" w:rsidR="00C9218D" w:rsidRDefault="00C9218D" w:rsidP="00974BC3">
            <w:pPr>
              <w:pStyle w:val="tabletext"/>
              <w:keepNext/>
              <w:keepLines/>
              <w:ind w:left="0"/>
            </w:pPr>
            <w:r>
              <w:t>Australasian Association of Convenience Stores</w:t>
            </w:r>
          </w:p>
        </w:tc>
        <w:tc>
          <w:tcPr>
            <w:tcW w:w="2043" w:type="dxa"/>
            <w:vAlign w:val="center"/>
          </w:tcPr>
          <w:p w14:paraId="450F0E27" w14:textId="77777777" w:rsidR="00C9218D" w:rsidRPr="004C60FF" w:rsidRDefault="00C9218D" w:rsidP="00974BC3">
            <w:pPr>
              <w:pStyle w:val="tabletext"/>
              <w:keepNext/>
              <w:keepLines/>
              <w:ind w:left="0"/>
            </w:pPr>
            <w:r>
              <w:t>Teleconference</w:t>
            </w:r>
          </w:p>
        </w:tc>
      </w:tr>
      <w:tr w:rsidR="00C9218D" w14:paraId="638CF02A" w14:textId="77777777" w:rsidTr="003F092F">
        <w:tc>
          <w:tcPr>
            <w:tcW w:w="426" w:type="dxa"/>
          </w:tcPr>
          <w:p w14:paraId="7CB70590" w14:textId="77777777" w:rsidR="00C9218D" w:rsidRPr="00B77F55" w:rsidRDefault="00C9218D" w:rsidP="00974BC3">
            <w:pPr>
              <w:pStyle w:val="tabletext"/>
              <w:keepNext/>
              <w:keepLines/>
              <w:ind w:left="0"/>
            </w:pPr>
            <w:r w:rsidRPr="00B77F55">
              <w:t>2</w:t>
            </w:r>
          </w:p>
        </w:tc>
        <w:tc>
          <w:tcPr>
            <w:tcW w:w="5244" w:type="dxa"/>
            <w:vAlign w:val="center"/>
          </w:tcPr>
          <w:p w14:paraId="145D60DF" w14:textId="77777777" w:rsidR="00C9218D" w:rsidRDefault="00C9218D" w:rsidP="00974BC3">
            <w:pPr>
              <w:pStyle w:val="tabletext"/>
              <w:keepNext/>
              <w:keepLines/>
              <w:ind w:left="0"/>
            </w:pPr>
            <w:r>
              <w:t>Australia and New Zealand Ombudsman Association / Telecommunications Industry Ombudsman</w:t>
            </w:r>
          </w:p>
        </w:tc>
        <w:tc>
          <w:tcPr>
            <w:tcW w:w="2043" w:type="dxa"/>
            <w:vAlign w:val="center"/>
          </w:tcPr>
          <w:p w14:paraId="5D5A12B7" w14:textId="77777777" w:rsidR="00C9218D" w:rsidRDefault="00C9218D" w:rsidP="00974BC3">
            <w:pPr>
              <w:pStyle w:val="tabletext"/>
              <w:keepNext/>
              <w:keepLines/>
              <w:ind w:left="0"/>
            </w:pPr>
            <w:r>
              <w:t>Melbourne</w:t>
            </w:r>
          </w:p>
        </w:tc>
      </w:tr>
      <w:tr w:rsidR="00C9218D" w14:paraId="7260EB77" w14:textId="77777777" w:rsidTr="003F092F">
        <w:tc>
          <w:tcPr>
            <w:tcW w:w="426" w:type="dxa"/>
          </w:tcPr>
          <w:p w14:paraId="30E65480" w14:textId="77777777" w:rsidR="00C9218D" w:rsidRPr="00B77F55" w:rsidRDefault="00C9218D" w:rsidP="00241F66">
            <w:pPr>
              <w:pStyle w:val="tabletext"/>
              <w:ind w:left="0"/>
            </w:pPr>
            <w:r w:rsidRPr="00B77F55">
              <w:t>3</w:t>
            </w:r>
          </w:p>
        </w:tc>
        <w:tc>
          <w:tcPr>
            <w:tcW w:w="5244" w:type="dxa"/>
            <w:vAlign w:val="center"/>
          </w:tcPr>
          <w:p w14:paraId="0F4472CB" w14:textId="4E9B87E7" w:rsidR="00C9218D" w:rsidRDefault="00C9218D" w:rsidP="00241F66">
            <w:pPr>
              <w:pStyle w:val="tabletext"/>
              <w:ind w:left="0"/>
            </w:pPr>
            <w:r>
              <w:t>Australian Bankers</w:t>
            </w:r>
            <w:r w:rsidR="009349BC">
              <w:t>’</w:t>
            </w:r>
            <w:r>
              <w:t xml:space="preserve"> Association Ltd</w:t>
            </w:r>
          </w:p>
        </w:tc>
        <w:tc>
          <w:tcPr>
            <w:tcW w:w="2043" w:type="dxa"/>
            <w:vAlign w:val="center"/>
          </w:tcPr>
          <w:p w14:paraId="4FF48360" w14:textId="77777777" w:rsidR="00C9218D" w:rsidRDefault="00C9218D" w:rsidP="00241F66">
            <w:pPr>
              <w:pStyle w:val="tabletext"/>
              <w:ind w:left="0"/>
            </w:pPr>
            <w:r>
              <w:t>Sydney</w:t>
            </w:r>
          </w:p>
        </w:tc>
      </w:tr>
      <w:tr w:rsidR="00C9218D" w14:paraId="1460E1F7" w14:textId="77777777" w:rsidTr="003F092F">
        <w:tc>
          <w:tcPr>
            <w:tcW w:w="426" w:type="dxa"/>
          </w:tcPr>
          <w:p w14:paraId="0B361C29" w14:textId="77777777" w:rsidR="00C9218D" w:rsidRPr="00B77F55" w:rsidRDefault="00C9218D" w:rsidP="00241F66">
            <w:pPr>
              <w:pStyle w:val="tabletext"/>
              <w:ind w:left="0"/>
            </w:pPr>
            <w:r w:rsidRPr="00B77F55">
              <w:t>4</w:t>
            </w:r>
          </w:p>
        </w:tc>
        <w:tc>
          <w:tcPr>
            <w:tcW w:w="5244" w:type="dxa"/>
            <w:vAlign w:val="center"/>
          </w:tcPr>
          <w:p w14:paraId="35E301F9" w14:textId="77777777" w:rsidR="00C9218D" w:rsidRDefault="00C9218D" w:rsidP="00241F66">
            <w:pPr>
              <w:pStyle w:val="tabletext"/>
              <w:ind w:left="0"/>
            </w:pPr>
            <w:r>
              <w:t>Australian Capital Territory Economic Directorate</w:t>
            </w:r>
          </w:p>
        </w:tc>
        <w:tc>
          <w:tcPr>
            <w:tcW w:w="2043" w:type="dxa"/>
            <w:vAlign w:val="center"/>
          </w:tcPr>
          <w:p w14:paraId="60CF8652" w14:textId="77777777" w:rsidR="00C9218D" w:rsidRPr="004C60FF" w:rsidRDefault="00C9218D" w:rsidP="00241F66">
            <w:pPr>
              <w:pStyle w:val="tabletext"/>
              <w:ind w:left="0"/>
            </w:pPr>
            <w:r>
              <w:t>Canberra</w:t>
            </w:r>
          </w:p>
        </w:tc>
      </w:tr>
      <w:tr w:rsidR="00C9218D" w14:paraId="794EA094" w14:textId="77777777" w:rsidTr="003F092F">
        <w:tc>
          <w:tcPr>
            <w:tcW w:w="426" w:type="dxa"/>
          </w:tcPr>
          <w:p w14:paraId="63C982F7" w14:textId="77777777" w:rsidR="00C9218D" w:rsidRPr="00B77F55" w:rsidRDefault="00C9218D" w:rsidP="00241F66">
            <w:pPr>
              <w:pStyle w:val="tabletext"/>
              <w:ind w:left="0"/>
            </w:pPr>
            <w:r w:rsidRPr="00B77F55">
              <w:t>5</w:t>
            </w:r>
          </w:p>
        </w:tc>
        <w:tc>
          <w:tcPr>
            <w:tcW w:w="5244" w:type="dxa"/>
            <w:vAlign w:val="center"/>
          </w:tcPr>
          <w:p w14:paraId="44B22D73" w14:textId="77777777" w:rsidR="00C9218D" w:rsidRDefault="00C9218D" w:rsidP="00241F66">
            <w:pPr>
              <w:pStyle w:val="tabletext"/>
              <w:ind w:left="0"/>
            </w:pPr>
            <w:r>
              <w:t>Australian Chamber of Fruit and Vegetable Industries</w:t>
            </w:r>
          </w:p>
        </w:tc>
        <w:tc>
          <w:tcPr>
            <w:tcW w:w="2043" w:type="dxa"/>
            <w:vAlign w:val="center"/>
          </w:tcPr>
          <w:p w14:paraId="028667F4" w14:textId="77777777" w:rsidR="00C9218D" w:rsidRPr="004C60FF" w:rsidRDefault="00C9218D" w:rsidP="00241F66">
            <w:pPr>
              <w:pStyle w:val="tabletext"/>
              <w:ind w:left="0"/>
            </w:pPr>
            <w:r>
              <w:t>Brisbane</w:t>
            </w:r>
          </w:p>
        </w:tc>
      </w:tr>
      <w:tr w:rsidR="00C9218D" w14:paraId="5F0DB525" w14:textId="77777777" w:rsidTr="003F092F">
        <w:tc>
          <w:tcPr>
            <w:tcW w:w="426" w:type="dxa"/>
          </w:tcPr>
          <w:p w14:paraId="58733CA9" w14:textId="77777777" w:rsidR="00C9218D" w:rsidRPr="00B77F55" w:rsidRDefault="00C9218D" w:rsidP="00241F66">
            <w:pPr>
              <w:pStyle w:val="tabletext"/>
              <w:ind w:left="0"/>
            </w:pPr>
            <w:r w:rsidRPr="00B77F55">
              <w:t>6</w:t>
            </w:r>
          </w:p>
        </w:tc>
        <w:tc>
          <w:tcPr>
            <w:tcW w:w="5244" w:type="dxa"/>
            <w:vAlign w:val="center"/>
          </w:tcPr>
          <w:p w14:paraId="57EB0991" w14:textId="77777777" w:rsidR="00C9218D" w:rsidRDefault="00C9218D" w:rsidP="00241F66">
            <w:pPr>
              <w:pStyle w:val="tabletext"/>
              <w:ind w:left="0"/>
            </w:pPr>
            <w:r>
              <w:t>Australian Competition and Consumer Commission</w:t>
            </w:r>
          </w:p>
        </w:tc>
        <w:tc>
          <w:tcPr>
            <w:tcW w:w="2043" w:type="dxa"/>
            <w:vAlign w:val="center"/>
          </w:tcPr>
          <w:p w14:paraId="6EDAE846" w14:textId="77777777" w:rsidR="00C9218D" w:rsidRPr="004C60FF" w:rsidRDefault="00C9218D" w:rsidP="00241F66">
            <w:pPr>
              <w:pStyle w:val="tabletext"/>
              <w:ind w:left="0"/>
            </w:pPr>
            <w:r>
              <w:t>Teleconference</w:t>
            </w:r>
          </w:p>
        </w:tc>
      </w:tr>
      <w:tr w:rsidR="00C9218D" w14:paraId="4B6A110E" w14:textId="77777777" w:rsidTr="003F092F">
        <w:tc>
          <w:tcPr>
            <w:tcW w:w="426" w:type="dxa"/>
          </w:tcPr>
          <w:p w14:paraId="2BEB460D" w14:textId="77777777" w:rsidR="00C9218D" w:rsidRPr="00B77F55" w:rsidRDefault="00C9218D" w:rsidP="00241F66">
            <w:pPr>
              <w:pStyle w:val="tabletext"/>
              <w:ind w:left="0"/>
            </w:pPr>
            <w:r w:rsidRPr="00B77F55">
              <w:t>7</w:t>
            </w:r>
          </w:p>
        </w:tc>
        <w:tc>
          <w:tcPr>
            <w:tcW w:w="5244" w:type="dxa"/>
            <w:vAlign w:val="center"/>
          </w:tcPr>
          <w:p w14:paraId="7BEB32FE" w14:textId="77777777" w:rsidR="00C9218D" w:rsidRDefault="00C9218D" w:rsidP="00241F66">
            <w:pPr>
              <w:pStyle w:val="tabletext"/>
              <w:ind w:left="0"/>
            </w:pPr>
            <w:r>
              <w:t>Australian Food and Grocery Council</w:t>
            </w:r>
          </w:p>
        </w:tc>
        <w:tc>
          <w:tcPr>
            <w:tcW w:w="2043" w:type="dxa"/>
            <w:vAlign w:val="center"/>
          </w:tcPr>
          <w:p w14:paraId="0910250D" w14:textId="77777777" w:rsidR="00C9218D" w:rsidRPr="004C60FF" w:rsidRDefault="00C9218D" w:rsidP="00241F66">
            <w:pPr>
              <w:pStyle w:val="tabletext"/>
              <w:ind w:left="0"/>
            </w:pPr>
            <w:r>
              <w:t>Teleconference</w:t>
            </w:r>
          </w:p>
        </w:tc>
      </w:tr>
      <w:tr w:rsidR="00C9218D" w14:paraId="09A1C815" w14:textId="77777777" w:rsidTr="003F092F">
        <w:tc>
          <w:tcPr>
            <w:tcW w:w="426" w:type="dxa"/>
          </w:tcPr>
          <w:p w14:paraId="3F1D1BCE" w14:textId="77777777" w:rsidR="00C9218D" w:rsidRPr="00B77F55" w:rsidRDefault="00C9218D" w:rsidP="00241F66">
            <w:pPr>
              <w:pStyle w:val="tabletext"/>
              <w:ind w:left="0"/>
            </w:pPr>
            <w:r w:rsidRPr="00B77F55">
              <w:t>8</w:t>
            </w:r>
          </w:p>
        </w:tc>
        <w:tc>
          <w:tcPr>
            <w:tcW w:w="5244" w:type="dxa"/>
            <w:vAlign w:val="center"/>
          </w:tcPr>
          <w:p w14:paraId="5AC07FE2" w14:textId="4D2483C4" w:rsidR="00C9218D" w:rsidRDefault="00C9218D" w:rsidP="00241F66">
            <w:pPr>
              <w:pStyle w:val="tabletext"/>
              <w:ind w:left="0"/>
            </w:pPr>
            <w:r>
              <w:t>Australian Retailers</w:t>
            </w:r>
            <w:r w:rsidR="009349BC">
              <w:t>’</w:t>
            </w:r>
            <w:r>
              <w:t xml:space="preserve"> Association</w:t>
            </w:r>
          </w:p>
        </w:tc>
        <w:tc>
          <w:tcPr>
            <w:tcW w:w="2043" w:type="dxa"/>
            <w:vAlign w:val="center"/>
          </w:tcPr>
          <w:p w14:paraId="25F6D6F9" w14:textId="77777777" w:rsidR="00C9218D" w:rsidRDefault="00C9218D" w:rsidP="00241F66">
            <w:pPr>
              <w:pStyle w:val="tabletext"/>
              <w:ind w:left="0"/>
            </w:pPr>
            <w:r>
              <w:t>Sydney</w:t>
            </w:r>
          </w:p>
        </w:tc>
      </w:tr>
      <w:tr w:rsidR="00C9218D" w14:paraId="4F4FC814" w14:textId="77777777" w:rsidTr="003F092F">
        <w:tc>
          <w:tcPr>
            <w:tcW w:w="426" w:type="dxa"/>
          </w:tcPr>
          <w:p w14:paraId="1E8574E5" w14:textId="77777777" w:rsidR="00C9218D" w:rsidRPr="00B77F55" w:rsidRDefault="00C9218D" w:rsidP="00241F66">
            <w:pPr>
              <w:pStyle w:val="tabletext"/>
              <w:ind w:left="0"/>
            </w:pPr>
            <w:r w:rsidRPr="00B77F55">
              <w:t>9</w:t>
            </w:r>
          </w:p>
        </w:tc>
        <w:tc>
          <w:tcPr>
            <w:tcW w:w="5244" w:type="dxa"/>
            <w:vAlign w:val="center"/>
          </w:tcPr>
          <w:p w14:paraId="00E22F91" w14:textId="01AA42C2" w:rsidR="00C9218D" w:rsidRDefault="00C9218D" w:rsidP="00241F66">
            <w:pPr>
              <w:pStyle w:val="tabletext"/>
              <w:ind w:left="0"/>
            </w:pPr>
            <w:r>
              <w:t>Australian Women</w:t>
            </w:r>
            <w:r w:rsidR="009349BC">
              <w:t>’</w:t>
            </w:r>
            <w:r>
              <w:t>s Chamber of Commerce and Industry</w:t>
            </w:r>
          </w:p>
        </w:tc>
        <w:tc>
          <w:tcPr>
            <w:tcW w:w="2043" w:type="dxa"/>
            <w:vAlign w:val="center"/>
          </w:tcPr>
          <w:p w14:paraId="00476DE6" w14:textId="77777777" w:rsidR="00C9218D" w:rsidRPr="004C60FF" w:rsidRDefault="00C9218D" w:rsidP="00241F66">
            <w:pPr>
              <w:pStyle w:val="tabletext"/>
              <w:ind w:left="0"/>
            </w:pPr>
            <w:r>
              <w:t>Teleconference</w:t>
            </w:r>
          </w:p>
        </w:tc>
      </w:tr>
      <w:tr w:rsidR="00C9218D" w14:paraId="34A806A3" w14:textId="77777777" w:rsidTr="003F092F">
        <w:tc>
          <w:tcPr>
            <w:tcW w:w="426" w:type="dxa"/>
          </w:tcPr>
          <w:p w14:paraId="42BB7D18" w14:textId="77777777" w:rsidR="00C9218D" w:rsidRPr="00B77F55" w:rsidRDefault="00C9218D" w:rsidP="00241F66">
            <w:pPr>
              <w:pStyle w:val="tabletext"/>
              <w:ind w:left="0"/>
            </w:pPr>
            <w:r w:rsidRPr="00B77F55">
              <w:t>10</w:t>
            </w:r>
          </w:p>
        </w:tc>
        <w:tc>
          <w:tcPr>
            <w:tcW w:w="5244" w:type="dxa"/>
            <w:vAlign w:val="center"/>
          </w:tcPr>
          <w:p w14:paraId="2DBADD48" w14:textId="77777777" w:rsidR="00C9218D" w:rsidRDefault="00C9218D" w:rsidP="00241F66">
            <w:pPr>
              <w:pStyle w:val="tabletext"/>
              <w:ind w:left="0"/>
            </w:pPr>
            <w:r>
              <w:t>Business Enterprise Centres Australia</w:t>
            </w:r>
          </w:p>
        </w:tc>
        <w:tc>
          <w:tcPr>
            <w:tcW w:w="2043" w:type="dxa"/>
            <w:vAlign w:val="center"/>
          </w:tcPr>
          <w:p w14:paraId="74C7EBA5" w14:textId="77777777" w:rsidR="00C9218D" w:rsidRDefault="00C9218D" w:rsidP="00241F66">
            <w:pPr>
              <w:pStyle w:val="tabletext"/>
              <w:ind w:left="0"/>
            </w:pPr>
            <w:r>
              <w:t>Teleconference</w:t>
            </w:r>
          </w:p>
        </w:tc>
      </w:tr>
      <w:tr w:rsidR="00C9218D" w14:paraId="099EECC4" w14:textId="77777777" w:rsidTr="003F092F">
        <w:tc>
          <w:tcPr>
            <w:tcW w:w="426" w:type="dxa"/>
          </w:tcPr>
          <w:p w14:paraId="2D13720F" w14:textId="77777777" w:rsidR="00C9218D" w:rsidRPr="00B77F55" w:rsidRDefault="00C9218D" w:rsidP="00241F66">
            <w:pPr>
              <w:pStyle w:val="tabletext"/>
              <w:ind w:left="0"/>
            </w:pPr>
            <w:r w:rsidRPr="00B77F55">
              <w:t>11</w:t>
            </w:r>
          </w:p>
        </w:tc>
        <w:tc>
          <w:tcPr>
            <w:tcW w:w="5244" w:type="dxa"/>
            <w:vAlign w:val="center"/>
          </w:tcPr>
          <w:p w14:paraId="5E0B70EE" w14:textId="77777777" w:rsidR="00C9218D" w:rsidRDefault="00C9218D" w:rsidP="00241F66">
            <w:pPr>
              <w:pStyle w:val="tabletext"/>
              <w:ind w:left="0"/>
            </w:pPr>
            <w:r>
              <w:t xml:space="preserve">CPA Australia </w:t>
            </w:r>
          </w:p>
        </w:tc>
        <w:tc>
          <w:tcPr>
            <w:tcW w:w="2043" w:type="dxa"/>
            <w:vAlign w:val="center"/>
          </w:tcPr>
          <w:p w14:paraId="77F83F3D" w14:textId="77777777" w:rsidR="00C9218D" w:rsidRDefault="00C9218D" w:rsidP="00241F66">
            <w:pPr>
              <w:pStyle w:val="tabletext"/>
              <w:ind w:left="0"/>
            </w:pPr>
            <w:r>
              <w:t>Melbourne</w:t>
            </w:r>
          </w:p>
        </w:tc>
      </w:tr>
      <w:tr w:rsidR="00C9218D" w14:paraId="183514A2" w14:textId="77777777" w:rsidTr="003F092F">
        <w:tc>
          <w:tcPr>
            <w:tcW w:w="426" w:type="dxa"/>
          </w:tcPr>
          <w:p w14:paraId="30EDDA5E" w14:textId="77777777" w:rsidR="00C9218D" w:rsidRPr="00B77F55" w:rsidRDefault="00C9218D" w:rsidP="00241F66">
            <w:pPr>
              <w:pStyle w:val="tabletext"/>
              <w:ind w:left="0"/>
            </w:pPr>
            <w:r w:rsidRPr="00B77F55">
              <w:t>12</w:t>
            </w:r>
          </w:p>
        </w:tc>
        <w:tc>
          <w:tcPr>
            <w:tcW w:w="5244" w:type="dxa"/>
            <w:vAlign w:val="center"/>
          </w:tcPr>
          <w:p w14:paraId="2FDF26B6" w14:textId="77777777" w:rsidR="00C9218D" w:rsidRDefault="00C9218D" w:rsidP="00241F66">
            <w:pPr>
              <w:pStyle w:val="tabletext"/>
              <w:ind w:left="0"/>
            </w:pPr>
            <w:r>
              <w:t>Family Business Australia</w:t>
            </w:r>
          </w:p>
        </w:tc>
        <w:tc>
          <w:tcPr>
            <w:tcW w:w="2043" w:type="dxa"/>
            <w:vAlign w:val="center"/>
          </w:tcPr>
          <w:p w14:paraId="1EDCD070" w14:textId="77777777" w:rsidR="00C9218D" w:rsidRPr="004C60FF" w:rsidRDefault="00C9218D" w:rsidP="00241F66">
            <w:pPr>
              <w:pStyle w:val="tabletext"/>
              <w:ind w:left="0"/>
            </w:pPr>
            <w:r>
              <w:t>Melbourne</w:t>
            </w:r>
          </w:p>
        </w:tc>
      </w:tr>
      <w:tr w:rsidR="00C9218D" w14:paraId="32C733AF" w14:textId="77777777" w:rsidTr="003F092F">
        <w:tc>
          <w:tcPr>
            <w:tcW w:w="426" w:type="dxa"/>
          </w:tcPr>
          <w:p w14:paraId="47654A51" w14:textId="77777777" w:rsidR="00C9218D" w:rsidRPr="00B77F55" w:rsidRDefault="00C9218D" w:rsidP="00241F66">
            <w:pPr>
              <w:pStyle w:val="tabletext"/>
              <w:ind w:left="0"/>
            </w:pPr>
            <w:r w:rsidRPr="00B77F55">
              <w:t>13</w:t>
            </w:r>
          </w:p>
        </w:tc>
        <w:tc>
          <w:tcPr>
            <w:tcW w:w="5244" w:type="dxa"/>
            <w:vAlign w:val="center"/>
          </w:tcPr>
          <w:p w14:paraId="13E0D980" w14:textId="77777777" w:rsidR="00C9218D" w:rsidRDefault="00C9218D" w:rsidP="00241F66">
            <w:pPr>
              <w:pStyle w:val="tabletext"/>
              <w:ind w:left="0"/>
            </w:pPr>
            <w:r>
              <w:t>Financial Ombudsman Service</w:t>
            </w:r>
          </w:p>
        </w:tc>
        <w:tc>
          <w:tcPr>
            <w:tcW w:w="2043" w:type="dxa"/>
            <w:vAlign w:val="center"/>
          </w:tcPr>
          <w:p w14:paraId="3404AF56" w14:textId="77777777" w:rsidR="00C9218D" w:rsidRPr="004C60FF" w:rsidRDefault="00C9218D" w:rsidP="00241F66">
            <w:pPr>
              <w:pStyle w:val="tabletext"/>
              <w:ind w:left="0"/>
            </w:pPr>
            <w:r>
              <w:t>Teleconference</w:t>
            </w:r>
          </w:p>
        </w:tc>
      </w:tr>
      <w:tr w:rsidR="00C9218D" w14:paraId="7B4649FD" w14:textId="77777777" w:rsidTr="003F092F">
        <w:tc>
          <w:tcPr>
            <w:tcW w:w="426" w:type="dxa"/>
          </w:tcPr>
          <w:p w14:paraId="1F169851" w14:textId="77777777" w:rsidR="00C9218D" w:rsidRPr="00B77F55" w:rsidRDefault="00C9218D" w:rsidP="00241F66">
            <w:pPr>
              <w:pStyle w:val="tabletext"/>
              <w:ind w:left="0"/>
            </w:pPr>
            <w:r w:rsidRPr="00B77F55">
              <w:t>14</w:t>
            </w:r>
          </w:p>
        </w:tc>
        <w:tc>
          <w:tcPr>
            <w:tcW w:w="5244" w:type="dxa"/>
            <w:vAlign w:val="center"/>
          </w:tcPr>
          <w:p w14:paraId="40DE29CD" w14:textId="77777777" w:rsidR="00C9218D" w:rsidRDefault="00C9218D" w:rsidP="00241F66">
            <w:pPr>
              <w:pStyle w:val="tabletext"/>
              <w:ind w:left="0"/>
            </w:pPr>
            <w:r>
              <w:t>Franchise Council of Australia</w:t>
            </w:r>
          </w:p>
        </w:tc>
        <w:tc>
          <w:tcPr>
            <w:tcW w:w="2043" w:type="dxa"/>
            <w:vAlign w:val="center"/>
          </w:tcPr>
          <w:p w14:paraId="25F6772A" w14:textId="77777777" w:rsidR="00C9218D" w:rsidRDefault="00C9218D" w:rsidP="00241F66">
            <w:pPr>
              <w:pStyle w:val="tabletext"/>
              <w:ind w:left="0"/>
            </w:pPr>
            <w:r>
              <w:t>Melbourne</w:t>
            </w:r>
          </w:p>
        </w:tc>
      </w:tr>
      <w:tr w:rsidR="00C9218D" w14:paraId="48010E25" w14:textId="77777777" w:rsidTr="003F092F">
        <w:tc>
          <w:tcPr>
            <w:tcW w:w="426" w:type="dxa"/>
          </w:tcPr>
          <w:p w14:paraId="529176E7" w14:textId="77777777" w:rsidR="00C9218D" w:rsidRPr="00B77F55" w:rsidRDefault="00C9218D" w:rsidP="00241F66">
            <w:pPr>
              <w:pStyle w:val="tabletext"/>
              <w:ind w:left="0"/>
            </w:pPr>
            <w:r w:rsidRPr="00B77F55">
              <w:t>15</w:t>
            </w:r>
          </w:p>
        </w:tc>
        <w:tc>
          <w:tcPr>
            <w:tcW w:w="5244" w:type="dxa"/>
            <w:vAlign w:val="center"/>
          </w:tcPr>
          <w:p w14:paraId="318B6FD5" w14:textId="77777777" w:rsidR="00C9218D" w:rsidRDefault="00C9218D" w:rsidP="00241F66">
            <w:pPr>
              <w:pStyle w:val="tabletext"/>
              <w:ind w:left="0"/>
            </w:pPr>
            <w:r>
              <w:t>Fully Integrated Family Business (FINH) Pty Ltd</w:t>
            </w:r>
          </w:p>
        </w:tc>
        <w:tc>
          <w:tcPr>
            <w:tcW w:w="2043" w:type="dxa"/>
            <w:vAlign w:val="center"/>
          </w:tcPr>
          <w:p w14:paraId="4D4E1824" w14:textId="77777777" w:rsidR="00C9218D" w:rsidRPr="004C60FF" w:rsidRDefault="00C9218D" w:rsidP="00241F66">
            <w:pPr>
              <w:pStyle w:val="tabletext"/>
              <w:ind w:left="0"/>
            </w:pPr>
            <w:r>
              <w:t>Teleconference</w:t>
            </w:r>
          </w:p>
        </w:tc>
      </w:tr>
      <w:tr w:rsidR="00C9218D" w14:paraId="2E1E1DE4" w14:textId="77777777" w:rsidTr="003F092F">
        <w:tc>
          <w:tcPr>
            <w:tcW w:w="426" w:type="dxa"/>
          </w:tcPr>
          <w:p w14:paraId="6B887EF3" w14:textId="77777777" w:rsidR="00C9218D" w:rsidRPr="00B77F55" w:rsidRDefault="00C9218D" w:rsidP="00241F66">
            <w:pPr>
              <w:pStyle w:val="tabletext"/>
              <w:ind w:left="0"/>
            </w:pPr>
            <w:r w:rsidRPr="00B77F55">
              <w:t>16</w:t>
            </w:r>
          </w:p>
        </w:tc>
        <w:tc>
          <w:tcPr>
            <w:tcW w:w="5244" w:type="dxa"/>
            <w:vAlign w:val="center"/>
          </w:tcPr>
          <w:p w14:paraId="6E7B247D" w14:textId="77777777" w:rsidR="00C9218D" w:rsidRDefault="00C9218D" w:rsidP="00241F66">
            <w:pPr>
              <w:pStyle w:val="tabletext"/>
              <w:ind w:left="0"/>
            </w:pPr>
            <w:r>
              <w:t>Independent Contractors Australia</w:t>
            </w:r>
          </w:p>
        </w:tc>
        <w:tc>
          <w:tcPr>
            <w:tcW w:w="2043" w:type="dxa"/>
            <w:vAlign w:val="center"/>
          </w:tcPr>
          <w:p w14:paraId="0533C520" w14:textId="77777777" w:rsidR="00C9218D" w:rsidRPr="004C60FF" w:rsidRDefault="00C9218D" w:rsidP="00241F66">
            <w:pPr>
              <w:pStyle w:val="tabletext"/>
              <w:ind w:left="0"/>
            </w:pPr>
            <w:r>
              <w:t>Teleconference</w:t>
            </w:r>
          </w:p>
        </w:tc>
      </w:tr>
      <w:tr w:rsidR="00C9218D" w14:paraId="2334B5D2" w14:textId="77777777" w:rsidTr="003F092F">
        <w:tc>
          <w:tcPr>
            <w:tcW w:w="426" w:type="dxa"/>
          </w:tcPr>
          <w:p w14:paraId="546D6F52" w14:textId="77777777" w:rsidR="00C9218D" w:rsidRPr="00B77F55" w:rsidRDefault="00C9218D" w:rsidP="00241F66">
            <w:pPr>
              <w:pStyle w:val="tabletext"/>
              <w:ind w:left="0"/>
            </w:pPr>
            <w:r w:rsidRPr="00B77F55">
              <w:t>17</w:t>
            </w:r>
          </w:p>
        </w:tc>
        <w:tc>
          <w:tcPr>
            <w:tcW w:w="5244" w:type="dxa"/>
            <w:vAlign w:val="center"/>
          </w:tcPr>
          <w:p w14:paraId="05547F2C" w14:textId="77777777" w:rsidR="00C9218D" w:rsidRDefault="00C9218D" w:rsidP="00241F66">
            <w:pPr>
              <w:pStyle w:val="tabletext"/>
              <w:ind w:left="0"/>
            </w:pPr>
            <w:r>
              <w:t>Inspector General of Taxation</w:t>
            </w:r>
          </w:p>
        </w:tc>
        <w:tc>
          <w:tcPr>
            <w:tcW w:w="2043" w:type="dxa"/>
            <w:vAlign w:val="center"/>
          </w:tcPr>
          <w:p w14:paraId="159F816B" w14:textId="77777777" w:rsidR="00C9218D" w:rsidRDefault="00C9218D" w:rsidP="00241F66">
            <w:pPr>
              <w:pStyle w:val="tabletext"/>
              <w:ind w:left="0"/>
            </w:pPr>
            <w:r>
              <w:t>Sydney</w:t>
            </w:r>
          </w:p>
        </w:tc>
      </w:tr>
      <w:tr w:rsidR="00C9218D" w14:paraId="0E57FF94" w14:textId="77777777" w:rsidTr="003F092F">
        <w:tc>
          <w:tcPr>
            <w:tcW w:w="426" w:type="dxa"/>
          </w:tcPr>
          <w:p w14:paraId="38300BDC" w14:textId="77777777" w:rsidR="00C9218D" w:rsidRPr="00B77F55" w:rsidRDefault="00C9218D" w:rsidP="00241F66">
            <w:pPr>
              <w:pStyle w:val="tabletext"/>
              <w:ind w:left="0"/>
            </w:pPr>
            <w:r w:rsidRPr="00B77F55">
              <w:t>18</w:t>
            </w:r>
          </w:p>
        </w:tc>
        <w:tc>
          <w:tcPr>
            <w:tcW w:w="5244" w:type="dxa"/>
            <w:vAlign w:val="center"/>
          </w:tcPr>
          <w:p w14:paraId="2643D735" w14:textId="77777777" w:rsidR="00C9218D" w:rsidRDefault="00C9218D" w:rsidP="00241F66">
            <w:pPr>
              <w:pStyle w:val="tabletext"/>
              <w:ind w:left="0"/>
            </w:pPr>
            <w:r>
              <w:t>Institute of Public Accountants</w:t>
            </w:r>
          </w:p>
        </w:tc>
        <w:tc>
          <w:tcPr>
            <w:tcW w:w="2043" w:type="dxa"/>
            <w:vAlign w:val="center"/>
          </w:tcPr>
          <w:p w14:paraId="13A3CF65" w14:textId="77777777" w:rsidR="00C9218D" w:rsidRDefault="00C9218D" w:rsidP="00241F66">
            <w:pPr>
              <w:pStyle w:val="tabletext"/>
              <w:ind w:left="0"/>
            </w:pPr>
            <w:r>
              <w:t>Melbourne</w:t>
            </w:r>
          </w:p>
        </w:tc>
      </w:tr>
      <w:tr w:rsidR="00C9218D" w14:paraId="34586893" w14:textId="77777777" w:rsidTr="003F092F">
        <w:tc>
          <w:tcPr>
            <w:tcW w:w="426" w:type="dxa"/>
          </w:tcPr>
          <w:p w14:paraId="60F498D8" w14:textId="77777777" w:rsidR="00C9218D" w:rsidRPr="00B77F55" w:rsidRDefault="00C9218D" w:rsidP="00241F66">
            <w:pPr>
              <w:pStyle w:val="tabletext"/>
              <w:ind w:left="0"/>
            </w:pPr>
            <w:r w:rsidRPr="00B77F55">
              <w:t>19</w:t>
            </w:r>
          </w:p>
        </w:tc>
        <w:tc>
          <w:tcPr>
            <w:tcW w:w="5244" w:type="dxa"/>
            <w:vAlign w:val="center"/>
          </w:tcPr>
          <w:p w14:paraId="22988CA2" w14:textId="2453E7FB" w:rsidR="00C9218D" w:rsidRDefault="00C9218D" w:rsidP="00241F66">
            <w:pPr>
              <w:pStyle w:val="tabletext"/>
              <w:ind w:left="0"/>
            </w:pPr>
            <w:r>
              <w:t>LEADR</w:t>
            </w:r>
            <w:r w:rsidR="009349BC">
              <w:t xml:space="preserve"> — </w:t>
            </w:r>
            <w:r>
              <w:t>Association of Dispute Resolvers</w:t>
            </w:r>
          </w:p>
        </w:tc>
        <w:tc>
          <w:tcPr>
            <w:tcW w:w="2043" w:type="dxa"/>
            <w:vAlign w:val="center"/>
          </w:tcPr>
          <w:p w14:paraId="5157E77C" w14:textId="77777777" w:rsidR="00C9218D" w:rsidRDefault="00C9218D" w:rsidP="00241F66">
            <w:pPr>
              <w:pStyle w:val="tabletext"/>
              <w:ind w:left="0"/>
            </w:pPr>
            <w:r>
              <w:t>Sydney</w:t>
            </w:r>
          </w:p>
        </w:tc>
      </w:tr>
      <w:tr w:rsidR="00C9218D" w14:paraId="71A4EA58" w14:textId="77777777" w:rsidTr="003F092F">
        <w:tc>
          <w:tcPr>
            <w:tcW w:w="426" w:type="dxa"/>
          </w:tcPr>
          <w:p w14:paraId="3EB091CA" w14:textId="77777777" w:rsidR="00C9218D" w:rsidRPr="00B77F55" w:rsidRDefault="00C9218D" w:rsidP="00241F66">
            <w:pPr>
              <w:pStyle w:val="tabletext"/>
              <w:ind w:left="0"/>
            </w:pPr>
            <w:r w:rsidRPr="00B77F55">
              <w:t>20</w:t>
            </w:r>
          </w:p>
        </w:tc>
        <w:tc>
          <w:tcPr>
            <w:tcW w:w="5244" w:type="dxa"/>
            <w:vAlign w:val="center"/>
          </w:tcPr>
          <w:p w14:paraId="16D5C9AD" w14:textId="77777777" w:rsidR="00C9218D" w:rsidRDefault="00C9218D" w:rsidP="00241F66">
            <w:pPr>
              <w:pStyle w:val="tabletext"/>
              <w:ind w:left="0"/>
            </w:pPr>
            <w:r>
              <w:t>National Farmers Federation</w:t>
            </w:r>
          </w:p>
        </w:tc>
        <w:tc>
          <w:tcPr>
            <w:tcW w:w="2043" w:type="dxa"/>
            <w:vAlign w:val="center"/>
          </w:tcPr>
          <w:p w14:paraId="22A6BCC7" w14:textId="77777777" w:rsidR="00C9218D" w:rsidRPr="004C60FF" w:rsidRDefault="00C9218D" w:rsidP="00241F66">
            <w:pPr>
              <w:pStyle w:val="tabletext"/>
              <w:ind w:left="0"/>
            </w:pPr>
            <w:r>
              <w:t>Canberra</w:t>
            </w:r>
          </w:p>
        </w:tc>
      </w:tr>
      <w:tr w:rsidR="00C9218D" w14:paraId="497DC48F" w14:textId="77777777" w:rsidTr="003F092F">
        <w:tc>
          <w:tcPr>
            <w:tcW w:w="426" w:type="dxa"/>
          </w:tcPr>
          <w:p w14:paraId="5EBF19D1" w14:textId="77777777" w:rsidR="00C9218D" w:rsidRPr="00B77F55" w:rsidRDefault="00C9218D" w:rsidP="00241F66">
            <w:pPr>
              <w:pStyle w:val="tabletext"/>
              <w:ind w:left="0"/>
            </w:pPr>
            <w:r w:rsidRPr="00B77F55">
              <w:t>21</w:t>
            </w:r>
          </w:p>
        </w:tc>
        <w:tc>
          <w:tcPr>
            <w:tcW w:w="5244" w:type="dxa"/>
            <w:vAlign w:val="center"/>
          </w:tcPr>
          <w:p w14:paraId="644E5DAF" w14:textId="77777777" w:rsidR="00C9218D" w:rsidRDefault="00C9218D" w:rsidP="00241F66">
            <w:pPr>
              <w:pStyle w:val="tabletext"/>
              <w:ind w:left="0"/>
            </w:pPr>
            <w:r>
              <w:t>National Measurement Institute</w:t>
            </w:r>
          </w:p>
        </w:tc>
        <w:tc>
          <w:tcPr>
            <w:tcW w:w="2043" w:type="dxa"/>
            <w:vAlign w:val="center"/>
          </w:tcPr>
          <w:p w14:paraId="2D6CFEF5" w14:textId="77777777" w:rsidR="00C9218D" w:rsidRDefault="00C9218D" w:rsidP="00241F66">
            <w:pPr>
              <w:pStyle w:val="tabletext"/>
              <w:ind w:left="0"/>
            </w:pPr>
            <w:r>
              <w:t>Sydney</w:t>
            </w:r>
          </w:p>
        </w:tc>
      </w:tr>
      <w:tr w:rsidR="00C9218D" w14:paraId="773736E0" w14:textId="77777777" w:rsidTr="003F092F">
        <w:tc>
          <w:tcPr>
            <w:tcW w:w="426" w:type="dxa"/>
          </w:tcPr>
          <w:p w14:paraId="78EA8DB1" w14:textId="77777777" w:rsidR="00C9218D" w:rsidRPr="00B77F55" w:rsidRDefault="00C9218D" w:rsidP="00241F66">
            <w:pPr>
              <w:pStyle w:val="tabletext"/>
              <w:ind w:left="0"/>
            </w:pPr>
            <w:r w:rsidRPr="00B77F55">
              <w:t>22</w:t>
            </w:r>
          </w:p>
        </w:tc>
        <w:tc>
          <w:tcPr>
            <w:tcW w:w="5244" w:type="dxa"/>
            <w:vAlign w:val="center"/>
          </w:tcPr>
          <w:p w14:paraId="594AC725" w14:textId="77777777" w:rsidR="00C9218D" w:rsidRDefault="00C9218D" w:rsidP="00241F66">
            <w:pPr>
              <w:pStyle w:val="tabletext"/>
              <w:ind w:left="0"/>
            </w:pPr>
            <w:r>
              <w:t>National Retail Association</w:t>
            </w:r>
          </w:p>
        </w:tc>
        <w:tc>
          <w:tcPr>
            <w:tcW w:w="2043" w:type="dxa"/>
            <w:vAlign w:val="center"/>
          </w:tcPr>
          <w:p w14:paraId="24C6BC6C" w14:textId="77777777" w:rsidR="00C9218D" w:rsidRPr="004C60FF" w:rsidRDefault="00C9218D" w:rsidP="00241F66">
            <w:pPr>
              <w:pStyle w:val="tabletext"/>
              <w:ind w:left="0"/>
            </w:pPr>
            <w:r>
              <w:t>Teleconference</w:t>
            </w:r>
          </w:p>
        </w:tc>
      </w:tr>
      <w:tr w:rsidR="00C9218D" w14:paraId="2AAEC866" w14:textId="77777777" w:rsidTr="003F092F">
        <w:tc>
          <w:tcPr>
            <w:tcW w:w="426" w:type="dxa"/>
          </w:tcPr>
          <w:p w14:paraId="1C411FB2" w14:textId="77777777" w:rsidR="00C9218D" w:rsidRPr="00B77F55" w:rsidRDefault="00C9218D" w:rsidP="00241F66">
            <w:pPr>
              <w:pStyle w:val="tabletext"/>
              <w:ind w:left="0"/>
            </w:pPr>
            <w:r w:rsidRPr="00B77F55">
              <w:t>23</w:t>
            </w:r>
          </w:p>
        </w:tc>
        <w:tc>
          <w:tcPr>
            <w:tcW w:w="5244" w:type="dxa"/>
            <w:vAlign w:val="center"/>
          </w:tcPr>
          <w:p w14:paraId="0969ADEF" w14:textId="77777777" w:rsidR="00C9218D" w:rsidRDefault="00C9218D" w:rsidP="00241F66">
            <w:pPr>
              <w:pStyle w:val="tabletext"/>
              <w:ind w:left="0"/>
            </w:pPr>
            <w:r>
              <w:t>New South Wales Business Chamber</w:t>
            </w:r>
          </w:p>
        </w:tc>
        <w:tc>
          <w:tcPr>
            <w:tcW w:w="2043" w:type="dxa"/>
            <w:vAlign w:val="center"/>
          </w:tcPr>
          <w:p w14:paraId="36425B21" w14:textId="77777777" w:rsidR="00C9218D" w:rsidRDefault="00C9218D" w:rsidP="00241F66">
            <w:pPr>
              <w:pStyle w:val="tabletext"/>
              <w:ind w:left="0"/>
            </w:pPr>
            <w:r>
              <w:t>Sydney</w:t>
            </w:r>
          </w:p>
        </w:tc>
      </w:tr>
      <w:tr w:rsidR="00C9218D" w14:paraId="19114D01" w14:textId="77777777" w:rsidTr="003F092F">
        <w:tc>
          <w:tcPr>
            <w:tcW w:w="426" w:type="dxa"/>
          </w:tcPr>
          <w:p w14:paraId="0E4AA881" w14:textId="77777777" w:rsidR="00C9218D" w:rsidRPr="00B77F55" w:rsidRDefault="00C9218D" w:rsidP="00241F66">
            <w:pPr>
              <w:pStyle w:val="tabletext"/>
              <w:ind w:left="0"/>
            </w:pPr>
            <w:r w:rsidRPr="00B77F55">
              <w:t>24</w:t>
            </w:r>
          </w:p>
        </w:tc>
        <w:tc>
          <w:tcPr>
            <w:tcW w:w="5244" w:type="dxa"/>
            <w:vAlign w:val="center"/>
          </w:tcPr>
          <w:p w14:paraId="612F2039" w14:textId="77777777" w:rsidR="00C9218D" w:rsidRDefault="00C9218D" w:rsidP="00241F66">
            <w:pPr>
              <w:pStyle w:val="tabletext"/>
              <w:ind w:left="0"/>
            </w:pPr>
            <w:r>
              <w:t>New South Wales Ombudsman</w:t>
            </w:r>
          </w:p>
        </w:tc>
        <w:tc>
          <w:tcPr>
            <w:tcW w:w="2043" w:type="dxa"/>
            <w:vAlign w:val="center"/>
          </w:tcPr>
          <w:p w14:paraId="67F40FDC" w14:textId="77777777" w:rsidR="00C9218D" w:rsidRPr="004C60FF" w:rsidRDefault="00C9218D" w:rsidP="00241F66">
            <w:pPr>
              <w:pStyle w:val="tabletext"/>
              <w:ind w:left="0"/>
            </w:pPr>
            <w:r>
              <w:t>Teleconference</w:t>
            </w:r>
          </w:p>
        </w:tc>
      </w:tr>
      <w:tr w:rsidR="00C9218D" w14:paraId="2514717D" w14:textId="77777777" w:rsidTr="003F092F">
        <w:tc>
          <w:tcPr>
            <w:tcW w:w="426" w:type="dxa"/>
          </w:tcPr>
          <w:p w14:paraId="47C3F049" w14:textId="77777777" w:rsidR="00C9218D" w:rsidRPr="00B77F55" w:rsidRDefault="00C9218D" w:rsidP="00241F66">
            <w:pPr>
              <w:pStyle w:val="tabletext"/>
              <w:ind w:left="0"/>
            </w:pPr>
            <w:r w:rsidRPr="00B77F55">
              <w:t>25</w:t>
            </w:r>
          </w:p>
        </w:tc>
        <w:tc>
          <w:tcPr>
            <w:tcW w:w="5244" w:type="dxa"/>
            <w:vAlign w:val="center"/>
          </w:tcPr>
          <w:p w14:paraId="42E600F4" w14:textId="77777777" w:rsidR="00C9218D" w:rsidRDefault="00C9218D" w:rsidP="00241F66">
            <w:pPr>
              <w:pStyle w:val="tabletext"/>
              <w:ind w:left="0"/>
            </w:pPr>
            <w:r>
              <w:t>New South Wales Small Business Commissioner</w:t>
            </w:r>
          </w:p>
        </w:tc>
        <w:tc>
          <w:tcPr>
            <w:tcW w:w="2043" w:type="dxa"/>
            <w:vAlign w:val="center"/>
          </w:tcPr>
          <w:p w14:paraId="0CBF61B7" w14:textId="77777777" w:rsidR="00C9218D" w:rsidRDefault="00C9218D" w:rsidP="00241F66">
            <w:pPr>
              <w:pStyle w:val="tabletext"/>
              <w:ind w:left="0"/>
            </w:pPr>
            <w:r>
              <w:t>Sydney</w:t>
            </w:r>
          </w:p>
        </w:tc>
      </w:tr>
      <w:tr w:rsidR="00C9218D" w14:paraId="40A148D3" w14:textId="77777777" w:rsidTr="003F092F">
        <w:tc>
          <w:tcPr>
            <w:tcW w:w="426" w:type="dxa"/>
          </w:tcPr>
          <w:p w14:paraId="1C52913E" w14:textId="77777777" w:rsidR="00C9218D" w:rsidRPr="00B77F55" w:rsidRDefault="00C9218D" w:rsidP="00241F66">
            <w:pPr>
              <w:pStyle w:val="tabletext"/>
              <w:ind w:left="0"/>
            </w:pPr>
            <w:r w:rsidRPr="00B77F55">
              <w:t>26</w:t>
            </w:r>
          </w:p>
        </w:tc>
        <w:tc>
          <w:tcPr>
            <w:tcW w:w="5244" w:type="dxa"/>
            <w:vAlign w:val="center"/>
          </w:tcPr>
          <w:p w14:paraId="269AC048" w14:textId="77777777" w:rsidR="00C9218D" w:rsidRDefault="00C9218D" w:rsidP="00241F66">
            <w:pPr>
              <w:pStyle w:val="tabletext"/>
              <w:ind w:left="0"/>
            </w:pPr>
            <w:r>
              <w:t>Northern Territory Department of Business</w:t>
            </w:r>
          </w:p>
        </w:tc>
        <w:tc>
          <w:tcPr>
            <w:tcW w:w="2043" w:type="dxa"/>
            <w:vAlign w:val="center"/>
          </w:tcPr>
          <w:p w14:paraId="19CF4BF2" w14:textId="77777777" w:rsidR="00C9218D" w:rsidRPr="004C60FF" w:rsidRDefault="00C9218D" w:rsidP="00241F66">
            <w:pPr>
              <w:pStyle w:val="tabletext"/>
              <w:ind w:left="0"/>
            </w:pPr>
            <w:r>
              <w:t>Teleconference</w:t>
            </w:r>
          </w:p>
        </w:tc>
      </w:tr>
    </w:tbl>
    <w:p w14:paraId="63BB6DA5" w14:textId="17FB126B" w:rsidR="003F092F" w:rsidRDefault="003F092F">
      <w:r>
        <w:br w:type="page"/>
      </w:r>
    </w:p>
    <w:p w14:paraId="367DED08" w14:textId="0895D6B6" w:rsidR="003F092F" w:rsidRDefault="003F092F" w:rsidP="003F092F">
      <w:pPr>
        <w:pStyle w:val="TableHeadingoutsidetable"/>
        <w:numPr>
          <w:ilvl w:val="4"/>
          <w:numId w:val="48"/>
        </w:numPr>
        <w:spacing w:before="240"/>
        <w:ind w:left="0"/>
      </w:pPr>
      <w:r>
        <w:t>: Face to face and teleconference consultations (continued)</w:t>
      </w:r>
    </w:p>
    <w:tbl>
      <w:tblPr>
        <w:tblStyle w:val="TableGrid"/>
        <w:tblW w:w="0" w:type="auto"/>
        <w:tblInd w:w="108" w:type="dxa"/>
        <w:tblLook w:val="04A0" w:firstRow="1" w:lastRow="0" w:firstColumn="1" w:lastColumn="0" w:noHBand="0" w:noVBand="1"/>
      </w:tblPr>
      <w:tblGrid>
        <w:gridCol w:w="426"/>
        <w:gridCol w:w="5244"/>
        <w:gridCol w:w="2043"/>
      </w:tblGrid>
      <w:tr w:rsidR="00C9218D" w14:paraId="7DE2E71C" w14:textId="77777777" w:rsidTr="003F092F">
        <w:tc>
          <w:tcPr>
            <w:tcW w:w="426" w:type="dxa"/>
          </w:tcPr>
          <w:p w14:paraId="06738C31" w14:textId="05E95701" w:rsidR="00C9218D" w:rsidRPr="00B77F55" w:rsidRDefault="00C9218D" w:rsidP="00241F66">
            <w:pPr>
              <w:pStyle w:val="tabletext"/>
              <w:ind w:left="0"/>
            </w:pPr>
            <w:r w:rsidRPr="00B77F55">
              <w:t>27</w:t>
            </w:r>
          </w:p>
        </w:tc>
        <w:tc>
          <w:tcPr>
            <w:tcW w:w="5244" w:type="dxa"/>
            <w:vAlign w:val="center"/>
          </w:tcPr>
          <w:p w14:paraId="19D5D67F" w14:textId="77777777" w:rsidR="00C9218D" w:rsidRDefault="00C9218D" w:rsidP="00241F66">
            <w:pPr>
              <w:pStyle w:val="tabletext"/>
              <w:ind w:left="0"/>
            </w:pPr>
            <w:r>
              <w:t xml:space="preserve">Office of Parliamentary Counsel; Department of the Prime Minister and Cabinet; Office of the Commonwealth Ombudsman; Office of the Australian Small Business Commissioner (joint meeting) </w:t>
            </w:r>
          </w:p>
        </w:tc>
        <w:tc>
          <w:tcPr>
            <w:tcW w:w="2043" w:type="dxa"/>
            <w:vAlign w:val="center"/>
          </w:tcPr>
          <w:p w14:paraId="3B927D6F" w14:textId="77777777" w:rsidR="00C9218D" w:rsidRPr="004C60FF" w:rsidRDefault="00C9218D" w:rsidP="00241F66">
            <w:pPr>
              <w:pStyle w:val="tabletext"/>
              <w:ind w:left="0"/>
            </w:pPr>
            <w:r>
              <w:t>Canberra</w:t>
            </w:r>
          </w:p>
        </w:tc>
      </w:tr>
      <w:tr w:rsidR="00C9218D" w14:paraId="075B2B96" w14:textId="77777777" w:rsidTr="003F092F">
        <w:tc>
          <w:tcPr>
            <w:tcW w:w="426" w:type="dxa"/>
          </w:tcPr>
          <w:p w14:paraId="04C90A92" w14:textId="77777777" w:rsidR="00C9218D" w:rsidRPr="00B77F55" w:rsidRDefault="00C9218D" w:rsidP="00241F66">
            <w:pPr>
              <w:pStyle w:val="tabletext"/>
              <w:ind w:left="0"/>
            </w:pPr>
            <w:r w:rsidRPr="00B77F55">
              <w:t>28</w:t>
            </w:r>
          </w:p>
        </w:tc>
        <w:tc>
          <w:tcPr>
            <w:tcW w:w="5244" w:type="dxa"/>
            <w:vAlign w:val="center"/>
          </w:tcPr>
          <w:p w14:paraId="2FA73E02" w14:textId="77777777" w:rsidR="00C9218D" w:rsidRDefault="00C9218D" w:rsidP="00241F66">
            <w:pPr>
              <w:pStyle w:val="tabletext"/>
              <w:ind w:left="0"/>
            </w:pPr>
            <w:r>
              <w:t>Post Office Agents Association Ltd</w:t>
            </w:r>
          </w:p>
        </w:tc>
        <w:tc>
          <w:tcPr>
            <w:tcW w:w="2043" w:type="dxa"/>
            <w:vAlign w:val="center"/>
          </w:tcPr>
          <w:p w14:paraId="3E02AAB1" w14:textId="77777777" w:rsidR="00C9218D" w:rsidRPr="004C60FF" w:rsidRDefault="00C9218D" w:rsidP="00241F66">
            <w:pPr>
              <w:pStyle w:val="tabletext"/>
              <w:ind w:left="0"/>
            </w:pPr>
            <w:r>
              <w:t>Teleconference</w:t>
            </w:r>
          </w:p>
        </w:tc>
      </w:tr>
      <w:tr w:rsidR="00C9218D" w14:paraId="4621AA95" w14:textId="77777777" w:rsidTr="003F092F">
        <w:tc>
          <w:tcPr>
            <w:tcW w:w="426" w:type="dxa"/>
          </w:tcPr>
          <w:p w14:paraId="4FA3C074" w14:textId="77777777" w:rsidR="00C9218D" w:rsidRPr="00B77F55" w:rsidRDefault="00C9218D" w:rsidP="00241F66">
            <w:pPr>
              <w:pStyle w:val="tabletext"/>
              <w:ind w:left="0"/>
            </w:pPr>
            <w:r w:rsidRPr="00B77F55">
              <w:t>29</w:t>
            </w:r>
          </w:p>
        </w:tc>
        <w:tc>
          <w:tcPr>
            <w:tcW w:w="5244" w:type="dxa"/>
            <w:vAlign w:val="center"/>
          </w:tcPr>
          <w:p w14:paraId="581B0D5D" w14:textId="77777777" w:rsidR="00C9218D" w:rsidRDefault="00C9218D" w:rsidP="00241F66">
            <w:pPr>
              <w:pStyle w:val="tabletext"/>
              <w:ind w:left="0"/>
            </w:pPr>
            <w:r>
              <w:t>Queensland Chamber of Commerce and Industry</w:t>
            </w:r>
          </w:p>
        </w:tc>
        <w:tc>
          <w:tcPr>
            <w:tcW w:w="2043" w:type="dxa"/>
            <w:vAlign w:val="center"/>
          </w:tcPr>
          <w:p w14:paraId="20DC7FDB" w14:textId="77777777" w:rsidR="00C9218D" w:rsidRPr="004C60FF" w:rsidRDefault="00C9218D" w:rsidP="00241F66">
            <w:pPr>
              <w:pStyle w:val="tabletext"/>
              <w:ind w:left="0"/>
            </w:pPr>
            <w:r>
              <w:t>Brisbane</w:t>
            </w:r>
          </w:p>
        </w:tc>
      </w:tr>
      <w:tr w:rsidR="00C9218D" w14:paraId="2B66B798" w14:textId="77777777" w:rsidTr="003F092F">
        <w:tc>
          <w:tcPr>
            <w:tcW w:w="426" w:type="dxa"/>
          </w:tcPr>
          <w:p w14:paraId="1499EE8C" w14:textId="77777777" w:rsidR="00C9218D" w:rsidRPr="00B77F55" w:rsidRDefault="00C9218D" w:rsidP="00974BC3">
            <w:pPr>
              <w:pStyle w:val="tabletext"/>
              <w:keepNext/>
              <w:keepLines/>
              <w:ind w:left="0"/>
            </w:pPr>
            <w:r w:rsidRPr="00B77F55">
              <w:t>30</w:t>
            </w:r>
          </w:p>
        </w:tc>
        <w:tc>
          <w:tcPr>
            <w:tcW w:w="5244" w:type="dxa"/>
            <w:vAlign w:val="center"/>
          </w:tcPr>
          <w:p w14:paraId="70613138" w14:textId="77777777" w:rsidR="00C9218D" w:rsidRDefault="00C9218D" w:rsidP="00974BC3">
            <w:pPr>
              <w:pStyle w:val="tabletext"/>
              <w:keepNext/>
              <w:keepLines/>
              <w:ind w:left="0"/>
            </w:pPr>
            <w:r>
              <w:t>Queensland Department of Tourism, Major Events, Small Business and the Commonwealth Games</w:t>
            </w:r>
          </w:p>
        </w:tc>
        <w:tc>
          <w:tcPr>
            <w:tcW w:w="2043" w:type="dxa"/>
            <w:vAlign w:val="center"/>
          </w:tcPr>
          <w:p w14:paraId="5BAA32AB" w14:textId="77777777" w:rsidR="00C9218D" w:rsidRPr="004C60FF" w:rsidRDefault="00C9218D" w:rsidP="00974BC3">
            <w:pPr>
              <w:pStyle w:val="tabletext"/>
              <w:keepNext/>
              <w:keepLines/>
              <w:ind w:left="0"/>
            </w:pPr>
            <w:r>
              <w:t>Brisbane</w:t>
            </w:r>
          </w:p>
        </w:tc>
      </w:tr>
      <w:tr w:rsidR="00C9218D" w14:paraId="2D748F36" w14:textId="77777777" w:rsidTr="003F092F">
        <w:tc>
          <w:tcPr>
            <w:tcW w:w="426" w:type="dxa"/>
          </w:tcPr>
          <w:p w14:paraId="1E9E0428" w14:textId="77777777" w:rsidR="00C9218D" w:rsidRPr="00B77F55" w:rsidRDefault="00C9218D" w:rsidP="00241F66">
            <w:pPr>
              <w:pStyle w:val="tabletext"/>
              <w:ind w:left="0"/>
            </w:pPr>
            <w:r w:rsidRPr="00B77F55">
              <w:t>31</w:t>
            </w:r>
          </w:p>
        </w:tc>
        <w:tc>
          <w:tcPr>
            <w:tcW w:w="5244" w:type="dxa"/>
            <w:vAlign w:val="center"/>
          </w:tcPr>
          <w:p w14:paraId="2F124661" w14:textId="77777777" w:rsidR="00C9218D" w:rsidRDefault="00C9218D" w:rsidP="00241F66">
            <w:pPr>
              <w:pStyle w:val="tabletext"/>
              <w:ind w:left="0"/>
            </w:pPr>
            <w:r>
              <w:t>Restaurant and Catering Industry Association</w:t>
            </w:r>
          </w:p>
        </w:tc>
        <w:tc>
          <w:tcPr>
            <w:tcW w:w="2043" w:type="dxa"/>
            <w:vAlign w:val="center"/>
          </w:tcPr>
          <w:p w14:paraId="6B22B487" w14:textId="77777777" w:rsidR="00C9218D" w:rsidRPr="004C60FF" w:rsidRDefault="00C9218D" w:rsidP="00241F66">
            <w:pPr>
              <w:pStyle w:val="tabletext"/>
              <w:ind w:left="0"/>
            </w:pPr>
            <w:r>
              <w:t>Teleconference</w:t>
            </w:r>
          </w:p>
        </w:tc>
      </w:tr>
      <w:tr w:rsidR="00C9218D" w14:paraId="10D4F172" w14:textId="77777777" w:rsidTr="003F092F">
        <w:tc>
          <w:tcPr>
            <w:tcW w:w="426" w:type="dxa"/>
          </w:tcPr>
          <w:p w14:paraId="6BA6E14F" w14:textId="77777777" w:rsidR="00C9218D" w:rsidRPr="00B77F55" w:rsidRDefault="00C9218D" w:rsidP="00241F66">
            <w:pPr>
              <w:pStyle w:val="tabletext"/>
              <w:ind w:left="0"/>
            </w:pPr>
            <w:r w:rsidRPr="00B77F55">
              <w:t>32</w:t>
            </w:r>
          </w:p>
        </w:tc>
        <w:tc>
          <w:tcPr>
            <w:tcW w:w="5244" w:type="dxa"/>
            <w:vAlign w:val="center"/>
          </w:tcPr>
          <w:p w14:paraId="7C1E739B" w14:textId="77777777" w:rsidR="00C9218D" w:rsidRDefault="00C9218D" w:rsidP="00241F66">
            <w:pPr>
              <w:pStyle w:val="tabletext"/>
              <w:ind w:left="0"/>
            </w:pPr>
            <w:r>
              <w:t>Shopping Centre Council of Australia</w:t>
            </w:r>
          </w:p>
        </w:tc>
        <w:tc>
          <w:tcPr>
            <w:tcW w:w="2043" w:type="dxa"/>
            <w:vAlign w:val="center"/>
          </w:tcPr>
          <w:p w14:paraId="3745EE55" w14:textId="77777777" w:rsidR="00C9218D" w:rsidRDefault="00C9218D" w:rsidP="00241F66">
            <w:pPr>
              <w:pStyle w:val="tabletext"/>
              <w:ind w:left="0"/>
            </w:pPr>
            <w:r>
              <w:t>Sydney</w:t>
            </w:r>
          </w:p>
        </w:tc>
      </w:tr>
      <w:tr w:rsidR="00C9218D" w14:paraId="5CAF7E9A" w14:textId="77777777" w:rsidTr="003F092F">
        <w:tc>
          <w:tcPr>
            <w:tcW w:w="426" w:type="dxa"/>
          </w:tcPr>
          <w:p w14:paraId="543F6F97" w14:textId="77777777" w:rsidR="00C9218D" w:rsidRPr="00B77F55" w:rsidRDefault="00C9218D" w:rsidP="00241F66">
            <w:pPr>
              <w:pStyle w:val="tabletext"/>
              <w:ind w:left="0"/>
            </w:pPr>
            <w:r w:rsidRPr="00B77F55">
              <w:t>33</w:t>
            </w:r>
          </w:p>
        </w:tc>
        <w:tc>
          <w:tcPr>
            <w:tcW w:w="5244" w:type="dxa"/>
            <w:vAlign w:val="center"/>
          </w:tcPr>
          <w:p w14:paraId="20A8D125" w14:textId="77777777" w:rsidR="00C9218D" w:rsidRDefault="00C9218D" w:rsidP="00241F66">
            <w:pPr>
              <w:pStyle w:val="tabletext"/>
              <w:ind w:left="0"/>
            </w:pPr>
            <w:r>
              <w:t>Small Business Association Australia</w:t>
            </w:r>
          </w:p>
        </w:tc>
        <w:tc>
          <w:tcPr>
            <w:tcW w:w="2043" w:type="dxa"/>
            <w:vAlign w:val="center"/>
          </w:tcPr>
          <w:p w14:paraId="076C3164" w14:textId="77777777" w:rsidR="00C9218D" w:rsidRPr="004C60FF" w:rsidRDefault="00C9218D" w:rsidP="00241F66">
            <w:pPr>
              <w:pStyle w:val="tabletext"/>
              <w:ind w:left="0"/>
            </w:pPr>
            <w:r>
              <w:t>Teleconference</w:t>
            </w:r>
          </w:p>
        </w:tc>
      </w:tr>
      <w:tr w:rsidR="00C9218D" w14:paraId="56A445BB" w14:textId="77777777" w:rsidTr="003F092F">
        <w:tc>
          <w:tcPr>
            <w:tcW w:w="426" w:type="dxa"/>
          </w:tcPr>
          <w:p w14:paraId="5398B967" w14:textId="77777777" w:rsidR="00C9218D" w:rsidRPr="00B77F55" w:rsidRDefault="00C9218D" w:rsidP="00241F66">
            <w:pPr>
              <w:pStyle w:val="tabletext"/>
              <w:ind w:left="0"/>
            </w:pPr>
            <w:r w:rsidRPr="00B77F55">
              <w:t>34</w:t>
            </w:r>
          </w:p>
        </w:tc>
        <w:tc>
          <w:tcPr>
            <w:tcW w:w="5244" w:type="dxa"/>
            <w:vAlign w:val="center"/>
          </w:tcPr>
          <w:p w14:paraId="250D8DFE" w14:textId="77777777" w:rsidR="00C9218D" w:rsidRDefault="00C9218D" w:rsidP="00241F66">
            <w:pPr>
              <w:pStyle w:val="tabletext"/>
              <w:ind w:left="0"/>
            </w:pPr>
            <w:r>
              <w:t>Small Enterprise Association of Australia and New Zealand</w:t>
            </w:r>
          </w:p>
        </w:tc>
        <w:tc>
          <w:tcPr>
            <w:tcW w:w="2043" w:type="dxa"/>
            <w:vAlign w:val="center"/>
          </w:tcPr>
          <w:p w14:paraId="140D207E" w14:textId="77777777" w:rsidR="00C9218D" w:rsidRDefault="00C9218D" w:rsidP="00241F66">
            <w:pPr>
              <w:pStyle w:val="tabletext"/>
              <w:ind w:left="0"/>
            </w:pPr>
            <w:r>
              <w:t>Sydney</w:t>
            </w:r>
          </w:p>
        </w:tc>
      </w:tr>
      <w:tr w:rsidR="00C9218D" w14:paraId="680C7CFF" w14:textId="77777777" w:rsidTr="003F092F">
        <w:tc>
          <w:tcPr>
            <w:tcW w:w="426" w:type="dxa"/>
          </w:tcPr>
          <w:p w14:paraId="77140D78" w14:textId="77777777" w:rsidR="00C9218D" w:rsidRPr="00B77F55" w:rsidRDefault="00C9218D" w:rsidP="00241F66">
            <w:pPr>
              <w:pStyle w:val="tabletext"/>
              <w:ind w:left="0"/>
            </w:pPr>
            <w:r w:rsidRPr="00B77F55">
              <w:t>35</w:t>
            </w:r>
          </w:p>
        </w:tc>
        <w:tc>
          <w:tcPr>
            <w:tcW w:w="5244" w:type="dxa"/>
            <w:vAlign w:val="center"/>
          </w:tcPr>
          <w:p w14:paraId="57559C12" w14:textId="77777777" w:rsidR="00C9218D" w:rsidRDefault="00C9218D" w:rsidP="00241F66">
            <w:pPr>
              <w:pStyle w:val="tabletext"/>
              <w:ind w:left="0"/>
            </w:pPr>
            <w:r>
              <w:t xml:space="preserve">South Australian </w:t>
            </w:r>
            <w:r w:rsidRPr="003509EE">
              <w:t>Department for Manufacturing, Innovation, Trade, Resources and Energy</w:t>
            </w:r>
          </w:p>
        </w:tc>
        <w:tc>
          <w:tcPr>
            <w:tcW w:w="2043" w:type="dxa"/>
            <w:vAlign w:val="center"/>
          </w:tcPr>
          <w:p w14:paraId="0A51328A" w14:textId="77777777" w:rsidR="00C9218D" w:rsidRPr="004C60FF" w:rsidRDefault="00C9218D" w:rsidP="00241F66">
            <w:pPr>
              <w:pStyle w:val="tabletext"/>
              <w:ind w:left="0"/>
            </w:pPr>
            <w:r>
              <w:t>Teleconference</w:t>
            </w:r>
          </w:p>
        </w:tc>
      </w:tr>
      <w:tr w:rsidR="00C9218D" w14:paraId="73BA001A" w14:textId="77777777" w:rsidTr="003F092F">
        <w:tc>
          <w:tcPr>
            <w:tcW w:w="426" w:type="dxa"/>
          </w:tcPr>
          <w:p w14:paraId="42242A90" w14:textId="77777777" w:rsidR="00C9218D" w:rsidRPr="00B77F55" w:rsidRDefault="00C9218D" w:rsidP="00241F66">
            <w:pPr>
              <w:pStyle w:val="tabletext"/>
              <w:ind w:left="0"/>
            </w:pPr>
            <w:r w:rsidRPr="00B77F55">
              <w:t>36</w:t>
            </w:r>
          </w:p>
        </w:tc>
        <w:tc>
          <w:tcPr>
            <w:tcW w:w="5244" w:type="dxa"/>
            <w:vAlign w:val="center"/>
          </w:tcPr>
          <w:p w14:paraId="0081ADAF" w14:textId="77777777" w:rsidR="00C9218D" w:rsidRDefault="00C9218D" w:rsidP="00241F66">
            <w:pPr>
              <w:pStyle w:val="tabletext"/>
              <w:ind w:left="0"/>
            </w:pPr>
            <w:r>
              <w:t>South Australian Small Business Commissioner</w:t>
            </w:r>
          </w:p>
        </w:tc>
        <w:tc>
          <w:tcPr>
            <w:tcW w:w="2043" w:type="dxa"/>
            <w:vAlign w:val="center"/>
          </w:tcPr>
          <w:p w14:paraId="09F0BE1C" w14:textId="77777777" w:rsidR="00C9218D" w:rsidRPr="004C60FF" w:rsidRDefault="00C9218D" w:rsidP="00241F66">
            <w:pPr>
              <w:pStyle w:val="tabletext"/>
              <w:ind w:left="0"/>
            </w:pPr>
            <w:r>
              <w:t>Teleconference</w:t>
            </w:r>
          </w:p>
        </w:tc>
      </w:tr>
      <w:tr w:rsidR="00C9218D" w14:paraId="55520923" w14:textId="77777777" w:rsidTr="003F092F">
        <w:tc>
          <w:tcPr>
            <w:tcW w:w="426" w:type="dxa"/>
          </w:tcPr>
          <w:p w14:paraId="41A2D92C" w14:textId="77777777" w:rsidR="00C9218D" w:rsidRPr="00B77F55" w:rsidRDefault="00C9218D" w:rsidP="00241F66">
            <w:pPr>
              <w:pStyle w:val="tabletext"/>
              <w:ind w:left="0"/>
            </w:pPr>
            <w:r w:rsidRPr="00B77F55">
              <w:t>37</w:t>
            </w:r>
          </w:p>
        </w:tc>
        <w:tc>
          <w:tcPr>
            <w:tcW w:w="5244" w:type="dxa"/>
            <w:vAlign w:val="center"/>
          </w:tcPr>
          <w:p w14:paraId="1F724879" w14:textId="77777777" w:rsidR="00C9218D" w:rsidRDefault="00C9218D" w:rsidP="00241F66">
            <w:pPr>
              <w:pStyle w:val="tabletext"/>
              <w:ind w:left="0"/>
            </w:pPr>
            <w:r>
              <w:t>Tasmanian Department of Economic Development</w:t>
            </w:r>
          </w:p>
        </w:tc>
        <w:tc>
          <w:tcPr>
            <w:tcW w:w="2043" w:type="dxa"/>
            <w:vAlign w:val="center"/>
          </w:tcPr>
          <w:p w14:paraId="7E531B7A" w14:textId="77777777" w:rsidR="00C9218D" w:rsidRPr="004C60FF" w:rsidRDefault="00C9218D" w:rsidP="00241F66">
            <w:pPr>
              <w:pStyle w:val="tabletext"/>
              <w:ind w:left="0"/>
            </w:pPr>
            <w:r>
              <w:t>Teleconference</w:t>
            </w:r>
          </w:p>
        </w:tc>
      </w:tr>
      <w:tr w:rsidR="00C9218D" w14:paraId="1E3B3674" w14:textId="77777777" w:rsidTr="003F092F">
        <w:tc>
          <w:tcPr>
            <w:tcW w:w="426" w:type="dxa"/>
          </w:tcPr>
          <w:p w14:paraId="47355A42" w14:textId="77777777" w:rsidR="00C9218D" w:rsidRPr="00B77F55" w:rsidRDefault="00C9218D" w:rsidP="00241F66">
            <w:pPr>
              <w:pStyle w:val="tabletext"/>
              <w:ind w:left="0"/>
            </w:pPr>
            <w:r w:rsidRPr="00B77F55">
              <w:t>38</w:t>
            </w:r>
          </w:p>
        </w:tc>
        <w:tc>
          <w:tcPr>
            <w:tcW w:w="5244" w:type="dxa"/>
            <w:vAlign w:val="center"/>
          </w:tcPr>
          <w:p w14:paraId="64D467F2" w14:textId="77777777" w:rsidR="00C9218D" w:rsidRDefault="00C9218D" w:rsidP="00241F66">
            <w:pPr>
              <w:pStyle w:val="tabletext"/>
              <w:ind w:left="0"/>
            </w:pPr>
            <w:r>
              <w:t>Victorian Department of State Development, Business and Innovation and Victorian Small Business Commissioner (joint meeting)</w:t>
            </w:r>
          </w:p>
        </w:tc>
        <w:tc>
          <w:tcPr>
            <w:tcW w:w="2043" w:type="dxa"/>
            <w:vAlign w:val="center"/>
          </w:tcPr>
          <w:p w14:paraId="43A4A42D" w14:textId="77777777" w:rsidR="00C9218D" w:rsidRPr="004C60FF" w:rsidRDefault="00C9218D" w:rsidP="00241F66">
            <w:pPr>
              <w:pStyle w:val="tabletext"/>
              <w:ind w:left="0"/>
            </w:pPr>
            <w:r>
              <w:t>Melbourne</w:t>
            </w:r>
          </w:p>
        </w:tc>
      </w:tr>
      <w:tr w:rsidR="00C9218D" w14:paraId="477DF370" w14:textId="77777777" w:rsidTr="003F092F">
        <w:tc>
          <w:tcPr>
            <w:tcW w:w="426" w:type="dxa"/>
          </w:tcPr>
          <w:p w14:paraId="60A4CD64" w14:textId="77777777" w:rsidR="00C9218D" w:rsidRPr="00B77F55" w:rsidRDefault="00C9218D" w:rsidP="00241F66">
            <w:pPr>
              <w:pStyle w:val="tabletext"/>
              <w:ind w:left="0"/>
            </w:pPr>
            <w:r w:rsidRPr="00B77F55">
              <w:t>39</w:t>
            </w:r>
          </w:p>
        </w:tc>
        <w:tc>
          <w:tcPr>
            <w:tcW w:w="5244" w:type="dxa"/>
            <w:vAlign w:val="center"/>
          </w:tcPr>
          <w:p w14:paraId="2D685995" w14:textId="6B79CB85" w:rsidR="00C9218D" w:rsidRDefault="00C9218D" w:rsidP="00241F66">
            <w:pPr>
              <w:pStyle w:val="tabletext"/>
              <w:ind w:left="0"/>
            </w:pPr>
            <w:r>
              <w:t>Victorian Employers</w:t>
            </w:r>
            <w:r w:rsidR="009349BC">
              <w:t>’</w:t>
            </w:r>
            <w:r>
              <w:t xml:space="preserve"> Chamber of Commerce and Industry</w:t>
            </w:r>
          </w:p>
        </w:tc>
        <w:tc>
          <w:tcPr>
            <w:tcW w:w="2043" w:type="dxa"/>
            <w:vAlign w:val="center"/>
          </w:tcPr>
          <w:p w14:paraId="17418452" w14:textId="77777777" w:rsidR="00C9218D" w:rsidRDefault="00C9218D" w:rsidP="00241F66">
            <w:pPr>
              <w:pStyle w:val="tabletext"/>
              <w:ind w:left="0"/>
            </w:pPr>
            <w:r>
              <w:t>Melbourne</w:t>
            </w:r>
          </w:p>
        </w:tc>
      </w:tr>
      <w:tr w:rsidR="00C9218D" w14:paraId="14F108EB" w14:textId="77777777" w:rsidTr="003F092F">
        <w:tc>
          <w:tcPr>
            <w:tcW w:w="426" w:type="dxa"/>
          </w:tcPr>
          <w:p w14:paraId="45F0EBA0" w14:textId="77777777" w:rsidR="00C9218D" w:rsidRPr="00B77F55" w:rsidRDefault="00C9218D" w:rsidP="00241F66">
            <w:pPr>
              <w:pStyle w:val="tabletext"/>
              <w:ind w:left="0"/>
            </w:pPr>
            <w:r w:rsidRPr="00B77F55">
              <w:t>40</w:t>
            </w:r>
          </w:p>
        </w:tc>
        <w:tc>
          <w:tcPr>
            <w:tcW w:w="5244" w:type="dxa"/>
            <w:vAlign w:val="center"/>
          </w:tcPr>
          <w:p w14:paraId="468C2E18" w14:textId="18BA3DCB" w:rsidR="00C9218D" w:rsidRDefault="00C9218D" w:rsidP="00241F66">
            <w:pPr>
              <w:pStyle w:val="tabletext"/>
              <w:ind w:left="0"/>
            </w:pPr>
            <w:r>
              <w:t>Victorian Farmers</w:t>
            </w:r>
            <w:r w:rsidR="009349BC">
              <w:t>’</w:t>
            </w:r>
            <w:r>
              <w:t xml:space="preserve"> Federation</w:t>
            </w:r>
          </w:p>
        </w:tc>
        <w:tc>
          <w:tcPr>
            <w:tcW w:w="2043" w:type="dxa"/>
            <w:vAlign w:val="center"/>
          </w:tcPr>
          <w:p w14:paraId="0AD127D0" w14:textId="77777777" w:rsidR="00C9218D" w:rsidRDefault="00C9218D" w:rsidP="00241F66">
            <w:pPr>
              <w:pStyle w:val="tabletext"/>
              <w:ind w:left="0"/>
            </w:pPr>
            <w:r>
              <w:t>Melbourne</w:t>
            </w:r>
          </w:p>
        </w:tc>
      </w:tr>
      <w:tr w:rsidR="00C9218D" w14:paraId="06FAE868" w14:textId="77777777" w:rsidTr="003F092F">
        <w:tc>
          <w:tcPr>
            <w:tcW w:w="426" w:type="dxa"/>
          </w:tcPr>
          <w:p w14:paraId="7DEFD53E" w14:textId="77777777" w:rsidR="00C9218D" w:rsidRPr="00B77F55" w:rsidRDefault="00C9218D" w:rsidP="00241F66">
            <w:pPr>
              <w:pStyle w:val="tabletext"/>
              <w:ind w:left="0"/>
            </w:pPr>
            <w:r w:rsidRPr="00B77F55">
              <w:t>41</w:t>
            </w:r>
          </w:p>
        </w:tc>
        <w:tc>
          <w:tcPr>
            <w:tcW w:w="5244" w:type="dxa"/>
            <w:vAlign w:val="center"/>
          </w:tcPr>
          <w:p w14:paraId="74D49C5D" w14:textId="77777777" w:rsidR="00C9218D" w:rsidRDefault="00C9218D" w:rsidP="00241F66">
            <w:pPr>
              <w:pStyle w:val="tabletext"/>
              <w:ind w:left="0"/>
            </w:pPr>
            <w:r>
              <w:t>Victorian Ombudsman</w:t>
            </w:r>
          </w:p>
        </w:tc>
        <w:tc>
          <w:tcPr>
            <w:tcW w:w="2043" w:type="dxa"/>
            <w:vAlign w:val="center"/>
          </w:tcPr>
          <w:p w14:paraId="1B7F8AC2" w14:textId="77777777" w:rsidR="00C9218D" w:rsidRPr="004C60FF" w:rsidRDefault="00C9218D" w:rsidP="00241F66">
            <w:pPr>
              <w:pStyle w:val="tabletext"/>
              <w:ind w:left="0"/>
            </w:pPr>
            <w:r>
              <w:t>Melbourne</w:t>
            </w:r>
          </w:p>
        </w:tc>
      </w:tr>
      <w:tr w:rsidR="00C9218D" w14:paraId="46C3E51D" w14:textId="77777777" w:rsidTr="003F092F">
        <w:tc>
          <w:tcPr>
            <w:tcW w:w="426" w:type="dxa"/>
          </w:tcPr>
          <w:p w14:paraId="62B28C89" w14:textId="77777777" w:rsidR="00C9218D" w:rsidRPr="00B77F55" w:rsidRDefault="00C9218D" w:rsidP="00241F66">
            <w:pPr>
              <w:pStyle w:val="tabletext"/>
              <w:ind w:left="0"/>
            </w:pPr>
            <w:r w:rsidRPr="00B77F55">
              <w:t>42</w:t>
            </w:r>
          </w:p>
        </w:tc>
        <w:tc>
          <w:tcPr>
            <w:tcW w:w="5244" w:type="dxa"/>
            <w:vAlign w:val="center"/>
          </w:tcPr>
          <w:p w14:paraId="76C64ACB" w14:textId="77777777" w:rsidR="00C9218D" w:rsidRPr="004C60FF" w:rsidRDefault="00C9218D" w:rsidP="00241F66">
            <w:pPr>
              <w:pStyle w:val="tabletext"/>
              <w:ind w:left="0"/>
            </w:pPr>
            <w:r>
              <w:t>Victorian Small Business Commissioner</w:t>
            </w:r>
          </w:p>
        </w:tc>
        <w:tc>
          <w:tcPr>
            <w:tcW w:w="2043" w:type="dxa"/>
            <w:vAlign w:val="center"/>
          </w:tcPr>
          <w:p w14:paraId="30304495" w14:textId="77777777" w:rsidR="00C9218D" w:rsidRPr="004C60FF" w:rsidRDefault="00C9218D" w:rsidP="00241F66">
            <w:pPr>
              <w:pStyle w:val="tabletext"/>
              <w:ind w:left="0"/>
            </w:pPr>
            <w:r w:rsidRPr="004C60FF">
              <w:t>Melbourne</w:t>
            </w:r>
          </w:p>
        </w:tc>
      </w:tr>
      <w:tr w:rsidR="00C9218D" w14:paraId="478DE7AA" w14:textId="77777777" w:rsidTr="003F092F">
        <w:tc>
          <w:tcPr>
            <w:tcW w:w="426" w:type="dxa"/>
          </w:tcPr>
          <w:p w14:paraId="64397355" w14:textId="77777777" w:rsidR="00C9218D" w:rsidRPr="00B77F55" w:rsidRDefault="00C9218D" w:rsidP="00241F66">
            <w:pPr>
              <w:pStyle w:val="tabletext"/>
              <w:ind w:left="0"/>
            </w:pPr>
            <w:r w:rsidRPr="00B77F55">
              <w:t>43</w:t>
            </w:r>
          </w:p>
        </w:tc>
        <w:tc>
          <w:tcPr>
            <w:tcW w:w="5244" w:type="dxa"/>
            <w:vAlign w:val="center"/>
          </w:tcPr>
          <w:p w14:paraId="0B0A7001" w14:textId="77777777" w:rsidR="00C9218D" w:rsidRDefault="00C9218D" w:rsidP="00241F66">
            <w:pPr>
              <w:pStyle w:val="tabletext"/>
              <w:ind w:left="0"/>
            </w:pPr>
            <w:r>
              <w:t>West Australian Small Business Commissioner</w:t>
            </w:r>
          </w:p>
        </w:tc>
        <w:tc>
          <w:tcPr>
            <w:tcW w:w="2043" w:type="dxa"/>
            <w:vAlign w:val="center"/>
          </w:tcPr>
          <w:p w14:paraId="2A778DF6" w14:textId="77777777" w:rsidR="00C9218D" w:rsidRPr="004C60FF" w:rsidRDefault="00C9218D" w:rsidP="00241F66">
            <w:pPr>
              <w:pStyle w:val="tabletext"/>
              <w:ind w:left="0"/>
            </w:pPr>
            <w:r>
              <w:t>Teleconference</w:t>
            </w:r>
          </w:p>
        </w:tc>
      </w:tr>
    </w:tbl>
    <w:p w14:paraId="29FD41AC" w14:textId="77777777" w:rsidR="00404387" w:rsidRDefault="00404387" w:rsidP="00404387">
      <w:pPr>
        <w:pStyle w:val="Heading2"/>
        <w:sectPr w:rsidR="00404387" w:rsidSect="002444C0">
          <w:pgSz w:w="11906" w:h="16838" w:code="9"/>
          <w:pgMar w:top="2466" w:right="2098" w:bottom="2466" w:left="2098" w:header="1559" w:footer="1899" w:gutter="0"/>
          <w:cols w:space="708"/>
          <w:titlePg/>
          <w:docGrid w:linePitch="360"/>
        </w:sectPr>
      </w:pPr>
    </w:p>
    <w:p w14:paraId="73CD1FF3" w14:textId="77777777" w:rsidR="00C9218D" w:rsidRDefault="00404387" w:rsidP="00BF2BAD">
      <w:pPr>
        <w:pStyle w:val="Heading2"/>
        <w:spacing w:before="120"/>
      </w:pPr>
      <w:r>
        <w:t>Appendix B</w:t>
      </w:r>
    </w:p>
    <w:p w14:paraId="1F4F9D86" w14:textId="77777777" w:rsidR="00BF2BAD" w:rsidRPr="00BF2BAD" w:rsidRDefault="00BF2BAD" w:rsidP="00BF2BAD">
      <w:pPr>
        <w:pStyle w:val="Heading3"/>
      </w:pPr>
      <w:r>
        <w:t>Activities and Activities and powers for status quo, option 2, option 3</w:t>
      </w:r>
    </w:p>
    <w:tbl>
      <w:tblPr>
        <w:tblStyle w:val="LightGrid-Accent5"/>
        <w:tblW w:w="1188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2552"/>
        <w:gridCol w:w="3912"/>
        <w:gridCol w:w="3719"/>
      </w:tblGrid>
      <w:tr w:rsidR="00BF2BAD" w:rsidRPr="00AE24AC" w14:paraId="3432085C" w14:textId="77777777" w:rsidTr="003F09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auto"/>
              <w:left w:val="single" w:sz="8" w:space="0" w:color="auto"/>
              <w:bottom w:val="single" w:sz="8" w:space="0" w:color="auto"/>
              <w:right w:val="single" w:sz="8" w:space="0" w:color="auto"/>
            </w:tcBorders>
            <w:shd w:val="clear" w:color="auto" w:fill="auto"/>
          </w:tcPr>
          <w:p w14:paraId="4C5AD4E7" w14:textId="77777777" w:rsidR="00BF2BAD" w:rsidRPr="00595469" w:rsidRDefault="00BF2BAD" w:rsidP="00E72378">
            <w:pPr>
              <w:pStyle w:val="tableheaderwithintable"/>
              <w:rPr>
                <w:rFonts w:asciiTheme="minorHAnsi" w:hAnsiTheme="minorHAnsi"/>
                <w:b/>
              </w:rPr>
            </w:pPr>
            <w:r w:rsidRPr="00595469">
              <w:rPr>
                <w:b/>
              </w:rPr>
              <w:t>Function</w:t>
            </w:r>
          </w:p>
        </w:tc>
        <w:tc>
          <w:tcPr>
            <w:tcW w:w="2552" w:type="dxa"/>
            <w:tcBorders>
              <w:top w:val="single" w:sz="8" w:space="0" w:color="auto"/>
              <w:left w:val="single" w:sz="8" w:space="0" w:color="auto"/>
              <w:bottom w:val="single" w:sz="8" w:space="0" w:color="auto"/>
              <w:right w:val="single" w:sz="8" w:space="0" w:color="auto"/>
            </w:tcBorders>
            <w:shd w:val="clear" w:color="auto" w:fill="auto"/>
          </w:tcPr>
          <w:p w14:paraId="53A676BC" w14:textId="77777777" w:rsidR="00BF2BAD" w:rsidRPr="00595469" w:rsidRDefault="00BF2BAD" w:rsidP="00E72378">
            <w:pPr>
              <w:pStyle w:val="tableheaderwithintable"/>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595469">
              <w:rPr>
                <w:b/>
              </w:rPr>
              <w:t>Status quo</w:t>
            </w:r>
          </w:p>
          <w:p w14:paraId="3425FBD0" w14:textId="77777777" w:rsidR="00BF2BAD" w:rsidRPr="00595469" w:rsidRDefault="00BF2BAD" w:rsidP="00E72378">
            <w:pPr>
              <w:pStyle w:val="tableheaderwithintable"/>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595469">
              <w:rPr>
                <w:b/>
              </w:rPr>
              <w:t>(Australian Small Business Commissioner)</w:t>
            </w:r>
          </w:p>
        </w:tc>
        <w:tc>
          <w:tcPr>
            <w:tcW w:w="3912" w:type="dxa"/>
            <w:tcBorders>
              <w:top w:val="single" w:sz="8" w:space="0" w:color="auto"/>
              <w:left w:val="single" w:sz="8" w:space="0" w:color="auto"/>
              <w:bottom w:val="single" w:sz="8" w:space="0" w:color="auto"/>
              <w:right w:val="single" w:sz="8" w:space="0" w:color="auto"/>
            </w:tcBorders>
            <w:shd w:val="clear" w:color="auto" w:fill="auto"/>
          </w:tcPr>
          <w:p w14:paraId="303A3B85" w14:textId="0A68B873" w:rsidR="00BF2BAD" w:rsidRPr="00595469" w:rsidRDefault="00BF2BAD" w:rsidP="00E72378">
            <w:pPr>
              <w:pStyle w:val="tableheaderwithintable"/>
              <w:cnfStyle w:val="100000000000" w:firstRow="1" w:lastRow="0" w:firstColumn="0" w:lastColumn="0" w:oddVBand="0" w:evenVBand="0" w:oddHBand="0" w:evenHBand="0" w:firstRowFirstColumn="0" w:firstRowLastColumn="0" w:lastRowFirstColumn="0" w:lastRowLastColumn="0"/>
              <w:rPr>
                <w:rFonts w:cs="Times New Roman"/>
                <w:b/>
              </w:rPr>
            </w:pPr>
            <w:r w:rsidRPr="00595469">
              <w:rPr>
                <w:rFonts w:cs="Times New Roman"/>
                <w:b/>
              </w:rPr>
              <w:t>Option 2</w:t>
            </w:r>
            <w:r w:rsidR="009349BC">
              <w:rPr>
                <w:rFonts w:cs="Times New Roman"/>
                <w:b/>
              </w:rPr>
              <w:t xml:space="preserve"> — </w:t>
            </w:r>
            <w:r w:rsidRPr="00595469">
              <w:rPr>
                <w:rFonts w:cs="Times New Roman"/>
                <w:b/>
              </w:rPr>
              <w:t>Australian Small Business and Family Enterprise Ombudsman (the Ombudsman)</w:t>
            </w:r>
            <w:r w:rsidR="009349BC">
              <w:rPr>
                <w:rFonts w:cs="Times New Roman"/>
                <w:b/>
              </w:rPr>
              <w:t xml:space="preserve"> — </w:t>
            </w:r>
            <w:r w:rsidRPr="00595469">
              <w:rPr>
                <w:rFonts w:cs="Times New Roman"/>
                <w:b/>
              </w:rPr>
              <w:t>heavier powers</w:t>
            </w:r>
          </w:p>
        </w:tc>
        <w:tc>
          <w:tcPr>
            <w:tcW w:w="3719" w:type="dxa"/>
            <w:tcBorders>
              <w:top w:val="single" w:sz="8" w:space="0" w:color="auto"/>
              <w:left w:val="single" w:sz="8" w:space="0" w:color="auto"/>
              <w:bottom w:val="single" w:sz="8" w:space="0" w:color="auto"/>
              <w:right w:val="single" w:sz="8" w:space="0" w:color="auto"/>
            </w:tcBorders>
            <w:shd w:val="clear" w:color="auto" w:fill="auto"/>
          </w:tcPr>
          <w:p w14:paraId="450A38CE" w14:textId="33505946" w:rsidR="00BF2BAD" w:rsidRPr="00595469" w:rsidRDefault="00BF2BAD" w:rsidP="00E72378">
            <w:pPr>
              <w:pStyle w:val="tableheaderwithintable"/>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595469">
              <w:rPr>
                <w:b/>
              </w:rPr>
              <w:t>Option 3</w:t>
            </w:r>
            <w:r w:rsidR="009349BC">
              <w:rPr>
                <w:b/>
              </w:rPr>
              <w:t xml:space="preserve"> — </w:t>
            </w:r>
            <w:r w:rsidRPr="00595469">
              <w:rPr>
                <w:b/>
              </w:rPr>
              <w:t>Australian Small Business and Family Enterprise Ombudsman</w:t>
            </w:r>
            <w:r w:rsidR="009349BC">
              <w:rPr>
                <w:b/>
              </w:rPr>
              <w:t xml:space="preserve"> — </w:t>
            </w:r>
            <w:r w:rsidRPr="00595469">
              <w:rPr>
                <w:b/>
              </w:rPr>
              <w:t>lighter powers</w:t>
            </w:r>
          </w:p>
        </w:tc>
      </w:tr>
      <w:tr w:rsidR="00BF2BAD" w:rsidRPr="00AE24AC" w14:paraId="3E07080A" w14:textId="77777777" w:rsidTr="003F092F">
        <w:trPr>
          <w:cnfStyle w:val="000000100000" w:firstRow="0" w:lastRow="0" w:firstColumn="0" w:lastColumn="0" w:oddVBand="0" w:evenVBand="0" w:oddHBand="1" w:evenHBand="0" w:firstRowFirstColumn="0" w:firstRowLastColumn="0" w:lastRowFirstColumn="0" w:lastRowLastColumn="0"/>
          <w:trHeight w:val="4268"/>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auto"/>
              <w:left w:val="single" w:sz="8" w:space="0" w:color="auto"/>
              <w:bottom w:val="single" w:sz="8" w:space="0" w:color="auto"/>
              <w:right w:val="single" w:sz="8" w:space="0" w:color="auto"/>
            </w:tcBorders>
            <w:shd w:val="clear" w:color="auto" w:fill="auto"/>
          </w:tcPr>
          <w:p w14:paraId="7E777CDF" w14:textId="6A04B469" w:rsidR="00BF2BAD" w:rsidRPr="00595469" w:rsidRDefault="00BF2BAD" w:rsidP="00E72378">
            <w:pPr>
              <w:pStyle w:val="tabletext"/>
              <w:rPr>
                <w:rFonts w:ascii="Times New Roman" w:hAnsi="Times New Roman" w:cs="Times New Roman"/>
              </w:rPr>
            </w:pPr>
            <w:r w:rsidRPr="00595469">
              <w:rPr>
                <w:rFonts w:ascii="Times New Roman" w:hAnsi="Times New Roman" w:cs="Times New Roman"/>
              </w:rPr>
              <w:t>Commonwealth</w:t>
            </w:r>
            <w:r w:rsidR="009349BC">
              <w:rPr>
                <w:rFonts w:ascii="Times New Roman" w:hAnsi="Times New Roman" w:cs="Times New Roman"/>
              </w:rPr>
              <w:noBreakHyphen/>
            </w:r>
            <w:r w:rsidRPr="00595469">
              <w:rPr>
                <w:rFonts w:ascii="Times New Roman" w:hAnsi="Times New Roman" w:cs="Times New Roman"/>
              </w:rPr>
              <w:t xml:space="preserve">wide advocate for small businesses and family enterprises </w:t>
            </w:r>
          </w:p>
        </w:tc>
        <w:tc>
          <w:tcPr>
            <w:tcW w:w="2552" w:type="dxa"/>
            <w:tcBorders>
              <w:top w:val="single" w:sz="8" w:space="0" w:color="auto"/>
              <w:left w:val="single" w:sz="8" w:space="0" w:color="auto"/>
              <w:bottom w:val="single" w:sz="8" w:space="0" w:color="auto"/>
              <w:right w:val="single" w:sz="8" w:space="0" w:color="auto"/>
            </w:tcBorders>
            <w:shd w:val="clear" w:color="auto" w:fill="auto"/>
          </w:tcPr>
          <w:p w14:paraId="48FE73D8"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95469">
              <w:rPr>
                <w:rFonts w:ascii="Times New Roman" w:hAnsi="Times New Roman" w:cs="Times New Roman"/>
                <w:b/>
              </w:rPr>
              <w:t>Activities</w:t>
            </w:r>
          </w:p>
          <w:p w14:paraId="64AEF078" w14:textId="5081F781"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Advocate and represent small business and family enterprise interests and concerns to the Australian Government both at the Minister</w:t>
            </w:r>
            <w:r w:rsidR="009349BC">
              <w:rPr>
                <w:rFonts w:ascii="Times New Roman" w:hAnsi="Times New Roman" w:cs="Times New Roman"/>
              </w:rPr>
              <w:t>’</w:t>
            </w:r>
            <w:r w:rsidRPr="00595469">
              <w:rPr>
                <w:rFonts w:ascii="Times New Roman" w:hAnsi="Times New Roman" w:cs="Times New Roman"/>
              </w:rPr>
              <w:t>s request and on own initiative.</w:t>
            </w:r>
          </w:p>
          <w:p w14:paraId="264C24FB"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Make representations on behalf of small businesses to appropriate bodies.</w:t>
            </w:r>
          </w:p>
          <w:p w14:paraId="52336E8D"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95469">
              <w:rPr>
                <w:rFonts w:ascii="Times New Roman" w:hAnsi="Times New Roman" w:cs="Times New Roman"/>
                <w:b/>
              </w:rPr>
              <w:t>Powers</w:t>
            </w:r>
          </w:p>
          <w:p w14:paraId="1A24E7FF"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Nil.</w:t>
            </w:r>
          </w:p>
        </w:tc>
        <w:tc>
          <w:tcPr>
            <w:tcW w:w="3912" w:type="dxa"/>
            <w:tcBorders>
              <w:top w:val="single" w:sz="8" w:space="0" w:color="auto"/>
              <w:left w:val="single" w:sz="8" w:space="0" w:color="auto"/>
              <w:bottom w:val="single" w:sz="8" w:space="0" w:color="auto"/>
              <w:right w:val="single" w:sz="8" w:space="0" w:color="auto"/>
            </w:tcBorders>
            <w:shd w:val="clear" w:color="auto" w:fill="auto"/>
          </w:tcPr>
          <w:p w14:paraId="14E4F423"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95469">
              <w:rPr>
                <w:rFonts w:ascii="Times New Roman" w:hAnsi="Times New Roman" w:cs="Times New Roman"/>
                <w:b/>
              </w:rPr>
              <w:t>Activities</w:t>
            </w:r>
          </w:p>
          <w:p w14:paraId="2E7695AB"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Undertake research and inquiries into legislation, policies and practices affecting small businesses and family enterprises;</w:t>
            </w:r>
          </w:p>
          <w:p w14:paraId="16588861"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Report and gives advice to the Minister on those matters;</w:t>
            </w:r>
          </w:p>
          <w:p w14:paraId="5D74C11C"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Contribute to inquiries by others into those matters;</w:t>
            </w:r>
          </w:p>
          <w:p w14:paraId="63214123"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Contribute to developing national strategies on those matters;</w:t>
            </w:r>
          </w:p>
          <w:p w14:paraId="0DCCC01F"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Review proposals relating to those matters and advises the Minister on them;</w:t>
            </w:r>
          </w:p>
          <w:p w14:paraId="02F32807" w14:textId="77777777" w:rsidR="00BF2BAD"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Promote best practice in dealing with small businesses and family enterprises.</w:t>
            </w:r>
          </w:p>
          <w:p w14:paraId="455341F3" w14:textId="77777777" w:rsidR="00443BA1" w:rsidRDefault="00443BA1"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615E3F8" w14:textId="77777777" w:rsidR="00443BA1" w:rsidRDefault="00443BA1"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0D75FA9" w14:textId="77777777" w:rsidR="00443BA1" w:rsidRDefault="00443BA1"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17DA392" w14:textId="77777777" w:rsidR="00443BA1" w:rsidRPr="00595469" w:rsidRDefault="00443BA1"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BF8F553" w14:textId="77777777" w:rsidR="00BF2BAD" w:rsidRPr="00595469" w:rsidRDefault="00BF2BAD" w:rsidP="00E72378">
            <w:pPr>
              <w:pStyle w:val="tabletext"/>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95469">
              <w:rPr>
                <w:rFonts w:ascii="Times New Roman" w:hAnsi="Times New Roman" w:cs="Times New Roman"/>
                <w:b/>
              </w:rPr>
              <w:t>Powers and responsibilities to be legislated</w:t>
            </w:r>
          </w:p>
          <w:p w14:paraId="78E85075" w14:textId="70505E4E" w:rsidR="00BF2BAD" w:rsidRPr="00595469" w:rsidRDefault="00BF2BAD" w:rsidP="00E72378">
            <w:pPr>
              <w:pStyle w:val="tabledotpoint"/>
              <w:spacing w:before="0"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 xml:space="preserve">Ability to investigate </w:t>
            </w:r>
            <w:r w:rsidR="009349BC">
              <w:rPr>
                <w:rFonts w:ascii="Times New Roman" w:hAnsi="Times New Roman" w:cs="Times New Roman"/>
              </w:rPr>
              <w:t>‘</w:t>
            </w:r>
            <w:r w:rsidRPr="00595469">
              <w:rPr>
                <w:rFonts w:ascii="Times New Roman" w:hAnsi="Times New Roman" w:cs="Times New Roman"/>
              </w:rPr>
              <w:t>relevant legislation, policies and practices</w:t>
            </w:r>
            <w:r w:rsidR="009349BC">
              <w:rPr>
                <w:rFonts w:ascii="Times New Roman" w:hAnsi="Times New Roman" w:cs="Times New Roman"/>
              </w:rPr>
              <w:t>’</w:t>
            </w:r>
            <w:r w:rsidRPr="00595469">
              <w:rPr>
                <w:rFonts w:ascii="Times New Roman" w:hAnsi="Times New Roman" w:cs="Times New Roman"/>
              </w:rPr>
              <w:t xml:space="preserve"> (own</w:t>
            </w:r>
            <w:r w:rsidR="009349BC">
              <w:rPr>
                <w:rFonts w:ascii="Times New Roman" w:hAnsi="Times New Roman" w:cs="Times New Roman"/>
              </w:rPr>
              <w:noBreakHyphen/>
            </w:r>
            <w:r w:rsidRPr="00595469">
              <w:rPr>
                <w:rFonts w:ascii="Times New Roman" w:hAnsi="Times New Roman" w:cs="Times New Roman"/>
              </w:rPr>
              <w:t>motion or on request of Minister) relating to:</w:t>
            </w:r>
          </w:p>
          <w:p w14:paraId="03639A82" w14:textId="77777777" w:rsidR="00BF2BAD" w:rsidRPr="00595469" w:rsidRDefault="00BF2BAD" w:rsidP="00E72378">
            <w:pPr>
              <w:pStyle w:val="tabledotpoint2"/>
              <w:spacing w:before="10" w:after="10"/>
              <w:ind w:left="568"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Commonwealth and Territory agencies;</w:t>
            </w:r>
          </w:p>
          <w:p w14:paraId="1F2B2666" w14:textId="77777777" w:rsidR="00BF2BAD" w:rsidRPr="00595469" w:rsidRDefault="00BF2BAD" w:rsidP="00E72378">
            <w:pPr>
              <w:pStyle w:val="tabledotpoint2"/>
              <w:spacing w:before="20" w:after="20"/>
              <w:ind w:left="568"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constitutional corporations ;</w:t>
            </w:r>
          </w:p>
          <w:p w14:paraId="556CE13C" w14:textId="77777777" w:rsidR="00BF2BAD" w:rsidRPr="00595469" w:rsidRDefault="00BF2BAD" w:rsidP="00E72378">
            <w:pPr>
              <w:pStyle w:val="tabledotpoint2"/>
              <w:spacing w:before="20" w:after="20"/>
              <w:ind w:left="568"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any entity engaged in international trade or commerce;</w:t>
            </w:r>
          </w:p>
          <w:p w14:paraId="4D098DE4" w14:textId="77777777" w:rsidR="00BF2BAD" w:rsidRPr="00595469" w:rsidRDefault="00BF2BAD" w:rsidP="00E72378">
            <w:pPr>
              <w:pStyle w:val="tabledotpoint2"/>
              <w:spacing w:before="20" w:after="20"/>
              <w:ind w:left="568"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 xml:space="preserve">any entity engaged in trade or commerce among the States, within a Territory, between Territories or between a </w:t>
            </w:r>
            <w:r w:rsidR="00E41E5E" w:rsidRPr="00595469">
              <w:rPr>
                <w:rFonts w:ascii="Times New Roman" w:hAnsi="Times New Roman" w:cs="Times New Roman"/>
              </w:rPr>
              <w:t xml:space="preserve">state </w:t>
            </w:r>
            <w:r w:rsidRPr="00595469">
              <w:rPr>
                <w:rFonts w:ascii="Times New Roman" w:hAnsi="Times New Roman" w:cs="Times New Roman"/>
              </w:rPr>
              <w:t xml:space="preserve">and a </w:t>
            </w:r>
            <w:r w:rsidR="00E41E5E" w:rsidRPr="00595469">
              <w:rPr>
                <w:rFonts w:ascii="Times New Roman" w:hAnsi="Times New Roman" w:cs="Times New Roman"/>
              </w:rPr>
              <w:t>territory</w:t>
            </w:r>
            <w:r w:rsidRPr="00595469">
              <w:rPr>
                <w:rFonts w:ascii="Times New Roman" w:hAnsi="Times New Roman" w:cs="Times New Roman"/>
              </w:rPr>
              <w:t>;</w:t>
            </w:r>
          </w:p>
          <w:p w14:paraId="02954E88" w14:textId="77777777" w:rsidR="00BF2BAD" w:rsidRPr="00595469" w:rsidRDefault="00BF2BAD" w:rsidP="00E72378">
            <w:pPr>
              <w:pStyle w:val="tabledotpoint2"/>
              <w:spacing w:before="20" w:after="20"/>
              <w:ind w:left="568"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any entity in relation to insurance, banking, telecommunications, copyright, patents, designs or trademarks; and</w:t>
            </w:r>
          </w:p>
          <w:p w14:paraId="34F25DB2" w14:textId="77777777" w:rsidR="00BF2BAD" w:rsidRPr="00595469" w:rsidRDefault="00BF2BAD" w:rsidP="00E72378">
            <w:pPr>
              <w:pStyle w:val="tabledotpoint2"/>
              <w:spacing w:before="20" w:after="20"/>
              <w:ind w:left="568"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any entity that is operated by those living in or is located in a Territory.</w:t>
            </w:r>
          </w:p>
          <w:p w14:paraId="51014889" w14:textId="77777777" w:rsidR="00BF2BAD" w:rsidRPr="00595469" w:rsidRDefault="00BF2BAD" w:rsidP="00E72378">
            <w:pPr>
              <w:pStyle w:val="tabledotpoint"/>
              <w:spacing w:before="0"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Power to conduct, and take evidence in, hearings.</w:t>
            </w:r>
          </w:p>
          <w:p w14:paraId="39489C91" w14:textId="44741566" w:rsidR="00BF2BAD" w:rsidRPr="00595469" w:rsidRDefault="00BF2BAD" w:rsidP="00E72378">
            <w:pPr>
              <w:pStyle w:val="tabledotpoint"/>
              <w:spacing w:before="0"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Ability to require a person to produce information or documents or attend hearings, with at least 10 business days</w:t>
            </w:r>
            <w:r w:rsidR="009349BC">
              <w:rPr>
                <w:rFonts w:ascii="Times New Roman" w:hAnsi="Times New Roman" w:cs="Times New Roman"/>
              </w:rPr>
              <w:t>’</w:t>
            </w:r>
            <w:r w:rsidRPr="00595469">
              <w:rPr>
                <w:rFonts w:ascii="Times New Roman" w:hAnsi="Times New Roman" w:cs="Times New Roman"/>
              </w:rPr>
              <w:t xml:space="preserve"> notice. Can apply a financial penalty of 30</w:t>
            </w:r>
            <w:r w:rsidR="00443BA1">
              <w:rPr>
                <w:rFonts w:ascii="Times New Roman" w:hAnsi="Times New Roman" w:cs="Times New Roman"/>
              </w:rPr>
              <w:t> </w:t>
            </w:r>
            <w:r w:rsidRPr="00595469">
              <w:rPr>
                <w:rFonts w:ascii="Times New Roman" w:hAnsi="Times New Roman" w:cs="Times New Roman"/>
              </w:rPr>
              <w:t>penalty units for non</w:t>
            </w:r>
            <w:r w:rsidR="009349BC">
              <w:rPr>
                <w:rFonts w:ascii="Times New Roman" w:hAnsi="Times New Roman" w:cs="Times New Roman"/>
              </w:rPr>
              <w:noBreakHyphen/>
            </w:r>
            <w:r w:rsidRPr="00595469">
              <w:rPr>
                <w:rFonts w:ascii="Times New Roman" w:hAnsi="Times New Roman" w:cs="Times New Roman"/>
              </w:rPr>
              <w:t>compliance.</w:t>
            </w:r>
          </w:p>
          <w:p w14:paraId="31AB36A0" w14:textId="77777777" w:rsidR="00BF2BAD" w:rsidRPr="00595469" w:rsidRDefault="00BF2BAD" w:rsidP="00E72378">
            <w:pPr>
              <w:pStyle w:val="tabledotpoint"/>
              <w:spacing w:before="0"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Power to seek external advice and engage external consultants.</w:t>
            </w:r>
          </w:p>
          <w:p w14:paraId="105B6AB3" w14:textId="77777777" w:rsidR="00BF2BAD" w:rsidRPr="00595469" w:rsidRDefault="00BF2BAD" w:rsidP="00E72378">
            <w:pPr>
              <w:pStyle w:val="tabledotpoint"/>
              <w:spacing w:before="0"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Prepare reports for presentation to the Minister.</w:t>
            </w:r>
          </w:p>
        </w:tc>
        <w:tc>
          <w:tcPr>
            <w:tcW w:w="3719" w:type="dxa"/>
            <w:tcBorders>
              <w:top w:val="single" w:sz="8" w:space="0" w:color="auto"/>
              <w:left w:val="single" w:sz="8" w:space="0" w:color="auto"/>
              <w:bottom w:val="single" w:sz="8" w:space="0" w:color="auto"/>
              <w:right w:val="single" w:sz="8" w:space="0" w:color="auto"/>
            </w:tcBorders>
            <w:shd w:val="clear" w:color="auto" w:fill="auto"/>
          </w:tcPr>
          <w:p w14:paraId="1E190EF3"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95469">
              <w:rPr>
                <w:rFonts w:ascii="Times New Roman" w:hAnsi="Times New Roman" w:cs="Times New Roman"/>
                <w:b/>
              </w:rPr>
              <w:t>Activities</w:t>
            </w:r>
          </w:p>
          <w:p w14:paraId="425F436A"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As per option 2.</w:t>
            </w:r>
          </w:p>
          <w:p w14:paraId="5BAA09C1"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5451F8F"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Powers and responsibilities to be legislated</w:t>
            </w:r>
          </w:p>
          <w:p w14:paraId="67D880BF"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 xml:space="preserve">As per option 2 </w:t>
            </w:r>
            <w:r w:rsidRPr="00D53C03">
              <w:rPr>
                <w:rFonts w:ascii="Times New Roman" w:hAnsi="Times New Roman" w:cs="Times New Roman"/>
                <w:b/>
                <w:i/>
              </w:rPr>
              <w:t>except</w:t>
            </w:r>
            <w:r w:rsidRPr="00595469">
              <w:rPr>
                <w:rFonts w:ascii="Times New Roman" w:hAnsi="Times New Roman" w:cs="Times New Roman"/>
              </w:rPr>
              <w:t xml:space="preserve"> for the following powers that would not be provided:</w:t>
            </w:r>
          </w:p>
          <w:p w14:paraId="77D00A62" w14:textId="79AC7B9C"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5469">
              <w:rPr>
                <w:rFonts w:ascii="Times New Roman" w:hAnsi="Times New Roman" w:cs="Times New Roman"/>
              </w:rPr>
              <w:t>Ability to require information from parties (as a penalty there would be an option to publicly name unco</w:t>
            </w:r>
            <w:r w:rsidR="009349BC">
              <w:rPr>
                <w:rFonts w:ascii="Times New Roman" w:hAnsi="Times New Roman" w:cs="Times New Roman"/>
              </w:rPr>
              <w:noBreakHyphen/>
            </w:r>
            <w:r w:rsidRPr="00595469">
              <w:rPr>
                <w:rFonts w:ascii="Times New Roman" w:hAnsi="Times New Roman" w:cs="Times New Roman"/>
              </w:rPr>
              <w:t>operative parties).</w:t>
            </w:r>
          </w:p>
          <w:p w14:paraId="032B3A21"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C61C674"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F2BAD" w:rsidRPr="00AE24AC" w14:paraId="76B9C6B8" w14:textId="77777777" w:rsidTr="003F09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auto"/>
              <w:left w:val="single" w:sz="8" w:space="0" w:color="auto"/>
              <w:bottom w:val="single" w:sz="8" w:space="0" w:color="auto"/>
              <w:right w:val="single" w:sz="8" w:space="0" w:color="auto"/>
            </w:tcBorders>
            <w:shd w:val="clear" w:color="auto" w:fill="auto"/>
          </w:tcPr>
          <w:p w14:paraId="2ECC4572" w14:textId="77777777" w:rsidR="00BF2BAD" w:rsidRPr="00595469" w:rsidRDefault="00BF2BAD" w:rsidP="00E72378">
            <w:pPr>
              <w:pStyle w:val="tabletext"/>
              <w:keepNext/>
              <w:keepLines/>
              <w:rPr>
                <w:rFonts w:ascii="Times New Roman" w:hAnsi="Times New Roman" w:cs="Times New Roman"/>
                <w:szCs w:val="20"/>
              </w:rPr>
            </w:pPr>
            <w:r w:rsidRPr="00595469">
              <w:rPr>
                <w:rFonts w:ascii="Times New Roman" w:hAnsi="Times New Roman" w:cs="Times New Roman"/>
                <w:szCs w:val="20"/>
              </w:rPr>
              <w:t>Concierge for dispute resolution and operation of a mediation service</w:t>
            </w:r>
          </w:p>
        </w:tc>
        <w:tc>
          <w:tcPr>
            <w:tcW w:w="2552" w:type="dxa"/>
            <w:tcBorders>
              <w:top w:val="single" w:sz="8" w:space="0" w:color="auto"/>
              <w:left w:val="single" w:sz="8" w:space="0" w:color="auto"/>
              <w:bottom w:val="single" w:sz="8" w:space="0" w:color="auto"/>
              <w:right w:val="single" w:sz="8" w:space="0" w:color="auto"/>
            </w:tcBorders>
            <w:shd w:val="clear" w:color="auto" w:fill="auto"/>
          </w:tcPr>
          <w:p w14:paraId="6D90E9C6" w14:textId="77777777" w:rsidR="00BF2BAD" w:rsidRPr="00595469" w:rsidRDefault="00BF2BAD" w:rsidP="00E72378">
            <w:pPr>
              <w:pStyle w:val="tabletext"/>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0"/>
              </w:rPr>
            </w:pPr>
            <w:r w:rsidRPr="00595469">
              <w:rPr>
                <w:rFonts w:ascii="Times New Roman" w:hAnsi="Times New Roman" w:cs="Times New Roman"/>
                <w:b/>
                <w:szCs w:val="20"/>
              </w:rPr>
              <w:t>Activities</w:t>
            </w:r>
          </w:p>
          <w:p w14:paraId="6B653615" w14:textId="77777777" w:rsidR="00BF2BAD" w:rsidRPr="00595469" w:rsidRDefault="00BF2BAD" w:rsidP="00E72378">
            <w:pPr>
              <w:pStyle w:val="tabletext"/>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Provide information, guidance materials and support to small businesses and family enterprises.</w:t>
            </w:r>
          </w:p>
          <w:p w14:paraId="24D8A5B6" w14:textId="77777777" w:rsidR="00BF2BAD" w:rsidRPr="00595469" w:rsidRDefault="00BF2BAD" w:rsidP="00E72378">
            <w:pPr>
              <w:pStyle w:val="tabletext"/>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Refer complaints to existing dispute resolution providers where appropriate.</w:t>
            </w:r>
          </w:p>
          <w:p w14:paraId="265A081E" w14:textId="77777777" w:rsidR="00BF2BAD" w:rsidRPr="00595469" w:rsidRDefault="00BF2BAD" w:rsidP="00E72378">
            <w:pPr>
              <w:pStyle w:val="tabletext"/>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Make preliminary inquiries in response to complaints.</w:t>
            </w:r>
          </w:p>
          <w:p w14:paraId="66F627EF" w14:textId="77777777" w:rsidR="00BF2BAD" w:rsidRPr="00595469" w:rsidRDefault="00BF2BAD" w:rsidP="00E72378">
            <w:pPr>
              <w:pStyle w:val="tabletext"/>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0"/>
              </w:rPr>
            </w:pPr>
            <w:r w:rsidRPr="00595469">
              <w:rPr>
                <w:rFonts w:ascii="Times New Roman" w:hAnsi="Times New Roman" w:cs="Times New Roman"/>
                <w:b/>
                <w:szCs w:val="20"/>
              </w:rPr>
              <w:t>Powers</w:t>
            </w:r>
          </w:p>
          <w:p w14:paraId="0C66EF24" w14:textId="77777777" w:rsidR="00BF2BAD" w:rsidRPr="00595469" w:rsidRDefault="00BF2BAD" w:rsidP="00E72378">
            <w:pPr>
              <w:pStyle w:val="tabletext"/>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Nil.</w:t>
            </w:r>
          </w:p>
          <w:p w14:paraId="63F10075" w14:textId="77777777" w:rsidR="00BF2BAD" w:rsidRPr="00595469" w:rsidRDefault="00BF2BAD" w:rsidP="00E72378">
            <w:pPr>
              <w:pStyle w:val="tabletext"/>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p>
        </w:tc>
        <w:tc>
          <w:tcPr>
            <w:tcW w:w="3912" w:type="dxa"/>
            <w:tcBorders>
              <w:top w:val="single" w:sz="8" w:space="0" w:color="auto"/>
              <w:left w:val="single" w:sz="8" w:space="0" w:color="auto"/>
              <w:bottom w:val="single" w:sz="8" w:space="0" w:color="auto"/>
              <w:right w:val="single" w:sz="8" w:space="0" w:color="auto"/>
            </w:tcBorders>
            <w:shd w:val="clear" w:color="auto" w:fill="auto"/>
          </w:tcPr>
          <w:p w14:paraId="2FAB742D" w14:textId="77777777" w:rsidR="00BF2BAD" w:rsidRPr="00595469" w:rsidRDefault="00BF2BAD" w:rsidP="00E72378">
            <w:pPr>
              <w:pStyle w:val="tabletext"/>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0"/>
              </w:rPr>
            </w:pPr>
            <w:r w:rsidRPr="00595469">
              <w:rPr>
                <w:rFonts w:ascii="Times New Roman" w:hAnsi="Times New Roman" w:cs="Times New Roman"/>
                <w:b/>
                <w:szCs w:val="20"/>
              </w:rPr>
              <w:t>Activities</w:t>
            </w:r>
          </w:p>
          <w:p w14:paraId="5F94BCDC" w14:textId="77777777" w:rsidR="00BF2BAD" w:rsidRPr="00595469" w:rsidRDefault="00BF2BAD" w:rsidP="00E72378">
            <w:pPr>
              <w:pStyle w:val="tabletext"/>
              <w:keepNext/>
              <w:keepLines/>
              <w:spacing w:before="0" w:after="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Respond to requests for assistance by an operator of a small business or family enterprise.</w:t>
            </w:r>
          </w:p>
          <w:p w14:paraId="681E2DF1" w14:textId="77777777" w:rsidR="00BF2BAD" w:rsidRPr="00595469" w:rsidRDefault="00BF2BAD" w:rsidP="00E72378">
            <w:pPr>
              <w:pStyle w:val="tabletext"/>
              <w:keepNext/>
              <w:keepLines/>
              <w:spacing w:before="0" w:after="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Provide information, guidance materials and support to small businesses and family enterprises.</w:t>
            </w:r>
          </w:p>
          <w:p w14:paraId="68D57793" w14:textId="77777777" w:rsidR="00BF2BAD" w:rsidRPr="00595469" w:rsidRDefault="00BF2BAD" w:rsidP="00E72378">
            <w:pPr>
              <w:pStyle w:val="tabletext"/>
              <w:keepNext/>
              <w:keepLines/>
              <w:spacing w:before="0" w:after="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Refer complaints to existing dispute resolution providers where appropriate.</w:t>
            </w:r>
          </w:p>
          <w:p w14:paraId="60593A5C" w14:textId="77777777" w:rsidR="00BF2BAD" w:rsidRPr="00595469" w:rsidRDefault="00BF2BAD" w:rsidP="00E72378">
            <w:pPr>
              <w:pStyle w:val="tabletext"/>
              <w:keepNext/>
              <w:keepLines/>
              <w:spacing w:before="0" w:after="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Refer complaints to own dispute resolution service where appropriate.</w:t>
            </w:r>
          </w:p>
          <w:p w14:paraId="5A20D434" w14:textId="77777777" w:rsidR="00BF2BAD" w:rsidRPr="00595469" w:rsidRDefault="00BF2BAD" w:rsidP="00E72378">
            <w:pPr>
              <w:pStyle w:val="tabletext"/>
              <w:keepNext/>
              <w:keepLines/>
              <w:spacing w:before="0" w:after="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Reject/refer complaints which are vexatious or better dealt with by another entity.</w:t>
            </w:r>
          </w:p>
          <w:p w14:paraId="3879C79A" w14:textId="77777777" w:rsidR="00BF2BAD" w:rsidRPr="00595469" w:rsidRDefault="00BF2BAD" w:rsidP="00E72378">
            <w:pPr>
              <w:pStyle w:val="tabletext"/>
              <w:keepNext/>
              <w:keepLines/>
              <w:spacing w:before="0" w:after="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0"/>
              </w:rPr>
            </w:pPr>
            <w:r w:rsidRPr="00595469">
              <w:rPr>
                <w:rFonts w:ascii="Times New Roman" w:hAnsi="Times New Roman" w:cs="Times New Roman"/>
                <w:b/>
                <w:szCs w:val="20"/>
              </w:rPr>
              <w:t>Powers and responsibilities to be legislated</w:t>
            </w:r>
          </w:p>
          <w:p w14:paraId="32EB2A53" w14:textId="77777777" w:rsidR="00BF2BAD" w:rsidRPr="00595469" w:rsidRDefault="00BF2BAD" w:rsidP="00E72378">
            <w:pPr>
              <w:pStyle w:val="tabletext"/>
              <w:keepNext/>
              <w:keepLines/>
              <w:spacing w:before="20" w:after="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 xml:space="preserve">Must transfer a request for assistance to another Commonwealth, </w:t>
            </w:r>
            <w:r w:rsidR="00E41E5E" w:rsidRPr="00595469">
              <w:rPr>
                <w:rFonts w:ascii="Times New Roman" w:hAnsi="Times New Roman" w:cs="Times New Roman"/>
                <w:szCs w:val="20"/>
              </w:rPr>
              <w:t xml:space="preserve">state </w:t>
            </w:r>
            <w:r w:rsidRPr="00595469">
              <w:rPr>
                <w:rFonts w:ascii="Times New Roman" w:hAnsi="Times New Roman" w:cs="Times New Roman"/>
                <w:szCs w:val="20"/>
              </w:rPr>
              <w:t xml:space="preserve">or </w:t>
            </w:r>
            <w:r w:rsidR="00E41E5E" w:rsidRPr="00595469">
              <w:rPr>
                <w:rFonts w:ascii="Times New Roman" w:hAnsi="Times New Roman" w:cs="Times New Roman"/>
                <w:szCs w:val="20"/>
              </w:rPr>
              <w:t xml:space="preserve">territory </w:t>
            </w:r>
            <w:r w:rsidRPr="00595469">
              <w:rPr>
                <w:rFonts w:ascii="Times New Roman" w:hAnsi="Times New Roman" w:cs="Times New Roman"/>
                <w:szCs w:val="20"/>
              </w:rPr>
              <w:t xml:space="preserve">agency, if that agency could deal with the request and it would be more effective and convenient for that agency to do so. </w:t>
            </w:r>
          </w:p>
          <w:p w14:paraId="02C381A8" w14:textId="01038002" w:rsidR="00BF2BAD" w:rsidRPr="00595469" w:rsidRDefault="00BF2BAD" w:rsidP="00E72378">
            <w:pPr>
              <w:pStyle w:val="tabletext"/>
              <w:keepNext/>
              <w:keepLines/>
              <w:spacing w:before="20" w:after="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May work co</w:t>
            </w:r>
            <w:r w:rsidR="009349BC">
              <w:rPr>
                <w:rFonts w:ascii="Times New Roman" w:hAnsi="Times New Roman" w:cs="Times New Roman"/>
                <w:szCs w:val="20"/>
              </w:rPr>
              <w:noBreakHyphen/>
            </w:r>
            <w:r w:rsidRPr="00595469">
              <w:rPr>
                <w:rFonts w:ascii="Times New Roman" w:hAnsi="Times New Roman" w:cs="Times New Roman"/>
                <w:szCs w:val="20"/>
              </w:rPr>
              <w:t>operatively with other agencies of the Commonwealth, the States and the Territories if it is more convenient and effective to do so.</w:t>
            </w:r>
          </w:p>
          <w:p w14:paraId="2151B2CB" w14:textId="77777777" w:rsidR="00BF2BAD" w:rsidRPr="00595469" w:rsidRDefault="00BF2BAD" w:rsidP="00E72378">
            <w:pPr>
              <w:pStyle w:val="tabletext"/>
              <w:keepNext/>
              <w:keepLines/>
              <w:spacing w:before="20" w:after="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 xml:space="preserve">May recommend that an ADR process be undertaken. If an entity does not undertake that process, or withdraws from that process, the Ombudsman may publish that fact. </w:t>
            </w:r>
          </w:p>
          <w:p w14:paraId="5644E865" w14:textId="3F8B6B5D" w:rsidR="00BF2BAD" w:rsidRPr="00595469" w:rsidRDefault="00BF2BAD" w:rsidP="00E72378">
            <w:pPr>
              <w:pStyle w:val="tabletext"/>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Ability to require information from parties in dispute (can apply a financial penalty for non</w:t>
            </w:r>
            <w:r w:rsidR="009349BC">
              <w:rPr>
                <w:rFonts w:ascii="Times New Roman" w:hAnsi="Times New Roman" w:cs="Times New Roman"/>
                <w:szCs w:val="20"/>
              </w:rPr>
              <w:noBreakHyphen/>
            </w:r>
            <w:r w:rsidRPr="00595469">
              <w:rPr>
                <w:rFonts w:ascii="Times New Roman" w:hAnsi="Times New Roman" w:cs="Times New Roman"/>
                <w:szCs w:val="20"/>
              </w:rPr>
              <w:t>compliance).</w:t>
            </w:r>
          </w:p>
          <w:p w14:paraId="2C944295" w14:textId="77777777" w:rsidR="00BF2BAD" w:rsidRPr="00595469" w:rsidRDefault="00BF2BAD" w:rsidP="00E72378">
            <w:pPr>
              <w:pStyle w:val="tabletext"/>
              <w:keepNext/>
              <w:keepLines/>
              <w:spacing w:before="0" w:after="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May keep a list of ADR providers.</w:t>
            </w:r>
          </w:p>
          <w:p w14:paraId="4ECB2A71" w14:textId="77777777" w:rsidR="00BF2BAD" w:rsidRPr="00595469" w:rsidRDefault="00BF2BAD" w:rsidP="00E72378">
            <w:pPr>
              <w:pStyle w:val="tabletext"/>
              <w:keepNext/>
              <w:keepLines/>
              <w:spacing w:before="0" w:after="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May set appropriate fees for own dispute resolution processes, including cancellation fees.</w:t>
            </w:r>
          </w:p>
          <w:p w14:paraId="6328027F" w14:textId="77777777" w:rsidR="00BF2BAD" w:rsidRPr="00595469" w:rsidRDefault="00BF2BAD" w:rsidP="00E72378">
            <w:pPr>
              <w:pStyle w:val="tabletext"/>
              <w:keepNext/>
              <w:keepLines/>
              <w:spacing w:before="0" w:after="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Must not directly conduct ADR process.</w:t>
            </w:r>
          </w:p>
        </w:tc>
        <w:tc>
          <w:tcPr>
            <w:tcW w:w="3719" w:type="dxa"/>
            <w:tcBorders>
              <w:top w:val="single" w:sz="8" w:space="0" w:color="auto"/>
              <w:left w:val="single" w:sz="8" w:space="0" w:color="auto"/>
              <w:bottom w:val="single" w:sz="8" w:space="0" w:color="auto"/>
              <w:right w:val="single" w:sz="8" w:space="0" w:color="auto"/>
            </w:tcBorders>
            <w:shd w:val="clear" w:color="auto" w:fill="auto"/>
          </w:tcPr>
          <w:p w14:paraId="10F4ACFD" w14:textId="77777777" w:rsidR="00BF2BAD" w:rsidRPr="00595469" w:rsidRDefault="00BF2BAD" w:rsidP="00E72378">
            <w:pPr>
              <w:pStyle w:val="tabletext"/>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0"/>
              </w:rPr>
            </w:pPr>
            <w:r w:rsidRPr="00595469">
              <w:rPr>
                <w:rFonts w:ascii="Times New Roman" w:hAnsi="Times New Roman" w:cs="Times New Roman"/>
                <w:b/>
                <w:szCs w:val="20"/>
              </w:rPr>
              <w:t>Activities</w:t>
            </w:r>
          </w:p>
          <w:p w14:paraId="159D1A23" w14:textId="77777777" w:rsidR="00BF2BAD" w:rsidRPr="00595469" w:rsidRDefault="00BF2BAD" w:rsidP="00E72378">
            <w:pPr>
              <w:pStyle w:val="tabletext"/>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As per option 2.</w:t>
            </w:r>
          </w:p>
          <w:p w14:paraId="47007B58" w14:textId="77777777" w:rsidR="00BF2BAD" w:rsidRPr="00595469" w:rsidRDefault="00BF2BAD" w:rsidP="00E72378">
            <w:pPr>
              <w:pStyle w:val="tabletext"/>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0"/>
              </w:rPr>
            </w:pPr>
            <w:r w:rsidRPr="00595469">
              <w:rPr>
                <w:rFonts w:ascii="Times New Roman" w:hAnsi="Times New Roman" w:cs="Times New Roman"/>
                <w:b/>
                <w:szCs w:val="20"/>
              </w:rPr>
              <w:t>Powers and responsibilities to be legislated</w:t>
            </w:r>
          </w:p>
          <w:p w14:paraId="7888B582" w14:textId="77777777" w:rsidR="00BF2BAD" w:rsidRPr="00595469" w:rsidRDefault="00BF2BAD" w:rsidP="00E72378">
            <w:pPr>
              <w:pStyle w:val="tabletext"/>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 xml:space="preserve">As per option 2 </w:t>
            </w:r>
            <w:r w:rsidRPr="00D53C03">
              <w:rPr>
                <w:rFonts w:ascii="Times New Roman" w:hAnsi="Times New Roman" w:cs="Times New Roman"/>
                <w:b/>
                <w:i/>
                <w:szCs w:val="20"/>
              </w:rPr>
              <w:t>except</w:t>
            </w:r>
            <w:r w:rsidRPr="00595469">
              <w:rPr>
                <w:rFonts w:ascii="Times New Roman" w:hAnsi="Times New Roman" w:cs="Times New Roman"/>
                <w:szCs w:val="20"/>
              </w:rPr>
              <w:t xml:space="preserve"> for the following powers that would not be provided:</w:t>
            </w:r>
          </w:p>
          <w:p w14:paraId="2FA83490" w14:textId="152BD3CD" w:rsidR="00BF2BAD" w:rsidRPr="00595469" w:rsidRDefault="00BF2BAD" w:rsidP="00E72378">
            <w:pPr>
              <w:pStyle w:val="tabletext"/>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Ability to require information from parties in dispute (can apply a financial penalty for non</w:t>
            </w:r>
            <w:r w:rsidR="009349BC">
              <w:rPr>
                <w:rFonts w:ascii="Times New Roman" w:hAnsi="Times New Roman" w:cs="Times New Roman"/>
                <w:szCs w:val="20"/>
              </w:rPr>
              <w:noBreakHyphen/>
            </w:r>
            <w:r w:rsidRPr="00595469">
              <w:rPr>
                <w:rFonts w:ascii="Times New Roman" w:hAnsi="Times New Roman" w:cs="Times New Roman"/>
                <w:szCs w:val="20"/>
              </w:rPr>
              <w:t>compliance).</w:t>
            </w:r>
          </w:p>
          <w:p w14:paraId="62F54736" w14:textId="77777777" w:rsidR="00BF2BAD" w:rsidRPr="00595469" w:rsidRDefault="00BF2BAD" w:rsidP="00E72378">
            <w:pPr>
              <w:pStyle w:val="tabletext"/>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Ability to publicly name parties which refuse to participate or withdraw from the recommended ADR process.</w:t>
            </w:r>
            <w:r w:rsidRPr="00595469" w:rsidDel="0018691C">
              <w:rPr>
                <w:rFonts w:ascii="Times New Roman" w:hAnsi="Times New Roman" w:cs="Times New Roman"/>
                <w:szCs w:val="20"/>
              </w:rPr>
              <w:t xml:space="preserve"> </w:t>
            </w:r>
          </w:p>
        </w:tc>
      </w:tr>
      <w:tr w:rsidR="00BF2BAD" w:rsidRPr="00861C42" w14:paraId="2EEC99A4" w14:textId="77777777" w:rsidTr="003F0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auto"/>
              <w:left w:val="single" w:sz="8" w:space="0" w:color="auto"/>
              <w:bottom w:val="single" w:sz="8" w:space="0" w:color="auto"/>
              <w:right w:val="single" w:sz="8" w:space="0" w:color="auto"/>
            </w:tcBorders>
            <w:shd w:val="clear" w:color="auto" w:fill="auto"/>
          </w:tcPr>
          <w:p w14:paraId="50097475" w14:textId="77777777" w:rsidR="00BF2BAD" w:rsidRPr="00595469" w:rsidRDefault="00BF2BAD" w:rsidP="00E72378">
            <w:pPr>
              <w:pStyle w:val="tabletext"/>
              <w:rPr>
                <w:rFonts w:ascii="Times New Roman" w:hAnsi="Times New Roman" w:cs="Times New Roman"/>
                <w:szCs w:val="20"/>
              </w:rPr>
            </w:pPr>
            <w:r w:rsidRPr="00595469">
              <w:rPr>
                <w:rFonts w:ascii="Times New Roman" w:hAnsi="Times New Roman" w:cs="Times New Roman"/>
                <w:szCs w:val="20"/>
              </w:rPr>
              <w:t>Ministerial Direction</w:t>
            </w:r>
          </w:p>
        </w:tc>
        <w:tc>
          <w:tcPr>
            <w:tcW w:w="2552" w:type="dxa"/>
            <w:tcBorders>
              <w:top w:val="single" w:sz="8" w:space="0" w:color="auto"/>
              <w:left w:val="single" w:sz="8" w:space="0" w:color="auto"/>
              <w:bottom w:val="single" w:sz="8" w:space="0" w:color="auto"/>
              <w:right w:val="single" w:sz="8" w:space="0" w:color="auto"/>
            </w:tcBorders>
            <w:shd w:val="clear" w:color="auto" w:fill="auto"/>
          </w:tcPr>
          <w:p w14:paraId="15C590D6"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0"/>
              </w:rPr>
            </w:pPr>
            <w:r w:rsidRPr="00595469">
              <w:rPr>
                <w:rFonts w:ascii="Times New Roman" w:hAnsi="Times New Roman" w:cs="Times New Roman"/>
                <w:b/>
                <w:szCs w:val="20"/>
              </w:rPr>
              <w:t>Activities</w:t>
            </w:r>
          </w:p>
          <w:p w14:paraId="57521D89"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Report directly to the Minister on significant small business issues.</w:t>
            </w:r>
          </w:p>
          <w:p w14:paraId="0443E8AA"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0"/>
              </w:rPr>
            </w:pPr>
            <w:r w:rsidRPr="00595469">
              <w:rPr>
                <w:rFonts w:ascii="Times New Roman" w:hAnsi="Times New Roman" w:cs="Times New Roman"/>
                <w:b/>
                <w:szCs w:val="20"/>
              </w:rPr>
              <w:t>Powers</w:t>
            </w:r>
          </w:p>
          <w:p w14:paraId="3C4177B5"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Nil.</w:t>
            </w:r>
          </w:p>
          <w:p w14:paraId="369A2C34"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tc>
        <w:tc>
          <w:tcPr>
            <w:tcW w:w="3912" w:type="dxa"/>
            <w:tcBorders>
              <w:top w:val="single" w:sz="8" w:space="0" w:color="auto"/>
              <w:left w:val="single" w:sz="8" w:space="0" w:color="auto"/>
              <w:bottom w:val="single" w:sz="8" w:space="0" w:color="auto"/>
              <w:right w:val="single" w:sz="8" w:space="0" w:color="auto"/>
            </w:tcBorders>
            <w:shd w:val="clear" w:color="auto" w:fill="auto"/>
          </w:tcPr>
          <w:p w14:paraId="539E8B60"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0"/>
              </w:rPr>
            </w:pPr>
            <w:r w:rsidRPr="00595469">
              <w:rPr>
                <w:rFonts w:ascii="Times New Roman" w:hAnsi="Times New Roman" w:cs="Times New Roman"/>
                <w:b/>
                <w:szCs w:val="20"/>
              </w:rPr>
              <w:t>Activities</w:t>
            </w:r>
          </w:p>
          <w:p w14:paraId="0455BC78"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Report regularly to the Minister on significant small business issues.</w:t>
            </w:r>
          </w:p>
          <w:p w14:paraId="682BEBDB"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Develop and report on an annual work program.</w:t>
            </w:r>
          </w:p>
          <w:p w14:paraId="78042D76"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 xml:space="preserve">Report on outcomes of research and inquires to Minister. </w:t>
            </w:r>
          </w:p>
          <w:p w14:paraId="53510033" w14:textId="77777777" w:rsidR="00BF2BAD" w:rsidRPr="00595469" w:rsidRDefault="00BF2BAD" w:rsidP="00E72378">
            <w:pPr>
              <w:pStyle w:val="tablet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0"/>
              </w:rPr>
            </w:pPr>
            <w:r w:rsidRPr="00595469">
              <w:rPr>
                <w:rFonts w:ascii="Times New Roman" w:hAnsi="Times New Roman" w:cs="Times New Roman"/>
                <w:b/>
                <w:szCs w:val="20"/>
              </w:rPr>
              <w:t>Powers and responsibilities to be legislated</w:t>
            </w:r>
          </w:p>
          <w:p w14:paraId="658199CA" w14:textId="77777777" w:rsidR="00BF2BAD" w:rsidRPr="00595469" w:rsidRDefault="00BF2BAD" w:rsidP="00E72378">
            <w:pPr>
              <w:pStyle w:val="tablet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Conduct inquiries into issues at the direction of the Minister and prepare reports for presentation to the Minister.</w:t>
            </w:r>
          </w:p>
          <w:p w14:paraId="37F5BE7D"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For reports prepared under Ministerial direction, the Minister will be required to table reports in each House of Parliament within 25 sitting days after the Minister receives a report.</w:t>
            </w:r>
          </w:p>
          <w:p w14:paraId="69998EA9"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p w14:paraId="4302CDA6"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 xml:space="preserve">Allowance for right of reply for parties named in the finalisation of reports to the Minister. </w:t>
            </w:r>
          </w:p>
          <w:p w14:paraId="5D98347E"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Provide an annual report to Parliament through the Department (Treasury).</w:t>
            </w:r>
          </w:p>
        </w:tc>
        <w:tc>
          <w:tcPr>
            <w:tcW w:w="3719" w:type="dxa"/>
            <w:tcBorders>
              <w:top w:val="single" w:sz="8" w:space="0" w:color="auto"/>
              <w:left w:val="single" w:sz="8" w:space="0" w:color="auto"/>
              <w:bottom w:val="single" w:sz="8" w:space="0" w:color="auto"/>
              <w:right w:val="single" w:sz="8" w:space="0" w:color="auto"/>
            </w:tcBorders>
            <w:shd w:val="clear" w:color="auto" w:fill="auto"/>
          </w:tcPr>
          <w:p w14:paraId="3322A1C9"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0"/>
              </w:rPr>
            </w:pPr>
            <w:r w:rsidRPr="00595469">
              <w:rPr>
                <w:rFonts w:ascii="Times New Roman" w:hAnsi="Times New Roman" w:cs="Times New Roman"/>
                <w:b/>
                <w:szCs w:val="20"/>
              </w:rPr>
              <w:t>Activities</w:t>
            </w:r>
          </w:p>
          <w:p w14:paraId="52A577F5"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As per option 2.</w:t>
            </w:r>
          </w:p>
          <w:p w14:paraId="30F7C6F9"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0"/>
              </w:rPr>
            </w:pPr>
            <w:r w:rsidRPr="00595469">
              <w:rPr>
                <w:rFonts w:ascii="Times New Roman" w:hAnsi="Times New Roman" w:cs="Times New Roman"/>
                <w:b/>
                <w:szCs w:val="20"/>
              </w:rPr>
              <w:t>Powers and responsibilities to be legislated</w:t>
            </w:r>
          </w:p>
          <w:p w14:paraId="2C99178C"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As per option 2.</w:t>
            </w:r>
          </w:p>
          <w:p w14:paraId="08292E94" w14:textId="77777777" w:rsidR="00BF2BAD" w:rsidRPr="00595469" w:rsidRDefault="00BF2BAD" w:rsidP="00E72378">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p>
        </w:tc>
      </w:tr>
      <w:tr w:rsidR="00BF2BAD" w:rsidRPr="00861C42" w14:paraId="2B06E666" w14:textId="77777777" w:rsidTr="003F092F">
        <w:trPr>
          <w:cnfStyle w:val="000000010000" w:firstRow="0" w:lastRow="0" w:firstColumn="0" w:lastColumn="0" w:oddVBand="0" w:evenVBand="0" w:oddHBand="0" w:evenHBand="1" w:firstRowFirstColumn="0" w:firstRowLastColumn="0" w:lastRowFirstColumn="0" w:lastRowLastColumn="0"/>
          <w:trHeight w:val="3095"/>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auto"/>
              <w:left w:val="single" w:sz="8" w:space="0" w:color="auto"/>
              <w:bottom w:val="single" w:sz="8" w:space="0" w:color="auto"/>
              <w:right w:val="single" w:sz="8" w:space="0" w:color="auto"/>
            </w:tcBorders>
            <w:shd w:val="clear" w:color="auto" w:fill="auto"/>
          </w:tcPr>
          <w:p w14:paraId="45CEF30F" w14:textId="77777777" w:rsidR="00BF2BAD" w:rsidRPr="00595469" w:rsidRDefault="00BF2BAD" w:rsidP="00E72378">
            <w:pPr>
              <w:pStyle w:val="tableheaderwithintable"/>
              <w:rPr>
                <w:rFonts w:cs="Times New Roman"/>
                <w:b/>
                <w:i w:val="0"/>
                <w:szCs w:val="20"/>
              </w:rPr>
            </w:pPr>
            <w:r w:rsidRPr="00595469">
              <w:rPr>
                <w:rFonts w:cs="Times New Roman"/>
                <w:b/>
                <w:i w:val="0"/>
                <w:szCs w:val="20"/>
              </w:rPr>
              <w:t>Appointment</w:t>
            </w:r>
          </w:p>
        </w:tc>
        <w:tc>
          <w:tcPr>
            <w:tcW w:w="2552" w:type="dxa"/>
            <w:tcBorders>
              <w:top w:val="single" w:sz="8" w:space="0" w:color="auto"/>
              <w:left w:val="single" w:sz="8" w:space="0" w:color="auto"/>
              <w:bottom w:val="single" w:sz="8" w:space="0" w:color="auto"/>
              <w:right w:val="single" w:sz="8" w:space="0" w:color="auto"/>
            </w:tcBorders>
            <w:shd w:val="clear" w:color="auto" w:fill="auto"/>
          </w:tcPr>
          <w:p w14:paraId="2F4F4F0E" w14:textId="77777777" w:rsidR="00BF2BAD" w:rsidRPr="00595469" w:rsidRDefault="00BF2BAD" w:rsidP="00E72378">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Employed under a contract</w:t>
            </w:r>
          </w:p>
          <w:p w14:paraId="1098A64E" w14:textId="77777777" w:rsidR="00BF2BAD" w:rsidRPr="00595469" w:rsidRDefault="00BF2BAD" w:rsidP="00E72378">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0"/>
              </w:rPr>
            </w:pPr>
            <w:r w:rsidRPr="00595469">
              <w:rPr>
                <w:rFonts w:ascii="Times New Roman" w:hAnsi="Times New Roman" w:cs="Times New Roman"/>
                <w:b/>
                <w:szCs w:val="20"/>
              </w:rPr>
              <w:t>Powers</w:t>
            </w:r>
          </w:p>
          <w:p w14:paraId="4B30A61F" w14:textId="77777777" w:rsidR="00BF2BAD" w:rsidRPr="00595469" w:rsidRDefault="00BF2BAD" w:rsidP="00E72378">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Nil.</w:t>
            </w:r>
          </w:p>
        </w:tc>
        <w:tc>
          <w:tcPr>
            <w:tcW w:w="3912" w:type="dxa"/>
            <w:tcBorders>
              <w:top w:val="single" w:sz="8" w:space="0" w:color="auto"/>
              <w:left w:val="single" w:sz="8" w:space="0" w:color="auto"/>
              <w:bottom w:val="single" w:sz="8" w:space="0" w:color="auto"/>
              <w:right w:val="single" w:sz="8" w:space="0" w:color="auto"/>
            </w:tcBorders>
            <w:shd w:val="clear" w:color="auto" w:fill="auto"/>
          </w:tcPr>
          <w:p w14:paraId="2461DE69" w14:textId="77777777" w:rsidR="00BF2BAD" w:rsidRPr="00595469" w:rsidRDefault="00BF2BAD" w:rsidP="00E72378">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0"/>
              </w:rPr>
            </w:pPr>
            <w:r w:rsidRPr="00595469">
              <w:rPr>
                <w:rFonts w:ascii="Times New Roman" w:hAnsi="Times New Roman" w:cs="Times New Roman"/>
                <w:b/>
                <w:szCs w:val="20"/>
              </w:rPr>
              <w:t>Activities</w:t>
            </w:r>
          </w:p>
          <w:p w14:paraId="599E323E" w14:textId="77777777" w:rsidR="00BF2BAD" w:rsidRPr="00595469" w:rsidRDefault="00BF2BAD" w:rsidP="00E72378">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Not applicable</w:t>
            </w:r>
          </w:p>
          <w:p w14:paraId="24FA5508" w14:textId="77777777" w:rsidR="00BF2BAD" w:rsidRPr="00595469" w:rsidRDefault="00BF2BAD" w:rsidP="00E72378">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0"/>
              </w:rPr>
            </w:pPr>
            <w:r w:rsidRPr="00595469">
              <w:rPr>
                <w:rFonts w:ascii="Times New Roman" w:hAnsi="Times New Roman" w:cs="Times New Roman"/>
                <w:b/>
                <w:szCs w:val="20"/>
              </w:rPr>
              <w:t>Powers and responsibilities to be legislated</w:t>
            </w:r>
          </w:p>
          <w:p w14:paraId="329CEBF3" w14:textId="52F786B9" w:rsidR="00BF2BAD" w:rsidRPr="00595469" w:rsidRDefault="00BF2BAD" w:rsidP="00E72378">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Statutory appointment by the Governor</w:t>
            </w:r>
            <w:r w:rsidR="009349BC">
              <w:rPr>
                <w:rFonts w:ascii="Times New Roman" w:hAnsi="Times New Roman" w:cs="Times New Roman"/>
                <w:szCs w:val="20"/>
              </w:rPr>
              <w:noBreakHyphen/>
            </w:r>
            <w:r w:rsidRPr="00595469">
              <w:rPr>
                <w:rFonts w:ascii="Times New Roman" w:hAnsi="Times New Roman" w:cs="Times New Roman"/>
                <w:szCs w:val="20"/>
              </w:rPr>
              <w:t>General.</w:t>
            </w:r>
          </w:p>
          <w:p w14:paraId="49148D2A" w14:textId="77777777" w:rsidR="00BF2BAD" w:rsidRPr="00595469" w:rsidRDefault="00BF2BAD" w:rsidP="00E72378">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Minister may appoint an acting Ombudsman, which may be a public servant, as required.</w:t>
            </w:r>
          </w:p>
          <w:p w14:paraId="34784D77" w14:textId="13516289" w:rsidR="00BF2BAD" w:rsidRPr="00595469" w:rsidRDefault="00BF2BAD" w:rsidP="00E72378">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Up to 5 year term, eligible for re</w:t>
            </w:r>
            <w:r w:rsidR="009349BC">
              <w:rPr>
                <w:rFonts w:ascii="Times New Roman" w:hAnsi="Times New Roman" w:cs="Times New Roman"/>
                <w:szCs w:val="20"/>
              </w:rPr>
              <w:noBreakHyphen/>
            </w:r>
            <w:r w:rsidRPr="00595469">
              <w:rPr>
                <w:rFonts w:ascii="Times New Roman" w:hAnsi="Times New Roman" w:cs="Times New Roman"/>
                <w:szCs w:val="20"/>
              </w:rPr>
              <w:t>appointment by the Governor</w:t>
            </w:r>
            <w:r w:rsidR="009349BC">
              <w:rPr>
                <w:rFonts w:ascii="Times New Roman" w:hAnsi="Times New Roman" w:cs="Times New Roman"/>
                <w:szCs w:val="20"/>
              </w:rPr>
              <w:noBreakHyphen/>
            </w:r>
            <w:r w:rsidRPr="00595469">
              <w:rPr>
                <w:rFonts w:ascii="Times New Roman" w:hAnsi="Times New Roman" w:cs="Times New Roman"/>
                <w:szCs w:val="20"/>
              </w:rPr>
              <w:t>General.</w:t>
            </w:r>
          </w:p>
          <w:p w14:paraId="06409378" w14:textId="4289AACD" w:rsidR="00BF2BAD" w:rsidRPr="00595469" w:rsidRDefault="00BF2BAD" w:rsidP="00E72378">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Termination by Governor</w:t>
            </w:r>
            <w:r w:rsidR="009349BC">
              <w:rPr>
                <w:rFonts w:ascii="Times New Roman" w:hAnsi="Times New Roman" w:cs="Times New Roman"/>
                <w:szCs w:val="20"/>
              </w:rPr>
              <w:noBreakHyphen/>
            </w:r>
            <w:r w:rsidRPr="00595469">
              <w:rPr>
                <w:rFonts w:ascii="Times New Roman" w:hAnsi="Times New Roman" w:cs="Times New Roman"/>
                <w:szCs w:val="20"/>
              </w:rPr>
              <w:t>General under usual terms for statutory appointments.</w:t>
            </w:r>
          </w:p>
        </w:tc>
        <w:tc>
          <w:tcPr>
            <w:tcW w:w="3719" w:type="dxa"/>
            <w:tcBorders>
              <w:top w:val="single" w:sz="8" w:space="0" w:color="auto"/>
              <w:left w:val="single" w:sz="8" w:space="0" w:color="auto"/>
              <w:bottom w:val="single" w:sz="8" w:space="0" w:color="auto"/>
              <w:right w:val="single" w:sz="8" w:space="0" w:color="auto"/>
            </w:tcBorders>
            <w:shd w:val="clear" w:color="auto" w:fill="auto"/>
          </w:tcPr>
          <w:p w14:paraId="76660FC6" w14:textId="77777777" w:rsidR="00BF2BAD" w:rsidRPr="00595469" w:rsidRDefault="00BF2BAD" w:rsidP="00E72378">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0"/>
              </w:rPr>
            </w:pPr>
            <w:r w:rsidRPr="00595469">
              <w:rPr>
                <w:rFonts w:ascii="Times New Roman" w:hAnsi="Times New Roman" w:cs="Times New Roman"/>
                <w:b/>
                <w:szCs w:val="20"/>
              </w:rPr>
              <w:t>Activities</w:t>
            </w:r>
          </w:p>
          <w:p w14:paraId="44780D13" w14:textId="77777777" w:rsidR="00BF2BAD" w:rsidRPr="00595469" w:rsidRDefault="00BF2BAD" w:rsidP="00E72378">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Not applicable</w:t>
            </w:r>
          </w:p>
          <w:p w14:paraId="4C9A6C31" w14:textId="77777777" w:rsidR="00BF2BAD" w:rsidRPr="00595469" w:rsidRDefault="00BF2BAD" w:rsidP="00E72378">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Cs w:val="20"/>
              </w:rPr>
            </w:pPr>
            <w:r w:rsidRPr="00595469">
              <w:rPr>
                <w:rFonts w:ascii="Times New Roman" w:hAnsi="Times New Roman" w:cs="Times New Roman"/>
                <w:b/>
                <w:szCs w:val="20"/>
              </w:rPr>
              <w:t>Powers and responsibilities to be legislated</w:t>
            </w:r>
          </w:p>
          <w:p w14:paraId="5B3568EB" w14:textId="77777777" w:rsidR="00BF2BAD" w:rsidRPr="00595469" w:rsidRDefault="00BF2BAD" w:rsidP="00E72378">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0"/>
              </w:rPr>
            </w:pPr>
            <w:r w:rsidRPr="00595469">
              <w:rPr>
                <w:rFonts w:ascii="Times New Roman" w:hAnsi="Times New Roman" w:cs="Times New Roman"/>
                <w:szCs w:val="20"/>
              </w:rPr>
              <w:t>As per option 2.</w:t>
            </w:r>
          </w:p>
        </w:tc>
      </w:tr>
    </w:tbl>
    <w:p w14:paraId="42C1A787" w14:textId="77777777" w:rsidR="00404387" w:rsidRPr="00404387" w:rsidRDefault="00404387" w:rsidP="00BF2BAD">
      <w:pPr>
        <w:pStyle w:val="base-text-paragraphnonumbers"/>
        <w:ind w:left="0"/>
      </w:pPr>
    </w:p>
    <w:p w14:paraId="1A44C308" w14:textId="77777777" w:rsidR="00404387" w:rsidRDefault="00404387" w:rsidP="00313956">
      <w:pPr>
        <w:pStyle w:val="Heading2"/>
        <w:sectPr w:rsidR="00404387" w:rsidSect="00404387">
          <w:pgSz w:w="16838" w:h="11906" w:orient="landscape" w:code="9"/>
          <w:pgMar w:top="2098" w:right="2466" w:bottom="2098" w:left="2466" w:header="1559" w:footer="1899" w:gutter="0"/>
          <w:cols w:space="708"/>
          <w:titlePg/>
          <w:docGrid w:linePitch="360"/>
        </w:sectPr>
      </w:pPr>
    </w:p>
    <w:p w14:paraId="5AFACD57" w14:textId="77777777" w:rsidR="00404387" w:rsidRDefault="00404387" w:rsidP="003F092F">
      <w:pPr>
        <w:pStyle w:val="Heading2"/>
        <w:spacing w:before="240"/>
      </w:pPr>
      <w:r>
        <w:t>Appendix C</w:t>
      </w:r>
    </w:p>
    <w:p w14:paraId="62A46EBA" w14:textId="77777777" w:rsidR="00404387" w:rsidRDefault="00404387" w:rsidP="00C71EE9">
      <w:pPr>
        <w:pStyle w:val="Heading3"/>
      </w:pPr>
      <w:r>
        <w:t>Case volumes process in the Office of the Australian Small Business and Family Enterprise Ombudsman</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1843"/>
      </w:tblGrid>
      <w:tr w:rsidR="002A571C" w14:paraId="6F4C39B3" w14:textId="77777777" w:rsidTr="005448BC">
        <w:tc>
          <w:tcPr>
            <w:tcW w:w="6521" w:type="dxa"/>
            <w:gridSpan w:val="2"/>
          </w:tcPr>
          <w:p w14:paraId="5938B387" w14:textId="77777777" w:rsidR="002A571C" w:rsidRPr="00B50FD2" w:rsidRDefault="002A571C" w:rsidP="005448BC">
            <w:pPr>
              <w:pStyle w:val="tableheaderwithintable"/>
            </w:pPr>
            <w:r>
              <w:t>Complaints and enquires</w:t>
            </w:r>
          </w:p>
        </w:tc>
      </w:tr>
      <w:tr w:rsidR="002A571C" w14:paraId="2C5D07B7" w14:textId="77777777" w:rsidTr="005448BC">
        <w:tc>
          <w:tcPr>
            <w:tcW w:w="4678" w:type="dxa"/>
          </w:tcPr>
          <w:p w14:paraId="5A4E8B4D" w14:textId="77777777" w:rsidR="002A571C" w:rsidRDefault="002A571C" w:rsidP="005448BC">
            <w:pPr>
              <w:pStyle w:val="tableheaderwithintable"/>
              <w:jc w:val="left"/>
            </w:pPr>
            <w:r>
              <w:t>Source</w:t>
            </w:r>
          </w:p>
        </w:tc>
        <w:tc>
          <w:tcPr>
            <w:tcW w:w="1843" w:type="dxa"/>
          </w:tcPr>
          <w:p w14:paraId="1242EBCE" w14:textId="77777777" w:rsidR="002A571C" w:rsidRDefault="002A571C" w:rsidP="005448BC">
            <w:pPr>
              <w:pStyle w:val="tableheaderwithintable"/>
              <w:jc w:val="right"/>
            </w:pPr>
            <w:r>
              <w:t>Total received</w:t>
            </w:r>
          </w:p>
        </w:tc>
      </w:tr>
      <w:tr w:rsidR="002A571C" w14:paraId="4F961ECA" w14:textId="77777777" w:rsidTr="005448BC">
        <w:tc>
          <w:tcPr>
            <w:tcW w:w="4678" w:type="dxa"/>
            <w:vAlign w:val="center"/>
          </w:tcPr>
          <w:p w14:paraId="07FDD512" w14:textId="77777777" w:rsidR="002A571C" w:rsidRDefault="002A571C" w:rsidP="005448BC">
            <w:pPr>
              <w:pStyle w:val="tabletext"/>
              <w:ind w:left="0"/>
            </w:pPr>
            <w:r>
              <w:t>Commonwealth Ombudsman (Cat 2 referrals)</w:t>
            </w:r>
          </w:p>
        </w:tc>
        <w:tc>
          <w:tcPr>
            <w:tcW w:w="1843" w:type="dxa"/>
            <w:vAlign w:val="bottom"/>
          </w:tcPr>
          <w:p w14:paraId="2FE3C1FF" w14:textId="77777777" w:rsidR="002A571C" w:rsidRDefault="002A571C" w:rsidP="005448BC">
            <w:pPr>
              <w:pStyle w:val="tabletext"/>
              <w:jc w:val="right"/>
            </w:pPr>
            <w:r>
              <w:t>242</w:t>
            </w:r>
          </w:p>
        </w:tc>
      </w:tr>
      <w:tr w:rsidR="002A571C" w14:paraId="64C4073D" w14:textId="77777777" w:rsidTr="005448BC">
        <w:tc>
          <w:tcPr>
            <w:tcW w:w="4678" w:type="dxa"/>
            <w:vAlign w:val="center"/>
          </w:tcPr>
          <w:p w14:paraId="4D280C57" w14:textId="77777777" w:rsidR="002A571C" w:rsidRDefault="002A571C" w:rsidP="005448BC">
            <w:pPr>
              <w:pStyle w:val="tabletext"/>
              <w:ind w:left="0"/>
            </w:pPr>
            <w:r>
              <w:t>Australian Small Business Commissioner (</w:t>
            </w:r>
            <w:proofErr w:type="spellStart"/>
            <w:r>
              <w:t>Cwth</w:t>
            </w:r>
            <w:proofErr w:type="spellEnd"/>
            <w:r>
              <w:t>)</w:t>
            </w:r>
          </w:p>
        </w:tc>
        <w:tc>
          <w:tcPr>
            <w:tcW w:w="1843" w:type="dxa"/>
            <w:vAlign w:val="bottom"/>
          </w:tcPr>
          <w:p w14:paraId="146E4119" w14:textId="77777777" w:rsidR="002A571C" w:rsidRDefault="002A571C" w:rsidP="005448BC">
            <w:pPr>
              <w:pStyle w:val="tabletext"/>
              <w:jc w:val="right"/>
            </w:pPr>
            <w:r>
              <w:t>414</w:t>
            </w:r>
          </w:p>
        </w:tc>
      </w:tr>
      <w:tr w:rsidR="002A571C" w14:paraId="084A297D" w14:textId="77777777" w:rsidTr="005448BC">
        <w:tc>
          <w:tcPr>
            <w:tcW w:w="4678" w:type="dxa"/>
            <w:vAlign w:val="center"/>
          </w:tcPr>
          <w:p w14:paraId="4F56A0FA" w14:textId="77777777" w:rsidR="002A571C" w:rsidRDefault="002A571C" w:rsidP="005448BC">
            <w:pPr>
              <w:pStyle w:val="tabletext"/>
              <w:ind w:left="0"/>
            </w:pPr>
            <w:r>
              <w:t xml:space="preserve">Interstate/National disputes (from </w:t>
            </w:r>
            <w:r w:rsidR="00E41E5E">
              <w:t xml:space="preserve">state </w:t>
            </w:r>
            <w:r>
              <w:t>SBCs)</w:t>
            </w:r>
          </w:p>
          <w:p w14:paraId="496A6D4A" w14:textId="77777777" w:rsidR="002A571C" w:rsidRDefault="002A571C" w:rsidP="005448BC">
            <w:pPr>
              <w:pStyle w:val="tabletext"/>
              <w:ind w:left="0"/>
            </w:pPr>
          </w:p>
        </w:tc>
        <w:tc>
          <w:tcPr>
            <w:tcW w:w="1843" w:type="dxa"/>
            <w:vAlign w:val="bottom"/>
          </w:tcPr>
          <w:p w14:paraId="12EF7AE4" w14:textId="77777777" w:rsidR="002A571C" w:rsidRDefault="002A571C" w:rsidP="005448BC">
            <w:pPr>
              <w:pStyle w:val="tabletext"/>
              <w:jc w:val="right"/>
            </w:pPr>
            <w:r>
              <w:t>46</w:t>
            </w:r>
          </w:p>
        </w:tc>
      </w:tr>
      <w:tr w:rsidR="002A571C" w14:paraId="41869AAC" w14:textId="77777777" w:rsidTr="005448BC">
        <w:tc>
          <w:tcPr>
            <w:tcW w:w="4678" w:type="dxa"/>
            <w:vAlign w:val="center"/>
          </w:tcPr>
          <w:p w14:paraId="20265DC7" w14:textId="77777777" w:rsidR="002A571C" w:rsidRDefault="002A571C" w:rsidP="005448BC">
            <w:pPr>
              <w:pStyle w:val="tabletext"/>
              <w:ind w:left="0"/>
            </w:pPr>
            <w:r>
              <w:t xml:space="preserve">International disputes (from </w:t>
            </w:r>
            <w:r w:rsidR="00E41E5E">
              <w:t xml:space="preserve">state </w:t>
            </w:r>
            <w:r>
              <w:t>SBCs)</w:t>
            </w:r>
          </w:p>
        </w:tc>
        <w:tc>
          <w:tcPr>
            <w:tcW w:w="1843" w:type="dxa"/>
            <w:vAlign w:val="bottom"/>
          </w:tcPr>
          <w:p w14:paraId="7AE86C10" w14:textId="77777777" w:rsidR="002A571C" w:rsidRDefault="002A571C" w:rsidP="005448BC">
            <w:pPr>
              <w:pStyle w:val="tabletext"/>
              <w:jc w:val="right"/>
            </w:pPr>
            <w:r>
              <w:t>23</w:t>
            </w:r>
          </w:p>
        </w:tc>
      </w:tr>
      <w:tr w:rsidR="002A571C" w14:paraId="30BD3BB3" w14:textId="77777777" w:rsidTr="005448BC">
        <w:tc>
          <w:tcPr>
            <w:tcW w:w="4678" w:type="dxa"/>
            <w:vAlign w:val="center"/>
          </w:tcPr>
          <w:p w14:paraId="63E891DF" w14:textId="77777777" w:rsidR="002A571C" w:rsidRDefault="002A571C" w:rsidP="005448BC">
            <w:pPr>
              <w:pStyle w:val="tabletext"/>
              <w:ind w:left="0"/>
            </w:pPr>
            <w:r>
              <w:t>Australian Competition and Consumer Commission</w:t>
            </w:r>
          </w:p>
        </w:tc>
        <w:tc>
          <w:tcPr>
            <w:tcW w:w="1843" w:type="dxa"/>
            <w:vAlign w:val="bottom"/>
          </w:tcPr>
          <w:p w14:paraId="6C310C99" w14:textId="77777777" w:rsidR="002A571C" w:rsidRDefault="002A571C" w:rsidP="005448BC">
            <w:pPr>
              <w:pStyle w:val="tabletext"/>
              <w:jc w:val="right"/>
            </w:pPr>
            <w:r>
              <w:t>912</w:t>
            </w:r>
          </w:p>
        </w:tc>
      </w:tr>
      <w:tr w:rsidR="002A571C" w:rsidRPr="00B66AA0" w14:paraId="2E5B91A1" w14:textId="77777777" w:rsidTr="005448BC">
        <w:trPr>
          <w:trHeight w:val="637"/>
        </w:trPr>
        <w:tc>
          <w:tcPr>
            <w:tcW w:w="4678" w:type="dxa"/>
            <w:vAlign w:val="center"/>
          </w:tcPr>
          <w:p w14:paraId="66A80E14" w14:textId="77777777" w:rsidR="00443BA1" w:rsidRDefault="00443BA1" w:rsidP="005448BC">
            <w:pPr>
              <w:pStyle w:val="tabletext"/>
              <w:ind w:left="0"/>
              <w:rPr>
                <w:b/>
              </w:rPr>
            </w:pPr>
          </w:p>
          <w:p w14:paraId="5830FD1D" w14:textId="77777777" w:rsidR="002A571C" w:rsidRPr="00B66AA0" w:rsidRDefault="002A571C" w:rsidP="005448BC">
            <w:pPr>
              <w:pStyle w:val="tabletext"/>
              <w:ind w:left="0"/>
              <w:rPr>
                <w:b/>
              </w:rPr>
            </w:pPr>
            <w:r>
              <w:rPr>
                <w:b/>
                <w:noProof/>
              </w:rPr>
              <mc:AlternateContent>
                <mc:Choice Requires="wpg">
                  <w:drawing>
                    <wp:anchor distT="0" distB="0" distL="114300" distR="114300" simplePos="0" relativeHeight="251658240" behindDoc="0" locked="0" layoutInCell="1" allowOverlap="1" wp14:anchorId="05DE520C" wp14:editId="3CFE487D">
                      <wp:simplePos x="0" y="0"/>
                      <wp:positionH relativeFrom="column">
                        <wp:posOffset>-376555</wp:posOffset>
                      </wp:positionH>
                      <wp:positionV relativeFrom="paragraph">
                        <wp:posOffset>61595</wp:posOffset>
                      </wp:positionV>
                      <wp:extent cx="5029200" cy="4184015"/>
                      <wp:effectExtent l="19050" t="0" r="19050" b="26035"/>
                      <wp:wrapNone/>
                      <wp:docPr id="1" name="Group 1"/>
                      <wp:cNvGraphicFramePr/>
                      <a:graphic xmlns:a="http://schemas.openxmlformats.org/drawingml/2006/main">
                        <a:graphicData uri="http://schemas.microsoft.com/office/word/2010/wordprocessingGroup">
                          <wpg:wgp>
                            <wpg:cNvGrpSpPr/>
                            <wpg:grpSpPr>
                              <a:xfrm>
                                <a:off x="0" y="0"/>
                                <a:ext cx="5029200" cy="4184015"/>
                                <a:chOff x="0" y="-213842"/>
                                <a:chExt cx="5029200" cy="4185767"/>
                              </a:xfrm>
                            </wpg:grpSpPr>
                            <wps:wsp>
                              <wps:cNvPr id="2" name="Rectangle 2"/>
                              <wps:cNvSpPr/>
                              <wps:spPr>
                                <a:xfrm>
                                  <a:off x="2743200" y="3448050"/>
                                  <a:ext cx="481756" cy="238125"/>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14:paraId="522E1F11" w14:textId="77777777" w:rsidR="00EF15B6" w:rsidRPr="00B66AA0" w:rsidRDefault="00EF15B6" w:rsidP="002A571C">
                                    <w:pPr>
                                      <w:pStyle w:val="exampletext"/>
                                      <w:spacing w:before="0" w:after="0"/>
                                      <w:ind w:left="0"/>
                                    </w:pPr>
                                    <w: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Rectangle 3"/>
                              <wps:cNvSpPr/>
                              <wps:spPr>
                                <a:xfrm>
                                  <a:off x="2171700" y="3448050"/>
                                  <a:ext cx="438150" cy="238125"/>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14:paraId="6C4D56D9" w14:textId="77777777" w:rsidR="00EF15B6" w:rsidRPr="00B66AA0" w:rsidRDefault="00EF15B6" w:rsidP="002A571C">
                                    <w:pPr>
                                      <w:pStyle w:val="exampletext"/>
                                      <w:spacing w:before="0" w:after="0"/>
                                      <w:ind w:left="0"/>
                                    </w:pPr>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371475" y="504825"/>
                                  <a:ext cx="1752600" cy="4191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5195E37" w14:textId="77777777" w:rsidR="00EF15B6" w:rsidRDefault="00EF15B6" w:rsidP="002A571C">
                                    <w:pPr>
                                      <w:pStyle w:val="exampletext"/>
                                      <w:spacing w:before="0" w:after="0"/>
                                      <w:ind w:left="0"/>
                                      <w:jc w:val="center"/>
                                    </w:pPr>
                                    <w:r>
                                      <w:t>Provided advice or referred to existing complaints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371475" y="923925"/>
                                  <a:ext cx="1752600" cy="2381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8751055" w14:textId="77777777" w:rsidR="00EF15B6" w:rsidRPr="00B66AA0" w:rsidRDefault="00EF15B6" w:rsidP="002A571C">
                                    <w:pPr>
                                      <w:pStyle w:val="exampletext"/>
                                      <w:spacing w:before="0" w:after="0"/>
                                      <w:ind w:left="0"/>
                                      <w:jc w:val="right"/>
                                      <w:rPr>
                                        <w:b/>
                                      </w:rPr>
                                    </w:pPr>
                                    <w:r>
                                      <w:rPr>
                                        <w:b/>
                                      </w:rPr>
                                      <w:t xml:space="preserve">Total </w:t>
                                    </w:r>
                                    <w:r>
                                      <w:rPr>
                                        <w:b/>
                                      </w:rPr>
                                      <w:tab/>
                                    </w:r>
                                    <w:r>
                                      <w:rPr>
                                        <w:b/>
                                      </w:rPr>
                                      <w:tab/>
                                      <w:t xml:space="preserve">            1228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371475" y="3486150"/>
                                  <a:ext cx="1800225" cy="27876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3964E4E" w14:textId="77777777" w:rsidR="00EF15B6" w:rsidRDefault="00EF15B6" w:rsidP="002A571C">
                                    <w:pPr>
                                      <w:pStyle w:val="exampletext"/>
                                      <w:spacing w:before="0" w:after="0"/>
                                      <w:ind w:left="0"/>
                                      <w:jc w:val="center"/>
                                    </w:pPr>
                                    <w:r>
                                      <w:t>Parties do not reach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ectangle 8"/>
                              <wps:cNvSpPr/>
                              <wps:spPr>
                                <a:xfrm>
                                  <a:off x="371475" y="3752850"/>
                                  <a:ext cx="1800225" cy="2190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18EB5F8" w14:textId="77777777" w:rsidR="00EF15B6" w:rsidRPr="00BE51D3" w:rsidRDefault="00EF15B6" w:rsidP="002A571C">
                                    <w:pPr>
                                      <w:pStyle w:val="exampletext"/>
                                      <w:spacing w:before="0" w:after="0"/>
                                      <w:ind w:left="0"/>
                                      <w:rPr>
                                        <w:b/>
                                      </w:rPr>
                                    </w:pPr>
                                    <w:r w:rsidRPr="00BE51D3">
                                      <w:rPr>
                                        <w:b/>
                                      </w:rPr>
                                      <w:t xml:space="preserve">Total </w:t>
                                    </w:r>
                                    <w:r w:rsidRPr="00BE51D3">
                                      <w:rPr>
                                        <w:b/>
                                      </w:rPr>
                                      <w:tab/>
                                    </w:r>
                                    <w:r w:rsidRPr="00BE51D3">
                                      <w:rPr>
                                        <w:b/>
                                      </w:rPr>
                                      <w:tab/>
                                    </w:r>
                                    <w:r w:rsidRPr="00BE51D3">
                                      <w:rPr>
                                        <w:b/>
                                      </w:rPr>
                                      <w:tab/>
                                      <w:t>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ctangle 9"/>
                              <wps:cNvSpPr/>
                              <wps:spPr>
                                <a:xfrm>
                                  <a:off x="3228975" y="3448050"/>
                                  <a:ext cx="1800225" cy="3270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8135B27" w14:textId="77777777" w:rsidR="00EF15B6" w:rsidRDefault="00EF15B6" w:rsidP="002A571C">
                                    <w:pPr>
                                      <w:pStyle w:val="exampletext"/>
                                      <w:spacing w:before="0" w:after="0"/>
                                      <w:ind w:left="0"/>
                                      <w:jc w:val="center"/>
                                    </w:pPr>
                                    <w:r>
                                      <w:t>Parties reach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ectangle 11"/>
                              <wps:cNvSpPr/>
                              <wps:spPr>
                                <a:xfrm>
                                  <a:off x="3228975" y="3705225"/>
                                  <a:ext cx="1800225" cy="2667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CD084F7" w14:textId="77777777" w:rsidR="00EF15B6" w:rsidRPr="00BE51D3" w:rsidRDefault="00EF15B6" w:rsidP="002A571C">
                                    <w:pPr>
                                      <w:pStyle w:val="exampletext"/>
                                      <w:spacing w:before="0" w:after="0"/>
                                      <w:ind w:left="0"/>
                                      <w:rPr>
                                        <w:b/>
                                      </w:rPr>
                                    </w:pPr>
                                    <w:r w:rsidRPr="00BE51D3">
                                      <w:rPr>
                                        <w:b/>
                                      </w:rPr>
                                      <w:t xml:space="preserve">Total </w:t>
                                    </w:r>
                                    <w:r w:rsidRPr="00BE51D3">
                                      <w:rPr>
                                        <w:b/>
                                      </w:rPr>
                                      <w:tab/>
                                    </w:r>
                                    <w:r w:rsidRPr="00BE51D3">
                                      <w:rPr>
                                        <w:b/>
                                      </w:rPr>
                                      <w:tab/>
                                    </w:r>
                                    <w:r w:rsidRPr="00BE51D3">
                                      <w:rPr>
                                        <w:b/>
                                      </w:rPr>
                                      <w:tab/>
                                      <w:t>327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ectangle 12"/>
                              <wps:cNvSpPr/>
                              <wps:spPr>
                                <a:xfrm>
                                  <a:off x="1419225" y="1657350"/>
                                  <a:ext cx="2552700" cy="2476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59D61B6" w14:textId="233245A3" w:rsidR="00EF15B6" w:rsidRDefault="00EF15B6" w:rsidP="002A571C">
                                    <w:pPr>
                                      <w:pStyle w:val="exampletext"/>
                                      <w:spacing w:before="0" w:after="0"/>
                                      <w:ind w:left="0"/>
                                    </w:pPr>
                                    <w:r>
                                      <w:t>Referred to Ombudsman’s own ADR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ectangle 13"/>
                              <wps:cNvSpPr/>
                              <wps:spPr>
                                <a:xfrm>
                                  <a:off x="1419225" y="1905000"/>
                                  <a:ext cx="2552700" cy="8286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34B2EAC" w14:textId="77777777" w:rsidR="00EF15B6" w:rsidRDefault="00EF15B6" w:rsidP="002A571C">
                                    <w:pPr>
                                      <w:pStyle w:val="exampletext"/>
                                      <w:spacing w:before="0" w:after="0"/>
                                      <w:ind w:left="0"/>
                                    </w:pPr>
                                    <w:r w:rsidRPr="00D64F5B">
                                      <w:rPr>
                                        <w:b/>
                                      </w:rPr>
                                      <w:t xml:space="preserve">Total </w:t>
                                    </w:r>
                                    <w:r w:rsidRPr="00D64F5B">
                                      <w:rPr>
                                        <w:b/>
                                      </w:rPr>
                                      <w:tab/>
                                    </w:r>
                                    <w:r w:rsidRPr="00D64F5B">
                                      <w:rPr>
                                        <w:b/>
                                      </w:rPr>
                                      <w:tab/>
                                    </w:r>
                                    <w:r w:rsidRPr="00D64F5B">
                                      <w:rPr>
                                        <w:b/>
                                      </w:rPr>
                                      <w:tab/>
                                    </w:r>
                                    <w:r w:rsidRPr="00D64F5B">
                                      <w:rPr>
                                        <w:b/>
                                      </w:rPr>
                                      <w:tab/>
                                      <w:t xml:space="preserve">        409</w:t>
                                    </w:r>
                                  </w:p>
                                  <w:p w14:paraId="164A4637" w14:textId="77777777" w:rsidR="00EF15B6" w:rsidRDefault="00EF15B6" w:rsidP="002A571C">
                                    <w:pPr>
                                      <w:pStyle w:val="exampletext"/>
                                      <w:spacing w:before="0" w:after="0"/>
                                      <w:ind w:left="0"/>
                                    </w:pPr>
                                  </w:p>
                                  <w:p w14:paraId="3A747BA1" w14:textId="77777777" w:rsidR="00EF15B6" w:rsidRDefault="00EF15B6" w:rsidP="002A571C">
                                    <w:pPr>
                                      <w:pStyle w:val="exampletext"/>
                                      <w:spacing w:before="0" w:after="0"/>
                                      <w:ind w:left="0"/>
                                    </w:pPr>
                                  </w:p>
                                  <w:p w14:paraId="21B7AC8D" w14:textId="77777777" w:rsidR="00EF15B6" w:rsidRDefault="00EF15B6" w:rsidP="002A571C">
                                    <w:pPr>
                                      <w:pStyle w:val="exampletext"/>
                                      <w:spacing w:before="0" w:after="0"/>
                                      <w:ind w:left="0"/>
                                    </w:pPr>
                                    <w:r>
                                      <w:t>Lighter ADR: 13%</w:t>
                                    </w:r>
                                    <w:r>
                                      <w:tab/>
                                    </w:r>
                                    <w:r>
                                      <w:tab/>
                                      <w:t xml:space="preserve">           53</w:t>
                                    </w:r>
                                  </w:p>
                                  <w:p w14:paraId="1E6367A1" w14:textId="77777777" w:rsidR="00EF15B6" w:rsidRPr="00D64F5B" w:rsidRDefault="00EF15B6" w:rsidP="002A571C">
                                    <w:pPr>
                                      <w:pStyle w:val="exampletext"/>
                                      <w:spacing w:before="0" w:after="0"/>
                                      <w:ind w:left="0"/>
                                    </w:pPr>
                                    <w:r>
                                      <w:t xml:space="preserve">Heavier </w:t>
                                    </w:r>
                                    <w:proofErr w:type="spellStart"/>
                                    <w:r>
                                      <w:t>ADR</w:t>
                                    </w:r>
                                    <w:proofErr w:type="spellEnd"/>
                                    <w:r>
                                      <w:t xml:space="preserve"> (</w:t>
                                    </w:r>
                                    <w:proofErr w:type="spellStart"/>
                                    <w:r>
                                      <w:t>eg</w:t>
                                    </w:r>
                                    <w:proofErr w:type="spellEnd"/>
                                    <w:r>
                                      <w:t xml:space="preserve"> mediation): 87%</w:t>
                                    </w:r>
                                    <w:r>
                                      <w:tab/>
                                      <w:t xml:space="preserve">         356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Down Arrow 14"/>
                              <wps:cNvSpPr/>
                              <wps:spPr>
                                <a:xfrm>
                                  <a:off x="0" y="-213842"/>
                                  <a:ext cx="267335" cy="3966692"/>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Left-Right Arrow 15"/>
                              <wps:cNvSpPr/>
                              <wps:spPr>
                                <a:xfrm>
                                  <a:off x="2228850" y="3686175"/>
                                  <a:ext cx="925478" cy="146050"/>
                                </a:xfrm>
                                <a:prstGeom prst="leftRight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638425" y="2752725"/>
                                  <a:ext cx="107315" cy="9728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228850" y="476250"/>
                                  <a:ext cx="438150" cy="238125"/>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14:paraId="091AA2F7" w14:textId="77777777" w:rsidR="00EF15B6" w:rsidRPr="00B66AA0" w:rsidRDefault="00EF15B6" w:rsidP="002A571C">
                                    <w:pPr>
                                      <w:pStyle w:val="exampletext"/>
                                      <w:spacing w:before="0" w:after="0"/>
                                      <w:ind w:left="0"/>
                                    </w:pPr>
                                    <w: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Rectangle 27"/>
                              <wps:cNvSpPr/>
                              <wps:spPr>
                                <a:xfrm>
                                  <a:off x="2724150" y="1162050"/>
                                  <a:ext cx="438150" cy="238125"/>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14:paraId="0902A4C0" w14:textId="77777777" w:rsidR="00EF15B6" w:rsidRPr="00B66AA0" w:rsidRDefault="00EF15B6" w:rsidP="002A571C">
                                    <w:pPr>
                                      <w:pStyle w:val="exampletext"/>
                                      <w:spacing w:before="0" w:after="0"/>
                                      <w:ind w:left="0"/>
                                    </w:pPr>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Down Arrow 28"/>
                              <wps:cNvSpPr/>
                              <wps:spPr>
                                <a:xfrm>
                                  <a:off x="2619375" y="438150"/>
                                  <a:ext cx="164465" cy="1181100"/>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Left Arrow 29"/>
                              <wps:cNvSpPr/>
                              <wps:spPr>
                                <a:xfrm>
                                  <a:off x="2171700" y="685800"/>
                                  <a:ext cx="467591" cy="161925"/>
                                </a:xfrm>
                                <a:prstGeom prst="left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29.65pt;margin-top:4.85pt;width:396pt;height:329.45pt;z-index:251658240;mso-width-relative:margin;mso-height-relative:margin" coordorigin=",-2138" coordsize="50292,4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">
                      <v:rect id="Rectangle 2" o:spid="_x0000_s1027" style="position:absolute;left:27432;top:34480;width:481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6C88QA&#10;AADaAAAADwAAAGRycy9kb3ducmV2LnhtbESPQWvCQBSE7wX/w/IEL0U3hlA1uooKQmkPYhTE2yP7&#10;TILZtyG71fjv3UKhx2FmvmEWq87U4k6tqywrGI8iEMS51RUXCk7H3XAKwnlkjbVlUvAkB6tl722B&#10;qbYPPtA984UIEHYpKii9b1IpXV6SQTeyDXHwrrY16INsC6lbfAS4qWUcRR/SYMVhocSGtiXlt+zH&#10;KJhOxng5f2X0Ptsk33Gy28eJvio16HfrOQhPnf8P/7U/tYIYfq+EG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egvPEAAAA2gAAAA8AAAAAAAAAAAAAAAAAmAIAAGRycy9k&#10;b3ducmV2LnhtbFBLBQYAAAAABAAEAPUAAACJAwAAAAA=&#10;" fillcolor="white [3201]" stroked="f">
                        <v:textbox>
                          <w:txbxContent>
                            <w:p w14:paraId="522E1F11" w14:textId="77777777" w:rsidR="00EF15B6" w:rsidRPr="00B66AA0" w:rsidRDefault="00EF15B6" w:rsidP="002A571C">
                              <w:pPr>
                                <w:pStyle w:val="exampletext"/>
                                <w:spacing w:before="0" w:after="0"/>
                                <w:ind w:left="0"/>
                              </w:pPr>
                              <w:r>
                                <w:t>80%</w:t>
                              </w:r>
                            </w:p>
                          </w:txbxContent>
                        </v:textbox>
                      </v:rect>
                      <v:rect id="Rectangle 3" o:spid="_x0000_s1028" style="position:absolute;left:21717;top:34480;width:4381;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InaMUA&#10;AADaAAAADwAAAGRycy9kb3ducmV2LnhtbESPQWvCQBSE7wX/w/KEXqRukgar0Y3YglDsoRiF0tsj&#10;+0yC2bchu9X033cFocdhZr5hVuvBtOJCvWssK4inEQji0uqGKwXHw/ZpDsJ5ZI2tZVLwSw7W+ehh&#10;hZm2V97TpfCVCBB2GSqove8yKV1Zk0E3tR1x8E62N+iD7Cupe7wGuGllEkUzabDhsFBjR281lefi&#10;xyiYv8T4/bUraLJ4TT+SdPuZpPqk1ON42CxBeBr8f/jeftcKnuF2Jdw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idoxQAAANoAAAAPAAAAAAAAAAAAAAAAAJgCAABkcnMv&#10;ZG93bnJldi54bWxQSwUGAAAAAAQABAD1AAAAigMAAAAA&#10;" fillcolor="white [3201]" stroked="f">
                        <v:textbox>
                          <w:txbxContent>
                            <w:p w14:paraId="6C4D56D9" w14:textId="77777777" w:rsidR="00EF15B6" w:rsidRPr="00B66AA0" w:rsidRDefault="00EF15B6" w:rsidP="002A571C">
                              <w:pPr>
                                <w:pStyle w:val="exampletext"/>
                                <w:spacing w:before="0" w:after="0"/>
                                <w:ind w:left="0"/>
                              </w:pPr>
                              <w:r>
                                <w:t>20%</w:t>
                              </w:r>
                            </w:p>
                          </w:txbxContent>
                        </v:textbox>
                      </v:rect>
                      <v:rect id="Rectangle 4" o:spid="_x0000_s1029" style="position:absolute;left:3714;top:5048;width:17526;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9qMQA&#10;AADaAAAADwAAAGRycy9kb3ducmV2LnhtbESPQWvCQBSE74L/YXlCb3VjqaKpmyCC2NKirUrPj+wz&#10;CWbfhuzWbP99Vyh4HGbmG2aZB9OIK3WutqxgMk5AEBdW11wqOB03j3MQziNrbCyTgl9ykGfDwRJT&#10;bXv+ouvBlyJC2KWooPK+TaV0RUUG3di2xNE7286gj7Irpe6wj3DTyKckmUmDNceFCltaV1RcDj9G&#10;wX5z3E5D+bbr3+V2Efr1x/fn1Cn1MAqrFxCegr+H/9uvWsEz3K7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vvajEAAAA2gAAAA8AAAAAAAAAAAAAAAAAmAIAAGRycy9k&#10;b3ducmV2LnhtbFBLBQYAAAAABAAEAPUAAACJAwAAAAA=&#10;" fillcolor="white [3201]" strokecolor="black [3200]">
                        <v:textbox>
                          <w:txbxContent>
                            <w:p w14:paraId="05195E37" w14:textId="77777777" w:rsidR="00EF15B6" w:rsidRDefault="00EF15B6" w:rsidP="002A571C">
                              <w:pPr>
                                <w:pStyle w:val="exampletext"/>
                                <w:spacing w:before="0" w:after="0"/>
                                <w:ind w:left="0"/>
                                <w:jc w:val="center"/>
                              </w:pPr>
                              <w:r>
                                <w:t>Provided advice or referred to existing complaints body</w:t>
                              </w:r>
                            </w:p>
                          </w:txbxContent>
                        </v:textbox>
                      </v:rect>
                      <v:rect id="Rectangle 5" o:spid="_x0000_s1030" style="position:absolute;left:3714;top:9239;width:1752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YM8MA&#10;AADaAAAADwAAAGRycy9kb3ducmV2LnhtbESPQWvCQBSE7wX/w/IKvemmQsSmbkIRxIpFrRbPj+wz&#10;Cc2+DdnVbP99tyD0OMzMN8yiCKYVN+pdY1nB8yQBQVxa3XCl4Ou0Gs9BOI+ssbVMCn7IQZGPHhaY&#10;aTvwJ92OvhIRwi5DBbX3XSalK2sy6Ca2I47exfYGfZR9JXWPQ4SbVk6TZCYNNhwXauxoWVP5fbwa&#10;BfvVaZ2GarMbtnL9Eoblx/mQOqWeHsPbKwhPwf+H7+13rSCFvyvxBs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MYM8MAAADaAAAADwAAAAAAAAAAAAAAAACYAgAAZHJzL2Rv&#10;d25yZXYueG1sUEsFBgAAAAAEAAQA9QAAAIgDAAAAAA==&#10;" fillcolor="white [3201]" strokecolor="black [3200]">
                        <v:textbox>
                          <w:txbxContent>
                            <w:p w14:paraId="68751055" w14:textId="77777777" w:rsidR="00EF15B6" w:rsidRPr="00B66AA0" w:rsidRDefault="00EF15B6" w:rsidP="002A571C">
                              <w:pPr>
                                <w:pStyle w:val="exampletext"/>
                                <w:spacing w:before="0" w:after="0"/>
                                <w:ind w:left="0"/>
                                <w:jc w:val="right"/>
                                <w:rPr>
                                  <w:b/>
                                </w:rPr>
                              </w:pPr>
                              <w:r>
                                <w:rPr>
                                  <w:b/>
                                </w:rPr>
                                <w:t xml:space="preserve">Total </w:t>
                              </w:r>
                              <w:r>
                                <w:rPr>
                                  <w:b/>
                                </w:rPr>
                                <w:tab/>
                              </w:r>
                              <w:r>
                                <w:rPr>
                                  <w:b/>
                                </w:rPr>
                                <w:tab/>
                                <w:t xml:space="preserve">            1228</w:t>
                              </w:r>
                            </w:p>
                          </w:txbxContent>
                        </v:textbox>
                      </v:rect>
                      <v:rect id="Rectangle 7" o:spid="_x0000_s1031" style="position:absolute;left:3714;top:34861;width:18003;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38MA&#10;AADaAAAADwAAAGRycy9kb3ducmV2LnhtbESPQWsCMRSE74L/ITyhN81asNWtUUQQWxRtVXp+bJ67&#10;i5uXZZO68d+bguBxmJlvmOk8mEpcqXGlZQXDQQKCOLO65FzB6bjqj0E4j6yxskwKbuRgPut2pphq&#10;2/IPXQ8+FxHCLkUFhfd1KqXLCjLoBrYmjt7ZNgZ9lE0udYNthJtKvibJmzRYclwosKZlQdnl8GcU&#10;7FfH9SjkX7t2I9eT0C63v98jp9RLLyw+QHgK/hl+tD+1gnf4vxJv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38MAAADaAAAADwAAAAAAAAAAAAAAAACYAgAAZHJzL2Rv&#10;d25yZXYueG1sUEsFBgAAAAAEAAQA9QAAAIgDAAAAAA==&#10;" fillcolor="white [3201]" strokecolor="black [3200]">
                        <v:textbox>
                          <w:txbxContent>
                            <w:p w14:paraId="23964E4E" w14:textId="77777777" w:rsidR="00EF15B6" w:rsidRDefault="00EF15B6" w:rsidP="002A571C">
                              <w:pPr>
                                <w:pStyle w:val="exampletext"/>
                                <w:spacing w:before="0" w:after="0"/>
                                <w:ind w:left="0"/>
                                <w:jc w:val="center"/>
                              </w:pPr>
                              <w:r>
                                <w:t>Parties do not reach agreement</w:t>
                              </w:r>
                            </w:p>
                          </w:txbxContent>
                        </v:textbox>
                      </v:rect>
                      <v:rect id="Rectangle 8" o:spid="_x0000_s1032" style="position:absolute;left:3714;top:37528;width:18003;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3rb8A&#10;AADaAAAADwAAAGRycy9kb3ducmV2LnhtbERPTYvCMBC9C/6HMIK3NVVwWbtGEUFUFHV12fPQjG2x&#10;mZQm2uy/NwfB4+N9T+fBVOJBjSstKxgOEhDEmdUl5wp+L6uPLxDOI2usLJOCf3Iwn3U7U0y1bfmH&#10;HmefixjCLkUFhfd1KqXLCjLoBrYmjtzVNgZ9hE0udYNtDDeVHCXJpzRYcmwosKZlQdntfDcKjqvL&#10;ehzy7aHdyfUktMv932nslOr3wuIbhKfg3+KXe6MVxK3xSrwBcv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YretvwAAANoAAAAPAAAAAAAAAAAAAAAAAJgCAABkcnMvZG93bnJl&#10;di54bWxQSwUGAAAAAAQABAD1AAAAhAMAAAAA&#10;" fillcolor="white [3201]" strokecolor="black [3200]">
                        <v:textbox>
                          <w:txbxContent>
                            <w:p w14:paraId="318EB5F8" w14:textId="77777777" w:rsidR="00EF15B6" w:rsidRPr="00BE51D3" w:rsidRDefault="00EF15B6" w:rsidP="002A571C">
                              <w:pPr>
                                <w:pStyle w:val="exampletext"/>
                                <w:spacing w:before="0" w:after="0"/>
                                <w:ind w:left="0"/>
                                <w:rPr>
                                  <w:b/>
                                </w:rPr>
                              </w:pPr>
                              <w:r w:rsidRPr="00BE51D3">
                                <w:rPr>
                                  <w:b/>
                                </w:rPr>
                                <w:t xml:space="preserve">Total </w:t>
                              </w:r>
                              <w:r w:rsidRPr="00BE51D3">
                                <w:rPr>
                                  <w:b/>
                                </w:rPr>
                                <w:tab/>
                              </w:r>
                              <w:r w:rsidRPr="00BE51D3">
                                <w:rPr>
                                  <w:b/>
                                </w:rPr>
                                <w:tab/>
                              </w:r>
                              <w:r w:rsidRPr="00BE51D3">
                                <w:rPr>
                                  <w:b/>
                                </w:rPr>
                                <w:tab/>
                                <w:t>82</w:t>
                              </w:r>
                            </w:p>
                          </w:txbxContent>
                        </v:textbox>
                      </v:rect>
                      <v:rect id="Rectangle 9" o:spid="_x0000_s1033" style="position:absolute;left:32289;top:34480;width:18003;height:3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4SNsMA&#10;AADaAAAADwAAAGRycy9kb3ducmV2LnhtbESPQWvCQBSE74L/YXkFb7qpoJjUVYogWhRttXh+ZJ9J&#10;aPZtyG7N9t93BcHjMDPfMPNlMLW4UesqywpeRwkI4tzqigsF3+f1cAbCeWSNtWVS8EcOlot+b46Z&#10;th1/0e3kCxEh7DJUUHrfZFK6vCSDbmQb4uhdbWvQR9kWUrfYRbip5ThJptJgxXGhxIZWJeU/p1+j&#10;4Lg+byah+Dh0O7lJQ7faXz4nTqnBS3h/A+Ep+Gf40d5qBSncr8Qb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4SNsMAAADaAAAADwAAAAAAAAAAAAAAAACYAgAAZHJzL2Rv&#10;d25yZXYueG1sUEsFBgAAAAAEAAQA9QAAAIgDAAAAAA==&#10;" fillcolor="white [3201]" strokecolor="black [3200]">
                        <v:textbox>
                          <w:txbxContent>
                            <w:p w14:paraId="38135B27" w14:textId="77777777" w:rsidR="00EF15B6" w:rsidRDefault="00EF15B6" w:rsidP="002A571C">
                              <w:pPr>
                                <w:pStyle w:val="exampletext"/>
                                <w:spacing w:before="0" w:after="0"/>
                                <w:ind w:left="0"/>
                                <w:jc w:val="center"/>
                              </w:pPr>
                              <w:r>
                                <w:t>Parties reach agreement</w:t>
                              </w:r>
                            </w:p>
                          </w:txbxContent>
                        </v:textbox>
                      </v:rect>
                      <v:rect id="Rectangle 11" o:spid="_x0000_s1034" style="position:absolute;left:32289;top:37052;width:1800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emlMEA&#10;AADbAAAADwAAAGRycy9kb3ducmV2LnhtbERP32vCMBB+F/wfwg32NlMFRatRhiBOFHU6fD6aW1vW&#10;XEoTbfzvjTDw7T6+nzdbBFOJGzWutKyg30tAEGdWl5wr+DmvPsYgnEfWWFkmBXdysJh3OzNMtW35&#10;m24nn4sYwi5FBYX3dSqlywoy6Hq2Jo7cr20M+gibXOoG2xhuKjlIkpE0WHJsKLCmZUHZ3+lqFBxW&#10;5/Uw5Jt9u5XrSWiXu8tx6JR6fwufUxCegn+J/91fOs7vw/OXe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HppTBAAAA2wAAAA8AAAAAAAAAAAAAAAAAmAIAAGRycy9kb3du&#10;cmV2LnhtbFBLBQYAAAAABAAEAPUAAACGAwAAAAA=&#10;" fillcolor="white [3201]" strokecolor="black [3200]">
                        <v:textbox>
                          <w:txbxContent>
                            <w:p w14:paraId="6CD084F7" w14:textId="77777777" w:rsidR="00EF15B6" w:rsidRPr="00BE51D3" w:rsidRDefault="00EF15B6" w:rsidP="002A571C">
                              <w:pPr>
                                <w:pStyle w:val="exampletext"/>
                                <w:spacing w:before="0" w:after="0"/>
                                <w:ind w:left="0"/>
                                <w:rPr>
                                  <w:b/>
                                </w:rPr>
                              </w:pPr>
                              <w:r w:rsidRPr="00BE51D3">
                                <w:rPr>
                                  <w:b/>
                                </w:rPr>
                                <w:t xml:space="preserve">Total </w:t>
                              </w:r>
                              <w:r w:rsidRPr="00BE51D3">
                                <w:rPr>
                                  <w:b/>
                                </w:rPr>
                                <w:tab/>
                              </w:r>
                              <w:r w:rsidRPr="00BE51D3">
                                <w:rPr>
                                  <w:b/>
                                </w:rPr>
                                <w:tab/>
                              </w:r>
                              <w:r w:rsidRPr="00BE51D3">
                                <w:rPr>
                                  <w:b/>
                                </w:rPr>
                                <w:tab/>
                                <w:t>327</w:t>
                              </w:r>
                            </w:p>
                          </w:txbxContent>
                        </v:textbox>
                      </v:rect>
                      <v:rect id="Rectangle 12" o:spid="_x0000_s1035" style="position:absolute;left:14192;top:16573;width:2552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U448EA&#10;AADbAAAADwAAAGRycy9kb3ducmV2LnhtbERP32vCMBB+F/wfwgm+zXSCY6tGGYLomMxZxeejOdti&#10;cylNZuN/b4SBb/fx/bzZIphaXKl1lWUFr6MEBHFudcWFguNh9fIOwnlkjbVlUnAjB4t5vzfDVNuO&#10;93TNfCFiCLsUFZTeN6mULi/JoBvZhjhyZ9sa9BG2hdQtdjHc1HKcJG/SYMWxocSGliXll+zPKNit&#10;DutJKL5+um+5/gjdcnv6nTilhoPwOQXhKfin+N+90XH+GB6/x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VOOPBAAAA2wAAAA8AAAAAAAAAAAAAAAAAmAIAAGRycy9kb3du&#10;cmV2LnhtbFBLBQYAAAAABAAEAPUAAACGAwAAAAA=&#10;" fillcolor="white [3201]" strokecolor="black [3200]">
                        <v:textbox>
                          <w:txbxContent>
                            <w:p w14:paraId="459D61B6" w14:textId="233245A3" w:rsidR="00EF15B6" w:rsidRDefault="00EF15B6" w:rsidP="002A571C">
                              <w:pPr>
                                <w:pStyle w:val="exampletext"/>
                                <w:spacing w:before="0" w:after="0"/>
                                <w:ind w:left="0"/>
                              </w:pPr>
                              <w:r>
                                <w:t>Referred to Ombudsman’s own ADR service</w:t>
                              </w:r>
                            </w:p>
                          </w:txbxContent>
                        </v:textbox>
                      </v:rect>
                      <v:rect id="Rectangle 13" o:spid="_x0000_s1036" style="position:absolute;left:14192;top:19050;width:25527;height:8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mdeMIA&#10;AADbAAAADwAAAGRycy9kb3ducmV2LnhtbERP32vCMBB+F/wfwgl7m6kbinamRQRxY0M3lT0fzdkW&#10;m0tpMpv994sw8O0+vp+3zINpxJU6V1tWMBknIIgLq2suFZyOm8c5COeRNTaWScEvOciz4WCJqbY9&#10;f9H14EsRQ9ilqKDyvk2ldEVFBt3YtsSRO9vOoI+wK6XusI/hppFPSTKTBmuODRW2tK6ouBx+jIL9&#10;5ridhvJt17/L7SL064/vz6lT6mEUVi8gPAV/F/+7X3Wc/wy3X+IB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Z14wgAAANsAAAAPAAAAAAAAAAAAAAAAAJgCAABkcnMvZG93&#10;bnJldi54bWxQSwUGAAAAAAQABAD1AAAAhwMAAAAA&#10;" fillcolor="white [3201]" strokecolor="black [3200]">
                        <v:textbox>
                          <w:txbxContent>
                            <w:p w14:paraId="234B2EAC" w14:textId="77777777" w:rsidR="00EF15B6" w:rsidRDefault="00EF15B6" w:rsidP="002A571C">
                              <w:pPr>
                                <w:pStyle w:val="exampletext"/>
                                <w:spacing w:before="0" w:after="0"/>
                                <w:ind w:left="0"/>
                              </w:pPr>
                              <w:r w:rsidRPr="00D64F5B">
                                <w:rPr>
                                  <w:b/>
                                </w:rPr>
                                <w:t xml:space="preserve">Total </w:t>
                              </w:r>
                              <w:r w:rsidRPr="00D64F5B">
                                <w:rPr>
                                  <w:b/>
                                </w:rPr>
                                <w:tab/>
                              </w:r>
                              <w:r w:rsidRPr="00D64F5B">
                                <w:rPr>
                                  <w:b/>
                                </w:rPr>
                                <w:tab/>
                              </w:r>
                              <w:r w:rsidRPr="00D64F5B">
                                <w:rPr>
                                  <w:b/>
                                </w:rPr>
                                <w:tab/>
                              </w:r>
                              <w:r w:rsidRPr="00D64F5B">
                                <w:rPr>
                                  <w:b/>
                                </w:rPr>
                                <w:tab/>
                                <w:t xml:space="preserve">        409</w:t>
                              </w:r>
                            </w:p>
                            <w:p w14:paraId="164A4637" w14:textId="77777777" w:rsidR="00EF15B6" w:rsidRDefault="00EF15B6" w:rsidP="002A571C">
                              <w:pPr>
                                <w:pStyle w:val="exampletext"/>
                                <w:spacing w:before="0" w:after="0"/>
                                <w:ind w:left="0"/>
                              </w:pPr>
                            </w:p>
                            <w:p w14:paraId="3A747BA1" w14:textId="77777777" w:rsidR="00EF15B6" w:rsidRDefault="00EF15B6" w:rsidP="002A571C">
                              <w:pPr>
                                <w:pStyle w:val="exampletext"/>
                                <w:spacing w:before="0" w:after="0"/>
                                <w:ind w:left="0"/>
                              </w:pPr>
                            </w:p>
                            <w:p w14:paraId="21B7AC8D" w14:textId="77777777" w:rsidR="00EF15B6" w:rsidRDefault="00EF15B6" w:rsidP="002A571C">
                              <w:pPr>
                                <w:pStyle w:val="exampletext"/>
                                <w:spacing w:before="0" w:after="0"/>
                                <w:ind w:left="0"/>
                              </w:pPr>
                              <w:r>
                                <w:t>Lighter ADR: 13%</w:t>
                              </w:r>
                              <w:r>
                                <w:tab/>
                              </w:r>
                              <w:r>
                                <w:tab/>
                                <w:t xml:space="preserve">           53</w:t>
                              </w:r>
                            </w:p>
                            <w:p w14:paraId="1E6367A1" w14:textId="77777777" w:rsidR="00EF15B6" w:rsidRPr="00D64F5B" w:rsidRDefault="00EF15B6" w:rsidP="002A571C">
                              <w:pPr>
                                <w:pStyle w:val="exampletext"/>
                                <w:spacing w:before="0" w:after="0"/>
                                <w:ind w:left="0"/>
                              </w:pPr>
                              <w:r>
                                <w:t>Heavier ADR (eg mediation): 87%</w:t>
                              </w:r>
                              <w:r>
                                <w:tab/>
                                <w:t xml:space="preserve">         356</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37" type="#_x0000_t67" style="position:absolute;top:-2138;width:2673;height:39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SRQsMA&#10;AADbAAAADwAAAGRycy9kb3ducmV2LnhtbERPTWvCQBC9F/wPywi9lLqxrUXSbEQLgmIvRkF6G7Jj&#10;EszOht2tpv56Vyj0No/3OdmsN604k/ONZQXjUQKCuLS64UrBfrd8noLwAVlja5kU/JKHWT54yDDV&#10;9sJbOhehEjGEfYoK6hC6VEpf1mTQj2xHHLmjdQZDhK6S2uElhptWviTJuzTYcGyosaPPmspT8WMU&#10;LNZfdD28HrerAq8TN33y38tNqdTjsJ9/gAjUh3/xn3ul4/w3uP8SD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SRQsMAAADbAAAADwAAAAAAAAAAAAAAAACYAgAAZHJzL2Rv&#10;d25yZXYueG1sUEsFBgAAAAAEAAQA9QAAAIgDAAAAAA==&#10;" adj="20872" filled="f" strokecolor="black [3213]" strokeweight="1.5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5" o:spid="_x0000_s1038" type="#_x0000_t69" style="position:absolute;left:22288;top:36861;width:9255;height: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IILwA&#10;AADbAAAADwAAAGRycy9kb3ducmV2LnhtbERPy6rCMBDdX/AfwgjuNFVQpBpFBMGtrRt3QzO21WRS&#10;m1Tr3xtBuLs5nOest7014kmtrx0rmE4SEMSF0zWXCs75YbwE4QOyRuOYFLzJw3Yz+Ftjqt2LT/TM&#10;QiliCPsUFVQhNKmUvqjIop+4hjhyV9daDBG2pdQtvmK4NXKWJAtpsebYUGFD+4qKe9ZZBfdO3mT2&#10;MNbsLx2jrvM8e9+UGg373QpEoD78i3/uo47z5/D9JR4gN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lUggvAAAANsAAAAPAAAAAAAAAAAAAAAAAJgCAABkcnMvZG93bnJldi54&#10;bWxQSwUGAAAAAAQABAD1AAAAgQMAAAAA&#10;" adj="1704" filled="f" strokecolor="black [3213]" strokeweight="1.5pt"/>
                      <v:rect id="Rectangle 16" o:spid="_x0000_s1039" style="position:absolute;left:26384;top:27527;width:1073;height:9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0xucIA&#10;AADbAAAADwAAAGRycy9kb3ducmV2LnhtbERPTWvCQBC9C/0PyxS86aYtiKRZRWwttnhJ7MXbJDtm&#10;g9nZkF1j+u+7hYK3ebzPydajbcVAvW8cK3iaJyCIK6cbrhV8H3ezJQgfkDW2jknBD3lYrx4mGaba&#10;3TinoQi1iCHsU1RgQuhSKX1lyKKfu444cmfXWwwR9rXUPd5iuG3lc5IspMWGY4PBjraGqktxtQrO&#10;XflyOOWnpCg/v7bvH9rIt8EoNX0cN68gAo3hLv5373Wcv4C/X+I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TG5wgAAANsAAAAPAAAAAAAAAAAAAAAAAJgCAABkcnMvZG93&#10;bnJldi54bWxQSwUGAAAAAAQABAD1AAAAhwMAAAAA&#10;" filled="f" strokecolor="black [3213]" strokeweight="1.5pt"/>
                      <v:rect id="Rectangle 26" o:spid="_x0000_s1040" style="position:absolute;left:22288;top:4762;width:43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yGsUA&#10;AADbAAAADwAAAGRycy9kb3ducmV2LnhtbESPQWvCQBSE70L/w/IKXqRuDMFqdJUqCGIPYloQb4/s&#10;MwnNvg3ZVeO/dwuCx2FmvmHmy87U4kqtqywrGA0jEMS51RUXCn5/Nh8TEM4ja6wtk4I7OVgu3npz&#10;TLW98YGumS9EgLBLUUHpfZNK6fKSDLqhbYiDd7atQR9kW0jd4i3ATS3jKBpLgxWHhRIbWpeU/2UX&#10;o2DyOcLTcZfRYLpKvuNks48TfVaq/959zUB46vwr/GxvtYJ4DP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IaxQAAANsAAAAPAAAAAAAAAAAAAAAAAJgCAABkcnMv&#10;ZG93bnJldi54bWxQSwUGAAAAAAQABAD1AAAAigMAAAAA&#10;" fillcolor="white [3201]" stroked="f">
                        <v:textbox>
                          <w:txbxContent>
                            <w:p w14:paraId="091AA2F7" w14:textId="77777777" w:rsidR="00EF15B6" w:rsidRPr="00B66AA0" w:rsidRDefault="00EF15B6" w:rsidP="002A571C">
                              <w:pPr>
                                <w:pStyle w:val="exampletext"/>
                                <w:spacing w:before="0" w:after="0"/>
                                <w:ind w:left="0"/>
                              </w:pPr>
                              <w:r>
                                <w:t>75%</w:t>
                              </w:r>
                            </w:p>
                          </w:txbxContent>
                        </v:textbox>
                      </v:rect>
                      <v:rect id="Rectangle 27" o:spid="_x0000_s1041" style="position:absolute;left:27241;top:11620;width:43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NXgcYA&#10;AADbAAAADwAAAGRycy9kb3ducmV2LnhtbESPT2vCQBTE74V+h+UVvJS6MQT/pK7SCoLUg5gK4u2R&#10;fSah2bchuybx27uFQo/DzPyGWa4HU4uOWldZVjAZRyCIc6srLhScvrdvcxDOI2usLZOCOzlYr56f&#10;lphq2/ORuswXIkDYpaig9L5JpXR5SQbd2DbEwbva1qAPsi2kbrEPcFPLOIqm0mDFYaHEhjYl5T/Z&#10;zSiYzyZ4OX9l9Lr4TPZxsj3Eib4qNXoZPt5BeBr8f/ivvdMK4hn8fgk/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NXgcYAAADbAAAADwAAAAAAAAAAAAAAAACYAgAAZHJz&#10;L2Rvd25yZXYueG1sUEsFBgAAAAAEAAQA9QAAAIsDAAAAAA==&#10;" fillcolor="white [3201]" stroked="f">
                        <v:textbox>
                          <w:txbxContent>
                            <w:p w14:paraId="0902A4C0" w14:textId="77777777" w:rsidR="00EF15B6" w:rsidRPr="00B66AA0" w:rsidRDefault="00EF15B6" w:rsidP="002A571C">
                              <w:pPr>
                                <w:pStyle w:val="exampletext"/>
                                <w:spacing w:before="0" w:after="0"/>
                                <w:ind w:left="0"/>
                              </w:pPr>
                              <w:r>
                                <w:t>25%</w:t>
                              </w:r>
                            </w:p>
                          </w:txbxContent>
                        </v:textbox>
                      </v:rect>
                      <v:shape id="Down Arrow 28" o:spid="_x0000_s1042" type="#_x0000_t67" style="position:absolute;left:26193;top:4381;width:1645;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15MAA&#10;AADbAAAADwAAAGRycy9kb3ducmV2LnhtbERPy4rCMBTdC/MP4Q6401QXItVYhgGpDD7w8QF3mtsH&#10;09x0mqjx781CcHk472UWTCtu1LvGsoLJOAFBXFjdcKXgcl6P5iCcR9bYWiYFD3KQrT4GS0y1vfOR&#10;bidfiRjCLkUFtfddKqUrajLoxrYjjlxpe4M+wr6Susd7DDetnCbJTBpsODbU2NF3TcXf6WoUbH72&#10;NsyP/7+22eY+lCE/zHa5UsPP8LUA4Sn4t/jl3mgF0zg2fok/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15MAAAADbAAAADwAAAAAAAAAAAAAAAACYAgAAZHJzL2Rvd25y&#10;ZXYueG1sUEsFBgAAAAAEAAQA9QAAAIUDAAAAAA==&#10;" adj="20096" filled="f" strokecolor="black [3213]" strokeweight="1.5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9" o:spid="_x0000_s1043" type="#_x0000_t66" style="position:absolute;left:21717;top:6858;width:4675;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1yI8EA&#10;AADbAAAADwAAAGRycy9kb3ducmV2LnhtbESPzYoCMRCE7wu+Q2jB25roYdHRKOIPrCfR3QdoJu3M&#10;6KQzTmIc394IC3ssquorar7sbC0itb5yrGE0VCCIc2cqLjT8/uw+JyB8QDZYOyYNT/KwXPQ+5pgZ&#10;9+AjxVMoRIKwz1BDGUKTSenzkiz6oWuIk3d2rcWQZFtI0+IjwW0tx0p9SYsVp4USG1qXlF9Pd6vh&#10;crxt5XlfV6gOMUbP2830oLQe9LvVDESgLvyH/9rfRsN4Cu8v6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dciPBAAAA2wAAAA8AAAAAAAAAAAAAAAAAmAIAAGRycy9kb3du&#10;cmV2LnhtbFBLBQYAAAAABAAEAPUAAACGAwAAAAA=&#10;" adj="3740" filled="f" strokecolor="black [3213]" strokeweight="1.5pt"/>
                    </v:group>
                  </w:pict>
                </mc:Fallback>
              </mc:AlternateContent>
            </w:r>
            <w:r w:rsidRPr="00B66AA0">
              <w:rPr>
                <w:b/>
              </w:rPr>
              <w:t>Total</w:t>
            </w:r>
          </w:p>
        </w:tc>
        <w:tc>
          <w:tcPr>
            <w:tcW w:w="1843" w:type="dxa"/>
            <w:vAlign w:val="bottom"/>
          </w:tcPr>
          <w:p w14:paraId="6A6B384B" w14:textId="77777777" w:rsidR="002A571C" w:rsidRPr="00B66AA0" w:rsidRDefault="002A571C" w:rsidP="005448BC">
            <w:pPr>
              <w:pStyle w:val="tabletext"/>
              <w:jc w:val="right"/>
              <w:rPr>
                <w:b/>
              </w:rPr>
            </w:pPr>
            <w:r w:rsidRPr="00B66AA0">
              <w:rPr>
                <w:b/>
              </w:rPr>
              <w:t>1,637</w:t>
            </w:r>
          </w:p>
        </w:tc>
      </w:tr>
    </w:tbl>
    <w:p w14:paraId="09EE950C" w14:textId="77777777" w:rsidR="002A571C" w:rsidRDefault="002A571C" w:rsidP="00200FC3">
      <w:pPr>
        <w:pStyle w:val="base-text-paragraph"/>
        <w:numPr>
          <w:ilvl w:val="0"/>
          <w:numId w:val="0"/>
        </w:numPr>
      </w:pPr>
    </w:p>
    <w:p w14:paraId="20D8B2BF" w14:textId="77777777" w:rsidR="002A571C" w:rsidRDefault="002A571C" w:rsidP="00200FC3">
      <w:pPr>
        <w:pStyle w:val="base-text-paragraph"/>
        <w:numPr>
          <w:ilvl w:val="0"/>
          <w:numId w:val="0"/>
        </w:numPr>
      </w:pPr>
    </w:p>
    <w:p w14:paraId="344E0482" w14:textId="77777777" w:rsidR="002A571C" w:rsidRDefault="002A571C" w:rsidP="00200FC3">
      <w:pPr>
        <w:pStyle w:val="base-text-paragraph"/>
        <w:numPr>
          <w:ilvl w:val="0"/>
          <w:numId w:val="0"/>
        </w:numPr>
      </w:pPr>
    </w:p>
    <w:p w14:paraId="300FAEC4" w14:textId="77777777" w:rsidR="002A571C" w:rsidRDefault="002A571C" w:rsidP="00200FC3">
      <w:pPr>
        <w:pStyle w:val="base-text-paragraph"/>
        <w:numPr>
          <w:ilvl w:val="0"/>
          <w:numId w:val="0"/>
        </w:numPr>
      </w:pPr>
    </w:p>
    <w:p w14:paraId="64B0703D" w14:textId="77777777" w:rsidR="002A571C" w:rsidRDefault="002A571C" w:rsidP="00200FC3">
      <w:pPr>
        <w:pStyle w:val="base-text-paragraph"/>
        <w:numPr>
          <w:ilvl w:val="0"/>
          <w:numId w:val="0"/>
        </w:numPr>
      </w:pPr>
    </w:p>
    <w:p w14:paraId="5FCEC899" w14:textId="77777777" w:rsidR="002A571C" w:rsidRDefault="002A571C" w:rsidP="00200FC3">
      <w:pPr>
        <w:pStyle w:val="base-text-paragraph"/>
        <w:numPr>
          <w:ilvl w:val="0"/>
          <w:numId w:val="0"/>
        </w:numPr>
      </w:pPr>
    </w:p>
    <w:p w14:paraId="1AF279C4" w14:textId="77777777" w:rsidR="002A571C" w:rsidRDefault="002A571C" w:rsidP="00200FC3">
      <w:pPr>
        <w:pStyle w:val="base-text-paragraph"/>
        <w:numPr>
          <w:ilvl w:val="0"/>
          <w:numId w:val="0"/>
        </w:numPr>
      </w:pPr>
    </w:p>
    <w:p w14:paraId="6336020F" w14:textId="77777777" w:rsidR="002A571C" w:rsidRDefault="002A571C" w:rsidP="00200FC3">
      <w:pPr>
        <w:pStyle w:val="base-text-paragraph"/>
        <w:numPr>
          <w:ilvl w:val="0"/>
          <w:numId w:val="0"/>
        </w:numPr>
      </w:pPr>
    </w:p>
    <w:p w14:paraId="29F9D995" w14:textId="77777777" w:rsidR="002A571C" w:rsidRDefault="002A571C" w:rsidP="00200FC3">
      <w:pPr>
        <w:pStyle w:val="base-text-paragraph"/>
        <w:numPr>
          <w:ilvl w:val="0"/>
          <w:numId w:val="0"/>
        </w:numPr>
      </w:pPr>
    </w:p>
    <w:p w14:paraId="711D04B0" w14:textId="77777777" w:rsidR="002A571C" w:rsidRDefault="002A571C" w:rsidP="00200FC3">
      <w:pPr>
        <w:pStyle w:val="base-text-paragraph"/>
        <w:numPr>
          <w:ilvl w:val="0"/>
          <w:numId w:val="0"/>
        </w:numPr>
      </w:pPr>
    </w:p>
    <w:p w14:paraId="0149D2CC" w14:textId="77777777" w:rsidR="002A571C" w:rsidRDefault="002A571C" w:rsidP="00200FC3">
      <w:pPr>
        <w:pStyle w:val="base-text-paragraph"/>
        <w:numPr>
          <w:ilvl w:val="0"/>
          <w:numId w:val="0"/>
        </w:numPr>
      </w:pPr>
    </w:p>
    <w:p w14:paraId="08287D28" w14:textId="77777777" w:rsidR="002A571C" w:rsidRDefault="002A571C" w:rsidP="00200FC3">
      <w:pPr>
        <w:pStyle w:val="base-text-paragraph"/>
        <w:numPr>
          <w:ilvl w:val="0"/>
          <w:numId w:val="0"/>
        </w:numPr>
      </w:pPr>
    </w:p>
    <w:p w14:paraId="14561EFB" w14:textId="77777777" w:rsidR="002A571C" w:rsidRDefault="002A571C" w:rsidP="00200FC3">
      <w:pPr>
        <w:pStyle w:val="base-text-paragraph"/>
        <w:numPr>
          <w:ilvl w:val="0"/>
          <w:numId w:val="0"/>
        </w:numPr>
        <w:sectPr w:rsidR="002A571C" w:rsidSect="00404387">
          <w:pgSz w:w="11906" w:h="16838" w:code="9"/>
          <w:pgMar w:top="2466" w:right="2098" w:bottom="2466" w:left="2098" w:header="1559" w:footer="1899" w:gutter="0"/>
          <w:cols w:space="708"/>
          <w:titlePg/>
          <w:docGrid w:linePitch="360"/>
        </w:sectPr>
      </w:pPr>
    </w:p>
    <w:p w14:paraId="46EF520C" w14:textId="77777777" w:rsidR="009B3F66" w:rsidRDefault="009B3F66" w:rsidP="009B3F66">
      <w:pPr>
        <w:pStyle w:val="ChapterHeading"/>
      </w:pPr>
      <w:bookmarkStart w:id="54" w:name="_Toc419101556"/>
      <w:bookmarkStart w:id="55" w:name="_Toc419101804"/>
      <w:bookmarkStart w:id="56" w:name="_Toc419101557"/>
      <w:bookmarkStart w:id="57" w:name="_Toc419101805"/>
      <w:bookmarkStart w:id="58" w:name="_Toc419101558"/>
      <w:bookmarkStart w:id="59" w:name="_Toc419101806"/>
      <w:bookmarkEnd w:id="54"/>
      <w:bookmarkEnd w:id="55"/>
      <w:bookmarkEnd w:id="56"/>
      <w:bookmarkEnd w:id="57"/>
      <w:bookmarkEnd w:id="58"/>
      <w:bookmarkEnd w:id="59"/>
      <w:r>
        <w:br/>
      </w:r>
      <w:bookmarkStart w:id="60" w:name="_Toc419101560"/>
      <w:bookmarkStart w:id="61" w:name="_Toc419136760"/>
      <w:bookmarkStart w:id="62" w:name="_Toc420587207"/>
      <w:r>
        <w:t>Statement of Compatibility with Human Rights</w:t>
      </w:r>
      <w:bookmarkEnd w:id="60"/>
      <w:bookmarkEnd w:id="61"/>
      <w:bookmarkEnd w:id="62"/>
    </w:p>
    <w:p w14:paraId="662B63CC" w14:textId="77777777" w:rsidR="009B3F66" w:rsidRDefault="009B3F66" w:rsidP="009B3F66">
      <w:pPr>
        <w:pStyle w:val="Heading2"/>
        <w:rPr>
          <w:rFonts w:cs="Helvetica"/>
        </w:rPr>
      </w:pPr>
      <w:r>
        <w:rPr>
          <w:rFonts w:cs="Helvetica"/>
        </w:rPr>
        <w:t xml:space="preserve">Prepared in accordance with Part 3 of the </w:t>
      </w:r>
      <w:r>
        <w:rPr>
          <w:rFonts w:cs="Helvetica"/>
          <w:i/>
        </w:rPr>
        <w:t>Human Rights (Parliamentary Scrutiny) Act 2011</w:t>
      </w:r>
    </w:p>
    <w:p w14:paraId="29A06BA4" w14:textId="77777777" w:rsidR="009B3F66" w:rsidRDefault="009B3F66" w:rsidP="00C71EE9">
      <w:pPr>
        <w:pStyle w:val="Heading3"/>
      </w:pPr>
      <w:r>
        <w:t>Australian Small Business and Family Enterprise Ombudsman Bill 2015</w:t>
      </w:r>
    </w:p>
    <w:p w14:paraId="0A4E46F3" w14:textId="77777777" w:rsidR="00D808B7" w:rsidRDefault="009B3F66" w:rsidP="00200FC3">
      <w:pPr>
        <w:pStyle w:val="base-text-paragraph"/>
      </w:pPr>
      <w:r>
        <w:t xml:space="preserve">This Bill is compatible with the human rights and freedoms recognised or declared in the international instruments listed in section 3 of the </w:t>
      </w:r>
      <w:r w:rsidRPr="009B3F66">
        <w:rPr>
          <w:i/>
        </w:rPr>
        <w:t>Human Rights (Parliamentary Scrutiny) Act 2011</w:t>
      </w:r>
      <w:r>
        <w:t>.</w:t>
      </w:r>
      <w:r w:rsidR="00D808B7" w:rsidRPr="00D808B7">
        <w:t xml:space="preserve"> </w:t>
      </w:r>
    </w:p>
    <w:p w14:paraId="78049FFB" w14:textId="77777777" w:rsidR="009B3F66" w:rsidRDefault="009B3F66" w:rsidP="00C71EE9">
      <w:pPr>
        <w:pStyle w:val="Heading3"/>
      </w:pPr>
      <w:r>
        <w:t>Overview</w:t>
      </w:r>
    </w:p>
    <w:p w14:paraId="647A59DE" w14:textId="77777777" w:rsidR="009B3F66" w:rsidRDefault="009B3F66" w:rsidP="00200FC3">
      <w:pPr>
        <w:pStyle w:val="base-text-paragraph"/>
      </w:pPr>
      <w:r>
        <w:t>The purpose of the Bill is to establish the Australian Small Business and Family Enterprise Ombudsman to advocate for, and give assistance to, small businesses and family enterprises.</w:t>
      </w:r>
    </w:p>
    <w:p w14:paraId="44D672E3" w14:textId="77777777" w:rsidR="009B3F66" w:rsidRDefault="009B3F66" w:rsidP="00C71EE9">
      <w:pPr>
        <w:pStyle w:val="Heading3"/>
      </w:pPr>
      <w:r>
        <w:t>Human rights implications</w:t>
      </w:r>
    </w:p>
    <w:p w14:paraId="7202551D" w14:textId="77777777" w:rsidR="00D808B7" w:rsidRDefault="009B3F66" w:rsidP="00200FC3">
      <w:pPr>
        <w:pStyle w:val="base-text-paragraph"/>
      </w:pPr>
      <w:r>
        <w:t>This Bill does not engage any of the applicable rights or freedoms.</w:t>
      </w:r>
      <w:r w:rsidR="00D808B7" w:rsidRPr="00D808B7">
        <w:t xml:space="preserve"> </w:t>
      </w:r>
    </w:p>
    <w:p w14:paraId="5E8833E4" w14:textId="77777777" w:rsidR="009B3F66" w:rsidRDefault="009B3F66" w:rsidP="00C71EE9">
      <w:pPr>
        <w:pStyle w:val="Heading3"/>
      </w:pPr>
      <w:r>
        <w:t>Conclusion</w:t>
      </w:r>
    </w:p>
    <w:p w14:paraId="2A3BA37F" w14:textId="77777777" w:rsidR="00D808B7" w:rsidRDefault="009B3F66" w:rsidP="00200FC3">
      <w:pPr>
        <w:pStyle w:val="base-text-paragraph"/>
      </w:pPr>
      <w:r>
        <w:t>This Bill is compatible with human rights as it does not raise any human rights issues.</w:t>
      </w:r>
      <w:r w:rsidR="00D808B7" w:rsidRPr="00D808B7">
        <w:t xml:space="preserve"> </w:t>
      </w:r>
    </w:p>
    <w:p w14:paraId="4CFC07AB" w14:textId="77777777" w:rsidR="009D296C" w:rsidRDefault="009D296C" w:rsidP="009D296C">
      <w:pPr>
        <w:pStyle w:val="base-text-paragraphnonumbers"/>
        <w:sectPr w:rsidR="009D296C" w:rsidSect="009B3F66">
          <w:headerReference w:type="even" r:id="rId76"/>
          <w:headerReference w:type="default" r:id="rId77"/>
          <w:footerReference w:type="even" r:id="rId78"/>
          <w:footerReference w:type="default" r:id="rId79"/>
          <w:headerReference w:type="first" r:id="rId80"/>
          <w:footerReference w:type="first" r:id="rId81"/>
          <w:type w:val="oddPage"/>
          <w:pgSz w:w="11906" w:h="16838" w:code="9"/>
          <w:pgMar w:top="2466" w:right="2098" w:bottom="2466" w:left="2098" w:header="1559" w:footer="1899" w:gutter="0"/>
          <w:cols w:space="708"/>
          <w:titlePg/>
          <w:docGrid w:linePitch="360"/>
        </w:sectPr>
      </w:pPr>
    </w:p>
    <w:p w14:paraId="7BBEFE5D" w14:textId="77777777" w:rsidR="006F3126" w:rsidRPr="00D67ADC" w:rsidRDefault="006F3126" w:rsidP="00A82CD1">
      <w:pPr>
        <w:pStyle w:val="Chapterheadingsubdocument"/>
      </w:pPr>
      <w:bookmarkStart w:id="63" w:name="Index"/>
      <w:bookmarkStart w:id="64" w:name="_Toc420587208"/>
      <w:r w:rsidRPr="00D67ADC">
        <w:t>Index</w:t>
      </w:r>
      <w:bookmarkEnd w:id="63"/>
      <w:bookmarkEnd w:id="64"/>
    </w:p>
    <w:p w14:paraId="69312E6B" w14:textId="1C934993" w:rsidR="006F3126" w:rsidRDefault="003F092F" w:rsidP="00A82CD1">
      <w:pPr>
        <w:pStyle w:val="Heading2with18pointafter"/>
      </w:pPr>
      <w:r>
        <w:t xml:space="preserve">Australian Small Business and Family Enterprise Ombudsman Bill 2015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2211"/>
      </w:tblGrid>
      <w:tr w:rsidR="006F3126" w:rsidRPr="00442FB9" w14:paraId="64BC4D0F" w14:textId="77777777" w:rsidTr="003F092F">
        <w:trPr>
          <w:tblHeader/>
        </w:trPr>
        <w:tc>
          <w:tcPr>
            <w:tcW w:w="5529" w:type="dxa"/>
          </w:tcPr>
          <w:p w14:paraId="1ECEA9A5" w14:textId="77777777" w:rsidR="006F3126" w:rsidRPr="00231CBA" w:rsidRDefault="006F3126" w:rsidP="00C71EE9">
            <w:pPr>
              <w:pStyle w:val="tableheaderwithintable"/>
            </w:pPr>
            <w:r w:rsidRPr="00231CBA">
              <w:t>Bill reference</w:t>
            </w:r>
          </w:p>
        </w:tc>
        <w:tc>
          <w:tcPr>
            <w:tcW w:w="2211" w:type="dxa"/>
          </w:tcPr>
          <w:p w14:paraId="794EF28F" w14:textId="77777777" w:rsidR="006F3126" w:rsidRPr="00231CBA" w:rsidRDefault="006F3126" w:rsidP="00C71EE9">
            <w:pPr>
              <w:pStyle w:val="tableheaderwithintable"/>
            </w:pPr>
            <w:r w:rsidRPr="00231CBA">
              <w:t>Paragraph number</w:t>
            </w:r>
          </w:p>
        </w:tc>
      </w:tr>
      <w:tr w:rsidR="00B64A6A" w:rsidRPr="00231CBA" w14:paraId="7506783D" w14:textId="77777777" w:rsidTr="003F092F">
        <w:trPr>
          <w:tblHeader/>
        </w:trPr>
        <w:tc>
          <w:tcPr>
            <w:tcW w:w="5529" w:type="dxa"/>
          </w:tcPr>
          <w:p w14:paraId="26E5350F" w14:textId="77777777" w:rsidR="00B64A6A" w:rsidRPr="00231CBA" w:rsidRDefault="00B64A6A" w:rsidP="00B64A6A">
            <w:pPr>
              <w:pStyle w:val="tabletext"/>
            </w:pPr>
            <w:r>
              <w:rPr>
                <w:lang w:val="en-US" w:eastAsia="en-US"/>
              </w:rPr>
              <w:t>Part 1, section 2</w:t>
            </w:r>
          </w:p>
        </w:tc>
        <w:tc>
          <w:tcPr>
            <w:tcW w:w="2211" w:type="dxa"/>
          </w:tcPr>
          <w:p w14:paraId="4231368C" w14:textId="77777777" w:rsidR="00B64A6A" w:rsidRPr="00231CBA" w:rsidRDefault="00B64A6A" w:rsidP="00B64A6A">
            <w:pPr>
              <w:pStyle w:val="tabletext"/>
            </w:pPr>
            <w:r>
              <w:rPr>
                <w:lang w:val="en-US" w:eastAsia="en-US"/>
              </w:rPr>
              <w:t>3.3</w:t>
            </w:r>
          </w:p>
        </w:tc>
      </w:tr>
      <w:tr w:rsidR="00B64A6A" w:rsidRPr="00231CBA" w14:paraId="0A81801B" w14:textId="77777777" w:rsidTr="003F092F">
        <w:trPr>
          <w:tblHeader/>
        </w:trPr>
        <w:tc>
          <w:tcPr>
            <w:tcW w:w="5529" w:type="dxa"/>
          </w:tcPr>
          <w:p w14:paraId="143FC522" w14:textId="77777777" w:rsidR="00B64A6A" w:rsidRPr="00231CBA" w:rsidRDefault="00B64A6A" w:rsidP="00B64A6A">
            <w:pPr>
              <w:pStyle w:val="tabletext"/>
            </w:pPr>
            <w:r>
              <w:rPr>
                <w:lang w:val="en-US" w:eastAsia="en-US"/>
              </w:rPr>
              <w:t>Part 1, section 4</w:t>
            </w:r>
          </w:p>
        </w:tc>
        <w:tc>
          <w:tcPr>
            <w:tcW w:w="2211" w:type="dxa"/>
          </w:tcPr>
          <w:p w14:paraId="6D7A5E53" w14:textId="77777777" w:rsidR="00B64A6A" w:rsidRPr="00231CBA" w:rsidRDefault="00B64A6A" w:rsidP="00B64A6A">
            <w:pPr>
              <w:pStyle w:val="tabletext"/>
            </w:pPr>
            <w:r>
              <w:rPr>
                <w:lang w:val="en-US" w:eastAsia="en-US"/>
              </w:rPr>
              <w:t>3.9</w:t>
            </w:r>
          </w:p>
        </w:tc>
      </w:tr>
      <w:tr w:rsidR="00896496" w:rsidRPr="00231CBA" w14:paraId="25A43728" w14:textId="77777777" w:rsidTr="003F092F">
        <w:trPr>
          <w:tblHeader/>
        </w:trPr>
        <w:tc>
          <w:tcPr>
            <w:tcW w:w="5529" w:type="dxa"/>
          </w:tcPr>
          <w:p w14:paraId="251C3924" w14:textId="77777777" w:rsidR="00896496" w:rsidRPr="00231CBA" w:rsidRDefault="00896496" w:rsidP="005448BC">
            <w:pPr>
              <w:pStyle w:val="tabletext"/>
            </w:pPr>
            <w:r>
              <w:rPr>
                <w:lang w:val="en-US" w:eastAsia="en-US"/>
              </w:rPr>
              <w:t>Part 1, section 5</w:t>
            </w:r>
          </w:p>
        </w:tc>
        <w:tc>
          <w:tcPr>
            <w:tcW w:w="2211" w:type="dxa"/>
          </w:tcPr>
          <w:p w14:paraId="46C8EFCC" w14:textId="77777777" w:rsidR="00896496" w:rsidRPr="00231CBA" w:rsidRDefault="00896496" w:rsidP="005448BC">
            <w:pPr>
              <w:pStyle w:val="tabletext"/>
            </w:pPr>
            <w:r>
              <w:rPr>
                <w:lang w:val="en-US" w:eastAsia="en-US"/>
              </w:rPr>
              <w:t>3.8</w:t>
            </w:r>
          </w:p>
        </w:tc>
      </w:tr>
      <w:tr w:rsidR="00896496" w:rsidRPr="00231CBA" w14:paraId="52D8B942" w14:textId="77777777" w:rsidTr="003F092F">
        <w:trPr>
          <w:tblHeader/>
        </w:trPr>
        <w:tc>
          <w:tcPr>
            <w:tcW w:w="5529" w:type="dxa"/>
          </w:tcPr>
          <w:p w14:paraId="27E4CF67" w14:textId="77777777" w:rsidR="00896496" w:rsidRPr="00231CBA" w:rsidRDefault="00896496" w:rsidP="005448BC">
            <w:pPr>
              <w:pStyle w:val="tabletext"/>
            </w:pPr>
            <w:r>
              <w:rPr>
                <w:lang w:val="en-US" w:eastAsia="en-US"/>
              </w:rPr>
              <w:t>Part 1, section 6</w:t>
            </w:r>
          </w:p>
        </w:tc>
        <w:tc>
          <w:tcPr>
            <w:tcW w:w="2211" w:type="dxa"/>
          </w:tcPr>
          <w:p w14:paraId="0FF55C0B" w14:textId="77777777" w:rsidR="00896496" w:rsidRPr="00231CBA" w:rsidRDefault="00896496" w:rsidP="005448BC">
            <w:pPr>
              <w:pStyle w:val="tabletext"/>
            </w:pPr>
            <w:r>
              <w:rPr>
                <w:lang w:val="en-US" w:eastAsia="en-US"/>
              </w:rPr>
              <w:t>3.10</w:t>
            </w:r>
          </w:p>
        </w:tc>
      </w:tr>
      <w:tr w:rsidR="00896496" w:rsidRPr="00231CBA" w14:paraId="23D38DEA" w14:textId="77777777" w:rsidTr="003F092F">
        <w:trPr>
          <w:tblHeader/>
        </w:trPr>
        <w:tc>
          <w:tcPr>
            <w:tcW w:w="5529" w:type="dxa"/>
          </w:tcPr>
          <w:p w14:paraId="5F47F9B5" w14:textId="77777777" w:rsidR="00896496" w:rsidRPr="00231CBA" w:rsidRDefault="00896496" w:rsidP="00A82CD1">
            <w:pPr>
              <w:pStyle w:val="tabletext"/>
            </w:pPr>
            <w:r>
              <w:rPr>
                <w:lang w:val="en-US" w:eastAsia="en-US"/>
              </w:rPr>
              <w:t>Part 1, section 7</w:t>
            </w:r>
          </w:p>
        </w:tc>
        <w:tc>
          <w:tcPr>
            <w:tcW w:w="2211" w:type="dxa"/>
          </w:tcPr>
          <w:p w14:paraId="674381B3" w14:textId="77777777" w:rsidR="00896496" w:rsidRPr="00231CBA" w:rsidRDefault="00896496" w:rsidP="00A82CD1">
            <w:pPr>
              <w:pStyle w:val="tabletext"/>
            </w:pPr>
            <w:r>
              <w:rPr>
                <w:lang w:val="en-US" w:eastAsia="en-US"/>
              </w:rPr>
              <w:t>3.11</w:t>
            </w:r>
          </w:p>
        </w:tc>
      </w:tr>
      <w:tr w:rsidR="00896496" w:rsidRPr="00231CBA" w14:paraId="091747E4" w14:textId="77777777" w:rsidTr="003F092F">
        <w:trPr>
          <w:tblHeader/>
        </w:trPr>
        <w:tc>
          <w:tcPr>
            <w:tcW w:w="5529" w:type="dxa"/>
          </w:tcPr>
          <w:p w14:paraId="05F81457" w14:textId="77777777" w:rsidR="00896496" w:rsidRPr="00231CBA" w:rsidRDefault="00896496" w:rsidP="00A82CD1">
            <w:pPr>
              <w:pStyle w:val="tabletext"/>
            </w:pPr>
            <w:r>
              <w:rPr>
                <w:lang w:val="en-US" w:eastAsia="en-US"/>
              </w:rPr>
              <w:t>Part 1, section 8</w:t>
            </w:r>
          </w:p>
        </w:tc>
        <w:tc>
          <w:tcPr>
            <w:tcW w:w="2211" w:type="dxa"/>
          </w:tcPr>
          <w:p w14:paraId="19310847" w14:textId="77777777" w:rsidR="00896496" w:rsidRPr="00231CBA" w:rsidRDefault="00896496" w:rsidP="00A82CD1">
            <w:pPr>
              <w:pStyle w:val="tabletext"/>
            </w:pPr>
            <w:r>
              <w:rPr>
                <w:lang w:val="en-US" w:eastAsia="en-US"/>
              </w:rPr>
              <w:t>3.12</w:t>
            </w:r>
            <w:r w:rsidR="00B64A6A">
              <w:rPr>
                <w:lang w:val="en-US" w:eastAsia="en-US"/>
              </w:rPr>
              <w:t>, 3.14</w:t>
            </w:r>
          </w:p>
        </w:tc>
      </w:tr>
      <w:tr w:rsidR="00896496" w:rsidRPr="00231CBA" w14:paraId="0A366745" w14:textId="77777777" w:rsidTr="003F092F">
        <w:trPr>
          <w:tblHeader/>
        </w:trPr>
        <w:tc>
          <w:tcPr>
            <w:tcW w:w="5529" w:type="dxa"/>
          </w:tcPr>
          <w:p w14:paraId="5D2D9CDD" w14:textId="77777777" w:rsidR="00896496" w:rsidRPr="00231CBA" w:rsidRDefault="00896496" w:rsidP="00A82CD1">
            <w:pPr>
              <w:pStyle w:val="tabletext"/>
            </w:pPr>
            <w:r>
              <w:rPr>
                <w:lang w:val="en-US" w:eastAsia="en-US"/>
              </w:rPr>
              <w:t>Part 1, section 9</w:t>
            </w:r>
          </w:p>
        </w:tc>
        <w:tc>
          <w:tcPr>
            <w:tcW w:w="2211" w:type="dxa"/>
          </w:tcPr>
          <w:p w14:paraId="39E7BC7A" w14:textId="77777777" w:rsidR="00896496" w:rsidRPr="00231CBA" w:rsidRDefault="00896496" w:rsidP="00A82CD1">
            <w:pPr>
              <w:pStyle w:val="tabletext"/>
            </w:pPr>
            <w:r>
              <w:rPr>
                <w:lang w:val="en-US" w:eastAsia="en-US"/>
              </w:rPr>
              <w:t>3.15</w:t>
            </w:r>
          </w:p>
        </w:tc>
      </w:tr>
      <w:tr w:rsidR="00896496" w:rsidRPr="00231CBA" w14:paraId="17AB97C0" w14:textId="77777777" w:rsidTr="003F092F">
        <w:trPr>
          <w:tblHeader/>
        </w:trPr>
        <w:tc>
          <w:tcPr>
            <w:tcW w:w="5529" w:type="dxa"/>
          </w:tcPr>
          <w:p w14:paraId="64247876" w14:textId="77777777" w:rsidR="00896496" w:rsidRPr="00231CBA" w:rsidRDefault="00896496" w:rsidP="00A82CD1">
            <w:pPr>
              <w:pStyle w:val="tabletext"/>
            </w:pPr>
            <w:r>
              <w:rPr>
                <w:lang w:val="en-US" w:eastAsia="en-US"/>
              </w:rPr>
              <w:t>Part 1, subsection 9(2)</w:t>
            </w:r>
          </w:p>
        </w:tc>
        <w:tc>
          <w:tcPr>
            <w:tcW w:w="2211" w:type="dxa"/>
          </w:tcPr>
          <w:p w14:paraId="662E421F" w14:textId="77777777" w:rsidR="00896496" w:rsidRPr="00231CBA" w:rsidRDefault="00896496" w:rsidP="00A82CD1">
            <w:pPr>
              <w:pStyle w:val="tabletext"/>
            </w:pPr>
            <w:r>
              <w:rPr>
                <w:lang w:val="en-US" w:eastAsia="en-US"/>
              </w:rPr>
              <w:t>3.17</w:t>
            </w:r>
          </w:p>
        </w:tc>
      </w:tr>
      <w:tr w:rsidR="00896496" w:rsidRPr="00231CBA" w14:paraId="107D0C0B" w14:textId="77777777" w:rsidTr="003F092F">
        <w:trPr>
          <w:tblHeader/>
        </w:trPr>
        <w:tc>
          <w:tcPr>
            <w:tcW w:w="5529" w:type="dxa"/>
          </w:tcPr>
          <w:p w14:paraId="2CE95739" w14:textId="77777777" w:rsidR="00896496" w:rsidRPr="00231CBA" w:rsidRDefault="00896496" w:rsidP="00A82CD1">
            <w:pPr>
              <w:pStyle w:val="tabletext"/>
            </w:pPr>
            <w:r>
              <w:rPr>
                <w:lang w:val="en-US" w:eastAsia="en-US"/>
              </w:rPr>
              <w:t>Part 1, section 11</w:t>
            </w:r>
          </w:p>
        </w:tc>
        <w:tc>
          <w:tcPr>
            <w:tcW w:w="2211" w:type="dxa"/>
          </w:tcPr>
          <w:p w14:paraId="0EC40193" w14:textId="77777777" w:rsidR="00896496" w:rsidRPr="00231CBA" w:rsidRDefault="00896496" w:rsidP="00A82CD1">
            <w:pPr>
              <w:pStyle w:val="tabletext"/>
            </w:pPr>
            <w:r>
              <w:rPr>
                <w:lang w:val="en-US" w:eastAsia="en-US"/>
              </w:rPr>
              <w:t>3.19</w:t>
            </w:r>
          </w:p>
        </w:tc>
      </w:tr>
      <w:tr w:rsidR="00896496" w:rsidRPr="00231CBA" w14:paraId="149FFAF6"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2843B8D8" w14:textId="77777777" w:rsidR="00896496" w:rsidRPr="00896496" w:rsidRDefault="00896496" w:rsidP="005448BC">
            <w:pPr>
              <w:pStyle w:val="tabletext"/>
              <w:rPr>
                <w:lang w:val="en-US" w:eastAsia="en-US"/>
              </w:rPr>
            </w:pPr>
            <w:r>
              <w:rPr>
                <w:lang w:val="en-US" w:eastAsia="en-US"/>
              </w:rPr>
              <w:t>Part 2, Division 1, section 16</w:t>
            </w:r>
          </w:p>
        </w:tc>
        <w:tc>
          <w:tcPr>
            <w:tcW w:w="2211" w:type="dxa"/>
            <w:tcBorders>
              <w:top w:val="single" w:sz="4" w:space="0" w:color="auto"/>
              <w:left w:val="single" w:sz="4" w:space="0" w:color="auto"/>
              <w:bottom w:val="single" w:sz="4" w:space="0" w:color="auto"/>
              <w:right w:val="single" w:sz="4" w:space="0" w:color="auto"/>
            </w:tcBorders>
          </w:tcPr>
          <w:p w14:paraId="49170ECF" w14:textId="77777777" w:rsidR="00896496" w:rsidRPr="00896496" w:rsidRDefault="00896496" w:rsidP="005448BC">
            <w:pPr>
              <w:pStyle w:val="tabletext"/>
              <w:rPr>
                <w:lang w:val="en-US" w:eastAsia="en-US"/>
              </w:rPr>
            </w:pPr>
            <w:r>
              <w:rPr>
                <w:lang w:val="en-US" w:eastAsia="en-US"/>
              </w:rPr>
              <w:t>2.4, 4.10</w:t>
            </w:r>
          </w:p>
        </w:tc>
      </w:tr>
      <w:tr w:rsidR="00896496" w:rsidRPr="00231CBA" w14:paraId="288794D1"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586B6816" w14:textId="77777777" w:rsidR="00896496" w:rsidRDefault="00896496" w:rsidP="005448BC">
            <w:pPr>
              <w:pStyle w:val="tabletext"/>
              <w:rPr>
                <w:lang w:val="en-US" w:eastAsia="en-US"/>
              </w:rPr>
            </w:pPr>
            <w:r>
              <w:rPr>
                <w:lang w:val="en-US" w:eastAsia="en-US"/>
              </w:rPr>
              <w:t>Part 2, Division 1, section 17</w:t>
            </w:r>
          </w:p>
        </w:tc>
        <w:tc>
          <w:tcPr>
            <w:tcW w:w="2211" w:type="dxa"/>
            <w:tcBorders>
              <w:top w:val="single" w:sz="4" w:space="0" w:color="auto"/>
              <w:left w:val="single" w:sz="4" w:space="0" w:color="auto"/>
              <w:bottom w:val="single" w:sz="4" w:space="0" w:color="auto"/>
              <w:right w:val="single" w:sz="4" w:space="0" w:color="auto"/>
            </w:tcBorders>
          </w:tcPr>
          <w:p w14:paraId="2B850117" w14:textId="77777777" w:rsidR="00896496" w:rsidRDefault="00896496" w:rsidP="005448BC">
            <w:pPr>
              <w:pStyle w:val="tabletext"/>
              <w:rPr>
                <w:lang w:val="en-US" w:eastAsia="en-US"/>
              </w:rPr>
            </w:pPr>
            <w:r>
              <w:rPr>
                <w:lang w:val="en-US" w:eastAsia="en-US"/>
              </w:rPr>
              <w:t>4.7</w:t>
            </w:r>
          </w:p>
        </w:tc>
      </w:tr>
      <w:tr w:rsidR="00896496" w:rsidRPr="00231CBA" w14:paraId="6823627F"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7464D802" w14:textId="77777777" w:rsidR="00896496" w:rsidRPr="00896496" w:rsidRDefault="00896496" w:rsidP="005448BC">
            <w:pPr>
              <w:pStyle w:val="tabletext"/>
              <w:rPr>
                <w:lang w:val="en-US" w:eastAsia="en-US"/>
              </w:rPr>
            </w:pPr>
            <w:r>
              <w:rPr>
                <w:lang w:val="en-US" w:eastAsia="en-US"/>
              </w:rPr>
              <w:t>Part 2, Division 1, section 18</w:t>
            </w:r>
          </w:p>
        </w:tc>
        <w:tc>
          <w:tcPr>
            <w:tcW w:w="2211" w:type="dxa"/>
            <w:tcBorders>
              <w:top w:val="single" w:sz="4" w:space="0" w:color="auto"/>
              <w:left w:val="single" w:sz="4" w:space="0" w:color="auto"/>
              <w:bottom w:val="single" w:sz="4" w:space="0" w:color="auto"/>
              <w:right w:val="single" w:sz="4" w:space="0" w:color="auto"/>
            </w:tcBorders>
          </w:tcPr>
          <w:p w14:paraId="5BBFCCDF" w14:textId="77777777" w:rsidR="00896496" w:rsidRPr="00896496" w:rsidRDefault="00896496" w:rsidP="005448BC">
            <w:pPr>
              <w:pStyle w:val="tabletext"/>
              <w:rPr>
                <w:lang w:val="en-US" w:eastAsia="en-US"/>
              </w:rPr>
            </w:pPr>
            <w:r>
              <w:rPr>
                <w:lang w:val="en-US" w:eastAsia="en-US"/>
              </w:rPr>
              <w:t>4.7</w:t>
            </w:r>
          </w:p>
        </w:tc>
      </w:tr>
      <w:tr w:rsidR="00896496" w:rsidRPr="00231CBA" w14:paraId="56C55451"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30869A06" w14:textId="77777777" w:rsidR="00896496" w:rsidRPr="00896496" w:rsidRDefault="00896496" w:rsidP="005448BC">
            <w:pPr>
              <w:pStyle w:val="tabletext"/>
              <w:rPr>
                <w:lang w:val="en-US" w:eastAsia="en-US"/>
              </w:rPr>
            </w:pPr>
            <w:r>
              <w:rPr>
                <w:lang w:val="en-US" w:eastAsia="en-US"/>
              </w:rPr>
              <w:t>Part 2, Division 1, section 20</w:t>
            </w:r>
          </w:p>
        </w:tc>
        <w:tc>
          <w:tcPr>
            <w:tcW w:w="2211" w:type="dxa"/>
            <w:tcBorders>
              <w:top w:val="single" w:sz="4" w:space="0" w:color="auto"/>
              <w:left w:val="single" w:sz="4" w:space="0" w:color="auto"/>
              <w:bottom w:val="single" w:sz="4" w:space="0" w:color="auto"/>
              <w:right w:val="single" w:sz="4" w:space="0" w:color="auto"/>
            </w:tcBorders>
          </w:tcPr>
          <w:p w14:paraId="36CFA3A2" w14:textId="77777777" w:rsidR="00896496" w:rsidRPr="00896496" w:rsidRDefault="00896496" w:rsidP="005448BC">
            <w:pPr>
              <w:pStyle w:val="tabletext"/>
              <w:rPr>
                <w:lang w:val="en-US" w:eastAsia="en-US"/>
              </w:rPr>
            </w:pPr>
            <w:r>
              <w:rPr>
                <w:lang w:val="en-US" w:eastAsia="en-US"/>
              </w:rPr>
              <w:t>4.9</w:t>
            </w:r>
          </w:p>
        </w:tc>
      </w:tr>
      <w:tr w:rsidR="00896496" w:rsidRPr="00231CBA" w14:paraId="330320EF"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6B4098CA" w14:textId="77777777" w:rsidR="00896496" w:rsidRPr="00896496" w:rsidRDefault="00896496" w:rsidP="005448BC">
            <w:pPr>
              <w:pStyle w:val="tabletext"/>
              <w:rPr>
                <w:lang w:val="en-US" w:eastAsia="en-US"/>
              </w:rPr>
            </w:pPr>
            <w:r>
              <w:rPr>
                <w:lang w:val="en-US" w:eastAsia="en-US"/>
              </w:rPr>
              <w:t>Part 2, Division 1, section 21</w:t>
            </w:r>
          </w:p>
        </w:tc>
        <w:tc>
          <w:tcPr>
            <w:tcW w:w="2211" w:type="dxa"/>
            <w:tcBorders>
              <w:top w:val="single" w:sz="4" w:space="0" w:color="auto"/>
              <w:left w:val="single" w:sz="4" w:space="0" w:color="auto"/>
              <w:bottom w:val="single" w:sz="4" w:space="0" w:color="auto"/>
              <w:right w:val="single" w:sz="4" w:space="0" w:color="auto"/>
            </w:tcBorders>
          </w:tcPr>
          <w:p w14:paraId="283276C5" w14:textId="77777777" w:rsidR="00896496" w:rsidRPr="00896496" w:rsidRDefault="00896496" w:rsidP="005448BC">
            <w:pPr>
              <w:pStyle w:val="tabletext"/>
              <w:rPr>
                <w:lang w:val="en-US" w:eastAsia="en-US"/>
              </w:rPr>
            </w:pPr>
            <w:r>
              <w:rPr>
                <w:lang w:val="en-US" w:eastAsia="en-US"/>
              </w:rPr>
              <w:t>4.12</w:t>
            </w:r>
          </w:p>
        </w:tc>
      </w:tr>
      <w:tr w:rsidR="00896496" w:rsidRPr="00231CBA" w14:paraId="74A7A194"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1A134199" w14:textId="77777777" w:rsidR="00896496" w:rsidRDefault="00896496" w:rsidP="005448BC">
            <w:pPr>
              <w:pStyle w:val="tabletext"/>
              <w:rPr>
                <w:lang w:val="en-US" w:eastAsia="en-US"/>
              </w:rPr>
            </w:pPr>
            <w:r>
              <w:rPr>
                <w:lang w:val="en-US" w:eastAsia="en-US"/>
              </w:rPr>
              <w:t>Part 2, Division 1, section 22</w:t>
            </w:r>
          </w:p>
        </w:tc>
        <w:tc>
          <w:tcPr>
            <w:tcW w:w="2211" w:type="dxa"/>
            <w:tcBorders>
              <w:top w:val="single" w:sz="4" w:space="0" w:color="auto"/>
              <w:left w:val="single" w:sz="4" w:space="0" w:color="auto"/>
              <w:bottom w:val="single" w:sz="4" w:space="0" w:color="auto"/>
              <w:right w:val="single" w:sz="4" w:space="0" w:color="auto"/>
            </w:tcBorders>
          </w:tcPr>
          <w:p w14:paraId="6FC85D13" w14:textId="77777777" w:rsidR="00896496" w:rsidRDefault="00896496" w:rsidP="005448BC">
            <w:pPr>
              <w:pStyle w:val="tabletext"/>
              <w:rPr>
                <w:lang w:val="en-US" w:eastAsia="en-US"/>
              </w:rPr>
            </w:pPr>
            <w:r>
              <w:rPr>
                <w:lang w:val="en-US" w:eastAsia="en-US"/>
              </w:rPr>
              <w:t>4.20</w:t>
            </w:r>
          </w:p>
        </w:tc>
      </w:tr>
      <w:tr w:rsidR="00B64A6A" w:rsidRPr="00231CBA" w14:paraId="5D462C94"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5DEE9862" w14:textId="77777777" w:rsidR="00B64A6A" w:rsidRPr="00896496" w:rsidRDefault="00B64A6A" w:rsidP="00B64A6A">
            <w:pPr>
              <w:pStyle w:val="tabletext"/>
              <w:rPr>
                <w:lang w:val="en-US" w:eastAsia="en-US"/>
              </w:rPr>
            </w:pPr>
            <w:r>
              <w:rPr>
                <w:lang w:val="en-US" w:eastAsia="en-US"/>
              </w:rPr>
              <w:t>Part 2, Division 1, section 23</w:t>
            </w:r>
          </w:p>
        </w:tc>
        <w:tc>
          <w:tcPr>
            <w:tcW w:w="2211" w:type="dxa"/>
            <w:tcBorders>
              <w:top w:val="single" w:sz="4" w:space="0" w:color="auto"/>
              <w:left w:val="single" w:sz="4" w:space="0" w:color="auto"/>
              <w:bottom w:val="single" w:sz="4" w:space="0" w:color="auto"/>
              <w:right w:val="single" w:sz="4" w:space="0" w:color="auto"/>
            </w:tcBorders>
          </w:tcPr>
          <w:p w14:paraId="2558DDEA" w14:textId="77777777" w:rsidR="00B64A6A" w:rsidRPr="00896496" w:rsidRDefault="00B64A6A" w:rsidP="00B64A6A">
            <w:pPr>
              <w:pStyle w:val="tabletext"/>
              <w:rPr>
                <w:lang w:val="en-US" w:eastAsia="en-US"/>
              </w:rPr>
            </w:pPr>
            <w:r>
              <w:rPr>
                <w:lang w:val="en-US" w:eastAsia="en-US"/>
              </w:rPr>
              <w:t>4.11</w:t>
            </w:r>
          </w:p>
        </w:tc>
      </w:tr>
      <w:tr w:rsidR="00896496" w:rsidRPr="00231CBA" w14:paraId="28FE632C" w14:textId="77777777" w:rsidTr="003F092F">
        <w:trPr>
          <w:tblHeader/>
        </w:trPr>
        <w:tc>
          <w:tcPr>
            <w:tcW w:w="5529" w:type="dxa"/>
          </w:tcPr>
          <w:p w14:paraId="68290A0C" w14:textId="77777777" w:rsidR="00896496" w:rsidRDefault="00896496" w:rsidP="00A82CD1">
            <w:pPr>
              <w:pStyle w:val="tabletext"/>
            </w:pPr>
            <w:r>
              <w:rPr>
                <w:lang w:val="en-US" w:eastAsia="en-US"/>
              </w:rPr>
              <w:t>Part 2, Division 2, section 24</w:t>
            </w:r>
          </w:p>
        </w:tc>
        <w:tc>
          <w:tcPr>
            <w:tcW w:w="2211" w:type="dxa"/>
          </w:tcPr>
          <w:p w14:paraId="097357DD" w14:textId="77777777" w:rsidR="00896496" w:rsidRDefault="00896496" w:rsidP="00A82CD1">
            <w:pPr>
              <w:pStyle w:val="tabletext"/>
            </w:pPr>
            <w:r>
              <w:rPr>
                <w:lang w:val="en-US" w:eastAsia="en-US"/>
              </w:rPr>
              <w:t>4.13</w:t>
            </w:r>
          </w:p>
        </w:tc>
      </w:tr>
      <w:tr w:rsidR="00896496" w:rsidRPr="00231CBA" w14:paraId="0AAE9975" w14:textId="77777777" w:rsidTr="003F092F">
        <w:trPr>
          <w:tblHeader/>
        </w:trPr>
        <w:tc>
          <w:tcPr>
            <w:tcW w:w="5529" w:type="dxa"/>
          </w:tcPr>
          <w:p w14:paraId="422F5711" w14:textId="77777777" w:rsidR="00896496" w:rsidRDefault="00896496" w:rsidP="00A82CD1">
            <w:pPr>
              <w:pStyle w:val="tabletext"/>
            </w:pPr>
            <w:r>
              <w:rPr>
                <w:lang w:val="en-US" w:eastAsia="en-US"/>
              </w:rPr>
              <w:t>Part 2, Division 2, subsection 24(2)</w:t>
            </w:r>
          </w:p>
        </w:tc>
        <w:tc>
          <w:tcPr>
            <w:tcW w:w="2211" w:type="dxa"/>
          </w:tcPr>
          <w:p w14:paraId="2D2BF6FA" w14:textId="77777777" w:rsidR="00896496" w:rsidRDefault="00896496" w:rsidP="00A82CD1">
            <w:pPr>
              <w:pStyle w:val="tabletext"/>
            </w:pPr>
            <w:r>
              <w:rPr>
                <w:lang w:val="en-US" w:eastAsia="en-US"/>
              </w:rPr>
              <w:t>4.14</w:t>
            </w:r>
          </w:p>
        </w:tc>
      </w:tr>
      <w:tr w:rsidR="00896496" w:rsidRPr="00231CBA" w14:paraId="3FF90385"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6741DFAA" w14:textId="77777777" w:rsidR="00896496" w:rsidRPr="00896496" w:rsidRDefault="00896496" w:rsidP="005448BC">
            <w:pPr>
              <w:pStyle w:val="tabletext"/>
              <w:rPr>
                <w:lang w:val="en-US" w:eastAsia="en-US"/>
              </w:rPr>
            </w:pPr>
            <w:r>
              <w:rPr>
                <w:lang w:val="en-US" w:eastAsia="en-US"/>
              </w:rPr>
              <w:t>Part 2, Division 2, section 25</w:t>
            </w:r>
          </w:p>
        </w:tc>
        <w:tc>
          <w:tcPr>
            <w:tcW w:w="2211" w:type="dxa"/>
            <w:tcBorders>
              <w:top w:val="single" w:sz="4" w:space="0" w:color="auto"/>
              <w:left w:val="single" w:sz="4" w:space="0" w:color="auto"/>
              <w:bottom w:val="single" w:sz="4" w:space="0" w:color="auto"/>
              <w:right w:val="single" w:sz="4" w:space="0" w:color="auto"/>
            </w:tcBorders>
          </w:tcPr>
          <w:p w14:paraId="652E6581" w14:textId="77777777" w:rsidR="00896496" w:rsidRPr="00896496" w:rsidRDefault="00896496" w:rsidP="005448BC">
            <w:pPr>
              <w:pStyle w:val="tabletext"/>
              <w:rPr>
                <w:lang w:val="en-US" w:eastAsia="en-US"/>
              </w:rPr>
            </w:pPr>
            <w:r>
              <w:rPr>
                <w:lang w:val="en-US" w:eastAsia="en-US"/>
              </w:rPr>
              <w:t>4.16</w:t>
            </w:r>
          </w:p>
        </w:tc>
      </w:tr>
      <w:tr w:rsidR="00896496" w:rsidRPr="00231CBA" w14:paraId="7EA7FB09" w14:textId="77777777" w:rsidTr="003F092F">
        <w:trPr>
          <w:tblHeader/>
        </w:trPr>
        <w:tc>
          <w:tcPr>
            <w:tcW w:w="5529" w:type="dxa"/>
          </w:tcPr>
          <w:p w14:paraId="4F08D03E" w14:textId="77777777" w:rsidR="00896496" w:rsidRDefault="00896496" w:rsidP="00A82CD1">
            <w:pPr>
              <w:pStyle w:val="tabletext"/>
            </w:pPr>
            <w:r>
              <w:rPr>
                <w:lang w:val="en-US" w:eastAsia="en-US"/>
              </w:rPr>
              <w:t>Part 2, Division 2, section 26</w:t>
            </w:r>
          </w:p>
        </w:tc>
        <w:tc>
          <w:tcPr>
            <w:tcW w:w="2211" w:type="dxa"/>
          </w:tcPr>
          <w:p w14:paraId="2029CCF1" w14:textId="77777777" w:rsidR="00896496" w:rsidRDefault="00896496" w:rsidP="00A82CD1">
            <w:pPr>
              <w:pStyle w:val="tabletext"/>
            </w:pPr>
            <w:r>
              <w:rPr>
                <w:lang w:val="en-US" w:eastAsia="en-US"/>
              </w:rPr>
              <w:t>4.16</w:t>
            </w:r>
          </w:p>
        </w:tc>
      </w:tr>
      <w:tr w:rsidR="00896496" w:rsidRPr="00231CBA" w14:paraId="1A28CA87"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0D567F09" w14:textId="77777777" w:rsidR="00896496" w:rsidRPr="00896496" w:rsidRDefault="00896496" w:rsidP="005448BC">
            <w:pPr>
              <w:pStyle w:val="tabletext"/>
              <w:rPr>
                <w:lang w:val="en-US" w:eastAsia="en-US"/>
              </w:rPr>
            </w:pPr>
            <w:r>
              <w:rPr>
                <w:lang w:val="en-US" w:eastAsia="en-US"/>
              </w:rPr>
              <w:t>Part 2, Division 2, section 28</w:t>
            </w:r>
          </w:p>
        </w:tc>
        <w:tc>
          <w:tcPr>
            <w:tcW w:w="2211" w:type="dxa"/>
            <w:tcBorders>
              <w:top w:val="single" w:sz="4" w:space="0" w:color="auto"/>
              <w:left w:val="single" w:sz="4" w:space="0" w:color="auto"/>
              <w:bottom w:val="single" w:sz="4" w:space="0" w:color="auto"/>
              <w:right w:val="single" w:sz="4" w:space="0" w:color="auto"/>
            </w:tcBorders>
          </w:tcPr>
          <w:p w14:paraId="4A542C00" w14:textId="77777777" w:rsidR="00896496" w:rsidRPr="00896496" w:rsidRDefault="00896496" w:rsidP="005448BC">
            <w:pPr>
              <w:pStyle w:val="tabletext"/>
              <w:rPr>
                <w:lang w:val="en-US" w:eastAsia="en-US"/>
              </w:rPr>
            </w:pPr>
            <w:r>
              <w:rPr>
                <w:lang w:val="en-US" w:eastAsia="en-US"/>
              </w:rPr>
              <w:t>4.19</w:t>
            </w:r>
          </w:p>
        </w:tc>
      </w:tr>
      <w:tr w:rsidR="00B64A6A" w:rsidRPr="00231CBA" w14:paraId="223B122F" w14:textId="77777777" w:rsidTr="003F092F">
        <w:trPr>
          <w:tblHeader/>
        </w:trPr>
        <w:tc>
          <w:tcPr>
            <w:tcW w:w="5529" w:type="dxa"/>
          </w:tcPr>
          <w:p w14:paraId="29EE5E4F" w14:textId="77777777" w:rsidR="00B64A6A" w:rsidRDefault="00B64A6A" w:rsidP="00B64A6A">
            <w:pPr>
              <w:pStyle w:val="tabletext"/>
            </w:pPr>
            <w:r>
              <w:rPr>
                <w:lang w:val="en-US" w:eastAsia="en-US"/>
              </w:rPr>
              <w:t>Part 2, Division 2, section 29</w:t>
            </w:r>
          </w:p>
        </w:tc>
        <w:tc>
          <w:tcPr>
            <w:tcW w:w="2211" w:type="dxa"/>
          </w:tcPr>
          <w:p w14:paraId="38A4B831" w14:textId="77777777" w:rsidR="00B64A6A" w:rsidRDefault="00B64A6A" w:rsidP="00B64A6A">
            <w:pPr>
              <w:pStyle w:val="tabletext"/>
            </w:pPr>
            <w:r>
              <w:rPr>
                <w:lang w:val="en-US" w:eastAsia="en-US"/>
              </w:rPr>
              <w:t>4.17</w:t>
            </w:r>
          </w:p>
        </w:tc>
      </w:tr>
      <w:tr w:rsidR="00896496" w:rsidRPr="00231CBA" w14:paraId="3B0442EB" w14:textId="77777777" w:rsidTr="003F092F">
        <w:trPr>
          <w:tblHeader/>
        </w:trPr>
        <w:tc>
          <w:tcPr>
            <w:tcW w:w="5529" w:type="dxa"/>
          </w:tcPr>
          <w:p w14:paraId="4F355B82" w14:textId="77777777" w:rsidR="00896496" w:rsidRDefault="00B64A6A" w:rsidP="00B64A6A">
            <w:pPr>
              <w:pStyle w:val="tabletext"/>
            </w:pPr>
            <w:r>
              <w:rPr>
                <w:lang w:val="en-US" w:eastAsia="en-US"/>
              </w:rPr>
              <w:t>Part 2, Division 2, section 30</w:t>
            </w:r>
          </w:p>
        </w:tc>
        <w:tc>
          <w:tcPr>
            <w:tcW w:w="2211" w:type="dxa"/>
          </w:tcPr>
          <w:p w14:paraId="4D045A2D" w14:textId="77777777" w:rsidR="00896496" w:rsidRDefault="00B64A6A" w:rsidP="00A82CD1">
            <w:pPr>
              <w:pStyle w:val="tabletext"/>
            </w:pPr>
            <w:r>
              <w:rPr>
                <w:lang w:val="en-US" w:eastAsia="en-US"/>
              </w:rPr>
              <w:t>4.18</w:t>
            </w:r>
          </w:p>
        </w:tc>
      </w:tr>
      <w:tr w:rsidR="00896496" w:rsidRPr="00231CBA" w14:paraId="7CDDCADE" w14:textId="77777777" w:rsidTr="003F092F">
        <w:trPr>
          <w:tblHeader/>
        </w:trPr>
        <w:tc>
          <w:tcPr>
            <w:tcW w:w="5529" w:type="dxa"/>
          </w:tcPr>
          <w:p w14:paraId="2D8811A8" w14:textId="77777777" w:rsidR="00896496" w:rsidRPr="00231CBA" w:rsidRDefault="00896496" w:rsidP="00A82CD1">
            <w:pPr>
              <w:pStyle w:val="tabletext"/>
            </w:pPr>
            <w:r>
              <w:rPr>
                <w:lang w:val="en-US" w:eastAsia="en-US"/>
              </w:rPr>
              <w:t>Part 2, Division 2, subsection 30(2)</w:t>
            </w:r>
          </w:p>
        </w:tc>
        <w:tc>
          <w:tcPr>
            <w:tcW w:w="2211" w:type="dxa"/>
          </w:tcPr>
          <w:p w14:paraId="581A1D2A" w14:textId="77777777" w:rsidR="00896496" w:rsidRPr="00231CBA" w:rsidRDefault="00896496" w:rsidP="00A82CD1">
            <w:pPr>
              <w:pStyle w:val="tabletext"/>
            </w:pPr>
            <w:r>
              <w:rPr>
                <w:lang w:val="en-US" w:eastAsia="en-US"/>
              </w:rPr>
              <w:t>4.18</w:t>
            </w:r>
          </w:p>
        </w:tc>
      </w:tr>
      <w:tr w:rsidR="00896496" w:rsidRPr="00231CBA" w14:paraId="139877F4"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63BC9517" w14:textId="77777777" w:rsidR="00896496" w:rsidRPr="00896496" w:rsidRDefault="00896496" w:rsidP="005448BC">
            <w:pPr>
              <w:pStyle w:val="tabletext"/>
              <w:rPr>
                <w:lang w:val="en-US" w:eastAsia="en-US"/>
              </w:rPr>
            </w:pPr>
            <w:r>
              <w:rPr>
                <w:lang w:val="en-US" w:eastAsia="en-US"/>
              </w:rPr>
              <w:t>Part 2, Division 2, section 32</w:t>
            </w:r>
          </w:p>
        </w:tc>
        <w:tc>
          <w:tcPr>
            <w:tcW w:w="2211" w:type="dxa"/>
            <w:tcBorders>
              <w:top w:val="single" w:sz="4" w:space="0" w:color="auto"/>
              <w:left w:val="single" w:sz="4" w:space="0" w:color="auto"/>
              <w:bottom w:val="single" w:sz="4" w:space="0" w:color="auto"/>
              <w:right w:val="single" w:sz="4" w:space="0" w:color="auto"/>
            </w:tcBorders>
          </w:tcPr>
          <w:p w14:paraId="54B08984" w14:textId="77777777" w:rsidR="00896496" w:rsidRPr="00896496" w:rsidRDefault="00896496" w:rsidP="005448BC">
            <w:pPr>
              <w:pStyle w:val="tabletext"/>
              <w:rPr>
                <w:lang w:val="en-US" w:eastAsia="en-US"/>
              </w:rPr>
            </w:pPr>
            <w:r>
              <w:rPr>
                <w:lang w:val="en-US" w:eastAsia="en-US"/>
              </w:rPr>
              <w:t>4.15</w:t>
            </w:r>
          </w:p>
        </w:tc>
      </w:tr>
      <w:tr w:rsidR="00EF6180" w:rsidRPr="00231CBA" w14:paraId="790A93FF"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5B3E8DCD" w14:textId="77777777" w:rsidR="00EF6180" w:rsidRDefault="00EF6180" w:rsidP="00BD6A73">
            <w:pPr>
              <w:pStyle w:val="tabletext"/>
              <w:rPr>
                <w:lang w:val="en-US" w:eastAsia="en-US"/>
              </w:rPr>
            </w:pPr>
            <w:r>
              <w:rPr>
                <w:lang w:val="en-US" w:eastAsia="en-US"/>
              </w:rPr>
              <w:t>Part 3 Division 2, section 39, Part 3, Division 3, section 54 and Part 4, Division 4, section 78</w:t>
            </w:r>
          </w:p>
        </w:tc>
        <w:tc>
          <w:tcPr>
            <w:tcW w:w="2211" w:type="dxa"/>
            <w:tcBorders>
              <w:top w:val="single" w:sz="4" w:space="0" w:color="auto"/>
              <w:left w:val="single" w:sz="4" w:space="0" w:color="auto"/>
              <w:bottom w:val="single" w:sz="4" w:space="0" w:color="auto"/>
              <w:right w:val="single" w:sz="4" w:space="0" w:color="auto"/>
            </w:tcBorders>
          </w:tcPr>
          <w:p w14:paraId="09D2DA3A" w14:textId="77777777" w:rsidR="00EF6180" w:rsidRDefault="00EF6180" w:rsidP="00BD6A73">
            <w:pPr>
              <w:pStyle w:val="tabletext"/>
              <w:rPr>
                <w:lang w:val="en-US" w:eastAsia="en-US"/>
              </w:rPr>
            </w:pPr>
            <w:r>
              <w:rPr>
                <w:lang w:val="en-US" w:eastAsia="en-US"/>
              </w:rPr>
              <w:t>2.4</w:t>
            </w:r>
          </w:p>
        </w:tc>
      </w:tr>
      <w:tr w:rsidR="00896496" w:rsidRPr="00231CBA" w14:paraId="2E40E571" w14:textId="77777777" w:rsidTr="003F092F">
        <w:trPr>
          <w:tblHeader/>
        </w:trPr>
        <w:tc>
          <w:tcPr>
            <w:tcW w:w="5529" w:type="dxa"/>
          </w:tcPr>
          <w:p w14:paraId="25DC8EEE" w14:textId="77777777" w:rsidR="00896496" w:rsidRDefault="00896496" w:rsidP="00A82CD1">
            <w:pPr>
              <w:pStyle w:val="tabletext"/>
              <w:rPr>
                <w:lang w:val="en-US" w:eastAsia="en-US"/>
              </w:rPr>
            </w:pPr>
            <w:r>
              <w:rPr>
                <w:lang w:val="en-US" w:eastAsia="en-US"/>
              </w:rPr>
              <w:t>Part 2, Division 3, section 33</w:t>
            </w:r>
          </w:p>
        </w:tc>
        <w:tc>
          <w:tcPr>
            <w:tcW w:w="2211" w:type="dxa"/>
          </w:tcPr>
          <w:p w14:paraId="19640C84" w14:textId="77777777" w:rsidR="00896496" w:rsidRDefault="00896496" w:rsidP="00A82CD1">
            <w:pPr>
              <w:pStyle w:val="tabletext"/>
              <w:rPr>
                <w:lang w:val="en-US" w:eastAsia="en-US"/>
              </w:rPr>
            </w:pPr>
            <w:r>
              <w:rPr>
                <w:lang w:val="en-US" w:eastAsia="en-US"/>
              </w:rPr>
              <w:t>4.21</w:t>
            </w:r>
          </w:p>
        </w:tc>
      </w:tr>
      <w:tr w:rsidR="00896496" w:rsidRPr="00231CBA" w14:paraId="0627F6AB" w14:textId="77777777" w:rsidTr="003F092F">
        <w:trPr>
          <w:tblHeader/>
        </w:trPr>
        <w:tc>
          <w:tcPr>
            <w:tcW w:w="5529" w:type="dxa"/>
          </w:tcPr>
          <w:p w14:paraId="0AAEF074" w14:textId="77777777" w:rsidR="00896496" w:rsidRDefault="00896496" w:rsidP="00A82CD1">
            <w:pPr>
              <w:pStyle w:val="tabletext"/>
              <w:rPr>
                <w:lang w:val="en-US" w:eastAsia="en-US"/>
              </w:rPr>
            </w:pPr>
            <w:r>
              <w:rPr>
                <w:lang w:val="en-US" w:eastAsia="en-US"/>
              </w:rPr>
              <w:t>Part 2, Division 3, section 34</w:t>
            </w:r>
          </w:p>
        </w:tc>
        <w:tc>
          <w:tcPr>
            <w:tcW w:w="2211" w:type="dxa"/>
          </w:tcPr>
          <w:p w14:paraId="744B41CB" w14:textId="77777777" w:rsidR="00896496" w:rsidRDefault="00896496" w:rsidP="00A82CD1">
            <w:pPr>
              <w:pStyle w:val="tabletext"/>
              <w:rPr>
                <w:lang w:val="en-US" w:eastAsia="en-US"/>
              </w:rPr>
            </w:pPr>
            <w:r>
              <w:rPr>
                <w:lang w:val="en-US" w:eastAsia="en-US"/>
              </w:rPr>
              <w:t>4.22</w:t>
            </w:r>
          </w:p>
        </w:tc>
      </w:tr>
      <w:tr w:rsidR="009B2F4D" w:rsidRPr="00442FB9" w14:paraId="49C638C3"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462EC394" w14:textId="77777777" w:rsidR="009B2F4D" w:rsidRPr="009B2F4D" w:rsidRDefault="009B2F4D" w:rsidP="009B2F4D">
            <w:pPr>
              <w:pStyle w:val="tableheaderwithintable"/>
              <w:rPr>
                <w:lang w:val="en-US" w:eastAsia="en-US"/>
              </w:rPr>
            </w:pPr>
            <w:r w:rsidRPr="009B2F4D">
              <w:rPr>
                <w:lang w:val="en-US" w:eastAsia="en-US"/>
              </w:rPr>
              <w:t>Bill reference</w:t>
            </w:r>
          </w:p>
        </w:tc>
        <w:tc>
          <w:tcPr>
            <w:tcW w:w="2211" w:type="dxa"/>
            <w:tcBorders>
              <w:top w:val="single" w:sz="4" w:space="0" w:color="auto"/>
              <w:left w:val="single" w:sz="4" w:space="0" w:color="auto"/>
              <w:bottom w:val="single" w:sz="4" w:space="0" w:color="auto"/>
              <w:right w:val="single" w:sz="4" w:space="0" w:color="auto"/>
            </w:tcBorders>
          </w:tcPr>
          <w:p w14:paraId="0B11ED38" w14:textId="77777777" w:rsidR="009B2F4D" w:rsidRPr="009B2F4D" w:rsidRDefault="009B2F4D" w:rsidP="009B2F4D">
            <w:pPr>
              <w:pStyle w:val="tableheaderwithintable"/>
              <w:rPr>
                <w:lang w:val="en-US" w:eastAsia="en-US"/>
              </w:rPr>
            </w:pPr>
            <w:r w:rsidRPr="009B2F4D">
              <w:rPr>
                <w:lang w:val="en-US" w:eastAsia="en-US"/>
              </w:rPr>
              <w:t>Paragraph number</w:t>
            </w:r>
          </w:p>
        </w:tc>
      </w:tr>
      <w:tr w:rsidR="00EF6180" w:rsidRPr="00231CBA" w14:paraId="0FDF7533"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547C6C40" w14:textId="77777777" w:rsidR="00EF6180" w:rsidRDefault="00EF6180" w:rsidP="00BD6A73">
            <w:pPr>
              <w:pStyle w:val="tabletext"/>
              <w:rPr>
                <w:lang w:val="en-US" w:eastAsia="en-US"/>
              </w:rPr>
            </w:pPr>
            <w:r>
              <w:rPr>
                <w:lang w:val="en-US" w:eastAsia="en-US"/>
              </w:rPr>
              <w:t>Part 3, Division 1, section 35</w:t>
            </w:r>
          </w:p>
        </w:tc>
        <w:tc>
          <w:tcPr>
            <w:tcW w:w="2211" w:type="dxa"/>
            <w:tcBorders>
              <w:top w:val="single" w:sz="4" w:space="0" w:color="auto"/>
              <w:left w:val="single" w:sz="4" w:space="0" w:color="auto"/>
              <w:bottom w:val="single" w:sz="4" w:space="0" w:color="auto"/>
              <w:right w:val="single" w:sz="4" w:space="0" w:color="auto"/>
            </w:tcBorders>
          </w:tcPr>
          <w:p w14:paraId="4451C42B" w14:textId="77777777" w:rsidR="00EF6180" w:rsidRDefault="00EF6180" w:rsidP="00BD6A73">
            <w:pPr>
              <w:pStyle w:val="tabletext"/>
              <w:rPr>
                <w:lang w:val="en-US" w:eastAsia="en-US"/>
              </w:rPr>
            </w:pPr>
            <w:r>
              <w:rPr>
                <w:lang w:val="en-US" w:eastAsia="en-US"/>
              </w:rPr>
              <w:t>2.3, 5.2</w:t>
            </w:r>
          </w:p>
        </w:tc>
      </w:tr>
      <w:tr w:rsidR="00896496" w:rsidRPr="00231CBA" w14:paraId="1389FD21" w14:textId="77777777" w:rsidTr="003F092F">
        <w:trPr>
          <w:tblHeader/>
        </w:trPr>
        <w:tc>
          <w:tcPr>
            <w:tcW w:w="5529" w:type="dxa"/>
          </w:tcPr>
          <w:p w14:paraId="0A9FD543" w14:textId="77777777" w:rsidR="00896496" w:rsidRDefault="00896496" w:rsidP="00A82CD1">
            <w:pPr>
              <w:pStyle w:val="tabletext"/>
              <w:rPr>
                <w:lang w:val="en-US" w:eastAsia="en-US"/>
              </w:rPr>
            </w:pPr>
            <w:r>
              <w:rPr>
                <w:lang w:val="en-US" w:eastAsia="en-US"/>
              </w:rPr>
              <w:t>Part 3, Division 1, section 35 and Part 4, Division 1, section 65</w:t>
            </w:r>
          </w:p>
        </w:tc>
        <w:tc>
          <w:tcPr>
            <w:tcW w:w="2211" w:type="dxa"/>
          </w:tcPr>
          <w:p w14:paraId="30C51381" w14:textId="77777777" w:rsidR="00896496" w:rsidRDefault="00896496" w:rsidP="00A82CD1">
            <w:pPr>
              <w:pStyle w:val="tabletext"/>
              <w:rPr>
                <w:lang w:val="en-US" w:eastAsia="en-US"/>
              </w:rPr>
            </w:pPr>
            <w:r>
              <w:rPr>
                <w:lang w:val="en-US" w:eastAsia="en-US"/>
              </w:rPr>
              <w:t>2.2</w:t>
            </w:r>
          </w:p>
        </w:tc>
      </w:tr>
      <w:tr w:rsidR="005448BC" w:rsidRPr="00231CBA" w14:paraId="3269859C"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2FC0967C" w14:textId="77777777" w:rsidR="005448BC" w:rsidRDefault="005448BC" w:rsidP="005448BC">
            <w:pPr>
              <w:pStyle w:val="tabletext"/>
              <w:rPr>
                <w:lang w:val="en-US" w:eastAsia="en-US"/>
              </w:rPr>
            </w:pPr>
            <w:r>
              <w:rPr>
                <w:lang w:val="en-US" w:eastAsia="en-US"/>
              </w:rPr>
              <w:t>Part 3, Division 1, subsection 35(b)</w:t>
            </w:r>
          </w:p>
        </w:tc>
        <w:tc>
          <w:tcPr>
            <w:tcW w:w="2211" w:type="dxa"/>
            <w:tcBorders>
              <w:top w:val="single" w:sz="4" w:space="0" w:color="auto"/>
              <w:left w:val="single" w:sz="4" w:space="0" w:color="auto"/>
              <w:bottom w:val="single" w:sz="4" w:space="0" w:color="auto"/>
              <w:right w:val="single" w:sz="4" w:space="0" w:color="auto"/>
            </w:tcBorders>
          </w:tcPr>
          <w:p w14:paraId="0A59CF11" w14:textId="77777777" w:rsidR="005448BC" w:rsidRDefault="00B64A6A" w:rsidP="005448BC">
            <w:pPr>
              <w:pStyle w:val="tabletext"/>
              <w:rPr>
                <w:lang w:val="en-US" w:eastAsia="en-US"/>
              </w:rPr>
            </w:pPr>
            <w:r>
              <w:rPr>
                <w:lang w:val="en-US" w:eastAsia="en-US"/>
              </w:rPr>
              <w:t>2.9</w:t>
            </w:r>
          </w:p>
        </w:tc>
      </w:tr>
      <w:tr w:rsidR="00896496" w:rsidRPr="00231CBA" w14:paraId="49DF3429" w14:textId="77777777" w:rsidTr="003F092F">
        <w:trPr>
          <w:tblHeader/>
        </w:trPr>
        <w:tc>
          <w:tcPr>
            <w:tcW w:w="5529" w:type="dxa"/>
          </w:tcPr>
          <w:p w14:paraId="153781A0" w14:textId="77777777" w:rsidR="00896496" w:rsidRDefault="00896496" w:rsidP="00A82CD1">
            <w:pPr>
              <w:pStyle w:val="tabletext"/>
              <w:rPr>
                <w:lang w:val="en-US" w:eastAsia="en-US"/>
              </w:rPr>
            </w:pPr>
            <w:r>
              <w:rPr>
                <w:lang w:val="en-US" w:eastAsia="en-US"/>
              </w:rPr>
              <w:t>Part 3, Division 1, subsection 35</w:t>
            </w:r>
            <w:r w:rsidR="00B64A6A">
              <w:rPr>
                <w:lang w:val="en-US" w:eastAsia="en-US"/>
              </w:rPr>
              <w:t>(</w:t>
            </w:r>
            <w:r>
              <w:rPr>
                <w:lang w:val="en-US" w:eastAsia="en-US"/>
              </w:rPr>
              <w:t>c</w:t>
            </w:r>
            <w:r w:rsidR="00B64A6A">
              <w:rPr>
                <w:lang w:val="en-US" w:eastAsia="en-US"/>
              </w:rPr>
              <w:t>)</w:t>
            </w:r>
          </w:p>
        </w:tc>
        <w:tc>
          <w:tcPr>
            <w:tcW w:w="2211" w:type="dxa"/>
          </w:tcPr>
          <w:p w14:paraId="0D748356" w14:textId="77777777" w:rsidR="00896496" w:rsidRDefault="00B64A6A" w:rsidP="00A82CD1">
            <w:pPr>
              <w:pStyle w:val="tabletext"/>
              <w:rPr>
                <w:lang w:val="en-US" w:eastAsia="en-US"/>
              </w:rPr>
            </w:pPr>
            <w:r>
              <w:rPr>
                <w:lang w:val="en-US" w:eastAsia="en-US"/>
              </w:rPr>
              <w:t>2.7</w:t>
            </w:r>
          </w:p>
        </w:tc>
      </w:tr>
      <w:tr w:rsidR="00896496" w:rsidRPr="00231CBA" w14:paraId="0D8BD1A3" w14:textId="77777777" w:rsidTr="003F092F">
        <w:trPr>
          <w:tblHeader/>
        </w:trPr>
        <w:tc>
          <w:tcPr>
            <w:tcW w:w="5529" w:type="dxa"/>
          </w:tcPr>
          <w:p w14:paraId="12E0F266" w14:textId="77777777" w:rsidR="00896496" w:rsidRDefault="00896496" w:rsidP="00A82CD1">
            <w:pPr>
              <w:pStyle w:val="tabletext"/>
              <w:rPr>
                <w:lang w:val="en-US" w:eastAsia="en-US"/>
              </w:rPr>
            </w:pPr>
            <w:r>
              <w:rPr>
                <w:lang w:val="en-US" w:eastAsia="en-US"/>
              </w:rPr>
              <w:t>Part 3, Division 1, subsection 35(d)</w:t>
            </w:r>
          </w:p>
        </w:tc>
        <w:tc>
          <w:tcPr>
            <w:tcW w:w="2211" w:type="dxa"/>
          </w:tcPr>
          <w:p w14:paraId="5ABFDCF0" w14:textId="77777777" w:rsidR="00896496" w:rsidRDefault="00B64A6A" w:rsidP="00A82CD1">
            <w:pPr>
              <w:pStyle w:val="tabletext"/>
              <w:rPr>
                <w:lang w:val="en-US" w:eastAsia="en-US"/>
              </w:rPr>
            </w:pPr>
            <w:r>
              <w:rPr>
                <w:lang w:val="en-US" w:eastAsia="en-US"/>
              </w:rPr>
              <w:t>2.7</w:t>
            </w:r>
          </w:p>
        </w:tc>
      </w:tr>
      <w:tr w:rsidR="00896496" w:rsidRPr="00231CBA" w14:paraId="71548C7F" w14:textId="77777777" w:rsidTr="003F092F">
        <w:trPr>
          <w:tblHeader/>
        </w:trPr>
        <w:tc>
          <w:tcPr>
            <w:tcW w:w="5529" w:type="dxa"/>
          </w:tcPr>
          <w:p w14:paraId="47F603A6" w14:textId="77777777" w:rsidR="00896496" w:rsidRDefault="00896496" w:rsidP="00A82CD1">
            <w:pPr>
              <w:pStyle w:val="tabletext"/>
              <w:rPr>
                <w:lang w:val="en-US" w:eastAsia="en-US"/>
              </w:rPr>
            </w:pPr>
            <w:r>
              <w:rPr>
                <w:lang w:val="en-US" w:eastAsia="en-US"/>
              </w:rPr>
              <w:t>Part 3, Division 1, subsection 35(e)</w:t>
            </w:r>
          </w:p>
        </w:tc>
        <w:tc>
          <w:tcPr>
            <w:tcW w:w="2211" w:type="dxa"/>
          </w:tcPr>
          <w:p w14:paraId="43F6E24D" w14:textId="77777777" w:rsidR="00896496" w:rsidRDefault="00B64A6A" w:rsidP="00A82CD1">
            <w:pPr>
              <w:pStyle w:val="tabletext"/>
              <w:rPr>
                <w:lang w:val="en-US" w:eastAsia="en-US"/>
              </w:rPr>
            </w:pPr>
            <w:r>
              <w:rPr>
                <w:lang w:val="en-US" w:eastAsia="en-US"/>
              </w:rPr>
              <w:t>2.8</w:t>
            </w:r>
          </w:p>
        </w:tc>
      </w:tr>
      <w:tr w:rsidR="00B64A6A" w:rsidRPr="00231CBA" w14:paraId="07FB9869"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539ECCE3" w14:textId="77777777" w:rsidR="00B64A6A" w:rsidRDefault="00B64A6A" w:rsidP="00B64A6A">
            <w:pPr>
              <w:pStyle w:val="tabletext"/>
              <w:rPr>
                <w:lang w:val="en-US" w:eastAsia="en-US"/>
              </w:rPr>
            </w:pPr>
            <w:r>
              <w:rPr>
                <w:lang w:val="en-US" w:eastAsia="en-US"/>
              </w:rPr>
              <w:t>Part 3, Division 1, subsection 35(f)</w:t>
            </w:r>
          </w:p>
        </w:tc>
        <w:tc>
          <w:tcPr>
            <w:tcW w:w="2211" w:type="dxa"/>
            <w:tcBorders>
              <w:top w:val="single" w:sz="4" w:space="0" w:color="auto"/>
              <w:left w:val="single" w:sz="4" w:space="0" w:color="auto"/>
              <w:bottom w:val="single" w:sz="4" w:space="0" w:color="auto"/>
              <w:right w:val="single" w:sz="4" w:space="0" w:color="auto"/>
            </w:tcBorders>
          </w:tcPr>
          <w:p w14:paraId="0E26F7C2" w14:textId="77777777" w:rsidR="00B64A6A" w:rsidRDefault="00EF6180" w:rsidP="00B64A6A">
            <w:pPr>
              <w:pStyle w:val="tabletext"/>
              <w:rPr>
                <w:lang w:val="en-US" w:eastAsia="en-US"/>
              </w:rPr>
            </w:pPr>
            <w:r>
              <w:rPr>
                <w:lang w:val="en-US" w:eastAsia="en-US"/>
              </w:rPr>
              <w:t xml:space="preserve">2.9, </w:t>
            </w:r>
            <w:r w:rsidR="00B64A6A">
              <w:rPr>
                <w:lang w:val="en-US" w:eastAsia="en-US"/>
              </w:rPr>
              <w:t>2.10</w:t>
            </w:r>
          </w:p>
        </w:tc>
      </w:tr>
      <w:tr w:rsidR="005448BC" w:rsidRPr="00231CBA" w14:paraId="3C3F6FD5"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5A1299D5" w14:textId="77777777" w:rsidR="005448BC" w:rsidRDefault="005448BC" w:rsidP="00B64A6A">
            <w:pPr>
              <w:pStyle w:val="tabletext"/>
              <w:rPr>
                <w:lang w:val="en-US" w:eastAsia="en-US"/>
              </w:rPr>
            </w:pPr>
            <w:r>
              <w:rPr>
                <w:lang w:val="en-US" w:eastAsia="en-US"/>
              </w:rPr>
              <w:t>Part 3, Division 1, subsection 35(</w:t>
            </w:r>
            <w:r w:rsidR="00B64A6A">
              <w:rPr>
                <w:lang w:val="en-US" w:eastAsia="en-US"/>
              </w:rPr>
              <w:t>g</w:t>
            </w:r>
            <w:r>
              <w:rPr>
                <w:lang w:val="en-US" w:eastAsia="en-US"/>
              </w:rPr>
              <w:t>)</w:t>
            </w:r>
          </w:p>
        </w:tc>
        <w:tc>
          <w:tcPr>
            <w:tcW w:w="2211" w:type="dxa"/>
            <w:tcBorders>
              <w:top w:val="single" w:sz="4" w:space="0" w:color="auto"/>
              <w:left w:val="single" w:sz="4" w:space="0" w:color="auto"/>
              <w:bottom w:val="single" w:sz="4" w:space="0" w:color="auto"/>
              <w:right w:val="single" w:sz="4" w:space="0" w:color="auto"/>
            </w:tcBorders>
          </w:tcPr>
          <w:p w14:paraId="16A4683B" w14:textId="77777777" w:rsidR="005448BC" w:rsidRDefault="00B64A6A" w:rsidP="00B64A6A">
            <w:pPr>
              <w:pStyle w:val="tabletext"/>
              <w:rPr>
                <w:lang w:val="en-US" w:eastAsia="en-US"/>
              </w:rPr>
            </w:pPr>
            <w:r>
              <w:rPr>
                <w:lang w:val="en-US" w:eastAsia="en-US"/>
              </w:rPr>
              <w:t>2.9</w:t>
            </w:r>
          </w:p>
        </w:tc>
      </w:tr>
      <w:tr w:rsidR="00896496" w:rsidRPr="00231CBA" w14:paraId="374BD06B" w14:textId="77777777" w:rsidTr="003F092F">
        <w:trPr>
          <w:tblHeader/>
        </w:trPr>
        <w:tc>
          <w:tcPr>
            <w:tcW w:w="5529" w:type="dxa"/>
          </w:tcPr>
          <w:p w14:paraId="68B21465" w14:textId="77777777" w:rsidR="00896496" w:rsidRDefault="00896496" w:rsidP="00A82CD1">
            <w:pPr>
              <w:pStyle w:val="tabletext"/>
              <w:rPr>
                <w:lang w:val="en-US" w:eastAsia="en-US"/>
              </w:rPr>
            </w:pPr>
            <w:r>
              <w:rPr>
                <w:lang w:val="en-US" w:eastAsia="en-US"/>
              </w:rPr>
              <w:t>Part 3, Division 2, section 36</w:t>
            </w:r>
          </w:p>
        </w:tc>
        <w:tc>
          <w:tcPr>
            <w:tcW w:w="2211" w:type="dxa"/>
          </w:tcPr>
          <w:p w14:paraId="12C5549D" w14:textId="77777777" w:rsidR="00896496" w:rsidRDefault="00896496" w:rsidP="00A82CD1">
            <w:pPr>
              <w:pStyle w:val="tabletext"/>
              <w:rPr>
                <w:lang w:val="en-US" w:eastAsia="en-US"/>
              </w:rPr>
            </w:pPr>
            <w:r>
              <w:rPr>
                <w:lang w:val="en-US" w:eastAsia="en-US"/>
              </w:rPr>
              <w:t>5.3</w:t>
            </w:r>
          </w:p>
        </w:tc>
      </w:tr>
      <w:tr w:rsidR="00896496" w:rsidRPr="00231CBA" w14:paraId="55B62C9E" w14:textId="77777777" w:rsidTr="003F092F">
        <w:trPr>
          <w:tblHeader/>
        </w:trPr>
        <w:tc>
          <w:tcPr>
            <w:tcW w:w="5529" w:type="dxa"/>
          </w:tcPr>
          <w:p w14:paraId="72877A5A" w14:textId="77777777" w:rsidR="00896496" w:rsidRDefault="00896496" w:rsidP="00A82CD1">
            <w:pPr>
              <w:pStyle w:val="tabletext"/>
              <w:rPr>
                <w:lang w:val="en-US" w:eastAsia="en-US"/>
              </w:rPr>
            </w:pPr>
            <w:r>
              <w:rPr>
                <w:lang w:val="en-US" w:eastAsia="en-US"/>
              </w:rPr>
              <w:t>Part 3, Division 2, section 37</w:t>
            </w:r>
          </w:p>
        </w:tc>
        <w:tc>
          <w:tcPr>
            <w:tcW w:w="2211" w:type="dxa"/>
          </w:tcPr>
          <w:p w14:paraId="526DB499" w14:textId="77777777" w:rsidR="00896496" w:rsidRDefault="00896496" w:rsidP="00A82CD1">
            <w:pPr>
              <w:pStyle w:val="tabletext"/>
              <w:rPr>
                <w:lang w:val="en-US" w:eastAsia="en-US"/>
              </w:rPr>
            </w:pPr>
            <w:r>
              <w:rPr>
                <w:lang w:val="en-US" w:eastAsia="en-US"/>
              </w:rPr>
              <w:t>5.4</w:t>
            </w:r>
          </w:p>
        </w:tc>
      </w:tr>
      <w:tr w:rsidR="00896496" w:rsidRPr="00231CBA" w14:paraId="637177F4" w14:textId="77777777" w:rsidTr="003F092F">
        <w:trPr>
          <w:tblHeader/>
        </w:trPr>
        <w:tc>
          <w:tcPr>
            <w:tcW w:w="5529" w:type="dxa"/>
          </w:tcPr>
          <w:p w14:paraId="48DA9DD6" w14:textId="77777777" w:rsidR="00896496" w:rsidRDefault="00896496" w:rsidP="00A82CD1">
            <w:pPr>
              <w:pStyle w:val="tabletext"/>
              <w:rPr>
                <w:lang w:val="en-US" w:eastAsia="en-US"/>
              </w:rPr>
            </w:pPr>
            <w:r>
              <w:rPr>
                <w:lang w:val="en-US" w:eastAsia="en-US"/>
              </w:rPr>
              <w:t>Part 3, Division 2, section 38</w:t>
            </w:r>
          </w:p>
        </w:tc>
        <w:tc>
          <w:tcPr>
            <w:tcW w:w="2211" w:type="dxa"/>
          </w:tcPr>
          <w:p w14:paraId="05E5FEED" w14:textId="77777777" w:rsidR="00896496" w:rsidRDefault="00896496" w:rsidP="00B64A6A">
            <w:pPr>
              <w:pStyle w:val="tabletext"/>
              <w:rPr>
                <w:lang w:val="en-US" w:eastAsia="en-US"/>
              </w:rPr>
            </w:pPr>
            <w:r>
              <w:rPr>
                <w:lang w:val="en-US" w:eastAsia="en-US"/>
              </w:rPr>
              <w:t>5.</w:t>
            </w:r>
            <w:r w:rsidR="00B64A6A">
              <w:rPr>
                <w:lang w:val="en-US" w:eastAsia="en-US"/>
              </w:rPr>
              <w:t>5</w:t>
            </w:r>
          </w:p>
        </w:tc>
      </w:tr>
      <w:tr w:rsidR="00896496" w:rsidRPr="00231CBA" w14:paraId="5E4D0843" w14:textId="77777777" w:rsidTr="003F092F">
        <w:trPr>
          <w:tblHeader/>
        </w:trPr>
        <w:tc>
          <w:tcPr>
            <w:tcW w:w="5529" w:type="dxa"/>
          </w:tcPr>
          <w:p w14:paraId="1313ABC7" w14:textId="77777777" w:rsidR="00896496" w:rsidRDefault="00896496" w:rsidP="00A82CD1">
            <w:pPr>
              <w:pStyle w:val="tabletext"/>
              <w:rPr>
                <w:lang w:val="en-US" w:eastAsia="en-US"/>
              </w:rPr>
            </w:pPr>
            <w:r>
              <w:rPr>
                <w:lang w:val="en-US" w:eastAsia="en-US"/>
              </w:rPr>
              <w:t>Part 3, Division 2, section 39</w:t>
            </w:r>
          </w:p>
        </w:tc>
        <w:tc>
          <w:tcPr>
            <w:tcW w:w="2211" w:type="dxa"/>
          </w:tcPr>
          <w:p w14:paraId="74B1A67D" w14:textId="77777777" w:rsidR="00896496" w:rsidRDefault="00B64A6A" w:rsidP="00A82CD1">
            <w:pPr>
              <w:pStyle w:val="tabletext"/>
              <w:rPr>
                <w:lang w:val="en-US" w:eastAsia="en-US"/>
              </w:rPr>
            </w:pPr>
            <w:r>
              <w:rPr>
                <w:lang w:val="en-US" w:eastAsia="en-US"/>
              </w:rPr>
              <w:t>5.6</w:t>
            </w:r>
          </w:p>
        </w:tc>
      </w:tr>
      <w:tr w:rsidR="00896496" w:rsidRPr="00231CBA" w14:paraId="5880D9E8" w14:textId="77777777" w:rsidTr="003F092F">
        <w:trPr>
          <w:tblHeader/>
        </w:trPr>
        <w:tc>
          <w:tcPr>
            <w:tcW w:w="5529" w:type="dxa"/>
          </w:tcPr>
          <w:p w14:paraId="4C42E01C" w14:textId="77777777" w:rsidR="00896496" w:rsidRDefault="00896496" w:rsidP="00B64A6A">
            <w:pPr>
              <w:pStyle w:val="tabletext"/>
              <w:rPr>
                <w:lang w:val="en-US" w:eastAsia="en-US"/>
              </w:rPr>
            </w:pPr>
            <w:r>
              <w:rPr>
                <w:lang w:val="en-US" w:eastAsia="en-US"/>
              </w:rPr>
              <w:t>Part 3, Division 2, section 40</w:t>
            </w:r>
          </w:p>
        </w:tc>
        <w:tc>
          <w:tcPr>
            <w:tcW w:w="2211" w:type="dxa"/>
          </w:tcPr>
          <w:p w14:paraId="3C9C6FFC" w14:textId="77777777" w:rsidR="00896496" w:rsidRDefault="00B64A6A" w:rsidP="00A82CD1">
            <w:pPr>
              <w:pStyle w:val="tabletext"/>
              <w:rPr>
                <w:lang w:val="en-US" w:eastAsia="en-US"/>
              </w:rPr>
            </w:pPr>
            <w:r>
              <w:rPr>
                <w:lang w:val="en-US" w:eastAsia="en-US"/>
              </w:rPr>
              <w:t>5.7</w:t>
            </w:r>
          </w:p>
        </w:tc>
      </w:tr>
      <w:tr w:rsidR="00896496" w:rsidRPr="00231CBA" w14:paraId="34AA48B4" w14:textId="77777777" w:rsidTr="003F092F">
        <w:trPr>
          <w:tblHeader/>
        </w:trPr>
        <w:tc>
          <w:tcPr>
            <w:tcW w:w="5529" w:type="dxa"/>
          </w:tcPr>
          <w:p w14:paraId="62347E6F" w14:textId="77777777" w:rsidR="00896496" w:rsidRDefault="00896496" w:rsidP="00A82CD1">
            <w:pPr>
              <w:pStyle w:val="tabletext"/>
              <w:rPr>
                <w:lang w:val="en-US" w:eastAsia="en-US"/>
              </w:rPr>
            </w:pPr>
            <w:r>
              <w:rPr>
                <w:lang w:val="en-US" w:eastAsia="en-US"/>
              </w:rPr>
              <w:t>Part 3, Division 2, section 41</w:t>
            </w:r>
          </w:p>
        </w:tc>
        <w:tc>
          <w:tcPr>
            <w:tcW w:w="2211" w:type="dxa"/>
          </w:tcPr>
          <w:p w14:paraId="12E34A69" w14:textId="77777777" w:rsidR="00896496" w:rsidRDefault="00896496" w:rsidP="00B64A6A">
            <w:pPr>
              <w:pStyle w:val="tabletext"/>
              <w:rPr>
                <w:lang w:val="en-US" w:eastAsia="en-US"/>
              </w:rPr>
            </w:pPr>
            <w:r>
              <w:rPr>
                <w:lang w:val="en-US" w:eastAsia="en-US"/>
              </w:rPr>
              <w:t>5.</w:t>
            </w:r>
            <w:r w:rsidR="00B64A6A">
              <w:rPr>
                <w:lang w:val="en-US" w:eastAsia="en-US"/>
              </w:rPr>
              <w:t>8</w:t>
            </w:r>
          </w:p>
        </w:tc>
      </w:tr>
      <w:tr w:rsidR="007B4A94" w:rsidRPr="00231CBA" w14:paraId="1ED8C394" w14:textId="77777777" w:rsidTr="003F092F">
        <w:trPr>
          <w:tblHeader/>
        </w:trPr>
        <w:tc>
          <w:tcPr>
            <w:tcW w:w="5529" w:type="dxa"/>
          </w:tcPr>
          <w:p w14:paraId="03B401D4" w14:textId="77777777" w:rsidR="007B4A94" w:rsidRDefault="007B4A94" w:rsidP="00631BF1">
            <w:pPr>
              <w:pStyle w:val="tabletext"/>
              <w:rPr>
                <w:lang w:val="en-US" w:eastAsia="en-US"/>
              </w:rPr>
            </w:pPr>
            <w:r>
              <w:rPr>
                <w:lang w:val="en-US" w:eastAsia="en-US"/>
              </w:rPr>
              <w:t>Part 3, Division 3, Subdivision A, subsection 42(2)</w:t>
            </w:r>
          </w:p>
        </w:tc>
        <w:tc>
          <w:tcPr>
            <w:tcW w:w="2211" w:type="dxa"/>
          </w:tcPr>
          <w:p w14:paraId="2BB6CCBA" w14:textId="77777777" w:rsidR="007B4A94" w:rsidRDefault="007B4A94" w:rsidP="00631BF1">
            <w:pPr>
              <w:pStyle w:val="tabletext"/>
              <w:rPr>
                <w:lang w:val="en-US" w:eastAsia="en-US"/>
              </w:rPr>
            </w:pPr>
            <w:r>
              <w:rPr>
                <w:lang w:val="en-US" w:eastAsia="en-US"/>
              </w:rPr>
              <w:t>5.11</w:t>
            </w:r>
          </w:p>
        </w:tc>
      </w:tr>
      <w:tr w:rsidR="00EF6180" w:rsidRPr="00231CBA" w14:paraId="17BBDE78"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7CD3CD98" w14:textId="77777777" w:rsidR="00EF6180" w:rsidRDefault="00EF6180" w:rsidP="00BD6A73">
            <w:pPr>
              <w:pStyle w:val="tabletext"/>
              <w:rPr>
                <w:lang w:val="en-US" w:eastAsia="en-US"/>
              </w:rPr>
            </w:pPr>
            <w:r>
              <w:rPr>
                <w:lang w:val="en-US" w:eastAsia="en-US"/>
              </w:rPr>
              <w:t>Part 3, Division 3, Subdivision A, paragraph 42(2)(a); Part 3, Division 3, Subdivision C, section 44</w:t>
            </w:r>
          </w:p>
        </w:tc>
        <w:tc>
          <w:tcPr>
            <w:tcW w:w="2211" w:type="dxa"/>
            <w:tcBorders>
              <w:top w:val="single" w:sz="4" w:space="0" w:color="auto"/>
              <w:left w:val="single" w:sz="4" w:space="0" w:color="auto"/>
              <w:bottom w:val="single" w:sz="4" w:space="0" w:color="auto"/>
              <w:right w:val="single" w:sz="4" w:space="0" w:color="auto"/>
            </w:tcBorders>
          </w:tcPr>
          <w:p w14:paraId="64832F56" w14:textId="77777777" w:rsidR="00EF6180" w:rsidRDefault="00EF6180" w:rsidP="00BD6A73">
            <w:pPr>
              <w:pStyle w:val="tabletext"/>
              <w:rPr>
                <w:lang w:val="en-US" w:eastAsia="en-US"/>
              </w:rPr>
            </w:pPr>
            <w:r>
              <w:rPr>
                <w:lang w:val="en-US" w:eastAsia="en-US"/>
              </w:rPr>
              <w:t>5.14</w:t>
            </w:r>
          </w:p>
        </w:tc>
      </w:tr>
      <w:tr w:rsidR="00896496" w:rsidRPr="00231CBA" w14:paraId="7DF3DAF0" w14:textId="77777777" w:rsidTr="003F092F">
        <w:trPr>
          <w:tblHeader/>
        </w:trPr>
        <w:tc>
          <w:tcPr>
            <w:tcW w:w="5529" w:type="dxa"/>
          </w:tcPr>
          <w:p w14:paraId="1D526E79" w14:textId="77777777" w:rsidR="00896496" w:rsidRDefault="00896496" w:rsidP="00A82CD1">
            <w:pPr>
              <w:pStyle w:val="tabletext"/>
              <w:rPr>
                <w:lang w:val="en-US" w:eastAsia="en-US"/>
              </w:rPr>
            </w:pPr>
            <w:r>
              <w:rPr>
                <w:lang w:val="en-US" w:eastAsia="en-US"/>
              </w:rPr>
              <w:t>Part 3, Division 3, Subdivision A, subsection 42(3)</w:t>
            </w:r>
          </w:p>
        </w:tc>
        <w:tc>
          <w:tcPr>
            <w:tcW w:w="2211" w:type="dxa"/>
          </w:tcPr>
          <w:p w14:paraId="7E64D95E" w14:textId="77777777" w:rsidR="00896496" w:rsidRDefault="00896496" w:rsidP="00B64A6A">
            <w:pPr>
              <w:pStyle w:val="tabletext"/>
              <w:rPr>
                <w:lang w:val="en-US" w:eastAsia="en-US"/>
              </w:rPr>
            </w:pPr>
            <w:r>
              <w:rPr>
                <w:lang w:val="en-US" w:eastAsia="en-US"/>
              </w:rPr>
              <w:t>5.1</w:t>
            </w:r>
            <w:r w:rsidR="00B64A6A">
              <w:rPr>
                <w:lang w:val="en-US" w:eastAsia="en-US"/>
              </w:rPr>
              <w:t>1</w:t>
            </w:r>
          </w:p>
        </w:tc>
      </w:tr>
      <w:tr w:rsidR="00896496" w:rsidRPr="00231CBA" w14:paraId="3CB767D3" w14:textId="77777777" w:rsidTr="003F092F">
        <w:trPr>
          <w:tblHeader/>
        </w:trPr>
        <w:tc>
          <w:tcPr>
            <w:tcW w:w="5529" w:type="dxa"/>
          </w:tcPr>
          <w:p w14:paraId="0F2329B1" w14:textId="77777777" w:rsidR="00896496" w:rsidRDefault="00896496" w:rsidP="00A82CD1">
            <w:pPr>
              <w:pStyle w:val="tabletext"/>
              <w:rPr>
                <w:lang w:val="en-US" w:eastAsia="en-US"/>
              </w:rPr>
            </w:pPr>
            <w:r>
              <w:rPr>
                <w:lang w:val="en-US" w:eastAsia="en-US"/>
              </w:rPr>
              <w:t>Part 3, Division 3, Subdivision A, subsection 42(4)</w:t>
            </w:r>
          </w:p>
        </w:tc>
        <w:tc>
          <w:tcPr>
            <w:tcW w:w="2211" w:type="dxa"/>
          </w:tcPr>
          <w:p w14:paraId="5303328F" w14:textId="77777777" w:rsidR="00896496" w:rsidRDefault="00B64A6A" w:rsidP="00A82CD1">
            <w:pPr>
              <w:pStyle w:val="tabletext"/>
              <w:rPr>
                <w:lang w:val="en-US" w:eastAsia="en-US"/>
              </w:rPr>
            </w:pPr>
            <w:r>
              <w:rPr>
                <w:lang w:val="en-US" w:eastAsia="en-US"/>
              </w:rPr>
              <w:t>5.11</w:t>
            </w:r>
          </w:p>
        </w:tc>
      </w:tr>
      <w:tr w:rsidR="00896496" w:rsidRPr="00231CBA" w14:paraId="61809993" w14:textId="77777777" w:rsidTr="003F092F">
        <w:trPr>
          <w:tblHeader/>
        </w:trPr>
        <w:tc>
          <w:tcPr>
            <w:tcW w:w="5529" w:type="dxa"/>
          </w:tcPr>
          <w:p w14:paraId="6316D541" w14:textId="77777777" w:rsidR="00896496" w:rsidRDefault="00896496" w:rsidP="00A82CD1">
            <w:pPr>
              <w:pStyle w:val="tabletext"/>
              <w:rPr>
                <w:lang w:val="en-US" w:eastAsia="en-US"/>
              </w:rPr>
            </w:pPr>
            <w:r>
              <w:rPr>
                <w:lang w:val="en-US" w:eastAsia="en-US"/>
              </w:rPr>
              <w:t>Part 3, Division 3, Subdivision A, subsection 42(5)</w:t>
            </w:r>
          </w:p>
        </w:tc>
        <w:tc>
          <w:tcPr>
            <w:tcW w:w="2211" w:type="dxa"/>
          </w:tcPr>
          <w:p w14:paraId="7E000304" w14:textId="77777777" w:rsidR="00896496" w:rsidRDefault="00B64A6A" w:rsidP="00A82CD1">
            <w:pPr>
              <w:pStyle w:val="tabletext"/>
              <w:rPr>
                <w:lang w:val="en-US" w:eastAsia="en-US"/>
              </w:rPr>
            </w:pPr>
            <w:r>
              <w:rPr>
                <w:lang w:val="en-US" w:eastAsia="en-US"/>
              </w:rPr>
              <w:t>5.12</w:t>
            </w:r>
          </w:p>
        </w:tc>
      </w:tr>
      <w:tr w:rsidR="00896496" w:rsidRPr="00231CBA" w14:paraId="38A1DA52" w14:textId="77777777" w:rsidTr="003F092F">
        <w:trPr>
          <w:tblHeader/>
        </w:trPr>
        <w:tc>
          <w:tcPr>
            <w:tcW w:w="5529" w:type="dxa"/>
          </w:tcPr>
          <w:p w14:paraId="1D90969D" w14:textId="77777777" w:rsidR="00896496" w:rsidRDefault="00896496" w:rsidP="00A82CD1">
            <w:pPr>
              <w:pStyle w:val="tabletext"/>
              <w:rPr>
                <w:lang w:val="en-US" w:eastAsia="en-US"/>
              </w:rPr>
            </w:pPr>
            <w:r>
              <w:rPr>
                <w:lang w:val="en-US" w:eastAsia="en-US"/>
              </w:rPr>
              <w:t>Part 3, Division 3, Subdivision B, section 43</w:t>
            </w:r>
          </w:p>
        </w:tc>
        <w:tc>
          <w:tcPr>
            <w:tcW w:w="2211" w:type="dxa"/>
          </w:tcPr>
          <w:p w14:paraId="4EEEC253" w14:textId="77777777" w:rsidR="00896496" w:rsidRDefault="00B64A6A" w:rsidP="00A82CD1">
            <w:pPr>
              <w:pStyle w:val="tabletext"/>
              <w:rPr>
                <w:lang w:val="en-US" w:eastAsia="en-US"/>
              </w:rPr>
            </w:pPr>
            <w:r>
              <w:rPr>
                <w:lang w:val="en-US" w:eastAsia="en-US"/>
              </w:rPr>
              <w:t>5.13</w:t>
            </w:r>
          </w:p>
        </w:tc>
      </w:tr>
      <w:tr w:rsidR="00896496" w:rsidRPr="00231CBA" w14:paraId="1BA3DBFD" w14:textId="77777777" w:rsidTr="003F092F">
        <w:trPr>
          <w:tblHeader/>
        </w:trPr>
        <w:tc>
          <w:tcPr>
            <w:tcW w:w="5529" w:type="dxa"/>
          </w:tcPr>
          <w:p w14:paraId="34415268" w14:textId="77777777" w:rsidR="00896496" w:rsidRDefault="00896496" w:rsidP="00A82CD1">
            <w:pPr>
              <w:pStyle w:val="tabletext"/>
              <w:rPr>
                <w:lang w:val="en-US" w:eastAsia="en-US"/>
              </w:rPr>
            </w:pPr>
            <w:r>
              <w:rPr>
                <w:lang w:val="en-US" w:eastAsia="en-US"/>
              </w:rPr>
              <w:t>Part 3, Division 3, Subdivision C, section 45</w:t>
            </w:r>
          </w:p>
        </w:tc>
        <w:tc>
          <w:tcPr>
            <w:tcW w:w="2211" w:type="dxa"/>
          </w:tcPr>
          <w:p w14:paraId="490338B9" w14:textId="77777777" w:rsidR="00896496" w:rsidRDefault="00B64A6A" w:rsidP="00A82CD1">
            <w:pPr>
              <w:pStyle w:val="tabletext"/>
              <w:rPr>
                <w:lang w:val="en-US" w:eastAsia="en-US"/>
              </w:rPr>
            </w:pPr>
            <w:r>
              <w:rPr>
                <w:lang w:val="en-US" w:eastAsia="en-US"/>
              </w:rPr>
              <w:t>5.13</w:t>
            </w:r>
          </w:p>
        </w:tc>
      </w:tr>
      <w:tr w:rsidR="00896496" w:rsidRPr="00231CBA" w14:paraId="23FB3A15" w14:textId="77777777" w:rsidTr="003F092F">
        <w:trPr>
          <w:tblHeader/>
        </w:trPr>
        <w:tc>
          <w:tcPr>
            <w:tcW w:w="5529" w:type="dxa"/>
          </w:tcPr>
          <w:p w14:paraId="783B3706" w14:textId="77777777" w:rsidR="00896496" w:rsidRDefault="00896496" w:rsidP="00A82CD1">
            <w:pPr>
              <w:pStyle w:val="tabletext"/>
              <w:rPr>
                <w:lang w:val="en-US" w:eastAsia="en-US"/>
              </w:rPr>
            </w:pPr>
            <w:r>
              <w:rPr>
                <w:lang w:val="en-US" w:eastAsia="en-US"/>
              </w:rPr>
              <w:t>Part 3, Division 3, Subdivision C, section 46</w:t>
            </w:r>
          </w:p>
        </w:tc>
        <w:tc>
          <w:tcPr>
            <w:tcW w:w="2211" w:type="dxa"/>
          </w:tcPr>
          <w:p w14:paraId="12BAD147" w14:textId="77777777" w:rsidR="00896496" w:rsidRDefault="00896496" w:rsidP="00134E4C">
            <w:pPr>
              <w:pStyle w:val="tabletext"/>
              <w:rPr>
                <w:lang w:val="en-US" w:eastAsia="en-US"/>
              </w:rPr>
            </w:pPr>
            <w:r>
              <w:rPr>
                <w:lang w:val="en-US" w:eastAsia="en-US"/>
              </w:rPr>
              <w:t>5.1</w:t>
            </w:r>
            <w:r w:rsidR="00134E4C">
              <w:rPr>
                <w:lang w:val="en-US" w:eastAsia="en-US"/>
              </w:rPr>
              <w:t>5</w:t>
            </w:r>
          </w:p>
        </w:tc>
      </w:tr>
      <w:tr w:rsidR="00896496" w:rsidRPr="00231CBA" w14:paraId="17BFDD73" w14:textId="77777777" w:rsidTr="003F092F">
        <w:trPr>
          <w:tblHeader/>
        </w:trPr>
        <w:tc>
          <w:tcPr>
            <w:tcW w:w="5529" w:type="dxa"/>
          </w:tcPr>
          <w:p w14:paraId="77EFEE53" w14:textId="77777777" w:rsidR="00896496" w:rsidRDefault="00896496" w:rsidP="00A82CD1">
            <w:pPr>
              <w:pStyle w:val="tabletext"/>
              <w:rPr>
                <w:lang w:val="en-US" w:eastAsia="en-US"/>
              </w:rPr>
            </w:pPr>
            <w:r>
              <w:rPr>
                <w:lang w:val="en-US" w:eastAsia="en-US"/>
              </w:rPr>
              <w:t>Part 3, Division 3, section 47</w:t>
            </w:r>
          </w:p>
        </w:tc>
        <w:tc>
          <w:tcPr>
            <w:tcW w:w="2211" w:type="dxa"/>
          </w:tcPr>
          <w:p w14:paraId="4A96D6EB" w14:textId="77777777" w:rsidR="00896496" w:rsidRDefault="00134E4C" w:rsidP="00A82CD1">
            <w:pPr>
              <w:pStyle w:val="tabletext"/>
              <w:rPr>
                <w:lang w:val="en-US" w:eastAsia="en-US"/>
              </w:rPr>
            </w:pPr>
            <w:r>
              <w:rPr>
                <w:lang w:val="en-US" w:eastAsia="en-US"/>
              </w:rPr>
              <w:t>5.16</w:t>
            </w:r>
          </w:p>
        </w:tc>
      </w:tr>
      <w:tr w:rsidR="00896496" w:rsidRPr="00231CBA" w14:paraId="6AF3FE2E" w14:textId="77777777" w:rsidTr="003F092F">
        <w:trPr>
          <w:tblHeader/>
        </w:trPr>
        <w:tc>
          <w:tcPr>
            <w:tcW w:w="5529" w:type="dxa"/>
          </w:tcPr>
          <w:p w14:paraId="369F43B8" w14:textId="77777777" w:rsidR="00896496" w:rsidRDefault="00896496" w:rsidP="00A82CD1">
            <w:pPr>
              <w:pStyle w:val="tabletext"/>
              <w:rPr>
                <w:lang w:val="en-US" w:eastAsia="en-US"/>
              </w:rPr>
            </w:pPr>
            <w:r>
              <w:rPr>
                <w:lang w:val="en-US" w:eastAsia="en-US"/>
              </w:rPr>
              <w:t>Part 3, Division 3, Subdivision C, section 48</w:t>
            </w:r>
          </w:p>
        </w:tc>
        <w:tc>
          <w:tcPr>
            <w:tcW w:w="2211" w:type="dxa"/>
          </w:tcPr>
          <w:p w14:paraId="16F5B380" w14:textId="77777777" w:rsidR="00896496" w:rsidRDefault="00134E4C" w:rsidP="00A82CD1">
            <w:pPr>
              <w:pStyle w:val="tabletext"/>
              <w:rPr>
                <w:lang w:val="en-US" w:eastAsia="en-US"/>
              </w:rPr>
            </w:pPr>
            <w:r>
              <w:rPr>
                <w:lang w:val="en-US" w:eastAsia="en-US"/>
              </w:rPr>
              <w:t>5.17</w:t>
            </w:r>
          </w:p>
        </w:tc>
      </w:tr>
      <w:tr w:rsidR="00896496" w:rsidRPr="00231CBA" w14:paraId="5E61A1BC" w14:textId="77777777" w:rsidTr="003F092F">
        <w:trPr>
          <w:tblHeader/>
        </w:trPr>
        <w:tc>
          <w:tcPr>
            <w:tcW w:w="5529" w:type="dxa"/>
          </w:tcPr>
          <w:p w14:paraId="2D6B0BE5" w14:textId="77777777" w:rsidR="00896496" w:rsidRDefault="00896496" w:rsidP="00134E4C">
            <w:pPr>
              <w:pStyle w:val="tabletext"/>
              <w:rPr>
                <w:lang w:val="en-US" w:eastAsia="en-US"/>
              </w:rPr>
            </w:pPr>
            <w:r>
              <w:rPr>
                <w:lang w:val="en-US" w:eastAsia="en-US"/>
              </w:rPr>
              <w:t>Part 3, Division 3, section 50</w:t>
            </w:r>
          </w:p>
        </w:tc>
        <w:tc>
          <w:tcPr>
            <w:tcW w:w="2211" w:type="dxa"/>
          </w:tcPr>
          <w:p w14:paraId="7EB41A4B" w14:textId="77777777" w:rsidR="00896496" w:rsidRDefault="00134E4C" w:rsidP="00A82CD1">
            <w:pPr>
              <w:pStyle w:val="tabletext"/>
              <w:rPr>
                <w:lang w:val="en-US" w:eastAsia="en-US"/>
              </w:rPr>
            </w:pPr>
            <w:r>
              <w:rPr>
                <w:lang w:val="en-US" w:eastAsia="en-US"/>
              </w:rPr>
              <w:t>5.19</w:t>
            </w:r>
          </w:p>
        </w:tc>
      </w:tr>
      <w:tr w:rsidR="00896496" w:rsidRPr="00231CBA" w14:paraId="23632BBE" w14:textId="77777777" w:rsidTr="003F092F">
        <w:trPr>
          <w:tblHeader/>
        </w:trPr>
        <w:tc>
          <w:tcPr>
            <w:tcW w:w="5529" w:type="dxa"/>
          </w:tcPr>
          <w:p w14:paraId="6286981D" w14:textId="77777777" w:rsidR="00896496" w:rsidRDefault="00896496" w:rsidP="00A82CD1">
            <w:pPr>
              <w:pStyle w:val="tabletext"/>
              <w:rPr>
                <w:lang w:val="en-US" w:eastAsia="en-US"/>
              </w:rPr>
            </w:pPr>
            <w:r>
              <w:rPr>
                <w:lang w:val="en-US" w:eastAsia="en-US"/>
              </w:rPr>
              <w:t>Part 3, Division 3, Subdivision C, section 51</w:t>
            </w:r>
          </w:p>
        </w:tc>
        <w:tc>
          <w:tcPr>
            <w:tcW w:w="2211" w:type="dxa"/>
          </w:tcPr>
          <w:p w14:paraId="6086832C" w14:textId="77777777" w:rsidR="00896496" w:rsidRDefault="00896496" w:rsidP="00134E4C">
            <w:pPr>
              <w:pStyle w:val="tabletext"/>
              <w:rPr>
                <w:lang w:val="en-US" w:eastAsia="en-US"/>
              </w:rPr>
            </w:pPr>
            <w:r>
              <w:rPr>
                <w:lang w:val="en-US" w:eastAsia="en-US"/>
              </w:rPr>
              <w:t>5.2</w:t>
            </w:r>
            <w:r w:rsidR="00134E4C">
              <w:rPr>
                <w:lang w:val="en-US" w:eastAsia="en-US"/>
              </w:rPr>
              <w:t>0</w:t>
            </w:r>
          </w:p>
        </w:tc>
      </w:tr>
      <w:tr w:rsidR="00896496" w:rsidRPr="00231CBA" w14:paraId="10D43E37" w14:textId="77777777" w:rsidTr="003F092F">
        <w:trPr>
          <w:tblHeader/>
        </w:trPr>
        <w:tc>
          <w:tcPr>
            <w:tcW w:w="5529" w:type="dxa"/>
          </w:tcPr>
          <w:p w14:paraId="2E91DC0F" w14:textId="77777777" w:rsidR="00896496" w:rsidRDefault="00896496" w:rsidP="00A82CD1">
            <w:pPr>
              <w:pStyle w:val="tabletext"/>
              <w:rPr>
                <w:lang w:val="en-US" w:eastAsia="en-US"/>
              </w:rPr>
            </w:pPr>
            <w:r>
              <w:rPr>
                <w:lang w:val="en-US" w:eastAsia="en-US"/>
              </w:rPr>
              <w:t>Part 3, Division 3, Subdivision C, section 52</w:t>
            </w:r>
          </w:p>
        </w:tc>
        <w:tc>
          <w:tcPr>
            <w:tcW w:w="2211" w:type="dxa"/>
          </w:tcPr>
          <w:p w14:paraId="2CB40298" w14:textId="77777777" w:rsidR="00896496" w:rsidRDefault="00896496" w:rsidP="00134E4C">
            <w:pPr>
              <w:pStyle w:val="tabletext"/>
              <w:rPr>
                <w:lang w:val="en-US" w:eastAsia="en-US"/>
              </w:rPr>
            </w:pPr>
            <w:r>
              <w:rPr>
                <w:lang w:val="en-US" w:eastAsia="en-US"/>
              </w:rPr>
              <w:t>5.2</w:t>
            </w:r>
            <w:r w:rsidR="00134E4C">
              <w:rPr>
                <w:lang w:val="en-US" w:eastAsia="en-US"/>
              </w:rPr>
              <w:t>1</w:t>
            </w:r>
          </w:p>
        </w:tc>
      </w:tr>
      <w:tr w:rsidR="00896496" w:rsidRPr="00231CBA" w14:paraId="5D0F1CD4" w14:textId="77777777" w:rsidTr="003F092F">
        <w:trPr>
          <w:tblHeader/>
        </w:trPr>
        <w:tc>
          <w:tcPr>
            <w:tcW w:w="5529" w:type="dxa"/>
          </w:tcPr>
          <w:p w14:paraId="396371EA" w14:textId="77777777" w:rsidR="00896496" w:rsidRDefault="00896496" w:rsidP="00A82CD1">
            <w:pPr>
              <w:pStyle w:val="tabletext"/>
              <w:rPr>
                <w:lang w:val="en-US" w:eastAsia="en-US"/>
              </w:rPr>
            </w:pPr>
            <w:r>
              <w:rPr>
                <w:lang w:val="en-US" w:eastAsia="en-US"/>
              </w:rPr>
              <w:t>Part 3 Division 3 Subdivision C</w:t>
            </w:r>
            <w:r w:rsidR="007B4A94">
              <w:rPr>
                <w:lang w:val="en-US" w:eastAsia="en-US"/>
              </w:rPr>
              <w:t>,</w:t>
            </w:r>
            <w:r>
              <w:rPr>
                <w:lang w:val="en-US" w:eastAsia="en-US"/>
              </w:rPr>
              <w:t> subsections 53(1) and (3)</w:t>
            </w:r>
          </w:p>
        </w:tc>
        <w:tc>
          <w:tcPr>
            <w:tcW w:w="2211" w:type="dxa"/>
          </w:tcPr>
          <w:p w14:paraId="3715DEBF" w14:textId="77777777" w:rsidR="00896496" w:rsidRDefault="00896496" w:rsidP="00134E4C">
            <w:pPr>
              <w:pStyle w:val="tabletext"/>
              <w:rPr>
                <w:lang w:val="en-US" w:eastAsia="en-US"/>
              </w:rPr>
            </w:pPr>
            <w:r>
              <w:rPr>
                <w:lang w:val="en-US" w:eastAsia="en-US"/>
              </w:rPr>
              <w:t>5.2</w:t>
            </w:r>
            <w:r w:rsidR="00134E4C">
              <w:rPr>
                <w:lang w:val="en-US" w:eastAsia="en-US"/>
              </w:rPr>
              <w:t>2</w:t>
            </w:r>
          </w:p>
        </w:tc>
      </w:tr>
      <w:tr w:rsidR="00896496" w:rsidRPr="00231CBA" w14:paraId="03222140" w14:textId="77777777" w:rsidTr="003F092F">
        <w:trPr>
          <w:tblHeader/>
        </w:trPr>
        <w:tc>
          <w:tcPr>
            <w:tcW w:w="5529" w:type="dxa"/>
          </w:tcPr>
          <w:p w14:paraId="27D1C9E2" w14:textId="77777777" w:rsidR="00896496" w:rsidRDefault="00896496" w:rsidP="00A82CD1">
            <w:pPr>
              <w:pStyle w:val="tabletext"/>
              <w:rPr>
                <w:lang w:val="en-US" w:eastAsia="en-US"/>
              </w:rPr>
            </w:pPr>
            <w:r>
              <w:rPr>
                <w:lang w:val="en-US" w:eastAsia="en-US"/>
              </w:rPr>
              <w:t>Part 3, Division 3, Subdivision C, subsection 53(2)</w:t>
            </w:r>
          </w:p>
        </w:tc>
        <w:tc>
          <w:tcPr>
            <w:tcW w:w="2211" w:type="dxa"/>
          </w:tcPr>
          <w:p w14:paraId="363AA6EA" w14:textId="77777777" w:rsidR="00896496" w:rsidRDefault="00134E4C" w:rsidP="00A82CD1">
            <w:pPr>
              <w:pStyle w:val="tabletext"/>
              <w:rPr>
                <w:lang w:val="en-US" w:eastAsia="en-US"/>
              </w:rPr>
            </w:pPr>
            <w:r>
              <w:rPr>
                <w:lang w:val="en-US" w:eastAsia="en-US"/>
              </w:rPr>
              <w:t>5.22</w:t>
            </w:r>
          </w:p>
        </w:tc>
      </w:tr>
      <w:tr w:rsidR="00896496" w:rsidRPr="00231CBA" w14:paraId="1A3646F9" w14:textId="77777777" w:rsidTr="003F092F">
        <w:trPr>
          <w:tblHeader/>
        </w:trPr>
        <w:tc>
          <w:tcPr>
            <w:tcW w:w="5529" w:type="dxa"/>
          </w:tcPr>
          <w:p w14:paraId="4F62373E" w14:textId="77777777" w:rsidR="00896496" w:rsidRDefault="00896496" w:rsidP="00A82CD1">
            <w:pPr>
              <w:pStyle w:val="tabletext"/>
              <w:rPr>
                <w:lang w:val="en-US" w:eastAsia="en-US"/>
              </w:rPr>
            </w:pPr>
            <w:r>
              <w:rPr>
                <w:lang w:val="en-US" w:eastAsia="en-US"/>
              </w:rPr>
              <w:t>Part 3, Division 3, Subdivision C, section 54</w:t>
            </w:r>
          </w:p>
        </w:tc>
        <w:tc>
          <w:tcPr>
            <w:tcW w:w="2211" w:type="dxa"/>
          </w:tcPr>
          <w:p w14:paraId="05EE18B3" w14:textId="77777777" w:rsidR="00896496" w:rsidRDefault="00134E4C" w:rsidP="00A82CD1">
            <w:pPr>
              <w:pStyle w:val="tabletext"/>
              <w:rPr>
                <w:lang w:val="en-US" w:eastAsia="en-US"/>
              </w:rPr>
            </w:pPr>
            <w:r>
              <w:rPr>
                <w:lang w:val="en-US" w:eastAsia="en-US"/>
              </w:rPr>
              <w:t>5.23</w:t>
            </w:r>
          </w:p>
        </w:tc>
      </w:tr>
      <w:tr w:rsidR="00896496" w:rsidRPr="00231CBA" w14:paraId="3F13A308" w14:textId="77777777" w:rsidTr="003F092F">
        <w:trPr>
          <w:tblHeader/>
        </w:trPr>
        <w:tc>
          <w:tcPr>
            <w:tcW w:w="5529" w:type="dxa"/>
          </w:tcPr>
          <w:p w14:paraId="2F4D7DEC" w14:textId="77777777" w:rsidR="00896496" w:rsidRDefault="00896496" w:rsidP="00A82CD1">
            <w:pPr>
              <w:pStyle w:val="tabletext"/>
              <w:rPr>
                <w:lang w:val="en-US" w:eastAsia="en-US"/>
              </w:rPr>
            </w:pPr>
            <w:r>
              <w:rPr>
                <w:lang w:val="en-US" w:eastAsia="en-US"/>
              </w:rPr>
              <w:t>Part 3, Division 3, Subdivision D, section 55</w:t>
            </w:r>
          </w:p>
        </w:tc>
        <w:tc>
          <w:tcPr>
            <w:tcW w:w="2211" w:type="dxa"/>
          </w:tcPr>
          <w:p w14:paraId="4AE49ACE" w14:textId="77777777" w:rsidR="00896496" w:rsidRDefault="00134E4C" w:rsidP="00A82CD1">
            <w:pPr>
              <w:pStyle w:val="tabletext"/>
              <w:rPr>
                <w:lang w:val="en-US" w:eastAsia="en-US"/>
              </w:rPr>
            </w:pPr>
            <w:r>
              <w:rPr>
                <w:lang w:val="en-US" w:eastAsia="en-US"/>
              </w:rPr>
              <w:t>5.24</w:t>
            </w:r>
          </w:p>
        </w:tc>
      </w:tr>
      <w:tr w:rsidR="0064243A" w:rsidRPr="00231CBA" w14:paraId="6715C45F" w14:textId="77777777" w:rsidTr="003F092F">
        <w:trPr>
          <w:tblHeader/>
        </w:trPr>
        <w:tc>
          <w:tcPr>
            <w:tcW w:w="5529" w:type="dxa"/>
          </w:tcPr>
          <w:p w14:paraId="6F624DB5" w14:textId="77777777" w:rsidR="0064243A" w:rsidRDefault="0064243A" w:rsidP="00631BF1">
            <w:pPr>
              <w:pStyle w:val="tabletext"/>
              <w:rPr>
                <w:lang w:val="en-US" w:eastAsia="en-US"/>
              </w:rPr>
            </w:pPr>
            <w:r>
              <w:rPr>
                <w:lang w:val="en-US" w:eastAsia="en-US"/>
              </w:rPr>
              <w:t>Part 3, Division 3, Subdivision D, subsection 56(2)</w:t>
            </w:r>
          </w:p>
        </w:tc>
        <w:tc>
          <w:tcPr>
            <w:tcW w:w="2211" w:type="dxa"/>
          </w:tcPr>
          <w:p w14:paraId="294C16DC" w14:textId="77777777" w:rsidR="0064243A" w:rsidRDefault="0064243A" w:rsidP="00631BF1">
            <w:pPr>
              <w:pStyle w:val="tabletext"/>
              <w:rPr>
                <w:lang w:val="en-US" w:eastAsia="en-US"/>
              </w:rPr>
            </w:pPr>
            <w:r>
              <w:rPr>
                <w:lang w:val="en-US" w:eastAsia="en-US"/>
              </w:rPr>
              <w:t>5.25</w:t>
            </w:r>
          </w:p>
        </w:tc>
      </w:tr>
      <w:tr w:rsidR="009D61D2" w:rsidRPr="00231CBA" w14:paraId="50540396" w14:textId="77777777" w:rsidTr="003F092F">
        <w:trPr>
          <w:tblHeader/>
        </w:trPr>
        <w:tc>
          <w:tcPr>
            <w:tcW w:w="5529" w:type="dxa"/>
          </w:tcPr>
          <w:p w14:paraId="491B512B" w14:textId="77777777" w:rsidR="009D61D2" w:rsidRDefault="009D61D2" w:rsidP="00BD6A73">
            <w:pPr>
              <w:pStyle w:val="tabletext"/>
              <w:rPr>
                <w:lang w:val="en-US" w:eastAsia="en-US"/>
              </w:rPr>
            </w:pPr>
            <w:r>
              <w:rPr>
                <w:lang w:val="en-US" w:eastAsia="en-US"/>
              </w:rPr>
              <w:t>Part 3, Division 3, Subdivision D, subsection 56(3)</w:t>
            </w:r>
          </w:p>
        </w:tc>
        <w:tc>
          <w:tcPr>
            <w:tcW w:w="2211" w:type="dxa"/>
          </w:tcPr>
          <w:p w14:paraId="3805C499" w14:textId="77777777" w:rsidR="009D61D2" w:rsidRDefault="009D61D2" w:rsidP="00BD6A73">
            <w:pPr>
              <w:pStyle w:val="tabletext"/>
              <w:rPr>
                <w:lang w:val="en-US" w:eastAsia="en-US"/>
              </w:rPr>
            </w:pPr>
            <w:r>
              <w:rPr>
                <w:lang w:val="en-US" w:eastAsia="en-US"/>
              </w:rPr>
              <w:t>5.26</w:t>
            </w:r>
          </w:p>
        </w:tc>
      </w:tr>
      <w:tr w:rsidR="00896496" w:rsidRPr="00231CBA" w14:paraId="35BFAAD0" w14:textId="77777777" w:rsidTr="003F092F">
        <w:trPr>
          <w:tblHeader/>
        </w:trPr>
        <w:tc>
          <w:tcPr>
            <w:tcW w:w="5529" w:type="dxa"/>
          </w:tcPr>
          <w:p w14:paraId="421A81CF" w14:textId="77777777" w:rsidR="00896496" w:rsidRDefault="00896496" w:rsidP="00A82CD1">
            <w:pPr>
              <w:pStyle w:val="tabletext"/>
              <w:rPr>
                <w:lang w:val="en-US" w:eastAsia="en-US"/>
              </w:rPr>
            </w:pPr>
            <w:r>
              <w:rPr>
                <w:lang w:val="en-US" w:eastAsia="en-US"/>
              </w:rPr>
              <w:t>Part 3, Division 3, Subdivision D, paragraphs 56(2)(a) to (b)</w:t>
            </w:r>
          </w:p>
        </w:tc>
        <w:tc>
          <w:tcPr>
            <w:tcW w:w="2211" w:type="dxa"/>
          </w:tcPr>
          <w:p w14:paraId="0DF2C6C2" w14:textId="77777777" w:rsidR="00896496" w:rsidRDefault="00134E4C" w:rsidP="00A82CD1">
            <w:pPr>
              <w:pStyle w:val="tabletext"/>
              <w:rPr>
                <w:lang w:val="en-US" w:eastAsia="en-US"/>
              </w:rPr>
            </w:pPr>
            <w:r>
              <w:rPr>
                <w:lang w:val="en-US" w:eastAsia="en-US"/>
              </w:rPr>
              <w:t>5.25</w:t>
            </w:r>
          </w:p>
        </w:tc>
      </w:tr>
      <w:tr w:rsidR="00896496" w:rsidRPr="00231CBA" w14:paraId="574026A1" w14:textId="77777777" w:rsidTr="003F092F">
        <w:trPr>
          <w:tblHeader/>
        </w:trPr>
        <w:tc>
          <w:tcPr>
            <w:tcW w:w="5529" w:type="dxa"/>
          </w:tcPr>
          <w:p w14:paraId="1508B918" w14:textId="77777777" w:rsidR="00896496" w:rsidRDefault="00896496" w:rsidP="00A82CD1">
            <w:pPr>
              <w:pStyle w:val="tabletext"/>
              <w:rPr>
                <w:lang w:val="en-US" w:eastAsia="en-US"/>
              </w:rPr>
            </w:pPr>
            <w:r>
              <w:rPr>
                <w:lang w:val="en-US" w:eastAsia="en-US"/>
              </w:rPr>
              <w:t>Part 3, Division 3, Subdivision D ,subsection 56(4)</w:t>
            </w:r>
          </w:p>
        </w:tc>
        <w:tc>
          <w:tcPr>
            <w:tcW w:w="2211" w:type="dxa"/>
          </w:tcPr>
          <w:p w14:paraId="0AB184CB" w14:textId="77777777" w:rsidR="00896496" w:rsidRDefault="00896496" w:rsidP="0064243A">
            <w:pPr>
              <w:pStyle w:val="tabletext"/>
              <w:rPr>
                <w:lang w:val="en-US" w:eastAsia="en-US"/>
              </w:rPr>
            </w:pPr>
            <w:r>
              <w:rPr>
                <w:lang w:val="en-US" w:eastAsia="en-US"/>
              </w:rPr>
              <w:t>5.2</w:t>
            </w:r>
            <w:r w:rsidR="0064243A">
              <w:rPr>
                <w:lang w:val="en-US" w:eastAsia="en-US"/>
              </w:rPr>
              <w:t>6</w:t>
            </w:r>
          </w:p>
        </w:tc>
      </w:tr>
      <w:tr w:rsidR="009B2F4D" w:rsidRPr="00442FB9" w14:paraId="73A2483A"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5316C1E2" w14:textId="77777777" w:rsidR="009B2F4D" w:rsidRPr="009B2F4D" w:rsidRDefault="009B2F4D" w:rsidP="00570D5A">
            <w:pPr>
              <w:pStyle w:val="tableheaderwithintable"/>
              <w:rPr>
                <w:lang w:val="en-US" w:eastAsia="en-US"/>
              </w:rPr>
            </w:pPr>
            <w:r w:rsidRPr="009B2F4D">
              <w:rPr>
                <w:lang w:val="en-US" w:eastAsia="en-US"/>
              </w:rPr>
              <w:t>Bill reference</w:t>
            </w:r>
          </w:p>
        </w:tc>
        <w:tc>
          <w:tcPr>
            <w:tcW w:w="2211" w:type="dxa"/>
            <w:tcBorders>
              <w:top w:val="single" w:sz="4" w:space="0" w:color="auto"/>
              <w:left w:val="single" w:sz="4" w:space="0" w:color="auto"/>
              <w:bottom w:val="single" w:sz="4" w:space="0" w:color="auto"/>
              <w:right w:val="single" w:sz="4" w:space="0" w:color="auto"/>
            </w:tcBorders>
          </w:tcPr>
          <w:p w14:paraId="2B18DB50" w14:textId="77777777" w:rsidR="009B2F4D" w:rsidRPr="009B2F4D" w:rsidRDefault="009B2F4D" w:rsidP="00570D5A">
            <w:pPr>
              <w:pStyle w:val="tableheaderwithintable"/>
              <w:rPr>
                <w:lang w:val="en-US" w:eastAsia="en-US"/>
              </w:rPr>
            </w:pPr>
            <w:r w:rsidRPr="009B2F4D">
              <w:rPr>
                <w:lang w:val="en-US" w:eastAsia="en-US"/>
              </w:rPr>
              <w:t>Paragraph number</w:t>
            </w:r>
          </w:p>
        </w:tc>
      </w:tr>
      <w:tr w:rsidR="009D61D2" w:rsidRPr="00231CBA" w14:paraId="2F4EA0D1" w14:textId="77777777" w:rsidTr="003F092F">
        <w:trPr>
          <w:tblHeader/>
        </w:trPr>
        <w:tc>
          <w:tcPr>
            <w:tcW w:w="5529" w:type="dxa"/>
          </w:tcPr>
          <w:p w14:paraId="33B9D3CE" w14:textId="77777777" w:rsidR="009D61D2" w:rsidRDefault="009D61D2" w:rsidP="00BD6A73">
            <w:pPr>
              <w:pStyle w:val="tabletext"/>
              <w:rPr>
                <w:lang w:val="en-US" w:eastAsia="en-US"/>
              </w:rPr>
            </w:pPr>
            <w:r>
              <w:rPr>
                <w:lang w:val="en-US" w:eastAsia="en-US"/>
              </w:rPr>
              <w:t>Part 3, Division 3, Subdivision D, subsection 56(5)</w:t>
            </w:r>
          </w:p>
        </w:tc>
        <w:tc>
          <w:tcPr>
            <w:tcW w:w="2211" w:type="dxa"/>
          </w:tcPr>
          <w:p w14:paraId="7AFF4D8A" w14:textId="77777777" w:rsidR="009D61D2" w:rsidRDefault="009D61D2" w:rsidP="00BD6A73">
            <w:pPr>
              <w:pStyle w:val="tabletext"/>
              <w:rPr>
                <w:lang w:val="en-US" w:eastAsia="en-US"/>
              </w:rPr>
            </w:pPr>
            <w:r>
              <w:rPr>
                <w:lang w:val="en-US" w:eastAsia="en-US"/>
              </w:rPr>
              <w:t>5.25</w:t>
            </w:r>
          </w:p>
        </w:tc>
      </w:tr>
      <w:tr w:rsidR="00896496" w:rsidRPr="00231CBA" w14:paraId="0A646EA5" w14:textId="77777777" w:rsidTr="003F092F">
        <w:trPr>
          <w:tblHeader/>
        </w:trPr>
        <w:tc>
          <w:tcPr>
            <w:tcW w:w="5529" w:type="dxa"/>
          </w:tcPr>
          <w:p w14:paraId="767C4B2A" w14:textId="77777777" w:rsidR="00896496" w:rsidRDefault="00896496" w:rsidP="00A82CD1">
            <w:pPr>
              <w:pStyle w:val="tabletext"/>
              <w:rPr>
                <w:lang w:val="en-US" w:eastAsia="en-US"/>
              </w:rPr>
            </w:pPr>
            <w:r>
              <w:rPr>
                <w:lang w:val="en-US" w:eastAsia="en-US"/>
              </w:rPr>
              <w:t>Part 3, Division 4, section 57</w:t>
            </w:r>
          </w:p>
        </w:tc>
        <w:tc>
          <w:tcPr>
            <w:tcW w:w="2211" w:type="dxa"/>
          </w:tcPr>
          <w:p w14:paraId="195C70EA" w14:textId="77777777" w:rsidR="00896496" w:rsidRDefault="00896496" w:rsidP="0064243A">
            <w:pPr>
              <w:pStyle w:val="tabletext"/>
              <w:rPr>
                <w:lang w:val="en-US" w:eastAsia="en-US"/>
              </w:rPr>
            </w:pPr>
            <w:r>
              <w:rPr>
                <w:lang w:val="en-US" w:eastAsia="en-US"/>
              </w:rPr>
              <w:t>5.2</w:t>
            </w:r>
            <w:r w:rsidR="0064243A">
              <w:rPr>
                <w:lang w:val="en-US" w:eastAsia="en-US"/>
              </w:rPr>
              <w:t>7</w:t>
            </w:r>
          </w:p>
        </w:tc>
      </w:tr>
      <w:tr w:rsidR="00896496" w:rsidRPr="00231CBA" w14:paraId="5617F235" w14:textId="77777777" w:rsidTr="003F092F">
        <w:trPr>
          <w:tblHeader/>
        </w:trPr>
        <w:tc>
          <w:tcPr>
            <w:tcW w:w="5529" w:type="dxa"/>
          </w:tcPr>
          <w:p w14:paraId="49F554CE" w14:textId="77777777" w:rsidR="00896496" w:rsidRDefault="00896496" w:rsidP="00A82CD1">
            <w:pPr>
              <w:pStyle w:val="tabletext"/>
              <w:rPr>
                <w:lang w:val="en-US" w:eastAsia="en-US"/>
              </w:rPr>
            </w:pPr>
            <w:r>
              <w:rPr>
                <w:lang w:val="en-US" w:eastAsia="en-US"/>
              </w:rPr>
              <w:t>Part 3, Division 4, section 58</w:t>
            </w:r>
          </w:p>
        </w:tc>
        <w:tc>
          <w:tcPr>
            <w:tcW w:w="2211" w:type="dxa"/>
          </w:tcPr>
          <w:p w14:paraId="63C34AC2" w14:textId="77777777" w:rsidR="00896496" w:rsidRDefault="0064243A" w:rsidP="00A82CD1">
            <w:pPr>
              <w:pStyle w:val="tabletext"/>
              <w:rPr>
                <w:lang w:val="en-US" w:eastAsia="en-US"/>
              </w:rPr>
            </w:pPr>
            <w:r>
              <w:rPr>
                <w:lang w:val="en-US" w:eastAsia="en-US"/>
              </w:rPr>
              <w:t>5.28</w:t>
            </w:r>
          </w:p>
        </w:tc>
      </w:tr>
      <w:tr w:rsidR="00896496" w:rsidRPr="00231CBA" w14:paraId="22609C4F" w14:textId="77777777" w:rsidTr="003F092F">
        <w:trPr>
          <w:tblHeader/>
        </w:trPr>
        <w:tc>
          <w:tcPr>
            <w:tcW w:w="5529" w:type="dxa"/>
          </w:tcPr>
          <w:p w14:paraId="6FB3AD26" w14:textId="77777777" w:rsidR="00896496" w:rsidRDefault="00896496" w:rsidP="00A82CD1">
            <w:pPr>
              <w:pStyle w:val="tabletext"/>
              <w:rPr>
                <w:lang w:val="en-US" w:eastAsia="en-US"/>
              </w:rPr>
            </w:pPr>
            <w:r>
              <w:rPr>
                <w:lang w:val="en-US" w:eastAsia="en-US"/>
              </w:rPr>
              <w:t>Part 3, Division 5, section 59</w:t>
            </w:r>
          </w:p>
        </w:tc>
        <w:tc>
          <w:tcPr>
            <w:tcW w:w="2211" w:type="dxa"/>
          </w:tcPr>
          <w:p w14:paraId="5B067919" w14:textId="77777777" w:rsidR="00896496" w:rsidRDefault="0064243A" w:rsidP="00A82CD1">
            <w:pPr>
              <w:pStyle w:val="tabletext"/>
              <w:rPr>
                <w:lang w:val="en-US" w:eastAsia="en-US"/>
              </w:rPr>
            </w:pPr>
            <w:r>
              <w:rPr>
                <w:lang w:val="en-US" w:eastAsia="en-US"/>
              </w:rPr>
              <w:t>5.29</w:t>
            </w:r>
          </w:p>
        </w:tc>
      </w:tr>
      <w:tr w:rsidR="00896496" w:rsidRPr="00231CBA" w14:paraId="73B08836" w14:textId="77777777" w:rsidTr="003F092F">
        <w:trPr>
          <w:tblHeader/>
        </w:trPr>
        <w:tc>
          <w:tcPr>
            <w:tcW w:w="5529" w:type="dxa"/>
          </w:tcPr>
          <w:p w14:paraId="6F594F93" w14:textId="77777777" w:rsidR="00896496" w:rsidRDefault="00896496" w:rsidP="00A82CD1">
            <w:pPr>
              <w:pStyle w:val="tabletext"/>
              <w:rPr>
                <w:lang w:val="en-US" w:eastAsia="en-US"/>
              </w:rPr>
            </w:pPr>
            <w:r>
              <w:rPr>
                <w:lang w:val="en-US" w:eastAsia="en-US"/>
              </w:rPr>
              <w:t>Part 3, Division 5, section 60</w:t>
            </w:r>
          </w:p>
        </w:tc>
        <w:tc>
          <w:tcPr>
            <w:tcW w:w="2211" w:type="dxa"/>
          </w:tcPr>
          <w:p w14:paraId="504EA22D" w14:textId="77777777" w:rsidR="00896496" w:rsidRDefault="0064243A" w:rsidP="00A82CD1">
            <w:pPr>
              <w:pStyle w:val="tabletext"/>
              <w:rPr>
                <w:lang w:val="en-US" w:eastAsia="en-US"/>
              </w:rPr>
            </w:pPr>
            <w:r>
              <w:rPr>
                <w:lang w:val="en-US" w:eastAsia="en-US"/>
              </w:rPr>
              <w:t>5.30</w:t>
            </w:r>
          </w:p>
        </w:tc>
      </w:tr>
      <w:tr w:rsidR="00896496" w:rsidRPr="00231CBA" w14:paraId="19091227" w14:textId="77777777" w:rsidTr="003F092F">
        <w:trPr>
          <w:tblHeader/>
        </w:trPr>
        <w:tc>
          <w:tcPr>
            <w:tcW w:w="5529" w:type="dxa"/>
          </w:tcPr>
          <w:p w14:paraId="56668716" w14:textId="77777777" w:rsidR="00896496" w:rsidRDefault="00896496" w:rsidP="00A82CD1">
            <w:pPr>
              <w:pStyle w:val="tabletext"/>
              <w:rPr>
                <w:lang w:val="en-US" w:eastAsia="en-US"/>
              </w:rPr>
            </w:pPr>
            <w:r>
              <w:rPr>
                <w:lang w:val="en-US" w:eastAsia="en-US"/>
              </w:rPr>
              <w:t>Part 3, Division 6, section 61</w:t>
            </w:r>
          </w:p>
        </w:tc>
        <w:tc>
          <w:tcPr>
            <w:tcW w:w="2211" w:type="dxa"/>
          </w:tcPr>
          <w:p w14:paraId="3659406B" w14:textId="77777777" w:rsidR="00896496" w:rsidRDefault="0064243A" w:rsidP="00A82CD1">
            <w:pPr>
              <w:pStyle w:val="tabletext"/>
              <w:rPr>
                <w:lang w:val="en-US" w:eastAsia="en-US"/>
              </w:rPr>
            </w:pPr>
            <w:r>
              <w:rPr>
                <w:lang w:val="en-US" w:eastAsia="en-US"/>
              </w:rPr>
              <w:t>5.31</w:t>
            </w:r>
          </w:p>
        </w:tc>
      </w:tr>
      <w:tr w:rsidR="00896496" w:rsidRPr="00231CBA" w14:paraId="4199DC58" w14:textId="77777777" w:rsidTr="003F092F">
        <w:trPr>
          <w:tblHeader/>
        </w:trPr>
        <w:tc>
          <w:tcPr>
            <w:tcW w:w="5529" w:type="dxa"/>
          </w:tcPr>
          <w:p w14:paraId="0C0A2E60" w14:textId="77777777" w:rsidR="00896496" w:rsidRDefault="00896496" w:rsidP="00A82CD1">
            <w:pPr>
              <w:pStyle w:val="tabletext"/>
              <w:rPr>
                <w:lang w:val="en-US" w:eastAsia="en-US"/>
              </w:rPr>
            </w:pPr>
            <w:r>
              <w:rPr>
                <w:lang w:val="en-US" w:eastAsia="en-US"/>
              </w:rPr>
              <w:t>Part 3, Division 6, section 62</w:t>
            </w:r>
          </w:p>
        </w:tc>
        <w:tc>
          <w:tcPr>
            <w:tcW w:w="2211" w:type="dxa"/>
          </w:tcPr>
          <w:p w14:paraId="7DA1C1EF" w14:textId="77777777" w:rsidR="00896496" w:rsidRDefault="0064243A" w:rsidP="00A82CD1">
            <w:pPr>
              <w:pStyle w:val="tabletext"/>
              <w:rPr>
                <w:lang w:val="en-US" w:eastAsia="en-US"/>
              </w:rPr>
            </w:pPr>
            <w:r>
              <w:rPr>
                <w:lang w:val="en-US" w:eastAsia="en-US"/>
              </w:rPr>
              <w:t>5.32</w:t>
            </w:r>
          </w:p>
        </w:tc>
      </w:tr>
      <w:tr w:rsidR="00896496" w:rsidRPr="00231CBA" w14:paraId="47D5D3C6" w14:textId="77777777" w:rsidTr="003F092F">
        <w:trPr>
          <w:tblHeader/>
        </w:trPr>
        <w:tc>
          <w:tcPr>
            <w:tcW w:w="5529" w:type="dxa"/>
          </w:tcPr>
          <w:p w14:paraId="46A6F2D0" w14:textId="77777777" w:rsidR="00896496" w:rsidRDefault="00896496" w:rsidP="00A82CD1">
            <w:pPr>
              <w:pStyle w:val="tabletext"/>
              <w:rPr>
                <w:lang w:val="en-US" w:eastAsia="en-US"/>
              </w:rPr>
            </w:pPr>
            <w:r>
              <w:rPr>
                <w:lang w:val="en-US" w:eastAsia="en-US"/>
              </w:rPr>
              <w:t>Part 3, Division 6, section 64</w:t>
            </w:r>
          </w:p>
        </w:tc>
        <w:tc>
          <w:tcPr>
            <w:tcW w:w="2211" w:type="dxa"/>
          </w:tcPr>
          <w:p w14:paraId="0DBDDD0C" w14:textId="77777777" w:rsidR="00896496" w:rsidRDefault="0064243A" w:rsidP="00A82CD1">
            <w:pPr>
              <w:pStyle w:val="tabletext"/>
              <w:rPr>
                <w:lang w:val="en-US" w:eastAsia="en-US"/>
              </w:rPr>
            </w:pPr>
            <w:r>
              <w:rPr>
                <w:lang w:val="en-US" w:eastAsia="en-US"/>
              </w:rPr>
              <w:t>5.34</w:t>
            </w:r>
          </w:p>
        </w:tc>
      </w:tr>
      <w:tr w:rsidR="00223317" w:rsidRPr="00231CBA" w14:paraId="34291576" w14:textId="77777777" w:rsidTr="003F092F">
        <w:trPr>
          <w:tblHeader/>
        </w:trPr>
        <w:tc>
          <w:tcPr>
            <w:tcW w:w="5529" w:type="dxa"/>
          </w:tcPr>
          <w:p w14:paraId="712A3888" w14:textId="77777777" w:rsidR="00223317" w:rsidRDefault="00223317" w:rsidP="00BD6A73">
            <w:pPr>
              <w:pStyle w:val="tabletext"/>
              <w:rPr>
                <w:lang w:val="en-US" w:eastAsia="en-US"/>
              </w:rPr>
            </w:pPr>
            <w:r>
              <w:rPr>
                <w:lang w:val="en-US" w:eastAsia="en-US"/>
              </w:rPr>
              <w:t>Part 4, Division 1, section 65</w:t>
            </w:r>
          </w:p>
        </w:tc>
        <w:tc>
          <w:tcPr>
            <w:tcW w:w="2211" w:type="dxa"/>
          </w:tcPr>
          <w:p w14:paraId="7BC79EEE" w14:textId="77777777" w:rsidR="00223317" w:rsidRDefault="00223317" w:rsidP="00BD6A73">
            <w:pPr>
              <w:pStyle w:val="tabletext"/>
              <w:rPr>
                <w:lang w:val="en-US" w:eastAsia="en-US"/>
              </w:rPr>
            </w:pPr>
            <w:r>
              <w:rPr>
                <w:lang w:val="en-US" w:eastAsia="en-US"/>
              </w:rPr>
              <w:t>2.3, 6.2</w:t>
            </w:r>
          </w:p>
        </w:tc>
      </w:tr>
      <w:tr w:rsidR="00223317" w:rsidRPr="00231CBA" w14:paraId="6577D5C9" w14:textId="77777777" w:rsidTr="003F092F">
        <w:trPr>
          <w:tblHeader/>
        </w:trPr>
        <w:tc>
          <w:tcPr>
            <w:tcW w:w="5529" w:type="dxa"/>
          </w:tcPr>
          <w:p w14:paraId="2729133B" w14:textId="77777777" w:rsidR="00223317" w:rsidRDefault="00223317" w:rsidP="00AB65D7">
            <w:pPr>
              <w:pStyle w:val="tabletext"/>
              <w:rPr>
                <w:lang w:val="en-US" w:eastAsia="en-US"/>
              </w:rPr>
            </w:pPr>
            <w:r>
              <w:rPr>
                <w:lang w:val="en-US" w:eastAsia="en-US"/>
              </w:rPr>
              <w:t>Part 4, Division 1, subsection 65(</w:t>
            </w:r>
            <w:r w:rsidR="00857C05">
              <w:rPr>
                <w:lang w:val="en-US" w:eastAsia="en-US"/>
              </w:rPr>
              <w:t>b</w:t>
            </w:r>
            <w:r>
              <w:rPr>
                <w:lang w:val="en-US" w:eastAsia="en-US"/>
              </w:rPr>
              <w:t>)</w:t>
            </w:r>
          </w:p>
        </w:tc>
        <w:tc>
          <w:tcPr>
            <w:tcW w:w="2211" w:type="dxa"/>
          </w:tcPr>
          <w:p w14:paraId="6DD37D39" w14:textId="77777777" w:rsidR="00223317" w:rsidRDefault="00223317" w:rsidP="00BD6A73">
            <w:pPr>
              <w:pStyle w:val="tabletext"/>
              <w:rPr>
                <w:lang w:val="en-US" w:eastAsia="en-US"/>
              </w:rPr>
            </w:pPr>
            <w:r>
              <w:rPr>
                <w:lang w:val="en-US" w:eastAsia="en-US"/>
              </w:rPr>
              <w:t>2.7</w:t>
            </w:r>
          </w:p>
        </w:tc>
      </w:tr>
      <w:tr w:rsidR="00223317" w:rsidRPr="00231CBA" w14:paraId="3D8E7F88" w14:textId="77777777" w:rsidTr="003F092F">
        <w:trPr>
          <w:tblHeader/>
        </w:trPr>
        <w:tc>
          <w:tcPr>
            <w:tcW w:w="5529" w:type="dxa"/>
          </w:tcPr>
          <w:p w14:paraId="41517761" w14:textId="77777777" w:rsidR="00223317" w:rsidRDefault="00223317" w:rsidP="00AB65D7">
            <w:pPr>
              <w:pStyle w:val="tabletext"/>
              <w:rPr>
                <w:lang w:val="en-US" w:eastAsia="en-US"/>
              </w:rPr>
            </w:pPr>
            <w:r>
              <w:rPr>
                <w:lang w:val="en-US" w:eastAsia="en-US"/>
              </w:rPr>
              <w:t>Part 4, Division 1, subsection 65(</w:t>
            </w:r>
            <w:r w:rsidR="00857C05">
              <w:rPr>
                <w:lang w:val="en-US" w:eastAsia="en-US"/>
              </w:rPr>
              <w:t>c</w:t>
            </w:r>
            <w:r>
              <w:rPr>
                <w:lang w:val="en-US" w:eastAsia="en-US"/>
              </w:rPr>
              <w:t>)</w:t>
            </w:r>
          </w:p>
        </w:tc>
        <w:tc>
          <w:tcPr>
            <w:tcW w:w="2211" w:type="dxa"/>
          </w:tcPr>
          <w:p w14:paraId="6D5DABA3" w14:textId="77777777" w:rsidR="00223317" w:rsidRDefault="00223317" w:rsidP="00BD6A73">
            <w:pPr>
              <w:pStyle w:val="tabletext"/>
              <w:rPr>
                <w:lang w:val="en-US" w:eastAsia="en-US"/>
              </w:rPr>
            </w:pPr>
            <w:r>
              <w:rPr>
                <w:lang w:val="en-US" w:eastAsia="en-US"/>
              </w:rPr>
              <w:t>2.7</w:t>
            </w:r>
          </w:p>
        </w:tc>
      </w:tr>
      <w:tr w:rsidR="00223317" w:rsidRPr="00231CBA" w14:paraId="5EDB18B4" w14:textId="77777777" w:rsidTr="003F092F">
        <w:trPr>
          <w:tblHeader/>
        </w:trPr>
        <w:tc>
          <w:tcPr>
            <w:tcW w:w="5529" w:type="dxa"/>
          </w:tcPr>
          <w:p w14:paraId="1EBF4CDD" w14:textId="77777777" w:rsidR="00223317" w:rsidRDefault="00223317" w:rsidP="00AB65D7">
            <w:pPr>
              <w:pStyle w:val="tabletext"/>
              <w:rPr>
                <w:lang w:val="en-US" w:eastAsia="en-US"/>
              </w:rPr>
            </w:pPr>
            <w:r>
              <w:rPr>
                <w:lang w:val="en-US" w:eastAsia="en-US"/>
              </w:rPr>
              <w:t>Part 4 Division 1, subsection 65(</w:t>
            </w:r>
            <w:r w:rsidR="00857C05">
              <w:rPr>
                <w:lang w:val="en-US" w:eastAsia="en-US"/>
              </w:rPr>
              <w:t>d</w:t>
            </w:r>
            <w:r>
              <w:rPr>
                <w:lang w:val="en-US" w:eastAsia="en-US"/>
              </w:rPr>
              <w:t>)</w:t>
            </w:r>
          </w:p>
        </w:tc>
        <w:tc>
          <w:tcPr>
            <w:tcW w:w="2211" w:type="dxa"/>
          </w:tcPr>
          <w:p w14:paraId="2BF48690" w14:textId="77777777" w:rsidR="00223317" w:rsidRDefault="00223317" w:rsidP="00BD6A73">
            <w:pPr>
              <w:pStyle w:val="tabletext"/>
              <w:rPr>
                <w:lang w:val="en-US" w:eastAsia="en-US"/>
              </w:rPr>
            </w:pPr>
            <w:r>
              <w:rPr>
                <w:lang w:val="en-US" w:eastAsia="en-US"/>
              </w:rPr>
              <w:t>2.8</w:t>
            </w:r>
          </w:p>
        </w:tc>
      </w:tr>
      <w:tr w:rsidR="0064243A" w:rsidRPr="00231CBA" w14:paraId="4EE1D709" w14:textId="77777777" w:rsidTr="003F092F">
        <w:trPr>
          <w:tblHeader/>
        </w:trPr>
        <w:tc>
          <w:tcPr>
            <w:tcW w:w="5529" w:type="dxa"/>
          </w:tcPr>
          <w:p w14:paraId="164F9BCB" w14:textId="77777777" w:rsidR="0064243A" w:rsidRDefault="0064243A" w:rsidP="00AB65D7">
            <w:pPr>
              <w:pStyle w:val="tabletext"/>
              <w:rPr>
                <w:lang w:val="en-US" w:eastAsia="en-US"/>
              </w:rPr>
            </w:pPr>
            <w:r>
              <w:rPr>
                <w:lang w:val="en-US" w:eastAsia="en-US"/>
              </w:rPr>
              <w:t>Part 4, Division 1, subsection 65(</w:t>
            </w:r>
            <w:r w:rsidR="00857C05">
              <w:rPr>
                <w:lang w:val="en-US" w:eastAsia="en-US"/>
              </w:rPr>
              <w:t>e</w:t>
            </w:r>
            <w:r>
              <w:rPr>
                <w:lang w:val="en-US" w:eastAsia="en-US"/>
              </w:rPr>
              <w:t>)</w:t>
            </w:r>
          </w:p>
        </w:tc>
        <w:tc>
          <w:tcPr>
            <w:tcW w:w="2211" w:type="dxa"/>
          </w:tcPr>
          <w:p w14:paraId="07186B87" w14:textId="77777777" w:rsidR="0064243A" w:rsidRDefault="0064243A" w:rsidP="00631BF1">
            <w:pPr>
              <w:pStyle w:val="tabletext"/>
              <w:rPr>
                <w:lang w:val="en-US" w:eastAsia="en-US"/>
              </w:rPr>
            </w:pPr>
            <w:r>
              <w:rPr>
                <w:lang w:val="en-US" w:eastAsia="en-US"/>
              </w:rPr>
              <w:t>2.10</w:t>
            </w:r>
          </w:p>
        </w:tc>
      </w:tr>
      <w:tr w:rsidR="00896496" w:rsidRPr="00231CBA" w14:paraId="0CA0F0F4" w14:textId="77777777" w:rsidTr="003F092F">
        <w:trPr>
          <w:tblHeader/>
        </w:trPr>
        <w:tc>
          <w:tcPr>
            <w:tcW w:w="5529" w:type="dxa"/>
          </w:tcPr>
          <w:p w14:paraId="49034890" w14:textId="77777777" w:rsidR="00896496" w:rsidRDefault="00896496" w:rsidP="00AB65D7">
            <w:pPr>
              <w:pStyle w:val="tabletext"/>
              <w:rPr>
                <w:lang w:val="en-US" w:eastAsia="en-US"/>
              </w:rPr>
            </w:pPr>
            <w:r>
              <w:rPr>
                <w:lang w:val="en-US" w:eastAsia="en-US"/>
              </w:rPr>
              <w:t>Par</w:t>
            </w:r>
            <w:r w:rsidR="0064243A">
              <w:rPr>
                <w:lang w:val="en-US" w:eastAsia="en-US"/>
              </w:rPr>
              <w:t>t 4, Division 1, subsection 65(</w:t>
            </w:r>
            <w:r w:rsidR="00857C05">
              <w:rPr>
                <w:lang w:val="en-US" w:eastAsia="en-US"/>
              </w:rPr>
              <w:t>f</w:t>
            </w:r>
            <w:r>
              <w:rPr>
                <w:lang w:val="en-US" w:eastAsia="en-US"/>
              </w:rPr>
              <w:t>)</w:t>
            </w:r>
          </w:p>
        </w:tc>
        <w:tc>
          <w:tcPr>
            <w:tcW w:w="2211" w:type="dxa"/>
          </w:tcPr>
          <w:p w14:paraId="1E03A36B" w14:textId="77777777" w:rsidR="00896496" w:rsidRDefault="0064243A" w:rsidP="0064243A">
            <w:pPr>
              <w:pStyle w:val="tabletext"/>
              <w:rPr>
                <w:lang w:val="en-US" w:eastAsia="en-US"/>
              </w:rPr>
            </w:pPr>
            <w:r>
              <w:rPr>
                <w:lang w:val="en-US" w:eastAsia="en-US"/>
              </w:rPr>
              <w:t>2.9</w:t>
            </w:r>
          </w:p>
        </w:tc>
      </w:tr>
      <w:tr w:rsidR="00896496" w:rsidRPr="00231CBA" w14:paraId="28407DDA" w14:textId="77777777" w:rsidTr="003F092F">
        <w:trPr>
          <w:tblHeader/>
        </w:trPr>
        <w:tc>
          <w:tcPr>
            <w:tcW w:w="5529" w:type="dxa"/>
          </w:tcPr>
          <w:p w14:paraId="15487325" w14:textId="77777777" w:rsidR="00896496" w:rsidRDefault="00896496" w:rsidP="00A82CD1">
            <w:pPr>
              <w:pStyle w:val="tabletext"/>
              <w:rPr>
                <w:lang w:val="en-US" w:eastAsia="en-US"/>
              </w:rPr>
            </w:pPr>
            <w:r>
              <w:rPr>
                <w:lang w:val="en-US" w:eastAsia="en-US"/>
              </w:rPr>
              <w:t>Part 4, Division 2, section 66</w:t>
            </w:r>
          </w:p>
        </w:tc>
        <w:tc>
          <w:tcPr>
            <w:tcW w:w="2211" w:type="dxa"/>
          </w:tcPr>
          <w:p w14:paraId="17761641" w14:textId="77777777" w:rsidR="00896496" w:rsidRDefault="00896496" w:rsidP="00A82CD1">
            <w:pPr>
              <w:pStyle w:val="tabletext"/>
              <w:rPr>
                <w:lang w:val="en-US" w:eastAsia="en-US"/>
              </w:rPr>
            </w:pPr>
            <w:r>
              <w:rPr>
                <w:lang w:val="en-US" w:eastAsia="en-US"/>
              </w:rPr>
              <w:t>6.3</w:t>
            </w:r>
          </w:p>
        </w:tc>
      </w:tr>
      <w:tr w:rsidR="00896496" w:rsidRPr="00231CBA" w14:paraId="23E816FF" w14:textId="77777777" w:rsidTr="003F092F">
        <w:trPr>
          <w:tblHeader/>
        </w:trPr>
        <w:tc>
          <w:tcPr>
            <w:tcW w:w="5529" w:type="dxa"/>
          </w:tcPr>
          <w:p w14:paraId="4D28DD8D" w14:textId="77777777" w:rsidR="00896496" w:rsidRDefault="00896496" w:rsidP="00A82CD1">
            <w:pPr>
              <w:pStyle w:val="tabletext"/>
              <w:rPr>
                <w:lang w:val="en-US" w:eastAsia="en-US"/>
              </w:rPr>
            </w:pPr>
            <w:r>
              <w:rPr>
                <w:lang w:val="en-US" w:eastAsia="en-US"/>
              </w:rPr>
              <w:t>Part 4, Division 2, section 68</w:t>
            </w:r>
          </w:p>
        </w:tc>
        <w:tc>
          <w:tcPr>
            <w:tcW w:w="2211" w:type="dxa"/>
          </w:tcPr>
          <w:p w14:paraId="33C83D65" w14:textId="77777777" w:rsidR="00896496" w:rsidRDefault="0064243A" w:rsidP="00A82CD1">
            <w:pPr>
              <w:pStyle w:val="tabletext"/>
              <w:rPr>
                <w:lang w:val="en-US" w:eastAsia="en-US"/>
              </w:rPr>
            </w:pPr>
            <w:r>
              <w:rPr>
                <w:lang w:val="en-US" w:eastAsia="en-US"/>
              </w:rPr>
              <w:t xml:space="preserve">6.5, </w:t>
            </w:r>
            <w:r w:rsidR="00896496">
              <w:rPr>
                <w:lang w:val="en-US" w:eastAsia="en-US"/>
              </w:rPr>
              <w:t>6.14</w:t>
            </w:r>
          </w:p>
        </w:tc>
      </w:tr>
      <w:tr w:rsidR="00896496" w:rsidRPr="00231CBA" w14:paraId="364B6FEC" w14:textId="77777777" w:rsidTr="003F092F">
        <w:trPr>
          <w:tblHeader/>
        </w:trPr>
        <w:tc>
          <w:tcPr>
            <w:tcW w:w="5529" w:type="dxa"/>
          </w:tcPr>
          <w:p w14:paraId="19C6FD2C" w14:textId="77777777" w:rsidR="00896496" w:rsidRDefault="00896496" w:rsidP="00A82CD1">
            <w:pPr>
              <w:pStyle w:val="tabletext"/>
              <w:rPr>
                <w:lang w:val="en-US" w:eastAsia="en-US"/>
              </w:rPr>
            </w:pPr>
            <w:r>
              <w:rPr>
                <w:lang w:val="en-US" w:eastAsia="en-US"/>
              </w:rPr>
              <w:t>Part 4, Division 2, section 69</w:t>
            </w:r>
          </w:p>
        </w:tc>
        <w:tc>
          <w:tcPr>
            <w:tcW w:w="2211" w:type="dxa"/>
          </w:tcPr>
          <w:p w14:paraId="01EB2DDF" w14:textId="77777777" w:rsidR="00896496" w:rsidRDefault="0064243A" w:rsidP="00A82CD1">
            <w:pPr>
              <w:pStyle w:val="tabletext"/>
              <w:rPr>
                <w:lang w:val="en-US" w:eastAsia="en-US"/>
              </w:rPr>
            </w:pPr>
            <w:r>
              <w:rPr>
                <w:lang w:val="en-US" w:eastAsia="en-US"/>
              </w:rPr>
              <w:t>6.5, 6.7</w:t>
            </w:r>
            <w:r w:rsidR="00BD6A73">
              <w:rPr>
                <w:lang w:val="en-US" w:eastAsia="en-US"/>
              </w:rPr>
              <w:t>, 6.16</w:t>
            </w:r>
          </w:p>
        </w:tc>
      </w:tr>
      <w:tr w:rsidR="00896496" w:rsidRPr="00231CBA" w14:paraId="695E0CDB" w14:textId="77777777" w:rsidTr="003F092F">
        <w:trPr>
          <w:tblHeader/>
        </w:trPr>
        <w:tc>
          <w:tcPr>
            <w:tcW w:w="5529" w:type="dxa"/>
          </w:tcPr>
          <w:p w14:paraId="07117526" w14:textId="77777777" w:rsidR="00896496" w:rsidRDefault="00896496" w:rsidP="00A82CD1">
            <w:pPr>
              <w:pStyle w:val="tabletext"/>
              <w:rPr>
                <w:lang w:val="en-US" w:eastAsia="en-US"/>
              </w:rPr>
            </w:pPr>
            <w:r>
              <w:rPr>
                <w:lang w:val="en-US" w:eastAsia="en-US"/>
              </w:rPr>
              <w:t>Part 4, Division 2, section 70</w:t>
            </w:r>
          </w:p>
        </w:tc>
        <w:tc>
          <w:tcPr>
            <w:tcW w:w="2211" w:type="dxa"/>
          </w:tcPr>
          <w:p w14:paraId="43C7F711" w14:textId="77777777" w:rsidR="00896496" w:rsidRDefault="00896496" w:rsidP="00A82CD1">
            <w:pPr>
              <w:pStyle w:val="tabletext"/>
              <w:rPr>
                <w:lang w:val="en-US" w:eastAsia="en-US"/>
              </w:rPr>
            </w:pPr>
            <w:r>
              <w:rPr>
                <w:lang w:val="en-US" w:eastAsia="en-US"/>
              </w:rPr>
              <w:t>6.7</w:t>
            </w:r>
            <w:r w:rsidR="0064243A">
              <w:rPr>
                <w:lang w:val="en-US" w:eastAsia="en-US"/>
              </w:rPr>
              <w:t>, 6.8</w:t>
            </w:r>
          </w:p>
        </w:tc>
      </w:tr>
      <w:tr w:rsidR="00223317" w:rsidRPr="00231CBA" w14:paraId="5DEABA22" w14:textId="77777777" w:rsidTr="003F092F">
        <w:trPr>
          <w:tblHeader/>
        </w:trPr>
        <w:tc>
          <w:tcPr>
            <w:tcW w:w="5529" w:type="dxa"/>
          </w:tcPr>
          <w:p w14:paraId="58202AEA" w14:textId="77777777" w:rsidR="00223317" w:rsidRDefault="00223317" w:rsidP="00BD6A73">
            <w:pPr>
              <w:pStyle w:val="tabletext"/>
              <w:rPr>
                <w:lang w:val="en-US" w:eastAsia="en-US"/>
              </w:rPr>
            </w:pPr>
            <w:r>
              <w:rPr>
                <w:lang w:val="en-US" w:eastAsia="en-US"/>
              </w:rPr>
              <w:t>Part 4, Division 3, section 71</w:t>
            </w:r>
          </w:p>
        </w:tc>
        <w:tc>
          <w:tcPr>
            <w:tcW w:w="2211" w:type="dxa"/>
          </w:tcPr>
          <w:p w14:paraId="651B286D" w14:textId="77777777" w:rsidR="00223317" w:rsidRDefault="00223317" w:rsidP="00BD6A73">
            <w:pPr>
              <w:pStyle w:val="tabletext"/>
              <w:rPr>
                <w:lang w:val="en-US" w:eastAsia="en-US"/>
              </w:rPr>
            </w:pPr>
            <w:r>
              <w:rPr>
                <w:lang w:val="en-US" w:eastAsia="en-US"/>
              </w:rPr>
              <w:t>6.5, 6.9, 6.10, 6.20, 6.26</w:t>
            </w:r>
          </w:p>
        </w:tc>
      </w:tr>
      <w:tr w:rsidR="00B23035" w:rsidRPr="00231CBA" w14:paraId="731D9816" w14:textId="77777777" w:rsidTr="003F092F">
        <w:trPr>
          <w:tblHeader/>
        </w:trPr>
        <w:tc>
          <w:tcPr>
            <w:tcW w:w="5529" w:type="dxa"/>
          </w:tcPr>
          <w:p w14:paraId="10F390B5" w14:textId="77777777" w:rsidR="00B23035" w:rsidRPr="00B23035" w:rsidRDefault="00B23035" w:rsidP="00B23035">
            <w:pPr>
              <w:pStyle w:val="tabletext"/>
              <w:rPr>
                <w:b/>
                <w:sz w:val="22"/>
                <w:szCs w:val="22"/>
                <w:lang w:val="en-US" w:eastAsia="en-US"/>
              </w:rPr>
            </w:pPr>
            <w:r w:rsidRPr="00B23035">
              <w:rPr>
                <w:lang w:val="en-US" w:eastAsia="en-US"/>
              </w:rPr>
              <w:t xml:space="preserve">Part 4, Division 3, </w:t>
            </w:r>
            <w:r>
              <w:rPr>
                <w:lang w:val="en-US" w:eastAsia="en-US"/>
              </w:rPr>
              <w:t>paragraph 71</w:t>
            </w:r>
            <w:r w:rsidRPr="00B23035">
              <w:rPr>
                <w:lang w:val="en-US" w:eastAsia="en-US"/>
              </w:rPr>
              <w:t>(</w:t>
            </w:r>
            <w:r>
              <w:rPr>
                <w:lang w:val="en-US" w:eastAsia="en-US"/>
              </w:rPr>
              <w:t>2</w:t>
            </w:r>
            <w:r w:rsidRPr="00B23035">
              <w:rPr>
                <w:lang w:val="en-US" w:eastAsia="en-US"/>
              </w:rPr>
              <w:t>)</w:t>
            </w:r>
            <w:r>
              <w:rPr>
                <w:lang w:val="en-US" w:eastAsia="en-US"/>
              </w:rPr>
              <w:t>(b)</w:t>
            </w:r>
          </w:p>
        </w:tc>
        <w:tc>
          <w:tcPr>
            <w:tcW w:w="2211" w:type="dxa"/>
          </w:tcPr>
          <w:p w14:paraId="6B0327DF" w14:textId="77777777" w:rsidR="00B23035" w:rsidRDefault="00B23035" w:rsidP="00570D5A">
            <w:pPr>
              <w:pStyle w:val="tabletext"/>
              <w:rPr>
                <w:lang w:val="en-US" w:eastAsia="en-US"/>
              </w:rPr>
            </w:pPr>
            <w:r>
              <w:rPr>
                <w:lang w:val="en-US" w:eastAsia="en-US"/>
              </w:rPr>
              <w:t>1.15</w:t>
            </w:r>
          </w:p>
        </w:tc>
      </w:tr>
      <w:tr w:rsidR="0064243A" w:rsidRPr="00231CBA" w14:paraId="68E7D79D" w14:textId="77777777" w:rsidTr="003F092F">
        <w:trPr>
          <w:tblHeader/>
        </w:trPr>
        <w:tc>
          <w:tcPr>
            <w:tcW w:w="5529" w:type="dxa"/>
          </w:tcPr>
          <w:p w14:paraId="51606A6B" w14:textId="77777777" w:rsidR="0064243A" w:rsidRDefault="0064243A" w:rsidP="00631BF1">
            <w:pPr>
              <w:pStyle w:val="tabletext"/>
              <w:rPr>
                <w:lang w:val="en-US" w:eastAsia="en-US"/>
              </w:rPr>
            </w:pPr>
            <w:r>
              <w:rPr>
                <w:lang w:val="en-US" w:eastAsia="en-US"/>
              </w:rPr>
              <w:t>Part 4, Division 3, section 72</w:t>
            </w:r>
          </w:p>
        </w:tc>
        <w:tc>
          <w:tcPr>
            <w:tcW w:w="2211" w:type="dxa"/>
          </w:tcPr>
          <w:p w14:paraId="7ADF7065" w14:textId="77777777" w:rsidR="0064243A" w:rsidRDefault="0064243A" w:rsidP="00631BF1">
            <w:pPr>
              <w:pStyle w:val="tabletext"/>
              <w:rPr>
                <w:lang w:val="en-US" w:eastAsia="en-US"/>
              </w:rPr>
            </w:pPr>
            <w:r>
              <w:rPr>
                <w:lang w:val="en-US" w:eastAsia="en-US"/>
              </w:rPr>
              <w:t>6.10, 6.19</w:t>
            </w:r>
          </w:p>
        </w:tc>
      </w:tr>
      <w:tr w:rsidR="00B23035" w:rsidRPr="00231CBA" w14:paraId="5DFDFED8" w14:textId="77777777" w:rsidTr="003F092F">
        <w:trPr>
          <w:tblHeader/>
        </w:trPr>
        <w:tc>
          <w:tcPr>
            <w:tcW w:w="5529" w:type="dxa"/>
          </w:tcPr>
          <w:p w14:paraId="214784B8" w14:textId="77777777" w:rsidR="00B23035" w:rsidRPr="00B23035" w:rsidRDefault="00B23035" w:rsidP="00A82CD1">
            <w:pPr>
              <w:pStyle w:val="tabletext"/>
              <w:rPr>
                <w:b/>
                <w:sz w:val="22"/>
                <w:szCs w:val="22"/>
                <w:lang w:val="en-US" w:eastAsia="en-US"/>
              </w:rPr>
            </w:pPr>
            <w:r w:rsidRPr="00B23035">
              <w:rPr>
                <w:lang w:val="en-US" w:eastAsia="en-US"/>
              </w:rPr>
              <w:t>Part 4, Division 3, subsection 72(1)</w:t>
            </w:r>
          </w:p>
        </w:tc>
        <w:tc>
          <w:tcPr>
            <w:tcW w:w="2211" w:type="dxa"/>
          </w:tcPr>
          <w:p w14:paraId="4FBB42C9" w14:textId="77777777" w:rsidR="00B23035" w:rsidRDefault="00B23035" w:rsidP="00A82CD1">
            <w:pPr>
              <w:pStyle w:val="tabletext"/>
              <w:rPr>
                <w:lang w:val="en-US" w:eastAsia="en-US"/>
              </w:rPr>
            </w:pPr>
            <w:r>
              <w:rPr>
                <w:lang w:val="en-US" w:eastAsia="en-US"/>
              </w:rPr>
              <w:t>1.15</w:t>
            </w:r>
          </w:p>
        </w:tc>
      </w:tr>
      <w:tr w:rsidR="00896496" w:rsidRPr="00231CBA" w14:paraId="1CE4FA6B" w14:textId="77777777" w:rsidTr="003F092F">
        <w:trPr>
          <w:tblHeader/>
        </w:trPr>
        <w:tc>
          <w:tcPr>
            <w:tcW w:w="5529" w:type="dxa"/>
          </w:tcPr>
          <w:p w14:paraId="74269EE6" w14:textId="77777777" w:rsidR="00896496" w:rsidRDefault="0064243A" w:rsidP="00A82CD1">
            <w:pPr>
              <w:pStyle w:val="tabletext"/>
              <w:rPr>
                <w:lang w:val="en-US" w:eastAsia="en-US"/>
              </w:rPr>
            </w:pPr>
            <w:r>
              <w:rPr>
                <w:lang w:val="en-US" w:eastAsia="en-US"/>
              </w:rPr>
              <w:t>Part 4, Division 3, section 73</w:t>
            </w:r>
          </w:p>
        </w:tc>
        <w:tc>
          <w:tcPr>
            <w:tcW w:w="2211" w:type="dxa"/>
          </w:tcPr>
          <w:p w14:paraId="08AAD61E" w14:textId="77777777" w:rsidR="00896496" w:rsidRDefault="0064243A" w:rsidP="00A82CD1">
            <w:pPr>
              <w:pStyle w:val="tabletext"/>
              <w:rPr>
                <w:lang w:val="en-US" w:eastAsia="en-US"/>
              </w:rPr>
            </w:pPr>
            <w:r>
              <w:rPr>
                <w:lang w:val="en-US" w:eastAsia="en-US"/>
              </w:rPr>
              <w:t>6.11</w:t>
            </w:r>
            <w:r w:rsidR="00223317">
              <w:rPr>
                <w:lang w:val="en-US" w:eastAsia="en-US"/>
              </w:rPr>
              <w:t>, 6.24</w:t>
            </w:r>
          </w:p>
        </w:tc>
      </w:tr>
      <w:tr w:rsidR="00B23035" w:rsidRPr="00231CBA" w14:paraId="1B82E8A6"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17679338" w14:textId="77777777" w:rsidR="00B23035" w:rsidRPr="00B23035" w:rsidRDefault="00B23035" w:rsidP="00570D5A">
            <w:pPr>
              <w:pStyle w:val="tabletext"/>
              <w:rPr>
                <w:lang w:val="en-US" w:eastAsia="en-US"/>
              </w:rPr>
            </w:pPr>
            <w:r w:rsidRPr="00B23035">
              <w:rPr>
                <w:lang w:val="en-US" w:eastAsia="en-US"/>
              </w:rPr>
              <w:t xml:space="preserve">Part 4, Division 3, </w:t>
            </w:r>
            <w:r>
              <w:rPr>
                <w:lang w:val="en-US" w:eastAsia="en-US"/>
              </w:rPr>
              <w:t>subsection 73</w:t>
            </w:r>
            <w:r w:rsidRPr="00B23035">
              <w:rPr>
                <w:lang w:val="en-US" w:eastAsia="en-US"/>
              </w:rPr>
              <w:t>(1)</w:t>
            </w:r>
          </w:p>
        </w:tc>
        <w:tc>
          <w:tcPr>
            <w:tcW w:w="2211" w:type="dxa"/>
            <w:tcBorders>
              <w:top w:val="single" w:sz="4" w:space="0" w:color="auto"/>
              <w:left w:val="single" w:sz="4" w:space="0" w:color="auto"/>
              <w:bottom w:val="single" w:sz="4" w:space="0" w:color="auto"/>
              <w:right w:val="single" w:sz="4" w:space="0" w:color="auto"/>
            </w:tcBorders>
          </w:tcPr>
          <w:p w14:paraId="7B879598" w14:textId="77777777" w:rsidR="00B23035" w:rsidRDefault="00B23035" w:rsidP="00570D5A">
            <w:pPr>
              <w:pStyle w:val="tabletext"/>
              <w:rPr>
                <w:lang w:val="en-US" w:eastAsia="en-US"/>
              </w:rPr>
            </w:pPr>
            <w:r>
              <w:rPr>
                <w:lang w:val="en-US" w:eastAsia="en-US"/>
              </w:rPr>
              <w:t>1.15</w:t>
            </w:r>
          </w:p>
        </w:tc>
      </w:tr>
      <w:tr w:rsidR="005448BC" w:rsidRPr="00231CBA" w14:paraId="50391651"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0823E886" w14:textId="77777777" w:rsidR="005448BC" w:rsidRDefault="005448BC" w:rsidP="005448BC">
            <w:pPr>
              <w:pStyle w:val="tabletext"/>
              <w:rPr>
                <w:lang w:val="en-US" w:eastAsia="en-US"/>
              </w:rPr>
            </w:pPr>
            <w:r>
              <w:rPr>
                <w:lang w:val="en-US" w:eastAsia="en-US"/>
              </w:rPr>
              <w:t>Part 4, Division 3, subsection 73(2)</w:t>
            </w:r>
          </w:p>
        </w:tc>
        <w:tc>
          <w:tcPr>
            <w:tcW w:w="2211" w:type="dxa"/>
            <w:tcBorders>
              <w:top w:val="single" w:sz="4" w:space="0" w:color="auto"/>
              <w:left w:val="single" w:sz="4" w:space="0" w:color="auto"/>
              <w:bottom w:val="single" w:sz="4" w:space="0" w:color="auto"/>
              <w:right w:val="single" w:sz="4" w:space="0" w:color="auto"/>
            </w:tcBorders>
          </w:tcPr>
          <w:p w14:paraId="649C0357" w14:textId="77777777" w:rsidR="005448BC" w:rsidRDefault="005448BC" w:rsidP="0064243A">
            <w:pPr>
              <w:pStyle w:val="tabletext"/>
              <w:rPr>
                <w:lang w:val="en-US" w:eastAsia="en-US"/>
              </w:rPr>
            </w:pPr>
            <w:r>
              <w:rPr>
                <w:lang w:val="en-US" w:eastAsia="en-US"/>
              </w:rPr>
              <w:t>3.</w:t>
            </w:r>
            <w:r w:rsidR="0064243A">
              <w:rPr>
                <w:lang w:val="en-US" w:eastAsia="en-US"/>
              </w:rPr>
              <w:t>6</w:t>
            </w:r>
          </w:p>
        </w:tc>
      </w:tr>
      <w:tr w:rsidR="00896496" w:rsidRPr="00231CBA" w14:paraId="79CDBB41" w14:textId="77777777" w:rsidTr="003F092F">
        <w:trPr>
          <w:tblHeader/>
        </w:trPr>
        <w:tc>
          <w:tcPr>
            <w:tcW w:w="5529" w:type="dxa"/>
          </w:tcPr>
          <w:p w14:paraId="391A08FA" w14:textId="77777777" w:rsidR="00896496" w:rsidRDefault="00896496" w:rsidP="00A82CD1">
            <w:pPr>
              <w:pStyle w:val="tabletext"/>
              <w:rPr>
                <w:lang w:val="en-US" w:eastAsia="en-US"/>
              </w:rPr>
            </w:pPr>
            <w:r>
              <w:rPr>
                <w:lang w:val="en-US" w:eastAsia="en-US"/>
              </w:rPr>
              <w:t>Part 4, Division 3, section 74</w:t>
            </w:r>
          </w:p>
        </w:tc>
        <w:tc>
          <w:tcPr>
            <w:tcW w:w="2211" w:type="dxa"/>
          </w:tcPr>
          <w:p w14:paraId="36D739B6" w14:textId="77777777" w:rsidR="00896496" w:rsidRDefault="00896496" w:rsidP="00A82CD1">
            <w:pPr>
              <w:pStyle w:val="tabletext"/>
              <w:rPr>
                <w:lang w:val="en-US" w:eastAsia="en-US"/>
              </w:rPr>
            </w:pPr>
            <w:r>
              <w:rPr>
                <w:lang w:val="en-US" w:eastAsia="en-US"/>
              </w:rPr>
              <w:t>6.25</w:t>
            </w:r>
          </w:p>
        </w:tc>
      </w:tr>
      <w:tr w:rsidR="00896496" w:rsidRPr="00231CBA" w14:paraId="1C4436B6" w14:textId="77777777" w:rsidTr="003F092F">
        <w:trPr>
          <w:tblHeader/>
        </w:trPr>
        <w:tc>
          <w:tcPr>
            <w:tcW w:w="5529" w:type="dxa"/>
          </w:tcPr>
          <w:p w14:paraId="64959908" w14:textId="77777777" w:rsidR="00896496" w:rsidRDefault="00896496" w:rsidP="00A82CD1">
            <w:pPr>
              <w:pStyle w:val="tabletext"/>
              <w:rPr>
                <w:lang w:val="en-US" w:eastAsia="en-US"/>
              </w:rPr>
            </w:pPr>
            <w:r>
              <w:rPr>
                <w:lang w:val="en-US" w:eastAsia="en-US"/>
              </w:rPr>
              <w:t>Part 4, Division 4, section 75</w:t>
            </w:r>
          </w:p>
        </w:tc>
        <w:tc>
          <w:tcPr>
            <w:tcW w:w="2211" w:type="dxa"/>
          </w:tcPr>
          <w:p w14:paraId="5A1CC1D0" w14:textId="77777777" w:rsidR="00896496" w:rsidRDefault="00631BF1" w:rsidP="00A82CD1">
            <w:pPr>
              <w:pStyle w:val="tabletext"/>
              <w:rPr>
                <w:lang w:val="en-US" w:eastAsia="en-US"/>
              </w:rPr>
            </w:pPr>
            <w:r>
              <w:rPr>
                <w:lang w:val="en-US" w:eastAsia="en-US"/>
              </w:rPr>
              <w:t xml:space="preserve">6.13, </w:t>
            </w:r>
            <w:r w:rsidR="00896496">
              <w:rPr>
                <w:lang w:val="en-US" w:eastAsia="en-US"/>
              </w:rPr>
              <w:t>6.29</w:t>
            </w:r>
          </w:p>
        </w:tc>
      </w:tr>
      <w:tr w:rsidR="00896496" w:rsidRPr="00231CBA" w14:paraId="4B104690" w14:textId="77777777" w:rsidTr="003F092F">
        <w:trPr>
          <w:tblHeader/>
        </w:trPr>
        <w:tc>
          <w:tcPr>
            <w:tcW w:w="5529" w:type="dxa"/>
          </w:tcPr>
          <w:p w14:paraId="7FF3980A" w14:textId="77777777" w:rsidR="00896496" w:rsidRDefault="00896496" w:rsidP="00A82CD1">
            <w:pPr>
              <w:pStyle w:val="tabletext"/>
              <w:rPr>
                <w:lang w:val="en-US" w:eastAsia="en-US"/>
              </w:rPr>
            </w:pPr>
            <w:r>
              <w:rPr>
                <w:lang w:val="en-US" w:eastAsia="en-US"/>
              </w:rPr>
              <w:t>Part 4, Division 4, section 76</w:t>
            </w:r>
          </w:p>
        </w:tc>
        <w:tc>
          <w:tcPr>
            <w:tcW w:w="2211" w:type="dxa"/>
          </w:tcPr>
          <w:p w14:paraId="3F1CB31D" w14:textId="77777777" w:rsidR="00896496" w:rsidRDefault="00631BF1" w:rsidP="00A82CD1">
            <w:pPr>
              <w:pStyle w:val="tabletext"/>
              <w:rPr>
                <w:lang w:val="en-US" w:eastAsia="en-US"/>
              </w:rPr>
            </w:pPr>
            <w:r>
              <w:rPr>
                <w:lang w:val="en-US" w:eastAsia="en-US"/>
              </w:rPr>
              <w:t xml:space="preserve">6.14, </w:t>
            </w:r>
            <w:r w:rsidR="00896496">
              <w:rPr>
                <w:lang w:val="en-US" w:eastAsia="en-US"/>
              </w:rPr>
              <w:t>6.30</w:t>
            </w:r>
          </w:p>
        </w:tc>
      </w:tr>
      <w:tr w:rsidR="00896496" w:rsidRPr="00231CBA" w14:paraId="08E87E2A" w14:textId="77777777" w:rsidTr="003F092F">
        <w:trPr>
          <w:tblHeader/>
        </w:trPr>
        <w:tc>
          <w:tcPr>
            <w:tcW w:w="5529" w:type="dxa"/>
          </w:tcPr>
          <w:p w14:paraId="4A6FD2C9" w14:textId="77777777" w:rsidR="00896496" w:rsidRDefault="00896496" w:rsidP="00A82CD1">
            <w:pPr>
              <w:pStyle w:val="tabletext"/>
              <w:rPr>
                <w:lang w:val="en-US" w:eastAsia="en-US"/>
              </w:rPr>
            </w:pPr>
            <w:r>
              <w:rPr>
                <w:lang w:val="en-US" w:eastAsia="en-US"/>
              </w:rPr>
              <w:t>Part 4, Division 4, section 77</w:t>
            </w:r>
          </w:p>
        </w:tc>
        <w:tc>
          <w:tcPr>
            <w:tcW w:w="2211" w:type="dxa"/>
          </w:tcPr>
          <w:p w14:paraId="3EF64602" w14:textId="77777777" w:rsidR="00896496" w:rsidRDefault="00631BF1" w:rsidP="00A82CD1">
            <w:pPr>
              <w:pStyle w:val="tabletext"/>
              <w:rPr>
                <w:lang w:val="en-US" w:eastAsia="en-US"/>
              </w:rPr>
            </w:pPr>
            <w:r>
              <w:rPr>
                <w:lang w:val="en-US" w:eastAsia="en-US"/>
              </w:rPr>
              <w:t xml:space="preserve">6.15, </w:t>
            </w:r>
            <w:r w:rsidR="00896496">
              <w:rPr>
                <w:lang w:val="en-US" w:eastAsia="en-US"/>
              </w:rPr>
              <w:t>6.31</w:t>
            </w:r>
          </w:p>
        </w:tc>
      </w:tr>
      <w:tr w:rsidR="005448BC" w:rsidRPr="00231CBA" w14:paraId="1C2ABDCF"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5A3CD704" w14:textId="77777777" w:rsidR="005448BC" w:rsidRDefault="005448BC" w:rsidP="005448BC">
            <w:pPr>
              <w:pStyle w:val="tabletext"/>
              <w:rPr>
                <w:lang w:val="en-US" w:eastAsia="en-US"/>
              </w:rPr>
            </w:pPr>
            <w:r>
              <w:rPr>
                <w:lang w:val="en-US" w:eastAsia="en-US"/>
              </w:rPr>
              <w:t>Part 4, Division 4, section 78</w:t>
            </w:r>
          </w:p>
        </w:tc>
        <w:tc>
          <w:tcPr>
            <w:tcW w:w="2211" w:type="dxa"/>
            <w:tcBorders>
              <w:top w:val="single" w:sz="4" w:space="0" w:color="auto"/>
              <w:left w:val="single" w:sz="4" w:space="0" w:color="auto"/>
              <w:bottom w:val="single" w:sz="4" w:space="0" w:color="auto"/>
              <w:right w:val="single" w:sz="4" w:space="0" w:color="auto"/>
            </w:tcBorders>
          </w:tcPr>
          <w:p w14:paraId="6B119269" w14:textId="77777777" w:rsidR="005448BC" w:rsidRDefault="00631BF1" w:rsidP="005448BC">
            <w:pPr>
              <w:pStyle w:val="tabletext"/>
              <w:rPr>
                <w:lang w:val="en-US" w:eastAsia="en-US"/>
              </w:rPr>
            </w:pPr>
            <w:r>
              <w:rPr>
                <w:lang w:val="en-US" w:eastAsia="en-US"/>
              </w:rPr>
              <w:t xml:space="preserve">6.16, </w:t>
            </w:r>
            <w:r w:rsidR="005448BC">
              <w:rPr>
                <w:lang w:val="en-US" w:eastAsia="en-US"/>
              </w:rPr>
              <w:t>6.21, 6.32</w:t>
            </w:r>
          </w:p>
        </w:tc>
      </w:tr>
      <w:tr w:rsidR="005448BC" w:rsidRPr="00231CBA" w14:paraId="6B9E561D"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2EC064D3" w14:textId="77777777" w:rsidR="005448BC" w:rsidRDefault="005448BC" w:rsidP="005448BC">
            <w:pPr>
              <w:pStyle w:val="tabletext"/>
              <w:rPr>
                <w:lang w:val="en-US" w:eastAsia="en-US"/>
              </w:rPr>
            </w:pPr>
            <w:r>
              <w:rPr>
                <w:lang w:val="en-US" w:eastAsia="en-US"/>
              </w:rPr>
              <w:t>Part 5, Division 1, section 79</w:t>
            </w:r>
          </w:p>
        </w:tc>
        <w:tc>
          <w:tcPr>
            <w:tcW w:w="2211" w:type="dxa"/>
            <w:tcBorders>
              <w:top w:val="single" w:sz="4" w:space="0" w:color="auto"/>
              <w:left w:val="single" w:sz="4" w:space="0" w:color="auto"/>
              <w:bottom w:val="single" w:sz="4" w:space="0" w:color="auto"/>
              <w:right w:val="single" w:sz="4" w:space="0" w:color="auto"/>
            </w:tcBorders>
          </w:tcPr>
          <w:p w14:paraId="25E8B617" w14:textId="77777777" w:rsidR="005448BC" w:rsidRDefault="00631BF1" w:rsidP="005448BC">
            <w:pPr>
              <w:pStyle w:val="tabletext"/>
              <w:rPr>
                <w:lang w:val="en-US" w:eastAsia="en-US"/>
              </w:rPr>
            </w:pPr>
            <w:r>
              <w:rPr>
                <w:lang w:val="en-US" w:eastAsia="en-US"/>
              </w:rPr>
              <w:t xml:space="preserve">2.4, </w:t>
            </w:r>
            <w:r w:rsidR="005448BC">
              <w:rPr>
                <w:lang w:val="en-US" w:eastAsia="en-US"/>
              </w:rPr>
              <w:t>7.2</w:t>
            </w:r>
          </w:p>
        </w:tc>
      </w:tr>
      <w:tr w:rsidR="00896496" w:rsidRPr="00231CBA" w14:paraId="1E8E683D" w14:textId="77777777" w:rsidTr="003F092F">
        <w:trPr>
          <w:tblHeader/>
        </w:trPr>
        <w:tc>
          <w:tcPr>
            <w:tcW w:w="5529" w:type="dxa"/>
          </w:tcPr>
          <w:p w14:paraId="345A747F" w14:textId="77777777" w:rsidR="00896496" w:rsidRDefault="00896496" w:rsidP="00A82CD1">
            <w:pPr>
              <w:pStyle w:val="tabletext"/>
              <w:rPr>
                <w:lang w:val="en-US" w:eastAsia="en-US"/>
              </w:rPr>
            </w:pPr>
            <w:r>
              <w:rPr>
                <w:lang w:val="en-US" w:eastAsia="en-US"/>
              </w:rPr>
              <w:t>Part 5, Division 2, section 80</w:t>
            </w:r>
          </w:p>
        </w:tc>
        <w:tc>
          <w:tcPr>
            <w:tcW w:w="2211" w:type="dxa"/>
          </w:tcPr>
          <w:p w14:paraId="0D33FD70" w14:textId="77777777" w:rsidR="00896496" w:rsidRDefault="00896496" w:rsidP="00A82CD1">
            <w:pPr>
              <w:pStyle w:val="tabletext"/>
              <w:rPr>
                <w:lang w:val="en-US" w:eastAsia="en-US"/>
              </w:rPr>
            </w:pPr>
            <w:r>
              <w:rPr>
                <w:lang w:val="en-US" w:eastAsia="en-US"/>
              </w:rPr>
              <w:t>7.3</w:t>
            </w:r>
          </w:p>
        </w:tc>
      </w:tr>
      <w:tr w:rsidR="00896496" w:rsidRPr="00231CBA" w14:paraId="0ED4DDBD" w14:textId="77777777" w:rsidTr="003F092F">
        <w:trPr>
          <w:tblHeader/>
        </w:trPr>
        <w:tc>
          <w:tcPr>
            <w:tcW w:w="5529" w:type="dxa"/>
          </w:tcPr>
          <w:p w14:paraId="5841A8A0" w14:textId="77777777" w:rsidR="00896496" w:rsidRDefault="00896496" w:rsidP="00A82CD1">
            <w:pPr>
              <w:pStyle w:val="tabletext"/>
              <w:rPr>
                <w:lang w:val="en-US" w:eastAsia="en-US"/>
              </w:rPr>
            </w:pPr>
            <w:r>
              <w:rPr>
                <w:lang w:val="en-US" w:eastAsia="en-US"/>
              </w:rPr>
              <w:t>Part 5, Division 2, section 82</w:t>
            </w:r>
          </w:p>
        </w:tc>
        <w:tc>
          <w:tcPr>
            <w:tcW w:w="2211" w:type="dxa"/>
          </w:tcPr>
          <w:p w14:paraId="69EEF25E" w14:textId="77777777" w:rsidR="00896496" w:rsidRDefault="00896496" w:rsidP="00A82CD1">
            <w:pPr>
              <w:pStyle w:val="tabletext"/>
              <w:rPr>
                <w:lang w:val="en-US" w:eastAsia="en-US"/>
              </w:rPr>
            </w:pPr>
            <w:r>
              <w:rPr>
                <w:lang w:val="en-US" w:eastAsia="en-US"/>
              </w:rPr>
              <w:t>7.5</w:t>
            </w:r>
          </w:p>
        </w:tc>
      </w:tr>
      <w:tr w:rsidR="00896496" w:rsidRPr="00231CBA" w14:paraId="1711CFAF" w14:textId="77777777" w:rsidTr="003F092F">
        <w:trPr>
          <w:tblHeader/>
        </w:trPr>
        <w:tc>
          <w:tcPr>
            <w:tcW w:w="5529" w:type="dxa"/>
          </w:tcPr>
          <w:p w14:paraId="174B4A1E" w14:textId="77777777" w:rsidR="00896496" w:rsidRDefault="00896496" w:rsidP="00A82CD1">
            <w:pPr>
              <w:pStyle w:val="tabletext"/>
              <w:rPr>
                <w:lang w:val="en-US" w:eastAsia="en-US"/>
              </w:rPr>
            </w:pPr>
            <w:r>
              <w:rPr>
                <w:lang w:val="en-US" w:eastAsia="en-US"/>
              </w:rPr>
              <w:t>Part 5, Division 2, section 83</w:t>
            </w:r>
          </w:p>
        </w:tc>
        <w:tc>
          <w:tcPr>
            <w:tcW w:w="2211" w:type="dxa"/>
          </w:tcPr>
          <w:p w14:paraId="3E672C0D" w14:textId="77777777" w:rsidR="00896496" w:rsidRDefault="00896496" w:rsidP="00A82CD1">
            <w:pPr>
              <w:pStyle w:val="tabletext"/>
              <w:rPr>
                <w:lang w:val="en-US" w:eastAsia="en-US"/>
              </w:rPr>
            </w:pPr>
            <w:r>
              <w:rPr>
                <w:lang w:val="en-US" w:eastAsia="en-US"/>
              </w:rPr>
              <w:t>7.6</w:t>
            </w:r>
          </w:p>
        </w:tc>
      </w:tr>
      <w:tr w:rsidR="00896496" w:rsidRPr="00231CBA" w14:paraId="763869AC" w14:textId="77777777" w:rsidTr="003F092F">
        <w:trPr>
          <w:tblHeader/>
        </w:trPr>
        <w:tc>
          <w:tcPr>
            <w:tcW w:w="5529" w:type="dxa"/>
          </w:tcPr>
          <w:p w14:paraId="215921B3" w14:textId="77777777" w:rsidR="00896496" w:rsidRDefault="00896496" w:rsidP="00A82CD1">
            <w:pPr>
              <w:pStyle w:val="tabletext"/>
              <w:rPr>
                <w:lang w:val="en-US" w:eastAsia="en-US"/>
              </w:rPr>
            </w:pPr>
            <w:r>
              <w:rPr>
                <w:lang w:val="en-US" w:eastAsia="en-US"/>
              </w:rPr>
              <w:t>Part 5, Division 2, section 86</w:t>
            </w:r>
          </w:p>
        </w:tc>
        <w:tc>
          <w:tcPr>
            <w:tcW w:w="2211" w:type="dxa"/>
          </w:tcPr>
          <w:p w14:paraId="736EA18C" w14:textId="77777777" w:rsidR="00896496" w:rsidRDefault="00896496" w:rsidP="00A82CD1">
            <w:pPr>
              <w:pStyle w:val="tabletext"/>
              <w:rPr>
                <w:lang w:val="en-US" w:eastAsia="en-US"/>
              </w:rPr>
            </w:pPr>
            <w:r>
              <w:rPr>
                <w:lang w:val="en-US" w:eastAsia="en-US"/>
              </w:rPr>
              <w:t>7.7</w:t>
            </w:r>
          </w:p>
        </w:tc>
      </w:tr>
      <w:tr w:rsidR="009B2F4D" w:rsidRPr="00442FB9" w14:paraId="6D5136D1"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6D3AE863" w14:textId="77777777" w:rsidR="009B2F4D" w:rsidRPr="009B2F4D" w:rsidRDefault="009B2F4D" w:rsidP="00570D5A">
            <w:pPr>
              <w:pStyle w:val="tableheaderwithintable"/>
              <w:rPr>
                <w:lang w:val="en-US" w:eastAsia="en-US"/>
              </w:rPr>
            </w:pPr>
            <w:r w:rsidRPr="009B2F4D">
              <w:rPr>
                <w:lang w:val="en-US" w:eastAsia="en-US"/>
              </w:rPr>
              <w:t>Bill reference</w:t>
            </w:r>
          </w:p>
        </w:tc>
        <w:tc>
          <w:tcPr>
            <w:tcW w:w="2211" w:type="dxa"/>
            <w:tcBorders>
              <w:top w:val="single" w:sz="4" w:space="0" w:color="auto"/>
              <w:left w:val="single" w:sz="4" w:space="0" w:color="auto"/>
              <w:bottom w:val="single" w:sz="4" w:space="0" w:color="auto"/>
              <w:right w:val="single" w:sz="4" w:space="0" w:color="auto"/>
            </w:tcBorders>
          </w:tcPr>
          <w:p w14:paraId="07F21661" w14:textId="77777777" w:rsidR="009B2F4D" w:rsidRPr="009B2F4D" w:rsidRDefault="009B2F4D" w:rsidP="00570D5A">
            <w:pPr>
              <w:pStyle w:val="tableheaderwithintable"/>
              <w:rPr>
                <w:lang w:val="en-US" w:eastAsia="en-US"/>
              </w:rPr>
            </w:pPr>
            <w:r w:rsidRPr="009B2F4D">
              <w:rPr>
                <w:lang w:val="en-US" w:eastAsia="en-US"/>
              </w:rPr>
              <w:t>Paragraph number</w:t>
            </w:r>
          </w:p>
        </w:tc>
      </w:tr>
      <w:tr w:rsidR="00896496" w:rsidRPr="00231CBA" w14:paraId="3BF70EA2" w14:textId="77777777" w:rsidTr="003F092F">
        <w:trPr>
          <w:tblHeader/>
        </w:trPr>
        <w:tc>
          <w:tcPr>
            <w:tcW w:w="5529" w:type="dxa"/>
          </w:tcPr>
          <w:p w14:paraId="5FB0D6E0" w14:textId="77777777" w:rsidR="00896496" w:rsidRDefault="00896496" w:rsidP="00A82CD1">
            <w:pPr>
              <w:pStyle w:val="tabletext"/>
              <w:rPr>
                <w:lang w:val="en-US" w:eastAsia="en-US"/>
              </w:rPr>
            </w:pPr>
            <w:r>
              <w:rPr>
                <w:lang w:val="en-US" w:eastAsia="en-US"/>
              </w:rPr>
              <w:t>Part 5, Division 2, section 87</w:t>
            </w:r>
          </w:p>
        </w:tc>
        <w:tc>
          <w:tcPr>
            <w:tcW w:w="2211" w:type="dxa"/>
          </w:tcPr>
          <w:p w14:paraId="1E303F3F" w14:textId="77777777" w:rsidR="00896496" w:rsidRDefault="00896496" w:rsidP="00A82CD1">
            <w:pPr>
              <w:pStyle w:val="tabletext"/>
              <w:rPr>
                <w:lang w:val="en-US" w:eastAsia="en-US"/>
              </w:rPr>
            </w:pPr>
            <w:r>
              <w:rPr>
                <w:lang w:val="en-US" w:eastAsia="en-US"/>
              </w:rPr>
              <w:t>7.8</w:t>
            </w:r>
          </w:p>
        </w:tc>
      </w:tr>
      <w:tr w:rsidR="00896496" w:rsidRPr="00231CBA" w14:paraId="2D526C16" w14:textId="77777777" w:rsidTr="003F092F">
        <w:trPr>
          <w:tblHeader/>
        </w:trPr>
        <w:tc>
          <w:tcPr>
            <w:tcW w:w="5529" w:type="dxa"/>
          </w:tcPr>
          <w:p w14:paraId="0FF91FEA" w14:textId="77777777" w:rsidR="00896496" w:rsidRDefault="00896496" w:rsidP="00A82CD1">
            <w:pPr>
              <w:pStyle w:val="tabletext"/>
              <w:rPr>
                <w:lang w:val="en-US" w:eastAsia="en-US"/>
              </w:rPr>
            </w:pPr>
            <w:r>
              <w:rPr>
                <w:lang w:val="en-US" w:eastAsia="en-US"/>
              </w:rPr>
              <w:t>Part 5, Division 2, section 88</w:t>
            </w:r>
          </w:p>
        </w:tc>
        <w:tc>
          <w:tcPr>
            <w:tcW w:w="2211" w:type="dxa"/>
          </w:tcPr>
          <w:p w14:paraId="634A1D49" w14:textId="77777777" w:rsidR="00896496" w:rsidRDefault="00896496" w:rsidP="00A82CD1">
            <w:pPr>
              <w:pStyle w:val="tabletext"/>
              <w:rPr>
                <w:lang w:val="en-US" w:eastAsia="en-US"/>
              </w:rPr>
            </w:pPr>
            <w:r>
              <w:rPr>
                <w:lang w:val="en-US" w:eastAsia="en-US"/>
              </w:rPr>
              <w:t>7.8</w:t>
            </w:r>
          </w:p>
        </w:tc>
      </w:tr>
      <w:tr w:rsidR="00896496" w:rsidRPr="00231CBA" w14:paraId="4F1C1F4F" w14:textId="77777777" w:rsidTr="003F092F">
        <w:trPr>
          <w:tblHeader/>
        </w:trPr>
        <w:tc>
          <w:tcPr>
            <w:tcW w:w="5529" w:type="dxa"/>
          </w:tcPr>
          <w:p w14:paraId="4E09576A" w14:textId="77777777" w:rsidR="00896496" w:rsidRDefault="00896496" w:rsidP="00A82CD1">
            <w:pPr>
              <w:pStyle w:val="tabletext"/>
              <w:rPr>
                <w:lang w:val="en-US" w:eastAsia="en-US"/>
              </w:rPr>
            </w:pPr>
            <w:r>
              <w:rPr>
                <w:lang w:val="en-US" w:eastAsia="en-US"/>
              </w:rPr>
              <w:t>Part 5, Division 2, section 89</w:t>
            </w:r>
          </w:p>
        </w:tc>
        <w:tc>
          <w:tcPr>
            <w:tcW w:w="2211" w:type="dxa"/>
          </w:tcPr>
          <w:p w14:paraId="576B6C07" w14:textId="77777777" w:rsidR="00896496" w:rsidRDefault="00896496" w:rsidP="00A82CD1">
            <w:pPr>
              <w:pStyle w:val="tabletext"/>
              <w:rPr>
                <w:lang w:val="en-US" w:eastAsia="en-US"/>
              </w:rPr>
            </w:pPr>
            <w:r>
              <w:rPr>
                <w:lang w:val="en-US" w:eastAsia="en-US"/>
              </w:rPr>
              <w:t>7.8</w:t>
            </w:r>
          </w:p>
        </w:tc>
      </w:tr>
      <w:tr w:rsidR="00896496" w:rsidRPr="00231CBA" w14:paraId="44239F33" w14:textId="77777777" w:rsidTr="003F092F">
        <w:trPr>
          <w:tblHeader/>
        </w:trPr>
        <w:tc>
          <w:tcPr>
            <w:tcW w:w="5529" w:type="dxa"/>
          </w:tcPr>
          <w:p w14:paraId="04EA0094" w14:textId="77777777" w:rsidR="00896496" w:rsidRDefault="00896496" w:rsidP="00A82CD1">
            <w:pPr>
              <w:pStyle w:val="tabletext"/>
              <w:rPr>
                <w:lang w:val="en-US" w:eastAsia="en-US"/>
              </w:rPr>
            </w:pPr>
            <w:r>
              <w:rPr>
                <w:lang w:val="en-US" w:eastAsia="en-US"/>
              </w:rPr>
              <w:t>Part 5, Division 2, section 90</w:t>
            </w:r>
          </w:p>
        </w:tc>
        <w:tc>
          <w:tcPr>
            <w:tcW w:w="2211" w:type="dxa"/>
          </w:tcPr>
          <w:p w14:paraId="2024F04E" w14:textId="77777777" w:rsidR="00896496" w:rsidRDefault="00896496" w:rsidP="00A82CD1">
            <w:pPr>
              <w:pStyle w:val="tabletext"/>
              <w:rPr>
                <w:lang w:val="en-US" w:eastAsia="en-US"/>
              </w:rPr>
            </w:pPr>
            <w:r>
              <w:rPr>
                <w:lang w:val="en-US" w:eastAsia="en-US"/>
              </w:rPr>
              <w:t>7.9</w:t>
            </w:r>
          </w:p>
        </w:tc>
      </w:tr>
      <w:tr w:rsidR="00223317" w:rsidRPr="00231CBA" w14:paraId="00193D7D" w14:textId="77777777" w:rsidTr="003F092F">
        <w:trPr>
          <w:tblHeader/>
        </w:trPr>
        <w:tc>
          <w:tcPr>
            <w:tcW w:w="5529" w:type="dxa"/>
          </w:tcPr>
          <w:p w14:paraId="259F5094" w14:textId="77777777" w:rsidR="00223317" w:rsidRDefault="00223317" w:rsidP="00BD6A73">
            <w:pPr>
              <w:pStyle w:val="tabletext"/>
              <w:rPr>
                <w:lang w:val="en-US" w:eastAsia="en-US"/>
              </w:rPr>
            </w:pPr>
            <w:r>
              <w:rPr>
                <w:lang w:val="en-US" w:eastAsia="en-US"/>
              </w:rPr>
              <w:t>Part 5, Division 4, section 92</w:t>
            </w:r>
          </w:p>
        </w:tc>
        <w:tc>
          <w:tcPr>
            <w:tcW w:w="2211" w:type="dxa"/>
          </w:tcPr>
          <w:p w14:paraId="6BE30A91" w14:textId="77777777" w:rsidR="00223317" w:rsidRDefault="00223317" w:rsidP="00BD6A73">
            <w:pPr>
              <w:pStyle w:val="tabletext"/>
              <w:rPr>
                <w:lang w:val="en-US" w:eastAsia="en-US"/>
              </w:rPr>
            </w:pPr>
            <w:r>
              <w:rPr>
                <w:lang w:val="en-US" w:eastAsia="en-US"/>
              </w:rPr>
              <w:t>7.11</w:t>
            </w:r>
          </w:p>
        </w:tc>
      </w:tr>
      <w:tr w:rsidR="00896496" w:rsidRPr="00231CBA" w14:paraId="5AC79CAC" w14:textId="77777777" w:rsidTr="003F092F">
        <w:trPr>
          <w:tblHeader/>
        </w:trPr>
        <w:tc>
          <w:tcPr>
            <w:tcW w:w="5529" w:type="dxa"/>
          </w:tcPr>
          <w:p w14:paraId="63588B99" w14:textId="77777777" w:rsidR="00896496" w:rsidRDefault="00896496" w:rsidP="00631BF1">
            <w:pPr>
              <w:pStyle w:val="tabletext"/>
              <w:rPr>
                <w:lang w:val="en-US" w:eastAsia="en-US"/>
              </w:rPr>
            </w:pPr>
            <w:r>
              <w:rPr>
                <w:lang w:val="en-US" w:eastAsia="en-US"/>
              </w:rPr>
              <w:t>Part 5, Division 4, section 9</w:t>
            </w:r>
            <w:r w:rsidR="00631BF1">
              <w:rPr>
                <w:lang w:val="en-US" w:eastAsia="en-US"/>
              </w:rPr>
              <w:t>3</w:t>
            </w:r>
          </w:p>
        </w:tc>
        <w:tc>
          <w:tcPr>
            <w:tcW w:w="2211" w:type="dxa"/>
          </w:tcPr>
          <w:p w14:paraId="56F04659" w14:textId="77777777" w:rsidR="00896496" w:rsidRDefault="00631BF1" w:rsidP="00631BF1">
            <w:pPr>
              <w:pStyle w:val="tabletext"/>
              <w:rPr>
                <w:lang w:val="en-US" w:eastAsia="en-US"/>
              </w:rPr>
            </w:pPr>
            <w:r>
              <w:rPr>
                <w:lang w:val="en-US" w:eastAsia="en-US"/>
              </w:rPr>
              <w:t>7.12</w:t>
            </w:r>
          </w:p>
        </w:tc>
      </w:tr>
      <w:tr w:rsidR="00EF6180" w:rsidRPr="00231CBA" w14:paraId="3BF36E68" w14:textId="77777777" w:rsidTr="003F092F">
        <w:trPr>
          <w:tblHeader/>
        </w:trPr>
        <w:tc>
          <w:tcPr>
            <w:tcW w:w="5529" w:type="dxa"/>
          </w:tcPr>
          <w:p w14:paraId="36D2523E" w14:textId="77777777" w:rsidR="00EF6180" w:rsidRDefault="00EF6180" w:rsidP="00BD6A73">
            <w:pPr>
              <w:pStyle w:val="tabletext"/>
              <w:rPr>
                <w:lang w:val="en-US" w:eastAsia="en-US"/>
              </w:rPr>
            </w:pPr>
            <w:r>
              <w:rPr>
                <w:lang w:val="en-US" w:eastAsia="en-US"/>
              </w:rPr>
              <w:t>Part 5, Division 4, section 94</w:t>
            </w:r>
          </w:p>
        </w:tc>
        <w:tc>
          <w:tcPr>
            <w:tcW w:w="2211" w:type="dxa"/>
          </w:tcPr>
          <w:p w14:paraId="3DA9F39C" w14:textId="77777777" w:rsidR="00EF6180" w:rsidRDefault="00EF6180" w:rsidP="00BD6A73">
            <w:pPr>
              <w:pStyle w:val="tabletext"/>
              <w:rPr>
                <w:lang w:val="en-US" w:eastAsia="en-US"/>
              </w:rPr>
            </w:pPr>
            <w:r>
              <w:rPr>
                <w:lang w:val="en-US" w:eastAsia="en-US"/>
              </w:rPr>
              <w:t>7.13</w:t>
            </w:r>
          </w:p>
        </w:tc>
      </w:tr>
      <w:tr w:rsidR="00896496" w:rsidRPr="00231CBA" w14:paraId="59123774" w14:textId="77777777" w:rsidTr="003F092F">
        <w:trPr>
          <w:tblHeader/>
        </w:trPr>
        <w:tc>
          <w:tcPr>
            <w:tcW w:w="5529" w:type="dxa"/>
          </w:tcPr>
          <w:p w14:paraId="04DF513E" w14:textId="77777777" w:rsidR="00896496" w:rsidRDefault="00896496" w:rsidP="00EF6180">
            <w:pPr>
              <w:pStyle w:val="tabletext"/>
              <w:rPr>
                <w:lang w:val="en-US" w:eastAsia="en-US"/>
              </w:rPr>
            </w:pPr>
            <w:r>
              <w:rPr>
                <w:lang w:val="en-US" w:eastAsia="en-US"/>
              </w:rPr>
              <w:t>Part 5, Division 4, section 9</w:t>
            </w:r>
            <w:r w:rsidR="00EF6180">
              <w:rPr>
                <w:lang w:val="en-US" w:eastAsia="en-US"/>
              </w:rPr>
              <w:t>5</w:t>
            </w:r>
          </w:p>
        </w:tc>
        <w:tc>
          <w:tcPr>
            <w:tcW w:w="2211" w:type="dxa"/>
          </w:tcPr>
          <w:p w14:paraId="063C799D" w14:textId="77777777" w:rsidR="00896496" w:rsidRDefault="00EF6180" w:rsidP="00A82CD1">
            <w:pPr>
              <w:pStyle w:val="tabletext"/>
              <w:rPr>
                <w:lang w:val="en-US" w:eastAsia="en-US"/>
              </w:rPr>
            </w:pPr>
            <w:r>
              <w:rPr>
                <w:lang w:val="en-US" w:eastAsia="en-US"/>
              </w:rPr>
              <w:t>7.15</w:t>
            </w:r>
          </w:p>
        </w:tc>
      </w:tr>
      <w:tr w:rsidR="00896496" w:rsidRPr="00231CBA" w14:paraId="7338B6A6" w14:textId="77777777" w:rsidTr="003F092F">
        <w:trPr>
          <w:tblHeader/>
        </w:trPr>
        <w:tc>
          <w:tcPr>
            <w:tcW w:w="5529" w:type="dxa"/>
          </w:tcPr>
          <w:p w14:paraId="2AE6388E" w14:textId="77777777" w:rsidR="00896496" w:rsidRDefault="00896496" w:rsidP="00A82CD1">
            <w:pPr>
              <w:pStyle w:val="tabletext"/>
              <w:rPr>
                <w:lang w:val="en-US" w:eastAsia="en-US"/>
              </w:rPr>
            </w:pPr>
            <w:r>
              <w:rPr>
                <w:lang w:val="en-US" w:eastAsia="en-US"/>
              </w:rPr>
              <w:t>Part 5, Division 4, section 96</w:t>
            </w:r>
          </w:p>
        </w:tc>
        <w:tc>
          <w:tcPr>
            <w:tcW w:w="2211" w:type="dxa"/>
          </w:tcPr>
          <w:p w14:paraId="5D146A23" w14:textId="77777777" w:rsidR="00896496" w:rsidRDefault="00EF6180" w:rsidP="00A82CD1">
            <w:pPr>
              <w:pStyle w:val="tabletext"/>
              <w:rPr>
                <w:lang w:val="en-US" w:eastAsia="en-US"/>
              </w:rPr>
            </w:pPr>
            <w:r>
              <w:rPr>
                <w:lang w:val="en-US" w:eastAsia="en-US"/>
              </w:rPr>
              <w:t>7.16</w:t>
            </w:r>
          </w:p>
        </w:tc>
      </w:tr>
      <w:tr w:rsidR="00025C18" w:rsidRPr="00231CBA" w14:paraId="2EDD8C48" w14:textId="77777777" w:rsidTr="003F092F">
        <w:trPr>
          <w:tblHeader/>
        </w:trPr>
        <w:tc>
          <w:tcPr>
            <w:tcW w:w="5529" w:type="dxa"/>
            <w:tcBorders>
              <w:top w:val="single" w:sz="4" w:space="0" w:color="auto"/>
              <w:left w:val="single" w:sz="4" w:space="0" w:color="auto"/>
              <w:bottom w:val="single" w:sz="4" w:space="0" w:color="auto"/>
              <w:right w:val="single" w:sz="4" w:space="0" w:color="auto"/>
            </w:tcBorders>
          </w:tcPr>
          <w:p w14:paraId="61C3FAC2" w14:textId="77777777" w:rsidR="00025C18" w:rsidRPr="00025C18" w:rsidRDefault="00025C18" w:rsidP="00B64A6A">
            <w:pPr>
              <w:pStyle w:val="tabletext"/>
              <w:rPr>
                <w:lang w:val="en-US" w:eastAsia="en-US"/>
              </w:rPr>
            </w:pPr>
            <w:r w:rsidRPr="00025C18">
              <w:rPr>
                <w:lang w:val="en-US" w:eastAsia="en-US"/>
              </w:rPr>
              <w:t>Section 2</w:t>
            </w:r>
          </w:p>
        </w:tc>
        <w:tc>
          <w:tcPr>
            <w:tcW w:w="2211" w:type="dxa"/>
            <w:tcBorders>
              <w:top w:val="single" w:sz="4" w:space="0" w:color="auto"/>
              <w:left w:val="single" w:sz="4" w:space="0" w:color="auto"/>
              <w:bottom w:val="single" w:sz="4" w:space="0" w:color="auto"/>
              <w:right w:val="single" w:sz="4" w:space="0" w:color="auto"/>
            </w:tcBorders>
          </w:tcPr>
          <w:p w14:paraId="3677D971" w14:textId="77777777" w:rsidR="00025C18" w:rsidRPr="00025C18" w:rsidRDefault="00025C18" w:rsidP="00B64A6A">
            <w:pPr>
              <w:pStyle w:val="tabletext"/>
              <w:rPr>
                <w:lang w:val="en-US" w:eastAsia="en-US"/>
              </w:rPr>
            </w:pPr>
            <w:r w:rsidRPr="00025C18">
              <w:rPr>
                <w:lang w:val="en-US" w:eastAsia="en-US"/>
              </w:rPr>
              <w:t>8.14</w:t>
            </w:r>
          </w:p>
        </w:tc>
      </w:tr>
    </w:tbl>
    <w:p w14:paraId="045B83E5" w14:textId="59232814" w:rsidR="00295B51" w:rsidRDefault="003F092F" w:rsidP="00295B51">
      <w:pPr>
        <w:pStyle w:val="Heading2with18pointafter"/>
      </w:pPr>
      <w:r>
        <w:t>Australian Small Business and Family Enterprise Ombudsman (Consequential and Transitional Provisions) Bill 2015</w:t>
      </w:r>
    </w:p>
    <w:p w14:paraId="45DFA495" w14:textId="77777777" w:rsidR="00025C18" w:rsidRPr="007168AE" w:rsidRDefault="00025C18" w:rsidP="00025C18">
      <w:pPr>
        <w:pStyle w:val="Heading2"/>
      </w:pPr>
      <w:r>
        <w:t>Schedule 1: Consequential amendments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025C18" w:rsidRPr="00442FB9" w14:paraId="3F932612" w14:textId="77777777" w:rsidTr="00B64A6A">
        <w:trPr>
          <w:tblHeader/>
        </w:trPr>
        <w:tc>
          <w:tcPr>
            <w:tcW w:w="5760" w:type="dxa"/>
          </w:tcPr>
          <w:p w14:paraId="2FB9D168" w14:textId="77777777" w:rsidR="00025C18" w:rsidRPr="00231CBA" w:rsidRDefault="00025C18" w:rsidP="00B64A6A">
            <w:pPr>
              <w:pStyle w:val="tableheaderwithintable"/>
            </w:pPr>
            <w:r w:rsidRPr="00231CBA">
              <w:t>Bill reference</w:t>
            </w:r>
          </w:p>
        </w:tc>
        <w:tc>
          <w:tcPr>
            <w:tcW w:w="1980" w:type="dxa"/>
          </w:tcPr>
          <w:p w14:paraId="06A33E21" w14:textId="77777777" w:rsidR="00025C18" w:rsidRPr="00231CBA" w:rsidRDefault="00025C18" w:rsidP="00B64A6A">
            <w:pPr>
              <w:pStyle w:val="tableheaderwithintable"/>
            </w:pPr>
            <w:r w:rsidRPr="00231CBA">
              <w:t>Paragraph number</w:t>
            </w:r>
          </w:p>
        </w:tc>
      </w:tr>
      <w:tr w:rsidR="00025C18" w:rsidRPr="00231CBA" w14:paraId="07A07E54" w14:textId="77777777" w:rsidTr="00B64A6A">
        <w:trPr>
          <w:tblHeader/>
        </w:trPr>
        <w:tc>
          <w:tcPr>
            <w:tcW w:w="5760" w:type="dxa"/>
          </w:tcPr>
          <w:p w14:paraId="0B284F38" w14:textId="77777777" w:rsidR="00025C18" w:rsidRPr="00231CBA" w:rsidRDefault="00025C18" w:rsidP="00B64A6A">
            <w:pPr>
              <w:pStyle w:val="tabletext"/>
            </w:pPr>
            <w:r>
              <w:t>Item 1</w:t>
            </w:r>
          </w:p>
        </w:tc>
        <w:tc>
          <w:tcPr>
            <w:tcW w:w="1980" w:type="dxa"/>
          </w:tcPr>
          <w:p w14:paraId="2473C02F" w14:textId="77777777" w:rsidR="00025C18" w:rsidRPr="00231CBA" w:rsidRDefault="00025C18" w:rsidP="00025C18">
            <w:pPr>
              <w:pStyle w:val="tabletext"/>
            </w:pPr>
            <w:r>
              <w:t>8.7 to 8.13</w:t>
            </w:r>
          </w:p>
        </w:tc>
      </w:tr>
    </w:tbl>
    <w:p w14:paraId="331B1949" w14:textId="77777777" w:rsidR="00025C18" w:rsidRDefault="00025C18" w:rsidP="00025C18">
      <w:pPr>
        <w:pStyle w:val="Heading2with18pointafter"/>
      </w:pPr>
      <w:r>
        <w:t>Schedule 2: Transitional provisions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025C18" w:rsidRPr="00442FB9" w14:paraId="2983D4B5" w14:textId="77777777" w:rsidTr="00B64A6A">
        <w:trPr>
          <w:tblHeader/>
        </w:trPr>
        <w:tc>
          <w:tcPr>
            <w:tcW w:w="5760" w:type="dxa"/>
          </w:tcPr>
          <w:p w14:paraId="31A5C4E9" w14:textId="77777777" w:rsidR="00025C18" w:rsidRPr="00442FB9" w:rsidRDefault="00025C18" w:rsidP="00B64A6A">
            <w:pPr>
              <w:pStyle w:val="tableheaderwithintable"/>
              <w:rPr>
                <w:lang w:val="en-US" w:eastAsia="en-US"/>
              </w:rPr>
            </w:pPr>
            <w:r w:rsidRPr="00442FB9">
              <w:rPr>
                <w:lang w:val="en-US" w:eastAsia="en-US"/>
              </w:rPr>
              <w:t>Bill reference</w:t>
            </w:r>
          </w:p>
        </w:tc>
        <w:tc>
          <w:tcPr>
            <w:tcW w:w="1980" w:type="dxa"/>
          </w:tcPr>
          <w:p w14:paraId="3F7FEBBF" w14:textId="77777777" w:rsidR="00025C18" w:rsidRPr="00442FB9" w:rsidRDefault="00025C18" w:rsidP="00B64A6A">
            <w:pPr>
              <w:pStyle w:val="tableheaderwithintable"/>
              <w:rPr>
                <w:lang w:val="en-US" w:eastAsia="en-US"/>
              </w:rPr>
            </w:pPr>
            <w:r w:rsidRPr="00442FB9">
              <w:rPr>
                <w:lang w:val="en-US" w:eastAsia="en-US"/>
              </w:rPr>
              <w:t>Paragraph number</w:t>
            </w:r>
          </w:p>
        </w:tc>
      </w:tr>
      <w:tr w:rsidR="00025C18" w:rsidRPr="00231CBA" w14:paraId="7B790B33" w14:textId="77777777" w:rsidTr="00B64A6A">
        <w:trPr>
          <w:tblHeader/>
        </w:trPr>
        <w:tc>
          <w:tcPr>
            <w:tcW w:w="5760" w:type="dxa"/>
          </w:tcPr>
          <w:p w14:paraId="4183E0D2" w14:textId="77777777" w:rsidR="00025C18" w:rsidRPr="00231CBA" w:rsidRDefault="00025C18" w:rsidP="00B64A6A">
            <w:pPr>
              <w:pStyle w:val="tabletext"/>
            </w:pPr>
            <w:r>
              <w:t>Item 1</w:t>
            </w:r>
          </w:p>
        </w:tc>
        <w:tc>
          <w:tcPr>
            <w:tcW w:w="1980" w:type="dxa"/>
          </w:tcPr>
          <w:p w14:paraId="7B54B38C" w14:textId="77777777" w:rsidR="00025C18" w:rsidRPr="00231CBA" w:rsidRDefault="00025C18" w:rsidP="00B64A6A">
            <w:pPr>
              <w:pStyle w:val="tabletext"/>
            </w:pPr>
            <w:r>
              <w:t>9.4</w:t>
            </w:r>
          </w:p>
        </w:tc>
      </w:tr>
    </w:tbl>
    <w:p w14:paraId="6DAFA1C7" w14:textId="77777777" w:rsidR="006F3126" w:rsidRPr="00B03FA5" w:rsidRDefault="006F3126" w:rsidP="00B03FA5"/>
    <w:sectPr w:rsidR="006F3126" w:rsidRPr="00B03FA5" w:rsidSect="009B3F66">
      <w:type w:val="oddPage"/>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2FB64" w14:textId="77777777" w:rsidR="00EF15B6" w:rsidRDefault="00EF15B6">
      <w:r>
        <w:separator/>
      </w:r>
    </w:p>
  </w:endnote>
  <w:endnote w:type="continuationSeparator" w:id="0">
    <w:p w14:paraId="29990AFC" w14:textId="77777777" w:rsidR="00EF15B6" w:rsidRDefault="00EF15B6">
      <w:r>
        <w:continuationSeparator/>
      </w:r>
    </w:p>
  </w:endnote>
  <w:endnote w:type="continuationNotice" w:id="1">
    <w:p w14:paraId="170D7C0B" w14:textId="77777777" w:rsidR="00EF15B6" w:rsidRDefault="00EF15B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3E4E8" w14:textId="77777777" w:rsidR="00EF15B6" w:rsidRDefault="00EF15B6" w:rsidP="008777F2">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A76C2" w14:textId="77777777" w:rsidR="00EF15B6" w:rsidRDefault="00EF15B6" w:rsidP="009C2D18">
    <w:pPr>
      <w:pStyle w:val="rightfooter"/>
    </w:pPr>
    <w:r>
      <w:fldChar w:fldCharType="begin"/>
    </w:r>
    <w:r>
      <w:instrText xml:space="preserve"> PAGE   \* MERGEFORMAT </w:instrText>
    </w:r>
    <w:r>
      <w:fldChar w:fldCharType="separate"/>
    </w:r>
    <w:r w:rsidR="0053332F">
      <w:rPr>
        <w:noProof/>
      </w:rPr>
      <w:t>11</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3DA9A" w14:textId="77777777" w:rsidR="00EF15B6" w:rsidRDefault="00EF15B6" w:rsidP="009C2D18">
    <w:pPr>
      <w:pStyle w:val="rightfooter"/>
    </w:pPr>
    <w:r>
      <w:fldChar w:fldCharType="begin"/>
    </w:r>
    <w:r>
      <w:instrText xml:space="preserve"> PAGE  \* Arabic  \* MERGEFORMAT </w:instrText>
    </w:r>
    <w:r>
      <w:fldChar w:fldCharType="separate"/>
    </w:r>
    <w:r w:rsidR="0053332F">
      <w:rPr>
        <w:noProof/>
      </w:rPr>
      <w:t>7</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852C3" w14:textId="77777777" w:rsidR="00EF15B6" w:rsidRDefault="00EF15B6" w:rsidP="00AC0C2F">
    <w:pPr>
      <w:pStyle w:val="leftfooter"/>
    </w:pPr>
    <w:r>
      <w:fldChar w:fldCharType="begin"/>
    </w:r>
    <w:r>
      <w:instrText xml:space="preserve"> PAGE   \* MERGEFORMAT </w:instrText>
    </w:r>
    <w:r>
      <w:fldChar w:fldCharType="separate"/>
    </w:r>
    <w:r w:rsidR="0053332F">
      <w:rPr>
        <w:noProof/>
      </w:rPr>
      <w:t>18</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A4921" w14:textId="77777777" w:rsidR="00EF15B6" w:rsidRDefault="00EF15B6" w:rsidP="00AC0C2F">
    <w:pPr>
      <w:pStyle w:val="rightfooter"/>
    </w:pPr>
    <w:r>
      <w:fldChar w:fldCharType="begin"/>
    </w:r>
    <w:r>
      <w:instrText xml:space="preserve"> PAGE   \* MERGEFORMAT </w:instrText>
    </w:r>
    <w:r>
      <w:fldChar w:fldCharType="separate"/>
    </w:r>
    <w:r w:rsidR="0053332F">
      <w:rPr>
        <w:noProof/>
      </w:rPr>
      <w:t>17</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D472A" w14:textId="77777777" w:rsidR="00EF15B6" w:rsidRDefault="00EF15B6" w:rsidP="00AC0C2F">
    <w:pPr>
      <w:pStyle w:val="rightfooter"/>
    </w:pPr>
    <w:r>
      <w:fldChar w:fldCharType="begin"/>
    </w:r>
    <w:r>
      <w:instrText xml:space="preserve"> PAGE  \* Arabic  \* MERGEFORMAT </w:instrText>
    </w:r>
    <w:r>
      <w:fldChar w:fldCharType="separate"/>
    </w:r>
    <w:r w:rsidR="0053332F">
      <w:rPr>
        <w:noProof/>
      </w:rPr>
      <w:t>13</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08E71" w14:textId="77777777" w:rsidR="00EF15B6" w:rsidRDefault="00EF15B6" w:rsidP="005A76CC">
    <w:pPr>
      <w:pStyle w:val="leftfooter"/>
      <w:rPr>
        <w:noProof/>
      </w:rPr>
    </w:pPr>
    <w:r>
      <w:fldChar w:fldCharType="begin"/>
    </w:r>
    <w:r>
      <w:instrText xml:space="preserve"> PAGE   \* MERGEFORMAT </w:instrText>
    </w:r>
    <w:r>
      <w:fldChar w:fldCharType="separate"/>
    </w:r>
    <w:r w:rsidR="0053332F">
      <w:rPr>
        <w:noProof/>
      </w:rPr>
      <w:t>40</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E30EF" w14:textId="77777777" w:rsidR="00EF15B6" w:rsidRDefault="00EF15B6" w:rsidP="005A76CC">
    <w:pPr>
      <w:pStyle w:val="rightfooter"/>
      <w:rPr>
        <w:noProof/>
      </w:rPr>
    </w:pPr>
    <w:r>
      <w:fldChar w:fldCharType="begin"/>
    </w:r>
    <w:r>
      <w:instrText xml:space="preserve"> PAGE   \* MERGEFORMAT </w:instrText>
    </w:r>
    <w:r>
      <w:fldChar w:fldCharType="separate"/>
    </w:r>
    <w:r w:rsidR="0053332F">
      <w:rPr>
        <w:noProof/>
      </w:rPr>
      <w:t>41</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46AAC" w14:textId="77777777" w:rsidR="00EF15B6" w:rsidRDefault="00EF15B6" w:rsidP="005A76CC">
    <w:pPr>
      <w:pStyle w:val="rightfooter"/>
      <w:rPr>
        <w:noProof/>
      </w:rPr>
    </w:pPr>
    <w:r>
      <w:fldChar w:fldCharType="begin"/>
    </w:r>
    <w:r>
      <w:instrText xml:space="preserve"> PAGE  \* Arabic  \* MERGEFORMAT </w:instrText>
    </w:r>
    <w:r>
      <w:fldChar w:fldCharType="separate"/>
    </w:r>
    <w:r w:rsidR="0053332F">
      <w:rPr>
        <w:noProof/>
      </w:rPr>
      <w:t>37</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1FF0E" w14:textId="77777777" w:rsidR="00EF15B6" w:rsidRDefault="00EF15B6" w:rsidP="00DD1F1A">
    <w:pPr>
      <w:pStyle w:val="leftfooter"/>
    </w:pPr>
    <w:r>
      <w:fldChar w:fldCharType="begin"/>
    </w:r>
    <w:r>
      <w:instrText xml:space="preserve"> PAGE   \* MERGEFORMAT </w:instrText>
    </w:r>
    <w:r>
      <w:fldChar w:fldCharType="separate"/>
    </w:r>
    <w:r w:rsidR="0053332F">
      <w:rPr>
        <w:noProof/>
      </w:rPr>
      <w:t>46</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C4931" w14:textId="77777777" w:rsidR="00EF15B6" w:rsidRDefault="00EF15B6" w:rsidP="00DD1F1A">
    <w:pPr>
      <w:pStyle w:val="rightfooter"/>
    </w:pPr>
    <w:r>
      <w:fldChar w:fldCharType="begin"/>
    </w:r>
    <w:r>
      <w:instrText xml:space="preserve"> PAGE   \* MERGEFORMAT </w:instrText>
    </w:r>
    <w:r>
      <w:fldChar w:fldCharType="separate"/>
    </w:r>
    <w:r w:rsidR="0053332F">
      <w:rPr>
        <w:noProof/>
      </w:rPr>
      <w:t>45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0F26A" w14:textId="77777777" w:rsidR="00EF15B6" w:rsidRDefault="00EF15B6" w:rsidP="008777F2">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E8ECC" w14:textId="77777777" w:rsidR="00EF15B6" w:rsidRDefault="00EF15B6" w:rsidP="00DD1F1A">
    <w:pPr>
      <w:pStyle w:val="rightfooter"/>
    </w:pPr>
    <w:r>
      <w:fldChar w:fldCharType="begin"/>
    </w:r>
    <w:r>
      <w:instrText xml:space="preserve"> PAGE  \* Arabic  \* MERGEFORMAT </w:instrText>
    </w:r>
    <w:r>
      <w:fldChar w:fldCharType="separate"/>
    </w:r>
    <w:r w:rsidR="0053332F">
      <w:rPr>
        <w:noProof/>
      </w:rPr>
      <w:t>43</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2AC64" w14:textId="77777777" w:rsidR="00EF15B6" w:rsidRDefault="00EF15B6" w:rsidP="00DD1F1A">
    <w:pPr>
      <w:pStyle w:val="leftfooter"/>
    </w:pPr>
    <w:r>
      <w:fldChar w:fldCharType="begin"/>
    </w:r>
    <w:r>
      <w:instrText xml:space="preserve"> PAGE   \* MERGEFORMAT </w:instrText>
    </w:r>
    <w:r>
      <w:fldChar w:fldCharType="separate"/>
    </w:r>
    <w:r w:rsidR="0053332F">
      <w:rPr>
        <w:noProof/>
      </w:rPr>
      <w:t>48</w:t>
    </w:r>
    <w:r>
      <w:rPr>
        <w:noProof/>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92219" w14:textId="77777777" w:rsidR="00EF15B6" w:rsidRDefault="00EF15B6" w:rsidP="00DD1F1A">
    <w:pPr>
      <w:pStyle w:val="rightfooter"/>
    </w:pPr>
    <w:r>
      <w:fldChar w:fldCharType="begin"/>
    </w:r>
    <w:r>
      <w:instrText xml:space="preserve"> PAGE   \* MERGEFORMAT </w:instrText>
    </w:r>
    <w:r>
      <w:fldChar w:fldCharType="separate"/>
    </w:r>
    <w:r w:rsidR="0053332F">
      <w:rPr>
        <w:noProof/>
      </w:rPr>
      <w:t>49</w:t>
    </w:r>
    <w:r>
      <w:rPr>
        <w:noProof/>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0E591" w14:textId="77777777" w:rsidR="00EF15B6" w:rsidRDefault="00EF15B6" w:rsidP="00DD1F1A">
    <w:pPr>
      <w:pStyle w:val="rightfooter"/>
    </w:pPr>
    <w:r>
      <w:fldChar w:fldCharType="begin"/>
    </w:r>
    <w:r>
      <w:instrText xml:space="preserve"> PAGE  \* Arabic  \* MERGEFORMAT </w:instrText>
    </w:r>
    <w:r>
      <w:fldChar w:fldCharType="separate"/>
    </w:r>
    <w:r w:rsidR="0053332F">
      <w:rPr>
        <w:noProof/>
      </w:rPr>
      <w:t>47</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2CC88" w14:textId="77777777" w:rsidR="00EF15B6" w:rsidRDefault="00EF15B6" w:rsidP="005E6B63">
    <w:pPr>
      <w:pStyle w:val="leftfooter"/>
    </w:pPr>
    <w:r>
      <w:fldChar w:fldCharType="begin"/>
    </w:r>
    <w:r>
      <w:instrText xml:space="preserve"> PAGE   \* MERGEFORMAT </w:instrText>
    </w:r>
    <w:r>
      <w:fldChar w:fldCharType="separate"/>
    </w:r>
    <w:r w:rsidR="0053332F">
      <w:rPr>
        <w:noProof/>
      </w:rPr>
      <w:t>52</w:t>
    </w:r>
    <w:r>
      <w:rPr>
        <w:noProof/>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77D4E" w14:textId="77777777" w:rsidR="00EF15B6" w:rsidRDefault="00EF15B6" w:rsidP="005E6B63">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5C44A" w14:textId="77777777" w:rsidR="00EF15B6" w:rsidRDefault="00EF15B6" w:rsidP="005E6B63">
    <w:pPr>
      <w:pStyle w:val="rightfooter"/>
    </w:pPr>
    <w:r>
      <w:fldChar w:fldCharType="begin"/>
    </w:r>
    <w:r>
      <w:instrText xml:space="preserve"> PAGE  \* Arabic  \* MERGEFORMAT </w:instrText>
    </w:r>
    <w:r>
      <w:fldChar w:fldCharType="separate"/>
    </w:r>
    <w:r w:rsidR="0053332F">
      <w:rPr>
        <w:noProof/>
      </w:rPr>
      <w:t>51</w:t>
    </w:r>
    <w:r>
      <w:rPr>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69803" w14:textId="77777777" w:rsidR="00EF15B6" w:rsidRDefault="00EF15B6" w:rsidP="00313956">
    <w:pPr>
      <w:pStyle w:val="leftfooter"/>
    </w:pPr>
    <w:r>
      <w:fldChar w:fldCharType="begin"/>
    </w:r>
    <w:r>
      <w:instrText xml:space="preserve"> PAGE   \* MERGEFORMAT </w:instrText>
    </w:r>
    <w:r>
      <w:fldChar w:fldCharType="separate"/>
    </w:r>
    <w:r w:rsidR="0053332F">
      <w:rPr>
        <w:noProof/>
      </w:rPr>
      <w:t>110</w:t>
    </w:r>
    <w:r>
      <w:rPr>
        <w:noProof/>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B3B41" w14:textId="77777777" w:rsidR="00EF15B6" w:rsidRDefault="00EF15B6" w:rsidP="00313956">
    <w:pPr>
      <w:pStyle w:val="rightfooter"/>
    </w:pPr>
    <w:r>
      <w:fldChar w:fldCharType="begin"/>
    </w:r>
    <w:r>
      <w:instrText xml:space="preserve"> PAGE   \* MERGEFORMAT </w:instrText>
    </w:r>
    <w:r>
      <w:fldChar w:fldCharType="separate"/>
    </w:r>
    <w:r w:rsidR="0053332F">
      <w:rPr>
        <w:noProof/>
      </w:rPr>
      <w:t>109</w:t>
    </w:r>
    <w:r>
      <w:rPr>
        <w:noProof/>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AD2E4" w14:textId="77777777" w:rsidR="00EF15B6" w:rsidRDefault="00EF15B6" w:rsidP="000C1317">
    <w:pPr>
      <w:pStyle w:val="rightfooter"/>
    </w:pPr>
    <w:r>
      <w:fldChar w:fldCharType="begin"/>
    </w:r>
    <w:r>
      <w:instrText xml:space="preserve"> PAGE  \* Arabic  \* MERGEFORMAT </w:instrText>
    </w:r>
    <w:r>
      <w:fldChar w:fldCharType="separate"/>
    </w:r>
    <w:r w:rsidR="0053332F">
      <w:rPr>
        <w:noProof/>
      </w:rPr>
      <w:t>53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7A99D" w14:textId="77777777" w:rsidR="00EF15B6" w:rsidRDefault="00EF15B6" w:rsidP="008777F2">
    <w:pPr>
      <w:pStyle w:val="leftfooter"/>
    </w:pPr>
    <w:r>
      <w:fldChar w:fldCharType="begin"/>
    </w:r>
    <w:r>
      <w:instrText xml:space="preserve"> PAGE   \* MERGEFORMAT </w:instrText>
    </w:r>
    <w:r>
      <w:fldChar w:fldCharType="separate"/>
    </w:r>
    <w:r>
      <w:rPr>
        <w:noProof/>
      </w:rPr>
      <w:t>4</w:t>
    </w:r>
    <w:r>
      <w:rPr>
        <w:noProof/>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394BF" w14:textId="77777777" w:rsidR="000C1317" w:rsidRDefault="000C1317" w:rsidP="000C1317">
    <w:pPr>
      <w:pStyle w:val="leftfooter"/>
    </w:pPr>
    <w:r>
      <w:fldChar w:fldCharType="begin"/>
    </w:r>
    <w:r>
      <w:instrText xml:space="preserve"> PAGE  \* Arabic  \* MERGEFORMAT </w:instrText>
    </w:r>
    <w:r>
      <w:fldChar w:fldCharType="separate"/>
    </w:r>
    <w:r w:rsidR="0053332F">
      <w:rPr>
        <w:noProof/>
      </w:rPr>
      <w:t>80</w:t>
    </w:r>
    <w:r>
      <w:rPr>
        <w:noProof/>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488D7" w14:textId="77777777" w:rsidR="00EF15B6" w:rsidRDefault="00EF15B6" w:rsidP="00D53C03">
    <w:pPr>
      <w:pStyle w:val="rightfooter"/>
    </w:pPr>
    <w:r>
      <w:fldChar w:fldCharType="begin"/>
    </w:r>
    <w:r>
      <w:instrText xml:space="preserve"> PAGE  \* Arabic  \* MERGEFORMAT </w:instrText>
    </w:r>
    <w:r>
      <w:fldChar w:fldCharType="separate"/>
    </w:r>
    <w:r w:rsidR="0053332F">
      <w:rPr>
        <w:noProof/>
      </w:rPr>
      <w:t>111</w:t>
    </w:r>
    <w:r>
      <w:rPr>
        <w:noProof/>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0E844" w14:textId="77777777" w:rsidR="00EF15B6" w:rsidRDefault="00EF15B6" w:rsidP="00DD1F1A">
    <w:pPr>
      <w:pStyle w:val="leftfooter"/>
    </w:pPr>
    <w:r>
      <w:fldChar w:fldCharType="begin"/>
    </w:r>
    <w:r>
      <w:instrText xml:space="preserve"> PAGE   \* MERGEFORMAT </w:instrText>
    </w:r>
    <w:r>
      <w:fldChar w:fldCharType="separate"/>
    </w:r>
    <w:r w:rsidR="0053332F">
      <w:rPr>
        <w:noProof/>
      </w:rPr>
      <w:t>118</w:t>
    </w:r>
    <w:r>
      <w:rPr>
        <w:noProof/>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14FEE" w14:textId="77777777" w:rsidR="00EF15B6" w:rsidRDefault="00EF15B6" w:rsidP="00DD1F1A">
    <w:pPr>
      <w:pStyle w:val="rightfooter"/>
    </w:pPr>
    <w:r>
      <w:fldChar w:fldCharType="begin"/>
    </w:r>
    <w:r>
      <w:instrText xml:space="preserve"> PAGE   \* MERGEFORMAT </w:instrText>
    </w:r>
    <w:r>
      <w:fldChar w:fldCharType="separate"/>
    </w:r>
    <w:r w:rsidR="0053332F">
      <w:rPr>
        <w:noProof/>
      </w:rPr>
      <w:t>117</w:t>
    </w:r>
    <w:r>
      <w:rPr>
        <w:noProof/>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09AD0" w14:textId="77777777" w:rsidR="00EF15B6" w:rsidRDefault="00EF15B6" w:rsidP="00DD1F1A">
    <w:pPr>
      <w:pStyle w:val="rightfooter"/>
    </w:pPr>
    <w:r>
      <w:fldChar w:fldCharType="begin"/>
    </w:r>
    <w:r>
      <w:instrText xml:space="preserve"> PAGE  \* Arabic  \* MERGEFORMAT </w:instrText>
    </w:r>
    <w:r>
      <w:fldChar w:fldCharType="separate"/>
    </w:r>
    <w:r w:rsidR="0053332F">
      <w:rPr>
        <w:noProof/>
      </w:rPr>
      <w:t>114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05BCB" w14:textId="77777777" w:rsidR="00EF15B6" w:rsidRDefault="00EF15B6" w:rsidP="008777F2">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155AE" w14:textId="77777777" w:rsidR="00EF15B6" w:rsidRPr="00B2068E" w:rsidRDefault="00EF15B6" w:rsidP="008777F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0F9BD" w14:textId="77777777" w:rsidR="00EF15B6" w:rsidRDefault="00EF15B6" w:rsidP="009C2D18">
    <w:pPr>
      <w:pStyle w:val="leftfooter"/>
    </w:pPr>
    <w:r>
      <w:fldChar w:fldCharType="begin"/>
    </w:r>
    <w:r>
      <w:instrText xml:space="preserve"> PAGE   \* MERGEFORMAT </w:instrText>
    </w:r>
    <w:r>
      <w:fldChar w:fldCharType="separate"/>
    </w:r>
    <w:r w:rsidR="0053332F">
      <w:rPr>
        <w:noProof/>
      </w:rPr>
      <w:t>4</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38BA8" w14:textId="77777777" w:rsidR="00EF15B6" w:rsidRDefault="00EF15B6" w:rsidP="009C2D18">
    <w:pPr>
      <w:pStyle w:val="rightfooter"/>
    </w:pPr>
    <w:r>
      <w:fldChar w:fldCharType="begin"/>
    </w:r>
    <w:r>
      <w:instrText xml:space="preserve"> PAGE   \* MERGEFORMAT </w:instrText>
    </w:r>
    <w:r>
      <w:fldChar w:fldCharType="separate"/>
    </w:r>
    <w:r w:rsidR="0053332F">
      <w:rPr>
        <w:noProof/>
      </w:rPr>
      <w:t>5</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64C64" w14:textId="77777777" w:rsidR="00EF15B6" w:rsidRDefault="00EF15B6" w:rsidP="009C2D18">
    <w:pPr>
      <w:pStyle w:val="rightfooter"/>
    </w:pPr>
    <w:r>
      <w:fldChar w:fldCharType="begin"/>
    </w:r>
    <w:r>
      <w:instrText xml:space="preserve"> PAGE  \* Arabic  \* MERGEFORMAT </w:instrText>
    </w:r>
    <w:r>
      <w:fldChar w:fldCharType="separate"/>
    </w:r>
    <w:r w:rsidR="0053332F">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41751" w14:textId="77777777" w:rsidR="00EF15B6" w:rsidRDefault="00EF15B6" w:rsidP="009C2D18">
    <w:pPr>
      <w:pStyle w:val="leftfooter"/>
    </w:pPr>
    <w:r>
      <w:fldChar w:fldCharType="begin"/>
    </w:r>
    <w:r>
      <w:instrText xml:space="preserve"> PAGE   \* MERGEFORMAT </w:instrText>
    </w:r>
    <w:r>
      <w:fldChar w:fldCharType="separate"/>
    </w:r>
    <w:r w:rsidR="0053332F">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FAABF" w14:textId="77777777" w:rsidR="00EF15B6" w:rsidRDefault="00EF15B6">
      <w:r>
        <w:separator/>
      </w:r>
    </w:p>
  </w:footnote>
  <w:footnote w:type="continuationSeparator" w:id="0">
    <w:p w14:paraId="58D83922" w14:textId="77777777" w:rsidR="00EF15B6" w:rsidRDefault="00EF15B6">
      <w:r>
        <w:continuationSeparator/>
      </w:r>
    </w:p>
  </w:footnote>
  <w:footnote w:type="continuationNotice" w:id="1">
    <w:p w14:paraId="04B25C3C" w14:textId="77777777" w:rsidR="00EF15B6" w:rsidRDefault="00EF15B6">
      <w:pPr>
        <w:spacing w:before="0" w:after="0"/>
      </w:pPr>
    </w:p>
  </w:footnote>
  <w:footnote w:id="2">
    <w:p w14:paraId="289B6B97" w14:textId="4091016D" w:rsidR="00EF15B6" w:rsidRPr="00D53C03" w:rsidRDefault="00EF15B6" w:rsidP="00D53C03">
      <w:pPr>
        <w:pStyle w:val="FootnoteText"/>
      </w:pPr>
      <w:r w:rsidRPr="00D53C03">
        <w:rPr>
          <w:rStyle w:val="FootnoteReference"/>
          <w:vertAlign w:val="baseline"/>
        </w:rPr>
        <w:footnoteRef/>
      </w:r>
      <w:r w:rsidRPr="00D53C03">
        <w:t xml:space="preserve"> </w:t>
      </w:r>
      <w:r>
        <w:tab/>
      </w:r>
      <w:r w:rsidRPr="00D53C03">
        <w:t xml:space="preserve">Available at </w:t>
      </w:r>
      <w:r w:rsidRPr="00D53C03">
        <w:rPr>
          <w:rStyle w:val="Hyperlink"/>
          <w:color w:val="auto"/>
          <w:u w:val="none"/>
        </w:rPr>
        <w:t>www.nationals.org.au/Portals/0/2013/policy/Small%20Business.pdf</w:t>
      </w:r>
      <w:r w:rsidRPr="00D53C03">
        <w:t>, p 9.</w:t>
      </w:r>
    </w:p>
  </w:footnote>
  <w:footnote w:id="3">
    <w:p w14:paraId="6D7B440A" w14:textId="1CAD456E" w:rsidR="00EF15B6" w:rsidRPr="00D53C03" w:rsidRDefault="00EF15B6" w:rsidP="00D53C03">
      <w:pPr>
        <w:pStyle w:val="FootnoteText"/>
      </w:pPr>
      <w:r w:rsidRPr="00D53C03">
        <w:rPr>
          <w:rStyle w:val="FootnoteReference"/>
          <w:vertAlign w:val="baseline"/>
        </w:rPr>
        <w:footnoteRef/>
      </w:r>
      <w:r w:rsidRPr="00D53C03">
        <w:t xml:space="preserve"> </w:t>
      </w:r>
      <w:r>
        <w:tab/>
      </w:r>
      <w:r w:rsidRPr="00D53C03">
        <w:t xml:space="preserve">The Hon Bruce Billson MP, media release </w:t>
      </w:r>
      <w:r w:rsidRPr="00D53C03">
        <w:rPr>
          <w:i/>
        </w:rPr>
        <w:t>Small Business Assistance to be Strengthened</w:t>
      </w:r>
      <w:r w:rsidRPr="00D53C03">
        <w:t>, issued 18 August 2014.</w:t>
      </w:r>
    </w:p>
  </w:footnote>
  <w:footnote w:id="4">
    <w:p w14:paraId="2CEE18B6" w14:textId="2FD3C6D1" w:rsidR="00EF15B6" w:rsidRPr="00D53C03" w:rsidRDefault="00EF15B6" w:rsidP="00D53C03">
      <w:pPr>
        <w:pStyle w:val="FootnoteText"/>
      </w:pPr>
      <w:r w:rsidRPr="00D53C03">
        <w:rPr>
          <w:rStyle w:val="FootnoteReference"/>
          <w:vertAlign w:val="baseline"/>
        </w:rPr>
        <w:footnoteRef/>
      </w:r>
      <w:r w:rsidRPr="00D53C03">
        <w:t xml:space="preserve"> </w:t>
      </w:r>
      <w:r>
        <w:tab/>
      </w:r>
      <w:r w:rsidRPr="00D53C03">
        <w:t xml:space="preserve">The Hon Bruce Billson MP, 2014, </w:t>
      </w:r>
      <w:r w:rsidRPr="00D53C03">
        <w:rPr>
          <w:i/>
        </w:rPr>
        <w:t>The Small Business and Family Enterprise Ombudsman — Ministerial Statement</w:t>
      </w:r>
      <w:r w:rsidRPr="00D53C03">
        <w:t>, www.treasury.gov.au/~/media/Treasury/Policy%20Topics/</w:t>
      </w:r>
      <w:r w:rsidRPr="00D53C03">
        <w:br/>
        <w:t>Business/Small%20Business/Family%20Enterprise%20Ombudsman/Downloads/PDF/StatementAug2014.ashx, accessed 22 April 2015.</w:t>
      </w:r>
    </w:p>
  </w:footnote>
  <w:footnote w:id="5">
    <w:p w14:paraId="4536D94E" w14:textId="2AAC6982" w:rsidR="00EF15B6" w:rsidRDefault="00EF15B6" w:rsidP="00D53C03">
      <w:pPr>
        <w:pStyle w:val="FootnoteText"/>
      </w:pPr>
      <w:r w:rsidRPr="00D53C03">
        <w:rPr>
          <w:rStyle w:val="FootnoteReference"/>
          <w:vertAlign w:val="baseline"/>
        </w:rPr>
        <w:footnoteRef/>
      </w:r>
      <w:r w:rsidRPr="00D53C03">
        <w:t xml:space="preserve"> </w:t>
      </w:r>
      <w:r>
        <w:tab/>
      </w:r>
      <w:r w:rsidRPr="00D53C03">
        <w:t>Available at www.nationals.org.au/Portals/0/2013/policy/Small%20Business.pdf, p 9.</w:t>
      </w:r>
    </w:p>
  </w:footnote>
  <w:footnote w:id="6">
    <w:p w14:paraId="643B6159" w14:textId="6E631685" w:rsidR="00EF15B6" w:rsidRDefault="00EF15B6" w:rsidP="002A51F5">
      <w:pPr>
        <w:pStyle w:val="FootnoteText"/>
      </w:pPr>
      <w:r w:rsidRPr="0074693E">
        <w:rPr>
          <w:rStyle w:val="FootnoteReference"/>
          <w:vertAlign w:val="baseline"/>
        </w:rPr>
        <w:footnoteRef/>
      </w:r>
      <w:r w:rsidRPr="0074693E">
        <w:t xml:space="preserve"> </w:t>
      </w:r>
      <w:r>
        <w:tab/>
        <w:t xml:space="preserve">Productivity Commission, 2013, </w:t>
      </w:r>
      <w:r>
        <w:rPr>
          <w:i/>
        </w:rPr>
        <w:t>Regulator engagement with small business</w:t>
      </w:r>
      <w:r>
        <w:t>, pp 87 — 88.</w:t>
      </w:r>
    </w:p>
  </w:footnote>
  <w:footnote w:id="7">
    <w:p w14:paraId="55126F45" w14:textId="5D6967D1" w:rsidR="00EF15B6" w:rsidRDefault="00EF15B6" w:rsidP="002A51F5">
      <w:pPr>
        <w:pStyle w:val="FootnoteText"/>
      </w:pPr>
      <w:r w:rsidRPr="0074693E">
        <w:rPr>
          <w:rStyle w:val="FootnoteReference"/>
          <w:vertAlign w:val="baseline"/>
        </w:rPr>
        <w:footnoteRef/>
      </w:r>
      <w:r>
        <w:t xml:space="preserve"> </w:t>
      </w:r>
      <w:r>
        <w:tab/>
      </w:r>
      <w:r w:rsidRPr="00C651E4">
        <w:t>D</w:t>
      </w:r>
      <w:r>
        <w:t xml:space="preserve">IISR, 2011, </w:t>
      </w:r>
      <w:r w:rsidRPr="00C651E4">
        <w:rPr>
          <w:i/>
        </w:rPr>
        <w:t>Resolution of</w:t>
      </w:r>
      <w:r>
        <w:rPr>
          <w:i/>
        </w:rPr>
        <w:t xml:space="preserve"> s</w:t>
      </w:r>
      <w:r w:rsidRPr="00C651E4">
        <w:rPr>
          <w:i/>
        </w:rPr>
        <w:t xml:space="preserve">mall </w:t>
      </w:r>
      <w:r>
        <w:rPr>
          <w:i/>
        </w:rPr>
        <w:t>b</w:t>
      </w:r>
      <w:r w:rsidRPr="00C651E4">
        <w:rPr>
          <w:i/>
        </w:rPr>
        <w:t>usiness</w:t>
      </w:r>
      <w:r>
        <w:rPr>
          <w:i/>
        </w:rPr>
        <w:t xml:space="preserve"> d</w:t>
      </w:r>
      <w:r w:rsidRPr="00C651E4">
        <w:rPr>
          <w:i/>
        </w:rPr>
        <w:t>isputes</w:t>
      </w:r>
      <w:r>
        <w:rPr>
          <w:i/>
        </w:rPr>
        <w:t xml:space="preserve"> — options paper</w:t>
      </w:r>
      <w:r>
        <w:t>, p 4.</w:t>
      </w:r>
    </w:p>
  </w:footnote>
  <w:footnote w:id="8">
    <w:p w14:paraId="3F437F09" w14:textId="532CF791" w:rsidR="00EF15B6" w:rsidRDefault="00EF15B6" w:rsidP="003334B4">
      <w:pPr>
        <w:pStyle w:val="FootnoteText"/>
        <w:tabs>
          <w:tab w:val="left" w:pos="0"/>
        </w:tabs>
      </w:pPr>
      <w:r w:rsidRPr="0074693E">
        <w:rPr>
          <w:rStyle w:val="FootnoteReference"/>
          <w:vertAlign w:val="baseline"/>
        </w:rPr>
        <w:footnoteRef/>
      </w:r>
      <w:r w:rsidRPr="0074693E">
        <w:t xml:space="preserve"> </w:t>
      </w:r>
      <w:r>
        <w:tab/>
        <w:t xml:space="preserve">Australian Competition and Consumer Commission, 2014, </w:t>
      </w:r>
      <w:r w:rsidRPr="00BE0D98">
        <w:rPr>
          <w:i/>
        </w:rPr>
        <w:t>Small business in focus</w:t>
      </w:r>
      <w:r>
        <w:rPr>
          <w:i/>
        </w:rPr>
        <w:t xml:space="preserve"> (</w:t>
      </w:r>
      <w:r w:rsidRPr="00AB4672">
        <w:rPr>
          <w:i/>
        </w:rPr>
        <w:t>July</w:t>
      </w:r>
      <w:r>
        <w:rPr>
          <w:i/>
        </w:rPr>
        <w:noBreakHyphen/>
      </w:r>
      <w:r w:rsidRPr="00AB4672">
        <w:rPr>
          <w:i/>
        </w:rPr>
        <w:t>December 201</w:t>
      </w:r>
      <w:r>
        <w:rPr>
          <w:i/>
        </w:rPr>
        <w:t>4)</w:t>
      </w:r>
      <w:r>
        <w:t>, p 2.</w:t>
      </w:r>
    </w:p>
  </w:footnote>
  <w:footnote w:id="9">
    <w:p w14:paraId="4C708323" w14:textId="10BEA71E" w:rsidR="00EF15B6" w:rsidRPr="00D53C03" w:rsidRDefault="00EF15B6" w:rsidP="00D53C03">
      <w:pPr>
        <w:pStyle w:val="FootnoteText"/>
      </w:pPr>
      <w:r w:rsidRPr="00D53C03">
        <w:rPr>
          <w:rStyle w:val="FootnoteReference"/>
          <w:vertAlign w:val="baseline"/>
        </w:rPr>
        <w:footnoteRef/>
      </w:r>
      <w:r w:rsidRPr="00D53C03">
        <w:t xml:space="preserve"> </w:t>
      </w:r>
      <w:r w:rsidRPr="00D53C03">
        <w:tab/>
        <w:t xml:space="preserve">Productivity Commission, 2014, </w:t>
      </w:r>
      <w:r w:rsidRPr="00D53C03">
        <w:rPr>
          <w:i/>
        </w:rPr>
        <w:t>Access to justice arrangements</w:t>
      </w:r>
      <w:r w:rsidRPr="00D53C03">
        <w:t xml:space="preserve">, p 11. [7] Department of Innovation, Industry, Science and Research, 2011, </w:t>
      </w:r>
      <w:r w:rsidRPr="00D53C03">
        <w:rPr>
          <w:i/>
        </w:rPr>
        <w:t>Small Business Advisory Services (SBAS) Review Report</w:t>
      </w:r>
      <w:r w:rsidRPr="00D53C03">
        <w:t>, (not publically released).</w:t>
      </w:r>
    </w:p>
  </w:footnote>
  <w:footnote w:id="10">
    <w:p w14:paraId="1363B1F4" w14:textId="21098682" w:rsidR="00EF15B6" w:rsidRDefault="00EF15B6">
      <w:pPr>
        <w:pStyle w:val="FootnoteText"/>
      </w:pPr>
      <w:r w:rsidRPr="000D72CA">
        <w:rPr>
          <w:rStyle w:val="FootnoteReference"/>
          <w:vertAlign w:val="baseline"/>
        </w:rPr>
        <w:footnoteRef/>
      </w:r>
      <w:r>
        <w:t xml:space="preserve"> </w:t>
      </w:r>
      <w:r>
        <w:tab/>
        <w:t xml:space="preserve">Productivity Commission, 2014, </w:t>
      </w:r>
      <w:r>
        <w:rPr>
          <w:i/>
        </w:rPr>
        <w:t>Access to justice arrangements,</w:t>
      </w:r>
      <w:r>
        <w:t xml:space="preserve"> p 301.</w:t>
      </w:r>
    </w:p>
  </w:footnote>
  <w:footnote w:id="11">
    <w:p w14:paraId="72AEA81E" w14:textId="714C0113" w:rsidR="00EF15B6" w:rsidRPr="00D53C03" w:rsidRDefault="00EF15B6" w:rsidP="00D53C03">
      <w:pPr>
        <w:pStyle w:val="FootnoteText"/>
      </w:pPr>
      <w:r w:rsidRPr="00D53C03">
        <w:rPr>
          <w:rStyle w:val="FootnoteReference"/>
          <w:vertAlign w:val="baseline"/>
        </w:rPr>
        <w:footnoteRef/>
      </w:r>
      <w:r w:rsidRPr="00D53C03">
        <w:t xml:space="preserve"> </w:t>
      </w:r>
      <w:r w:rsidRPr="00D53C03">
        <w:tab/>
        <w:t xml:space="preserve">Productivity Commission, 2013, </w:t>
      </w:r>
      <w:r w:rsidRPr="00D53C03">
        <w:rPr>
          <w:i/>
        </w:rPr>
        <w:t>Regulator Engagement with Small Business</w:t>
      </w:r>
      <w:r w:rsidRPr="00D53C03">
        <w:t>, pp 4</w:t>
      </w:r>
      <w:r w:rsidRPr="00D53C03">
        <w:noBreakHyphen/>
        <w:t>5.</w:t>
      </w:r>
    </w:p>
  </w:footnote>
  <w:footnote w:id="12">
    <w:p w14:paraId="317475DE" w14:textId="77C5C248" w:rsidR="00EF15B6" w:rsidRDefault="00EF15B6">
      <w:pPr>
        <w:pStyle w:val="FootnoteText"/>
      </w:pPr>
      <w:r w:rsidRPr="000D72CA">
        <w:rPr>
          <w:rStyle w:val="FootnoteReference"/>
          <w:vertAlign w:val="baseline"/>
        </w:rPr>
        <w:footnoteRef/>
      </w:r>
      <w:r w:rsidRPr="000D72CA">
        <w:t xml:space="preserve"> </w:t>
      </w:r>
      <w:r>
        <w:tab/>
        <w:t xml:space="preserve">Defined as a corporation to which </w:t>
      </w:r>
      <w:r w:rsidRPr="003552F2">
        <w:t>s51(xx) of the Australian Constitution</w:t>
      </w:r>
      <w:r>
        <w:t xml:space="preserve"> applies, or a body corporate that is incorporated in a territory</w:t>
      </w:r>
    </w:p>
  </w:footnote>
  <w:footnote w:id="13">
    <w:p w14:paraId="5BDA9FF0" w14:textId="43822BDC" w:rsidR="00EF15B6" w:rsidRDefault="00EF15B6" w:rsidP="0012012E">
      <w:pPr>
        <w:pStyle w:val="FootnoteText"/>
      </w:pPr>
      <w:r w:rsidRPr="0012012E">
        <w:rPr>
          <w:rStyle w:val="FootnoteReference"/>
          <w:vertAlign w:val="baseline"/>
        </w:rPr>
        <w:footnoteRef/>
      </w:r>
      <w:r>
        <w:t xml:space="preserve"> </w:t>
      </w:r>
      <w:r>
        <w:tab/>
        <w:t>Consultations indicate that legal cost quotes are often provided on a project/ task basis rather than an hourly rate. $1500 was considered an average cost.</w:t>
      </w:r>
    </w:p>
  </w:footnote>
  <w:footnote w:id="14">
    <w:p w14:paraId="6D368F4E" w14:textId="73D97C72" w:rsidR="00EF15B6" w:rsidRPr="00D53C03" w:rsidRDefault="00EF15B6" w:rsidP="00D53C03">
      <w:pPr>
        <w:pStyle w:val="FootnoteText"/>
      </w:pPr>
      <w:r w:rsidRPr="00D53C03">
        <w:rPr>
          <w:rStyle w:val="FootnoteReference"/>
          <w:vertAlign w:val="baseline"/>
        </w:rPr>
        <w:footnoteRef/>
      </w:r>
      <w:r w:rsidRPr="00D53C03">
        <w:t xml:space="preserve"> </w:t>
      </w:r>
      <w:r w:rsidRPr="00D53C03">
        <w:tab/>
        <w:t xml:space="preserve">Victorian Small Business Commissioner, 2013, </w:t>
      </w:r>
      <w:r w:rsidRPr="00D53C03">
        <w:rPr>
          <w:i/>
        </w:rPr>
        <w:t>The costs of participating in business</w:t>
      </w:r>
      <w:r w:rsidRPr="00D53C03">
        <w:rPr>
          <w:i/>
        </w:rPr>
        <w:noBreakHyphen/>
        <w:t>to</w:t>
      </w:r>
      <w:r w:rsidRPr="00D53C03">
        <w:rPr>
          <w:i/>
        </w:rPr>
        <w:noBreakHyphen/>
        <w:t>business disputes at the Victorian Civil and Administration Tribunal (VCAT)</w:t>
      </w:r>
      <w:r w:rsidRPr="00D53C03">
        <w:t>.</w:t>
      </w:r>
    </w:p>
  </w:footnote>
  <w:footnote w:id="15">
    <w:p w14:paraId="61248A5C" w14:textId="5AAB884F" w:rsidR="00EF15B6" w:rsidRDefault="00EF15B6">
      <w:pPr>
        <w:pStyle w:val="FootnoteText"/>
      </w:pPr>
      <w:r w:rsidRPr="00A1209F">
        <w:rPr>
          <w:rStyle w:val="FootnoteReference"/>
          <w:vertAlign w:val="baseline"/>
        </w:rPr>
        <w:footnoteRef/>
      </w:r>
      <w:r>
        <w:t xml:space="preserve"> </w:t>
      </w:r>
      <w:r>
        <w:tab/>
        <w:t xml:space="preserve">Based on full day room hire for mediation room with one breakout room, </w:t>
      </w:r>
      <w:hyperlink r:id="rId1" w:history="1">
        <w:r w:rsidRPr="00D53C03">
          <w:rPr>
            <w:rStyle w:val="Hyperlink"/>
            <w:color w:val="auto"/>
            <w:u w:val="none"/>
          </w:rPr>
          <w:t>https://www.disputescentre.com.au/Facilities/Room</w:t>
        </w:r>
        <w:r w:rsidRPr="00D53C03">
          <w:rPr>
            <w:rStyle w:val="Hyperlink"/>
            <w:color w:val="auto"/>
            <w:u w:val="none"/>
          </w:rPr>
          <w:noBreakHyphen/>
          <w:t>Rates</w:t>
        </w:r>
      </w:hyperlink>
      <w:r>
        <w:t>, accessed 17 April 2015.</w:t>
      </w:r>
    </w:p>
  </w:footnote>
  <w:footnote w:id="16">
    <w:p w14:paraId="51DCE255" w14:textId="77777777" w:rsidR="00EF15B6" w:rsidRDefault="00EF15B6">
      <w:pPr>
        <w:pStyle w:val="FootnoteText"/>
      </w:pPr>
      <w:r w:rsidRPr="00A1209F">
        <w:rPr>
          <w:rStyle w:val="FootnoteReference"/>
          <w:vertAlign w:val="baseline"/>
        </w:rPr>
        <w:footnoteRef/>
      </w:r>
      <w:r w:rsidRPr="00A1209F">
        <w:t xml:space="preserve"> </w:t>
      </w:r>
      <w:r>
        <w:tab/>
        <w:t>Based on hourly cost of mediation under the Office of the Franchising Mediation Adviser.</w:t>
      </w:r>
    </w:p>
  </w:footnote>
  <w:footnote w:id="17">
    <w:p w14:paraId="21E3BAD6" w14:textId="77777777" w:rsidR="00EF15B6" w:rsidRDefault="00EF15B6">
      <w:pPr>
        <w:pStyle w:val="FootnoteText"/>
      </w:pPr>
      <w:r w:rsidRPr="00A1209F">
        <w:rPr>
          <w:rStyle w:val="FootnoteReference"/>
          <w:vertAlign w:val="baseline"/>
        </w:rPr>
        <w:footnoteRef/>
      </w:r>
      <w:r>
        <w:t xml:space="preserve"> </w:t>
      </w:r>
      <w:r>
        <w:tab/>
        <w:t>Consultations indicated that not all parties will have a lawyer present or have sought legal advice before participating in mediation. Consultations indicate average legal cost per hour would be approximately $400.</w:t>
      </w:r>
    </w:p>
  </w:footnote>
  <w:footnote w:id="18">
    <w:p w14:paraId="3883630F" w14:textId="667D2FD7" w:rsidR="00EF15B6" w:rsidRDefault="00EF15B6">
      <w:pPr>
        <w:pStyle w:val="FootnoteText"/>
      </w:pPr>
      <w:r w:rsidRPr="007A374A">
        <w:rPr>
          <w:rStyle w:val="FootnoteReference"/>
          <w:vertAlign w:val="baseline"/>
        </w:rPr>
        <w:footnoteRef/>
      </w:r>
      <w:r>
        <w:t xml:space="preserve"> </w:t>
      </w:r>
      <w:r>
        <w:tab/>
        <w:t>Attorney</w:t>
      </w:r>
      <w:r>
        <w:noBreakHyphen/>
        <w:t xml:space="preserve">General’s Department (Access to Justice Taskforce), 2009, </w:t>
      </w:r>
      <w:r>
        <w:rPr>
          <w:i/>
        </w:rPr>
        <w:t xml:space="preserve">A strategic framework for access to justice in the Federal Civil Justice system, </w:t>
      </w:r>
      <w:r>
        <w:t xml:space="preserve">p 41, </w:t>
      </w:r>
      <w:r w:rsidRPr="007A374A">
        <w:t>http://www.ag.gov.au/LegalSystem/Documents/A%20Strategic%20Framework%20for%20Access%20to%20Justice%20in%20the%20Federal%20Civil%20Justice%20System.pdf</w:t>
      </w:r>
      <w:r>
        <w:t>, accessed 17 April 2015.</w:t>
      </w:r>
      <w:r w:rsidRPr="00D87499">
        <w:t xml:space="preserve"> </w:t>
      </w:r>
      <w:r>
        <w:t>Mean professional fees and disbursements for the Federal Court.</w:t>
      </w:r>
    </w:p>
  </w:footnote>
  <w:footnote w:id="19">
    <w:p w14:paraId="237BFC96" w14:textId="77777777" w:rsidR="00EF15B6" w:rsidRDefault="00EF15B6">
      <w:pPr>
        <w:pStyle w:val="FootnoteText"/>
      </w:pPr>
      <w:r w:rsidRPr="000822AF">
        <w:rPr>
          <w:rStyle w:val="FootnoteReference"/>
          <w:vertAlign w:val="baseline"/>
        </w:rPr>
        <w:footnoteRef/>
      </w:r>
      <w:r>
        <w:t xml:space="preserve"> </w:t>
      </w:r>
      <w:r>
        <w:tab/>
        <w:t xml:space="preserve">Productivity Commission 2014, </w:t>
      </w:r>
      <w:r w:rsidRPr="00CF474F">
        <w:rPr>
          <w:i/>
        </w:rPr>
        <w:t>Access to Justice Arrangements</w:t>
      </w:r>
      <w:r>
        <w:t>, Draft Report Overview, Canberra, pg. 7</w:t>
      </w:r>
    </w:p>
  </w:footnote>
  <w:footnote w:id="20">
    <w:p w14:paraId="6695BA91" w14:textId="7E9D9E0D" w:rsidR="00EF15B6" w:rsidRDefault="00EF15B6">
      <w:pPr>
        <w:pStyle w:val="FootnoteText"/>
      </w:pPr>
      <w:r w:rsidRPr="000822AF">
        <w:rPr>
          <w:rStyle w:val="FootnoteReference"/>
          <w:vertAlign w:val="baseline"/>
        </w:rPr>
        <w:footnoteRef/>
      </w:r>
      <w:r>
        <w:t xml:space="preserve"> </w:t>
      </w:r>
      <w:r>
        <w:tab/>
        <w:t xml:space="preserve">Victorian Small Business Commissioner, 2013, </w:t>
      </w:r>
      <w:r>
        <w:rPr>
          <w:i/>
        </w:rPr>
        <w:t>Annual Report 2013</w:t>
      </w:r>
      <w:r>
        <w:rPr>
          <w:i/>
        </w:rPr>
        <w:noBreakHyphen/>
        <w:t>14</w:t>
      </w:r>
      <w:r>
        <w:t>, p 21.</w:t>
      </w:r>
    </w:p>
  </w:footnote>
  <w:footnote w:id="21">
    <w:p w14:paraId="19232FBC" w14:textId="79882655" w:rsidR="00EF15B6" w:rsidRDefault="00EF15B6">
      <w:pPr>
        <w:pStyle w:val="FootnoteText"/>
      </w:pPr>
      <w:r w:rsidRPr="00A1209F">
        <w:rPr>
          <w:rStyle w:val="FootnoteReference"/>
          <w:vertAlign w:val="baseline"/>
        </w:rPr>
        <w:footnoteRef/>
      </w:r>
      <w:r w:rsidRPr="00A1209F">
        <w:t xml:space="preserve"> </w:t>
      </w:r>
      <w:r>
        <w:tab/>
        <w:t xml:space="preserve">The Hon Bruce Billson MP, Media Release, </w:t>
      </w:r>
      <w:r>
        <w:rPr>
          <w:i/>
        </w:rPr>
        <w:t xml:space="preserve">Small Business Assistance to be Strengthened, </w:t>
      </w:r>
      <w:r>
        <w:t xml:space="preserve">issued 18 August 2014. Available at: </w:t>
      </w:r>
      <w:r w:rsidRPr="00FB4FDF">
        <w:t>http://bfb.ministers.treasury.gov.au/media</w:t>
      </w:r>
      <w:r>
        <w:noBreakHyphen/>
      </w:r>
      <w:r w:rsidRPr="00FB4FDF">
        <w:t>release/045</w:t>
      </w:r>
      <w:r>
        <w:noBreakHyphen/>
      </w:r>
      <w:r w:rsidRPr="00FB4FDF">
        <w:t>2014/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02314" w14:textId="77777777" w:rsidR="00EF15B6" w:rsidRDefault="00EF15B6" w:rsidP="008777F2">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CBAEE" w14:textId="77023EF8" w:rsidR="00EF15B6" w:rsidRDefault="000D4993" w:rsidP="009C2D18">
    <w:pPr>
      <w:pStyle w:val="rightheader"/>
    </w:pPr>
    <w:r>
      <w:t>Background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9ED6A" w14:textId="77777777" w:rsidR="00EF15B6" w:rsidRDefault="00EF15B6" w:rsidP="00AC0C2F">
    <w:pPr>
      <w:pStyle w:val="leftheader"/>
    </w:pPr>
    <w:r>
      <w:t>Australian Small Business and Family Enterprise Ombudsman Bill 2015</w:t>
    </w:r>
    <w:r>
      <w:br/>
      <w:t>Australian Small Business and Family Enterprise Ombudsman (Consequential and Transitional Provisions) Bill 2015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F9A97" w14:textId="77777777" w:rsidR="00EF15B6" w:rsidRDefault="00EF15B6" w:rsidP="00AC0C2F">
    <w:pPr>
      <w:pStyle w:val="rightheader"/>
    </w:pPr>
    <w:r w:rsidRPr="006B3A5F">
      <w:t>Constitutional basis for the Bill</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530C6" w14:textId="3FEE5B74" w:rsidR="00EF15B6" w:rsidRPr="000D4993" w:rsidRDefault="000D4993" w:rsidP="000D4993">
    <w:pPr>
      <w:pStyle w:val="rightheader"/>
      <w:jc w:val="left"/>
    </w:pPr>
    <w:r>
      <w:t>Australian Small Business and Family Enterprise Ombudsman Bill 2015</w:t>
    </w:r>
    <w:r>
      <w:br/>
      <w:t>Australian Small Business and Family Enterprise Ombudsman (Consequential and Transitional Provisions) Bill 2015</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3AF50" w14:textId="2E544A26" w:rsidR="00EF15B6" w:rsidRDefault="000D4993" w:rsidP="005A76CC">
    <w:pPr>
      <w:pStyle w:val="rightheader"/>
    </w:pPr>
    <w:r>
      <w:t>Preliminary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1BD42" w14:textId="77777777" w:rsidR="00EF15B6" w:rsidRDefault="00EF15B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DD2B6" w14:textId="77777777" w:rsidR="00EF15B6" w:rsidRDefault="00EF15B6" w:rsidP="00750965">
    <w:pPr>
      <w:pStyle w:val="rightheader"/>
      <w:jc w:val="left"/>
    </w:pPr>
    <w:r>
      <w:t>Australian Small Business and Family Enterprise Ombudsman Bill 2015</w:t>
    </w:r>
    <w:r>
      <w:br/>
      <w:t>Australian Small Business and Family Enterprise Ombudsman (Consequential and Transitional Provisions) Bill 2015</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327B2" w14:textId="6F0923B9" w:rsidR="000D4993" w:rsidRDefault="000D4993" w:rsidP="005A76CC">
    <w:pPr>
      <w:pStyle w:val="rightheader"/>
    </w:pPr>
    <w:r>
      <w:t>Australian Small Business and Family Enterprise Ombudsman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54B55" w14:textId="77777777" w:rsidR="00EF15B6" w:rsidRDefault="00EF15B6" w:rsidP="00750965">
    <w:pPr>
      <w:pStyle w:val="rightheader"/>
      <w:jc w:val="left"/>
    </w:pPr>
    <w:r>
      <w:t>Australian Small Business and Family Enterprise Ombudsman Bill 2015</w:t>
    </w:r>
    <w:r>
      <w:br/>
      <w:t>Australian Small Business and Family Enterprise Ombudsman (Consequential and Transitional Provisions) Bill 2015</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B40A2" w14:textId="5025C175" w:rsidR="000D4993" w:rsidRDefault="000D4993" w:rsidP="005A76CC">
    <w:pPr>
      <w:pStyle w:val="rightheader"/>
    </w:pPr>
    <w:r>
      <w:t>Assisting a small businesses or family enterprise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08165" w14:textId="77777777" w:rsidR="00EF15B6" w:rsidRDefault="00EF15B6" w:rsidP="008777F2">
    <w:pPr>
      <w:pStyle w:val="rightheader"/>
    </w:pPr>
    <w:r>
      <w:fldChar w:fldCharType="begin"/>
    </w:r>
    <w:r>
      <w:instrText xml:space="preserve"> macrobutton nomacro [Click here and enter the name of the Chapter </w:instrTex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394C2" w14:textId="7017170F" w:rsidR="000D4993" w:rsidRDefault="000D4993" w:rsidP="005A76CC">
    <w:pPr>
      <w:pStyle w:val="rightheader"/>
    </w:pPr>
    <w:r>
      <w:t>Assisting a small business or family enterprise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F6D67" w14:textId="77777777" w:rsidR="00EF15B6" w:rsidRDefault="00EF15B6" w:rsidP="00DD1F1A">
    <w:pPr>
      <w:pStyle w:val="leftheader"/>
    </w:pPr>
    <w:r>
      <w:t>Australian Small Business and Family Enterprise Ombudsman Bill 2015</w:t>
    </w:r>
    <w:r>
      <w:br/>
      <w:t>Australian Small Business and Family Enterprise Ombudsman (Consequential and Transitional Provisions) Bill 2015</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50BD2" w14:textId="77777777" w:rsidR="00EF15B6" w:rsidRDefault="00EF15B6" w:rsidP="00DD1F1A">
    <w:pPr>
      <w:pStyle w:val="rightheader"/>
    </w:pPr>
    <w:r>
      <w:t>General requirements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21664" w14:textId="77777777" w:rsidR="00EF15B6" w:rsidRDefault="00EF15B6"/>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ECCAE" w14:textId="77777777" w:rsidR="00EF15B6" w:rsidRDefault="00EF15B6" w:rsidP="00DD1F1A">
    <w:pPr>
      <w:pStyle w:val="leftheader"/>
    </w:pPr>
    <w:r>
      <w:t>Australian Small Business and Family Enterprise Ombudsman Bill 2015</w:t>
    </w:r>
    <w:r>
      <w:br/>
      <w:t>Australian Small Business and Family Enterprise Ombudsman (Consequential and Transitional Provisions) Bill 2015</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BCC3D" w14:textId="77777777" w:rsidR="00EF15B6" w:rsidRDefault="00EF15B6" w:rsidP="00DD1F1A">
    <w:pPr>
      <w:pStyle w:val="rightheader"/>
    </w:pPr>
    <w:r>
      <w:t>Consequential amendments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E1229" w14:textId="77777777" w:rsidR="00EF15B6" w:rsidRDefault="00EF15B6"/>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1CC40" w14:textId="77777777" w:rsidR="00EF15B6" w:rsidRDefault="00EF15B6" w:rsidP="005E6B63">
    <w:pPr>
      <w:pStyle w:val="leftheader"/>
    </w:pPr>
    <w:r>
      <w:t>Australian Small Business and Family Enterprise Ombudsman Bill 2015</w:t>
    </w:r>
    <w:r>
      <w:br/>
      <w:t>Australian Small Business and Family Enterprise Ombudsman (Consequential and Transitional Provisions) Bill 2015</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9C275" w14:textId="77777777" w:rsidR="00EF15B6" w:rsidRDefault="00EF15B6" w:rsidP="005E6B63">
    <w:pPr>
      <w:pStyle w:val="rightheader"/>
    </w:pPr>
    <w:r>
      <w:fldChar w:fldCharType="begin"/>
    </w:r>
    <w:r>
      <w:instrText xml:space="preserve"> macrobutton nomacro [Click here and enter the name of the Chapter </w:instrTex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47C83" w14:textId="77777777" w:rsidR="00EF15B6" w:rsidRDefault="00EF15B6" w:rsidP="00313956">
    <w:pPr>
      <w:pStyle w:val="leftheader"/>
    </w:pPr>
    <w:r>
      <w:t>Australian Small Business and Family Enterprise Ombudsman Bill 2015</w:t>
    </w:r>
    <w:r>
      <w:br/>
      <w:t>Australian Small Business and Family Enterprise Ombudsman (Consequential and Transitional Provisions) Bill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EC6C2" w14:textId="77777777" w:rsidR="00EF15B6" w:rsidRDefault="00EF15B6" w:rsidP="008777F2">
    <w:pPr>
      <w:pStyle w:val="leftheader"/>
    </w:pPr>
    <w:r>
      <w:fldChar w:fldCharType="begin"/>
    </w:r>
    <w:r>
      <w:instrText xml:space="preserve"> macrobutton nomacro [Click here and insert the name of the Bill] </w:instrText>
    </w:r>
    <w: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EA869" w14:textId="77777777" w:rsidR="00EF15B6" w:rsidRDefault="00EF15B6" w:rsidP="00313956">
    <w:pPr>
      <w:pStyle w:val="rightheader"/>
    </w:pPr>
    <w:r>
      <w:t>Regulation Impact Statement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FBD46" w14:textId="5F86797A" w:rsidR="00EF15B6" w:rsidRPr="00D62694" w:rsidRDefault="00EF15B6" w:rsidP="00D62694">
    <w:pPr>
      <w:pStyle w:val="leftheader"/>
    </w:pPr>
    <w:r>
      <w:t>Australian Small Business and Family Enterprise Ombudsman Bill 2015</w:t>
    </w:r>
    <w:r>
      <w:br/>
      <w:t>Australian Small Business and Family Enterprise Ombudsman (Consequential and Transitional Provisions) Bill 2015</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031CE" w14:textId="2FB7D246" w:rsidR="00EF15B6" w:rsidRPr="00D62694" w:rsidRDefault="00EF15B6" w:rsidP="00D62694">
    <w:pPr>
      <w:pStyle w:val="rightheader"/>
    </w:pPr>
    <w:r>
      <w:t>Regulation Impact Statement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746EA" w14:textId="77777777" w:rsidR="00EF15B6" w:rsidRDefault="00EF15B6" w:rsidP="00DD1F1A">
    <w:pPr>
      <w:pStyle w:val="leftheader"/>
    </w:pPr>
    <w:r>
      <w:t>Australian Small Business and Family Enterprise Ombudsman Bill 2015</w:t>
    </w:r>
    <w:r>
      <w:br/>
      <w:t>Australian Small Business and Family Enterprise Ombudsman (Consequential and Transitional Provisions) Bill 2015</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E9C28" w14:textId="77777777" w:rsidR="00EF15B6" w:rsidRDefault="00EF15B6" w:rsidP="00DD1F1A">
    <w:pPr>
      <w:pStyle w:val="rightheader"/>
    </w:pPr>
    <w:r>
      <w:t>Index</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CFC5A" w14:textId="77777777" w:rsidR="00EF15B6" w:rsidRDefault="00EF15B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EE6E4" w14:textId="77777777" w:rsidR="00EF15B6" w:rsidRDefault="00EF15B6" w:rsidP="008777F2">
    <w:pPr>
      <w:pStyle w:val="rightheader"/>
    </w:pPr>
    <w:r>
      <w:fldChar w:fldCharType="begin"/>
    </w:r>
    <w:r>
      <w:instrText xml:space="preserve"> macrobutton nomacro [Click here and enter the name of the Chapter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E612E" w14:textId="77777777" w:rsidR="00EF15B6" w:rsidRDefault="00EF15B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D5E54" w14:textId="77777777" w:rsidR="00EF15B6" w:rsidRDefault="00EF15B6" w:rsidP="009C2D18">
    <w:pPr>
      <w:pStyle w:val="left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265DA" w14:textId="77777777" w:rsidR="00EF15B6" w:rsidRDefault="00EF15B6" w:rsidP="009C2D18">
    <w:pPr>
      <w:pStyle w:val="rightheader"/>
    </w:pPr>
    <w:r>
      <w:t>General outline and financial impact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332FC" w14:textId="77777777" w:rsidR="00EF15B6" w:rsidRDefault="00EF15B6" w:rsidP="009C2D18">
    <w:pPr>
      <w:pStyle w:val="leftheader"/>
    </w:pPr>
    <w:r>
      <w:t>Australian Small Business and Family Enterprise Ombudsman Bill 2015</w:t>
    </w:r>
    <w:r>
      <w:br/>
      <w:t>Australian Small Business and Family Enterprise Ombudsman (Consequential and Transitional Provisions) Bill 2015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54585" w14:textId="77777777" w:rsidR="00EF15B6" w:rsidRDefault="00EF15B6">
    <w:pPr>
      <w:pStyle w:val="leftheader"/>
    </w:pPr>
    <w:r>
      <w:t>Australian Small Business and Family Enterprise Ombudsman Bill 2015</w:t>
    </w:r>
    <w:r>
      <w:br/>
      <w:t>Australian Small Business and Family Enterprise Ombudsman (Consequential and Transitional Provisions) Bill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D4F63"/>
    <w:multiLevelType w:val="hybridMultilevel"/>
    <w:tmpl w:val="116A803E"/>
    <w:lvl w:ilvl="0" w:tplc="8E4A541A">
      <w:start w:val="1"/>
      <w:numFmt w:val="bullet"/>
      <w:lvlText w:val=""/>
      <w:lvlJc w:val="left"/>
      <w:pPr>
        <w:tabs>
          <w:tab w:val="num" w:pos="539"/>
        </w:tabs>
        <w:ind w:left="539"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7B019E2"/>
    <w:multiLevelType w:val="multilevel"/>
    <w:tmpl w:val="A316FE50"/>
    <w:numStyleLink w:val="ChapterList"/>
  </w:abstractNum>
  <w:abstractNum w:abstractNumId="12">
    <w:nsid w:val="0F5B5BBF"/>
    <w:multiLevelType w:val="multilevel"/>
    <w:tmpl w:val="A316FE50"/>
    <w:numStyleLink w:val="ChapterList"/>
  </w:abstractNum>
  <w:abstractNum w:abstractNumId="13">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BEB4EC5"/>
    <w:multiLevelType w:val="multilevel"/>
    <w:tmpl w:val="6D98FC9A"/>
    <w:numStyleLink w:val="TableDotPointList"/>
  </w:abstractNum>
  <w:abstractNum w:abstractNumId="16">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nsid w:val="1FF07E4A"/>
    <w:multiLevelType w:val="multilevel"/>
    <w:tmpl w:val="EB7A480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7110" w:hanging="360"/>
      </w:pPr>
    </w:lvl>
    <w:lvl w:ilvl="4">
      <w:start w:val="1"/>
      <w:numFmt w:val="lowerLetter"/>
      <w:lvlText w:val="(%5)"/>
      <w:lvlJc w:val="left"/>
      <w:pPr>
        <w:ind w:left="7470" w:hanging="360"/>
      </w:pPr>
    </w:lvl>
    <w:lvl w:ilvl="5">
      <w:start w:val="1"/>
      <w:numFmt w:val="lowerRoman"/>
      <w:lvlText w:val="(%6)"/>
      <w:lvlJc w:val="left"/>
      <w:pPr>
        <w:ind w:left="7830" w:hanging="360"/>
      </w:pPr>
    </w:lvl>
    <w:lvl w:ilvl="6">
      <w:start w:val="1"/>
      <w:numFmt w:val="decimal"/>
      <w:lvlText w:val="%7."/>
      <w:lvlJc w:val="left"/>
      <w:pPr>
        <w:ind w:left="8190" w:hanging="360"/>
      </w:pPr>
    </w:lvl>
    <w:lvl w:ilvl="7">
      <w:start w:val="1"/>
      <w:numFmt w:val="lowerLetter"/>
      <w:lvlText w:val="%8."/>
      <w:lvlJc w:val="left"/>
      <w:pPr>
        <w:ind w:left="8550" w:hanging="360"/>
      </w:pPr>
    </w:lvl>
    <w:lvl w:ilvl="8">
      <w:start w:val="1"/>
      <w:numFmt w:val="lowerRoman"/>
      <w:lvlText w:val="%9."/>
      <w:lvlJc w:val="left"/>
      <w:pPr>
        <w:ind w:left="8910" w:hanging="360"/>
      </w:pPr>
    </w:lvl>
  </w:abstractNum>
  <w:abstractNum w:abstractNumId="18">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31542887"/>
    <w:multiLevelType w:val="hybridMultilevel"/>
    <w:tmpl w:val="EC40FD90"/>
    <w:lvl w:ilvl="0" w:tplc="F7DAF942">
      <w:start w:val="1"/>
      <w:numFmt w:val="bullet"/>
      <w:lvlText w:val="‒"/>
      <w:lvlJc w:val="left"/>
      <w:pPr>
        <w:ind w:left="720" w:hanging="360"/>
      </w:pPr>
      <w:rPr>
        <w:rFonts w:ascii="Arial" w:hAnsi="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nsid w:val="43FB3E18"/>
    <w:multiLevelType w:val="multilevel"/>
    <w:tmpl w:val="A316FE50"/>
    <w:numStyleLink w:val="ChapterList"/>
  </w:abstractNum>
  <w:abstractNum w:abstractNumId="24">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0F0264A"/>
    <w:multiLevelType w:val="hybridMultilevel"/>
    <w:tmpl w:val="5116472C"/>
    <w:lvl w:ilvl="0" w:tplc="91C0FDD0">
      <w:start w:val="1"/>
      <w:numFmt w:val="bullet"/>
      <w:pStyle w:val="ListParagraph"/>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64281CEB"/>
    <w:multiLevelType w:val="multilevel"/>
    <w:tmpl w:val="A316FE50"/>
    <w:numStyleLink w:val="ChapterList"/>
  </w:abstractNum>
  <w:abstractNum w:abstractNumId="28">
    <w:nsid w:val="65DF6494"/>
    <w:multiLevelType w:val="multilevel"/>
    <w:tmpl w:val="07523098"/>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D302C09"/>
    <w:multiLevelType w:val="multilevel"/>
    <w:tmpl w:val="A316FE50"/>
    <w:numStyleLink w:val="ChapterList"/>
  </w:abstractNum>
  <w:abstractNum w:abstractNumId="3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8510B84"/>
    <w:multiLevelType w:val="multilevel"/>
    <w:tmpl w:val="D724F862"/>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7CAC208D"/>
    <w:multiLevelType w:val="multilevel"/>
    <w:tmpl w:val="A316FE50"/>
    <w:numStyleLink w:val="ChapterLis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30"/>
  </w:num>
  <w:num w:numId="13">
    <w:abstractNumId w:val="32"/>
  </w:num>
  <w:num w:numId="14">
    <w:abstractNumId w:val="2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13"/>
  </w:num>
  <w:num w:numId="16">
    <w:abstractNumId w:val="15"/>
  </w:num>
  <w:num w:numId="17">
    <w:abstractNumId w:val="28"/>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abstractNumId w:val="20"/>
  </w:num>
  <w:num w:numId="19">
    <w:abstractNumId w:val="17"/>
  </w:num>
  <w:num w:numId="20">
    <w:abstractNumId w:val="31"/>
  </w:num>
  <w:num w:numId="21">
    <w:abstractNumId w:val="2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28"/>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num>
  <w:num w:numId="23">
    <w:abstractNumId w:val="2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269"/>
          </w:tabs>
          <w:ind w:left="1418"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8"/>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num>
  <w:num w:numId="25">
    <w:abstractNumId w:val="24"/>
  </w:num>
  <w:num w:numId="26">
    <w:abstractNumId w:val="25"/>
  </w:num>
  <w:num w:numId="27">
    <w:abstractNumId w:val="22"/>
  </w:num>
  <w:num w:numId="28">
    <w:abstractNumId w:val="21"/>
  </w:num>
  <w:num w:numId="29">
    <w:abstractNumId w:val="16"/>
  </w:num>
  <w:num w:numId="30">
    <w:abstractNumId w:val="18"/>
  </w:num>
  <w:num w:numId="31">
    <w:abstractNumId w:val="10"/>
  </w:num>
  <w:num w:numId="32">
    <w:abstractNumId w:val="29"/>
  </w:num>
  <w:num w:numId="33">
    <w:abstractNumId w:val="33"/>
  </w:num>
  <w:num w:numId="34">
    <w:abstractNumId w:val="27"/>
  </w:num>
  <w:num w:numId="35">
    <w:abstractNumId w:val="11"/>
  </w:num>
  <w:num w:numId="36">
    <w:abstractNumId w:val="23"/>
  </w:num>
  <w:num w:numId="37">
    <w:abstractNumId w:val="12"/>
  </w:num>
  <w:num w:numId="38">
    <w:abstractNumId w:val="28"/>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abstractNumId w:val="25"/>
  </w:num>
  <w:num w:numId="40">
    <w:abstractNumId w:val="19"/>
  </w:num>
  <w:num w:numId="41">
    <w:abstractNumId w:val="28"/>
  </w:num>
  <w:num w:numId="42">
    <w:abstractNumId w:val="28"/>
  </w:num>
  <w:num w:numId="43">
    <w:abstractNumId w:val="26"/>
  </w:num>
  <w:num w:numId="44">
    <w:abstractNumId w:val="28"/>
    <w:lvlOverride w:ilvl="0">
      <w:startOverride w:val="10"/>
    </w:lvlOverride>
    <w:lvlOverride w:ilvl="1">
      <w:startOverride w:val="218"/>
    </w:lvlOverride>
    <w:lvlOverride w:ilvl="2"/>
    <w:lvlOverride w:ilvl="3"/>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0"/>
    </w:lvlOverride>
    <w:lvlOverride w:ilvl="1">
      <w:startOverride w:val="218"/>
    </w:lvlOverride>
    <w:lvlOverride w:ilvl="2"/>
    <w:lvlOverride w:ilvl="3"/>
    <w:lvlOverride w:ilvl="4">
      <w:startOverride w:val="1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0"/>
    </w:lvlOverride>
    <w:lvlOverride w:ilvl="1">
      <w:startOverride w:val="218"/>
    </w:lvlOverride>
    <w:lvlOverride w:ilvl="2"/>
    <w:lvlOverride w:ilvl="3"/>
    <w:lvlOverride w:ilvl="4">
      <w:startOverride w:val="12"/>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0"/>
    </w:lvlOverride>
    <w:lvlOverride w:ilvl="1">
      <w:startOverride w:val="218"/>
    </w:lvlOverride>
    <w:lvlOverride w:ilvl="2"/>
    <w:lvlOverride w:ilvl="3"/>
    <w:lvlOverride w:ilvl="4">
      <w:startOverride w:val="12"/>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0"/>
    </w:lvlOverride>
    <w:lvlOverride w:ilvl="1">
      <w:startOverride w:val="218"/>
    </w:lvlOverride>
    <w:lvlOverride w:ilvl="2"/>
    <w:lvlOverride w:ilvl="3"/>
    <w:lvlOverride w:ilvl="4">
      <w:startOverride w:val="13"/>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B507B6"/>
    <w:rsid w:val="0000455B"/>
    <w:rsid w:val="00004C53"/>
    <w:rsid w:val="000065C4"/>
    <w:rsid w:val="00006907"/>
    <w:rsid w:val="00007699"/>
    <w:rsid w:val="00010504"/>
    <w:rsid w:val="00010B32"/>
    <w:rsid w:val="00010F3C"/>
    <w:rsid w:val="00012E03"/>
    <w:rsid w:val="00012F66"/>
    <w:rsid w:val="0001709F"/>
    <w:rsid w:val="00017588"/>
    <w:rsid w:val="0002070D"/>
    <w:rsid w:val="00020AE6"/>
    <w:rsid w:val="00021669"/>
    <w:rsid w:val="000220D2"/>
    <w:rsid w:val="0002397B"/>
    <w:rsid w:val="00023C05"/>
    <w:rsid w:val="00025C18"/>
    <w:rsid w:val="00026C51"/>
    <w:rsid w:val="00026DE8"/>
    <w:rsid w:val="000309AD"/>
    <w:rsid w:val="00030A0B"/>
    <w:rsid w:val="00031811"/>
    <w:rsid w:val="000327A2"/>
    <w:rsid w:val="0003305A"/>
    <w:rsid w:val="00034BE8"/>
    <w:rsid w:val="000362FD"/>
    <w:rsid w:val="00036D51"/>
    <w:rsid w:val="000400C6"/>
    <w:rsid w:val="00040E86"/>
    <w:rsid w:val="0004121D"/>
    <w:rsid w:val="00041285"/>
    <w:rsid w:val="00041FB7"/>
    <w:rsid w:val="000429A5"/>
    <w:rsid w:val="00042DB1"/>
    <w:rsid w:val="00042DE6"/>
    <w:rsid w:val="00045526"/>
    <w:rsid w:val="00047815"/>
    <w:rsid w:val="00050170"/>
    <w:rsid w:val="00050908"/>
    <w:rsid w:val="00050F0D"/>
    <w:rsid w:val="00051CBB"/>
    <w:rsid w:val="00053CD7"/>
    <w:rsid w:val="000540CB"/>
    <w:rsid w:val="0005431F"/>
    <w:rsid w:val="0005433F"/>
    <w:rsid w:val="00054AF8"/>
    <w:rsid w:val="00054D42"/>
    <w:rsid w:val="00054DCC"/>
    <w:rsid w:val="0005600E"/>
    <w:rsid w:val="000562A5"/>
    <w:rsid w:val="00056CDC"/>
    <w:rsid w:val="0005754C"/>
    <w:rsid w:val="00060026"/>
    <w:rsid w:val="00060173"/>
    <w:rsid w:val="000603A7"/>
    <w:rsid w:val="00060526"/>
    <w:rsid w:val="00060758"/>
    <w:rsid w:val="00060B58"/>
    <w:rsid w:val="00062715"/>
    <w:rsid w:val="0006540C"/>
    <w:rsid w:val="00065433"/>
    <w:rsid w:val="000660FE"/>
    <w:rsid w:val="000667C4"/>
    <w:rsid w:val="000679BA"/>
    <w:rsid w:val="00067E1D"/>
    <w:rsid w:val="000705A5"/>
    <w:rsid w:val="00071381"/>
    <w:rsid w:val="00072449"/>
    <w:rsid w:val="000725C0"/>
    <w:rsid w:val="00072CAE"/>
    <w:rsid w:val="000731F5"/>
    <w:rsid w:val="00075250"/>
    <w:rsid w:val="00075E0C"/>
    <w:rsid w:val="00076543"/>
    <w:rsid w:val="00076F39"/>
    <w:rsid w:val="0007706B"/>
    <w:rsid w:val="000810B9"/>
    <w:rsid w:val="00081148"/>
    <w:rsid w:val="0008180F"/>
    <w:rsid w:val="00081818"/>
    <w:rsid w:val="00081BDF"/>
    <w:rsid w:val="000822AF"/>
    <w:rsid w:val="00082C6F"/>
    <w:rsid w:val="000833EF"/>
    <w:rsid w:val="000835C7"/>
    <w:rsid w:val="00084918"/>
    <w:rsid w:val="0008495F"/>
    <w:rsid w:val="000854C2"/>
    <w:rsid w:val="00085C5D"/>
    <w:rsid w:val="00085D61"/>
    <w:rsid w:val="0009055D"/>
    <w:rsid w:val="0009178D"/>
    <w:rsid w:val="000936C6"/>
    <w:rsid w:val="00094FF3"/>
    <w:rsid w:val="000955C6"/>
    <w:rsid w:val="00096016"/>
    <w:rsid w:val="000960B7"/>
    <w:rsid w:val="00096457"/>
    <w:rsid w:val="0009717B"/>
    <w:rsid w:val="00097648"/>
    <w:rsid w:val="000976AD"/>
    <w:rsid w:val="000A067D"/>
    <w:rsid w:val="000A0AFD"/>
    <w:rsid w:val="000A1285"/>
    <w:rsid w:val="000A1AFC"/>
    <w:rsid w:val="000A1DC8"/>
    <w:rsid w:val="000A2094"/>
    <w:rsid w:val="000A262B"/>
    <w:rsid w:val="000A2C72"/>
    <w:rsid w:val="000A2D4C"/>
    <w:rsid w:val="000A32DA"/>
    <w:rsid w:val="000A341E"/>
    <w:rsid w:val="000A4472"/>
    <w:rsid w:val="000A49C7"/>
    <w:rsid w:val="000A5B26"/>
    <w:rsid w:val="000A6117"/>
    <w:rsid w:val="000A61A1"/>
    <w:rsid w:val="000A6DBE"/>
    <w:rsid w:val="000A72C4"/>
    <w:rsid w:val="000A738D"/>
    <w:rsid w:val="000A7EE5"/>
    <w:rsid w:val="000B01B4"/>
    <w:rsid w:val="000B0777"/>
    <w:rsid w:val="000B0873"/>
    <w:rsid w:val="000B1F88"/>
    <w:rsid w:val="000B2658"/>
    <w:rsid w:val="000B2A25"/>
    <w:rsid w:val="000B3016"/>
    <w:rsid w:val="000B36DD"/>
    <w:rsid w:val="000B417C"/>
    <w:rsid w:val="000B4334"/>
    <w:rsid w:val="000B46B7"/>
    <w:rsid w:val="000B4E7B"/>
    <w:rsid w:val="000B4EDD"/>
    <w:rsid w:val="000B4FF3"/>
    <w:rsid w:val="000B5FC6"/>
    <w:rsid w:val="000B7FBA"/>
    <w:rsid w:val="000C06D9"/>
    <w:rsid w:val="000C1317"/>
    <w:rsid w:val="000C192D"/>
    <w:rsid w:val="000C2A39"/>
    <w:rsid w:val="000C3129"/>
    <w:rsid w:val="000C4644"/>
    <w:rsid w:val="000C4D08"/>
    <w:rsid w:val="000C5AD6"/>
    <w:rsid w:val="000C651F"/>
    <w:rsid w:val="000C6FFD"/>
    <w:rsid w:val="000C725A"/>
    <w:rsid w:val="000C727F"/>
    <w:rsid w:val="000C731F"/>
    <w:rsid w:val="000D21FA"/>
    <w:rsid w:val="000D23C2"/>
    <w:rsid w:val="000D276B"/>
    <w:rsid w:val="000D3C68"/>
    <w:rsid w:val="000D46A5"/>
    <w:rsid w:val="000D4993"/>
    <w:rsid w:val="000D54A6"/>
    <w:rsid w:val="000D584E"/>
    <w:rsid w:val="000D62BF"/>
    <w:rsid w:val="000D67D8"/>
    <w:rsid w:val="000D6BDE"/>
    <w:rsid w:val="000D704F"/>
    <w:rsid w:val="000D7181"/>
    <w:rsid w:val="000D7224"/>
    <w:rsid w:val="000D72CA"/>
    <w:rsid w:val="000D733E"/>
    <w:rsid w:val="000E089D"/>
    <w:rsid w:val="000E0A02"/>
    <w:rsid w:val="000E1EF1"/>
    <w:rsid w:val="000E25D2"/>
    <w:rsid w:val="000E3321"/>
    <w:rsid w:val="000E368D"/>
    <w:rsid w:val="000E4059"/>
    <w:rsid w:val="000E43AF"/>
    <w:rsid w:val="000E50AD"/>
    <w:rsid w:val="000E559D"/>
    <w:rsid w:val="000E584E"/>
    <w:rsid w:val="000E5B9A"/>
    <w:rsid w:val="000E6C52"/>
    <w:rsid w:val="000E756B"/>
    <w:rsid w:val="000E77D1"/>
    <w:rsid w:val="000E7C9A"/>
    <w:rsid w:val="000F0527"/>
    <w:rsid w:val="000F10EA"/>
    <w:rsid w:val="000F4976"/>
    <w:rsid w:val="000F4CDC"/>
    <w:rsid w:val="000F639B"/>
    <w:rsid w:val="000F70E6"/>
    <w:rsid w:val="001009B8"/>
    <w:rsid w:val="00100F59"/>
    <w:rsid w:val="00104922"/>
    <w:rsid w:val="0010578E"/>
    <w:rsid w:val="00105A0E"/>
    <w:rsid w:val="001114E6"/>
    <w:rsid w:val="00112EB0"/>
    <w:rsid w:val="00113E19"/>
    <w:rsid w:val="0011498C"/>
    <w:rsid w:val="00114BBA"/>
    <w:rsid w:val="00114C62"/>
    <w:rsid w:val="0011637D"/>
    <w:rsid w:val="00116ADA"/>
    <w:rsid w:val="0012012E"/>
    <w:rsid w:val="0012055D"/>
    <w:rsid w:val="00121EB0"/>
    <w:rsid w:val="00122202"/>
    <w:rsid w:val="00122516"/>
    <w:rsid w:val="00123D96"/>
    <w:rsid w:val="0012405D"/>
    <w:rsid w:val="00124E15"/>
    <w:rsid w:val="001269E8"/>
    <w:rsid w:val="00126CF2"/>
    <w:rsid w:val="00126D18"/>
    <w:rsid w:val="00127591"/>
    <w:rsid w:val="00131353"/>
    <w:rsid w:val="00131E0C"/>
    <w:rsid w:val="00132835"/>
    <w:rsid w:val="00132AD0"/>
    <w:rsid w:val="00133F9A"/>
    <w:rsid w:val="00134381"/>
    <w:rsid w:val="00134653"/>
    <w:rsid w:val="001348F0"/>
    <w:rsid w:val="00134E4C"/>
    <w:rsid w:val="00136463"/>
    <w:rsid w:val="0013690F"/>
    <w:rsid w:val="00140433"/>
    <w:rsid w:val="0014107C"/>
    <w:rsid w:val="0014197C"/>
    <w:rsid w:val="00141BA8"/>
    <w:rsid w:val="001429B5"/>
    <w:rsid w:val="00142CA4"/>
    <w:rsid w:val="001432E0"/>
    <w:rsid w:val="00145179"/>
    <w:rsid w:val="00145F5D"/>
    <w:rsid w:val="00147843"/>
    <w:rsid w:val="00147FF5"/>
    <w:rsid w:val="001502A7"/>
    <w:rsid w:val="0015052F"/>
    <w:rsid w:val="00152A67"/>
    <w:rsid w:val="00152AFB"/>
    <w:rsid w:val="00153BA6"/>
    <w:rsid w:val="00155017"/>
    <w:rsid w:val="00156264"/>
    <w:rsid w:val="00157221"/>
    <w:rsid w:val="001576AB"/>
    <w:rsid w:val="001576CC"/>
    <w:rsid w:val="00157ACD"/>
    <w:rsid w:val="00157C0D"/>
    <w:rsid w:val="00160722"/>
    <w:rsid w:val="001609BA"/>
    <w:rsid w:val="00162463"/>
    <w:rsid w:val="0016375C"/>
    <w:rsid w:val="0016473E"/>
    <w:rsid w:val="001649D9"/>
    <w:rsid w:val="00167A09"/>
    <w:rsid w:val="00167E3D"/>
    <w:rsid w:val="00172652"/>
    <w:rsid w:val="001738AB"/>
    <w:rsid w:val="00174444"/>
    <w:rsid w:val="00174A29"/>
    <w:rsid w:val="0017532D"/>
    <w:rsid w:val="001757E2"/>
    <w:rsid w:val="00180680"/>
    <w:rsid w:val="001818E5"/>
    <w:rsid w:val="00181F83"/>
    <w:rsid w:val="001820B2"/>
    <w:rsid w:val="00182608"/>
    <w:rsid w:val="001827C6"/>
    <w:rsid w:val="00182F12"/>
    <w:rsid w:val="001851CE"/>
    <w:rsid w:val="00185F2B"/>
    <w:rsid w:val="00186764"/>
    <w:rsid w:val="00190BFB"/>
    <w:rsid w:val="0019177E"/>
    <w:rsid w:val="001939A0"/>
    <w:rsid w:val="00193B93"/>
    <w:rsid w:val="00193E61"/>
    <w:rsid w:val="0019448B"/>
    <w:rsid w:val="00196650"/>
    <w:rsid w:val="00196A2D"/>
    <w:rsid w:val="001A0634"/>
    <w:rsid w:val="001A07E1"/>
    <w:rsid w:val="001A2260"/>
    <w:rsid w:val="001A249A"/>
    <w:rsid w:val="001A542A"/>
    <w:rsid w:val="001A5B2D"/>
    <w:rsid w:val="001A5BAD"/>
    <w:rsid w:val="001A5C5B"/>
    <w:rsid w:val="001A7A18"/>
    <w:rsid w:val="001A7A7E"/>
    <w:rsid w:val="001B1BC9"/>
    <w:rsid w:val="001B2C37"/>
    <w:rsid w:val="001B5117"/>
    <w:rsid w:val="001B7B53"/>
    <w:rsid w:val="001C012D"/>
    <w:rsid w:val="001C1B09"/>
    <w:rsid w:val="001C4083"/>
    <w:rsid w:val="001C5052"/>
    <w:rsid w:val="001C5FDF"/>
    <w:rsid w:val="001C658B"/>
    <w:rsid w:val="001D1201"/>
    <w:rsid w:val="001D462C"/>
    <w:rsid w:val="001D473D"/>
    <w:rsid w:val="001D5436"/>
    <w:rsid w:val="001D7854"/>
    <w:rsid w:val="001E0C50"/>
    <w:rsid w:val="001E285E"/>
    <w:rsid w:val="001E486D"/>
    <w:rsid w:val="001E54C2"/>
    <w:rsid w:val="001E6515"/>
    <w:rsid w:val="001E6545"/>
    <w:rsid w:val="001E781F"/>
    <w:rsid w:val="001F00AD"/>
    <w:rsid w:val="001F07F8"/>
    <w:rsid w:val="001F2284"/>
    <w:rsid w:val="001F37E7"/>
    <w:rsid w:val="001F4DF8"/>
    <w:rsid w:val="001F63E3"/>
    <w:rsid w:val="001F6400"/>
    <w:rsid w:val="00200378"/>
    <w:rsid w:val="00200C32"/>
    <w:rsid w:val="00200E96"/>
    <w:rsid w:val="00200FC3"/>
    <w:rsid w:val="00201B36"/>
    <w:rsid w:val="00202437"/>
    <w:rsid w:val="00202DEB"/>
    <w:rsid w:val="00202FE3"/>
    <w:rsid w:val="0020318D"/>
    <w:rsid w:val="0020519F"/>
    <w:rsid w:val="002055DB"/>
    <w:rsid w:val="00205F6D"/>
    <w:rsid w:val="002079A8"/>
    <w:rsid w:val="002114E8"/>
    <w:rsid w:val="00212EED"/>
    <w:rsid w:val="00213717"/>
    <w:rsid w:val="00213898"/>
    <w:rsid w:val="00213AE7"/>
    <w:rsid w:val="00214C54"/>
    <w:rsid w:val="0021652E"/>
    <w:rsid w:val="00220707"/>
    <w:rsid w:val="00220D6C"/>
    <w:rsid w:val="00222082"/>
    <w:rsid w:val="00222774"/>
    <w:rsid w:val="00222D57"/>
    <w:rsid w:val="00223317"/>
    <w:rsid w:val="0022354A"/>
    <w:rsid w:val="0022365D"/>
    <w:rsid w:val="0022448B"/>
    <w:rsid w:val="00224697"/>
    <w:rsid w:val="00225BDA"/>
    <w:rsid w:val="00230454"/>
    <w:rsid w:val="00230E45"/>
    <w:rsid w:val="00231CBA"/>
    <w:rsid w:val="0023361E"/>
    <w:rsid w:val="00233EE2"/>
    <w:rsid w:val="002343EC"/>
    <w:rsid w:val="00234467"/>
    <w:rsid w:val="00234D58"/>
    <w:rsid w:val="002352F1"/>
    <w:rsid w:val="00236A1C"/>
    <w:rsid w:val="002406FF"/>
    <w:rsid w:val="00241F66"/>
    <w:rsid w:val="00241FBE"/>
    <w:rsid w:val="002424CA"/>
    <w:rsid w:val="00242A71"/>
    <w:rsid w:val="00242AA4"/>
    <w:rsid w:val="00243A73"/>
    <w:rsid w:val="002444C0"/>
    <w:rsid w:val="0024590E"/>
    <w:rsid w:val="0024781E"/>
    <w:rsid w:val="00250154"/>
    <w:rsid w:val="00250B06"/>
    <w:rsid w:val="00251B88"/>
    <w:rsid w:val="00251E21"/>
    <w:rsid w:val="00251F9D"/>
    <w:rsid w:val="00253E01"/>
    <w:rsid w:val="002548C6"/>
    <w:rsid w:val="00254C53"/>
    <w:rsid w:val="002557D5"/>
    <w:rsid w:val="00260122"/>
    <w:rsid w:val="00260D64"/>
    <w:rsid w:val="00262240"/>
    <w:rsid w:val="0026328D"/>
    <w:rsid w:val="00263ABD"/>
    <w:rsid w:val="00263FEA"/>
    <w:rsid w:val="0026412E"/>
    <w:rsid w:val="00266048"/>
    <w:rsid w:val="00266CE0"/>
    <w:rsid w:val="00270008"/>
    <w:rsid w:val="00270C37"/>
    <w:rsid w:val="00271BCA"/>
    <w:rsid w:val="00272F60"/>
    <w:rsid w:val="00272FD3"/>
    <w:rsid w:val="002756EF"/>
    <w:rsid w:val="00275C0D"/>
    <w:rsid w:val="002769A8"/>
    <w:rsid w:val="00277F39"/>
    <w:rsid w:val="00280AE0"/>
    <w:rsid w:val="00281657"/>
    <w:rsid w:val="00281A05"/>
    <w:rsid w:val="00281AE0"/>
    <w:rsid w:val="0028217A"/>
    <w:rsid w:val="0028443F"/>
    <w:rsid w:val="0028445A"/>
    <w:rsid w:val="00285668"/>
    <w:rsid w:val="002857E2"/>
    <w:rsid w:val="00287798"/>
    <w:rsid w:val="002878DD"/>
    <w:rsid w:val="0029033F"/>
    <w:rsid w:val="00291EDD"/>
    <w:rsid w:val="002922B8"/>
    <w:rsid w:val="00295B51"/>
    <w:rsid w:val="00296864"/>
    <w:rsid w:val="0029707D"/>
    <w:rsid w:val="00297C8A"/>
    <w:rsid w:val="002A051C"/>
    <w:rsid w:val="002A1695"/>
    <w:rsid w:val="002A3BA8"/>
    <w:rsid w:val="002A3F75"/>
    <w:rsid w:val="002A4F1C"/>
    <w:rsid w:val="002A51F5"/>
    <w:rsid w:val="002A5303"/>
    <w:rsid w:val="002A571C"/>
    <w:rsid w:val="002A59C7"/>
    <w:rsid w:val="002A64A2"/>
    <w:rsid w:val="002A6704"/>
    <w:rsid w:val="002A6984"/>
    <w:rsid w:val="002A73FB"/>
    <w:rsid w:val="002B0877"/>
    <w:rsid w:val="002B0C3E"/>
    <w:rsid w:val="002B1B59"/>
    <w:rsid w:val="002B24DB"/>
    <w:rsid w:val="002B2671"/>
    <w:rsid w:val="002B33D4"/>
    <w:rsid w:val="002B746A"/>
    <w:rsid w:val="002C1083"/>
    <w:rsid w:val="002C20ED"/>
    <w:rsid w:val="002C34C3"/>
    <w:rsid w:val="002C4367"/>
    <w:rsid w:val="002C43E8"/>
    <w:rsid w:val="002C458C"/>
    <w:rsid w:val="002C5DE2"/>
    <w:rsid w:val="002C6C5E"/>
    <w:rsid w:val="002C75ED"/>
    <w:rsid w:val="002D02FB"/>
    <w:rsid w:val="002D0B00"/>
    <w:rsid w:val="002D2436"/>
    <w:rsid w:val="002D4703"/>
    <w:rsid w:val="002D558C"/>
    <w:rsid w:val="002D6555"/>
    <w:rsid w:val="002D70B4"/>
    <w:rsid w:val="002E0AE2"/>
    <w:rsid w:val="002E1E1F"/>
    <w:rsid w:val="002E2D99"/>
    <w:rsid w:val="002E3A4D"/>
    <w:rsid w:val="002E3B67"/>
    <w:rsid w:val="002E5B42"/>
    <w:rsid w:val="002E5FD3"/>
    <w:rsid w:val="002F0C5E"/>
    <w:rsid w:val="002F1587"/>
    <w:rsid w:val="002F18B1"/>
    <w:rsid w:val="002F2244"/>
    <w:rsid w:val="002F3991"/>
    <w:rsid w:val="002F3BAE"/>
    <w:rsid w:val="002F551D"/>
    <w:rsid w:val="002F75B0"/>
    <w:rsid w:val="003020F1"/>
    <w:rsid w:val="00302271"/>
    <w:rsid w:val="0030256C"/>
    <w:rsid w:val="00304EE2"/>
    <w:rsid w:val="003131A6"/>
    <w:rsid w:val="0031321B"/>
    <w:rsid w:val="00313956"/>
    <w:rsid w:val="00314916"/>
    <w:rsid w:val="00315254"/>
    <w:rsid w:val="00315F45"/>
    <w:rsid w:val="00316968"/>
    <w:rsid w:val="003171E7"/>
    <w:rsid w:val="00320374"/>
    <w:rsid w:val="003213AB"/>
    <w:rsid w:val="0032156E"/>
    <w:rsid w:val="0032195D"/>
    <w:rsid w:val="00321A53"/>
    <w:rsid w:val="0032203C"/>
    <w:rsid w:val="0032273B"/>
    <w:rsid w:val="00322E2F"/>
    <w:rsid w:val="0032394C"/>
    <w:rsid w:val="00324193"/>
    <w:rsid w:val="00325BF0"/>
    <w:rsid w:val="00325EC0"/>
    <w:rsid w:val="00327D21"/>
    <w:rsid w:val="00330A01"/>
    <w:rsid w:val="003318F8"/>
    <w:rsid w:val="003320C9"/>
    <w:rsid w:val="003334B4"/>
    <w:rsid w:val="00333971"/>
    <w:rsid w:val="00334C89"/>
    <w:rsid w:val="00335015"/>
    <w:rsid w:val="003359A7"/>
    <w:rsid w:val="00335A2C"/>
    <w:rsid w:val="00335F84"/>
    <w:rsid w:val="00340CD5"/>
    <w:rsid w:val="0034169B"/>
    <w:rsid w:val="0034211C"/>
    <w:rsid w:val="003443D4"/>
    <w:rsid w:val="00344A93"/>
    <w:rsid w:val="00345CCB"/>
    <w:rsid w:val="00346BEB"/>
    <w:rsid w:val="00346F60"/>
    <w:rsid w:val="0034770B"/>
    <w:rsid w:val="00347D1B"/>
    <w:rsid w:val="003501C2"/>
    <w:rsid w:val="003505E3"/>
    <w:rsid w:val="0035070D"/>
    <w:rsid w:val="003512C2"/>
    <w:rsid w:val="003521A9"/>
    <w:rsid w:val="0035270E"/>
    <w:rsid w:val="003537F8"/>
    <w:rsid w:val="00353F0B"/>
    <w:rsid w:val="00355EC9"/>
    <w:rsid w:val="00356659"/>
    <w:rsid w:val="003573F3"/>
    <w:rsid w:val="00357F75"/>
    <w:rsid w:val="0036043A"/>
    <w:rsid w:val="003619A6"/>
    <w:rsid w:val="003632CA"/>
    <w:rsid w:val="003634F1"/>
    <w:rsid w:val="003643C6"/>
    <w:rsid w:val="00365602"/>
    <w:rsid w:val="0036787F"/>
    <w:rsid w:val="00367F58"/>
    <w:rsid w:val="003701C9"/>
    <w:rsid w:val="00370269"/>
    <w:rsid w:val="00370AE1"/>
    <w:rsid w:val="00370CF4"/>
    <w:rsid w:val="00371343"/>
    <w:rsid w:val="003719A4"/>
    <w:rsid w:val="0037235E"/>
    <w:rsid w:val="003727CF"/>
    <w:rsid w:val="00372DFD"/>
    <w:rsid w:val="003734BA"/>
    <w:rsid w:val="00373FDA"/>
    <w:rsid w:val="003749C7"/>
    <w:rsid w:val="00375822"/>
    <w:rsid w:val="0037607B"/>
    <w:rsid w:val="00376FAF"/>
    <w:rsid w:val="00377CD4"/>
    <w:rsid w:val="00380C75"/>
    <w:rsid w:val="0038196B"/>
    <w:rsid w:val="00381E99"/>
    <w:rsid w:val="003825D4"/>
    <w:rsid w:val="0038394C"/>
    <w:rsid w:val="00383B33"/>
    <w:rsid w:val="00383D3A"/>
    <w:rsid w:val="00384883"/>
    <w:rsid w:val="00384C7F"/>
    <w:rsid w:val="00384DD2"/>
    <w:rsid w:val="00386808"/>
    <w:rsid w:val="0038681A"/>
    <w:rsid w:val="00386A6F"/>
    <w:rsid w:val="00387249"/>
    <w:rsid w:val="0038758B"/>
    <w:rsid w:val="00387BAB"/>
    <w:rsid w:val="00390388"/>
    <w:rsid w:val="00390AA4"/>
    <w:rsid w:val="00390E94"/>
    <w:rsid w:val="003928FD"/>
    <w:rsid w:val="0039400F"/>
    <w:rsid w:val="00394A6D"/>
    <w:rsid w:val="003A311E"/>
    <w:rsid w:val="003A5A84"/>
    <w:rsid w:val="003A5D7E"/>
    <w:rsid w:val="003A629A"/>
    <w:rsid w:val="003B2347"/>
    <w:rsid w:val="003B2C77"/>
    <w:rsid w:val="003B50AE"/>
    <w:rsid w:val="003B53C7"/>
    <w:rsid w:val="003B5437"/>
    <w:rsid w:val="003B550D"/>
    <w:rsid w:val="003B598E"/>
    <w:rsid w:val="003C014B"/>
    <w:rsid w:val="003C0553"/>
    <w:rsid w:val="003C0DEE"/>
    <w:rsid w:val="003C0EE2"/>
    <w:rsid w:val="003C1301"/>
    <w:rsid w:val="003C14B8"/>
    <w:rsid w:val="003C221F"/>
    <w:rsid w:val="003C2C66"/>
    <w:rsid w:val="003C2D8A"/>
    <w:rsid w:val="003C3425"/>
    <w:rsid w:val="003C346A"/>
    <w:rsid w:val="003C358A"/>
    <w:rsid w:val="003C5A8F"/>
    <w:rsid w:val="003C5BA3"/>
    <w:rsid w:val="003C603A"/>
    <w:rsid w:val="003C6331"/>
    <w:rsid w:val="003C7995"/>
    <w:rsid w:val="003D1CA1"/>
    <w:rsid w:val="003D231D"/>
    <w:rsid w:val="003D252A"/>
    <w:rsid w:val="003D2C0D"/>
    <w:rsid w:val="003D2DFE"/>
    <w:rsid w:val="003D3678"/>
    <w:rsid w:val="003D37A4"/>
    <w:rsid w:val="003D62DD"/>
    <w:rsid w:val="003D6FD9"/>
    <w:rsid w:val="003D740A"/>
    <w:rsid w:val="003D7F02"/>
    <w:rsid w:val="003E0794"/>
    <w:rsid w:val="003E1B2A"/>
    <w:rsid w:val="003E2913"/>
    <w:rsid w:val="003E39E5"/>
    <w:rsid w:val="003E3D76"/>
    <w:rsid w:val="003E55D5"/>
    <w:rsid w:val="003E68F7"/>
    <w:rsid w:val="003E7FF4"/>
    <w:rsid w:val="003F08DF"/>
    <w:rsid w:val="003F092F"/>
    <w:rsid w:val="003F096C"/>
    <w:rsid w:val="003F0BF4"/>
    <w:rsid w:val="003F0C30"/>
    <w:rsid w:val="003F3DB1"/>
    <w:rsid w:val="003F4BD0"/>
    <w:rsid w:val="003F6DAF"/>
    <w:rsid w:val="003F7B4B"/>
    <w:rsid w:val="003F7CF7"/>
    <w:rsid w:val="004007D1"/>
    <w:rsid w:val="00402AC5"/>
    <w:rsid w:val="004034AF"/>
    <w:rsid w:val="00404387"/>
    <w:rsid w:val="004044B8"/>
    <w:rsid w:val="00404816"/>
    <w:rsid w:val="00410608"/>
    <w:rsid w:val="004139C9"/>
    <w:rsid w:val="004142FC"/>
    <w:rsid w:val="00414631"/>
    <w:rsid w:val="00414F7C"/>
    <w:rsid w:val="004175C4"/>
    <w:rsid w:val="0041779D"/>
    <w:rsid w:val="00417886"/>
    <w:rsid w:val="00421977"/>
    <w:rsid w:val="00421ED7"/>
    <w:rsid w:val="00424060"/>
    <w:rsid w:val="00424175"/>
    <w:rsid w:val="0042649E"/>
    <w:rsid w:val="00427FCC"/>
    <w:rsid w:val="004319CF"/>
    <w:rsid w:val="0043366C"/>
    <w:rsid w:val="00433B1D"/>
    <w:rsid w:val="00433FD9"/>
    <w:rsid w:val="00434ED5"/>
    <w:rsid w:val="004357E5"/>
    <w:rsid w:val="00436054"/>
    <w:rsid w:val="00436618"/>
    <w:rsid w:val="00437C89"/>
    <w:rsid w:val="00440638"/>
    <w:rsid w:val="004407A7"/>
    <w:rsid w:val="00441D38"/>
    <w:rsid w:val="004423C2"/>
    <w:rsid w:val="00442FB9"/>
    <w:rsid w:val="004433B0"/>
    <w:rsid w:val="0044391B"/>
    <w:rsid w:val="00443BA1"/>
    <w:rsid w:val="00444722"/>
    <w:rsid w:val="00444ED1"/>
    <w:rsid w:val="004477BC"/>
    <w:rsid w:val="00450635"/>
    <w:rsid w:val="00451BB3"/>
    <w:rsid w:val="00452E04"/>
    <w:rsid w:val="0045452E"/>
    <w:rsid w:val="00455C1A"/>
    <w:rsid w:val="00457BC3"/>
    <w:rsid w:val="00460019"/>
    <w:rsid w:val="00460DD0"/>
    <w:rsid w:val="0046117A"/>
    <w:rsid w:val="0046183E"/>
    <w:rsid w:val="00461DD8"/>
    <w:rsid w:val="00463019"/>
    <w:rsid w:val="00463A85"/>
    <w:rsid w:val="00463C61"/>
    <w:rsid w:val="00463FCF"/>
    <w:rsid w:val="0046439D"/>
    <w:rsid w:val="00464415"/>
    <w:rsid w:val="0046488F"/>
    <w:rsid w:val="00464F0A"/>
    <w:rsid w:val="00465520"/>
    <w:rsid w:val="00465A34"/>
    <w:rsid w:val="00470181"/>
    <w:rsid w:val="004703E6"/>
    <w:rsid w:val="004708AF"/>
    <w:rsid w:val="004709F7"/>
    <w:rsid w:val="00470A81"/>
    <w:rsid w:val="004710EB"/>
    <w:rsid w:val="00471DC8"/>
    <w:rsid w:val="00472880"/>
    <w:rsid w:val="0047404A"/>
    <w:rsid w:val="00474428"/>
    <w:rsid w:val="00474B4E"/>
    <w:rsid w:val="00475A56"/>
    <w:rsid w:val="00475D9F"/>
    <w:rsid w:val="004761A7"/>
    <w:rsid w:val="00476C69"/>
    <w:rsid w:val="00476C7A"/>
    <w:rsid w:val="00480C91"/>
    <w:rsid w:val="00480CE4"/>
    <w:rsid w:val="004828C3"/>
    <w:rsid w:val="00483666"/>
    <w:rsid w:val="004836AF"/>
    <w:rsid w:val="004836D2"/>
    <w:rsid w:val="00483A94"/>
    <w:rsid w:val="00487870"/>
    <w:rsid w:val="0049055E"/>
    <w:rsid w:val="0049125B"/>
    <w:rsid w:val="00492B1C"/>
    <w:rsid w:val="00492C0E"/>
    <w:rsid w:val="004937E6"/>
    <w:rsid w:val="00494937"/>
    <w:rsid w:val="0049504E"/>
    <w:rsid w:val="00495224"/>
    <w:rsid w:val="00497B46"/>
    <w:rsid w:val="00497FE2"/>
    <w:rsid w:val="004A01E9"/>
    <w:rsid w:val="004A1703"/>
    <w:rsid w:val="004A2613"/>
    <w:rsid w:val="004A2FDE"/>
    <w:rsid w:val="004A332E"/>
    <w:rsid w:val="004A4E87"/>
    <w:rsid w:val="004A50F3"/>
    <w:rsid w:val="004A618C"/>
    <w:rsid w:val="004A62CF"/>
    <w:rsid w:val="004A7137"/>
    <w:rsid w:val="004B3447"/>
    <w:rsid w:val="004B5CC0"/>
    <w:rsid w:val="004B62DD"/>
    <w:rsid w:val="004B755A"/>
    <w:rsid w:val="004B7D41"/>
    <w:rsid w:val="004B7E72"/>
    <w:rsid w:val="004C01D1"/>
    <w:rsid w:val="004C1468"/>
    <w:rsid w:val="004C2113"/>
    <w:rsid w:val="004C3805"/>
    <w:rsid w:val="004C3C28"/>
    <w:rsid w:val="004C7333"/>
    <w:rsid w:val="004C7E68"/>
    <w:rsid w:val="004D05AF"/>
    <w:rsid w:val="004D0E5E"/>
    <w:rsid w:val="004D0F5B"/>
    <w:rsid w:val="004D1C36"/>
    <w:rsid w:val="004D2A57"/>
    <w:rsid w:val="004D3C94"/>
    <w:rsid w:val="004D3EE9"/>
    <w:rsid w:val="004D43D3"/>
    <w:rsid w:val="004D4D4E"/>
    <w:rsid w:val="004D4DEF"/>
    <w:rsid w:val="004D513C"/>
    <w:rsid w:val="004D6B85"/>
    <w:rsid w:val="004D7293"/>
    <w:rsid w:val="004D76E5"/>
    <w:rsid w:val="004E0983"/>
    <w:rsid w:val="004E161F"/>
    <w:rsid w:val="004E18C3"/>
    <w:rsid w:val="004E2514"/>
    <w:rsid w:val="004E2E5E"/>
    <w:rsid w:val="004E36B7"/>
    <w:rsid w:val="004E38B9"/>
    <w:rsid w:val="004E5526"/>
    <w:rsid w:val="004E6082"/>
    <w:rsid w:val="004E6727"/>
    <w:rsid w:val="004F29FB"/>
    <w:rsid w:val="004F3005"/>
    <w:rsid w:val="004F59A7"/>
    <w:rsid w:val="004F7F5F"/>
    <w:rsid w:val="00502551"/>
    <w:rsid w:val="00503256"/>
    <w:rsid w:val="00504D4A"/>
    <w:rsid w:val="005052B0"/>
    <w:rsid w:val="00505FD0"/>
    <w:rsid w:val="0050652E"/>
    <w:rsid w:val="0050798D"/>
    <w:rsid w:val="00510C9D"/>
    <w:rsid w:val="0051208E"/>
    <w:rsid w:val="005131F3"/>
    <w:rsid w:val="005132CF"/>
    <w:rsid w:val="005137FF"/>
    <w:rsid w:val="00515872"/>
    <w:rsid w:val="00515B61"/>
    <w:rsid w:val="00515E69"/>
    <w:rsid w:val="00516184"/>
    <w:rsid w:val="005172B1"/>
    <w:rsid w:val="0051745B"/>
    <w:rsid w:val="005177DF"/>
    <w:rsid w:val="005178D5"/>
    <w:rsid w:val="00517B68"/>
    <w:rsid w:val="00517F7D"/>
    <w:rsid w:val="00521227"/>
    <w:rsid w:val="00522CC9"/>
    <w:rsid w:val="00522E4F"/>
    <w:rsid w:val="00523295"/>
    <w:rsid w:val="00523617"/>
    <w:rsid w:val="00523AF4"/>
    <w:rsid w:val="005255EA"/>
    <w:rsid w:val="00525611"/>
    <w:rsid w:val="00525CFD"/>
    <w:rsid w:val="00526A1A"/>
    <w:rsid w:val="0052707B"/>
    <w:rsid w:val="00527708"/>
    <w:rsid w:val="0053284F"/>
    <w:rsid w:val="0053332F"/>
    <w:rsid w:val="00536D35"/>
    <w:rsid w:val="00537ACE"/>
    <w:rsid w:val="005400CB"/>
    <w:rsid w:val="00540366"/>
    <w:rsid w:val="00540781"/>
    <w:rsid w:val="005408E6"/>
    <w:rsid w:val="00540BE2"/>
    <w:rsid w:val="00541B27"/>
    <w:rsid w:val="005422E4"/>
    <w:rsid w:val="0054284D"/>
    <w:rsid w:val="005430AE"/>
    <w:rsid w:val="005431CA"/>
    <w:rsid w:val="0054329C"/>
    <w:rsid w:val="005448BC"/>
    <w:rsid w:val="00547357"/>
    <w:rsid w:val="00547535"/>
    <w:rsid w:val="00550360"/>
    <w:rsid w:val="00550D6E"/>
    <w:rsid w:val="00551F92"/>
    <w:rsid w:val="0055341E"/>
    <w:rsid w:val="00554296"/>
    <w:rsid w:val="00555D38"/>
    <w:rsid w:val="005567B3"/>
    <w:rsid w:val="00557F34"/>
    <w:rsid w:val="00560BD8"/>
    <w:rsid w:val="00560C14"/>
    <w:rsid w:val="005618ED"/>
    <w:rsid w:val="00562FA8"/>
    <w:rsid w:val="005651B9"/>
    <w:rsid w:val="005653C6"/>
    <w:rsid w:val="00565696"/>
    <w:rsid w:val="00566B3B"/>
    <w:rsid w:val="00570D5A"/>
    <w:rsid w:val="005723F5"/>
    <w:rsid w:val="00572FFB"/>
    <w:rsid w:val="00573A38"/>
    <w:rsid w:val="00573ECA"/>
    <w:rsid w:val="005740C9"/>
    <w:rsid w:val="00576A43"/>
    <w:rsid w:val="0058007D"/>
    <w:rsid w:val="00580113"/>
    <w:rsid w:val="00580A8F"/>
    <w:rsid w:val="00580C19"/>
    <w:rsid w:val="005815C3"/>
    <w:rsid w:val="00583E45"/>
    <w:rsid w:val="00585AFF"/>
    <w:rsid w:val="00586B76"/>
    <w:rsid w:val="005920A3"/>
    <w:rsid w:val="005952EA"/>
    <w:rsid w:val="00595469"/>
    <w:rsid w:val="005A1251"/>
    <w:rsid w:val="005A13A9"/>
    <w:rsid w:val="005A1A47"/>
    <w:rsid w:val="005A3C3C"/>
    <w:rsid w:val="005A4824"/>
    <w:rsid w:val="005A4CE8"/>
    <w:rsid w:val="005A5348"/>
    <w:rsid w:val="005A572A"/>
    <w:rsid w:val="005A5B3C"/>
    <w:rsid w:val="005A5BB3"/>
    <w:rsid w:val="005A76CC"/>
    <w:rsid w:val="005B08A2"/>
    <w:rsid w:val="005B21BF"/>
    <w:rsid w:val="005B22C7"/>
    <w:rsid w:val="005B2800"/>
    <w:rsid w:val="005B546F"/>
    <w:rsid w:val="005B59B9"/>
    <w:rsid w:val="005B5AAF"/>
    <w:rsid w:val="005B691D"/>
    <w:rsid w:val="005B7E2F"/>
    <w:rsid w:val="005C0475"/>
    <w:rsid w:val="005C0AD8"/>
    <w:rsid w:val="005C13EA"/>
    <w:rsid w:val="005C1FB3"/>
    <w:rsid w:val="005C20EC"/>
    <w:rsid w:val="005C239E"/>
    <w:rsid w:val="005C2B1A"/>
    <w:rsid w:val="005C3116"/>
    <w:rsid w:val="005C47E2"/>
    <w:rsid w:val="005C5AA9"/>
    <w:rsid w:val="005C6FB4"/>
    <w:rsid w:val="005C7010"/>
    <w:rsid w:val="005C73A6"/>
    <w:rsid w:val="005C750E"/>
    <w:rsid w:val="005D0F90"/>
    <w:rsid w:val="005D37AC"/>
    <w:rsid w:val="005D55FF"/>
    <w:rsid w:val="005E08B2"/>
    <w:rsid w:val="005E20CA"/>
    <w:rsid w:val="005E21E5"/>
    <w:rsid w:val="005E4742"/>
    <w:rsid w:val="005E5540"/>
    <w:rsid w:val="005E6270"/>
    <w:rsid w:val="005E6B63"/>
    <w:rsid w:val="005E6EAE"/>
    <w:rsid w:val="005E6EB7"/>
    <w:rsid w:val="005E741D"/>
    <w:rsid w:val="005E77E1"/>
    <w:rsid w:val="005E7F7A"/>
    <w:rsid w:val="005F2217"/>
    <w:rsid w:val="005F566C"/>
    <w:rsid w:val="005F5DC1"/>
    <w:rsid w:val="005F7C20"/>
    <w:rsid w:val="006005AB"/>
    <w:rsid w:val="00600DC8"/>
    <w:rsid w:val="00600F9F"/>
    <w:rsid w:val="0060211C"/>
    <w:rsid w:val="006035AC"/>
    <w:rsid w:val="0060522B"/>
    <w:rsid w:val="006071CA"/>
    <w:rsid w:val="006071E9"/>
    <w:rsid w:val="00607AB2"/>
    <w:rsid w:val="0061114C"/>
    <w:rsid w:val="00612E7A"/>
    <w:rsid w:val="0061428A"/>
    <w:rsid w:val="00614C66"/>
    <w:rsid w:val="00615542"/>
    <w:rsid w:val="00615A7E"/>
    <w:rsid w:val="006167F4"/>
    <w:rsid w:val="00617C3F"/>
    <w:rsid w:val="00617FA4"/>
    <w:rsid w:val="00621923"/>
    <w:rsid w:val="00622B0D"/>
    <w:rsid w:val="00623F2A"/>
    <w:rsid w:val="00624679"/>
    <w:rsid w:val="00626429"/>
    <w:rsid w:val="00626A66"/>
    <w:rsid w:val="00626C1A"/>
    <w:rsid w:val="006303B8"/>
    <w:rsid w:val="006303EE"/>
    <w:rsid w:val="00630D98"/>
    <w:rsid w:val="006315B3"/>
    <w:rsid w:val="00631BF1"/>
    <w:rsid w:val="00631FEF"/>
    <w:rsid w:val="006332FD"/>
    <w:rsid w:val="006337DC"/>
    <w:rsid w:val="00633E41"/>
    <w:rsid w:val="006373FE"/>
    <w:rsid w:val="006412C3"/>
    <w:rsid w:val="0064243A"/>
    <w:rsid w:val="00643754"/>
    <w:rsid w:val="006438F9"/>
    <w:rsid w:val="006440EB"/>
    <w:rsid w:val="0064585E"/>
    <w:rsid w:val="0065068F"/>
    <w:rsid w:val="00650E4E"/>
    <w:rsid w:val="0065264A"/>
    <w:rsid w:val="006527E4"/>
    <w:rsid w:val="00653DA2"/>
    <w:rsid w:val="00654E99"/>
    <w:rsid w:val="00654F19"/>
    <w:rsid w:val="00656CB6"/>
    <w:rsid w:val="00660AE9"/>
    <w:rsid w:val="00660EED"/>
    <w:rsid w:val="006613EB"/>
    <w:rsid w:val="006655F9"/>
    <w:rsid w:val="00665CB0"/>
    <w:rsid w:val="00665D3A"/>
    <w:rsid w:val="00667450"/>
    <w:rsid w:val="00670C83"/>
    <w:rsid w:val="006712A8"/>
    <w:rsid w:val="006712FD"/>
    <w:rsid w:val="00672EA6"/>
    <w:rsid w:val="006733BC"/>
    <w:rsid w:val="00673C0C"/>
    <w:rsid w:val="00675429"/>
    <w:rsid w:val="00675DE4"/>
    <w:rsid w:val="0067632F"/>
    <w:rsid w:val="00676AC8"/>
    <w:rsid w:val="00677260"/>
    <w:rsid w:val="006773C3"/>
    <w:rsid w:val="00677AE7"/>
    <w:rsid w:val="00681AD6"/>
    <w:rsid w:val="00681FFB"/>
    <w:rsid w:val="00682100"/>
    <w:rsid w:val="00682632"/>
    <w:rsid w:val="00683449"/>
    <w:rsid w:val="006835EA"/>
    <w:rsid w:val="00683B8E"/>
    <w:rsid w:val="00684907"/>
    <w:rsid w:val="00684ECC"/>
    <w:rsid w:val="006852EA"/>
    <w:rsid w:val="006857AE"/>
    <w:rsid w:val="0068632D"/>
    <w:rsid w:val="00686990"/>
    <w:rsid w:val="006910EB"/>
    <w:rsid w:val="006916A8"/>
    <w:rsid w:val="00692760"/>
    <w:rsid w:val="00692B47"/>
    <w:rsid w:val="00693A79"/>
    <w:rsid w:val="0069423C"/>
    <w:rsid w:val="0069579F"/>
    <w:rsid w:val="006962BA"/>
    <w:rsid w:val="0069635D"/>
    <w:rsid w:val="006A10E0"/>
    <w:rsid w:val="006A27F3"/>
    <w:rsid w:val="006A296F"/>
    <w:rsid w:val="006A31FD"/>
    <w:rsid w:val="006A4718"/>
    <w:rsid w:val="006A4892"/>
    <w:rsid w:val="006A59A8"/>
    <w:rsid w:val="006A64A8"/>
    <w:rsid w:val="006A6AB7"/>
    <w:rsid w:val="006A7D99"/>
    <w:rsid w:val="006A7FCE"/>
    <w:rsid w:val="006B0C3B"/>
    <w:rsid w:val="006B3A5F"/>
    <w:rsid w:val="006B3BC3"/>
    <w:rsid w:val="006B4C95"/>
    <w:rsid w:val="006B4EA1"/>
    <w:rsid w:val="006B7FA6"/>
    <w:rsid w:val="006C0987"/>
    <w:rsid w:val="006C3193"/>
    <w:rsid w:val="006C3267"/>
    <w:rsid w:val="006C38F1"/>
    <w:rsid w:val="006C3CEB"/>
    <w:rsid w:val="006C53CA"/>
    <w:rsid w:val="006C6853"/>
    <w:rsid w:val="006C7B31"/>
    <w:rsid w:val="006D0DC6"/>
    <w:rsid w:val="006D16D0"/>
    <w:rsid w:val="006D4184"/>
    <w:rsid w:val="006D4CA4"/>
    <w:rsid w:val="006D60DD"/>
    <w:rsid w:val="006D6416"/>
    <w:rsid w:val="006D737B"/>
    <w:rsid w:val="006D7849"/>
    <w:rsid w:val="006E01A2"/>
    <w:rsid w:val="006E08FB"/>
    <w:rsid w:val="006E275B"/>
    <w:rsid w:val="006E3AF2"/>
    <w:rsid w:val="006E4132"/>
    <w:rsid w:val="006E4284"/>
    <w:rsid w:val="006E4A93"/>
    <w:rsid w:val="006E6A1C"/>
    <w:rsid w:val="006E7124"/>
    <w:rsid w:val="006F0C07"/>
    <w:rsid w:val="006F1046"/>
    <w:rsid w:val="006F2D34"/>
    <w:rsid w:val="006F3126"/>
    <w:rsid w:val="006F3456"/>
    <w:rsid w:val="006F3F8C"/>
    <w:rsid w:val="006F440E"/>
    <w:rsid w:val="006F4F23"/>
    <w:rsid w:val="006F5439"/>
    <w:rsid w:val="006F5FD6"/>
    <w:rsid w:val="006F614C"/>
    <w:rsid w:val="006F6410"/>
    <w:rsid w:val="006F6A21"/>
    <w:rsid w:val="006F7673"/>
    <w:rsid w:val="006F780D"/>
    <w:rsid w:val="006F7AFB"/>
    <w:rsid w:val="007001D0"/>
    <w:rsid w:val="00700363"/>
    <w:rsid w:val="00700604"/>
    <w:rsid w:val="00700C55"/>
    <w:rsid w:val="00700FE5"/>
    <w:rsid w:val="007018D2"/>
    <w:rsid w:val="00702118"/>
    <w:rsid w:val="007024B7"/>
    <w:rsid w:val="00703C25"/>
    <w:rsid w:val="00703D03"/>
    <w:rsid w:val="00704CFF"/>
    <w:rsid w:val="00705245"/>
    <w:rsid w:val="00705BDA"/>
    <w:rsid w:val="00707D39"/>
    <w:rsid w:val="00710171"/>
    <w:rsid w:val="0071345C"/>
    <w:rsid w:val="00713D3D"/>
    <w:rsid w:val="007151FE"/>
    <w:rsid w:val="007155B4"/>
    <w:rsid w:val="007157F7"/>
    <w:rsid w:val="00715D19"/>
    <w:rsid w:val="007203EA"/>
    <w:rsid w:val="00720479"/>
    <w:rsid w:val="0072343D"/>
    <w:rsid w:val="00723931"/>
    <w:rsid w:val="00724A67"/>
    <w:rsid w:val="00725863"/>
    <w:rsid w:val="00725A1A"/>
    <w:rsid w:val="00725B4F"/>
    <w:rsid w:val="007260B4"/>
    <w:rsid w:val="00726932"/>
    <w:rsid w:val="00726AAD"/>
    <w:rsid w:val="00727351"/>
    <w:rsid w:val="007308C0"/>
    <w:rsid w:val="007327D1"/>
    <w:rsid w:val="007329C5"/>
    <w:rsid w:val="00733991"/>
    <w:rsid w:val="00734C1E"/>
    <w:rsid w:val="00734E96"/>
    <w:rsid w:val="00736240"/>
    <w:rsid w:val="00741C64"/>
    <w:rsid w:val="007424B5"/>
    <w:rsid w:val="007424C9"/>
    <w:rsid w:val="0074271C"/>
    <w:rsid w:val="007439D0"/>
    <w:rsid w:val="0074411A"/>
    <w:rsid w:val="0074499C"/>
    <w:rsid w:val="00744ED3"/>
    <w:rsid w:val="007454F8"/>
    <w:rsid w:val="00746794"/>
    <w:rsid w:val="0074693E"/>
    <w:rsid w:val="007470ED"/>
    <w:rsid w:val="007476FC"/>
    <w:rsid w:val="00750173"/>
    <w:rsid w:val="00750965"/>
    <w:rsid w:val="00750C73"/>
    <w:rsid w:val="007510D7"/>
    <w:rsid w:val="00751BFC"/>
    <w:rsid w:val="00751C35"/>
    <w:rsid w:val="007520BA"/>
    <w:rsid w:val="00752266"/>
    <w:rsid w:val="0075287C"/>
    <w:rsid w:val="007528EF"/>
    <w:rsid w:val="00753239"/>
    <w:rsid w:val="00753345"/>
    <w:rsid w:val="007536C7"/>
    <w:rsid w:val="007541A2"/>
    <w:rsid w:val="00754976"/>
    <w:rsid w:val="00756062"/>
    <w:rsid w:val="007565CE"/>
    <w:rsid w:val="007569AE"/>
    <w:rsid w:val="00760629"/>
    <w:rsid w:val="00761675"/>
    <w:rsid w:val="00761BEF"/>
    <w:rsid w:val="00762AAE"/>
    <w:rsid w:val="00763AE8"/>
    <w:rsid w:val="0076487C"/>
    <w:rsid w:val="00764921"/>
    <w:rsid w:val="007652BC"/>
    <w:rsid w:val="00765430"/>
    <w:rsid w:val="007659B8"/>
    <w:rsid w:val="00766B32"/>
    <w:rsid w:val="007702BF"/>
    <w:rsid w:val="007706CE"/>
    <w:rsid w:val="0077158B"/>
    <w:rsid w:val="00772455"/>
    <w:rsid w:val="007725C4"/>
    <w:rsid w:val="00772AFE"/>
    <w:rsid w:val="00772D30"/>
    <w:rsid w:val="00774211"/>
    <w:rsid w:val="00774214"/>
    <w:rsid w:val="0077436E"/>
    <w:rsid w:val="00774915"/>
    <w:rsid w:val="007753E4"/>
    <w:rsid w:val="00776D04"/>
    <w:rsid w:val="00776FE7"/>
    <w:rsid w:val="00777EFC"/>
    <w:rsid w:val="00780AE0"/>
    <w:rsid w:val="007821F0"/>
    <w:rsid w:val="00783A57"/>
    <w:rsid w:val="0078459E"/>
    <w:rsid w:val="0078530C"/>
    <w:rsid w:val="007857CD"/>
    <w:rsid w:val="00785C37"/>
    <w:rsid w:val="00786D26"/>
    <w:rsid w:val="007871CD"/>
    <w:rsid w:val="0079020D"/>
    <w:rsid w:val="00790795"/>
    <w:rsid w:val="0079199E"/>
    <w:rsid w:val="00792288"/>
    <w:rsid w:val="0079239E"/>
    <w:rsid w:val="00792ECD"/>
    <w:rsid w:val="00793F75"/>
    <w:rsid w:val="0079402D"/>
    <w:rsid w:val="00795B1F"/>
    <w:rsid w:val="00795F05"/>
    <w:rsid w:val="007966EF"/>
    <w:rsid w:val="00796CE1"/>
    <w:rsid w:val="007973A1"/>
    <w:rsid w:val="007A1BCB"/>
    <w:rsid w:val="007A1E13"/>
    <w:rsid w:val="007A1E7D"/>
    <w:rsid w:val="007A2B77"/>
    <w:rsid w:val="007A374A"/>
    <w:rsid w:val="007A41AB"/>
    <w:rsid w:val="007A4C99"/>
    <w:rsid w:val="007A6C29"/>
    <w:rsid w:val="007A71E7"/>
    <w:rsid w:val="007A7CC4"/>
    <w:rsid w:val="007B13A4"/>
    <w:rsid w:val="007B1587"/>
    <w:rsid w:val="007B188B"/>
    <w:rsid w:val="007B1DE4"/>
    <w:rsid w:val="007B23EE"/>
    <w:rsid w:val="007B32DD"/>
    <w:rsid w:val="007B4854"/>
    <w:rsid w:val="007B4A94"/>
    <w:rsid w:val="007B4BFF"/>
    <w:rsid w:val="007B5E43"/>
    <w:rsid w:val="007B7A58"/>
    <w:rsid w:val="007B7D89"/>
    <w:rsid w:val="007C06F7"/>
    <w:rsid w:val="007C0A2E"/>
    <w:rsid w:val="007C110B"/>
    <w:rsid w:val="007C154C"/>
    <w:rsid w:val="007C1CBC"/>
    <w:rsid w:val="007C263C"/>
    <w:rsid w:val="007C2FFC"/>
    <w:rsid w:val="007C3936"/>
    <w:rsid w:val="007C44A4"/>
    <w:rsid w:val="007C465C"/>
    <w:rsid w:val="007C4BB7"/>
    <w:rsid w:val="007C63DC"/>
    <w:rsid w:val="007C77B0"/>
    <w:rsid w:val="007D0CBA"/>
    <w:rsid w:val="007D1821"/>
    <w:rsid w:val="007D1837"/>
    <w:rsid w:val="007D336C"/>
    <w:rsid w:val="007D3B44"/>
    <w:rsid w:val="007D4361"/>
    <w:rsid w:val="007D4CFA"/>
    <w:rsid w:val="007D5777"/>
    <w:rsid w:val="007D6040"/>
    <w:rsid w:val="007E25E0"/>
    <w:rsid w:val="007E2735"/>
    <w:rsid w:val="007E3C31"/>
    <w:rsid w:val="007E6D04"/>
    <w:rsid w:val="007F0DB7"/>
    <w:rsid w:val="007F3689"/>
    <w:rsid w:val="007F3B72"/>
    <w:rsid w:val="007F43FF"/>
    <w:rsid w:val="007F4CB5"/>
    <w:rsid w:val="007F5B1F"/>
    <w:rsid w:val="007F7E9B"/>
    <w:rsid w:val="008000D3"/>
    <w:rsid w:val="0080573F"/>
    <w:rsid w:val="008067AD"/>
    <w:rsid w:val="00813210"/>
    <w:rsid w:val="008147F1"/>
    <w:rsid w:val="00816FF8"/>
    <w:rsid w:val="008174B4"/>
    <w:rsid w:val="00817723"/>
    <w:rsid w:val="00817E50"/>
    <w:rsid w:val="008212B5"/>
    <w:rsid w:val="00821379"/>
    <w:rsid w:val="00821A97"/>
    <w:rsid w:val="0082343A"/>
    <w:rsid w:val="00823B81"/>
    <w:rsid w:val="00825A9A"/>
    <w:rsid w:val="00826673"/>
    <w:rsid w:val="00827930"/>
    <w:rsid w:val="008304D5"/>
    <w:rsid w:val="00830A28"/>
    <w:rsid w:val="00832743"/>
    <w:rsid w:val="00832B46"/>
    <w:rsid w:val="00834706"/>
    <w:rsid w:val="00835001"/>
    <w:rsid w:val="008353A2"/>
    <w:rsid w:val="00835A21"/>
    <w:rsid w:val="00835BE7"/>
    <w:rsid w:val="00837050"/>
    <w:rsid w:val="008378F4"/>
    <w:rsid w:val="00837CC5"/>
    <w:rsid w:val="00840D3F"/>
    <w:rsid w:val="00840F5B"/>
    <w:rsid w:val="00841D95"/>
    <w:rsid w:val="008433D9"/>
    <w:rsid w:val="00844687"/>
    <w:rsid w:val="008447F0"/>
    <w:rsid w:val="00845A7B"/>
    <w:rsid w:val="00845D2D"/>
    <w:rsid w:val="00846BC0"/>
    <w:rsid w:val="00850FCE"/>
    <w:rsid w:val="00855D57"/>
    <w:rsid w:val="0085796B"/>
    <w:rsid w:val="00857C05"/>
    <w:rsid w:val="00862B60"/>
    <w:rsid w:val="0086494B"/>
    <w:rsid w:val="00865888"/>
    <w:rsid w:val="00867194"/>
    <w:rsid w:val="008671FA"/>
    <w:rsid w:val="00867F0F"/>
    <w:rsid w:val="0087211D"/>
    <w:rsid w:val="00873026"/>
    <w:rsid w:val="0087318F"/>
    <w:rsid w:val="00873D30"/>
    <w:rsid w:val="00874366"/>
    <w:rsid w:val="00874D9D"/>
    <w:rsid w:val="008752F1"/>
    <w:rsid w:val="00875A96"/>
    <w:rsid w:val="00877279"/>
    <w:rsid w:val="008777F2"/>
    <w:rsid w:val="00880087"/>
    <w:rsid w:val="00880BF9"/>
    <w:rsid w:val="0088167D"/>
    <w:rsid w:val="0088274B"/>
    <w:rsid w:val="00882B10"/>
    <w:rsid w:val="00882E2E"/>
    <w:rsid w:val="008834AE"/>
    <w:rsid w:val="008838EE"/>
    <w:rsid w:val="00884A4B"/>
    <w:rsid w:val="00884E7C"/>
    <w:rsid w:val="00885BE8"/>
    <w:rsid w:val="00886540"/>
    <w:rsid w:val="00890245"/>
    <w:rsid w:val="0089037B"/>
    <w:rsid w:val="008904C2"/>
    <w:rsid w:val="008923A4"/>
    <w:rsid w:val="00892874"/>
    <w:rsid w:val="00893CBE"/>
    <w:rsid w:val="00895E33"/>
    <w:rsid w:val="00896496"/>
    <w:rsid w:val="00897EE7"/>
    <w:rsid w:val="008A1907"/>
    <w:rsid w:val="008A2A45"/>
    <w:rsid w:val="008A4D85"/>
    <w:rsid w:val="008B0747"/>
    <w:rsid w:val="008B095D"/>
    <w:rsid w:val="008B1611"/>
    <w:rsid w:val="008B22DF"/>
    <w:rsid w:val="008B26E7"/>
    <w:rsid w:val="008B2AC2"/>
    <w:rsid w:val="008B2C87"/>
    <w:rsid w:val="008B31CE"/>
    <w:rsid w:val="008B324A"/>
    <w:rsid w:val="008B3A13"/>
    <w:rsid w:val="008B4219"/>
    <w:rsid w:val="008B56B5"/>
    <w:rsid w:val="008B6CC9"/>
    <w:rsid w:val="008B72BA"/>
    <w:rsid w:val="008C0409"/>
    <w:rsid w:val="008C2B50"/>
    <w:rsid w:val="008C359D"/>
    <w:rsid w:val="008C51F4"/>
    <w:rsid w:val="008C65DF"/>
    <w:rsid w:val="008C68A9"/>
    <w:rsid w:val="008D0AE4"/>
    <w:rsid w:val="008D24DA"/>
    <w:rsid w:val="008D3645"/>
    <w:rsid w:val="008D4C40"/>
    <w:rsid w:val="008D5989"/>
    <w:rsid w:val="008D5E08"/>
    <w:rsid w:val="008D6031"/>
    <w:rsid w:val="008D7246"/>
    <w:rsid w:val="008D75E9"/>
    <w:rsid w:val="008D7F98"/>
    <w:rsid w:val="008E13D0"/>
    <w:rsid w:val="008E2AE1"/>
    <w:rsid w:val="008E2C64"/>
    <w:rsid w:val="008E3540"/>
    <w:rsid w:val="008E383A"/>
    <w:rsid w:val="008E3F71"/>
    <w:rsid w:val="008E4A59"/>
    <w:rsid w:val="008E57E1"/>
    <w:rsid w:val="008E6141"/>
    <w:rsid w:val="008F0722"/>
    <w:rsid w:val="008F1A67"/>
    <w:rsid w:val="008F1ED7"/>
    <w:rsid w:val="008F2130"/>
    <w:rsid w:val="008F249E"/>
    <w:rsid w:val="008F58E8"/>
    <w:rsid w:val="008F67A7"/>
    <w:rsid w:val="008F726E"/>
    <w:rsid w:val="008F75E1"/>
    <w:rsid w:val="008F7ED9"/>
    <w:rsid w:val="009015C5"/>
    <w:rsid w:val="00901ED2"/>
    <w:rsid w:val="009036A4"/>
    <w:rsid w:val="009041EE"/>
    <w:rsid w:val="00906C20"/>
    <w:rsid w:val="009074AC"/>
    <w:rsid w:val="009101F7"/>
    <w:rsid w:val="009106A4"/>
    <w:rsid w:val="00911DE4"/>
    <w:rsid w:val="009125BB"/>
    <w:rsid w:val="0091262C"/>
    <w:rsid w:val="00913A0D"/>
    <w:rsid w:val="00913F29"/>
    <w:rsid w:val="00914184"/>
    <w:rsid w:val="009145E5"/>
    <w:rsid w:val="00915AFA"/>
    <w:rsid w:val="00915FA5"/>
    <w:rsid w:val="00917DD7"/>
    <w:rsid w:val="00917DED"/>
    <w:rsid w:val="009209EC"/>
    <w:rsid w:val="00920E36"/>
    <w:rsid w:val="00920EC5"/>
    <w:rsid w:val="00921E73"/>
    <w:rsid w:val="0092258E"/>
    <w:rsid w:val="00922787"/>
    <w:rsid w:val="009247BC"/>
    <w:rsid w:val="00924EB5"/>
    <w:rsid w:val="0092663A"/>
    <w:rsid w:val="00926E36"/>
    <w:rsid w:val="00927ADC"/>
    <w:rsid w:val="00931160"/>
    <w:rsid w:val="009322C1"/>
    <w:rsid w:val="00932DE2"/>
    <w:rsid w:val="0093422E"/>
    <w:rsid w:val="00934291"/>
    <w:rsid w:val="009349BC"/>
    <w:rsid w:val="00934EC8"/>
    <w:rsid w:val="00935279"/>
    <w:rsid w:val="00935C6B"/>
    <w:rsid w:val="00936D27"/>
    <w:rsid w:val="009371F7"/>
    <w:rsid w:val="009379CB"/>
    <w:rsid w:val="00937B71"/>
    <w:rsid w:val="009404DE"/>
    <w:rsid w:val="009409C6"/>
    <w:rsid w:val="00940BFD"/>
    <w:rsid w:val="00941BA2"/>
    <w:rsid w:val="00942A74"/>
    <w:rsid w:val="00942BFA"/>
    <w:rsid w:val="009439C9"/>
    <w:rsid w:val="00944528"/>
    <w:rsid w:val="009447E2"/>
    <w:rsid w:val="00944CB6"/>
    <w:rsid w:val="00947C16"/>
    <w:rsid w:val="0095186A"/>
    <w:rsid w:val="0095290C"/>
    <w:rsid w:val="009530DE"/>
    <w:rsid w:val="00953F17"/>
    <w:rsid w:val="00954C6D"/>
    <w:rsid w:val="00954DCC"/>
    <w:rsid w:val="0095501C"/>
    <w:rsid w:val="009555F6"/>
    <w:rsid w:val="00955ABF"/>
    <w:rsid w:val="009565F3"/>
    <w:rsid w:val="00956688"/>
    <w:rsid w:val="0095739A"/>
    <w:rsid w:val="00960B21"/>
    <w:rsid w:val="009615B2"/>
    <w:rsid w:val="00963263"/>
    <w:rsid w:val="0096411E"/>
    <w:rsid w:val="009651C1"/>
    <w:rsid w:val="00965FB8"/>
    <w:rsid w:val="00966113"/>
    <w:rsid w:val="009715BB"/>
    <w:rsid w:val="00973550"/>
    <w:rsid w:val="00973A58"/>
    <w:rsid w:val="00973ED4"/>
    <w:rsid w:val="00974807"/>
    <w:rsid w:val="00974BC3"/>
    <w:rsid w:val="00975036"/>
    <w:rsid w:val="009759C8"/>
    <w:rsid w:val="00980302"/>
    <w:rsid w:val="009808D6"/>
    <w:rsid w:val="00982CAC"/>
    <w:rsid w:val="00983E33"/>
    <w:rsid w:val="00986ABA"/>
    <w:rsid w:val="00990058"/>
    <w:rsid w:val="0099061F"/>
    <w:rsid w:val="00994DD4"/>
    <w:rsid w:val="00994E3A"/>
    <w:rsid w:val="00995019"/>
    <w:rsid w:val="009959A8"/>
    <w:rsid w:val="009965BB"/>
    <w:rsid w:val="009973BE"/>
    <w:rsid w:val="009977B4"/>
    <w:rsid w:val="00997812"/>
    <w:rsid w:val="00997941"/>
    <w:rsid w:val="009A282C"/>
    <w:rsid w:val="009A2B11"/>
    <w:rsid w:val="009A2E7D"/>
    <w:rsid w:val="009A4024"/>
    <w:rsid w:val="009A4908"/>
    <w:rsid w:val="009A4C2E"/>
    <w:rsid w:val="009A6366"/>
    <w:rsid w:val="009A651A"/>
    <w:rsid w:val="009B0AB7"/>
    <w:rsid w:val="009B1A51"/>
    <w:rsid w:val="009B2AD6"/>
    <w:rsid w:val="009B2F4D"/>
    <w:rsid w:val="009B35EF"/>
    <w:rsid w:val="009B3657"/>
    <w:rsid w:val="009B3F66"/>
    <w:rsid w:val="009B4658"/>
    <w:rsid w:val="009B7F7E"/>
    <w:rsid w:val="009C1756"/>
    <w:rsid w:val="009C2D18"/>
    <w:rsid w:val="009C380E"/>
    <w:rsid w:val="009C3D0A"/>
    <w:rsid w:val="009C5194"/>
    <w:rsid w:val="009C535C"/>
    <w:rsid w:val="009C699B"/>
    <w:rsid w:val="009D104C"/>
    <w:rsid w:val="009D296C"/>
    <w:rsid w:val="009D3920"/>
    <w:rsid w:val="009D4A70"/>
    <w:rsid w:val="009D5F32"/>
    <w:rsid w:val="009D61D2"/>
    <w:rsid w:val="009D677B"/>
    <w:rsid w:val="009D6956"/>
    <w:rsid w:val="009D7CCD"/>
    <w:rsid w:val="009E4253"/>
    <w:rsid w:val="009E433D"/>
    <w:rsid w:val="009E4A8C"/>
    <w:rsid w:val="009E58FB"/>
    <w:rsid w:val="009E5A78"/>
    <w:rsid w:val="009E5ACA"/>
    <w:rsid w:val="009E61B6"/>
    <w:rsid w:val="009E65B6"/>
    <w:rsid w:val="009E6C76"/>
    <w:rsid w:val="009E7728"/>
    <w:rsid w:val="009F0E00"/>
    <w:rsid w:val="009F1F79"/>
    <w:rsid w:val="009F273A"/>
    <w:rsid w:val="009F3178"/>
    <w:rsid w:val="009F3CAE"/>
    <w:rsid w:val="009F4B44"/>
    <w:rsid w:val="009F5AF7"/>
    <w:rsid w:val="009F5F86"/>
    <w:rsid w:val="009F6273"/>
    <w:rsid w:val="009F7239"/>
    <w:rsid w:val="00A01492"/>
    <w:rsid w:val="00A01E5C"/>
    <w:rsid w:val="00A023E6"/>
    <w:rsid w:val="00A0356C"/>
    <w:rsid w:val="00A03E30"/>
    <w:rsid w:val="00A03E33"/>
    <w:rsid w:val="00A04A9F"/>
    <w:rsid w:val="00A05AA8"/>
    <w:rsid w:val="00A05E8B"/>
    <w:rsid w:val="00A067F7"/>
    <w:rsid w:val="00A07BA1"/>
    <w:rsid w:val="00A07DDF"/>
    <w:rsid w:val="00A1077E"/>
    <w:rsid w:val="00A110F8"/>
    <w:rsid w:val="00A1128B"/>
    <w:rsid w:val="00A1209F"/>
    <w:rsid w:val="00A12230"/>
    <w:rsid w:val="00A1443B"/>
    <w:rsid w:val="00A16433"/>
    <w:rsid w:val="00A16518"/>
    <w:rsid w:val="00A216FB"/>
    <w:rsid w:val="00A22C72"/>
    <w:rsid w:val="00A22C8D"/>
    <w:rsid w:val="00A22FC3"/>
    <w:rsid w:val="00A23DC8"/>
    <w:rsid w:val="00A25022"/>
    <w:rsid w:val="00A26D73"/>
    <w:rsid w:val="00A27B13"/>
    <w:rsid w:val="00A27B94"/>
    <w:rsid w:val="00A30D46"/>
    <w:rsid w:val="00A32143"/>
    <w:rsid w:val="00A32749"/>
    <w:rsid w:val="00A332EA"/>
    <w:rsid w:val="00A33453"/>
    <w:rsid w:val="00A366A2"/>
    <w:rsid w:val="00A375CF"/>
    <w:rsid w:val="00A37F77"/>
    <w:rsid w:val="00A42BC0"/>
    <w:rsid w:val="00A43882"/>
    <w:rsid w:val="00A44E9C"/>
    <w:rsid w:val="00A459B6"/>
    <w:rsid w:val="00A45CD1"/>
    <w:rsid w:val="00A4662C"/>
    <w:rsid w:val="00A516CB"/>
    <w:rsid w:val="00A52A4E"/>
    <w:rsid w:val="00A53951"/>
    <w:rsid w:val="00A53EB2"/>
    <w:rsid w:val="00A543C3"/>
    <w:rsid w:val="00A54CD3"/>
    <w:rsid w:val="00A54CEC"/>
    <w:rsid w:val="00A558C7"/>
    <w:rsid w:val="00A55CB8"/>
    <w:rsid w:val="00A575AE"/>
    <w:rsid w:val="00A57948"/>
    <w:rsid w:val="00A57CB7"/>
    <w:rsid w:val="00A61078"/>
    <w:rsid w:val="00A61B73"/>
    <w:rsid w:val="00A62958"/>
    <w:rsid w:val="00A64FB2"/>
    <w:rsid w:val="00A65D09"/>
    <w:rsid w:val="00A66A78"/>
    <w:rsid w:val="00A71260"/>
    <w:rsid w:val="00A7160E"/>
    <w:rsid w:val="00A722B0"/>
    <w:rsid w:val="00A72D62"/>
    <w:rsid w:val="00A736FF"/>
    <w:rsid w:val="00A74864"/>
    <w:rsid w:val="00A75760"/>
    <w:rsid w:val="00A75DBB"/>
    <w:rsid w:val="00A7612D"/>
    <w:rsid w:val="00A8009A"/>
    <w:rsid w:val="00A809C2"/>
    <w:rsid w:val="00A81A9D"/>
    <w:rsid w:val="00A82CD1"/>
    <w:rsid w:val="00A82F4E"/>
    <w:rsid w:val="00A834B8"/>
    <w:rsid w:val="00A8362E"/>
    <w:rsid w:val="00A86C81"/>
    <w:rsid w:val="00A86F1A"/>
    <w:rsid w:val="00A9159F"/>
    <w:rsid w:val="00A91EE8"/>
    <w:rsid w:val="00A9275F"/>
    <w:rsid w:val="00A93921"/>
    <w:rsid w:val="00A94DA9"/>
    <w:rsid w:val="00A95575"/>
    <w:rsid w:val="00A96322"/>
    <w:rsid w:val="00A965D0"/>
    <w:rsid w:val="00A97A82"/>
    <w:rsid w:val="00AA0356"/>
    <w:rsid w:val="00AA05B7"/>
    <w:rsid w:val="00AA20C9"/>
    <w:rsid w:val="00AA2141"/>
    <w:rsid w:val="00AA4E5D"/>
    <w:rsid w:val="00AA50D8"/>
    <w:rsid w:val="00AA5524"/>
    <w:rsid w:val="00AA7945"/>
    <w:rsid w:val="00AB564A"/>
    <w:rsid w:val="00AB5945"/>
    <w:rsid w:val="00AB6047"/>
    <w:rsid w:val="00AB6074"/>
    <w:rsid w:val="00AB62DA"/>
    <w:rsid w:val="00AB65D7"/>
    <w:rsid w:val="00AB757F"/>
    <w:rsid w:val="00AC0C2F"/>
    <w:rsid w:val="00AC236C"/>
    <w:rsid w:val="00AC251A"/>
    <w:rsid w:val="00AC3C4A"/>
    <w:rsid w:val="00AC4A99"/>
    <w:rsid w:val="00AC541C"/>
    <w:rsid w:val="00AC6718"/>
    <w:rsid w:val="00AC70EF"/>
    <w:rsid w:val="00AC7CBD"/>
    <w:rsid w:val="00AD0337"/>
    <w:rsid w:val="00AD1AAD"/>
    <w:rsid w:val="00AD32BF"/>
    <w:rsid w:val="00AD4ABE"/>
    <w:rsid w:val="00AD5C55"/>
    <w:rsid w:val="00AD6183"/>
    <w:rsid w:val="00AD6820"/>
    <w:rsid w:val="00AD687A"/>
    <w:rsid w:val="00AD6DC4"/>
    <w:rsid w:val="00AD6E17"/>
    <w:rsid w:val="00AD6F8B"/>
    <w:rsid w:val="00AD7CB2"/>
    <w:rsid w:val="00AE12CD"/>
    <w:rsid w:val="00AE23F9"/>
    <w:rsid w:val="00AE25D5"/>
    <w:rsid w:val="00AE29B2"/>
    <w:rsid w:val="00AE3801"/>
    <w:rsid w:val="00AE4733"/>
    <w:rsid w:val="00AE4EF4"/>
    <w:rsid w:val="00AE6022"/>
    <w:rsid w:val="00AE6DF0"/>
    <w:rsid w:val="00AE7486"/>
    <w:rsid w:val="00AF07AF"/>
    <w:rsid w:val="00AF0A9F"/>
    <w:rsid w:val="00AF0EB2"/>
    <w:rsid w:val="00AF126C"/>
    <w:rsid w:val="00AF2E46"/>
    <w:rsid w:val="00AF2FFA"/>
    <w:rsid w:val="00AF3340"/>
    <w:rsid w:val="00AF48FD"/>
    <w:rsid w:val="00AF649D"/>
    <w:rsid w:val="00B00C37"/>
    <w:rsid w:val="00B013B9"/>
    <w:rsid w:val="00B01F6B"/>
    <w:rsid w:val="00B032F1"/>
    <w:rsid w:val="00B03921"/>
    <w:rsid w:val="00B03FA5"/>
    <w:rsid w:val="00B05B36"/>
    <w:rsid w:val="00B0686D"/>
    <w:rsid w:val="00B06E8D"/>
    <w:rsid w:val="00B07898"/>
    <w:rsid w:val="00B1074A"/>
    <w:rsid w:val="00B10F05"/>
    <w:rsid w:val="00B11624"/>
    <w:rsid w:val="00B12BD1"/>
    <w:rsid w:val="00B17246"/>
    <w:rsid w:val="00B20191"/>
    <w:rsid w:val="00B206C1"/>
    <w:rsid w:val="00B221AC"/>
    <w:rsid w:val="00B23035"/>
    <w:rsid w:val="00B26017"/>
    <w:rsid w:val="00B26743"/>
    <w:rsid w:val="00B31641"/>
    <w:rsid w:val="00B31986"/>
    <w:rsid w:val="00B321BE"/>
    <w:rsid w:val="00B323FC"/>
    <w:rsid w:val="00B32EB9"/>
    <w:rsid w:val="00B3308F"/>
    <w:rsid w:val="00B338B5"/>
    <w:rsid w:val="00B3403E"/>
    <w:rsid w:val="00B34430"/>
    <w:rsid w:val="00B34C3A"/>
    <w:rsid w:val="00B355A8"/>
    <w:rsid w:val="00B361B1"/>
    <w:rsid w:val="00B4133D"/>
    <w:rsid w:val="00B416FC"/>
    <w:rsid w:val="00B41D67"/>
    <w:rsid w:val="00B4275A"/>
    <w:rsid w:val="00B437F3"/>
    <w:rsid w:val="00B43EEE"/>
    <w:rsid w:val="00B44BB1"/>
    <w:rsid w:val="00B46F7E"/>
    <w:rsid w:val="00B507B6"/>
    <w:rsid w:val="00B50C78"/>
    <w:rsid w:val="00B52787"/>
    <w:rsid w:val="00B52DF3"/>
    <w:rsid w:val="00B548F8"/>
    <w:rsid w:val="00B55771"/>
    <w:rsid w:val="00B5631F"/>
    <w:rsid w:val="00B56411"/>
    <w:rsid w:val="00B56573"/>
    <w:rsid w:val="00B56699"/>
    <w:rsid w:val="00B5719E"/>
    <w:rsid w:val="00B57979"/>
    <w:rsid w:val="00B6273D"/>
    <w:rsid w:val="00B629B5"/>
    <w:rsid w:val="00B64794"/>
    <w:rsid w:val="00B64A6A"/>
    <w:rsid w:val="00B64E63"/>
    <w:rsid w:val="00B65479"/>
    <w:rsid w:val="00B654ED"/>
    <w:rsid w:val="00B6599B"/>
    <w:rsid w:val="00B664EB"/>
    <w:rsid w:val="00B67600"/>
    <w:rsid w:val="00B71C23"/>
    <w:rsid w:val="00B72016"/>
    <w:rsid w:val="00B725B1"/>
    <w:rsid w:val="00B73768"/>
    <w:rsid w:val="00B7388C"/>
    <w:rsid w:val="00B7408F"/>
    <w:rsid w:val="00B75DB6"/>
    <w:rsid w:val="00B75EF5"/>
    <w:rsid w:val="00B761B1"/>
    <w:rsid w:val="00B76DF9"/>
    <w:rsid w:val="00B77665"/>
    <w:rsid w:val="00B8091F"/>
    <w:rsid w:val="00B80CFB"/>
    <w:rsid w:val="00B82A63"/>
    <w:rsid w:val="00B830BE"/>
    <w:rsid w:val="00B84D80"/>
    <w:rsid w:val="00B85D1C"/>
    <w:rsid w:val="00B87659"/>
    <w:rsid w:val="00B877F1"/>
    <w:rsid w:val="00B90B67"/>
    <w:rsid w:val="00B91084"/>
    <w:rsid w:val="00B928AF"/>
    <w:rsid w:val="00B92ACB"/>
    <w:rsid w:val="00B93631"/>
    <w:rsid w:val="00B93971"/>
    <w:rsid w:val="00B94820"/>
    <w:rsid w:val="00B94871"/>
    <w:rsid w:val="00B94FB4"/>
    <w:rsid w:val="00B95A0B"/>
    <w:rsid w:val="00B95B99"/>
    <w:rsid w:val="00B96474"/>
    <w:rsid w:val="00B965EA"/>
    <w:rsid w:val="00B9660E"/>
    <w:rsid w:val="00B968AB"/>
    <w:rsid w:val="00BA0C84"/>
    <w:rsid w:val="00BA1607"/>
    <w:rsid w:val="00BA2235"/>
    <w:rsid w:val="00BA2863"/>
    <w:rsid w:val="00BA2903"/>
    <w:rsid w:val="00BA4D2F"/>
    <w:rsid w:val="00BA55F6"/>
    <w:rsid w:val="00BA67EA"/>
    <w:rsid w:val="00BA6FB8"/>
    <w:rsid w:val="00BA728F"/>
    <w:rsid w:val="00BB0BFC"/>
    <w:rsid w:val="00BB2260"/>
    <w:rsid w:val="00BB2B5F"/>
    <w:rsid w:val="00BB49B4"/>
    <w:rsid w:val="00BB5630"/>
    <w:rsid w:val="00BB6056"/>
    <w:rsid w:val="00BB6C49"/>
    <w:rsid w:val="00BB7C2A"/>
    <w:rsid w:val="00BC03FA"/>
    <w:rsid w:val="00BC09FF"/>
    <w:rsid w:val="00BC16F6"/>
    <w:rsid w:val="00BC1F7E"/>
    <w:rsid w:val="00BC3142"/>
    <w:rsid w:val="00BC33C9"/>
    <w:rsid w:val="00BC3984"/>
    <w:rsid w:val="00BC3DB1"/>
    <w:rsid w:val="00BC51B7"/>
    <w:rsid w:val="00BC6308"/>
    <w:rsid w:val="00BD04AA"/>
    <w:rsid w:val="00BD06E5"/>
    <w:rsid w:val="00BD1719"/>
    <w:rsid w:val="00BD220C"/>
    <w:rsid w:val="00BD3957"/>
    <w:rsid w:val="00BD399F"/>
    <w:rsid w:val="00BD3A9E"/>
    <w:rsid w:val="00BD4513"/>
    <w:rsid w:val="00BD6A73"/>
    <w:rsid w:val="00BD7DFE"/>
    <w:rsid w:val="00BE22DD"/>
    <w:rsid w:val="00BE2568"/>
    <w:rsid w:val="00BE2999"/>
    <w:rsid w:val="00BE33FC"/>
    <w:rsid w:val="00BE343B"/>
    <w:rsid w:val="00BE4F3C"/>
    <w:rsid w:val="00BE5172"/>
    <w:rsid w:val="00BE681A"/>
    <w:rsid w:val="00BE6E76"/>
    <w:rsid w:val="00BE6FC8"/>
    <w:rsid w:val="00BF1C59"/>
    <w:rsid w:val="00BF2BAD"/>
    <w:rsid w:val="00BF39D3"/>
    <w:rsid w:val="00BF3C30"/>
    <w:rsid w:val="00BF6980"/>
    <w:rsid w:val="00C006F2"/>
    <w:rsid w:val="00C00A0E"/>
    <w:rsid w:val="00C03AF3"/>
    <w:rsid w:val="00C043B2"/>
    <w:rsid w:val="00C05595"/>
    <w:rsid w:val="00C067B9"/>
    <w:rsid w:val="00C06BCC"/>
    <w:rsid w:val="00C06D0E"/>
    <w:rsid w:val="00C10889"/>
    <w:rsid w:val="00C10C20"/>
    <w:rsid w:val="00C139E4"/>
    <w:rsid w:val="00C1505A"/>
    <w:rsid w:val="00C155BE"/>
    <w:rsid w:val="00C16466"/>
    <w:rsid w:val="00C16CAB"/>
    <w:rsid w:val="00C16E03"/>
    <w:rsid w:val="00C1738A"/>
    <w:rsid w:val="00C17720"/>
    <w:rsid w:val="00C17770"/>
    <w:rsid w:val="00C20074"/>
    <w:rsid w:val="00C21D4B"/>
    <w:rsid w:val="00C236C7"/>
    <w:rsid w:val="00C23BAA"/>
    <w:rsid w:val="00C26166"/>
    <w:rsid w:val="00C26CB0"/>
    <w:rsid w:val="00C2729C"/>
    <w:rsid w:val="00C27414"/>
    <w:rsid w:val="00C301E5"/>
    <w:rsid w:val="00C30622"/>
    <w:rsid w:val="00C30AD6"/>
    <w:rsid w:val="00C314A4"/>
    <w:rsid w:val="00C31850"/>
    <w:rsid w:val="00C32240"/>
    <w:rsid w:val="00C34DD5"/>
    <w:rsid w:val="00C36B24"/>
    <w:rsid w:val="00C370A6"/>
    <w:rsid w:val="00C37B14"/>
    <w:rsid w:val="00C40571"/>
    <w:rsid w:val="00C4058F"/>
    <w:rsid w:val="00C40677"/>
    <w:rsid w:val="00C41BC8"/>
    <w:rsid w:val="00C42C7B"/>
    <w:rsid w:val="00C438D6"/>
    <w:rsid w:val="00C44644"/>
    <w:rsid w:val="00C449ED"/>
    <w:rsid w:val="00C44D85"/>
    <w:rsid w:val="00C46456"/>
    <w:rsid w:val="00C54C54"/>
    <w:rsid w:val="00C55638"/>
    <w:rsid w:val="00C5570C"/>
    <w:rsid w:val="00C55C62"/>
    <w:rsid w:val="00C55D39"/>
    <w:rsid w:val="00C55F34"/>
    <w:rsid w:val="00C5702C"/>
    <w:rsid w:val="00C57055"/>
    <w:rsid w:val="00C6047B"/>
    <w:rsid w:val="00C60759"/>
    <w:rsid w:val="00C62C92"/>
    <w:rsid w:val="00C63147"/>
    <w:rsid w:val="00C643DF"/>
    <w:rsid w:val="00C66270"/>
    <w:rsid w:val="00C66BFB"/>
    <w:rsid w:val="00C670BA"/>
    <w:rsid w:val="00C673BA"/>
    <w:rsid w:val="00C67A54"/>
    <w:rsid w:val="00C67DE6"/>
    <w:rsid w:val="00C70F7A"/>
    <w:rsid w:val="00C71E4B"/>
    <w:rsid w:val="00C71EE9"/>
    <w:rsid w:val="00C72CBB"/>
    <w:rsid w:val="00C744BC"/>
    <w:rsid w:val="00C7523D"/>
    <w:rsid w:val="00C75904"/>
    <w:rsid w:val="00C773F0"/>
    <w:rsid w:val="00C808F0"/>
    <w:rsid w:val="00C80A1A"/>
    <w:rsid w:val="00C81468"/>
    <w:rsid w:val="00C82688"/>
    <w:rsid w:val="00C837F4"/>
    <w:rsid w:val="00C83E0F"/>
    <w:rsid w:val="00C847F3"/>
    <w:rsid w:val="00C8648B"/>
    <w:rsid w:val="00C86F78"/>
    <w:rsid w:val="00C87A66"/>
    <w:rsid w:val="00C9033F"/>
    <w:rsid w:val="00C91E64"/>
    <w:rsid w:val="00C9218D"/>
    <w:rsid w:val="00C93A1A"/>
    <w:rsid w:val="00C947E7"/>
    <w:rsid w:val="00C95A33"/>
    <w:rsid w:val="00C978EF"/>
    <w:rsid w:val="00CA05A5"/>
    <w:rsid w:val="00CA10D3"/>
    <w:rsid w:val="00CA3A1A"/>
    <w:rsid w:val="00CA5E7A"/>
    <w:rsid w:val="00CA5F63"/>
    <w:rsid w:val="00CA64F7"/>
    <w:rsid w:val="00CA7CDA"/>
    <w:rsid w:val="00CB007F"/>
    <w:rsid w:val="00CB17DB"/>
    <w:rsid w:val="00CB2A99"/>
    <w:rsid w:val="00CB433F"/>
    <w:rsid w:val="00CB6373"/>
    <w:rsid w:val="00CB6473"/>
    <w:rsid w:val="00CB7589"/>
    <w:rsid w:val="00CB7821"/>
    <w:rsid w:val="00CB7FB8"/>
    <w:rsid w:val="00CC09C5"/>
    <w:rsid w:val="00CC2A48"/>
    <w:rsid w:val="00CC41C5"/>
    <w:rsid w:val="00CC520C"/>
    <w:rsid w:val="00CC5A10"/>
    <w:rsid w:val="00CC5EDA"/>
    <w:rsid w:val="00CC6BB5"/>
    <w:rsid w:val="00CD1FA8"/>
    <w:rsid w:val="00CD3A92"/>
    <w:rsid w:val="00CD533C"/>
    <w:rsid w:val="00CD56F8"/>
    <w:rsid w:val="00CD6F74"/>
    <w:rsid w:val="00CD7BF9"/>
    <w:rsid w:val="00CE0562"/>
    <w:rsid w:val="00CE1CB4"/>
    <w:rsid w:val="00CE1DD7"/>
    <w:rsid w:val="00CE1F25"/>
    <w:rsid w:val="00CE1F34"/>
    <w:rsid w:val="00CE2966"/>
    <w:rsid w:val="00CE3641"/>
    <w:rsid w:val="00CE3645"/>
    <w:rsid w:val="00CE408D"/>
    <w:rsid w:val="00CE4136"/>
    <w:rsid w:val="00CE47EB"/>
    <w:rsid w:val="00CE5590"/>
    <w:rsid w:val="00CE60C8"/>
    <w:rsid w:val="00CE6C0B"/>
    <w:rsid w:val="00CF08E6"/>
    <w:rsid w:val="00CF2065"/>
    <w:rsid w:val="00CF2317"/>
    <w:rsid w:val="00CF24AC"/>
    <w:rsid w:val="00CF3236"/>
    <w:rsid w:val="00CF3913"/>
    <w:rsid w:val="00CF5226"/>
    <w:rsid w:val="00CF5EE9"/>
    <w:rsid w:val="00CF670E"/>
    <w:rsid w:val="00CF7CB7"/>
    <w:rsid w:val="00D01826"/>
    <w:rsid w:val="00D01E95"/>
    <w:rsid w:val="00D02BFF"/>
    <w:rsid w:val="00D03090"/>
    <w:rsid w:val="00D04576"/>
    <w:rsid w:val="00D045B7"/>
    <w:rsid w:val="00D05897"/>
    <w:rsid w:val="00D061E6"/>
    <w:rsid w:val="00D07183"/>
    <w:rsid w:val="00D11C55"/>
    <w:rsid w:val="00D11D73"/>
    <w:rsid w:val="00D12AF4"/>
    <w:rsid w:val="00D139CA"/>
    <w:rsid w:val="00D15430"/>
    <w:rsid w:val="00D15E9E"/>
    <w:rsid w:val="00D16FD4"/>
    <w:rsid w:val="00D17B05"/>
    <w:rsid w:val="00D20474"/>
    <w:rsid w:val="00D209CF"/>
    <w:rsid w:val="00D20CDF"/>
    <w:rsid w:val="00D22635"/>
    <w:rsid w:val="00D22699"/>
    <w:rsid w:val="00D23705"/>
    <w:rsid w:val="00D23EBD"/>
    <w:rsid w:val="00D256A9"/>
    <w:rsid w:val="00D27192"/>
    <w:rsid w:val="00D301ED"/>
    <w:rsid w:val="00D305FE"/>
    <w:rsid w:val="00D33CCF"/>
    <w:rsid w:val="00D3504D"/>
    <w:rsid w:val="00D351BC"/>
    <w:rsid w:val="00D363E1"/>
    <w:rsid w:val="00D372B4"/>
    <w:rsid w:val="00D378E4"/>
    <w:rsid w:val="00D4029F"/>
    <w:rsid w:val="00D426F7"/>
    <w:rsid w:val="00D43C02"/>
    <w:rsid w:val="00D44315"/>
    <w:rsid w:val="00D4449D"/>
    <w:rsid w:val="00D4675E"/>
    <w:rsid w:val="00D470CA"/>
    <w:rsid w:val="00D50879"/>
    <w:rsid w:val="00D522E9"/>
    <w:rsid w:val="00D52554"/>
    <w:rsid w:val="00D5398B"/>
    <w:rsid w:val="00D53C03"/>
    <w:rsid w:val="00D6011C"/>
    <w:rsid w:val="00D62694"/>
    <w:rsid w:val="00D632EA"/>
    <w:rsid w:val="00D63B4E"/>
    <w:rsid w:val="00D63E8E"/>
    <w:rsid w:val="00D6477D"/>
    <w:rsid w:val="00D65A6D"/>
    <w:rsid w:val="00D66F0C"/>
    <w:rsid w:val="00D67ADC"/>
    <w:rsid w:val="00D71225"/>
    <w:rsid w:val="00D713D9"/>
    <w:rsid w:val="00D71C5F"/>
    <w:rsid w:val="00D73328"/>
    <w:rsid w:val="00D73641"/>
    <w:rsid w:val="00D73DF8"/>
    <w:rsid w:val="00D74EBB"/>
    <w:rsid w:val="00D75C33"/>
    <w:rsid w:val="00D75FB3"/>
    <w:rsid w:val="00D76B18"/>
    <w:rsid w:val="00D808B7"/>
    <w:rsid w:val="00D819C9"/>
    <w:rsid w:val="00D819CB"/>
    <w:rsid w:val="00D81EFB"/>
    <w:rsid w:val="00D81FB9"/>
    <w:rsid w:val="00D82E2F"/>
    <w:rsid w:val="00D84BB0"/>
    <w:rsid w:val="00D85178"/>
    <w:rsid w:val="00D85B38"/>
    <w:rsid w:val="00D87FCB"/>
    <w:rsid w:val="00D90B99"/>
    <w:rsid w:val="00D90D9C"/>
    <w:rsid w:val="00D91A8D"/>
    <w:rsid w:val="00D93657"/>
    <w:rsid w:val="00D9423F"/>
    <w:rsid w:val="00D96329"/>
    <w:rsid w:val="00D963F2"/>
    <w:rsid w:val="00D967EB"/>
    <w:rsid w:val="00D977DF"/>
    <w:rsid w:val="00DA0655"/>
    <w:rsid w:val="00DA2452"/>
    <w:rsid w:val="00DA3399"/>
    <w:rsid w:val="00DA5EF1"/>
    <w:rsid w:val="00DA72C6"/>
    <w:rsid w:val="00DB06A5"/>
    <w:rsid w:val="00DB0A33"/>
    <w:rsid w:val="00DB164C"/>
    <w:rsid w:val="00DB1B62"/>
    <w:rsid w:val="00DB1F26"/>
    <w:rsid w:val="00DB34E4"/>
    <w:rsid w:val="00DB36FF"/>
    <w:rsid w:val="00DB4106"/>
    <w:rsid w:val="00DB5451"/>
    <w:rsid w:val="00DB54E4"/>
    <w:rsid w:val="00DB686E"/>
    <w:rsid w:val="00DC0EAC"/>
    <w:rsid w:val="00DC1375"/>
    <w:rsid w:val="00DC1AE2"/>
    <w:rsid w:val="00DC1CE8"/>
    <w:rsid w:val="00DC2576"/>
    <w:rsid w:val="00DC2808"/>
    <w:rsid w:val="00DC45C6"/>
    <w:rsid w:val="00DC5785"/>
    <w:rsid w:val="00DC6754"/>
    <w:rsid w:val="00DC6CCD"/>
    <w:rsid w:val="00DC6E08"/>
    <w:rsid w:val="00DC7885"/>
    <w:rsid w:val="00DC7CD0"/>
    <w:rsid w:val="00DD1F1A"/>
    <w:rsid w:val="00DD2EC4"/>
    <w:rsid w:val="00DD3669"/>
    <w:rsid w:val="00DD38EA"/>
    <w:rsid w:val="00DD3A05"/>
    <w:rsid w:val="00DD556D"/>
    <w:rsid w:val="00DD5892"/>
    <w:rsid w:val="00DD5B5C"/>
    <w:rsid w:val="00DD6306"/>
    <w:rsid w:val="00DD7465"/>
    <w:rsid w:val="00DE1882"/>
    <w:rsid w:val="00DE1E1D"/>
    <w:rsid w:val="00DE2281"/>
    <w:rsid w:val="00DE259E"/>
    <w:rsid w:val="00DE2601"/>
    <w:rsid w:val="00DE2E40"/>
    <w:rsid w:val="00DE3137"/>
    <w:rsid w:val="00DE3356"/>
    <w:rsid w:val="00DE34D4"/>
    <w:rsid w:val="00DE4F85"/>
    <w:rsid w:val="00DE5B9C"/>
    <w:rsid w:val="00DE6CBC"/>
    <w:rsid w:val="00DE7433"/>
    <w:rsid w:val="00DF04FD"/>
    <w:rsid w:val="00DF0F87"/>
    <w:rsid w:val="00DF246F"/>
    <w:rsid w:val="00DF298B"/>
    <w:rsid w:val="00DF46AE"/>
    <w:rsid w:val="00DF47A9"/>
    <w:rsid w:val="00DF49B6"/>
    <w:rsid w:val="00DF50FE"/>
    <w:rsid w:val="00DF6DD6"/>
    <w:rsid w:val="00E00188"/>
    <w:rsid w:val="00E0021C"/>
    <w:rsid w:val="00E01A29"/>
    <w:rsid w:val="00E02796"/>
    <w:rsid w:val="00E03695"/>
    <w:rsid w:val="00E110EE"/>
    <w:rsid w:val="00E132F1"/>
    <w:rsid w:val="00E14D5C"/>
    <w:rsid w:val="00E15E02"/>
    <w:rsid w:val="00E2061C"/>
    <w:rsid w:val="00E22170"/>
    <w:rsid w:val="00E22C92"/>
    <w:rsid w:val="00E2481E"/>
    <w:rsid w:val="00E24A6C"/>
    <w:rsid w:val="00E24AA3"/>
    <w:rsid w:val="00E26A4C"/>
    <w:rsid w:val="00E26B9A"/>
    <w:rsid w:val="00E30EC0"/>
    <w:rsid w:val="00E3172B"/>
    <w:rsid w:val="00E319BB"/>
    <w:rsid w:val="00E31B34"/>
    <w:rsid w:val="00E31F68"/>
    <w:rsid w:val="00E326E5"/>
    <w:rsid w:val="00E33716"/>
    <w:rsid w:val="00E3459E"/>
    <w:rsid w:val="00E34875"/>
    <w:rsid w:val="00E348D3"/>
    <w:rsid w:val="00E36C49"/>
    <w:rsid w:val="00E40053"/>
    <w:rsid w:val="00E40123"/>
    <w:rsid w:val="00E40157"/>
    <w:rsid w:val="00E40626"/>
    <w:rsid w:val="00E409F0"/>
    <w:rsid w:val="00E4128F"/>
    <w:rsid w:val="00E41E5E"/>
    <w:rsid w:val="00E43378"/>
    <w:rsid w:val="00E44FC2"/>
    <w:rsid w:val="00E45C8A"/>
    <w:rsid w:val="00E46505"/>
    <w:rsid w:val="00E46A01"/>
    <w:rsid w:val="00E47DF5"/>
    <w:rsid w:val="00E505B4"/>
    <w:rsid w:val="00E509B6"/>
    <w:rsid w:val="00E516A5"/>
    <w:rsid w:val="00E5230B"/>
    <w:rsid w:val="00E53841"/>
    <w:rsid w:val="00E54185"/>
    <w:rsid w:val="00E5427B"/>
    <w:rsid w:val="00E57D84"/>
    <w:rsid w:val="00E60E99"/>
    <w:rsid w:val="00E6125C"/>
    <w:rsid w:val="00E615D6"/>
    <w:rsid w:val="00E62C66"/>
    <w:rsid w:val="00E636C1"/>
    <w:rsid w:val="00E6651B"/>
    <w:rsid w:val="00E67139"/>
    <w:rsid w:val="00E67B25"/>
    <w:rsid w:val="00E67BA7"/>
    <w:rsid w:val="00E71783"/>
    <w:rsid w:val="00E72378"/>
    <w:rsid w:val="00E724A0"/>
    <w:rsid w:val="00E7365D"/>
    <w:rsid w:val="00E74BDE"/>
    <w:rsid w:val="00E779F5"/>
    <w:rsid w:val="00E80C57"/>
    <w:rsid w:val="00E8176E"/>
    <w:rsid w:val="00E81C9D"/>
    <w:rsid w:val="00E82DBC"/>
    <w:rsid w:val="00E83BDA"/>
    <w:rsid w:val="00E84792"/>
    <w:rsid w:val="00E8492D"/>
    <w:rsid w:val="00E8533F"/>
    <w:rsid w:val="00E8538E"/>
    <w:rsid w:val="00E85785"/>
    <w:rsid w:val="00E85A45"/>
    <w:rsid w:val="00E867C5"/>
    <w:rsid w:val="00E86C31"/>
    <w:rsid w:val="00E87729"/>
    <w:rsid w:val="00E87887"/>
    <w:rsid w:val="00E9084C"/>
    <w:rsid w:val="00E91A7C"/>
    <w:rsid w:val="00E92966"/>
    <w:rsid w:val="00E92BD7"/>
    <w:rsid w:val="00E92E42"/>
    <w:rsid w:val="00E92EA1"/>
    <w:rsid w:val="00E94625"/>
    <w:rsid w:val="00E957BA"/>
    <w:rsid w:val="00EA05A2"/>
    <w:rsid w:val="00EA05B1"/>
    <w:rsid w:val="00EA0785"/>
    <w:rsid w:val="00EA0A00"/>
    <w:rsid w:val="00EA3415"/>
    <w:rsid w:val="00EA4D3F"/>
    <w:rsid w:val="00EA573C"/>
    <w:rsid w:val="00EA5F52"/>
    <w:rsid w:val="00EB0F40"/>
    <w:rsid w:val="00EB231C"/>
    <w:rsid w:val="00EB4247"/>
    <w:rsid w:val="00EB441E"/>
    <w:rsid w:val="00EB52A5"/>
    <w:rsid w:val="00EB6523"/>
    <w:rsid w:val="00EB7A7B"/>
    <w:rsid w:val="00EC0A9D"/>
    <w:rsid w:val="00EC1204"/>
    <w:rsid w:val="00EC2043"/>
    <w:rsid w:val="00EC48DE"/>
    <w:rsid w:val="00EC5389"/>
    <w:rsid w:val="00EC5A34"/>
    <w:rsid w:val="00EC6A0D"/>
    <w:rsid w:val="00EC6A11"/>
    <w:rsid w:val="00EC6CAA"/>
    <w:rsid w:val="00ED026C"/>
    <w:rsid w:val="00ED057C"/>
    <w:rsid w:val="00ED0928"/>
    <w:rsid w:val="00ED3795"/>
    <w:rsid w:val="00ED50A3"/>
    <w:rsid w:val="00ED5C4C"/>
    <w:rsid w:val="00ED63E9"/>
    <w:rsid w:val="00ED6B6D"/>
    <w:rsid w:val="00ED76C8"/>
    <w:rsid w:val="00EE650D"/>
    <w:rsid w:val="00EE7042"/>
    <w:rsid w:val="00EE7351"/>
    <w:rsid w:val="00EE7884"/>
    <w:rsid w:val="00EE7EF1"/>
    <w:rsid w:val="00EF118E"/>
    <w:rsid w:val="00EF15B6"/>
    <w:rsid w:val="00EF1F6B"/>
    <w:rsid w:val="00EF2B02"/>
    <w:rsid w:val="00EF315F"/>
    <w:rsid w:val="00EF4D0C"/>
    <w:rsid w:val="00EF521D"/>
    <w:rsid w:val="00EF5FC1"/>
    <w:rsid w:val="00EF6180"/>
    <w:rsid w:val="00EF63C1"/>
    <w:rsid w:val="00EF789C"/>
    <w:rsid w:val="00F00D42"/>
    <w:rsid w:val="00F00E8B"/>
    <w:rsid w:val="00F01119"/>
    <w:rsid w:val="00F01EF0"/>
    <w:rsid w:val="00F03ED5"/>
    <w:rsid w:val="00F053A1"/>
    <w:rsid w:val="00F05754"/>
    <w:rsid w:val="00F066C4"/>
    <w:rsid w:val="00F06A15"/>
    <w:rsid w:val="00F072F1"/>
    <w:rsid w:val="00F10BB8"/>
    <w:rsid w:val="00F110A8"/>
    <w:rsid w:val="00F126C4"/>
    <w:rsid w:val="00F12873"/>
    <w:rsid w:val="00F12FC0"/>
    <w:rsid w:val="00F1306D"/>
    <w:rsid w:val="00F133E0"/>
    <w:rsid w:val="00F13457"/>
    <w:rsid w:val="00F14312"/>
    <w:rsid w:val="00F1594C"/>
    <w:rsid w:val="00F1601D"/>
    <w:rsid w:val="00F17481"/>
    <w:rsid w:val="00F20826"/>
    <w:rsid w:val="00F20C97"/>
    <w:rsid w:val="00F211CD"/>
    <w:rsid w:val="00F24162"/>
    <w:rsid w:val="00F24E9F"/>
    <w:rsid w:val="00F24EEA"/>
    <w:rsid w:val="00F25554"/>
    <w:rsid w:val="00F267A8"/>
    <w:rsid w:val="00F26B2C"/>
    <w:rsid w:val="00F26DB0"/>
    <w:rsid w:val="00F33C20"/>
    <w:rsid w:val="00F33CCE"/>
    <w:rsid w:val="00F355B0"/>
    <w:rsid w:val="00F41964"/>
    <w:rsid w:val="00F43155"/>
    <w:rsid w:val="00F432C1"/>
    <w:rsid w:val="00F45B19"/>
    <w:rsid w:val="00F46BF4"/>
    <w:rsid w:val="00F46FA0"/>
    <w:rsid w:val="00F50AF4"/>
    <w:rsid w:val="00F51A71"/>
    <w:rsid w:val="00F52E03"/>
    <w:rsid w:val="00F53243"/>
    <w:rsid w:val="00F5532D"/>
    <w:rsid w:val="00F555E3"/>
    <w:rsid w:val="00F605D2"/>
    <w:rsid w:val="00F60AA0"/>
    <w:rsid w:val="00F62054"/>
    <w:rsid w:val="00F62FE2"/>
    <w:rsid w:val="00F63878"/>
    <w:rsid w:val="00F65B03"/>
    <w:rsid w:val="00F661BF"/>
    <w:rsid w:val="00F66507"/>
    <w:rsid w:val="00F670C8"/>
    <w:rsid w:val="00F73295"/>
    <w:rsid w:val="00F758DC"/>
    <w:rsid w:val="00F75EFA"/>
    <w:rsid w:val="00F76BFE"/>
    <w:rsid w:val="00F76EDD"/>
    <w:rsid w:val="00F808F8"/>
    <w:rsid w:val="00F81FD6"/>
    <w:rsid w:val="00F82F2F"/>
    <w:rsid w:val="00F83544"/>
    <w:rsid w:val="00F853D1"/>
    <w:rsid w:val="00F8670D"/>
    <w:rsid w:val="00F86732"/>
    <w:rsid w:val="00F86A45"/>
    <w:rsid w:val="00F87253"/>
    <w:rsid w:val="00F879B4"/>
    <w:rsid w:val="00F87F97"/>
    <w:rsid w:val="00F90A80"/>
    <w:rsid w:val="00F918CE"/>
    <w:rsid w:val="00F92A14"/>
    <w:rsid w:val="00F92FE2"/>
    <w:rsid w:val="00F95B90"/>
    <w:rsid w:val="00F961BF"/>
    <w:rsid w:val="00F96B2C"/>
    <w:rsid w:val="00F9711F"/>
    <w:rsid w:val="00F97C94"/>
    <w:rsid w:val="00FA129E"/>
    <w:rsid w:val="00FA23E3"/>
    <w:rsid w:val="00FA250D"/>
    <w:rsid w:val="00FA3792"/>
    <w:rsid w:val="00FA4E45"/>
    <w:rsid w:val="00FA5598"/>
    <w:rsid w:val="00FA5A32"/>
    <w:rsid w:val="00FA5D91"/>
    <w:rsid w:val="00FA7DD7"/>
    <w:rsid w:val="00FB095F"/>
    <w:rsid w:val="00FB10C3"/>
    <w:rsid w:val="00FB1C4F"/>
    <w:rsid w:val="00FB1EB6"/>
    <w:rsid w:val="00FB219D"/>
    <w:rsid w:val="00FB22CF"/>
    <w:rsid w:val="00FB42A7"/>
    <w:rsid w:val="00FB53AE"/>
    <w:rsid w:val="00FB5935"/>
    <w:rsid w:val="00FB79B5"/>
    <w:rsid w:val="00FB7E8E"/>
    <w:rsid w:val="00FC035E"/>
    <w:rsid w:val="00FC0629"/>
    <w:rsid w:val="00FC0831"/>
    <w:rsid w:val="00FC1177"/>
    <w:rsid w:val="00FC12B0"/>
    <w:rsid w:val="00FC1516"/>
    <w:rsid w:val="00FC2909"/>
    <w:rsid w:val="00FC2CF0"/>
    <w:rsid w:val="00FC37FE"/>
    <w:rsid w:val="00FC44F6"/>
    <w:rsid w:val="00FC487B"/>
    <w:rsid w:val="00FC5EE2"/>
    <w:rsid w:val="00FC604E"/>
    <w:rsid w:val="00FD021C"/>
    <w:rsid w:val="00FD0582"/>
    <w:rsid w:val="00FD1C0C"/>
    <w:rsid w:val="00FD218D"/>
    <w:rsid w:val="00FD3058"/>
    <w:rsid w:val="00FD30C2"/>
    <w:rsid w:val="00FD3295"/>
    <w:rsid w:val="00FD42AF"/>
    <w:rsid w:val="00FD46D9"/>
    <w:rsid w:val="00FD49A9"/>
    <w:rsid w:val="00FD4B5C"/>
    <w:rsid w:val="00FD4FF7"/>
    <w:rsid w:val="00FD5423"/>
    <w:rsid w:val="00FE0177"/>
    <w:rsid w:val="00FE064F"/>
    <w:rsid w:val="00FE1F49"/>
    <w:rsid w:val="00FE22E8"/>
    <w:rsid w:val="00FE2ED4"/>
    <w:rsid w:val="00FE3A42"/>
    <w:rsid w:val="00FE4340"/>
    <w:rsid w:val="00FE44C6"/>
    <w:rsid w:val="00FE48B6"/>
    <w:rsid w:val="00FE6EBD"/>
    <w:rsid w:val="00FE75E2"/>
    <w:rsid w:val="00FE7738"/>
    <w:rsid w:val="00FF0747"/>
    <w:rsid w:val="00FF0790"/>
    <w:rsid w:val="00FF0BFB"/>
    <w:rsid w:val="00FF1034"/>
    <w:rsid w:val="00FF2BC4"/>
    <w:rsid w:val="00FF40DD"/>
    <w:rsid w:val="00FF5F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DD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B03FA5"/>
    <w:pPr>
      <w:spacing w:before="120" w:after="120"/>
    </w:pPr>
    <w:rPr>
      <w:sz w:val="22"/>
    </w:rPr>
  </w:style>
  <w:style w:type="paragraph" w:styleId="Heading1">
    <w:name w:val="heading 1"/>
    <w:basedOn w:val="Normal"/>
    <w:next w:val="base-text-paragraph"/>
    <w:qFormat/>
    <w:rsid w:val="00B03FA5"/>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B03FA5"/>
    <w:pPr>
      <w:spacing w:before="480"/>
      <w:outlineLvl w:val="1"/>
    </w:pPr>
    <w:rPr>
      <w:caps w:val="0"/>
      <w:sz w:val="26"/>
    </w:rPr>
  </w:style>
  <w:style w:type="paragraph" w:styleId="Heading3">
    <w:name w:val="heading 3"/>
    <w:basedOn w:val="Heading2"/>
    <w:next w:val="base-text-paragraph"/>
    <w:link w:val="Heading3Char"/>
    <w:qFormat/>
    <w:rsid w:val="00B03FA5"/>
    <w:pPr>
      <w:spacing w:before="240"/>
      <w:outlineLvl w:val="2"/>
    </w:pPr>
    <w:rPr>
      <w:sz w:val="22"/>
    </w:rPr>
  </w:style>
  <w:style w:type="paragraph" w:styleId="Heading4">
    <w:name w:val="heading 4"/>
    <w:basedOn w:val="Heading3"/>
    <w:next w:val="base-text-paragraph"/>
    <w:link w:val="Heading4Char"/>
    <w:qFormat/>
    <w:rsid w:val="00B03FA5"/>
    <w:pPr>
      <w:spacing w:before="120"/>
      <w:ind w:left="1134"/>
      <w:outlineLvl w:val="3"/>
    </w:pPr>
    <w:rPr>
      <w:rFonts w:ascii="Times New Roman" w:hAnsi="Times New Roman"/>
      <w:i/>
    </w:rPr>
  </w:style>
  <w:style w:type="paragraph" w:styleId="Heading5">
    <w:name w:val="heading 5"/>
    <w:basedOn w:val="Heading4"/>
    <w:next w:val="base-text-paragraph"/>
    <w:qFormat/>
    <w:rsid w:val="00B03FA5"/>
    <w:pPr>
      <w:spacing w:after="60"/>
      <w:outlineLvl w:val="4"/>
    </w:pPr>
    <w:rPr>
      <w:b w:val="0"/>
      <w:bCs/>
      <w:iCs/>
      <w:szCs w:val="26"/>
    </w:rPr>
  </w:style>
  <w:style w:type="paragraph" w:styleId="Heading6">
    <w:name w:val="heading 6"/>
    <w:basedOn w:val="Heading5"/>
    <w:next w:val="base-text-paragraph"/>
    <w:qFormat/>
    <w:rsid w:val="00B03FA5"/>
    <w:pPr>
      <w:outlineLvl w:val="5"/>
    </w:pPr>
    <w:rPr>
      <w:bCs w:val="0"/>
      <w:i w:val="0"/>
      <w:szCs w:val="22"/>
      <w:u w:val="single"/>
    </w:rPr>
  </w:style>
  <w:style w:type="paragraph" w:styleId="Heading7">
    <w:name w:val="heading 7"/>
    <w:basedOn w:val="Normal"/>
    <w:next w:val="Normal"/>
    <w:qFormat/>
    <w:rsid w:val="00B03FA5"/>
    <w:pPr>
      <w:spacing w:before="240" w:after="60"/>
      <w:outlineLvl w:val="6"/>
    </w:pPr>
    <w:rPr>
      <w:sz w:val="24"/>
      <w:szCs w:val="24"/>
    </w:rPr>
  </w:style>
  <w:style w:type="paragraph" w:styleId="Heading8">
    <w:name w:val="heading 8"/>
    <w:basedOn w:val="Normal"/>
    <w:next w:val="Normal"/>
    <w:qFormat/>
    <w:rsid w:val="00B03FA5"/>
    <w:pPr>
      <w:spacing w:before="240" w:after="60"/>
      <w:outlineLvl w:val="7"/>
    </w:pPr>
    <w:rPr>
      <w:i/>
      <w:iCs/>
      <w:sz w:val="24"/>
      <w:szCs w:val="24"/>
    </w:rPr>
  </w:style>
  <w:style w:type="paragraph" w:styleId="Heading9">
    <w:name w:val="heading 9"/>
    <w:basedOn w:val="Normal"/>
    <w:next w:val="Normal"/>
    <w:qFormat/>
    <w:rsid w:val="00B03FA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03FA5"/>
    <w:pPr>
      <w:spacing w:after="0"/>
    </w:pPr>
  </w:style>
  <w:style w:type="paragraph" w:customStyle="1" w:styleId="ChapterHeading">
    <w:name w:val="Chapter Heading"/>
    <w:next w:val="Heading2"/>
    <w:rsid w:val="00B03FA5"/>
    <w:pPr>
      <w:numPr>
        <w:numId w:val="41"/>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B03FA5"/>
    <w:pPr>
      <w:spacing w:after="360"/>
    </w:pPr>
  </w:style>
  <w:style w:type="paragraph" w:customStyle="1" w:styleId="TableHeadingoutsidetable">
    <w:name w:val="Table Heading (outside table)"/>
    <w:basedOn w:val="Heading4"/>
    <w:rsid w:val="00B03FA5"/>
    <w:pPr>
      <w:numPr>
        <w:ilvl w:val="4"/>
        <w:numId w:val="41"/>
      </w:numPr>
    </w:pPr>
    <w:rPr>
      <w:i w:val="0"/>
    </w:rPr>
  </w:style>
  <w:style w:type="paragraph" w:customStyle="1" w:styleId="base-text-paragraph">
    <w:name w:val="base-text-paragraph"/>
    <w:basedOn w:val="Normal"/>
    <w:link w:val="base-text-paragraphChar"/>
    <w:rsid w:val="00B03FA5"/>
    <w:pPr>
      <w:numPr>
        <w:ilvl w:val="1"/>
        <w:numId w:val="41"/>
      </w:numPr>
    </w:pPr>
  </w:style>
  <w:style w:type="paragraph" w:customStyle="1" w:styleId="base-text-paragraphnonumbers">
    <w:name w:val="base-text-paragraph no numbers"/>
    <w:basedOn w:val="Normal"/>
    <w:rsid w:val="00B03FA5"/>
    <w:pPr>
      <w:ind w:left="1134"/>
    </w:pPr>
  </w:style>
  <w:style w:type="paragraph" w:customStyle="1" w:styleId="exampletext">
    <w:name w:val="example text"/>
    <w:basedOn w:val="Normal"/>
    <w:rsid w:val="00B03FA5"/>
    <w:pPr>
      <w:ind w:left="1985"/>
    </w:pPr>
    <w:rPr>
      <w:sz w:val="20"/>
    </w:rPr>
  </w:style>
  <w:style w:type="paragraph" w:customStyle="1" w:styleId="ExampleHeading">
    <w:name w:val="Example Heading"/>
    <w:basedOn w:val="Normal"/>
    <w:next w:val="exampletext"/>
    <w:rsid w:val="00B03FA5"/>
    <w:pPr>
      <w:keepNext/>
      <w:numPr>
        <w:ilvl w:val="3"/>
        <w:numId w:val="41"/>
      </w:numPr>
    </w:pPr>
    <w:rPr>
      <w:b/>
    </w:rPr>
  </w:style>
  <w:style w:type="paragraph" w:customStyle="1" w:styleId="Diagram">
    <w:name w:val="Diagram"/>
    <w:basedOn w:val="Normal"/>
    <w:next w:val="base-text-paragraphnonumbers"/>
    <w:rsid w:val="00B03FA5"/>
    <w:pPr>
      <w:keepNext/>
      <w:numPr>
        <w:ilvl w:val="2"/>
        <w:numId w:val="41"/>
      </w:numPr>
      <w:spacing w:before="0" w:after="0"/>
    </w:pPr>
    <w:rPr>
      <w:b/>
    </w:rPr>
  </w:style>
  <w:style w:type="paragraph" w:customStyle="1" w:styleId="dotpoint">
    <w:name w:val="dot point"/>
    <w:basedOn w:val="Normal"/>
    <w:link w:val="dotpointChar"/>
    <w:rsid w:val="00B03FA5"/>
    <w:pPr>
      <w:numPr>
        <w:numId w:val="28"/>
      </w:numPr>
    </w:pPr>
  </w:style>
  <w:style w:type="paragraph" w:customStyle="1" w:styleId="dotpoint2">
    <w:name w:val="dot point 2"/>
    <w:basedOn w:val="Normal"/>
    <w:rsid w:val="00B03FA5"/>
    <w:pPr>
      <w:numPr>
        <w:ilvl w:val="1"/>
        <w:numId w:val="25"/>
      </w:numPr>
      <w:tabs>
        <w:tab w:val="clear" w:pos="2552"/>
        <w:tab w:val="num" w:pos="360"/>
      </w:tabs>
      <w:ind w:left="0" w:firstLine="0"/>
    </w:pPr>
  </w:style>
  <w:style w:type="paragraph" w:customStyle="1" w:styleId="exampledotpoint1">
    <w:name w:val="example dot point 1"/>
    <w:basedOn w:val="exampletext"/>
    <w:rsid w:val="00B03FA5"/>
    <w:pPr>
      <w:numPr>
        <w:numId w:val="26"/>
      </w:numPr>
    </w:pPr>
  </w:style>
  <w:style w:type="paragraph" w:customStyle="1" w:styleId="exampledotpoint2">
    <w:name w:val="example dot point 2"/>
    <w:basedOn w:val="exampletext"/>
    <w:rsid w:val="00B03FA5"/>
    <w:pPr>
      <w:numPr>
        <w:ilvl w:val="1"/>
        <w:numId w:val="26"/>
      </w:numPr>
    </w:pPr>
  </w:style>
  <w:style w:type="paragraph" w:customStyle="1" w:styleId="tabletext">
    <w:name w:val="table text"/>
    <w:basedOn w:val="Normal"/>
    <w:rsid w:val="00B03FA5"/>
    <w:pPr>
      <w:spacing w:before="40" w:after="40"/>
    </w:pPr>
    <w:rPr>
      <w:sz w:val="20"/>
    </w:rPr>
  </w:style>
  <w:style w:type="paragraph" w:customStyle="1" w:styleId="tabledotpoint">
    <w:name w:val="table dot point"/>
    <w:basedOn w:val="tabletext"/>
    <w:rsid w:val="00B03FA5"/>
    <w:pPr>
      <w:numPr>
        <w:numId w:val="16"/>
      </w:numPr>
    </w:pPr>
  </w:style>
  <w:style w:type="paragraph" w:customStyle="1" w:styleId="tabledotpoint2">
    <w:name w:val="table dot point 2"/>
    <w:basedOn w:val="tabletext"/>
    <w:rsid w:val="00B03FA5"/>
    <w:pPr>
      <w:numPr>
        <w:ilvl w:val="1"/>
        <w:numId w:val="16"/>
      </w:numPr>
    </w:pPr>
  </w:style>
  <w:style w:type="paragraph" w:customStyle="1" w:styleId="Baseparagraphcentred">
    <w:name w:val="Base paragraph centred"/>
    <w:basedOn w:val="Normal"/>
    <w:rsid w:val="00B03FA5"/>
    <w:pPr>
      <w:jc w:val="center"/>
    </w:pPr>
  </w:style>
  <w:style w:type="paragraph" w:customStyle="1" w:styleId="BillName">
    <w:name w:val="Bill Name"/>
    <w:basedOn w:val="Normal"/>
    <w:next w:val="Baseparagraphcentred"/>
    <w:rsid w:val="00B03FA5"/>
    <w:pPr>
      <w:pBdr>
        <w:top w:val="single" w:sz="4" w:space="12" w:color="auto"/>
        <w:bottom w:val="single" w:sz="4" w:space="12" w:color="auto"/>
      </w:pBdr>
      <w:jc w:val="center"/>
    </w:pPr>
    <w:rPr>
      <w:caps/>
    </w:rPr>
  </w:style>
  <w:style w:type="paragraph" w:customStyle="1" w:styleId="BTPwithextraspacing">
    <w:name w:val="BTP with extra spacing"/>
    <w:basedOn w:val="Normal"/>
    <w:rsid w:val="00B03FA5"/>
    <w:pPr>
      <w:spacing w:before="360" w:after="360"/>
      <w:ind w:left="1134"/>
    </w:pPr>
  </w:style>
  <w:style w:type="paragraph" w:customStyle="1" w:styleId="Chapterheadingsubdocument">
    <w:name w:val="Chapter heading subdocument"/>
    <w:basedOn w:val="Normal"/>
    <w:next w:val="base-text-paragraphnonumbers"/>
    <w:rsid w:val="00B03FA5"/>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B03FA5"/>
    <w:pPr>
      <w:ind w:left="2268"/>
    </w:pPr>
  </w:style>
  <w:style w:type="paragraph" w:customStyle="1" w:styleId="leftfooter">
    <w:name w:val="left footer"/>
    <w:basedOn w:val="Normal"/>
    <w:rsid w:val="00B03FA5"/>
    <w:pPr>
      <w:pBdr>
        <w:top w:val="single" w:sz="4" w:space="1" w:color="auto"/>
      </w:pBdr>
      <w:spacing w:before="240" w:after="0"/>
    </w:pPr>
    <w:rPr>
      <w:i/>
      <w:sz w:val="20"/>
    </w:rPr>
  </w:style>
  <w:style w:type="paragraph" w:customStyle="1" w:styleId="Hiddentext">
    <w:name w:val="Hiddentext"/>
    <w:basedOn w:val="Normal"/>
    <w:rsid w:val="00B03FA5"/>
    <w:rPr>
      <w:vanish/>
    </w:rPr>
  </w:style>
  <w:style w:type="paragraph" w:customStyle="1" w:styleId="leftheader">
    <w:name w:val="left header"/>
    <w:basedOn w:val="Normal"/>
    <w:rsid w:val="00B03FA5"/>
    <w:pPr>
      <w:pBdr>
        <w:bottom w:val="single" w:sz="4" w:space="1" w:color="auto"/>
      </w:pBdr>
    </w:pPr>
    <w:rPr>
      <w:i/>
      <w:sz w:val="20"/>
    </w:rPr>
  </w:style>
  <w:style w:type="character" w:customStyle="1" w:styleId="Referencingstyle">
    <w:name w:val="Referencing style"/>
    <w:basedOn w:val="DefaultParagraphFont"/>
    <w:rsid w:val="00B03FA5"/>
    <w:rPr>
      <w:b/>
      <w:i/>
      <w:sz w:val="18"/>
    </w:rPr>
  </w:style>
  <w:style w:type="paragraph" w:customStyle="1" w:styleId="rightfooter">
    <w:name w:val="right footer"/>
    <w:basedOn w:val="Normal"/>
    <w:rsid w:val="00B03FA5"/>
    <w:pPr>
      <w:pBdr>
        <w:top w:val="single" w:sz="4" w:space="1" w:color="auto"/>
      </w:pBdr>
      <w:spacing w:before="240" w:after="0"/>
      <w:jc w:val="right"/>
    </w:pPr>
    <w:rPr>
      <w:i/>
      <w:sz w:val="20"/>
    </w:rPr>
  </w:style>
  <w:style w:type="paragraph" w:customStyle="1" w:styleId="rightheader">
    <w:name w:val="right header"/>
    <w:basedOn w:val="Normal"/>
    <w:link w:val="rightheaderChar"/>
    <w:rsid w:val="00B03FA5"/>
    <w:pPr>
      <w:pBdr>
        <w:bottom w:val="single" w:sz="4" w:space="1" w:color="auto"/>
      </w:pBdr>
      <w:jc w:val="right"/>
    </w:pPr>
    <w:rPr>
      <w:i/>
      <w:sz w:val="20"/>
    </w:rPr>
  </w:style>
  <w:style w:type="paragraph" w:customStyle="1" w:styleId="tableheaderwithintable">
    <w:name w:val="table header (within table)"/>
    <w:basedOn w:val="Heading4"/>
    <w:rsid w:val="00B03FA5"/>
    <w:pPr>
      <w:spacing w:before="60" w:after="60"/>
      <w:ind w:left="0"/>
      <w:jc w:val="center"/>
    </w:pPr>
    <w:rPr>
      <w:sz w:val="20"/>
    </w:rPr>
  </w:style>
  <w:style w:type="paragraph" w:styleId="TOC1">
    <w:name w:val="toc 1"/>
    <w:basedOn w:val="Heading2"/>
    <w:next w:val="TOC2"/>
    <w:uiPriority w:val="39"/>
    <w:rsid w:val="00E72378"/>
    <w:pPr>
      <w:tabs>
        <w:tab w:val="left" w:pos="1701"/>
        <w:tab w:val="right" w:leader="dot" w:pos="7711"/>
      </w:tabs>
      <w:spacing w:before="240"/>
      <w:ind w:left="1701" w:right="851" w:hanging="1701"/>
    </w:pPr>
    <w:rPr>
      <w:b w:val="0"/>
      <w:sz w:val="24"/>
    </w:rPr>
  </w:style>
  <w:style w:type="paragraph" w:styleId="TOCHeading">
    <w:name w:val="TOC Heading"/>
    <w:basedOn w:val="Normal"/>
    <w:next w:val="base-text-paragraphnonumbers"/>
    <w:qFormat/>
    <w:rsid w:val="00B03FA5"/>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B03FA5"/>
    <w:pPr>
      <w:tabs>
        <w:tab w:val="clear" w:pos="1701"/>
      </w:tabs>
      <w:ind w:left="0" w:firstLine="0"/>
    </w:pPr>
    <w:rPr>
      <w:noProof/>
    </w:rPr>
  </w:style>
  <w:style w:type="numbering" w:styleId="111111">
    <w:name w:val="Outline List 2"/>
    <w:basedOn w:val="NoList"/>
    <w:semiHidden/>
    <w:rsid w:val="00B03FA5"/>
    <w:pPr>
      <w:numPr>
        <w:numId w:val="11"/>
      </w:numPr>
    </w:pPr>
  </w:style>
  <w:style w:type="numbering" w:styleId="1ai">
    <w:name w:val="Outline List 1"/>
    <w:basedOn w:val="NoList"/>
    <w:semiHidden/>
    <w:rsid w:val="00B03FA5"/>
    <w:pPr>
      <w:numPr>
        <w:numId w:val="12"/>
      </w:numPr>
    </w:pPr>
  </w:style>
  <w:style w:type="numbering" w:styleId="ArticleSection">
    <w:name w:val="Outline List 3"/>
    <w:basedOn w:val="NoList"/>
    <w:semiHidden/>
    <w:rsid w:val="00B03FA5"/>
    <w:pPr>
      <w:numPr>
        <w:numId w:val="13"/>
      </w:numPr>
    </w:pPr>
  </w:style>
  <w:style w:type="paragraph" w:styleId="BlockText">
    <w:name w:val="Block Text"/>
    <w:basedOn w:val="Normal"/>
    <w:semiHidden/>
    <w:rsid w:val="00B03FA5"/>
    <w:pPr>
      <w:ind w:left="1440" w:right="1440"/>
    </w:pPr>
  </w:style>
  <w:style w:type="paragraph" w:styleId="BodyText">
    <w:name w:val="Body Text"/>
    <w:basedOn w:val="Normal"/>
    <w:semiHidden/>
    <w:rsid w:val="00B03FA5"/>
  </w:style>
  <w:style w:type="paragraph" w:styleId="BodyText2">
    <w:name w:val="Body Text 2"/>
    <w:basedOn w:val="Normal"/>
    <w:semiHidden/>
    <w:rsid w:val="00B03FA5"/>
    <w:pPr>
      <w:spacing w:line="480" w:lineRule="auto"/>
    </w:pPr>
  </w:style>
  <w:style w:type="paragraph" w:styleId="BodyText3">
    <w:name w:val="Body Text 3"/>
    <w:basedOn w:val="Normal"/>
    <w:semiHidden/>
    <w:rsid w:val="00B03FA5"/>
    <w:rPr>
      <w:sz w:val="16"/>
      <w:szCs w:val="16"/>
    </w:rPr>
  </w:style>
  <w:style w:type="paragraph" w:styleId="BodyTextFirstIndent">
    <w:name w:val="Body Text First Indent"/>
    <w:basedOn w:val="BodyText"/>
    <w:semiHidden/>
    <w:rsid w:val="00B03FA5"/>
    <w:pPr>
      <w:ind w:firstLine="210"/>
    </w:pPr>
  </w:style>
  <w:style w:type="paragraph" w:styleId="BodyTextIndent">
    <w:name w:val="Body Text Indent"/>
    <w:basedOn w:val="Normal"/>
    <w:semiHidden/>
    <w:rsid w:val="00B03FA5"/>
    <w:pPr>
      <w:ind w:left="283"/>
    </w:pPr>
  </w:style>
  <w:style w:type="paragraph" w:styleId="BodyTextFirstIndent2">
    <w:name w:val="Body Text First Indent 2"/>
    <w:basedOn w:val="BodyTextIndent"/>
    <w:semiHidden/>
    <w:rsid w:val="00B03FA5"/>
    <w:pPr>
      <w:ind w:firstLine="210"/>
    </w:pPr>
  </w:style>
  <w:style w:type="paragraph" w:styleId="BodyTextIndent2">
    <w:name w:val="Body Text Indent 2"/>
    <w:basedOn w:val="Normal"/>
    <w:semiHidden/>
    <w:rsid w:val="00B03FA5"/>
    <w:pPr>
      <w:spacing w:line="480" w:lineRule="auto"/>
      <w:ind w:left="283"/>
    </w:pPr>
  </w:style>
  <w:style w:type="paragraph" w:styleId="BodyTextIndent3">
    <w:name w:val="Body Text Indent 3"/>
    <w:basedOn w:val="Normal"/>
    <w:semiHidden/>
    <w:rsid w:val="00B03FA5"/>
    <w:pPr>
      <w:ind w:left="283"/>
    </w:pPr>
    <w:rPr>
      <w:sz w:val="16"/>
      <w:szCs w:val="16"/>
    </w:rPr>
  </w:style>
  <w:style w:type="paragraph" w:styleId="Closing">
    <w:name w:val="Closing"/>
    <w:basedOn w:val="Normal"/>
    <w:semiHidden/>
    <w:rsid w:val="00B03FA5"/>
    <w:pPr>
      <w:ind w:left="4252"/>
    </w:pPr>
  </w:style>
  <w:style w:type="paragraph" w:styleId="Date">
    <w:name w:val="Date"/>
    <w:basedOn w:val="Normal"/>
    <w:next w:val="Normal"/>
    <w:semiHidden/>
    <w:rsid w:val="00B03FA5"/>
  </w:style>
  <w:style w:type="paragraph" w:styleId="E-mailSignature">
    <w:name w:val="E-mail Signature"/>
    <w:basedOn w:val="Normal"/>
    <w:semiHidden/>
    <w:rsid w:val="00B03FA5"/>
  </w:style>
  <w:style w:type="character" w:styleId="Emphasis">
    <w:name w:val="Emphasis"/>
    <w:basedOn w:val="DefaultParagraphFont"/>
    <w:qFormat/>
    <w:rsid w:val="00B03FA5"/>
    <w:rPr>
      <w:i/>
      <w:iCs/>
    </w:rPr>
  </w:style>
  <w:style w:type="paragraph" w:styleId="EnvelopeAddress">
    <w:name w:val="envelope address"/>
    <w:basedOn w:val="Normal"/>
    <w:semiHidden/>
    <w:rsid w:val="00B03FA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B03FA5"/>
    <w:rPr>
      <w:rFonts w:ascii="Arial" w:hAnsi="Arial" w:cs="Arial"/>
      <w:sz w:val="20"/>
    </w:rPr>
  </w:style>
  <w:style w:type="paragraph" w:styleId="Footer">
    <w:name w:val="footer"/>
    <w:basedOn w:val="Normal"/>
    <w:semiHidden/>
    <w:rsid w:val="00B03FA5"/>
    <w:pPr>
      <w:tabs>
        <w:tab w:val="center" w:pos="4153"/>
        <w:tab w:val="right" w:pos="8306"/>
      </w:tabs>
    </w:pPr>
  </w:style>
  <w:style w:type="paragraph" w:styleId="Header">
    <w:name w:val="header"/>
    <w:basedOn w:val="Normal"/>
    <w:link w:val="HeaderChar"/>
    <w:rsid w:val="00B03FA5"/>
    <w:pPr>
      <w:tabs>
        <w:tab w:val="center" w:pos="4153"/>
        <w:tab w:val="right" w:pos="8306"/>
      </w:tabs>
    </w:pPr>
  </w:style>
  <w:style w:type="character" w:styleId="HTMLAcronym">
    <w:name w:val="HTML Acronym"/>
    <w:basedOn w:val="DefaultParagraphFont"/>
    <w:semiHidden/>
    <w:rsid w:val="00B03FA5"/>
  </w:style>
  <w:style w:type="paragraph" w:styleId="HTMLAddress">
    <w:name w:val="HTML Address"/>
    <w:basedOn w:val="Normal"/>
    <w:semiHidden/>
    <w:rsid w:val="00B03FA5"/>
    <w:rPr>
      <w:i/>
      <w:iCs/>
    </w:rPr>
  </w:style>
  <w:style w:type="character" w:styleId="HTMLCite">
    <w:name w:val="HTML Cite"/>
    <w:basedOn w:val="DefaultParagraphFont"/>
    <w:semiHidden/>
    <w:rsid w:val="00B03FA5"/>
    <w:rPr>
      <w:i/>
      <w:iCs/>
    </w:rPr>
  </w:style>
  <w:style w:type="character" w:styleId="HTMLCode">
    <w:name w:val="HTML Code"/>
    <w:basedOn w:val="DefaultParagraphFont"/>
    <w:semiHidden/>
    <w:rsid w:val="00B03FA5"/>
    <w:rPr>
      <w:rFonts w:ascii="Courier New" w:hAnsi="Courier New" w:cs="Courier New"/>
      <w:sz w:val="20"/>
      <w:szCs w:val="20"/>
    </w:rPr>
  </w:style>
  <w:style w:type="character" w:styleId="HTMLDefinition">
    <w:name w:val="HTML Definition"/>
    <w:basedOn w:val="DefaultParagraphFont"/>
    <w:semiHidden/>
    <w:rsid w:val="00B03FA5"/>
    <w:rPr>
      <w:i/>
      <w:iCs/>
    </w:rPr>
  </w:style>
  <w:style w:type="character" w:styleId="HTMLKeyboard">
    <w:name w:val="HTML Keyboard"/>
    <w:basedOn w:val="DefaultParagraphFont"/>
    <w:semiHidden/>
    <w:rsid w:val="00B03FA5"/>
    <w:rPr>
      <w:rFonts w:ascii="Courier New" w:hAnsi="Courier New" w:cs="Courier New"/>
      <w:sz w:val="20"/>
      <w:szCs w:val="20"/>
    </w:rPr>
  </w:style>
  <w:style w:type="paragraph" w:styleId="HTMLPreformatted">
    <w:name w:val="HTML Preformatted"/>
    <w:basedOn w:val="Normal"/>
    <w:semiHidden/>
    <w:rsid w:val="00B03FA5"/>
    <w:rPr>
      <w:rFonts w:ascii="Courier New" w:hAnsi="Courier New" w:cs="Courier New"/>
      <w:sz w:val="20"/>
    </w:rPr>
  </w:style>
  <w:style w:type="character" w:styleId="HTMLSample">
    <w:name w:val="HTML Sample"/>
    <w:basedOn w:val="DefaultParagraphFont"/>
    <w:semiHidden/>
    <w:rsid w:val="00B03FA5"/>
    <w:rPr>
      <w:rFonts w:ascii="Courier New" w:hAnsi="Courier New" w:cs="Courier New"/>
    </w:rPr>
  </w:style>
  <w:style w:type="character" w:styleId="HTMLTypewriter">
    <w:name w:val="HTML Typewriter"/>
    <w:basedOn w:val="DefaultParagraphFont"/>
    <w:semiHidden/>
    <w:rsid w:val="00B03FA5"/>
    <w:rPr>
      <w:rFonts w:ascii="Courier New" w:hAnsi="Courier New" w:cs="Courier New"/>
      <w:sz w:val="20"/>
      <w:szCs w:val="20"/>
    </w:rPr>
  </w:style>
  <w:style w:type="character" w:styleId="HTMLVariable">
    <w:name w:val="HTML Variable"/>
    <w:basedOn w:val="DefaultParagraphFont"/>
    <w:semiHidden/>
    <w:rsid w:val="00B03FA5"/>
    <w:rPr>
      <w:i/>
      <w:iCs/>
    </w:rPr>
  </w:style>
  <w:style w:type="character" w:styleId="LineNumber">
    <w:name w:val="line number"/>
    <w:basedOn w:val="DefaultParagraphFont"/>
    <w:semiHidden/>
    <w:rsid w:val="00B03FA5"/>
  </w:style>
  <w:style w:type="paragraph" w:styleId="List">
    <w:name w:val="List"/>
    <w:basedOn w:val="Normal"/>
    <w:semiHidden/>
    <w:rsid w:val="00B03FA5"/>
    <w:pPr>
      <w:ind w:left="283" w:hanging="283"/>
    </w:pPr>
  </w:style>
  <w:style w:type="paragraph" w:styleId="List2">
    <w:name w:val="List 2"/>
    <w:basedOn w:val="Normal"/>
    <w:semiHidden/>
    <w:rsid w:val="00B03FA5"/>
    <w:pPr>
      <w:ind w:left="566" w:hanging="283"/>
    </w:pPr>
  </w:style>
  <w:style w:type="paragraph" w:styleId="List3">
    <w:name w:val="List 3"/>
    <w:basedOn w:val="Normal"/>
    <w:semiHidden/>
    <w:rsid w:val="00B03FA5"/>
    <w:pPr>
      <w:ind w:left="849" w:hanging="283"/>
    </w:pPr>
  </w:style>
  <w:style w:type="paragraph" w:styleId="List4">
    <w:name w:val="List 4"/>
    <w:basedOn w:val="Normal"/>
    <w:semiHidden/>
    <w:rsid w:val="00B03FA5"/>
    <w:pPr>
      <w:ind w:left="1132" w:hanging="283"/>
    </w:pPr>
  </w:style>
  <w:style w:type="paragraph" w:styleId="List5">
    <w:name w:val="List 5"/>
    <w:basedOn w:val="Normal"/>
    <w:semiHidden/>
    <w:rsid w:val="00B03FA5"/>
    <w:pPr>
      <w:ind w:left="1415" w:hanging="283"/>
    </w:pPr>
  </w:style>
  <w:style w:type="paragraph" w:styleId="ListBullet">
    <w:name w:val="List Bullet"/>
    <w:basedOn w:val="Normal"/>
    <w:semiHidden/>
    <w:rsid w:val="00B03FA5"/>
    <w:pPr>
      <w:numPr>
        <w:numId w:val="1"/>
      </w:numPr>
    </w:pPr>
  </w:style>
  <w:style w:type="paragraph" w:styleId="ListBullet2">
    <w:name w:val="List Bullet 2"/>
    <w:basedOn w:val="Normal"/>
    <w:semiHidden/>
    <w:rsid w:val="00B03FA5"/>
    <w:pPr>
      <w:numPr>
        <w:numId w:val="2"/>
      </w:numPr>
    </w:pPr>
  </w:style>
  <w:style w:type="paragraph" w:styleId="ListBullet3">
    <w:name w:val="List Bullet 3"/>
    <w:basedOn w:val="Normal"/>
    <w:semiHidden/>
    <w:rsid w:val="00B03FA5"/>
    <w:pPr>
      <w:numPr>
        <w:numId w:val="3"/>
      </w:numPr>
    </w:pPr>
  </w:style>
  <w:style w:type="paragraph" w:styleId="ListBullet4">
    <w:name w:val="List Bullet 4"/>
    <w:basedOn w:val="Normal"/>
    <w:semiHidden/>
    <w:rsid w:val="00B03FA5"/>
    <w:pPr>
      <w:numPr>
        <w:numId w:val="4"/>
      </w:numPr>
    </w:pPr>
  </w:style>
  <w:style w:type="paragraph" w:styleId="ListBullet5">
    <w:name w:val="List Bullet 5"/>
    <w:basedOn w:val="Normal"/>
    <w:semiHidden/>
    <w:rsid w:val="00B03FA5"/>
    <w:pPr>
      <w:numPr>
        <w:numId w:val="5"/>
      </w:numPr>
    </w:pPr>
  </w:style>
  <w:style w:type="paragraph" w:styleId="ListContinue">
    <w:name w:val="List Continue"/>
    <w:basedOn w:val="Normal"/>
    <w:semiHidden/>
    <w:rsid w:val="00B03FA5"/>
    <w:pPr>
      <w:ind w:left="283"/>
    </w:pPr>
  </w:style>
  <w:style w:type="paragraph" w:styleId="ListContinue2">
    <w:name w:val="List Continue 2"/>
    <w:basedOn w:val="Normal"/>
    <w:semiHidden/>
    <w:rsid w:val="00B03FA5"/>
    <w:pPr>
      <w:ind w:left="566"/>
    </w:pPr>
  </w:style>
  <w:style w:type="paragraph" w:styleId="ListContinue3">
    <w:name w:val="List Continue 3"/>
    <w:basedOn w:val="Normal"/>
    <w:semiHidden/>
    <w:rsid w:val="00B03FA5"/>
    <w:pPr>
      <w:ind w:left="849"/>
    </w:pPr>
  </w:style>
  <w:style w:type="paragraph" w:styleId="ListContinue4">
    <w:name w:val="List Continue 4"/>
    <w:basedOn w:val="Normal"/>
    <w:semiHidden/>
    <w:rsid w:val="00B03FA5"/>
    <w:pPr>
      <w:ind w:left="1132"/>
    </w:pPr>
  </w:style>
  <w:style w:type="paragraph" w:styleId="ListContinue5">
    <w:name w:val="List Continue 5"/>
    <w:basedOn w:val="Normal"/>
    <w:semiHidden/>
    <w:rsid w:val="00B03FA5"/>
    <w:pPr>
      <w:ind w:left="1415"/>
    </w:pPr>
  </w:style>
  <w:style w:type="paragraph" w:styleId="ListNumber">
    <w:name w:val="List Number"/>
    <w:basedOn w:val="Normal"/>
    <w:semiHidden/>
    <w:rsid w:val="00B03FA5"/>
    <w:pPr>
      <w:numPr>
        <w:numId w:val="6"/>
      </w:numPr>
    </w:pPr>
  </w:style>
  <w:style w:type="paragraph" w:styleId="ListNumber2">
    <w:name w:val="List Number 2"/>
    <w:basedOn w:val="Normal"/>
    <w:semiHidden/>
    <w:rsid w:val="00B03FA5"/>
    <w:pPr>
      <w:numPr>
        <w:numId w:val="7"/>
      </w:numPr>
    </w:pPr>
  </w:style>
  <w:style w:type="paragraph" w:styleId="ListNumber3">
    <w:name w:val="List Number 3"/>
    <w:basedOn w:val="Normal"/>
    <w:semiHidden/>
    <w:rsid w:val="00B03FA5"/>
    <w:pPr>
      <w:numPr>
        <w:numId w:val="8"/>
      </w:numPr>
    </w:pPr>
  </w:style>
  <w:style w:type="paragraph" w:styleId="ListNumber4">
    <w:name w:val="List Number 4"/>
    <w:basedOn w:val="Normal"/>
    <w:semiHidden/>
    <w:rsid w:val="00B03FA5"/>
    <w:pPr>
      <w:numPr>
        <w:numId w:val="9"/>
      </w:numPr>
    </w:pPr>
  </w:style>
  <w:style w:type="paragraph" w:styleId="ListNumber5">
    <w:name w:val="List Number 5"/>
    <w:basedOn w:val="Normal"/>
    <w:rsid w:val="00B03FA5"/>
    <w:pPr>
      <w:numPr>
        <w:numId w:val="10"/>
      </w:numPr>
    </w:pPr>
  </w:style>
  <w:style w:type="paragraph" w:styleId="MessageHeader">
    <w:name w:val="Message Header"/>
    <w:basedOn w:val="Normal"/>
    <w:semiHidden/>
    <w:rsid w:val="00B03FA5"/>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B03FA5"/>
    <w:rPr>
      <w:sz w:val="24"/>
      <w:szCs w:val="24"/>
    </w:rPr>
  </w:style>
  <w:style w:type="paragraph" w:styleId="NormalIndent">
    <w:name w:val="Normal Indent"/>
    <w:basedOn w:val="Normal"/>
    <w:semiHidden/>
    <w:rsid w:val="00B03FA5"/>
    <w:pPr>
      <w:ind w:left="720"/>
    </w:pPr>
  </w:style>
  <w:style w:type="paragraph" w:styleId="NoteHeading">
    <w:name w:val="Note Heading"/>
    <w:basedOn w:val="Normal"/>
    <w:next w:val="Normal"/>
    <w:semiHidden/>
    <w:rsid w:val="00B03FA5"/>
  </w:style>
  <w:style w:type="character" w:styleId="PageNumber">
    <w:name w:val="page number"/>
    <w:basedOn w:val="DefaultParagraphFont"/>
    <w:semiHidden/>
    <w:rsid w:val="00B03FA5"/>
  </w:style>
  <w:style w:type="paragraph" w:styleId="PlainText">
    <w:name w:val="Plain Text"/>
    <w:basedOn w:val="Normal"/>
    <w:semiHidden/>
    <w:rsid w:val="00B03FA5"/>
    <w:rPr>
      <w:rFonts w:ascii="Courier New" w:hAnsi="Courier New" w:cs="Courier New"/>
      <w:sz w:val="20"/>
    </w:rPr>
  </w:style>
  <w:style w:type="paragraph" w:styleId="Salutation">
    <w:name w:val="Salutation"/>
    <w:basedOn w:val="Normal"/>
    <w:next w:val="Normal"/>
    <w:semiHidden/>
    <w:rsid w:val="00B03FA5"/>
  </w:style>
  <w:style w:type="paragraph" w:styleId="Signature">
    <w:name w:val="Signature"/>
    <w:basedOn w:val="Normal"/>
    <w:semiHidden/>
    <w:rsid w:val="00B03FA5"/>
    <w:pPr>
      <w:ind w:left="4252"/>
    </w:pPr>
  </w:style>
  <w:style w:type="character" w:styleId="Strong">
    <w:name w:val="Strong"/>
    <w:basedOn w:val="DefaultParagraphFont"/>
    <w:qFormat/>
    <w:rsid w:val="00B03FA5"/>
    <w:rPr>
      <w:b/>
      <w:bCs/>
    </w:rPr>
  </w:style>
  <w:style w:type="paragraph" w:styleId="Subtitle">
    <w:name w:val="Subtitle"/>
    <w:basedOn w:val="Normal"/>
    <w:qFormat/>
    <w:rsid w:val="00B03FA5"/>
    <w:pPr>
      <w:spacing w:after="60"/>
      <w:jc w:val="center"/>
      <w:outlineLvl w:val="1"/>
    </w:pPr>
    <w:rPr>
      <w:rFonts w:ascii="Arial" w:hAnsi="Arial" w:cs="Arial"/>
      <w:sz w:val="24"/>
      <w:szCs w:val="24"/>
    </w:rPr>
  </w:style>
  <w:style w:type="table" w:styleId="Table3Deffects1">
    <w:name w:val="Table 3D effects 1"/>
    <w:basedOn w:val="TableNormal"/>
    <w:semiHidden/>
    <w:rsid w:val="00B03FA5"/>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03FA5"/>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03FA5"/>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03FA5"/>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03FA5"/>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03FA5"/>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03FA5"/>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03FA5"/>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03FA5"/>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03FA5"/>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03FA5"/>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03FA5"/>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03FA5"/>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03FA5"/>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03FA5"/>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03FA5"/>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03FA5"/>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03FA5"/>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B03FA5"/>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03FA5"/>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03FA5"/>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03FA5"/>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03FA5"/>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03FA5"/>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03FA5"/>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03FA5"/>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03FA5"/>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03FA5"/>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03FA5"/>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03FA5"/>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03FA5"/>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03FA5"/>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03FA5"/>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03FA5"/>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03FA5"/>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03FA5"/>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03FA5"/>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03FA5"/>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03FA5"/>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03FA5"/>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03FA5"/>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03FA5"/>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03FA5"/>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03FA5"/>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03FA5"/>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B03FA5"/>
    <w:rPr>
      <w:b/>
    </w:rPr>
  </w:style>
  <w:style w:type="character" w:customStyle="1" w:styleId="Italic">
    <w:name w:val="Italic"/>
    <w:basedOn w:val="DefaultParagraphFont"/>
    <w:rsid w:val="00B03FA5"/>
    <w:rPr>
      <w:i/>
    </w:rPr>
  </w:style>
  <w:style w:type="character" w:customStyle="1" w:styleId="BoldItalic">
    <w:name w:val="BoldItalic"/>
    <w:basedOn w:val="DefaultParagraphFont"/>
    <w:rsid w:val="00B03FA5"/>
    <w:rPr>
      <w:b/>
      <w:i/>
    </w:rPr>
  </w:style>
  <w:style w:type="paragraph" w:customStyle="1" w:styleId="Glossarytabletext">
    <w:name w:val="Glossary table text"/>
    <w:basedOn w:val="Normal"/>
    <w:rsid w:val="00B03FA5"/>
    <w:pPr>
      <w:spacing w:before="60" w:after="60"/>
    </w:pPr>
    <w:rPr>
      <w:sz w:val="20"/>
    </w:rPr>
  </w:style>
  <w:style w:type="character" w:customStyle="1" w:styleId="base-text-paragraphChar">
    <w:name w:val="base-text-paragraph Char"/>
    <w:basedOn w:val="DefaultParagraphFont"/>
    <w:link w:val="base-text-paragraph"/>
    <w:rsid w:val="00B03FA5"/>
    <w:rPr>
      <w:sz w:val="22"/>
    </w:rPr>
  </w:style>
  <w:style w:type="paragraph" w:styleId="FootnoteText">
    <w:name w:val="footnote text"/>
    <w:basedOn w:val="Normal"/>
    <w:link w:val="FootnoteTextChar"/>
    <w:rsid w:val="00D53C03"/>
    <w:pPr>
      <w:tabs>
        <w:tab w:val="left" w:pos="340"/>
      </w:tabs>
      <w:spacing w:before="0" w:after="0"/>
      <w:ind w:left="340" w:hanging="340"/>
    </w:pPr>
    <w:rPr>
      <w:sz w:val="20"/>
    </w:rPr>
  </w:style>
  <w:style w:type="numbering" w:customStyle="1" w:styleId="ChapterList">
    <w:name w:val="ChapterList"/>
    <w:uiPriority w:val="99"/>
    <w:rsid w:val="00B03FA5"/>
    <w:pPr>
      <w:numPr>
        <w:numId w:val="18"/>
      </w:numPr>
    </w:pPr>
  </w:style>
  <w:style w:type="paragraph" w:styleId="ListParagraph">
    <w:name w:val="List Paragraph"/>
    <w:basedOn w:val="Normal"/>
    <w:link w:val="ListParagraphChar"/>
    <w:uiPriority w:val="34"/>
    <w:qFormat/>
    <w:rsid w:val="009349BC"/>
    <w:pPr>
      <w:numPr>
        <w:numId w:val="43"/>
      </w:numPr>
      <w:tabs>
        <w:tab w:val="left" w:pos="2552"/>
      </w:tabs>
      <w:ind w:left="2552" w:hanging="284"/>
    </w:pPr>
  </w:style>
  <w:style w:type="numbering" w:customStyle="1" w:styleId="DotPointList">
    <w:name w:val="Dot Point List"/>
    <w:uiPriority w:val="99"/>
    <w:rsid w:val="00B03FA5"/>
    <w:pPr>
      <w:numPr>
        <w:numId w:val="25"/>
      </w:numPr>
    </w:pPr>
  </w:style>
  <w:style w:type="numbering" w:customStyle="1" w:styleId="ExampleDotPointList">
    <w:name w:val="Example Dot Point List"/>
    <w:uiPriority w:val="99"/>
    <w:rsid w:val="00B03FA5"/>
    <w:pPr>
      <w:numPr>
        <w:numId w:val="26"/>
      </w:numPr>
    </w:pPr>
  </w:style>
  <w:style w:type="numbering" w:customStyle="1" w:styleId="TableDotPointList">
    <w:name w:val="Table Dot Point List"/>
    <w:uiPriority w:val="99"/>
    <w:rsid w:val="00B03FA5"/>
    <w:pPr>
      <w:numPr>
        <w:numId w:val="15"/>
      </w:numPr>
    </w:pPr>
  </w:style>
  <w:style w:type="character" w:customStyle="1" w:styleId="Font30point">
    <w:name w:val="Font 30 point"/>
    <w:basedOn w:val="DefaultParagraphFont"/>
    <w:rsid w:val="00B03FA5"/>
    <w:rPr>
      <w:sz w:val="60"/>
    </w:rPr>
  </w:style>
  <w:style w:type="character" w:customStyle="1" w:styleId="Font15point">
    <w:name w:val="Font 15 point"/>
    <w:basedOn w:val="DefaultParagraphFont"/>
    <w:rsid w:val="00B03FA5"/>
    <w:rPr>
      <w:sz w:val="30"/>
    </w:rPr>
  </w:style>
  <w:style w:type="character" w:customStyle="1" w:styleId="Font19point">
    <w:name w:val="Font 19 point"/>
    <w:basedOn w:val="DefaultParagraphFont"/>
    <w:rsid w:val="00B03FA5"/>
    <w:rPr>
      <w:sz w:val="38"/>
    </w:rPr>
  </w:style>
  <w:style w:type="character" w:styleId="Hyperlink">
    <w:name w:val="Hyperlink"/>
    <w:basedOn w:val="DefaultParagraphFont"/>
    <w:rsid w:val="00B03FA5"/>
    <w:rPr>
      <w:color w:val="0000FF" w:themeColor="hyperlink"/>
      <w:u w:val="single"/>
    </w:rPr>
  </w:style>
  <w:style w:type="character" w:styleId="FollowedHyperlink">
    <w:name w:val="FollowedHyperlink"/>
    <w:basedOn w:val="DefaultParagraphFont"/>
    <w:rsid w:val="00B03FA5"/>
    <w:rPr>
      <w:color w:val="800080" w:themeColor="followedHyperlink"/>
      <w:u w:val="single"/>
    </w:rPr>
  </w:style>
  <w:style w:type="character" w:customStyle="1" w:styleId="HeaderChar">
    <w:name w:val="Header Char"/>
    <w:basedOn w:val="DefaultParagraphFont"/>
    <w:link w:val="Header"/>
    <w:rsid w:val="00B03FA5"/>
    <w:rPr>
      <w:sz w:val="22"/>
    </w:rPr>
  </w:style>
  <w:style w:type="character" w:customStyle="1" w:styleId="Heading3Char">
    <w:name w:val="Heading 3 Char"/>
    <w:basedOn w:val="DefaultParagraphFont"/>
    <w:link w:val="Heading3"/>
    <w:locked/>
    <w:rsid w:val="00C71EE9"/>
    <w:rPr>
      <w:rFonts w:ascii="Helvetica" w:hAnsi="Helvetica"/>
      <w:b/>
      <w:sz w:val="22"/>
    </w:rPr>
  </w:style>
  <w:style w:type="character" w:styleId="CommentReference">
    <w:name w:val="annotation reference"/>
    <w:basedOn w:val="DefaultParagraphFont"/>
    <w:rsid w:val="00D819C9"/>
    <w:rPr>
      <w:sz w:val="16"/>
      <w:szCs w:val="16"/>
    </w:rPr>
  </w:style>
  <w:style w:type="paragraph" w:styleId="CommentText">
    <w:name w:val="annotation text"/>
    <w:basedOn w:val="Normal"/>
    <w:link w:val="CommentTextChar"/>
    <w:rsid w:val="00D819C9"/>
    <w:rPr>
      <w:sz w:val="20"/>
    </w:rPr>
  </w:style>
  <w:style w:type="character" w:customStyle="1" w:styleId="CommentTextChar">
    <w:name w:val="Comment Text Char"/>
    <w:basedOn w:val="DefaultParagraphFont"/>
    <w:link w:val="CommentText"/>
    <w:rsid w:val="00D819C9"/>
  </w:style>
  <w:style w:type="paragraph" w:styleId="CommentSubject">
    <w:name w:val="annotation subject"/>
    <w:basedOn w:val="CommentText"/>
    <w:next w:val="CommentText"/>
    <w:link w:val="CommentSubjectChar"/>
    <w:rsid w:val="00D819C9"/>
    <w:rPr>
      <w:b/>
      <w:bCs/>
    </w:rPr>
  </w:style>
  <w:style w:type="character" w:customStyle="1" w:styleId="CommentSubjectChar">
    <w:name w:val="Comment Subject Char"/>
    <w:basedOn w:val="CommentTextChar"/>
    <w:link w:val="CommentSubject"/>
    <w:rsid w:val="00D819C9"/>
    <w:rPr>
      <w:b/>
      <w:bCs/>
    </w:rPr>
  </w:style>
  <w:style w:type="paragraph" w:styleId="BalloonText">
    <w:name w:val="Balloon Text"/>
    <w:basedOn w:val="Normal"/>
    <w:link w:val="BalloonTextChar"/>
    <w:rsid w:val="00D819C9"/>
    <w:pPr>
      <w:spacing w:before="0" w:after="0"/>
    </w:pPr>
    <w:rPr>
      <w:rFonts w:ascii="Tahoma" w:hAnsi="Tahoma" w:cs="Tahoma"/>
      <w:sz w:val="16"/>
      <w:szCs w:val="16"/>
    </w:rPr>
  </w:style>
  <w:style w:type="character" w:customStyle="1" w:styleId="BalloonTextChar">
    <w:name w:val="Balloon Text Char"/>
    <w:basedOn w:val="DefaultParagraphFont"/>
    <w:link w:val="BalloonText"/>
    <w:rsid w:val="00D819C9"/>
    <w:rPr>
      <w:rFonts w:ascii="Tahoma" w:hAnsi="Tahoma" w:cs="Tahoma"/>
      <w:sz w:val="16"/>
      <w:szCs w:val="16"/>
    </w:rPr>
  </w:style>
  <w:style w:type="paragraph" w:customStyle="1" w:styleId="SecurityClassificationHeader">
    <w:name w:val="Security Classification Header"/>
    <w:link w:val="SecurityClassificationHeaderChar"/>
    <w:rsid w:val="00C72CBB"/>
    <w:pPr>
      <w:spacing w:before="240" w:after="60"/>
      <w:jc w:val="center"/>
    </w:pPr>
    <w:rPr>
      <w:b/>
      <w:i/>
      <w:caps/>
      <w:sz w:val="24"/>
    </w:rPr>
  </w:style>
  <w:style w:type="character" w:customStyle="1" w:styleId="rightheaderChar">
    <w:name w:val="right header Char"/>
    <w:basedOn w:val="DefaultParagraphFont"/>
    <w:link w:val="rightheader"/>
    <w:rsid w:val="00C72CBB"/>
    <w:rPr>
      <w:i/>
    </w:rPr>
  </w:style>
  <w:style w:type="character" w:customStyle="1" w:styleId="SecurityClassificationHeaderChar">
    <w:name w:val="Security Classification Header Char"/>
    <w:basedOn w:val="rightheaderChar"/>
    <w:link w:val="SecurityClassificationHeader"/>
    <w:rsid w:val="00C72CBB"/>
    <w:rPr>
      <w:b/>
      <w:i/>
      <w:caps/>
      <w:sz w:val="24"/>
    </w:rPr>
  </w:style>
  <w:style w:type="paragraph" w:customStyle="1" w:styleId="SecurityClassificationFooter">
    <w:name w:val="Security Classification Footer"/>
    <w:link w:val="SecurityClassificationFooterChar"/>
    <w:rsid w:val="00C72CBB"/>
    <w:pPr>
      <w:spacing w:before="60" w:after="240"/>
      <w:jc w:val="center"/>
    </w:pPr>
    <w:rPr>
      <w:b/>
      <w:i/>
      <w:caps/>
      <w:sz w:val="24"/>
    </w:rPr>
  </w:style>
  <w:style w:type="character" w:customStyle="1" w:styleId="SecurityClassificationFooterChar">
    <w:name w:val="Security Classification Footer Char"/>
    <w:basedOn w:val="rightheaderChar"/>
    <w:link w:val="SecurityClassificationFooter"/>
    <w:rsid w:val="00C72CBB"/>
    <w:rPr>
      <w:b/>
      <w:i/>
      <w:caps/>
      <w:sz w:val="24"/>
    </w:rPr>
  </w:style>
  <w:style w:type="paragraph" w:customStyle="1" w:styleId="DLMSecurityHeader">
    <w:name w:val="DLM Security Header"/>
    <w:link w:val="DLMSecurityHeaderChar"/>
    <w:rsid w:val="00C72CBB"/>
    <w:pPr>
      <w:spacing w:before="60" w:after="240"/>
      <w:jc w:val="center"/>
    </w:pPr>
    <w:rPr>
      <w:b/>
      <w:i/>
      <w:caps/>
      <w:sz w:val="24"/>
    </w:rPr>
  </w:style>
  <w:style w:type="character" w:customStyle="1" w:styleId="DLMSecurityHeaderChar">
    <w:name w:val="DLM Security Header Char"/>
    <w:basedOn w:val="rightheaderChar"/>
    <w:link w:val="DLMSecurityHeader"/>
    <w:rsid w:val="00C72CBB"/>
    <w:rPr>
      <w:b/>
      <w:i/>
      <w:caps/>
      <w:sz w:val="24"/>
    </w:rPr>
  </w:style>
  <w:style w:type="paragraph" w:customStyle="1" w:styleId="DLMSecurityFooter">
    <w:name w:val="DLM Security Footer"/>
    <w:link w:val="DLMSecurityFooterChar"/>
    <w:rsid w:val="00C72CBB"/>
    <w:pPr>
      <w:spacing w:before="240" w:after="60"/>
      <w:jc w:val="center"/>
    </w:pPr>
    <w:rPr>
      <w:b/>
      <w:i/>
      <w:caps/>
      <w:sz w:val="24"/>
    </w:rPr>
  </w:style>
  <w:style w:type="character" w:customStyle="1" w:styleId="DLMSecurityFooterChar">
    <w:name w:val="DLM Security Footer Char"/>
    <w:basedOn w:val="rightheaderChar"/>
    <w:link w:val="DLMSecurityFooter"/>
    <w:rsid w:val="00C72CBB"/>
    <w:rPr>
      <w:b/>
      <w:i/>
      <w:caps/>
      <w:sz w:val="24"/>
    </w:rPr>
  </w:style>
  <w:style w:type="paragraph" w:customStyle="1" w:styleId="Bullet">
    <w:name w:val="Bullet"/>
    <w:aliases w:val="b,b1,b + line,level 1,Body"/>
    <w:basedOn w:val="Normal"/>
    <w:link w:val="BulletChar"/>
    <w:qFormat/>
    <w:rsid w:val="00471DC8"/>
    <w:pPr>
      <w:numPr>
        <w:numId w:val="19"/>
      </w:numPr>
    </w:pPr>
  </w:style>
  <w:style w:type="character" w:customStyle="1" w:styleId="ListParagraphChar">
    <w:name w:val="List Paragraph Char"/>
    <w:basedOn w:val="DefaultParagraphFont"/>
    <w:link w:val="ListParagraph"/>
    <w:uiPriority w:val="34"/>
    <w:rsid w:val="009349BC"/>
    <w:rPr>
      <w:sz w:val="22"/>
    </w:rPr>
  </w:style>
  <w:style w:type="character" w:customStyle="1" w:styleId="BulletChar">
    <w:name w:val="Bullet Char"/>
    <w:aliases w:val="b Char,b Char Char,b + line Char Char"/>
    <w:basedOn w:val="ListParagraphChar"/>
    <w:link w:val="Bullet"/>
    <w:rsid w:val="00471DC8"/>
    <w:rPr>
      <w:sz w:val="22"/>
    </w:rPr>
  </w:style>
  <w:style w:type="paragraph" w:customStyle="1" w:styleId="Dash">
    <w:name w:val="Dash"/>
    <w:basedOn w:val="Normal"/>
    <w:link w:val="DashChar"/>
    <w:qFormat/>
    <w:rsid w:val="00471DC8"/>
    <w:pPr>
      <w:numPr>
        <w:ilvl w:val="1"/>
        <w:numId w:val="19"/>
      </w:numPr>
    </w:pPr>
  </w:style>
  <w:style w:type="character" w:customStyle="1" w:styleId="DashChar">
    <w:name w:val="Dash Char"/>
    <w:basedOn w:val="ListParagraphChar"/>
    <w:link w:val="Dash"/>
    <w:rsid w:val="00471DC8"/>
    <w:rPr>
      <w:sz w:val="22"/>
    </w:rPr>
  </w:style>
  <w:style w:type="paragraph" w:customStyle="1" w:styleId="DoubleDot">
    <w:name w:val="Double Dot"/>
    <w:basedOn w:val="Normal"/>
    <w:link w:val="DoubleDotChar"/>
    <w:qFormat/>
    <w:rsid w:val="00471DC8"/>
    <w:pPr>
      <w:numPr>
        <w:ilvl w:val="2"/>
        <w:numId w:val="19"/>
      </w:numPr>
    </w:pPr>
  </w:style>
  <w:style w:type="character" w:customStyle="1" w:styleId="DoubleDotChar">
    <w:name w:val="Double Dot Char"/>
    <w:basedOn w:val="ListParagraphChar"/>
    <w:link w:val="DoubleDot"/>
    <w:rsid w:val="00471DC8"/>
    <w:rPr>
      <w:sz w:val="22"/>
    </w:rPr>
  </w:style>
  <w:style w:type="paragraph" w:customStyle="1" w:styleId="OutlineNumbered1">
    <w:name w:val="Outline Numbered 1"/>
    <w:basedOn w:val="Normal"/>
    <w:link w:val="OutlineNumbered1Char"/>
    <w:rsid w:val="00DE3137"/>
    <w:pPr>
      <w:numPr>
        <w:numId w:val="20"/>
      </w:numPr>
    </w:pPr>
  </w:style>
  <w:style w:type="character" w:customStyle="1" w:styleId="OutlineNumbered1Char">
    <w:name w:val="Outline Numbered 1 Char"/>
    <w:basedOn w:val="base-text-paragraphChar"/>
    <w:link w:val="OutlineNumbered1"/>
    <w:rsid w:val="00DE3137"/>
    <w:rPr>
      <w:sz w:val="22"/>
    </w:rPr>
  </w:style>
  <w:style w:type="paragraph" w:customStyle="1" w:styleId="OutlineNumbered2">
    <w:name w:val="Outline Numbered 2"/>
    <w:basedOn w:val="Normal"/>
    <w:link w:val="OutlineNumbered2Char"/>
    <w:rsid w:val="00DE3137"/>
    <w:pPr>
      <w:numPr>
        <w:ilvl w:val="1"/>
        <w:numId w:val="20"/>
      </w:numPr>
    </w:pPr>
  </w:style>
  <w:style w:type="character" w:customStyle="1" w:styleId="OutlineNumbered2Char">
    <w:name w:val="Outline Numbered 2 Char"/>
    <w:basedOn w:val="base-text-paragraphChar"/>
    <w:link w:val="OutlineNumbered2"/>
    <w:rsid w:val="00DE3137"/>
    <w:rPr>
      <w:sz w:val="22"/>
    </w:rPr>
  </w:style>
  <w:style w:type="paragraph" w:customStyle="1" w:styleId="OutlineNumbered3">
    <w:name w:val="Outline Numbered 3"/>
    <w:basedOn w:val="Normal"/>
    <w:link w:val="OutlineNumbered3Char"/>
    <w:rsid w:val="00DE3137"/>
    <w:pPr>
      <w:numPr>
        <w:ilvl w:val="2"/>
        <w:numId w:val="20"/>
      </w:numPr>
    </w:pPr>
  </w:style>
  <w:style w:type="character" w:customStyle="1" w:styleId="OutlineNumbered3Char">
    <w:name w:val="Outline Numbered 3 Char"/>
    <w:basedOn w:val="base-text-paragraphChar"/>
    <w:link w:val="OutlineNumbered3"/>
    <w:rsid w:val="00DE3137"/>
    <w:rPr>
      <w:sz w:val="22"/>
    </w:rPr>
  </w:style>
  <w:style w:type="numbering" w:customStyle="1" w:styleId="ChapterList1">
    <w:name w:val="ChapterList1"/>
    <w:uiPriority w:val="99"/>
    <w:rsid w:val="009C2D18"/>
  </w:style>
  <w:style w:type="paragraph" w:customStyle="1" w:styleId="TableText0">
    <w:name w:val="TableText"/>
    <w:basedOn w:val="Normal"/>
    <w:qFormat/>
    <w:rsid w:val="008777F2"/>
    <w:rPr>
      <w:rFonts w:ascii="Arial" w:eastAsiaTheme="majorEastAsia" w:hAnsi="Arial" w:cs="Arial"/>
      <w:bCs/>
      <w:sz w:val="20"/>
      <w:lang w:eastAsia="en-US"/>
    </w:rPr>
  </w:style>
  <w:style w:type="table" w:styleId="LightGrid">
    <w:name w:val="Light Grid"/>
    <w:basedOn w:val="TableNormal"/>
    <w:uiPriority w:val="62"/>
    <w:rsid w:val="008777F2"/>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2Char">
    <w:name w:val="Heading 2 Char"/>
    <w:basedOn w:val="DefaultParagraphFont"/>
    <w:link w:val="Heading2"/>
    <w:rsid w:val="007476FC"/>
    <w:rPr>
      <w:rFonts w:ascii="Helvetica" w:hAnsi="Helvetica"/>
      <w:b/>
      <w:sz w:val="26"/>
    </w:rPr>
  </w:style>
  <w:style w:type="paragraph" w:styleId="Revision">
    <w:name w:val="Revision"/>
    <w:hidden/>
    <w:uiPriority w:val="99"/>
    <w:semiHidden/>
    <w:rsid w:val="00615A7E"/>
    <w:rPr>
      <w:sz w:val="22"/>
    </w:rPr>
  </w:style>
  <w:style w:type="character" w:customStyle="1" w:styleId="Heading4Char">
    <w:name w:val="Heading 4 Char"/>
    <w:basedOn w:val="DefaultParagraphFont"/>
    <w:link w:val="Heading4"/>
    <w:rsid w:val="00F12873"/>
    <w:rPr>
      <w:b/>
      <w:i/>
      <w:sz w:val="22"/>
    </w:rPr>
  </w:style>
  <w:style w:type="character" w:styleId="FootnoteReference">
    <w:name w:val="footnote reference"/>
    <w:basedOn w:val="DefaultParagraphFont"/>
    <w:uiPriority w:val="99"/>
    <w:rsid w:val="0079199E"/>
    <w:rPr>
      <w:vertAlign w:val="superscript"/>
    </w:rPr>
  </w:style>
  <w:style w:type="character" w:customStyle="1" w:styleId="FootnoteTextChar">
    <w:name w:val="Footnote Text Char"/>
    <w:basedOn w:val="DefaultParagraphFont"/>
    <w:link w:val="FootnoteText"/>
    <w:rsid w:val="00D53C03"/>
  </w:style>
  <w:style w:type="table" w:styleId="LightGrid-Accent5">
    <w:name w:val="Light Grid Accent 5"/>
    <w:basedOn w:val="TableNormal"/>
    <w:uiPriority w:val="62"/>
    <w:rsid w:val="00404387"/>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865888"/>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ChapterList2">
    <w:name w:val="ChapterList2"/>
    <w:uiPriority w:val="99"/>
    <w:rsid w:val="00A23DC8"/>
  </w:style>
  <w:style w:type="paragraph" w:customStyle="1" w:styleId="subsection">
    <w:name w:val="subsection"/>
    <w:aliases w:val="ss"/>
    <w:basedOn w:val="Normal"/>
    <w:link w:val="subsectionChar"/>
    <w:rsid w:val="00917DD7"/>
    <w:pPr>
      <w:tabs>
        <w:tab w:val="right" w:pos="1021"/>
      </w:tabs>
      <w:spacing w:before="180" w:after="0"/>
      <w:ind w:left="1134" w:hanging="1134"/>
    </w:pPr>
  </w:style>
  <w:style w:type="paragraph" w:customStyle="1" w:styleId="paragraph">
    <w:name w:val="paragraph"/>
    <w:aliases w:val="a"/>
    <w:basedOn w:val="Normal"/>
    <w:link w:val="paragraphChar"/>
    <w:rsid w:val="00917DD7"/>
    <w:pPr>
      <w:tabs>
        <w:tab w:val="right" w:pos="1531"/>
      </w:tabs>
      <w:spacing w:before="40" w:after="0"/>
      <w:ind w:left="1644" w:hanging="1644"/>
    </w:pPr>
  </w:style>
  <w:style w:type="character" w:customStyle="1" w:styleId="subsectionChar">
    <w:name w:val="subsection Char"/>
    <w:aliases w:val="ss Char"/>
    <w:link w:val="subsection"/>
    <w:locked/>
    <w:rsid w:val="00917DD7"/>
    <w:rPr>
      <w:sz w:val="22"/>
    </w:rPr>
  </w:style>
  <w:style w:type="character" w:customStyle="1" w:styleId="paragraphChar">
    <w:name w:val="paragraph Char"/>
    <w:aliases w:val="a Char"/>
    <w:link w:val="paragraph"/>
    <w:locked/>
    <w:rsid w:val="00917DD7"/>
    <w:rPr>
      <w:sz w:val="22"/>
    </w:rPr>
  </w:style>
  <w:style w:type="character" w:customStyle="1" w:styleId="dotpointChar">
    <w:name w:val="dot point Char"/>
    <w:basedOn w:val="DefaultParagraphFont"/>
    <w:link w:val="dotpoint"/>
    <w:rsid w:val="00BD6A7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B03FA5"/>
    <w:pPr>
      <w:spacing w:before="120" w:after="120"/>
    </w:pPr>
    <w:rPr>
      <w:sz w:val="22"/>
    </w:rPr>
  </w:style>
  <w:style w:type="paragraph" w:styleId="Heading1">
    <w:name w:val="heading 1"/>
    <w:basedOn w:val="Normal"/>
    <w:next w:val="base-text-paragraph"/>
    <w:qFormat/>
    <w:rsid w:val="00B03FA5"/>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B03FA5"/>
    <w:pPr>
      <w:spacing w:before="480"/>
      <w:outlineLvl w:val="1"/>
    </w:pPr>
    <w:rPr>
      <w:caps w:val="0"/>
      <w:sz w:val="26"/>
    </w:rPr>
  </w:style>
  <w:style w:type="paragraph" w:styleId="Heading3">
    <w:name w:val="heading 3"/>
    <w:basedOn w:val="Heading2"/>
    <w:next w:val="base-text-paragraph"/>
    <w:link w:val="Heading3Char"/>
    <w:qFormat/>
    <w:rsid w:val="00B03FA5"/>
    <w:pPr>
      <w:spacing w:before="240"/>
      <w:outlineLvl w:val="2"/>
    </w:pPr>
    <w:rPr>
      <w:sz w:val="22"/>
    </w:rPr>
  </w:style>
  <w:style w:type="paragraph" w:styleId="Heading4">
    <w:name w:val="heading 4"/>
    <w:basedOn w:val="Heading3"/>
    <w:next w:val="base-text-paragraph"/>
    <w:link w:val="Heading4Char"/>
    <w:qFormat/>
    <w:rsid w:val="00B03FA5"/>
    <w:pPr>
      <w:spacing w:before="120"/>
      <w:ind w:left="1134"/>
      <w:outlineLvl w:val="3"/>
    </w:pPr>
    <w:rPr>
      <w:rFonts w:ascii="Times New Roman" w:hAnsi="Times New Roman"/>
      <w:i/>
    </w:rPr>
  </w:style>
  <w:style w:type="paragraph" w:styleId="Heading5">
    <w:name w:val="heading 5"/>
    <w:basedOn w:val="Heading4"/>
    <w:next w:val="base-text-paragraph"/>
    <w:qFormat/>
    <w:rsid w:val="00B03FA5"/>
    <w:pPr>
      <w:spacing w:after="60"/>
      <w:outlineLvl w:val="4"/>
    </w:pPr>
    <w:rPr>
      <w:b w:val="0"/>
      <w:bCs/>
      <w:iCs/>
      <w:szCs w:val="26"/>
    </w:rPr>
  </w:style>
  <w:style w:type="paragraph" w:styleId="Heading6">
    <w:name w:val="heading 6"/>
    <w:basedOn w:val="Heading5"/>
    <w:next w:val="base-text-paragraph"/>
    <w:qFormat/>
    <w:rsid w:val="00B03FA5"/>
    <w:pPr>
      <w:outlineLvl w:val="5"/>
    </w:pPr>
    <w:rPr>
      <w:bCs w:val="0"/>
      <w:i w:val="0"/>
      <w:szCs w:val="22"/>
      <w:u w:val="single"/>
    </w:rPr>
  </w:style>
  <w:style w:type="paragraph" w:styleId="Heading7">
    <w:name w:val="heading 7"/>
    <w:basedOn w:val="Normal"/>
    <w:next w:val="Normal"/>
    <w:qFormat/>
    <w:rsid w:val="00B03FA5"/>
    <w:pPr>
      <w:spacing w:before="240" w:after="60"/>
      <w:outlineLvl w:val="6"/>
    </w:pPr>
    <w:rPr>
      <w:sz w:val="24"/>
      <w:szCs w:val="24"/>
    </w:rPr>
  </w:style>
  <w:style w:type="paragraph" w:styleId="Heading8">
    <w:name w:val="heading 8"/>
    <w:basedOn w:val="Normal"/>
    <w:next w:val="Normal"/>
    <w:qFormat/>
    <w:rsid w:val="00B03FA5"/>
    <w:pPr>
      <w:spacing w:before="240" w:after="60"/>
      <w:outlineLvl w:val="7"/>
    </w:pPr>
    <w:rPr>
      <w:i/>
      <w:iCs/>
      <w:sz w:val="24"/>
      <w:szCs w:val="24"/>
    </w:rPr>
  </w:style>
  <w:style w:type="paragraph" w:styleId="Heading9">
    <w:name w:val="heading 9"/>
    <w:basedOn w:val="Normal"/>
    <w:next w:val="Normal"/>
    <w:qFormat/>
    <w:rsid w:val="00B03FA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03FA5"/>
    <w:pPr>
      <w:spacing w:after="0"/>
    </w:pPr>
  </w:style>
  <w:style w:type="paragraph" w:customStyle="1" w:styleId="ChapterHeading">
    <w:name w:val="Chapter Heading"/>
    <w:next w:val="Heading2"/>
    <w:rsid w:val="00B03FA5"/>
    <w:pPr>
      <w:numPr>
        <w:numId w:val="41"/>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B03FA5"/>
    <w:pPr>
      <w:spacing w:after="360"/>
    </w:pPr>
  </w:style>
  <w:style w:type="paragraph" w:customStyle="1" w:styleId="TableHeadingoutsidetable">
    <w:name w:val="Table Heading (outside table)"/>
    <w:basedOn w:val="Heading4"/>
    <w:rsid w:val="00B03FA5"/>
    <w:pPr>
      <w:numPr>
        <w:ilvl w:val="4"/>
        <w:numId w:val="41"/>
      </w:numPr>
    </w:pPr>
    <w:rPr>
      <w:i w:val="0"/>
    </w:rPr>
  </w:style>
  <w:style w:type="paragraph" w:customStyle="1" w:styleId="base-text-paragraph">
    <w:name w:val="base-text-paragraph"/>
    <w:basedOn w:val="Normal"/>
    <w:link w:val="base-text-paragraphChar"/>
    <w:rsid w:val="00B03FA5"/>
    <w:pPr>
      <w:numPr>
        <w:ilvl w:val="1"/>
        <w:numId w:val="41"/>
      </w:numPr>
    </w:pPr>
  </w:style>
  <w:style w:type="paragraph" w:customStyle="1" w:styleId="base-text-paragraphnonumbers">
    <w:name w:val="base-text-paragraph no numbers"/>
    <w:basedOn w:val="Normal"/>
    <w:rsid w:val="00B03FA5"/>
    <w:pPr>
      <w:ind w:left="1134"/>
    </w:pPr>
  </w:style>
  <w:style w:type="paragraph" w:customStyle="1" w:styleId="exampletext">
    <w:name w:val="example text"/>
    <w:basedOn w:val="Normal"/>
    <w:rsid w:val="00B03FA5"/>
    <w:pPr>
      <w:ind w:left="1985"/>
    </w:pPr>
    <w:rPr>
      <w:sz w:val="20"/>
    </w:rPr>
  </w:style>
  <w:style w:type="paragraph" w:customStyle="1" w:styleId="ExampleHeading">
    <w:name w:val="Example Heading"/>
    <w:basedOn w:val="Normal"/>
    <w:next w:val="exampletext"/>
    <w:rsid w:val="00B03FA5"/>
    <w:pPr>
      <w:keepNext/>
      <w:numPr>
        <w:ilvl w:val="3"/>
        <w:numId w:val="41"/>
      </w:numPr>
    </w:pPr>
    <w:rPr>
      <w:b/>
    </w:rPr>
  </w:style>
  <w:style w:type="paragraph" w:customStyle="1" w:styleId="Diagram">
    <w:name w:val="Diagram"/>
    <w:basedOn w:val="Normal"/>
    <w:next w:val="base-text-paragraphnonumbers"/>
    <w:rsid w:val="00B03FA5"/>
    <w:pPr>
      <w:keepNext/>
      <w:numPr>
        <w:ilvl w:val="2"/>
        <w:numId w:val="41"/>
      </w:numPr>
      <w:spacing w:before="0" w:after="0"/>
    </w:pPr>
    <w:rPr>
      <w:b/>
    </w:rPr>
  </w:style>
  <w:style w:type="paragraph" w:customStyle="1" w:styleId="dotpoint">
    <w:name w:val="dot point"/>
    <w:basedOn w:val="Normal"/>
    <w:link w:val="dotpointChar"/>
    <w:rsid w:val="00B03FA5"/>
    <w:pPr>
      <w:numPr>
        <w:numId w:val="28"/>
      </w:numPr>
    </w:pPr>
  </w:style>
  <w:style w:type="paragraph" w:customStyle="1" w:styleId="dotpoint2">
    <w:name w:val="dot point 2"/>
    <w:basedOn w:val="Normal"/>
    <w:rsid w:val="00B03FA5"/>
    <w:pPr>
      <w:numPr>
        <w:ilvl w:val="1"/>
        <w:numId w:val="25"/>
      </w:numPr>
      <w:tabs>
        <w:tab w:val="clear" w:pos="2552"/>
        <w:tab w:val="num" w:pos="360"/>
      </w:tabs>
      <w:ind w:left="0" w:firstLine="0"/>
    </w:pPr>
  </w:style>
  <w:style w:type="paragraph" w:customStyle="1" w:styleId="exampledotpoint1">
    <w:name w:val="example dot point 1"/>
    <w:basedOn w:val="exampletext"/>
    <w:rsid w:val="00B03FA5"/>
    <w:pPr>
      <w:numPr>
        <w:numId w:val="26"/>
      </w:numPr>
    </w:pPr>
  </w:style>
  <w:style w:type="paragraph" w:customStyle="1" w:styleId="exampledotpoint2">
    <w:name w:val="example dot point 2"/>
    <w:basedOn w:val="exampletext"/>
    <w:rsid w:val="00B03FA5"/>
    <w:pPr>
      <w:numPr>
        <w:ilvl w:val="1"/>
        <w:numId w:val="26"/>
      </w:numPr>
    </w:pPr>
  </w:style>
  <w:style w:type="paragraph" w:customStyle="1" w:styleId="tabletext">
    <w:name w:val="table text"/>
    <w:basedOn w:val="Normal"/>
    <w:rsid w:val="00B03FA5"/>
    <w:pPr>
      <w:spacing w:before="40" w:after="40"/>
    </w:pPr>
    <w:rPr>
      <w:sz w:val="20"/>
    </w:rPr>
  </w:style>
  <w:style w:type="paragraph" w:customStyle="1" w:styleId="tabledotpoint">
    <w:name w:val="table dot point"/>
    <w:basedOn w:val="tabletext"/>
    <w:rsid w:val="00B03FA5"/>
    <w:pPr>
      <w:numPr>
        <w:numId w:val="16"/>
      </w:numPr>
    </w:pPr>
  </w:style>
  <w:style w:type="paragraph" w:customStyle="1" w:styleId="tabledotpoint2">
    <w:name w:val="table dot point 2"/>
    <w:basedOn w:val="tabletext"/>
    <w:rsid w:val="00B03FA5"/>
    <w:pPr>
      <w:numPr>
        <w:ilvl w:val="1"/>
        <w:numId w:val="16"/>
      </w:numPr>
    </w:pPr>
  </w:style>
  <w:style w:type="paragraph" w:customStyle="1" w:styleId="Baseparagraphcentred">
    <w:name w:val="Base paragraph centred"/>
    <w:basedOn w:val="Normal"/>
    <w:rsid w:val="00B03FA5"/>
    <w:pPr>
      <w:jc w:val="center"/>
    </w:pPr>
  </w:style>
  <w:style w:type="paragraph" w:customStyle="1" w:styleId="BillName">
    <w:name w:val="Bill Name"/>
    <w:basedOn w:val="Normal"/>
    <w:next w:val="Baseparagraphcentred"/>
    <w:rsid w:val="00B03FA5"/>
    <w:pPr>
      <w:pBdr>
        <w:top w:val="single" w:sz="4" w:space="12" w:color="auto"/>
        <w:bottom w:val="single" w:sz="4" w:space="12" w:color="auto"/>
      </w:pBdr>
      <w:jc w:val="center"/>
    </w:pPr>
    <w:rPr>
      <w:caps/>
    </w:rPr>
  </w:style>
  <w:style w:type="paragraph" w:customStyle="1" w:styleId="BTPwithextraspacing">
    <w:name w:val="BTP with extra spacing"/>
    <w:basedOn w:val="Normal"/>
    <w:rsid w:val="00B03FA5"/>
    <w:pPr>
      <w:spacing w:before="360" w:after="360"/>
      <w:ind w:left="1134"/>
    </w:pPr>
  </w:style>
  <w:style w:type="paragraph" w:customStyle="1" w:styleId="Chapterheadingsubdocument">
    <w:name w:val="Chapter heading subdocument"/>
    <w:basedOn w:val="Normal"/>
    <w:next w:val="base-text-paragraphnonumbers"/>
    <w:rsid w:val="00B03FA5"/>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B03FA5"/>
    <w:pPr>
      <w:ind w:left="2268"/>
    </w:pPr>
  </w:style>
  <w:style w:type="paragraph" w:customStyle="1" w:styleId="leftfooter">
    <w:name w:val="left footer"/>
    <w:basedOn w:val="Normal"/>
    <w:rsid w:val="00B03FA5"/>
    <w:pPr>
      <w:pBdr>
        <w:top w:val="single" w:sz="4" w:space="1" w:color="auto"/>
      </w:pBdr>
      <w:spacing w:before="240" w:after="0"/>
    </w:pPr>
    <w:rPr>
      <w:i/>
      <w:sz w:val="20"/>
    </w:rPr>
  </w:style>
  <w:style w:type="paragraph" w:customStyle="1" w:styleId="Hiddentext">
    <w:name w:val="Hiddentext"/>
    <w:basedOn w:val="Normal"/>
    <w:rsid w:val="00B03FA5"/>
    <w:rPr>
      <w:vanish/>
    </w:rPr>
  </w:style>
  <w:style w:type="paragraph" w:customStyle="1" w:styleId="leftheader">
    <w:name w:val="left header"/>
    <w:basedOn w:val="Normal"/>
    <w:rsid w:val="00B03FA5"/>
    <w:pPr>
      <w:pBdr>
        <w:bottom w:val="single" w:sz="4" w:space="1" w:color="auto"/>
      </w:pBdr>
    </w:pPr>
    <w:rPr>
      <w:i/>
      <w:sz w:val="20"/>
    </w:rPr>
  </w:style>
  <w:style w:type="character" w:customStyle="1" w:styleId="Referencingstyle">
    <w:name w:val="Referencing style"/>
    <w:basedOn w:val="DefaultParagraphFont"/>
    <w:rsid w:val="00B03FA5"/>
    <w:rPr>
      <w:b/>
      <w:i/>
      <w:sz w:val="18"/>
    </w:rPr>
  </w:style>
  <w:style w:type="paragraph" w:customStyle="1" w:styleId="rightfooter">
    <w:name w:val="right footer"/>
    <w:basedOn w:val="Normal"/>
    <w:rsid w:val="00B03FA5"/>
    <w:pPr>
      <w:pBdr>
        <w:top w:val="single" w:sz="4" w:space="1" w:color="auto"/>
      </w:pBdr>
      <w:spacing w:before="240" w:after="0"/>
      <w:jc w:val="right"/>
    </w:pPr>
    <w:rPr>
      <w:i/>
      <w:sz w:val="20"/>
    </w:rPr>
  </w:style>
  <w:style w:type="paragraph" w:customStyle="1" w:styleId="rightheader">
    <w:name w:val="right header"/>
    <w:basedOn w:val="Normal"/>
    <w:link w:val="rightheaderChar"/>
    <w:rsid w:val="00B03FA5"/>
    <w:pPr>
      <w:pBdr>
        <w:bottom w:val="single" w:sz="4" w:space="1" w:color="auto"/>
      </w:pBdr>
      <w:jc w:val="right"/>
    </w:pPr>
    <w:rPr>
      <w:i/>
      <w:sz w:val="20"/>
    </w:rPr>
  </w:style>
  <w:style w:type="paragraph" w:customStyle="1" w:styleId="tableheaderwithintable">
    <w:name w:val="table header (within table)"/>
    <w:basedOn w:val="Heading4"/>
    <w:rsid w:val="00B03FA5"/>
    <w:pPr>
      <w:spacing w:before="60" w:after="60"/>
      <w:ind w:left="0"/>
      <w:jc w:val="center"/>
    </w:pPr>
    <w:rPr>
      <w:sz w:val="20"/>
    </w:rPr>
  </w:style>
  <w:style w:type="paragraph" w:styleId="TOC1">
    <w:name w:val="toc 1"/>
    <w:basedOn w:val="Heading2"/>
    <w:next w:val="TOC2"/>
    <w:uiPriority w:val="39"/>
    <w:rsid w:val="00E72378"/>
    <w:pPr>
      <w:tabs>
        <w:tab w:val="left" w:pos="1701"/>
        <w:tab w:val="right" w:leader="dot" w:pos="7711"/>
      </w:tabs>
      <w:spacing w:before="240"/>
      <w:ind w:left="1701" w:right="851" w:hanging="1701"/>
    </w:pPr>
    <w:rPr>
      <w:b w:val="0"/>
      <w:sz w:val="24"/>
    </w:rPr>
  </w:style>
  <w:style w:type="paragraph" w:styleId="TOCHeading">
    <w:name w:val="TOC Heading"/>
    <w:basedOn w:val="Normal"/>
    <w:next w:val="base-text-paragraphnonumbers"/>
    <w:qFormat/>
    <w:rsid w:val="00B03FA5"/>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B03FA5"/>
    <w:pPr>
      <w:tabs>
        <w:tab w:val="clear" w:pos="1701"/>
      </w:tabs>
      <w:ind w:left="0" w:firstLine="0"/>
    </w:pPr>
    <w:rPr>
      <w:noProof/>
    </w:rPr>
  </w:style>
  <w:style w:type="numbering" w:styleId="111111">
    <w:name w:val="Outline List 2"/>
    <w:basedOn w:val="NoList"/>
    <w:semiHidden/>
    <w:rsid w:val="00B03FA5"/>
    <w:pPr>
      <w:numPr>
        <w:numId w:val="11"/>
      </w:numPr>
    </w:pPr>
  </w:style>
  <w:style w:type="numbering" w:styleId="1ai">
    <w:name w:val="Outline List 1"/>
    <w:basedOn w:val="NoList"/>
    <w:semiHidden/>
    <w:rsid w:val="00B03FA5"/>
    <w:pPr>
      <w:numPr>
        <w:numId w:val="12"/>
      </w:numPr>
    </w:pPr>
  </w:style>
  <w:style w:type="numbering" w:styleId="ArticleSection">
    <w:name w:val="Outline List 3"/>
    <w:basedOn w:val="NoList"/>
    <w:semiHidden/>
    <w:rsid w:val="00B03FA5"/>
    <w:pPr>
      <w:numPr>
        <w:numId w:val="13"/>
      </w:numPr>
    </w:pPr>
  </w:style>
  <w:style w:type="paragraph" w:styleId="BlockText">
    <w:name w:val="Block Text"/>
    <w:basedOn w:val="Normal"/>
    <w:semiHidden/>
    <w:rsid w:val="00B03FA5"/>
    <w:pPr>
      <w:ind w:left="1440" w:right="1440"/>
    </w:pPr>
  </w:style>
  <w:style w:type="paragraph" w:styleId="BodyText">
    <w:name w:val="Body Text"/>
    <w:basedOn w:val="Normal"/>
    <w:semiHidden/>
    <w:rsid w:val="00B03FA5"/>
  </w:style>
  <w:style w:type="paragraph" w:styleId="BodyText2">
    <w:name w:val="Body Text 2"/>
    <w:basedOn w:val="Normal"/>
    <w:semiHidden/>
    <w:rsid w:val="00B03FA5"/>
    <w:pPr>
      <w:spacing w:line="480" w:lineRule="auto"/>
    </w:pPr>
  </w:style>
  <w:style w:type="paragraph" w:styleId="BodyText3">
    <w:name w:val="Body Text 3"/>
    <w:basedOn w:val="Normal"/>
    <w:semiHidden/>
    <w:rsid w:val="00B03FA5"/>
    <w:rPr>
      <w:sz w:val="16"/>
      <w:szCs w:val="16"/>
    </w:rPr>
  </w:style>
  <w:style w:type="paragraph" w:styleId="BodyTextFirstIndent">
    <w:name w:val="Body Text First Indent"/>
    <w:basedOn w:val="BodyText"/>
    <w:semiHidden/>
    <w:rsid w:val="00B03FA5"/>
    <w:pPr>
      <w:ind w:firstLine="210"/>
    </w:pPr>
  </w:style>
  <w:style w:type="paragraph" w:styleId="BodyTextIndent">
    <w:name w:val="Body Text Indent"/>
    <w:basedOn w:val="Normal"/>
    <w:semiHidden/>
    <w:rsid w:val="00B03FA5"/>
    <w:pPr>
      <w:ind w:left="283"/>
    </w:pPr>
  </w:style>
  <w:style w:type="paragraph" w:styleId="BodyTextFirstIndent2">
    <w:name w:val="Body Text First Indent 2"/>
    <w:basedOn w:val="BodyTextIndent"/>
    <w:semiHidden/>
    <w:rsid w:val="00B03FA5"/>
    <w:pPr>
      <w:ind w:firstLine="210"/>
    </w:pPr>
  </w:style>
  <w:style w:type="paragraph" w:styleId="BodyTextIndent2">
    <w:name w:val="Body Text Indent 2"/>
    <w:basedOn w:val="Normal"/>
    <w:semiHidden/>
    <w:rsid w:val="00B03FA5"/>
    <w:pPr>
      <w:spacing w:line="480" w:lineRule="auto"/>
      <w:ind w:left="283"/>
    </w:pPr>
  </w:style>
  <w:style w:type="paragraph" w:styleId="BodyTextIndent3">
    <w:name w:val="Body Text Indent 3"/>
    <w:basedOn w:val="Normal"/>
    <w:semiHidden/>
    <w:rsid w:val="00B03FA5"/>
    <w:pPr>
      <w:ind w:left="283"/>
    </w:pPr>
    <w:rPr>
      <w:sz w:val="16"/>
      <w:szCs w:val="16"/>
    </w:rPr>
  </w:style>
  <w:style w:type="paragraph" w:styleId="Closing">
    <w:name w:val="Closing"/>
    <w:basedOn w:val="Normal"/>
    <w:semiHidden/>
    <w:rsid w:val="00B03FA5"/>
    <w:pPr>
      <w:ind w:left="4252"/>
    </w:pPr>
  </w:style>
  <w:style w:type="paragraph" w:styleId="Date">
    <w:name w:val="Date"/>
    <w:basedOn w:val="Normal"/>
    <w:next w:val="Normal"/>
    <w:semiHidden/>
    <w:rsid w:val="00B03FA5"/>
  </w:style>
  <w:style w:type="paragraph" w:styleId="E-mailSignature">
    <w:name w:val="E-mail Signature"/>
    <w:basedOn w:val="Normal"/>
    <w:semiHidden/>
    <w:rsid w:val="00B03FA5"/>
  </w:style>
  <w:style w:type="character" w:styleId="Emphasis">
    <w:name w:val="Emphasis"/>
    <w:basedOn w:val="DefaultParagraphFont"/>
    <w:qFormat/>
    <w:rsid w:val="00B03FA5"/>
    <w:rPr>
      <w:i/>
      <w:iCs/>
    </w:rPr>
  </w:style>
  <w:style w:type="paragraph" w:styleId="EnvelopeAddress">
    <w:name w:val="envelope address"/>
    <w:basedOn w:val="Normal"/>
    <w:semiHidden/>
    <w:rsid w:val="00B03FA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B03FA5"/>
    <w:rPr>
      <w:rFonts w:ascii="Arial" w:hAnsi="Arial" w:cs="Arial"/>
      <w:sz w:val="20"/>
    </w:rPr>
  </w:style>
  <w:style w:type="paragraph" w:styleId="Footer">
    <w:name w:val="footer"/>
    <w:basedOn w:val="Normal"/>
    <w:semiHidden/>
    <w:rsid w:val="00B03FA5"/>
    <w:pPr>
      <w:tabs>
        <w:tab w:val="center" w:pos="4153"/>
        <w:tab w:val="right" w:pos="8306"/>
      </w:tabs>
    </w:pPr>
  </w:style>
  <w:style w:type="paragraph" w:styleId="Header">
    <w:name w:val="header"/>
    <w:basedOn w:val="Normal"/>
    <w:link w:val="HeaderChar"/>
    <w:rsid w:val="00B03FA5"/>
    <w:pPr>
      <w:tabs>
        <w:tab w:val="center" w:pos="4153"/>
        <w:tab w:val="right" w:pos="8306"/>
      </w:tabs>
    </w:pPr>
  </w:style>
  <w:style w:type="character" w:styleId="HTMLAcronym">
    <w:name w:val="HTML Acronym"/>
    <w:basedOn w:val="DefaultParagraphFont"/>
    <w:semiHidden/>
    <w:rsid w:val="00B03FA5"/>
  </w:style>
  <w:style w:type="paragraph" w:styleId="HTMLAddress">
    <w:name w:val="HTML Address"/>
    <w:basedOn w:val="Normal"/>
    <w:semiHidden/>
    <w:rsid w:val="00B03FA5"/>
    <w:rPr>
      <w:i/>
      <w:iCs/>
    </w:rPr>
  </w:style>
  <w:style w:type="character" w:styleId="HTMLCite">
    <w:name w:val="HTML Cite"/>
    <w:basedOn w:val="DefaultParagraphFont"/>
    <w:semiHidden/>
    <w:rsid w:val="00B03FA5"/>
    <w:rPr>
      <w:i/>
      <w:iCs/>
    </w:rPr>
  </w:style>
  <w:style w:type="character" w:styleId="HTMLCode">
    <w:name w:val="HTML Code"/>
    <w:basedOn w:val="DefaultParagraphFont"/>
    <w:semiHidden/>
    <w:rsid w:val="00B03FA5"/>
    <w:rPr>
      <w:rFonts w:ascii="Courier New" w:hAnsi="Courier New" w:cs="Courier New"/>
      <w:sz w:val="20"/>
      <w:szCs w:val="20"/>
    </w:rPr>
  </w:style>
  <w:style w:type="character" w:styleId="HTMLDefinition">
    <w:name w:val="HTML Definition"/>
    <w:basedOn w:val="DefaultParagraphFont"/>
    <w:semiHidden/>
    <w:rsid w:val="00B03FA5"/>
    <w:rPr>
      <w:i/>
      <w:iCs/>
    </w:rPr>
  </w:style>
  <w:style w:type="character" w:styleId="HTMLKeyboard">
    <w:name w:val="HTML Keyboard"/>
    <w:basedOn w:val="DefaultParagraphFont"/>
    <w:semiHidden/>
    <w:rsid w:val="00B03FA5"/>
    <w:rPr>
      <w:rFonts w:ascii="Courier New" w:hAnsi="Courier New" w:cs="Courier New"/>
      <w:sz w:val="20"/>
      <w:szCs w:val="20"/>
    </w:rPr>
  </w:style>
  <w:style w:type="paragraph" w:styleId="HTMLPreformatted">
    <w:name w:val="HTML Preformatted"/>
    <w:basedOn w:val="Normal"/>
    <w:semiHidden/>
    <w:rsid w:val="00B03FA5"/>
    <w:rPr>
      <w:rFonts w:ascii="Courier New" w:hAnsi="Courier New" w:cs="Courier New"/>
      <w:sz w:val="20"/>
    </w:rPr>
  </w:style>
  <w:style w:type="character" w:styleId="HTMLSample">
    <w:name w:val="HTML Sample"/>
    <w:basedOn w:val="DefaultParagraphFont"/>
    <w:semiHidden/>
    <w:rsid w:val="00B03FA5"/>
    <w:rPr>
      <w:rFonts w:ascii="Courier New" w:hAnsi="Courier New" w:cs="Courier New"/>
    </w:rPr>
  </w:style>
  <w:style w:type="character" w:styleId="HTMLTypewriter">
    <w:name w:val="HTML Typewriter"/>
    <w:basedOn w:val="DefaultParagraphFont"/>
    <w:semiHidden/>
    <w:rsid w:val="00B03FA5"/>
    <w:rPr>
      <w:rFonts w:ascii="Courier New" w:hAnsi="Courier New" w:cs="Courier New"/>
      <w:sz w:val="20"/>
      <w:szCs w:val="20"/>
    </w:rPr>
  </w:style>
  <w:style w:type="character" w:styleId="HTMLVariable">
    <w:name w:val="HTML Variable"/>
    <w:basedOn w:val="DefaultParagraphFont"/>
    <w:semiHidden/>
    <w:rsid w:val="00B03FA5"/>
    <w:rPr>
      <w:i/>
      <w:iCs/>
    </w:rPr>
  </w:style>
  <w:style w:type="character" w:styleId="LineNumber">
    <w:name w:val="line number"/>
    <w:basedOn w:val="DefaultParagraphFont"/>
    <w:semiHidden/>
    <w:rsid w:val="00B03FA5"/>
  </w:style>
  <w:style w:type="paragraph" w:styleId="List">
    <w:name w:val="List"/>
    <w:basedOn w:val="Normal"/>
    <w:semiHidden/>
    <w:rsid w:val="00B03FA5"/>
    <w:pPr>
      <w:ind w:left="283" w:hanging="283"/>
    </w:pPr>
  </w:style>
  <w:style w:type="paragraph" w:styleId="List2">
    <w:name w:val="List 2"/>
    <w:basedOn w:val="Normal"/>
    <w:semiHidden/>
    <w:rsid w:val="00B03FA5"/>
    <w:pPr>
      <w:ind w:left="566" w:hanging="283"/>
    </w:pPr>
  </w:style>
  <w:style w:type="paragraph" w:styleId="List3">
    <w:name w:val="List 3"/>
    <w:basedOn w:val="Normal"/>
    <w:semiHidden/>
    <w:rsid w:val="00B03FA5"/>
    <w:pPr>
      <w:ind w:left="849" w:hanging="283"/>
    </w:pPr>
  </w:style>
  <w:style w:type="paragraph" w:styleId="List4">
    <w:name w:val="List 4"/>
    <w:basedOn w:val="Normal"/>
    <w:semiHidden/>
    <w:rsid w:val="00B03FA5"/>
    <w:pPr>
      <w:ind w:left="1132" w:hanging="283"/>
    </w:pPr>
  </w:style>
  <w:style w:type="paragraph" w:styleId="List5">
    <w:name w:val="List 5"/>
    <w:basedOn w:val="Normal"/>
    <w:semiHidden/>
    <w:rsid w:val="00B03FA5"/>
    <w:pPr>
      <w:ind w:left="1415" w:hanging="283"/>
    </w:pPr>
  </w:style>
  <w:style w:type="paragraph" w:styleId="ListBullet">
    <w:name w:val="List Bullet"/>
    <w:basedOn w:val="Normal"/>
    <w:semiHidden/>
    <w:rsid w:val="00B03FA5"/>
    <w:pPr>
      <w:numPr>
        <w:numId w:val="1"/>
      </w:numPr>
    </w:pPr>
  </w:style>
  <w:style w:type="paragraph" w:styleId="ListBullet2">
    <w:name w:val="List Bullet 2"/>
    <w:basedOn w:val="Normal"/>
    <w:semiHidden/>
    <w:rsid w:val="00B03FA5"/>
    <w:pPr>
      <w:numPr>
        <w:numId w:val="2"/>
      </w:numPr>
    </w:pPr>
  </w:style>
  <w:style w:type="paragraph" w:styleId="ListBullet3">
    <w:name w:val="List Bullet 3"/>
    <w:basedOn w:val="Normal"/>
    <w:semiHidden/>
    <w:rsid w:val="00B03FA5"/>
    <w:pPr>
      <w:numPr>
        <w:numId w:val="3"/>
      </w:numPr>
    </w:pPr>
  </w:style>
  <w:style w:type="paragraph" w:styleId="ListBullet4">
    <w:name w:val="List Bullet 4"/>
    <w:basedOn w:val="Normal"/>
    <w:semiHidden/>
    <w:rsid w:val="00B03FA5"/>
    <w:pPr>
      <w:numPr>
        <w:numId w:val="4"/>
      </w:numPr>
    </w:pPr>
  </w:style>
  <w:style w:type="paragraph" w:styleId="ListBullet5">
    <w:name w:val="List Bullet 5"/>
    <w:basedOn w:val="Normal"/>
    <w:semiHidden/>
    <w:rsid w:val="00B03FA5"/>
    <w:pPr>
      <w:numPr>
        <w:numId w:val="5"/>
      </w:numPr>
    </w:pPr>
  </w:style>
  <w:style w:type="paragraph" w:styleId="ListContinue">
    <w:name w:val="List Continue"/>
    <w:basedOn w:val="Normal"/>
    <w:semiHidden/>
    <w:rsid w:val="00B03FA5"/>
    <w:pPr>
      <w:ind w:left="283"/>
    </w:pPr>
  </w:style>
  <w:style w:type="paragraph" w:styleId="ListContinue2">
    <w:name w:val="List Continue 2"/>
    <w:basedOn w:val="Normal"/>
    <w:semiHidden/>
    <w:rsid w:val="00B03FA5"/>
    <w:pPr>
      <w:ind w:left="566"/>
    </w:pPr>
  </w:style>
  <w:style w:type="paragraph" w:styleId="ListContinue3">
    <w:name w:val="List Continue 3"/>
    <w:basedOn w:val="Normal"/>
    <w:semiHidden/>
    <w:rsid w:val="00B03FA5"/>
    <w:pPr>
      <w:ind w:left="849"/>
    </w:pPr>
  </w:style>
  <w:style w:type="paragraph" w:styleId="ListContinue4">
    <w:name w:val="List Continue 4"/>
    <w:basedOn w:val="Normal"/>
    <w:semiHidden/>
    <w:rsid w:val="00B03FA5"/>
    <w:pPr>
      <w:ind w:left="1132"/>
    </w:pPr>
  </w:style>
  <w:style w:type="paragraph" w:styleId="ListContinue5">
    <w:name w:val="List Continue 5"/>
    <w:basedOn w:val="Normal"/>
    <w:semiHidden/>
    <w:rsid w:val="00B03FA5"/>
    <w:pPr>
      <w:ind w:left="1415"/>
    </w:pPr>
  </w:style>
  <w:style w:type="paragraph" w:styleId="ListNumber">
    <w:name w:val="List Number"/>
    <w:basedOn w:val="Normal"/>
    <w:semiHidden/>
    <w:rsid w:val="00B03FA5"/>
    <w:pPr>
      <w:numPr>
        <w:numId w:val="6"/>
      </w:numPr>
    </w:pPr>
  </w:style>
  <w:style w:type="paragraph" w:styleId="ListNumber2">
    <w:name w:val="List Number 2"/>
    <w:basedOn w:val="Normal"/>
    <w:semiHidden/>
    <w:rsid w:val="00B03FA5"/>
    <w:pPr>
      <w:numPr>
        <w:numId w:val="7"/>
      </w:numPr>
    </w:pPr>
  </w:style>
  <w:style w:type="paragraph" w:styleId="ListNumber3">
    <w:name w:val="List Number 3"/>
    <w:basedOn w:val="Normal"/>
    <w:semiHidden/>
    <w:rsid w:val="00B03FA5"/>
    <w:pPr>
      <w:numPr>
        <w:numId w:val="8"/>
      </w:numPr>
    </w:pPr>
  </w:style>
  <w:style w:type="paragraph" w:styleId="ListNumber4">
    <w:name w:val="List Number 4"/>
    <w:basedOn w:val="Normal"/>
    <w:semiHidden/>
    <w:rsid w:val="00B03FA5"/>
    <w:pPr>
      <w:numPr>
        <w:numId w:val="9"/>
      </w:numPr>
    </w:pPr>
  </w:style>
  <w:style w:type="paragraph" w:styleId="ListNumber5">
    <w:name w:val="List Number 5"/>
    <w:basedOn w:val="Normal"/>
    <w:rsid w:val="00B03FA5"/>
    <w:pPr>
      <w:numPr>
        <w:numId w:val="10"/>
      </w:numPr>
    </w:pPr>
  </w:style>
  <w:style w:type="paragraph" w:styleId="MessageHeader">
    <w:name w:val="Message Header"/>
    <w:basedOn w:val="Normal"/>
    <w:semiHidden/>
    <w:rsid w:val="00B03FA5"/>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B03FA5"/>
    <w:rPr>
      <w:sz w:val="24"/>
      <w:szCs w:val="24"/>
    </w:rPr>
  </w:style>
  <w:style w:type="paragraph" w:styleId="NormalIndent">
    <w:name w:val="Normal Indent"/>
    <w:basedOn w:val="Normal"/>
    <w:semiHidden/>
    <w:rsid w:val="00B03FA5"/>
    <w:pPr>
      <w:ind w:left="720"/>
    </w:pPr>
  </w:style>
  <w:style w:type="paragraph" w:styleId="NoteHeading">
    <w:name w:val="Note Heading"/>
    <w:basedOn w:val="Normal"/>
    <w:next w:val="Normal"/>
    <w:semiHidden/>
    <w:rsid w:val="00B03FA5"/>
  </w:style>
  <w:style w:type="character" w:styleId="PageNumber">
    <w:name w:val="page number"/>
    <w:basedOn w:val="DefaultParagraphFont"/>
    <w:semiHidden/>
    <w:rsid w:val="00B03FA5"/>
  </w:style>
  <w:style w:type="paragraph" w:styleId="PlainText">
    <w:name w:val="Plain Text"/>
    <w:basedOn w:val="Normal"/>
    <w:semiHidden/>
    <w:rsid w:val="00B03FA5"/>
    <w:rPr>
      <w:rFonts w:ascii="Courier New" w:hAnsi="Courier New" w:cs="Courier New"/>
      <w:sz w:val="20"/>
    </w:rPr>
  </w:style>
  <w:style w:type="paragraph" w:styleId="Salutation">
    <w:name w:val="Salutation"/>
    <w:basedOn w:val="Normal"/>
    <w:next w:val="Normal"/>
    <w:semiHidden/>
    <w:rsid w:val="00B03FA5"/>
  </w:style>
  <w:style w:type="paragraph" w:styleId="Signature">
    <w:name w:val="Signature"/>
    <w:basedOn w:val="Normal"/>
    <w:semiHidden/>
    <w:rsid w:val="00B03FA5"/>
    <w:pPr>
      <w:ind w:left="4252"/>
    </w:pPr>
  </w:style>
  <w:style w:type="character" w:styleId="Strong">
    <w:name w:val="Strong"/>
    <w:basedOn w:val="DefaultParagraphFont"/>
    <w:qFormat/>
    <w:rsid w:val="00B03FA5"/>
    <w:rPr>
      <w:b/>
      <w:bCs/>
    </w:rPr>
  </w:style>
  <w:style w:type="paragraph" w:styleId="Subtitle">
    <w:name w:val="Subtitle"/>
    <w:basedOn w:val="Normal"/>
    <w:qFormat/>
    <w:rsid w:val="00B03FA5"/>
    <w:pPr>
      <w:spacing w:after="60"/>
      <w:jc w:val="center"/>
      <w:outlineLvl w:val="1"/>
    </w:pPr>
    <w:rPr>
      <w:rFonts w:ascii="Arial" w:hAnsi="Arial" w:cs="Arial"/>
      <w:sz w:val="24"/>
      <w:szCs w:val="24"/>
    </w:rPr>
  </w:style>
  <w:style w:type="table" w:styleId="Table3Deffects1">
    <w:name w:val="Table 3D effects 1"/>
    <w:basedOn w:val="TableNormal"/>
    <w:semiHidden/>
    <w:rsid w:val="00B03FA5"/>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03FA5"/>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03FA5"/>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03FA5"/>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03FA5"/>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03FA5"/>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03FA5"/>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03FA5"/>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03FA5"/>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03FA5"/>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03FA5"/>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03FA5"/>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03FA5"/>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03FA5"/>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03FA5"/>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03FA5"/>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03FA5"/>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03FA5"/>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B03FA5"/>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03FA5"/>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03FA5"/>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03FA5"/>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03FA5"/>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03FA5"/>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03FA5"/>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03FA5"/>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03FA5"/>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03FA5"/>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03FA5"/>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03FA5"/>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03FA5"/>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03FA5"/>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03FA5"/>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03FA5"/>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03FA5"/>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03FA5"/>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03FA5"/>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03FA5"/>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03FA5"/>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03FA5"/>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03FA5"/>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03FA5"/>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03FA5"/>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03FA5"/>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03FA5"/>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B03FA5"/>
    <w:rPr>
      <w:b/>
    </w:rPr>
  </w:style>
  <w:style w:type="character" w:customStyle="1" w:styleId="Italic">
    <w:name w:val="Italic"/>
    <w:basedOn w:val="DefaultParagraphFont"/>
    <w:rsid w:val="00B03FA5"/>
    <w:rPr>
      <w:i/>
    </w:rPr>
  </w:style>
  <w:style w:type="character" w:customStyle="1" w:styleId="BoldItalic">
    <w:name w:val="BoldItalic"/>
    <w:basedOn w:val="DefaultParagraphFont"/>
    <w:rsid w:val="00B03FA5"/>
    <w:rPr>
      <w:b/>
      <w:i/>
    </w:rPr>
  </w:style>
  <w:style w:type="paragraph" w:customStyle="1" w:styleId="Glossarytabletext">
    <w:name w:val="Glossary table text"/>
    <w:basedOn w:val="Normal"/>
    <w:rsid w:val="00B03FA5"/>
    <w:pPr>
      <w:spacing w:before="60" w:after="60"/>
    </w:pPr>
    <w:rPr>
      <w:sz w:val="20"/>
    </w:rPr>
  </w:style>
  <w:style w:type="character" w:customStyle="1" w:styleId="base-text-paragraphChar">
    <w:name w:val="base-text-paragraph Char"/>
    <w:basedOn w:val="DefaultParagraphFont"/>
    <w:link w:val="base-text-paragraph"/>
    <w:rsid w:val="00B03FA5"/>
    <w:rPr>
      <w:sz w:val="22"/>
    </w:rPr>
  </w:style>
  <w:style w:type="paragraph" w:styleId="FootnoteText">
    <w:name w:val="footnote text"/>
    <w:basedOn w:val="Normal"/>
    <w:link w:val="FootnoteTextChar"/>
    <w:rsid w:val="00D53C03"/>
    <w:pPr>
      <w:tabs>
        <w:tab w:val="left" w:pos="340"/>
      </w:tabs>
      <w:spacing w:before="0" w:after="0"/>
      <w:ind w:left="340" w:hanging="340"/>
    </w:pPr>
    <w:rPr>
      <w:sz w:val="20"/>
    </w:rPr>
  </w:style>
  <w:style w:type="numbering" w:customStyle="1" w:styleId="ChapterList">
    <w:name w:val="ChapterList"/>
    <w:uiPriority w:val="99"/>
    <w:rsid w:val="00B03FA5"/>
    <w:pPr>
      <w:numPr>
        <w:numId w:val="18"/>
      </w:numPr>
    </w:pPr>
  </w:style>
  <w:style w:type="paragraph" w:styleId="ListParagraph">
    <w:name w:val="List Paragraph"/>
    <w:basedOn w:val="Normal"/>
    <w:link w:val="ListParagraphChar"/>
    <w:uiPriority w:val="34"/>
    <w:qFormat/>
    <w:rsid w:val="009349BC"/>
    <w:pPr>
      <w:numPr>
        <w:numId w:val="43"/>
      </w:numPr>
      <w:tabs>
        <w:tab w:val="left" w:pos="2552"/>
      </w:tabs>
      <w:ind w:left="2552" w:hanging="284"/>
    </w:pPr>
  </w:style>
  <w:style w:type="numbering" w:customStyle="1" w:styleId="DotPointList">
    <w:name w:val="Dot Point List"/>
    <w:uiPriority w:val="99"/>
    <w:rsid w:val="00B03FA5"/>
    <w:pPr>
      <w:numPr>
        <w:numId w:val="25"/>
      </w:numPr>
    </w:pPr>
  </w:style>
  <w:style w:type="numbering" w:customStyle="1" w:styleId="ExampleDotPointList">
    <w:name w:val="Example Dot Point List"/>
    <w:uiPriority w:val="99"/>
    <w:rsid w:val="00B03FA5"/>
    <w:pPr>
      <w:numPr>
        <w:numId w:val="26"/>
      </w:numPr>
    </w:pPr>
  </w:style>
  <w:style w:type="numbering" w:customStyle="1" w:styleId="TableDotPointList">
    <w:name w:val="Table Dot Point List"/>
    <w:uiPriority w:val="99"/>
    <w:rsid w:val="00B03FA5"/>
    <w:pPr>
      <w:numPr>
        <w:numId w:val="15"/>
      </w:numPr>
    </w:pPr>
  </w:style>
  <w:style w:type="character" w:customStyle="1" w:styleId="Font30point">
    <w:name w:val="Font 30 point"/>
    <w:basedOn w:val="DefaultParagraphFont"/>
    <w:rsid w:val="00B03FA5"/>
    <w:rPr>
      <w:sz w:val="60"/>
    </w:rPr>
  </w:style>
  <w:style w:type="character" w:customStyle="1" w:styleId="Font15point">
    <w:name w:val="Font 15 point"/>
    <w:basedOn w:val="DefaultParagraphFont"/>
    <w:rsid w:val="00B03FA5"/>
    <w:rPr>
      <w:sz w:val="30"/>
    </w:rPr>
  </w:style>
  <w:style w:type="character" w:customStyle="1" w:styleId="Font19point">
    <w:name w:val="Font 19 point"/>
    <w:basedOn w:val="DefaultParagraphFont"/>
    <w:rsid w:val="00B03FA5"/>
    <w:rPr>
      <w:sz w:val="38"/>
    </w:rPr>
  </w:style>
  <w:style w:type="character" w:styleId="Hyperlink">
    <w:name w:val="Hyperlink"/>
    <w:basedOn w:val="DefaultParagraphFont"/>
    <w:rsid w:val="00B03FA5"/>
    <w:rPr>
      <w:color w:val="0000FF" w:themeColor="hyperlink"/>
      <w:u w:val="single"/>
    </w:rPr>
  </w:style>
  <w:style w:type="character" w:styleId="FollowedHyperlink">
    <w:name w:val="FollowedHyperlink"/>
    <w:basedOn w:val="DefaultParagraphFont"/>
    <w:rsid w:val="00B03FA5"/>
    <w:rPr>
      <w:color w:val="800080" w:themeColor="followedHyperlink"/>
      <w:u w:val="single"/>
    </w:rPr>
  </w:style>
  <w:style w:type="character" w:customStyle="1" w:styleId="HeaderChar">
    <w:name w:val="Header Char"/>
    <w:basedOn w:val="DefaultParagraphFont"/>
    <w:link w:val="Header"/>
    <w:rsid w:val="00B03FA5"/>
    <w:rPr>
      <w:sz w:val="22"/>
    </w:rPr>
  </w:style>
  <w:style w:type="character" w:customStyle="1" w:styleId="Heading3Char">
    <w:name w:val="Heading 3 Char"/>
    <w:basedOn w:val="DefaultParagraphFont"/>
    <w:link w:val="Heading3"/>
    <w:locked/>
    <w:rsid w:val="00C71EE9"/>
    <w:rPr>
      <w:rFonts w:ascii="Helvetica" w:hAnsi="Helvetica"/>
      <w:b/>
      <w:sz w:val="22"/>
    </w:rPr>
  </w:style>
  <w:style w:type="character" w:styleId="CommentReference">
    <w:name w:val="annotation reference"/>
    <w:basedOn w:val="DefaultParagraphFont"/>
    <w:rsid w:val="00D819C9"/>
    <w:rPr>
      <w:sz w:val="16"/>
      <w:szCs w:val="16"/>
    </w:rPr>
  </w:style>
  <w:style w:type="paragraph" w:styleId="CommentText">
    <w:name w:val="annotation text"/>
    <w:basedOn w:val="Normal"/>
    <w:link w:val="CommentTextChar"/>
    <w:rsid w:val="00D819C9"/>
    <w:rPr>
      <w:sz w:val="20"/>
    </w:rPr>
  </w:style>
  <w:style w:type="character" w:customStyle="1" w:styleId="CommentTextChar">
    <w:name w:val="Comment Text Char"/>
    <w:basedOn w:val="DefaultParagraphFont"/>
    <w:link w:val="CommentText"/>
    <w:rsid w:val="00D819C9"/>
  </w:style>
  <w:style w:type="paragraph" w:styleId="CommentSubject">
    <w:name w:val="annotation subject"/>
    <w:basedOn w:val="CommentText"/>
    <w:next w:val="CommentText"/>
    <w:link w:val="CommentSubjectChar"/>
    <w:rsid w:val="00D819C9"/>
    <w:rPr>
      <w:b/>
      <w:bCs/>
    </w:rPr>
  </w:style>
  <w:style w:type="character" w:customStyle="1" w:styleId="CommentSubjectChar">
    <w:name w:val="Comment Subject Char"/>
    <w:basedOn w:val="CommentTextChar"/>
    <w:link w:val="CommentSubject"/>
    <w:rsid w:val="00D819C9"/>
    <w:rPr>
      <w:b/>
      <w:bCs/>
    </w:rPr>
  </w:style>
  <w:style w:type="paragraph" w:styleId="BalloonText">
    <w:name w:val="Balloon Text"/>
    <w:basedOn w:val="Normal"/>
    <w:link w:val="BalloonTextChar"/>
    <w:rsid w:val="00D819C9"/>
    <w:pPr>
      <w:spacing w:before="0" w:after="0"/>
    </w:pPr>
    <w:rPr>
      <w:rFonts w:ascii="Tahoma" w:hAnsi="Tahoma" w:cs="Tahoma"/>
      <w:sz w:val="16"/>
      <w:szCs w:val="16"/>
    </w:rPr>
  </w:style>
  <w:style w:type="character" w:customStyle="1" w:styleId="BalloonTextChar">
    <w:name w:val="Balloon Text Char"/>
    <w:basedOn w:val="DefaultParagraphFont"/>
    <w:link w:val="BalloonText"/>
    <w:rsid w:val="00D819C9"/>
    <w:rPr>
      <w:rFonts w:ascii="Tahoma" w:hAnsi="Tahoma" w:cs="Tahoma"/>
      <w:sz w:val="16"/>
      <w:szCs w:val="16"/>
    </w:rPr>
  </w:style>
  <w:style w:type="paragraph" w:customStyle="1" w:styleId="SecurityClassificationHeader">
    <w:name w:val="Security Classification Header"/>
    <w:link w:val="SecurityClassificationHeaderChar"/>
    <w:rsid w:val="00C72CBB"/>
    <w:pPr>
      <w:spacing w:before="240" w:after="60"/>
      <w:jc w:val="center"/>
    </w:pPr>
    <w:rPr>
      <w:b/>
      <w:i/>
      <w:caps/>
      <w:sz w:val="24"/>
    </w:rPr>
  </w:style>
  <w:style w:type="character" w:customStyle="1" w:styleId="rightheaderChar">
    <w:name w:val="right header Char"/>
    <w:basedOn w:val="DefaultParagraphFont"/>
    <w:link w:val="rightheader"/>
    <w:rsid w:val="00C72CBB"/>
    <w:rPr>
      <w:i/>
    </w:rPr>
  </w:style>
  <w:style w:type="character" w:customStyle="1" w:styleId="SecurityClassificationHeaderChar">
    <w:name w:val="Security Classification Header Char"/>
    <w:basedOn w:val="rightheaderChar"/>
    <w:link w:val="SecurityClassificationHeader"/>
    <w:rsid w:val="00C72CBB"/>
    <w:rPr>
      <w:b/>
      <w:i/>
      <w:caps/>
      <w:sz w:val="24"/>
    </w:rPr>
  </w:style>
  <w:style w:type="paragraph" w:customStyle="1" w:styleId="SecurityClassificationFooter">
    <w:name w:val="Security Classification Footer"/>
    <w:link w:val="SecurityClassificationFooterChar"/>
    <w:rsid w:val="00C72CBB"/>
    <w:pPr>
      <w:spacing w:before="60" w:after="240"/>
      <w:jc w:val="center"/>
    </w:pPr>
    <w:rPr>
      <w:b/>
      <w:i/>
      <w:caps/>
      <w:sz w:val="24"/>
    </w:rPr>
  </w:style>
  <w:style w:type="character" w:customStyle="1" w:styleId="SecurityClassificationFooterChar">
    <w:name w:val="Security Classification Footer Char"/>
    <w:basedOn w:val="rightheaderChar"/>
    <w:link w:val="SecurityClassificationFooter"/>
    <w:rsid w:val="00C72CBB"/>
    <w:rPr>
      <w:b/>
      <w:i/>
      <w:caps/>
      <w:sz w:val="24"/>
    </w:rPr>
  </w:style>
  <w:style w:type="paragraph" w:customStyle="1" w:styleId="DLMSecurityHeader">
    <w:name w:val="DLM Security Header"/>
    <w:link w:val="DLMSecurityHeaderChar"/>
    <w:rsid w:val="00C72CBB"/>
    <w:pPr>
      <w:spacing w:before="60" w:after="240"/>
      <w:jc w:val="center"/>
    </w:pPr>
    <w:rPr>
      <w:b/>
      <w:i/>
      <w:caps/>
      <w:sz w:val="24"/>
    </w:rPr>
  </w:style>
  <w:style w:type="character" w:customStyle="1" w:styleId="DLMSecurityHeaderChar">
    <w:name w:val="DLM Security Header Char"/>
    <w:basedOn w:val="rightheaderChar"/>
    <w:link w:val="DLMSecurityHeader"/>
    <w:rsid w:val="00C72CBB"/>
    <w:rPr>
      <w:b/>
      <w:i/>
      <w:caps/>
      <w:sz w:val="24"/>
    </w:rPr>
  </w:style>
  <w:style w:type="paragraph" w:customStyle="1" w:styleId="DLMSecurityFooter">
    <w:name w:val="DLM Security Footer"/>
    <w:link w:val="DLMSecurityFooterChar"/>
    <w:rsid w:val="00C72CBB"/>
    <w:pPr>
      <w:spacing w:before="240" w:after="60"/>
      <w:jc w:val="center"/>
    </w:pPr>
    <w:rPr>
      <w:b/>
      <w:i/>
      <w:caps/>
      <w:sz w:val="24"/>
    </w:rPr>
  </w:style>
  <w:style w:type="character" w:customStyle="1" w:styleId="DLMSecurityFooterChar">
    <w:name w:val="DLM Security Footer Char"/>
    <w:basedOn w:val="rightheaderChar"/>
    <w:link w:val="DLMSecurityFooter"/>
    <w:rsid w:val="00C72CBB"/>
    <w:rPr>
      <w:b/>
      <w:i/>
      <w:caps/>
      <w:sz w:val="24"/>
    </w:rPr>
  </w:style>
  <w:style w:type="paragraph" w:customStyle="1" w:styleId="Bullet">
    <w:name w:val="Bullet"/>
    <w:aliases w:val="b,b1,b + line,level 1,Body"/>
    <w:basedOn w:val="Normal"/>
    <w:link w:val="BulletChar"/>
    <w:qFormat/>
    <w:rsid w:val="00471DC8"/>
    <w:pPr>
      <w:numPr>
        <w:numId w:val="19"/>
      </w:numPr>
    </w:pPr>
  </w:style>
  <w:style w:type="character" w:customStyle="1" w:styleId="ListParagraphChar">
    <w:name w:val="List Paragraph Char"/>
    <w:basedOn w:val="DefaultParagraphFont"/>
    <w:link w:val="ListParagraph"/>
    <w:uiPriority w:val="34"/>
    <w:rsid w:val="009349BC"/>
    <w:rPr>
      <w:sz w:val="22"/>
    </w:rPr>
  </w:style>
  <w:style w:type="character" w:customStyle="1" w:styleId="BulletChar">
    <w:name w:val="Bullet Char"/>
    <w:aliases w:val="b Char,b Char Char,b + line Char Char"/>
    <w:basedOn w:val="ListParagraphChar"/>
    <w:link w:val="Bullet"/>
    <w:rsid w:val="00471DC8"/>
    <w:rPr>
      <w:sz w:val="22"/>
    </w:rPr>
  </w:style>
  <w:style w:type="paragraph" w:customStyle="1" w:styleId="Dash">
    <w:name w:val="Dash"/>
    <w:basedOn w:val="Normal"/>
    <w:link w:val="DashChar"/>
    <w:qFormat/>
    <w:rsid w:val="00471DC8"/>
    <w:pPr>
      <w:numPr>
        <w:ilvl w:val="1"/>
        <w:numId w:val="19"/>
      </w:numPr>
    </w:pPr>
  </w:style>
  <w:style w:type="character" w:customStyle="1" w:styleId="DashChar">
    <w:name w:val="Dash Char"/>
    <w:basedOn w:val="ListParagraphChar"/>
    <w:link w:val="Dash"/>
    <w:rsid w:val="00471DC8"/>
    <w:rPr>
      <w:sz w:val="22"/>
    </w:rPr>
  </w:style>
  <w:style w:type="paragraph" w:customStyle="1" w:styleId="DoubleDot">
    <w:name w:val="Double Dot"/>
    <w:basedOn w:val="Normal"/>
    <w:link w:val="DoubleDotChar"/>
    <w:qFormat/>
    <w:rsid w:val="00471DC8"/>
    <w:pPr>
      <w:numPr>
        <w:ilvl w:val="2"/>
        <w:numId w:val="19"/>
      </w:numPr>
    </w:pPr>
  </w:style>
  <w:style w:type="character" w:customStyle="1" w:styleId="DoubleDotChar">
    <w:name w:val="Double Dot Char"/>
    <w:basedOn w:val="ListParagraphChar"/>
    <w:link w:val="DoubleDot"/>
    <w:rsid w:val="00471DC8"/>
    <w:rPr>
      <w:sz w:val="22"/>
    </w:rPr>
  </w:style>
  <w:style w:type="paragraph" w:customStyle="1" w:styleId="OutlineNumbered1">
    <w:name w:val="Outline Numbered 1"/>
    <w:basedOn w:val="Normal"/>
    <w:link w:val="OutlineNumbered1Char"/>
    <w:rsid w:val="00DE3137"/>
    <w:pPr>
      <w:numPr>
        <w:numId w:val="20"/>
      </w:numPr>
    </w:pPr>
  </w:style>
  <w:style w:type="character" w:customStyle="1" w:styleId="OutlineNumbered1Char">
    <w:name w:val="Outline Numbered 1 Char"/>
    <w:basedOn w:val="base-text-paragraphChar"/>
    <w:link w:val="OutlineNumbered1"/>
    <w:rsid w:val="00DE3137"/>
    <w:rPr>
      <w:sz w:val="22"/>
    </w:rPr>
  </w:style>
  <w:style w:type="paragraph" w:customStyle="1" w:styleId="OutlineNumbered2">
    <w:name w:val="Outline Numbered 2"/>
    <w:basedOn w:val="Normal"/>
    <w:link w:val="OutlineNumbered2Char"/>
    <w:rsid w:val="00DE3137"/>
    <w:pPr>
      <w:numPr>
        <w:ilvl w:val="1"/>
        <w:numId w:val="20"/>
      </w:numPr>
    </w:pPr>
  </w:style>
  <w:style w:type="character" w:customStyle="1" w:styleId="OutlineNumbered2Char">
    <w:name w:val="Outline Numbered 2 Char"/>
    <w:basedOn w:val="base-text-paragraphChar"/>
    <w:link w:val="OutlineNumbered2"/>
    <w:rsid w:val="00DE3137"/>
    <w:rPr>
      <w:sz w:val="22"/>
    </w:rPr>
  </w:style>
  <w:style w:type="paragraph" w:customStyle="1" w:styleId="OutlineNumbered3">
    <w:name w:val="Outline Numbered 3"/>
    <w:basedOn w:val="Normal"/>
    <w:link w:val="OutlineNumbered3Char"/>
    <w:rsid w:val="00DE3137"/>
    <w:pPr>
      <w:numPr>
        <w:ilvl w:val="2"/>
        <w:numId w:val="20"/>
      </w:numPr>
    </w:pPr>
  </w:style>
  <w:style w:type="character" w:customStyle="1" w:styleId="OutlineNumbered3Char">
    <w:name w:val="Outline Numbered 3 Char"/>
    <w:basedOn w:val="base-text-paragraphChar"/>
    <w:link w:val="OutlineNumbered3"/>
    <w:rsid w:val="00DE3137"/>
    <w:rPr>
      <w:sz w:val="22"/>
    </w:rPr>
  </w:style>
  <w:style w:type="numbering" w:customStyle="1" w:styleId="ChapterList1">
    <w:name w:val="ChapterList1"/>
    <w:uiPriority w:val="99"/>
    <w:rsid w:val="009C2D18"/>
  </w:style>
  <w:style w:type="paragraph" w:customStyle="1" w:styleId="TableText0">
    <w:name w:val="TableText"/>
    <w:basedOn w:val="Normal"/>
    <w:qFormat/>
    <w:rsid w:val="008777F2"/>
    <w:rPr>
      <w:rFonts w:ascii="Arial" w:eastAsiaTheme="majorEastAsia" w:hAnsi="Arial" w:cs="Arial"/>
      <w:bCs/>
      <w:sz w:val="20"/>
      <w:lang w:eastAsia="en-US"/>
    </w:rPr>
  </w:style>
  <w:style w:type="table" w:styleId="LightGrid">
    <w:name w:val="Light Grid"/>
    <w:basedOn w:val="TableNormal"/>
    <w:uiPriority w:val="62"/>
    <w:rsid w:val="008777F2"/>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2Char">
    <w:name w:val="Heading 2 Char"/>
    <w:basedOn w:val="DefaultParagraphFont"/>
    <w:link w:val="Heading2"/>
    <w:rsid w:val="007476FC"/>
    <w:rPr>
      <w:rFonts w:ascii="Helvetica" w:hAnsi="Helvetica"/>
      <w:b/>
      <w:sz w:val="26"/>
    </w:rPr>
  </w:style>
  <w:style w:type="paragraph" w:styleId="Revision">
    <w:name w:val="Revision"/>
    <w:hidden/>
    <w:uiPriority w:val="99"/>
    <w:semiHidden/>
    <w:rsid w:val="00615A7E"/>
    <w:rPr>
      <w:sz w:val="22"/>
    </w:rPr>
  </w:style>
  <w:style w:type="character" w:customStyle="1" w:styleId="Heading4Char">
    <w:name w:val="Heading 4 Char"/>
    <w:basedOn w:val="DefaultParagraphFont"/>
    <w:link w:val="Heading4"/>
    <w:rsid w:val="00F12873"/>
    <w:rPr>
      <w:b/>
      <w:i/>
      <w:sz w:val="22"/>
    </w:rPr>
  </w:style>
  <w:style w:type="character" w:styleId="FootnoteReference">
    <w:name w:val="footnote reference"/>
    <w:basedOn w:val="DefaultParagraphFont"/>
    <w:uiPriority w:val="99"/>
    <w:rsid w:val="0079199E"/>
    <w:rPr>
      <w:vertAlign w:val="superscript"/>
    </w:rPr>
  </w:style>
  <w:style w:type="character" w:customStyle="1" w:styleId="FootnoteTextChar">
    <w:name w:val="Footnote Text Char"/>
    <w:basedOn w:val="DefaultParagraphFont"/>
    <w:link w:val="FootnoteText"/>
    <w:rsid w:val="00D53C03"/>
  </w:style>
  <w:style w:type="table" w:styleId="LightGrid-Accent5">
    <w:name w:val="Light Grid Accent 5"/>
    <w:basedOn w:val="TableNormal"/>
    <w:uiPriority w:val="62"/>
    <w:rsid w:val="00404387"/>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865888"/>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ChapterList2">
    <w:name w:val="ChapterList2"/>
    <w:uiPriority w:val="99"/>
    <w:rsid w:val="00A23DC8"/>
  </w:style>
  <w:style w:type="paragraph" w:customStyle="1" w:styleId="subsection">
    <w:name w:val="subsection"/>
    <w:aliases w:val="ss"/>
    <w:basedOn w:val="Normal"/>
    <w:link w:val="subsectionChar"/>
    <w:rsid w:val="00917DD7"/>
    <w:pPr>
      <w:tabs>
        <w:tab w:val="right" w:pos="1021"/>
      </w:tabs>
      <w:spacing w:before="180" w:after="0"/>
      <w:ind w:left="1134" w:hanging="1134"/>
    </w:pPr>
  </w:style>
  <w:style w:type="paragraph" w:customStyle="1" w:styleId="paragraph">
    <w:name w:val="paragraph"/>
    <w:aliases w:val="a"/>
    <w:basedOn w:val="Normal"/>
    <w:link w:val="paragraphChar"/>
    <w:rsid w:val="00917DD7"/>
    <w:pPr>
      <w:tabs>
        <w:tab w:val="right" w:pos="1531"/>
      </w:tabs>
      <w:spacing w:before="40" w:after="0"/>
      <w:ind w:left="1644" w:hanging="1644"/>
    </w:pPr>
  </w:style>
  <w:style w:type="character" w:customStyle="1" w:styleId="subsectionChar">
    <w:name w:val="subsection Char"/>
    <w:aliases w:val="ss Char"/>
    <w:link w:val="subsection"/>
    <w:locked/>
    <w:rsid w:val="00917DD7"/>
    <w:rPr>
      <w:sz w:val="22"/>
    </w:rPr>
  </w:style>
  <w:style w:type="character" w:customStyle="1" w:styleId="paragraphChar">
    <w:name w:val="paragraph Char"/>
    <w:aliases w:val="a Char"/>
    <w:link w:val="paragraph"/>
    <w:locked/>
    <w:rsid w:val="00917DD7"/>
    <w:rPr>
      <w:sz w:val="22"/>
    </w:rPr>
  </w:style>
  <w:style w:type="character" w:customStyle="1" w:styleId="dotpointChar">
    <w:name w:val="dot point Char"/>
    <w:basedOn w:val="DefaultParagraphFont"/>
    <w:link w:val="dotpoint"/>
    <w:rsid w:val="00BD6A7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585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3.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footer" Target="footer16.xml"/><Relationship Id="rId47" Type="http://schemas.openxmlformats.org/officeDocument/2006/relationships/header" Target="header18.xml"/><Relationship Id="rId50" Type="http://schemas.openxmlformats.org/officeDocument/2006/relationships/header" Target="header21.xml"/><Relationship Id="rId55" Type="http://schemas.openxmlformats.org/officeDocument/2006/relationships/footer" Target="footer20.xml"/><Relationship Id="rId63" Type="http://schemas.openxmlformats.org/officeDocument/2006/relationships/header" Target="header28.xml"/><Relationship Id="rId68" Type="http://schemas.openxmlformats.org/officeDocument/2006/relationships/header" Target="header30.xml"/><Relationship Id="rId76" Type="http://schemas.openxmlformats.org/officeDocument/2006/relationships/header" Target="header33.xml"/><Relationship Id="rId7" Type="http://schemas.openxmlformats.org/officeDocument/2006/relationships/styles" Target="styles.xml"/><Relationship Id="rId71" Type="http://schemas.openxmlformats.org/officeDocument/2006/relationships/footer" Target="footer29.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9.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footer" Target="footer21.xml"/><Relationship Id="rId66" Type="http://schemas.openxmlformats.org/officeDocument/2006/relationships/footer" Target="footer26.xml"/><Relationship Id="rId74" Type="http://schemas.openxmlformats.org/officeDocument/2006/relationships/header" Target="header32.xml"/><Relationship Id="rId79" Type="http://schemas.openxmlformats.org/officeDocument/2006/relationships/footer" Target="footer33.xml"/><Relationship Id="rId5" Type="http://schemas.openxmlformats.org/officeDocument/2006/relationships/customXml" Target="../customXml/item5.xml"/><Relationship Id="rId61" Type="http://schemas.openxmlformats.org/officeDocument/2006/relationships/footer" Target="footer23.xml"/><Relationship Id="rId82"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oter" Target="footer17.xml"/><Relationship Id="rId52" Type="http://schemas.openxmlformats.org/officeDocument/2006/relationships/footer" Target="footer18.xml"/><Relationship Id="rId60" Type="http://schemas.openxmlformats.org/officeDocument/2006/relationships/header" Target="header26.xml"/><Relationship Id="rId65" Type="http://schemas.openxmlformats.org/officeDocument/2006/relationships/footer" Target="footer25.xml"/><Relationship Id="rId73" Type="http://schemas.openxmlformats.org/officeDocument/2006/relationships/footer" Target="footer30.xml"/><Relationship Id="rId78" Type="http://schemas.openxmlformats.org/officeDocument/2006/relationships/footer" Target="footer32.xml"/><Relationship Id="rId81" Type="http://schemas.openxmlformats.org/officeDocument/2006/relationships/footer" Target="footer3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header" Target="header15.xml"/><Relationship Id="rId48" Type="http://schemas.openxmlformats.org/officeDocument/2006/relationships/header" Target="header19.xml"/><Relationship Id="rId56" Type="http://schemas.openxmlformats.org/officeDocument/2006/relationships/header" Target="header24.xml"/><Relationship Id="rId64" Type="http://schemas.openxmlformats.org/officeDocument/2006/relationships/footer" Target="footer24.xml"/><Relationship Id="rId69" Type="http://schemas.openxmlformats.org/officeDocument/2006/relationships/footer" Target="footer27.xml"/><Relationship Id="rId77" Type="http://schemas.openxmlformats.org/officeDocument/2006/relationships/header" Target="header34.xml"/><Relationship Id="rId8" Type="http://schemas.microsoft.com/office/2007/relationships/stylesWithEffects" Target="stylesWithEffects.xml"/><Relationship Id="rId51" Type="http://schemas.openxmlformats.org/officeDocument/2006/relationships/header" Target="header22.xml"/><Relationship Id="rId72" Type="http://schemas.openxmlformats.org/officeDocument/2006/relationships/header" Target="header31.xml"/><Relationship Id="rId80" Type="http://schemas.openxmlformats.org/officeDocument/2006/relationships/header" Target="header3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header" Target="header17.xml"/><Relationship Id="rId59" Type="http://schemas.openxmlformats.org/officeDocument/2006/relationships/footer" Target="footer22.xml"/><Relationship Id="rId67" Type="http://schemas.openxmlformats.org/officeDocument/2006/relationships/header" Target="header29.xml"/><Relationship Id="rId20" Type="http://schemas.openxmlformats.org/officeDocument/2006/relationships/footer" Target="footer4.xml"/><Relationship Id="rId41" Type="http://schemas.openxmlformats.org/officeDocument/2006/relationships/footer" Target="footer15.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footer" Target="footer28.xml"/><Relationship Id="rId75" Type="http://schemas.openxmlformats.org/officeDocument/2006/relationships/footer" Target="footer31.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2.xml"/><Relationship Id="rId49" Type="http://schemas.openxmlformats.org/officeDocument/2006/relationships/header" Target="header20.xml"/><Relationship Id="rId57" Type="http://schemas.openxmlformats.org/officeDocument/2006/relationships/header" Target="header25.xml"/></Relationships>
</file>

<file path=word/_rels/footnotes.xml.rels><?xml version="1.0" encoding="UTF-8" standalone="yes"?>
<Relationships xmlns="http://schemas.openxmlformats.org/package/2006/relationships"><Relationship Id="rId1" Type="http://schemas.openxmlformats.org/officeDocument/2006/relationships/hyperlink" Target="https://www.disputescentre.com.au/Facilities/Room-R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Bill-Explanatory%20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7bc583-7cbe-45b9-a2bd-8bbb6543b37e"/>
    <lb508a4dc5e84436a0fe496b536466aa xmlns="9f7bc583-7cbe-45b9-a2bd-8bbb6543b37e">
      <Terms xmlns="http://schemas.microsoft.com/office/infopath/2007/PartnerControls"/>
    </lb508a4dc5e84436a0fe496b536466aa>
    <_dlc_DocId xmlns="9f7bc583-7cbe-45b9-a2bd-8bbb6543b37e" xsi:nil="true"/>
    <_dlc_DocIdUrl xmlns="9f7bc583-7cbe-45b9-a2bd-8bbb6543b37e">
      <Url xsi:nil="true"/>
      <Description xsi:nil="true"/>
    </_dlc_DocIdUrl>
  </documentManagement>
</p:properti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7" ma:contentTypeDescription=" " ma:contentTypeScope="" ma:versionID="8c2c2b48f8cdf5a516cff142e9fb3c11">
  <xsd:schema xmlns:xsd="http://www.w3.org/2001/XMLSchema" xmlns:xs="http://www.w3.org/2001/XMLSchema" xmlns:p="http://schemas.microsoft.com/office/2006/metadata/properties" xmlns:ns1="http://schemas.microsoft.com/sharepoint/v3" xmlns:ns2="9f7bc583-7cbe-45b9-a2bd-8bbb6543b37e" targetNamespace="http://schemas.microsoft.com/office/2006/metadata/properties" ma:root="true" ma:fieldsID="dae03b1008b7399435e4a24fc1b987ab" ns1:_="" ns2:_="">
    <xsd:import namespace="http://schemas.microsoft.com/sharepoint/v3"/>
    <xsd:import namespace="9f7bc583-7cbe-45b9-a2bd-8bbb6543b37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12982-4F03-4AC6-BC84-5FA9E1CABBF4}">
  <ds:schemaRef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9f7bc583-7cbe-45b9-a2bd-8bbb6543b37e"/>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E6D9BD3F-E640-4A96-835C-EB5A67DDE779}">
  <ds:schemaRefs>
    <ds:schemaRef ds:uri="http://schemas.microsoft.com/sharepoint/events"/>
  </ds:schemaRefs>
</ds:datastoreItem>
</file>

<file path=customXml/itemProps3.xml><?xml version="1.0" encoding="utf-8"?>
<ds:datastoreItem xmlns:ds="http://schemas.openxmlformats.org/officeDocument/2006/customXml" ds:itemID="{3B845D82-CFBF-49CF-BEDC-D455DCE66C9C}">
  <ds:schemaRefs>
    <ds:schemaRef ds:uri="http://schemas.microsoft.com/sharepoint/v3/contenttype/forms"/>
  </ds:schemaRefs>
</ds:datastoreItem>
</file>

<file path=customXml/itemProps4.xml><?xml version="1.0" encoding="utf-8"?>
<ds:datastoreItem xmlns:ds="http://schemas.openxmlformats.org/officeDocument/2006/customXml" ds:itemID="{A3B7EBB7-4B23-4242-930C-1422F814C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AD3A1D-5746-4D71-99BE-96DCDDC7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Bill-Explanatory Memorandum.dotm</Template>
  <TotalTime>1</TotalTime>
  <Pages>122</Pages>
  <Words>30630</Words>
  <Characters>169993</Characters>
  <Application>Microsoft Office Word</Application>
  <DocSecurity>4</DocSecurity>
  <Lines>1416</Lines>
  <Paragraphs>400</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200223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Traucki, Sharon</dc:creator>
  <cp:lastModifiedBy>Channells, Julie</cp:lastModifiedBy>
  <cp:revision>2</cp:revision>
  <cp:lastPrinted>2015-05-26T00:41:00Z</cp:lastPrinted>
  <dcterms:created xsi:type="dcterms:W3CDTF">2015-06-04T05:32:00Z</dcterms:created>
  <dcterms:modified xsi:type="dcterms:W3CDTF">2015-06-04T05:32:00Z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0x01010036BB8DE7EC542E42A8B2E98CC20CB69700A0A840AFAB52624689FA9AA81E9EF0D1</vt:lpwstr>
  </property>
  <property fmtid="{D5CDD505-2E9C-101B-9397-08002B2CF9AE}" pid="3" name="WorkingDocStatus">
    <vt:lpwstr/>
  </property>
  <property fmtid="{D5CDD505-2E9C-101B-9397-08002B2CF9AE}" pid="4" name="TSYRecordClass">
    <vt:lpwstr>11</vt:lpwstr>
  </property>
  <property fmtid="{D5CDD505-2E9C-101B-9397-08002B2CF9AE}" pid="5" name="_dlc_DocIdItemGuid">
    <vt:lpwstr>3ad76689-749e-4cf1-9490-3968578dcfc0</vt:lpwstr>
  </property>
  <property fmtid="{D5CDD505-2E9C-101B-9397-08002B2CF9AE}" pid="6" name="_AdHocReviewCycleID">
    <vt:i4>1628561432</vt:i4>
  </property>
  <property fmtid="{D5CDD505-2E9C-101B-9397-08002B2CF9AE}" pid="7" name="_NewReviewCycle">
    <vt:lpwstr/>
  </property>
  <property fmtid="{D5CDD505-2E9C-101B-9397-08002B2CF9AE}" pid="8" name="_EmailSubject">
    <vt:lpwstr>ExM for introduction week commencing 1 June 2015</vt:lpwstr>
  </property>
  <property fmtid="{D5CDD505-2E9C-101B-9397-08002B2CF9AE}" pid="9" name="_AuthorEmail">
    <vt:lpwstr>Caroline.Bogusz@TREASURY.GOV.AU</vt:lpwstr>
  </property>
  <property fmtid="{D5CDD505-2E9C-101B-9397-08002B2CF9AE}" pid="10" name="_AuthorEmailDisplayName">
    <vt:lpwstr>Bogusz, Caroline</vt:lpwstr>
  </property>
  <property fmtid="{D5CDD505-2E9C-101B-9397-08002B2CF9AE}" pid="11" name="_PreviousAdHocReviewCycleID">
    <vt:i4>260597626</vt:i4>
  </property>
  <property fmtid="{D5CDD505-2E9C-101B-9397-08002B2CF9AE}" pid="12" name="RecordPoint_ActiveItemUniqueId">
    <vt:lpwstr>{650f0f96-288b-4790-aaed-41cfed2265ae}</vt:lpwstr>
  </property>
  <property fmtid="{D5CDD505-2E9C-101B-9397-08002B2CF9AE}" pid="13" name="RecordPoint_WorkflowType">
    <vt:lpwstr>ActiveSubmitStub</vt:lpwstr>
  </property>
  <property fmtid="{D5CDD505-2E9C-101B-9397-08002B2CF9AE}" pid="14" name="RecordPoint_ActiveItemWebId">
    <vt:lpwstr>{e237d495-0881-4849-ae62-ddc8a8132df5}</vt:lpwstr>
  </property>
  <property fmtid="{D5CDD505-2E9C-101B-9397-08002B2CF9AE}" pid="15" name="RecordPoint_ActiveItemSiteId">
    <vt:lpwstr>{de902461-0703-410e-906b-a2e3a4f5dd57}</vt:lpwstr>
  </property>
  <property fmtid="{D5CDD505-2E9C-101B-9397-08002B2CF9AE}" pid="16" name="RecordPoint_ActiveItemListId">
    <vt:lpwstr>{cbc2ebd0-59c1-4002-a83f-92737a87f681}</vt:lpwstr>
  </property>
  <property fmtid="{D5CDD505-2E9C-101B-9397-08002B2CF9AE}" pid="17" name="_ReviewingToolsShownOnce">
    <vt:lpwstr/>
  </property>
</Properties>
</file>