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851A9" w14:textId="77777777" w:rsidR="00F3397B" w:rsidRDefault="00F3397B" w:rsidP="00F3397B">
      <w:pPr>
        <w:pStyle w:val="Baseparagraphcentred"/>
      </w:pPr>
      <w:r>
        <w:t>2013</w:t>
      </w:r>
      <w:r w:rsidR="00700B2E">
        <w:noBreakHyphen/>
      </w:r>
      <w:r>
        <w:t>2014</w:t>
      </w:r>
      <w:r w:rsidR="00700B2E">
        <w:noBreakHyphen/>
      </w:r>
      <w:r>
        <w:t>2015</w:t>
      </w:r>
    </w:p>
    <w:p w14:paraId="0901B80F" w14:textId="77777777" w:rsidR="00F3397B" w:rsidRDefault="00F3397B" w:rsidP="00F3397B">
      <w:pPr>
        <w:pStyle w:val="Baseparagraphcentred"/>
      </w:pPr>
    </w:p>
    <w:p w14:paraId="21FECE00" w14:textId="77777777" w:rsidR="00F3397B" w:rsidRDefault="00F3397B" w:rsidP="00F3397B">
      <w:pPr>
        <w:pStyle w:val="Baseparagraphcentred"/>
      </w:pPr>
      <w:r>
        <w:t>THE PARLIAMENT OF THE COMMONWEALTH OF AUSTRALIA</w:t>
      </w:r>
    </w:p>
    <w:p w14:paraId="47319278" w14:textId="77777777" w:rsidR="00F3397B" w:rsidRDefault="00F3397B" w:rsidP="00F3397B">
      <w:pPr>
        <w:pStyle w:val="Baseparagraphcentred"/>
      </w:pPr>
    </w:p>
    <w:p w14:paraId="53CCCF79" w14:textId="77777777" w:rsidR="00F3397B" w:rsidRDefault="00F3397B" w:rsidP="00F3397B">
      <w:pPr>
        <w:pStyle w:val="Baseparagraphcentred"/>
      </w:pPr>
    </w:p>
    <w:p w14:paraId="7340328A" w14:textId="77777777" w:rsidR="00F3397B" w:rsidRDefault="00F3397B" w:rsidP="00F3397B">
      <w:pPr>
        <w:pStyle w:val="Baseparagraphcentred"/>
      </w:pPr>
    </w:p>
    <w:p w14:paraId="00DFD352" w14:textId="77777777" w:rsidR="00F3397B" w:rsidRDefault="00F3397B" w:rsidP="00F3397B">
      <w:pPr>
        <w:pStyle w:val="Baseparagraphcentred"/>
      </w:pPr>
      <w:r>
        <w:t>HOUSE OF REPRESENTATIVES</w:t>
      </w:r>
    </w:p>
    <w:p w14:paraId="25BA9595" w14:textId="77777777" w:rsidR="00F3397B" w:rsidRDefault="00F3397B" w:rsidP="00F3397B">
      <w:pPr>
        <w:pStyle w:val="Baseparagraphcentred"/>
      </w:pPr>
    </w:p>
    <w:p w14:paraId="02092FBA" w14:textId="77777777" w:rsidR="00F3397B" w:rsidRDefault="00F3397B" w:rsidP="00F3397B">
      <w:pPr>
        <w:pStyle w:val="Baseparagraphcentred"/>
      </w:pPr>
    </w:p>
    <w:p w14:paraId="3578B332" w14:textId="77777777" w:rsidR="00F3397B" w:rsidRPr="00D33008" w:rsidRDefault="00F3397B" w:rsidP="00F3397B">
      <w:pPr>
        <w:pStyle w:val="Baseparagraphcentred"/>
      </w:pPr>
    </w:p>
    <w:p w14:paraId="727F6556" w14:textId="77777777" w:rsidR="00B4696A" w:rsidRDefault="00B4696A" w:rsidP="00B4696A">
      <w:pPr>
        <w:pStyle w:val="BillName"/>
        <w:spacing w:before="0"/>
      </w:pPr>
      <w:r w:rsidRPr="00F3397B">
        <w:t>Excise Tariff Amendm</w:t>
      </w:r>
      <w:bookmarkStart w:id="0" w:name="_GoBack"/>
      <w:bookmarkEnd w:id="0"/>
      <w:r w:rsidRPr="00F3397B">
        <w:t xml:space="preserve">ent (Ethanol and </w:t>
      </w:r>
      <w:r>
        <w:t>Biodiesel</w:t>
      </w:r>
      <w:r w:rsidRPr="00F3397B">
        <w:t>) Bill 2015</w:t>
      </w:r>
    </w:p>
    <w:p w14:paraId="1C5F7713" w14:textId="77777777" w:rsidR="009A1AC4" w:rsidRDefault="00F3397B" w:rsidP="00F3397B">
      <w:pPr>
        <w:pStyle w:val="BillName"/>
        <w:spacing w:before="0"/>
      </w:pPr>
      <w:r w:rsidRPr="00F3397B">
        <w:t xml:space="preserve">Energy Grants and Other Legislation Amendment (Ethanol and </w:t>
      </w:r>
      <w:r w:rsidR="007B6B52">
        <w:t>Biodiesel</w:t>
      </w:r>
      <w:r w:rsidRPr="00F3397B">
        <w:t>) Bill 2015</w:t>
      </w:r>
    </w:p>
    <w:p w14:paraId="1567DDDC" w14:textId="77777777" w:rsidR="00F3397B" w:rsidRPr="007F464A" w:rsidRDefault="00F3397B" w:rsidP="00F3397B">
      <w:pPr>
        <w:pStyle w:val="Baseparagraphcentred"/>
      </w:pPr>
    </w:p>
    <w:p w14:paraId="4CB6FF1D" w14:textId="77777777" w:rsidR="00F3397B" w:rsidRDefault="00F3397B" w:rsidP="00F3397B">
      <w:pPr>
        <w:pStyle w:val="Baseparagraphcentred"/>
      </w:pPr>
    </w:p>
    <w:p w14:paraId="2365CC3C" w14:textId="77777777" w:rsidR="00F3397B" w:rsidRDefault="00F3397B" w:rsidP="00F3397B">
      <w:pPr>
        <w:pStyle w:val="Baseparagraphcentred"/>
      </w:pPr>
    </w:p>
    <w:p w14:paraId="1358E554" w14:textId="77777777" w:rsidR="00F3397B" w:rsidRDefault="00F3397B" w:rsidP="00F3397B">
      <w:pPr>
        <w:pStyle w:val="Baseparagraphcentred"/>
      </w:pPr>
      <w:r>
        <w:t>EXPLANATORY MEMORANDUM</w:t>
      </w:r>
    </w:p>
    <w:p w14:paraId="54627E96" w14:textId="77777777" w:rsidR="00F3397B" w:rsidRDefault="00F3397B" w:rsidP="00F3397B">
      <w:pPr>
        <w:pStyle w:val="Baseparagraphcentred"/>
      </w:pPr>
    </w:p>
    <w:p w14:paraId="619F2DBC" w14:textId="77777777" w:rsidR="00F3397B" w:rsidRDefault="00F3397B" w:rsidP="00F3397B">
      <w:pPr>
        <w:pStyle w:val="Baseparagraphcentred"/>
      </w:pPr>
    </w:p>
    <w:p w14:paraId="32AA7F0E" w14:textId="77777777" w:rsidR="00F3397B" w:rsidRDefault="00F3397B" w:rsidP="00F3397B">
      <w:pPr>
        <w:pStyle w:val="Baseparagraphcentred"/>
      </w:pPr>
    </w:p>
    <w:p w14:paraId="51D91C4B" w14:textId="77777777" w:rsidR="00F3397B" w:rsidRDefault="00F3397B" w:rsidP="00F3397B">
      <w:pPr>
        <w:pStyle w:val="Baseparagraphcentred"/>
      </w:pPr>
    </w:p>
    <w:p w14:paraId="111F4BC8" w14:textId="388734F4" w:rsidR="00F3397B" w:rsidRDefault="00F3397B" w:rsidP="00F3397B">
      <w:pPr>
        <w:jc w:val="center"/>
        <w:rPr>
          <w:szCs w:val="22"/>
        </w:rPr>
      </w:pPr>
      <w:r w:rsidRPr="00EC3261">
        <w:t xml:space="preserve">(Circulated by the authority of the </w:t>
      </w:r>
      <w:r w:rsidR="00C1527B">
        <w:br/>
      </w:r>
      <w:r w:rsidRPr="00EC3261">
        <w:t>Treasurer, the Hon J</w:t>
      </w:r>
      <w:r w:rsidR="009A1AC4">
        <w:t xml:space="preserve">. </w:t>
      </w:r>
      <w:r w:rsidRPr="00EC3261">
        <w:t>B</w:t>
      </w:r>
      <w:r>
        <w:t xml:space="preserve">. </w:t>
      </w:r>
      <w:r w:rsidRPr="00EC3261">
        <w:t>Hockey MP</w:t>
      </w:r>
      <w:r w:rsidRPr="00EC3261">
        <w:rPr>
          <w:szCs w:val="22"/>
        </w:rPr>
        <w:t>)</w:t>
      </w:r>
    </w:p>
    <w:p w14:paraId="78AAE5A9" w14:textId="77777777" w:rsidR="00F3397B" w:rsidRDefault="00F3397B" w:rsidP="00F3397B">
      <w:pPr>
        <w:jc w:val="center"/>
      </w:pPr>
    </w:p>
    <w:p w14:paraId="4F397277" w14:textId="77777777" w:rsidR="00F3397B" w:rsidRDefault="00F3397B" w:rsidP="00F3397B">
      <w:pPr>
        <w:sectPr w:rsidR="00F3397B" w:rsidSect="000A27D1">
          <w:headerReference w:type="even" r:id="rId13"/>
          <w:headerReference w:type="default" r:id="rId14"/>
          <w:footerReference w:type="even" r:id="rId15"/>
          <w:footerReference w:type="default" r:id="rId16"/>
          <w:headerReference w:type="first" r:id="rId17"/>
          <w:type w:val="oddPage"/>
          <w:pgSz w:w="11906" w:h="16838" w:code="9"/>
          <w:pgMar w:top="2466" w:right="2098" w:bottom="2466" w:left="2098" w:header="1559" w:footer="1899" w:gutter="0"/>
          <w:cols w:space="708"/>
          <w:titlePg/>
          <w:docGrid w:linePitch="360"/>
        </w:sectPr>
      </w:pPr>
    </w:p>
    <w:p w14:paraId="69E912A0" w14:textId="77777777" w:rsidR="009A1AC4" w:rsidRPr="003E0794" w:rsidRDefault="009A1AC4" w:rsidP="000A27D1">
      <w:pPr>
        <w:pStyle w:val="TOCHeading"/>
      </w:pPr>
      <w:r w:rsidRPr="003E0794">
        <w:lastRenderedPageBreak/>
        <w:t>Table of contents</w:t>
      </w:r>
    </w:p>
    <w:p w14:paraId="2D7C6456" w14:textId="77777777" w:rsidR="00460614" w:rsidRDefault="009A1AC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460614">
        <w:t>Glossary</w:t>
      </w:r>
      <w:r w:rsidR="00460614">
        <w:tab/>
      </w:r>
      <w:r w:rsidR="00460614">
        <w:fldChar w:fldCharType="begin"/>
      </w:r>
      <w:r w:rsidR="00460614">
        <w:instrText xml:space="preserve"> PAGEREF _Toc421007624 \h </w:instrText>
      </w:r>
      <w:r w:rsidR="00460614">
        <w:fldChar w:fldCharType="separate"/>
      </w:r>
      <w:r w:rsidR="00460614">
        <w:t>1</w:t>
      </w:r>
      <w:r w:rsidR="00460614">
        <w:fldChar w:fldCharType="end"/>
      </w:r>
    </w:p>
    <w:p w14:paraId="1821F36A" w14:textId="77777777" w:rsidR="00460614" w:rsidRDefault="00460614">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_Toc421007625 \h </w:instrText>
      </w:r>
      <w:r>
        <w:fldChar w:fldCharType="separate"/>
      </w:r>
      <w:r>
        <w:t>3</w:t>
      </w:r>
      <w:r>
        <w:fldChar w:fldCharType="end"/>
      </w:r>
    </w:p>
    <w:p w14:paraId="6983D783" w14:textId="77777777" w:rsidR="00460614" w:rsidRDefault="00460614">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Taxation changes to fuel ethanol and biodiesel</w:t>
      </w:r>
      <w:r>
        <w:rPr>
          <w:noProof/>
        </w:rPr>
        <w:tab/>
      </w:r>
      <w:r>
        <w:rPr>
          <w:noProof/>
        </w:rPr>
        <w:fldChar w:fldCharType="begin"/>
      </w:r>
      <w:r>
        <w:rPr>
          <w:noProof/>
        </w:rPr>
        <w:instrText xml:space="preserve"> PAGEREF _Toc421007626 \h </w:instrText>
      </w:r>
      <w:r>
        <w:rPr>
          <w:noProof/>
        </w:rPr>
      </w:r>
      <w:r>
        <w:rPr>
          <w:noProof/>
        </w:rPr>
        <w:fldChar w:fldCharType="separate"/>
      </w:r>
      <w:r>
        <w:rPr>
          <w:noProof/>
        </w:rPr>
        <w:t>5</w:t>
      </w:r>
      <w:r>
        <w:rPr>
          <w:noProof/>
        </w:rPr>
        <w:fldChar w:fldCharType="end"/>
      </w:r>
    </w:p>
    <w:p w14:paraId="01EFAAAA" w14:textId="77777777" w:rsidR="00460614" w:rsidRDefault="00460614">
      <w:pPr>
        <w:pStyle w:val="TOC2"/>
        <w:rPr>
          <w:rFonts w:asciiTheme="minorHAnsi" w:eastAsiaTheme="minorEastAsia" w:hAnsiTheme="minorHAnsi" w:cstheme="minorBidi"/>
          <w:sz w:val="22"/>
          <w:szCs w:val="22"/>
        </w:rPr>
      </w:pPr>
      <w:r>
        <w:t>Index</w:t>
      </w:r>
      <w:r>
        <w:tab/>
      </w:r>
      <w:r>
        <w:fldChar w:fldCharType="begin"/>
      </w:r>
      <w:r>
        <w:instrText xml:space="preserve"> PAGEREF _Toc421007627 \h </w:instrText>
      </w:r>
      <w:r>
        <w:fldChar w:fldCharType="separate"/>
      </w:r>
      <w:r>
        <w:t>21</w:t>
      </w:r>
      <w:r>
        <w:fldChar w:fldCharType="end"/>
      </w:r>
    </w:p>
    <w:p w14:paraId="6272E8B7" w14:textId="77777777" w:rsidR="009A1AC4" w:rsidRPr="00E70A03" w:rsidRDefault="009A1AC4" w:rsidP="00BE4157">
      <w:pPr>
        <w:pStyle w:val="leftheader"/>
        <w:pBdr>
          <w:bottom w:val="none" w:sz="0" w:space="0" w:color="auto"/>
        </w:pBdr>
        <w:ind w:left="1134"/>
      </w:pPr>
      <w:r>
        <w:rPr>
          <w:b/>
          <w:bCs/>
          <w:noProof/>
          <w:lang w:val="en-US"/>
        </w:rPr>
        <w:fldChar w:fldCharType="end"/>
      </w:r>
    </w:p>
    <w:p w14:paraId="6D568DB8" w14:textId="77777777" w:rsidR="009A1AC4" w:rsidRDefault="009A1AC4" w:rsidP="000A27D1">
      <w:pPr>
        <w:pStyle w:val="base-text-paragraphnonumbers"/>
        <w:sectPr w:rsidR="009A1AC4" w:rsidSect="000A27D1">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466" w:right="2098" w:bottom="2466" w:left="2098" w:header="1559" w:footer="1899" w:gutter="0"/>
          <w:cols w:space="708"/>
          <w:titlePg/>
          <w:docGrid w:linePitch="360"/>
        </w:sectPr>
      </w:pPr>
    </w:p>
    <w:p w14:paraId="2C87C980" w14:textId="77777777" w:rsidR="00A8723F" w:rsidRPr="00D67ADC" w:rsidRDefault="00A8723F" w:rsidP="00A8723F">
      <w:pPr>
        <w:pStyle w:val="Chapterheadingsubdocument"/>
      </w:pPr>
      <w:bookmarkStart w:id="1" w:name="_Toc421007624"/>
      <w:r w:rsidRPr="00D67ADC">
        <w:lastRenderedPageBreak/>
        <w:t>Glossary</w:t>
      </w:r>
      <w:bookmarkEnd w:id="1"/>
    </w:p>
    <w:p w14:paraId="7049FE80" w14:textId="77777777" w:rsidR="00A8723F" w:rsidRDefault="00A8723F" w:rsidP="00A8723F">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A8723F" w:rsidRPr="00123D96" w14:paraId="67BA6E26" w14:textId="77777777" w:rsidTr="000943CF">
        <w:tc>
          <w:tcPr>
            <w:tcW w:w="2721" w:type="dxa"/>
          </w:tcPr>
          <w:p w14:paraId="61B56DE2" w14:textId="77777777" w:rsidR="00A8723F" w:rsidRPr="00123D96" w:rsidRDefault="00A8723F" w:rsidP="000943CF">
            <w:pPr>
              <w:pStyle w:val="tableheaderwithintable"/>
            </w:pPr>
            <w:r w:rsidRPr="00123D96">
              <w:t>Abbreviation</w:t>
            </w:r>
          </w:p>
        </w:tc>
        <w:tc>
          <w:tcPr>
            <w:tcW w:w="3885" w:type="dxa"/>
          </w:tcPr>
          <w:p w14:paraId="08455AD6" w14:textId="77777777" w:rsidR="00A8723F" w:rsidRPr="00123D96" w:rsidRDefault="00A8723F" w:rsidP="000943CF">
            <w:pPr>
              <w:pStyle w:val="tableheaderwithintable"/>
            </w:pPr>
            <w:r w:rsidRPr="00123D96">
              <w:t>Definition</w:t>
            </w:r>
          </w:p>
        </w:tc>
      </w:tr>
      <w:tr w:rsidR="00FC570B" w:rsidRPr="002C43E8" w14:paraId="5E0B6728" w14:textId="77777777" w:rsidTr="000943CF">
        <w:tc>
          <w:tcPr>
            <w:tcW w:w="2721" w:type="dxa"/>
          </w:tcPr>
          <w:p w14:paraId="7620A0A9" w14:textId="77777777" w:rsidR="00FC570B" w:rsidRDefault="00FC570B" w:rsidP="000943CF">
            <w:pPr>
              <w:pStyle w:val="Glossarytabletext"/>
              <w:rPr>
                <w:lang w:val="en-US" w:eastAsia="en-US"/>
              </w:rPr>
            </w:pPr>
            <w:r>
              <w:rPr>
                <w:lang w:val="en-US" w:eastAsia="en-US"/>
              </w:rPr>
              <w:t>EGCFS 2004</w:t>
            </w:r>
          </w:p>
        </w:tc>
        <w:tc>
          <w:tcPr>
            <w:tcW w:w="3885" w:type="dxa"/>
          </w:tcPr>
          <w:p w14:paraId="5CC07312" w14:textId="77777777" w:rsidR="00FC570B" w:rsidRDefault="00FC570B" w:rsidP="00B4696A">
            <w:pPr>
              <w:pStyle w:val="Glossarytabletext"/>
              <w:rPr>
                <w:i/>
                <w:lang w:val="en-US" w:eastAsia="en-US"/>
              </w:rPr>
            </w:pPr>
            <w:r>
              <w:rPr>
                <w:i/>
                <w:lang w:val="en-US" w:eastAsia="en-US"/>
              </w:rPr>
              <w:t xml:space="preserve">Energy Grants (Cleaner Fuels) Scheme </w:t>
            </w:r>
            <w:r w:rsidR="00B4696A">
              <w:rPr>
                <w:i/>
                <w:lang w:val="en-US" w:eastAsia="en-US"/>
              </w:rPr>
              <w:t>Act </w:t>
            </w:r>
            <w:r>
              <w:rPr>
                <w:i/>
                <w:lang w:val="en-US" w:eastAsia="en-US"/>
              </w:rPr>
              <w:t>2004</w:t>
            </w:r>
          </w:p>
        </w:tc>
      </w:tr>
      <w:tr w:rsidR="00054D24" w:rsidRPr="002C43E8" w14:paraId="312F5A1A" w14:textId="77777777" w:rsidTr="000943CF">
        <w:tc>
          <w:tcPr>
            <w:tcW w:w="2721" w:type="dxa"/>
          </w:tcPr>
          <w:p w14:paraId="76815FC4" w14:textId="77777777" w:rsidR="00054D24" w:rsidRDefault="00054D24" w:rsidP="000943CF">
            <w:pPr>
              <w:pStyle w:val="Glossarytabletext"/>
              <w:rPr>
                <w:lang w:val="en-US" w:eastAsia="en-US"/>
              </w:rPr>
            </w:pPr>
            <w:r>
              <w:rPr>
                <w:lang w:val="en-US" w:eastAsia="en-US"/>
              </w:rPr>
              <w:t>EGCS 2003</w:t>
            </w:r>
          </w:p>
        </w:tc>
        <w:tc>
          <w:tcPr>
            <w:tcW w:w="3885" w:type="dxa"/>
          </w:tcPr>
          <w:p w14:paraId="5C43D42B" w14:textId="77777777" w:rsidR="00054D24" w:rsidRDefault="00054D24" w:rsidP="000943CF">
            <w:pPr>
              <w:pStyle w:val="Glossarytabletext"/>
              <w:rPr>
                <w:i/>
                <w:lang w:val="en-US" w:eastAsia="en-US"/>
              </w:rPr>
            </w:pPr>
            <w:r w:rsidRPr="00054D24">
              <w:rPr>
                <w:i/>
                <w:lang w:val="en-US" w:eastAsia="en-US"/>
              </w:rPr>
              <w:t>Energy Grants (Credits) Scheme Act 2003</w:t>
            </w:r>
          </w:p>
        </w:tc>
      </w:tr>
      <w:tr w:rsidR="000A65DF" w:rsidRPr="000D66B6" w14:paraId="1CC475B4" w14:textId="77777777" w:rsidTr="000A65DF">
        <w:tc>
          <w:tcPr>
            <w:tcW w:w="2721" w:type="dxa"/>
          </w:tcPr>
          <w:p w14:paraId="00A0612E" w14:textId="77777777" w:rsidR="000A65DF" w:rsidRPr="002C43E8" w:rsidRDefault="000A65DF" w:rsidP="000A65DF">
            <w:pPr>
              <w:pStyle w:val="Glossarytabletext"/>
              <w:rPr>
                <w:lang w:val="en-US" w:eastAsia="en-US"/>
              </w:rPr>
            </w:pPr>
            <w:r>
              <w:rPr>
                <w:lang w:val="en-US" w:eastAsia="en-US"/>
              </w:rPr>
              <w:t>Energy Grants Amendment Bill 2015</w:t>
            </w:r>
          </w:p>
        </w:tc>
        <w:tc>
          <w:tcPr>
            <w:tcW w:w="3885" w:type="dxa"/>
          </w:tcPr>
          <w:p w14:paraId="23BCCB00" w14:textId="77777777" w:rsidR="000A65DF" w:rsidRPr="000D66B6" w:rsidRDefault="000A65DF" w:rsidP="00DA4EFD">
            <w:pPr>
              <w:pStyle w:val="Glossarytabletext"/>
              <w:rPr>
                <w:lang w:val="en-US" w:eastAsia="en-US"/>
              </w:rPr>
            </w:pPr>
            <w:r w:rsidRPr="000D66B6">
              <w:rPr>
                <w:lang w:val="en-US" w:eastAsia="en-US"/>
              </w:rPr>
              <w:t xml:space="preserve">Energy Grants </w:t>
            </w:r>
            <w:r>
              <w:rPr>
                <w:lang w:val="en-US" w:eastAsia="en-US"/>
              </w:rPr>
              <w:t xml:space="preserve">and Other Legislation Amendment </w:t>
            </w:r>
            <w:r w:rsidRPr="000D66B6">
              <w:rPr>
                <w:lang w:val="en-US" w:eastAsia="en-US"/>
              </w:rPr>
              <w:t>(</w:t>
            </w:r>
            <w:r>
              <w:rPr>
                <w:lang w:val="en-US" w:eastAsia="en-US"/>
              </w:rPr>
              <w:t>Ethanol and Biodiesel) Bill</w:t>
            </w:r>
            <w:r w:rsidR="00DA4EFD">
              <w:rPr>
                <w:lang w:val="en-US" w:eastAsia="en-US"/>
              </w:rPr>
              <w:t> </w:t>
            </w:r>
            <w:r>
              <w:rPr>
                <w:lang w:val="en-US" w:eastAsia="en-US"/>
              </w:rPr>
              <w:t>2015</w:t>
            </w:r>
            <w:r w:rsidRPr="000D66B6">
              <w:rPr>
                <w:lang w:val="en-US" w:eastAsia="en-US"/>
              </w:rPr>
              <w:t xml:space="preserve"> </w:t>
            </w:r>
          </w:p>
        </w:tc>
      </w:tr>
      <w:tr w:rsidR="00A8723F" w:rsidRPr="002C43E8" w14:paraId="1F0ABEF5" w14:textId="77777777" w:rsidTr="000943CF">
        <w:tc>
          <w:tcPr>
            <w:tcW w:w="2721" w:type="dxa"/>
          </w:tcPr>
          <w:p w14:paraId="37E429EF" w14:textId="77777777" w:rsidR="00A8723F" w:rsidRPr="002C43E8" w:rsidRDefault="00A8723F" w:rsidP="000943CF">
            <w:pPr>
              <w:pStyle w:val="Glossarytabletext"/>
              <w:rPr>
                <w:lang w:val="en-US" w:eastAsia="en-US"/>
              </w:rPr>
            </w:pPr>
            <w:r>
              <w:rPr>
                <w:lang w:val="en-US" w:eastAsia="en-US"/>
              </w:rPr>
              <w:t>ETA 1921</w:t>
            </w:r>
          </w:p>
        </w:tc>
        <w:tc>
          <w:tcPr>
            <w:tcW w:w="3885" w:type="dxa"/>
          </w:tcPr>
          <w:p w14:paraId="4729861C" w14:textId="77777777" w:rsidR="00A8723F" w:rsidRPr="000D66B6" w:rsidRDefault="00A8723F" w:rsidP="000943CF">
            <w:pPr>
              <w:pStyle w:val="Glossarytabletext"/>
              <w:rPr>
                <w:i/>
                <w:lang w:val="en-US" w:eastAsia="en-US"/>
              </w:rPr>
            </w:pPr>
            <w:r>
              <w:rPr>
                <w:i/>
                <w:lang w:val="en-US" w:eastAsia="en-US"/>
              </w:rPr>
              <w:t>Excise Tariff Act 1921</w:t>
            </w:r>
          </w:p>
        </w:tc>
      </w:tr>
      <w:tr w:rsidR="00A8723F" w:rsidRPr="002C43E8" w14:paraId="20DAE31E" w14:textId="77777777" w:rsidTr="000943CF">
        <w:tc>
          <w:tcPr>
            <w:tcW w:w="2721" w:type="dxa"/>
          </w:tcPr>
          <w:p w14:paraId="7A4C8E39" w14:textId="77777777" w:rsidR="00A8723F" w:rsidRPr="002C43E8" w:rsidRDefault="00ED106D" w:rsidP="00DA4EFD">
            <w:pPr>
              <w:pStyle w:val="Glossarytabletext"/>
              <w:rPr>
                <w:lang w:val="en-US" w:eastAsia="en-US"/>
              </w:rPr>
            </w:pPr>
            <w:r>
              <w:t>Excise Tariff Amendment Bill</w:t>
            </w:r>
            <w:r w:rsidR="00DA4EFD">
              <w:t> </w:t>
            </w:r>
            <w:r>
              <w:t>201</w:t>
            </w:r>
            <w:r w:rsidR="00FA5F5F">
              <w:t>5</w:t>
            </w:r>
          </w:p>
        </w:tc>
        <w:tc>
          <w:tcPr>
            <w:tcW w:w="3885" w:type="dxa"/>
          </w:tcPr>
          <w:p w14:paraId="65F91D03" w14:textId="77777777" w:rsidR="00A8723F" w:rsidRPr="002C43E8" w:rsidRDefault="00A8723F" w:rsidP="000943CF">
            <w:pPr>
              <w:pStyle w:val="Glossarytabletext"/>
              <w:rPr>
                <w:lang w:val="en-US" w:eastAsia="en-US"/>
              </w:rPr>
            </w:pPr>
            <w:r w:rsidRPr="000D66B6">
              <w:rPr>
                <w:lang w:val="en-US" w:eastAsia="en-US"/>
              </w:rPr>
              <w:t>Excise Tariff Amendment (Ethanol</w:t>
            </w:r>
            <w:r>
              <w:rPr>
                <w:lang w:val="en-US" w:eastAsia="en-US"/>
              </w:rPr>
              <w:t xml:space="preserve"> and </w:t>
            </w:r>
            <w:r w:rsidR="007B6B52">
              <w:rPr>
                <w:lang w:val="en-US" w:eastAsia="en-US"/>
              </w:rPr>
              <w:t>Biodiesel</w:t>
            </w:r>
            <w:r w:rsidRPr="000D66B6">
              <w:rPr>
                <w:lang w:val="en-US" w:eastAsia="en-US"/>
              </w:rPr>
              <w:t>) Bill 20</w:t>
            </w:r>
            <w:r>
              <w:rPr>
                <w:lang w:val="en-US" w:eastAsia="en-US"/>
              </w:rPr>
              <w:t>15</w:t>
            </w:r>
          </w:p>
        </w:tc>
      </w:tr>
    </w:tbl>
    <w:p w14:paraId="0847C660" w14:textId="77777777" w:rsidR="00A8723F" w:rsidRDefault="00A8723F" w:rsidP="00A8723F">
      <w:pPr>
        <w:sectPr w:rsidR="00A8723F" w:rsidSect="000943CF">
          <w:headerReference w:type="even" r:id="rId24"/>
          <w:headerReference w:type="default" r:id="rId25"/>
          <w:footerReference w:type="even" r:id="rId26"/>
          <w:footerReference w:type="default" r:id="rId27"/>
          <w:footerReference w:type="first" r:id="rId28"/>
          <w:type w:val="oddPage"/>
          <w:pgSz w:w="11906" w:h="16838" w:code="9"/>
          <w:pgMar w:top="2466" w:right="2098" w:bottom="2466" w:left="2098" w:header="1559" w:footer="1899" w:gutter="0"/>
          <w:pgNumType w:start="1"/>
          <w:cols w:space="708"/>
          <w:titlePg/>
          <w:docGrid w:linePitch="360"/>
        </w:sectPr>
      </w:pPr>
    </w:p>
    <w:p w14:paraId="4492077F" w14:textId="77777777" w:rsidR="00A8723F" w:rsidRPr="00D67ADC" w:rsidRDefault="00A8723F" w:rsidP="00A8723F">
      <w:pPr>
        <w:pStyle w:val="Chapterheadingsubdocument"/>
      </w:pPr>
      <w:bookmarkStart w:id="2" w:name="_Toc421007625"/>
      <w:r w:rsidRPr="00D67ADC">
        <w:t>General outline and financial impact</w:t>
      </w:r>
      <w:bookmarkEnd w:id="2"/>
    </w:p>
    <w:p w14:paraId="31367CF0" w14:textId="77777777" w:rsidR="00A8723F" w:rsidRDefault="00A8723F" w:rsidP="00A8723F">
      <w:pPr>
        <w:pStyle w:val="Heading3"/>
      </w:pPr>
      <w:r w:rsidRPr="0000047B">
        <w:t xml:space="preserve">Taxation changes to </w:t>
      </w:r>
      <w:r>
        <w:t xml:space="preserve">fuel </w:t>
      </w:r>
      <w:r w:rsidRPr="0000047B">
        <w:t>ethanol</w:t>
      </w:r>
      <w:r w:rsidR="000115A8">
        <w:t xml:space="preserve"> and</w:t>
      </w:r>
      <w:r w:rsidRPr="0000047B">
        <w:t xml:space="preserve"> biodiesel</w:t>
      </w:r>
    </w:p>
    <w:p w14:paraId="1263C8F3" w14:textId="77777777" w:rsidR="00375217" w:rsidRPr="00375217" w:rsidRDefault="00375217" w:rsidP="00DA4EFD">
      <w:pPr>
        <w:pStyle w:val="base-text-paragraphnonumbers"/>
        <w:spacing w:before="80" w:after="80"/>
        <w:rPr>
          <w:b/>
        </w:rPr>
      </w:pPr>
      <w:r w:rsidRPr="00375217">
        <w:t xml:space="preserve">The Excise Tariff Amendment (Ethanol and </w:t>
      </w:r>
      <w:r w:rsidR="007B6B52">
        <w:t>Biodiesel</w:t>
      </w:r>
      <w:r w:rsidRPr="00375217">
        <w:t xml:space="preserve">) Bill 2015 amends the </w:t>
      </w:r>
      <w:r w:rsidRPr="003714E8">
        <w:rPr>
          <w:i/>
        </w:rPr>
        <w:t>Excise Tariff Act 1921</w:t>
      </w:r>
      <w:r w:rsidRPr="00375217">
        <w:t xml:space="preserve"> to reduce the rates of excise for domestically </w:t>
      </w:r>
      <w:r w:rsidR="00BE3574">
        <w:t>manufactur</w:t>
      </w:r>
      <w:r w:rsidR="00BE3574" w:rsidRPr="00375217">
        <w:t xml:space="preserve">ed </w:t>
      </w:r>
      <w:r w:rsidRPr="00375217">
        <w:t>biodiesel and fuel ethanol to nil for a one</w:t>
      </w:r>
      <w:r w:rsidR="00700B2E">
        <w:noBreakHyphen/>
      </w:r>
      <w:r w:rsidRPr="00375217">
        <w:t>year period commencing on 1</w:t>
      </w:r>
      <w:r w:rsidR="00007715">
        <w:t> </w:t>
      </w:r>
      <w:r w:rsidRPr="00375217">
        <w:t xml:space="preserve">July 2015. The excise rates for these fuels then increase each </w:t>
      </w:r>
      <w:r w:rsidR="000A65DF">
        <w:t xml:space="preserve">financial </w:t>
      </w:r>
      <w:r w:rsidRPr="00375217">
        <w:t>year from 1 July 2016 until 1 July 2020 when the excise rate for:</w:t>
      </w:r>
    </w:p>
    <w:p w14:paraId="1920C9E0" w14:textId="77777777" w:rsidR="00375217" w:rsidRPr="00375217" w:rsidRDefault="00375217" w:rsidP="00DB143C">
      <w:pPr>
        <w:pStyle w:val="dotpoint"/>
      </w:pPr>
      <w:r w:rsidRPr="00375217">
        <w:t xml:space="preserve">fuel ethanol </w:t>
      </w:r>
      <w:r w:rsidR="000A65DF">
        <w:t>will be</w:t>
      </w:r>
      <w:r w:rsidR="000A65DF" w:rsidRPr="00375217">
        <w:t xml:space="preserve"> </w:t>
      </w:r>
      <w:r w:rsidRPr="00375217">
        <w:t>approximately 33 per cent of the excise rate for petrol; and</w:t>
      </w:r>
    </w:p>
    <w:p w14:paraId="19ED67AD" w14:textId="77777777" w:rsidR="00375217" w:rsidRPr="00375217" w:rsidRDefault="00375217" w:rsidP="00242266">
      <w:pPr>
        <w:pStyle w:val="dotpoint"/>
      </w:pPr>
      <w:r w:rsidRPr="00375217">
        <w:t xml:space="preserve">biodiesel </w:t>
      </w:r>
      <w:r w:rsidR="000A65DF">
        <w:t>will be</w:t>
      </w:r>
      <w:r w:rsidR="000A65DF" w:rsidRPr="00375217">
        <w:t xml:space="preserve"> </w:t>
      </w:r>
      <w:r w:rsidRPr="00375217">
        <w:t>equivalent to 50 per cent of the excise rate for diesel.</w:t>
      </w:r>
    </w:p>
    <w:p w14:paraId="43AF0E65" w14:textId="77777777" w:rsidR="00375217" w:rsidRDefault="00375217" w:rsidP="00DA4EFD">
      <w:pPr>
        <w:pStyle w:val="base-text-paragraphnonumbers"/>
        <w:spacing w:before="80" w:after="80"/>
      </w:pPr>
      <w:r w:rsidRPr="00375217">
        <w:t xml:space="preserve">The Energy Grants and Other Legislation Amendment (Ethanol and </w:t>
      </w:r>
      <w:r w:rsidR="007B6B52">
        <w:t>Biodiesel</w:t>
      </w:r>
      <w:r w:rsidRPr="00375217">
        <w:t xml:space="preserve">) Bill 2015 repeals the </w:t>
      </w:r>
      <w:r w:rsidRPr="003714E8">
        <w:rPr>
          <w:i/>
        </w:rPr>
        <w:t>Energy Grants (Cleaner Fuels) Scheme Act 2004</w:t>
      </w:r>
      <w:r w:rsidRPr="00375217">
        <w:t xml:space="preserve"> to remove grants for renewable diesel and biodiesel from </w:t>
      </w:r>
      <w:r w:rsidR="009A3534" w:rsidRPr="00375217">
        <w:t>1</w:t>
      </w:r>
      <w:r w:rsidR="009A3534">
        <w:t> </w:t>
      </w:r>
      <w:r w:rsidRPr="00375217">
        <w:t>July</w:t>
      </w:r>
      <w:r w:rsidR="0033283D">
        <w:t> </w:t>
      </w:r>
      <w:r w:rsidRPr="00375217">
        <w:t>2015.</w:t>
      </w:r>
    </w:p>
    <w:p w14:paraId="2DC81B86" w14:textId="77777777" w:rsidR="00A8723F" w:rsidRDefault="00A8723F" w:rsidP="00DA4EFD">
      <w:pPr>
        <w:pStyle w:val="base-text-paragraphnonumbers"/>
        <w:spacing w:before="80" w:after="80"/>
      </w:pPr>
      <w:r w:rsidRPr="0088195E">
        <w:rPr>
          <w:rStyle w:val="BoldItalic"/>
        </w:rPr>
        <w:t>Date of effect</w:t>
      </w:r>
      <w:r w:rsidRPr="00266048">
        <w:rPr>
          <w:rStyle w:val="base-text-paragraphChar"/>
        </w:rPr>
        <w:t xml:space="preserve">: </w:t>
      </w:r>
      <w:r>
        <w:rPr>
          <w:rStyle w:val="base-text-paragraphChar"/>
        </w:rPr>
        <w:t xml:space="preserve">The amendments </w:t>
      </w:r>
      <w:r w:rsidR="000A65DF">
        <w:rPr>
          <w:rStyle w:val="base-text-paragraphChar"/>
        </w:rPr>
        <w:t xml:space="preserve">to </w:t>
      </w:r>
      <w:r>
        <w:rPr>
          <w:rStyle w:val="base-text-paragraphChar"/>
        </w:rPr>
        <w:t xml:space="preserve">remove grants for renewable diesel and biodiesel and reduce the excise rates for domestically </w:t>
      </w:r>
      <w:r w:rsidR="00BE3574">
        <w:rPr>
          <w:rStyle w:val="base-text-paragraphChar"/>
        </w:rPr>
        <w:t>manufactured</w:t>
      </w:r>
      <w:r>
        <w:rPr>
          <w:rStyle w:val="base-text-paragraphChar"/>
        </w:rPr>
        <w:t xml:space="preserve"> fuel ethanol and biodiesel to zero </w:t>
      </w:r>
      <w:r w:rsidR="000A65DF">
        <w:rPr>
          <w:rStyle w:val="base-text-paragraphChar"/>
        </w:rPr>
        <w:t xml:space="preserve">apply </w:t>
      </w:r>
      <w:r>
        <w:rPr>
          <w:rStyle w:val="base-text-paragraphChar"/>
        </w:rPr>
        <w:t xml:space="preserve">from </w:t>
      </w:r>
      <w:r>
        <w:t>1 July 2015. Excise duty is then phased in each year commencing 1 July 2016 until the final excise rate is reached on 1 July 2020.</w:t>
      </w:r>
    </w:p>
    <w:p w14:paraId="70D4AD8E" w14:textId="77777777" w:rsidR="00A8723F" w:rsidRDefault="00A8723F" w:rsidP="00DA4EFD">
      <w:pPr>
        <w:pStyle w:val="base-text-paragraphnonumbers"/>
        <w:spacing w:before="80" w:after="80"/>
      </w:pPr>
      <w:r w:rsidRPr="0088195E">
        <w:rPr>
          <w:rStyle w:val="BoldItalic"/>
        </w:rPr>
        <w:t>Proposal announced</w:t>
      </w:r>
      <w:r w:rsidRPr="00266048">
        <w:rPr>
          <w:rStyle w:val="base-text-paragraphChar"/>
        </w:rPr>
        <w:t xml:space="preserve">: </w:t>
      </w:r>
      <w:r>
        <w:rPr>
          <w:rStyle w:val="base-text-paragraphChar"/>
        </w:rPr>
        <w:t>Th</w:t>
      </w:r>
      <w:r w:rsidR="009E1E87">
        <w:rPr>
          <w:rStyle w:val="base-text-paragraphChar"/>
        </w:rPr>
        <w:t>e</w:t>
      </w:r>
      <w:r>
        <w:rPr>
          <w:rStyle w:val="base-text-paragraphChar"/>
        </w:rPr>
        <w:t>s</w:t>
      </w:r>
      <w:r w:rsidR="009E1E87">
        <w:rPr>
          <w:rStyle w:val="base-text-paragraphChar"/>
        </w:rPr>
        <w:t>e</w:t>
      </w:r>
      <w:r>
        <w:rPr>
          <w:rStyle w:val="base-text-paragraphChar"/>
        </w:rPr>
        <w:t xml:space="preserve"> measure</w:t>
      </w:r>
      <w:r w:rsidR="009E1E87">
        <w:rPr>
          <w:rStyle w:val="base-text-paragraphChar"/>
        </w:rPr>
        <w:t>s</w:t>
      </w:r>
      <w:r>
        <w:rPr>
          <w:rStyle w:val="base-text-paragraphChar"/>
        </w:rPr>
        <w:t xml:space="preserve"> w</w:t>
      </w:r>
      <w:r w:rsidR="009E1E87">
        <w:rPr>
          <w:rStyle w:val="base-text-paragraphChar"/>
        </w:rPr>
        <w:t>ere</w:t>
      </w:r>
      <w:r>
        <w:rPr>
          <w:rStyle w:val="base-text-paragraphChar"/>
        </w:rPr>
        <w:t xml:space="preserve"> announced by the Treasurer in the </w:t>
      </w:r>
      <w:r w:rsidR="000A65DF">
        <w:rPr>
          <w:rStyle w:val="base-text-paragraphChar"/>
        </w:rPr>
        <w:t>2014</w:t>
      </w:r>
      <w:r w:rsidR="00700B2E">
        <w:rPr>
          <w:rStyle w:val="base-text-paragraphChar"/>
        </w:rPr>
        <w:noBreakHyphen/>
      </w:r>
      <w:r w:rsidR="000A65DF">
        <w:rPr>
          <w:rStyle w:val="base-text-paragraphChar"/>
        </w:rPr>
        <w:t xml:space="preserve">15 </w:t>
      </w:r>
      <w:r>
        <w:rPr>
          <w:rStyle w:val="base-text-paragraphChar"/>
        </w:rPr>
        <w:t xml:space="preserve">Budget on 13 May 2014. </w:t>
      </w:r>
    </w:p>
    <w:p w14:paraId="2A132489" w14:textId="77777777" w:rsidR="00A8723F" w:rsidRPr="00D92CF6" w:rsidRDefault="00A8723F" w:rsidP="00DA4EFD">
      <w:pPr>
        <w:spacing w:before="80"/>
        <w:ind w:left="1134"/>
      </w:pPr>
      <w:r w:rsidRPr="005F5E46">
        <w:rPr>
          <w:b/>
          <w:i/>
        </w:rPr>
        <w:t>Financial impact</w:t>
      </w:r>
      <w:r w:rsidRPr="00FA4F3A">
        <w:t>: Th</w:t>
      </w:r>
      <w:r w:rsidR="009E1E87" w:rsidRPr="00D92CF6">
        <w:t>e</w:t>
      </w:r>
      <w:r w:rsidRPr="00D92CF6">
        <w:t>s</w:t>
      </w:r>
      <w:r w:rsidR="009E1E87" w:rsidRPr="005F5E46">
        <w:t>e</w:t>
      </w:r>
      <w:r w:rsidRPr="005F5E46">
        <w:t xml:space="preserve"> measure</w:t>
      </w:r>
      <w:r w:rsidR="009E1E87" w:rsidRPr="005F5E46">
        <w:t>s</w:t>
      </w:r>
      <w:r w:rsidRPr="005F5E46">
        <w:t xml:space="preserve"> will </w:t>
      </w:r>
      <w:r w:rsidR="000A65DF">
        <w:t xml:space="preserve">result in </w:t>
      </w:r>
      <w:r w:rsidRPr="005F5E46">
        <w:t xml:space="preserve">a </w:t>
      </w:r>
      <w:r w:rsidR="009E1E87" w:rsidRPr="005F5E46">
        <w:t xml:space="preserve">net </w:t>
      </w:r>
      <w:r w:rsidRPr="005F5E46">
        <w:t xml:space="preserve">gain to </w:t>
      </w:r>
      <w:r w:rsidR="009E1E87" w:rsidRPr="005F5E46">
        <w:t xml:space="preserve">the Budget </w:t>
      </w:r>
      <w:r w:rsidRPr="005F5E46">
        <w:t>of $</w:t>
      </w:r>
      <w:r w:rsidR="006E31E0">
        <w:t>257</w:t>
      </w:r>
      <w:r w:rsidR="009E1E87" w:rsidRPr="00007715">
        <w:t xml:space="preserve"> </w:t>
      </w:r>
      <w:r w:rsidRPr="00007715">
        <w:t>m</w:t>
      </w:r>
      <w:r w:rsidR="009E1E87" w:rsidRPr="005F5E46">
        <w:t>illion</w:t>
      </w:r>
      <w:r w:rsidRPr="00FA4F3A">
        <w:t xml:space="preserve"> over the forward estimates period</w:t>
      </w:r>
      <w:r w:rsidR="000A65DF">
        <w:t>,</w:t>
      </w:r>
      <w:r w:rsidRPr="00FA4F3A">
        <w:t xml:space="preserve"> comprising:</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1319"/>
        <w:gridCol w:w="1319"/>
        <w:gridCol w:w="1319"/>
        <w:gridCol w:w="1319"/>
      </w:tblGrid>
      <w:tr w:rsidR="006E31E0" w:rsidRPr="005F5E46" w14:paraId="1401907F" w14:textId="77777777" w:rsidTr="00700B2E">
        <w:tc>
          <w:tcPr>
            <w:tcW w:w="1319" w:type="dxa"/>
            <w:tcBorders>
              <w:top w:val="single" w:sz="4" w:space="0" w:color="auto"/>
              <w:left w:val="single" w:sz="4" w:space="0" w:color="auto"/>
              <w:bottom w:val="single" w:sz="4" w:space="0" w:color="auto"/>
              <w:right w:val="single" w:sz="4" w:space="0" w:color="auto"/>
            </w:tcBorders>
            <w:hideMark/>
          </w:tcPr>
          <w:p w14:paraId="3B6D70AA" w14:textId="77777777" w:rsidR="006E31E0" w:rsidRPr="00007715" w:rsidRDefault="006E31E0" w:rsidP="000943CF">
            <w:pPr>
              <w:keepNext/>
              <w:spacing w:before="60" w:after="60"/>
              <w:jc w:val="center"/>
              <w:outlineLvl w:val="3"/>
              <w:rPr>
                <w:b/>
                <w:i/>
                <w:sz w:val="20"/>
              </w:rPr>
            </w:pPr>
            <w:r w:rsidRPr="00007715">
              <w:rPr>
                <w:b/>
                <w:i/>
                <w:sz w:val="20"/>
              </w:rPr>
              <w:t>2014</w:t>
            </w:r>
            <w:r w:rsidR="00700B2E">
              <w:rPr>
                <w:b/>
                <w:i/>
                <w:sz w:val="20"/>
              </w:rPr>
              <w:noBreakHyphen/>
            </w:r>
            <w:r w:rsidRPr="00007715">
              <w:rPr>
                <w:b/>
                <w:i/>
                <w:sz w:val="20"/>
              </w:rPr>
              <w:t>15</w:t>
            </w:r>
          </w:p>
        </w:tc>
        <w:tc>
          <w:tcPr>
            <w:tcW w:w="1319" w:type="dxa"/>
            <w:tcBorders>
              <w:top w:val="single" w:sz="4" w:space="0" w:color="auto"/>
              <w:left w:val="single" w:sz="4" w:space="0" w:color="auto"/>
              <w:bottom w:val="single" w:sz="4" w:space="0" w:color="auto"/>
              <w:right w:val="single" w:sz="4" w:space="0" w:color="auto"/>
            </w:tcBorders>
            <w:hideMark/>
          </w:tcPr>
          <w:p w14:paraId="7087FBE0" w14:textId="77777777" w:rsidR="006E31E0" w:rsidRPr="00007715" w:rsidRDefault="006E31E0" w:rsidP="000943CF">
            <w:pPr>
              <w:keepNext/>
              <w:spacing w:before="60" w:after="60"/>
              <w:jc w:val="center"/>
              <w:outlineLvl w:val="3"/>
              <w:rPr>
                <w:b/>
                <w:i/>
                <w:sz w:val="20"/>
              </w:rPr>
            </w:pPr>
            <w:r w:rsidRPr="00007715">
              <w:rPr>
                <w:b/>
                <w:i/>
                <w:sz w:val="20"/>
              </w:rPr>
              <w:t>2015</w:t>
            </w:r>
            <w:r w:rsidR="00700B2E">
              <w:rPr>
                <w:b/>
                <w:i/>
                <w:sz w:val="20"/>
              </w:rPr>
              <w:noBreakHyphen/>
            </w:r>
            <w:r w:rsidRPr="00007715">
              <w:rPr>
                <w:b/>
                <w:i/>
                <w:sz w:val="20"/>
              </w:rPr>
              <w:t>16</w:t>
            </w:r>
          </w:p>
        </w:tc>
        <w:tc>
          <w:tcPr>
            <w:tcW w:w="1319" w:type="dxa"/>
            <w:tcBorders>
              <w:top w:val="single" w:sz="4" w:space="0" w:color="auto"/>
              <w:left w:val="single" w:sz="4" w:space="0" w:color="auto"/>
              <w:bottom w:val="single" w:sz="4" w:space="0" w:color="auto"/>
              <w:right w:val="single" w:sz="4" w:space="0" w:color="auto"/>
            </w:tcBorders>
            <w:hideMark/>
          </w:tcPr>
          <w:p w14:paraId="2BD6C393" w14:textId="77777777" w:rsidR="006E31E0" w:rsidRPr="00007715" w:rsidRDefault="006E31E0" w:rsidP="000943CF">
            <w:pPr>
              <w:keepNext/>
              <w:spacing w:before="60" w:after="60"/>
              <w:jc w:val="center"/>
              <w:outlineLvl w:val="3"/>
              <w:rPr>
                <w:b/>
                <w:i/>
                <w:sz w:val="20"/>
              </w:rPr>
            </w:pPr>
            <w:r w:rsidRPr="00007715">
              <w:rPr>
                <w:b/>
                <w:i/>
                <w:sz w:val="20"/>
              </w:rPr>
              <w:t>2016</w:t>
            </w:r>
            <w:r w:rsidR="00700B2E">
              <w:rPr>
                <w:b/>
                <w:i/>
                <w:sz w:val="20"/>
              </w:rPr>
              <w:noBreakHyphen/>
            </w:r>
            <w:r w:rsidRPr="00007715">
              <w:rPr>
                <w:b/>
                <w:i/>
                <w:sz w:val="20"/>
              </w:rPr>
              <w:t>17</w:t>
            </w:r>
          </w:p>
        </w:tc>
        <w:tc>
          <w:tcPr>
            <w:tcW w:w="1319" w:type="dxa"/>
            <w:tcBorders>
              <w:top w:val="single" w:sz="4" w:space="0" w:color="auto"/>
              <w:left w:val="single" w:sz="4" w:space="0" w:color="auto"/>
              <w:bottom w:val="single" w:sz="4" w:space="0" w:color="auto"/>
              <w:right w:val="single" w:sz="4" w:space="0" w:color="auto"/>
            </w:tcBorders>
            <w:hideMark/>
          </w:tcPr>
          <w:p w14:paraId="6919BA56" w14:textId="77777777" w:rsidR="006E31E0" w:rsidRPr="00007715" w:rsidRDefault="006E31E0" w:rsidP="000943CF">
            <w:pPr>
              <w:keepNext/>
              <w:spacing w:before="60" w:after="60"/>
              <w:jc w:val="center"/>
              <w:outlineLvl w:val="3"/>
              <w:rPr>
                <w:b/>
                <w:i/>
                <w:sz w:val="20"/>
              </w:rPr>
            </w:pPr>
            <w:r w:rsidRPr="00007715">
              <w:rPr>
                <w:b/>
                <w:i/>
                <w:sz w:val="20"/>
              </w:rPr>
              <w:t>2017</w:t>
            </w:r>
            <w:r w:rsidR="00700B2E">
              <w:rPr>
                <w:b/>
                <w:i/>
                <w:sz w:val="20"/>
              </w:rPr>
              <w:noBreakHyphen/>
            </w:r>
            <w:r w:rsidRPr="00007715">
              <w:rPr>
                <w:b/>
                <w:i/>
                <w:sz w:val="20"/>
              </w:rPr>
              <w:t>18</w:t>
            </w:r>
          </w:p>
        </w:tc>
        <w:tc>
          <w:tcPr>
            <w:tcW w:w="1319" w:type="dxa"/>
            <w:tcBorders>
              <w:top w:val="single" w:sz="4" w:space="0" w:color="auto"/>
              <w:left w:val="single" w:sz="4" w:space="0" w:color="auto"/>
              <w:bottom w:val="single" w:sz="4" w:space="0" w:color="auto"/>
              <w:right w:val="single" w:sz="4" w:space="0" w:color="auto"/>
            </w:tcBorders>
          </w:tcPr>
          <w:p w14:paraId="1B0E7094" w14:textId="77777777" w:rsidR="006E31E0" w:rsidRPr="00007715" w:rsidRDefault="006E31E0" w:rsidP="000943CF">
            <w:pPr>
              <w:keepNext/>
              <w:spacing w:before="60" w:after="60"/>
              <w:jc w:val="center"/>
              <w:outlineLvl w:val="3"/>
              <w:rPr>
                <w:b/>
                <w:i/>
                <w:sz w:val="20"/>
              </w:rPr>
            </w:pPr>
            <w:r>
              <w:rPr>
                <w:b/>
                <w:i/>
                <w:sz w:val="20"/>
              </w:rPr>
              <w:t>2018</w:t>
            </w:r>
            <w:r w:rsidR="00700B2E">
              <w:rPr>
                <w:b/>
                <w:i/>
                <w:sz w:val="20"/>
              </w:rPr>
              <w:noBreakHyphen/>
            </w:r>
            <w:r>
              <w:rPr>
                <w:b/>
                <w:i/>
                <w:sz w:val="20"/>
              </w:rPr>
              <w:t>19</w:t>
            </w:r>
          </w:p>
        </w:tc>
      </w:tr>
      <w:tr w:rsidR="006E31E0" w:rsidRPr="005F5E46" w14:paraId="7465F5B3" w14:textId="77777777" w:rsidTr="00700B2E">
        <w:tc>
          <w:tcPr>
            <w:tcW w:w="1319" w:type="dxa"/>
            <w:tcBorders>
              <w:top w:val="single" w:sz="4" w:space="0" w:color="auto"/>
              <w:left w:val="single" w:sz="4" w:space="0" w:color="auto"/>
              <w:bottom w:val="single" w:sz="4" w:space="0" w:color="auto"/>
              <w:right w:val="single" w:sz="4" w:space="0" w:color="auto"/>
            </w:tcBorders>
            <w:vAlign w:val="center"/>
          </w:tcPr>
          <w:p w14:paraId="1B110A7E" w14:textId="77777777" w:rsidR="006E31E0" w:rsidRPr="00007715" w:rsidRDefault="00B4696A" w:rsidP="0033283D">
            <w:pPr>
              <w:pStyle w:val="tabletext"/>
              <w:jc w:val="center"/>
            </w:pPr>
            <w:r>
              <w:t>‒</w:t>
            </w:r>
          </w:p>
        </w:tc>
        <w:tc>
          <w:tcPr>
            <w:tcW w:w="1319" w:type="dxa"/>
            <w:tcBorders>
              <w:top w:val="single" w:sz="4" w:space="0" w:color="auto"/>
              <w:left w:val="single" w:sz="4" w:space="0" w:color="auto"/>
              <w:bottom w:val="single" w:sz="4" w:space="0" w:color="auto"/>
              <w:right w:val="single" w:sz="4" w:space="0" w:color="auto"/>
            </w:tcBorders>
            <w:vAlign w:val="center"/>
          </w:tcPr>
          <w:p w14:paraId="77CC39A5" w14:textId="77777777" w:rsidR="006E31E0" w:rsidRPr="00007715" w:rsidRDefault="006E31E0" w:rsidP="0033283D">
            <w:pPr>
              <w:pStyle w:val="tabletext"/>
              <w:jc w:val="center"/>
            </w:pPr>
            <w:r w:rsidRPr="00007715">
              <w:t>$52m</w:t>
            </w:r>
          </w:p>
        </w:tc>
        <w:tc>
          <w:tcPr>
            <w:tcW w:w="1319" w:type="dxa"/>
            <w:tcBorders>
              <w:top w:val="single" w:sz="4" w:space="0" w:color="auto"/>
              <w:left w:val="single" w:sz="4" w:space="0" w:color="auto"/>
              <w:bottom w:val="single" w:sz="4" w:space="0" w:color="auto"/>
              <w:right w:val="single" w:sz="4" w:space="0" w:color="auto"/>
            </w:tcBorders>
            <w:vAlign w:val="center"/>
          </w:tcPr>
          <w:p w14:paraId="70CC5FC8" w14:textId="77777777" w:rsidR="006E31E0" w:rsidRPr="00007715" w:rsidRDefault="006E31E0" w:rsidP="0033283D">
            <w:pPr>
              <w:pStyle w:val="tabletext"/>
              <w:jc w:val="center"/>
            </w:pPr>
            <w:r w:rsidRPr="00007715">
              <w:t>$61m</w:t>
            </w:r>
          </w:p>
        </w:tc>
        <w:tc>
          <w:tcPr>
            <w:tcW w:w="1319" w:type="dxa"/>
            <w:tcBorders>
              <w:top w:val="single" w:sz="4" w:space="0" w:color="auto"/>
              <w:left w:val="single" w:sz="4" w:space="0" w:color="auto"/>
              <w:bottom w:val="single" w:sz="4" w:space="0" w:color="auto"/>
              <w:right w:val="single" w:sz="4" w:space="0" w:color="auto"/>
            </w:tcBorders>
            <w:vAlign w:val="center"/>
          </w:tcPr>
          <w:p w14:paraId="6B836A9F" w14:textId="77777777" w:rsidR="006E31E0" w:rsidRPr="00007715" w:rsidRDefault="006E31E0" w:rsidP="0033283D">
            <w:pPr>
              <w:pStyle w:val="tabletext"/>
              <w:jc w:val="center"/>
            </w:pPr>
            <w:r w:rsidRPr="00007715">
              <w:t>$67m</w:t>
            </w:r>
          </w:p>
        </w:tc>
        <w:tc>
          <w:tcPr>
            <w:tcW w:w="1319" w:type="dxa"/>
            <w:tcBorders>
              <w:top w:val="single" w:sz="4" w:space="0" w:color="auto"/>
              <w:left w:val="single" w:sz="4" w:space="0" w:color="auto"/>
              <w:bottom w:val="single" w:sz="4" w:space="0" w:color="auto"/>
              <w:right w:val="single" w:sz="4" w:space="0" w:color="auto"/>
            </w:tcBorders>
          </w:tcPr>
          <w:p w14:paraId="2B9E566A" w14:textId="77777777" w:rsidR="006E31E0" w:rsidRPr="00007715" w:rsidRDefault="006E31E0" w:rsidP="0033283D">
            <w:pPr>
              <w:pStyle w:val="tabletext"/>
              <w:jc w:val="center"/>
            </w:pPr>
            <w:r>
              <w:t>$77m</w:t>
            </w:r>
          </w:p>
        </w:tc>
      </w:tr>
    </w:tbl>
    <w:p w14:paraId="068FC207" w14:textId="77777777" w:rsidR="00A8723F" w:rsidRDefault="00A8723F" w:rsidP="00DA4EFD">
      <w:pPr>
        <w:pStyle w:val="base-text-paragraphnonumbers"/>
        <w:spacing w:before="240"/>
      </w:pPr>
      <w:r>
        <w:rPr>
          <w:rStyle w:val="BoldItalic"/>
        </w:rPr>
        <w:t>Human rights implications</w:t>
      </w:r>
      <w:r w:rsidRPr="00D93657">
        <w:t>:</w:t>
      </w:r>
      <w:r>
        <w:t xml:space="preserve"> The</w:t>
      </w:r>
      <w:r w:rsidRPr="00D93657">
        <w:t>s</w:t>
      </w:r>
      <w:r>
        <w:t xml:space="preserve">e Bills do not raise </w:t>
      </w:r>
      <w:r w:rsidRPr="00D93657">
        <w:t>any human rights issue</w:t>
      </w:r>
      <w:r>
        <w:t>s</w:t>
      </w:r>
      <w:r w:rsidRPr="00D93657">
        <w:t xml:space="preserve">. See </w:t>
      </w:r>
      <w:r w:rsidRPr="00480C91">
        <w:rPr>
          <w:i/>
        </w:rPr>
        <w:t xml:space="preserve">Statement of Compatibility with Human </w:t>
      </w:r>
      <w:r w:rsidRPr="004D567C">
        <w:rPr>
          <w:i/>
        </w:rPr>
        <w:t>Rights</w:t>
      </w:r>
      <w:r w:rsidRPr="00DE71FB">
        <w:t xml:space="preserve">, </w:t>
      </w:r>
      <w:r w:rsidR="000A65DF" w:rsidRPr="0069760F">
        <w:t>paragraphs </w:t>
      </w:r>
      <w:r w:rsidRPr="0069760F">
        <w:t>1.</w:t>
      </w:r>
      <w:r w:rsidR="00D065BA" w:rsidRPr="0069760F">
        <w:t xml:space="preserve">50 </w:t>
      </w:r>
      <w:r w:rsidRPr="0069760F">
        <w:t>to 1.</w:t>
      </w:r>
      <w:r w:rsidR="00D065BA" w:rsidRPr="0069760F">
        <w:t>57</w:t>
      </w:r>
      <w:r w:rsidRPr="0069760F">
        <w:t>.</w:t>
      </w:r>
    </w:p>
    <w:p w14:paraId="54132C88" w14:textId="77777777" w:rsidR="00A8723F" w:rsidRDefault="00A8723F" w:rsidP="00B4696A">
      <w:pPr>
        <w:pStyle w:val="base-text-paragraphnonumbers"/>
      </w:pPr>
      <w:r w:rsidRPr="00D86646">
        <w:rPr>
          <w:rStyle w:val="BoldItalic"/>
        </w:rPr>
        <w:t>Compliance cost impact</w:t>
      </w:r>
      <w:r w:rsidRPr="00D86646">
        <w:rPr>
          <w:rStyle w:val="base-text-paragraphChar"/>
        </w:rPr>
        <w:t xml:space="preserve">: </w:t>
      </w:r>
      <w:r w:rsidRPr="00D86646">
        <w:t>The phasing</w:t>
      </w:r>
      <w:r>
        <w:t xml:space="preserve"> in of net rates of excise duty from </w:t>
      </w:r>
      <w:r w:rsidR="006E31E0">
        <w:t>1 </w:t>
      </w:r>
      <w:r>
        <w:t>July 2015 imposes transitional compliance costs for affected excise duty payers and affected fuel tax credit claimants. The removal of grant entitlements for fuel ethanol, biodiesel and renewable diesel reduces compliance costs for grant claimants.</w:t>
      </w:r>
    </w:p>
    <w:p w14:paraId="7EA03AC3" w14:textId="77777777" w:rsidR="00A8723F" w:rsidRDefault="00A8723F" w:rsidP="00A8723F">
      <w:pPr>
        <w:sectPr w:rsidR="00A8723F" w:rsidSect="000943CF">
          <w:headerReference w:type="even" r:id="rId29"/>
          <w:headerReference w:type="default" r:id="rId30"/>
          <w:footerReference w:type="even" r:id="rId31"/>
          <w:footerReference w:type="default" r:id="rId32"/>
          <w:footerReference w:type="first" r:id="rId33"/>
          <w:type w:val="oddPage"/>
          <w:pgSz w:w="11906" w:h="16838" w:code="9"/>
          <w:pgMar w:top="2466" w:right="2098" w:bottom="2466" w:left="2098" w:header="1559" w:footer="1899" w:gutter="0"/>
          <w:cols w:space="708"/>
          <w:titlePg/>
          <w:docGrid w:linePitch="360"/>
        </w:sectPr>
      </w:pPr>
    </w:p>
    <w:p w14:paraId="63FB577A" w14:textId="77777777" w:rsidR="00A8723F" w:rsidRPr="00F51A71" w:rsidRDefault="00A8723F" w:rsidP="00002EF5">
      <w:pPr>
        <w:pStyle w:val="ChapterHeading"/>
        <w:numPr>
          <w:ilvl w:val="0"/>
          <w:numId w:val="24"/>
        </w:numPr>
      </w:pPr>
      <w:r w:rsidRPr="00F51A71">
        <w:br/>
      </w:r>
      <w:bookmarkStart w:id="3" w:name="_Toc421007626"/>
      <w:r>
        <w:t>Taxation c</w:t>
      </w:r>
      <w:r w:rsidRPr="000D66B6">
        <w:t xml:space="preserve">hanges to </w:t>
      </w:r>
      <w:r>
        <w:t xml:space="preserve">fuel </w:t>
      </w:r>
      <w:r w:rsidRPr="000D66B6">
        <w:t>ethanol</w:t>
      </w:r>
      <w:r w:rsidR="00656104">
        <w:t xml:space="preserve"> and</w:t>
      </w:r>
      <w:r w:rsidRPr="000D66B6">
        <w:t xml:space="preserve"> biodiesel</w:t>
      </w:r>
      <w:bookmarkEnd w:id="3"/>
    </w:p>
    <w:p w14:paraId="3C57E146" w14:textId="77777777" w:rsidR="00A8723F" w:rsidRDefault="00A8723F" w:rsidP="00FB0ED5">
      <w:pPr>
        <w:pStyle w:val="Heading2"/>
      </w:pPr>
      <w:r>
        <w:t>Outline of chapter</w:t>
      </w:r>
    </w:p>
    <w:p w14:paraId="126A213C" w14:textId="77777777" w:rsidR="00A8723F" w:rsidRPr="00A25E28" w:rsidRDefault="00A8723F" w:rsidP="00002EF5">
      <w:pPr>
        <w:pStyle w:val="base-text-paragraph"/>
        <w:numPr>
          <w:ilvl w:val="1"/>
          <w:numId w:val="24"/>
        </w:numPr>
      </w:pPr>
      <w:r>
        <w:t xml:space="preserve">The Excise Tariff Amendment (Ethanol and </w:t>
      </w:r>
      <w:r w:rsidR="007B6B52">
        <w:t>Biodiesel</w:t>
      </w:r>
      <w:r>
        <w:t>) Bill 2015 (E</w:t>
      </w:r>
      <w:r w:rsidR="00ED106D">
        <w:t>xcise Tariff Amendment Bill</w:t>
      </w:r>
      <w:r>
        <w:t xml:space="preserve"> 2015) amends the </w:t>
      </w:r>
      <w:r w:rsidRPr="00C13A19">
        <w:rPr>
          <w:i/>
        </w:rPr>
        <w:t>Excise Tariff Act 1921</w:t>
      </w:r>
      <w:r>
        <w:t xml:space="preserve"> (ETA</w:t>
      </w:r>
      <w:r w:rsidR="006A0FDF">
        <w:t> </w:t>
      </w:r>
      <w:r>
        <w:t xml:space="preserve">1921) to </w:t>
      </w:r>
      <w:r w:rsidRPr="00A25E28">
        <w:t xml:space="preserve">reduce the rates of excise for </w:t>
      </w:r>
      <w:r>
        <w:t xml:space="preserve">domestically </w:t>
      </w:r>
      <w:r w:rsidR="00BE3574">
        <w:t xml:space="preserve">manufactured </w:t>
      </w:r>
      <w:r w:rsidRPr="00A25E28">
        <w:t xml:space="preserve">biodiesel and </w:t>
      </w:r>
      <w:r>
        <w:t xml:space="preserve">fuel </w:t>
      </w:r>
      <w:r w:rsidRPr="00A25E28">
        <w:t xml:space="preserve">ethanol to nil </w:t>
      </w:r>
      <w:r w:rsidR="00D074AB">
        <w:t xml:space="preserve">for a </w:t>
      </w:r>
      <w:r w:rsidR="00B4696A">
        <w:t>one</w:t>
      </w:r>
      <w:r w:rsidR="00700B2E">
        <w:noBreakHyphen/>
      </w:r>
      <w:r w:rsidR="00B4696A">
        <w:t>year</w:t>
      </w:r>
      <w:r w:rsidR="00D074AB">
        <w:t xml:space="preserve"> period commencing </w:t>
      </w:r>
      <w:r w:rsidRPr="00A25E28">
        <w:t xml:space="preserve">on </w:t>
      </w:r>
      <w:r w:rsidR="000A65DF" w:rsidRPr="00A25E28">
        <w:t>1</w:t>
      </w:r>
      <w:r w:rsidR="000A65DF">
        <w:t> </w:t>
      </w:r>
      <w:r w:rsidRPr="00A25E28">
        <w:t xml:space="preserve">July 2015. The excise rates for these fuels then increase each year from </w:t>
      </w:r>
      <w:r w:rsidR="000A65DF" w:rsidRPr="00A25E28">
        <w:t>1</w:t>
      </w:r>
      <w:r w:rsidR="000A65DF">
        <w:t> </w:t>
      </w:r>
      <w:r w:rsidRPr="00A25E28">
        <w:t>July 2016 until 1 July 2020 when the excise rate for:</w:t>
      </w:r>
    </w:p>
    <w:p w14:paraId="0C89B65E" w14:textId="77777777" w:rsidR="00A8723F" w:rsidRPr="00A25E28" w:rsidRDefault="00A8723F" w:rsidP="00002EF5">
      <w:pPr>
        <w:pStyle w:val="dotpoint"/>
      </w:pPr>
      <w:r>
        <w:t>fuel e</w:t>
      </w:r>
      <w:r w:rsidRPr="00A25E28">
        <w:t xml:space="preserve">thanol </w:t>
      </w:r>
      <w:r w:rsidR="000A65DF">
        <w:t>will be</w:t>
      </w:r>
      <w:r w:rsidR="000A65DF" w:rsidRPr="00A25E28">
        <w:t xml:space="preserve"> </w:t>
      </w:r>
      <w:r w:rsidRPr="00A25E28">
        <w:t xml:space="preserve">approximately 33 per cent of the excise rate </w:t>
      </w:r>
      <w:r>
        <w:t>for</w:t>
      </w:r>
      <w:r w:rsidRPr="00A25E28">
        <w:t xml:space="preserve"> petrol</w:t>
      </w:r>
      <w:r w:rsidR="00064E98">
        <w:t>;</w:t>
      </w:r>
      <w:r w:rsidR="008A767A">
        <w:t xml:space="preserve"> and</w:t>
      </w:r>
    </w:p>
    <w:p w14:paraId="1A25F723" w14:textId="77777777" w:rsidR="00A8723F" w:rsidRPr="00A25E28" w:rsidRDefault="00A8723F" w:rsidP="00002EF5">
      <w:pPr>
        <w:pStyle w:val="dotpoint"/>
      </w:pPr>
      <w:r w:rsidRPr="00A25E28">
        <w:t xml:space="preserve">biodiesel </w:t>
      </w:r>
      <w:r w:rsidR="000A65DF">
        <w:t>will be</w:t>
      </w:r>
      <w:r w:rsidR="000A65DF" w:rsidRPr="00A25E28">
        <w:t xml:space="preserve"> </w:t>
      </w:r>
      <w:r w:rsidRPr="00A25E28">
        <w:t xml:space="preserve">equivalent to 50 per cent of the excise rate </w:t>
      </w:r>
      <w:r>
        <w:t>for</w:t>
      </w:r>
      <w:r w:rsidRPr="00A25E28">
        <w:t xml:space="preserve"> diesel</w:t>
      </w:r>
      <w:r w:rsidR="008A767A">
        <w:t>.</w:t>
      </w:r>
    </w:p>
    <w:p w14:paraId="3D86BC07" w14:textId="77777777" w:rsidR="00D51432" w:rsidRDefault="00D51432" w:rsidP="00D51432">
      <w:pPr>
        <w:pStyle w:val="base-text-paragraph"/>
        <w:numPr>
          <w:ilvl w:val="1"/>
          <w:numId w:val="24"/>
        </w:numPr>
      </w:pPr>
      <w:r>
        <w:t xml:space="preserve">The Energy Grants </w:t>
      </w:r>
      <w:r w:rsidR="004A7A67">
        <w:t xml:space="preserve">and </w:t>
      </w:r>
      <w:r w:rsidR="00672F32">
        <w:t>O</w:t>
      </w:r>
      <w:r w:rsidR="004A7A67">
        <w:t xml:space="preserve">ther Legislation </w:t>
      </w:r>
      <w:r>
        <w:t xml:space="preserve">Amendment (Ethanol and </w:t>
      </w:r>
      <w:r w:rsidR="007B6B52">
        <w:t>Biodiesel</w:t>
      </w:r>
      <w:r>
        <w:t>) Bill 2015 (</w:t>
      </w:r>
      <w:r w:rsidR="00ED106D">
        <w:rPr>
          <w:lang w:val="en-US" w:eastAsia="en-US"/>
        </w:rPr>
        <w:t>Energy Grants Amendment Bill 2015</w:t>
      </w:r>
      <w:r>
        <w:t xml:space="preserve">) </w:t>
      </w:r>
      <w:r w:rsidR="001260A3">
        <w:t>repeals</w:t>
      </w:r>
      <w:r>
        <w:t xml:space="preserve"> the </w:t>
      </w:r>
      <w:r w:rsidRPr="00D51432">
        <w:rPr>
          <w:i/>
        </w:rPr>
        <w:t>Energy Grants (Cleaner Fuels) Scheme Act 2004</w:t>
      </w:r>
      <w:r>
        <w:t xml:space="preserve"> </w:t>
      </w:r>
      <w:r w:rsidR="00FC570B">
        <w:t xml:space="preserve">(EGCFS 2004) </w:t>
      </w:r>
      <w:r>
        <w:t>to remove grants for renewable diesel and biodiesel from 1 July 2015.</w:t>
      </w:r>
    </w:p>
    <w:p w14:paraId="74E828DD" w14:textId="77777777" w:rsidR="00A8723F" w:rsidRDefault="00A8723F" w:rsidP="00FB0ED5">
      <w:pPr>
        <w:pStyle w:val="Heading2"/>
      </w:pPr>
      <w:r>
        <w:t>Context of amendments</w:t>
      </w:r>
    </w:p>
    <w:p w14:paraId="09749BB4" w14:textId="77777777" w:rsidR="00A8723F" w:rsidRDefault="00A8723F" w:rsidP="00002EF5">
      <w:pPr>
        <w:pStyle w:val="base-text-paragraph"/>
        <w:numPr>
          <w:ilvl w:val="1"/>
          <w:numId w:val="24"/>
        </w:numPr>
      </w:pPr>
      <w:r>
        <w:t>Excise duty is levied on fuel ethanol</w:t>
      </w:r>
      <w:r w:rsidR="000115A8">
        <w:t xml:space="preserve"> and</w:t>
      </w:r>
      <w:r>
        <w:t xml:space="preserve"> biodiesel at the rates set out in the ETA 1921. R</w:t>
      </w:r>
      <w:r w:rsidRPr="00C240CD">
        <w:t>eferences in th</w:t>
      </w:r>
      <w:r w:rsidR="00DF14D9">
        <w:t xml:space="preserve">is </w:t>
      </w:r>
      <w:r w:rsidR="008B6C9F">
        <w:t>c</w:t>
      </w:r>
      <w:r w:rsidR="00DF14D9">
        <w:t xml:space="preserve">hapter </w:t>
      </w:r>
      <w:r w:rsidRPr="00C240CD">
        <w:t xml:space="preserve">to </w:t>
      </w:r>
      <w:r>
        <w:t xml:space="preserve">fuel </w:t>
      </w:r>
      <w:r w:rsidRPr="00C240CD">
        <w:t>ethanol are to denatured ethanol for use i</w:t>
      </w:r>
      <w:r>
        <w:t>n an internal combustion engine</w:t>
      </w:r>
      <w:r w:rsidRPr="00C240CD">
        <w:t xml:space="preserve">. </w:t>
      </w:r>
      <w:r>
        <w:t>References to biofuels are to fuel ethanol</w:t>
      </w:r>
      <w:r w:rsidR="000115A8">
        <w:t xml:space="preserve"> and</w:t>
      </w:r>
      <w:r>
        <w:t xml:space="preserve"> biodiesel. </w:t>
      </w:r>
      <w:r w:rsidRPr="00C240CD">
        <w:t>Currently</w:t>
      </w:r>
      <w:r w:rsidR="008B6C9F">
        <w:t>,</w:t>
      </w:r>
      <w:r w:rsidRPr="00C240CD">
        <w:t xml:space="preserve"> the rate of excise for these </w:t>
      </w:r>
      <w:r>
        <w:t>bio</w:t>
      </w:r>
      <w:r w:rsidRPr="00C240CD">
        <w:t>fuels is the same as the rate of excise</w:t>
      </w:r>
      <w:r>
        <w:t xml:space="preserve"> for petrol and diesel.</w:t>
      </w:r>
    </w:p>
    <w:p w14:paraId="5985EDC7" w14:textId="77777777" w:rsidR="00A8723F" w:rsidRDefault="00A8723F" w:rsidP="00964C1E">
      <w:pPr>
        <w:pStyle w:val="base-text-paragraph"/>
        <w:numPr>
          <w:ilvl w:val="1"/>
          <w:numId w:val="24"/>
        </w:numPr>
      </w:pPr>
      <w:r>
        <w:t>Grants are available for entities that manufacture fuel ethanol, biodiesel and renewable diesel</w:t>
      </w:r>
      <w:r w:rsidR="00054D24">
        <w:t xml:space="preserve"> in Australia</w:t>
      </w:r>
      <w:r>
        <w:t xml:space="preserve">. Grants are also available for entities that import biodiesel and renewable diesel. The rate of the grant for biodiesel and renewable diesel is equal to the rate of duty for diesel. The grants scheme for biodiesel and renewable diesel is established under the </w:t>
      </w:r>
      <w:r w:rsidR="00FC570B" w:rsidRPr="00C702FE">
        <w:t>EGCFS 2004</w:t>
      </w:r>
      <w:r w:rsidR="00EB3516">
        <w:t>, while</w:t>
      </w:r>
      <w:r>
        <w:t xml:space="preserve"> the grant for fuel ethanol </w:t>
      </w:r>
      <w:r w:rsidR="008A767A">
        <w:t>is</w:t>
      </w:r>
      <w:r>
        <w:t xml:space="preserve"> determined contractually by the </w:t>
      </w:r>
      <w:r w:rsidR="00B4696A">
        <w:t xml:space="preserve">Australian </w:t>
      </w:r>
      <w:r>
        <w:t>Government.</w:t>
      </w:r>
    </w:p>
    <w:p w14:paraId="01FFDDA3" w14:textId="77777777" w:rsidR="00A8723F" w:rsidRDefault="00A8723F" w:rsidP="00002EF5">
      <w:pPr>
        <w:pStyle w:val="base-text-paragraph"/>
        <w:numPr>
          <w:ilvl w:val="1"/>
          <w:numId w:val="24"/>
        </w:numPr>
      </w:pPr>
      <w:r>
        <w:t>The measure</w:t>
      </w:r>
      <w:r w:rsidR="008F4D57">
        <w:t>s</w:t>
      </w:r>
      <w:r>
        <w:t xml:space="preserve"> result in significant Budget</w:t>
      </w:r>
      <w:r w:rsidR="00375217">
        <w:t xml:space="preserve"> savings</w:t>
      </w:r>
      <w:r>
        <w:t>.</w:t>
      </w:r>
    </w:p>
    <w:p w14:paraId="4FE670BC" w14:textId="77777777" w:rsidR="00A8723F" w:rsidRDefault="00A8723F" w:rsidP="00A8723F">
      <w:pPr>
        <w:pStyle w:val="Heading2"/>
      </w:pPr>
      <w:r>
        <w:t>Summary of new law</w:t>
      </w:r>
    </w:p>
    <w:p w14:paraId="567FB0D1" w14:textId="77777777" w:rsidR="00A8723F" w:rsidRDefault="00A8723F" w:rsidP="00754ED1">
      <w:pPr>
        <w:pStyle w:val="base-text-paragraph"/>
        <w:numPr>
          <w:ilvl w:val="1"/>
          <w:numId w:val="24"/>
        </w:numPr>
      </w:pPr>
      <w:r>
        <w:t xml:space="preserve">The amendments reduce the rates of excise </w:t>
      </w:r>
      <w:r w:rsidR="00BB50A5">
        <w:t xml:space="preserve">duty </w:t>
      </w:r>
      <w:r>
        <w:t xml:space="preserve">for domestically </w:t>
      </w:r>
      <w:r w:rsidR="001A0592">
        <w:t xml:space="preserve">manufactured </w:t>
      </w:r>
      <w:r>
        <w:t>fuel ethanol</w:t>
      </w:r>
      <w:r w:rsidR="0024385D">
        <w:t xml:space="preserve"> and</w:t>
      </w:r>
      <w:r>
        <w:t xml:space="preserve"> biodiesel to nil for </w:t>
      </w:r>
      <w:r w:rsidR="00B4696A">
        <w:t>one</w:t>
      </w:r>
      <w:r w:rsidR="00700B2E">
        <w:noBreakHyphen/>
      </w:r>
      <w:r w:rsidR="00B4696A">
        <w:t>year</w:t>
      </w:r>
      <w:r>
        <w:t xml:space="preserve"> </w:t>
      </w:r>
      <w:r w:rsidR="005137A1">
        <w:t>from</w:t>
      </w:r>
      <w:r>
        <w:t xml:space="preserve"> </w:t>
      </w:r>
      <w:r w:rsidR="00EB3516">
        <w:t>1 July </w:t>
      </w:r>
      <w:r>
        <w:t xml:space="preserve">2015. </w:t>
      </w:r>
    </w:p>
    <w:p w14:paraId="7BAF2E92" w14:textId="77777777" w:rsidR="00BB50A5" w:rsidRDefault="00A8723F" w:rsidP="00A8723F">
      <w:pPr>
        <w:pStyle w:val="base-text-paragraph"/>
        <w:numPr>
          <w:ilvl w:val="1"/>
          <w:numId w:val="24"/>
        </w:numPr>
      </w:pPr>
      <w:r>
        <w:t>The rate</w:t>
      </w:r>
      <w:r w:rsidR="00BE3574">
        <w:t>s</w:t>
      </w:r>
      <w:r>
        <w:t xml:space="preserve"> of excise </w:t>
      </w:r>
      <w:r w:rsidR="0001749A">
        <w:t xml:space="preserve">duty </w:t>
      </w:r>
      <w:r>
        <w:t xml:space="preserve">for </w:t>
      </w:r>
      <w:r w:rsidR="001A0592">
        <w:t xml:space="preserve">domestically manufactured </w:t>
      </w:r>
      <w:r w:rsidR="008E233F">
        <w:t xml:space="preserve">fuel ethanol and </w:t>
      </w:r>
      <w:r w:rsidR="006F4939">
        <w:t>biodiesel then increase on 1 </w:t>
      </w:r>
      <w:r>
        <w:t xml:space="preserve">July of each </w:t>
      </w:r>
      <w:r w:rsidR="00630709">
        <w:t xml:space="preserve">subsequent </w:t>
      </w:r>
      <w:r>
        <w:t xml:space="preserve">year until </w:t>
      </w:r>
      <w:r w:rsidR="00630709">
        <w:t xml:space="preserve">the final rates are </w:t>
      </w:r>
      <w:r>
        <w:t>reach</w:t>
      </w:r>
      <w:r w:rsidR="00630709">
        <w:t>ed</w:t>
      </w:r>
      <w:r>
        <w:t xml:space="preserve"> on 1 </w:t>
      </w:r>
      <w:r w:rsidR="003714E8">
        <w:t>July </w:t>
      </w:r>
      <w:r>
        <w:t xml:space="preserve">2020. The final rate of excise </w:t>
      </w:r>
      <w:r w:rsidR="0001749A">
        <w:t xml:space="preserve">duty </w:t>
      </w:r>
      <w:r w:rsidRPr="00D1729A">
        <w:t xml:space="preserve">for </w:t>
      </w:r>
      <w:r w:rsidR="001A0592">
        <w:t xml:space="preserve">domestically manufactured </w:t>
      </w:r>
      <w:r w:rsidRPr="00D1729A">
        <w:t>biodiesel</w:t>
      </w:r>
      <w:r>
        <w:t xml:space="preserve"> is set so that it </w:t>
      </w:r>
      <w:r w:rsidR="00630709">
        <w:t>will be</w:t>
      </w:r>
      <w:r w:rsidR="00630709" w:rsidRPr="00C240CD">
        <w:t xml:space="preserve"> </w:t>
      </w:r>
      <w:r w:rsidR="006F4939">
        <w:t>50 per </w:t>
      </w:r>
      <w:r w:rsidRPr="00C240CD">
        <w:t xml:space="preserve">cent of the </w:t>
      </w:r>
      <w:r w:rsidR="0001749A">
        <w:t xml:space="preserve">excise duty </w:t>
      </w:r>
      <w:r w:rsidRPr="00C240CD">
        <w:t>rate for diesel</w:t>
      </w:r>
      <w:r>
        <w:t xml:space="preserve">. The final </w:t>
      </w:r>
      <w:r w:rsidR="0001749A">
        <w:t xml:space="preserve">excise duty </w:t>
      </w:r>
      <w:r>
        <w:t xml:space="preserve">rate for </w:t>
      </w:r>
      <w:r w:rsidR="001A0592">
        <w:t xml:space="preserve">domestically manufactured </w:t>
      </w:r>
      <w:r w:rsidR="001260A3">
        <w:t xml:space="preserve">fuel </w:t>
      </w:r>
      <w:r>
        <w:t xml:space="preserve">ethanol is set so that it </w:t>
      </w:r>
      <w:r w:rsidR="00630709">
        <w:t xml:space="preserve">will be </w:t>
      </w:r>
      <w:r w:rsidRPr="00C240CD">
        <w:t>approximately 33</w:t>
      </w:r>
      <w:r w:rsidR="006F4939">
        <w:t> </w:t>
      </w:r>
      <w:r w:rsidRPr="00C240CD">
        <w:t>per</w:t>
      </w:r>
      <w:r w:rsidR="006F4939">
        <w:t> </w:t>
      </w:r>
      <w:r w:rsidRPr="00C240CD">
        <w:t xml:space="preserve">cent of the </w:t>
      </w:r>
      <w:r w:rsidR="0001749A">
        <w:t xml:space="preserve">excise duty </w:t>
      </w:r>
      <w:r>
        <w:t>r</w:t>
      </w:r>
      <w:r w:rsidRPr="00C240CD">
        <w:t>ate for petrol. No changes are</w:t>
      </w:r>
      <w:r>
        <w:t xml:space="preserve"> made to the rates of excise</w:t>
      </w:r>
      <w:r w:rsidR="006F4939">
        <w:t>—</w:t>
      </w:r>
      <w:r>
        <w:t>equivalent customs duty for fuel ethanol</w:t>
      </w:r>
      <w:r w:rsidR="0024385D">
        <w:t xml:space="preserve"> and</w:t>
      </w:r>
      <w:r>
        <w:t xml:space="preserve"> biodiesel.</w:t>
      </w:r>
      <w:r w:rsidR="00754ED1" w:rsidRPr="00754ED1">
        <w:t xml:space="preserve"> </w:t>
      </w:r>
    </w:p>
    <w:p w14:paraId="0A9A7F6B" w14:textId="77777777" w:rsidR="0001749A" w:rsidRDefault="00754ED1" w:rsidP="00A8723F">
      <w:pPr>
        <w:pStyle w:val="base-text-paragraph"/>
        <w:numPr>
          <w:ilvl w:val="1"/>
          <w:numId w:val="24"/>
        </w:numPr>
      </w:pPr>
      <w:r w:rsidRPr="00BB50A5">
        <w:t>The amendments also remove grants for biodie</w:t>
      </w:r>
      <w:r w:rsidR="006F4939">
        <w:t>sel and renewable diesel from 1 July </w:t>
      </w:r>
      <w:r w:rsidRPr="00BB50A5">
        <w:t xml:space="preserve">2015. </w:t>
      </w:r>
    </w:p>
    <w:p w14:paraId="6416E065" w14:textId="77777777" w:rsidR="00A8723F" w:rsidRPr="0001749A" w:rsidRDefault="00A8723F" w:rsidP="0001749A">
      <w:pPr>
        <w:pStyle w:val="Heading2"/>
      </w:pPr>
      <w:r w:rsidRPr="0001749A">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81"/>
      </w:tblGrid>
      <w:tr w:rsidR="00A8723F" w:rsidRPr="004666B8" w14:paraId="19A4832E" w14:textId="77777777" w:rsidTr="000943CF">
        <w:trPr>
          <w:tblHeader/>
        </w:trPr>
        <w:tc>
          <w:tcPr>
            <w:tcW w:w="3275" w:type="dxa"/>
          </w:tcPr>
          <w:p w14:paraId="5CAB6931" w14:textId="77777777" w:rsidR="00A8723F" w:rsidRPr="004666B8" w:rsidRDefault="00A8723F" w:rsidP="000943CF">
            <w:pPr>
              <w:pStyle w:val="tableheaderwithintable"/>
              <w:rPr>
                <w:lang w:val="en-US" w:eastAsia="en-US"/>
              </w:rPr>
            </w:pPr>
            <w:r w:rsidRPr="004666B8">
              <w:rPr>
                <w:lang w:val="en-US" w:eastAsia="en-US"/>
              </w:rPr>
              <w:t>New law</w:t>
            </w:r>
          </w:p>
        </w:tc>
        <w:tc>
          <w:tcPr>
            <w:tcW w:w="3281" w:type="dxa"/>
          </w:tcPr>
          <w:p w14:paraId="36EF6939" w14:textId="77777777" w:rsidR="00A8723F" w:rsidRPr="004666B8" w:rsidRDefault="00A8723F" w:rsidP="000943CF">
            <w:pPr>
              <w:pStyle w:val="tableheaderwithintable"/>
              <w:rPr>
                <w:lang w:val="en-US" w:eastAsia="en-US"/>
              </w:rPr>
            </w:pPr>
            <w:r w:rsidRPr="004666B8">
              <w:rPr>
                <w:lang w:val="en-US" w:eastAsia="en-US"/>
              </w:rPr>
              <w:t>Current law</w:t>
            </w:r>
          </w:p>
        </w:tc>
      </w:tr>
      <w:tr w:rsidR="00A8723F" w:rsidRPr="004666B8" w14:paraId="2FA3BF17" w14:textId="77777777" w:rsidTr="000943CF">
        <w:tc>
          <w:tcPr>
            <w:tcW w:w="6556" w:type="dxa"/>
            <w:gridSpan w:val="2"/>
          </w:tcPr>
          <w:p w14:paraId="57493C86" w14:textId="77777777" w:rsidR="00A8723F" w:rsidRPr="00DA4EFD" w:rsidRDefault="00A8723F" w:rsidP="00DA4EFD">
            <w:pPr>
              <w:pStyle w:val="tableheaderwithintable"/>
              <w:rPr>
                <w:lang w:val="en-US" w:eastAsia="en-US"/>
              </w:rPr>
            </w:pPr>
            <w:r>
              <w:rPr>
                <w:lang w:val="en-US" w:eastAsia="en-US"/>
              </w:rPr>
              <w:t xml:space="preserve">Changes to excise duty </w:t>
            </w:r>
            <w:r w:rsidR="00F253B7">
              <w:rPr>
                <w:lang w:val="en-US" w:eastAsia="en-US"/>
              </w:rPr>
              <w:t xml:space="preserve">rate </w:t>
            </w:r>
            <w:r>
              <w:rPr>
                <w:lang w:val="en-US" w:eastAsia="en-US"/>
              </w:rPr>
              <w:t xml:space="preserve">for </w:t>
            </w:r>
            <w:r w:rsidR="001A0592">
              <w:rPr>
                <w:lang w:val="en-US" w:eastAsia="en-US"/>
              </w:rPr>
              <w:t xml:space="preserve">domestically manufactured </w:t>
            </w:r>
            <w:r>
              <w:rPr>
                <w:lang w:val="en-US" w:eastAsia="en-US"/>
              </w:rPr>
              <w:t>fuel ethanol</w:t>
            </w:r>
          </w:p>
        </w:tc>
      </w:tr>
      <w:tr w:rsidR="00A8723F" w:rsidRPr="004666B8" w14:paraId="395F54CE" w14:textId="77777777" w:rsidTr="000943CF">
        <w:tc>
          <w:tcPr>
            <w:tcW w:w="3275" w:type="dxa"/>
          </w:tcPr>
          <w:p w14:paraId="37E6AA1A" w14:textId="77777777" w:rsidR="00A8723F" w:rsidRDefault="00A8723F" w:rsidP="00002EF5">
            <w:pPr>
              <w:pStyle w:val="tabletext"/>
              <w:rPr>
                <w:lang w:val="en-US" w:eastAsia="en-US"/>
              </w:rPr>
            </w:pPr>
            <w:r>
              <w:rPr>
                <w:lang w:val="en-US" w:eastAsia="en-US"/>
              </w:rPr>
              <w:t xml:space="preserve">The rate of excise </w:t>
            </w:r>
            <w:r w:rsidR="00BE3574">
              <w:rPr>
                <w:lang w:val="en-US" w:eastAsia="en-US"/>
              </w:rPr>
              <w:t xml:space="preserve">duty </w:t>
            </w:r>
            <w:r>
              <w:rPr>
                <w:lang w:val="en-US" w:eastAsia="en-US"/>
              </w:rPr>
              <w:t xml:space="preserve">for </w:t>
            </w:r>
            <w:r w:rsidR="00D32666">
              <w:rPr>
                <w:lang w:val="en-US" w:eastAsia="en-US"/>
              </w:rPr>
              <w:t xml:space="preserve">domestically </w:t>
            </w:r>
            <w:r w:rsidR="001A0592">
              <w:rPr>
                <w:lang w:val="en-US" w:eastAsia="en-US"/>
              </w:rPr>
              <w:t xml:space="preserve">manufactured </w:t>
            </w:r>
            <w:r>
              <w:rPr>
                <w:lang w:val="en-US" w:eastAsia="en-US"/>
              </w:rPr>
              <w:t>fuel ethanol is reduced to zero on 1</w:t>
            </w:r>
            <w:r w:rsidR="00EB3516">
              <w:rPr>
                <w:lang w:val="en-US" w:eastAsia="en-US"/>
              </w:rPr>
              <w:t> July </w:t>
            </w:r>
            <w:r>
              <w:rPr>
                <w:lang w:val="en-US" w:eastAsia="en-US"/>
              </w:rPr>
              <w:t>2015.</w:t>
            </w:r>
          </w:p>
          <w:p w14:paraId="27186BA2" w14:textId="77777777" w:rsidR="00E3624D" w:rsidRDefault="00A8723F" w:rsidP="00002EF5">
            <w:pPr>
              <w:pStyle w:val="tabletext"/>
              <w:rPr>
                <w:lang w:val="en-US" w:eastAsia="en-US"/>
              </w:rPr>
            </w:pPr>
            <w:r>
              <w:rPr>
                <w:lang w:val="en-US" w:eastAsia="en-US"/>
              </w:rPr>
              <w:t xml:space="preserve">The excise rate is then set </w:t>
            </w:r>
            <w:r w:rsidR="00630709">
              <w:rPr>
                <w:lang w:val="en-US" w:eastAsia="en-US"/>
              </w:rPr>
              <w:t>for later financial</w:t>
            </w:r>
            <w:r>
              <w:rPr>
                <w:lang w:val="en-US" w:eastAsia="en-US"/>
              </w:rPr>
              <w:t xml:space="preserve"> years as a percentage of the excise rate for petrol</w:t>
            </w:r>
            <w:r w:rsidR="00E3624D">
              <w:rPr>
                <w:lang w:val="en-US" w:eastAsia="en-US"/>
              </w:rPr>
              <w:t>, as follows:</w:t>
            </w:r>
          </w:p>
          <w:p w14:paraId="6EE5E490" w14:textId="77777777" w:rsidR="00E3624D" w:rsidRDefault="00A8723F" w:rsidP="00E3624D">
            <w:pPr>
              <w:pStyle w:val="tabledotpoint"/>
              <w:rPr>
                <w:lang w:val="en-US" w:eastAsia="en-US"/>
              </w:rPr>
            </w:pPr>
            <w:r>
              <w:rPr>
                <w:lang w:val="en-US" w:eastAsia="en-US"/>
              </w:rPr>
              <w:t xml:space="preserve">6.554% </w:t>
            </w:r>
            <w:r w:rsidR="00630709">
              <w:rPr>
                <w:lang w:val="en-US" w:eastAsia="en-US"/>
              </w:rPr>
              <w:t xml:space="preserve">for </w:t>
            </w:r>
            <w:r w:rsidR="00E3624D">
              <w:rPr>
                <w:lang w:val="en-US" w:eastAsia="en-US"/>
              </w:rPr>
              <w:t>the financial year starting on 1</w:t>
            </w:r>
            <w:r w:rsidR="00CA5987">
              <w:rPr>
                <w:lang w:val="en-US" w:eastAsia="en-US"/>
              </w:rPr>
              <w:t> July </w:t>
            </w:r>
            <w:r>
              <w:rPr>
                <w:lang w:val="en-US" w:eastAsia="en-US"/>
              </w:rPr>
              <w:t>2016</w:t>
            </w:r>
            <w:r w:rsidR="00E3624D">
              <w:rPr>
                <w:lang w:val="en-US" w:eastAsia="en-US"/>
              </w:rPr>
              <w:t>;</w:t>
            </w:r>
          </w:p>
          <w:p w14:paraId="047E69CB" w14:textId="77777777" w:rsidR="00E3624D" w:rsidRDefault="00A8723F" w:rsidP="00E3624D">
            <w:pPr>
              <w:pStyle w:val="tabledotpoint"/>
              <w:rPr>
                <w:lang w:val="en-US" w:eastAsia="en-US"/>
              </w:rPr>
            </w:pPr>
            <w:r>
              <w:rPr>
                <w:lang w:val="en-US" w:eastAsia="en-US"/>
              </w:rPr>
              <w:t xml:space="preserve">13.108% </w:t>
            </w:r>
            <w:r w:rsidR="00E3624D">
              <w:rPr>
                <w:lang w:val="en-US" w:eastAsia="en-US"/>
              </w:rPr>
              <w:t>for the financial year starting on</w:t>
            </w:r>
            <w:r>
              <w:rPr>
                <w:lang w:val="en-US" w:eastAsia="en-US"/>
              </w:rPr>
              <w:t xml:space="preserve"> </w:t>
            </w:r>
            <w:r w:rsidR="00CA5987">
              <w:rPr>
                <w:lang w:val="en-US" w:eastAsia="en-US"/>
              </w:rPr>
              <w:t>1 July </w:t>
            </w:r>
            <w:r>
              <w:rPr>
                <w:lang w:val="en-US" w:eastAsia="en-US"/>
              </w:rPr>
              <w:t>2017</w:t>
            </w:r>
            <w:r w:rsidR="00E3624D">
              <w:rPr>
                <w:lang w:val="en-US" w:eastAsia="en-US"/>
              </w:rPr>
              <w:t>;</w:t>
            </w:r>
          </w:p>
          <w:p w14:paraId="00AD3F6E" w14:textId="77777777" w:rsidR="00E3624D" w:rsidRDefault="00A8723F" w:rsidP="00E3624D">
            <w:pPr>
              <w:pStyle w:val="tabledotpoint"/>
              <w:rPr>
                <w:lang w:val="en-US" w:eastAsia="en-US"/>
              </w:rPr>
            </w:pPr>
            <w:r>
              <w:rPr>
                <w:lang w:val="en-US" w:eastAsia="en-US"/>
              </w:rPr>
              <w:t xml:space="preserve">19.662% </w:t>
            </w:r>
            <w:r w:rsidR="00E3624D">
              <w:rPr>
                <w:lang w:val="en-US" w:eastAsia="en-US"/>
              </w:rPr>
              <w:t>for the financial year starting on</w:t>
            </w:r>
            <w:r w:rsidR="00CA5987">
              <w:rPr>
                <w:lang w:val="en-US" w:eastAsia="en-US"/>
              </w:rPr>
              <w:t xml:space="preserve"> 1 July </w:t>
            </w:r>
            <w:r>
              <w:rPr>
                <w:lang w:val="en-US" w:eastAsia="en-US"/>
              </w:rPr>
              <w:t>2018</w:t>
            </w:r>
            <w:r w:rsidR="00E3624D">
              <w:rPr>
                <w:lang w:val="en-US" w:eastAsia="en-US"/>
              </w:rPr>
              <w:t>;</w:t>
            </w:r>
          </w:p>
          <w:p w14:paraId="116718A9" w14:textId="77777777" w:rsidR="00E3624D" w:rsidRDefault="00A8723F" w:rsidP="00E3624D">
            <w:pPr>
              <w:pStyle w:val="tabledotpoint"/>
              <w:rPr>
                <w:lang w:val="en-US" w:eastAsia="en-US"/>
              </w:rPr>
            </w:pPr>
            <w:r>
              <w:rPr>
                <w:lang w:val="en-US" w:eastAsia="en-US"/>
              </w:rPr>
              <w:t xml:space="preserve">26.216% </w:t>
            </w:r>
            <w:r w:rsidR="00E3624D">
              <w:rPr>
                <w:lang w:val="en-US" w:eastAsia="en-US"/>
              </w:rPr>
              <w:t>for the financial year starting on</w:t>
            </w:r>
            <w:r w:rsidR="00CA5987">
              <w:rPr>
                <w:lang w:val="en-US" w:eastAsia="en-US"/>
              </w:rPr>
              <w:t xml:space="preserve"> 1 July </w:t>
            </w:r>
            <w:r>
              <w:rPr>
                <w:lang w:val="en-US" w:eastAsia="en-US"/>
              </w:rPr>
              <w:t>2019</w:t>
            </w:r>
            <w:r w:rsidR="00E3624D">
              <w:rPr>
                <w:lang w:val="en-US" w:eastAsia="en-US"/>
              </w:rPr>
              <w:t>;</w:t>
            </w:r>
            <w:r>
              <w:rPr>
                <w:lang w:val="en-US" w:eastAsia="en-US"/>
              </w:rPr>
              <w:t xml:space="preserve"> and</w:t>
            </w:r>
          </w:p>
          <w:p w14:paraId="3B29B9A1" w14:textId="77777777" w:rsidR="00A8723F" w:rsidRPr="004666B8" w:rsidRDefault="00A8723F" w:rsidP="00B13C4E">
            <w:pPr>
              <w:pStyle w:val="tabledotpoint"/>
              <w:rPr>
                <w:lang w:val="en-US" w:eastAsia="en-US"/>
              </w:rPr>
            </w:pPr>
            <w:r>
              <w:rPr>
                <w:lang w:val="en-US" w:eastAsia="en-US"/>
              </w:rPr>
              <w:t xml:space="preserve">32.77% </w:t>
            </w:r>
            <w:r w:rsidR="00E3624D">
              <w:rPr>
                <w:lang w:val="en-US" w:eastAsia="en-US"/>
              </w:rPr>
              <w:t>for the financial year starting on</w:t>
            </w:r>
            <w:r w:rsidR="00CA5987">
              <w:rPr>
                <w:lang w:val="en-US" w:eastAsia="en-US"/>
              </w:rPr>
              <w:t xml:space="preserve"> 1 July </w:t>
            </w:r>
            <w:r>
              <w:rPr>
                <w:lang w:val="en-US" w:eastAsia="en-US"/>
              </w:rPr>
              <w:t>2020</w:t>
            </w:r>
            <w:r w:rsidR="00E3624D">
              <w:rPr>
                <w:lang w:val="en-US" w:eastAsia="en-US"/>
              </w:rPr>
              <w:t xml:space="preserve"> </w:t>
            </w:r>
            <w:r w:rsidR="00630709">
              <w:rPr>
                <w:lang w:val="en-US" w:eastAsia="en-US"/>
              </w:rPr>
              <w:t xml:space="preserve">and </w:t>
            </w:r>
            <w:r w:rsidR="00E3624D">
              <w:rPr>
                <w:lang w:val="en-US" w:eastAsia="en-US"/>
              </w:rPr>
              <w:t xml:space="preserve">later </w:t>
            </w:r>
            <w:r w:rsidR="00630709">
              <w:rPr>
                <w:lang w:val="en-US" w:eastAsia="en-US"/>
              </w:rPr>
              <w:t>financial years</w:t>
            </w:r>
            <w:r>
              <w:rPr>
                <w:lang w:val="en-US" w:eastAsia="en-US"/>
              </w:rPr>
              <w:t>.</w:t>
            </w:r>
          </w:p>
        </w:tc>
        <w:tc>
          <w:tcPr>
            <w:tcW w:w="3281" w:type="dxa"/>
          </w:tcPr>
          <w:p w14:paraId="4AC3173D" w14:textId="77777777" w:rsidR="00A8723F" w:rsidRPr="004666B8" w:rsidRDefault="00A8723F" w:rsidP="00002EF5">
            <w:pPr>
              <w:pStyle w:val="tabletext"/>
              <w:rPr>
                <w:lang w:val="en-US" w:eastAsia="en-US"/>
              </w:rPr>
            </w:pPr>
            <w:r>
              <w:rPr>
                <w:lang w:val="en-US" w:eastAsia="en-US"/>
              </w:rPr>
              <w:t xml:space="preserve">The rate of excise </w:t>
            </w:r>
            <w:r w:rsidR="00BE3574">
              <w:rPr>
                <w:lang w:val="en-US" w:eastAsia="en-US"/>
              </w:rPr>
              <w:t xml:space="preserve">duty </w:t>
            </w:r>
            <w:r>
              <w:rPr>
                <w:lang w:val="en-US" w:eastAsia="en-US"/>
              </w:rPr>
              <w:t xml:space="preserve">for </w:t>
            </w:r>
            <w:r w:rsidR="00BE3574">
              <w:rPr>
                <w:lang w:val="en-US" w:eastAsia="en-US"/>
              </w:rPr>
              <w:t xml:space="preserve">domestically manufactured </w:t>
            </w:r>
            <w:r>
              <w:rPr>
                <w:lang w:val="en-US" w:eastAsia="en-US"/>
              </w:rPr>
              <w:t>fuel ethanol is the same as the excise rate for petrol.</w:t>
            </w:r>
          </w:p>
        </w:tc>
      </w:tr>
      <w:tr w:rsidR="00B13C4E" w:rsidRPr="004666B8" w14:paraId="0DFF4400" w14:textId="77777777" w:rsidTr="00C702FE">
        <w:tc>
          <w:tcPr>
            <w:tcW w:w="6556" w:type="dxa"/>
            <w:gridSpan w:val="2"/>
          </w:tcPr>
          <w:p w14:paraId="19452DEB" w14:textId="77777777" w:rsidR="00B13C4E" w:rsidRPr="00B13C4E" w:rsidRDefault="00B13C4E" w:rsidP="00DA4EFD">
            <w:pPr>
              <w:pStyle w:val="tableheaderwithintable"/>
              <w:rPr>
                <w:b w:val="0"/>
                <w:lang w:val="en-US" w:eastAsia="en-US"/>
              </w:rPr>
            </w:pPr>
            <w:r w:rsidRPr="00B13C4E">
              <w:rPr>
                <w:lang w:val="en-US" w:eastAsia="en-US"/>
              </w:rPr>
              <w:t xml:space="preserve">Changes to excise duty </w:t>
            </w:r>
            <w:r w:rsidR="00F253B7">
              <w:rPr>
                <w:lang w:val="en-US" w:eastAsia="en-US"/>
              </w:rPr>
              <w:t xml:space="preserve">rate </w:t>
            </w:r>
            <w:r w:rsidRPr="00B13C4E">
              <w:rPr>
                <w:lang w:val="en-US" w:eastAsia="en-US"/>
              </w:rPr>
              <w:t>for</w:t>
            </w:r>
            <w:r w:rsidR="006532CC">
              <w:rPr>
                <w:lang w:val="en-US" w:eastAsia="en-US"/>
              </w:rPr>
              <w:t xml:space="preserve"> domestically manufactured</w:t>
            </w:r>
            <w:r w:rsidRPr="00B13C4E">
              <w:rPr>
                <w:lang w:val="en-US" w:eastAsia="en-US"/>
              </w:rPr>
              <w:t xml:space="preserve"> biodiesel</w:t>
            </w:r>
          </w:p>
        </w:tc>
      </w:tr>
      <w:tr w:rsidR="00A8723F" w:rsidRPr="004666B8" w14:paraId="734709B9" w14:textId="77777777" w:rsidTr="000943CF">
        <w:tc>
          <w:tcPr>
            <w:tcW w:w="3275" w:type="dxa"/>
          </w:tcPr>
          <w:p w14:paraId="14E06D40" w14:textId="77777777" w:rsidR="00A8723F" w:rsidRDefault="00A8723F" w:rsidP="0033283D">
            <w:pPr>
              <w:pStyle w:val="tabletext"/>
              <w:keepNext/>
              <w:keepLines/>
              <w:rPr>
                <w:lang w:val="en-US" w:eastAsia="en-US"/>
              </w:rPr>
            </w:pPr>
            <w:r>
              <w:rPr>
                <w:lang w:val="en-US" w:eastAsia="en-US"/>
              </w:rPr>
              <w:t xml:space="preserve">The rate of excise </w:t>
            </w:r>
            <w:r w:rsidR="00BE3574">
              <w:rPr>
                <w:lang w:val="en-US" w:eastAsia="en-US"/>
              </w:rPr>
              <w:t xml:space="preserve">duty </w:t>
            </w:r>
            <w:r>
              <w:rPr>
                <w:lang w:val="en-US" w:eastAsia="en-US"/>
              </w:rPr>
              <w:t xml:space="preserve">for domestically </w:t>
            </w:r>
            <w:r w:rsidR="00BE3574">
              <w:rPr>
                <w:lang w:val="en-US" w:eastAsia="en-US"/>
              </w:rPr>
              <w:t xml:space="preserve">manufactured </w:t>
            </w:r>
            <w:r>
              <w:rPr>
                <w:lang w:val="en-US" w:eastAsia="en-US"/>
              </w:rPr>
              <w:t>bi</w:t>
            </w:r>
            <w:r w:rsidR="00CA5987">
              <w:rPr>
                <w:lang w:val="en-US" w:eastAsia="en-US"/>
              </w:rPr>
              <w:t>odiesel is reduced to zero on 1 July </w:t>
            </w:r>
            <w:r>
              <w:rPr>
                <w:lang w:val="en-US" w:eastAsia="en-US"/>
              </w:rPr>
              <w:t>2015.</w:t>
            </w:r>
          </w:p>
          <w:p w14:paraId="00CBDB0A" w14:textId="77777777" w:rsidR="005137A1" w:rsidRDefault="00A8723F" w:rsidP="0033283D">
            <w:pPr>
              <w:pStyle w:val="tabletext"/>
              <w:keepNext/>
              <w:keepLines/>
              <w:rPr>
                <w:lang w:val="en-US" w:eastAsia="en-US"/>
              </w:rPr>
            </w:pPr>
            <w:r>
              <w:rPr>
                <w:lang w:val="en-US" w:eastAsia="en-US"/>
              </w:rPr>
              <w:t xml:space="preserve">The excise rate is then set </w:t>
            </w:r>
            <w:r w:rsidR="00417BCD">
              <w:rPr>
                <w:lang w:val="en-US" w:eastAsia="en-US"/>
              </w:rPr>
              <w:t xml:space="preserve">in </w:t>
            </w:r>
            <w:r>
              <w:rPr>
                <w:lang w:val="en-US" w:eastAsia="en-US"/>
              </w:rPr>
              <w:t xml:space="preserve">later </w:t>
            </w:r>
            <w:r w:rsidR="00630709">
              <w:rPr>
                <w:lang w:val="en-US" w:eastAsia="en-US"/>
              </w:rPr>
              <w:t>financial</w:t>
            </w:r>
            <w:r>
              <w:rPr>
                <w:lang w:val="en-US" w:eastAsia="en-US"/>
              </w:rPr>
              <w:t xml:space="preserve"> years as a percentage of the excise rate for diesel</w:t>
            </w:r>
            <w:r w:rsidR="005137A1">
              <w:rPr>
                <w:lang w:val="en-US" w:eastAsia="en-US"/>
              </w:rPr>
              <w:t>, as follows:</w:t>
            </w:r>
          </w:p>
          <w:p w14:paraId="279EB73F" w14:textId="77777777" w:rsidR="005137A1" w:rsidRDefault="00A8723F" w:rsidP="0033283D">
            <w:pPr>
              <w:pStyle w:val="tabledotpoint"/>
              <w:keepNext/>
              <w:keepLines/>
              <w:rPr>
                <w:lang w:val="en-US" w:eastAsia="en-US"/>
              </w:rPr>
            </w:pPr>
            <w:r>
              <w:rPr>
                <w:lang w:val="en-US" w:eastAsia="en-US"/>
              </w:rPr>
              <w:t>10%</w:t>
            </w:r>
            <w:r w:rsidR="00630709">
              <w:rPr>
                <w:lang w:val="en-US" w:eastAsia="en-US"/>
              </w:rPr>
              <w:t xml:space="preserve"> </w:t>
            </w:r>
            <w:r w:rsidR="005137A1">
              <w:rPr>
                <w:lang w:val="en-US" w:eastAsia="en-US"/>
              </w:rPr>
              <w:t>for the financial year starting on</w:t>
            </w:r>
            <w:r>
              <w:rPr>
                <w:lang w:val="en-US" w:eastAsia="en-US"/>
              </w:rPr>
              <w:t xml:space="preserve"> </w:t>
            </w:r>
            <w:r w:rsidR="00630709">
              <w:rPr>
                <w:lang w:val="en-US" w:eastAsia="en-US"/>
              </w:rPr>
              <w:t>1 </w:t>
            </w:r>
            <w:r w:rsidR="00EE3522">
              <w:rPr>
                <w:lang w:val="en-US" w:eastAsia="en-US"/>
              </w:rPr>
              <w:t>July </w:t>
            </w:r>
            <w:r>
              <w:rPr>
                <w:lang w:val="en-US" w:eastAsia="en-US"/>
              </w:rPr>
              <w:t>2016</w:t>
            </w:r>
            <w:r w:rsidR="005137A1">
              <w:rPr>
                <w:lang w:val="en-US" w:eastAsia="en-US"/>
              </w:rPr>
              <w:t>;</w:t>
            </w:r>
          </w:p>
          <w:p w14:paraId="0EE8B09A" w14:textId="77777777" w:rsidR="005137A1" w:rsidRDefault="00A8723F" w:rsidP="0033283D">
            <w:pPr>
              <w:pStyle w:val="tabledotpoint"/>
              <w:keepNext/>
              <w:keepLines/>
              <w:rPr>
                <w:lang w:val="en-US" w:eastAsia="en-US"/>
              </w:rPr>
            </w:pPr>
            <w:r>
              <w:rPr>
                <w:lang w:val="en-US" w:eastAsia="en-US"/>
              </w:rPr>
              <w:t xml:space="preserve">20% </w:t>
            </w:r>
            <w:r w:rsidR="005137A1">
              <w:rPr>
                <w:lang w:val="en-US" w:eastAsia="en-US"/>
              </w:rPr>
              <w:t>for the financial year starting on</w:t>
            </w:r>
            <w:r w:rsidR="00EE3522">
              <w:rPr>
                <w:lang w:val="en-US" w:eastAsia="en-US"/>
              </w:rPr>
              <w:t xml:space="preserve"> 1 July </w:t>
            </w:r>
            <w:r>
              <w:rPr>
                <w:lang w:val="en-US" w:eastAsia="en-US"/>
              </w:rPr>
              <w:t>2017</w:t>
            </w:r>
            <w:r w:rsidR="005137A1">
              <w:rPr>
                <w:lang w:val="en-US" w:eastAsia="en-US"/>
              </w:rPr>
              <w:t>;</w:t>
            </w:r>
          </w:p>
          <w:p w14:paraId="0FCBB238" w14:textId="77777777" w:rsidR="005137A1" w:rsidRDefault="00A8723F" w:rsidP="0033283D">
            <w:pPr>
              <w:pStyle w:val="tabledotpoint"/>
              <w:keepNext/>
              <w:keepLines/>
              <w:rPr>
                <w:lang w:val="en-US" w:eastAsia="en-US"/>
              </w:rPr>
            </w:pPr>
            <w:r>
              <w:rPr>
                <w:lang w:val="en-US" w:eastAsia="en-US"/>
              </w:rPr>
              <w:t xml:space="preserve">30% </w:t>
            </w:r>
            <w:r w:rsidR="005137A1">
              <w:rPr>
                <w:lang w:val="en-US" w:eastAsia="en-US"/>
              </w:rPr>
              <w:t>for the financial year starting on</w:t>
            </w:r>
            <w:r w:rsidR="00EE3522">
              <w:rPr>
                <w:lang w:val="en-US" w:eastAsia="en-US"/>
              </w:rPr>
              <w:t xml:space="preserve"> 1 July </w:t>
            </w:r>
            <w:r>
              <w:rPr>
                <w:lang w:val="en-US" w:eastAsia="en-US"/>
              </w:rPr>
              <w:t>2018</w:t>
            </w:r>
            <w:r w:rsidR="00F253B7">
              <w:rPr>
                <w:lang w:val="en-US" w:eastAsia="en-US"/>
              </w:rPr>
              <w:t>;</w:t>
            </w:r>
          </w:p>
          <w:p w14:paraId="1480B4E6" w14:textId="77777777" w:rsidR="005137A1" w:rsidRDefault="00A8723F" w:rsidP="0033283D">
            <w:pPr>
              <w:pStyle w:val="tabledotpoint"/>
              <w:keepNext/>
              <w:keepLines/>
              <w:rPr>
                <w:lang w:val="en-US" w:eastAsia="en-US"/>
              </w:rPr>
            </w:pPr>
            <w:r>
              <w:rPr>
                <w:lang w:val="en-US" w:eastAsia="en-US"/>
              </w:rPr>
              <w:t xml:space="preserve">40% </w:t>
            </w:r>
            <w:r w:rsidR="005137A1">
              <w:rPr>
                <w:lang w:val="en-US" w:eastAsia="en-US"/>
              </w:rPr>
              <w:t>for the financial year starting on</w:t>
            </w:r>
            <w:r w:rsidR="00EE3522">
              <w:rPr>
                <w:lang w:val="en-US" w:eastAsia="en-US"/>
              </w:rPr>
              <w:t xml:space="preserve"> 1 July </w:t>
            </w:r>
            <w:r>
              <w:rPr>
                <w:lang w:val="en-US" w:eastAsia="en-US"/>
              </w:rPr>
              <w:t>2019</w:t>
            </w:r>
            <w:r w:rsidR="005137A1">
              <w:rPr>
                <w:lang w:val="en-US" w:eastAsia="en-US"/>
              </w:rPr>
              <w:t>;</w:t>
            </w:r>
            <w:r>
              <w:rPr>
                <w:lang w:val="en-US" w:eastAsia="en-US"/>
              </w:rPr>
              <w:t xml:space="preserve"> and</w:t>
            </w:r>
          </w:p>
          <w:p w14:paraId="28A88D45" w14:textId="77777777" w:rsidR="00A8723F" w:rsidRPr="004666B8" w:rsidRDefault="00A8723F" w:rsidP="0033283D">
            <w:pPr>
              <w:pStyle w:val="tabledotpoint"/>
              <w:keepNext/>
              <w:keepLines/>
              <w:rPr>
                <w:lang w:val="en-US" w:eastAsia="en-US"/>
              </w:rPr>
            </w:pPr>
            <w:r>
              <w:rPr>
                <w:lang w:val="en-US" w:eastAsia="en-US"/>
              </w:rPr>
              <w:t xml:space="preserve">50% </w:t>
            </w:r>
            <w:r w:rsidR="005137A1">
              <w:rPr>
                <w:lang w:val="en-US" w:eastAsia="en-US"/>
              </w:rPr>
              <w:t>for t</w:t>
            </w:r>
            <w:r w:rsidR="00EE3522">
              <w:rPr>
                <w:lang w:val="en-US" w:eastAsia="en-US"/>
              </w:rPr>
              <w:t>he financial year starting on 1 July </w:t>
            </w:r>
            <w:r w:rsidR="005137A1">
              <w:rPr>
                <w:lang w:val="en-US" w:eastAsia="en-US"/>
              </w:rPr>
              <w:t xml:space="preserve">2020 </w:t>
            </w:r>
            <w:r w:rsidR="00E859F6">
              <w:rPr>
                <w:lang w:val="en-US" w:eastAsia="en-US"/>
              </w:rPr>
              <w:t>and later financial years.</w:t>
            </w:r>
          </w:p>
        </w:tc>
        <w:tc>
          <w:tcPr>
            <w:tcW w:w="3281" w:type="dxa"/>
          </w:tcPr>
          <w:p w14:paraId="65406A9E" w14:textId="77777777" w:rsidR="00A8723F" w:rsidRPr="004666B8" w:rsidRDefault="00A8723F" w:rsidP="0033283D">
            <w:pPr>
              <w:pStyle w:val="tabletext"/>
              <w:keepNext/>
              <w:keepLines/>
              <w:rPr>
                <w:lang w:val="en-US" w:eastAsia="en-US"/>
              </w:rPr>
            </w:pPr>
            <w:r>
              <w:rPr>
                <w:lang w:val="en-US" w:eastAsia="en-US"/>
              </w:rPr>
              <w:t xml:space="preserve">The rate of excise </w:t>
            </w:r>
            <w:r w:rsidR="00BE3574">
              <w:rPr>
                <w:lang w:val="en-US" w:eastAsia="en-US"/>
              </w:rPr>
              <w:t xml:space="preserve">duty </w:t>
            </w:r>
            <w:r>
              <w:rPr>
                <w:lang w:val="en-US" w:eastAsia="en-US"/>
              </w:rPr>
              <w:t xml:space="preserve">for </w:t>
            </w:r>
            <w:r w:rsidR="00BE3574">
              <w:rPr>
                <w:lang w:val="en-US" w:eastAsia="en-US"/>
              </w:rPr>
              <w:t xml:space="preserve">domestically manufactured </w:t>
            </w:r>
            <w:r>
              <w:rPr>
                <w:lang w:val="en-US" w:eastAsia="en-US"/>
              </w:rPr>
              <w:t xml:space="preserve">biodiesel is </w:t>
            </w:r>
            <w:r w:rsidR="00EE3522">
              <w:rPr>
                <w:lang w:val="en-US" w:eastAsia="en-US"/>
              </w:rPr>
              <w:t>the same as the excise rate for </w:t>
            </w:r>
            <w:r>
              <w:rPr>
                <w:lang w:val="en-US" w:eastAsia="en-US"/>
              </w:rPr>
              <w:t>diesel.</w:t>
            </w:r>
          </w:p>
        </w:tc>
      </w:tr>
      <w:tr w:rsidR="00A8723F" w:rsidRPr="004666B8" w14:paraId="2CBAF712" w14:textId="77777777" w:rsidTr="000943CF">
        <w:tc>
          <w:tcPr>
            <w:tcW w:w="6556" w:type="dxa"/>
            <w:gridSpan w:val="2"/>
          </w:tcPr>
          <w:p w14:paraId="074CEA08" w14:textId="77777777" w:rsidR="00A8723F" w:rsidRPr="00957A7C" w:rsidRDefault="00B13C4E" w:rsidP="00DA4EFD">
            <w:pPr>
              <w:pStyle w:val="tableheaderwithintable"/>
              <w:rPr>
                <w:b w:val="0"/>
                <w:lang w:val="en-US" w:eastAsia="en-US"/>
              </w:rPr>
            </w:pPr>
            <w:r>
              <w:rPr>
                <w:lang w:val="en-US" w:eastAsia="en-US"/>
              </w:rPr>
              <w:t>End</w:t>
            </w:r>
            <w:r w:rsidR="00A8723F">
              <w:rPr>
                <w:lang w:val="en-US" w:eastAsia="en-US"/>
              </w:rPr>
              <w:t xml:space="preserve"> of grants scheme for biodiesel and renewable diesel</w:t>
            </w:r>
          </w:p>
        </w:tc>
      </w:tr>
      <w:tr w:rsidR="00A8723F" w:rsidRPr="004666B8" w14:paraId="6293BD41" w14:textId="77777777" w:rsidTr="000943CF">
        <w:tc>
          <w:tcPr>
            <w:tcW w:w="3275" w:type="dxa"/>
          </w:tcPr>
          <w:p w14:paraId="1BA52FEE" w14:textId="77777777" w:rsidR="00A8723F" w:rsidRPr="004666B8" w:rsidRDefault="00A8723F" w:rsidP="00C95FC3">
            <w:pPr>
              <w:pStyle w:val="tabletext"/>
              <w:keepNext/>
              <w:rPr>
                <w:lang w:val="en-US" w:eastAsia="en-US"/>
              </w:rPr>
            </w:pPr>
            <w:r>
              <w:rPr>
                <w:lang w:val="en-US" w:eastAsia="en-US"/>
              </w:rPr>
              <w:t xml:space="preserve">Claimants are </w:t>
            </w:r>
            <w:r w:rsidR="00C95FC3">
              <w:rPr>
                <w:lang w:val="en-US" w:eastAsia="en-US"/>
              </w:rPr>
              <w:t xml:space="preserve">only </w:t>
            </w:r>
            <w:r>
              <w:rPr>
                <w:lang w:val="en-US" w:eastAsia="en-US"/>
              </w:rPr>
              <w:t xml:space="preserve">entitled to a grant for biodiesel or renewable diesel </w:t>
            </w:r>
            <w:r w:rsidR="00113E18">
              <w:rPr>
                <w:lang w:val="en-US" w:eastAsia="en-US"/>
              </w:rPr>
              <w:t xml:space="preserve">that has been manufactured in Australia or imported into Australia if </w:t>
            </w:r>
            <w:r w:rsidR="00C95FC3">
              <w:rPr>
                <w:lang w:val="en-US" w:eastAsia="en-US"/>
              </w:rPr>
              <w:t xml:space="preserve">their provisional entitlement </w:t>
            </w:r>
            <w:r w:rsidR="00AD2C65">
              <w:rPr>
                <w:lang w:val="en-US" w:eastAsia="en-US"/>
              </w:rPr>
              <w:t xml:space="preserve">to the grant </w:t>
            </w:r>
            <w:r w:rsidR="00C95FC3">
              <w:rPr>
                <w:lang w:val="en-US" w:eastAsia="en-US"/>
              </w:rPr>
              <w:t>arise</w:t>
            </w:r>
            <w:r w:rsidR="003714E8">
              <w:rPr>
                <w:lang w:val="en-US" w:eastAsia="en-US"/>
              </w:rPr>
              <w:t>s</w:t>
            </w:r>
            <w:r w:rsidR="00EE3522">
              <w:rPr>
                <w:lang w:val="en-US" w:eastAsia="en-US"/>
              </w:rPr>
              <w:t xml:space="preserve"> before 1 July </w:t>
            </w:r>
            <w:r w:rsidR="00C95FC3">
              <w:rPr>
                <w:lang w:val="en-US" w:eastAsia="en-US"/>
              </w:rPr>
              <w:t>2015.</w:t>
            </w:r>
            <w:r w:rsidR="00C95FC3" w:rsidDel="00C95FC3">
              <w:rPr>
                <w:lang w:val="en-US" w:eastAsia="en-US"/>
              </w:rPr>
              <w:t xml:space="preserve"> </w:t>
            </w:r>
            <w:r w:rsidR="00E859F6">
              <w:rPr>
                <w:lang w:val="en-US" w:eastAsia="en-US"/>
              </w:rPr>
              <w:t>F</w:t>
            </w:r>
            <w:r w:rsidR="00C7370C">
              <w:rPr>
                <w:lang w:val="en-US" w:eastAsia="en-US"/>
              </w:rPr>
              <w:t>or example, no entitlement arises if biodiesel or renewable diesel was entered or delivered</w:t>
            </w:r>
            <w:r w:rsidR="00EE3522">
              <w:rPr>
                <w:lang w:val="en-US" w:eastAsia="en-US"/>
              </w:rPr>
              <w:t xml:space="preserve"> into home consumption after 30 June </w:t>
            </w:r>
            <w:r w:rsidR="00C7370C">
              <w:rPr>
                <w:lang w:val="en-US" w:eastAsia="en-US"/>
              </w:rPr>
              <w:t>2015.</w:t>
            </w:r>
          </w:p>
        </w:tc>
        <w:tc>
          <w:tcPr>
            <w:tcW w:w="3281" w:type="dxa"/>
          </w:tcPr>
          <w:p w14:paraId="2B2C6E64" w14:textId="77777777" w:rsidR="00A8723F" w:rsidRPr="004666B8" w:rsidRDefault="00A8723F" w:rsidP="00EE3522">
            <w:pPr>
              <w:pStyle w:val="tabletext"/>
              <w:keepNext/>
              <w:rPr>
                <w:lang w:val="en-US" w:eastAsia="en-US"/>
              </w:rPr>
            </w:pPr>
            <w:r>
              <w:rPr>
                <w:lang w:val="en-US" w:eastAsia="en-US"/>
              </w:rPr>
              <w:t xml:space="preserve">Claimants are entitled to grants for the manufacture or importation of biodiesel </w:t>
            </w:r>
            <w:r w:rsidR="00EE3522">
              <w:rPr>
                <w:lang w:val="en-US" w:eastAsia="en-US"/>
              </w:rPr>
              <w:t xml:space="preserve">or </w:t>
            </w:r>
            <w:r>
              <w:rPr>
                <w:lang w:val="en-US" w:eastAsia="en-US"/>
              </w:rPr>
              <w:t>renewable diesel.</w:t>
            </w:r>
          </w:p>
        </w:tc>
      </w:tr>
    </w:tbl>
    <w:p w14:paraId="58D05907" w14:textId="77777777" w:rsidR="00A8723F" w:rsidRDefault="00A8723F" w:rsidP="00D71141">
      <w:pPr>
        <w:pStyle w:val="Heading2"/>
      </w:pPr>
      <w:r>
        <w:t>Detailed explanation of new law</w:t>
      </w:r>
    </w:p>
    <w:p w14:paraId="4BF44965" w14:textId="77777777" w:rsidR="00A8723F" w:rsidRPr="009276EC" w:rsidRDefault="00A8723F" w:rsidP="00452F01">
      <w:pPr>
        <w:pStyle w:val="Heading3"/>
      </w:pPr>
      <w:r>
        <w:t>Excise duty rates for fuel ethanol</w:t>
      </w:r>
      <w:r w:rsidR="008A767A">
        <w:t xml:space="preserve"> and</w:t>
      </w:r>
      <w:r>
        <w:t xml:space="preserve"> biodiesel</w:t>
      </w:r>
    </w:p>
    <w:p w14:paraId="75B07816" w14:textId="77777777" w:rsidR="00A8723F" w:rsidRDefault="00F07661" w:rsidP="00002EF5">
      <w:pPr>
        <w:pStyle w:val="base-text-paragraph"/>
        <w:numPr>
          <w:ilvl w:val="1"/>
          <w:numId w:val="24"/>
        </w:numPr>
      </w:pPr>
      <w:r>
        <w:t>The Government has announced s</w:t>
      </w:r>
      <w:r w:rsidR="00CE0442" w:rsidRPr="00CE0442">
        <w:t xml:space="preserve">eparate measures </w:t>
      </w:r>
      <w:r>
        <w:t>changing the excise treatment of</w:t>
      </w:r>
      <w:r w:rsidR="00CE0442" w:rsidRPr="00CE0442">
        <w:t xml:space="preserve"> fuel ethanol and biodiesel.</w:t>
      </w:r>
      <w:r w:rsidR="00CE0442">
        <w:t xml:space="preserve"> </w:t>
      </w:r>
      <w:r w:rsidR="00A8723F">
        <w:t>Th</w:t>
      </w:r>
      <w:r w:rsidR="008F4D57">
        <w:t>ese</w:t>
      </w:r>
      <w:r w:rsidR="00A8723F">
        <w:t xml:space="preserve"> measure</w:t>
      </w:r>
      <w:r w:rsidR="008F4D57">
        <w:t xml:space="preserve">s </w:t>
      </w:r>
      <w:r w:rsidR="00A8723F">
        <w:t xml:space="preserve">reduce the rates of excise duty for </w:t>
      </w:r>
      <w:r w:rsidR="001A0592">
        <w:t xml:space="preserve">domestically manufactured </w:t>
      </w:r>
      <w:r w:rsidR="00A8723F">
        <w:t>fuel ethanol</w:t>
      </w:r>
      <w:r w:rsidR="0024385D">
        <w:t xml:space="preserve"> and</w:t>
      </w:r>
      <w:r w:rsidR="00A8723F">
        <w:t xml:space="preserve"> biodiesel to zero </w:t>
      </w:r>
      <w:r w:rsidR="005137A1">
        <w:t>on</w:t>
      </w:r>
      <w:r w:rsidR="00EE3522">
        <w:t xml:space="preserve"> 1 July 2015.</w:t>
      </w:r>
    </w:p>
    <w:p w14:paraId="0DFBE060" w14:textId="512C986D" w:rsidR="00A8723F" w:rsidRDefault="00A8723F" w:rsidP="0033283D">
      <w:pPr>
        <w:pStyle w:val="base-text-paragraph"/>
        <w:keepNext/>
        <w:keepLines/>
        <w:numPr>
          <w:ilvl w:val="1"/>
          <w:numId w:val="24"/>
        </w:numPr>
      </w:pPr>
      <w:r>
        <w:t xml:space="preserve">The rates of excise duty for </w:t>
      </w:r>
      <w:r w:rsidR="00566FF7">
        <w:t xml:space="preserve">domestically manufactured </w:t>
      </w:r>
      <w:r>
        <w:t>fuel ethanol</w:t>
      </w:r>
      <w:r w:rsidR="0024385D">
        <w:t xml:space="preserve"> and</w:t>
      </w:r>
      <w:r>
        <w:t xml:space="preserve"> biodiesel then rise </w:t>
      </w:r>
      <w:r w:rsidR="0060267E">
        <w:t>in stages</w:t>
      </w:r>
      <w:r w:rsidR="0033420E">
        <w:t xml:space="preserve"> on 1 </w:t>
      </w:r>
      <w:r>
        <w:t xml:space="preserve">July of each following </w:t>
      </w:r>
      <w:r w:rsidR="00BE3574">
        <w:t xml:space="preserve">financial </w:t>
      </w:r>
      <w:r>
        <w:t>year until reaching their final rate</w:t>
      </w:r>
      <w:r w:rsidR="008B68B7">
        <w:t>s</w:t>
      </w:r>
      <w:r w:rsidR="0033420E">
        <w:t xml:space="preserve"> on 1 July </w:t>
      </w:r>
      <w:r>
        <w:t xml:space="preserve">2020. The rates of excise duty are </w:t>
      </w:r>
      <w:r w:rsidR="00EB3516">
        <w:t xml:space="preserve">to be </w:t>
      </w:r>
      <w:r>
        <w:t>calculated as a percentage of the rate of excise duty for petrol and diesel.</w:t>
      </w:r>
      <w:r w:rsidR="005137A1">
        <w:t xml:space="preserve"> </w:t>
      </w:r>
      <w:r w:rsidR="005137A1" w:rsidRPr="005137A1">
        <w:rPr>
          <w:rStyle w:val="Referencingstyle"/>
        </w:rPr>
        <w:t>[</w:t>
      </w:r>
      <w:r w:rsidR="00221E19">
        <w:rPr>
          <w:rStyle w:val="Referencingstyle"/>
        </w:rPr>
        <w:t xml:space="preserve">Schedule 1, item 4 of the </w:t>
      </w:r>
      <w:r w:rsidR="005137A1" w:rsidRPr="005137A1">
        <w:rPr>
          <w:rStyle w:val="Referencingstyle"/>
        </w:rPr>
        <w:t>Excise Tariff Amendment Bill</w:t>
      </w:r>
      <w:r w:rsidR="005137A1">
        <w:rPr>
          <w:rStyle w:val="Referencingstyle"/>
        </w:rPr>
        <w:t xml:space="preserve"> 2015</w:t>
      </w:r>
      <w:r w:rsidR="0033420E">
        <w:rPr>
          <w:rStyle w:val="Referencingstyle"/>
        </w:rPr>
        <w:t>, subsections 6H(1) and 6J(1) of the ETA </w:t>
      </w:r>
      <w:r w:rsidR="005137A1" w:rsidRPr="005137A1">
        <w:rPr>
          <w:rStyle w:val="Referencingstyle"/>
        </w:rPr>
        <w:t>1921]</w:t>
      </w:r>
    </w:p>
    <w:p w14:paraId="12DB8A6F" w14:textId="77777777" w:rsidR="00A8723F" w:rsidRDefault="00A8723F" w:rsidP="00002EF5">
      <w:pPr>
        <w:pStyle w:val="base-text-paragraph"/>
        <w:numPr>
          <w:ilvl w:val="1"/>
          <w:numId w:val="24"/>
        </w:numPr>
      </w:pPr>
      <w:r>
        <w:t xml:space="preserve">The table below shows the rates of excise duty for </w:t>
      </w:r>
      <w:r w:rsidR="00566FF7">
        <w:t xml:space="preserve">domestically manufactured </w:t>
      </w:r>
      <w:r>
        <w:t>fuel ethanol</w:t>
      </w:r>
      <w:r w:rsidR="0024385D">
        <w:t xml:space="preserve"> and</w:t>
      </w:r>
      <w:r>
        <w:t xml:space="preserve"> biodiesel as a percentage of the excise rate for petrol and diesel.</w:t>
      </w:r>
    </w:p>
    <w:p w14:paraId="0B5A89B6" w14:textId="77777777" w:rsidR="00A8723F" w:rsidRPr="004E521A" w:rsidRDefault="00A8723F" w:rsidP="009916D7">
      <w:pPr>
        <w:pStyle w:val="base-text-paragraph"/>
        <w:keepNext/>
        <w:numPr>
          <w:ilvl w:val="0"/>
          <w:numId w:val="0"/>
        </w:numPr>
        <w:ind w:left="1134"/>
      </w:pPr>
      <w:r w:rsidRPr="004E521A">
        <w:rPr>
          <w:b/>
        </w:rPr>
        <w:t xml:space="preserve">Table 1.1: Excise rates for </w:t>
      </w:r>
      <w:r>
        <w:rPr>
          <w:b/>
        </w:rPr>
        <w:t xml:space="preserve">fuel </w:t>
      </w:r>
      <w:r w:rsidRPr="004E521A">
        <w:rPr>
          <w:b/>
        </w:rPr>
        <w:t>ethanol</w:t>
      </w:r>
      <w:r w:rsidR="0024385D">
        <w:rPr>
          <w:b/>
        </w:rPr>
        <w:t xml:space="preserve"> and</w:t>
      </w:r>
      <w:r w:rsidRPr="004E521A">
        <w:rPr>
          <w:b/>
        </w:rPr>
        <w:t xml:space="preserve"> biodiesel as a percentage of the excise rate for </w:t>
      </w:r>
      <w:r>
        <w:rPr>
          <w:b/>
        </w:rPr>
        <w:t>petrol and diesel</w:t>
      </w:r>
    </w:p>
    <w:tbl>
      <w:tblPr>
        <w:tblStyle w:val="TableGrid"/>
        <w:tblW w:w="0" w:type="auto"/>
        <w:tblInd w:w="1134" w:type="dxa"/>
        <w:tblLook w:val="04A0" w:firstRow="1" w:lastRow="0" w:firstColumn="1" w:lastColumn="0" w:noHBand="0" w:noVBand="1"/>
      </w:tblPr>
      <w:tblGrid>
        <w:gridCol w:w="2632"/>
        <w:gridCol w:w="1998"/>
        <w:gridCol w:w="1999"/>
      </w:tblGrid>
      <w:tr w:rsidR="00566FF7" w14:paraId="13ACA941" w14:textId="77777777" w:rsidTr="00700B2E">
        <w:trPr>
          <w:tblHeader/>
        </w:trPr>
        <w:tc>
          <w:tcPr>
            <w:tcW w:w="2632" w:type="dxa"/>
          </w:tcPr>
          <w:p w14:paraId="2B61C63D" w14:textId="77777777" w:rsidR="00E77236" w:rsidRPr="00471D0A" w:rsidRDefault="00E77236" w:rsidP="009916D7">
            <w:pPr>
              <w:pStyle w:val="base-text-paragraph"/>
              <w:keepNext/>
              <w:numPr>
                <w:ilvl w:val="0"/>
                <w:numId w:val="0"/>
              </w:numPr>
              <w:rPr>
                <w:b/>
                <w:i/>
                <w:sz w:val="20"/>
              </w:rPr>
            </w:pPr>
            <w:r w:rsidRPr="00471D0A">
              <w:rPr>
                <w:b/>
                <w:i/>
                <w:sz w:val="20"/>
              </w:rPr>
              <w:t>Financial year</w:t>
            </w:r>
            <w:r w:rsidR="00692A5F">
              <w:rPr>
                <w:b/>
                <w:i/>
                <w:sz w:val="20"/>
              </w:rPr>
              <w:t xml:space="preserve"> </w:t>
            </w:r>
          </w:p>
        </w:tc>
        <w:tc>
          <w:tcPr>
            <w:tcW w:w="1998" w:type="dxa"/>
          </w:tcPr>
          <w:p w14:paraId="60FED1B3" w14:textId="77777777" w:rsidR="00E77236" w:rsidRDefault="00E77236" w:rsidP="009916D7">
            <w:pPr>
              <w:pStyle w:val="base-text-paragraph"/>
              <w:keepNext/>
              <w:numPr>
                <w:ilvl w:val="0"/>
                <w:numId w:val="0"/>
              </w:numPr>
            </w:pPr>
            <w:r w:rsidRPr="0075654F">
              <w:rPr>
                <w:b/>
                <w:i/>
                <w:sz w:val="20"/>
              </w:rPr>
              <w:t xml:space="preserve">Excise rate for </w:t>
            </w:r>
            <w:r w:rsidR="00566FF7">
              <w:rPr>
                <w:b/>
                <w:i/>
                <w:sz w:val="20"/>
              </w:rPr>
              <w:t xml:space="preserve">domestically manufactured </w:t>
            </w:r>
            <w:r>
              <w:rPr>
                <w:b/>
                <w:i/>
                <w:sz w:val="20"/>
              </w:rPr>
              <w:t xml:space="preserve">fuel </w:t>
            </w:r>
            <w:r w:rsidRPr="0075654F">
              <w:rPr>
                <w:b/>
                <w:i/>
                <w:sz w:val="20"/>
              </w:rPr>
              <w:t>ethanol</w:t>
            </w:r>
            <w:r w:rsidR="008B68B7">
              <w:rPr>
                <w:b/>
                <w:i/>
                <w:sz w:val="20"/>
              </w:rPr>
              <w:t xml:space="preserve"> as a percentage of the excise rate for petrol</w:t>
            </w:r>
            <w:r>
              <w:rPr>
                <w:b/>
                <w:i/>
                <w:sz w:val="20"/>
              </w:rPr>
              <w:t xml:space="preserve"> (%)</w:t>
            </w:r>
          </w:p>
        </w:tc>
        <w:tc>
          <w:tcPr>
            <w:tcW w:w="1999" w:type="dxa"/>
          </w:tcPr>
          <w:p w14:paraId="2ABF9B11" w14:textId="77777777" w:rsidR="00E77236" w:rsidRDefault="00E77236" w:rsidP="009916D7">
            <w:pPr>
              <w:pStyle w:val="base-text-paragraph"/>
              <w:keepNext/>
              <w:numPr>
                <w:ilvl w:val="0"/>
                <w:numId w:val="0"/>
              </w:numPr>
            </w:pPr>
            <w:r w:rsidRPr="0075654F">
              <w:rPr>
                <w:b/>
                <w:i/>
                <w:sz w:val="20"/>
              </w:rPr>
              <w:t xml:space="preserve">Excise rate for </w:t>
            </w:r>
            <w:r w:rsidR="00566FF7">
              <w:rPr>
                <w:b/>
                <w:i/>
                <w:sz w:val="20"/>
              </w:rPr>
              <w:t xml:space="preserve">domestically manufactured </w:t>
            </w:r>
            <w:r w:rsidRPr="0075654F">
              <w:rPr>
                <w:b/>
                <w:i/>
                <w:sz w:val="20"/>
              </w:rPr>
              <w:t>biodiesel</w:t>
            </w:r>
            <w:r>
              <w:rPr>
                <w:b/>
                <w:i/>
                <w:sz w:val="20"/>
              </w:rPr>
              <w:t xml:space="preserve"> </w:t>
            </w:r>
            <w:r w:rsidR="008B68B7" w:rsidRPr="008B68B7">
              <w:rPr>
                <w:b/>
                <w:i/>
                <w:sz w:val="20"/>
              </w:rPr>
              <w:t>as a percenta</w:t>
            </w:r>
            <w:r w:rsidR="008B68B7">
              <w:rPr>
                <w:b/>
                <w:i/>
                <w:sz w:val="20"/>
              </w:rPr>
              <w:t>ge of the excise rate for diesel</w:t>
            </w:r>
            <w:r w:rsidR="008B68B7" w:rsidRPr="008B68B7">
              <w:rPr>
                <w:b/>
                <w:i/>
                <w:sz w:val="20"/>
              </w:rPr>
              <w:t xml:space="preserve"> </w:t>
            </w:r>
            <w:r>
              <w:rPr>
                <w:b/>
                <w:i/>
                <w:sz w:val="20"/>
              </w:rPr>
              <w:t>(%)</w:t>
            </w:r>
          </w:p>
        </w:tc>
      </w:tr>
      <w:tr w:rsidR="00566FF7" w14:paraId="1F049E09" w14:textId="77777777" w:rsidTr="00700B2E">
        <w:tc>
          <w:tcPr>
            <w:tcW w:w="2632" w:type="dxa"/>
          </w:tcPr>
          <w:p w14:paraId="61E5E06D" w14:textId="77777777" w:rsidR="00E77236" w:rsidRDefault="00692A5F" w:rsidP="00A8723F">
            <w:pPr>
              <w:pStyle w:val="base-text-paragraph"/>
              <w:numPr>
                <w:ilvl w:val="0"/>
                <w:numId w:val="0"/>
              </w:numPr>
            </w:pPr>
            <w:r>
              <w:rPr>
                <w:b/>
                <w:i/>
                <w:sz w:val="20"/>
              </w:rPr>
              <w:t>1 July 2015 to 30 June 2016</w:t>
            </w:r>
          </w:p>
        </w:tc>
        <w:tc>
          <w:tcPr>
            <w:tcW w:w="1998" w:type="dxa"/>
          </w:tcPr>
          <w:p w14:paraId="4ADFB02E" w14:textId="77777777" w:rsidR="00E77236" w:rsidRDefault="00E77236" w:rsidP="00A8723F">
            <w:pPr>
              <w:pStyle w:val="base-text-paragraph"/>
              <w:numPr>
                <w:ilvl w:val="0"/>
                <w:numId w:val="0"/>
              </w:numPr>
            </w:pPr>
            <w:r>
              <w:t>0</w:t>
            </w:r>
          </w:p>
        </w:tc>
        <w:tc>
          <w:tcPr>
            <w:tcW w:w="1999" w:type="dxa"/>
          </w:tcPr>
          <w:p w14:paraId="0276B4D9" w14:textId="77777777" w:rsidR="00E77236" w:rsidRDefault="00E77236" w:rsidP="00A8723F">
            <w:pPr>
              <w:pStyle w:val="base-text-paragraph"/>
              <w:numPr>
                <w:ilvl w:val="0"/>
                <w:numId w:val="0"/>
              </w:numPr>
            </w:pPr>
            <w:r>
              <w:t>0</w:t>
            </w:r>
          </w:p>
        </w:tc>
      </w:tr>
      <w:tr w:rsidR="00566FF7" w14:paraId="3E400A1D" w14:textId="77777777" w:rsidTr="00700B2E">
        <w:tc>
          <w:tcPr>
            <w:tcW w:w="2632" w:type="dxa"/>
          </w:tcPr>
          <w:p w14:paraId="0F2F7167" w14:textId="77777777" w:rsidR="00E77236" w:rsidRDefault="00692A5F" w:rsidP="00A8723F">
            <w:pPr>
              <w:pStyle w:val="base-text-paragraph"/>
              <w:numPr>
                <w:ilvl w:val="0"/>
                <w:numId w:val="0"/>
              </w:numPr>
            </w:pPr>
            <w:r>
              <w:rPr>
                <w:b/>
                <w:i/>
                <w:sz w:val="20"/>
              </w:rPr>
              <w:t>1 July 2016</w:t>
            </w:r>
            <w:r w:rsidRPr="00692A5F">
              <w:rPr>
                <w:b/>
                <w:i/>
                <w:sz w:val="20"/>
              </w:rPr>
              <w:t xml:space="preserve"> to 30 June 201</w:t>
            </w:r>
            <w:r>
              <w:rPr>
                <w:b/>
                <w:i/>
                <w:sz w:val="20"/>
              </w:rPr>
              <w:t>7</w:t>
            </w:r>
          </w:p>
        </w:tc>
        <w:tc>
          <w:tcPr>
            <w:tcW w:w="1998" w:type="dxa"/>
          </w:tcPr>
          <w:p w14:paraId="2A1E3464" w14:textId="77777777" w:rsidR="00E77236" w:rsidRDefault="00E77236" w:rsidP="00A8723F">
            <w:pPr>
              <w:pStyle w:val="base-text-paragraph"/>
              <w:numPr>
                <w:ilvl w:val="0"/>
                <w:numId w:val="0"/>
              </w:numPr>
            </w:pPr>
            <w:r w:rsidRPr="00E77236">
              <w:t>6.554</w:t>
            </w:r>
          </w:p>
        </w:tc>
        <w:tc>
          <w:tcPr>
            <w:tcW w:w="1999" w:type="dxa"/>
          </w:tcPr>
          <w:p w14:paraId="63CCAE1A" w14:textId="77777777" w:rsidR="00E77236" w:rsidRDefault="00E77236" w:rsidP="00A8723F">
            <w:pPr>
              <w:pStyle w:val="base-text-paragraph"/>
              <w:numPr>
                <w:ilvl w:val="0"/>
                <w:numId w:val="0"/>
              </w:numPr>
            </w:pPr>
            <w:r>
              <w:t>10</w:t>
            </w:r>
          </w:p>
        </w:tc>
      </w:tr>
      <w:tr w:rsidR="00566FF7" w14:paraId="0685CEE1" w14:textId="77777777" w:rsidTr="00700B2E">
        <w:tc>
          <w:tcPr>
            <w:tcW w:w="2632" w:type="dxa"/>
          </w:tcPr>
          <w:p w14:paraId="39D0DF3D" w14:textId="77777777" w:rsidR="00E77236" w:rsidRDefault="00692A5F" w:rsidP="00A8723F">
            <w:pPr>
              <w:pStyle w:val="base-text-paragraph"/>
              <w:numPr>
                <w:ilvl w:val="0"/>
                <w:numId w:val="0"/>
              </w:numPr>
            </w:pPr>
            <w:r>
              <w:rPr>
                <w:b/>
                <w:i/>
                <w:sz w:val="20"/>
              </w:rPr>
              <w:t>1 July 2017 to 30 June 2018</w:t>
            </w:r>
          </w:p>
        </w:tc>
        <w:tc>
          <w:tcPr>
            <w:tcW w:w="1998" w:type="dxa"/>
          </w:tcPr>
          <w:p w14:paraId="1D1105CC" w14:textId="77777777" w:rsidR="00E77236" w:rsidRDefault="00E77236" w:rsidP="00A8723F">
            <w:pPr>
              <w:pStyle w:val="base-text-paragraph"/>
              <w:numPr>
                <w:ilvl w:val="0"/>
                <w:numId w:val="0"/>
              </w:numPr>
            </w:pPr>
            <w:r w:rsidRPr="00E77236">
              <w:t>13.108</w:t>
            </w:r>
          </w:p>
        </w:tc>
        <w:tc>
          <w:tcPr>
            <w:tcW w:w="1999" w:type="dxa"/>
          </w:tcPr>
          <w:p w14:paraId="31182665" w14:textId="77777777" w:rsidR="00E77236" w:rsidRDefault="00E77236" w:rsidP="00A8723F">
            <w:pPr>
              <w:pStyle w:val="base-text-paragraph"/>
              <w:numPr>
                <w:ilvl w:val="0"/>
                <w:numId w:val="0"/>
              </w:numPr>
            </w:pPr>
            <w:r>
              <w:t>20</w:t>
            </w:r>
          </w:p>
        </w:tc>
      </w:tr>
      <w:tr w:rsidR="00566FF7" w14:paraId="1D7C2B22" w14:textId="77777777" w:rsidTr="00700B2E">
        <w:tc>
          <w:tcPr>
            <w:tcW w:w="2632" w:type="dxa"/>
          </w:tcPr>
          <w:p w14:paraId="565E4D93" w14:textId="77777777" w:rsidR="00E77236" w:rsidRDefault="00692A5F" w:rsidP="00A8723F">
            <w:pPr>
              <w:pStyle w:val="base-text-paragraph"/>
              <w:numPr>
                <w:ilvl w:val="0"/>
                <w:numId w:val="0"/>
              </w:numPr>
            </w:pPr>
            <w:r>
              <w:rPr>
                <w:b/>
                <w:i/>
                <w:sz w:val="20"/>
              </w:rPr>
              <w:t>1 July 2018 to 30 June 2019</w:t>
            </w:r>
          </w:p>
        </w:tc>
        <w:tc>
          <w:tcPr>
            <w:tcW w:w="1998" w:type="dxa"/>
          </w:tcPr>
          <w:p w14:paraId="7AD2F74F" w14:textId="77777777" w:rsidR="00E77236" w:rsidRDefault="00E77236" w:rsidP="00A8723F">
            <w:pPr>
              <w:pStyle w:val="base-text-paragraph"/>
              <w:numPr>
                <w:ilvl w:val="0"/>
                <w:numId w:val="0"/>
              </w:numPr>
            </w:pPr>
            <w:r w:rsidRPr="00E77236">
              <w:t>19.662</w:t>
            </w:r>
          </w:p>
        </w:tc>
        <w:tc>
          <w:tcPr>
            <w:tcW w:w="1999" w:type="dxa"/>
          </w:tcPr>
          <w:p w14:paraId="0A669C05" w14:textId="77777777" w:rsidR="00E77236" w:rsidRDefault="00E77236" w:rsidP="00A8723F">
            <w:pPr>
              <w:pStyle w:val="base-text-paragraph"/>
              <w:numPr>
                <w:ilvl w:val="0"/>
                <w:numId w:val="0"/>
              </w:numPr>
            </w:pPr>
            <w:r>
              <w:t>30</w:t>
            </w:r>
          </w:p>
        </w:tc>
      </w:tr>
      <w:tr w:rsidR="00566FF7" w14:paraId="5165F43B" w14:textId="77777777" w:rsidTr="00700B2E">
        <w:tc>
          <w:tcPr>
            <w:tcW w:w="2632" w:type="dxa"/>
          </w:tcPr>
          <w:p w14:paraId="3F8F7D7C" w14:textId="77777777" w:rsidR="00E77236" w:rsidRDefault="00692A5F" w:rsidP="00A8723F">
            <w:pPr>
              <w:pStyle w:val="base-text-paragraph"/>
              <w:numPr>
                <w:ilvl w:val="0"/>
                <w:numId w:val="0"/>
              </w:numPr>
            </w:pPr>
            <w:r>
              <w:rPr>
                <w:b/>
                <w:i/>
                <w:sz w:val="20"/>
              </w:rPr>
              <w:t>1 July 2019 to 30 June 2020</w:t>
            </w:r>
          </w:p>
        </w:tc>
        <w:tc>
          <w:tcPr>
            <w:tcW w:w="1998" w:type="dxa"/>
          </w:tcPr>
          <w:p w14:paraId="7ECDD87B" w14:textId="77777777" w:rsidR="00E77236" w:rsidRDefault="00E77236" w:rsidP="00A8723F">
            <w:pPr>
              <w:pStyle w:val="base-text-paragraph"/>
              <w:numPr>
                <w:ilvl w:val="0"/>
                <w:numId w:val="0"/>
              </w:numPr>
            </w:pPr>
            <w:r w:rsidRPr="00E77236">
              <w:t>26.216</w:t>
            </w:r>
          </w:p>
        </w:tc>
        <w:tc>
          <w:tcPr>
            <w:tcW w:w="1999" w:type="dxa"/>
          </w:tcPr>
          <w:p w14:paraId="39F6F01A" w14:textId="77777777" w:rsidR="00E77236" w:rsidRDefault="00E77236" w:rsidP="00A8723F">
            <w:pPr>
              <w:pStyle w:val="base-text-paragraph"/>
              <w:numPr>
                <w:ilvl w:val="0"/>
                <w:numId w:val="0"/>
              </w:numPr>
            </w:pPr>
            <w:r>
              <w:t>40</w:t>
            </w:r>
          </w:p>
        </w:tc>
      </w:tr>
      <w:tr w:rsidR="00566FF7" w14:paraId="32EA8EA6" w14:textId="77777777" w:rsidTr="00700B2E">
        <w:tc>
          <w:tcPr>
            <w:tcW w:w="2632" w:type="dxa"/>
          </w:tcPr>
          <w:p w14:paraId="4F574CA8" w14:textId="77777777" w:rsidR="00E77236" w:rsidRDefault="00692A5F" w:rsidP="00064E98">
            <w:pPr>
              <w:pStyle w:val="base-text-paragraph"/>
              <w:numPr>
                <w:ilvl w:val="0"/>
                <w:numId w:val="0"/>
              </w:numPr>
            </w:pPr>
            <w:r>
              <w:rPr>
                <w:b/>
                <w:i/>
                <w:sz w:val="20"/>
              </w:rPr>
              <w:t>1 July 2020 to 30 June 2021</w:t>
            </w:r>
            <w:r w:rsidR="00016F6F">
              <w:rPr>
                <w:b/>
                <w:i/>
                <w:sz w:val="20"/>
              </w:rPr>
              <w:t xml:space="preserve"> or a later </w:t>
            </w:r>
            <w:r w:rsidR="00064E98">
              <w:rPr>
                <w:b/>
                <w:i/>
                <w:sz w:val="20"/>
              </w:rPr>
              <w:t xml:space="preserve">financial </w:t>
            </w:r>
            <w:r w:rsidR="00016F6F">
              <w:rPr>
                <w:b/>
                <w:i/>
                <w:sz w:val="20"/>
              </w:rPr>
              <w:t>year</w:t>
            </w:r>
          </w:p>
        </w:tc>
        <w:tc>
          <w:tcPr>
            <w:tcW w:w="1998" w:type="dxa"/>
          </w:tcPr>
          <w:p w14:paraId="63249EF9" w14:textId="77777777" w:rsidR="00E77236" w:rsidRDefault="00E77236" w:rsidP="00A8723F">
            <w:pPr>
              <w:pStyle w:val="base-text-paragraph"/>
              <w:numPr>
                <w:ilvl w:val="0"/>
                <w:numId w:val="0"/>
              </w:numPr>
            </w:pPr>
            <w:r w:rsidRPr="00E77236">
              <w:t>32.770</w:t>
            </w:r>
          </w:p>
        </w:tc>
        <w:tc>
          <w:tcPr>
            <w:tcW w:w="1999" w:type="dxa"/>
          </w:tcPr>
          <w:p w14:paraId="0EF39D69" w14:textId="77777777" w:rsidR="00E77236" w:rsidRDefault="00E77236" w:rsidP="00A8723F">
            <w:pPr>
              <w:pStyle w:val="base-text-paragraph"/>
              <w:numPr>
                <w:ilvl w:val="0"/>
                <w:numId w:val="0"/>
              </w:numPr>
            </w:pPr>
            <w:r>
              <w:t>50</w:t>
            </w:r>
          </w:p>
        </w:tc>
      </w:tr>
    </w:tbl>
    <w:p w14:paraId="6B6F5769" w14:textId="77777777" w:rsidR="0060267E" w:rsidRDefault="007227AC" w:rsidP="007227AC">
      <w:pPr>
        <w:pStyle w:val="base-text-paragraph"/>
        <w:numPr>
          <w:ilvl w:val="1"/>
          <w:numId w:val="24"/>
        </w:numPr>
      </w:pPr>
      <w:r>
        <w:t xml:space="preserve">The rate of duty that is collected </w:t>
      </w:r>
      <w:r w:rsidR="007E7AD0">
        <w:t>on</w:t>
      </w:r>
      <w:r>
        <w:t xml:space="preserve"> petrol and diesel is subject to indexation under </w:t>
      </w:r>
      <w:r w:rsidRPr="0091345D">
        <w:rPr>
          <w:i/>
        </w:rPr>
        <w:t>Excise Tariff Proposal (No 1) 2014</w:t>
      </w:r>
      <w:r>
        <w:t xml:space="preserve"> and </w:t>
      </w:r>
      <w:r w:rsidRPr="0091345D">
        <w:rPr>
          <w:i/>
        </w:rPr>
        <w:t>Customs Tariff Proposal (No 1) 2014</w:t>
      </w:r>
      <w:r>
        <w:t xml:space="preserve">. Subject to </w:t>
      </w:r>
      <w:r w:rsidR="00EB3516">
        <w:t>the</w:t>
      </w:r>
      <w:r>
        <w:t xml:space="preserve"> passage of legislation to ratify these proposals, indexation will apply to fuel ethanol and biodiesel</w:t>
      </w:r>
      <w:r w:rsidR="00CE0442">
        <w:t xml:space="preserve"> because they</w:t>
      </w:r>
      <w:r>
        <w:t xml:space="preserve"> are set as a percentage of the petrol and diesel rate of duty. </w:t>
      </w:r>
    </w:p>
    <w:p w14:paraId="29794092" w14:textId="77777777" w:rsidR="00F21042" w:rsidRDefault="00A4486A" w:rsidP="00002EF5">
      <w:pPr>
        <w:pStyle w:val="base-text-paragraph"/>
        <w:numPr>
          <w:ilvl w:val="1"/>
          <w:numId w:val="24"/>
        </w:numPr>
      </w:pPr>
      <w:r>
        <w:t>Under section </w:t>
      </w:r>
      <w:r w:rsidR="00F21042">
        <w:t xml:space="preserve">59 of the </w:t>
      </w:r>
      <w:r>
        <w:rPr>
          <w:i/>
        </w:rPr>
        <w:t>Excise Act </w:t>
      </w:r>
      <w:r w:rsidR="00F21042" w:rsidRPr="003714E8">
        <w:rPr>
          <w:i/>
        </w:rPr>
        <w:t>1901</w:t>
      </w:r>
      <w:r w:rsidR="00F21042">
        <w:rPr>
          <w:i/>
        </w:rPr>
        <w:t xml:space="preserve"> </w:t>
      </w:r>
      <w:r w:rsidR="00F21042">
        <w:t xml:space="preserve">the excise duty that applies to excisable goods, including domestically </w:t>
      </w:r>
      <w:r w:rsidR="00BE3574">
        <w:t xml:space="preserve">manufactured </w:t>
      </w:r>
      <w:r w:rsidR="00F21042">
        <w:t>biofuels</w:t>
      </w:r>
      <w:r w:rsidR="003714E8">
        <w:t>,</w:t>
      </w:r>
      <w:r w:rsidR="00F21042">
        <w:t xml:space="preserve"> is</w:t>
      </w:r>
      <w:r w:rsidR="003714E8">
        <w:t xml:space="preserve"> imposed at</w:t>
      </w:r>
      <w:r w:rsidR="00F21042">
        <w:t xml:space="preserve"> the rate in force on the earlier of the day when the goods are delivered for</w:t>
      </w:r>
      <w:r w:rsidR="003E6B6D">
        <w:t xml:space="preserve"> home consumption under section </w:t>
      </w:r>
      <w:r w:rsidR="00F21042">
        <w:t xml:space="preserve">61C </w:t>
      </w:r>
      <w:r w:rsidR="003714E8">
        <w:t xml:space="preserve">of the </w:t>
      </w:r>
      <w:r w:rsidR="003E6B6D">
        <w:rPr>
          <w:i/>
        </w:rPr>
        <w:t>Excise Act </w:t>
      </w:r>
      <w:r w:rsidR="003714E8" w:rsidRPr="003714E8">
        <w:rPr>
          <w:i/>
        </w:rPr>
        <w:t>1901</w:t>
      </w:r>
      <w:r w:rsidR="003714E8">
        <w:t xml:space="preserve"> </w:t>
      </w:r>
      <w:r w:rsidR="00F21042">
        <w:t>or the day that payment of the duty is made.</w:t>
      </w:r>
    </w:p>
    <w:p w14:paraId="2BAEEA65" w14:textId="77777777" w:rsidR="00A8723F" w:rsidRDefault="00A8723F" w:rsidP="00002EF5">
      <w:pPr>
        <w:pStyle w:val="base-text-paragraph"/>
        <w:numPr>
          <w:ilvl w:val="1"/>
          <w:numId w:val="24"/>
        </w:numPr>
      </w:pPr>
      <w:r>
        <w:t xml:space="preserve">The </w:t>
      </w:r>
      <w:r w:rsidR="005137A1">
        <w:t>Excise Tariff Amendment Bill</w:t>
      </w:r>
      <w:r w:rsidRPr="001C45FF">
        <w:t xml:space="preserve"> 20</w:t>
      </w:r>
      <w:r>
        <w:t xml:space="preserve">15 ensures that the relevant rate of excise duty </w:t>
      </w:r>
      <w:r w:rsidR="00F21042">
        <w:t xml:space="preserve">in force for biofuels on 1 July 2015 </w:t>
      </w:r>
      <w:r w:rsidR="00A300E3">
        <w:t>is zero</w:t>
      </w:r>
      <w:r w:rsidR="003714E8">
        <w:t>. The rate</w:t>
      </w:r>
      <w:r w:rsidR="000478F6">
        <w:t>s</w:t>
      </w:r>
      <w:r w:rsidR="00F21042">
        <w:t xml:space="preserve"> then increase annually </w:t>
      </w:r>
      <w:r w:rsidR="000478F6">
        <w:t xml:space="preserve">on 1 July as a proportion of the excise rates for petrol and diesel respectively, </w:t>
      </w:r>
      <w:r w:rsidR="00F21042">
        <w:t xml:space="preserve">until </w:t>
      </w:r>
      <w:r w:rsidR="000478F6">
        <w:t>1 July 2020, when</w:t>
      </w:r>
      <w:r w:rsidR="00F21042">
        <w:t xml:space="preserve"> the final rates for </w:t>
      </w:r>
      <w:r w:rsidR="00784A70">
        <w:t xml:space="preserve">domestically manufactured </w:t>
      </w:r>
      <w:r w:rsidR="00F21042">
        <w:t>fuel ethanol and biodiesel apply</w:t>
      </w:r>
      <w:r w:rsidR="000F1B4F">
        <w:t>.</w:t>
      </w:r>
      <w:r w:rsidR="005137A1">
        <w:t xml:space="preserve"> </w:t>
      </w:r>
      <w:r w:rsidR="005137A1" w:rsidRPr="005137A1">
        <w:rPr>
          <w:rStyle w:val="Referencingstyle"/>
        </w:rPr>
        <w:t>[</w:t>
      </w:r>
      <w:r w:rsidR="00221E19">
        <w:rPr>
          <w:rStyle w:val="Referencingstyle"/>
        </w:rPr>
        <w:t>Schedule 1,</w:t>
      </w:r>
      <w:r w:rsidR="005137A1" w:rsidRPr="005137A1">
        <w:rPr>
          <w:rStyle w:val="Referencingstyle"/>
        </w:rPr>
        <w:t xml:space="preserve"> item </w:t>
      </w:r>
      <w:r w:rsidR="007E7AD0">
        <w:rPr>
          <w:rStyle w:val="Referencingstyle"/>
        </w:rPr>
        <w:t>4</w:t>
      </w:r>
      <w:r w:rsidR="00221E19">
        <w:rPr>
          <w:rStyle w:val="Referencingstyle"/>
        </w:rPr>
        <w:t xml:space="preserve"> of the Excise Tariff Amendment Bill 2015,</w:t>
      </w:r>
      <w:r w:rsidR="005137A1" w:rsidRPr="005137A1">
        <w:rPr>
          <w:rStyle w:val="Referencingstyle"/>
        </w:rPr>
        <w:t xml:space="preserve"> subsection</w:t>
      </w:r>
      <w:r w:rsidR="007E7AD0">
        <w:rPr>
          <w:rStyle w:val="Referencingstyle"/>
        </w:rPr>
        <w:t>s</w:t>
      </w:r>
      <w:r w:rsidR="005137A1" w:rsidRPr="005137A1">
        <w:rPr>
          <w:rStyle w:val="Referencingstyle"/>
        </w:rPr>
        <w:t xml:space="preserve"> 6H(</w:t>
      </w:r>
      <w:r w:rsidR="007E7AD0">
        <w:rPr>
          <w:rStyle w:val="Referencingstyle"/>
        </w:rPr>
        <w:t>1</w:t>
      </w:r>
      <w:r w:rsidR="005137A1" w:rsidRPr="005137A1">
        <w:rPr>
          <w:rStyle w:val="Referencingstyle"/>
        </w:rPr>
        <w:t>)</w:t>
      </w:r>
      <w:r w:rsidR="007E7AD0">
        <w:rPr>
          <w:rStyle w:val="Referencingstyle"/>
        </w:rPr>
        <w:t xml:space="preserve"> and</w:t>
      </w:r>
      <w:r w:rsidR="00221E19">
        <w:rPr>
          <w:rStyle w:val="Referencingstyle"/>
        </w:rPr>
        <w:t> </w:t>
      </w:r>
      <w:r w:rsidR="007E7AD0">
        <w:rPr>
          <w:rStyle w:val="Referencingstyle"/>
        </w:rPr>
        <w:t>(2)</w:t>
      </w:r>
      <w:r w:rsidR="005137A1" w:rsidRPr="005137A1">
        <w:rPr>
          <w:rStyle w:val="Referencingstyle"/>
        </w:rPr>
        <w:t xml:space="preserve"> and 6J</w:t>
      </w:r>
      <w:r w:rsidR="007E7AD0">
        <w:rPr>
          <w:rStyle w:val="Referencingstyle"/>
        </w:rPr>
        <w:t xml:space="preserve">(1) </w:t>
      </w:r>
      <w:r w:rsidR="00140E36">
        <w:rPr>
          <w:rStyle w:val="Referencingstyle"/>
        </w:rPr>
        <w:t>and </w:t>
      </w:r>
      <w:r w:rsidR="005137A1" w:rsidRPr="005137A1">
        <w:rPr>
          <w:rStyle w:val="Referencingstyle"/>
        </w:rPr>
        <w:t>(2) of the ETA 1921]</w:t>
      </w:r>
    </w:p>
    <w:p w14:paraId="7062F7DC" w14:textId="77777777" w:rsidR="00A67427" w:rsidRDefault="00A67427" w:rsidP="00DA4EFD">
      <w:pPr>
        <w:pStyle w:val="ExampleHeading"/>
      </w:pPr>
      <w:r>
        <w:t xml:space="preserve">: </w:t>
      </w:r>
      <w:r w:rsidRPr="00DA4EFD">
        <w:t>Calculating</w:t>
      </w:r>
      <w:r>
        <w:t xml:space="preserve"> the excise duty </w:t>
      </w:r>
      <w:r w:rsidR="004D0622">
        <w:t>rate</w:t>
      </w:r>
      <w:r>
        <w:t xml:space="preserve"> on </w:t>
      </w:r>
      <w:r w:rsidR="003714E8">
        <w:t xml:space="preserve">biofuels </w:t>
      </w:r>
      <w:r w:rsidR="004D0622">
        <w:t>manufacture</w:t>
      </w:r>
      <w:r w:rsidR="003714E8">
        <w:t xml:space="preserve">d </w:t>
      </w:r>
      <w:r w:rsidR="0025246B">
        <w:t>after 30 June </w:t>
      </w:r>
      <w:r w:rsidR="00A300E3">
        <w:t>2015</w:t>
      </w:r>
    </w:p>
    <w:p w14:paraId="1FCBA497" w14:textId="77777777" w:rsidR="00A32F3F" w:rsidRDefault="005961A5" w:rsidP="00A67427">
      <w:pPr>
        <w:pStyle w:val="exampletext"/>
      </w:pPr>
      <w:r>
        <w:t xml:space="preserve">An </w:t>
      </w:r>
      <w:r w:rsidR="00A67427">
        <w:t xml:space="preserve">ethanol producer </w:t>
      </w:r>
      <w:r w:rsidR="008953CB">
        <w:t>manufactures</w:t>
      </w:r>
      <w:r w:rsidR="00A67427">
        <w:t xml:space="preserve"> fuel ethanol </w:t>
      </w:r>
      <w:r>
        <w:t xml:space="preserve">in Australia </w:t>
      </w:r>
      <w:r w:rsidR="00A32F3F">
        <w:t xml:space="preserve">on </w:t>
      </w:r>
      <w:r w:rsidR="00E246CE">
        <w:t>30 June </w:t>
      </w:r>
      <w:r w:rsidR="00A32F3F">
        <w:t xml:space="preserve">2016 and </w:t>
      </w:r>
      <w:r w:rsidR="00F21042">
        <w:t>delivers</w:t>
      </w:r>
      <w:r w:rsidR="00A32F3F">
        <w:t xml:space="preserve"> the fuel ethanol for home consumption on that day</w:t>
      </w:r>
      <w:r w:rsidR="00C370A2">
        <w:t>.</w:t>
      </w:r>
      <w:r w:rsidR="00B95908">
        <w:t xml:space="preserve"> </w:t>
      </w:r>
      <w:r w:rsidR="000478F6">
        <w:t>The producer</w:t>
      </w:r>
      <w:r w:rsidR="00C370A2">
        <w:t xml:space="preserve"> </w:t>
      </w:r>
      <w:r w:rsidR="00B95908">
        <w:t>pay</w:t>
      </w:r>
      <w:r w:rsidR="000478F6">
        <w:t>s</w:t>
      </w:r>
      <w:r w:rsidR="00B95908">
        <w:t xml:space="preserve"> duty after </w:t>
      </w:r>
      <w:r w:rsidR="0025246B">
        <w:t>30 June </w:t>
      </w:r>
      <w:r w:rsidR="00E246CE">
        <w:t>2016</w:t>
      </w:r>
      <w:r w:rsidR="00B95908">
        <w:t xml:space="preserve"> using the</w:t>
      </w:r>
      <w:r w:rsidR="00C95FC3">
        <w:t>ir</w:t>
      </w:r>
      <w:r w:rsidR="00B95908">
        <w:t xml:space="preserve"> periodic settlement </w:t>
      </w:r>
      <w:r w:rsidR="0025246B">
        <w:t>permission issued under section </w:t>
      </w:r>
      <w:r w:rsidR="00B95908">
        <w:t xml:space="preserve">61C of the </w:t>
      </w:r>
      <w:r w:rsidR="0025246B">
        <w:rPr>
          <w:i/>
        </w:rPr>
        <w:t>Excise Act </w:t>
      </w:r>
      <w:r w:rsidR="00B95908" w:rsidRPr="00E246CE">
        <w:rPr>
          <w:i/>
        </w:rPr>
        <w:t>1901</w:t>
      </w:r>
      <w:r w:rsidR="00A32F3F">
        <w:t>. A nil rate of excise du</w:t>
      </w:r>
      <w:r w:rsidR="0025246B">
        <w:t>ty applies to the fuel ethanol.</w:t>
      </w:r>
    </w:p>
    <w:p w14:paraId="6275FD76" w14:textId="77777777" w:rsidR="00A67427" w:rsidRDefault="00A32F3F" w:rsidP="00A67427">
      <w:pPr>
        <w:pStyle w:val="exampletext"/>
      </w:pPr>
      <w:r>
        <w:t>A</w:t>
      </w:r>
      <w:r w:rsidR="005961A5">
        <w:t xml:space="preserve"> </w:t>
      </w:r>
      <w:r>
        <w:t xml:space="preserve">biodiesel producer manufactures biodiesel </w:t>
      </w:r>
      <w:r w:rsidR="005961A5">
        <w:t xml:space="preserve">in Australia </w:t>
      </w:r>
      <w:r>
        <w:t xml:space="preserve">on </w:t>
      </w:r>
      <w:r w:rsidR="00E246CE">
        <w:t>30 June </w:t>
      </w:r>
      <w:r>
        <w:t xml:space="preserve">2017 but does not </w:t>
      </w:r>
      <w:r w:rsidR="00B95908">
        <w:t>deliver</w:t>
      </w:r>
      <w:r>
        <w:t xml:space="preserve"> the biodiesel for home consumption or pay duty until 10</w:t>
      </w:r>
      <w:r w:rsidR="0025246B">
        <w:t> July </w:t>
      </w:r>
      <w:r>
        <w:t xml:space="preserve">2017. Excise duty applies to the biodiesel at the rate of </w:t>
      </w:r>
      <w:r w:rsidR="00A2332F">
        <w:t>20</w:t>
      </w:r>
      <w:r w:rsidR="0025246B">
        <w:t> per </w:t>
      </w:r>
      <w:r>
        <w:t xml:space="preserve">cent of the diesel excise duty rate that applies at the time of </w:t>
      </w:r>
      <w:r w:rsidR="00B95908">
        <w:t xml:space="preserve">delivery </w:t>
      </w:r>
      <w:r w:rsidR="005961A5">
        <w:t xml:space="preserve">of the biodiesel </w:t>
      </w:r>
      <w:r>
        <w:t xml:space="preserve">for home consumption on </w:t>
      </w:r>
      <w:r w:rsidR="00E246CE">
        <w:t>10 July </w:t>
      </w:r>
      <w:r>
        <w:t>2017.</w:t>
      </w:r>
    </w:p>
    <w:p w14:paraId="63897214" w14:textId="77777777" w:rsidR="00A8723F" w:rsidRDefault="00A8723F" w:rsidP="00002EF5">
      <w:pPr>
        <w:pStyle w:val="base-text-paragraph"/>
        <w:numPr>
          <w:ilvl w:val="1"/>
          <w:numId w:val="24"/>
        </w:numPr>
      </w:pPr>
      <w:r>
        <w:t>On 1</w:t>
      </w:r>
      <w:r w:rsidR="0025246B">
        <w:t> July </w:t>
      </w:r>
      <w:r>
        <w:t>2020</w:t>
      </w:r>
      <w:r w:rsidR="00061B27">
        <w:t>,</w:t>
      </w:r>
      <w:r>
        <w:t xml:space="preserve"> the rate of excise duty for fuel ethanol </w:t>
      </w:r>
      <w:r w:rsidR="00C370A2">
        <w:t xml:space="preserve">will be </w:t>
      </w:r>
      <w:r>
        <w:t xml:space="preserve">equal to approximately 33 per cent of the rate of excise duty for petrol. On </w:t>
      </w:r>
      <w:r w:rsidR="00E246CE">
        <w:t>1 July </w:t>
      </w:r>
      <w:r>
        <w:t>2020</w:t>
      </w:r>
      <w:r w:rsidR="00EB3516">
        <w:t>,</w:t>
      </w:r>
      <w:r>
        <w:t xml:space="preserve"> the rate of excise duty for </w:t>
      </w:r>
      <w:r w:rsidR="00CE0442">
        <w:t xml:space="preserve">domestically manufactured </w:t>
      </w:r>
      <w:r>
        <w:t xml:space="preserve">biodiesel </w:t>
      </w:r>
      <w:r w:rsidR="00C370A2">
        <w:t>will be</w:t>
      </w:r>
      <w:r w:rsidR="00022E85">
        <w:t xml:space="preserve"> set at</w:t>
      </w:r>
      <w:r>
        <w:t xml:space="preserve"> 50 per cent of the rate of excise duty for diesel</w:t>
      </w:r>
      <w:r w:rsidR="00626917">
        <w:t>.</w:t>
      </w:r>
      <w:r>
        <w:t xml:space="preserve"> The rate of excise </w:t>
      </w:r>
      <w:r w:rsidR="00626917">
        <w:t xml:space="preserve">duty </w:t>
      </w:r>
      <w:r>
        <w:t>take</w:t>
      </w:r>
      <w:r w:rsidR="0024385D">
        <w:t>s</w:t>
      </w:r>
      <w:r>
        <w:t xml:space="preserve"> into account the energy content of the biofuels</w:t>
      </w:r>
      <w:r w:rsidR="00626917">
        <w:t xml:space="preserve">, which are </w:t>
      </w:r>
      <w:r>
        <w:t xml:space="preserve">classified into low, medium and high energy content bands. Petrol, </w:t>
      </w:r>
      <w:r w:rsidR="001260A3">
        <w:t>diesel</w:t>
      </w:r>
      <w:r w:rsidR="0024385D">
        <w:t xml:space="preserve"> and</w:t>
      </w:r>
      <w:r w:rsidR="001260A3">
        <w:t xml:space="preserve"> </w:t>
      </w:r>
      <w:r>
        <w:t>biodiesel are within the high energy content band. Fuel ethanol has approximately 65 per cent of the energy content of petrol and accordingly is within the medium energy content band.</w:t>
      </w:r>
      <w:r w:rsidR="00316E5F" w:rsidRPr="00316E5F">
        <w:t xml:space="preserve"> </w:t>
      </w:r>
      <w:r w:rsidR="00316E5F" w:rsidRPr="005137A1">
        <w:rPr>
          <w:rStyle w:val="Referencingstyle"/>
        </w:rPr>
        <w:t>[</w:t>
      </w:r>
      <w:r w:rsidR="00221E19">
        <w:rPr>
          <w:rStyle w:val="Referencingstyle"/>
        </w:rPr>
        <w:t xml:space="preserve">Schedule 1, item 4 of the </w:t>
      </w:r>
      <w:r w:rsidR="00316E5F" w:rsidRPr="005137A1">
        <w:rPr>
          <w:rStyle w:val="Referencingstyle"/>
        </w:rPr>
        <w:t>Excise Tariff Amendment Bi</w:t>
      </w:r>
      <w:r w:rsidR="00316E5F">
        <w:rPr>
          <w:rStyle w:val="Referencingstyle"/>
        </w:rPr>
        <w:t>ll 2015, table item 6 of subsection 6H(1</w:t>
      </w:r>
      <w:r w:rsidR="00316E5F" w:rsidRPr="005137A1">
        <w:rPr>
          <w:rStyle w:val="Referencingstyle"/>
        </w:rPr>
        <w:t xml:space="preserve">) and </w:t>
      </w:r>
      <w:r w:rsidR="00316E5F">
        <w:rPr>
          <w:rStyle w:val="Referencingstyle"/>
        </w:rPr>
        <w:t>table</w:t>
      </w:r>
      <w:r w:rsidR="00221E19">
        <w:rPr>
          <w:rStyle w:val="Referencingstyle"/>
        </w:rPr>
        <w:t> </w:t>
      </w:r>
      <w:r w:rsidR="00316E5F">
        <w:rPr>
          <w:rStyle w:val="Referencingstyle"/>
        </w:rPr>
        <w:t>item</w:t>
      </w:r>
      <w:r w:rsidR="00221E19">
        <w:rPr>
          <w:rStyle w:val="Referencingstyle"/>
        </w:rPr>
        <w:t> </w:t>
      </w:r>
      <w:r w:rsidR="00316E5F">
        <w:rPr>
          <w:rStyle w:val="Referencingstyle"/>
        </w:rPr>
        <w:t xml:space="preserve">6 of subsection </w:t>
      </w:r>
      <w:r w:rsidR="00316E5F" w:rsidRPr="005137A1">
        <w:rPr>
          <w:rStyle w:val="Referencingstyle"/>
        </w:rPr>
        <w:t>6J(</w:t>
      </w:r>
      <w:r w:rsidR="004C5091">
        <w:rPr>
          <w:rStyle w:val="Referencingstyle"/>
        </w:rPr>
        <w:t>1</w:t>
      </w:r>
      <w:r w:rsidR="00316E5F" w:rsidRPr="005137A1">
        <w:rPr>
          <w:rStyle w:val="Referencingstyle"/>
        </w:rPr>
        <w:t>) of the ETA 1921]</w:t>
      </w:r>
    </w:p>
    <w:p w14:paraId="2AEA5DC8" w14:textId="77777777" w:rsidR="00A8723F" w:rsidRDefault="00FE093D" w:rsidP="00A67427">
      <w:pPr>
        <w:pStyle w:val="base-text-paragraph"/>
      </w:pPr>
      <w:r>
        <w:t>T</w:t>
      </w:r>
      <w:r w:rsidR="00626917">
        <w:t xml:space="preserve">he </w:t>
      </w:r>
      <w:r w:rsidR="00A8723F">
        <w:t xml:space="preserve">excise </w:t>
      </w:r>
      <w:r w:rsidR="00626917">
        <w:t xml:space="preserve">duty </w:t>
      </w:r>
      <w:r w:rsidR="00A8723F">
        <w:t xml:space="preserve">rate for </w:t>
      </w:r>
      <w:r w:rsidR="00784A70">
        <w:t xml:space="preserve">domestically manufactured </w:t>
      </w:r>
      <w:r w:rsidR="00A8723F">
        <w:t>fuel ethanol</w:t>
      </w:r>
      <w:r w:rsidR="0024385D">
        <w:t xml:space="preserve"> and</w:t>
      </w:r>
      <w:r w:rsidR="00A8723F">
        <w:t xml:space="preserve"> biodiesel </w:t>
      </w:r>
      <w:r w:rsidR="0024385D">
        <w:t xml:space="preserve">is calculated </w:t>
      </w:r>
      <w:r w:rsidR="00061B27">
        <w:t xml:space="preserve">by multiplying </w:t>
      </w:r>
      <w:r w:rsidR="0024385D">
        <w:t>the</w:t>
      </w:r>
      <w:r w:rsidR="00A8723F">
        <w:t xml:space="preserve"> excise </w:t>
      </w:r>
      <w:r w:rsidR="00626917">
        <w:t xml:space="preserve">duty </w:t>
      </w:r>
      <w:r w:rsidR="00A8723F">
        <w:t xml:space="preserve">rate for petrol </w:t>
      </w:r>
      <w:r w:rsidR="0013071C">
        <w:t>and</w:t>
      </w:r>
      <w:r w:rsidR="00A8723F">
        <w:t xml:space="preserve"> diesel </w:t>
      </w:r>
      <w:r w:rsidR="0013071C">
        <w:t xml:space="preserve">respectively </w:t>
      </w:r>
      <w:r>
        <w:t>by the relevant factor</w:t>
      </w:r>
      <w:r w:rsidR="00A8723F">
        <w:t>.</w:t>
      </w:r>
      <w:r w:rsidR="00626917">
        <w:t xml:space="preserve"> </w:t>
      </w:r>
      <w:r>
        <w:t>T</w:t>
      </w:r>
      <w:r w:rsidR="00A8723F">
        <w:t xml:space="preserve">he </w:t>
      </w:r>
      <w:r>
        <w:t xml:space="preserve">resulting </w:t>
      </w:r>
      <w:r w:rsidR="00A8723F">
        <w:t xml:space="preserve">excise </w:t>
      </w:r>
      <w:r w:rsidR="00626917">
        <w:t xml:space="preserve">duty </w:t>
      </w:r>
      <w:r w:rsidR="00A8723F">
        <w:t xml:space="preserve">rates are </w:t>
      </w:r>
      <w:r w:rsidR="00626917">
        <w:t xml:space="preserve">then </w:t>
      </w:r>
      <w:r w:rsidR="00A8723F">
        <w:t>rounded to three decimal places of a dollar (equivalent to one decimal place of a cent)</w:t>
      </w:r>
      <w:r w:rsidR="00A67427">
        <w:t>. T</w:t>
      </w:r>
      <w:r w:rsidR="00A67427" w:rsidRPr="00A67427">
        <w:t>he third decimal place is rounded up if the fourth decimal place is five or more</w:t>
      </w:r>
      <w:r w:rsidR="00A8723F">
        <w:t xml:space="preserve">. </w:t>
      </w:r>
      <w:r w:rsidR="00626917" w:rsidRPr="005137A1">
        <w:rPr>
          <w:rStyle w:val="Referencingstyle"/>
        </w:rPr>
        <w:t>[</w:t>
      </w:r>
      <w:r w:rsidR="001C1173">
        <w:rPr>
          <w:rStyle w:val="Referencingstyle"/>
        </w:rPr>
        <w:t xml:space="preserve">Schedule 1, item 4, </w:t>
      </w:r>
      <w:r w:rsidR="00626917" w:rsidRPr="005137A1">
        <w:rPr>
          <w:rStyle w:val="Referencingstyle"/>
        </w:rPr>
        <w:t>Excise Tariff Amendment Bill</w:t>
      </w:r>
      <w:r w:rsidR="00626917">
        <w:rPr>
          <w:rStyle w:val="Referencingstyle"/>
        </w:rPr>
        <w:t xml:space="preserve"> 2015</w:t>
      </w:r>
      <w:r w:rsidR="00626917" w:rsidRPr="005137A1">
        <w:rPr>
          <w:rStyle w:val="Referencingstyle"/>
        </w:rPr>
        <w:t>, subsections 6H(1) and 6J(1) of the ETA 1921]</w:t>
      </w:r>
      <w:r w:rsidR="00A8723F">
        <w:t xml:space="preserve"> </w:t>
      </w:r>
    </w:p>
    <w:p w14:paraId="7C1C8670" w14:textId="77777777" w:rsidR="00A8723F" w:rsidRDefault="00A8723F" w:rsidP="0033283D">
      <w:pPr>
        <w:pStyle w:val="ExampleHeading"/>
        <w:keepLines/>
        <w:numPr>
          <w:ilvl w:val="3"/>
          <w:numId w:val="24"/>
        </w:numPr>
      </w:pPr>
      <w:r>
        <w:t xml:space="preserve">: Calculating the excise </w:t>
      </w:r>
      <w:r w:rsidR="00626917">
        <w:t xml:space="preserve">duty </w:t>
      </w:r>
      <w:r>
        <w:t>rates on 1 July of each year</w:t>
      </w:r>
    </w:p>
    <w:p w14:paraId="6D5E6D26" w14:textId="77777777" w:rsidR="00A8723F" w:rsidRDefault="00A8723F" w:rsidP="0033283D">
      <w:pPr>
        <w:pStyle w:val="exampletext"/>
        <w:keepNext/>
        <w:keepLines/>
      </w:pPr>
      <w:r>
        <w:t xml:space="preserve">Assume that on 1 July 2016 the excise </w:t>
      </w:r>
      <w:r w:rsidR="00626917">
        <w:t xml:space="preserve">duty </w:t>
      </w:r>
      <w:r>
        <w:t xml:space="preserve">rate for petrol </w:t>
      </w:r>
      <w:r w:rsidR="001260A3">
        <w:t xml:space="preserve">and diesel </w:t>
      </w:r>
      <w:r>
        <w:t>is $0.</w:t>
      </w:r>
      <w:r w:rsidR="001260A3">
        <w:t>395</w:t>
      </w:r>
      <w:r w:rsidR="004313A0">
        <w:t> per </w:t>
      </w:r>
      <w:r>
        <w:t>litre.</w:t>
      </w:r>
    </w:p>
    <w:p w14:paraId="5A8E2B63" w14:textId="77777777" w:rsidR="00A8723F" w:rsidRDefault="00A8723F" w:rsidP="0033283D">
      <w:pPr>
        <w:pStyle w:val="exampletext"/>
        <w:keepNext/>
        <w:keepLines/>
      </w:pPr>
      <w:r>
        <w:t xml:space="preserve">The excise </w:t>
      </w:r>
      <w:r w:rsidR="00626917">
        <w:t xml:space="preserve">duty </w:t>
      </w:r>
      <w:r>
        <w:t xml:space="preserve">rate for </w:t>
      </w:r>
      <w:r w:rsidR="004313A0">
        <w:t>fuel ethanol applying on 1 July </w:t>
      </w:r>
      <w:r>
        <w:t xml:space="preserve">2016 </w:t>
      </w:r>
      <w:r w:rsidR="00061B27">
        <w:t xml:space="preserve">would be </w:t>
      </w:r>
      <w:r>
        <w:t>$0.026 per litre ($0.</w:t>
      </w:r>
      <w:r w:rsidR="001260A3">
        <w:t xml:space="preserve">395 </w:t>
      </w:r>
      <w:r>
        <w:t>x 0.065</w:t>
      </w:r>
      <w:r w:rsidR="00CE0442">
        <w:t>5</w:t>
      </w:r>
      <w:r w:rsidR="004C5091">
        <w:t>4</w:t>
      </w:r>
      <w:r>
        <w:t xml:space="preserve"> = $0.02</w:t>
      </w:r>
      <w:r w:rsidR="001260A3">
        <w:t>58 per litre, which</w:t>
      </w:r>
      <w:r w:rsidR="004313A0">
        <w:t>,</w:t>
      </w:r>
      <w:r w:rsidR="001260A3">
        <w:t xml:space="preserve"> </w:t>
      </w:r>
      <w:r>
        <w:t>rounded to three decimal place</w:t>
      </w:r>
      <w:r w:rsidR="004313A0">
        <w:t>s</w:t>
      </w:r>
      <w:r>
        <w:t xml:space="preserve"> of a dollar</w:t>
      </w:r>
      <w:r w:rsidR="004313A0">
        <w:t>,</w:t>
      </w:r>
      <w:r w:rsidR="001260A3">
        <w:t xml:space="preserve"> is $0.026</w:t>
      </w:r>
      <w:r>
        <w:t xml:space="preserve">). </w:t>
      </w:r>
    </w:p>
    <w:p w14:paraId="1B23540D" w14:textId="77777777" w:rsidR="00A8723F" w:rsidRPr="00AE0E20" w:rsidRDefault="00A8723F" w:rsidP="0033283D">
      <w:pPr>
        <w:pStyle w:val="exampletext"/>
        <w:keepNext/>
        <w:keepLines/>
      </w:pPr>
      <w:r>
        <w:t xml:space="preserve">The excise </w:t>
      </w:r>
      <w:r w:rsidR="00182E62">
        <w:t xml:space="preserve">duty </w:t>
      </w:r>
      <w:r>
        <w:t xml:space="preserve">rate for biodiesel commencing on </w:t>
      </w:r>
      <w:r w:rsidR="001260A3">
        <w:t>1 </w:t>
      </w:r>
      <w:r w:rsidR="004313A0">
        <w:t>July </w:t>
      </w:r>
      <w:r>
        <w:t xml:space="preserve">2016 </w:t>
      </w:r>
      <w:r w:rsidR="00061B27">
        <w:t xml:space="preserve">would be </w:t>
      </w:r>
      <w:r>
        <w:t>$0.04 per litre ($0.</w:t>
      </w:r>
      <w:r w:rsidR="001260A3">
        <w:t>395</w:t>
      </w:r>
      <w:r>
        <w:t xml:space="preserve"> x 0.1000 = $0.0</w:t>
      </w:r>
      <w:r w:rsidR="001260A3">
        <w:t>395</w:t>
      </w:r>
      <w:r>
        <w:t xml:space="preserve"> per litre</w:t>
      </w:r>
      <w:r w:rsidR="001260A3">
        <w:t xml:space="preserve">, which </w:t>
      </w:r>
      <w:r>
        <w:t>rounded to three decimal places of a dollar</w:t>
      </w:r>
      <w:r w:rsidR="001260A3">
        <w:t xml:space="preserve"> is $0.04</w:t>
      </w:r>
      <w:r>
        <w:t>).</w:t>
      </w:r>
    </w:p>
    <w:p w14:paraId="355C3D75" w14:textId="77777777" w:rsidR="00692A5F" w:rsidRPr="001C2D3C" w:rsidRDefault="00692A5F" w:rsidP="00064E98">
      <w:pPr>
        <w:pStyle w:val="Heading3"/>
      </w:pPr>
      <w:r w:rsidRPr="001C2D3C">
        <w:t>Excise duty for fuel ethanol</w:t>
      </w:r>
    </w:p>
    <w:p w14:paraId="2EAE76F7" w14:textId="77777777" w:rsidR="00692A5F" w:rsidRPr="004E7304" w:rsidRDefault="00692A5F" w:rsidP="00644434">
      <w:pPr>
        <w:pStyle w:val="base-text-paragraph"/>
        <w:numPr>
          <w:ilvl w:val="1"/>
          <w:numId w:val="24"/>
        </w:numPr>
      </w:pPr>
      <w:r>
        <w:t>Fuel ethanol continues to be separately classified under the ETA</w:t>
      </w:r>
      <w:r w:rsidR="0025246B">
        <w:t> </w:t>
      </w:r>
      <w:r>
        <w:t xml:space="preserve">1921. The amendments include provisions for working out the relevant rate of duty that applies. </w:t>
      </w:r>
      <w:r w:rsidRPr="00644434">
        <w:rPr>
          <w:b/>
          <w:i/>
          <w:sz w:val="18"/>
          <w:szCs w:val="18"/>
        </w:rPr>
        <w:t>[</w:t>
      </w:r>
      <w:r w:rsidR="00221E19" w:rsidRPr="00644434">
        <w:rPr>
          <w:b/>
          <w:i/>
          <w:sz w:val="18"/>
          <w:szCs w:val="18"/>
        </w:rPr>
        <w:t xml:space="preserve">Schedule 1, items 3, 6 and 8 of the </w:t>
      </w:r>
      <w:r w:rsidR="00797BA8" w:rsidRPr="00644434">
        <w:rPr>
          <w:b/>
          <w:i/>
          <w:sz w:val="18"/>
          <w:szCs w:val="18"/>
        </w:rPr>
        <w:t>Excise Tariff Amendment Bill</w:t>
      </w:r>
      <w:r w:rsidR="00221E19" w:rsidRPr="00644434">
        <w:rPr>
          <w:b/>
          <w:i/>
          <w:sz w:val="18"/>
          <w:szCs w:val="18"/>
        </w:rPr>
        <w:t> </w:t>
      </w:r>
      <w:r w:rsidR="00797BA8" w:rsidRPr="00644434">
        <w:rPr>
          <w:b/>
          <w:i/>
          <w:sz w:val="18"/>
          <w:szCs w:val="18"/>
        </w:rPr>
        <w:t xml:space="preserve">2015, </w:t>
      </w:r>
      <w:r w:rsidR="007E7AD0" w:rsidRPr="00644434">
        <w:rPr>
          <w:b/>
          <w:i/>
          <w:sz w:val="18"/>
          <w:szCs w:val="18"/>
        </w:rPr>
        <w:t>subsection 6G(1)</w:t>
      </w:r>
      <w:r w:rsidR="009139AA" w:rsidRPr="00644434">
        <w:rPr>
          <w:b/>
          <w:i/>
          <w:sz w:val="18"/>
          <w:szCs w:val="18"/>
        </w:rPr>
        <w:t xml:space="preserve"> of the ETA 1921</w:t>
      </w:r>
      <w:r w:rsidR="007E7AD0" w:rsidRPr="00644434">
        <w:rPr>
          <w:b/>
          <w:i/>
          <w:sz w:val="18"/>
          <w:szCs w:val="18"/>
        </w:rPr>
        <w:t xml:space="preserve">, </w:t>
      </w:r>
      <w:r w:rsidR="00221E19" w:rsidRPr="00644434">
        <w:rPr>
          <w:b/>
          <w:i/>
          <w:sz w:val="18"/>
          <w:szCs w:val="18"/>
        </w:rPr>
        <w:t xml:space="preserve">table </w:t>
      </w:r>
      <w:r w:rsidR="007E7AD0" w:rsidRPr="00644434">
        <w:rPr>
          <w:b/>
          <w:i/>
          <w:sz w:val="18"/>
          <w:szCs w:val="18"/>
        </w:rPr>
        <w:t>subitem</w:t>
      </w:r>
      <w:r w:rsidR="00221E19" w:rsidRPr="00644434">
        <w:rPr>
          <w:b/>
          <w:i/>
          <w:sz w:val="18"/>
          <w:szCs w:val="18"/>
        </w:rPr>
        <w:t> </w:t>
      </w:r>
      <w:r w:rsidR="007E7AD0" w:rsidRPr="00644434">
        <w:rPr>
          <w:b/>
          <w:i/>
          <w:sz w:val="18"/>
          <w:szCs w:val="18"/>
        </w:rPr>
        <w:t>10.11</w:t>
      </w:r>
      <w:r w:rsidR="00140E36" w:rsidRPr="00644434">
        <w:rPr>
          <w:b/>
          <w:i/>
          <w:sz w:val="18"/>
          <w:szCs w:val="18"/>
        </w:rPr>
        <w:t xml:space="preserve"> and</w:t>
      </w:r>
      <w:r w:rsidR="007E7AD0" w:rsidRPr="00644434">
        <w:rPr>
          <w:b/>
          <w:i/>
          <w:sz w:val="18"/>
          <w:szCs w:val="18"/>
        </w:rPr>
        <w:t xml:space="preserve"> </w:t>
      </w:r>
      <w:r w:rsidRPr="00644434">
        <w:rPr>
          <w:b/>
          <w:i/>
          <w:sz w:val="18"/>
          <w:szCs w:val="18"/>
        </w:rPr>
        <w:t>cell at table subitem</w:t>
      </w:r>
      <w:r w:rsidR="00221E19" w:rsidRPr="00644434">
        <w:rPr>
          <w:b/>
          <w:i/>
          <w:sz w:val="18"/>
          <w:szCs w:val="18"/>
        </w:rPr>
        <w:t> </w:t>
      </w:r>
      <w:r w:rsidRPr="00644434">
        <w:rPr>
          <w:b/>
          <w:i/>
          <w:sz w:val="18"/>
          <w:szCs w:val="18"/>
        </w:rPr>
        <w:t xml:space="preserve">10.20 </w:t>
      </w:r>
      <w:r w:rsidR="00140E36" w:rsidRPr="00644434">
        <w:rPr>
          <w:b/>
          <w:i/>
          <w:sz w:val="18"/>
          <w:szCs w:val="18"/>
        </w:rPr>
        <w:t xml:space="preserve">in the </w:t>
      </w:r>
      <w:r w:rsidRPr="00644434">
        <w:rPr>
          <w:b/>
          <w:i/>
          <w:sz w:val="18"/>
          <w:szCs w:val="18"/>
        </w:rPr>
        <w:t xml:space="preserve">column headed </w:t>
      </w:r>
      <w:r w:rsidR="00700B2E">
        <w:rPr>
          <w:b/>
          <w:i/>
          <w:sz w:val="18"/>
          <w:szCs w:val="18"/>
        </w:rPr>
        <w:t>‘</w:t>
      </w:r>
      <w:r w:rsidR="00797BA8" w:rsidRPr="00644434">
        <w:rPr>
          <w:b/>
          <w:i/>
          <w:sz w:val="18"/>
          <w:szCs w:val="18"/>
        </w:rPr>
        <w:t>R</w:t>
      </w:r>
      <w:r w:rsidRPr="00644434">
        <w:rPr>
          <w:b/>
          <w:i/>
          <w:sz w:val="18"/>
          <w:szCs w:val="18"/>
        </w:rPr>
        <w:t xml:space="preserve">ate of </w:t>
      </w:r>
      <w:r w:rsidR="00797BA8" w:rsidRPr="00644434">
        <w:rPr>
          <w:b/>
          <w:i/>
          <w:sz w:val="18"/>
          <w:szCs w:val="18"/>
        </w:rPr>
        <w:t>D</w:t>
      </w:r>
      <w:r w:rsidRPr="00644434">
        <w:rPr>
          <w:b/>
          <w:i/>
          <w:sz w:val="18"/>
          <w:szCs w:val="18"/>
        </w:rPr>
        <w:t>uty</w:t>
      </w:r>
      <w:r w:rsidR="00700B2E">
        <w:rPr>
          <w:b/>
          <w:i/>
          <w:sz w:val="18"/>
          <w:szCs w:val="18"/>
        </w:rPr>
        <w:t>’</w:t>
      </w:r>
      <w:r w:rsidR="00215980" w:rsidRPr="00644434">
        <w:rPr>
          <w:b/>
          <w:i/>
          <w:sz w:val="18"/>
          <w:szCs w:val="18"/>
        </w:rPr>
        <w:t xml:space="preserve"> of</w:t>
      </w:r>
      <w:r w:rsidRPr="00644434">
        <w:rPr>
          <w:b/>
          <w:i/>
          <w:sz w:val="18"/>
          <w:szCs w:val="18"/>
        </w:rPr>
        <w:t xml:space="preserve"> </w:t>
      </w:r>
      <w:r w:rsidR="004C44FB" w:rsidRPr="00644434">
        <w:rPr>
          <w:b/>
          <w:i/>
          <w:sz w:val="18"/>
          <w:szCs w:val="18"/>
        </w:rPr>
        <w:t xml:space="preserve">the </w:t>
      </w:r>
      <w:r w:rsidR="00797BA8" w:rsidRPr="00644434">
        <w:rPr>
          <w:b/>
          <w:i/>
          <w:sz w:val="18"/>
          <w:szCs w:val="18"/>
        </w:rPr>
        <w:t xml:space="preserve">Schedule to the </w:t>
      </w:r>
      <w:r w:rsidRPr="00644434">
        <w:rPr>
          <w:b/>
          <w:i/>
          <w:sz w:val="18"/>
          <w:szCs w:val="18"/>
        </w:rPr>
        <w:t>ETA</w:t>
      </w:r>
      <w:r w:rsidR="009139AA" w:rsidRPr="00644434">
        <w:rPr>
          <w:b/>
          <w:i/>
          <w:sz w:val="18"/>
          <w:szCs w:val="18"/>
        </w:rPr>
        <w:t> </w:t>
      </w:r>
      <w:r w:rsidRPr="00644434">
        <w:rPr>
          <w:b/>
          <w:i/>
          <w:sz w:val="18"/>
          <w:szCs w:val="18"/>
        </w:rPr>
        <w:t>1921]</w:t>
      </w:r>
    </w:p>
    <w:p w14:paraId="7616A3D0" w14:textId="77777777" w:rsidR="00692A5F" w:rsidRPr="00022E85" w:rsidRDefault="00692A5F" w:rsidP="00022E85">
      <w:pPr>
        <w:pStyle w:val="base-text-paragraph"/>
        <w:numPr>
          <w:ilvl w:val="1"/>
          <w:numId w:val="24"/>
        </w:numPr>
        <w:rPr>
          <w:szCs w:val="22"/>
        </w:rPr>
      </w:pPr>
      <w:r w:rsidRPr="00022E85">
        <w:rPr>
          <w:szCs w:val="22"/>
        </w:rPr>
        <w:t>The amendments ensure that</w:t>
      </w:r>
      <w:r w:rsidR="00061B27">
        <w:rPr>
          <w:szCs w:val="22"/>
        </w:rPr>
        <w:t>,</w:t>
      </w:r>
      <w:r w:rsidR="0025246B">
        <w:rPr>
          <w:szCs w:val="22"/>
        </w:rPr>
        <w:t xml:space="preserve"> from 1 July </w:t>
      </w:r>
      <w:r w:rsidRPr="00022E85">
        <w:rPr>
          <w:szCs w:val="22"/>
        </w:rPr>
        <w:t>2015</w:t>
      </w:r>
      <w:r w:rsidR="00061B27">
        <w:rPr>
          <w:szCs w:val="22"/>
        </w:rPr>
        <w:t>,</w:t>
      </w:r>
      <w:r w:rsidRPr="00022E85">
        <w:rPr>
          <w:szCs w:val="22"/>
        </w:rPr>
        <w:t xml:space="preserve"> the rate of excise duty applying to </w:t>
      </w:r>
      <w:r w:rsidR="00784A70">
        <w:rPr>
          <w:szCs w:val="22"/>
        </w:rPr>
        <w:t xml:space="preserve">domestically manufactured </w:t>
      </w:r>
      <w:r w:rsidRPr="00022E85">
        <w:rPr>
          <w:szCs w:val="22"/>
        </w:rPr>
        <w:t xml:space="preserve">fuel ethanol is calculated as a percentage (see rates in Table 1.1 above) of the rate of excise duty that applies to petrol at that time. The rate is determined by rounding the duty rate expressed in dollars </w:t>
      </w:r>
      <w:r w:rsidR="00022E85" w:rsidRPr="00022E85">
        <w:rPr>
          <w:szCs w:val="22"/>
        </w:rPr>
        <w:t xml:space="preserve">to three decimal places </w:t>
      </w:r>
      <w:r w:rsidRPr="00022E85">
        <w:rPr>
          <w:szCs w:val="22"/>
        </w:rPr>
        <w:t xml:space="preserve">(the third decimal place is rounded up if the fourth decimal place is five or more). </w:t>
      </w:r>
      <w:r w:rsidRPr="00022E85">
        <w:rPr>
          <w:b/>
          <w:i/>
          <w:sz w:val="18"/>
          <w:szCs w:val="18"/>
        </w:rPr>
        <w:t>[</w:t>
      </w:r>
      <w:r w:rsidR="00100456">
        <w:rPr>
          <w:b/>
          <w:i/>
          <w:sz w:val="18"/>
          <w:szCs w:val="18"/>
        </w:rPr>
        <w:t xml:space="preserve">Schedule 1, item 4 of the </w:t>
      </w:r>
      <w:r w:rsidR="00215980" w:rsidRPr="00022E85">
        <w:rPr>
          <w:b/>
          <w:i/>
          <w:sz w:val="18"/>
          <w:szCs w:val="18"/>
        </w:rPr>
        <w:t>Excise Tariff Amendment Bill 2015,</w:t>
      </w:r>
      <w:r w:rsidRPr="00022E85">
        <w:rPr>
          <w:b/>
          <w:i/>
          <w:sz w:val="18"/>
          <w:szCs w:val="18"/>
        </w:rPr>
        <w:t xml:space="preserve"> </w:t>
      </w:r>
      <w:r w:rsidR="00215980" w:rsidRPr="00022E85">
        <w:rPr>
          <w:b/>
          <w:i/>
          <w:sz w:val="18"/>
          <w:szCs w:val="18"/>
        </w:rPr>
        <w:t>sub</w:t>
      </w:r>
      <w:r w:rsidRPr="00022E85">
        <w:rPr>
          <w:b/>
          <w:i/>
          <w:sz w:val="18"/>
          <w:szCs w:val="18"/>
        </w:rPr>
        <w:t>section</w:t>
      </w:r>
      <w:r w:rsidR="00100456">
        <w:rPr>
          <w:b/>
          <w:i/>
          <w:sz w:val="18"/>
          <w:szCs w:val="18"/>
        </w:rPr>
        <w:t> </w:t>
      </w:r>
      <w:r w:rsidRPr="00022E85">
        <w:rPr>
          <w:b/>
          <w:i/>
          <w:sz w:val="18"/>
          <w:szCs w:val="18"/>
        </w:rPr>
        <w:t>6H</w:t>
      </w:r>
      <w:r w:rsidR="00215980" w:rsidRPr="00022E85">
        <w:rPr>
          <w:b/>
          <w:i/>
          <w:sz w:val="18"/>
          <w:szCs w:val="18"/>
        </w:rPr>
        <w:t>(1) of the ETA 1921</w:t>
      </w:r>
      <w:r w:rsidRPr="00022E85">
        <w:rPr>
          <w:b/>
          <w:i/>
          <w:sz w:val="18"/>
          <w:szCs w:val="18"/>
        </w:rPr>
        <w:t>]</w:t>
      </w:r>
    </w:p>
    <w:p w14:paraId="5D976AB5" w14:textId="77777777" w:rsidR="00692A5F" w:rsidRPr="004E521A" w:rsidRDefault="00692A5F" w:rsidP="00064E98">
      <w:pPr>
        <w:pStyle w:val="Heading4"/>
      </w:pPr>
      <w:r>
        <w:t>Ethanol Production Grant Program</w:t>
      </w:r>
    </w:p>
    <w:p w14:paraId="14E57D3F" w14:textId="77777777" w:rsidR="00692A5F" w:rsidRDefault="00692A5F" w:rsidP="00692A5F">
      <w:pPr>
        <w:pStyle w:val="base-text-paragraph"/>
        <w:numPr>
          <w:ilvl w:val="1"/>
          <w:numId w:val="24"/>
        </w:numPr>
      </w:pPr>
      <w:r w:rsidRPr="00D86646">
        <w:t xml:space="preserve">The </w:t>
      </w:r>
      <w:r w:rsidR="007A53C2" w:rsidRPr="00D86646">
        <w:t>contractually</w:t>
      </w:r>
      <w:r w:rsidR="00700B2E">
        <w:noBreakHyphen/>
      </w:r>
      <w:r w:rsidRPr="00D86646">
        <w:t>based Ethanol Production Grant Program cease</w:t>
      </w:r>
      <w:r>
        <w:t>s</w:t>
      </w:r>
      <w:r w:rsidR="0025246B">
        <w:t xml:space="preserve"> from 1 July </w:t>
      </w:r>
      <w:r w:rsidR="004313A0">
        <w:t>2015.</w:t>
      </w:r>
    </w:p>
    <w:p w14:paraId="4302850C" w14:textId="77777777" w:rsidR="00A8723F" w:rsidRPr="00A93154" w:rsidRDefault="00A8723F" w:rsidP="00064E98">
      <w:pPr>
        <w:pStyle w:val="Heading3"/>
      </w:pPr>
      <w:r w:rsidRPr="00A93154">
        <w:t xml:space="preserve">Excise duty for </w:t>
      </w:r>
      <w:r>
        <w:t>biodiesel</w:t>
      </w:r>
    </w:p>
    <w:p w14:paraId="52B6E8D0" w14:textId="77777777" w:rsidR="00215980" w:rsidRPr="00007715" w:rsidRDefault="00A8723F" w:rsidP="00002EF5">
      <w:pPr>
        <w:pStyle w:val="base-text-paragraph"/>
        <w:numPr>
          <w:ilvl w:val="1"/>
          <w:numId w:val="27"/>
        </w:numPr>
      </w:pPr>
      <w:r w:rsidRPr="00FA4F3A">
        <w:rPr>
          <w:szCs w:val="22"/>
        </w:rPr>
        <w:t>The amendments ensure that</w:t>
      </w:r>
      <w:r w:rsidR="00061B27">
        <w:rPr>
          <w:szCs w:val="22"/>
        </w:rPr>
        <w:t>,</w:t>
      </w:r>
      <w:r w:rsidR="0025246B">
        <w:rPr>
          <w:szCs w:val="22"/>
        </w:rPr>
        <w:t xml:space="preserve"> from 1 July </w:t>
      </w:r>
      <w:r w:rsidRPr="00FA4F3A">
        <w:rPr>
          <w:szCs w:val="22"/>
        </w:rPr>
        <w:t>2015</w:t>
      </w:r>
      <w:r w:rsidR="00061B27">
        <w:rPr>
          <w:szCs w:val="22"/>
        </w:rPr>
        <w:t>,</w:t>
      </w:r>
      <w:r w:rsidRPr="00FA4F3A">
        <w:rPr>
          <w:szCs w:val="22"/>
        </w:rPr>
        <w:t xml:space="preserve"> the rate of excise duty applying to </w:t>
      </w:r>
      <w:r w:rsidR="00784A70">
        <w:rPr>
          <w:szCs w:val="22"/>
        </w:rPr>
        <w:t xml:space="preserve">domestically manufactured </w:t>
      </w:r>
      <w:r w:rsidRPr="005F5E46">
        <w:rPr>
          <w:szCs w:val="22"/>
        </w:rPr>
        <w:t>biodiesel is calculated as a percentage (see rates in Table 1.1 above) of the rate of excise duty that applies to diesel</w:t>
      </w:r>
      <w:r w:rsidR="00215980" w:rsidRPr="005F5E46">
        <w:rPr>
          <w:szCs w:val="22"/>
        </w:rPr>
        <w:t xml:space="preserve"> at that time. </w:t>
      </w:r>
      <w:r w:rsidR="00215980" w:rsidRPr="005F5E46">
        <w:rPr>
          <w:rStyle w:val="Referencingstyle"/>
        </w:rPr>
        <w:t>[</w:t>
      </w:r>
      <w:r w:rsidR="00100456">
        <w:rPr>
          <w:rStyle w:val="Referencingstyle"/>
        </w:rPr>
        <w:t xml:space="preserve">Schedule 1, items 5, 7 and 9 of the </w:t>
      </w:r>
      <w:r w:rsidR="00215980" w:rsidRPr="005F5E46">
        <w:rPr>
          <w:rStyle w:val="Referencingstyle"/>
        </w:rPr>
        <w:t>Excise</w:t>
      </w:r>
      <w:r w:rsidR="00100456">
        <w:rPr>
          <w:rStyle w:val="Referencingstyle"/>
        </w:rPr>
        <w:t> </w:t>
      </w:r>
      <w:r w:rsidR="00215980" w:rsidRPr="005F5E46">
        <w:rPr>
          <w:rStyle w:val="Referencingstyle"/>
        </w:rPr>
        <w:t>Tariff</w:t>
      </w:r>
      <w:r w:rsidR="00100456">
        <w:rPr>
          <w:rStyle w:val="Referencingstyle"/>
        </w:rPr>
        <w:t xml:space="preserve"> </w:t>
      </w:r>
      <w:r w:rsidR="00215980" w:rsidRPr="005F5E46">
        <w:rPr>
          <w:rStyle w:val="Referencingstyle"/>
        </w:rPr>
        <w:t>Amendment Bill</w:t>
      </w:r>
      <w:r w:rsidR="00100456">
        <w:rPr>
          <w:rStyle w:val="Referencingstyle"/>
        </w:rPr>
        <w:t> </w:t>
      </w:r>
      <w:r w:rsidR="00215980" w:rsidRPr="005F5E46">
        <w:rPr>
          <w:rStyle w:val="Referencingstyle"/>
        </w:rPr>
        <w:t>2015, table subitem</w:t>
      </w:r>
      <w:r w:rsidR="007E7AD0">
        <w:rPr>
          <w:rStyle w:val="Referencingstyle"/>
        </w:rPr>
        <w:t>s</w:t>
      </w:r>
      <w:r w:rsidR="00100456">
        <w:rPr>
          <w:rStyle w:val="Referencingstyle"/>
        </w:rPr>
        <w:t> </w:t>
      </w:r>
      <w:r w:rsidR="007E7AD0">
        <w:rPr>
          <w:rStyle w:val="Referencingstyle"/>
        </w:rPr>
        <w:t>10.10,</w:t>
      </w:r>
      <w:r w:rsidR="00100456">
        <w:rPr>
          <w:rStyle w:val="Referencingstyle"/>
        </w:rPr>
        <w:t> </w:t>
      </w:r>
      <w:r w:rsidR="00215980" w:rsidRPr="005F5E46">
        <w:rPr>
          <w:rStyle w:val="Referencingstyle"/>
        </w:rPr>
        <w:t>10.12 and</w:t>
      </w:r>
      <w:r w:rsidR="00100456">
        <w:rPr>
          <w:rStyle w:val="Referencingstyle"/>
        </w:rPr>
        <w:t> </w:t>
      </w:r>
      <w:r w:rsidR="00215980" w:rsidRPr="005F5E46">
        <w:rPr>
          <w:rStyle w:val="Referencingstyle"/>
        </w:rPr>
        <w:t xml:space="preserve">10.21 of </w:t>
      </w:r>
      <w:r w:rsidR="004C44FB" w:rsidRPr="00007715">
        <w:rPr>
          <w:rStyle w:val="Referencingstyle"/>
        </w:rPr>
        <w:t xml:space="preserve">the </w:t>
      </w:r>
      <w:r w:rsidR="00215980" w:rsidRPr="00007715">
        <w:rPr>
          <w:rStyle w:val="Referencingstyle"/>
        </w:rPr>
        <w:t>Schedule to the ETA 1921]</w:t>
      </w:r>
    </w:p>
    <w:p w14:paraId="4E0E4A07" w14:textId="77777777" w:rsidR="00A8723F" w:rsidRPr="0065104D" w:rsidRDefault="00A8723F" w:rsidP="0033283D">
      <w:pPr>
        <w:pStyle w:val="base-text-paragraph"/>
        <w:keepNext/>
        <w:keepLines/>
        <w:numPr>
          <w:ilvl w:val="1"/>
          <w:numId w:val="27"/>
        </w:numPr>
      </w:pPr>
      <w:r w:rsidRPr="00FE3B1F">
        <w:rPr>
          <w:szCs w:val="22"/>
        </w:rPr>
        <w:t xml:space="preserve">The rate is determined by rounding the duty rate </w:t>
      </w:r>
      <w:r w:rsidR="00F253B7">
        <w:rPr>
          <w:szCs w:val="22"/>
        </w:rPr>
        <w:t xml:space="preserve">to three decimal places of a </w:t>
      </w:r>
      <w:r w:rsidRPr="00FE3B1F">
        <w:rPr>
          <w:szCs w:val="22"/>
        </w:rPr>
        <w:t xml:space="preserve">dollar </w:t>
      </w:r>
      <w:r>
        <w:rPr>
          <w:szCs w:val="22"/>
        </w:rPr>
        <w:t xml:space="preserve">(the third decimal place </w:t>
      </w:r>
      <w:r w:rsidR="00375217">
        <w:rPr>
          <w:szCs w:val="22"/>
        </w:rPr>
        <w:t xml:space="preserve">is </w:t>
      </w:r>
      <w:r w:rsidRPr="00FE3B1F">
        <w:rPr>
          <w:szCs w:val="22"/>
        </w:rPr>
        <w:t>rounded up if the fourth decimal place is five or more</w:t>
      </w:r>
      <w:r>
        <w:rPr>
          <w:szCs w:val="22"/>
        </w:rPr>
        <w:t>)</w:t>
      </w:r>
      <w:r w:rsidRPr="00FE3B1F">
        <w:rPr>
          <w:szCs w:val="22"/>
        </w:rPr>
        <w:t xml:space="preserve">. </w:t>
      </w:r>
      <w:r w:rsidRPr="00FE3B1F">
        <w:rPr>
          <w:b/>
          <w:i/>
          <w:sz w:val="18"/>
          <w:szCs w:val="18"/>
        </w:rPr>
        <w:t>[</w:t>
      </w:r>
      <w:r w:rsidR="00100456">
        <w:rPr>
          <w:b/>
          <w:i/>
          <w:sz w:val="18"/>
          <w:szCs w:val="18"/>
        </w:rPr>
        <w:t xml:space="preserve">Schedule 1, item 4 of the </w:t>
      </w:r>
      <w:r w:rsidR="00215980">
        <w:rPr>
          <w:b/>
          <w:i/>
          <w:sz w:val="18"/>
          <w:szCs w:val="18"/>
        </w:rPr>
        <w:t>Excise Tariff Amendment Bill 2015, sub</w:t>
      </w:r>
      <w:r>
        <w:rPr>
          <w:b/>
          <w:i/>
          <w:sz w:val="18"/>
          <w:szCs w:val="18"/>
        </w:rPr>
        <w:t>section 6J</w:t>
      </w:r>
      <w:r w:rsidR="00215980">
        <w:rPr>
          <w:b/>
          <w:i/>
          <w:sz w:val="18"/>
          <w:szCs w:val="18"/>
        </w:rPr>
        <w:t>(1)</w:t>
      </w:r>
      <w:r w:rsidRPr="00FE3B1F">
        <w:rPr>
          <w:b/>
          <w:i/>
          <w:sz w:val="18"/>
          <w:szCs w:val="18"/>
        </w:rPr>
        <w:t xml:space="preserve"> of the ETA 1921]</w:t>
      </w:r>
    </w:p>
    <w:p w14:paraId="153ADFEA" w14:textId="77777777" w:rsidR="00A8723F" w:rsidRPr="00A93154" w:rsidRDefault="00900BFD" w:rsidP="009D285A">
      <w:pPr>
        <w:pStyle w:val="Heading4"/>
      </w:pPr>
      <w:r>
        <w:t>B</w:t>
      </w:r>
      <w:r w:rsidR="00A8723F" w:rsidRPr="00A93154">
        <w:t>iodiesel</w:t>
      </w:r>
      <w:r w:rsidR="00700B2E">
        <w:t xml:space="preserve"> — </w:t>
      </w:r>
      <w:r w:rsidR="00745A28">
        <w:t>definition</w:t>
      </w:r>
    </w:p>
    <w:p w14:paraId="0EACC0AB" w14:textId="77777777" w:rsidR="00A8723F" w:rsidRPr="00002EF5" w:rsidRDefault="00061B27" w:rsidP="00002EF5">
      <w:pPr>
        <w:pStyle w:val="base-text-paragraph"/>
        <w:numPr>
          <w:ilvl w:val="1"/>
          <w:numId w:val="22"/>
        </w:numPr>
        <w:rPr>
          <w:b/>
          <w:i/>
          <w:sz w:val="18"/>
          <w:szCs w:val="18"/>
        </w:rPr>
      </w:pPr>
      <w:r>
        <w:t xml:space="preserve">The amendments define </w:t>
      </w:r>
      <w:r w:rsidR="00700B2E">
        <w:t>‘</w:t>
      </w:r>
      <w:r>
        <w:t>b</w:t>
      </w:r>
      <w:r w:rsidR="00A8723F" w:rsidRPr="00667DBC">
        <w:t>iodiesel</w:t>
      </w:r>
      <w:r w:rsidR="00700B2E">
        <w:t>’</w:t>
      </w:r>
      <w:r w:rsidR="00A8723F" w:rsidRPr="00667DBC">
        <w:t xml:space="preserve"> </w:t>
      </w:r>
      <w:r w:rsidR="002874B7">
        <w:t>in the ETA </w:t>
      </w:r>
      <w:r w:rsidR="00A8723F">
        <w:t>1921 as mono</w:t>
      </w:r>
      <w:r w:rsidR="00700B2E">
        <w:noBreakHyphen/>
      </w:r>
      <w:r w:rsidR="00A8723F">
        <w:t xml:space="preserve">alkyl esters of fatty acids of a kind used as a fuel, derived from animal or vegetable fats </w:t>
      </w:r>
      <w:r w:rsidR="00DF7030">
        <w:t>or</w:t>
      </w:r>
      <w:r w:rsidR="00A8723F">
        <w:t xml:space="preserve"> oils</w:t>
      </w:r>
      <w:r w:rsidR="0034193E">
        <w:t xml:space="preserve"> whether or not used</w:t>
      </w:r>
      <w:r w:rsidR="00A8723F">
        <w:t xml:space="preserve">. </w:t>
      </w:r>
      <w:r w:rsidR="0034193E">
        <w:t>That is, t</w:t>
      </w:r>
      <w:r w:rsidR="00A8723F">
        <w:t>he fats or oils can be new</w:t>
      </w:r>
      <w:r w:rsidR="00170C0D">
        <w:t>,</w:t>
      </w:r>
      <w:r w:rsidR="00A8723F">
        <w:t xml:space="preserve"> </w:t>
      </w:r>
      <w:r w:rsidR="00900BFD">
        <w:t xml:space="preserve">used or </w:t>
      </w:r>
      <w:r w:rsidR="00A8723F">
        <w:t xml:space="preserve">recycled. </w:t>
      </w:r>
      <w:r w:rsidR="00A8723F" w:rsidRPr="00002EF5">
        <w:rPr>
          <w:b/>
          <w:i/>
          <w:sz w:val="18"/>
          <w:szCs w:val="18"/>
        </w:rPr>
        <w:t>[</w:t>
      </w:r>
      <w:r w:rsidR="00480D83">
        <w:rPr>
          <w:b/>
          <w:i/>
          <w:sz w:val="18"/>
          <w:szCs w:val="18"/>
        </w:rPr>
        <w:t xml:space="preserve">Schedule 1, items 1 and 2 of the </w:t>
      </w:r>
      <w:r w:rsidR="00900BFD">
        <w:rPr>
          <w:b/>
          <w:i/>
          <w:sz w:val="18"/>
          <w:szCs w:val="18"/>
        </w:rPr>
        <w:t xml:space="preserve">Excise Tariff Amendment Bill 2015, </w:t>
      </w:r>
      <w:r w:rsidR="00A8723F" w:rsidRPr="00002EF5">
        <w:rPr>
          <w:b/>
          <w:i/>
          <w:sz w:val="18"/>
          <w:szCs w:val="18"/>
        </w:rPr>
        <w:t>definition</w:t>
      </w:r>
      <w:r w:rsidR="003355A2">
        <w:rPr>
          <w:b/>
          <w:i/>
          <w:sz w:val="18"/>
          <w:szCs w:val="18"/>
        </w:rPr>
        <w:t>s</w:t>
      </w:r>
      <w:r w:rsidR="00A8723F" w:rsidRPr="00002EF5">
        <w:rPr>
          <w:b/>
          <w:i/>
          <w:sz w:val="18"/>
          <w:szCs w:val="18"/>
        </w:rPr>
        <w:t xml:space="preserve"> of </w:t>
      </w:r>
      <w:r w:rsidR="00700B2E">
        <w:rPr>
          <w:b/>
          <w:i/>
          <w:sz w:val="18"/>
          <w:szCs w:val="18"/>
        </w:rPr>
        <w:t>‘</w:t>
      </w:r>
      <w:r w:rsidR="00A8723F" w:rsidRPr="00002EF5">
        <w:rPr>
          <w:b/>
          <w:i/>
          <w:sz w:val="18"/>
          <w:szCs w:val="18"/>
        </w:rPr>
        <w:t>biodiesel</w:t>
      </w:r>
      <w:r w:rsidR="00700B2E">
        <w:rPr>
          <w:b/>
          <w:i/>
          <w:sz w:val="18"/>
          <w:szCs w:val="18"/>
        </w:rPr>
        <w:t>’</w:t>
      </w:r>
      <w:r w:rsidR="00A8723F" w:rsidRPr="00002EF5">
        <w:rPr>
          <w:b/>
          <w:i/>
          <w:sz w:val="18"/>
          <w:szCs w:val="18"/>
        </w:rPr>
        <w:t xml:space="preserve"> </w:t>
      </w:r>
      <w:r w:rsidR="003355A2">
        <w:rPr>
          <w:b/>
          <w:i/>
          <w:sz w:val="18"/>
          <w:szCs w:val="18"/>
        </w:rPr>
        <w:t xml:space="preserve">and </w:t>
      </w:r>
      <w:r w:rsidR="00700B2E">
        <w:rPr>
          <w:b/>
          <w:i/>
          <w:sz w:val="18"/>
          <w:szCs w:val="18"/>
        </w:rPr>
        <w:t>‘</w:t>
      </w:r>
      <w:r w:rsidR="003355A2">
        <w:rPr>
          <w:b/>
          <w:i/>
          <w:sz w:val="18"/>
          <w:szCs w:val="18"/>
        </w:rPr>
        <w:t>diesel</w:t>
      </w:r>
      <w:r w:rsidR="00700B2E">
        <w:rPr>
          <w:b/>
          <w:i/>
          <w:sz w:val="18"/>
          <w:szCs w:val="18"/>
        </w:rPr>
        <w:t>’</w:t>
      </w:r>
      <w:r w:rsidR="003355A2">
        <w:rPr>
          <w:b/>
          <w:i/>
          <w:sz w:val="18"/>
          <w:szCs w:val="18"/>
        </w:rPr>
        <w:t xml:space="preserve"> </w:t>
      </w:r>
      <w:r w:rsidR="00A8723F" w:rsidRPr="00002EF5">
        <w:rPr>
          <w:b/>
          <w:i/>
          <w:sz w:val="18"/>
          <w:szCs w:val="18"/>
        </w:rPr>
        <w:t>in subsection</w:t>
      </w:r>
      <w:r w:rsidR="00480D83">
        <w:rPr>
          <w:b/>
          <w:i/>
          <w:sz w:val="18"/>
          <w:szCs w:val="18"/>
        </w:rPr>
        <w:t> </w:t>
      </w:r>
      <w:r w:rsidR="00A8723F" w:rsidRPr="00002EF5">
        <w:rPr>
          <w:b/>
          <w:i/>
          <w:sz w:val="18"/>
          <w:szCs w:val="18"/>
        </w:rPr>
        <w:t xml:space="preserve">3(1) </w:t>
      </w:r>
      <w:r w:rsidR="007A53C2">
        <w:rPr>
          <w:b/>
          <w:i/>
          <w:sz w:val="18"/>
          <w:szCs w:val="18"/>
        </w:rPr>
        <w:t>of the</w:t>
      </w:r>
      <w:r w:rsidR="00900BFD">
        <w:rPr>
          <w:b/>
          <w:i/>
          <w:sz w:val="18"/>
          <w:szCs w:val="18"/>
        </w:rPr>
        <w:t xml:space="preserve"> </w:t>
      </w:r>
      <w:r w:rsidR="00A8723F" w:rsidRPr="00002EF5">
        <w:rPr>
          <w:b/>
          <w:i/>
          <w:sz w:val="18"/>
          <w:szCs w:val="18"/>
        </w:rPr>
        <w:t>ETA</w:t>
      </w:r>
      <w:r w:rsidR="00480D83">
        <w:rPr>
          <w:b/>
          <w:i/>
          <w:sz w:val="18"/>
          <w:szCs w:val="18"/>
        </w:rPr>
        <w:t> </w:t>
      </w:r>
      <w:r w:rsidR="00A8723F" w:rsidRPr="00002EF5">
        <w:rPr>
          <w:b/>
          <w:i/>
          <w:sz w:val="18"/>
          <w:szCs w:val="18"/>
        </w:rPr>
        <w:t>1921]</w:t>
      </w:r>
    </w:p>
    <w:p w14:paraId="14681D7E" w14:textId="77777777" w:rsidR="00A8723F" w:rsidRDefault="00FA2533" w:rsidP="00002EF5">
      <w:pPr>
        <w:pStyle w:val="base-text-paragraph"/>
        <w:numPr>
          <w:ilvl w:val="1"/>
          <w:numId w:val="24"/>
        </w:numPr>
      </w:pPr>
      <w:r>
        <w:t>For the purposes of consistency, t</w:t>
      </w:r>
      <w:r w:rsidR="00A8723F">
        <w:t xml:space="preserve">he definition of </w:t>
      </w:r>
      <w:r w:rsidR="00700B2E">
        <w:t>‘</w:t>
      </w:r>
      <w:r w:rsidR="00A8723F" w:rsidRPr="00E970CE">
        <w:t>biodiesel</w:t>
      </w:r>
      <w:r w:rsidR="00700B2E">
        <w:t>’</w:t>
      </w:r>
      <w:r w:rsidR="002874B7">
        <w:t xml:space="preserve"> in the ETA </w:t>
      </w:r>
      <w:r w:rsidR="00A8723F">
        <w:t xml:space="preserve">1921 </w:t>
      </w:r>
      <w:r>
        <w:t xml:space="preserve">aligns with the existing definition in </w:t>
      </w:r>
      <w:r w:rsidR="00B35BF9">
        <w:t xml:space="preserve">subheading </w:t>
      </w:r>
      <w:r w:rsidR="007B0131">
        <w:t xml:space="preserve">note 5 </w:t>
      </w:r>
      <w:r w:rsidR="00B35BF9">
        <w:t xml:space="preserve">to </w:t>
      </w:r>
      <w:r w:rsidR="007B0131">
        <w:t xml:space="preserve">Chapter </w:t>
      </w:r>
      <w:r w:rsidR="002874B7">
        <w:t>27</w:t>
      </w:r>
      <w:r w:rsidR="007B0131">
        <w:t xml:space="preserve"> and </w:t>
      </w:r>
      <w:r>
        <w:t>n</w:t>
      </w:r>
      <w:r w:rsidRPr="003B0E9B">
        <w:t>ote</w:t>
      </w:r>
      <w:r>
        <w:t xml:space="preserve"> 7 to chapter 38 of</w:t>
      </w:r>
      <w:r w:rsidRPr="003B0E9B">
        <w:t xml:space="preserve"> </w:t>
      </w:r>
      <w:r>
        <w:t xml:space="preserve">the </w:t>
      </w:r>
      <w:r w:rsidR="009D4935" w:rsidRPr="00667068">
        <w:rPr>
          <w:i/>
        </w:rPr>
        <w:t xml:space="preserve">Customs Tariff Act </w:t>
      </w:r>
      <w:r w:rsidRPr="00667068">
        <w:rPr>
          <w:i/>
        </w:rPr>
        <w:t>1995</w:t>
      </w:r>
      <w:r w:rsidR="0089506C">
        <w:t>,</w:t>
      </w:r>
      <w:r>
        <w:t xml:space="preserve"> and</w:t>
      </w:r>
      <w:r w:rsidR="00A8723F">
        <w:t xml:space="preserve"> the </w:t>
      </w:r>
      <w:r>
        <w:t xml:space="preserve">current </w:t>
      </w:r>
      <w:r w:rsidR="00A8723F">
        <w:t>international definition developed by the World Customs Organi</w:t>
      </w:r>
      <w:r w:rsidR="008A2B67">
        <w:t>z</w:t>
      </w:r>
      <w:r w:rsidR="00A8723F">
        <w:t xml:space="preserve">ation. </w:t>
      </w:r>
    </w:p>
    <w:p w14:paraId="7940152E" w14:textId="77777777" w:rsidR="00A8723F" w:rsidRPr="004E521A" w:rsidRDefault="00A8723F" w:rsidP="009916D7">
      <w:pPr>
        <w:pStyle w:val="Heading3"/>
      </w:pPr>
      <w:r>
        <w:t>Biodiesel and renewable diesel grants</w:t>
      </w:r>
    </w:p>
    <w:p w14:paraId="2A797E92" w14:textId="77777777" w:rsidR="00A8723F" w:rsidRPr="00DC5F08" w:rsidRDefault="00061B27" w:rsidP="00002EF5">
      <w:pPr>
        <w:pStyle w:val="base-text-paragraph"/>
        <w:numPr>
          <w:ilvl w:val="1"/>
          <w:numId w:val="29"/>
        </w:numPr>
        <w:rPr>
          <w:szCs w:val="22"/>
        </w:rPr>
      </w:pPr>
      <w:r>
        <w:t>The amendments also repeal t</w:t>
      </w:r>
      <w:r w:rsidR="00A8723F" w:rsidRPr="0089506C">
        <w:t xml:space="preserve">he </w:t>
      </w:r>
      <w:r w:rsidR="00FC570B" w:rsidRPr="00C702FE">
        <w:rPr>
          <w:lang w:val="en-US" w:eastAsia="en-US"/>
        </w:rPr>
        <w:t>EGCFS 2004</w:t>
      </w:r>
      <w:r w:rsidR="00A8723F">
        <w:t>. As a result</w:t>
      </w:r>
      <w:r w:rsidR="00FA5F5F">
        <w:t>,</w:t>
      </w:r>
      <w:r w:rsidR="00A8723F">
        <w:t xml:space="preserve"> grant entitlements under the scheme </w:t>
      </w:r>
      <w:r w:rsidR="00C370A2">
        <w:t>are no longer available</w:t>
      </w:r>
      <w:r w:rsidR="00A8723F">
        <w:t xml:space="preserve"> for biodiesel and renewable diesel manufactured </w:t>
      </w:r>
      <w:r w:rsidR="008A44CD">
        <w:t>or imported into</w:t>
      </w:r>
      <w:r w:rsidR="00A8723F">
        <w:t xml:space="preserve"> Australia</w:t>
      </w:r>
      <w:r w:rsidR="00C370A2">
        <w:t xml:space="preserve"> from 1</w:t>
      </w:r>
      <w:r w:rsidR="00505D30">
        <w:t> </w:t>
      </w:r>
      <w:r w:rsidR="00C370A2">
        <w:t>July</w:t>
      </w:r>
      <w:r w:rsidR="00505D30">
        <w:t> </w:t>
      </w:r>
      <w:r w:rsidR="00C370A2">
        <w:t>2015</w:t>
      </w:r>
      <w:r w:rsidR="00A8723F">
        <w:t xml:space="preserve">. </w:t>
      </w:r>
      <w:r w:rsidR="00A8723F">
        <w:rPr>
          <w:b/>
          <w:i/>
          <w:sz w:val="18"/>
          <w:szCs w:val="18"/>
        </w:rPr>
        <w:t>[</w:t>
      </w:r>
      <w:r w:rsidR="00480D83">
        <w:rPr>
          <w:b/>
          <w:i/>
          <w:sz w:val="18"/>
          <w:szCs w:val="18"/>
        </w:rPr>
        <w:t xml:space="preserve">Schedule 1, item 13 of the </w:t>
      </w:r>
      <w:r w:rsidR="00FA5F5F">
        <w:rPr>
          <w:b/>
          <w:i/>
          <w:sz w:val="18"/>
          <w:szCs w:val="18"/>
        </w:rPr>
        <w:t xml:space="preserve">Energy Grants Amendment Bill 2015, </w:t>
      </w:r>
      <w:r w:rsidR="00FC570B">
        <w:rPr>
          <w:b/>
          <w:i/>
          <w:sz w:val="18"/>
          <w:szCs w:val="18"/>
        </w:rPr>
        <w:t>EGCFS</w:t>
      </w:r>
      <w:r w:rsidR="00FA5F5F">
        <w:rPr>
          <w:b/>
          <w:i/>
          <w:sz w:val="18"/>
          <w:szCs w:val="18"/>
        </w:rPr>
        <w:t xml:space="preserve"> 2004</w:t>
      </w:r>
      <w:r w:rsidR="00A8723F">
        <w:rPr>
          <w:b/>
          <w:i/>
          <w:sz w:val="18"/>
          <w:szCs w:val="18"/>
        </w:rPr>
        <w:t>]</w:t>
      </w:r>
    </w:p>
    <w:p w14:paraId="11F9806F" w14:textId="77777777" w:rsidR="00A8723F" w:rsidRPr="004E521A" w:rsidRDefault="00A8723F" w:rsidP="00667068">
      <w:pPr>
        <w:pStyle w:val="base-text-paragraph"/>
        <w:keepNext/>
        <w:numPr>
          <w:ilvl w:val="0"/>
          <w:numId w:val="0"/>
        </w:numPr>
        <w:rPr>
          <w:rFonts w:ascii="Helvetica" w:hAnsi="Helvetica"/>
          <w:b/>
        </w:rPr>
      </w:pPr>
      <w:r>
        <w:rPr>
          <w:rFonts w:ascii="Helvetica" w:hAnsi="Helvetica"/>
          <w:b/>
        </w:rPr>
        <w:t>Blending of imported biofuels</w:t>
      </w:r>
    </w:p>
    <w:p w14:paraId="2BC0CA30" w14:textId="77777777" w:rsidR="001948CA" w:rsidRDefault="00415F48" w:rsidP="00667068">
      <w:pPr>
        <w:pStyle w:val="base-text-paragraph"/>
        <w:keepNext/>
        <w:numPr>
          <w:ilvl w:val="1"/>
          <w:numId w:val="25"/>
        </w:numPr>
      </w:pPr>
      <w:r>
        <w:t>The amendments do not change the rate of excise</w:t>
      </w:r>
      <w:r w:rsidR="00700B2E">
        <w:noBreakHyphen/>
      </w:r>
      <w:r>
        <w:t>equivalent customs duty that applies to i</w:t>
      </w:r>
      <w:r w:rsidR="00A8723F">
        <w:t>mported fuel ethanol</w:t>
      </w:r>
      <w:r w:rsidR="00884BC3">
        <w:t xml:space="preserve"> and</w:t>
      </w:r>
      <w:r w:rsidR="00A8723F">
        <w:t xml:space="preserve"> biodiesel</w:t>
      </w:r>
      <w:r>
        <w:t>. Accordingly, they</w:t>
      </w:r>
      <w:r w:rsidR="00A8723F">
        <w:t xml:space="preserve"> continue to be subject to the full rate of excise</w:t>
      </w:r>
      <w:r w:rsidR="00700B2E">
        <w:noBreakHyphen/>
      </w:r>
      <w:r w:rsidR="00A8723F">
        <w:t>equivalent customs duty that applies to diesel and petrol.</w:t>
      </w:r>
      <w:r w:rsidR="00505D30">
        <w:t xml:space="preserve"> However, section </w:t>
      </w:r>
      <w:r w:rsidR="00D22A41">
        <w:t xml:space="preserve">105B of the </w:t>
      </w:r>
      <w:r w:rsidR="00505D30">
        <w:rPr>
          <w:i/>
        </w:rPr>
        <w:t>Customs Act </w:t>
      </w:r>
      <w:r w:rsidR="00D22A41" w:rsidRPr="001D0DA5">
        <w:rPr>
          <w:i/>
        </w:rPr>
        <w:t>1901</w:t>
      </w:r>
      <w:r w:rsidR="00D22A41">
        <w:t xml:space="preserve"> allows excise</w:t>
      </w:r>
      <w:r w:rsidR="00700B2E">
        <w:noBreakHyphen/>
      </w:r>
      <w:r w:rsidR="00D22A41">
        <w:t>equivalent customs duty to be extinguished on excise</w:t>
      </w:r>
      <w:r w:rsidR="00700B2E">
        <w:noBreakHyphen/>
      </w:r>
      <w:r w:rsidR="00D22A41">
        <w:t xml:space="preserve">equivalent goods </w:t>
      </w:r>
      <w:r w:rsidR="00A300E3">
        <w:t>that are subject to</w:t>
      </w:r>
      <w:r w:rsidR="00D22A41">
        <w:t xml:space="preserve"> warehousing </w:t>
      </w:r>
      <w:r w:rsidR="001948CA">
        <w:t xml:space="preserve">broadly if the goods are to be used in excise manufacture. This reflects that excise duty </w:t>
      </w:r>
      <w:r w:rsidR="001D0DA5">
        <w:t>will instead be</w:t>
      </w:r>
      <w:r w:rsidR="001948CA">
        <w:t xml:space="preserve"> payable under the excise system on the goods.</w:t>
      </w:r>
    </w:p>
    <w:p w14:paraId="1E195F31" w14:textId="77777777" w:rsidR="00D155E3" w:rsidRDefault="004F3051" w:rsidP="00D155E3">
      <w:pPr>
        <w:pStyle w:val="base-text-paragraph"/>
        <w:numPr>
          <w:ilvl w:val="1"/>
          <w:numId w:val="25"/>
        </w:numPr>
      </w:pPr>
      <w:r>
        <w:t xml:space="preserve">The </w:t>
      </w:r>
      <w:r w:rsidR="001D0DA5">
        <w:t xml:space="preserve">rates of </w:t>
      </w:r>
      <w:r w:rsidR="001D0DA5" w:rsidRPr="001D0DA5">
        <w:t>excise</w:t>
      </w:r>
      <w:r w:rsidR="00700B2E">
        <w:noBreakHyphen/>
      </w:r>
      <w:r w:rsidR="001D0DA5" w:rsidRPr="001D0DA5">
        <w:t xml:space="preserve">equivalent customs </w:t>
      </w:r>
      <w:r w:rsidR="001D0DA5">
        <w:t xml:space="preserve">duty </w:t>
      </w:r>
      <w:r>
        <w:t xml:space="preserve">that </w:t>
      </w:r>
      <w:r w:rsidR="001D0DA5">
        <w:t xml:space="preserve">apply to biofuels </w:t>
      </w:r>
      <w:r>
        <w:t xml:space="preserve">are different </w:t>
      </w:r>
      <w:r w:rsidR="001D0DA5">
        <w:t>to the corresponding excise duty</w:t>
      </w:r>
      <w:r w:rsidR="00BD4A34">
        <w:t xml:space="preserve"> rates</w:t>
      </w:r>
      <w:r w:rsidR="00D2233E">
        <w:t>.</w:t>
      </w:r>
      <w:r w:rsidR="001D0DA5">
        <w:t xml:space="preserve"> </w:t>
      </w:r>
      <w:r w:rsidR="001948CA">
        <w:t>Accordingly,</w:t>
      </w:r>
      <w:r w:rsidR="00A8723F">
        <w:t xml:space="preserve"> </w:t>
      </w:r>
      <w:r w:rsidR="00D2233E">
        <w:t>t</w:t>
      </w:r>
      <w:r w:rsidR="00A8723F">
        <w:t xml:space="preserve">he </w:t>
      </w:r>
      <w:r w:rsidR="00E350B1">
        <w:t xml:space="preserve">Energy Grants Amendment </w:t>
      </w:r>
      <w:r w:rsidR="00A8723F">
        <w:t xml:space="preserve">Bill 2015 amends the </w:t>
      </w:r>
      <w:r>
        <w:rPr>
          <w:i/>
        </w:rPr>
        <w:t>Customs Act </w:t>
      </w:r>
      <w:r w:rsidR="00A8723F" w:rsidRPr="00D155E3">
        <w:rPr>
          <w:i/>
        </w:rPr>
        <w:t>1901</w:t>
      </w:r>
      <w:r w:rsidR="00A8723F" w:rsidRPr="00D86646">
        <w:t xml:space="preserve"> to</w:t>
      </w:r>
      <w:r w:rsidR="00A8723F">
        <w:t xml:space="preserve"> ensure that</w:t>
      </w:r>
      <w:r w:rsidR="001948CA">
        <w:t xml:space="preserve"> excise</w:t>
      </w:r>
      <w:r w:rsidR="00700B2E">
        <w:noBreakHyphen/>
      </w:r>
      <w:r w:rsidR="001948CA">
        <w:t>equivalent customs duty cannot be extinguished on imported</w:t>
      </w:r>
      <w:r w:rsidR="00A8723F">
        <w:t xml:space="preserve"> fuel ethanol</w:t>
      </w:r>
      <w:r w:rsidR="00BF2BF2">
        <w:t xml:space="preserve"> and</w:t>
      </w:r>
      <w:r w:rsidR="00A8723F">
        <w:t xml:space="preserve"> biodiesel. </w:t>
      </w:r>
      <w:r w:rsidR="004603A4">
        <w:t>Similarly, if a blend of fuel is imported that contains a biofuel</w:t>
      </w:r>
      <w:r w:rsidR="00BF1573">
        <w:t>,</w:t>
      </w:r>
      <w:r w:rsidR="004603A4">
        <w:t xml:space="preserve"> then excise</w:t>
      </w:r>
      <w:r w:rsidR="00700B2E">
        <w:noBreakHyphen/>
      </w:r>
      <w:r w:rsidR="004603A4">
        <w:t>equivalent customs duty is payable on the biofuel</w:t>
      </w:r>
      <w:r w:rsidR="008873FD">
        <w:t>s</w:t>
      </w:r>
      <w:r w:rsidR="004603A4">
        <w:t xml:space="preserve"> component of the blend at the </w:t>
      </w:r>
      <w:r w:rsidR="00BE4157">
        <w:t xml:space="preserve">rate in force at the </w:t>
      </w:r>
      <w:r w:rsidR="004603A4">
        <w:t xml:space="preserve">time of </w:t>
      </w:r>
      <w:r w:rsidR="00BE4157">
        <w:t>blending in dual licensed premises</w:t>
      </w:r>
      <w:r w:rsidR="007236A9">
        <w:t xml:space="preserve"> (premises to which a licence applies under excise and customs law)</w:t>
      </w:r>
      <w:r w:rsidR="004603A4">
        <w:t>.</w:t>
      </w:r>
      <w:r w:rsidR="00D155E3" w:rsidRPr="00D155E3">
        <w:rPr>
          <w:b/>
          <w:i/>
          <w:sz w:val="18"/>
          <w:szCs w:val="18"/>
        </w:rPr>
        <w:t xml:space="preserve"> [</w:t>
      </w:r>
      <w:r w:rsidR="00480D83">
        <w:rPr>
          <w:b/>
          <w:i/>
          <w:sz w:val="18"/>
          <w:szCs w:val="18"/>
        </w:rPr>
        <w:t xml:space="preserve">Schedule 1, items 1 to 6 of the </w:t>
      </w:r>
      <w:r w:rsidR="00D155E3" w:rsidRPr="00D155E3">
        <w:rPr>
          <w:b/>
          <w:i/>
          <w:sz w:val="18"/>
          <w:szCs w:val="18"/>
        </w:rPr>
        <w:t xml:space="preserve">Energy Grants Amendment </w:t>
      </w:r>
      <w:r w:rsidR="00477FFD" w:rsidRPr="00D155E3">
        <w:rPr>
          <w:b/>
          <w:i/>
          <w:sz w:val="18"/>
          <w:szCs w:val="18"/>
        </w:rPr>
        <w:t>Bill</w:t>
      </w:r>
      <w:r w:rsidR="00477FFD">
        <w:rPr>
          <w:b/>
          <w:i/>
          <w:sz w:val="18"/>
          <w:szCs w:val="18"/>
        </w:rPr>
        <w:t> </w:t>
      </w:r>
      <w:r w:rsidR="00D155E3" w:rsidRPr="00D155E3">
        <w:rPr>
          <w:b/>
          <w:i/>
          <w:sz w:val="18"/>
          <w:szCs w:val="18"/>
        </w:rPr>
        <w:t>2015, subsections 105B(1)</w:t>
      </w:r>
      <w:r w:rsidR="00B35BF9">
        <w:rPr>
          <w:b/>
          <w:i/>
          <w:sz w:val="18"/>
          <w:szCs w:val="18"/>
        </w:rPr>
        <w:t>, (1A)</w:t>
      </w:r>
      <w:r w:rsidR="00D155E3" w:rsidRPr="00D155E3">
        <w:rPr>
          <w:b/>
          <w:i/>
          <w:sz w:val="18"/>
          <w:szCs w:val="18"/>
        </w:rPr>
        <w:t>, (2) and (3) and paragraph</w:t>
      </w:r>
      <w:r w:rsidR="0033283D">
        <w:rPr>
          <w:b/>
          <w:i/>
          <w:sz w:val="18"/>
          <w:szCs w:val="18"/>
        </w:rPr>
        <w:t> </w:t>
      </w:r>
      <w:r w:rsidR="00D155E3" w:rsidRPr="00D155E3">
        <w:rPr>
          <w:b/>
          <w:i/>
          <w:sz w:val="18"/>
          <w:szCs w:val="18"/>
        </w:rPr>
        <w:t>105C(2)(b)</w:t>
      </w:r>
      <w:r w:rsidR="00995FFD">
        <w:rPr>
          <w:b/>
          <w:i/>
          <w:sz w:val="18"/>
          <w:szCs w:val="18"/>
        </w:rPr>
        <w:t xml:space="preserve"> </w:t>
      </w:r>
      <w:r w:rsidR="00D155E3" w:rsidRPr="00D155E3">
        <w:rPr>
          <w:b/>
          <w:i/>
          <w:sz w:val="18"/>
          <w:szCs w:val="18"/>
        </w:rPr>
        <w:t>of the Customs</w:t>
      </w:r>
      <w:r w:rsidR="00480D83">
        <w:rPr>
          <w:b/>
          <w:i/>
          <w:sz w:val="18"/>
          <w:szCs w:val="18"/>
        </w:rPr>
        <w:t> </w:t>
      </w:r>
      <w:r w:rsidR="00D155E3" w:rsidRPr="00D155E3">
        <w:rPr>
          <w:b/>
          <w:i/>
          <w:sz w:val="18"/>
          <w:szCs w:val="18"/>
        </w:rPr>
        <w:t>Act</w:t>
      </w:r>
      <w:r w:rsidR="00480D83">
        <w:rPr>
          <w:b/>
          <w:i/>
          <w:sz w:val="18"/>
          <w:szCs w:val="18"/>
        </w:rPr>
        <w:t> </w:t>
      </w:r>
      <w:r w:rsidR="00D155E3" w:rsidRPr="00D155E3">
        <w:rPr>
          <w:b/>
          <w:i/>
          <w:sz w:val="18"/>
          <w:szCs w:val="18"/>
        </w:rPr>
        <w:t>1901]</w:t>
      </w:r>
    </w:p>
    <w:p w14:paraId="4E65A6C7" w14:textId="77777777" w:rsidR="00A8723F" w:rsidRDefault="00A8723F" w:rsidP="00002EF5">
      <w:pPr>
        <w:pStyle w:val="base-text-paragraph"/>
        <w:numPr>
          <w:ilvl w:val="1"/>
          <w:numId w:val="25"/>
        </w:numPr>
      </w:pPr>
      <w:r>
        <w:t xml:space="preserve">This ensures that it is not possible to </w:t>
      </w:r>
      <w:r w:rsidR="00290B95">
        <w:t xml:space="preserve">effectively </w:t>
      </w:r>
      <w:r w:rsidR="00917735">
        <w:t xml:space="preserve">remove or </w:t>
      </w:r>
      <w:r w:rsidR="00C370A2">
        <w:t xml:space="preserve">reduce the </w:t>
      </w:r>
      <w:r w:rsidR="00146DDC">
        <w:t xml:space="preserve">duty </w:t>
      </w:r>
      <w:r w:rsidR="00854CDC">
        <w:t>liability</w:t>
      </w:r>
      <w:r w:rsidR="00C370A2">
        <w:t xml:space="preserve"> for biofuels imported</w:t>
      </w:r>
      <w:r w:rsidR="00C370A2" w:rsidDel="00C370A2">
        <w:t xml:space="preserve"> </w:t>
      </w:r>
      <w:r w:rsidR="004F3051">
        <w:t>from 1 July </w:t>
      </w:r>
      <w:r>
        <w:t xml:space="preserve">2015 by blending </w:t>
      </w:r>
      <w:r w:rsidR="00C370A2">
        <w:t xml:space="preserve">the </w:t>
      </w:r>
      <w:r>
        <w:t xml:space="preserve">imported biofuel with excisable </w:t>
      </w:r>
      <w:r w:rsidR="00CB2504">
        <w:t>fuel</w:t>
      </w:r>
      <w:r>
        <w:t xml:space="preserve">. </w:t>
      </w:r>
    </w:p>
    <w:p w14:paraId="2CBC012D" w14:textId="77777777" w:rsidR="00784A70" w:rsidRDefault="00BF1573" w:rsidP="00002EF5">
      <w:pPr>
        <w:pStyle w:val="base-text-paragraph"/>
        <w:numPr>
          <w:ilvl w:val="1"/>
          <w:numId w:val="25"/>
        </w:numPr>
      </w:pPr>
      <w:r>
        <w:t>However, this does not apply w</w:t>
      </w:r>
      <w:r w:rsidR="00B95908">
        <w:t xml:space="preserve">hen imported biofuels are blended with </w:t>
      </w:r>
      <w:r w:rsidR="00A711A3">
        <w:t xml:space="preserve">other </w:t>
      </w:r>
      <w:r w:rsidR="00B95908">
        <w:t>biofuels or used in the manufacture of fuel blends on or before 30 June 2015</w:t>
      </w:r>
      <w:r>
        <w:t>. Where fuels have been blended on or before 30</w:t>
      </w:r>
      <w:r w:rsidR="001243DA">
        <w:t> </w:t>
      </w:r>
      <w:r>
        <w:t>June 2015</w:t>
      </w:r>
      <w:r w:rsidR="00B95908">
        <w:t>, the excise</w:t>
      </w:r>
      <w:r w:rsidR="00700B2E">
        <w:noBreakHyphen/>
      </w:r>
      <w:r w:rsidR="00B95908">
        <w:t xml:space="preserve">equivalent </w:t>
      </w:r>
      <w:r w:rsidR="00A711A3">
        <w:t xml:space="preserve">customs </w:t>
      </w:r>
      <w:r w:rsidR="00B95908">
        <w:t xml:space="preserve">duty is extinguished and the relevant domestic rate of duty in force applies to the entire fuel blend on the day when the goods are delivered for home consumption or the day duty is paid, if earlier. </w:t>
      </w:r>
    </w:p>
    <w:p w14:paraId="4385EFDE" w14:textId="77777777" w:rsidR="00B95908" w:rsidRDefault="00BF1573" w:rsidP="00002EF5">
      <w:pPr>
        <w:pStyle w:val="base-text-paragraph"/>
        <w:numPr>
          <w:ilvl w:val="1"/>
          <w:numId w:val="25"/>
        </w:numPr>
      </w:pPr>
      <w:r>
        <w:t>W</w:t>
      </w:r>
      <w:r w:rsidR="00B95908">
        <w:t xml:space="preserve">hen imported biofuels are blended </w:t>
      </w:r>
      <w:r w:rsidR="00784A70">
        <w:t xml:space="preserve">in Australia </w:t>
      </w:r>
      <w:r w:rsidR="00B95908">
        <w:t xml:space="preserve">with </w:t>
      </w:r>
      <w:r w:rsidR="00784A70">
        <w:t>other</w:t>
      </w:r>
      <w:r w:rsidR="00B95908">
        <w:t xml:space="preserve"> biofuels</w:t>
      </w:r>
      <w:r w:rsidR="00784A70">
        <w:t xml:space="preserve"> that are either domestically manufactured or imported</w:t>
      </w:r>
      <w:r w:rsidR="00B95908">
        <w:t xml:space="preserve"> or</w:t>
      </w:r>
      <w:r w:rsidR="00784A70">
        <w:t xml:space="preserve"> the imported biofuels are</w:t>
      </w:r>
      <w:r w:rsidR="00B95908">
        <w:t xml:space="preserve"> used in the manufacture of fuel blends after </w:t>
      </w:r>
      <w:r w:rsidR="00061B27">
        <w:t>30 June </w:t>
      </w:r>
      <w:r w:rsidR="00B95908">
        <w:t>2015, the imported biofuels component of the blend is subject to the excise</w:t>
      </w:r>
      <w:r w:rsidR="00700B2E">
        <w:noBreakHyphen/>
      </w:r>
      <w:r w:rsidR="00B95908">
        <w:t>equivalent customs duty rate in force at the time at which the imported biofuel is blended</w:t>
      </w:r>
      <w:r w:rsidR="002F4D28">
        <w:t xml:space="preserve"> (see </w:t>
      </w:r>
      <w:r w:rsidR="00B4696A">
        <w:t>Example </w:t>
      </w:r>
      <w:r w:rsidR="00784A70">
        <w:t>1.4)</w:t>
      </w:r>
      <w:r w:rsidR="00B95908">
        <w:t>.</w:t>
      </w:r>
    </w:p>
    <w:p w14:paraId="044FED4C" w14:textId="77777777" w:rsidR="00087EF2" w:rsidRDefault="002F4D28" w:rsidP="00087EF2">
      <w:pPr>
        <w:pStyle w:val="base-text-paragraph"/>
        <w:numPr>
          <w:ilvl w:val="1"/>
          <w:numId w:val="25"/>
        </w:numPr>
      </w:pPr>
      <w:r>
        <w:t>Section 6G of the ETA </w:t>
      </w:r>
      <w:r w:rsidR="00F85D7A">
        <w:t>1921 applies so that a</w:t>
      </w:r>
      <w:r>
        <w:t>fter 30 June </w:t>
      </w:r>
      <w:r w:rsidR="00B95908">
        <w:t xml:space="preserve">2015, excise duty </w:t>
      </w:r>
      <w:r w:rsidR="00087EF2">
        <w:t>is calculated on any locally manufactured fuels that are blended with imported biofuels on the basis that:</w:t>
      </w:r>
    </w:p>
    <w:p w14:paraId="094F2154" w14:textId="77777777" w:rsidR="00087EF2" w:rsidRDefault="00087EF2" w:rsidP="00667068">
      <w:pPr>
        <w:pStyle w:val="dotpoint"/>
      </w:pPr>
      <w:r>
        <w:t>the domestic fuel component of the blend attracts the relevant domestic excise duty rate in force on the day when the goods are delivered for home consumption or the day duty is paid</w:t>
      </w:r>
      <w:r w:rsidR="002F4D28">
        <w:t>,</w:t>
      </w:r>
      <w:r>
        <w:t xml:space="preserve"> if earlier; and</w:t>
      </w:r>
    </w:p>
    <w:p w14:paraId="3BBE4724" w14:textId="77777777" w:rsidR="00B95908" w:rsidRDefault="00087EF2" w:rsidP="00667068">
      <w:pPr>
        <w:pStyle w:val="dotpoint"/>
      </w:pPr>
      <w:r>
        <w:t>the imported biofuel</w:t>
      </w:r>
      <w:r w:rsidR="008873FD">
        <w:t>s</w:t>
      </w:r>
      <w:r>
        <w:t xml:space="preserve"> component of the blend that has already been subject to excis</w:t>
      </w:r>
      <w:r w:rsidR="0001221B">
        <w:t>e</w:t>
      </w:r>
      <w:r w:rsidR="00700B2E">
        <w:noBreakHyphen/>
      </w:r>
      <w:r>
        <w:t>equivalent customs duty is tr</w:t>
      </w:r>
      <w:r w:rsidR="00C2327B">
        <w:t>e</w:t>
      </w:r>
      <w:r>
        <w:t xml:space="preserve">ated as if the applicable rate of excise duty that applies to </w:t>
      </w:r>
      <w:r w:rsidR="00F85D7A">
        <w:t>locally manufactured biofuel</w:t>
      </w:r>
      <w:r>
        <w:t xml:space="preserve"> was</w:t>
      </w:r>
      <w:r w:rsidR="0001221B">
        <w:t xml:space="preserve"> paid at the time of </w:t>
      </w:r>
      <w:r w:rsidR="00C2327B">
        <w:t xml:space="preserve">blending with </w:t>
      </w:r>
      <w:r w:rsidR="00F85D7A">
        <w:t xml:space="preserve">the </w:t>
      </w:r>
      <w:r w:rsidR="00C2327B">
        <w:t>domestic fuel</w:t>
      </w:r>
      <w:r>
        <w:t xml:space="preserve">. </w:t>
      </w:r>
    </w:p>
    <w:p w14:paraId="0DBC0FB1" w14:textId="77777777" w:rsidR="00087EF2" w:rsidRDefault="00087EF2" w:rsidP="00087EF2">
      <w:pPr>
        <w:pStyle w:val="base-text-paragraph"/>
        <w:numPr>
          <w:ilvl w:val="1"/>
          <w:numId w:val="25"/>
        </w:numPr>
      </w:pPr>
      <w:r>
        <w:t>Treating the biofuel</w:t>
      </w:r>
      <w:r w:rsidR="008873FD">
        <w:t>s</w:t>
      </w:r>
      <w:r>
        <w:t xml:space="preserve"> component of a blend that has been subject to excise</w:t>
      </w:r>
      <w:r w:rsidR="00700B2E">
        <w:noBreakHyphen/>
      </w:r>
      <w:r>
        <w:t xml:space="preserve">equivalent customs duty upon importation as instead having had excise duty paid ensures that the operation of section 6G of the </w:t>
      </w:r>
      <w:r w:rsidRPr="00087EF2">
        <w:t>ETA 1921</w:t>
      </w:r>
      <w:r>
        <w:t xml:space="preserve"> does not result in any reduction in the effective rate of duty that the imported biofuel </w:t>
      </w:r>
      <w:r w:rsidR="0001221B">
        <w:t>has borne.</w:t>
      </w:r>
      <w:r>
        <w:t xml:space="preserve"> </w:t>
      </w:r>
    </w:p>
    <w:p w14:paraId="02B2A417" w14:textId="77777777" w:rsidR="0001221B" w:rsidRDefault="0001221B" w:rsidP="0001221B">
      <w:pPr>
        <w:pStyle w:val="ExampleHeading"/>
        <w:numPr>
          <w:ilvl w:val="3"/>
          <w:numId w:val="25"/>
        </w:numPr>
      </w:pPr>
      <w:r>
        <w:t xml:space="preserve">: Calculating the duty rate on the manufacture of fuel blends </w:t>
      </w:r>
      <w:r w:rsidR="00B923D9">
        <w:t xml:space="preserve">made before 1 July 2015 </w:t>
      </w:r>
      <w:r>
        <w:t>that contain imported biofuels</w:t>
      </w:r>
    </w:p>
    <w:p w14:paraId="1A4DAEF8" w14:textId="77777777" w:rsidR="00CF5CD5" w:rsidRDefault="0001221B" w:rsidP="00C12661">
      <w:pPr>
        <w:pStyle w:val="exampletext"/>
      </w:pPr>
      <w:r>
        <w:t xml:space="preserve">A </w:t>
      </w:r>
      <w:r w:rsidR="00CF5CD5">
        <w:t xml:space="preserve">fuel manufacturer imports biodiesel into Australia prior to </w:t>
      </w:r>
      <w:r w:rsidR="00C12661">
        <w:t>1 </w:t>
      </w:r>
      <w:r w:rsidR="00CF5CD5">
        <w:t>July</w:t>
      </w:r>
      <w:r w:rsidR="00C12661">
        <w:t> </w:t>
      </w:r>
      <w:r w:rsidR="00CF5CD5">
        <w:t xml:space="preserve">2015 and stores the biodiesel under bond in a dual licensed warehouse. No duty is payable at the time of importation as the biodiesel is subject to blending and the </w:t>
      </w:r>
      <w:r w:rsidR="00BE4157">
        <w:t>excise</w:t>
      </w:r>
      <w:r w:rsidR="00700B2E">
        <w:noBreakHyphen/>
      </w:r>
      <w:r w:rsidR="00BE4157">
        <w:t xml:space="preserve">equivalent </w:t>
      </w:r>
      <w:r w:rsidR="00CF5CD5">
        <w:t>customs duty liability is extinguished at this point. The biodiesel is bl</w:t>
      </w:r>
      <w:r w:rsidR="002F4D28">
        <w:t>ended a further time prior to 1 July </w:t>
      </w:r>
      <w:r w:rsidR="00CF5CD5">
        <w:t>2015 in the warehouse with diesel to produce B20. The fuel blend is delive</w:t>
      </w:r>
      <w:r w:rsidR="002F4D28">
        <w:t>red into home consumption on 10 July </w:t>
      </w:r>
      <w:r w:rsidR="00CF5CD5">
        <w:t xml:space="preserve">2015 and duty is paid after this time. The biodiesel component of the fuel blend is subject to </w:t>
      </w:r>
      <w:r w:rsidR="007505D5">
        <w:t>the</w:t>
      </w:r>
      <w:r w:rsidR="00CF5CD5">
        <w:t xml:space="preserve"> zero rate of </w:t>
      </w:r>
      <w:r w:rsidR="002F4D28">
        <w:t xml:space="preserve">excise duty </w:t>
      </w:r>
      <w:r w:rsidR="007236A9">
        <w:t xml:space="preserve">that is </w:t>
      </w:r>
      <w:r w:rsidR="002F4D28">
        <w:t>in force on 10 July </w:t>
      </w:r>
      <w:r w:rsidR="00CF5CD5">
        <w:t xml:space="preserve">2015 and the diesel component attracts the diesel rate of duty in </w:t>
      </w:r>
      <w:r w:rsidR="003665C8">
        <w:t>force</w:t>
      </w:r>
      <w:r w:rsidR="00CF5CD5">
        <w:t xml:space="preserve"> on that day.</w:t>
      </w:r>
    </w:p>
    <w:p w14:paraId="313E24CE" w14:textId="77777777" w:rsidR="00B923D9" w:rsidRDefault="00B923D9" w:rsidP="00B923D9">
      <w:pPr>
        <w:pStyle w:val="ExampleHeading"/>
      </w:pPr>
      <w:r>
        <w:t>: Calculating the duty rate on the manufacture of fuel blends made after</w:t>
      </w:r>
      <w:r w:rsidR="008D4EDA">
        <w:t xml:space="preserve"> </w:t>
      </w:r>
      <w:r>
        <w:t>30 June 2015 that contain imported biofuels</w:t>
      </w:r>
    </w:p>
    <w:p w14:paraId="3816D2F8" w14:textId="77777777" w:rsidR="0001221B" w:rsidRPr="00402D74" w:rsidRDefault="00B923D9" w:rsidP="00146DDC">
      <w:pPr>
        <w:pStyle w:val="exampletext"/>
        <w:rPr>
          <w:sz w:val="16"/>
          <w:szCs w:val="16"/>
        </w:rPr>
      </w:pPr>
      <w:r>
        <w:t>A fuel manufacturer imports biodiesel into Australia on 1</w:t>
      </w:r>
      <w:r w:rsidR="007505D5">
        <w:t> July </w:t>
      </w:r>
      <w:r>
        <w:t>2016 and also stores the biodiesel under bond in a dual licensed warehouse on that date. The biodiesel is subject to the rate of excise</w:t>
      </w:r>
      <w:r w:rsidR="00700B2E">
        <w:noBreakHyphen/>
      </w:r>
      <w:r>
        <w:t>equiva</w:t>
      </w:r>
      <w:r w:rsidR="007505D5">
        <w:t>lent customs duty in force on 1 July </w:t>
      </w:r>
      <w:r>
        <w:t xml:space="preserve">2016 when the biodiesel was blended with locally manufactured biodiesel. The biodiesel is </w:t>
      </w:r>
      <w:r w:rsidR="003F4FAE">
        <w:t xml:space="preserve">then </w:t>
      </w:r>
      <w:r>
        <w:t>further blended in the warehouse with diesel to produce B20. The fuel blend is delive</w:t>
      </w:r>
      <w:r w:rsidR="007505D5">
        <w:t>red into home consumption on 10 July </w:t>
      </w:r>
      <w:r>
        <w:t>2016 and excise duty is paid after this time. For the purposes of calculating the duty liability on the entire blend, the diesel component of the blend is subject to the diesel rat</w:t>
      </w:r>
      <w:r w:rsidR="00B03975">
        <w:t>e of excise duty in force on 10 July </w:t>
      </w:r>
      <w:r>
        <w:t>2016 and the biodiesel component is treated as ha</w:t>
      </w:r>
      <w:r w:rsidR="00B03975">
        <w:t>ving had excise duty paid at 10 per </w:t>
      </w:r>
      <w:r>
        <w:t xml:space="preserve">cent of the diesel </w:t>
      </w:r>
      <w:r w:rsidR="00B03975">
        <w:t>excise duty rate in force on 10 July </w:t>
      </w:r>
      <w:r>
        <w:t xml:space="preserve">2016. </w:t>
      </w:r>
    </w:p>
    <w:p w14:paraId="5EA84FA8" w14:textId="77777777" w:rsidR="00884BC3" w:rsidRDefault="00884BC3" w:rsidP="009916D7">
      <w:pPr>
        <w:pStyle w:val="Heading3"/>
      </w:pPr>
      <w:r>
        <w:t>Blending exemption</w:t>
      </w:r>
    </w:p>
    <w:p w14:paraId="7A04B885" w14:textId="77777777" w:rsidR="00884BC3" w:rsidRDefault="00B03975" w:rsidP="00884BC3">
      <w:pPr>
        <w:pStyle w:val="base-text-paragraph"/>
        <w:numPr>
          <w:ilvl w:val="1"/>
          <w:numId w:val="28"/>
        </w:numPr>
      </w:pPr>
      <w:r>
        <w:t>Under subsection </w:t>
      </w:r>
      <w:r w:rsidR="00884BC3">
        <w:t xml:space="preserve">77H(1) of the </w:t>
      </w:r>
      <w:r>
        <w:rPr>
          <w:i/>
        </w:rPr>
        <w:t>Excise Act </w:t>
      </w:r>
      <w:r w:rsidR="00884BC3" w:rsidRPr="00B24A3C">
        <w:rPr>
          <w:i/>
        </w:rPr>
        <w:t>1901</w:t>
      </w:r>
      <w:r w:rsidR="00884BC3">
        <w:t xml:space="preserve">, an exemption from excise duty applies where fuels (other than biofuels) are blended together and excise or </w:t>
      </w:r>
      <w:r w:rsidR="00BE4157">
        <w:t>excise</w:t>
      </w:r>
      <w:r w:rsidR="00700B2E">
        <w:noBreakHyphen/>
      </w:r>
      <w:r w:rsidR="00BE4157">
        <w:t xml:space="preserve">equivalent </w:t>
      </w:r>
      <w:r w:rsidR="00884BC3">
        <w:t xml:space="preserve">customs duty has been paid at the same rate on the separate fuel components. The amendments remove the existing requirement that biofuel blends that have been subject to duty cannot be blended with other </w:t>
      </w:r>
      <w:r w:rsidR="00061B27">
        <w:t>duty</w:t>
      </w:r>
      <w:r w:rsidR="00700B2E">
        <w:noBreakHyphen/>
      </w:r>
      <w:r w:rsidR="00884BC3">
        <w:t>paid fuels without being subj</w:t>
      </w:r>
      <w:r w:rsidR="00A47F34">
        <w:t>ect to the</w:t>
      </w:r>
      <w:r w:rsidR="00D33EA2">
        <w:t xml:space="preserve"> </w:t>
      </w:r>
      <w:r w:rsidR="00A47F34">
        <w:t>operation of section 6G of the ETA </w:t>
      </w:r>
      <w:r w:rsidR="00884BC3">
        <w:t xml:space="preserve">1921. This removes existing restrictions on </w:t>
      </w:r>
      <w:r w:rsidR="00A47F34">
        <w:t xml:space="preserve">the </w:t>
      </w:r>
      <w:r w:rsidR="00884BC3">
        <w:t xml:space="preserve">blending of biofuels that have been subject to duty. </w:t>
      </w:r>
      <w:r w:rsidR="00884BC3" w:rsidRPr="00C24088">
        <w:rPr>
          <w:rStyle w:val="Referencingstyle"/>
        </w:rPr>
        <w:t>[</w:t>
      </w:r>
      <w:r w:rsidR="00410E73">
        <w:rPr>
          <w:rStyle w:val="Referencingstyle"/>
        </w:rPr>
        <w:t xml:space="preserve">Schedule 1, item 8 of the </w:t>
      </w:r>
      <w:r w:rsidR="00884BC3" w:rsidRPr="00C24088">
        <w:rPr>
          <w:rStyle w:val="Referencingstyle"/>
        </w:rPr>
        <w:t>Energy Grants Amendment Bill 2015, subsection</w:t>
      </w:r>
      <w:r w:rsidR="00410E73">
        <w:rPr>
          <w:rStyle w:val="Referencingstyle"/>
        </w:rPr>
        <w:t> </w:t>
      </w:r>
      <w:r w:rsidR="00884BC3" w:rsidRPr="00C24088">
        <w:rPr>
          <w:rStyle w:val="Referencingstyle"/>
        </w:rPr>
        <w:t>77H(2) of the Excise Act 1901</w:t>
      </w:r>
      <w:r w:rsidR="00884BC3" w:rsidRPr="00A93154">
        <w:rPr>
          <w:b/>
          <w:i/>
          <w:sz w:val="18"/>
          <w:szCs w:val="18"/>
        </w:rPr>
        <w:t>]</w:t>
      </w:r>
      <w:r w:rsidR="00884BC3" w:rsidRPr="007E241D">
        <w:t xml:space="preserve"> </w:t>
      </w:r>
    </w:p>
    <w:p w14:paraId="2227B403" w14:textId="77777777" w:rsidR="00884BC3" w:rsidRDefault="00884BC3" w:rsidP="0033283D">
      <w:pPr>
        <w:pStyle w:val="base-text-paragraph"/>
        <w:keepNext/>
        <w:keepLines/>
        <w:numPr>
          <w:ilvl w:val="1"/>
          <w:numId w:val="28"/>
        </w:numPr>
      </w:pPr>
      <w:r>
        <w:t xml:space="preserve">The amendments also ensure that the exemption from the operation </w:t>
      </w:r>
      <w:r w:rsidR="00A47F34">
        <w:t>of the blending rule in section </w:t>
      </w:r>
      <w:r>
        <w:t>6G also applies where biofuels have been subject to different rates of duty because of:</w:t>
      </w:r>
    </w:p>
    <w:p w14:paraId="6831ADEE" w14:textId="77777777" w:rsidR="00884BC3" w:rsidRDefault="00884BC3" w:rsidP="0033283D">
      <w:pPr>
        <w:pStyle w:val="dotpoint"/>
        <w:keepNext/>
        <w:keepLines/>
      </w:pPr>
      <w:r>
        <w:t xml:space="preserve">the </w:t>
      </w:r>
      <w:r w:rsidR="00061B27">
        <w:t>phase</w:t>
      </w:r>
      <w:r w:rsidR="00700B2E">
        <w:noBreakHyphen/>
      </w:r>
      <w:r>
        <w:t>in of duty rates each year on Australian manufactured biofuels from 1 July 2016; or</w:t>
      </w:r>
    </w:p>
    <w:p w14:paraId="54EA714E" w14:textId="77777777" w:rsidR="00884BC3" w:rsidRDefault="00884BC3" w:rsidP="0033283D">
      <w:pPr>
        <w:pStyle w:val="dotpoint"/>
        <w:keepNext/>
        <w:keepLines/>
      </w:pPr>
      <w:r>
        <w:t xml:space="preserve">where no duty </w:t>
      </w:r>
      <w:r w:rsidR="00EC743E">
        <w:t>is payable on</w:t>
      </w:r>
      <w:r>
        <w:t xml:space="preserve"> </w:t>
      </w:r>
      <w:r w:rsidR="00061B27">
        <w:t>Australian</w:t>
      </w:r>
      <w:r w:rsidR="00700B2E">
        <w:noBreakHyphen/>
      </w:r>
      <w:r>
        <w:t xml:space="preserve">manufactured biofuels </w:t>
      </w:r>
      <w:r w:rsidR="00EC743E">
        <w:t xml:space="preserve">because they are subject to duty </w:t>
      </w:r>
      <w:r>
        <w:t>in the period 1</w:t>
      </w:r>
      <w:r w:rsidR="000603BB">
        <w:t> </w:t>
      </w:r>
      <w:r>
        <w:t>July</w:t>
      </w:r>
      <w:r w:rsidR="000603BB">
        <w:t> </w:t>
      </w:r>
      <w:r>
        <w:t>2015 to 30</w:t>
      </w:r>
      <w:r w:rsidR="000603BB">
        <w:t> </w:t>
      </w:r>
      <w:r>
        <w:t>June</w:t>
      </w:r>
      <w:r w:rsidR="000603BB">
        <w:t> </w:t>
      </w:r>
      <w:r>
        <w:t xml:space="preserve">2016. </w:t>
      </w:r>
    </w:p>
    <w:p w14:paraId="4109A21D" w14:textId="77777777" w:rsidR="00B57550" w:rsidRDefault="00B57550" w:rsidP="0033283D">
      <w:pPr>
        <w:pStyle w:val="dotpoint2"/>
        <w:keepNext/>
        <w:keepLines/>
        <w:numPr>
          <w:ilvl w:val="0"/>
          <w:numId w:val="0"/>
        </w:numPr>
        <w:ind w:left="1134"/>
      </w:pPr>
      <w:r w:rsidRPr="00C24088">
        <w:rPr>
          <w:rStyle w:val="Referencingstyle"/>
        </w:rPr>
        <w:t>[</w:t>
      </w:r>
      <w:r w:rsidR="00480D83">
        <w:rPr>
          <w:rStyle w:val="Referencingstyle"/>
        </w:rPr>
        <w:t xml:space="preserve">Schedule 1, items 7 and 8 of the </w:t>
      </w:r>
      <w:r w:rsidRPr="00C24088">
        <w:rPr>
          <w:rStyle w:val="Referencingstyle"/>
        </w:rPr>
        <w:t xml:space="preserve">Energy Grants Amendment Bill 2015, </w:t>
      </w:r>
      <w:r>
        <w:rPr>
          <w:rStyle w:val="Referencingstyle"/>
        </w:rPr>
        <w:t>paragraph</w:t>
      </w:r>
      <w:r w:rsidR="00480D83">
        <w:rPr>
          <w:rStyle w:val="Referencingstyle"/>
        </w:rPr>
        <w:t> </w:t>
      </w:r>
      <w:r>
        <w:rPr>
          <w:rStyle w:val="Referencingstyle"/>
        </w:rPr>
        <w:t>77H(1)(a)</w:t>
      </w:r>
      <w:r w:rsidRPr="00C24088">
        <w:rPr>
          <w:rStyle w:val="Referencingstyle"/>
        </w:rPr>
        <w:t xml:space="preserve"> </w:t>
      </w:r>
      <w:r w:rsidR="003339CD">
        <w:rPr>
          <w:rStyle w:val="Referencingstyle"/>
        </w:rPr>
        <w:t>and subsection</w:t>
      </w:r>
      <w:r w:rsidR="00480D83">
        <w:rPr>
          <w:rStyle w:val="Referencingstyle"/>
        </w:rPr>
        <w:t> </w:t>
      </w:r>
      <w:r w:rsidR="003339CD">
        <w:rPr>
          <w:rStyle w:val="Referencingstyle"/>
        </w:rPr>
        <w:t xml:space="preserve">77H(2) </w:t>
      </w:r>
      <w:r w:rsidRPr="00C24088">
        <w:rPr>
          <w:rStyle w:val="Referencingstyle"/>
        </w:rPr>
        <w:t xml:space="preserve">of the Excise </w:t>
      </w:r>
      <w:r w:rsidR="00C12661" w:rsidRPr="00C24088">
        <w:rPr>
          <w:rStyle w:val="Referencingstyle"/>
        </w:rPr>
        <w:t>Act</w:t>
      </w:r>
      <w:r w:rsidR="00C12661">
        <w:rPr>
          <w:rStyle w:val="Referencingstyle"/>
        </w:rPr>
        <w:t> </w:t>
      </w:r>
      <w:r w:rsidRPr="00C24088">
        <w:rPr>
          <w:rStyle w:val="Referencingstyle"/>
        </w:rPr>
        <w:t>190</w:t>
      </w:r>
      <w:r w:rsidRPr="00007715">
        <w:rPr>
          <w:rStyle w:val="Referencingstyle"/>
          <w:szCs w:val="18"/>
        </w:rPr>
        <w:t>1</w:t>
      </w:r>
      <w:r w:rsidRPr="00007715">
        <w:rPr>
          <w:b/>
          <w:i/>
          <w:sz w:val="18"/>
          <w:szCs w:val="18"/>
        </w:rPr>
        <w:t>]</w:t>
      </w:r>
      <w:r w:rsidRPr="007E241D">
        <w:t xml:space="preserve"> </w:t>
      </w:r>
    </w:p>
    <w:p w14:paraId="299D1824" w14:textId="77777777" w:rsidR="00A8723F" w:rsidRDefault="00A8723F" w:rsidP="00B25D2E">
      <w:pPr>
        <w:pStyle w:val="Heading2"/>
      </w:pPr>
      <w:r>
        <w:t>Consequential amendments</w:t>
      </w:r>
    </w:p>
    <w:p w14:paraId="0AB3DC3F" w14:textId="77777777" w:rsidR="00A8723F" w:rsidRPr="00315FD1" w:rsidRDefault="00A8723F" w:rsidP="00514634">
      <w:pPr>
        <w:pStyle w:val="Heading3"/>
      </w:pPr>
      <w:r>
        <w:t>Calculation of fuel tax credits</w:t>
      </w:r>
    </w:p>
    <w:p w14:paraId="31151516" w14:textId="77777777" w:rsidR="00321738" w:rsidRDefault="00321738" w:rsidP="001D0DA5">
      <w:pPr>
        <w:pStyle w:val="Heading4"/>
      </w:pPr>
      <w:r>
        <w:t>Biofuels and higher ratio biofuel blends</w:t>
      </w:r>
    </w:p>
    <w:p w14:paraId="10D6A950" w14:textId="77777777" w:rsidR="00043E33" w:rsidRDefault="00A8723F" w:rsidP="00321738">
      <w:pPr>
        <w:pStyle w:val="base-text-paragraph"/>
        <w:numPr>
          <w:ilvl w:val="1"/>
          <w:numId w:val="24"/>
        </w:numPr>
      </w:pPr>
      <w:r>
        <w:t xml:space="preserve">The amendments require that </w:t>
      </w:r>
      <w:r w:rsidR="00671041">
        <w:t xml:space="preserve">fuel tax credits for fuel ethanol, </w:t>
      </w:r>
      <w:r w:rsidR="00831608">
        <w:t xml:space="preserve">and </w:t>
      </w:r>
      <w:r w:rsidR="00671041">
        <w:t>biodiesel</w:t>
      </w:r>
      <w:r w:rsidR="00043E33">
        <w:t xml:space="preserve"> and blends </w:t>
      </w:r>
      <w:r w:rsidR="002A30B2">
        <w:t>including</w:t>
      </w:r>
      <w:r w:rsidR="00043E33">
        <w:t xml:space="preserve"> th</w:t>
      </w:r>
      <w:r w:rsidR="00146DDC">
        <w:t>o</w:t>
      </w:r>
      <w:r w:rsidR="00043E33">
        <w:t>se biofuels</w:t>
      </w:r>
      <w:r w:rsidR="00321738" w:rsidRPr="00321738">
        <w:t xml:space="preserve"> </w:t>
      </w:r>
      <w:r w:rsidR="00321738">
        <w:t>that exceed the prescribed maximum percentage of biofuels</w:t>
      </w:r>
      <w:r w:rsidR="00043E33">
        <w:t xml:space="preserve"> are</w:t>
      </w:r>
      <w:r>
        <w:t xml:space="preserve"> calculated as if these fuels </w:t>
      </w:r>
      <w:r w:rsidR="00671041">
        <w:t>had been</w:t>
      </w:r>
      <w:r>
        <w:t xml:space="preserve"> subject to the excise </w:t>
      </w:r>
      <w:r w:rsidR="00E359B8">
        <w:t xml:space="preserve">rate of </w:t>
      </w:r>
      <w:r w:rsidR="00043E33">
        <w:t xml:space="preserve">duty, </w:t>
      </w:r>
      <w:r w:rsidR="00CA7902">
        <w:t>regardless of whether the fuel was locally manufactured or imported</w:t>
      </w:r>
      <w:r>
        <w:t xml:space="preserve">. </w:t>
      </w:r>
      <w:r w:rsidR="00FA6FFA" w:rsidRPr="004A27D5">
        <w:rPr>
          <w:b/>
          <w:i/>
          <w:sz w:val="18"/>
          <w:szCs w:val="18"/>
        </w:rPr>
        <w:t>[</w:t>
      </w:r>
      <w:r w:rsidR="00480D83">
        <w:rPr>
          <w:b/>
          <w:i/>
          <w:sz w:val="18"/>
          <w:szCs w:val="18"/>
        </w:rPr>
        <w:t xml:space="preserve">Schedule 1, item 9, </w:t>
      </w:r>
      <w:r w:rsidR="00FA6FFA">
        <w:rPr>
          <w:b/>
          <w:i/>
          <w:sz w:val="18"/>
          <w:szCs w:val="18"/>
        </w:rPr>
        <w:t xml:space="preserve">Energy Grants Amendment Bill 2015, subsection </w:t>
      </w:r>
      <w:r w:rsidR="00FA6FFA" w:rsidRPr="004A27D5">
        <w:rPr>
          <w:b/>
          <w:i/>
          <w:sz w:val="18"/>
          <w:szCs w:val="18"/>
        </w:rPr>
        <w:t>43</w:t>
      </w:r>
      <w:r w:rsidR="00700B2E">
        <w:rPr>
          <w:b/>
          <w:i/>
          <w:sz w:val="18"/>
          <w:szCs w:val="18"/>
        </w:rPr>
        <w:noBreakHyphen/>
      </w:r>
      <w:r w:rsidR="00FA6FFA">
        <w:rPr>
          <w:b/>
          <w:i/>
          <w:sz w:val="18"/>
          <w:szCs w:val="18"/>
        </w:rPr>
        <w:t>7(7</w:t>
      </w:r>
      <w:r w:rsidR="00FA6FFA" w:rsidRPr="004A27D5">
        <w:rPr>
          <w:b/>
          <w:i/>
          <w:sz w:val="18"/>
          <w:szCs w:val="18"/>
        </w:rPr>
        <w:t>) of the Fuel</w:t>
      </w:r>
      <w:r w:rsidR="000A42A7">
        <w:rPr>
          <w:b/>
          <w:i/>
          <w:sz w:val="18"/>
          <w:szCs w:val="18"/>
        </w:rPr>
        <w:t> </w:t>
      </w:r>
      <w:r w:rsidR="00FA6FFA" w:rsidRPr="004A27D5">
        <w:rPr>
          <w:b/>
          <w:i/>
          <w:sz w:val="18"/>
          <w:szCs w:val="18"/>
        </w:rPr>
        <w:t>Tax</w:t>
      </w:r>
      <w:r w:rsidR="000A42A7">
        <w:rPr>
          <w:b/>
          <w:i/>
          <w:sz w:val="18"/>
          <w:szCs w:val="18"/>
        </w:rPr>
        <w:t> </w:t>
      </w:r>
      <w:r w:rsidR="00FA6FFA" w:rsidRPr="004A27D5">
        <w:rPr>
          <w:b/>
          <w:i/>
          <w:sz w:val="18"/>
          <w:szCs w:val="18"/>
        </w:rPr>
        <w:t>Act</w:t>
      </w:r>
      <w:r w:rsidR="000A42A7">
        <w:rPr>
          <w:b/>
          <w:i/>
          <w:sz w:val="18"/>
          <w:szCs w:val="18"/>
        </w:rPr>
        <w:t> </w:t>
      </w:r>
      <w:r w:rsidR="00FA6FFA" w:rsidRPr="004A27D5">
        <w:rPr>
          <w:b/>
          <w:i/>
          <w:sz w:val="18"/>
          <w:szCs w:val="18"/>
        </w:rPr>
        <w:t>2006]</w:t>
      </w:r>
    </w:p>
    <w:p w14:paraId="162A1E02" w14:textId="77777777" w:rsidR="00A8723F" w:rsidRDefault="00A8723F" w:rsidP="00002EF5">
      <w:pPr>
        <w:pStyle w:val="base-text-paragraph"/>
        <w:numPr>
          <w:ilvl w:val="1"/>
          <w:numId w:val="24"/>
        </w:numPr>
      </w:pPr>
      <w:r>
        <w:t xml:space="preserve">This ensures consistency with the existing operation of the fuel tax credit provisions concerning fuel blends containing </w:t>
      </w:r>
      <w:r w:rsidR="00D25D33">
        <w:t xml:space="preserve">fuel </w:t>
      </w:r>
      <w:r>
        <w:t>ethanol. This approach provide</w:t>
      </w:r>
      <w:r w:rsidR="00061B27">
        <w:t>s</w:t>
      </w:r>
      <w:r>
        <w:t xml:space="preserve"> certainty</w:t>
      </w:r>
      <w:r w:rsidR="00745A28">
        <w:t xml:space="preserve"> for</w:t>
      </w:r>
      <w:r>
        <w:t xml:space="preserve"> fuel tax credit claimants. </w:t>
      </w:r>
    </w:p>
    <w:p w14:paraId="68CDF230" w14:textId="77777777" w:rsidR="00E40C77" w:rsidRDefault="00E40C77" w:rsidP="00E40C77">
      <w:pPr>
        <w:pStyle w:val="ExampleHeading"/>
        <w:numPr>
          <w:ilvl w:val="3"/>
          <w:numId w:val="24"/>
        </w:numPr>
      </w:pPr>
      <w:r>
        <w:t>:</w:t>
      </w:r>
      <w:r w:rsidR="0025246B">
        <w:t xml:space="preserve"> </w:t>
      </w:r>
      <w:r>
        <w:t xml:space="preserve">Fuel tax credits for </w:t>
      </w:r>
      <w:r w:rsidR="00677BD6">
        <w:t xml:space="preserve">higher ratio </w:t>
      </w:r>
      <w:r w:rsidR="009916D7">
        <w:t>bio</w:t>
      </w:r>
      <w:r>
        <w:t>diesel blend</w:t>
      </w:r>
      <w:r w:rsidR="00484F22">
        <w:t>s</w:t>
      </w:r>
    </w:p>
    <w:p w14:paraId="3FD115DF" w14:textId="77777777" w:rsidR="006A0D5D" w:rsidRDefault="007C6639" w:rsidP="00E40C77">
      <w:pPr>
        <w:pStyle w:val="exampletext"/>
      </w:pPr>
      <w:r>
        <w:t>On 4</w:t>
      </w:r>
      <w:r w:rsidR="004F7569">
        <w:t> </w:t>
      </w:r>
      <w:r>
        <w:t>Ju</w:t>
      </w:r>
      <w:r w:rsidR="00200DE9">
        <w:t>ly</w:t>
      </w:r>
      <w:r w:rsidR="004F7569">
        <w:t> </w:t>
      </w:r>
      <w:r w:rsidR="00200DE9">
        <w:t xml:space="preserve">2015, </w:t>
      </w:r>
      <w:r w:rsidR="00E40C77">
        <w:t xml:space="preserve">Camille Corporation </w:t>
      </w:r>
      <w:r w:rsidR="00200DE9">
        <w:t xml:space="preserve">imports </w:t>
      </w:r>
      <w:r>
        <w:t>200</w:t>
      </w:r>
      <w:r w:rsidR="004F7569">
        <w:t> </w:t>
      </w:r>
      <w:r>
        <w:t xml:space="preserve">litres </w:t>
      </w:r>
      <w:r w:rsidR="00200DE9">
        <w:t>of</w:t>
      </w:r>
      <w:r w:rsidR="00E40C77">
        <w:t xml:space="preserve"> </w:t>
      </w:r>
      <w:r w:rsidR="00831608">
        <w:t>biodiesel and</w:t>
      </w:r>
      <w:r w:rsidR="00E40C77">
        <w:t xml:space="preserve"> </w:t>
      </w:r>
      <w:r>
        <w:t xml:space="preserve">200 litres of </w:t>
      </w:r>
      <w:r w:rsidR="00E40C77">
        <w:t>diesel</w:t>
      </w:r>
      <w:r w:rsidR="00D65AB4">
        <w:t xml:space="preserve"> and</w:t>
      </w:r>
      <w:r w:rsidR="00200DE9">
        <w:t xml:space="preserve"> then blends both fuels to</w:t>
      </w:r>
      <w:r w:rsidR="00D65AB4">
        <w:t>gether so that there are</w:t>
      </w:r>
      <w:r w:rsidR="00200DE9">
        <w:t xml:space="preserve"> </w:t>
      </w:r>
      <w:r>
        <w:t xml:space="preserve">400 litres of </w:t>
      </w:r>
      <w:r w:rsidR="00200DE9">
        <w:t>fuel</w:t>
      </w:r>
      <w:r w:rsidR="00E40C77">
        <w:t xml:space="preserve"> </w:t>
      </w:r>
      <w:r w:rsidR="00677BD6">
        <w:t>containing 50</w:t>
      </w:r>
      <w:r w:rsidR="004F7569">
        <w:t> </w:t>
      </w:r>
      <w:r w:rsidR="00677BD6">
        <w:t>per</w:t>
      </w:r>
      <w:r w:rsidR="004F7569">
        <w:t> </w:t>
      </w:r>
      <w:r w:rsidR="00677BD6">
        <w:t xml:space="preserve">cent </w:t>
      </w:r>
      <w:r w:rsidR="00831608">
        <w:t>biodiesel</w:t>
      </w:r>
      <w:r w:rsidR="00677BD6">
        <w:t xml:space="preserve"> and 5</w:t>
      </w:r>
      <w:r w:rsidR="00E40C77">
        <w:t>0</w:t>
      </w:r>
      <w:r w:rsidR="004F7569">
        <w:t> </w:t>
      </w:r>
      <w:r w:rsidR="00E40C77">
        <w:t>per</w:t>
      </w:r>
      <w:r w:rsidR="004F7569">
        <w:t> </w:t>
      </w:r>
      <w:r w:rsidR="00E40C77">
        <w:t xml:space="preserve">cent diesel </w:t>
      </w:r>
      <w:r w:rsidR="00200DE9">
        <w:t>(B50)</w:t>
      </w:r>
      <w:r>
        <w:t xml:space="preserve"> </w:t>
      </w:r>
      <w:r w:rsidR="00B030EC">
        <w:t xml:space="preserve">for </w:t>
      </w:r>
      <w:r w:rsidR="00E40C77">
        <w:t>use in its off</w:t>
      </w:r>
      <w:r w:rsidR="00700B2E">
        <w:noBreakHyphen/>
      </w:r>
      <w:r w:rsidR="00E40C77">
        <w:t xml:space="preserve">road </w:t>
      </w:r>
      <w:r w:rsidR="00867819">
        <w:t xml:space="preserve">mining </w:t>
      </w:r>
      <w:r w:rsidR="00E40C77">
        <w:t>operations.</w:t>
      </w:r>
      <w:r w:rsidR="00207A8A">
        <w:t xml:space="preserve"> </w:t>
      </w:r>
    </w:p>
    <w:p w14:paraId="5340DE35" w14:textId="77777777" w:rsidR="00EB2927" w:rsidRDefault="00E40C77" w:rsidP="003F0070">
      <w:pPr>
        <w:pStyle w:val="exampletext"/>
      </w:pPr>
      <w:r>
        <w:t xml:space="preserve">Camille Corporation </w:t>
      </w:r>
      <w:r w:rsidR="00831608">
        <w:t>must</w:t>
      </w:r>
      <w:r>
        <w:t xml:space="preserve"> claim fuel tax credits on the basis that the</w:t>
      </w:r>
      <w:r w:rsidR="00677BD6">
        <w:t xml:space="preserve"> </w:t>
      </w:r>
      <w:r w:rsidR="00831608">
        <w:t>biodiesel</w:t>
      </w:r>
      <w:r w:rsidR="00677BD6">
        <w:t xml:space="preserve"> component of the blend has been subject to excise duty </w:t>
      </w:r>
      <w:r w:rsidR="00831608">
        <w:t xml:space="preserve">because it </w:t>
      </w:r>
      <w:r w:rsidR="00D91B72">
        <w:t xml:space="preserve">is </w:t>
      </w:r>
      <w:r w:rsidR="00831608">
        <w:t xml:space="preserve">treated for fuel tax credit purposes as if </w:t>
      </w:r>
      <w:r w:rsidR="00677BD6">
        <w:t>it was manufactured in Australia</w:t>
      </w:r>
      <w:r>
        <w:t>.</w:t>
      </w:r>
      <w:r w:rsidR="007C6639">
        <w:t xml:space="preserve"> </w:t>
      </w:r>
      <w:r w:rsidR="00207A8A">
        <w:t>As a result, Camille Corporation may claim fuel tax credits for</w:t>
      </w:r>
      <w:r w:rsidR="00EB2927">
        <w:t>:</w:t>
      </w:r>
    </w:p>
    <w:p w14:paraId="7A997B0E" w14:textId="77777777" w:rsidR="00EB2927" w:rsidRDefault="00207A8A" w:rsidP="00DA4EFD">
      <w:pPr>
        <w:pStyle w:val="exampledotpoint1"/>
        <w:keepNext/>
        <w:keepLines/>
        <w:spacing w:before="80" w:after="80"/>
        <w:ind w:left="2269" w:hanging="284"/>
      </w:pPr>
      <w:bookmarkStart w:id="4" w:name="tempbookmark"/>
      <w:bookmarkEnd w:id="4"/>
      <w:r>
        <w:t>the diesel component of the blend at the applicable diesel rate (</w:t>
      </w:r>
      <w:r w:rsidR="002A30B2">
        <w:t xml:space="preserve">assumed to be </w:t>
      </w:r>
      <w:r>
        <w:t>38.9</w:t>
      </w:r>
      <w:r w:rsidR="002A30B2">
        <w:t> </w:t>
      </w:r>
      <w:r>
        <w:t>cents for each litre of diesel</w:t>
      </w:r>
      <w:r w:rsidR="00700B2E">
        <w:t xml:space="preserve"> — </w:t>
      </w:r>
      <w:r w:rsidR="002A30B2">
        <w:t>on the basis</w:t>
      </w:r>
      <w:r w:rsidR="00D65AB4">
        <w:t xml:space="preserve"> of</w:t>
      </w:r>
      <w:r w:rsidR="003F0070" w:rsidRPr="003F0070">
        <w:t xml:space="preserve"> </w:t>
      </w:r>
      <w:r w:rsidR="003F0070" w:rsidRPr="007A253F">
        <w:rPr>
          <w:i/>
        </w:rPr>
        <w:t>Excise Tariff Proposal (No 1) 2014</w:t>
      </w:r>
      <w:r w:rsidR="003F0070" w:rsidRPr="003F0070">
        <w:t xml:space="preserve"> and </w:t>
      </w:r>
      <w:r w:rsidR="003F0070" w:rsidRPr="007A253F">
        <w:rPr>
          <w:i/>
        </w:rPr>
        <w:t>Customs Tariff Proposal (No 1) 2014</w:t>
      </w:r>
      <w:r w:rsidR="00D65AB4">
        <w:t xml:space="preserve"> and that legislation is passed ratifying these proposals)</w:t>
      </w:r>
      <w:r w:rsidR="00EB2927">
        <w:t>;</w:t>
      </w:r>
      <w:r>
        <w:t xml:space="preserve"> and</w:t>
      </w:r>
    </w:p>
    <w:p w14:paraId="6D12C630" w14:textId="77777777" w:rsidR="00EB2927" w:rsidRDefault="00207A8A" w:rsidP="00DA4EFD">
      <w:pPr>
        <w:pStyle w:val="exampledotpoint1"/>
        <w:spacing w:before="80" w:after="80"/>
        <w:ind w:left="2269" w:hanging="284"/>
      </w:pPr>
      <w:r>
        <w:t>the biodiesel component of the blend at the rate applying to domestically manufactured biodiesel (</w:t>
      </w:r>
      <w:r w:rsidR="0077593F">
        <w:t xml:space="preserve">nil </w:t>
      </w:r>
      <w:r w:rsidR="00B4696A">
        <w:t xml:space="preserve">— </w:t>
      </w:r>
      <w:r w:rsidR="0077593F">
        <w:t xml:space="preserve">calculated as </w:t>
      </w:r>
      <w:r>
        <w:t>0</w:t>
      </w:r>
      <w:r w:rsidR="004F7569">
        <w:t> </w:t>
      </w:r>
      <w:r w:rsidR="00E16303">
        <w:t>per</w:t>
      </w:r>
      <w:r w:rsidR="004F7569">
        <w:t> </w:t>
      </w:r>
      <w:r w:rsidR="00E16303">
        <w:t>cent of the diesel rate</w:t>
      </w:r>
      <w:r>
        <w:t xml:space="preserve">). </w:t>
      </w:r>
    </w:p>
    <w:p w14:paraId="044A1441" w14:textId="77777777" w:rsidR="00E40C77" w:rsidRDefault="00207A8A" w:rsidP="00D65AB4">
      <w:pPr>
        <w:pStyle w:val="exampledotpoint1"/>
        <w:numPr>
          <w:ilvl w:val="0"/>
          <w:numId w:val="0"/>
        </w:numPr>
        <w:ind w:left="1985"/>
      </w:pPr>
      <w:r>
        <w:t xml:space="preserve">In total, Camille Corporation </w:t>
      </w:r>
      <w:r w:rsidR="0077593F">
        <w:t>is</w:t>
      </w:r>
      <w:r>
        <w:t xml:space="preserve"> entitled to fuel tax credits of $7</w:t>
      </w:r>
      <w:r w:rsidR="00E16303">
        <w:t>7.80</w:t>
      </w:r>
      <w:r>
        <w:t xml:space="preserve"> for </w:t>
      </w:r>
      <w:r w:rsidR="00D936E7">
        <w:t>the 400</w:t>
      </w:r>
      <w:r w:rsidR="004F7569">
        <w:t> </w:t>
      </w:r>
      <w:r w:rsidR="00D936E7">
        <w:t>litres of B50 (200</w:t>
      </w:r>
      <w:r w:rsidR="004F7569">
        <w:t> </w:t>
      </w:r>
      <w:r w:rsidR="00D936E7">
        <w:t>litres of diesel at 38.9</w:t>
      </w:r>
      <w:r w:rsidR="004F7569">
        <w:t> </w:t>
      </w:r>
      <w:r w:rsidR="00D936E7">
        <w:t>cents</w:t>
      </w:r>
      <w:r w:rsidR="004F7569">
        <w:t> </w:t>
      </w:r>
      <w:r w:rsidR="00D936E7">
        <w:t>per</w:t>
      </w:r>
      <w:r w:rsidR="004F7569">
        <w:t> </w:t>
      </w:r>
      <w:r w:rsidR="00D936E7">
        <w:t>litre and 200</w:t>
      </w:r>
      <w:r w:rsidR="004F7569">
        <w:t> </w:t>
      </w:r>
      <w:r w:rsidR="00D936E7">
        <w:t>litres of</w:t>
      </w:r>
      <w:r w:rsidR="00E16303">
        <w:t xml:space="preserve"> biodiesel at 0</w:t>
      </w:r>
      <w:r w:rsidR="004F7569">
        <w:t> </w:t>
      </w:r>
      <w:r w:rsidR="00E16303">
        <w:t>cents</w:t>
      </w:r>
      <w:r w:rsidR="004F7569">
        <w:t> </w:t>
      </w:r>
      <w:r w:rsidR="00E16303">
        <w:t>per</w:t>
      </w:r>
      <w:r w:rsidR="004F7569">
        <w:t> </w:t>
      </w:r>
      <w:r w:rsidR="00E16303">
        <w:t>litre</w:t>
      </w:r>
      <w:r w:rsidR="00D936E7">
        <w:t>).</w:t>
      </w:r>
    </w:p>
    <w:p w14:paraId="28F7BBFC" w14:textId="77777777" w:rsidR="00867819" w:rsidRDefault="0077593F" w:rsidP="00E40C77">
      <w:pPr>
        <w:pStyle w:val="exampletext"/>
      </w:pPr>
      <w:r>
        <w:t>I</w:t>
      </w:r>
      <w:r w:rsidR="00867819">
        <w:t xml:space="preserve">n September 2016, Camille </w:t>
      </w:r>
      <w:r w:rsidR="00F12E90">
        <w:t xml:space="preserve">Corporation </w:t>
      </w:r>
      <w:r w:rsidR="00867819">
        <w:t>import</w:t>
      </w:r>
      <w:r w:rsidR="00784A70">
        <w:t>s</w:t>
      </w:r>
      <w:r w:rsidR="00867819">
        <w:t xml:space="preserve"> 2</w:t>
      </w:r>
      <w:r>
        <w:t>,</w:t>
      </w:r>
      <w:r w:rsidR="00867819">
        <w:t>000 litres of diesel and 2</w:t>
      </w:r>
      <w:r>
        <w:t>,</w:t>
      </w:r>
      <w:r w:rsidR="00867819">
        <w:t xml:space="preserve">000 litres of biodiesel and </w:t>
      </w:r>
      <w:r w:rsidR="004F7569">
        <w:t xml:space="preserve">blends </w:t>
      </w:r>
      <w:r w:rsidR="00867819">
        <w:t>them to produce 4</w:t>
      </w:r>
      <w:r>
        <w:t>,</w:t>
      </w:r>
      <w:r w:rsidR="00867819">
        <w:t xml:space="preserve">000 litres of B50 </w:t>
      </w:r>
      <w:r w:rsidR="00061C43">
        <w:t>to</w:t>
      </w:r>
      <w:r w:rsidR="00867819">
        <w:t xml:space="preserve"> run </w:t>
      </w:r>
      <w:r>
        <w:t>its off</w:t>
      </w:r>
      <w:r w:rsidR="00700B2E">
        <w:noBreakHyphen/>
      </w:r>
      <w:r>
        <w:t>road</w:t>
      </w:r>
      <w:r w:rsidR="00867819">
        <w:t xml:space="preserve"> extraction machinery.</w:t>
      </w:r>
    </w:p>
    <w:p w14:paraId="42F37921" w14:textId="77777777" w:rsidR="00EB2927" w:rsidRDefault="00867819" w:rsidP="00E40C77">
      <w:pPr>
        <w:pStyle w:val="exampletext"/>
      </w:pPr>
      <w:r>
        <w:t xml:space="preserve">Once again, Camille Corporation must claim fuel tax credits on the basis that the biodiesel component of the </w:t>
      </w:r>
      <w:r w:rsidR="00F4106E">
        <w:t xml:space="preserve">B50 </w:t>
      </w:r>
      <w:r>
        <w:t xml:space="preserve">blend had been manufactured in Australia and </w:t>
      </w:r>
      <w:r w:rsidR="00F12E90">
        <w:t xml:space="preserve">is </w:t>
      </w:r>
      <w:r>
        <w:t>subject to excise</w:t>
      </w:r>
      <w:r w:rsidR="00F4106E">
        <w:t xml:space="preserve"> rather than </w:t>
      </w:r>
      <w:r w:rsidR="00061C43">
        <w:t>excise</w:t>
      </w:r>
      <w:r w:rsidR="00700B2E">
        <w:noBreakHyphen/>
      </w:r>
      <w:r w:rsidR="00061C43">
        <w:t xml:space="preserve">equivalent </w:t>
      </w:r>
      <w:r w:rsidR="00F4106E">
        <w:t>custom</w:t>
      </w:r>
      <w:r w:rsidR="00F12E90">
        <w:t>s</w:t>
      </w:r>
      <w:r w:rsidR="00F4106E">
        <w:t xml:space="preserve"> duty. As a result, Camille Corporation may claim fuel tax credit</w:t>
      </w:r>
      <w:r w:rsidR="00061C43">
        <w:t>s</w:t>
      </w:r>
      <w:r w:rsidR="00F4106E">
        <w:t xml:space="preserve"> </w:t>
      </w:r>
      <w:r w:rsidR="00EB2927">
        <w:t>for:</w:t>
      </w:r>
    </w:p>
    <w:p w14:paraId="117AC4E0" w14:textId="77777777" w:rsidR="00EB2927" w:rsidRDefault="00F4106E" w:rsidP="00DA4EFD">
      <w:pPr>
        <w:pStyle w:val="exampledotpoint1"/>
        <w:spacing w:before="80" w:after="80"/>
        <w:ind w:left="2269" w:hanging="284"/>
      </w:pPr>
      <w:r>
        <w:t>the diesel component of the blend at the applicable diesel rate (</w:t>
      </w:r>
      <w:r w:rsidR="00061C43">
        <w:t xml:space="preserve">assumed to be </w:t>
      </w:r>
      <w:r w:rsidR="00E52B0F">
        <w:t>40</w:t>
      </w:r>
      <w:r w:rsidR="00061C43">
        <w:t xml:space="preserve"> </w:t>
      </w:r>
      <w:r>
        <w:t>cents per litre)</w:t>
      </w:r>
      <w:r w:rsidR="00EB2927">
        <w:t>; and</w:t>
      </w:r>
    </w:p>
    <w:p w14:paraId="2DDF8FB5" w14:textId="77777777" w:rsidR="00E16303" w:rsidRDefault="00F4106E" w:rsidP="00DA4EFD">
      <w:pPr>
        <w:pStyle w:val="exampledotpoint1"/>
        <w:spacing w:before="80" w:after="80"/>
        <w:ind w:left="2269" w:hanging="284"/>
      </w:pPr>
      <w:r>
        <w:t xml:space="preserve">the biodiesel component of the blend at the applicable excise rate for domestically manufactured biodiesel (10 per cent </w:t>
      </w:r>
      <w:r w:rsidR="00E16303">
        <w:t>of the applicable diesel rate</w:t>
      </w:r>
      <w:r w:rsidR="00061C43">
        <w:t xml:space="preserve"> </w:t>
      </w:r>
      <w:r w:rsidR="00B4696A">
        <w:t xml:space="preserve">— </w:t>
      </w:r>
      <w:r w:rsidR="00E52B0F">
        <w:t>4</w:t>
      </w:r>
      <w:r w:rsidR="00061C43">
        <w:t xml:space="preserve"> cents per litre</w:t>
      </w:r>
      <w:r>
        <w:t>).</w:t>
      </w:r>
      <w:r w:rsidR="00E16303">
        <w:t xml:space="preserve"> </w:t>
      </w:r>
    </w:p>
    <w:p w14:paraId="7498CD6B" w14:textId="77777777" w:rsidR="00867819" w:rsidRDefault="00061C43" w:rsidP="00E40C77">
      <w:pPr>
        <w:pStyle w:val="exampletext"/>
      </w:pPr>
      <w:r>
        <w:t>Accordingly,</w:t>
      </w:r>
      <w:r w:rsidR="00E16303">
        <w:t xml:space="preserve"> Camille Corporation </w:t>
      </w:r>
      <w:r>
        <w:t>is</w:t>
      </w:r>
      <w:r w:rsidR="00E16303">
        <w:t xml:space="preserve"> entitled to fuel tax credits of $</w:t>
      </w:r>
      <w:r w:rsidR="00E52B0F">
        <w:t>880</w:t>
      </w:r>
      <w:r w:rsidR="00E16303">
        <w:t xml:space="preserve"> (2</w:t>
      </w:r>
      <w:r w:rsidR="004511A9">
        <w:t>,</w:t>
      </w:r>
      <w:r w:rsidR="00E16303">
        <w:t xml:space="preserve">000 litres of diesel at </w:t>
      </w:r>
      <w:r w:rsidR="00E52B0F">
        <w:t>40</w:t>
      </w:r>
      <w:r w:rsidR="00E16303">
        <w:t xml:space="preserve"> cents per litre and 2</w:t>
      </w:r>
      <w:r w:rsidR="004511A9">
        <w:t>,</w:t>
      </w:r>
      <w:r w:rsidR="00E16303">
        <w:t xml:space="preserve">000 litres of biodiesel at </w:t>
      </w:r>
      <w:r w:rsidR="00E52B0F">
        <w:t>4</w:t>
      </w:r>
      <w:r w:rsidR="00E16303">
        <w:t xml:space="preserve"> cents per litre).</w:t>
      </w:r>
    </w:p>
    <w:p w14:paraId="250D8AB1" w14:textId="77777777" w:rsidR="006A0D5D" w:rsidRDefault="006A0D5D" w:rsidP="006A0D5D">
      <w:pPr>
        <w:pStyle w:val="ExampleHeading"/>
      </w:pPr>
      <w:r>
        <w:t>: Fuel tax credits for</w:t>
      </w:r>
      <w:r w:rsidR="00061C43">
        <w:t xml:space="preserve"> </w:t>
      </w:r>
      <w:r>
        <w:t>lower ratio biodiesel blends</w:t>
      </w:r>
    </w:p>
    <w:p w14:paraId="138E75B4" w14:textId="77777777" w:rsidR="006A0D5D" w:rsidRDefault="005619EF" w:rsidP="006A0D5D">
      <w:pPr>
        <w:pStyle w:val="exampletext"/>
      </w:pPr>
      <w:r>
        <w:t>On 1</w:t>
      </w:r>
      <w:r w:rsidR="00B5219B">
        <w:t> </w:t>
      </w:r>
      <w:r>
        <w:t>July</w:t>
      </w:r>
      <w:r w:rsidR="00B5219B">
        <w:t> </w:t>
      </w:r>
      <w:r w:rsidR="006A0D5D">
        <w:t xml:space="preserve">2015, </w:t>
      </w:r>
      <w:r w:rsidR="00BE0365">
        <w:t>Marguerite</w:t>
      </w:r>
      <w:r w:rsidR="006A0D5D">
        <w:t xml:space="preserve"> Corporation acquires a blend of biodiesel and diesel containing 80</w:t>
      </w:r>
      <w:r w:rsidR="00B5219B">
        <w:t> </w:t>
      </w:r>
      <w:r w:rsidR="006A0D5D">
        <w:t>per</w:t>
      </w:r>
      <w:r w:rsidR="00B5219B">
        <w:t> </w:t>
      </w:r>
      <w:r w:rsidR="006A0D5D">
        <w:t>cent diesel and 20</w:t>
      </w:r>
      <w:r w:rsidR="00B5219B">
        <w:t> </w:t>
      </w:r>
      <w:r w:rsidR="006A0D5D">
        <w:t>per</w:t>
      </w:r>
      <w:r w:rsidR="00B5219B">
        <w:t> </w:t>
      </w:r>
      <w:r w:rsidR="006A0D5D">
        <w:t>cent biodiesel</w:t>
      </w:r>
      <w:r w:rsidR="00B5219B">
        <w:t> </w:t>
      </w:r>
      <w:r w:rsidR="006A0D5D">
        <w:t xml:space="preserve">(B20) from </w:t>
      </w:r>
      <w:r>
        <w:t xml:space="preserve">Fuel Producer </w:t>
      </w:r>
      <w:r w:rsidR="006A0D5D">
        <w:t>Co</w:t>
      </w:r>
      <w:r>
        <w:t xml:space="preserve"> for use in its </w:t>
      </w:r>
      <w:r w:rsidR="00200DE9">
        <w:t>off</w:t>
      </w:r>
      <w:r w:rsidR="00700B2E">
        <w:noBreakHyphen/>
      </w:r>
      <w:r w:rsidR="00200DE9">
        <w:t xml:space="preserve">road </w:t>
      </w:r>
      <w:r>
        <w:t>seasonal agricultural activities</w:t>
      </w:r>
      <w:r w:rsidR="006A0D5D">
        <w:t>.</w:t>
      </w:r>
    </w:p>
    <w:p w14:paraId="5B464637" w14:textId="77777777" w:rsidR="006A0D5D" w:rsidRDefault="006A0D5D" w:rsidP="00E40C77">
      <w:pPr>
        <w:pStyle w:val="exampletext"/>
      </w:pPr>
      <w:r>
        <w:t xml:space="preserve">As the amount of biodiesel in the blend does not exceed </w:t>
      </w:r>
      <w:r w:rsidR="002874B7">
        <w:t xml:space="preserve">the </w:t>
      </w:r>
      <w:r w:rsidR="002A30B2">
        <w:t xml:space="preserve">prescribed maximum percentage of </w:t>
      </w:r>
      <w:r>
        <w:t>20 per cent, the blend is treated as being entirely</w:t>
      </w:r>
      <w:r w:rsidR="00793DEE">
        <w:t xml:space="preserve"> made of</w:t>
      </w:r>
      <w:r>
        <w:t xml:space="preserve"> diesel for the purpose of </w:t>
      </w:r>
      <w:r w:rsidR="006707F8">
        <w:t xml:space="preserve">claiming </w:t>
      </w:r>
      <w:r>
        <w:t xml:space="preserve">fuel tax credits. </w:t>
      </w:r>
      <w:r w:rsidR="00BE0365">
        <w:t>Marguerite</w:t>
      </w:r>
      <w:r>
        <w:t xml:space="preserve"> Corporation can claim fuel tax credits </w:t>
      </w:r>
      <w:r w:rsidR="005619EF">
        <w:t xml:space="preserve">at the </w:t>
      </w:r>
      <w:r w:rsidR="006707F8">
        <w:t xml:space="preserve">fuel tax credit </w:t>
      </w:r>
      <w:r w:rsidR="005619EF">
        <w:t xml:space="preserve">rate of 38.9 cents per litre applying to diesel </w:t>
      </w:r>
      <w:r w:rsidR="006707F8">
        <w:t>acquired</w:t>
      </w:r>
      <w:r w:rsidR="005619EF">
        <w:t xml:space="preserve"> between 2</w:t>
      </w:r>
      <w:r w:rsidR="002A30B2">
        <w:t> </w:t>
      </w:r>
      <w:r w:rsidR="005619EF">
        <w:t>February</w:t>
      </w:r>
      <w:r w:rsidR="002A30B2">
        <w:t> </w:t>
      </w:r>
      <w:r w:rsidR="005619EF">
        <w:t>2015 and 31 July 2015</w:t>
      </w:r>
      <w:r w:rsidR="006707F8">
        <w:t xml:space="preserve"> (it is assumed that legislation is enacted ratif</w:t>
      </w:r>
      <w:r w:rsidR="00F1281F">
        <w:t>ying</w:t>
      </w:r>
      <w:r w:rsidR="00E27B04" w:rsidRPr="00E27B04">
        <w:t xml:space="preserve"> </w:t>
      </w:r>
      <w:r w:rsidR="00E27B04" w:rsidRPr="00257163">
        <w:rPr>
          <w:i/>
        </w:rPr>
        <w:t>Excise Tariff Proposal (No 1) 2014</w:t>
      </w:r>
      <w:r w:rsidR="00E27B04" w:rsidRPr="00E27B04">
        <w:t xml:space="preserve"> and </w:t>
      </w:r>
      <w:r w:rsidR="00E27B04" w:rsidRPr="00257163">
        <w:rPr>
          <w:i/>
        </w:rPr>
        <w:t>Customs Tariff Proposal (No 1) 2014</w:t>
      </w:r>
      <w:r w:rsidR="00F1281F" w:rsidRPr="00257163">
        <w:rPr>
          <w:i/>
        </w:rPr>
        <w:t>)</w:t>
      </w:r>
      <w:r w:rsidR="005619EF">
        <w:t xml:space="preserve">. It is not relevant for the purpose of </w:t>
      </w:r>
      <w:r w:rsidR="00F1281F">
        <w:t>claiming the fuel tax credits</w:t>
      </w:r>
      <w:r w:rsidR="005619EF">
        <w:t xml:space="preserve"> </w:t>
      </w:r>
      <w:r w:rsidR="006707F8">
        <w:t>if</w:t>
      </w:r>
      <w:r w:rsidR="005619EF">
        <w:t xml:space="preserve"> the biodiesel forming part of the B20</w:t>
      </w:r>
      <w:r w:rsidR="00B5219B">
        <w:t> </w:t>
      </w:r>
      <w:r w:rsidR="005619EF">
        <w:t>blend was imported or manufactured in Australia.</w:t>
      </w:r>
    </w:p>
    <w:p w14:paraId="3200A54A" w14:textId="77777777" w:rsidR="005619EF" w:rsidRDefault="005619EF" w:rsidP="00DA4EFD">
      <w:pPr>
        <w:pStyle w:val="exampletext"/>
        <w:spacing w:before="80" w:after="80"/>
      </w:pPr>
      <w:r>
        <w:t>Next year, on 15</w:t>
      </w:r>
      <w:r w:rsidR="00B5219B">
        <w:t> </w:t>
      </w:r>
      <w:r>
        <w:t>July</w:t>
      </w:r>
      <w:r w:rsidR="00B5219B">
        <w:t> </w:t>
      </w:r>
      <w:r>
        <w:t xml:space="preserve">2016, </w:t>
      </w:r>
      <w:r w:rsidR="00BE0365">
        <w:t>Marguerite</w:t>
      </w:r>
      <w:r>
        <w:t xml:space="preserve"> Corporation again acquires a B20</w:t>
      </w:r>
      <w:r w:rsidR="00B5219B">
        <w:t> </w:t>
      </w:r>
      <w:r>
        <w:t xml:space="preserve">blend of biodiesel for use in the same </w:t>
      </w:r>
      <w:r w:rsidR="006707F8">
        <w:t>off</w:t>
      </w:r>
      <w:r w:rsidR="00700B2E">
        <w:noBreakHyphen/>
      </w:r>
      <w:r w:rsidR="006707F8">
        <w:t xml:space="preserve">road </w:t>
      </w:r>
      <w:r>
        <w:t xml:space="preserve">seasonal </w:t>
      </w:r>
      <w:r w:rsidR="00F1281F">
        <w:t xml:space="preserve">agricultural </w:t>
      </w:r>
      <w:r>
        <w:t>activities.</w:t>
      </w:r>
    </w:p>
    <w:p w14:paraId="5DD1E4A4" w14:textId="77777777" w:rsidR="00200DE9" w:rsidRDefault="00200DE9" w:rsidP="00DA4EFD">
      <w:pPr>
        <w:pStyle w:val="exampletext"/>
        <w:spacing w:before="80" w:after="80"/>
      </w:pPr>
      <w:r>
        <w:t xml:space="preserve">This blend continues to be treated as being entirely </w:t>
      </w:r>
      <w:r w:rsidR="00793DEE">
        <w:t xml:space="preserve">made of </w:t>
      </w:r>
      <w:r>
        <w:t xml:space="preserve">diesel for the purpose of </w:t>
      </w:r>
      <w:r w:rsidR="00F1281F">
        <w:t xml:space="preserve">claiming </w:t>
      </w:r>
      <w:r>
        <w:t>fuel tax credits so the rate of excise applying to locally manufactured biodiesel is not relevant.</w:t>
      </w:r>
    </w:p>
    <w:p w14:paraId="583D62D6" w14:textId="77777777" w:rsidR="00200DE9" w:rsidRDefault="00BE0365" w:rsidP="00DA4EFD">
      <w:pPr>
        <w:pStyle w:val="exampletext"/>
        <w:spacing w:before="80" w:after="80"/>
      </w:pPr>
      <w:r>
        <w:t>Marguerite</w:t>
      </w:r>
      <w:r w:rsidR="00200DE9">
        <w:t xml:space="preserve"> Corporation can claim fuel tax credits at the relevant </w:t>
      </w:r>
      <w:r w:rsidR="00793DEE">
        <w:t xml:space="preserve">duty </w:t>
      </w:r>
      <w:r w:rsidR="00200DE9">
        <w:t xml:space="preserve">rate for diesel </w:t>
      </w:r>
      <w:r w:rsidR="00793DEE">
        <w:t>that applies on 15</w:t>
      </w:r>
      <w:r w:rsidR="00B5219B">
        <w:t> </w:t>
      </w:r>
      <w:r w:rsidR="00793DEE">
        <w:t>July</w:t>
      </w:r>
      <w:r w:rsidR="00B5219B">
        <w:t> </w:t>
      </w:r>
      <w:r w:rsidR="00793DEE">
        <w:t>2016.</w:t>
      </w:r>
    </w:p>
    <w:p w14:paraId="46057DDD" w14:textId="77777777" w:rsidR="00A8723F" w:rsidRPr="00315FD1" w:rsidRDefault="00A8723F" w:rsidP="00632A88">
      <w:pPr>
        <w:pStyle w:val="Heading3"/>
      </w:pPr>
      <w:r>
        <w:t xml:space="preserve">Consequential </w:t>
      </w:r>
      <w:r w:rsidR="004557E8">
        <w:t>amendments</w:t>
      </w:r>
      <w:r>
        <w:t xml:space="preserve"> to </w:t>
      </w:r>
      <w:r w:rsidR="006037EC">
        <w:t xml:space="preserve">the </w:t>
      </w:r>
      <w:r>
        <w:t xml:space="preserve">repeal of the </w:t>
      </w:r>
      <w:r w:rsidR="004557E8" w:rsidRPr="004557E8">
        <w:rPr>
          <w:i/>
        </w:rPr>
        <w:t>Energy Grants (Cleaner Fuels) Scheme Act</w:t>
      </w:r>
      <w:r w:rsidRPr="004557E8">
        <w:rPr>
          <w:i/>
        </w:rPr>
        <w:t xml:space="preserve"> 2004</w:t>
      </w:r>
    </w:p>
    <w:p w14:paraId="5BBA641F" w14:textId="77777777" w:rsidR="00A8723F" w:rsidRDefault="00A8723F" w:rsidP="00DA4EFD">
      <w:pPr>
        <w:pStyle w:val="base-text-paragraph"/>
        <w:numPr>
          <w:ilvl w:val="1"/>
          <w:numId w:val="24"/>
        </w:numPr>
        <w:spacing w:before="100" w:after="100"/>
      </w:pPr>
      <w:r>
        <w:t xml:space="preserve">The </w:t>
      </w:r>
      <w:r w:rsidR="00331491">
        <w:t xml:space="preserve">amendments remove a </w:t>
      </w:r>
      <w:r>
        <w:t xml:space="preserve">reference to </w:t>
      </w:r>
      <w:r w:rsidRPr="00EB4BBD">
        <w:t>the</w:t>
      </w:r>
      <w:r w:rsidRPr="006225F6">
        <w:rPr>
          <w:i/>
        </w:rPr>
        <w:t xml:space="preserve"> </w:t>
      </w:r>
      <w:r w:rsidR="00EB4BBD" w:rsidRPr="00EB4BBD">
        <w:rPr>
          <w:i/>
        </w:rPr>
        <w:t>Energy Grants (Credits) Scheme Act 2003</w:t>
      </w:r>
      <w:r w:rsidR="00EB4BBD">
        <w:t xml:space="preserve"> (</w:t>
      </w:r>
      <w:r w:rsidR="00FC570B" w:rsidRPr="00EC1F46">
        <w:t>EG</w:t>
      </w:r>
      <w:r w:rsidR="00A67427">
        <w:t>CS</w:t>
      </w:r>
      <w:r w:rsidR="00FC570B" w:rsidRPr="00EC1F46">
        <w:t xml:space="preserve"> 200</w:t>
      </w:r>
      <w:r w:rsidR="00A67427">
        <w:t>3</w:t>
      </w:r>
      <w:r w:rsidR="00EB4BBD">
        <w:t>)</w:t>
      </w:r>
      <w:r w:rsidR="00FC570B">
        <w:t xml:space="preserve"> </w:t>
      </w:r>
      <w:r>
        <w:t>in the general anti</w:t>
      </w:r>
      <w:r w:rsidR="00700B2E">
        <w:noBreakHyphen/>
      </w:r>
      <w:r>
        <w:t xml:space="preserve">avoidance provision in the </w:t>
      </w:r>
      <w:r w:rsidRPr="00EB4BBD">
        <w:rPr>
          <w:i/>
        </w:rPr>
        <w:t xml:space="preserve">Fuel Tax </w:t>
      </w:r>
      <w:r w:rsidR="00215C35" w:rsidRPr="00EB4BBD">
        <w:rPr>
          <w:i/>
        </w:rPr>
        <w:t>Act</w:t>
      </w:r>
      <w:r w:rsidRPr="00EB4BBD">
        <w:rPr>
          <w:i/>
        </w:rPr>
        <w:t xml:space="preserve"> 2006 </w:t>
      </w:r>
      <w:r w:rsidR="00EB4BBD">
        <w:t>as the EGCS 2003 was repealed on 1</w:t>
      </w:r>
      <w:r w:rsidR="00C204E0">
        <w:t> </w:t>
      </w:r>
      <w:r w:rsidR="00EB4BBD">
        <w:t>July 2012</w:t>
      </w:r>
      <w:r>
        <w:t xml:space="preserve">. </w:t>
      </w:r>
      <w:r w:rsidRPr="00EB4BBD">
        <w:rPr>
          <w:b/>
          <w:i/>
          <w:sz w:val="18"/>
          <w:szCs w:val="18"/>
        </w:rPr>
        <w:t>[</w:t>
      </w:r>
      <w:r w:rsidR="000A42A7">
        <w:rPr>
          <w:b/>
          <w:i/>
          <w:sz w:val="18"/>
          <w:szCs w:val="18"/>
        </w:rPr>
        <w:t xml:space="preserve">Schedule 1, item 10 of the </w:t>
      </w:r>
      <w:r w:rsidR="00215C35" w:rsidRPr="00EB4BBD">
        <w:rPr>
          <w:b/>
          <w:i/>
          <w:sz w:val="18"/>
          <w:szCs w:val="18"/>
        </w:rPr>
        <w:t xml:space="preserve">Energy Grants Amendment Bill 2015, </w:t>
      </w:r>
      <w:r w:rsidRPr="00EB4BBD">
        <w:rPr>
          <w:b/>
          <w:i/>
          <w:sz w:val="18"/>
          <w:szCs w:val="18"/>
        </w:rPr>
        <w:t>subparagraph</w:t>
      </w:r>
      <w:r w:rsidR="000A42A7">
        <w:rPr>
          <w:b/>
          <w:i/>
          <w:sz w:val="18"/>
          <w:szCs w:val="18"/>
        </w:rPr>
        <w:t> </w:t>
      </w:r>
      <w:r w:rsidRPr="00EB4BBD">
        <w:rPr>
          <w:b/>
          <w:i/>
          <w:sz w:val="18"/>
          <w:szCs w:val="18"/>
        </w:rPr>
        <w:t>75</w:t>
      </w:r>
      <w:r w:rsidR="00700B2E">
        <w:rPr>
          <w:b/>
          <w:i/>
          <w:sz w:val="18"/>
          <w:szCs w:val="18"/>
        </w:rPr>
        <w:noBreakHyphen/>
      </w:r>
      <w:r w:rsidRPr="00EB4BBD">
        <w:rPr>
          <w:b/>
          <w:i/>
          <w:sz w:val="18"/>
          <w:szCs w:val="18"/>
        </w:rPr>
        <w:t>15(1)(c)(iv)</w:t>
      </w:r>
      <w:r w:rsidR="00215C35" w:rsidRPr="00EB4BBD">
        <w:rPr>
          <w:b/>
          <w:i/>
          <w:sz w:val="18"/>
          <w:szCs w:val="18"/>
        </w:rPr>
        <w:t xml:space="preserve"> of the Fuel Tax Act 2006</w:t>
      </w:r>
      <w:r w:rsidRPr="00EB4BBD">
        <w:rPr>
          <w:b/>
          <w:i/>
          <w:sz w:val="18"/>
          <w:szCs w:val="18"/>
        </w:rPr>
        <w:t>]</w:t>
      </w:r>
      <w:r w:rsidRPr="001C2D3C">
        <w:t xml:space="preserve"> </w:t>
      </w:r>
    </w:p>
    <w:p w14:paraId="189FD520" w14:textId="77777777" w:rsidR="00A8723F" w:rsidRDefault="00A8723F" w:rsidP="00DA4EFD">
      <w:pPr>
        <w:pStyle w:val="base-text-paragraph"/>
        <w:numPr>
          <w:ilvl w:val="1"/>
          <w:numId w:val="24"/>
        </w:numPr>
        <w:spacing w:before="100" w:after="100"/>
      </w:pPr>
      <w:r>
        <w:t xml:space="preserve">A number of other consequential amendments are made to the </w:t>
      </w:r>
      <w:r w:rsidRPr="00F64A08">
        <w:rPr>
          <w:i/>
        </w:rPr>
        <w:t>Fuel Tax Act 2006,</w:t>
      </w:r>
      <w:r w:rsidR="00277A0F">
        <w:rPr>
          <w:i/>
        </w:rPr>
        <w:t xml:space="preserve"> </w:t>
      </w:r>
      <w:r w:rsidR="00277A0F" w:rsidRPr="00277A0F">
        <w:t>the</w:t>
      </w:r>
      <w:r>
        <w:t xml:space="preserve"> </w:t>
      </w:r>
      <w:r w:rsidRPr="00F64A08">
        <w:rPr>
          <w:i/>
        </w:rPr>
        <w:t xml:space="preserve">Product Grants and Benefits Administration </w:t>
      </w:r>
      <w:r w:rsidR="00284312" w:rsidRPr="00F64A08">
        <w:rPr>
          <w:i/>
        </w:rPr>
        <w:t>Act</w:t>
      </w:r>
      <w:r w:rsidR="00284312">
        <w:rPr>
          <w:i/>
        </w:rPr>
        <w:t> </w:t>
      </w:r>
      <w:r w:rsidRPr="00F64A08">
        <w:rPr>
          <w:i/>
        </w:rPr>
        <w:t>2000</w:t>
      </w:r>
      <w:r>
        <w:t xml:space="preserve"> and the </w:t>
      </w:r>
      <w:r w:rsidRPr="00F64A08">
        <w:rPr>
          <w:i/>
        </w:rPr>
        <w:t xml:space="preserve">Taxation Administration Act 1953 </w:t>
      </w:r>
      <w:r>
        <w:t xml:space="preserve">as a result of the repeal of the </w:t>
      </w:r>
      <w:r w:rsidR="00FC570B" w:rsidRPr="00EC1F46">
        <w:t>EGCFS 2004</w:t>
      </w:r>
      <w:r>
        <w:t>.</w:t>
      </w:r>
      <w:r w:rsidRPr="00F64A08">
        <w:rPr>
          <w:b/>
          <w:i/>
          <w:sz w:val="18"/>
          <w:szCs w:val="18"/>
        </w:rPr>
        <w:t xml:space="preserve"> [</w:t>
      </w:r>
      <w:r w:rsidR="00357044">
        <w:rPr>
          <w:b/>
          <w:i/>
          <w:sz w:val="18"/>
          <w:szCs w:val="18"/>
        </w:rPr>
        <w:t xml:space="preserve">Schedule 1, </w:t>
      </w:r>
      <w:r w:rsidR="00357044" w:rsidRPr="00F64A08">
        <w:rPr>
          <w:b/>
          <w:i/>
          <w:sz w:val="18"/>
          <w:szCs w:val="18"/>
        </w:rPr>
        <w:t>items 15 to 24</w:t>
      </w:r>
      <w:r w:rsidR="00357044">
        <w:rPr>
          <w:b/>
          <w:i/>
          <w:sz w:val="18"/>
          <w:szCs w:val="18"/>
        </w:rPr>
        <w:t xml:space="preserve"> of the </w:t>
      </w:r>
      <w:r w:rsidR="00DD4560" w:rsidRPr="00F64A08">
        <w:rPr>
          <w:b/>
          <w:i/>
          <w:sz w:val="18"/>
          <w:szCs w:val="18"/>
        </w:rPr>
        <w:t>Energy Grants Amendment</w:t>
      </w:r>
      <w:r w:rsidR="00357044">
        <w:rPr>
          <w:b/>
          <w:i/>
          <w:sz w:val="18"/>
          <w:szCs w:val="18"/>
        </w:rPr>
        <w:t> </w:t>
      </w:r>
      <w:r w:rsidR="00DD4560" w:rsidRPr="00F64A08">
        <w:rPr>
          <w:b/>
          <w:i/>
          <w:sz w:val="18"/>
          <w:szCs w:val="18"/>
        </w:rPr>
        <w:t>Bill</w:t>
      </w:r>
      <w:r w:rsidR="00357044">
        <w:rPr>
          <w:b/>
          <w:i/>
          <w:sz w:val="18"/>
          <w:szCs w:val="18"/>
        </w:rPr>
        <w:t> </w:t>
      </w:r>
      <w:r w:rsidR="00DD4560" w:rsidRPr="00F64A08">
        <w:rPr>
          <w:b/>
          <w:i/>
          <w:sz w:val="18"/>
          <w:szCs w:val="18"/>
        </w:rPr>
        <w:t>2015, section 43</w:t>
      </w:r>
      <w:r w:rsidR="00700B2E">
        <w:rPr>
          <w:b/>
          <w:i/>
          <w:sz w:val="18"/>
          <w:szCs w:val="18"/>
        </w:rPr>
        <w:noBreakHyphen/>
      </w:r>
      <w:r w:rsidR="00DD4560" w:rsidRPr="00F64A08">
        <w:rPr>
          <w:b/>
          <w:i/>
          <w:sz w:val="18"/>
          <w:szCs w:val="18"/>
        </w:rPr>
        <w:t>1 and subsections 43</w:t>
      </w:r>
      <w:r w:rsidR="00700B2E">
        <w:rPr>
          <w:b/>
          <w:i/>
          <w:sz w:val="18"/>
          <w:szCs w:val="18"/>
        </w:rPr>
        <w:noBreakHyphen/>
      </w:r>
      <w:r w:rsidR="00DD4560" w:rsidRPr="00F64A08">
        <w:rPr>
          <w:b/>
          <w:i/>
          <w:sz w:val="18"/>
          <w:szCs w:val="18"/>
        </w:rPr>
        <w:t>5(3), 43</w:t>
      </w:r>
      <w:r w:rsidR="00700B2E">
        <w:rPr>
          <w:b/>
          <w:i/>
          <w:sz w:val="18"/>
          <w:szCs w:val="18"/>
        </w:rPr>
        <w:noBreakHyphen/>
      </w:r>
      <w:r w:rsidR="00DD4560" w:rsidRPr="00F64A08">
        <w:rPr>
          <w:b/>
          <w:i/>
          <w:sz w:val="18"/>
          <w:szCs w:val="18"/>
        </w:rPr>
        <w:t>10(1), 43</w:t>
      </w:r>
      <w:r w:rsidR="00700B2E">
        <w:rPr>
          <w:b/>
          <w:i/>
          <w:sz w:val="18"/>
          <w:szCs w:val="18"/>
        </w:rPr>
        <w:noBreakHyphen/>
      </w:r>
      <w:r w:rsidR="00DD4560" w:rsidRPr="00F64A08">
        <w:rPr>
          <w:b/>
          <w:i/>
          <w:sz w:val="18"/>
          <w:szCs w:val="18"/>
        </w:rPr>
        <w:t>10(2) and</w:t>
      </w:r>
      <w:r w:rsidR="00357044">
        <w:rPr>
          <w:b/>
          <w:i/>
          <w:sz w:val="18"/>
          <w:szCs w:val="18"/>
        </w:rPr>
        <w:t> </w:t>
      </w:r>
      <w:r w:rsidR="00DD4560" w:rsidRPr="00F64A08">
        <w:rPr>
          <w:b/>
          <w:i/>
          <w:sz w:val="18"/>
          <w:szCs w:val="18"/>
        </w:rPr>
        <w:t>43</w:t>
      </w:r>
      <w:r w:rsidR="00700B2E">
        <w:rPr>
          <w:b/>
          <w:i/>
          <w:sz w:val="18"/>
          <w:szCs w:val="18"/>
        </w:rPr>
        <w:noBreakHyphen/>
      </w:r>
      <w:r w:rsidR="00DD4560" w:rsidRPr="00F64A08">
        <w:rPr>
          <w:b/>
          <w:i/>
          <w:sz w:val="18"/>
          <w:szCs w:val="18"/>
        </w:rPr>
        <w:t xml:space="preserve">10(6) of the Fuel Tax Act 2006, definition of </w:t>
      </w:r>
      <w:r w:rsidR="00700B2E">
        <w:rPr>
          <w:b/>
          <w:i/>
          <w:sz w:val="18"/>
          <w:szCs w:val="18"/>
        </w:rPr>
        <w:t>‘</w:t>
      </w:r>
      <w:r w:rsidR="00DD4560" w:rsidRPr="00F64A08">
        <w:rPr>
          <w:b/>
          <w:i/>
          <w:sz w:val="18"/>
          <w:szCs w:val="18"/>
        </w:rPr>
        <w:t>cleaner fuel</w:t>
      </w:r>
      <w:r w:rsidR="00700B2E">
        <w:rPr>
          <w:b/>
          <w:i/>
          <w:sz w:val="18"/>
          <w:szCs w:val="18"/>
        </w:rPr>
        <w:t>’</w:t>
      </w:r>
      <w:r w:rsidR="00357044">
        <w:rPr>
          <w:b/>
          <w:i/>
          <w:sz w:val="18"/>
          <w:szCs w:val="18"/>
        </w:rPr>
        <w:t xml:space="preserve"> in section 5</w:t>
      </w:r>
      <w:r w:rsidR="00DD4560" w:rsidRPr="00F64A08">
        <w:rPr>
          <w:b/>
          <w:i/>
          <w:sz w:val="18"/>
          <w:szCs w:val="18"/>
        </w:rPr>
        <w:t xml:space="preserve">, </w:t>
      </w:r>
      <w:r w:rsidR="00357044">
        <w:rPr>
          <w:b/>
          <w:i/>
          <w:sz w:val="18"/>
          <w:szCs w:val="18"/>
        </w:rPr>
        <w:t>table item 4 in section </w:t>
      </w:r>
      <w:r w:rsidR="00DD4560" w:rsidRPr="00F64A08">
        <w:rPr>
          <w:b/>
          <w:i/>
          <w:sz w:val="18"/>
          <w:szCs w:val="18"/>
        </w:rPr>
        <w:t>8,</w:t>
      </w:r>
      <w:r w:rsidR="00F64A08" w:rsidRPr="00F64A08">
        <w:rPr>
          <w:b/>
          <w:i/>
          <w:sz w:val="18"/>
          <w:szCs w:val="18"/>
        </w:rPr>
        <w:t xml:space="preserve"> subsection</w:t>
      </w:r>
      <w:r w:rsidR="00357044">
        <w:rPr>
          <w:b/>
          <w:i/>
          <w:sz w:val="18"/>
          <w:szCs w:val="18"/>
        </w:rPr>
        <w:t> </w:t>
      </w:r>
      <w:r w:rsidR="00F64A08" w:rsidRPr="00F64A08">
        <w:rPr>
          <w:b/>
          <w:i/>
          <w:sz w:val="18"/>
          <w:szCs w:val="18"/>
        </w:rPr>
        <w:t>9(5)</w:t>
      </w:r>
      <w:r w:rsidR="00F64A08">
        <w:rPr>
          <w:b/>
          <w:i/>
          <w:sz w:val="18"/>
          <w:szCs w:val="18"/>
        </w:rPr>
        <w:t>, sections</w:t>
      </w:r>
      <w:r w:rsidR="00F64A08" w:rsidRPr="00F64A08">
        <w:rPr>
          <w:b/>
          <w:i/>
          <w:sz w:val="18"/>
          <w:szCs w:val="18"/>
        </w:rPr>
        <w:t xml:space="preserve"> </w:t>
      </w:r>
      <w:r w:rsidR="00DD4560" w:rsidRPr="00F64A08">
        <w:rPr>
          <w:b/>
          <w:i/>
          <w:sz w:val="18"/>
          <w:szCs w:val="18"/>
        </w:rPr>
        <w:t>16A</w:t>
      </w:r>
      <w:r w:rsidR="00F64A08">
        <w:rPr>
          <w:b/>
          <w:i/>
          <w:sz w:val="18"/>
          <w:szCs w:val="18"/>
        </w:rPr>
        <w:t xml:space="preserve"> </w:t>
      </w:r>
      <w:r w:rsidR="00284312">
        <w:rPr>
          <w:b/>
          <w:i/>
          <w:sz w:val="18"/>
          <w:szCs w:val="18"/>
        </w:rPr>
        <w:t>and </w:t>
      </w:r>
      <w:r w:rsidR="00DD4560" w:rsidRPr="00F64A08">
        <w:rPr>
          <w:b/>
          <w:i/>
          <w:sz w:val="18"/>
          <w:szCs w:val="18"/>
        </w:rPr>
        <w:t xml:space="preserve">27B of the Product Grants and Benefits Administration Act 2000 and </w:t>
      </w:r>
      <w:r w:rsidR="00284312" w:rsidRPr="00F64A08">
        <w:rPr>
          <w:b/>
          <w:i/>
          <w:sz w:val="18"/>
          <w:szCs w:val="18"/>
        </w:rPr>
        <w:t>table item 1</w:t>
      </w:r>
      <w:r w:rsidR="00284312">
        <w:rPr>
          <w:b/>
          <w:i/>
          <w:sz w:val="18"/>
          <w:szCs w:val="18"/>
        </w:rPr>
        <w:t xml:space="preserve"> in </w:t>
      </w:r>
      <w:r w:rsidR="00284312" w:rsidRPr="00F64A08">
        <w:rPr>
          <w:b/>
          <w:i/>
          <w:sz w:val="18"/>
          <w:szCs w:val="18"/>
        </w:rPr>
        <w:t>subsection</w:t>
      </w:r>
      <w:r w:rsidR="00284312">
        <w:rPr>
          <w:b/>
          <w:i/>
          <w:sz w:val="18"/>
          <w:szCs w:val="18"/>
        </w:rPr>
        <w:t> </w:t>
      </w:r>
      <w:r w:rsidR="00DD4560" w:rsidRPr="00F64A08">
        <w:rPr>
          <w:b/>
          <w:i/>
          <w:sz w:val="18"/>
          <w:szCs w:val="18"/>
        </w:rPr>
        <w:t>355</w:t>
      </w:r>
      <w:r w:rsidR="00700B2E">
        <w:rPr>
          <w:b/>
          <w:i/>
          <w:sz w:val="18"/>
          <w:szCs w:val="18"/>
        </w:rPr>
        <w:noBreakHyphen/>
      </w:r>
      <w:r w:rsidR="00DD4560" w:rsidRPr="00F64A08">
        <w:rPr>
          <w:b/>
          <w:i/>
          <w:sz w:val="18"/>
          <w:szCs w:val="18"/>
        </w:rPr>
        <w:t xml:space="preserve">65(7) in Schedule 1 to the Taxation Administration </w:t>
      </w:r>
      <w:r w:rsidR="00284312" w:rsidRPr="00F64A08">
        <w:rPr>
          <w:b/>
          <w:i/>
          <w:sz w:val="18"/>
          <w:szCs w:val="18"/>
        </w:rPr>
        <w:t>Act</w:t>
      </w:r>
      <w:r w:rsidR="00284312">
        <w:rPr>
          <w:b/>
          <w:i/>
          <w:sz w:val="18"/>
          <w:szCs w:val="18"/>
        </w:rPr>
        <w:t> </w:t>
      </w:r>
      <w:r w:rsidR="00DD4560" w:rsidRPr="00F64A08">
        <w:rPr>
          <w:b/>
          <w:i/>
          <w:sz w:val="18"/>
          <w:szCs w:val="18"/>
        </w:rPr>
        <w:t>1953</w:t>
      </w:r>
      <w:r w:rsidRPr="00F64A08">
        <w:rPr>
          <w:b/>
          <w:i/>
          <w:sz w:val="18"/>
          <w:szCs w:val="18"/>
        </w:rPr>
        <w:t>]</w:t>
      </w:r>
    </w:p>
    <w:p w14:paraId="46BFFAA0" w14:textId="77777777" w:rsidR="00A8723F" w:rsidRPr="00796675" w:rsidRDefault="00A8723F" w:rsidP="00632A88">
      <w:pPr>
        <w:pStyle w:val="Heading3"/>
      </w:pPr>
      <w:r w:rsidRPr="0006304C">
        <w:t xml:space="preserve">Other consequential </w:t>
      </w:r>
      <w:r w:rsidR="003B71F4" w:rsidRPr="0006304C">
        <w:t>amendments</w:t>
      </w:r>
      <w:r w:rsidRPr="0006304C">
        <w:t xml:space="preserve"> </w:t>
      </w:r>
    </w:p>
    <w:p w14:paraId="4DFEA956" w14:textId="77777777" w:rsidR="00A8723F" w:rsidRDefault="00A8723F" w:rsidP="00DA4EFD">
      <w:pPr>
        <w:pStyle w:val="base-text-paragraph"/>
        <w:numPr>
          <w:ilvl w:val="1"/>
          <w:numId w:val="24"/>
        </w:numPr>
        <w:spacing w:before="100" w:after="100"/>
      </w:pPr>
      <w:r>
        <w:t>A reference in the</w:t>
      </w:r>
      <w:r w:rsidRPr="003E6629">
        <w:rPr>
          <w:i/>
        </w:rPr>
        <w:t xml:space="preserve"> Coastal Trading </w:t>
      </w:r>
      <w:r w:rsidR="00AE6054" w:rsidRPr="003E6629">
        <w:rPr>
          <w:i/>
        </w:rPr>
        <w:t>(</w:t>
      </w:r>
      <w:r w:rsidRPr="003E6629">
        <w:rPr>
          <w:i/>
        </w:rPr>
        <w:t>Revitalising Australian Shipping) Act 2012</w:t>
      </w:r>
      <w:r>
        <w:t xml:space="preserve"> to the definition of biodiesel contained in the </w:t>
      </w:r>
      <w:r w:rsidR="00FC570B" w:rsidRPr="00EC1F46">
        <w:t>EGCFS</w:t>
      </w:r>
      <w:r w:rsidR="00277A0F">
        <w:t> </w:t>
      </w:r>
      <w:r w:rsidR="00FC570B" w:rsidRPr="00EC1F46">
        <w:t>2004</w:t>
      </w:r>
      <w:r w:rsidR="00FC570B">
        <w:t xml:space="preserve"> </w:t>
      </w:r>
      <w:r>
        <w:t xml:space="preserve">is repealed and replaced with the definition included in the </w:t>
      </w:r>
      <w:r w:rsidR="005A41B9">
        <w:t>ETA </w:t>
      </w:r>
      <w:r>
        <w:t>1921</w:t>
      </w:r>
      <w:r w:rsidRPr="003E6629">
        <w:rPr>
          <w:i/>
        </w:rPr>
        <w:t>.</w:t>
      </w:r>
      <w:r w:rsidRPr="003E6629">
        <w:rPr>
          <w:b/>
          <w:i/>
          <w:sz w:val="18"/>
          <w:szCs w:val="18"/>
        </w:rPr>
        <w:t xml:space="preserve"> [</w:t>
      </w:r>
      <w:r w:rsidR="00796810">
        <w:rPr>
          <w:b/>
          <w:i/>
          <w:sz w:val="18"/>
          <w:szCs w:val="18"/>
        </w:rPr>
        <w:t>Schedule 1</w:t>
      </w:r>
      <w:r w:rsidR="007A1343" w:rsidRPr="003E6629">
        <w:rPr>
          <w:b/>
          <w:i/>
          <w:sz w:val="18"/>
          <w:szCs w:val="18"/>
        </w:rPr>
        <w:t xml:space="preserve">, </w:t>
      </w:r>
      <w:r w:rsidRPr="003E6629">
        <w:rPr>
          <w:b/>
          <w:i/>
          <w:sz w:val="18"/>
          <w:szCs w:val="18"/>
        </w:rPr>
        <w:t>item 1</w:t>
      </w:r>
      <w:r w:rsidR="00746931" w:rsidRPr="003E6629">
        <w:rPr>
          <w:b/>
          <w:i/>
          <w:sz w:val="18"/>
          <w:szCs w:val="18"/>
        </w:rPr>
        <w:t>4</w:t>
      </w:r>
      <w:r w:rsidR="00796810">
        <w:rPr>
          <w:b/>
          <w:i/>
          <w:sz w:val="18"/>
          <w:szCs w:val="18"/>
        </w:rPr>
        <w:t xml:space="preserve"> of the </w:t>
      </w:r>
      <w:r w:rsidR="00796810" w:rsidRPr="003E6629">
        <w:rPr>
          <w:b/>
          <w:i/>
          <w:sz w:val="18"/>
          <w:szCs w:val="18"/>
        </w:rPr>
        <w:t>Energy Grants Amendment Bill 2015</w:t>
      </w:r>
      <w:r w:rsidR="00796810">
        <w:rPr>
          <w:b/>
          <w:i/>
          <w:sz w:val="18"/>
          <w:szCs w:val="18"/>
        </w:rPr>
        <w:t>,</w:t>
      </w:r>
      <w:r w:rsidRPr="003E6629">
        <w:rPr>
          <w:b/>
          <w:i/>
          <w:sz w:val="18"/>
          <w:szCs w:val="18"/>
        </w:rPr>
        <w:t xml:space="preserve"> </w:t>
      </w:r>
      <w:r w:rsidR="005A41B9" w:rsidRPr="003E6629">
        <w:rPr>
          <w:b/>
          <w:i/>
          <w:sz w:val="18"/>
          <w:szCs w:val="18"/>
        </w:rPr>
        <w:t xml:space="preserve">paragraph (a) of the definition of </w:t>
      </w:r>
      <w:r w:rsidR="00700B2E">
        <w:rPr>
          <w:b/>
          <w:i/>
          <w:sz w:val="18"/>
          <w:szCs w:val="18"/>
        </w:rPr>
        <w:t>‘</w:t>
      </w:r>
      <w:r w:rsidR="005A41B9" w:rsidRPr="003E6629">
        <w:rPr>
          <w:b/>
          <w:i/>
          <w:sz w:val="18"/>
          <w:szCs w:val="18"/>
        </w:rPr>
        <w:t>liquid fuel product</w:t>
      </w:r>
      <w:r w:rsidR="00700B2E">
        <w:rPr>
          <w:b/>
          <w:i/>
          <w:sz w:val="18"/>
          <w:szCs w:val="18"/>
        </w:rPr>
        <w:t>’</w:t>
      </w:r>
      <w:r w:rsidR="005A41B9" w:rsidRPr="003E6629">
        <w:rPr>
          <w:b/>
          <w:i/>
          <w:sz w:val="18"/>
          <w:szCs w:val="18"/>
        </w:rPr>
        <w:t xml:space="preserve"> </w:t>
      </w:r>
      <w:r w:rsidR="005A41B9">
        <w:rPr>
          <w:b/>
          <w:i/>
          <w:sz w:val="18"/>
          <w:szCs w:val="18"/>
        </w:rPr>
        <w:t xml:space="preserve">in </w:t>
      </w:r>
      <w:r w:rsidRPr="003E6629">
        <w:rPr>
          <w:b/>
          <w:i/>
          <w:sz w:val="18"/>
          <w:szCs w:val="18"/>
        </w:rPr>
        <w:t xml:space="preserve">subsection 6(1) </w:t>
      </w:r>
      <w:r w:rsidR="007A1343" w:rsidRPr="003E6629">
        <w:rPr>
          <w:b/>
          <w:i/>
          <w:sz w:val="18"/>
          <w:szCs w:val="18"/>
        </w:rPr>
        <w:t xml:space="preserve">of </w:t>
      </w:r>
      <w:r w:rsidRPr="003E6629">
        <w:rPr>
          <w:b/>
          <w:i/>
          <w:sz w:val="18"/>
          <w:szCs w:val="18"/>
        </w:rPr>
        <w:t xml:space="preserve">the Coastal Trading </w:t>
      </w:r>
      <w:r w:rsidR="00AE6054" w:rsidRPr="003E6629">
        <w:rPr>
          <w:b/>
          <w:i/>
          <w:sz w:val="18"/>
          <w:szCs w:val="18"/>
        </w:rPr>
        <w:t>(</w:t>
      </w:r>
      <w:r w:rsidRPr="003E6629">
        <w:rPr>
          <w:b/>
          <w:i/>
          <w:sz w:val="18"/>
          <w:szCs w:val="18"/>
        </w:rPr>
        <w:t>Revitalising Australian Shipping) Act 2012]</w:t>
      </w:r>
    </w:p>
    <w:p w14:paraId="3DB32095" w14:textId="77777777" w:rsidR="00A8723F" w:rsidRDefault="00A8723F" w:rsidP="00312DAF">
      <w:pPr>
        <w:pStyle w:val="Heading2"/>
      </w:pPr>
      <w:r>
        <w:t>Application and transitional provisions</w:t>
      </w:r>
    </w:p>
    <w:p w14:paraId="1BF5D3E4" w14:textId="77777777" w:rsidR="00312DAF" w:rsidRPr="006225F6" w:rsidRDefault="00312DAF" w:rsidP="00DA4EFD">
      <w:pPr>
        <w:pStyle w:val="base-text-paragraph"/>
        <w:numPr>
          <w:ilvl w:val="1"/>
          <w:numId w:val="31"/>
        </w:numPr>
        <w:spacing w:before="100" w:after="100"/>
      </w:pPr>
      <w:r w:rsidRPr="00380119">
        <w:t>The amendments to the ETA 1921 contained in the Excise Tariff Amendment Bill 2015 apply to goods manufactured on or after 1</w:t>
      </w:r>
      <w:r w:rsidR="00FA4CA8" w:rsidRPr="00537A5D">
        <w:t> </w:t>
      </w:r>
      <w:r w:rsidRPr="00537A5D">
        <w:t>July</w:t>
      </w:r>
      <w:r w:rsidR="00FA4CA8" w:rsidRPr="00537A5D">
        <w:t> </w:t>
      </w:r>
      <w:r w:rsidRPr="00537A5D">
        <w:t xml:space="preserve">2015 and also </w:t>
      </w:r>
      <w:r w:rsidR="00777F95">
        <w:t xml:space="preserve">to </w:t>
      </w:r>
      <w:r w:rsidRPr="00537A5D">
        <w:t xml:space="preserve">goods held at licensed premises on 1 July 2015 for which no duty had been paid prior to that day. The first change in excise duty rates applies from 1 July 2015. </w:t>
      </w:r>
      <w:r w:rsidRPr="00537A5D">
        <w:rPr>
          <w:b/>
          <w:i/>
          <w:sz w:val="18"/>
          <w:szCs w:val="18"/>
        </w:rPr>
        <w:t>[</w:t>
      </w:r>
      <w:r w:rsidR="00222E11">
        <w:rPr>
          <w:b/>
          <w:i/>
          <w:sz w:val="18"/>
          <w:szCs w:val="18"/>
        </w:rPr>
        <w:t xml:space="preserve">Schedule 1, item 4 of the </w:t>
      </w:r>
      <w:r w:rsidRPr="00537A5D">
        <w:rPr>
          <w:b/>
          <w:i/>
          <w:sz w:val="18"/>
          <w:szCs w:val="18"/>
        </w:rPr>
        <w:t>Excise Tariff Amendment Bill 2015,</w:t>
      </w:r>
      <w:r w:rsidRPr="00380119">
        <w:rPr>
          <w:b/>
          <w:i/>
          <w:sz w:val="18"/>
          <w:szCs w:val="18"/>
        </w:rPr>
        <w:t xml:space="preserve"> section</w:t>
      </w:r>
      <w:r w:rsidR="00537A5D" w:rsidRPr="00007715">
        <w:rPr>
          <w:b/>
          <w:i/>
          <w:sz w:val="18"/>
          <w:szCs w:val="18"/>
        </w:rPr>
        <w:t>s</w:t>
      </w:r>
      <w:r w:rsidR="00222E11">
        <w:rPr>
          <w:b/>
          <w:i/>
          <w:sz w:val="18"/>
          <w:szCs w:val="18"/>
        </w:rPr>
        <w:t> </w:t>
      </w:r>
      <w:r w:rsidRPr="00537A5D">
        <w:rPr>
          <w:b/>
          <w:i/>
          <w:sz w:val="18"/>
          <w:szCs w:val="18"/>
        </w:rPr>
        <w:t xml:space="preserve">6H and </w:t>
      </w:r>
      <w:r w:rsidRPr="00380119">
        <w:rPr>
          <w:b/>
          <w:i/>
          <w:sz w:val="18"/>
          <w:szCs w:val="18"/>
        </w:rPr>
        <w:t>6J of the ETA</w:t>
      </w:r>
      <w:r w:rsidR="00222E11">
        <w:rPr>
          <w:b/>
          <w:i/>
          <w:sz w:val="18"/>
          <w:szCs w:val="18"/>
        </w:rPr>
        <w:t> </w:t>
      </w:r>
      <w:r w:rsidRPr="00380119">
        <w:rPr>
          <w:b/>
          <w:i/>
          <w:sz w:val="18"/>
          <w:szCs w:val="18"/>
        </w:rPr>
        <w:t>1921]</w:t>
      </w:r>
    </w:p>
    <w:p w14:paraId="40CE8A8D" w14:textId="77777777" w:rsidR="000A27D1" w:rsidRPr="00537A5D" w:rsidRDefault="000A27D1" w:rsidP="00312DAF">
      <w:pPr>
        <w:pStyle w:val="base-text-paragraph"/>
        <w:numPr>
          <w:ilvl w:val="1"/>
          <w:numId w:val="31"/>
        </w:numPr>
      </w:pPr>
      <w:r w:rsidRPr="00380119">
        <w:t>The removal of the grants for biodiesel and renewable diesel under the</w:t>
      </w:r>
      <w:r w:rsidRPr="00380119">
        <w:rPr>
          <w:i/>
          <w:lang w:val="en-US" w:eastAsia="en-US"/>
        </w:rPr>
        <w:t xml:space="preserve"> </w:t>
      </w:r>
      <w:r w:rsidRPr="00380119">
        <w:t>EGCFS 2004 applies from 1 July 2015. Under the transitional provisions, the EGCFS 2004 and related instruments in force on 30</w:t>
      </w:r>
      <w:r w:rsidR="001134EA">
        <w:t> </w:t>
      </w:r>
      <w:r w:rsidRPr="00380119">
        <w:t>June</w:t>
      </w:r>
      <w:r w:rsidR="001134EA">
        <w:t> </w:t>
      </w:r>
      <w:r w:rsidRPr="00380119">
        <w:t xml:space="preserve">2015 </w:t>
      </w:r>
      <w:r w:rsidR="009323DF">
        <w:t xml:space="preserve">continue to </w:t>
      </w:r>
      <w:r w:rsidRPr="00380119">
        <w:t>operate for entitlements that arose prior to 1</w:t>
      </w:r>
      <w:r w:rsidR="001134EA">
        <w:t> </w:t>
      </w:r>
      <w:r w:rsidRPr="00380119">
        <w:t>July</w:t>
      </w:r>
      <w:r w:rsidR="001134EA">
        <w:t> </w:t>
      </w:r>
      <w:r w:rsidRPr="00380119">
        <w:t xml:space="preserve">2015. This ensures that entitlement to grants for biodiesel and renewable diesel continues if provisional entitlement to a cleaner fuel grant arose before 1 July 2015. </w:t>
      </w:r>
      <w:r w:rsidRPr="00380119">
        <w:rPr>
          <w:b/>
          <w:i/>
          <w:sz w:val="18"/>
          <w:szCs w:val="18"/>
        </w:rPr>
        <w:t>[</w:t>
      </w:r>
      <w:r w:rsidR="009448AB">
        <w:rPr>
          <w:b/>
          <w:i/>
          <w:sz w:val="18"/>
          <w:szCs w:val="18"/>
        </w:rPr>
        <w:t>S</w:t>
      </w:r>
      <w:r w:rsidR="009448AB" w:rsidRPr="00380119">
        <w:rPr>
          <w:rStyle w:val="Referencingstyle"/>
        </w:rPr>
        <w:t>ubclause 2(1)</w:t>
      </w:r>
      <w:r w:rsidR="009448AB" w:rsidRPr="00007715">
        <w:rPr>
          <w:rStyle w:val="Referencingstyle"/>
        </w:rPr>
        <w:t xml:space="preserve"> </w:t>
      </w:r>
      <w:r w:rsidR="009448AB">
        <w:rPr>
          <w:rStyle w:val="Referencingstyle"/>
        </w:rPr>
        <w:t>in t</w:t>
      </w:r>
      <w:r w:rsidRPr="00007715">
        <w:rPr>
          <w:rStyle w:val="Referencingstyle"/>
        </w:rPr>
        <w:t xml:space="preserve">able item </w:t>
      </w:r>
      <w:r w:rsidR="001134EA">
        <w:rPr>
          <w:rStyle w:val="Referencingstyle"/>
        </w:rPr>
        <w:t>1</w:t>
      </w:r>
      <w:r w:rsidRPr="00007715">
        <w:rPr>
          <w:rStyle w:val="Referencingstyle"/>
        </w:rPr>
        <w:t xml:space="preserve"> </w:t>
      </w:r>
      <w:r w:rsidRPr="00380119">
        <w:rPr>
          <w:rStyle w:val="Referencingstyle"/>
        </w:rPr>
        <w:t>and</w:t>
      </w:r>
      <w:r w:rsidR="005A090E">
        <w:rPr>
          <w:rStyle w:val="Referencingstyle"/>
        </w:rPr>
        <w:t xml:space="preserve"> Schedule </w:t>
      </w:r>
      <w:r w:rsidR="001134EA">
        <w:rPr>
          <w:rStyle w:val="Referencingstyle"/>
        </w:rPr>
        <w:t xml:space="preserve">1, </w:t>
      </w:r>
      <w:r w:rsidRPr="00380119">
        <w:rPr>
          <w:rStyle w:val="Referencingstyle"/>
        </w:rPr>
        <w:t xml:space="preserve"> item</w:t>
      </w:r>
      <w:r>
        <w:rPr>
          <w:rStyle w:val="Referencingstyle"/>
        </w:rPr>
        <w:t>s 13</w:t>
      </w:r>
      <w:r w:rsidR="00863D0C">
        <w:rPr>
          <w:rStyle w:val="Referencingstyle"/>
        </w:rPr>
        <w:t>,</w:t>
      </w:r>
      <w:r w:rsidR="00940FC8">
        <w:rPr>
          <w:rStyle w:val="Referencingstyle"/>
        </w:rPr>
        <w:t xml:space="preserve"> </w:t>
      </w:r>
      <w:r w:rsidR="00331491" w:rsidRPr="00007715">
        <w:rPr>
          <w:rStyle w:val="Referencingstyle"/>
        </w:rPr>
        <w:t>2</w:t>
      </w:r>
      <w:r w:rsidR="00331491">
        <w:rPr>
          <w:rStyle w:val="Referencingstyle"/>
        </w:rPr>
        <w:t xml:space="preserve">6 </w:t>
      </w:r>
      <w:r w:rsidR="00F277EE">
        <w:rPr>
          <w:rStyle w:val="Referencingstyle"/>
        </w:rPr>
        <w:t xml:space="preserve">and </w:t>
      </w:r>
      <w:r w:rsidR="00331491">
        <w:rPr>
          <w:rStyle w:val="Referencingstyle"/>
        </w:rPr>
        <w:t>28</w:t>
      </w:r>
      <w:r w:rsidR="001134EA">
        <w:rPr>
          <w:rStyle w:val="Referencingstyle"/>
        </w:rPr>
        <w:t xml:space="preserve"> of the </w:t>
      </w:r>
      <w:r w:rsidR="001134EA" w:rsidRPr="00380119">
        <w:rPr>
          <w:rStyle w:val="Referencingstyle"/>
        </w:rPr>
        <w:t>Energy Grants Amendment Bill 2015</w:t>
      </w:r>
      <w:r>
        <w:rPr>
          <w:rStyle w:val="Referencingstyle"/>
        </w:rPr>
        <w:t>]</w:t>
      </w:r>
    </w:p>
    <w:p w14:paraId="4EA609F4" w14:textId="77777777" w:rsidR="00245B7A" w:rsidRPr="00B93CC9" w:rsidRDefault="00E36ED7" w:rsidP="00C702FE">
      <w:pPr>
        <w:pStyle w:val="base-text-paragraph"/>
        <w:numPr>
          <w:ilvl w:val="1"/>
          <w:numId w:val="24"/>
        </w:numPr>
      </w:pPr>
      <w:r>
        <w:t>A</w:t>
      </w:r>
      <w:r w:rsidRPr="005325BD">
        <w:t>ccordingly</w:t>
      </w:r>
      <w:r w:rsidR="00A8723F">
        <w:t xml:space="preserve">, claimants </w:t>
      </w:r>
      <w:r w:rsidR="00A1198E">
        <w:t xml:space="preserve">of grants for biodiesel and renewable diesel </w:t>
      </w:r>
      <w:r w:rsidR="00A8723F">
        <w:t>must have entered or delivered the fuel into home consumption by 30</w:t>
      </w:r>
      <w:r w:rsidR="00700B2E">
        <w:t> </w:t>
      </w:r>
      <w:r w:rsidR="00A8723F">
        <w:t>June 2015</w:t>
      </w:r>
      <w:r>
        <w:t xml:space="preserve"> or if </w:t>
      </w:r>
      <w:r w:rsidR="00D91B72">
        <w:t>another entity</w:t>
      </w:r>
      <w:r>
        <w:t xml:space="preserve"> has already entered the fuel, the claimant must have used or sold the fuel by 30 June 2015</w:t>
      </w:r>
      <w:r w:rsidR="00A8723F">
        <w:t xml:space="preserve">. </w:t>
      </w:r>
      <w:r w:rsidR="00A1198E">
        <w:t xml:space="preserve">This ensures that </w:t>
      </w:r>
      <w:r w:rsidR="006A7A1A">
        <w:t>no grants are payable for biodiesel or renewable diesel that is subject to duty</w:t>
      </w:r>
      <w:r w:rsidR="00106604">
        <w:t xml:space="preserve"> (or a zero rate of duty)</w:t>
      </w:r>
      <w:r w:rsidR="006A7A1A">
        <w:t xml:space="preserve"> from 1 July 2015. </w:t>
      </w:r>
      <w:r w:rsidR="00A8723F">
        <w:t xml:space="preserve">Fuel is entered or delivered into home consumption when the fuel is consumed by an importer, manufacturer or licensed person or sold by them to an end </w:t>
      </w:r>
      <w:r w:rsidR="00700B2E">
        <w:t>user outside the </w:t>
      </w:r>
      <w:r w:rsidR="00661D33">
        <w:t xml:space="preserve">excise system. </w:t>
      </w:r>
    </w:p>
    <w:p w14:paraId="52D8C176" w14:textId="77777777" w:rsidR="00380119" w:rsidRPr="00380119" w:rsidRDefault="00C7232D" w:rsidP="009920F1">
      <w:pPr>
        <w:pStyle w:val="base-text-paragraph"/>
        <w:keepNext/>
        <w:keepLines/>
        <w:numPr>
          <w:ilvl w:val="1"/>
          <w:numId w:val="24"/>
        </w:numPr>
      </w:pPr>
      <w:r w:rsidRPr="00C7232D">
        <w:t xml:space="preserve">Producers and importers who are eligible for grants where </w:t>
      </w:r>
      <w:r w:rsidRPr="00380119">
        <w:t>entitlement arises prior to 1 July 2015 are required to submit their claims for grant</w:t>
      </w:r>
      <w:r w:rsidR="001A494A">
        <w:t>s</w:t>
      </w:r>
      <w:r w:rsidRPr="00380119">
        <w:t xml:space="preserve"> to the Commissioner of Taxation by </w:t>
      </w:r>
      <w:r w:rsidR="00380119" w:rsidRPr="00CF34BA">
        <w:t xml:space="preserve">the earlier </w:t>
      </w:r>
      <w:r w:rsidR="00380119" w:rsidRPr="00380119">
        <w:t>of:</w:t>
      </w:r>
    </w:p>
    <w:p w14:paraId="6082B451" w14:textId="77777777" w:rsidR="00380119" w:rsidRPr="00380119" w:rsidRDefault="001D7FC1" w:rsidP="009920F1">
      <w:pPr>
        <w:pStyle w:val="dotpoint"/>
        <w:keepNext/>
        <w:keepLines/>
      </w:pPr>
      <w:r>
        <w:t xml:space="preserve">the day </w:t>
      </w:r>
      <w:r w:rsidR="00AC4629">
        <w:t xml:space="preserve">which is </w:t>
      </w:r>
      <w:r w:rsidR="00380119" w:rsidRPr="00380119">
        <w:t>three years after the start of the claim period; and</w:t>
      </w:r>
    </w:p>
    <w:p w14:paraId="114C6936" w14:textId="77777777" w:rsidR="00380119" w:rsidRPr="00380119" w:rsidRDefault="00380119" w:rsidP="009920F1">
      <w:pPr>
        <w:pStyle w:val="dotpoint"/>
        <w:keepNext/>
        <w:keepLines/>
      </w:pPr>
      <w:r w:rsidRPr="00380119">
        <w:t xml:space="preserve">1 </w:t>
      </w:r>
      <w:r w:rsidR="00C7232D" w:rsidRPr="00380119">
        <w:t xml:space="preserve">July 2016. </w:t>
      </w:r>
    </w:p>
    <w:p w14:paraId="3B6CF1AB" w14:textId="77777777" w:rsidR="00C7232D" w:rsidRPr="00C7232D" w:rsidRDefault="00C7232D" w:rsidP="00007715">
      <w:pPr>
        <w:pStyle w:val="dotpoint"/>
        <w:numPr>
          <w:ilvl w:val="0"/>
          <w:numId w:val="0"/>
        </w:numPr>
        <w:ind w:left="1134"/>
      </w:pPr>
      <w:r w:rsidRPr="00380119">
        <w:rPr>
          <w:rStyle w:val="Referencingstyle"/>
        </w:rPr>
        <w:t>[</w:t>
      </w:r>
      <w:r w:rsidR="005A090E">
        <w:rPr>
          <w:rStyle w:val="Referencingstyle"/>
        </w:rPr>
        <w:t xml:space="preserve">Schedule 1, </w:t>
      </w:r>
      <w:r w:rsidRPr="00380119">
        <w:rPr>
          <w:rStyle w:val="Referencingstyle"/>
        </w:rPr>
        <w:t>item</w:t>
      </w:r>
      <w:r w:rsidR="00F277EE">
        <w:rPr>
          <w:rStyle w:val="Referencingstyle"/>
        </w:rPr>
        <w:t>s</w:t>
      </w:r>
      <w:r w:rsidRPr="00380119">
        <w:rPr>
          <w:rStyle w:val="Referencingstyle"/>
        </w:rPr>
        <w:t xml:space="preserve"> </w:t>
      </w:r>
      <w:r w:rsidR="00331491" w:rsidRPr="00007715">
        <w:rPr>
          <w:rStyle w:val="Referencingstyle"/>
        </w:rPr>
        <w:t>2</w:t>
      </w:r>
      <w:r w:rsidR="00331491">
        <w:rPr>
          <w:rStyle w:val="Referencingstyle"/>
        </w:rPr>
        <w:t xml:space="preserve">5 </w:t>
      </w:r>
      <w:r w:rsidR="00F277EE">
        <w:rPr>
          <w:rStyle w:val="Referencingstyle"/>
        </w:rPr>
        <w:t xml:space="preserve">and </w:t>
      </w:r>
      <w:r w:rsidR="00331491">
        <w:rPr>
          <w:rStyle w:val="Referencingstyle"/>
        </w:rPr>
        <w:t>27</w:t>
      </w:r>
      <w:r w:rsidR="005A090E">
        <w:rPr>
          <w:rStyle w:val="Referencingstyle"/>
        </w:rPr>
        <w:t xml:space="preserve"> of the </w:t>
      </w:r>
      <w:r w:rsidR="005A090E" w:rsidRPr="00380119">
        <w:rPr>
          <w:rStyle w:val="Referencingstyle"/>
        </w:rPr>
        <w:t>Energy Grants Amendment Bill 2015</w:t>
      </w:r>
      <w:r w:rsidRPr="00380119">
        <w:rPr>
          <w:rStyle w:val="Referencingstyle"/>
        </w:rPr>
        <w:t>]</w:t>
      </w:r>
    </w:p>
    <w:p w14:paraId="5D7FF7AC" w14:textId="77777777" w:rsidR="00245B7A" w:rsidRDefault="00245B7A" w:rsidP="00245B7A">
      <w:pPr>
        <w:pStyle w:val="ExampleHeading"/>
        <w:numPr>
          <w:ilvl w:val="3"/>
          <w:numId w:val="24"/>
        </w:numPr>
      </w:pPr>
      <w:r>
        <w:t>: Final claims under the Energy Grants (Cleaner Fuels) Scheme</w:t>
      </w:r>
    </w:p>
    <w:p w14:paraId="114D776D" w14:textId="77777777" w:rsidR="00245B7A" w:rsidRDefault="00245B7A" w:rsidP="00C702FE">
      <w:pPr>
        <w:pStyle w:val="exampletext"/>
        <w:rPr>
          <w:lang w:val="en-US" w:eastAsia="en-US"/>
        </w:rPr>
      </w:pPr>
      <w:r>
        <w:t xml:space="preserve">Sebastien makes a claim under the </w:t>
      </w:r>
      <w:r w:rsidR="00FC570B" w:rsidRPr="00EC1F46">
        <w:t>EGCFS 2004</w:t>
      </w:r>
      <w:r w:rsidR="00FC570B">
        <w:t xml:space="preserve"> </w:t>
      </w:r>
      <w:r>
        <w:rPr>
          <w:lang w:val="en-US" w:eastAsia="en-US"/>
        </w:rPr>
        <w:t>for a grant for biodiesel that has been imported into Australia and blended with mineral diesel that has been manufactured in Australia.</w:t>
      </w:r>
    </w:p>
    <w:p w14:paraId="63EB4053" w14:textId="77777777" w:rsidR="00245B7A" w:rsidRDefault="00BE540D" w:rsidP="00C702FE">
      <w:pPr>
        <w:pStyle w:val="exampletext"/>
        <w:rPr>
          <w:lang w:val="en-US" w:eastAsia="en-US"/>
        </w:rPr>
      </w:pPr>
      <w:r>
        <w:rPr>
          <w:lang w:val="en-US" w:eastAsia="en-US"/>
        </w:rPr>
        <w:t xml:space="preserve">Sebastien </w:t>
      </w:r>
      <w:r w:rsidR="00695EBA">
        <w:rPr>
          <w:lang w:val="en-US" w:eastAsia="en-US"/>
        </w:rPr>
        <w:t xml:space="preserve">became </w:t>
      </w:r>
      <w:r>
        <w:rPr>
          <w:lang w:val="en-US" w:eastAsia="en-US"/>
        </w:rPr>
        <w:t>provisionally entitled to a grant when t</w:t>
      </w:r>
      <w:r w:rsidR="00245B7A">
        <w:rPr>
          <w:lang w:val="en-US" w:eastAsia="en-US"/>
        </w:rPr>
        <w:t xml:space="preserve">he biodiesel blend </w:t>
      </w:r>
      <w:r w:rsidR="00A300E3">
        <w:rPr>
          <w:lang w:val="en-US" w:eastAsia="en-US"/>
        </w:rPr>
        <w:t>is delivered for</w:t>
      </w:r>
      <w:r w:rsidR="00245B7A">
        <w:rPr>
          <w:lang w:val="en-US" w:eastAsia="en-US"/>
        </w:rPr>
        <w:t xml:space="preserve"> home consumption on 30 June 2015 </w:t>
      </w:r>
      <w:r w:rsidR="00284312" w:rsidRPr="00284312">
        <w:rPr>
          <w:lang w:val="en-US" w:eastAsia="en-US"/>
        </w:rPr>
        <w:t>—</w:t>
      </w:r>
      <w:r w:rsidR="00284312">
        <w:rPr>
          <w:lang w:val="en-US" w:eastAsia="en-US"/>
        </w:rPr>
        <w:t xml:space="preserve"> </w:t>
      </w:r>
      <w:r w:rsidR="00745A28">
        <w:rPr>
          <w:lang w:val="en-US" w:eastAsia="en-US"/>
        </w:rPr>
        <w:t xml:space="preserve">the point at which </w:t>
      </w:r>
      <w:r w:rsidR="00245B7A">
        <w:rPr>
          <w:lang w:val="en-US" w:eastAsia="en-US"/>
        </w:rPr>
        <w:t>it is delivered from</w:t>
      </w:r>
      <w:r w:rsidR="00D82A3F">
        <w:rPr>
          <w:lang w:val="en-US" w:eastAsia="en-US"/>
        </w:rPr>
        <w:t xml:space="preserve"> the importer</w:t>
      </w:r>
      <w:r w:rsidR="00700B2E">
        <w:rPr>
          <w:lang w:val="en-US" w:eastAsia="en-US"/>
        </w:rPr>
        <w:t>’</w:t>
      </w:r>
      <w:r w:rsidR="00D82A3F">
        <w:rPr>
          <w:lang w:val="en-US" w:eastAsia="en-US"/>
        </w:rPr>
        <w:t>s</w:t>
      </w:r>
      <w:r w:rsidR="00245B7A">
        <w:rPr>
          <w:lang w:val="en-US" w:eastAsia="en-US"/>
        </w:rPr>
        <w:t xml:space="preserve"> licensed premises to a service station for sale.</w:t>
      </w:r>
    </w:p>
    <w:p w14:paraId="530FA50A" w14:textId="77777777" w:rsidR="00D82A3F" w:rsidRPr="00F253B7" w:rsidRDefault="00695EBA" w:rsidP="00C702FE">
      <w:pPr>
        <w:pStyle w:val="exampletext"/>
      </w:pPr>
      <w:r>
        <w:rPr>
          <w:lang w:val="en-US" w:eastAsia="en-US"/>
        </w:rPr>
        <w:t xml:space="preserve">Provided </w:t>
      </w:r>
      <w:r w:rsidR="00D82A3F">
        <w:rPr>
          <w:lang w:val="en-US" w:eastAsia="en-US"/>
        </w:rPr>
        <w:t xml:space="preserve">Sebastien has </w:t>
      </w:r>
      <w:r>
        <w:rPr>
          <w:lang w:val="en-US" w:eastAsia="en-US"/>
        </w:rPr>
        <w:t xml:space="preserve">made his claim before </w:t>
      </w:r>
      <w:r w:rsidR="00D82A3F">
        <w:rPr>
          <w:lang w:val="en-US" w:eastAsia="en-US"/>
        </w:rPr>
        <w:t>30 June 2016</w:t>
      </w:r>
      <w:r>
        <w:rPr>
          <w:lang w:val="en-US" w:eastAsia="en-US"/>
        </w:rPr>
        <w:t xml:space="preserve">, he is entitled to </w:t>
      </w:r>
      <w:r w:rsidR="00D82A3F">
        <w:rPr>
          <w:lang w:val="en-US" w:eastAsia="en-US"/>
        </w:rPr>
        <w:t xml:space="preserve">claim </w:t>
      </w:r>
      <w:r>
        <w:rPr>
          <w:lang w:val="en-US" w:eastAsia="en-US"/>
        </w:rPr>
        <w:t xml:space="preserve">the grant </w:t>
      </w:r>
      <w:r w:rsidR="00D82A3F">
        <w:rPr>
          <w:lang w:val="en-US" w:eastAsia="en-US"/>
        </w:rPr>
        <w:t xml:space="preserve">under the </w:t>
      </w:r>
      <w:r w:rsidR="00745A28">
        <w:rPr>
          <w:lang w:val="en-US" w:eastAsia="en-US"/>
        </w:rPr>
        <w:t>s</w:t>
      </w:r>
      <w:r w:rsidR="00D82A3F">
        <w:rPr>
          <w:lang w:val="en-US" w:eastAsia="en-US"/>
        </w:rPr>
        <w:t>cheme.</w:t>
      </w:r>
    </w:p>
    <w:p w14:paraId="1A3B5843" w14:textId="77777777" w:rsidR="00A8723F" w:rsidRDefault="00A8723F" w:rsidP="00DA4EFD">
      <w:pPr>
        <w:pStyle w:val="base-text-paragraph"/>
        <w:keepNext/>
        <w:keepLines/>
        <w:numPr>
          <w:ilvl w:val="1"/>
          <w:numId w:val="24"/>
        </w:numPr>
        <w:spacing w:before="80" w:after="80"/>
      </w:pPr>
      <w:r>
        <w:t xml:space="preserve">The amendments to the </w:t>
      </w:r>
      <w:r w:rsidRPr="002E0C1C">
        <w:rPr>
          <w:i/>
        </w:rPr>
        <w:t>Customs Act 1901</w:t>
      </w:r>
      <w:r>
        <w:t xml:space="preserve"> that ensure that any imported biofuels are subject to </w:t>
      </w:r>
      <w:r w:rsidR="00BE4157">
        <w:t>excise</w:t>
      </w:r>
      <w:r w:rsidR="00700B2E">
        <w:noBreakHyphen/>
      </w:r>
      <w:r w:rsidR="00BE4157">
        <w:t xml:space="preserve">equivalent customs </w:t>
      </w:r>
      <w:r>
        <w:t>duty</w:t>
      </w:r>
      <w:r w:rsidR="00312DAF">
        <w:t>,</w:t>
      </w:r>
      <w:r>
        <w:t xml:space="preserve"> regardless of whether they are subject to blending with excisable fuels in licensed premises</w:t>
      </w:r>
      <w:r w:rsidR="00312DAF">
        <w:t>,</w:t>
      </w:r>
      <w:r>
        <w:t xml:space="preserve"> apply to biofuels that are imported</w:t>
      </w:r>
      <w:r w:rsidR="00695EBA">
        <w:t xml:space="preserve"> either</w:t>
      </w:r>
      <w:r>
        <w:t>:</w:t>
      </w:r>
    </w:p>
    <w:p w14:paraId="71B5BDD5" w14:textId="77777777" w:rsidR="00A8723F" w:rsidRDefault="00A8723F" w:rsidP="00DA4EFD">
      <w:pPr>
        <w:pStyle w:val="dotpoint"/>
        <w:spacing w:before="100" w:after="100"/>
        <w:ind w:left="2269" w:hanging="284"/>
      </w:pPr>
      <w:r>
        <w:t xml:space="preserve">on or after 1 July 2015; </w:t>
      </w:r>
      <w:r w:rsidR="00695EBA">
        <w:t>or</w:t>
      </w:r>
    </w:p>
    <w:p w14:paraId="644076C2" w14:textId="77777777" w:rsidR="00A8723F" w:rsidRDefault="00A8723F" w:rsidP="00DA4EFD">
      <w:pPr>
        <w:pStyle w:val="dotpoint"/>
        <w:spacing w:before="100" w:after="100"/>
        <w:ind w:left="2269" w:hanging="284"/>
      </w:pPr>
      <w:r>
        <w:t>before 1 July 2015</w:t>
      </w:r>
      <w:r w:rsidR="00152CDD">
        <w:t>,</w:t>
      </w:r>
      <w:r>
        <w:t xml:space="preserve"> if</w:t>
      </w:r>
      <w:r w:rsidRPr="001300C9">
        <w:t xml:space="preserve"> the time for </w:t>
      </w:r>
      <w:r w:rsidRPr="002744F3">
        <w:t>working out the import</w:t>
      </w:r>
      <w:r w:rsidRPr="001300C9">
        <w:t xml:space="preserve"> duty h</w:t>
      </w:r>
      <w:r>
        <w:t>as not yet arisen on or before 1 July 2015.</w:t>
      </w:r>
    </w:p>
    <w:p w14:paraId="1818DD5A" w14:textId="77777777" w:rsidR="00A8723F" w:rsidRPr="00002EF5" w:rsidRDefault="00312DAF" w:rsidP="00002EF5">
      <w:pPr>
        <w:pStyle w:val="base-text-paragraphnonumbers"/>
        <w:rPr>
          <w:rStyle w:val="Referencingstyle"/>
        </w:rPr>
      </w:pPr>
      <w:r>
        <w:rPr>
          <w:rStyle w:val="Referencingstyle"/>
        </w:rPr>
        <w:t>[</w:t>
      </w:r>
      <w:r w:rsidR="00D6280E">
        <w:rPr>
          <w:rStyle w:val="Referencingstyle"/>
        </w:rPr>
        <w:t xml:space="preserve">Schedule 1, </w:t>
      </w:r>
      <w:r w:rsidR="00A8723F" w:rsidRPr="00002EF5">
        <w:rPr>
          <w:rStyle w:val="Referencingstyle"/>
        </w:rPr>
        <w:t>item</w:t>
      </w:r>
      <w:r w:rsidR="00354868">
        <w:rPr>
          <w:rStyle w:val="Referencingstyle"/>
        </w:rPr>
        <w:t>s</w:t>
      </w:r>
      <w:r w:rsidR="00A8723F" w:rsidRPr="00002EF5">
        <w:rPr>
          <w:rStyle w:val="Referencingstyle"/>
        </w:rPr>
        <w:t xml:space="preserve"> 1</w:t>
      </w:r>
      <w:r>
        <w:rPr>
          <w:rStyle w:val="Referencingstyle"/>
        </w:rPr>
        <w:t xml:space="preserve"> </w:t>
      </w:r>
      <w:r w:rsidR="00CF34BA">
        <w:rPr>
          <w:rStyle w:val="Referencingstyle"/>
        </w:rPr>
        <w:t>to 6</w:t>
      </w:r>
      <w:r w:rsidR="00D6280E">
        <w:rPr>
          <w:rStyle w:val="Referencingstyle"/>
        </w:rPr>
        <w:t xml:space="preserve"> and subitem 11(1) of the Energy Grants Amendment Bill 2015, </w:t>
      </w:r>
      <w:r w:rsidR="00354868" w:rsidRPr="00002EF5">
        <w:rPr>
          <w:rStyle w:val="Referencingstyle"/>
        </w:rPr>
        <w:t>subsection</w:t>
      </w:r>
      <w:r w:rsidR="00354868">
        <w:rPr>
          <w:rStyle w:val="Referencingstyle"/>
        </w:rPr>
        <w:t>s</w:t>
      </w:r>
      <w:r w:rsidR="00D6280E">
        <w:rPr>
          <w:rStyle w:val="Referencingstyle"/>
        </w:rPr>
        <w:t> </w:t>
      </w:r>
      <w:r w:rsidR="00A8723F" w:rsidRPr="00002EF5">
        <w:rPr>
          <w:rStyle w:val="Referencingstyle"/>
        </w:rPr>
        <w:t>105B(1)</w:t>
      </w:r>
      <w:r w:rsidR="00F277EE">
        <w:rPr>
          <w:rStyle w:val="Referencingstyle"/>
        </w:rPr>
        <w:t>, (1A), (2) and (3)</w:t>
      </w:r>
      <w:r w:rsidR="00CF34BA">
        <w:rPr>
          <w:rStyle w:val="Referencingstyle"/>
        </w:rPr>
        <w:t xml:space="preserve"> and paragraph 105C(2)(b) of the </w:t>
      </w:r>
      <w:r w:rsidR="00A8723F" w:rsidRPr="00002EF5">
        <w:rPr>
          <w:rStyle w:val="Referencingstyle"/>
        </w:rPr>
        <w:t>Customs</w:t>
      </w:r>
      <w:r w:rsidR="00D6280E">
        <w:rPr>
          <w:rStyle w:val="Referencingstyle"/>
        </w:rPr>
        <w:t> </w:t>
      </w:r>
      <w:r w:rsidR="00A8723F" w:rsidRPr="00002EF5">
        <w:rPr>
          <w:rStyle w:val="Referencingstyle"/>
        </w:rPr>
        <w:t>Act</w:t>
      </w:r>
      <w:r>
        <w:rPr>
          <w:rStyle w:val="Referencingstyle"/>
        </w:rPr>
        <w:t> </w:t>
      </w:r>
      <w:r w:rsidR="00A8723F" w:rsidRPr="00002EF5">
        <w:rPr>
          <w:rStyle w:val="Referencingstyle"/>
        </w:rPr>
        <w:t xml:space="preserve">1901] </w:t>
      </w:r>
    </w:p>
    <w:p w14:paraId="0CF07641" w14:textId="77777777" w:rsidR="00354868" w:rsidRDefault="00A8723F" w:rsidP="00DA4EFD">
      <w:pPr>
        <w:pStyle w:val="base-text-paragraph"/>
        <w:spacing w:before="80" w:after="80"/>
      </w:pPr>
      <w:r>
        <w:t xml:space="preserve">The amendments </w:t>
      </w:r>
      <w:r w:rsidR="000F1AE7">
        <w:t>to</w:t>
      </w:r>
      <w:r w:rsidR="00354868">
        <w:t xml:space="preserve"> the existing requirement that biofuels that have been subject to duty cannot be blended without this being considered excise manufacture and the related consequential amendments apply to biofuels that are:</w:t>
      </w:r>
    </w:p>
    <w:p w14:paraId="7FF543B2" w14:textId="77777777" w:rsidR="00A8723F" w:rsidRDefault="00A8723F" w:rsidP="00DA4EFD">
      <w:pPr>
        <w:pStyle w:val="dotpoint"/>
        <w:spacing w:before="100" w:after="100"/>
        <w:ind w:left="2269" w:hanging="284"/>
      </w:pPr>
      <w:r>
        <w:t xml:space="preserve">manufactured in Australia or imported </w:t>
      </w:r>
      <w:r w:rsidR="00354868">
        <w:t xml:space="preserve">into Australia </w:t>
      </w:r>
      <w:r>
        <w:t xml:space="preserve">on or after 1 July 2015; </w:t>
      </w:r>
    </w:p>
    <w:p w14:paraId="7F330AAE" w14:textId="77777777" w:rsidR="00A8723F" w:rsidRDefault="00A8723F" w:rsidP="00DA4EFD">
      <w:pPr>
        <w:pStyle w:val="dotpoint"/>
        <w:spacing w:before="100" w:after="100"/>
        <w:ind w:left="2269" w:hanging="284"/>
      </w:pPr>
      <w:r>
        <w:t xml:space="preserve">manufactured in Australia before 1 July 2015 but </w:t>
      </w:r>
      <w:r w:rsidR="00152CDD">
        <w:t xml:space="preserve">on which no duty had been paid as the biofuels were either </w:t>
      </w:r>
      <w:r>
        <w:t xml:space="preserve">still subject to </w:t>
      </w:r>
      <w:r w:rsidR="00284312">
        <w:t>Chief Executive Officer (</w:t>
      </w:r>
      <w:r>
        <w:t>CEO</w:t>
      </w:r>
      <w:r w:rsidR="00284312">
        <w:t>)</w:t>
      </w:r>
      <w:r>
        <w:t xml:space="preserve"> control on 1 July 2015 or held in licensed premises on that day; or</w:t>
      </w:r>
    </w:p>
    <w:p w14:paraId="642DC18D" w14:textId="77777777" w:rsidR="00A8723F" w:rsidRDefault="00A8723F" w:rsidP="00DA4EFD">
      <w:pPr>
        <w:pStyle w:val="dotpoint"/>
        <w:spacing w:before="100" w:after="100"/>
        <w:ind w:left="2269" w:hanging="284"/>
      </w:pPr>
      <w:r>
        <w:t>imported before 1 July 2015</w:t>
      </w:r>
      <w:r w:rsidR="00152CDD">
        <w:t>,</w:t>
      </w:r>
      <w:r>
        <w:t xml:space="preserve"> </w:t>
      </w:r>
      <w:r w:rsidR="00152CDD">
        <w:t>if</w:t>
      </w:r>
      <w:r>
        <w:t xml:space="preserve"> the time for working out the import duty </w:t>
      </w:r>
      <w:r w:rsidR="00505D30">
        <w:t>for</w:t>
      </w:r>
      <w:r w:rsidR="00152CDD">
        <w:t xml:space="preserve"> the biofuels </w:t>
      </w:r>
      <w:r>
        <w:t>ha</w:t>
      </w:r>
      <w:r w:rsidR="00152CDD">
        <w:t>d</w:t>
      </w:r>
      <w:r>
        <w:t xml:space="preserve"> not yet arisen on or before 1 </w:t>
      </w:r>
      <w:r w:rsidR="00777F95">
        <w:t>July </w:t>
      </w:r>
      <w:r>
        <w:t>2015.</w:t>
      </w:r>
    </w:p>
    <w:p w14:paraId="4A67204E" w14:textId="77777777" w:rsidR="00A8723F" w:rsidRDefault="00A8723F" w:rsidP="00DA4EFD">
      <w:pPr>
        <w:pStyle w:val="base-text-paragraph"/>
        <w:keepNext/>
        <w:numPr>
          <w:ilvl w:val="0"/>
          <w:numId w:val="0"/>
        </w:numPr>
        <w:spacing w:before="80" w:after="80"/>
        <w:ind w:left="1134"/>
      </w:pPr>
      <w:r w:rsidRPr="002E615C">
        <w:rPr>
          <w:b/>
          <w:i/>
          <w:sz w:val="18"/>
          <w:szCs w:val="18"/>
        </w:rPr>
        <w:t>[</w:t>
      </w:r>
      <w:r w:rsidR="00D6280E">
        <w:rPr>
          <w:b/>
          <w:i/>
          <w:sz w:val="18"/>
          <w:szCs w:val="18"/>
        </w:rPr>
        <w:t xml:space="preserve">Schedule 1, </w:t>
      </w:r>
      <w:r w:rsidRPr="004A7F70">
        <w:rPr>
          <w:b/>
          <w:i/>
          <w:sz w:val="18"/>
          <w:szCs w:val="18"/>
        </w:rPr>
        <w:t>item</w:t>
      </w:r>
      <w:r w:rsidR="000F1AE7" w:rsidRPr="00AF626B">
        <w:rPr>
          <w:b/>
          <w:i/>
          <w:sz w:val="18"/>
          <w:szCs w:val="18"/>
        </w:rPr>
        <w:t xml:space="preserve">s </w:t>
      </w:r>
      <w:r w:rsidR="00CF34BA" w:rsidRPr="00007715">
        <w:rPr>
          <w:b/>
          <w:i/>
          <w:sz w:val="18"/>
          <w:szCs w:val="18"/>
        </w:rPr>
        <w:t xml:space="preserve">7 and 8 </w:t>
      </w:r>
      <w:r w:rsidR="000F1AE7" w:rsidRPr="002E615C">
        <w:rPr>
          <w:b/>
          <w:i/>
          <w:sz w:val="18"/>
          <w:szCs w:val="18"/>
        </w:rPr>
        <w:t>and subitem 1</w:t>
      </w:r>
      <w:r w:rsidR="00CF34BA" w:rsidRPr="00007715">
        <w:rPr>
          <w:b/>
          <w:i/>
          <w:sz w:val="18"/>
          <w:szCs w:val="18"/>
        </w:rPr>
        <w:t>1</w:t>
      </w:r>
      <w:r w:rsidR="000F1AE7" w:rsidRPr="004A7F70">
        <w:rPr>
          <w:b/>
          <w:i/>
          <w:sz w:val="18"/>
          <w:szCs w:val="18"/>
        </w:rPr>
        <w:t>(2)</w:t>
      </w:r>
      <w:r w:rsidR="00D6280E">
        <w:rPr>
          <w:b/>
          <w:i/>
          <w:sz w:val="18"/>
          <w:szCs w:val="18"/>
        </w:rPr>
        <w:t xml:space="preserve"> of the Energy Grants Amendment Bill </w:t>
      </w:r>
      <w:r w:rsidR="00D6280E" w:rsidRPr="004A7F70">
        <w:rPr>
          <w:b/>
          <w:i/>
          <w:sz w:val="18"/>
          <w:szCs w:val="18"/>
        </w:rPr>
        <w:t>2015,</w:t>
      </w:r>
      <w:r w:rsidR="002E615C" w:rsidRPr="00007715">
        <w:rPr>
          <w:b/>
          <w:i/>
          <w:sz w:val="18"/>
          <w:szCs w:val="18"/>
        </w:rPr>
        <w:t xml:space="preserve"> </w:t>
      </w:r>
      <w:r w:rsidR="00354868" w:rsidRPr="00007715">
        <w:rPr>
          <w:b/>
          <w:i/>
          <w:sz w:val="18"/>
          <w:szCs w:val="18"/>
        </w:rPr>
        <w:t>paragraph</w:t>
      </w:r>
      <w:r w:rsidR="00354868">
        <w:rPr>
          <w:b/>
          <w:i/>
          <w:sz w:val="18"/>
          <w:szCs w:val="18"/>
        </w:rPr>
        <w:t> </w:t>
      </w:r>
      <w:r w:rsidR="002E615C" w:rsidRPr="00007715">
        <w:rPr>
          <w:b/>
          <w:i/>
          <w:sz w:val="18"/>
          <w:szCs w:val="18"/>
        </w:rPr>
        <w:t>77H(1)(a) and</w:t>
      </w:r>
      <w:r w:rsidR="000F1AE7" w:rsidRPr="002E615C">
        <w:rPr>
          <w:b/>
          <w:i/>
          <w:sz w:val="18"/>
          <w:szCs w:val="18"/>
        </w:rPr>
        <w:t xml:space="preserve"> </w:t>
      </w:r>
      <w:r w:rsidRPr="004A7F70">
        <w:rPr>
          <w:b/>
          <w:i/>
          <w:sz w:val="18"/>
          <w:szCs w:val="18"/>
        </w:rPr>
        <w:t>subsection 77H(2)</w:t>
      </w:r>
      <w:r w:rsidRPr="00AF626B">
        <w:rPr>
          <w:b/>
          <w:i/>
          <w:sz w:val="18"/>
          <w:szCs w:val="18"/>
        </w:rPr>
        <w:t xml:space="preserve"> of the Exci</w:t>
      </w:r>
      <w:r w:rsidR="000F1AE7" w:rsidRPr="00AF626B">
        <w:rPr>
          <w:b/>
          <w:i/>
          <w:sz w:val="18"/>
          <w:szCs w:val="18"/>
        </w:rPr>
        <w:t>se Act 1901]</w:t>
      </w:r>
      <w:r w:rsidRPr="00AF626B">
        <w:t xml:space="preserve"> </w:t>
      </w:r>
    </w:p>
    <w:p w14:paraId="714F2141" w14:textId="77777777" w:rsidR="00E70A03" w:rsidRDefault="00E70A03" w:rsidP="00DA4EFD">
      <w:pPr>
        <w:pStyle w:val="base-text-paragraph"/>
        <w:numPr>
          <w:ilvl w:val="1"/>
          <w:numId w:val="28"/>
        </w:numPr>
        <w:spacing w:before="80" w:after="80"/>
      </w:pPr>
      <w:r>
        <w:t>The amendment</w:t>
      </w:r>
      <w:r w:rsidR="00FC0659">
        <w:t>s</w:t>
      </w:r>
      <w:r w:rsidRPr="00E70A03">
        <w:t xml:space="preserve"> </w:t>
      </w:r>
      <w:r>
        <w:t xml:space="preserve">that </w:t>
      </w:r>
      <w:r w:rsidRPr="00E70A03">
        <w:t xml:space="preserve">require fuel tax credits for </w:t>
      </w:r>
      <w:r>
        <w:t>biofuel blends</w:t>
      </w:r>
      <w:r w:rsidRPr="00E70A03">
        <w:t xml:space="preserve"> exceed</w:t>
      </w:r>
      <w:r>
        <w:t>ing</w:t>
      </w:r>
      <w:r w:rsidRPr="00E70A03">
        <w:t xml:space="preserve"> </w:t>
      </w:r>
      <w:r>
        <w:t xml:space="preserve">a </w:t>
      </w:r>
      <w:r w:rsidRPr="00E70A03">
        <w:t xml:space="preserve">prescribed maximum percentage </w:t>
      </w:r>
      <w:r>
        <w:t>to be worked out</w:t>
      </w:r>
      <w:r w:rsidRPr="00E70A03">
        <w:t xml:space="preserve"> as if these fuels had been subject to the excise rate of duty</w:t>
      </w:r>
      <w:r>
        <w:t xml:space="preserve"> apply to:</w:t>
      </w:r>
    </w:p>
    <w:p w14:paraId="03BBC16A" w14:textId="77777777" w:rsidR="00E70A03" w:rsidRDefault="00E70A03" w:rsidP="00DA4EFD">
      <w:pPr>
        <w:pStyle w:val="dotpoint"/>
        <w:spacing w:before="100" w:after="100"/>
        <w:ind w:left="2269" w:hanging="284"/>
      </w:pPr>
      <w:r>
        <w:t>taxable fuel</w:t>
      </w:r>
      <w:r w:rsidR="00FC0659">
        <w:t>s</w:t>
      </w:r>
      <w:r>
        <w:t xml:space="preserve"> </w:t>
      </w:r>
      <w:r w:rsidR="00FC0659">
        <w:t>acquired in Australia</w:t>
      </w:r>
      <w:r>
        <w:t xml:space="preserve"> on or after 1</w:t>
      </w:r>
      <w:r w:rsidR="00FC0659">
        <w:t> </w:t>
      </w:r>
      <w:r>
        <w:t>July</w:t>
      </w:r>
      <w:r w:rsidR="00FC0659">
        <w:t> </w:t>
      </w:r>
      <w:r>
        <w:t xml:space="preserve">2015; </w:t>
      </w:r>
    </w:p>
    <w:p w14:paraId="54F7AA4A" w14:textId="77777777" w:rsidR="00E70A03" w:rsidRDefault="00E70A03" w:rsidP="00DA4EFD">
      <w:pPr>
        <w:pStyle w:val="dotpoint"/>
        <w:spacing w:before="100" w:after="100"/>
        <w:ind w:left="2269" w:hanging="284"/>
      </w:pPr>
      <w:r>
        <w:t xml:space="preserve">taxable fuels manufactured in Australia or imported into Australia on or after 1 July 2015; </w:t>
      </w:r>
      <w:r w:rsidR="00FC0659">
        <w:t>and</w:t>
      </w:r>
    </w:p>
    <w:p w14:paraId="3C4CCE39" w14:textId="77777777" w:rsidR="00E70A03" w:rsidRPr="009F352A" w:rsidRDefault="00E70A03" w:rsidP="00DA4EFD">
      <w:pPr>
        <w:pStyle w:val="dotpoint"/>
        <w:spacing w:before="100" w:after="100"/>
        <w:ind w:left="2269" w:hanging="284"/>
      </w:pPr>
      <w:r>
        <w:t xml:space="preserve">taxable fuels manufactured </w:t>
      </w:r>
      <w:r w:rsidR="00750120">
        <w:t xml:space="preserve">in Australia </w:t>
      </w:r>
      <w:r>
        <w:t xml:space="preserve">before 1 July 2015 that on that day are subject to </w:t>
      </w:r>
      <w:r w:rsidR="00541990">
        <w:t xml:space="preserve">the </w:t>
      </w:r>
      <w:r>
        <w:t>CEO</w:t>
      </w:r>
      <w:r w:rsidR="00700B2E">
        <w:t>’</w:t>
      </w:r>
      <w:r w:rsidR="00541990">
        <w:t>s</w:t>
      </w:r>
      <w:r>
        <w:t xml:space="preserve"> control or held o</w:t>
      </w:r>
      <w:r w:rsidR="00541990">
        <w:t xml:space="preserve">r owned by the fuel manufacturer </w:t>
      </w:r>
      <w:r w:rsidR="000F7268">
        <w:t xml:space="preserve">where </w:t>
      </w:r>
      <w:r w:rsidR="00541990">
        <w:t>no duty had been paid on the fuel before that day.</w:t>
      </w:r>
    </w:p>
    <w:p w14:paraId="6990256A" w14:textId="77777777" w:rsidR="00E70A03" w:rsidRDefault="00E70A03" w:rsidP="00DA4EFD">
      <w:pPr>
        <w:pStyle w:val="base-text-paragraph"/>
        <w:numPr>
          <w:ilvl w:val="0"/>
          <w:numId w:val="0"/>
        </w:numPr>
        <w:spacing w:before="80" w:after="80"/>
        <w:ind w:left="1134"/>
      </w:pPr>
      <w:r w:rsidRPr="009F352A">
        <w:rPr>
          <w:b/>
          <w:i/>
          <w:sz w:val="18"/>
          <w:szCs w:val="18"/>
        </w:rPr>
        <w:t>[</w:t>
      </w:r>
      <w:r w:rsidR="00D6280E">
        <w:rPr>
          <w:b/>
          <w:i/>
          <w:sz w:val="18"/>
          <w:szCs w:val="18"/>
        </w:rPr>
        <w:t xml:space="preserve">Schedule 1, item 9 and subitem 11(3) of the </w:t>
      </w:r>
      <w:r w:rsidRPr="009F352A">
        <w:rPr>
          <w:b/>
          <w:i/>
          <w:sz w:val="18"/>
          <w:szCs w:val="18"/>
        </w:rPr>
        <w:t>Energy Grants Amendment Bill 2015, section</w:t>
      </w:r>
      <w:r w:rsidR="00D6280E">
        <w:rPr>
          <w:b/>
          <w:i/>
          <w:sz w:val="18"/>
          <w:szCs w:val="18"/>
        </w:rPr>
        <w:t> </w:t>
      </w:r>
      <w:r w:rsidRPr="009F352A">
        <w:rPr>
          <w:b/>
          <w:i/>
          <w:sz w:val="18"/>
          <w:szCs w:val="18"/>
        </w:rPr>
        <w:t>43</w:t>
      </w:r>
      <w:r w:rsidR="00700B2E">
        <w:rPr>
          <w:b/>
          <w:i/>
          <w:sz w:val="18"/>
          <w:szCs w:val="18"/>
        </w:rPr>
        <w:noBreakHyphen/>
      </w:r>
      <w:r w:rsidRPr="00007715">
        <w:rPr>
          <w:b/>
          <w:i/>
          <w:sz w:val="18"/>
          <w:szCs w:val="18"/>
        </w:rPr>
        <w:t>1</w:t>
      </w:r>
      <w:r w:rsidR="00354868">
        <w:rPr>
          <w:b/>
          <w:i/>
          <w:sz w:val="18"/>
          <w:szCs w:val="18"/>
        </w:rPr>
        <w:t xml:space="preserve"> and</w:t>
      </w:r>
      <w:r w:rsidRPr="009F352A">
        <w:rPr>
          <w:b/>
          <w:i/>
          <w:sz w:val="18"/>
          <w:szCs w:val="18"/>
        </w:rPr>
        <w:t xml:space="preserve"> subsection 43</w:t>
      </w:r>
      <w:r w:rsidR="00700B2E">
        <w:rPr>
          <w:b/>
          <w:i/>
          <w:sz w:val="18"/>
          <w:szCs w:val="18"/>
        </w:rPr>
        <w:noBreakHyphen/>
      </w:r>
      <w:r w:rsidR="00541990">
        <w:rPr>
          <w:b/>
          <w:i/>
          <w:sz w:val="18"/>
          <w:szCs w:val="18"/>
        </w:rPr>
        <w:t>7</w:t>
      </w:r>
      <w:r w:rsidRPr="009F352A">
        <w:rPr>
          <w:b/>
          <w:i/>
          <w:sz w:val="18"/>
          <w:szCs w:val="18"/>
        </w:rPr>
        <w:t>(</w:t>
      </w:r>
      <w:r w:rsidR="00541990">
        <w:rPr>
          <w:b/>
          <w:i/>
          <w:sz w:val="18"/>
          <w:szCs w:val="18"/>
        </w:rPr>
        <w:t xml:space="preserve">7) </w:t>
      </w:r>
      <w:r w:rsidRPr="009F352A">
        <w:rPr>
          <w:b/>
          <w:i/>
          <w:sz w:val="18"/>
          <w:szCs w:val="18"/>
        </w:rPr>
        <w:t>of the Fuel Tax Act 2006]</w:t>
      </w:r>
      <w:r w:rsidRPr="007E241D">
        <w:t xml:space="preserve"> </w:t>
      </w:r>
    </w:p>
    <w:p w14:paraId="59F84300" w14:textId="77777777" w:rsidR="00EA0F69" w:rsidRPr="000B4927" w:rsidRDefault="00EA0F69" w:rsidP="00EA0F69">
      <w:pPr>
        <w:pStyle w:val="Heading3"/>
      </w:pPr>
      <w:r>
        <w:t>T</w:t>
      </w:r>
      <w:r w:rsidRPr="000B4927">
        <w:t>ransitional provisions</w:t>
      </w:r>
      <w:r>
        <w:t xml:space="preserve"> </w:t>
      </w:r>
      <w:r w:rsidR="00284312">
        <w:t xml:space="preserve">— </w:t>
      </w:r>
      <w:r>
        <w:t>anti</w:t>
      </w:r>
      <w:r w:rsidR="00700B2E">
        <w:noBreakHyphen/>
      </w:r>
      <w:r>
        <w:t>avoidance</w:t>
      </w:r>
    </w:p>
    <w:p w14:paraId="242F3BA1" w14:textId="77777777" w:rsidR="00EA0F69" w:rsidRPr="00DE628D" w:rsidRDefault="00EA0F69" w:rsidP="00EA0F69">
      <w:pPr>
        <w:pStyle w:val="base-text-paragraph"/>
        <w:numPr>
          <w:ilvl w:val="1"/>
          <w:numId w:val="34"/>
        </w:numPr>
      </w:pPr>
      <w:r w:rsidRPr="00DE628D">
        <w:t xml:space="preserve">The amendments include a transitional provision concerning the repeal of the reference to </w:t>
      </w:r>
      <w:r w:rsidRPr="006E69F4">
        <w:t xml:space="preserve">the </w:t>
      </w:r>
      <w:r w:rsidR="006E69F4">
        <w:t>EGCS 2003</w:t>
      </w:r>
      <w:r w:rsidRPr="006E69F4">
        <w:t xml:space="preserve"> </w:t>
      </w:r>
      <w:r w:rsidRPr="00DE628D">
        <w:t>in the general anti</w:t>
      </w:r>
      <w:r w:rsidR="00700B2E">
        <w:noBreakHyphen/>
      </w:r>
      <w:r w:rsidRPr="00DE628D">
        <w:t>avoidance provision in the</w:t>
      </w:r>
      <w:r w:rsidRPr="00EA0F69">
        <w:rPr>
          <w:i/>
        </w:rPr>
        <w:t xml:space="preserve"> Fuel Tax Act 2006</w:t>
      </w:r>
      <w:r w:rsidRPr="00DE628D">
        <w:t>. The transitional provision ensures that the operation of the anti</w:t>
      </w:r>
      <w:r w:rsidR="00700B2E">
        <w:noBreakHyphen/>
      </w:r>
      <w:r w:rsidRPr="00DE628D">
        <w:t xml:space="preserve">avoidance provision is not affected </w:t>
      </w:r>
      <w:r w:rsidR="00695E53">
        <w:t xml:space="preserve">by the repeal </w:t>
      </w:r>
      <w:r w:rsidRPr="00DE628D">
        <w:t xml:space="preserve">in relation to a fuel tax benefit an entity received for a grant under the </w:t>
      </w:r>
      <w:r w:rsidR="00695E53" w:rsidRPr="00DE628D">
        <w:t>EG</w:t>
      </w:r>
      <w:r w:rsidR="00695E53">
        <w:t>CS </w:t>
      </w:r>
      <w:r w:rsidRPr="00DE628D">
        <w:t>200</w:t>
      </w:r>
      <w:r>
        <w:t>3</w:t>
      </w:r>
      <w:r w:rsidRPr="00EA0F69">
        <w:rPr>
          <w:b/>
          <w:i/>
          <w:sz w:val="18"/>
          <w:szCs w:val="18"/>
        </w:rPr>
        <w:t>. [</w:t>
      </w:r>
      <w:r w:rsidR="00A55C84">
        <w:rPr>
          <w:b/>
          <w:i/>
          <w:sz w:val="18"/>
          <w:szCs w:val="18"/>
        </w:rPr>
        <w:t xml:space="preserve">Schedule 1, item 12 of the </w:t>
      </w:r>
      <w:r w:rsidRPr="00EA0F69">
        <w:rPr>
          <w:b/>
          <w:i/>
          <w:sz w:val="18"/>
          <w:szCs w:val="18"/>
        </w:rPr>
        <w:t>Energy Grants Amendment Bill 2015]</w:t>
      </w:r>
    </w:p>
    <w:p w14:paraId="430F6728" w14:textId="77777777" w:rsidR="00A8723F" w:rsidRDefault="00FA6346" w:rsidP="00A8723F">
      <w:pPr>
        <w:pStyle w:val="Heading2"/>
      </w:pPr>
      <w:r>
        <w:t>Commencement</w:t>
      </w:r>
    </w:p>
    <w:p w14:paraId="40F530F0" w14:textId="77777777" w:rsidR="00A8723F" w:rsidRPr="00AF626B" w:rsidRDefault="00A8723F" w:rsidP="00002EF5">
      <w:pPr>
        <w:pStyle w:val="base-text-paragraph"/>
        <w:numPr>
          <w:ilvl w:val="1"/>
          <w:numId w:val="26"/>
        </w:numPr>
      </w:pPr>
      <w:r w:rsidRPr="00AF626B">
        <w:t xml:space="preserve">The </w:t>
      </w:r>
      <w:r w:rsidR="00CE522E">
        <w:t>Energy Grants Amendment Bill 2015</w:t>
      </w:r>
      <w:r w:rsidR="00695E53">
        <w:t>,</w:t>
      </w:r>
      <w:r w:rsidR="00CE522E">
        <w:t xml:space="preserve"> includ</w:t>
      </w:r>
      <w:r w:rsidR="00695E53">
        <w:t>ing</w:t>
      </w:r>
      <w:r w:rsidR="00CE522E">
        <w:t xml:space="preserve"> the </w:t>
      </w:r>
      <w:r w:rsidR="00B1404F" w:rsidRPr="00AF626B">
        <w:t xml:space="preserve">repeal of </w:t>
      </w:r>
      <w:r w:rsidRPr="00AF626B">
        <w:t xml:space="preserve">the </w:t>
      </w:r>
      <w:r w:rsidR="00FC570B" w:rsidRPr="00AF626B">
        <w:t>EGCFS 2004</w:t>
      </w:r>
      <w:r w:rsidR="00695E53">
        <w:t>,</w:t>
      </w:r>
      <w:r w:rsidR="00FC570B" w:rsidRPr="00AF626B">
        <w:t xml:space="preserve"> </w:t>
      </w:r>
      <w:r w:rsidRPr="00AF626B">
        <w:t>commence</w:t>
      </w:r>
      <w:r w:rsidR="00B1404F" w:rsidRPr="00AF626B">
        <w:t>s</w:t>
      </w:r>
      <w:r w:rsidRPr="00AF626B">
        <w:t xml:space="preserve"> on </w:t>
      </w:r>
      <w:r w:rsidR="000725E2" w:rsidRPr="00AF626B">
        <w:t>1 July 2015</w:t>
      </w:r>
      <w:r w:rsidRPr="00AF626B">
        <w:t>.</w:t>
      </w:r>
      <w:r w:rsidR="000725E2" w:rsidRPr="00AF626B">
        <w:t xml:space="preserve"> </w:t>
      </w:r>
      <w:r w:rsidR="000725E2" w:rsidRPr="00AF626B">
        <w:rPr>
          <w:rStyle w:val="Referencingstyle"/>
        </w:rPr>
        <w:t>[</w:t>
      </w:r>
      <w:r w:rsidR="008565EE">
        <w:rPr>
          <w:rStyle w:val="Referencingstyle"/>
        </w:rPr>
        <w:t>T</w:t>
      </w:r>
      <w:r w:rsidR="008565EE" w:rsidRPr="00007715">
        <w:rPr>
          <w:rStyle w:val="Referencingstyle"/>
        </w:rPr>
        <w:t xml:space="preserve">able </w:t>
      </w:r>
      <w:r w:rsidR="00AF626B" w:rsidRPr="00007715">
        <w:rPr>
          <w:rStyle w:val="Referencingstyle"/>
        </w:rPr>
        <w:t xml:space="preserve">item </w:t>
      </w:r>
      <w:r w:rsidR="00331491">
        <w:rPr>
          <w:rStyle w:val="Referencingstyle"/>
        </w:rPr>
        <w:t>1</w:t>
      </w:r>
      <w:r w:rsidR="00331491" w:rsidRPr="00007715">
        <w:rPr>
          <w:rStyle w:val="Referencingstyle"/>
        </w:rPr>
        <w:t xml:space="preserve"> </w:t>
      </w:r>
      <w:r w:rsidR="00AF626B" w:rsidRPr="00007715">
        <w:rPr>
          <w:rStyle w:val="Referencingstyle"/>
        </w:rPr>
        <w:t xml:space="preserve">of </w:t>
      </w:r>
      <w:r w:rsidR="000725E2" w:rsidRPr="00AF626B">
        <w:rPr>
          <w:rStyle w:val="Referencingstyle"/>
        </w:rPr>
        <w:t>subclause</w:t>
      </w:r>
      <w:r w:rsidR="00BE0365">
        <w:rPr>
          <w:rStyle w:val="Referencingstyle"/>
        </w:rPr>
        <w:t> </w:t>
      </w:r>
      <w:r w:rsidR="000725E2" w:rsidRPr="00AF626B">
        <w:rPr>
          <w:rStyle w:val="Referencingstyle"/>
        </w:rPr>
        <w:t>2(1)</w:t>
      </w:r>
      <w:r w:rsidR="00BE0365">
        <w:rPr>
          <w:rStyle w:val="Referencingstyle"/>
        </w:rPr>
        <w:t xml:space="preserve"> of the </w:t>
      </w:r>
      <w:r w:rsidR="00BE0365" w:rsidRPr="00AF626B">
        <w:rPr>
          <w:rStyle w:val="Referencingstyle"/>
        </w:rPr>
        <w:t>Energy Grants Amendment Bill 2015</w:t>
      </w:r>
      <w:r w:rsidR="000725E2" w:rsidRPr="00AF626B">
        <w:rPr>
          <w:rStyle w:val="Referencingstyle"/>
        </w:rPr>
        <w:t>]</w:t>
      </w:r>
      <w:r w:rsidRPr="00AF626B">
        <w:t xml:space="preserve"> </w:t>
      </w:r>
    </w:p>
    <w:p w14:paraId="19634500" w14:textId="77777777" w:rsidR="000725E2" w:rsidRPr="00DE628D" w:rsidRDefault="00A8723F" w:rsidP="00002EF5">
      <w:pPr>
        <w:pStyle w:val="base-text-paragraph"/>
        <w:numPr>
          <w:ilvl w:val="1"/>
          <w:numId w:val="26"/>
        </w:numPr>
      </w:pPr>
      <w:r w:rsidRPr="00DE628D">
        <w:t xml:space="preserve">The </w:t>
      </w:r>
      <w:r w:rsidR="00020DDC" w:rsidRPr="00DE628D">
        <w:t>Excise Tariff Amendment Bill 2015</w:t>
      </w:r>
      <w:r w:rsidRPr="00DE628D">
        <w:t xml:space="preserve"> </w:t>
      </w:r>
      <w:r w:rsidR="00CE522E">
        <w:t>also</w:t>
      </w:r>
      <w:r w:rsidRPr="00DE628D">
        <w:t xml:space="preserve"> commences on </w:t>
      </w:r>
      <w:r w:rsidR="00CE522E" w:rsidRPr="00DE628D">
        <w:t>1</w:t>
      </w:r>
      <w:r w:rsidR="00CE522E">
        <w:t> </w:t>
      </w:r>
      <w:r w:rsidRPr="00DE628D">
        <w:t>July 2015</w:t>
      </w:r>
      <w:r w:rsidR="000725E2" w:rsidRPr="00DE628D">
        <w:t>,</w:t>
      </w:r>
      <w:r w:rsidRPr="00DE628D">
        <w:t xml:space="preserve"> </w:t>
      </w:r>
      <w:r w:rsidR="00BE0365">
        <w:t>which is the date from which</w:t>
      </w:r>
      <w:r w:rsidRPr="00DE628D">
        <w:t xml:space="preserve"> the first change in rates of excise duty for biofuels appl</w:t>
      </w:r>
      <w:r w:rsidR="0068338E" w:rsidRPr="00DE628D">
        <w:t>ies</w:t>
      </w:r>
      <w:r w:rsidRPr="00DE628D">
        <w:t xml:space="preserve">. </w:t>
      </w:r>
      <w:r w:rsidR="000725E2" w:rsidRPr="00DE628D">
        <w:rPr>
          <w:rStyle w:val="Referencingstyle"/>
        </w:rPr>
        <w:t>[</w:t>
      </w:r>
      <w:r w:rsidR="008565EE">
        <w:rPr>
          <w:rStyle w:val="Referencingstyle"/>
        </w:rPr>
        <w:t>S</w:t>
      </w:r>
      <w:r w:rsidR="000725E2" w:rsidRPr="00DE628D">
        <w:rPr>
          <w:rStyle w:val="Referencingstyle"/>
        </w:rPr>
        <w:t>ubclause</w:t>
      </w:r>
      <w:r w:rsidR="00BE0365">
        <w:rPr>
          <w:rStyle w:val="Referencingstyle"/>
        </w:rPr>
        <w:t> </w:t>
      </w:r>
      <w:r w:rsidR="000725E2" w:rsidRPr="00DE628D">
        <w:rPr>
          <w:rStyle w:val="Referencingstyle"/>
        </w:rPr>
        <w:t>2(1)</w:t>
      </w:r>
      <w:r w:rsidR="00BE0365">
        <w:rPr>
          <w:rStyle w:val="Referencingstyle"/>
        </w:rPr>
        <w:t xml:space="preserve"> of the Excise Tariff Amendment Bill </w:t>
      </w:r>
      <w:r w:rsidR="00BE0365" w:rsidRPr="00DE628D">
        <w:rPr>
          <w:rStyle w:val="Referencingstyle"/>
        </w:rPr>
        <w:t>2015</w:t>
      </w:r>
      <w:r w:rsidR="000725E2" w:rsidRPr="00DE628D">
        <w:rPr>
          <w:rStyle w:val="Referencingstyle"/>
        </w:rPr>
        <w:t>]</w:t>
      </w:r>
    </w:p>
    <w:p w14:paraId="105AD45D" w14:textId="77777777" w:rsidR="00A8723F" w:rsidRPr="00906CE5" w:rsidRDefault="00A8723F" w:rsidP="00002EF5">
      <w:pPr>
        <w:pStyle w:val="base-text-paragraph"/>
        <w:numPr>
          <w:ilvl w:val="1"/>
          <w:numId w:val="26"/>
        </w:numPr>
        <w:rPr>
          <w:rStyle w:val="Referencingstyle"/>
          <w:b w:val="0"/>
          <w:i w:val="0"/>
          <w:sz w:val="22"/>
        </w:rPr>
      </w:pPr>
      <w:r w:rsidRPr="00DE628D">
        <w:t>However, the change</w:t>
      </w:r>
      <w:r w:rsidR="002E6D2A" w:rsidRPr="00DE628D">
        <w:t>s</w:t>
      </w:r>
      <w:r w:rsidRPr="00DE628D">
        <w:t xml:space="preserve"> to excise </w:t>
      </w:r>
      <w:r w:rsidR="000725E2" w:rsidRPr="00DE628D">
        <w:t xml:space="preserve">duty </w:t>
      </w:r>
      <w:r w:rsidRPr="00DE628D">
        <w:t xml:space="preserve">rates for biofuels are contingent on the repeal of the </w:t>
      </w:r>
      <w:r w:rsidR="00FC570B" w:rsidRPr="00DE628D">
        <w:t>EGCFS 2004</w:t>
      </w:r>
      <w:r w:rsidRPr="00DE628D">
        <w:t>. This ensures that the change</w:t>
      </w:r>
      <w:r w:rsidR="000725E2" w:rsidRPr="00DE628D">
        <w:t xml:space="preserve">s in duty rates commence as a single package. </w:t>
      </w:r>
      <w:r w:rsidR="000725E2" w:rsidRPr="00DE628D">
        <w:rPr>
          <w:rStyle w:val="Referencingstyle"/>
        </w:rPr>
        <w:t>[</w:t>
      </w:r>
      <w:r w:rsidR="008565EE">
        <w:rPr>
          <w:rStyle w:val="Referencingstyle"/>
        </w:rPr>
        <w:t>T</w:t>
      </w:r>
      <w:r w:rsidR="00BE0365">
        <w:rPr>
          <w:rStyle w:val="Referencingstyle"/>
        </w:rPr>
        <w:t>able item 2</w:t>
      </w:r>
      <w:r w:rsidR="00BE0365" w:rsidRPr="00007715">
        <w:rPr>
          <w:rStyle w:val="Referencingstyle"/>
        </w:rPr>
        <w:t xml:space="preserve"> of </w:t>
      </w:r>
      <w:r w:rsidR="00BE0365">
        <w:rPr>
          <w:rStyle w:val="Referencingstyle"/>
        </w:rPr>
        <w:t>subclause </w:t>
      </w:r>
      <w:r w:rsidR="00BE0365" w:rsidRPr="00DE628D">
        <w:rPr>
          <w:rStyle w:val="Referencingstyle"/>
        </w:rPr>
        <w:t>2(1)</w:t>
      </w:r>
      <w:r w:rsidR="00BE0365">
        <w:rPr>
          <w:rStyle w:val="Referencingstyle"/>
        </w:rPr>
        <w:t xml:space="preserve"> of the </w:t>
      </w:r>
      <w:r w:rsidR="000725E2" w:rsidRPr="00DE628D">
        <w:rPr>
          <w:rStyle w:val="Referencingstyle"/>
        </w:rPr>
        <w:t>Excise Tariff Amendment Bill</w:t>
      </w:r>
      <w:r w:rsidR="00BE0365">
        <w:rPr>
          <w:rStyle w:val="Referencingstyle"/>
        </w:rPr>
        <w:t> </w:t>
      </w:r>
      <w:r w:rsidR="000725E2" w:rsidRPr="00DE628D">
        <w:rPr>
          <w:rStyle w:val="Referencingstyle"/>
        </w:rPr>
        <w:t>2015]</w:t>
      </w:r>
    </w:p>
    <w:p w14:paraId="0791B294" w14:textId="77777777" w:rsidR="00FA6346" w:rsidRDefault="00FA6346">
      <w:pPr>
        <w:spacing w:before="0" w:after="0"/>
        <w:rPr>
          <w:rFonts w:ascii="Helvetica" w:hAnsi="Helvetica"/>
          <w:b/>
          <w:sz w:val="28"/>
          <w:szCs w:val="28"/>
        </w:rPr>
      </w:pPr>
      <w:r>
        <w:rPr>
          <w:sz w:val="28"/>
          <w:szCs w:val="28"/>
        </w:rPr>
        <w:br w:type="page"/>
      </w:r>
    </w:p>
    <w:p w14:paraId="7B7C937B" w14:textId="77777777" w:rsidR="00A8723F" w:rsidRDefault="00A8723F" w:rsidP="00A8723F">
      <w:pPr>
        <w:pStyle w:val="Heading2"/>
        <w:spacing w:before="240"/>
        <w:rPr>
          <w:sz w:val="28"/>
          <w:szCs w:val="28"/>
        </w:rPr>
      </w:pPr>
      <w:r w:rsidRPr="00A2178E">
        <w:rPr>
          <w:sz w:val="28"/>
          <w:szCs w:val="28"/>
        </w:rPr>
        <w:t>STATEMENT OF COMPATABILITY WITH HUMAN RIGHTS</w:t>
      </w:r>
    </w:p>
    <w:p w14:paraId="7532CCF7" w14:textId="77777777" w:rsidR="00A8723F" w:rsidRDefault="00A8723F" w:rsidP="00A8723F">
      <w:pPr>
        <w:pStyle w:val="Heading2"/>
      </w:pPr>
      <w:r>
        <w:t xml:space="preserve">Prepared in accordance with Part 3 of the </w:t>
      </w:r>
      <w:r w:rsidRPr="007439D0">
        <w:rPr>
          <w:i/>
        </w:rPr>
        <w:t>Human Rights (Parliamentary Scrutiny) Act 2011</w:t>
      </w:r>
    </w:p>
    <w:p w14:paraId="38EE2687" w14:textId="77777777" w:rsidR="00284312" w:rsidRDefault="00284312" w:rsidP="00284312">
      <w:pPr>
        <w:pStyle w:val="Heading3"/>
        <w:rPr>
          <w:i/>
        </w:rPr>
      </w:pPr>
      <w:r w:rsidRPr="00912F41">
        <w:rPr>
          <w:i/>
        </w:rPr>
        <w:t>Excise Tariff Amendment (</w:t>
      </w:r>
      <w:r>
        <w:rPr>
          <w:i/>
        </w:rPr>
        <w:t>Ethanol and Biodiesel) Bill 2015</w:t>
      </w:r>
    </w:p>
    <w:p w14:paraId="2348DA31" w14:textId="77777777" w:rsidR="00284312" w:rsidRDefault="00284312" w:rsidP="00284312">
      <w:pPr>
        <w:pStyle w:val="base-text-paragraph"/>
        <w:numPr>
          <w:ilvl w:val="1"/>
          <w:numId w:val="35"/>
        </w:numPr>
      </w:pPr>
      <w:r>
        <w:t xml:space="preserve">This Bill is compatible with the human rights and freedoms recognised or declared in the international instruments listed in section 3 of the </w:t>
      </w:r>
      <w:r w:rsidRPr="00284312">
        <w:rPr>
          <w:i/>
        </w:rPr>
        <w:t>Human Rights (Parliamentary Scrutiny) Act 2011</w:t>
      </w:r>
      <w:r>
        <w:t>.</w:t>
      </w:r>
    </w:p>
    <w:p w14:paraId="3CE758C7" w14:textId="77777777" w:rsidR="00284312" w:rsidRDefault="00284312" w:rsidP="00284312">
      <w:pPr>
        <w:pStyle w:val="Heading3"/>
      </w:pPr>
      <w:r>
        <w:t>Overview</w:t>
      </w:r>
    </w:p>
    <w:p w14:paraId="12458F01" w14:textId="77777777" w:rsidR="00284312" w:rsidRPr="004C3960" w:rsidRDefault="00284312" w:rsidP="00284312">
      <w:pPr>
        <w:pStyle w:val="base-text-paragraph"/>
        <w:numPr>
          <w:ilvl w:val="1"/>
          <w:numId w:val="24"/>
        </w:numPr>
      </w:pPr>
      <w:r w:rsidRPr="004C3960">
        <w:t>The Excise Tariff Amendmen</w:t>
      </w:r>
      <w:r>
        <w:t xml:space="preserve">t </w:t>
      </w:r>
      <w:r w:rsidRPr="004C3960">
        <w:t xml:space="preserve">(Ethanol and </w:t>
      </w:r>
      <w:r>
        <w:t>Biodiesel</w:t>
      </w:r>
      <w:r w:rsidRPr="004C3960">
        <w:t>) Bill 20</w:t>
      </w:r>
      <w:r>
        <w:t>15</w:t>
      </w:r>
      <w:r w:rsidRPr="004C3960">
        <w:t xml:space="preserve"> amends the </w:t>
      </w:r>
      <w:r w:rsidRPr="004C3960">
        <w:rPr>
          <w:i/>
        </w:rPr>
        <w:t>Excise Tariff Act 1921</w:t>
      </w:r>
      <w:r w:rsidRPr="004C3960">
        <w:t xml:space="preserve"> to reduce the rate of excise for biodiesel</w:t>
      </w:r>
      <w:r>
        <w:t xml:space="preserve"> </w:t>
      </w:r>
      <w:r w:rsidRPr="004C3960">
        <w:t xml:space="preserve">and </w:t>
      </w:r>
      <w:r>
        <w:t xml:space="preserve">fuel </w:t>
      </w:r>
      <w:r w:rsidRPr="004C3960">
        <w:t>ethanol to zero for the year commencing on 1</w:t>
      </w:r>
      <w:r>
        <w:t> </w:t>
      </w:r>
      <w:r w:rsidRPr="004C3960">
        <w:t>July</w:t>
      </w:r>
      <w:r>
        <w:t> </w:t>
      </w:r>
      <w:r w:rsidRPr="004C3960">
        <w:t>2015. Excise rates for biodiesel then phase in each year from 1</w:t>
      </w:r>
      <w:r>
        <w:t> </w:t>
      </w:r>
      <w:r w:rsidRPr="004C3960">
        <w:t>July</w:t>
      </w:r>
      <w:r>
        <w:t> </w:t>
      </w:r>
      <w:r w:rsidRPr="004C3960">
        <w:t xml:space="preserve">2016 until the excise rate is equivalent to 50 per cent of the excise rate for diesel on 1 July 2020. Excise rates for </w:t>
      </w:r>
      <w:r>
        <w:t xml:space="preserve">fuel </w:t>
      </w:r>
      <w:r w:rsidRPr="004C3960">
        <w:t xml:space="preserve">ethanol also phase in each year from 1 July 2016 until the excise rate is equivalent to approximately 33 per cent of </w:t>
      </w:r>
      <w:r>
        <w:t xml:space="preserve">the </w:t>
      </w:r>
      <w:r w:rsidRPr="004C3960">
        <w:t>excise rate for petrol on 1 July 2020.</w:t>
      </w:r>
    </w:p>
    <w:p w14:paraId="118BE27F" w14:textId="77777777" w:rsidR="00284312" w:rsidRDefault="00284312" w:rsidP="00284312">
      <w:pPr>
        <w:pStyle w:val="Heading3"/>
      </w:pPr>
      <w:r>
        <w:t>Human rights implications</w:t>
      </w:r>
    </w:p>
    <w:p w14:paraId="3E7CE067" w14:textId="77777777" w:rsidR="00284312" w:rsidRDefault="00284312" w:rsidP="00284312">
      <w:pPr>
        <w:pStyle w:val="base-text-paragraph"/>
        <w:numPr>
          <w:ilvl w:val="1"/>
          <w:numId w:val="24"/>
        </w:numPr>
      </w:pPr>
      <w:r>
        <w:t xml:space="preserve">This Bill does not engage any of the applicable rights or freedoms. </w:t>
      </w:r>
    </w:p>
    <w:p w14:paraId="57B9A715" w14:textId="77777777" w:rsidR="00284312" w:rsidRDefault="00284312" w:rsidP="00284312">
      <w:pPr>
        <w:pStyle w:val="Heading3"/>
      </w:pPr>
      <w:r>
        <w:t>Conclusion</w:t>
      </w:r>
    </w:p>
    <w:p w14:paraId="084BBE67" w14:textId="77777777" w:rsidR="00284312" w:rsidRDefault="00284312" w:rsidP="00284312">
      <w:pPr>
        <w:pStyle w:val="base-text-paragraph"/>
        <w:numPr>
          <w:ilvl w:val="1"/>
          <w:numId w:val="24"/>
        </w:numPr>
      </w:pPr>
      <w:r>
        <w:t>This Bill is compatible with human rights as it does not raise any human rights issues.</w:t>
      </w:r>
    </w:p>
    <w:p w14:paraId="5CD42CDD" w14:textId="77777777" w:rsidR="00A8723F" w:rsidRPr="00A04A9F" w:rsidRDefault="00A8723F" w:rsidP="00A8723F">
      <w:pPr>
        <w:pStyle w:val="Heading3"/>
        <w:rPr>
          <w:i/>
        </w:rPr>
      </w:pPr>
      <w:r w:rsidRPr="00912F41">
        <w:rPr>
          <w:i/>
        </w:rPr>
        <w:t xml:space="preserve">Energy Grants </w:t>
      </w:r>
      <w:r w:rsidR="004A7A67">
        <w:rPr>
          <w:i/>
        </w:rPr>
        <w:t xml:space="preserve">and </w:t>
      </w:r>
      <w:r w:rsidR="00672F32">
        <w:rPr>
          <w:i/>
        </w:rPr>
        <w:t>O</w:t>
      </w:r>
      <w:r w:rsidR="004A7A67">
        <w:rPr>
          <w:i/>
        </w:rPr>
        <w:t xml:space="preserve">ther Legislation </w:t>
      </w:r>
      <w:r w:rsidRPr="00912F41">
        <w:rPr>
          <w:i/>
        </w:rPr>
        <w:t>Amendment (Ethanol</w:t>
      </w:r>
      <w:r>
        <w:rPr>
          <w:i/>
        </w:rPr>
        <w:t xml:space="preserve"> and </w:t>
      </w:r>
      <w:r w:rsidR="007B6B52">
        <w:rPr>
          <w:i/>
        </w:rPr>
        <w:t>Biodiesel</w:t>
      </w:r>
      <w:r w:rsidRPr="00912F41">
        <w:rPr>
          <w:i/>
        </w:rPr>
        <w:t>) Bill 20</w:t>
      </w:r>
      <w:r>
        <w:rPr>
          <w:i/>
        </w:rPr>
        <w:t>15</w:t>
      </w:r>
    </w:p>
    <w:p w14:paraId="52CA0402" w14:textId="77777777" w:rsidR="00A8723F" w:rsidRPr="006D3C0F" w:rsidRDefault="00A8723F" w:rsidP="00002EF5">
      <w:pPr>
        <w:pStyle w:val="base-text-paragraph"/>
        <w:numPr>
          <w:ilvl w:val="1"/>
          <w:numId w:val="24"/>
        </w:numPr>
      </w:pPr>
      <w:r>
        <w:t>This Bill is compatible with the human rights and freedoms recognised or declared in the international instruments listed in section 3 of the</w:t>
      </w:r>
      <w:r w:rsidRPr="006D3C0F">
        <w:rPr>
          <w:i/>
        </w:rPr>
        <w:t xml:space="preserve"> Human Rights (Parliamentary Scrutiny) Act 201</w:t>
      </w:r>
      <w:r w:rsidRPr="00AE09C9">
        <w:rPr>
          <w:i/>
        </w:rPr>
        <w:t>1</w:t>
      </w:r>
      <w:r>
        <w:t>.</w:t>
      </w:r>
      <w:r w:rsidRPr="006D3C0F">
        <w:rPr>
          <w:b/>
        </w:rPr>
        <w:t xml:space="preserve"> </w:t>
      </w:r>
    </w:p>
    <w:p w14:paraId="2B08A5E2" w14:textId="77777777" w:rsidR="00A8723F" w:rsidRDefault="00A8723F" w:rsidP="00A8723F">
      <w:pPr>
        <w:pStyle w:val="Heading3"/>
      </w:pPr>
      <w:r>
        <w:t>Overview</w:t>
      </w:r>
    </w:p>
    <w:p w14:paraId="05D08AD3" w14:textId="77777777" w:rsidR="00A8723F" w:rsidRDefault="00A8723F" w:rsidP="00002EF5">
      <w:pPr>
        <w:pStyle w:val="base-text-paragraph"/>
        <w:numPr>
          <w:ilvl w:val="1"/>
          <w:numId w:val="24"/>
        </w:numPr>
      </w:pPr>
      <w:r w:rsidRPr="00912F41">
        <w:t xml:space="preserve">The Energy Grants </w:t>
      </w:r>
      <w:r w:rsidR="004A7A67">
        <w:t xml:space="preserve">and </w:t>
      </w:r>
      <w:r w:rsidR="00672F32">
        <w:t>O</w:t>
      </w:r>
      <w:r w:rsidR="004A7A67">
        <w:t xml:space="preserve">ther Legislation </w:t>
      </w:r>
      <w:r w:rsidRPr="00912F41">
        <w:t>Amendment (Ethanol</w:t>
      </w:r>
      <w:r>
        <w:t xml:space="preserve"> and </w:t>
      </w:r>
      <w:r w:rsidR="007B6B52">
        <w:t>Biodiesel</w:t>
      </w:r>
      <w:r w:rsidRPr="00912F41">
        <w:t>) Bill 20</w:t>
      </w:r>
      <w:r>
        <w:t>15</w:t>
      </w:r>
      <w:r w:rsidRPr="00912F41">
        <w:t xml:space="preserve"> </w:t>
      </w:r>
      <w:r w:rsidR="00B1404F">
        <w:t>repeals</w:t>
      </w:r>
      <w:r w:rsidRPr="00912F41">
        <w:t xml:space="preserve"> the </w:t>
      </w:r>
      <w:r w:rsidRPr="00145EF9">
        <w:rPr>
          <w:i/>
        </w:rPr>
        <w:t xml:space="preserve">Energy Grants </w:t>
      </w:r>
      <w:r w:rsidR="00106604">
        <w:rPr>
          <w:i/>
        </w:rPr>
        <w:t>(</w:t>
      </w:r>
      <w:r w:rsidRPr="00145EF9">
        <w:rPr>
          <w:i/>
        </w:rPr>
        <w:t>Cleaner Fuel</w:t>
      </w:r>
      <w:r w:rsidR="00C138A7">
        <w:rPr>
          <w:i/>
        </w:rPr>
        <w:t>s)</w:t>
      </w:r>
      <w:r w:rsidRPr="00145EF9">
        <w:rPr>
          <w:i/>
        </w:rPr>
        <w:t xml:space="preserve"> Scheme Act 2004</w:t>
      </w:r>
      <w:r w:rsidR="00B1404F">
        <w:t xml:space="preserve"> </w:t>
      </w:r>
      <w:r w:rsidRPr="00912F41">
        <w:t xml:space="preserve">to remove grants for renewable diesel and biodiesel from </w:t>
      </w:r>
      <w:r w:rsidR="00B1404F" w:rsidRPr="00912F41">
        <w:t>1</w:t>
      </w:r>
      <w:r w:rsidR="00B1404F">
        <w:t> </w:t>
      </w:r>
      <w:r>
        <w:t>July</w:t>
      </w:r>
      <w:r w:rsidRPr="00912F41">
        <w:t xml:space="preserve"> 2015.</w:t>
      </w:r>
    </w:p>
    <w:p w14:paraId="2C6A6B37" w14:textId="77777777" w:rsidR="00A8723F" w:rsidRDefault="00A8723F" w:rsidP="00A8723F">
      <w:pPr>
        <w:pStyle w:val="Heading3"/>
      </w:pPr>
      <w:r>
        <w:t>Human rights implications</w:t>
      </w:r>
    </w:p>
    <w:p w14:paraId="099FD70E" w14:textId="77777777" w:rsidR="00A8723F" w:rsidRDefault="00A8723F" w:rsidP="00002EF5">
      <w:pPr>
        <w:pStyle w:val="base-text-paragraph"/>
        <w:numPr>
          <w:ilvl w:val="1"/>
          <w:numId w:val="24"/>
        </w:numPr>
      </w:pPr>
      <w:r>
        <w:t xml:space="preserve">This Bill does not engage any of the applicable rights or </w:t>
      </w:r>
      <w:r w:rsidRPr="00D86646">
        <w:t>freedoms</w:t>
      </w:r>
      <w:r>
        <w:t>.</w:t>
      </w:r>
    </w:p>
    <w:p w14:paraId="5409DECB" w14:textId="77777777" w:rsidR="00A8723F" w:rsidRDefault="00A8723F" w:rsidP="00A8723F">
      <w:pPr>
        <w:pStyle w:val="Heading3"/>
      </w:pPr>
      <w:r>
        <w:t>Conclusion</w:t>
      </w:r>
    </w:p>
    <w:p w14:paraId="19B5001E" w14:textId="77777777" w:rsidR="00A8723F" w:rsidRDefault="00A8723F" w:rsidP="00002EF5">
      <w:pPr>
        <w:pStyle w:val="base-text-paragraph"/>
        <w:numPr>
          <w:ilvl w:val="1"/>
          <w:numId w:val="24"/>
        </w:numPr>
      </w:pPr>
      <w:r>
        <w:t>This Bill is compatible with human rights as it does not raise any human rights issues.</w:t>
      </w:r>
    </w:p>
    <w:p w14:paraId="4FD247BA" w14:textId="77777777" w:rsidR="00854CBB" w:rsidRDefault="00854CBB" w:rsidP="00854CBB">
      <w:pPr>
        <w:pStyle w:val="base-text-paragraph"/>
        <w:numPr>
          <w:ilvl w:val="0"/>
          <w:numId w:val="0"/>
        </w:numPr>
        <w:ind w:left="1134"/>
      </w:pPr>
    </w:p>
    <w:p w14:paraId="511699B0" w14:textId="77777777" w:rsidR="008C4796" w:rsidRDefault="008C4796" w:rsidP="00571387">
      <w:pPr>
        <w:sectPr w:rsidR="008C4796" w:rsidSect="00821379">
          <w:type w:val="oddPage"/>
          <w:pgSz w:w="11906" w:h="16838" w:code="9"/>
          <w:pgMar w:top="2466" w:right="2098" w:bottom="2466" w:left="2098" w:header="1559" w:footer="1899" w:gutter="0"/>
          <w:cols w:space="708"/>
          <w:titlePg/>
          <w:docGrid w:linePitch="360"/>
        </w:sectPr>
      </w:pPr>
    </w:p>
    <w:p w14:paraId="6B12DD16" w14:textId="77777777" w:rsidR="008C4796" w:rsidRPr="00D67ADC" w:rsidRDefault="008C4796" w:rsidP="008C4796">
      <w:pPr>
        <w:pStyle w:val="Chapterheadingsubdocument"/>
      </w:pPr>
      <w:bookmarkStart w:id="5" w:name="Index"/>
      <w:bookmarkStart w:id="6" w:name="_Toc421007627"/>
      <w:r w:rsidRPr="00D67ADC">
        <w:t>Index</w:t>
      </w:r>
      <w:bookmarkEnd w:id="5"/>
      <w:bookmarkEnd w:id="6"/>
    </w:p>
    <w:p w14:paraId="4DB88143" w14:textId="77777777" w:rsidR="00571387" w:rsidRDefault="00571387" w:rsidP="00460614">
      <w:pPr>
        <w:pStyle w:val="Heading2with18pointafter"/>
        <w:spacing w:after="120"/>
      </w:pPr>
      <w:r w:rsidRPr="00912F41" w:rsidDel="00284312">
        <w:t>Excise Tariff Amendment (</w:t>
      </w:r>
      <w:r w:rsidDel="00284312">
        <w:t>Ethanol and Biodiesel) Bill 2015</w:t>
      </w:r>
    </w:p>
    <w:p w14:paraId="3A43D350" w14:textId="77777777" w:rsidR="00854CBB" w:rsidRDefault="00854CBB" w:rsidP="00460614">
      <w:pPr>
        <w:pStyle w:val="Heading2with18pointafter"/>
        <w:spacing w:before="120" w:after="120"/>
      </w:pPr>
      <w:r>
        <w:t>Clauses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854CBB" w:rsidRPr="00442FB9" w14:paraId="6779C291" w14:textId="77777777" w:rsidTr="00700B2E">
        <w:trPr>
          <w:tblHeader/>
        </w:trPr>
        <w:tc>
          <w:tcPr>
            <w:tcW w:w="5760" w:type="dxa"/>
          </w:tcPr>
          <w:p w14:paraId="570E7416" w14:textId="77777777" w:rsidR="00854CBB" w:rsidRPr="00231CBA" w:rsidRDefault="00854CBB" w:rsidP="00C1527B">
            <w:pPr>
              <w:pStyle w:val="tableheaderwithintable"/>
            </w:pPr>
            <w:r w:rsidRPr="00231CBA">
              <w:t>Bill reference</w:t>
            </w:r>
          </w:p>
        </w:tc>
        <w:tc>
          <w:tcPr>
            <w:tcW w:w="1980" w:type="dxa"/>
          </w:tcPr>
          <w:p w14:paraId="60884988" w14:textId="77777777" w:rsidR="00854CBB" w:rsidRPr="00231CBA" w:rsidRDefault="00854CBB" w:rsidP="00C1527B">
            <w:pPr>
              <w:pStyle w:val="tableheaderwithintable"/>
            </w:pPr>
            <w:r w:rsidRPr="00231CBA">
              <w:t>Paragraph number</w:t>
            </w:r>
          </w:p>
        </w:tc>
      </w:tr>
      <w:tr w:rsidR="00854CBB" w:rsidRPr="00854CBB" w14:paraId="47E9EB1E" w14:textId="77777777" w:rsidTr="00700B2E">
        <w:tc>
          <w:tcPr>
            <w:tcW w:w="5760" w:type="dxa"/>
          </w:tcPr>
          <w:p w14:paraId="452A1E8D" w14:textId="77777777" w:rsidR="00854CBB" w:rsidRPr="00854CBB" w:rsidRDefault="00854CBB" w:rsidP="00C1527B">
            <w:pPr>
              <w:spacing w:before="40" w:after="40"/>
              <w:rPr>
                <w:b/>
                <w:i/>
                <w:sz w:val="20"/>
              </w:rPr>
            </w:pPr>
            <w:r w:rsidRPr="00854CBB">
              <w:rPr>
                <w:rStyle w:val="Referencingstyle"/>
                <w:b w:val="0"/>
                <w:i w:val="0"/>
                <w:sz w:val="20"/>
              </w:rPr>
              <w:t>Subclause 2(1) of the Excise Tariff Amendment Bill 2015</w:t>
            </w:r>
          </w:p>
        </w:tc>
        <w:tc>
          <w:tcPr>
            <w:tcW w:w="1980" w:type="dxa"/>
          </w:tcPr>
          <w:p w14:paraId="7BE2D3F2" w14:textId="77777777" w:rsidR="00854CBB" w:rsidRPr="00854CBB" w:rsidRDefault="00854CBB" w:rsidP="00FA6346">
            <w:pPr>
              <w:pStyle w:val="tabletext"/>
              <w:ind w:left="511"/>
              <w:rPr>
                <w:b/>
                <w:i/>
              </w:rPr>
            </w:pPr>
            <w:r>
              <w:rPr>
                <w:rStyle w:val="Referencingstyle"/>
                <w:b w:val="0"/>
                <w:i w:val="0"/>
                <w:sz w:val="20"/>
              </w:rPr>
              <w:t>1.48</w:t>
            </w:r>
          </w:p>
        </w:tc>
      </w:tr>
      <w:tr w:rsidR="00854CBB" w:rsidRPr="00231CBA" w14:paraId="1D6EAD14" w14:textId="77777777" w:rsidTr="00700B2E">
        <w:tc>
          <w:tcPr>
            <w:tcW w:w="5760" w:type="dxa"/>
          </w:tcPr>
          <w:p w14:paraId="73EDAFA4" w14:textId="77777777" w:rsidR="00854CBB" w:rsidRPr="00854CBB" w:rsidRDefault="00854CBB" w:rsidP="00C1527B">
            <w:pPr>
              <w:pStyle w:val="tabletext"/>
              <w:rPr>
                <w:b/>
                <w:i/>
              </w:rPr>
            </w:pPr>
            <w:r w:rsidRPr="00854CBB">
              <w:rPr>
                <w:rStyle w:val="Referencingstyle"/>
                <w:b w:val="0"/>
                <w:i w:val="0"/>
                <w:sz w:val="20"/>
              </w:rPr>
              <w:t>Table item 2 of subclause 2(1) of the Excise Tariff Amendment Bill 2015</w:t>
            </w:r>
          </w:p>
        </w:tc>
        <w:tc>
          <w:tcPr>
            <w:tcW w:w="1980" w:type="dxa"/>
          </w:tcPr>
          <w:p w14:paraId="00782D4E" w14:textId="77777777" w:rsidR="00854CBB" w:rsidRPr="00854CBB" w:rsidRDefault="00854CBB" w:rsidP="00FA6346">
            <w:pPr>
              <w:pStyle w:val="tabletext"/>
              <w:ind w:left="511"/>
              <w:rPr>
                <w:b/>
                <w:i/>
              </w:rPr>
            </w:pPr>
            <w:r>
              <w:rPr>
                <w:rStyle w:val="Referencingstyle"/>
                <w:b w:val="0"/>
                <w:i w:val="0"/>
                <w:sz w:val="20"/>
              </w:rPr>
              <w:t>1.49</w:t>
            </w:r>
          </w:p>
        </w:tc>
      </w:tr>
    </w:tbl>
    <w:p w14:paraId="39F2A465" w14:textId="77777777" w:rsidR="00571387" w:rsidRDefault="00571387" w:rsidP="00460614">
      <w:pPr>
        <w:pStyle w:val="Heading2with18pointafter"/>
        <w:spacing w:before="120" w:after="120"/>
      </w:pPr>
      <w:r>
        <w:t>Schedule 1: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571387" w:rsidRPr="00442FB9" w14:paraId="66FD672C" w14:textId="77777777" w:rsidTr="00854CBB">
        <w:trPr>
          <w:tblHeader/>
        </w:trPr>
        <w:tc>
          <w:tcPr>
            <w:tcW w:w="5760" w:type="dxa"/>
          </w:tcPr>
          <w:p w14:paraId="2C998AA6" w14:textId="77777777" w:rsidR="00571387" w:rsidRPr="00231CBA" w:rsidRDefault="00571387" w:rsidP="00C1527B">
            <w:pPr>
              <w:pStyle w:val="tableheaderwithintable"/>
            </w:pPr>
            <w:r w:rsidRPr="00231CBA">
              <w:t>Bill reference</w:t>
            </w:r>
          </w:p>
        </w:tc>
        <w:tc>
          <w:tcPr>
            <w:tcW w:w="1980" w:type="dxa"/>
          </w:tcPr>
          <w:p w14:paraId="1968DD45" w14:textId="77777777" w:rsidR="00571387" w:rsidRPr="00231CBA" w:rsidRDefault="00571387" w:rsidP="00C1527B">
            <w:pPr>
              <w:pStyle w:val="tableheaderwithintable"/>
            </w:pPr>
            <w:r w:rsidRPr="00231CBA">
              <w:t>Paragraph number</w:t>
            </w:r>
          </w:p>
        </w:tc>
      </w:tr>
      <w:tr w:rsidR="008C4796" w:rsidRPr="00231CBA" w14:paraId="020F8A72" w14:textId="77777777" w:rsidTr="00854CBB">
        <w:tc>
          <w:tcPr>
            <w:tcW w:w="5760" w:type="dxa"/>
          </w:tcPr>
          <w:p w14:paraId="226BEB49" w14:textId="77777777" w:rsidR="008C4796" w:rsidRPr="00231CBA" w:rsidRDefault="008C4796" w:rsidP="00C1527B">
            <w:pPr>
              <w:pStyle w:val="tabletext"/>
            </w:pPr>
            <w:r>
              <w:t xml:space="preserve">Items 1 and 2 of the Excise Tariff Amendment Bill 2015, definitions of </w:t>
            </w:r>
            <w:r w:rsidR="00700B2E">
              <w:t>‘</w:t>
            </w:r>
            <w:r>
              <w:t>biodiesel</w:t>
            </w:r>
            <w:r w:rsidR="00700B2E">
              <w:t>’</w:t>
            </w:r>
            <w:r>
              <w:t xml:space="preserve"> and </w:t>
            </w:r>
            <w:r w:rsidR="00700B2E">
              <w:t>‘</w:t>
            </w:r>
            <w:r>
              <w:t>diesel</w:t>
            </w:r>
            <w:r w:rsidR="00700B2E">
              <w:t>’</w:t>
            </w:r>
            <w:r>
              <w:t xml:space="preserve"> in subsection 3(1) of the ETA 1921</w:t>
            </w:r>
          </w:p>
        </w:tc>
        <w:tc>
          <w:tcPr>
            <w:tcW w:w="1980" w:type="dxa"/>
          </w:tcPr>
          <w:p w14:paraId="212E235E" w14:textId="77777777" w:rsidR="008C4796" w:rsidRPr="00231CBA" w:rsidRDefault="008C4796" w:rsidP="00FA6346">
            <w:pPr>
              <w:pStyle w:val="tabletext"/>
              <w:ind w:left="511"/>
            </w:pPr>
            <w:r>
              <w:t>1.22</w:t>
            </w:r>
          </w:p>
        </w:tc>
      </w:tr>
      <w:tr w:rsidR="008C4796" w:rsidRPr="008C4796" w14:paraId="30E4E04B" w14:textId="77777777" w:rsidTr="00854CBB">
        <w:tc>
          <w:tcPr>
            <w:tcW w:w="5760" w:type="dxa"/>
          </w:tcPr>
          <w:p w14:paraId="293EDADB" w14:textId="77777777" w:rsidR="008C4796" w:rsidRPr="008C4796" w:rsidRDefault="008C4796" w:rsidP="00C1527B">
            <w:pPr>
              <w:pStyle w:val="tableheaderwithintable"/>
              <w:keepNext w:val="0"/>
              <w:spacing w:before="40" w:after="40"/>
              <w:jc w:val="left"/>
              <w:rPr>
                <w:b w:val="0"/>
                <w:i w:val="0"/>
              </w:rPr>
            </w:pPr>
            <w:r w:rsidRPr="008C4796">
              <w:rPr>
                <w:b w:val="0"/>
                <w:i w:val="0"/>
              </w:rPr>
              <w:t xml:space="preserve">Items 3, 6 and 8 of the Excise Tariff Amendment Bill 2015, subsection 6G(1) of the ETA 1921, table subitem 10.11 and cell at table subitem 10.20 in the column headed </w:t>
            </w:r>
            <w:r w:rsidR="00700B2E">
              <w:rPr>
                <w:b w:val="0"/>
                <w:i w:val="0"/>
              </w:rPr>
              <w:t>‘</w:t>
            </w:r>
            <w:r w:rsidRPr="008C4796">
              <w:rPr>
                <w:b w:val="0"/>
                <w:i w:val="0"/>
              </w:rPr>
              <w:t>Rate of Duty</w:t>
            </w:r>
            <w:r w:rsidR="00700B2E">
              <w:rPr>
                <w:b w:val="0"/>
                <w:i w:val="0"/>
              </w:rPr>
              <w:t>’</w:t>
            </w:r>
            <w:r w:rsidRPr="008C4796">
              <w:rPr>
                <w:b w:val="0"/>
                <w:i w:val="0"/>
              </w:rPr>
              <w:t xml:space="preserve"> of the Schedule to the ETA 1921</w:t>
            </w:r>
          </w:p>
        </w:tc>
        <w:tc>
          <w:tcPr>
            <w:tcW w:w="1980" w:type="dxa"/>
          </w:tcPr>
          <w:p w14:paraId="6B5EDA2D" w14:textId="77777777" w:rsidR="008C4796" w:rsidRPr="008C4796" w:rsidRDefault="008C4796" w:rsidP="00FA6346">
            <w:pPr>
              <w:pStyle w:val="tableheaderwithintable"/>
              <w:keepNext w:val="0"/>
              <w:ind w:left="511"/>
              <w:jc w:val="left"/>
              <w:rPr>
                <w:b w:val="0"/>
                <w:i w:val="0"/>
              </w:rPr>
            </w:pPr>
            <w:r w:rsidRPr="008C4796">
              <w:rPr>
                <w:b w:val="0"/>
                <w:i w:val="0"/>
              </w:rPr>
              <w:t>1.17</w:t>
            </w:r>
          </w:p>
        </w:tc>
      </w:tr>
      <w:tr w:rsidR="00F32F0A" w:rsidRPr="008C4796" w14:paraId="3B1B1A5B" w14:textId="77777777" w:rsidTr="00700B2E">
        <w:tc>
          <w:tcPr>
            <w:tcW w:w="5760" w:type="dxa"/>
          </w:tcPr>
          <w:p w14:paraId="577D5EF5" w14:textId="77777777" w:rsidR="00F32F0A" w:rsidRPr="008C4796" w:rsidRDefault="00F32F0A" w:rsidP="00C1527B">
            <w:pPr>
              <w:pStyle w:val="tableheaderwithintable"/>
              <w:keepNext w:val="0"/>
              <w:spacing w:before="40" w:after="40"/>
              <w:jc w:val="left"/>
              <w:rPr>
                <w:b w:val="0"/>
                <w:i w:val="0"/>
              </w:rPr>
            </w:pPr>
            <w:r w:rsidRPr="008C4796">
              <w:rPr>
                <w:b w:val="0"/>
                <w:i w:val="0"/>
              </w:rPr>
              <w:t>Item 4 of the Excise Tariff Amendment Bill 2015, sections 6H and 6J of the ETA 1921</w:t>
            </w:r>
          </w:p>
        </w:tc>
        <w:tc>
          <w:tcPr>
            <w:tcW w:w="1980" w:type="dxa"/>
          </w:tcPr>
          <w:p w14:paraId="7FB0C24E" w14:textId="77777777" w:rsidR="00F32F0A" w:rsidRPr="008C4796" w:rsidRDefault="00F32F0A" w:rsidP="00FA6346">
            <w:pPr>
              <w:pStyle w:val="tableheaderwithintable"/>
              <w:keepNext w:val="0"/>
              <w:ind w:left="511"/>
              <w:jc w:val="left"/>
              <w:rPr>
                <w:b w:val="0"/>
                <w:i w:val="0"/>
              </w:rPr>
            </w:pPr>
            <w:r w:rsidRPr="008C4796">
              <w:rPr>
                <w:b w:val="0"/>
                <w:i w:val="0"/>
              </w:rPr>
              <w:t>1.39</w:t>
            </w:r>
          </w:p>
        </w:tc>
      </w:tr>
      <w:tr w:rsidR="005F2895" w:rsidRPr="008C4796" w14:paraId="64919E63" w14:textId="77777777" w:rsidTr="00700B2E">
        <w:tc>
          <w:tcPr>
            <w:tcW w:w="5760" w:type="dxa"/>
          </w:tcPr>
          <w:p w14:paraId="19CEDDD1" w14:textId="77777777" w:rsidR="005F2895" w:rsidRPr="008C4796" w:rsidRDefault="005F2895" w:rsidP="00C1527B">
            <w:pPr>
              <w:pStyle w:val="tableheaderwithintable"/>
              <w:keepNext w:val="0"/>
              <w:spacing w:before="40" w:after="40"/>
              <w:jc w:val="left"/>
              <w:rPr>
                <w:b w:val="0"/>
                <w:i w:val="0"/>
              </w:rPr>
            </w:pPr>
            <w:r w:rsidRPr="008C4796">
              <w:rPr>
                <w:b w:val="0"/>
                <w:i w:val="0"/>
              </w:rPr>
              <w:t>Item 4 of the Excise Tariff Amendment Bill 2015, subsection 6H(1) of the ETA 1921</w:t>
            </w:r>
          </w:p>
        </w:tc>
        <w:tc>
          <w:tcPr>
            <w:tcW w:w="1980" w:type="dxa"/>
          </w:tcPr>
          <w:p w14:paraId="30205CB7" w14:textId="77777777" w:rsidR="005F2895" w:rsidRPr="008C4796" w:rsidRDefault="005F2895" w:rsidP="00FA6346">
            <w:pPr>
              <w:pStyle w:val="tableheaderwithintable"/>
              <w:keepNext w:val="0"/>
              <w:ind w:left="511"/>
              <w:jc w:val="left"/>
              <w:rPr>
                <w:b w:val="0"/>
                <w:i w:val="0"/>
              </w:rPr>
            </w:pPr>
            <w:r w:rsidRPr="008C4796">
              <w:rPr>
                <w:b w:val="0"/>
                <w:i w:val="0"/>
              </w:rPr>
              <w:t>1.18</w:t>
            </w:r>
          </w:p>
        </w:tc>
      </w:tr>
      <w:tr w:rsidR="008C4796" w:rsidRPr="008C4796" w14:paraId="04A07145" w14:textId="77777777" w:rsidTr="00854CBB">
        <w:tc>
          <w:tcPr>
            <w:tcW w:w="5760" w:type="dxa"/>
          </w:tcPr>
          <w:p w14:paraId="417627DD" w14:textId="36074D48" w:rsidR="008C4796" w:rsidRPr="008C4796" w:rsidRDefault="008C4796" w:rsidP="00C1527B">
            <w:pPr>
              <w:pStyle w:val="tableheaderwithintable"/>
              <w:keepNext w:val="0"/>
              <w:spacing w:before="40" w:after="40"/>
              <w:jc w:val="left"/>
              <w:rPr>
                <w:b w:val="0"/>
                <w:i w:val="0"/>
              </w:rPr>
            </w:pPr>
            <w:r w:rsidRPr="008C4796">
              <w:rPr>
                <w:b w:val="0"/>
                <w:i w:val="0"/>
              </w:rPr>
              <w:t>Item 4 of the Excise Tariff Amendment Bill 2015, subsections 6H(1) and 6J(1) of the ETA 1921</w:t>
            </w:r>
          </w:p>
        </w:tc>
        <w:tc>
          <w:tcPr>
            <w:tcW w:w="1980" w:type="dxa"/>
          </w:tcPr>
          <w:p w14:paraId="6CE41256" w14:textId="36E05C33" w:rsidR="008C4796" w:rsidRPr="008C4796" w:rsidRDefault="008C4796" w:rsidP="00FA6346">
            <w:pPr>
              <w:pStyle w:val="tableheaderwithintable"/>
              <w:keepNext w:val="0"/>
              <w:ind w:left="511"/>
              <w:jc w:val="left"/>
              <w:rPr>
                <w:b w:val="0"/>
                <w:i w:val="0"/>
              </w:rPr>
            </w:pPr>
            <w:r w:rsidRPr="008C4796">
              <w:rPr>
                <w:b w:val="0"/>
                <w:i w:val="0"/>
              </w:rPr>
              <w:t>1.10</w:t>
            </w:r>
            <w:r w:rsidR="00C1527B">
              <w:rPr>
                <w:b w:val="0"/>
                <w:i w:val="0"/>
              </w:rPr>
              <w:t>, 1.16</w:t>
            </w:r>
          </w:p>
        </w:tc>
      </w:tr>
      <w:tr w:rsidR="005F2895" w:rsidRPr="008C4796" w14:paraId="31C6A042" w14:textId="77777777" w:rsidTr="00700B2E">
        <w:tc>
          <w:tcPr>
            <w:tcW w:w="5760" w:type="dxa"/>
          </w:tcPr>
          <w:p w14:paraId="5CA16E96" w14:textId="77777777" w:rsidR="005F2895" w:rsidRPr="008C4796" w:rsidRDefault="005F2895" w:rsidP="00C1527B">
            <w:pPr>
              <w:pStyle w:val="tableheaderwithintable"/>
              <w:keepNext w:val="0"/>
              <w:spacing w:before="40" w:after="40"/>
              <w:jc w:val="left"/>
              <w:rPr>
                <w:b w:val="0"/>
                <w:i w:val="0"/>
              </w:rPr>
            </w:pPr>
            <w:r w:rsidRPr="008C4796">
              <w:rPr>
                <w:b w:val="0"/>
                <w:i w:val="0"/>
              </w:rPr>
              <w:t>Item 4 of the Excise Tariff Amendment Bill 2015, table item 6 of subsection 6H(1) and table item 6 of subsection 6J(1) of the ETA</w:t>
            </w:r>
            <w:r w:rsidR="00460614">
              <w:rPr>
                <w:b w:val="0"/>
                <w:i w:val="0"/>
              </w:rPr>
              <w:t> </w:t>
            </w:r>
            <w:r w:rsidRPr="008C4796">
              <w:rPr>
                <w:b w:val="0"/>
                <w:i w:val="0"/>
              </w:rPr>
              <w:t>1921</w:t>
            </w:r>
          </w:p>
        </w:tc>
        <w:tc>
          <w:tcPr>
            <w:tcW w:w="1980" w:type="dxa"/>
          </w:tcPr>
          <w:p w14:paraId="381C53C6" w14:textId="77777777" w:rsidR="005F2895" w:rsidRPr="008C4796" w:rsidRDefault="005F2895" w:rsidP="00FA6346">
            <w:pPr>
              <w:pStyle w:val="tableheaderwithintable"/>
              <w:keepNext w:val="0"/>
              <w:ind w:left="511"/>
              <w:jc w:val="left"/>
              <w:rPr>
                <w:b w:val="0"/>
                <w:i w:val="0"/>
              </w:rPr>
            </w:pPr>
            <w:r w:rsidRPr="008C4796">
              <w:rPr>
                <w:b w:val="0"/>
                <w:i w:val="0"/>
              </w:rPr>
              <w:t>1.15</w:t>
            </w:r>
          </w:p>
        </w:tc>
      </w:tr>
      <w:tr w:rsidR="008C4796" w:rsidRPr="008C4796" w14:paraId="6869A927" w14:textId="77777777" w:rsidTr="00854CBB">
        <w:tc>
          <w:tcPr>
            <w:tcW w:w="5760" w:type="dxa"/>
          </w:tcPr>
          <w:p w14:paraId="533E1FE8" w14:textId="77777777" w:rsidR="008C4796" w:rsidRPr="008C4796" w:rsidRDefault="008C4796" w:rsidP="00C1527B">
            <w:pPr>
              <w:pStyle w:val="tableheaderwithintable"/>
              <w:keepNext w:val="0"/>
              <w:spacing w:before="40" w:after="40"/>
              <w:jc w:val="left"/>
              <w:rPr>
                <w:b w:val="0"/>
                <w:i w:val="0"/>
              </w:rPr>
            </w:pPr>
            <w:r w:rsidRPr="008C4796">
              <w:rPr>
                <w:b w:val="0"/>
                <w:i w:val="0"/>
              </w:rPr>
              <w:t>Item 4 of the Excise Tariff Amendment Bill 2015, subsections 6H(1) and (2) and 6J(1) and (2) of the ETA 1921</w:t>
            </w:r>
          </w:p>
        </w:tc>
        <w:tc>
          <w:tcPr>
            <w:tcW w:w="1980" w:type="dxa"/>
          </w:tcPr>
          <w:p w14:paraId="115AEE03" w14:textId="77777777" w:rsidR="008C4796" w:rsidRPr="008C4796" w:rsidRDefault="008C4796" w:rsidP="00FA6346">
            <w:pPr>
              <w:pStyle w:val="tableheaderwithintable"/>
              <w:keepNext w:val="0"/>
              <w:ind w:left="511"/>
              <w:jc w:val="left"/>
              <w:rPr>
                <w:b w:val="0"/>
                <w:i w:val="0"/>
              </w:rPr>
            </w:pPr>
            <w:r w:rsidRPr="008C4796">
              <w:rPr>
                <w:b w:val="0"/>
                <w:i w:val="0"/>
              </w:rPr>
              <w:t>1.14</w:t>
            </w:r>
          </w:p>
        </w:tc>
      </w:tr>
      <w:tr w:rsidR="00C1527B" w:rsidRPr="008C4796" w14:paraId="4714E721" w14:textId="77777777" w:rsidTr="00F77C3F">
        <w:tc>
          <w:tcPr>
            <w:tcW w:w="5760" w:type="dxa"/>
          </w:tcPr>
          <w:p w14:paraId="4946C3BA" w14:textId="77777777" w:rsidR="00C1527B" w:rsidRPr="008C4796" w:rsidRDefault="00C1527B" w:rsidP="00F77C3F">
            <w:pPr>
              <w:pStyle w:val="tableheaderwithintable"/>
              <w:keepNext w:val="0"/>
              <w:spacing w:before="20" w:after="20"/>
              <w:jc w:val="left"/>
              <w:rPr>
                <w:b w:val="0"/>
                <w:i w:val="0"/>
              </w:rPr>
            </w:pPr>
            <w:r w:rsidRPr="008C4796">
              <w:rPr>
                <w:b w:val="0"/>
                <w:i w:val="0"/>
              </w:rPr>
              <w:t>Item 4 of the Excise Tariff Amendment Bill 2015, subsection 6J(1) of the ETA 1921</w:t>
            </w:r>
          </w:p>
        </w:tc>
        <w:tc>
          <w:tcPr>
            <w:tcW w:w="1980" w:type="dxa"/>
          </w:tcPr>
          <w:p w14:paraId="3ACF8B04" w14:textId="77777777" w:rsidR="00C1527B" w:rsidRPr="008C4796" w:rsidRDefault="00C1527B" w:rsidP="00F77C3F">
            <w:pPr>
              <w:pStyle w:val="tableheaderwithintable"/>
              <w:keepNext w:val="0"/>
              <w:ind w:left="511"/>
              <w:jc w:val="left"/>
              <w:rPr>
                <w:b w:val="0"/>
                <w:i w:val="0"/>
              </w:rPr>
            </w:pPr>
            <w:r w:rsidRPr="008C4796">
              <w:rPr>
                <w:b w:val="0"/>
                <w:i w:val="0"/>
              </w:rPr>
              <w:t>1.21</w:t>
            </w:r>
          </w:p>
        </w:tc>
      </w:tr>
      <w:tr w:rsidR="008C4796" w:rsidRPr="008C4796" w14:paraId="6426347F" w14:textId="77777777" w:rsidTr="00854CBB">
        <w:tc>
          <w:tcPr>
            <w:tcW w:w="5760" w:type="dxa"/>
          </w:tcPr>
          <w:p w14:paraId="388B229F" w14:textId="77777777" w:rsidR="008C4796" w:rsidRPr="008C4796" w:rsidRDefault="008C4796" w:rsidP="00C1527B">
            <w:pPr>
              <w:pStyle w:val="tableheaderwithintable"/>
              <w:keepNext w:val="0"/>
              <w:spacing w:before="40" w:after="40"/>
              <w:jc w:val="left"/>
              <w:rPr>
                <w:b w:val="0"/>
                <w:i w:val="0"/>
              </w:rPr>
            </w:pPr>
            <w:r w:rsidRPr="008C4796">
              <w:rPr>
                <w:b w:val="0"/>
                <w:i w:val="0"/>
              </w:rPr>
              <w:t>Items 5, 7 and 9 of the Excise Tariff Amendment Bill 2015, table subitems 10.10, 10.12 and 10.21 of the Schedule to the ETA 1921</w:t>
            </w:r>
          </w:p>
        </w:tc>
        <w:tc>
          <w:tcPr>
            <w:tcW w:w="1980" w:type="dxa"/>
          </w:tcPr>
          <w:p w14:paraId="4CBC055A" w14:textId="77777777" w:rsidR="008C4796" w:rsidRPr="008C4796" w:rsidRDefault="008C4796" w:rsidP="00FA6346">
            <w:pPr>
              <w:pStyle w:val="tableheaderwithintable"/>
              <w:keepNext w:val="0"/>
              <w:ind w:left="511"/>
              <w:jc w:val="left"/>
              <w:rPr>
                <w:b w:val="0"/>
                <w:i w:val="0"/>
              </w:rPr>
            </w:pPr>
            <w:r w:rsidRPr="008C4796">
              <w:rPr>
                <w:b w:val="0"/>
                <w:i w:val="0"/>
              </w:rPr>
              <w:t>1.20</w:t>
            </w:r>
          </w:p>
        </w:tc>
      </w:tr>
    </w:tbl>
    <w:p w14:paraId="28B8CE12" w14:textId="77777777" w:rsidR="00571387" w:rsidRPr="00A04A9F" w:rsidRDefault="00571387" w:rsidP="00460614">
      <w:pPr>
        <w:pStyle w:val="Heading2"/>
        <w:spacing w:before="120" w:after="0"/>
      </w:pPr>
      <w:r w:rsidRPr="00912F41">
        <w:t xml:space="preserve">Energy Grants </w:t>
      </w:r>
      <w:r>
        <w:t xml:space="preserve">and Other Legislation </w:t>
      </w:r>
      <w:r w:rsidRPr="00912F41">
        <w:t>Amendment (Ethanol</w:t>
      </w:r>
      <w:r>
        <w:t xml:space="preserve"> and Biodiesel</w:t>
      </w:r>
      <w:r w:rsidRPr="00912F41">
        <w:t>) Bill 20</w:t>
      </w:r>
      <w:r>
        <w:t>15</w:t>
      </w:r>
    </w:p>
    <w:p w14:paraId="54C64B86" w14:textId="77777777" w:rsidR="00854CBB" w:rsidRDefault="00854CBB" w:rsidP="00460614">
      <w:pPr>
        <w:pStyle w:val="Heading2with18pointafter"/>
        <w:spacing w:before="120" w:after="120"/>
      </w:pPr>
      <w:r>
        <w:t>Clauses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854CBB" w:rsidRPr="00442FB9" w14:paraId="2EF061A7" w14:textId="77777777" w:rsidTr="00700B2E">
        <w:trPr>
          <w:tblHeader/>
        </w:trPr>
        <w:tc>
          <w:tcPr>
            <w:tcW w:w="5760" w:type="dxa"/>
          </w:tcPr>
          <w:p w14:paraId="564C3C5A" w14:textId="77777777" w:rsidR="00854CBB" w:rsidRPr="00231CBA" w:rsidRDefault="00854CBB" w:rsidP="00C1527B">
            <w:pPr>
              <w:pStyle w:val="tableheaderwithintable"/>
              <w:spacing w:before="40" w:after="40"/>
            </w:pPr>
            <w:r w:rsidRPr="00231CBA">
              <w:t>Bill reference</w:t>
            </w:r>
          </w:p>
        </w:tc>
        <w:tc>
          <w:tcPr>
            <w:tcW w:w="1980" w:type="dxa"/>
          </w:tcPr>
          <w:p w14:paraId="45B43F62" w14:textId="77777777" w:rsidR="00854CBB" w:rsidRPr="00231CBA" w:rsidRDefault="00854CBB" w:rsidP="00C1527B">
            <w:pPr>
              <w:pStyle w:val="tableheaderwithintable"/>
              <w:spacing w:before="40" w:after="40"/>
            </w:pPr>
            <w:r w:rsidRPr="00231CBA">
              <w:t>Paragraph number</w:t>
            </w:r>
          </w:p>
        </w:tc>
      </w:tr>
      <w:tr w:rsidR="00854CBB" w:rsidRPr="00231CBA" w14:paraId="67CD849B" w14:textId="77777777" w:rsidTr="00700B2E">
        <w:trPr>
          <w:tblHeader/>
        </w:trPr>
        <w:tc>
          <w:tcPr>
            <w:tcW w:w="5760" w:type="dxa"/>
          </w:tcPr>
          <w:p w14:paraId="56DF0F58" w14:textId="77777777" w:rsidR="00854CBB" w:rsidRDefault="00854CBB" w:rsidP="00DA4EFD">
            <w:pPr>
              <w:pStyle w:val="tabletext"/>
              <w:spacing w:before="20" w:after="20"/>
            </w:pPr>
            <w:r w:rsidRPr="00854CBB">
              <w:t>Table item 1 in subclause 2(1) of the Energy Grants Amendment Bill 2015</w:t>
            </w:r>
          </w:p>
        </w:tc>
        <w:tc>
          <w:tcPr>
            <w:tcW w:w="1980" w:type="dxa"/>
          </w:tcPr>
          <w:p w14:paraId="465C8E57" w14:textId="77777777" w:rsidR="00854CBB" w:rsidRDefault="00854CBB" w:rsidP="00FA6346">
            <w:pPr>
              <w:pStyle w:val="tabletext"/>
              <w:ind w:left="511"/>
            </w:pPr>
            <w:r w:rsidRPr="00854CBB">
              <w:t>1.47</w:t>
            </w:r>
          </w:p>
        </w:tc>
      </w:tr>
    </w:tbl>
    <w:p w14:paraId="526528D1" w14:textId="77777777" w:rsidR="00571387" w:rsidRDefault="00571387" w:rsidP="00460614">
      <w:pPr>
        <w:pStyle w:val="Heading2with18pointafter"/>
        <w:spacing w:before="120" w:after="120"/>
      </w:pPr>
      <w:r>
        <w:t>Schedule 1: Amendments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571387" w:rsidRPr="00442FB9" w14:paraId="7DCEACBF" w14:textId="77777777" w:rsidTr="00854CBB">
        <w:trPr>
          <w:tblHeader/>
        </w:trPr>
        <w:tc>
          <w:tcPr>
            <w:tcW w:w="5760" w:type="dxa"/>
          </w:tcPr>
          <w:p w14:paraId="0DDBB318" w14:textId="77777777" w:rsidR="00571387" w:rsidRPr="00231CBA" w:rsidRDefault="00571387" w:rsidP="00C1527B">
            <w:pPr>
              <w:pStyle w:val="tableheaderwithintable"/>
              <w:spacing w:before="40" w:after="40"/>
            </w:pPr>
            <w:r w:rsidRPr="00231CBA">
              <w:t>Bill reference</w:t>
            </w:r>
          </w:p>
        </w:tc>
        <w:tc>
          <w:tcPr>
            <w:tcW w:w="1980" w:type="dxa"/>
          </w:tcPr>
          <w:p w14:paraId="4072590A" w14:textId="77777777" w:rsidR="00571387" w:rsidRPr="00231CBA" w:rsidRDefault="00571387" w:rsidP="00C1527B">
            <w:pPr>
              <w:pStyle w:val="tableheaderwithintable"/>
              <w:spacing w:before="40" w:after="40"/>
            </w:pPr>
            <w:r w:rsidRPr="00231CBA">
              <w:t>Paragraph number</w:t>
            </w:r>
          </w:p>
        </w:tc>
      </w:tr>
      <w:tr w:rsidR="00854CBB" w:rsidRPr="00231CBA" w14:paraId="7167D73E" w14:textId="77777777" w:rsidTr="00854CBB">
        <w:tc>
          <w:tcPr>
            <w:tcW w:w="5760" w:type="dxa"/>
          </w:tcPr>
          <w:p w14:paraId="7CC60C9A" w14:textId="77777777" w:rsidR="00854CBB" w:rsidRDefault="00854CBB" w:rsidP="00C1527B">
            <w:pPr>
              <w:pStyle w:val="tabletext"/>
              <w:spacing w:before="20" w:after="20"/>
            </w:pPr>
            <w:r w:rsidRPr="00854CBB">
              <w:t>Table item 1 in subclause 2(1) of the Energy Grants Amendment Bill 2015</w:t>
            </w:r>
          </w:p>
        </w:tc>
        <w:tc>
          <w:tcPr>
            <w:tcW w:w="1980" w:type="dxa"/>
          </w:tcPr>
          <w:p w14:paraId="54DE5B77" w14:textId="77777777" w:rsidR="00854CBB" w:rsidRDefault="00854CBB" w:rsidP="00C1527B">
            <w:pPr>
              <w:pStyle w:val="tabletext"/>
              <w:ind w:left="511"/>
            </w:pPr>
            <w:r w:rsidRPr="00854CBB">
              <w:t>1.47</w:t>
            </w:r>
          </w:p>
        </w:tc>
      </w:tr>
      <w:tr w:rsidR="008C4796" w:rsidRPr="00231CBA" w14:paraId="6EB14614" w14:textId="77777777" w:rsidTr="00854CBB">
        <w:tc>
          <w:tcPr>
            <w:tcW w:w="5760" w:type="dxa"/>
          </w:tcPr>
          <w:p w14:paraId="37B95EC2" w14:textId="4475E623" w:rsidR="008C4796" w:rsidRDefault="008C4796" w:rsidP="00C1527B">
            <w:pPr>
              <w:pStyle w:val="tabletext"/>
              <w:spacing w:before="20" w:after="20"/>
            </w:pPr>
            <w:r>
              <w:t>Items 1 to 6 of the Energy Grants Amendment Bill 2015, subsections</w:t>
            </w:r>
            <w:r w:rsidR="00C1527B">
              <w:t> </w:t>
            </w:r>
            <w:r>
              <w:t xml:space="preserve">105B(1), (1A), (2) and (3) and paragraph 105C(2)(b) of the </w:t>
            </w:r>
            <w:r w:rsidRPr="00F32F0A">
              <w:rPr>
                <w:i/>
              </w:rPr>
              <w:t>Customs Act 1901</w:t>
            </w:r>
          </w:p>
        </w:tc>
        <w:tc>
          <w:tcPr>
            <w:tcW w:w="1980" w:type="dxa"/>
          </w:tcPr>
          <w:p w14:paraId="5D750E45" w14:textId="77777777" w:rsidR="008C4796" w:rsidRDefault="008C4796" w:rsidP="00FA6346">
            <w:pPr>
              <w:pStyle w:val="tabletext"/>
              <w:ind w:left="511"/>
            </w:pPr>
            <w:r>
              <w:t>1.26</w:t>
            </w:r>
          </w:p>
        </w:tc>
      </w:tr>
      <w:tr w:rsidR="008C4796" w:rsidRPr="00231CBA" w14:paraId="2BFC4BC6" w14:textId="77777777" w:rsidTr="00854CBB">
        <w:tc>
          <w:tcPr>
            <w:tcW w:w="5760" w:type="dxa"/>
          </w:tcPr>
          <w:p w14:paraId="21DA6561" w14:textId="77777777" w:rsidR="008C4796" w:rsidRDefault="008C4796" w:rsidP="00DA4EFD">
            <w:pPr>
              <w:pStyle w:val="tabletext"/>
              <w:spacing w:before="20" w:after="20"/>
            </w:pPr>
            <w:r>
              <w:t>Items 1 to 6 and subitem 11(1) of the Energy Grants Amendment</w:t>
            </w:r>
            <w:r w:rsidR="00F32F0A">
              <w:t> </w:t>
            </w:r>
            <w:r>
              <w:t xml:space="preserve">Bill 2015, subsections 105B(1), (1A), (2) and (3) and paragraph 105C(2)(b) of the </w:t>
            </w:r>
            <w:r w:rsidRPr="00F32F0A">
              <w:rPr>
                <w:i/>
              </w:rPr>
              <w:t>Customs Act 1901</w:t>
            </w:r>
          </w:p>
        </w:tc>
        <w:tc>
          <w:tcPr>
            <w:tcW w:w="1980" w:type="dxa"/>
          </w:tcPr>
          <w:p w14:paraId="526FF44F" w14:textId="77777777" w:rsidR="008C4796" w:rsidRDefault="008C4796" w:rsidP="00FA6346">
            <w:pPr>
              <w:pStyle w:val="tabletext"/>
              <w:ind w:left="511"/>
            </w:pPr>
            <w:r>
              <w:t>1.43</w:t>
            </w:r>
          </w:p>
        </w:tc>
      </w:tr>
      <w:tr w:rsidR="008C4796" w:rsidRPr="00442FB9" w14:paraId="78040A92" w14:textId="77777777" w:rsidTr="00854CBB">
        <w:tc>
          <w:tcPr>
            <w:tcW w:w="5760" w:type="dxa"/>
          </w:tcPr>
          <w:p w14:paraId="08F3B2F1" w14:textId="77777777" w:rsidR="008C4796" w:rsidRPr="008C4796" w:rsidRDefault="008C4796" w:rsidP="00DA4EFD">
            <w:pPr>
              <w:pStyle w:val="tableheaderwithintable"/>
              <w:keepNext w:val="0"/>
              <w:spacing w:before="20" w:after="20"/>
              <w:jc w:val="left"/>
              <w:rPr>
                <w:b w:val="0"/>
                <w:i w:val="0"/>
              </w:rPr>
            </w:pPr>
            <w:r w:rsidRPr="008C4796">
              <w:rPr>
                <w:b w:val="0"/>
                <w:i w:val="0"/>
              </w:rPr>
              <w:t xml:space="preserve">Items 7 and 8 of the Energy Grants Amendment Bill 2015, paragraph 77H(1)(a) and subsection 77H(2) of the </w:t>
            </w:r>
            <w:r w:rsidRPr="00F32F0A">
              <w:rPr>
                <w:b w:val="0"/>
              </w:rPr>
              <w:t>Excise Act 1901</w:t>
            </w:r>
          </w:p>
        </w:tc>
        <w:tc>
          <w:tcPr>
            <w:tcW w:w="1980" w:type="dxa"/>
          </w:tcPr>
          <w:p w14:paraId="08246A06" w14:textId="77777777" w:rsidR="008C4796" w:rsidRPr="008C4796" w:rsidRDefault="008C4796" w:rsidP="00FA6346">
            <w:pPr>
              <w:pStyle w:val="tableheaderwithintable"/>
              <w:keepNext w:val="0"/>
              <w:ind w:left="511"/>
              <w:jc w:val="left"/>
              <w:rPr>
                <w:b w:val="0"/>
                <w:i w:val="0"/>
              </w:rPr>
            </w:pPr>
            <w:r w:rsidRPr="008C4796">
              <w:rPr>
                <w:b w:val="0"/>
                <w:i w:val="0"/>
              </w:rPr>
              <w:t>1.33</w:t>
            </w:r>
          </w:p>
        </w:tc>
      </w:tr>
      <w:tr w:rsidR="008C4796" w:rsidRPr="00442FB9" w14:paraId="1F5D97A7" w14:textId="77777777" w:rsidTr="00854CBB">
        <w:tc>
          <w:tcPr>
            <w:tcW w:w="5760" w:type="dxa"/>
          </w:tcPr>
          <w:p w14:paraId="4E166B30" w14:textId="77777777" w:rsidR="008C4796" w:rsidRPr="008C4796" w:rsidRDefault="008C4796" w:rsidP="00DA4EFD">
            <w:pPr>
              <w:pStyle w:val="tableheaderwithintable"/>
              <w:keepNext w:val="0"/>
              <w:spacing w:before="20" w:after="20"/>
              <w:jc w:val="left"/>
              <w:rPr>
                <w:b w:val="0"/>
                <w:i w:val="0"/>
              </w:rPr>
            </w:pPr>
            <w:r w:rsidRPr="008C4796">
              <w:rPr>
                <w:b w:val="0"/>
                <w:i w:val="0"/>
              </w:rPr>
              <w:t xml:space="preserve">Items 7 and 8 and subitem 11(2) of the Energy Grants Amendment Bill 2015, paragraph 77H(1)(a) and subsection 77H(2) of the </w:t>
            </w:r>
            <w:r w:rsidRPr="00F32F0A">
              <w:rPr>
                <w:b w:val="0"/>
              </w:rPr>
              <w:t>Excise Act 1901</w:t>
            </w:r>
          </w:p>
        </w:tc>
        <w:tc>
          <w:tcPr>
            <w:tcW w:w="1980" w:type="dxa"/>
          </w:tcPr>
          <w:p w14:paraId="4D1AFCB5" w14:textId="77777777" w:rsidR="008C4796" w:rsidRPr="008C4796" w:rsidRDefault="008C4796" w:rsidP="00FA6346">
            <w:pPr>
              <w:pStyle w:val="tableheaderwithintable"/>
              <w:keepNext w:val="0"/>
              <w:ind w:left="511"/>
              <w:jc w:val="left"/>
              <w:rPr>
                <w:b w:val="0"/>
                <w:i w:val="0"/>
              </w:rPr>
            </w:pPr>
            <w:r w:rsidRPr="008C4796">
              <w:rPr>
                <w:b w:val="0"/>
                <w:i w:val="0"/>
              </w:rPr>
              <w:t>1.44</w:t>
            </w:r>
          </w:p>
        </w:tc>
      </w:tr>
      <w:tr w:rsidR="008C4796" w:rsidRPr="00442FB9" w14:paraId="5A7F186F" w14:textId="77777777" w:rsidTr="00854CBB">
        <w:tc>
          <w:tcPr>
            <w:tcW w:w="5760" w:type="dxa"/>
          </w:tcPr>
          <w:p w14:paraId="648FAAB9" w14:textId="77777777" w:rsidR="008C4796" w:rsidRPr="008C4796" w:rsidRDefault="008C4796" w:rsidP="00DA4EFD">
            <w:pPr>
              <w:pStyle w:val="tableheaderwithintable"/>
              <w:keepNext w:val="0"/>
              <w:spacing w:before="20" w:after="20"/>
              <w:jc w:val="left"/>
              <w:rPr>
                <w:b w:val="0"/>
                <w:i w:val="0"/>
              </w:rPr>
            </w:pPr>
            <w:r w:rsidRPr="008C4796">
              <w:rPr>
                <w:b w:val="0"/>
                <w:i w:val="0"/>
              </w:rPr>
              <w:t xml:space="preserve">Item 8 of the Energy Grants Amendment Bill 2015, subsection 77H(2) of the </w:t>
            </w:r>
            <w:r w:rsidRPr="00F32F0A">
              <w:rPr>
                <w:b w:val="0"/>
              </w:rPr>
              <w:t>Excise Act 1901</w:t>
            </w:r>
          </w:p>
        </w:tc>
        <w:tc>
          <w:tcPr>
            <w:tcW w:w="1980" w:type="dxa"/>
          </w:tcPr>
          <w:p w14:paraId="769558DD" w14:textId="77777777" w:rsidR="008C4796" w:rsidRPr="008C4796" w:rsidRDefault="008C4796" w:rsidP="00FA6346">
            <w:pPr>
              <w:pStyle w:val="tableheaderwithintable"/>
              <w:keepNext w:val="0"/>
              <w:ind w:left="511"/>
              <w:jc w:val="left"/>
              <w:rPr>
                <w:b w:val="0"/>
                <w:i w:val="0"/>
              </w:rPr>
            </w:pPr>
            <w:r w:rsidRPr="008C4796">
              <w:rPr>
                <w:b w:val="0"/>
                <w:i w:val="0"/>
              </w:rPr>
              <w:t>1.32</w:t>
            </w:r>
          </w:p>
        </w:tc>
      </w:tr>
      <w:tr w:rsidR="008C4796" w:rsidRPr="00442FB9" w14:paraId="0D47E335" w14:textId="77777777" w:rsidTr="00854CBB">
        <w:tc>
          <w:tcPr>
            <w:tcW w:w="5760" w:type="dxa"/>
          </w:tcPr>
          <w:p w14:paraId="58D947CB" w14:textId="77777777" w:rsidR="008C4796" w:rsidRPr="008C4796" w:rsidRDefault="008C4796" w:rsidP="00DA4EFD">
            <w:pPr>
              <w:pStyle w:val="tableheaderwithintable"/>
              <w:keepNext w:val="0"/>
              <w:spacing w:before="20" w:after="20"/>
              <w:jc w:val="left"/>
              <w:rPr>
                <w:b w:val="0"/>
                <w:i w:val="0"/>
              </w:rPr>
            </w:pPr>
            <w:r w:rsidRPr="008C4796">
              <w:rPr>
                <w:b w:val="0"/>
                <w:i w:val="0"/>
              </w:rPr>
              <w:t>Item 9, Energy Grants Amendment Bill 2015, subsection 43</w:t>
            </w:r>
            <w:r w:rsidR="00700B2E">
              <w:rPr>
                <w:b w:val="0"/>
                <w:i w:val="0"/>
              </w:rPr>
              <w:noBreakHyphen/>
            </w:r>
            <w:r w:rsidRPr="008C4796">
              <w:rPr>
                <w:b w:val="0"/>
                <w:i w:val="0"/>
              </w:rPr>
              <w:t xml:space="preserve">7(7) of the </w:t>
            </w:r>
            <w:r w:rsidRPr="00F32F0A">
              <w:rPr>
                <w:b w:val="0"/>
              </w:rPr>
              <w:t>Fuel Tax Act 2006</w:t>
            </w:r>
          </w:p>
        </w:tc>
        <w:tc>
          <w:tcPr>
            <w:tcW w:w="1980" w:type="dxa"/>
          </w:tcPr>
          <w:p w14:paraId="22A41F0C" w14:textId="77777777" w:rsidR="008C4796" w:rsidRPr="008C4796" w:rsidRDefault="008C4796" w:rsidP="00FA6346">
            <w:pPr>
              <w:pStyle w:val="tableheaderwithintable"/>
              <w:keepNext w:val="0"/>
              <w:ind w:left="511"/>
              <w:jc w:val="left"/>
              <w:rPr>
                <w:b w:val="0"/>
                <w:i w:val="0"/>
              </w:rPr>
            </w:pPr>
            <w:r w:rsidRPr="008C4796">
              <w:rPr>
                <w:b w:val="0"/>
                <w:i w:val="0"/>
              </w:rPr>
              <w:t>1.34</w:t>
            </w:r>
          </w:p>
        </w:tc>
      </w:tr>
      <w:tr w:rsidR="008C4796" w:rsidRPr="00442FB9" w14:paraId="57F49160" w14:textId="77777777" w:rsidTr="00854CBB">
        <w:tc>
          <w:tcPr>
            <w:tcW w:w="5760" w:type="dxa"/>
          </w:tcPr>
          <w:p w14:paraId="19E4258C" w14:textId="77777777" w:rsidR="008C4796" w:rsidRPr="008C4796" w:rsidRDefault="008C4796" w:rsidP="00DA4EFD">
            <w:pPr>
              <w:pStyle w:val="tableheaderwithintable"/>
              <w:keepNext w:val="0"/>
              <w:spacing w:before="20" w:after="20"/>
              <w:jc w:val="left"/>
              <w:rPr>
                <w:b w:val="0"/>
                <w:i w:val="0"/>
              </w:rPr>
            </w:pPr>
            <w:r w:rsidRPr="008C4796">
              <w:rPr>
                <w:b w:val="0"/>
                <w:i w:val="0"/>
              </w:rPr>
              <w:t>Item 9 and subitem 11(3) of the Energy Grants Amendment Bill 2015, section 43</w:t>
            </w:r>
            <w:r w:rsidR="00700B2E">
              <w:rPr>
                <w:b w:val="0"/>
                <w:i w:val="0"/>
              </w:rPr>
              <w:noBreakHyphen/>
            </w:r>
            <w:r w:rsidRPr="008C4796">
              <w:rPr>
                <w:b w:val="0"/>
                <w:i w:val="0"/>
              </w:rPr>
              <w:t>1 and subsection 43</w:t>
            </w:r>
            <w:r w:rsidR="00700B2E">
              <w:rPr>
                <w:b w:val="0"/>
                <w:i w:val="0"/>
              </w:rPr>
              <w:noBreakHyphen/>
            </w:r>
            <w:r w:rsidRPr="008C4796">
              <w:rPr>
                <w:b w:val="0"/>
                <w:i w:val="0"/>
              </w:rPr>
              <w:t xml:space="preserve">7(7) of the </w:t>
            </w:r>
            <w:r w:rsidRPr="00F32F0A">
              <w:rPr>
                <w:b w:val="0"/>
              </w:rPr>
              <w:t>Fuel Tax Act 2006</w:t>
            </w:r>
          </w:p>
        </w:tc>
        <w:tc>
          <w:tcPr>
            <w:tcW w:w="1980" w:type="dxa"/>
          </w:tcPr>
          <w:p w14:paraId="608135A9" w14:textId="77777777" w:rsidR="008C4796" w:rsidRPr="008C4796" w:rsidRDefault="008C4796" w:rsidP="00FA6346">
            <w:pPr>
              <w:pStyle w:val="tableheaderwithintable"/>
              <w:keepNext w:val="0"/>
              <w:ind w:left="511"/>
              <w:jc w:val="left"/>
              <w:rPr>
                <w:b w:val="0"/>
                <w:i w:val="0"/>
              </w:rPr>
            </w:pPr>
            <w:r w:rsidRPr="008C4796">
              <w:rPr>
                <w:b w:val="0"/>
                <w:i w:val="0"/>
              </w:rPr>
              <w:t>1.45</w:t>
            </w:r>
          </w:p>
        </w:tc>
      </w:tr>
      <w:tr w:rsidR="008C4796" w:rsidRPr="00442FB9" w14:paraId="3A5531DF" w14:textId="77777777" w:rsidTr="00854CBB">
        <w:tc>
          <w:tcPr>
            <w:tcW w:w="5760" w:type="dxa"/>
          </w:tcPr>
          <w:p w14:paraId="5C79E8D0" w14:textId="77777777" w:rsidR="008C4796" w:rsidRPr="008C4796" w:rsidRDefault="008C4796" w:rsidP="00DA4EFD">
            <w:pPr>
              <w:pStyle w:val="tableheaderwithintable"/>
              <w:keepNext w:val="0"/>
              <w:spacing w:before="20" w:after="20"/>
              <w:jc w:val="left"/>
              <w:rPr>
                <w:b w:val="0"/>
                <w:i w:val="0"/>
              </w:rPr>
            </w:pPr>
            <w:r w:rsidRPr="008C4796">
              <w:rPr>
                <w:b w:val="0"/>
                <w:i w:val="0"/>
              </w:rPr>
              <w:t>Item 10 of the Energy Grants Amendment Bill 2015, subparagraph 75</w:t>
            </w:r>
            <w:r w:rsidR="00700B2E">
              <w:rPr>
                <w:b w:val="0"/>
                <w:i w:val="0"/>
              </w:rPr>
              <w:noBreakHyphen/>
            </w:r>
            <w:r w:rsidRPr="008C4796">
              <w:rPr>
                <w:b w:val="0"/>
                <w:i w:val="0"/>
              </w:rPr>
              <w:t xml:space="preserve">15(1)(c)(iv) of the </w:t>
            </w:r>
            <w:r w:rsidRPr="00F32F0A">
              <w:rPr>
                <w:b w:val="0"/>
              </w:rPr>
              <w:t>Fuel Tax Act 2006</w:t>
            </w:r>
          </w:p>
        </w:tc>
        <w:tc>
          <w:tcPr>
            <w:tcW w:w="1980" w:type="dxa"/>
          </w:tcPr>
          <w:p w14:paraId="4BE564B4" w14:textId="77777777" w:rsidR="008C4796" w:rsidRPr="008C4796" w:rsidRDefault="008C4796" w:rsidP="00FA6346">
            <w:pPr>
              <w:pStyle w:val="tableheaderwithintable"/>
              <w:keepNext w:val="0"/>
              <w:ind w:left="511"/>
              <w:jc w:val="left"/>
              <w:rPr>
                <w:b w:val="0"/>
                <w:i w:val="0"/>
              </w:rPr>
            </w:pPr>
            <w:r w:rsidRPr="008C4796">
              <w:rPr>
                <w:b w:val="0"/>
                <w:i w:val="0"/>
              </w:rPr>
              <w:t>1.36</w:t>
            </w:r>
          </w:p>
        </w:tc>
      </w:tr>
      <w:tr w:rsidR="008C4796" w:rsidRPr="00442FB9" w14:paraId="6E72949E" w14:textId="77777777" w:rsidTr="00854CBB">
        <w:tc>
          <w:tcPr>
            <w:tcW w:w="5760" w:type="dxa"/>
          </w:tcPr>
          <w:p w14:paraId="716701BD" w14:textId="77777777" w:rsidR="008C4796" w:rsidRPr="008C4796" w:rsidRDefault="008C4796" w:rsidP="00DA4EFD">
            <w:pPr>
              <w:pStyle w:val="tableheaderwithintable"/>
              <w:keepNext w:val="0"/>
              <w:spacing w:before="20" w:after="20"/>
              <w:jc w:val="left"/>
              <w:rPr>
                <w:b w:val="0"/>
                <w:i w:val="0"/>
              </w:rPr>
            </w:pPr>
            <w:r w:rsidRPr="008C4796">
              <w:rPr>
                <w:b w:val="0"/>
                <w:i w:val="0"/>
              </w:rPr>
              <w:t>Item 12 of the Energy Grants Amendment Bill 2015</w:t>
            </w:r>
          </w:p>
        </w:tc>
        <w:tc>
          <w:tcPr>
            <w:tcW w:w="1980" w:type="dxa"/>
          </w:tcPr>
          <w:p w14:paraId="17BAA5AD" w14:textId="77777777" w:rsidR="008C4796" w:rsidRPr="008C4796" w:rsidRDefault="008C4796" w:rsidP="00FA6346">
            <w:pPr>
              <w:pStyle w:val="tableheaderwithintable"/>
              <w:keepNext w:val="0"/>
              <w:ind w:left="511"/>
              <w:jc w:val="left"/>
              <w:rPr>
                <w:b w:val="0"/>
                <w:i w:val="0"/>
              </w:rPr>
            </w:pPr>
            <w:r w:rsidRPr="008C4796">
              <w:rPr>
                <w:b w:val="0"/>
                <w:i w:val="0"/>
              </w:rPr>
              <w:t>1.46</w:t>
            </w:r>
          </w:p>
        </w:tc>
      </w:tr>
      <w:tr w:rsidR="008C4796" w:rsidRPr="00442FB9" w14:paraId="3C79B325" w14:textId="77777777" w:rsidTr="00854CBB">
        <w:tc>
          <w:tcPr>
            <w:tcW w:w="5760" w:type="dxa"/>
          </w:tcPr>
          <w:p w14:paraId="3CBC6922" w14:textId="77777777" w:rsidR="008C4796" w:rsidRPr="008C4796" w:rsidRDefault="008C4796" w:rsidP="00DA4EFD">
            <w:pPr>
              <w:pStyle w:val="tableheaderwithintable"/>
              <w:keepNext w:val="0"/>
              <w:spacing w:before="20" w:after="20"/>
              <w:jc w:val="left"/>
              <w:rPr>
                <w:b w:val="0"/>
                <w:i w:val="0"/>
              </w:rPr>
            </w:pPr>
            <w:r w:rsidRPr="008C4796">
              <w:rPr>
                <w:b w:val="0"/>
                <w:i w:val="0"/>
              </w:rPr>
              <w:t>Item 13 of the Energy Grants Amendment Bill 2015, EGCFS 2004</w:t>
            </w:r>
          </w:p>
        </w:tc>
        <w:tc>
          <w:tcPr>
            <w:tcW w:w="1980" w:type="dxa"/>
          </w:tcPr>
          <w:p w14:paraId="231A213C" w14:textId="77777777" w:rsidR="008C4796" w:rsidRPr="008C4796" w:rsidRDefault="008C4796" w:rsidP="00FA6346">
            <w:pPr>
              <w:pStyle w:val="tableheaderwithintable"/>
              <w:keepNext w:val="0"/>
              <w:ind w:left="511"/>
              <w:jc w:val="left"/>
              <w:rPr>
                <w:b w:val="0"/>
                <w:i w:val="0"/>
              </w:rPr>
            </w:pPr>
            <w:r w:rsidRPr="008C4796">
              <w:rPr>
                <w:b w:val="0"/>
                <w:i w:val="0"/>
              </w:rPr>
              <w:t>1.24</w:t>
            </w:r>
          </w:p>
        </w:tc>
      </w:tr>
      <w:tr w:rsidR="008C4796" w:rsidRPr="00442FB9" w14:paraId="56C6B025" w14:textId="77777777" w:rsidTr="00854CBB">
        <w:tc>
          <w:tcPr>
            <w:tcW w:w="5760" w:type="dxa"/>
          </w:tcPr>
          <w:p w14:paraId="23DA5CB3" w14:textId="77777777" w:rsidR="008C4796" w:rsidRPr="008C4796" w:rsidRDefault="008C4796" w:rsidP="00DA4EFD">
            <w:pPr>
              <w:pStyle w:val="tableheaderwithintable"/>
              <w:keepNext w:val="0"/>
              <w:spacing w:before="20" w:after="20"/>
              <w:jc w:val="left"/>
              <w:rPr>
                <w:b w:val="0"/>
                <w:i w:val="0"/>
              </w:rPr>
            </w:pPr>
            <w:r w:rsidRPr="008C4796">
              <w:rPr>
                <w:b w:val="0"/>
                <w:i w:val="0"/>
              </w:rPr>
              <w:t xml:space="preserve">Item 14 of the Energy Grants Amendment Bill 2015, paragraph (a) of the definition of </w:t>
            </w:r>
            <w:r w:rsidR="00700B2E">
              <w:rPr>
                <w:b w:val="0"/>
                <w:i w:val="0"/>
              </w:rPr>
              <w:t>‘</w:t>
            </w:r>
            <w:r w:rsidRPr="008C4796">
              <w:rPr>
                <w:b w:val="0"/>
                <w:i w:val="0"/>
              </w:rPr>
              <w:t>liquid fuel product</w:t>
            </w:r>
            <w:r w:rsidR="00700B2E">
              <w:rPr>
                <w:b w:val="0"/>
                <w:i w:val="0"/>
              </w:rPr>
              <w:t>’</w:t>
            </w:r>
            <w:r w:rsidRPr="008C4796">
              <w:rPr>
                <w:b w:val="0"/>
                <w:i w:val="0"/>
              </w:rPr>
              <w:t xml:space="preserve"> in subsection 6(1) of the </w:t>
            </w:r>
            <w:r w:rsidRPr="00F32F0A">
              <w:rPr>
                <w:b w:val="0"/>
              </w:rPr>
              <w:t>Coastal Trading (Revitalising Australian Shipping) Act 2012</w:t>
            </w:r>
          </w:p>
        </w:tc>
        <w:tc>
          <w:tcPr>
            <w:tcW w:w="1980" w:type="dxa"/>
          </w:tcPr>
          <w:p w14:paraId="0B22F2BB" w14:textId="77777777" w:rsidR="008C4796" w:rsidRPr="008C4796" w:rsidRDefault="008C4796" w:rsidP="00FA6346">
            <w:pPr>
              <w:pStyle w:val="tableheaderwithintable"/>
              <w:keepNext w:val="0"/>
              <w:ind w:left="511"/>
              <w:jc w:val="left"/>
              <w:rPr>
                <w:b w:val="0"/>
                <w:i w:val="0"/>
              </w:rPr>
            </w:pPr>
            <w:r w:rsidRPr="008C4796">
              <w:rPr>
                <w:b w:val="0"/>
                <w:i w:val="0"/>
              </w:rPr>
              <w:t>1.38</w:t>
            </w:r>
          </w:p>
        </w:tc>
      </w:tr>
      <w:tr w:rsidR="008C4796" w:rsidRPr="00442FB9" w14:paraId="03F0B720" w14:textId="77777777" w:rsidTr="00854CBB">
        <w:tc>
          <w:tcPr>
            <w:tcW w:w="5760" w:type="dxa"/>
          </w:tcPr>
          <w:p w14:paraId="1F606ED5" w14:textId="77777777" w:rsidR="008C4796" w:rsidRPr="008C4796" w:rsidRDefault="008C4796" w:rsidP="00DA4EFD">
            <w:pPr>
              <w:pStyle w:val="tableheaderwithintable"/>
              <w:keepNext w:val="0"/>
              <w:spacing w:before="20" w:after="20"/>
              <w:jc w:val="left"/>
              <w:rPr>
                <w:b w:val="0"/>
                <w:i w:val="0"/>
              </w:rPr>
            </w:pPr>
            <w:r w:rsidRPr="008C4796">
              <w:rPr>
                <w:b w:val="0"/>
                <w:i w:val="0"/>
              </w:rPr>
              <w:t>Items 15 to 24 of the Energy Gran</w:t>
            </w:r>
            <w:r w:rsidR="00FA6346">
              <w:rPr>
                <w:b w:val="0"/>
                <w:i w:val="0"/>
              </w:rPr>
              <w:t>ts Amendment Bill 2015, section </w:t>
            </w:r>
            <w:r w:rsidRPr="008C4796">
              <w:rPr>
                <w:b w:val="0"/>
                <w:i w:val="0"/>
              </w:rPr>
              <w:t>43</w:t>
            </w:r>
            <w:r w:rsidR="00700B2E">
              <w:rPr>
                <w:b w:val="0"/>
                <w:i w:val="0"/>
              </w:rPr>
              <w:noBreakHyphen/>
            </w:r>
            <w:r w:rsidRPr="008C4796">
              <w:rPr>
                <w:b w:val="0"/>
                <w:i w:val="0"/>
              </w:rPr>
              <w:t>1 and subsections 43</w:t>
            </w:r>
            <w:r w:rsidR="00700B2E">
              <w:rPr>
                <w:b w:val="0"/>
                <w:i w:val="0"/>
              </w:rPr>
              <w:noBreakHyphen/>
            </w:r>
            <w:r w:rsidRPr="008C4796">
              <w:rPr>
                <w:b w:val="0"/>
                <w:i w:val="0"/>
              </w:rPr>
              <w:t>5(3), 43</w:t>
            </w:r>
            <w:r w:rsidR="00700B2E">
              <w:rPr>
                <w:b w:val="0"/>
                <w:i w:val="0"/>
              </w:rPr>
              <w:noBreakHyphen/>
            </w:r>
            <w:r w:rsidRPr="008C4796">
              <w:rPr>
                <w:b w:val="0"/>
                <w:i w:val="0"/>
              </w:rPr>
              <w:t>10(1), 43</w:t>
            </w:r>
            <w:r w:rsidR="00700B2E">
              <w:rPr>
                <w:b w:val="0"/>
                <w:i w:val="0"/>
              </w:rPr>
              <w:noBreakHyphen/>
            </w:r>
            <w:r w:rsidRPr="008C4796">
              <w:rPr>
                <w:b w:val="0"/>
                <w:i w:val="0"/>
              </w:rPr>
              <w:t>10(2) and 43</w:t>
            </w:r>
            <w:r w:rsidR="00700B2E">
              <w:rPr>
                <w:b w:val="0"/>
                <w:i w:val="0"/>
              </w:rPr>
              <w:noBreakHyphen/>
            </w:r>
            <w:r w:rsidRPr="008C4796">
              <w:rPr>
                <w:b w:val="0"/>
                <w:i w:val="0"/>
              </w:rPr>
              <w:t xml:space="preserve">10(6) of the Fuel Tax Act 2006, definition of </w:t>
            </w:r>
            <w:r w:rsidR="00700B2E">
              <w:rPr>
                <w:b w:val="0"/>
                <w:i w:val="0"/>
              </w:rPr>
              <w:t>‘</w:t>
            </w:r>
            <w:r w:rsidRPr="008C4796">
              <w:rPr>
                <w:b w:val="0"/>
                <w:i w:val="0"/>
              </w:rPr>
              <w:t>cleaner fuel</w:t>
            </w:r>
            <w:r w:rsidR="00700B2E">
              <w:rPr>
                <w:b w:val="0"/>
                <w:i w:val="0"/>
              </w:rPr>
              <w:t>’</w:t>
            </w:r>
            <w:r w:rsidRPr="008C4796">
              <w:rPr>
                <w:b w:val="0"/>
                <w:i w:val="0"/>
              </w:rPr>
              <w:t xml:space="preserve"> in section 5, table item 4 in section 8, subsection 9(5), sections 16A and 27B of the </w:t>
            </w:r>
            <w:r w:rsidRPr="00FA6346">
              <w:rPr>
                <w:b w:val="0"/>
              </w:rPr>
              <w:t xml:space="preserve">Product Grants </w:t>
            </w:r>
            <w:r w:rsidR="00FA6346">
              <w:rPr>
                <w:b w:val="0"/>
              </w:rPr>
              <w:t>and Benefits Administration Act </w:t>
            </w:r>
            <w:r w:rsidRPr="00FA6346">
              <w:rPr>
                <w:b w:val="0"/>
              </w:rPr>
              <w:t>2000</w:t>
            </w:r>
            <w:r w:rsidRPr="008C4796">
              <w:rPr>
                <w:b w:val="0"/>
                <w:i w:val="0"/>
              </w:rPr>
              <w:t xml:space="preserve"> and table item</w:t>
            </w:r>
            <w:r w:rsidR="00F32F0A">
              <w:rPr>
                <w:b w:val="0"/>
                <w:i w:val="0"/>
              </w:rPr>
              <w:t> </w:t>
            </w:r>
            <w:r w:rsidRPr="008C4796">
              <w:rPr>
                <w:b w:val="0"/>
                <w:i w:val="0"/>
              </w:rPr>
              <w:t>1 in subsection 355</w:t>
            </w:r>
            <w:r w:rsidR="00700B2E">
              <w:rPr>
                <w:b w:val="0"/>
                <w:i w:val="0"/>
              </w:rPr>
              <w:noBreakHyphen/>
            </w:r>
            <w:r w:rsidRPr="008C4796">
              <w:rPr>
                <w:b w:val="0"/>
                <w:i w:val="0"/>
              </w:rPr>
              <w:t xml:space="preserve">65(7) in Schedule 1 to the </w:t>
            </w:r>
            <w:r w:rsidRPr="00F32F0A">
              <w:rPr>
                <w:b w:val="0"/>
              </w:rPr>
              <w:t>Taxation Administration Act 1953</w:t>
            </w:r>
          </w:p>
        </w:tc>
        <w:tc>
          <w:tcPr>
            <w:tcW w:w="1980" w:type="dxa"/>
          </w:tcPr>
          <w:p w14:paraId="5188B0BA" w14:textId="77777777" w:rsidR="008C4796" w:rsidRPr="008C4796" w:rsidRDefault="008C4796" w:rsidP="00FA6346">
            <w:pPr>
              <w:pStyle w:val="tableheaderwithintable"/>
              <w:keepNext w:val="0"/>
              <w:ind w:left="511"/>
              <w:jc w:val="left"/>
              <w:rPr>
                <w:b w:val="0"/>
                <w:i w:val="0"/>
              </w:rPr>
            </w:pPr>
            <w:r w:rsidRPr="008C4796">
              <w:rPr>
                <w:b w:val="0"/>
                <w:i w:val="0"/>
              </w:rPr>
              <w:t>1.37</w:t>
            </w:r>
          </w:p>
        </w:tc>
      </w:tr>
      <w:tr w:rsidR="008C4796" w:rsidRPr="00442FB9" w14:paraId="5752E7C2" w14:textId="77777777" w:rsidTr="00854CBB">
        <w:tc>
          <w:tcPr>
            <w:tcW w:w="5760" w:type="dxa"/>
          </w:tcPr>
          <w:p w14:paraId="44ADFB26" w14:textId="77777777" w:rsidR="008C4796" w:rsidRPr="008C4796" w:rsidRDefault="008C4796" w:rsidP="00DA4EFD">
            <w:pPr>
              <w:pStyle w:val="tableheaderwithintable"/>
              <w:keepNext w:val="0"/>
              <w:spacing w:before="20" w:after="20"/>
              <w:jc w:val="left"/>
              <w:rPr>
                <w:b w:val="0"/>
                <w:i w:val="0"/>
              </w:rPr>
            </w:pPr>
            <w:r w:rsidRPr="008C4796">
              <w:rPr>
                <w:b w:val="0"/>
                <w:i w:val="0"/>
              </w:rPr>
              <w:t>Items 25 and 27 of the Energy Grants Amendment Bill 2015</w:t>
            </w:r>
          </w:p>
        </w:tc>
        <w:tc>
          <w:tcPr>
            <w:tcW w:w="1980" w:type="dxa"/>
          </w:tcPr>
          <w:p w14:paraId="6188C74E" w14:textId="77777777" w:rsidR="008C4796" w:rsidRPr="008C4796" w:rsidRDefault="008C4796" w:rsidP="00FA6346">
            <w:pPr>
              <w:pStyle w:val="tableheaderwithintable"/>
              <w:keepNext w:val="0"/>
              <w:ind w:left="511"/>
              <w:jc w:val="left"/>
              <w:rPr>
                <w:b w:val="0"/>
                <w:i w:val="0"/>
              </w:rPr>
            </w:pPr>
            <w:r w:rsidRPr="008C4796">
              <w:rPr>
                <w:b w:val="0"/>
                <w:i w:val="0"/>
              </w:rPr>
              <w:t>1.42</w:t>
            </w:r>
          </w:p>
        </w:tc>
      </w:tr>
    </w:tbl>
    <w:p w14:paraId="2291D0F3" w14:textId="77777777" w:rsidR="00854CBB" w:rsidRDefault="00854CBB" w:rsidP="00854CBB">
      <w:pPr>
        <w:sectPr w:rsidR="00854CBB" w:rsidSect="00821379">
          <w:headerReference w:type="default" r:id="rId34"/>
          <w:type w:val="oddPage"/>
          <w:pgSz w:w="11906" w:h="16838" w:code="9"/>
          <w:pgMar w:top="2466" w:right="2098" w:bottom="2466" w:left="2098" w:header="1559" w:footer="1899" w:gutter="0"/>
          <w:cols w:space="708"/>
          <w:titlePg/>
          <w:docGrid w:linePitch="360"/>
        </w:sectPr>
      </w:pPr>
    </w:p>
    <w:p w14:paraId="4F09BB17" w14:textId="77777777" w:rsidR="001C1173" w:rsidRDefault="001C1173" w:rsidP="00854CBB"/>
    <w:sectPr w:rsidR="001C1173" w:rsidSect="00821379">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6A371" w14:textId="77777777" w:rsidR="00700B2E" w:rsidRDefault="00700B2E">
      <w:r>
        <w:separator/>
      </w:r>
    </w:p>
  </w:endnote>
  <w:endnote w:type="continuationSeparator" w:id="0">
    <w:p w14:paraId="3B82C7E8" w14:textId="77777777" w:rsidR="00700B2E" w:rsidRDefault="00700B2E">
      <w:r>
        <w:continuationSeparator/>
      </w:r>
    </w:p>
  </w:endnote>
  <w:endnote w:type="continuationNotice" w:id="1">
    <w:p w14:paraId="4C3FFDDF" w14:textId="77777777" w:rsidR="00700B2E" w:rsidRDefault="00700B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FBC1A" w14:textId="77777777" w:rsidR="00700B2E" w:rsidRDefault="00700B2E" w:rsidP="000A27D1">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8DA3" w14:textId="77777777" w:rsidR="00700B2E" w:rsidRDefault="00700B2E" w:rsidP="000943CF">
    <w:pPr>
      <w:pStyle w:val="rightfooter"/>
    </w:pPr>
    <w:r>
      <w:fldChar w:fldCharType="begin"/>
    </w:r>
    <w:r>
      <w:instrText xml:space="preserve"> PAGE   \* MERGEFORMAT </w:instrText>
    </w:r>
    <w:r>
      <w:fldChar w:fldCharType="separate"/>
    </w:r>
    <w:r w:rsidR="00510415">
      <w:rPr>
        <w:noProof/>
      </w:rPr>
      <w:t>21</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34EE2" w14:textId="77777777" w:rsidR="00700B2E" w:rsidRDefault="00700B2E" w:rsidP="000943CF">
    <w:pPr>
      <w:pStyle w:val="rightfooter"/>
    </w:pPr>
    <w:r>
      <w:fldChar w:fldCharType="begin"/>
    </w:r>
    <w:r>
      <w:instrText xml:space="preserve"> PAGE  \* Arabic  \* MERGEFORMAT </w:instrText>
    </w:r>
    <w:r>
      <w:fldChar w:fldCharType="separate"/>
    </w:r>
    <w:r w:rsidR="00510415">
      <w:rPr>
        <w:noProof/>
      </w:rPr>
      <w:t>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D95AF" w14:textId="77777777" w:rsidR="00700B2E" w:rsidRDefault="00700B2E" w:rsidP="000A27D1">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6B50D" w14:textId="77777777" w:rsidR="00700B2E" w:rsidRDefault="00700B2E" w:rsidP="000A27D1">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F6913" w14:textId="77777777" w:rsidR="00700B2E" w:rsidRDefault="00700B2E" w:rsidP="000A27D1">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609D" w14:textId="77777777" w:rsidR="00700B2E" w:rsidRPr="00B2068E" w:rsidRDefault="00700B2E" w:rsidP="000A27D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1BDEB" w14:textId="77777777" w:rsidR="00700B2E" w:rsidRDefault="00700B2E" w:rsidP="000943CF">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13F2B" w14:textId="77777777" w:rsidR="00700B2E" w:rsidRDefault="00700B2E" w:rsidP="000943CF">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6A8A6" w14:textId="77777777" w:rsidR="00700B2E" w:rsidRDefault="00700B2E" w:rsidP="000943CF">
    <w:pPr>
      <w:pStyle w:val="rightfooter"/>
    </w:pPr>
    <w:r>
      <w:fldChar w:fldCharType="begin"/>
    </w:r>
    <w:r>
      <w:instrText xml:space="preserve"> PAGE  \* Arabic  \* MERGEFORMAT </w:instrText>
    </w:r>
    <w:r>
      <w:fldChar w:fldCharType="separate"/>
    </w:r>
    <w:r w:rsidR="00510415">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FACF" w14:textId="77777777" w:rsidR="00700B2E" w:rsidRDefault="00700B2E" w:rsidP="000943CF">
    <w:pPr>
      <w:pStyle w:val="leftfooter"/>
    </w:pPr>
    <w:r>
      <w:fldChar w:fldCharType="begin"/>
    </w:r>
    <w:r>
      <w:instrText xml:space="preserve"> PAGE   \* MERGEFORMAT </w:instrText>
    </w:r>
    <w:r>
      <w:fldChar w:fldCharType="separate"/>
    </w:r>
    <w:r w:rsidR="00510415">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B3FC4" w14:textId="77777777" w:rsidR="00700B2E" w:rsidRDefault="00700B2E">
      <w:r>
        <w:separator/>
      </w:r>
    </w:p>
  </w:footnote>
  <w:footnote w:type="continuationSeparator" w:id="0">
    <w:p w14:paraId="7E3F2C75" w14:textId="77777777" w:rsidR="00700B2E" w:rsidRDefault="00700B2E">
      <w:r>
        <w:continuationSeparator/>
      </w:r>
    </w:p>
  </w:footnote>
  <w:footnote w:type="continuationNotice" w:id="1">
    <w:p w14:paraId="1634121B" w14:textId="77777777" w:rsidR="00700B2E" w:rsidRDefault="00700B2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D4E2A" w14:textId="77777777" w:rsidR="00700B2E" w:rsidRDefault="00700B2E" w:rsidP="000A27D1">
    <w:pPr>
      <w:pStyle w:val="leftheader"/>
    </w:pPr>
    <w:r w:rsidRPr="00687EFC">
      <w:t>Excise Tariff Amendment (</w:t>
    </w:r>
    <w:r>
      <w:t>Fuel Indexation</w:t>
    </w:r>
    <w:r w:rsidRPr="00687EFC">
      <w:t>) Bill 2014</w:t>
    </w:r>
    <w:r>
      <w:t xml:space="preserve">, Customs Tariff Amendment (Fuel Indexation) Bill 2014, </w:t>
    </w:r>
    <w:r w:rsidRPr="00C315A7">
      <w:t>F</w:t>
    </w:r>
    <w:r>
      <w:t xml:space="preserve">uel Indexation Road Infrastructure Special Account Bill 2014, </w:t>
    </w:r>
    <w:r>
      <w:rPr>
        <w:szCs w:val="22"/>
        <w:lang w:val="en"/>
      </w:rPr>
      <w:t>Fuel Indexation (Road Infrastructure Investment) Bill 2014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BB183" w14:textId="77777777" w:rsidR="00700B2E" w:rsidRDefault="00700B2E" w:rsidP="000943CF">
    <w:pPr>
      <w:pStyle w:val="rightheader"/>
    </w:pPr>
    <w:r>
      <w:t>Taxation c</w:t>
    </w:r>
    <w:r w:rsidRPr="000D66B6">
      <w:t xml:space="preserve">hanges to </w:t>
    </w:r>
    <w:r>
      <w:t xml:space="preserve">fuel </w:t>
    </w:r>
    <w:r w:rsidRPr="000D66B6">
      <w:t>ethanol</w:t>
    </w:r>
    <w:r>
      <w:t xml:space="preserve"> and</w:t>
    </w:r>
    <w:r w:rsidRPr="000D66B6">
      <w:t xml:space="preserve"> biodiesel</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4B9C1" w14:textId="77777777" w:rsidR="00700B2E" w:rsidRDefault="00700B2E" w:rsidP="000943CF">
    <w:pPr>
      <w:pStyle w:val="rightheader"/>
    </w:pPr>
    <w:r>
      <w:t>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99F1C" w14:textId="77777777" w:rsidR="00700B2E" w:rsidRDefault="00700B2E" w:rsidP="000A27D1">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7513" w14:textId="77777777" w:rsidR="00700B2E" w:rsidRDefault="00510415" w:rsidP="000A27D1">
    <w:pPr>
      <w:pStyle w:val="Header"/>
      <w:tabs>
        <w:tab w:val="clear" w:pos="4153"/>
        <w:tab w:val="clear" w:pos="8306"/>
        <w:tab w:val="left" w:pos="693"/>
      </w:tabs>
      <w:jc w:val="center"/>
    </w:pPr>
    <w:r>
      <w:rPr>
        <w:noProof/>
      </w:rPr>
      <w:pict w14:anchorId="19EF7121">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63.8pt;margin-top:89.65pt;width:264.75pt;height:418.5pt;rotation:-277233fd;z-index:251658240" o:allowincell="f" fillcolor="silver" stroked="f">
          <v:fill opacity=".5"/>
          <v:shadow color="#868686"/>
          <v:textpath style="font-family:&quot;Arial Black&quot;;font-size:66pt;v-text-kern:t" trim="t" fitpath="t" string=" "/>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C42B2" w14:textId="77777777" w:rsidR="00700B2E" w:rsidRDefault="00700B2E" w:rsidP="000A27D1">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205D5" w14:textId="77777777" w:rsidR="00700B2E" w:rsidRDefault="00700B2E" w:rsidP="000A27D1">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0F99" w14:textId="77777777" w:rsidR="00700B2E" w:rsidRDefault="00700B2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08A38" w14:textId="77777777" w:rsidR="00700B2E" w:rsidRDefault="00700B2E" w:rsidP="000943CF">
    <w:pPr>
      <w:pStyle w:val="left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A6E8" w14:textId="77777777" w:rsidR="00700B2E" w:rsidRDefault="00700B2E" w:rsidP="000943CF">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993B2" w14:textId="77777777" w:rsidR="00700B2E" w:rsidRDefault="00700B2E" w:rsidP="000943CF">
    <w:pPr>
      <w:pStyle w:val="leftheader"/>
    </w:pPr>
    <w:r w:rsidRPr="00907128">
      <w:t xml:space="preserve">Excise Tariff Amendment (Ethanol and </w:t>
    </w:r>
    <w:r>
      <w:t>Biodiesel</w:t>
    </w:r>
    <w:r w:rsidRPr="00907128">
      <w:t>) Bill 201</w:t>
    </w:r>
    <w:r>
      <w:t xml:space="preserve">5, </w:t>
    </w:r>
    <w:r w:rsidRPr="00907128">
      <w:t xml:space="preserve">Energy Grants </w:t>
    </w:r>
    <w:r>
      <w:t xml:space="preserve">and Other Legislation </w:t>
    </w:r>
    <w:r w:rsidRPr="00907128">
      <w:t xml:space="preserve">Amendment (Ethanol and </w:t>
    </w:r>
    <w:r>
      <w:t>Biodiesel</w:t>
    </w:r>
    <w:r w:rsidRPr="00907128">
      <w:t>) Bill 201</w:t>
    </w:r>
    <w:r>
      <w:t>5</w:t>
    </w:r>
    <w:r w:rsidRPr="00907128">
      <w:rPr>
        <w:i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6D98FC9A"/>
    <w:numStyleLink w:val="TableDotPointList"/>
  </w:abstractNum>
  <w:abstractNum w:abstractNumId="13">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5920796"/>
    <w:multiLevelType w:val="multilevel"/>
    <w:tmpl w:val="BA1094E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2"/>
  </w:num>
  <w:num w:numId="14">
    <w:abstractNumId w:val="23"/>
  </w:num>
  <w:num w:numId="15">
    <w:abstractNumId w:val="15"/>
  </w:num>
  <w:num w:numId="16">
    <w:abstractNumId w:val="18"/>
  </w:num>
  <w:num w:numId="17">
    <w:abstractNumId w:val="20"/>
  </w:num>
  <w:num w:numId="18">
    <w:abstractNumId w:val="10"/>
  </w:num>
  <w:num w:numId="19">
    <w:abstractNumId w:val="12"/>
  </w:num>
  <w:num w:numId="20">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ascii="Times New Roman" w:hAnsi="Times New Roman" w:cs="Times New Roman"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9"/>
  </w:num>
  <w:num w:numId="2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1"/>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1"/>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abstractNumId w:val="21"/>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1"/>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3F"/>
    <w:rsid w:val="00002EF5"/>
    <w:rsid w:val="00007715"/>
    <w:rsid w:val="000115A8"/>
    <w:rsid w:val="0001221B"/>
    <w:rsid w:val="00012F66"/>
    <w:rsid w:val="00016F6F"/>
    <w:rsid w:val="0001749A"/>
    <w:rsid w:val="00020DDC"/>
    <w:rsid w:val="00022483"/>
    <w:rsid w:val="00022E85"/>
    <w:rsid w:val="00023273"/>
    <w:rsid w:val="00023C2E"/>
    <w:rsid w:val="00024EEB"/>
    <w:rsid w:val="000327A2"/>
    <w:rsid w:val="0003305A"/>
    <w:rsid w:val="00034BE8"/>
    <w:rsid w:val="00043E33"/>
    <w:rsid w:val="000478F6"/>
    <w:rsid w:val="00050170"/>
    <w:rsid w:val="000506EB"/>
    <w:rsid w:val="00054D24"/>
    <w:rsid w:val="000553A6"/>
    <w:rsid w:val="0005600E"/>
    <w:rsid w:val="000603BB"/>
    <w:rsid w:val="00061773"/>
    <w:rsid w:val="00061B27"/>
    <w:rsid w:val="00061C43"/>
    <w:rsid w:val="0006304C"/>
    <w:rsid w:val="00064E98"/>
    <w:rsid w:val="00065324"/>
    <w:rsid w:val="00066BBC"/>
    <w:rsid w:val="00067E1D"/>
    <w:rsid w:val="000705A5"/>
    <w:rsid w:val="00070681"/>
    <w:rsid w:val="000725C0"/>
    <w:rsid w:val="000725E2"/>
    <w:rsid w:val="00075250"/>
    <w:rsid w:val="00075CE5"/>
    <w:rsid w:val="00076543"/>
    <w:rsid w:val="000835C7"/>
    <w:rsid w:val="00085C5D"/>
    <w:rsid w:val="00087EF2"/>
    <w:rsid w:val="0009055D"/>
    <w:rsid w:val="00091E2A"/>
    <w:rsid w:val="000943CF"/>
    <w:rsid w:val="000960B7"/>
    <w:rsid w:val="000A0AFD"/>
    <w:rsid w:val="000A2094"/>
    <w:rsid w:val="000A27D1"/>
    <w:rsid w:val="000A341E"/>
    <w:rsid w:val="000A42A7"/>
    <w:rsid w:val="000A5B26"/>
    <w:rsid w:val="000A65DF"/>
    <w:rsid w:val="000A6DBE"/>
    <w:rsid w:val="000A7661"/>
    <w:rsid w:val="000B7FBA"/>
    <w:rsid w:val="000C06D9"/>
    <w:rsid w:val="000C2C5C"/>
    <w:rsid w:val="000C616A"/>
    <w:rsid w:val="000C67EC"/>
    <w:rsid w:val="000D54A6"/>
    <w:rsid w:val="000E089D"/>
    <w:rsid w:val="000E3A06"/>
    <w:rsid w:val="000E5B14"/>
    <w:rsid w:val="000E5B9A"/>
    <w:rsid w:val="000F1AE7"/>
    <w:rsid w:val="000F1B4F"/>
    <w:rsid w:val="000F42D2"/>
    <w:rsid w:val="000F7268"/>
    <w:rsid w:val="000F74D8"/>
    <w:rsid w:val="00100456"/>
    <w:rsid w:val="001004BA"/>
    <w:rsid w:val="00106505"/>
    <w:rsid w:val="00106604"/>
    <w:rsid w:val="001114E6"/>
    <w:rsid w:val="00113022"/>
    <w:rsid w:val="001134EA"/>
    <w:rsid w:val="00113E18"/>
    <w:rsid w:val="00113E19"/>
    <w:rsid w:val="00121EB0"/>
    <w:rsid w:val="00123D96"/>
    <w:rsid w:val="0012405D"/>
    <w:rsid w:val="001243DA"/>
    <w:rsid w:val="00124E15"/>
    <w:rsid w:val="001260A3"/>
    <w:rsid w:val="0013071C"/>
    <w:rsid w:val="00131CF8"/>
    <w:rsid w:val="00131E0C"/>
    <w:rsid w:val="00140E36"/>
    <w:rsid w:val="0014197C"/>
    <w:rsid w:val="00145EF9"/>
    <w:rsid w:val="00146DDC"/>
    <w:rsid w:val="00147843"/>
    <w:rsid w:val="0015042B"/>
    <w:rsid w:val="00152CDD"/>
    <w:rsid w:val="00153148"/>
    <w:rsid w:val="00170C0D"/>
    <w:rsid w:val="00172B65"/>
    <w:rsid w:val="00173777"/>
    <w:rsid w:val="00174A29"/>
    <w:rsid w:val="0017526E"/>
    <w:rsid w:val="001757E2"/>
    <w:rsid w:val="00181780"/>
    <w:rsid w:val="00182E62"/>
    <w:rsid w:val="00186C62"/>
    <w:rsid w:val="001878AB"/>
    <w:rsid w:val="001948CA"/>
    <w:rsid w:val="00197E4B"/>
    <w:rsid w:val="001A0592"/>
    <w:rsid w:val="001A494A"/>
    <w:rsid w:val="001A7A18"/>
    <w:rsid w:val="001B6415"/>
    <w:rsid w:val="001B70A4"/>
    <w:rsid w:val="001C0A98"/>
    <w:rsid w:val="001C1173"/>
    <w:rsid w:val="001C148B"/>
    <w:rsid w:val="001D0DA5"/>
    <w:rsid w:val="001D6DBB"/>
    <w:rsid w:val="001D7FC1"/>
    <w:rsid w:val="001E6545"/>
    <w:rsid w:val="00200DE9"/>
    <w:rsid w:val="00200E96"/>
    <w:rsid w:val="00201B36"/>
    <w:rsid w:val="00202B77"/>
    <w:rsid w:val="00207A8A"/>
    <w:rsid w:val="00215980"/>
    <w:rsid w:val="00215C35"/>
    <w:rsid w:val="00220D6C"/>
    <w:rsid w:val="00221E19"/>
    <w:rsid w:val="00222D57"/>
    <w:rsid w:val="00222E11"/>
    <w:rsid w:val="002264E7"/>
    <w:rsid w:val="00231CBA"/>
    <w:rsid w:val="002347AA"/>
    <w:rsid w:val="00235E5C"/>
    <w:rsid w:val="00236A1C"/>
    <w:rsid w:val="00241921"/>
    <w:rsid w:val="00242266"/>
    <w:rsid w:val="0024385D"/>
    <w:rsid w:val="00244C64"/>
    <w:rsid w:val="00245B7A"/>
    <w:rsid w:val="00250154"/>
    <w:rsid w:val="0025178C"/>
    <w:rsid w:val="0025246B"/>
    <w:rsid w:val="00252BDC"/>
    <w:rsid w:val="0025391F"/>
    <w:rsid w:val="00257163"/>
    <w:rsid w:val="00263BB6"/>
    <w:rsid w:val="00266048"/>
    <w:rsid w:val="00272FD3"/>
    <w:rsid w:val="002744F3"/>
    <w:rsid w:val="002767AE"/>
    <w:rsid w:val="00277A0F"/>
    <w:rsid w:val="00282925"/>
    <w:rsid w:val="00284312"/>
    <w:rsid w:val="002857E2"/>
    <w:rsid w:val="002874B7"/>
    <w:rsid w:val="00290B95"/>
    <w:rsid w:val="00291AD1"/>
    <w:rsid w:val="002A30B2"/>
    <w:rsid w:val="002A4742"/>
    <w:rsid w:val="002A4F1C"/>
    <w:rsid w:val="002A64A2"/>
    <w:rsid w:val="002C0D42"/>
    <w:rsid w:val="002C180E"/>
    <w:rsid w:val="002C43E8"/>
    <w:rsid w:val="002D2436"/>
    <w:rsid w:val="002D6555"/>
    <w:rsid w:val="002D6B1C"/>
    <w:rsid w:val="002D7085"/>
    <w:rsid w:val="002D7679"/>
    <w:rsid w:val="002E267A"/>
    <w:rsid w:val="002E2E15"/>
    <w:rsid w:val="002E3A4D"/>
    <w:rsid w:val="002E3F4E"/>
    <w:rsid w:val="002E43CF"/>
    <w:rsid w:val="002E5FD3"/>
    <w:rsid w:val="002E615C"/>
    <w:rsid w:val="002E6D2A"/>
    <w:rsid w:val="002F16B5"/>
    <w:rsid w:val="002F1D6D"/>
    <w:rsid w:val="002F2244"/>
    <w:rsid w:val="002F3991"/>
    <w:rsid w:val="002F4D28"/>
    <w:rsid w:val="002F75B0"/>
    <w:rsid w:val="00300A39"/>
    <w:rsid w:val="00307C1E"/>
    <w:rsid w:val="00312DAF"/>
    <w:rsid w:val="00316E5F"/>
    <w:rsid w:val="003175ED"/>
    <w:rsid w:val="00320374"/>
    <w:rsid w:val="00321738"/>
    <w:rsid w:val="0032493C"/>
    <w:rsid w:val="003261EE"/>
    <w:rsid w:val="003306FA"/>
    <w:rsid w:val="00331491"/>
    <w:rsid w:val="0033283D"/>
    <w:rsid w:val="003339CD"/>
    <w:rsid w:val="0033420E"/>
    <w:rsid w:val="003355A2"/>
    <w:rsid w:val="0034193E"/>
    <w:rsid w:val="00341C15"/>
    <w:rsid w:val="00345CCB"/>
    <w:rsid w:val="00346BEB"/>
    <w:rsid w:val="003501C2"/>
    <w:rsid w:val="003505E3"/>
    <w:rsid w:val="00354868"/>
    <w:rsid w:val="00357044"/>
    <w:rsid w:val="003609D1"/>
    <w:rsid w:val="00361ED0"/>
    <w:rsid w:val="00362E12"/>
    <w:rsid w:val="003665C8"/>
    <w:rsid w:val="0036787F"/>
    <w:rsid w:val="00370AE1"/>
    <w:rsid w:val="00370CF4"/>
    <w:rsid w:val="003714E8"/>
    <w:rsid w:val="003719A4"/>
    <w:rsid w:val="003751D4"/>
    <w:rsid w:val="00375217"/>
    <w:rsid w:val="00376FAF"/>
    <w:rsid w:val="00377CD4"/>
    <w:rsid w:val="00380119"/>
    <w:rsid w:val="00386A6F"/>
    <w:rsid w:val="00387BAB"/>
    <w:rsid w:val="0039400F"/>
    <w:rsid w:val="003A212C"/>
    <w:rsid w:val="003A311E"/>
    <w:rsid w:val="003A5A84"/>
    <w:rsid w:val="003A5D7E"/>
    <w:rsid w:val="003B2C77"/>
    <w:rsid w:val="003B550D"/>
    <w:rsid w:val="003B6C9F"/>
    <w:rsid w:val="003B71F4"/>
    <w:rsid w:val="003C1301"/>
    <w:rsid w:val="003C26EB"/>
    <w:rsid w:val="003C2900"/>
    <w:rsid w:val="003C3D47"/>
    <w:rsid w:val="003C4E0E"/>
    <w:rsid w:val="003C5BA3"/>
    <w:rsid w:val="003C6EE7"/>
    <w:rsid w:val="003C71BB"/>
    <w:rsid w:val="003D6FD9"/>
    <w:rsid w:val="003D7F02"/>
    <w:rsid w:val="003E0794"/>
    <w:rsid w:val="003E5B31"/>
    <w:rsid w:val="003E6629"/>
    <w:rsid w:val="003E68F7"/>
    <w:rsid w:val="003E6B6D"/>
    <w:rsid w:val="003F0070"/>
    <w:rsid w:val="003F096C"/>
    <w:rsid w:val="003F4BD0"/>
    <w:rsid w:val="003F4FAE"/>
    <w:rsid w:val="00400421"/>
    <w:rsid w:val="00402D74"/>
    <w:rsid w:val="004038D7"/>
    <w:rsid w:val="00403CAF"/>
    <w:rsid w:val="00410E73"/>
    <w:rsid w:val="004134F2"/>
    <w:rsid w:val="00414501"/>
    <w:rsid w:val="00415F48"/>
    <w:rsid w:val="00417BCD"/>
    <w:rsid w:val="004249C7"/>
    <w:rsid w:val="0042633B"/>
    <w:rsid w:val="00426453"/>
    <w:rsid w:val="0042736F"/>
    <w:rsid w:val="0043004D"/>
    <w:rsid w:val="004313A0"/>
    <w:rsid w:val="0043366C"/>
    <w:rsid w:val="00433B1D"/>
    <w:rsid w:val="00433FD9"/>
    <w:rsid w:val="00434D4B"/>
    <w:rsid w:val="00436054"/>
    <w:rsid w:val="00441D38"/>
    <w:rsid w:val="00442FB9"/>
    <w:rsid w:val="0044391B"/>
    <w:rsid w:val="00445760"/>
    <w:rsid w:val="00447FFA"/>
    <w:rsid w:val="00450635"/>
    <w:rsid w:val="004511A9"/>
    <w:rsid w:val="00451346"/>
    <w:rsid w:val="00451BB3"/>
    <w:rsid w:val="00452F01"/>
    <w:rsid w:val="004557E8"/>
    <w:rsid w:val="00456E42"/>
    <w:rsid w:val="00457BC3"/>
    <w:rsid w:val="00460019"/>
    <w:rsid w:val="004603A4"/>
    <w:rsid w:val="00460614"/>
    <w:rsid w:val="00464A80"/>
    <w:rsid w:val="00465A34"/>
    <w:rsid w:val="00470181"/>
    <w:rsid w:val="004710EB"/>
    <w:rsid w:val="00471D0A"/>
    <w:rsid w:val="0047241B"/>
    <w:rsid w:val="00475D9F"/>
    <w:rsid w:val="00477FFD"/>
    <w:rsid w:val="00480C91"/>
    <w:rsid w:val="00480D83"/>
    <w:rsid w:val="004823E0"/>
    <w:rsid w:val="004836D2"/>
    <w:rsid w:val="00484F22"/>
    <w:rsid w:val="00486DD8"/>
    <w:rsid w:val="00487E16"/>
    <w:rsid w:val="00490EDA"/>
    <w:rsid w:val="004971F7"/>
    <w:rsid w:val="004A3E5C"/>
    <w:rsid w:val="004A7032"/>
    <w:rsid w:val="004A7A67"/>
    <w:rsid w:val="004A7F70"/>
    <w:rsid w:val="004B011C"/>
    <w:rsid w:val="004B755A"/>
    <w:rsid w:val="004B76E2"/>
    <w:rsid w:val="004B77CA"/>
    <w:rsid w:val="004C1468"/>
    <w:rsid w:val="004C44FB"/>
    <w:rsid w:val="004C5091"/>
    <w:rsid w:val="004D0622"/>
    <w:rsid w:val="004D4125"/>
    <w:rsid w:val="004D567C"/>
    <w:rsid w:val="004D67D0"/>
    <w:rsid w:val="004D6B85"/>
    <w:rsid w:val="004D76D0"/>
    <w:rsid w:val="004E161F"/>
    <w:rsid w:val="004E26F3"/>
    <w:rsid w:val="004E6082"/>
    <w:rsid w:val="004E6749"/>
    <w:rsid w:val="004F3051"/>
    <w:rsid w:val="004F5412"/>
    <w:rsid w:val="004F6DB8"/>
    <w:rsid w:val="004F7569"/>
    <w:rsid w:val="00502551"/>
    <w:rsid w:val="00504ADD"/>
    <w:rsid w:val="005052B0"/>
    <w:rsid w:val="00505D30"/>
    <w:rsid w:val="0050652E"/>
    <w:rsid w:val="005074C8"/>
    <w:rsid w:val="00510415"/>
    <w:rsid w:val="005137A1"/>
    <w:rsid w:val="00513C39"/>
    <w:rsid w:val="00514634"/>
    <w:rsid w:val="00515E69"/>
    <w:rsid w:val="005177DF"/>
    <w:rsid w:val="00517B68"/>
    <w:rsid w:val="00523617"/>
    <w:rsid w:val="00524F1A"/>
    <w:rsid w:val="005255EA"/>
    <w:rsid w:val="00525A43"/>
    <w:rsid w:val="005307AA"/>
    <w:rsid w:val="00530C53"/>
    <w:rsid w:val="0053245B"/>
    <w:rsid w:val="005369FC"/>
    <w:rsid w:val="005371D0"/>
    <w:rsid w:val="00537A5D"/>
    <w:rsid w:val="005408E6"/>
    <w:rsid w:val="00541990"/>
    <w:rsid w:val="0054284D"/>
    <w:rsid w:val="0054331D"/>
    <w:rsid w:val="005435D1"/>
    <w:rsid w:val="00550276"/>
    <w:rsid w:val="005558D2"/>
    <w:rsid w:val="00555D38"/>
    <w:rsid w:val="00560C14"/>
    <w:rsid w:val="005619EF"/>
    <w:rsid w:val="00566FF7"/>
    <w:rsid w:val="00571387"/>
    <w:rsid w:val="00572DB7"/>
    <w:rsid w:val="0057331D"/>
    <w:rsid w:val="00580C19"/>
    <w:rsid w:val="00584174"/>
    <w:rsid w:val="00585AFF"/>
    <w:rsid w:val="0059301F"/>
    <w:rsid w:val="00593453"/>
    <w:rsid w:val="00593F7E"/>
    <w:rsid w:val="005961A5"/>
    <w:rsid w:val="005A090E"/>
    <w:rsid w:val="005A2311"/>
    <w:rsid w:val="005A41B9"/>
    <w:rsid w:val="005A5348"/>
    <w:rsid w:val="005A5BB3"/>
    <w:rsid w:val="005A76CC"/>
    <w:rsid w:val="005B22C7"/>
    <w:rsid w:val="005B546F"/>
    <w:rsid w:val="005C00EF"/>
    <w:rsid w:val="005C0475"/>
    <w:rsid w:val="005C2B1A"/>
    <w:rsid w:val="005C2FA3"/>
    <w:rsid w:val="005C6030"/>
    <w:rsid w:val="005C6FB4"/>
    <w:rsid w:val="005C70E4"/>
    <w:rsid w:val="005C71DD"/>
    <w:rsid w:val="005D0422"/>
    <w:rsid w:val="005D0F90"/>
    <w:rsid w:val="005D4CD5"/>
    <w:rsid w:val="005D64D0"/>
    <w:rsid w:val="005D6694"/>
    <w:rsid w:val="005E5910"/>
    <w:rsid w:val="005E741D"/>
    <w:rsid w:val="005E76A1"/>
    <w:rsid w:val="005E77E1"/>
    <w:rsid w:val="005F0FCA"/>
    <w:rsid w:val="005F2895"/>
    <w:rsid w:val="005F4164"/>
    <w:rsid w:val="005F5AB2"/>
    <w:rsid w:val="005F5E46"/>
    <w:rsid w:val="005F6468"/>
    <w:rsid w:val="0060211C"/>
    <w:rsid w:val="0060267E"/>
    <w:rsid w:val="006037EC"/>
    <w:rsid w:val="006071CA"/>
    <w:rsid w:val="006071E9"/>
    <w:rsid w:val="00615D1E"/>
    <w:rsid w:val="00621923"/>
    <w:rsid w:val="006225F6"/>
    <w:rsid w:val="00626917"/>
    <w:rsid w:val="00630709"/>
    <w:rsid w:val="00632A88"/>
    <w:rsid w:val="0063380F"/>
    <w:rsid w:val="006412C3"/>
    <w:rsid w:val="00644434"/>
    <w:rsid w:val="006447AF"/>
    <w:rsid w:val="00645FBD"/>
    <w:rsid w:val="006532CC"/>
    <w:rsid w:val="00653B05"/>
    <w:rsid w:val="00653DA2"/>
    <w:rsid w:val="00656104"/>
    <w:rsid w:val="00661D33"/>
    <w:rsid w:val="00662BBB"/>
    <w:rsid w:val="006655F9"/>
    <w:rsid w:val="00667068"/>
    <w:rsid w:val="00667DBC"/>
    <w:rsid w:val="006707F8"/>
    <w:rsid w:val="00671041"/>
    <w:rsid w:val="006712FD"/>
    <w:rsid w:val="00672F32"/>
    <w:rsid w:val="00676AC8"/>
    <w:rsid w:val="00677834"/>
    <w:rsid w:val="00677BD6"/>
    <w:rsid w:val="0068338E"/>
    <w:rsid w:val="006857AE"/>
    <w:rsid w:val="00690C66"/>
    <w:rsid w:val="006916A8"/>
    <w:rsid w:val="00692A5F"/>
    <w:rsid w:val="00692C19"/>
    <w:rsid w:val="0069532D"/>
    <w:rsid w:val="00695E53"/>
    <w:rsid w:val="00695EBA"/>
    <w:rsid w:val="0069760F"/>
    <w:rsid w:val="006A0D5D"/>
    <w:rsid w:val="006A0FDF"/>
    <w:rsid w:val="006A1C54"/>
    <w:rsid w:val="006A4718"/>
    <w:rsid w:val="006A4795"/>
    <w:rsid w:val="006A7A1A"/>
    <w:rsid w:val="006B6D17"/>
    <w:rsid w:val="006C2F3A"/>
    <w:rsid w:val="006C3CEB"/>
    <w:rsid w:val="006D4184"/>
    <w:rsid w:val="006D4B80"/>
    <w:rsid w:val="006D4CA4"/>
    <w:rsid w:val="006E01A2"/>
    <w:rsid w:val="006E08FB"/>
    <w:rsid w:val="006E31E0"/>
    <w:rsid w:val="006E66DA"/>
    <w:rsid w:val="006E68E2"/>
    <w:rsid w:val="006E69F4"/>
    <w:rsid w:val="006F09B6"/>
    <w:rsid w:val="006F4939"/>
    <w:rsid w:val="006F60F8"/>
    <w:rsid w:val="006F7AFB"/>
    <w:rsid w:val="006F7B2E"/>
    <w:rsid w:val="007001D0"/>
    <w:rsid w:val="00700B2E"/>
    <w:rsid w:val="00703C25"/>
    <w:rsid w:val="007055FC"/>
    <w:rsid w:val="00707D39"/>
    <w:rsid w:val="00710171"/>
    <w:rsid w:val="007145BF"/>
    <w:rsid w:val="007155B4"/>
    <w:rsid w:val="00715893"/>
    <w:rsid w:val="007227AC"/>
    <w:rsid w:val="007236A9"/>
    <w:rsid w:val="00725B4F"/>
    <w:rsid w:val="007329C5"/>
    <w:rsid w:val="00736240"/>
    <w:rsid w:val="00742D2D"/>
    <w:rsid w:val="0074302D"/>
    <w:rsid w:val="007439D0"/>
    <w:rsid w:val="00745310"/>
    <w:rsid w:val="007454F8"/>
    <w:rsid w:val="00745A28"/>
    <w:rsid w:val="00746931"/>
    <w:rsid w:val="00750120"/>
    <w:rsid w:val="007505D5"/>
    <w:rsid w:val="007520B5"/>
    <w:rsid w:val="00753239"/>
    <w:rsid w:val="00754ED1"/>
    <w:rsid w:val="00755197"/>
    <w:rsid w:val="007562CE"/>
    <w:rsid w:val="00762AAE"/>
    <w:rsid w:val="007644E1"/>
    <w:rsid w:val="007652BC"/>
    <w:rsid w:val="00773AAA"/>
    <w:rsid w:val="00774214"/>
    <w:rsid w:val="0077567B"/>
    <w:rsid w:val="0077593F"/>
    <w:rsid w:val="00777F95"/>
    <w:rsid w:val="00777FA7"/>
    <w:rsid w:val="00780E04"/>
    <w:rsid w:val="00784A70"/>
    <w:rsid w:val="00786A06"/>
    <w:rsid w:val="007871CD"/>
    <w:rsid w:val="007873AD"/>
    <w:rsid w:val="007900B0"/>
    <w:rsid w:val="00790795"/>
    <w:rsid w:val="00792ECD"/>
    <w:rsid w:val="00793DEE"/>
    <w:rsid w:val="00793F75"/>
    <w:rsid w:val="007966EF"/>
    <w:rsid w:val="00796810"/>
    <w:rsid w:val="0079780B"/>
    <w:rsid w:val="00797BA8"/>
    <w:rsid w:val="007A1343"/>
    <w:rsid w:val="007A1BCB"/>
    <w:rsid w:val="007A253F"/>
    <w:rsid w:val="007A2832"/>
    <w:rsid w:val="007A4C99"/>
    <w:rsid w:val="007A53C2"/>
    <w:rsid w:val="007A7CA2"/>
    <w:rsid w:val="007B0131"/>
    <w:rsid w:val="007B159E"/>
    <w:rsid w:val="007B188B"/>
    <w:rsid w:val="007B23EE"/>
    <w:rsid w:val="007B3327"/>
    <w:rsid w:val="007B6B52"/>
    <w:rsid w:val="007C07EE"/>
    <w:rsid w:val="007C0CC3"/>
    <w:rsid w:val="007C1B9A"/>
    <w:rsid w:val="007C6639"/>
    <w:rsid w:val="007D1821"/>
    <w:rsid w:val="007E25E0"/>
    <w:rsid w:val="007E3C31"/>
    <w:rsid w:val="007E4CF6"/>
    <w:rsid w:val="007E4DBF"/>
    <w:rsid w:val="007E58D8"/>
    <w:rsid w:val="007E7AD0"/>
    <w:rsid w:val="008048A6"/>
    <w:rsid w:val="008065E3"/>
    <w:rsid w:val="00813210"/>
    <w:rsid w:val="008147F1"/>
    <w:rsid w:val="0081521B"/>
    <w:rsid w:val="00820245"/>
    <w:rsid w:val="008212B5"/>
    <w:rsid w:val="00821379"/>
    <w:rsid w:val="0082194D"/>
    <w:rsid w:val="00826EA0"/>
    <w:rsid w:val="00827930"/>
    <w:rsid w:val="00830A28"/>
    <w:rsid w:val="00831608"/>
    <w:rsid w:val="00832743"/>
    <w:rsid w:val="00835001"/>
    <w:rsid w:val="00844687"/>
    <w:rsid w:val="00846997"/>
    <w:rsid w:val="00850C7C"/>
    <w:rsid w:val="00854CBB"/>
    <w:rsid w:val="00854CDC"/>
    <w:rsid w:val="00855D57"/>
    <w:rsid w:val="008565EE"/>
    <w:rsid w:val="00863D0C"/>
    <w:rsid w:val="00867819"/>
    <w:rsid w:val="00867F0F"/>
    <w:rsid w:val="008752F1"/>
    <w:rsid w:val="008817D8"/>
    <w:rsid w:val="00884BC3"/>
    <w:rsid w:val="00885BE8"/>
    <w:rsid w:val="008873FD"/>
    <w:rsid w:val="00890245"/>
    <w:rsid w:val="008923A4"/>
    <w:rsid w:val="0089506C"/>
    <w:rsid w:val="008953CB"/>
    <w:rsid w:val="008A0892"/>
    <w:rsid w:val="008A2B67"/>
    <w:rsid w:val="008A44CD"/>
    <w:rsid w:val="008A6A7C"/>
    <w:rsid w:val="008A767A"/>
    <w:rsid w:val="008B0747"/>
    <w:rsid w:val="008B095D"/>
    <w:rsid w:val="008B31CE"/>
    <w:rsid w:val="008B37ED"/>
    <w:rsid w:val="008B3E17"/>
    <w:rsid w:val="008B56B5"/>
    <w:rsid w:val="008B68B7"/>
    <w:rsid w:val="008B6C9F"/>
    <w:rsid w:val="008B7FD6"/>
    <w:rsid w:val="008C359D"/>
    <w:rsid w:val="008C3E03"/>
    <w:rsid w:val="008C4796"/>
    <w:rsid w:val="008C51F4"/>
    <w:rsid w:val="008C68A9"/>
    <w:rsid w:val="008D0AE4"/>
    <w:rsid w:val="008D34F4"/>
    <w:rsid w:val="008D4C40"/>
    <w:rsid w:val="008D4EDA"/>
    <w:rsid w:val="008D593C"/>
    <w:rsid w:val="008D75E9"/>
    <w:rsid w:val="008E2270"/>
    <w:rsid w:val="008E233F"/>
    <w:rsid w:val="008E6061"/>
    <w:rsid w:val="008E6134"/>
    <w:rsid w:val="008F08C7"/>
    <w:rsid w:val="008F1A67"/>
    <w:rsid w:val="008F38B8"/>
    <w:rsid w:val="008F4D57"/>
    <w:rsid w:val="008F6C19"/>
    <w:rsid w:val="008F726E"/>
    <w:rsid w:val="00900BFD"/>
    <w:rsid w:val="00901258"/>
    <w:rsid w:val="00901ED2"/>
    <w:rsid w:val="009060C1"/>
    <w:rsid w:val="00906CE5"/>
    <w:rsid w:val="009125BB"/>
    <w:rsid w:val="0091345D"/>
    <w:rsid w:val="009139AA"/>
    <w:rsid w:val="00914EE4"/>
    <w:rsid w:val="00916221"/>
    <w:rsid w:val="00917735"/>
    <w:rsid w:val="00917DED"/>
    <w:rsid w:val="00922787"/>
    <w:rsid w:val="0092535E"/>
    <w:rsid w:val="00925DFA"/>
    <w:rsid w:val="00926E36"/>
    <w:rsid w:val="0092737C"/>
    <w:rsid w:val="00931535"/>
    <w:rsid w:val="00931B94"/>
    <w:rsid w:val="009323DF"/>
    <w:rsid w:val="00933EBD"/>
    <w:rsid w:val="00935C6B"/>
    <w:rsid w:val="00936C12"/>
    <w:rsid w:val="00936EE0"/>
    <w:rsid w:val="00937B71"/>
    <w:rsid w:val="009404B5"/>
    <w:rsid w:val="00940FC8"/>
    <w:rsid w:val="009448AB"/>
    <w:rsid w:val="00946012"/>
    <w:rsid w:val="0095290C"/>
    <w:rsid w:val="009530DE"/>
    <w:rsid w:val="00953D0F"/>
    <w:rsid w:val="00953F17"/>
    <w:rsid w:val="009544A7"/>
    <w:rsid w:val="009615B2"/>
    <w:rsid w:val="009631C5"/>
    <w:rsid w:val="0096411E"/>
    <w:rsid w:val="00964C1E"/>
    <w:rsid w:val="009658FF"/>
    <w:rsid w:val="00973550"/>
    <w:rsid w:val="009759C8"/>
    <w:rsid w:val="009766D8"/>
    <w:rsid w:val="00977FCE"/>
    <w:rsid w:val="009916D7"/>
    <w:rsid w:val="009920F1"/>
    <w:rsid w:val="00995FFD"/>
    <w:rsid w:val="0099729B"/>
    <w:rsid w:val="009977B4"/>
    <w:rsid w:val="00997812"/>
    <w:rsid w:val="009A1AC4"/>
    <w:rsid w:val="009A2B11"/>
    <w:rsid w:val="009A3534"/>
    <w:rsid w:val="009A451E"/>
    <w:rsid w:val="009B0AB7"/>
    <w:rsid w:val="009B18DD"/>
    <w:rsid w:val="009B1D71"/>
    <w:rsid w:val="009B2635"/>
    <w:rsid w:val="009B2AD6"/>
    <w:rsid w:val="009B3657"/>
    <w:rsid w:val="009B673A"/>
    <w:rsid w:val="009C14C1"/>
    <w:rsid w:val="009C380E"/>
    <w:rsid w:val="009D0D08"/>
    <w:rsid w:val="009D285A"/>
    <w:rsid w:val="009D4935"/>
    <w:rsid w:val="009E1E87"/>
    <w:rsid w:val="009E2212"/>
    <w:rsid w:val="009E5ACA"/>
    <w:rsid w:val="009E6C76"/>
    <w:rsid w:val="009F1F8B"/>
    <w:rsid w:val="009F352A"/>
    <w:rsid w:val="009F6550"/>
    <w:rsid w:val="00A01492"/>
    <w:rsid w:val="00A03E30"/>
    <w:rsid w:val="00A04A9F"/>
    <w:rsid w:val="00A0529E"/>
    <w:rsid w:val="00A06F1A"/>
    <w:rsid w:val="00A07DDF"/>
    <w:rsid w:val="00A1198E"/>
    <w:rsid w:val="00A1431F"/>
    <w:rsid w:val="00A167CA"/>
    <w:rsid w:val="00A20A00"/>
    <w:rsid w:val="00A22C72"/>
    <w:rsid w:val="00A2332F"/>
    <w:rsid w:val="00A25ED0"/>
    <w:rsid w:val="00A26CE3"/>
    <w:rsid w:val="00A27B13"/>
    <w:rsid w:val="00A27B94"/>
    <w:rsid w:val="00A300E3"/>
    <w:rsid w:val="00A32143"/>
    <w:rsid w:val="00A32F3F"/>
    <w:rsid w:val="00A332EA"/>
    <w:rsid w:val="00A35183"/>
    <w:rsid w:val="00A37F77"/>
    <w:rsid w:val="00A437A3"/>
    <w:rsid w:val="00A4486A"/>
    <w:rsid w:val="00A44E9C"/>
    <w:rsid w:val="00A47F34"/>
    <w:rsid w:val="00A503D6"/>
    <w:rsid w:val="00A516CB"/>
    <w:rsid w:val="00A51BAF"/>
    <w:rsid w:val="00A53EB2"/>
    <w:rsid w:val="00A54CD3"/>
    <w:rsid w:val="00A55C84"/>
    <w:rsid w:val="00A575AE"/>
    <w:rsid w:val="00A61321"/>
    <w:rsid w:val="00A61D50"/>
    <w:rsid w:val="00A61E66"/>
    <w:rsid w:val="00A65D09"/>
    <w:rsid w:val="00A67427"/>
    <w:rsid w:val="00A70649"/>
    <w:rsid w:val="00A711A3"/>
    <w:rsid w:val="00A722B0"/>
    <w:rsid w:val="00A76776"/>
    <w:rsid w:val="00A819C3"/>
    <w:rsid w:val="00A834B8"/>
    <w:rsid w:val="00A86F1A"/>
    <w:rsid w:val="00A8723F"/>
    <w:rsid w:val="00A9275F"/>
    <w:rsid w:val="00A93921"/>
    <w:rsid w:val="00A96322"/>
    <w:rsid w:val="00AA1AD0"/>
    <w:rsid w:val="00AA20C9"/>
    <w:rsid w:val="00AA2141"/>
    <w:rsid w:val="00AA4778"/>
    <w:rsid w:val="00AA50D8"/>
    <w:rsid w:val="00AA5524"/>
    <w:rsid w:val="00AB70DD"/>
    <w:rsid w:val="00AC4629"/>
    <w:rsid w:val="00AC6C2E"/>
    <w:rsid w:val="00AD1AAD"/>
    <w:rsid w:val="00AD2601"/>
    <w:rsid w:val="00AD2C65"/>
    <w:rsid w:val="00AD3A74"/>
    <w:rsid w:val="00AD4ABE"/>
    <w:rsid w:val="00AD687A"/>
    <w:rsid w:val="00AD6DC4"/>
    <w:rsid w:val="00AD6E17"/>
    <w:rsid w:val="00AE23F9"/>
    <w:rsid w:val="00AE4D80"/>
    <w:rsid w:val="00AE52A5"/>
    <w:rsid w:val="00AE6054"/>
    <w:rsid w:val="00AE71CB"/>
    <w:rsid w:val="00AE7F8F"/>
    <w:rsid w:val="00AF0EB2"/>
    <w:rsid w:val="00AF3340"/>
    <w:rsid w:val="00AF626B"/>
    <w:rsid w:val="00B00C37"/>
    <w:rsid w:val="00B00D87"/>
    <w:rsid w:val="00B016A3"/>
    <w:rsid w:val="00B030EC"/>
    <w:rsid w:val="00B03975"/>
    <w:rsid w:val="00B07898"/>
    <w:rsid w:val="00B07B4D"/>
    <w:rsid w:val="00B13C4E"/>
    <w:rsid w:val="00B1404F"/>
    <w:rsid w:val="00B206C1"/>
    <w:rsid w:val="00B23AB5"/>
    <w:rsid w:val="00B24A3C"/>
    <w:rsid w:val="00B25D2E"/>
    <w:rsid w:val="00B31641"/>
    <w:rsid w:val="00B329DA"/>
    <w:rsid w:val="00B32B34"/>
    <w:rsid w:val="00B35BF9"/>
    <w:rsid w:val="00B43E03"/>
    <w:rsid w:val="00B4696A"/>
    <w:rsid w:val="00B477C3"/>
    <w:rsid w:val="00B5219B"/>
    <w:rsid w:val="00B55F90"/>
    <w:rsid w:val="00B57550"/>
    <w:rsid w:val="00B6273D"/>
    <w:rsid w:val="00B64794"/>
    <w:rsid w:val="00B654ED"/>
    <w:rsid w:val="00B67600"/>
    <w:rsid w:val="00B70BBD"/>
    <w:rsid w:val="00B725B1"/>
    <w:rsid w:val="00B7388C"/>
    <w:rsid w:val="00B7408F"/>
    <w:rsid w:val="00B758C6"/>
    <w:rsid w:val="00B75DB6"/>
    <w:rsid w:val="00B8094D"/>
    <w:rsid w:val="00B84B80"/>
    <w:rsid w:val="00B923D9"/>
    <w:rsid w:val="00B93631"/>
    <w:rsid w:val="00B94871"/>
    <w:rsid w:val="00B94E4A"/>
    <w:rsid w:val="00B94FB4"/>
    <w:rsid w:val="00B95908"/>
    <w:rsid w:val="00BA2235"/>
    <w:rsid w:val="00BA2903"/>
    <w:rsid w:val="00BA2D7E"/>
    <w:rsid w:val="00BA728F"/>
    <w:rsid w:val="00BB50A5"/>
    <w:rsid w:val="00BB534C"/>
    <w:rsid w:val="00BB5BBC"/>
    <w:rsid w:val="00BC33C9"/>
    <w:rsid w:val="00BC3501"/>
    <w:rsid w:val="00BC3746"/>
    <w:rsid w:val="00BC3C6A"/>
    <w:rsid w:val="00BC3DB1"/>
    <w:rsid w:val="00BC56B9"/>
    <w:rsid w:val="00BD4513"/>
    <w:rsid w:val="00BD4A34"/>
    <w:rsid w:val="00BE0365"/>
    <w:rsid w:val="00BE068A"/>
    <w:rsid w:val="00BE3574"/>
    <w:rsid w:val="00BE4157"/>
    <w:rsid w:val="00BE540D"/>
    <w:rsid w:val="00BE681A"/>
    <w:rsid w:val="00BE7BA2"/>
    <w:rsid w:val="00BF1573"/>
    <w:rsid w:val="00BF1C59"/>
    <w:rsid w:val="00BF2BF2"/>
    <w:rsid w:val="00BF3761"/>
    <w:rsid w:val="00BF430A"/>
    <w:rsid w:val="00BF6AC4"/>
    <w:rsid w:val="00C03AF3"/>
    <w:rsid w:val="00C05595"/>
    <w:rsid w:val="00C12661"/>
    <w:rsid w:val="00C12AB1"/>
    <w:rsid w:val="00C138A7"/>
    <w:rsid w:val="00C1527B"/>
    <w:rsid w:val="00C1738A"/>
    <w:rsid w:val="00C204E0"/>
    <w:rsid w:val="00C2124D"/>
    <w:rsid w:val="00C22FB8"/>
    <w:rsid w:val="00C2327B"/>
    <w:rsid w:val="00C24088"/>
    <w:rsid w:val="00C26C5C"/>
    <w:rsid w:val="00C26CB0"/>
    <w:rsid w:val="00C27414"/>
    <w:rsid w:val="00C32240"/>
    <w:rsid w:val="00C370A2"/>
    <w:rsid w:val="00C44D85"/>
    <w:rsid w:val="00C55D38"/>
    <w:rsid w:val="00C55D39"/>
    <w:rsid w:val="00C55E2F"/>
    <w:rsid w:val="00C600CF"/>
    <w:rsid w:val="00C6191A"/>
    <w:rsid w:val="00C61F4D"/>
    <w:rsid w:val="00C643DF"/>
    <w:rsid w:val="00C702FE"/>
    <w:rsid w:val="00C71284"/>
    <w:rsid w:val="00C7232D"/>
    <w:rsid w:val="00C7370C"/>
    <w:rsid w:val="00C744BC"/>
    <w:rsid w:val="00C84817"/>
    <w:rsid w:val="00C84A2A"/>
    <w:rsid w:val="00C8648B"/>
    <w:rsid w:val="00C95FC3"/>
    <w:rsid w:val="00C978EF"/>
    <w:rsid w:val="00CA2115"/>
    <w:rsid w:val="00CA5987"/>
    <w:rsid w:val="00CA5F63"/>
    <w:rsid w:val="00CA7902"/>
    <w:rsid w:val="00CA7CDA"/>
    <w:rsid w:val="00CB007F"/>
    <w:rsid w:val="00CB2504"/>
    <w:rsid w:val="00CB5864"/>
    <w:rsid w:val="00CB6473"/>
    <w:rsid w:val="00CC09C5"/>
    <w:rsid w:val="00CC5A10"/>
    <w:rsid w:val="00CD1FA8"/>
    <w:rsid w:val="00CD65D6"/>
    <w:rsid w:val="00CD6FAE"/>
    <w:rsid w:val="00CD7AC6"/>
    <w:rsid w:val="00CE0442"/>
    <w:rsid w:val="00CE1CB4"/>
    <w:rsid w:val="00CE4136"/>
    <w:rsid w:val="00CE522E"/>
    <w:rsid w:val="00CE5590"/>
    <w:rsid w:val="00CE6851"/>
    <w:rsid w:val="00CF34BA"/>
    <w:rsid w:val="00CF3913"/>
    <w:rsid w:val="00CF5226"/>
    <w:rsid w:val="00CF5CD5"/>
    <w:rsid w:val="00CF5EE9"/>
    <w:rsid w:val="00CF601A"/>
    <w:rsid w:val="00CF670A"/>
    <w:rsid w:val="00CF670E"/>
    <w:rsid w:val="00D01826"/>
    <w:rsid w:val="00D01E95"/>
    <w:rsid w:val="00D065BA"/>
    <w:rsid w:val="00D074AB"/>
    <w:rsid w:val="00D10E07"/>
    <w:rsid w:val="00D11D73"/>
    <w:rsid w:val="00D15430"/>
    <w:rsid w:val="00D155E3"/>
    <w:rsid w:val="00D212CB"/>
    <w:rsid w:val="00D2233E"/>
    <w:rsid w:val="00D22699"/>
    <w:rsid w:val="00D22A41"/>
    <w:rsid w:val="00D25D33"/>
    <w:rsid w:val="00D276D4"/>
    <w:rsid w:val="00D32666"/>
    <w:rsid w:val="00D33008"/>
    <w:rsid w:val="00D33EA2"/>
    <w:rsid w:val="00D34620"/>
    <w:rsid w:val="00D35F63"/>
    <w:rsid w:val="00D363E1"/>
    <w:rsid w:val="00D36FB0"/>
    <w:rsid w:val="00D372B4"/>
    <w:rsid w:val="00D4029F"/>
    <w:rsid w:val="00D43641"/>
    <w:rsid w:val="00D46303"/>
    <w:rsid w:val="00D51432"/>
    <w:rsid w:val="00D522E9"/>
    <w:rsid w:val="00D52BE9"/>
    <w:rsid w:val="00D61CF1"/>
    <w:rsid w:val="00D6280E"/>
    <w:rsid w:val="00D65AB4"/>
    <w:rsid w:val="00D66F0C"/>
    <w:rsid w:val="00D67ADC"/>
    <w:rsid w:val="00D71141"/>
    <w:rsid w:val="00D71B3E"/>
    <w:rsid w:val="00D75FB3"/>
    <w:rsid w:val="00D82A3F"/>
    <w:rsid w:val="00D85B38"/>
    <w:rsid w:val="00D879EC"/>
    <w:rsid w:val="00D90D9C"/>
    <w:rsid w:val="00D91B72"/>
    <w:rsid w:val="00D92CF6"/>
    <w:rsid w:val="00D93657"/>
    <w:rsid w:val="00D936E7"/>
    <w:rsid w:val="00D96329"/>
    <w:rsid w:val="00D963F2"/>
    <w:rsid w:val="00D966F5"/>
    <w:rsid w:val="00DA4EFD"/>
    <w:rsid w:val="00DA72C6"/>
    <w:rsid w:val="00DB143C"/>
    <w:rsid w:val="00DB1F26"/>
    <w:rsid w:val="00DB3643"/>
    <w:rsid w:val="00DB36FF"/>
    <w:rsid w:val="00DB4106"/>
    <w:rsid w:val="00DC11D7"/>
    <w:rsid w:val="00DC2EC5"/>
    <w:rsid w:val="00DD2EC4"/>
    <w:rsid w:val="00DD4560"/>
    <w:rsid w:val="00DD6306"/>
    <w:rsid w:val="00DD65C2"/>
    <w:rsid w:val="00DD7D69"/>
    <w:rsid w:val="00DE2E40"/>
    <w:rsid w:val="00DE47DD"/>
    <w:rsid w:val="00DE628D"/>
    <w:rsid w:val="00DE63FD"/>
    <w:rsid w:val="00DE679D"/>
    <w:rsid w:val="00DE6C64"/>
    <w:rsid w:val="00DE71FB"/>
    <w:rsid w:val="00DF14D9"/>
    <w:rsid w:val="00DF1D7B"/>
    <w:rsid w:val="00DF7030"/>
    <w:rsid w:val="00E01A29"/>
    <w:rsid w:val="00E110EE"/>
    <w:rsid w:val="00E11964"/>
    <w:rsid w:val="00E16303"/>
    <w:rsid w:val="00E2061C"/>
    <w:rsid w:val="00E21F14"/>
    <w:rsid w:val="00E246CE"/>
    <w:rsid w:val="00E27B04"/>
    <w:rsid w:val="00E31B34"/>
    <w:rsid w:val="00E33716"/>
    <w:rsid w:val="00E350B1"/>
    <w:rsid w:val="00E354D7"/>
    <w:rsid w:val="00E359B8"/>
    <w:rsid w:val="00E3624D"/>
    <w:rsid w:val="00E36EBE"/>
    <w:rsid w:val="00E36ED7"/>
    <w:rsid w:val="00E40C77"/>
    <w:rsid w:val="00E41B67"/>
    <w:rsid w:val="00E4532A"/>
    <w:rsid w:val="00E47DF5"/>
    <w:rsid w:val="00E50298"/>
    <w:rsid w:val="00E509B6"/>
    <w:rsid w:val="00E52B0F"/>
    <w:rsid w:val="00E54185"/>
    <w:rsid w:val="00E70A03"/>
    <w:rsid w:val="00E7365D"/>
    <w:rsid w:val="00E74BDE"/>
    <w:rsid w:val="00E77236"/>
    <w:rsid w:val="00E80C57"/>
    <w:rsid w:val="00E83999"/>
    <w:rsid w:val="00E85785"/>
    <w:rsid w:val="00E859F6"/>
    <w:rsid w:val="00E86F44"/>
    <w:rsid w:val="00E87484"/>
    <w:rsid w:val="00E87729"/>
    <w:rsid w:val="00E9123D"/>
    <w:rsid w:val="00E9125E"/>
    <w:rsid w:val="00E91A7C"/>
    <w:rsid w:val="00EA0F69"/>
    <w:rsid w:val="00EA2A0A"/>
    <w:rsid w:val="00EA30A5"/>
    <w:rsid w:val="00EA5AD9"/>
    <w:rsid w:val="00EB2927"/>
    <w:rsid w:val="00EB2CE1"/>
    <w:rsid w:val="00EB3516"/>
    <w:rsid w:val="00EB4BBD"/>
    <w:rsid w:val="00EB6EC2"/>
    <w:rsid w:val="00EC4EC5"/>
    <w:rsid w:val="00EC743E"/>
    <w:rsid w:val="00ED106D"/>
    <w:rsid w:val="00ED50A3"/>
    <w:rsid w:val="00EE0C81"/>
    <w:rsid w:val="00EE3522"/>
    <w:rsid w:val="00EE3676"/>
    <w:rsid w:val="00EE6157"/>
    <w:rsid w:val="00EE7884"/>
    <w:rsid w:val="00EE7E1F"/>
    <w:rsid w:val="00EF521D"/>
    <w:rsid w:val="00EF789C"/>
    <w:rsid w:val="00F02DB6"/>
    <w:rsid w:val="00F03D07"/>
    <w:rsid w:val="00F046C4"/>
    <w:rsid w:val="00F053A1"/>
    <w:rsid w:val="00F05754"/>
    <w:rsid w:val="00F07661"/>
    <w:rsid w:val="00F11A50"/>
    <w:rsid w:val="00F1281F"/>
    <w:rsid w:val="00F12E90"/>
    <w:rsid w:val="00F14312"/>
    <w:rsid w:val="00F154B6"/>
    <w:rsid w:val="00F1601D"/>
    <w:rsid w:val="00F17644"/>
    <w:rsid w:val="00F21042"/>
    <w:rsid w:val="00F220D5"/>
    <w:rsid w:val="00F2233D"/>
    <w:rsid w:val="00F2300F"/>
    <w:rsid w:val="00F242C9"/>
    <w:rsid w:val="00F253B7"/>
    <w:rsid w:val="00F277EE"/>
    <w:rsid w:val="00F301CB"/>
    <w:rsid w:val="00F329C2"/>
    <w:rsid w:val="00F32F0A"/>
    <w:rsid w:val="00F3397B"/>
    <w:rsid w:val="00F403D5"/>
    <w:rsid w:val="00F4106E"/>
    <w:rsid w:val="00F42B22"/>
    <w:rsid w:val="00F4727E"/>
    <w:rsid w:val="00F51A71"/>
    <w:rsid w:val="00F52825"/>
    <w:rsid w:val="00F605D2"/>
    <w:rsid w:val="00F64A08"/>
    <w:rsid w:val="00F75B2A"/>
    <w:rsid w:val="00F760E7"/>
    <w:rsid w:val="00F8003A"/>
    <w:rsid w:val="00F82FC5"/>
    <w:rsid w:val="00F83170"/>
    <w:rsid w:val="00F853D1"/>
    <w:rsid w:val="00F85D7A"/>
    <w:rsid w:val="00F86732"/>
    <w:rsid w:val="00F87253"/>
    <w:rsid w:val="00F87F97"/>
    <w:rsid w:val="00F918CE"/>
    <w:rsid w:val="00F92FE2"/>
    <w:rsid w:val="00F95B90"/>
    <w:rsid w:val="00FA00D3"/>
    <w:rsid w:val="00FA129E"/>
    <w:rsid w:val="00FA2533"/>
    <w:rsid w:val="00FA3792"/>
    <w:rsid w:val="00FA4CA8"/>
    <w:rsid w:val="00FA4F3A"/>
    <w:rsid w:val="00FA536C"/>
    <w:rsid w:val="00FA5F5F"/>
    <w:rsid w:val="00FA6346"/>
    <w:rsid w:val="00FA6FFA"/>
    <w:rsid w:val="00FB03B2"/>
    <w:rsid w:val="00FB0ED5"/>
    <w:rsid w:val="00FB3CF0"/>
    <w:rsid w:val="00FB53AE"/>
    <w:rsid w:val="00FB6DBA"/>
    <w:rsid w:val="00FC0659"/>
    <w:rsid w:val="00FC570B"/>
    <w:rsid w:val="00FC604E"/>
    <w:rsid w:val="00FC6636"/>
    <w:rsid w:val="00FD4B5C"/>
    <w:rsid w:val="00FD7FA7"/>
    <w:rsid w:val="00FE093D"/>
    <w:rsid w:val="00FE2718"/>
    <w:rsid w:val="00FE27A9"/>
    <w:rsid w:val="00FE2ED4"/>
    <w:rsid w:val="00FE4340"/>
    <w:rsid w:val="00FF0747"/>
    <w:rsid w:val="00FF5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77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8723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2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20"/>
      </w:numPr>
      <w:tabs>
        <w:tab w:val="num" w:pos="360"/>
      </w:tabs>
    </w:pPr>
    <w:rPr>
      <w:i w:val="0"/>
    </w:rPr>
  </w:style>
  <w:style w:type="paragraph" w:customStyle="1" w:styleId="base-text-paragraph">
    <w:name w:val="base-text-paragraph"/>
    <w:basedOn w:val="Normal"/>
    <w:link w:val="base-text-paragraphChar"/>
    <w:rsid w:val="0036787F"/>
    <w:pPr>
      <w:numPr>
        <w:ilvl w:val="1"/>
        <w:numId w:val="2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20"/>
      </w:numPr>
    </w:pPr>
    <w:rPr>
      <w:b/>
    </w:rPr>
  </w:style>
  <w:style w:type="paragraph" w:customStyle="1" w:styleId="Diagram">
    <w:name w:val="Diagram"/>
    <w:basedOn w:val="Normal"/>
    <w:next w:val="base-text-paragraphnonumbers"/>
    <w:rsid w:val="0036787F"/>
    <w:pPr>
      <w:keepNext/>
      <w:numPr>
        <w:ilvl w:val="2"/>
        <w:numId w:val="20"/>
      </w:numPr>
      <w:spacing w:before="0" w:after="0"/>
    </w:pPr>
    <w:rPr>
      <w:b/>
    </w:rPr>
  </w:style>
  <w:style w:type="paragraph" w:customStyle="1" w:styleId="dotpoint">
    <w:name w:val="dot point"/>
    <w:basedOn w:val="Normal"/>
    <w:rsid w:val="0036787F"/>
    <w:pPr>
      <w:numPr>
        <w:numId w:val="16"/>
      </w:numPr>
    </w:pPr>
  </w:style>
  <w:style w:type="paragraph" w:customStyle="1" w:styleId="dotpoint2">
    <w:name w:val="dot point 2"/>
    <w:basedOn w:val="Normal"/>
    <w:rsid w:val="0036787F"/>
    <w:pPr>
      <w:numPr>
        <w:ilvl w:val="1"/>
        <w:numId w:val="16"/>
      </w:numPr>
    </w:pPr>
  </w:style>
  <w:style w:type="paragraph" w:customStyle="1" w:styleId="exampledotpoint1">
    <w:name w:val="example dot point 1"/>
    <w:basedOn w:val="exampletext"/>
    <w:rsid w:val="008C51F4"/>
    <w:pPr>
      <w:numPr>
        <w:numId w:val="17"/>
      </w:numPr>
    </w:pPr>
  </w:style>
  <w:style w:type="paragraph" w:customStyle="1" w:styleId="exampledotpoint2">
    <w:name w:val="example dot point 2"/>
    <w:basedOn w:val="exampletext"/>
    <w:rsid w:val="008C51F4"/>
    <w:pPr>
      <w:numPr>
        <w:ilvl w:val="1"/>
        <w:numId w:val="17"/>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9"/>
      </w:numPr>
    </w:pPr>
  </w:style>
  <w:style w:type="paragraph" w:customStyle="1" w:styleId="tabledotpoint2">
    <w:name w:val="table dot point 2"/>
    <w:basedOn w:val="tabletext"/>
    <w:rsid w:val="00A37F77"/>
    <w:pPr>
      <w:numPr>
        <w:ilvl w:val="1"/>
        <w:numId w:val="19"/>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2"/>
      </w:numPr>
    </w:pPr>
  </w:style>
  <w:style w:type="numbering" w:styleId="1ai">
    <w:name w:val="Outline List 1"/>
    <w:basedOn w:val="NoList"/>
    <w:semiHidden/>
    <w:rsid w:val="003D6FD9"/>
    <w:pPr>
      <w:numPr>
        <w:numId w:val="13"/>
      </w:numPr>
    </w:pPr>
  </w:style>
  <w:style w:type="numbering" w:styleId="ArticleSection">
    <w:name w:val="Outline List 3"/>
    <w:basedOn w:val="NoList"/>
    <w:semiHidden/>
    <w:rsid w:val="003D6FD9"/>
    <w:pPr>
      <w:numPr>
        <w:numId w:val="14"/>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link w:val="FooterChar"/>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2"/>
      </w:numPr>
    </w:pPr>
  </w:style>
  <w:style w:type="paragraph" w:styleId="ListBullet2">
    <w:name w:val="List Bullet 2"/>
    <w:basedOn w:val="Normal"/>
    <w:rsid w:val="003D6FD9"/>
    <w:pPr>
      <w:numPr>
        <w:numId w:val="3"/>
      </w:numPr>
    </w:pPr>
  </w:style>
  <w:style w:type="paragraph" w:styleId="ListBullet3">
    <w:name w:val="List Bullet 3"/>
    <w:basedOn w:val="Normal"/>
    <w:semiHidden/>
    <w:rsid w:val="003D6FD9"/>
    <w:pPr>
      <w:numPr>
        <w:numId w:val="4"/>
      </w:numPr>
    </w:pPr>
  </w:style>
  <w:style w:type="paragraph" w:styleId="ListBullet4">
    <w:name w:val="List Bullet 4"/>
    <w:basedOn w:val="Normal"/>
    <w:semiHidden/>
    <w:rsid w:val="003D6FD9"/>
    <w:pPr>
      <w:numPr>
        <w:numId w:val="5"/>
      </w:numPr>
    </w:pPr>
  </w:style>
  <w:style w:type="paragraph" w:styleId="ListBullet5">
    <w:name w:val="List Bullet 5"/>
    <w:basedOn w:val="Normal"/>
    <w:semiHidden/>
    <w:rsid w:val="003D6FD9"/>
    <w:pPr>
      <w:numPr>
        <w:numId w:val="6"/>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7"/>
      </w:numPr>
    </w:pPr>
  </w:style>
  <w:style w:type="paragraph" w:styleId="ListNumber2">
    <w:name w:val="List Number 2"/>
    <w:basedOn w:val="Normal"/>
    <w:semiHidden/>
    <w:rsid w:val="003D6FD9"/>
    <w:pPr>
      <w:numPr>
        <w:numId w:val="8"/>
      </w:numPr>
    </w:pPr>
  </w:style>
  <w:style w:type="paragraph" w:styleId="ListNumber3">
    <w:name w:val="List Number 3"/>
    <w:basedOn w:val="Normal"/>
    <w:semiHidden/>
    <w:rsid w:val="003D6FD9"/>
    <w:pPr>
      <w:numPr>
        <w:numId w:val="9"/>
      </w:numPr>
    </w:pPr>
  </w:style>
  <w:style w:type="paragraph" w:styleId="ListNumber4">
    <w:name w:val="List Number 4"/>
    <w:basedOn w:val="Normal"/>
    <w:semiHidden/>
    <w:rsid w:val="003D6FD9"/>
    <w:pPr>
      <w:numPr>
        <w:numId w:val="10"/>
      </w:numPr>
    </w:pPr>
  </w:style>
  <w:style w:type="paragraph" w:styleId="ListNumber5">
    <w:name w:val="List Number 5"/>
    <w:basedOn w:val="Normal"/>
    <w:semiHidden/>
    <w:rsid w:val="003D6FD9"/>
    <w:pPr>
      <w:numPr>
        <w:numId w:val="11"/>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5"/>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6"/>
      </w:numPr>
    </w:pPr>
  </w:style>
  <w:style w:type="numbering" w:customStyle="1" w:styleId="ExampleDotPointList">
    <w:name w:val="Example Dot Point List"/>
    <w:uiPriority w:val="99"/>
    <w:rsid w:val="008C51F4"/>
    <w:pPr>
      <w:numPr>
        <w:numId w:val="17"/>
      </w:numPr>
    </w:pPr>
  </w:style>
  <w:style w:type="numbering" w:customStyle="1" w:styleId="TableDotPointList">
    <w:name w:val="Table Dot Point List"/>
    <w:uiPriority w:val="99"/>
    <w:rsid w:val="00A37F77"/>
    <w:pPr>
      <w:numPr>
        <w:numId w:val="18"/>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CommentReference">
    <w:name w:val="annotation reference"/>
    <w:basedOn w:val="DefaultParagraphFont"/>
    <w:rsid w:val="00A8723F"/>
    <w:rPr>
      <w:sz w:val="16"/>
      <w:szCs w:val="16"/>
    </w:rPr>
  </w:style>
  <w:style w:type="paragraph" w:styleId="CommentText">
    <w:name w:val="annotation text"/>
    <w:basedOn w:val="Normal"/>
    <w:link w:val="CommentTextChar"/>
    <w:rsid w:val="00A8723F"/>
    <w:rPr>
      <w:sz w:val="20"/>
    </w:rPr>
  </w:style>
  <w:style w:type="character" w:customStyle="1" w:styleId="CommentTextChar">
    <w:name w:val="Comment Text Char"/>
    <w:basedOn w:val="DefaultParagraphFont"/>
    <w:link w:val="CommentText"/>
    <w:rsid w:val="00A8723F"/>
  </w:style>
  <w:style w:type="paragraph" w:styleId="CommentSubject">
    <w:name w:val="annotation subject"/>
    <w:basedOn w:val="CommentText"/>
    <w:next w:val="CommentText"/>
    <w:link w:val="CommentSubjectChar"/>
    <w:rsid w:val="00A8723F"/>
    <w:rPr>
      <w:b/>
      <w:bCs/>
    </w:rPr>
  </w:style>
  <w:style w:type="character" w:customStyle="1" w:styleId="CommentSubjectChar">
    <w:name w:val="Comment Subject Char"/>
    <w:basedOn w:val="CommentTextChar"/>
    <w:link w:val="CommentSubject"/>
    <w:rsid w:val="00A8723F"/>
    <w:rPr>
      <w:b/>
      <w:bCs/>
    </w:rPr>
  </w:style>
  <w:style w:type="paragraph" w:styleId="BalloonText">
    <w:name w:val="Balloon Text"/>
    <w:basedOn w:val="Normal"/>
    <w:link w:val="BalloonTextChar"/>
    <w:rsid w:val="00A8723F"/>
    <w:pPr>
      <w:spacing w:before="0" w:after="0"/>
    </w:pPr>
    <w:rPr>
      <w:rFonts w:ascii="Tahoma" w:hAnsi="Tahoma" w:cs="Tahoma"/>
      <w:sz w:val="16"/>
      <w:szCs w:val="16"/>
    </w:rPr>
  </w:style>
  <w:style w:type="character" w:customStyle="1" w:styleId="BalloonTextChar">
    <w:name w:val="Balloon Text Char"/>
    <w:basedOn w:val="DefaultParagraphFont"/>
    <w:link w:val="BalloonText"/>
    <w:rsid w:val="00A8723F"/>
    <w:rPr>
      <w:rFonts w:ascii="Tahoma" w:hAnsi="Tahoma" w:cs="Tahoma"/>
      <w:sz w:val="16"/>
      <w:szCs w:val="16"/>
    </w:rPr>
  </w:style>
  <w:style w:type="character" w:customStyle="1" w:styleId="Heading2Char">
    <w:name w:val="Heading 2 Char"/>
    <w:basedOn w:val="DefaultParagraphFont"/>
    <w:link w:val="Heading2"/>
    <w:rsid w:val="00A8723F"/>
    <w:rPr>
      <w:rFonts w:ascii="Helvetica" w:hAnsi="Helvetica"/>
      <w:b/>
      <w:sz w:val="26"/>
    </w:rPr>
  </w:style>
  <w:style w:type="paragraph" w:styleId="Revision">
    <w:name w:val="Revision"/>
    <w:hidden/>
    <w:uiPriority w:val="99"/>
    <w:semiHidden/>
    <w:rsid w:val="00A8723F"/>
    <w:rPr>
      <w:sz w:val="22"/>
    </w:rPr>
  </w:style>
  <w:style w:type="character" w:styleId="FootnoteReference">
    <w:name w:val="footnote reference"/>
    <w:basedOn w:val="DefaultParagraphFont"/>
    <w:rsid w:val="00A8723F"/>
    <w:rPr>
      <w:vertAlign w:val="superscript"/>
    </w:rPr>
  </w:style>
  <w:style w:type="paragraph" w:customStyle="1" w:styleId="Bullet">
    <w:name w:val="Bullet"/>
    <w:basedOn w:val="Normal"/>
    <w:link w:val="BulletChar"/>
    <w:rsid w:val="00A8723F"/>
    <w:pPr>
      <w:numPr>
        <w:numId w:val="23"/>
      </w:numPr>
    </w:pPr>
  </w:style>
  <w:style w:type="character" w:customStyle="1" w:styleId="BulletChar">
    <w:name w:val="Bullet Char"/>
    <w:basedOn w:val="base-text-paragraphChar"/>
    <w:link w:val="Bullet"/>
    <w:rsid w:val="00A8723F"/>
    <w:rPr>
      <w:sz w:val="22"/>
    </w:rPr>
  </w:style>
  <w:style w:type="paragraph" w:customStyle="1" w:styleId="Dash">
    <w:name w:val="Dash"/>
    <w:basedOn w:val="Normal"/>
    <w:link w:val="DashChar"/>
    <w:rsid w:val="00A8723F"/>
    <w:pPr>
      <w:numPr>
        <w:ilvl w:val="1"/>
        <w:numId w:val="23"/>
      </w:numPr>
    </w:pPr>
  </w:style>
  <w:style w:type="character" w:customStyle="1" w:styleId="DashChar">
    <w:name w:val="Dash Char"/>
    <w:basedOn w:val="base-text-paragraphChar"/>
    <w:link w:val="Dash"/>
    <w:rsid w:val="00A8723F"/>
    <w:rPr>
      <w:sz w:val="22"/>
    </w:rPr>
  </w:style>
  <w:style w:type="paragraph" w:customStyle="1" w:styleId="DoubleDot">
    <w:name w:val="Double Dot"/>
    <w:basedOn w:val="Normal"/>
    <w:link w:val="DoubleDotChar"/>
    <w:rsid w:val="00A8723F"/>
    <w:pPr>
      <w:numPr>
        <w:ilvl w:val="2"/>
        <w:numId w:val="23"/>
      </w:numPr>
    </w:pPr>
  </w:style>
  <w:style w:type="character" w:customStyle="1" w:styleId="DoubleDotChar">
    <w:name w:val="Double Dot Char"/>
    <w:basedOn w:val="base-text-paragraphChar"/>
    <w:link w:val="DoubleDot"/>
    <w:rsid w:val="00A8723F"/>
    <w:rPr>
      <w:sz w:val="22"/>
    </w:rPr>
  </w:style>
  <w:style w:type="numbering" w:customStyle="1" w:styleId="ChapterList1">
    <w:name w:val="ChapterList1"/>
    <w:uiPriority w:val="99"/>
    <w:rsid w:val="00A8723F"/>
  </w:style>
  <w:style w:type="numbering" w:customStyle="1" w:styleId="ChapterList2">
    <w:name w:val="ChapterList2"/>
    <w:uiPriority w:val="99"/>
    <w:rsid w:val="00A8723F"/>
  </w:style>
  <w:style w:type="numbering" w:customStyle="1" w:styleId="ChapterList3">
    <w:name w:val="ChapterList3"/>
    <w:uiPriority w:val="99"/>
    <w:rsid w:val="00A8723F"/>
  </w:style>
  <w:style w:type="numbering" w:customStyle="1" w:styleId="DotPointList1">
    <w:name w:val="Dot Point List1"/>
    <w:uiPriority w:val="99"/>
    <w:rsid w:val="00A8723F"/>
  </w:style>
  <w:style w:type="character" w:customStyle="1" w:styleId="base-text-paragraphnonumbersChar">
    <w:name w:val="base-text-paragraph no numbers Char"/>
    <w:basedOn w:val="base-text-paragraphChar"/>
    <w:link w:val="base-text-paragraphnonumbers"/>
    <w:rsid w:val="00F3397B"/>
    <w:rPr>
      <w:sz w:val="22"/>
    </w:rPr>
  </w:style>
  <w:style w:type="character" w:customStyle="1" w:styleId="FooterChar">
    <w:name w:val="Footer Char"/>
    <w:basedOn w:val="DefaultParagraphFont"/>
    <w:link w:val="Footer"/>
    <w:uiPriority w:val="99"/>
    <w:rsid w:val="00F3397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8723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2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20"/>
      </w:numPr>
      <w:tabs>
        <w:tab w:val="num" w:pos="360"/>
      </w:tabs>
    </w:pPr>
    <w:rPr>
      <w:i w:val="0"/>
    </w:rPr>
  </w:style>
  <w:style w:type="paragraph" w:customStyle="1" w:styleId="base-text-paragraph">
    <w:name w:val="base-text-paragraph"/>
    <w:basedOn w:val="Normal"/>
    <w:link w:val="base-text-paragraphChar"/>
    <w:rsid w:val="0036787F"/>
    <w:pPr>
      <w:numPr>
        <w:ilvl w:val="1"/>
        <w:numId w:val="2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20"/>
      </w:numPr>
    </w:pPr>
    <w:rPr>
      <w:b/>
    </w:rPr>
  </w:style>
  <w:style w:type="paragraph" w:customStyle="1" w:styleId="Diagram">
    <w:name w:val="Diagram"/>
    <w:basedOn w:val="Normal"/>
    <w:next w:val="base-text-paragraphnonumbers"/>
    <w:rsid w:val="0036787F"/>
    <w:pPr>
      <w:keepNext/>
      <w:numPr>
        <w:ilvl w:val="2"/>
        <w:numId w:val="20"/>
      </w:numPr>
      <w:spacing w:before="0" w:after="0"/>
    </w:pPr>
    <w:rPr>
      <w:b/>
    </w:rPr>
  </w:style>
  <w:style w:type="paragraph" w:customStyle="1" w:styleId="dotpoint">
    <w:name w:val="dot point"/>
    <w:basedOn w:val="Normal"/>
    <w:rsid w:val="0036787F"/>
    <w:pPr>
      <w:numPr>
        <w:numId w:val="16"/>
      </w:numPr>
    </w:pPr>
  </w:style>
  <w:style w:type="paragraph" w:customStyle="1" w:styleId="dotpoint2">
    <w:name w:val="dot point 2"/>
    <w:basedOn w:val="Normal"/>
    <w:rsid w:val="0036787F"/>
    <w:pPr>
      <w:numPr>
        <w:ilvl w:val="1"/>
        <w:numId w:val="16"/>
      </w:numPr>
    </w:pPr>
  </w:style>
  <w:style w:type="paragraph" w:customStyle="1" w:styleId="exampledotpoint1">
    <w:name w:val="example dot point 1"/>
    <w:basedOn w:val="exampletext"/>
    <w:rsid w:val="008C51F4"/>
    <w:pPr>
      <w:numPr>
        <w:numId w:val="17"/>
      </w:numPr>
    </w:pPr>
  </w:style>
  <w:style w:type="paragraph" w:customStyle="1" w:styleId="exampledotpoint2">
    <w:name w:val="example dot point 2"/>
    <w:basedOn w:val="exampletext"/>
    <w:rsid w:val="008C51F4"/>
    <w:pPr>
      <w:numPr>
        <w:ilvl w:val="1"/>
        <w:numId w:val="17"/>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19"/>
      </w:numPr>
    </w:pPr>
  </w:style>
  <w:style w:type="paragraph" w:customStyle="1" w:styleId="tabledotpoint2">
    <w:name w:val="table dot point 2"/>
    <w:basedOn w:val="tabletext"/>
    <w:rsid w:val="00A37F77"/>
    <w:pPr>
      <w:numPr>
        <w:ilvl w:val="1"/>
        <w:numId w:val="19"/>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2"/>
      </w:numPr>
    </w:pPr>
  </w:style>
  <w:style w:type="numbering" w:styleId="1ai">
    <w:name w:val="Outline List 1"/>
    <w:basedOn w:val="NoList"/>
    <w:semiHidden/>
    <w:rsid w:val="003D6FD9"/>
    <w:pPr>
      <w:numPr>
        <w:numId w:val="13"/>
      </w:numPr>
    </w:pPr>
  </w:style>
  <w:style w:type="numbering" w:styleId="ArticleSection">
    <w:name w:val="Outline List 3"/>
    <w:basedOn w:val="NoList"/>
    <w:semiHidden/>
    <w:rsid w:val="003D6FD9"/>
    <w:pPr>
      <w:numPr>
        <w:numId w:val="14"/>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link w:val="FooterChar"/>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2"/>
      </w:numPr>
    </w:pPr>
  </w:style>
  <w:style w:type="paragraph" w:styleId="ListBullet2">
    <w:name w:val="List Bullet 2"/>
    <w:basedOn w:val="Normal"/>
    <w:rsid w:val="003D6FD9"/>
    <w:pPr>
      <w:numPr>
        <w:numId w:val="3"/>
      </w:numPr>
    </w:pPr>
  </w:style>
  <w:style w:type="paragraph" w:styleId="ListBullet3">
    <w:name w:val="List Bullet 3"/>
    <w:basedOn w:val="Normal"/>
    <w:semiHidden/>
    <w:rsid w:val="003D6FD9"/>
    <w:pPr>
      <w:numPr>
        <w:numId w:val="4"/>
      </w:numPr>
    </w:pPr>
  </w:style>
  <w:style w:type="paragraph" w:styleId="ListBullet4">
    <w:name w:val="List Bullet 4"/>
    <w:basedOn w:val="Normal"/>
    <w:semiHidden/>
    <w:rsid w:val="003D6FD9"/>
    <w:pPr>
      <w:numPr>
        <w:numId w:val="5"/>
      </w:numPr>
    </w:pPr>
  </w:style>
  <w:style w:type="paragraph" w:styleId="ListBullet5">
    <w:name w:val="List Bullet 5"/>
    <w:basedOn w:val="Normal"/>
    <w:semiHidden/>
    <w:rsid w:val="003D6FD9"/>
    <w:pPr>
      <w:numPr>
        <w:numId w:val="6"/>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7"/>
      </w:numPr>
    </w:pPr>
  </w:style>
  <w:style w:type="paragraph" w:styleId="ListNumber2">
    <w:name w:val="List Number 2"/>
    <w:basedOn w:val="Normal"/>
    <w:semiHidden/>
    <w:rsid w:val="003D6FD9"/>
    <w:pPr>
      <w:numPr>
        <w:numId w:val="8"/>
      </w:numPr>
    </w:pPr>
  </w:style>
  <w:style w:type="paragraph" w:styleId="ListNumber3">
    <w:name w:val="List Number 3"/>
    <w:basedOn w:val="Normal"/>
    <w:semiHidden/>
    <w:rsid w:val="003D6FD9"/>
    <w:pPr>
      <w:numPr>
        <w:numId w:val="9"/>
      </w:numPr>
    </w:pPr>
  </w:style>
  <w:style w:type="paragraph" w:styleId="ListNumber4">
    <w:name w:val="List Number 4"/>
    <w:basedOn w:val="Normal"/>
    <w:semiHidden/>
    <w:rsid w:val="003D6FD9"/>
    <w:pPr>
      <w:numPr>
        <w:numId w:val="10"/>
      </w:numPr>
    </w:pPr>
  </w:style>
  <w:style w:type="paragraph" w:styleId="ListNumber5">
    <w:name w:val="List Number 5"/>
    <w:basedOn w:val="Normal"/>
    <w:semiHidden/>
    <w:rsid w:val="003D6FD9"/>
    <w:pPr>
      <w:numPr>
        <w:numId w:val="11"/>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36787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5"/>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16"/>
      </w:numPr>
    </w:pPr>
  </w:style>
  <w:style w:type="numbering" w:customStyle="1" w:styleId="ExampleDotPointList">
    <w:name w:val="Example Dot Point List"/>
    <w:uiPriority w:val="99"/>
    <w:rsid w:val="008C51F4"/>
    <w:pPr>
      <w:numPr>
        <w:numId w:val="17"/>
      </w:numPr>
    </w:pPr>
  </w:style>
  <w:style w:type="numbering" w:customStyle="1" w:styleId="TableDotPointList">
    <w:name w:val="Table Dot Point List"/>
    <w:uiPriority w:val="99"/>
    <w:rsid w:val="00A37F77"/>
    <w:pPr>
      <w:numPr>
        <w:numId w:val="18"/>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CommentReference">
    <w:name w:val="annotation reference"/>
    <w:basedOn w:val="DefaultParagraphFont"/>
    <w:rsid w:val="00A8723F"/>
    <w:rPr>
      <w:sz w:val="16"/>
      <w:szCs w:val="16"/>
    </w:rPr>
  </w:style>
  <w:style w:type="paragraph" w:styleId="CommentText">
    <w:name w:val="annotation text"/>
    <w:basedOn w:val="Normal"/>
    <w:link w:val="CommentTextChar"/>
    <w:rsid w:val="00A8723F"/>
    <w:rPr>
      <w:sz w:val="20"/>
    </w:rPr>
  </w:style>
  <w:style w:type="character" w:customStyle="1" w:styleId="CommentTextChar">
    <w:name w:val="Comment Text Char"/>
    <w:basedOn w:val="DefaultParagraphFont"/>
    <w:link w:val="CommentText"/>
    <w:rsid w:val="00A8723F"/>
  </w:style>
  <w:style w:type="paragraph" w:styleId="CommentSubject">
    <w:name w:val="annotation subject"/>
    <w:basedOn w:val="CommentText"/>
    <w:next w:val="CommentText"/>
    <w:link w:val="CommentSubjectChar"/>
    <w:rsid w:val="00A8723F"/>
    <w:rPr>
      <w:b/>
      <w:bCs/>
    </w:rPr>
  </w:style>
  <w:style w:type="character" w:customStyle="1" w:styleId="CommentSubjectChar">
    <w:name w:val="Comment Subject Char"/>
    <w:basedOn w:val="CommentTextChar"/>
    <w:link w:val="CommentSubject"/>
    <w:rsid w:val="00A8723F"/>
    <w:rPr>
      <w:b/>
      <w:bCs/>
    </w:rPr>
  </w:style>
  <w:style w:type="paragraph" w:styleId="BalloonText">
    <w:name w:val="Balloon Text"/>
    <w:basedOn w:val="Normal"/>
    <w:link w:val="BalloonTextChar"/>
    <w:rsid w:val="00A8723F"/>
    <w:pPr>
      <w:spacing w:before="0" w:after="0"/>
    </w:pPr>
    <w:rPr>
      <w:rFonts w:ascii="Tahoma" w:hAnsi="Tahoma" w:cs="Tahoma"/>
      <w:sz w:val="16"/>
      <w:szCs w:val="16"/>
    </w:rPr>
  </w:style>
  <w:style w:type="character" w:customStyle="1" w:styleId="BalloonTextChar">
    <w:name w:val="Balloon Text Char"/>
    <w:basedOn w:val="DefaultParagraphFont"/>
    <w:link w:val="BalloonText"/>
    <w:rsid w:val="00A8723F"/>
    <w:rPr>
      <w:rFonts w:ascii="Tahoma" w:hAnsi="Tahoma" w:cs="Tahoma"/>
      <w:sz w:val="16"/>
      <w:szCs w:val="16"/>
    </w:rPr>
  </w:style>
  <w:style w:type="character" w:customStyle="1" w:styleId="Heading2Char">
    <w:name w:val="Heading 2 Char"/>
    <w:basedOn w:val="DefaultParagraphFont"/>
    <w:link w:val="Heading2"/>
    <w:rsid w:val="00A8723F"/>
    <w:rPr>
      <w:rFonts w:ascii="Helvetica" w:hAnsi="Helvetica"/>
      <w:b/>
      <w:sz w:val="26"/>
    </w:rPr>
  </w:style>
  <w:style w:type="paragraph" w:styleId="Revision">
    <w:name w:val="Revision"/>
    <w:hidden/>
    <w:uiPriority w:val="99"/>
    <w:semiHidden/>
    <w:rsid w:val="00A8723F"/>
    <w:rPr>
      <w:sz w:val="22"/>
    </w:rPr>
  </w:style>
  <w:style w:type="character" w:styleId="FootnoteReference">
    <w:name w:val="footnote reference"/>
    <w:basedOn w:val="DefaultParagraphFont"/>
    <w:rsid w:val="00A8723F"/>
    <w:rPr>
      <w:vertAlign w:val="superscript"/>
    </w:rPr>
  </w:style>
  <w:style w:type="paragraph" w:customStyle="1" w:styleId="Bullet">
    <w:name w:val="Bullet"/>
    <w:basedOn w:val="Normal"/>
    <w:link w:val="BulletChar"/>
    <w:rsid w:val="00A8723F"/>
    <w:pPr>
      <w:numPr>
        <w:numId w:val="23"/>
      </w:numPr>
    </w:pPr>
  </w:style>
  <w:style w:type="character" w:customStyle="1" w:styleId="BulletChar">
    <w:name w:val="Bullet Char"/>
    <w:basedOn w:val="base-text-paragraphChar"/>
    <w:link w:val="Bullet"/>
    <w:rsid w:val="00A8723F"/>
    <w:rPr>
      <w:sz w:val="22"/>
    </w:rPr>
  </w:style>
  <w:style w:type="paragraph" w:customStyle="1" w:styleId="Dash">
    <w:name w:val="Dash"/>
    <w:basedOn w:val="Normal"/>
    <w:link w:val="DashChar"/>
    <w:rsid w:val="00A8723F"/>
    <w:pPr>
      <w:numPr>
        <w:ilvl w:val="1"/>
        <w:numId w:val="23"/>
      </w:numPr>
    </w:pPr>
  </w:style>
  <w:style w:type="character" w:customStyle="1" w:styleId="DashChar">
    <w:name w:val="Dash Char"/>
    <w:basedOn w:val="base-text-paragraphChar"/>
    <w:link w:val="Dash"/>
    <w:rsid w:val="00A8723F"/>
    <w:rPr>
      <w:sz w:val="22"/>
    </w:rPr>
  </w:style>
  <w:style w:type="paragraph" w:customStyle="1" w:styleId="DoubleDot">
    <w:name w:val="Double Dot"/>
    <w:basedOn w:val="Normal"/>
    <w:link w:val="DoubleDotChar"/>
    <w:rsid w:val="00A8723F"/>
    <w:pPr>
      <w:numPr>
        <w:ilvl w:val="2"/>
        <w:numId w:val="23"/>
      </w:numPr>
    </w:pPr>
  </w:style>
  <w:style w:type="character" w:customStyle="1" w:styleId="DoubleDotChar">
    <w:name w:val="Double Dot Char"/>
    <w:basedOn w:val="base-text-paragraphChar"/>
    <w:link w:val="DoubleDot"/>
    <w:rsid w:val="00A8723F"/>
    <w:rPr>
      <w:sz w:val="22"/>
    </w:rPr>
  </w:style>
  <w:style w:type="numbering" w:customStyle="1" w:styleId="ChapterList1">
    <w:name w:val="ChapterList1"/>
    <w:uiPriority w:val="99"/>
    <w:rsid w:val="00A8723F"/>
  </w:style>
  <w:style w:type="numbering" w:customStyle="1" w:styleId="ChapterList2">
    <w:name w:val="ChapterList2"/>
    <w:uiPriority w:val="99"/>
    <w:rsid w:val="00A8723F"/>
  </w:style>
  <w:style w:type="numbering" w:customStyle="1" w:styleId="ChapterList3">
    <w:name w:val="ChapterList3"/>
    <w:uiPriority w:val="99"/>
    <w:rsid w:val="00A8723F"/>
  </w:style>
  <w:style w:type="numbering" w:customStyle="1" w:styleId="DotPointList1">
    <w:name w:val="Dot Point List1"/>
    <w:uiPriority w:val="99"/>
    <w:rsid w:val="00A8723F"/>
  </w:style>
  <w:style w:type="character" w:customStyle="1" w:styleId="base-text-paragraphnonumbersChar">
    <w:name w:val="base-text-paragraph no numbers Char"/>
    <w:basedOn w:val="base-text-paragraphChar"/>
    <w:link w:val="base-text-paragraphnonumbers"/>
    <w:rsid w:val="00F3397B"/>
    <w:rPr>
      <w:sz w:val="22"/>
    </w:rPr>
  </w:style>
  <w:style w:type="character" w:customStyle="1" w:styleId="FooterChar">
    <w:name w:val="Footer Char"/>
    <w:basedOn w:val="DefaultParagraphFont"/>
    <w:link w:val="Footer"/>
    <w:uiPriority w:val="99"/>
    <w:rsid w:val="00F339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Bill-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lb508a4dc5e84436a0fe496b536466aa>
    <TaxCatchAll xmlns="9f7bc583-7cbe-45b9-a2bd-8bbb6543b37e"/>
    <_dlc_DocId xmlns="9f7bc583-7cbe-45b9-a2bd-8bbb6543b37e" xsi:nil="true"/>
    <_dlc_DocIdUrl xmlns="9f7bc583-7cbe-45b9-a2bd-8bbb6543b37e">
      <Url xsi:nil="true"/>
      <Description xsi:nil="true"/>
    </_dlc_DocIdUrl>
    <IconOverlay xmlns="http://schemas.microsoft.com/sharepoint/v4"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177C1-E26D-4B0D-A79A-3E942DFB8DE9}">
  <ds:schemaRefs>
    <ds:schemaRef ds:uri="http://schemas.microsoft.com/sharepoint/v3/contenttype/forms"/>
  </ds:schemaRefs>
</ds:datastoreItem>
</file>

<file path=customXml/itemProps2.xml><?xml version="1.0" encoding="utf-8"?>
<ds:datastoreItem xmlns:ds="http://schemas.openxmlformats.org/officeDocument/2006/customXml" ds:itemID="{16F3940A-35E6-44E5-807E-48545F7706F7}">
  <ds:schemaRefs>
    <ds:schemaRef ds:uri="http://purl.org/dc/dcmitype/"/>
    <ds:schemaRef ds:uri="http://schemas.microsoft.com/sharepoint/v4"/>
    <ds:schemaRef ds:uri="http://schemas.microsoft.com/office/infopath/2007/PartnerControls"/>
    <ds:schemaRef ds:uri="http://www.w3.org/XML/1998/namespace"/>
    <ds:schemaRef ds:uri="http://purl.org/dc/elements/1.1/"/>
    <ds:schemaRef ds:uri="9f7bc583-7cbe-45b9-a2bd-8bbb6543b37e"/>
    <ds:schemaRef ds:uri="http://schemas.openxmlformats.org/package/2006/metadata/core-properties"/>
    <ds:schemaRef ds:uri="http://purl.org/dc/terms/"/>
    <ds:schemaRef ds:uri="http://schemas.microsoft.com/office/2006/documentManagement/typ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9140C92-32B5-4592-BBC9-F9AFCCC46E19}">
  <ds:schemaRefs>
    <ds:schemaRef ds:uri="http://schemas.microsoft.com/sharepoint/events"/>
  </ds:schemaRefs>
</ds:datastoreItem>
</file>

<file path=customXml/itemProps4.xml><?xml version="1.0" encoding="utf-8"?>
<ds:datastoreItem xmlns:ds="http://schemas.openxmlformats.org/officeDocument/2006/customXml" ds:itemID="{DB1D43A3-D93C-499D-B812-45AA158B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9DCEE4-2458-45C0-A3EF-A13856BB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Bill-Explanatory Memorandum.dotm</Template>
  <TotalTime>1</TotalTime>
  <Pages>29</Pages>
  <Words>6629</Words>
  <Characters>32258</Characters>
  <Application>Microsoft Office Word</Application>
  <DocSecurity>4</DocSecurity>
  <Lines>268</Lines>
  <Paragraphs>77</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38810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Bignell, Phil</dc:creator>
  <cp:lastModifiedBy>Channells, Julie</cp:lastModifiedBy>
  <cp:revision>2</cp:revision>
  <cp:lastPrinted>2015-05-28T23:47:00Z</cp:lastPrinted>
  <dcterms:created xsi:type="dcterms:W3CDTF">2015-06-05T01:15:00Z</dcterms:created>
  <dcterms:modified xsi:type="dcterms:W3CDTF">2015-06-05T01:15:00Z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TSYRecordClass">
    <vt:lpwstr>11</vt:lpwstr>
  </property>
  <property fmtid="{D5CDD505-2E9C-101B-9397-08002B2CF9AE}" pid="4" name="_dlc_DocIdItemGuid">
    <vt:lpwstr>7c19dedf-b649-4c00-b083-cc4936e95f4b</vt:lpwstr>
  </property>
  <property fmtid="{D5CDD505-2E9C-101B-9397-08002B2CF9AE}" pid="5" name="_AdHocReviewCycleID">
    <vt:i4>-1294510994</vt:i4>
  </property>
  <property fmtid="{D5CDD505-2E9C-101B-9397-08002B2CF9AE}" pid="6" name="_NewReviewCycle">
    <vt:lpwstr/>
  </property>
  <property fmtid="{D5CDD505-2E9C-101B-9397-08002B2CF9AE}" pid="7" name="_EmailSubject">
    <vt:lpwstr>Introduction Thursday 4 June 2015 - Biodiesel and Ethanol Bill 2015</vt:lpwstr>
  </property>
  <property fmtid="{D5CDD505-2E9C-101B-9397-08002B2CF9AE}" pid="8" name="_AuthorEmail">
    <vt:lpwstr>Caroline.Bogusz@TREASURY.GOV.AU</vt:lpwstr>
  </property>
  <property fmtid="{D5CDD505-2E9C-101B-9397-08002B2CF9AE}" pid="9" name="_AuthorEmailDisplayName">
    <vt:lpwstr>Bogusz, Caroline</vt:lpwstr>
  </property>
  <property fmtid="{D5CDD505-2E9C-101B-9397-08002B2CF9AE}" pid="10" name="_PreviousAdHocReviewCycleID">
    <vt:i4>703556838</vt:i4>
  </property>
  <property fmtid="{D5CDD505-2E9C-101B-9397-08002B2CF9AE}" pid="11" name="RecordPoint_WorkflowType">
    <vt:lpwstr>ActiveSubmitStub</vt:lpwstr>
  </property>
  <property fmtid="{D5CDD505-2E9C-101B-9397-08002B2CF9AE}" pid="12" name="RecordPoint_ActiveItemUniqueId">
    <vt:lpwstr>{2113a0e6-e3c4-4947-ae84-846794f403dc}</vt:lpwstr>
  </property>
  <property fmtid="{D5CDD505-2E9C-101B-9397-08002B2CF9AE}" pid="13" name="RecordPoint_ActiveItemWebId">
    <vt:lpwstr>{e237d495-0881-4849-ae62-ddc8a8132df5}</vt:lpwstr>
  </property>
  <property fmtid="{D5CDD505-2E9C-101B-9397-08002B2CF9AE}" pid="14" name="RecordPoint_ActiveItemSiteId">
    <vt:lpwstr>{de902461-0703-410e-906b-a2e3a4f5dd57}</vt:lpwstr>
  </property>
  <property fmtid="{D5CDD505-2E9C-101B-9397-08002B2CF9AE}" pid="15" name="RecordPoint_ActiveItemListId">
    <vt:lpwstr>{cbc2ebd0-59c1-4002-a83f-92737a87f681}</vt:lpwstr>
  </property>
  <property fmtid="{D5CDD505-2E9C-101B-9397-08002B2CF9AE}" pid="16" name="_ReviewingToolsShownOnce">
    <vt:lpwstr/>
  </property>
</Properties>
</file>