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175" w:rsidRPr="00D719FF" w:rsidRDefault="00DB3175" w:rsidP="00DB3175">
      <w:pPr>
        <w:rPr>
          <w:b/>
          <w:lang w:val="en-AU"/>
        </w:rPr>
      </w:pPr>
    </w:p>
    <w:p w:rsidR="00DB3175" w:rsidRPr="00D719FF" w:rsidRDefault="00DB3175" w:rsidP="00DB3175">
      <w:pPr>
        <w:rPr>
          <w:b/>
          <w:lang w:val="en-AU"/>
        </w:rPr>
      </w:pPr>
    </w:p>
    <w:p w:rsidR="00974EA5" w:rsidRPr="00D719FF" w:rsidRDefault="00974EA5" w:rsidP="00DB3175">
      <w:pPr>
        <w:rPr>
          <w:b/>
          <w:lang w:val="en-AU"/>
        </w:rPr>
      </w:pPr>
    </w:p>
    <w:p w:rsidR="00974EA5" w:rsidRPr="00D719FF" w:rsidRDefault="00974EA5" w:rsidP="00DB3175">
      <w:pPr>
        <w:rPr>
          <w:b/>
          <w:lang w:val="en-AU"/>
        </w:rPr>
      </w:pPr>
    </w:p>
    <w:p w:rsidR="00974EA5" w:rsidRPr="00D719FF" w:rsidRDefault="00974EA5" w:rsidP="00DB3175">
      <w:pPr>
        <w:rPr>
          <w:b/>
          <w:lang w:val="en-AU"/>
        </w:rPr>
      </w:pPr>
    </w:p>
    <w:p w:rsidR="00DB3175" w:rsidRPr="00D719FF" w:rsidRDefault="00974EA5" w:rsidP="00DB3175">
      <w:pPr>
        <w:jc w:val="center"/>
        <w:rPr>
          <w:lang w:val="en-AU"/>
        </w:rPr>
      </w:pPr>
      <w:r w:rsidRPr="00D719FF">
        <w:rPr>
          <w:lang w:val="en-AU"/>
        </w:rPr>
        <w:t>2013</w:t>
      </w:r>
      <w:r w:rsidR="00D719FF" w:rsidRPr="00D719FF">
        <w:rPr>
          <w:lang w:val="en-AU"/>
        </w:rPr>
        <w:t xml:space="preserve"> – 2014 – 2</w:t>
      </w:r>
      <w:r w:rsidR="00DB3175" w:rsidRPr="00D719FF">
        <w:rPr>
          <w:lang w:val="en-AU"/>
        </w:rPr>
        <w:t>01</w:t>
      </w:r>
      <w:r w:rsidR="0074343C" w:rsidRPr="00D719FF">
        <w:rPr>
          <w:lang w:val="en-AU"/>
        </w:rPr>
        <w:t>5</w:t>
      </w:r>
    </w:p>
    <w:p w:rsidR="00DB3175" w:rsidRPr="00D719FF" w:rsidRDefault="00DB3175" w:rsidP="00DB3175">
      <w:pPr>
        <w:jc w:val="center"/>
        <w:rPr>
          <w:b/>
          <w:lang w:val="en-AU"/>
        </w:rPr>
      </w:pPr>
    </w:p>
    <w:p w:rsidR="00DB3175" w:rsidRPr="00D719FF" w:rsidRDefault="00DB3175" w:rsidP="00DB3175">
      <w:pPr>
        <w:jc w:val="center"/>
        <w:rPr>
          <w:b/>
          <w:lang w:val="en-AU"/>
        </w:rPr>
      </w:pPr>
    </w:p>
    <w:p w:rsidR="00974EA5" w:rsidRPr="00D719FF" w:rsidRDefault="00974EA5" w:rsidP="00DB3175">
      <w:pPr>
        <w:jc w:val="center"/>
        <w:rPr>
          <w:b/>
          <w:lang w:val="en-AU"/>
        </w:rPr>
      </w:pPr>
    </w:p>
    <w:p w:rsidR="00DB3175" w:rsidRPr="00D719FF" w:rsidRDefault="00DB3175" w:rsidP="00DB3175">
      <w:pPr>
        <w:jc w:val="center"/>
        <w:rPr>
          <w:caps/>
          <w:lang w:val="en-AU"/>
        </w:rPr>
      </w:pPr>
      <w:r w:rsidRPr="00D719FF">
        <w:rPr>
          <w:caps/>
          <w:lang w:val="en-AU"/>
        </w:rPr>
        <w:t>The Parliament of the Commonwealth of Australia</w:t>
      </w:r>
    </w:p>
    <w:p w:rsidR="00DB3175" w:rsidRPr="00D719FF" w:rsidRDefault="00DB3175" w:rsidP="00DB3175">
      <w:pPr>
        <w:jc w:val="center"/>
        <w:rPr>
          <w:b/>
          <w:lang w:val="en-AU"/>
        </w:rPr>
      </w:pPr>
    </w:p>
    <w:p w:rsidR="00DB3175" w:rsidRPr="00D719FF" w:rsidRDefault="00DB3175" w:rsidP="00DB3175">
      <w:pPr>
        <w:jc w:val="center"/>
        <w:rPr>
          <w:b/>
          <w:lang w:val="en-AU"/>
        </w:rPr>
      </w:pPr>
    </w:p>
    <w:p w:rsidR="00974EA5" w:rsidRPr="00D719FF" w:rsidRDefault="00974EA5" w:rsidP="00DB3175">
      <w:pPr>
        <w:jc w:val="center"/>
        <w:rPr>
          <w:b/>
          <w:lang w:val="en-AU"/>
        </w:rPr>
      </w:pPr>
    </w:p>
    <w:p w:rsidR="00DB3175" w:rsidRPr="00D719FF" w:rsidRDefault="00DB3175" w:rsidP="00DB3175">
      <w:pPr>
        <w:jc w:val="center"/>
        <w:rPr>
          <w:b/>
          <w:lang w:val="en-AU"/>
        </w:rPr>
      </w:pPr>
    </w:p>
    <w:p w:rsidR="00DB3175" w:rsidRPr="00D719FF" w:rsidRDefault="0083655C" w:rsidP="00DB3175">
      <w:pPr>
        <w:jc w:val="center"/>
        <w:rPr>
          <w:b/>
          <w:lang w:val="en-AU"/>
        </w:rPr>
      </w:pPr>
      <w:r w:rsidRPr="00D719FF">
        <w:rPr>
          <w:b/>
          <w:lang w:val="en-AU"/>
        </w:rPr>
        <w:t>HOUSE OF REPRESENTATIVES</w:t>
      </w:r>
    </w:p>
    <w:p w:rsidR="00DB3175" w:rsidRPr="00D719FF" w:rsidRDefault="00DB3175" w:rsidP="00DB3175">
      <w:pPr>
        <w:jc w:val="center"/>
        <w:rPr>
          <w:b/>
          <w:lang w:val="en-AU"/>
        </w:rPr>
      </w:pPr>
    </w:p>
    <w:p w:rsidR="00DB3175" w:rsidRPr="00D719FF" w:rsidRDefault="00DB3175" w:rsidP="00DB3175">
      <w:pPr>
        <w:jc w:val="center"/>
        <w:rPr>
          <w:b/>
          <w:lang w:val="en-AU"/>
        </w:rPr>
      </w:pPr>
    </w:p>
    <w:p w:rsidR="00DB3175" w:rsidRPr="00D719FF" w:rsidRDefault="00DB317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DB3175" w:rsidRPr="00D719FF" w:rsidRDefault="00DB3175" w:rsidP="00DB3175">
      <w:pPr>
        <w:jc w:val="center"/>
        <w:rPr>
          <w:b/>
          <w:caps/>
          <w:lang w:val="en-AU"/>
        </w:rPr>
      </w:pPr>
      <w:r w:rsidRPr="00D719FF">
        <w:rPr>
          <w:b/>
          <w:caps/>
          <w:lang w:val="en-AU"/>
        </w:rPr>
        <w:t>Gen</w:t>
      </w:r>
      <w:r w:rsidR="0074343C" w:rsidRPr="00D719FF">
        <w:rPr>
          <w:b/>
          <w:caps/>
          <w:lang w:val="en-AU"/>
        </w:rPr>
        <w:t>e Technology Amendment Bill 2015</w:t>
      </w:r>
    </w:p>
    <w:p w:rsidR="00DB3175" w:rsidRPr="00D719FF" w:rsidRDefault="00DB3175" w:rsidP="00DB3175">
      <w:pPr>
        <w:jc w:val="center"/>
        <w:rPr>
          <w:b/>
          <w:lang w:val="en-AU"/>
        </w:rPr>
      </w:pPr>
    </w:p>
    <w:p w:rsidR="00DB3175" w:rsidRPr="00D719FF" w:rsidRDefault="00DB3175" w:rsidP="00DB3175">
      <w:pPr>
        <w:jc w:val="center"/>
        <w:rPr>
          <w:b/>
          <w:lang w:val="en-AU"/>
        </w:rPr>
      </w:pPr>
    </w:p>
    <w:p w:rsidR="00974EA5" w:rsidRPr="00D719FF" w:rsidRDefault="00974EA5" w:rsidP="00DB3175">
      <w:pPr>
        <w:jc w:val="center"/>
        <w:rPr>
          <w:b/>
          <w:lang w:val="en-AU"/>
        </w:rPr>
      </w:pPr>
    </w:p>
    <w:p w:rsidR="00DB3175" w:rsidRPr="00D719FF" w:rsidRDefault="00DB3175" w:rsidP="00DB3175">
      <w:pPr>
        <w:jc w:val="center"/>
        <w:rPr>
          <w:b/>
          <w:lang w:val="en-AU"/>
        </w:rPr>
      </w:pPr>
    </w:p>
    <w:p w:rsidR="00DB3175" w:rsidRPr="00D719FF" w:rsidRDefault="00DB3175" w:rsidP="00DB3175">
      <w:pPr>
        <w:jc w:val="center"/>
        <w:rPr>
          <w:caps/>
          <w:lang w:val="en-AU"/>
        </w:rPr>
      </w:pPr>
      <w:r w:rsidRPr="00D719FF">
        <w:rPr>
          <w:caps/>
          <w:lang w:val="en-AU"/>
        </w:rPr>
        <w:t>Explanatory Memorandum</w:t>
      </w:r>
    </w:p>
    <w:p w:rsidR="00DB3175" w:rsidRPr="00D719FF" w:rsidRDefault="00DB3175" w:rsidP="00DB3175">
      <w:pPr>
        <w:jc w:val="center"/>
        <w:rPr>
          <w:b/>
          <w:lang w:val="en-AU"/>
        </w:rPr>
      </w:pPr>
    </w:p>
    <w:p w:rsidR="00DB3175" w:rsidRPr="00D719FF" w:rsidRDefault="00DB3175" w:rsidP="00DB3175">
      <w:pPr>
        <w:jc w:val="center"/>
        <w:rPr>
          <w:b/>
          <w:lang w:val="en-AU"/>
        </w:rPr>
      </w:pPr>
    </w:p>
    <w:p w:rsidR="00DB3175" w:rsidRPr="00D719FF" w:rsidRDefault="00DB317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974EA5" w:rsidRPr="00D719FF" w:rsidRDefault="00974EA5" w:rsidP="00DB3175">
      <w:pPr>
        <w:jc w:val="center"/>
        <w:rPr>
          <w:b/>
          <w:lang w:val="en-AU"/>
        </w:rPr>
      </w:pPr>
    </w:p>
    <w:p w:rsidR="00DB3175" w:rsidRPr="00D719FF" w:rsidRDefault="00DB3175" w:rsidP="00DB3175">
      <w:pPr>
        <w:jc w:val="center"/>
        <w:rPr>
          <w:lang w:val="en-AU"/>
        </w:rPr>
      </w:pPr>
      <w:r w:rsidRPr="00D719FF">
        <w:rPr>
          <w:lang w:val="en-AU"/>
        </w:rPr>
        <w:t>(Circulated by authority of</w:t>
      </w:r>
      <w:r w:rsidR="00FF1292" w:rsidRPr="00D719FF">
        <w:rPr>
          <w:lang w:val="en-AU"/>
        </w:rPr>
        <w:t xml:space="preserve"> the Minister for Health</w:t>
      </w:r>
      <w:r w:rsidRPr="00D719FF">
        <w:rPr>
          <w:lang w:val="en-AU"/>
        </w:rPr>
        <w:t xml:space="preserve">, </w:t>
      </w:r>
      <w:r w:rsidR="00974EA5" w:rsidRPr="00D719FF">
        <w:rPr>
          <w:lang w:val="en-AU"/>
        </w:rPr>
        <w:t>the Hon</w:t>
      </w:r>
      <w:r w:rsidR="0083655C" w:rsidRPr="00D719FF">
        <w:rPr>
          <w:lang w:val="en-AU"/>
        </w:rPr>
        <w:t xml:space="preserve"> </w:t>
      </w:r>
      <w:proofErr w:type="spellStart"/>
      <w:r w:rsidR="0083655C" w:rsidRPr="00D719FF">
        <w:rPr>
          <w:lang w:val="en-AU"/>
        </w:rPr>
        <w:t>Sussan</w:t>
      </w:r>
      <w:proofErr w:type="spellEnd"/>
      <w:r w:rsidR="0083655C" w:rsidRPr="00D719FF">
        <w:rPr>
          <w:lang w:val="en-AU"/>
        </w:rPr>
        <w:t xml:space="preserve"> Ley</w:t>
      </w:r>
      <w:r w:rsidR="00D719FF" w:rsidRPr="00D719FF">
        <w:rPr>
          <w:lang w:val="en-AU"/>
        </w:rPr>
        <w:t xml:space="preserve"> MP</w:t>
      </w:r>
      <w:r w:rsidR="00FF1292" w:rsidRPr="00D719FF">
        <w:rPr>
          <w:lang w:val="en-AU"/>
        </w:rPr>
        <w:t>)</w:t>
      </w:r>
    </w:p>
    <w:p w:rsidR="00DB3175" w:rsidRPr="00D719FF" w:rsidRDefault="00DB3175" w:rsidP="00DB3175">
      <w:pPr>
        <w:rPr>
          <w:b/>
          <w:lang w:val="en-AU"/>
        </w:rPr>
      </w:pPr>
    </w:p>
    <w:p w:rsidR="00DB3175" w:rsidRPr="00D719FF" w:rsidRDefault="00DB3175" w:rsidP="00CB5B1A">
      <w:pPr>
        <w:pStyle w:val="Heading3"/>
        <w:rPr>
          <w:rFonts w:cs="Times New Roman"/>
          <w:b w:val="0"/>
          <w:sz w:val="24"/>
          <w:szCs w:val="24"/>
          <w:lang w:val="en-AU"/>
        </w:rPr>
      </w:pPr>
    </w:p>
    <w:p w:rsidR="009B6EE1" w:rsidRPr="00D719FF" w:rsidRDefault="009B6EE1" w:rsidP="009B6EE1">
      <w:pPr>
        <w:rPr>
          <w:lang w:val="en-AU"/>
        </w:rPr>
      </w:pPr>
    </w:p>
    <w:p w:rsidR="00974EA5" w:rsidRPr="00D719FF" w:rsidRDefault="00974EA5" w:rsidP="009B6EE1">
      <w:pPr>
        <w:rPr>
          <w:lang w:val="en-AU"/>
        </w:rPr>
      </w:pPr>
    </w:p>
    <w:p w:rsidR="00974EA5" w:rsidRPr="00D719FF" w:rsidRDefault="00974EA5">
      <w:pPr>
        <w:rPr>
          <w:lang w:val="en-AU"/>
        </w:rPr>
      </w:pPr>
      <w:r w:rsidRPr="00D719FF">
        <w:rPr>
          <w:lang w:val="en-AU"/>
        </w:rPr>
        <w:br w:type="page"/>
      </w:r>
    </w:p>
    <w:p w:rsidR="00974EA5" w:rsidRPr="00D719FF" w:rsidRDefault="00974EA5">
      <w:pPr>
        <w:rPr>
          <w:lang w:val="en-AU"/>
        </w:rPr>
      </w:pPr>
    </w:p>
    <w:p w:rsidR="009B6EE1" w:rsidRPr="00D719FF" w:rsidRDefault="009B6EE1" w:rsidP="009B6EE1">
      <w:pPr>
        <w:rPr>
          <w:lang w:val="en-AU"/>
        </w:rPr>
        <w:sectPr w:rsidR="009B6EE1" w:rsidRPr="00D719FF">
          <w:pgSz w:w="11906" w:h="16838"/>
          <w:pgMar w:top="1440" w:right="1800" w:bottom="1440" w:left="1800" w:header="708" w:footer="708" w:gutter="0"/>
          <w:cols w:space="708"/>
          <w:docGrid w:linePitch="360"/>
        </w:sectPr>
      </w:pPr>
    </w:p>
    <w:p w:rsidR="00FF1292" w:rsidRPr="00D719FF" w:rsidRDefault="00FF1292" w:rsidP="00FF1292">
      <w:pPr>
        <w:jc w:val="center"/>
        <w:rPr>
          <w:b/>
          <w:caps/>
          <w:lang w:val="en-AU"/>
        </w:rPr>
      </w:pPr>
      <w:r w:rsidRPr="00D719FF">
        <w:rPr>
          <w:b/>
          <w:caps/>
          <w:lang w:val="en-AU"/>
        </w:rPr>
        <w:lastRenderedPageBreak/>
        <w:t>Gen</w:t>
      </w:r>
      <w:r w:rsidR="0074343C" w:rsidRPr="00D719FF">
        <w:rPr>
          <w:b/>
          <w:caps/>
          <w:lang w:val="en-AU"/>
        </w:rPr>
        <w:t>e Technology Amendment Bill 2015</w:t>
      </w:r>
    </w:p>
    <w:p w:rsidR="00974EA5" w:rsidRPr="00D719FF" w:rsidRDefault="00974EA5" w:rsidP="00CB5B1A">
      <w:pPr>
        <w:pStyle w:val="Heading3"/>
        <w:rPr>
          <w:rFonts w:cs="Times New Roman"/>
          <w:sz w:val="24"/>
          <w:szCs w:val="24"/>
          <w:lang w:val="en-AU"/>
        </w:rPr>
      </w:pPr>
    </w:p>
    <w:p w:rsidR="00DB3175" w:rsidRPr="00D719FF" w:rsidRDefault="00FF1292" w:rsidP="00CB5B1A">
      <w:pPr>
        <w:pStyle w:val="Heading3"/>
        <w:rPr>
          <w:rFonts w:cs="Times New Roman"/>
          <w:b w:val="0"/>
          <w:sz w:val="24"/>
          <w:szCs w:val="24"/>
          <w:lang w:val="en-AU"/>
        </w:rPr>
      </w:pPr>
      <w:r w:rsidRPr="00D719FF">
        <w:rPr>
          <w:rFonts w:cs="Times New Roman"/>
          <w:sz w:val="24"/>
          <w:szCs w:val="24"/>
          <w:lang w:val="en-AU"/>
        </w:rPr>
        <w:t>OUTLINE</w:t>
      </w:r>
    </w:p>
    <w:p w:rsidR="005E0C21" w:rsidRPr="00D719FF" w:rsidRDefault="005E0C21" w:rsidP="00FF1292">
      <w:pPr>
        <w:rPr>
          <w:lang w:val="en-AU"/>
        </w:rPr>
      </w:pPr>
    </w:p>
    <w:p w:rsidR="00C83350" w:rsidRPr="00D719FF" w:rsidRDefault="00C83350" w:rsidP="00FF1292">
      <w:pPr>
        <w:rPr>
          <w:lang w:val="en-AU"/>
        </w:rPr>
      </w:pPr>
      <w:r w:rsidRPr="00D719FF">
        <w:rPr>
          <w:lang w:val="en-AU"/>
        </w:rPr>
        <w:t xml:space="preserve">The purpose of this Bill is to amend the </w:t>
      </w:r>
      <w:r w:rsidRPr="00D719FF">
        <w:rPr>
          <w:i/>
          <w:lang w:val="en-AU"/>
        </w:rPr>
        <w:t>Gene Technology Act 2000</w:t>
      </w:r>
      <w:r w:rsidRPr="00D719FF">
        <w:rPr>
          <w:lang w:val="en-AU"/>
        </w:rPr>
        <w:t xml:space="preserve"> (the Act) in order to improve its operation without changing the underlying policy intent or overall legislative framework of the regulatory scheme.</w:t>
      </w:r>
    </w:p>
    <w:p w:rsidR="00C83350" w:rsidRPr="00D719FF" w:rsidRDefault="00C83350" w:rsidP="00FF1292">
      <w:pPr>
        <w:rPr>
          <w:lang w:val="en-AU"/>
        </w:rPr>
      </w:pPr>
    </w:p>
    <w:p w:rsidR="00C83350" w:rsidRPr="00D719FF" w:rsidRDefault="00C83350" w:rsidP="009F1286">
      <w:pPr>
        <w:autoSpaceDE w:val="0"/>
        <w:autoSpaceDN w:val="0"/>
        <w:adjustRightInd w:val="0"/>
        <w:rPr>
          <w:lang w:val="en-AU" w:eastAsia="en-AU"/>
        </w:rPr>
      </w:pPr>
      <w:r w:rsidRPr="00D719FF">
        <w:rPr>
          <w:lang w:val="en-AU" w:eastAsia="en-AU"/>
        </w:rPr>
        <w:t>The Act is the Australian Government's component of the nationally consistent regulatory</w:t>
      </w:r>
      <w:r w:rsidR="008124FB" w:rsidRPr="00D719FF">
        <w:rPr>
          <w:lang w:val="en-AU" w:eastAsia="en-AU"/>
        </w:rPr>
        <w:t xml:space="preserve"> </w:t>
      </w:r>
      <w:r w:rsidRPr="00D719FF">
        <w:rPr>
          <w:lang w:val="en-AU" w:eastAsia="en-AU"/>
        </w:rPr>
        <w:t>scheme for gene technology. Under the Gene Technology Agreement 2001, all States and</w:t>
      </w:r>
      <w:r w:rsidR="008124FB" w:rsidRPr="00D719FF">
        <w:rPr>
          <w:lang w:val="en-AU" w:eastAsia="en-AU"/>
        </w:rPr>
        <w:t xml:space="preserve"> </w:t>
      </w:r>
      <w:r w:rsidRPr="00D719FF">
        <w:rPr>
          <w:lang w:val="en-AU" w:eastAsia="en-AU"/>
        </w:rPr>
        <w:t>Territories have committed to maintaining corresponding legislation. The object of the Act is</w:t>
      </w:r>
      <w:r w:rsidR="008124FB" w:rsidRPr="00D719FF">
        <w:rPr>
          <w:lang w:val="en-AU" w:eastAsia="en-AU"/>
        </w:rPr>
        <w:t xml:space="preserve"> </w:t>
      </w:r>
      <w:r w:rsidRPr="00D719FF">
        <w:rPr>
          <w:lang w:val="en-AU" w:eastAsia="en-AU"/>
        </w:rPr>
        <w:t>to protect the health and safety of people, and to protect the environment, by identifying risks</w:t>
      </w:r>
      <w:r w:rsidR="008124FB" w:rsidRPr="00D719FF">
        <w:rPr>
          <w:lang w:val="en-AU" w:eastAsia="en-AU"/>
        </w:rPr>
        <w:t xml:space="preserve"> </w:t>
      </w:r>
      <w:r w:rsidRPr="00D719FF">
        <w:rPr>
          <w:lang w:val="en-AU" w:eastAsia="en-AU"/>
        </w:rPr>
        <w:t>posed by or as a result of gene technology, and by managing those risks through regulating</w:t>
      </w:r>
      <w:r w:rsidR="008124FB" w:rsidRPr="00D719FF">
        <w:rPr>
          <w:lang w:val="en-AU" w:eastAsia="en-AU"/>
        </w:rPr>
        <w:t xml:space="preserve"> </w:t>
      </w:r>
      <w:r w:rsidRPr="00D719FF">
        <w:rPr>
          <w:lang w:val="en-AU" w:eastAsia="en-AU"/>
        </w:rPr>
        <w:t>certain dealings with genetically modified organisms (GMOs).</w:t>
      </w:r>
    </w:p>
    <w:p w:rsidR="00C83350" w:rsidRPr="00D719FF" w:rsidRDefault="00C83350" w:rsidP="00C83350">
      <w:pPr>
        <w:autoSpaceDE w:val="0"/>
        <w:autoSpaceDN w:val="0"/>
        <w:adjustRightInd w:val="0"/>
        <w:rPr>
          <w:lang w:val="en-AU" w:eastAsia="en-AU"/>
        </w:rPr>
      </w:pPr>
    </w:p>
    <w:p w:rsidR="00C83350" w:rsidRPr="00D719FF" w:rsidRDefault="008E5109" w:rsidP="00C83350">
      <w:pPr>
        <w:autoSpaceDE w:val="0"/>
        <w:autoSpaceDN w:val="0"/>
        <w:adjustRightInd w:val="0"/>
        <w:rPr>
          <w:lang w:val="en-AU" w:eastAsia="en-AU"/>
        </w:rPr>
      </w:pPr>
      <w:r w:rsidRPr="00D719FF">
        <w:rPr>
          <w:lang w:val="en-AU" w:eastAsia="en-AU"/>
        </w:rPr>
        <w:t xml:space="preserve">An independent review of the Act, conducted in 2011 on behalf of the Legislative and Governance Forum on Gene Technology (LGFGT), found that the Act is working well and the </w:t>
      </w:r>
      <w:r w:rsidR="009F1286" w:rsidRPr="00D719FF">
        <w:rPr>
          <w:lang w:val="en-AU" w:eastAsia="en-AU"/>
        </w:rPr>
        <w:t>Office of the Gene Technology Regulator</w:t>
      </w:r>
      <w:r w:rsidRPr="00D719FF">
        <w:rPr>
          <w:lang w:val="en-AU" w:eastAsia="en-AU"/>
        </w:rPr>
        <w:t xml:space="preserve"> is providing a rigorous, highly </w:t>
      </w:r>
      <w:r w:rsidR="005F4EC3" w:rsidRPr="00D719FF">
        <w:rPr>
          <w:lang w:val="en-AU" w:eastAsia="en-AU"/>
        </w:rPr>
        <w:t xml:space="preserve">transparent regulatory system. </w:t>
      </w:r>
      <w:r w:rsidRPr="00D719FF">
        <w:rPr>
          <w:lang w:val="en-AU" w:eastAsia="en-AU"/>
        </w:rPr>
        <w:t>The review made 16 recommendations to improve the operation of the gene technology regulatory system</w:t>
      </w:r>
      <w:r w:rsidR="001347A2" w:rsidRPr="00D719FF">
        <w:rPr>
          <w:lang w:val="en-AU" w:eastAsia="en-AU"/>
        </w:rPr>
        <w:t xml:space="preserve">, and the LGFGT subsequently agreed </w:t>
      </w:r>
      <w:r w:rsidR="00974EA5" w:rsidRPr="00D719FF">
        <w:rPr>
          <w:lang w:val="en-AU" w:eastAsia="en-AU"/>
        </w:rPr>
        <w:t xml:space="preserve">to </w:t>
      </w:r>
      <w:r w:rsidR="001347A2" w:rsidRPr="00D719FF">
        <w:rPr>
          <w:lang w:val="en-AU" w:eastAsia="en-AU"/>
        </w:rPr>
        <w:t>14 of these recommendations</w:t>
      </w:r>
      <w:r w:rsidRPr="00D719FF">
        <w:rPr>
          <w:lang w:val="en-AU" w:eastAsia="en-AU"/>
        </w:rPr>
        <w:t>.</w:t>
      </w:r>
    </w:p>
    <w:p w:rsidR="008E5109" w:rsidRPr="00D719FF" w:rsidRDefault="008E5109" w:rsidP="00C83350">
      <w:pPr>
        <w:autoSpaceDE w:val="0"/>
        <w:autoSpaceDN w:val="0"/>
        <w:adjustRightInd w:val="0"/>
        <w:rPr>
          <w:lang w:val="en-AU" w:eastAsia="en-AU"/>
        </w:rPr>
      </w:pPr>
    </w:p>
    <w:p w:rsidR="00C83350" w:rsidRPr="00D719FF" w:rsidRDefault="00EA6559" w:rsidP="00C83350">
      <w:pPr>
        <w:autoSpaceDE w:val="0"/>
        <w:autoSpaceDN w:val="0"/>
        <w:adjustRightInd w:val="0"/>
        <w:rPr>
          <w:lang w:val="en-AU" w:eastAsia="en-AU"/>
        </w:rPr>
      </w:pPr>
      <w:r w:rsidRPr="00D719FF">
        <w:rPr>
          <w:lang w:val="en-AU" w:eastAsia="en-AU"/>
        </w:rPr>
        <w:t xml:space="preserve">Five </w:t>
      </w:r>
      <w:r w:rsidR="00D10A63" w:rsidRPr="00D719FF">
        <w:rPr>
          <w:lang w:val="en-AU" w:eastAsia="en-AU"/>
        </w:rPr>
        <w:t>of the agreed recommendations</w:t>
      </w:r>
      <w:r w:rsidR="009F1286" w:rsidRPr="00D719FF">
        <w:rPr>
          <w:lang w:val="en-AU" w:eastAsia="en-AU"/>
        </w:rPr>
        <w:t xml:space="preserve"> </w:t>
      </w:r>
      <w:r w:rsidR="00F05928" w:rsidRPr="00D719FF">
        <w:rPr>
          <w:lang w:val="en-AU" w:eastAsia="en-AU"/>
        </w:rPr>
        <w:t>proposed minor and technical amendments to the Act to make</w:t>
      </w:r>
      <w:r w:rsidR="008E5109" w:rsidRPr="00D719FF">
        <w:rPr>
          <w:lang w:val="en-AU" w:eastAsia="en-AU"/>
        </w:rPr>
        <w:t xml:space="preserve"> gene technology regulation more efficient, more effective or clearer. </w:t>
      </w:r>
      <w:r w:rsidR="00C83350" w:rsidRPr="00D719FF">
        <w:rPr>
          <w:lang w:val="en-AU" w:eastAsia="en-AU"/>
        </w:rPr>
        <w:t>This Bill proposes to implement the</w:t>
      </w:r>
      <w:r w:rsidR="008E5109" w:rsidRPr="00D719FF">
        <w:rPr>
          <w:lang w:val="en-AU" w:eastAsia="en-AU"/>
        </w:rPr>
        <w:t>se</w:t>
      </w:r>
      <w:r w:rsidR="00C83350" w:rsidRPr="00D719FF">
        <w:rPr>
          <w:lang w:val="en-AU" w:eastAsia="en-AU"/>
        </w:rPr>
        <w:t xml:space="preserve"> recommendations, which include:</w:t>
      </w:r>
    </w:p>
    <w:p w:rsidR="00676590" w:rsidRPr="00D719FF" w:rsidRDefault="00676590" w:rsidP="00FF1292">
      <w:pPr>
        <w:rPr>
          <w:lang w:val="en-AU"/>
        </w:rPr>
      </w:pPr>
    </w:p>
    <w:p w:rsidR="00676590" w:rsidRPr="00D719FF" w:rsidRDefault="00676590" w:rsidP="00676590">
      <w:pPr>
        <w:pStyle w:val="ListParagraph"/>
        <w:numPr>
          <w:ilvl w:val="0"/>
          <w:numId w:val="6"/>
        </w:numPr>
        <w:rPr>
          <w:lang w:val="en-AU"/>
        </w:rPr>
      </w:pPr>
      <w:r w:rsidRPr="00D719FF">
        <w:rPr>
          <w:lang w:val="en-AU"/>
        </w:rPr>
        <w:t>discontinuing quarterly reporting to the Minister (Part 1 of Schedule 1 of the Bill);</w:t>
      </w:r>
    </w:p>
    <w:p w:rsidR="00676590" w:rsidRPr="00D719FF" w:rsidRDefault="00676590" w:rsidP="00676590">
      <w:pPr>
        <w:pStyle w:val="ListParagraph"/>
        <w:numPr>
          <w:ilvl w:val="0"/>
          <w:numId w:val="6"/>
        </w:numPr>
        <w:rPr>
          <w:lang w:val="en-AU"/>
        </w:rPr>
      </w:pPr>
      <w:r w:rsidRPr="00D719FF">
        <w:rPr>
          <w:lang w:val="en-AU"/>
        </w:rPr>
        <w:t xml:space="preserve">clarifying which dealings </w:t>
      </w:r>
      <w:r w:rsidR="00860B49" w:rsidRPr="00D719FF">
        <w:rPr>
          <w:lang w:val="en-AU"/>
        </w:rPr>
        <w:t>may be authorise</w:t>
      </w:r>
      <w:r w:rsidR="008124FB" w:rsidRPr="00D719FF">
        <w:rPr>
          <w:lang w:val="en-AU"/>
        </w:rPr>
        <w:t>d</w:t>
      </w:r>
      <w:r w:rsidR="00860B49" w:rsidRPr="00D719FF">
        <w:rPr>
          <w:lang w:val="en-AU"/>
        </w:rPr>
        <w:t xml:space="preserve"> by </w:t>
      </w:r>
      <w:r w:rsidRPr="00D719FF">
        <w:rPr>
          <w:lang w:val="en-AU"/>
        </w:rPr>
        <w:t>inadvertent dealings licences (Part 2 of Schedule 1 of the Bill);</w:t>
      </w:r>
    </w:p>
    <w:p w:rsidR="00676590" w:rsidRPr="00D719FF" w:rsidRDefault="00676590" w:rsidP="00676590">
      <w:pPr>
        <w:pStyle w:val="ListParagraph"/>
        <w:numPr>
          <w:ilvl w:val="0"/>
          <w:numId w:val="6"/>
        </w:numPr>
        <w:rPr>
          <w:lang w:val="en-AU"/>
        </w:rPr>
      </w:pPr>
      <w:r w:rsidRPr="00D719FF">
        <w:rPr>
          <w:lang w:val="en-AU"/>
        </w:rPr>
        <w:t>updating advertising requirements for public consultations (Part 3 of Schedule 1 of the Bill);</w:t>
      </w:r>
    </w:p>
    <w:p w:rsidR="00676590" w:rsidRPr="00D719FF" w:rsidRDefault="00676590" w:rsidP="00676590">
      <w:pPr>
        <w:pStyle w:val="ListParagraph"/>
        <w:numPr>
          <w:ilvl w:val="0"/>
          <w:numId w:val="6"/>
        </w:numPr>
        <w:rPr>
          <w:lang w:val="en-AU"/>
        </w:rPr>
      </w:pPr>
      <w:r w:rsidRPr="00D719FF">
        <w:rPr>
          <w:lang w:val="en-AU"/>
        </w:rPr>
        <w:t xml:space="preserve">removing </w:t>
      </w:r>
      <w:r w:rsidR="008124FB" w:rsidRPr="00D719FF">
        <w:rPr>
          <w:lang w:val="en-AU"/>
        </w:rPr>
        <w:t xml:space="preserve">information about </w:t>
      </w:r>
      <w:r w:rsidRPr="00D719FF">
        <w:rPr>
          <w:lang w:val="en-AU"/>
        </w:rPr>
        <w:t>genetically modified (GM) products authorised by other agencies from the Record of GMO and GM P</w:t>
      </w:r>
      <w:r w:rsidR="00EA6559" w:rsidRPr="00D719FF">
        <w:rPr>
          <w:lang w:val="en-AU"/>
        </w:rPr>
        <w:t>roduct Dealings</w:t>
      </w:r>
      <w:r w:rsidRPr="00D719FF">
        <w:rPr>
          <w:lang w:val="en-AU"/>
        </w:rPr>
        <w:t xml:space="preserve"> maintained by the Gene Tech</w:t>
      </w:r>
      <w:r w:rsidR="00EA6559" w:rsidRPr="00D719FF">
        <w:rPr>
          <w:lang w:val="en-AU"/>
        </w:rPr>
        <w:t>nology Regulator</w:t>
      </w:r>
      <w:r w:rsidRPr="00D719FF">
        <w:rPr>
          <w:lang w:val="en-AU"/>
        </w:rPr>
        <w:t xml:space="preserve"> (Part 4 of Schedule 1 of the Bill);</w:t>
      </w:r>
    </w:p>
    <w:p w:rsidR="00676590" w:rsidRPr="00D719FF" w:rsidRDefault="00676590" w:rsidP="00676590">
      <w:pPr>
        <w:pStyle w:val="ListParagraph"/>
        <w:numPr>
          <w:ilvl w:val="0"/>
          <w:numId w:val="6"/>
        </w:numPr>
        <w:rPr>
          <w:lang w:val="en-AU"/>
        </w:rPr>
      </w:pPr>
      <w:r w:rsidRPr="00D719FF">
        <w:rPr>
          <w:lang w:val="en-AU"/>
        </w:rPr>
        <w:t>changing licence variation requirements to provide greater flexibility for licence-holders (Part 5 of Schedule 1 of the Bill);</w:t>
      </w:r>
    </w:p>
    <w:p w:rsidR="00676590" w:rsidRPr="00D719FF" w:rsidRDefault="00676590" w:rsidP="00676590">
      <w:pPr>
        <w:pStyle w:val="ListParagraph"/>
        <w:numPr>
          <w:ilvl w:val="0"/>
          <w:numId w:val="6"/>
        </w:numPr>
        <w:rPr>
          <w:lang w:val="en-AU"/>
        </w:rPr>
      </w:pPr>
      <w:r w:rsidRPr="00D719FF">
        <w:rPr>
          <w:lang w:val="en-AU"/>
        </w:rPr>
        <w:t xml:space="preserve">updating the considerations required before </w:t>
      </w:r>
      <w:r w:rsidR="00860B49" w:rsidRPr="00D719FF">
        <w:rPr>
          <w:lang w:val="en-AU"/>
        </w:rPr>
        <w:t>dealings may be scheduled</w:t>
      </w:r>
      <w:r w:rsidRPr="00D719FF">
        <w:rPr>
          <w:lang w:val="en-AU"/>
        </w:rPr>
        <w:t xml:space="preserve"> as notifiable low risk dealings (Part 6 of Schedule 1 of the Bill); and</w:t>
      </w:r>
    </w:p>
    <w:p w:rsidR="00676590" w:rsidRPr="00D719FF" w:rsidRDefault="00676590" w:rsidP="00676590">
      <w:pPr>
        <w:pStyle w:val="ListParagraph"/>
        <w:numPr>
          <w:ilvl w:val="0"/>
          <w:numId w:val="6"/>
        </w:numPr>
        <w:rPr>
          <w:lang w:val="en-AU"/>
        </w:rPr>
      </w:pPr>
      <w:proofErr w:type="gramStart"/>
      <w:r w:rsidRPr="00D719FF">
        <w:rPr>
          <w:lang w:val="en-AU"/>
        </w:rPr>
        <w:t>clarifying</w:t>
      </w:r>
      <w:proofErr w:type="gramEnd"/>
      <w:r w:rsidRPr="00D719FF">
        <w:rPr>
          <w:lang w:val="en-AU"/>
        </w:rPr>
        <w:t xml:space="preserve"> ambiguous wording (Part 6 of Schedule 1 of the Bill).</w:t>
      </w:r>
    </w:p>
    <w:p w:rsidR="00FF1292" w:rsidRPr="00D719FF" w:rsidRDefault="00FF1292" w:rsidP="00FF1292">
      <w:pPr>
        <w:rPr>
          <w:lang w:val="en-AU"/>
        </w:rPr>
      </w:pPr>
    </w:p>
    <w:p w:rsidR="00FF1292" w:rsidRPr="00D719FF" w:rsidRDefault="00FF1292" w:rsidP="00676590">
      <w:pPr>
        <w:pStyle w:val="Heading3"/>
        <w:rPr>
          <w:rFonts w:cs="Times New Roman"/>
          <w:caps/>
          <w:sz w:val="24"/>
          <w:szCs w:val="24"/>
          <w:lang w:val="en-AU"/>
        </w:rPr>
      </w:pPr>
      <w:r w:rsidRPr="00D719FF">
        <w:rPr>
          <w:rFonts w:cs="Times New Roman"/>
          <w:caps/>
          <w:sz w:val="24"/>
          <w:szCs w:val="24"/>
          <w:lang w:val="en-AU"/>
        </w:rPr>
        <w:t>Financial Impact Statement</w:t>
      </w:r>
    </w:p>
    <w:p w:rsidR="00676590" w:rsidRPr="00D719FF" w:rsidRDefault="00676590" w:rsidP="00FF1292">
      <w:pPr>
        <w:rPr>
          <w:lang w:val="en-AU"/>
        </w:rPr>
      </w:pPr>
    </w:p>
    <w:p w:rsidR="0061671C" w:rsidRPr="00D719FF" w:rsidRDefault="0061671C" w:rsidP="00FF1292">
      <w:pPr>
        <w:rPr>
          <w:lang w:val="en-AU"/>
        </w:rPr>
      </w:pPr>
      <w:r w:rsidRPr="00D719FF">
        <w:rPr>
          <w:lang w:val="en-AU"/>
        </w:rPr>
        <w:t xml:space="preserve">The amendments made by this Bill </w:t>
      </w:r>
      <w:r w:rsidR="007215C7" w:rsidRPr="00D719FF">
        <w:rPr>
          <w:lang w:val="en-AU"/>
        </w:rPr>
        <w:t>would</w:t>
      </w:r>
      <w:r w:rsidR="00C52D1A" w:rsidRPr="00D719FF">
        <w:rPr>
          <w:lang w:val="en-AU"/>
        </w:rPr>
        <w:t xml:space="preserve"> not</w:t>
      </w:r>
      <w:r w:rsidRPr="00D719FF">
        <w:rPr>
          <w:lang w:val="en-AU"/>
        </w:rPr>
        <w:t xml:space="preserve"> have a</w:t>
      </w:r>
      <w:r w:rsidR="00C52D1A" w:rsidRPr="00D719FF">
        <w:rPr>
          <w:lang w:val="en-AU"/>
        </w:rPr>
        <w:t xml:space="preserve">ny </w:t>
      </w:r>
      <w:r w:rsidRPr="00D719FF">
        <w:rPr>
          <w:lang w:val="en-AU"/>
        </w:rPr>
        <w:t>financial impact on the Commonwealth.</w:t>
      </w:r>
    </w:p>
    <w:p w:rsidR="0052323B" w:rsidRPr="00D719FF" w:rsidRDefault="0052323B" w:rsidP="00FF1292">
      <w:pPr>
        <w:rPr>
          <w:lang w:val="en-AU"/>
        </w:rPr>
      </w:pPr>
    </w:p>
    <w:p w:rsidR="00A52880" w:rsidRPr="00D719FF" w:rsidRDefault="00A52880" w:rsidP="0052323B">
      <w:pPr>
        <w:pStyle w:val="Heading3"/>
        <w:keepLines/>
        <w:jc w:val="center"/>
        <w:rPr>
          <w:rFonts w:cs="Times New Roman"/>
          <w:sz w:val="24"/>
          <w:szCs w:val="24"/>
          <w:lang w:val="en-AU"/>
        </w:rPr>
      </w:pPr>
      <w:r w:rsidRPr="00D719FF">
        <w:rPr>
          <w:rFonts w:cs="Times New Roman"/>
          <w:sz w:val="24"/>
          <w:szCs w:val="24"/>
          <w:lang w:val="en-AU"/>
        </w:rPr>
        <w:lastRenderedPageBreak/>
        <w:t>Statement of Compatibility with Human Rights</w:t>
      </w:r>
    </w:p>
    <w:p w:rsidR="00A52880" w:rsidRPr="00D719FF" w:rsidRDefault="00A52880" w:rsidP="0052323B">
      <w:pPr>
        <w:keepNext/>
        <w:keepLines/>
        <w:spacing w:before="120" w:after="120"/>
        <w:jc w:val="center"/>
        <w:rPr>
          <w:lang w:val="en-AU"/>
        </w:rPr>
      </w:pPr>
      <w:r w:rsidRPr="00D719FF">
        <w:rPr>
          <w:i/>
          <w:lang w:val="en-AU" w:eastAsia="en-AU"/>
        </w:rPr>
        <w:t>Prepared in accordance with Part 3 of t</w:t>
      </w:r>
      <w:r w:rsidRPr="00D719FF">
        <w:rPr>
          <w:i/>
          <w:lang w:val="en-AU"/>
        </w:rPr>
        <w:t>he Human Rights (Parliamentary Scrutiny) Act 2011</w:t>
      </w:r>
    </w:p>
    <w:p w:rsidR="00EA6559" w:rsidRPr="00D719FF" w:rsidRDefault="00EA6559" w:rsidP="00EA6559">
      <w:pPr>
        <w:jc w:val="center"/>
        <w:rPr>
          <w:b/>
          <w:lang w:val="en-AU"/>
        </w:rPr>
      </w:pPr>
    </w:p>
    <w:p w:rsidR="00A52880" w:rsidRPr="00D719FF" w:rsidRDefault="00A52880" w:rsidP="00EA6559">
      <w:pPr>
        <w:jc w:val="center"/>
        <w:rPr>
          <w:b/>
          <w:lang w:val="en-AU"/>
        </w:rPr>
      </w:pPr>
      <w:r w:rsidRPr="00D719FF">
        <w:rPr>
          <w:b/>
          <w:lang w:val="en-AU"/>
        </w:rPr>
        <w:t>Gen</w:t>
      </w:r>
      <w:r w:rsidR="0074343C" w:rsidRPr="00D719FF">
        <w:rPr>
          <w:b/>
          <w:lang w:val="en-AU"/>
        </w:rPr>
        <w:t>e Technology Amendment Bill 2015</w:t>
      </w:r>
    </w:p>
    <w:p w:rsidR="00A52880" w:rsidRPr="00D719FF" w:rsidRDefault="00A52880" w:rsidP="00A75F29">
      <w:pPr>
        <w:spacing w:before="120" w:after="120"/>
        <w:rPr>
          <w:lang w:val="en-AU"/>
        </w:rPr>
      </w:pPr>
      <w:r w:rsidRPr="00D719FF">
        <w:rPr>
          <w:lang w:val="en-AU"/>
        </w:rPr>
        <w:t xml:space="preserve">This Bill is compatible with the human rights and freedoms recognised or declared in the international instruments listed in section 3 of the </w:t>
      </w:r>
      <w:r w:rsidRPr="00D719FF">
        <w:rPr>
          <w:i/>
          <w:lang w:val="en-AU"/>
        </w:rPr>
        <w:t>Human Rights</w:t>
      </w:r>
      <w:r w:rsidR="00860B49" w:rsidRPr="00D719FF">
        <w:rPr>
          <w:i/>
          <w:lang w:val="en-AU"/>
        </w:rPr>
        <w:t xml:space="preserve"> </w:t>
      </w:r>
      <w:r w:rsidRPr="00D719FF">
        <w:rPr>
          <w:i/>
          <w:lang w:val="en-AU"/>
        </w:rPr>
        <w:t>(Parliamentary Scrutiny) Act 2011</w:t>
      </w:r>
      <w:r w:rsidRPr="00D719FF">
        <w:rPr>
          <w:lang w:val="en-AU"/>
        </w:rPr>
        <w:t>.</w:t>
      </w:r>
    </w:p>
    <w:p w:rsidR="00EA6559" w:rsidRPr="00D719FF" w:rsidRDefault="00EA6559" w:rsidP="0052323B">
      <w:pPr>
        <w:spacing w:before="120" w:after="120"/>
        <w:jc w:val="both"/>
        <w:rPr>
          <w:b/>
          <w:lang w:val="en-AU"/>
        </w:rPr>
      </w:pPr>
    </w:p>
    <w:p w:rsidR="00A52880" w:rsidRPr="00D719FF" w:rsidRDefault="00A52880" w:rsidP="0052323B">
      <w:pPr>
        <w:spacing w:before="120" w:after="120"/>
        <w:jc w:val="both"/>
        <w:rPr>
          <w:b/>
          <w:lang w:val="en-AU"/>
        </w:rPr>
      </w:pPr>
      <w:r w:rsidRPr="00D719FF">
        <w:rPr>
          <w:b/>
          <w:lang w:val="en-AU"/>
        </w:rPr>
        <w:t>Overview of the Bill</w:t>
      </w:r>
    </w:p>
    <w:p w:rsidR="0052323B" w:rsidRPr="00D719FF" w:rsidRDefault="0052323B" w:rsidP="0052323B">
      <w:pPr>
        <w:rPr>
          <w:lang w:val="en-AU"/>
        </w:rPr>
      </w:pPr>
      <w:r w:rsidRPr="00D719FF">
        <w:rPr>
          <w:lang w:val="en-AU"/>
        </w:rPr>
        <w:t xml:space="preserve">The purpose of this Bill is to amend the </w:t>
      </w:r>
      <w:r w:rsidRPr="00D719FF">
        <w:rPr>
          <w:i/>
          <w:lang w:val="en-AU"/>
        </w:rPr>
        <w:t>Gene Technology Act 2000</w:t>
      </w:r>
      <w:r w:rsidRPr="00D719FF">
        <w:rPr>
          <w:lang w:val="en-AU"/>
        </w:rPr>
        <w:t xml:space="preserve"> (the Act) in order to improve its operation without changing the underlying policy intent or overall legislative framework of the regulatory scheme. </w:t>
      </w:r>
      <w:r w:rsidRPr="00D719FF">
        <w:rPr>
          <w:lang w:val="en-AU" w:eastAsia="en-AU"/>
        </w:rPr>
        <w:t>An independent review of the Act, conducted in 2011 on behalf of the Legislative and Governance Forum on Gene Technology, made five recommendations on areas where gene technology regulation could be made more efficient, more effective or clearer. This Bill proposes to implement these recommendations.</w:t>
      </w:r>
    </w:p>
    <w:p w:rsidR="00A52880" w:rsidRPr="00D719FF" w:rsidRDefault="00A52880" w:rsidP="0052323B">
      <w:pPr>
        <w:spacing w:before="120" w:after="120"/>
        <w:rPr>
          <w:lang w:val="en-AU"/>
        </w:rPr>
      </w:pPr>
    </w:p>
    <w:p w:rsidR="00A52880" w:rsidRPr="00D719FF" w:rsidRDefault="00A52880" w:rsidP="0052323B">
      <w:pPr>
        <w:spacing w:before="120" w:after="120"/>
        <w:rPr>
          <w:b/>
          <w:lang w:val="en-AU"/>
        </w:rPr>
      </w:pPr>
      <w:r w:rsidRPr="00D719FF">
        <w:rPr>
          <w:b/>
          <w:lang w:val="en-AU"/>
        </w:rPr>
        <w:t>Human rights implications</w:t>
      </w:r>
    </w:p>
    <w:p w:rsidR="00E7457E" w:rsidRPr="00D719FF" w:rsidRDefault="00E7457E" w:rsidP="00E7457E">
      <w:r w:rsidRPr="00D719FF">
        <w:t>The proposed amendments are compatible with the right to an adequate standard of living and the right to the enjoyment of the highest attainable standard of physical and mental health as contained in article 11(1) and article 12(1) of the International Covenant on Economic, Social and Cultural Rights.</w:t>
      </w:r>
    </w:p>
    <w:p w:rsidR="00E7457E" w:rsidRPr="00D719FF" w:rsidRDefault="00E7457E" w:rsidP="00E7457E">
      <w:pPr>
        <w:rPr>
          <w:b/>
        </w:rPr>
      </w:pPr>
    </w:p>
    <w:p w:rsidR="00E7457E" w:rsidRPr="00D719FF" w:rsidRDefault="00E7457E" w:rsidP="00E7457E">
      <w:r w:rsidRPr="00D719FF">
        <w:t xml:space="preserve">The proposed amendments are designed to ensure that Australia’s regulation of dealings with genetically modified organisms (GMOs) manages potential risks posed by GMOs so as to protect public health and safety (and the environment). Each of the changes proposed in this Bill improves the operation of the legislation and better enables the achievement of this objective. </w:t>
      </w:r>
    </w:p>
    <w:p w:rsidR="00A52880" w:rsidRPr="00D719FF" w:rsidRDefault="00A52880" w:rsidP="0052323B">
      <w:pPr>
        <w:spacing w:before="120" w:after="120"/>
        <w:rPr>
          <w:lang w:val="en-AU"/>
        </w:rPr>
      </w:pPr>
    </w:p>
    <w:p w:rsidR="00A52880" w:rsidRPr="00D719FF" w:rsidRDefault="00A52880" w:rsidP="0052323B">
      <w:pPr>
        <w:spacing w:before="120" w:after="120"/>
        <w:rPr>
          <w:b/>
          <w:lang w:val="en-AU"/>
        </w:rPr>
      </w:pPr>
      <w:r w:rsidRPr="00D719FF">
        <w:rPr>
          <w:b/>
          <w:lang w:val="en-AU"/>
        </w:rPr>
        <w:t>Conclusion</w:t>
      </w:r>
    </w:p>
    <w:p w:rsidR="00E7457E" w:rsidRPr="00D719FF" w:rsidRDefault="00E7457E" w:rsidP="00E7457E">
      <w:r w:rsidRPr="00D719FF">
        <w:t>This Bill is compatible with human rights as it promotes the human right to an adequate standard of living and the highest attainable standard of physical and mental health.</w:t>
      </w:r>
    </w:p>
    <w:p w:rsidR="00A52880" w:rsidRPr="00D719FF" w:rsidRDefault="00A52880" w:rsidP="00A52880">
      <w:pPr>
        <w:spacing w:before="120" w:after="120"/>
        <w:jc w:val="center"/>
        <w:rPr>
          <w:lang w:val="en-AU"/>
        </w:rPr>
      </w:pPr>
    </w:p>
    <w:p w:rsidR="00FF1292" w:rsidRPr="00D719FF" w:rsidRDefault="0083655C" w:rsidP="0052323B">
      <w:pPr>
        <w:jc w:val="center"/>
        <w:rPr>
          <w:lang w:val="en-AU"/>
        </w:rPr>
      </w:pPr>
      <w:r w:rsidRPr="00D719FF">
        <w:rPr>
          <w:b/>
          <w:lang w:val="en-AU"/>
        </w:rPr>
        <w:t>T</w:t>
      </w:r>
      <w:r w:rsidR="00A52880" w:rsidRPr="00D719FF">
        <w:rPr>
          <w:b/>
          <w:lang w:val="en-AU"/>
        </w:rPr>
        <w:t>he Hon</w:t>
      </w:r>
      <w:r w:rsidRPr="00D719FF">
        <w:rPr>
          <w:b/>
          <w:lang w:val="en-AU"/>
        </w:rPr>
        <w:t xml:space="preserve"> </w:t>
      </w:r>
      <w:proofErr w:type="spellStart"/>
      <w:r w:rsidRPr="00D719FF">
        <w:rPr>
          <w:b/>
          <w:lang w:val="en-AU"/>
        </w:rPr>
        <w:t>Sussan</w:t>
      </w:r>
      <w:proofErr w:type="spellEnd"/>
      <w:r w:rsidRPr="00D719FF">
        <w:rPr>
          <w:b/>
          <w:lang w:val="en-AU"/>
        </w:rPr>
        <w:t xml:space="preserve"> Ley</w:t>
      </w:r>
      <w:r w:rsidR="00D719FF" w:rsidRPr="00D719FF">
        <w:rPr>
          <w:b/>
          <w:lang w:val="en-AU"/>
        </w:rPr>
        <w:t xml:space="preserve"> MP</w:t>
      </w:r>
      <w:r w:rsidR="00A52880" w:rsidRPr="00D719FF">
        <w:rPr>
          <w:b/>
          <w:lang w:val="en-AU"/>
        </w:rPr>
        <w:t>, Minister for Health</w:t>
      </w:r>
    </w:p>
    <w:p w:rsidR="00FF1292" w:rsidRPr="00D719FF" w:rsidRDefault="00FF1292" w:rsidP="00FF1292">
      <w:pPr>
        <w:rPr>
          <w:lang w:val="en-AU"/>
        </w:rPr>
      </w:pPr>
    </w:p>
    <w:p w:rsidR="00696EB4" w:rsidRPr="00D719FF" w:rsidRDefault="00696EB4" w:rsidP="00696EB4">
      <w:pPr>
        <w:rPr>
          <w:i/>
          <w:lang w:val="en-AU"/>
        </w:rPr>
      </w:pPr>
    </w:p>
    <w:p w:rsidR="00696EB4" w:rsidRPr="00D719FF" w:rsidRDefault="00C27322" w:rsidP="00696EB4">
      <w:pPr>
        <w:rPr>
          <w:i/>
          <w:lang w:val="en-AU"/>
        </w:rPr>
      </w:pPr>
      <w:r w:rsidRPr="00D719FF">
        <w:rPr>
          <w:i/>
          <w:lang w:val="en-AU"/>
        </w:rPr>
        <w:t xml:space="preserve"> </w:t>
      </w:r>
    </w:p>
    <w:p w:rsidR="00E101C4" w:rsidRPr="00D719FF" w:rsidRDefault="00E101C4">
      <w:pPr>
        <w:rPr>
          <w:b/>
          <w:lang w:val="en-AU"/>
        </w:rPr>
      </w:pPr>
      <w:r w:rsidRPr="00D719FF">
        <w:rPr>
          <w:b/>
          <w:lang w:val="en-AU"/>
        </w:rPr>
        <w:br w:type="page"/>
      </w:r>
    </w:p>
    <w:p w:rsidR="00A75F29" w:rsidRPr="00D719FF" w:rsidRDefault="00A75F29" w:rsidP="00A75F29">
      <w:pPr>
        <w:jc w:val="center"/>
        <w:rPr>
          <w:b/>
          <w:caps/>
          <w:lang w:val="en-AU"/>
        </w:rPr>
      </w:pPr>
      <w:r w:rsidRPr="00D719FF">
        <w:rPr>
          <w:b/>
          <w:caps/>
          <w:lang w:val="en-AU"/>
        </w:rPr>
        <w:lastRenderedPageBreak/>
        <w:t>gene technology amendment bill 2015</w:t>
      </w:r>
    </w:p>
    <w:p w:rsidR="00A75F29" w:rsidRPr="00D719FF" w:rsidRDefault="00A75F29" w:rsidP="00A75F29">
      <w:pPr>
        <w:rPr>
          <w:b/>
          <w:caps/>
          <w:lang w:val="en-AU"/>
        </w:rPr>
      </w:pPr>
    </w:p>
    <w:p w:rsidR="0096791B" w:rsidRPr="00D719FF" w:rsidRDefault="0096791B" w:rsidP="00A75F29">
      <w:pPr>
        <w:rPr>
          <w:b/>
          <w:caps/>
          <w:lang w:val="en-AU"/>
        </w:rPr>
      </w:pPr>
      <w:r w:rsidRPr="00D719FF">
        <w:rPr>
          <w:b/>
          <w:caps/>
          <w:lang w:val="en-AU"/>
        </w:rPr>
        <w:t>Notes on clauses</w:t>
      </w:r>
    </w:p>
    <w:p w:rsidR="00F72600" w:rsidRPr="00D719FF" w:rsidRDefault="00F72600" w:rsidP="00C52D1A">
      <w:pPr>
        <w:spacing w:before="360" w:after="120"/>
        <w:rPr>
          <w:lang w:val="en-AU"/>
        </w:rPr>
      </w:pPr>
      <w:r w:rsidRPr="00D719FF">
        <w:rPr>
          <w:b/>
          <w:bCs/>
          <w:lang w:val="en-AU"/>
        </w:rPr>
        <w:t>Clause 1 - Short title</w:t>
      </w:r>
    </w:p>
    <w:p w:rsidR="00F72600" w:rsidRPr="00D719FF" w:rsidRDefault="00F72600" w:rsidP="00A75F29">
      <w:pPr>
        <w:spacing w:after="240"/>
        <w:rPr>
          <w:lang w:val="en-AU"/>
        </w:rPr>
      </w:pPr>
      <w:r w:rsidRPr="00D719FF">
        <w:rPr>
          <w:lang w:val="en-AU"/>
        </w:rPr>
        <w:t xml:space="preserve">This clause provides that the name of the Bill, when enacted, is the </w:t>
      </w:r>
      <w:r w:rsidRPr="00D719FF">
        <w:rPr>
          <w:i/>
          <w:iCs/>
          <w:lang w:val="en-AU"/>
        </w:rPr>
        <w:t>Gene Technology Amendment Act 201</w:t>
      </w:r>
      <w:r w:rsidR="0074343C" w:rsidRPr="00D719FF">
        <w:rPr>
          <w:i/>
          <w:iCs/>
          <w:lang w:val="en-AU"/>
        </w:rPr>
        <w:t>5</w:t>
      </w:r>
      <w:r w:rsidRPr="00D719FF">
        <w:rPr>
          <w:lang w:val="en-AU"/>
        </w:rPr>
        <w:t>.</w:t>
      </w:r>
    </w:p>
    <w:p w:rsidR="00F72600" w:rsidRPr="00D719FF" w:rsidRDefault="00F72600" w:rsidP="00C52D1A">
      <w:pPr>
        <w:spacing w:before="360" w:after="120"/>
        <w:rPr>
          <w:lang w:val="en-AU"/>
        </w:rPr>
      </w:pPr>
      <w:r w:rsidRPr="00D719FF">
        <w:rPr>
          <w:b/>
          <w:bCs/>
          <w:lang w:val="en-AU"/>
        </w:rPr>
        <w:t>Clause 2 - Commencement</w:t>
      </w:r>
    </w:p>
    <w:p w:rsidR="00F72600" w:rsidRPr="00D719FF" w:rsidRDefault="00F72600" w:rsidP="00A75F29">
      <w:pPr>
        <w:spacing w:after="240"/>
        <w:rPr>
          <w:lang w:val="en-AU"/>
        </w:rPr>
      </w:pPr>
      <w:r w:rsidRPr="00D719FF">
        <w:rPr>
          <w:lang w:val="en-AU"/>
        </w:rPr>
        <w:t>This clause provides that the</w:t>
      </w:r>
      <w:r w:rsidR="0000712A" w:rsidRPr="00D719FF">
        <w:rPr>
          <w:lang w:val="en-AU"/>
        </w:rPr>
        <w:t xml:space="preserve"> Schedules of the</w:t>
      </w:r>
      <w:r w:rsidRPr="00D719FF">
        <w:rPr>
          <w:lang w:val="en-AU"/>
        </w:rPr>
        <w:t xml:space="preserve"> </w:t>
      </w:r>
      <w:r w:rsidR="0023478C" w:rsidRPr="00D719FF">
        <w:rPr>
          <w:i/>
          <w:lang w:val="en-AU"/>
        </w:rPr>
        <w:t>Gene Technology Amendment Act 201</w:t>
      </w:r>
      <w:r w:rsidR="0074343C" w:rsidRPr="00D719FF">
        <w:rPr>
          <w:i/>
          <w:lang w:val="en-AU"/>
        </w:rPr>
        <w:t>5</w:t>
      </w:r>
      <w:r w:rsidRPr="00D719FF">
        <w:rPr>
          <w:lang w:val="en-AU"/>
        </w:rPr>
        <w:t xml:space="preserve"> </w:t>
      </w:r>
      <w:r w:rsidR="0000712A" w:rsidRPr="00D719FF">
        <w:rPr>
          <w:lang w:val="en-AU"/>
        </w:rPr>
        <w:t xml:space="preserve">which amend the </w:t>
      </w:r>
      <w:r w:rsidR="0000712A" w:rsidRPr="00D719FF">
        <w:rPr>
          <w:i/>
          <w:lang w:val="en-AU"/>
        </w:rPr>
        <w:t>Gene Technology Act 2000</w:t>
      </w:r>
      <w:r w:rsidR="0000712A" w:rsidRPr="00D719FF">
        <w:rPr>
          <w:lang w:val="en-AU"/>
        </w:rPr>
        <w:t xml:space="preserve"> </w:t>
      </w:r>
      <w:r w:rsidR="007215C7" w:rsidRPr="00D719FF">
        <w:rPr>
          <w:lang w:val="en-AU"/>
        </w:rPr>
        <w:t>would</w:t>
      </w:r>
      <w:r w:rsidRPr="00D719FF">
        <w:rPr>
          <w:lang w:val="en-AU"/>
        </w:rPr>
        <w:t xml:space="preserve"> commence </w:t>
      </w:r>
      <w:r w:rsidR="0000712A" w:rsidRPr="00D719FF">
        <w:rPr>
          <w:lang w:val="en-AU"/>
        </w:rPr>
        <w:t xml:space="preserve">on a single day fixed by Proclamation, or if no day is fixed within </w:t>
      </w:r>
      <w:r w:rsidR="00CD27D2" w:rsidRPr="00D719FF">
        <w:rPr>
          <w:lang w:val="en-AU"/>
        </w:rPr>
        <w:t xml:space="preserve">six months </w:t>
      </w:r>
      <w:r w:rsidR="0000712A" w:rsidRPr="00D719FF">
        <w:rPr>
          <w:lang w:val="en-AU"/>
        </w:rPr>
        <w:t xml:space="preserve">of the Act receiving </w:t>
      </w:r>
      <w:r w:rsidRPr="00D719FF">
        <w:rPr>
          <w:lang w:val="en-AU"/>
        </w:rPr>
        <w:t>Royal Assent</w:t>
      </w:r>
      <w:r w:rsidR="005F1FCD" w:rsidRPr="00D719FF">
        <w:rPr>
          <w:lang w:val="en-AU"/>
        </w:rPr>
        <w:t>, on</w:t>
      </w:r>
      <w:r w:rsidR="0000712A" w:rsidRPr="00D719FF">
        <w:rPr>
          <w:lang w:val="en-AU"/>
        </w:rPr>
        <w:t xml:space="preserve"> the next day after the end of that period</w:t>
      </w:r>
      <w:r w:rsidRPr="00D719FF">
        <w:rPr>
          <w:lang w:val="en-AU"/>
        </w:rPr>
        <w:t>.</w:t>
      </w:r>
      <w:r w:rsidR="0000712A" w:rsidRPr="00D719FF">
        <w:rPr>
          <w:lang w:val="en-AU"/>
        </w:rPr>
        <w:t xml:space="preserve"> Commencement of the amending provisions is delayed to allow States and Territories time to update their own gene technology legislation, to maintain national consistency of the scheme.</w:t>
      </w:r>
    </w:p>
    <w:p w:rsidR="00F72600" w:rsidRPr="00D719FF" w:rsidRDefault="00F72600" w:rsidP="00C52D1A">
      <w:pPr>
        <w:spacing w:before="360" w:after="120"/>
        <w:rPr>
          <w:lang w:val="en-AU"/>
        </w:rPr>
      </w:pPr>
      <w:r w:rsidRPr="00D719FF">
        <w:rPr>
          <w:b/>
          <w:bCs/>
          <w:lang w:val="en-AU"/>
        </w:rPr>
        <w:t>Clause 3 - Schedule(s)</w:t>
      </w:r>
    </w:p>
    <w:p w:rsidR="00F72600" w:rsidRPr="00D719FF" w:rsidRDefault="00F72600" w:rsidP="00A75F29">
      <w:pPr>
        <w:spacing w:after="240"/>
        <w:rPr>
          <w:lang w:val="en-AU"/>
        </w:rPr>
      </w:pPr>
      <w:r w:rsidRPr="00D719FF">
        <w:rPr>
          <w:lang w:val="en-AU"/>
        </w:rPr>
        <w:t xml:space="preserve">This clause provides that each Act specified in a Schedule to the Bill </w:t>
      </w:r>
      <w:r w:rsidR="007215C7" w:rsidRPr="00D719FF">
        <w:rPr>
          <w:lang w:val="en-AU"/>
        </w:rPr>
        <w:t>would be</w:t>
      </w:r>
      <w:r w:rsidRPr="00D719FF">
        <w:rPr>
          <w:lang w:val="en-AU"/>
        </w:rPr>
        <w:t xml:space="preserve"> amended or repealed as set out in the applicable items in the Schedule concern</w:t>
      </w:r>
      <w:r w:rsidR="009A26F1" w:rsidRPr="00D719FF">
        <w:rPr>
          <w:lang w:val="en-AU"/>
        </w:rPr>
        <w:t>ed</w:t>
      </w:r>
      <w:r w:rsidRPr="00D719FF">
        <w:rPr>
          <w:lang w:val="en-AU"/>
        </w:rPr>
        <w:t xml:space="preserve">, and that any other item in a Schedule to the Bill </w:t>
      </w:r>
      <w:r w:rsidR="007215C7" w:rsidRPr="00D719FF">
        <w:rPr>
          <w:lang w:val="en-AU"/>
        </w:rPr>
        <w:t>would have</w:t>
      </w:r>
      <w:r w:rsidRPr="00D719FF">
        <w:rPr>
          <w:lang w:val="en-AU"/>
        </w:rPr>
        <w:t xml:space="preserve"> effect according to its terms.</w:t>
      </w:r>
      <w:r w:rsidR="00273C4C" w:rsidRPr="00D719FF">
        <w:rPr>
          <w:lang w:val="en-AU"/>
        </w:rPr>
        <w:t xml:space="preserve"> The Bill contains a single Schedule which would amend the </w:t>
      </w:r>
      <w:r w:rsidR="00273C4C" w:rsidRPr="00D719FF">
        <w:rPr>
          <w:i/>
          <w:lang w:val="en-AU"/>
        </w:rPr>
        <w:t>Gene Technology Act 2000</w:t>
      </w:r>
      <w:r w:rsidR="00273C4C" w:rsidRPr="00D719FF">
        <w:rPr>
          <w:lang w:val="en-AU"/>
        </w:rPr>
        <w:t>.</w:t>
      </w:r>
    </w:p>
    <w:p w:rsidR="00F72600" w:rsidRPr="00D719FF" w:rsidRDefault="00F72600" w:rsidP="00C52D1A">
      <w:pPr>
        <w:spacing w:before="360" w:after="120"/>
        <w:rPr>
          <w:b/>
          <w:bCs/>
          <w:caps/>
          <w:lang w:val="en-AU"/>
        </w:rPr>
      </w:pPr>
      <w:r w:rsidRPr="00D719FF">
        <w:rPr>
          <w:b/>
          <w:bCs/>
          <w:caps/>
          <w:lang w:val="en-AU"/>
        </w:rPr>
        <w:t xml:space="preserve">Schedule 1 </w:t>
      </w:r>
      <w:r w:rsidR="0061671C" w:rsidRPr="00D719FF">
        <w:rPr>
          <w:b/>
          <w:bCs/>
          <w:caps/>
          <w:lang w:val="en-AU"/>
        </w:rPr>
        <w:t>–</w:t>
      </w:r>
      <w:r w:rsidRPr="00D719FF">
        <w:rPr>
          <w:b/>
          <w:bCs/>
          <w:caps/>
          <w:lang w:val="en-AU"/>
        </w:rPr>
        <w:t xml:space="preserve"> </w:t>
      </w:r>
      <w:r w:rsidR="0061671C" w:rsidRPr="00D719FF">
        <w:rPr>
          <w:b/>
          <w:bCs/>
          <w:i/>
          <w:caps/>
          <w:lang w:val="en-AU"/>
        </w:rPr>
        <w:t>Gene Technology Act 2000</w:t>
      </w:r>
    </w:p>
    <w:p w:rsidR="00FD7ACA" w:rsidRPr="00D719FF" w:rsidRDefault="009A26F1" w:rsidP="004F0C40">
      <w:pPr>
        <w:spacing w:before="100" w:beforeAutospacing="1" w:after="100" w:afterAutospacing="1"/>
        <w:rPr>
          <w:b/>
          <w:lang w:val="en-AU"/>
        </w:rPr>
      </w:pPr>
      <w:r w:rsidRPr="00D719FF">
        <w:rPr>
          <w:b/>
          <w:lang w:val="en-AU"/>
        </w:rPr>
        <w:t>Part 1</w:t>
      </w:r>
      <w:r w:rsidR="00DB445E" w:rsidRPr="00D719FF">
        <w:rPr>
          <w:b/>
          <w:lang w:val="en-AU"/>
        </w:rPr>
        <w:t xml:space="preserve"> – Reporting requirements</w:t>
      </w:r>
    </w:p>
    <w:p w:rsidR="00FD7ACA" w:rsidRPr="00D719FF" w:rsidRDefault="00EA6559" w:rsidP="00A75F29">
      <w:pPr>
        <w:spacing w:after="240"/>
        <w:rPr>
          <w:lang w:val="en-AU"/>
        </w:rPr>
      </w:pPr>
      <w:r w:rsidRPr="00D719FF">
        <w:rPr>
          <w:b/>
          <w:lang w:val="en-AU"/>
        </w:rPr>
        <w:t>Item 1</w:t>
      </w:r>
      <w:r w:rsidRPr="00D719FF">
        <w:rPr>
          <w:lang w:val="en-AU"/>
        </w:rPr>
        <w:t xml:space="preserve"> </w:t>
      </w:r>
      <w:r w:rsidR="007215C7" w:rsidRPr="00D719FF">
        <w:rPr>
          <w:lang w:val="en-AU"/>
        </w:rPr>
        <w:t>would amend</w:t>
      </w:r>
      <w:r w:rsidRPr="00D719FF">
        <w:rPr>
          <w:lang w:val="en-AU"/>
        </w:rPr>
        <w:t xml:space="preserve"> section 136 (Annual Report) to require that the information previously included in quarterly reports be included in annual reports. </w:t>
      </w:r>
      <w:r w:rsidR="001347A2" w:rsidRPr="00D719FF">
        <w:rPr>
          <w:lang w:val="en-AU"/>
        </w:rPr>
        <w:t>Public accountability and t</w:t>
      </w:r>
      <w:r w:rsidR="001D6729" w:rsidRPr="00D719FF">
        <w:rPr>
          <w:lang w:val="en-AU"/>
        </w:rPr>
        <w:t xml:space="preserve">ransparency of the regulatory system is </w:t>
      </w:r>
      <w:r w:rsidR="001347A2" w:rsidRPr="00D719FF">
        <w:rPr>
          <w:lang w:val="en-AU"/>
        </w:rPr>
        <w:t>maintained</w:t>
      </w:r>
      <w:r w:rsidR="001D6729" w:rsidRPr="00D719FF">
        <w:rPr>
          <w:lang w:val="en-AU"/>
        </w:rPr>
        <w:t xml:space="preserve"> by </w:t>
      </w:r>
      <w:r w:rsidRPr="00D719FF">
        <w:rPr>
          <w:lang w:val="en-AU"/>
        </w:rPr>
        <w:t xml:space="preserve">public </w:t>
      </w:r>
      <w:r w:rsidR="001D6729" w:rsidRPr="00D719FF">
        <w:rPr>
          <w:lang w:val="en-AU"/>
        </w:rPr>
        <w:t>reporting on GMO licences issued, breaches of GMO licence conditions, emergency dealing determinations made</w:t>
      </w:r>
      <w:r w:rsidR="00C52D1A" w:rsidRPr="00D719FF">
        <w:rPr>
          <w:lang w:val="en-AU"/>
        </w:rPr>
        <w:t>, breaches of conditions of emergency dealing determinations</w:t>
      </w:r>
      <w:r w:rsidR="001D6729" w:rsidRPr="00D719FF">
        <w:rPr>
          <w:lang w:val="en-AU"/>
        </w:rPr>
        <w:t xml:space="preserve"> and auditing and monitoring of dealings with GMOs by </w:t>
      </w:r>
      <w:r w:rsidRPr="00D719FF">
        <w:rPr>
          <w:lang w:val="en-AU"/>
        </w:rPr>
        <w:t>the Gene Technology Regulator (</w:t>
      </w:r>
      <w:r w:rsidR="008E5109" w:rsidRPr="00D719FF">
        <w:rPr>
          <w:lang w:val="en-AU"/>
        </w:rPr>
        <w:t>the Regulator</w:t>
      </w:r>
      <w:r w:rsidRPr="00D719FF">
        <w:rPr>
          <w:lang w:val="en-AU"/>
        </w:rPr>
        <w:t>)</w:t>
      </w:r>
      <w:r w:rsidR="001D6729" w:rsidRPr="00D719FF">
        <w:rPr>
          <w:lang w:val="en-AU"/>
        </w:rPr>
        <w:t xml:space="preserve">. </w:t>
      </w:r>
    </w:p>
    <w:p w:rsidR="00A17792" w:rsidRPr="00D719FF" w:rsidRDefault="001D6729" w:rsidP="00A75F29">
      <w:pPr>
        <w:spacing w:after="240"/>
        <w:rPr>
          <w:lang w:val="en-AU"/>
        </w:rPr>
      </w:pPr>
      <w:r w:rsidRPr="00D719FF">
        <w:rPr>
          <w:b/>
          <w:lang w:val="en-AU"/>
        </w:rPr>
        <w:t>Item 2</w:t>
      </w:r>
      <w:r w:rsidRPr="00D719FF">
        <w:rPr>
          <w:lang w:val="en-AU"/>
        </w:rPr>
        <w:t xml:space="preserve"> </w:t>
      </w:r>
      <w:r w:rsidR="007215C7" w:rsidRPr="00D719FF">
        <w:rPr>
          <w:lang w:val="en-AU"/>
        </w:rPr>
        <w:t>would repeal</w:t>
      </w:r>
      <w:r w:rsidR="00493FCC" w:rsidRPr="00D719FF">
        <w:rPr>
          <w:lang w:val="en-AU"/>
        </w:rPr>
        <w:t xml:space="preserve"> </w:t>
      </w:r>
      <w:r w:rsidRPr="00D719FF">
        <w:rPr>
          <w:lang w:val="en-AU"/>
        </w:rPr>
        <w:t xml:space="preserve">requirements that the Regulator </w:t>
      </w:r>
      <w:r w:rsidR="00EA6559" w:rsidRPr="00D719FF">
        <w:rPr>
          <w:lang w:val="en-AU"/>
        </w:rPr>
        <w:t xml:space="preserve">prepare quarterly reports and </w:t>
      </w:r>
      <w:r w:rsidRPr="00D719FF">
        <w:rPr>
          <w:lang w:val="en-AU"/>
        </w:rPr>
        <w:t xml:space="preserve">provide </w:t>
      </w:r>
      <w:r w:rsidR="00EA6559" w:rsidRPr="00D719FF">
        <w:rPr>
          <w:lang w:val="en-AU"/>
        </w:rPr>
        <w:t xml:space="preserve">them </w:t>
      </w:r>
      <w:r w:rsidRPr="00D719FF">
        <w:rPr>
          <w:lang w:val="en-AU"/>
        </w:rPr>
        <w:t xml:space="preserve">to the responsible Minister, and that the Minister table the reports in the Parliament. </w:t>
      </w:r>
    </w:p>
    <w:p w:rsidR="00A17792" w:rsidRPr="00D719FF" w:rsidRDefault="00A17792" w:rsidP="00A75F29">
      <w:pPr>
        <w:spacing w:after="240"/>
        <w:rPr>
          <w:lang w:val="en-AU"/>
        </w:rPr>
      </w:pPr>
      <w:r w:rsidRPr="00D719FF">
        <w:rPr>
          <w:b/>
          <w:lang w:val="en-AU"/>
        </w:rPr>
        <w:t>Item 3</w:t>
      </w:r>
      <w:r w:rsidRPr="00D719FF">
        <w:rPr>
          <w:lang w:val="en-AU"/>
        </w:rPr>
        <w:t xml:space="preserve"> (transitional provision) </w:t>
      </w:r>
      <w:r w:rsidR="00273C4C" w:rsidRPr="00D719FF">
        <w:rPr>
          <w:lang w:val="en-AU"/>
        </w:rPr>
        <w:t>would require that</w:t>
      </w:r>
      <w:r w:rsidRPr="00D719FF">
        <w:rPr>
          <w:lang w:val="en-AU"/>
        </w:rPr>
        <w:t xml:space="preserve"> </w:t>
      </w:r>
      <w:r w:rsidR="005F4EC3" w:rsidRPr="00D719FF">
        <w:rPr>
          <w:lang w:val="en-AU"/>
        </w:rPr>
        <w:t>if</w:t>
      </w:r>
      <w:r w:rsidR="00EA6559" w:rsidRPr="00D719FF">
        <w:rPr>
          <w:lang w:val="en-AU"/>
        </w:rPr>
        <w:t xml:space="preserve"> </w:t>
      </w:r>
      <w:r w:rsidRPr="00D719FF">
        <w:rPr>
          <w:lang w:val="en-AU"/>
        </w:rPr>
        <w:t>the Regulator has provided a quarterly report to the Minister and that report has not yet been tabled in Parliament</w:t>
      </w:r>
      <w:r w:rsidR="00F14461" w:rsidRPr="00D719FF">
        <w:rPr>
          <w:lang w:val="en-AU"/>
        </w:rPr>
        <w:t xml:space="preserve"> at the time th</w:t>
      </w:r>
      <w:r w:rsidR="0007011B" w:rsidRPr="00D719FF">
        <w:rPr>
          <w:lang w:val="en-AU"/>
        </w:rPr>
        <w:t>is item</w:t>
      </w:r>
      <w:r w:rsidR="00F14461" w:rsidRPr="00D719FF">
        <w:rPr>
          <w:lang w:val="en-AU"/>
        </w:rPr>
        <w:t xml:space="preserve"> commences</w:t>
      </w:r>
      <w:r w:rsidRPr="00D719FF">
        <w:rPr>
          <w:lang w:val="en-AU"/>
        </w:rPr>
        <w:t>, the Minister must table the report within 15 sitting days of receiving the report.</w:t>
      </w:r>
    </w:p>
    <w:p w:rsidR="0096791B" w:rsidRPr="00D719FF" w:rsidRDefault="009A26F1" w:rsidP="00DB445E">
      <w:pPr>
        <w:spacing w:before="100" w:beforeAutospacing="1" w:after="100" w:afterAutospacing="1"/>
        <w:rPr>
          <w:b/>
          <w:lang w:val="en-AU"/>
        </w:rPr>
      </w:pPr>
      <w:r w:rsidRPr="00D719FF">
        <w:rPr>
          <w:b/>
          <w:lang w:val="en-AU"/>
        </w:rPr>
        <w:t>Part 2</w:t>
      </w:r>
      <w:r w:rsidR="00DB445E" w:rsidRPr="00D719FF">
        <w:rPr>
          <w:b/>
          <w:lang w:val="en-AU"/>
        </w:rPr>
        <w:t xml:space="preserve"> - I</w:t>
      </w:r>
      <w:r w:rsidR="0096791B" w:rsidRPr="00D719FF">
        <w:rPr>
          <w:b/>
          <w:lang w:val="en-AU"/>
        </w:rPr>
        <w:t xml:space="preserve">nadvertent dealings </w:t>
      </w:r>
    </w:p>
    <w:p w:rsidR="00B06E07" w:rsidRPr="00D719FF" w:rsidRDefault="00345BBC" w:rsidP="00A75F29">
      <w:pPr>
        <w:spacing w:before="100" w:beforeAutospacing="1" w:after="240"/>
        <w:rPr>
          <w:lang w:val="en-AU"/>
        </w:rPr>
      </w:pPr>
      <w:r w:rsidRPr="00D719FF">
        <w:rPr>
          <w:lang w:val="en-AU"/>
        </w:rPr>
        <w:t xml:space="preserve">The inadvertent dealings provisions </w:t>
      </w:r>
      <w:r w:rsidR="00EA6559" w:rsidRPr="00D719FF">
        <w:rPr>
          <w:lang w:val="en-AU"/>
        </w:rPr>
        <w:t xml:space="preserve">of the </w:t>
      </w:r>
      <w:r w:rsidR="00EA6559" w:rsidRPr="00D719FF">
        <w:rPr>
          <w:i/>
          <w:lang w:val="en-AU"/>
        </w:rPr>
        <w:t>Gene Technology Act 200</w:t>
      </w:r>
      <w:r w:rsidR="00860B49" w:rsidRPr="00D719FF">
        <w:rPr>
          <w:i/>
          <w:lang w:val="en-AU"/>
        </w:rPr>
        <w:t>0</w:t>
      </w:r>
      <w:r w:rsidR="00EA6559" w:rsidRPr="00D719FF">
        <w:rPr>
          <w:lang w:val="en-AU"/>
        </w:rPr>
        <w:t xml:space="preserve"> </w:t>
      </w:r>
      <w:r w:rsidR="0052323B" w:rsidRPr="00D719FF">
        <w:rPr>
          <w:lang w:val="en-AU"/>
        </w:rPr>
        <w:t xml:space="preserve">allow </w:t>
      </w:r>
      <w:r w:rsidRPr="00D719FF">
        <w:rPr>
          <w:lang w:val="en-AU"/>
        </w:rPr>
        <w:t xml:space="preserve">the Regulator to </w:t>
      </w:r>
      <w:r w:rsidR="00273C4C" w:rsidRPr="00D719FF">
        <w:rPr>
          <w:lang w:val="en-AU"/>
        </w:rPr>
        <w:t xml:space="preserve">promptly </w:t>
      </w:r>
      <w:r w:rsidRPr="00D719FF">
        <w:rPr>
          <w:lang w:val="en-AU"/>
        </w:rPr>
        <w:t xml:space="preserve">authorise </w:t>
      </w:r>
      <w:r w:rsidR="00273C4C" w:rsidRPr="00D719FF">
        <w:rPr>
          <w:lang w:val="en-AU"/>
        </w:rPr>
        <w:t>the</w:t>
      </w:r>
      <w:r w:rsidRPr="00D719FF">
        <w:rPr>
          <w:lang w:val="en-AU"/>
        </w:rPr>
        <w:t xml:space="preserve"> disposal of a GMO which has </w:t>
      </w:r>
      <w:r w:rsidR="00860B49" w:rsidRPr="00D719FF">
        <w:rPr>
          <w:lang w:val="en-AU"/>
        </w:rPr>
        <w:t>inadvertently come into someone’s possession</w:t>
      </w:r>
      <w:r w:rsidRPr="00D719FF">
        <w:rPr>
          <w:lang w:val="en-AU"/>
        </w:rPr>
        <w:t xml:space="preserve">. Part 2 </w:t>
      </w:r>
      <w:r w:rsidR="00273C4C" w:rsidRPr="00D719FF">
        <w:rPr>
          <w:lang w:val="en-AU"/>
        </w:rPr>
        <w:t>serves to</w:t>
      </w:r>
      <w:r w:rsidR="004270F2" w:rsidRPr="00D719FF">
        <w:rPr>
          <w:lang w:val="en-AU"/>
        </w:rPr>
        <w:t xml:space="preserve"> remove doubt as to the dealings which may be authorised for purposes relating to disposing of a GMO.</w:t>
      </w:r>
    </w:p>
    <w:p w:rsidR="00202FB8" w:rsidRPr="00D719FF" w:rsidRDefault="00B06E07" w:rsidP="00A75F29">
      <w:pPr>
        <w:spacing w:before="100" w:beforeAutospacing="1" w:after="240"/>
        <w:rPr>
          <w:lang w:val="en-AU"/>
        </w:rPr>
      </w:pPr>
      <w:r w:rsidRPr="00D719FF">
        <w:rPr>
          <w:b/>
          <w:lang w:val="en-AU"/>
        </w:rPr>
        <w:lastRenderedPageBreak/>
        <w:t>Item 4</w:t>
      </w:r>
      <w:r w:rsidRPr="00D719FF">
        <w:rPr>
          <w:lang w:val="en-AU"/>
        </w:rPr>
        <w:t xml:space="preserve"> </w:t>
      </w:r>
      <w:r w:rsidR="007215C7" w:rsidRPr="00D719FF">
        <w:rPr>
          <w:lang w:val="en-AU"/>
        </w:rPr>
        <w:t xml:space="preserve">would </w:t>
      </w:r>
      <w:r w:rsidR="00860B49" w:rsidRPr="00D719FF">
        <w:rPr>
          <w:lang w:val="en-AU"/>
        </w:rPr>
        <w:t xml:space="preserve">make this </w:t>
      </w:r>
      <w:r w:rsidR="007215C7" w:rsidRPr="00D719FF">
        <w:rPr>
          <w:lang w:val="en-AU"/>
        </w:rPr>
        <w:t>amend</w:t>
      </w:r>
      <w:r w:rsidR="00860B49" w:rsidRPr="00D719FF">
        <w:rPr>
          <w:lang w:val="en-AU"/>
        </w:rPr>
        <w:t>ment at</w:t>
      </w:r>
      <w:r w:rsidRPr="00D719FF">
        <w:rPr>
          <w:lang w:val="en-AU"/>
        </w:rPr>
        <w:t xml:space="preserve"> paragraph </w:t>
      </w:r>
      <w:proofErr w:type="gramStart"/>
      <w:r w:rsidRPr="00D719FF">
        <w:rPr>
          <w:lang w:val="en-AU"/>
        </w:rPr>
        <w:t>46A(</w:t>
      </w:r>
      <w:proofErr w:type="gramEnd"/>
      <w:r w:rsidRPr="00D719FF">
        <w:rPr>
          <w:lang w:val="en-AU"/>
        </w:rPr>
        <w:t>a), which relates to initial consideration of Dealings Not invo</w:t>
      </w:r>
      <w:r w:rsidR="00EA6559" w:rsidRPr="00D719FF">
        <w:rPr>
          <w:lang w:val="en-AU"/>
        </w:rPr>
        <w:t>lving Intentional Release</w:t>
      </w:r>
      <w:r w:rsidR="005C09A9" w:rsidRPr="00D719FF">
        <w:rPr>
          <w:lang w:val="en-AU"/>
        </w:rPr>
        <w:t xml:space="preserve"> (DNIR)</w:t>
      </w:r>
      <w:r w:rsidR="00202FB8" w:rsidRPr="00D719FF">
        <w:rPr>
          <w:lang w:val="en-AU"/>
        </w:rPr>
        <w:t xml:space="preserve"> licence applications.</w:t>
      </w:r>
      <w:r w:rsidR="000B089B" w:rsidRPr="00D719FF">
        <w:rPr>
          <w:lang w:val="en-AU"/>
        </w:rPr>
        <w:t xml:space="preserve"> </w:t>
      </w:r>
    </w:p>
    <w:p w:rsidR="00B06E07" w:rsidRPr="00D719FF" w:rsidRDefault="00B06E07" w:rsidP="00A75F29">
      <w:pPr>
        <w:spacing w:before="100" w:beforeAutospacing="1" w:after="240"/>
        <w:rPr>
          <w:lang w:val="en-AU"/>
        </w:rPr>
      </w:pPr>
      <w:r w:rsidRPr="00D719FF">
        <w:rPr>
          <w:b/>
          <w:lang w:val="en-AU"/>
        </w:rPr>
        <w:t>Item 5</w:t>
      </w:r>
      <w:r w:rsidRPr="00D719FF">
        <w:rPr>
          <w:lang w:val="en-AU"/>
        </w:rPr>
        <w:t xml:space="preserve"> </w:t>
      </w:r>
      <w:r w:rsidR="007215C7" w:rsidRPr="00D719FF">
        <w:rPr>
          <w:lang w:val="en-AU"/>
        </w:rPr>
        <w:t xml:space="preserve">would </w:t>
      </w:r>
      <w:r w:rsidR="00860B49" w:rsidRPr="00D719FF">
        <w:rPr>
          <w:lang w:val="en-AU"/>
        </w:rPr>
        <w:t xml:space="preserve">make this </w:t>
      </w:r>
      <w:r w:rsidR="007215C7" w:rsidRPr="00D719FF">
        <w:rPr>
          <w:lang w:val="en-AU"/>
        </w:rPr>
        <w:t>amend</w:t>
      </w:r>
      <w:r w:rsidR="00860B49" w:rsidRPr="00D719FF">
        <w:rPr>
          <w:lang w:val="en-AU"/>
        </w:rPr>
        <w:t>ment at</w:t>
      </w:r>
      <w:r w:rsidRPr="00D719FF">
        <w:rPr>
          <w:lang w:val="en-AU"/>
        </w:rPr>
        <w:t xml:space="preserve"> paragraph 49(a), which relates to initial consideration of Dealings involving Intentional Release (DIR) licence applications.</w:t>
      </w:r>
      <w:r w:rsidR="000B089B" w:rsidRPr="00D719FF">
        <w:rPr>
          <w:lang w:val="en-AU"/>
        </w:rPr>
        <w:t xml:space="preserve"> </w:t>
      </w:r>
    </w:p>
    <w:p w:rsidR="00D40A5C" w:rsidRPr="00D719FF" w:rsidRDefault="007215C7" w:rsidP="001F3C30">
      <w:pPr>
        <w:pStyle w:val="ListParagraph"/>
        <w:spacing w:before="100" w:beforeAutospacing="1" w:after="240"/>
        <w:ind w:left="0"/>
        <w:rPr>
          <w:lang w:val="en-AU"/>
        </w:rPr>
      </w:pPr>
      <w:r w:rsidRPr="00D719FF">
        <w:rPr>
          <w:lang w:val="en-AU"/>
        </w:rPr>
        <w:t>If</w:t>
      </w:r>
      <w:r w:rsidR="00FB26CA" w:rsidRPr="00D719FF">
        <w:rPr>
          <w:lang w:val="en-AU"/>
        </w:rPr>
        <w:t xml:space="preserve"> a </w:t>
      </w:r>
      <w:r w:rsidR="001347A2" w:rsidRPr="00D719FF">
        <w:rPr>
          <w:lang w:val="en-AU"/>
        </w:rPr>
        <w:t>person or organisation</w:t>
      </w:r>
      <w:r w:rsidR="00273C4C" w:rsidRPr="00D719FF">
        <w:rPr>
          <w:lang w:val="en-AU"/>
        </w:rPr>
        <w:t xml:space="preserve"> believes that they</w:t>
      </w:r>
      <w:r w:rsidR="00FB26CA" w:rsidRPr="00D719FF">
        <w:rPr>
          <w:lang w:val="en-AU"/>
        </w:rPr>
        <w:t xml:space="preserve"> may have inadvertently come in to the possession of a GMO, </w:t>
      </w:r>
      <w:r w:rsidRPr="00D719FF">
        <w:rPr>
          <w:lang w:val="en-AU"/>
        </w:rPr>
        <w:t>confirming whether the organism</w:t>
      </w:r>
      <w:r w:rsidR="00EA6559" w:rsidRPr="00D719FF">
        <w:rPr>
          <w:lang w:val="en-AU"/>
        </w:rPr>
        <w:t xml:space="preserve"> is a GMO requires </w:t>
      </w:r>
      <w:r w:rsidR="00A5257E" w:rsidRPr="00D719FF">
        <w:rPr>
          <w:lang w:val="en-AU"/>
        </w:rPr>
        <w:t>sampling</w:t>
      </w:r>
      <w:r w:rsidR="00FB26CA" w:rsidRPr="00D719FF">
        <w:rPr>
          <w:lang w:val="en-AU"/>
        </w:rPr>
        <w:t xml:space="preserve"> and</w:t>
      </w:r>
      <w:r w:rsidR="00D40A5C" w:rsidRPr="00D719FF">
        <w:rPr>
          <w:lang w:val="en-AU"/>
        </w:rPr>
        <w:t xml:space="preserve"> perform</w:t>
      </w:r>
      <w:r w:rsidR="00A5257E" w:rsidRPr="00D719FF">
        <w:rPr>
          <w:lang w:val="en-AU"/>
        </w:rPr>
        <w:t>ing</w:t>
      </w:r>
      <w:r w:rsidR="00D40A5C" w:rsidRPr="00D719FF">
        <w:rPr>
          <w:lang w:val="en-AU"/>
        </w:rPr>
        <w:t xml:space="preserve"> tests</w:t>
      </w:r>
      <w:r w:rsidR="00EA6559" w:rsidRPr="00D719FF">
        <w:rPr>
          <w:lang w:val="en-AU"/>
        </w:rPr>
        <w:t>. These activities</w:t>
      </w:r>
      <w:r w:rsidR="00D40A5C" w:rsidRPr="00D719FF">
        <w:rPr>
          <w:lang w:val="en-AU"/>
        </w:rPr>
        <w:t xml:space="preserve"> </w:t>
      </w:r>
      <w:r w:rsidRPr="00D719FF">
        <w:rPr>
          <w:lang w:val="en-AU"/>
        </w:rPr>
        <w:t xml:space="preserve">would </w:t>
      </w:r>
      <w:r w:rsidR="00D40A5C" w:rsidRPr="00D719FF">
        <w:rPr>
          <w:lang w:val="en-AU"/>
        </w:rPr>
        <w:t>fall under the dealing described as ‘conducting experiments with the GMO’.</w:t>
      </w:r>
      <w:r w:rsidR="00A5257E" w:rsidRPr="00D719FF">
        <w:rPr>
          <w:lang w:val="en-AU"/>
        </w:rPr>
        <w:t xml:space="preserve"> Testing is considered to be an activity related to disposing of a GMO, as organisms confirmed to be GMOs would then be disposed of. </w:t>
      </w:r>
      <w:r w:rsidR="00EA6559" w:rsidRPr="00D719FF">
        <w:rPr>
          <w:lang w:val="en-AU"/>
        </w:rPr>
        <w:t xml:space="preserve">While some </w:t>
      </w:r>
      <w:r w:rsidR="001347A2" w:rsidRPr="00D719FF">
        <w:rPr>
          <w:lang w:val="en-AU"/>
        </w:rPr>
        <w:t xml:space="preserve">individuals or organisations </w:t>
      </w:r>
      <w:r w:rsidR="00EA6559" w:rsidRPr="00D719FF">
        <w:rPr>
          <w:lang w:val="en-AU"/>
        </w:rPr>
        <w:t xml:space="preserve">may choose to </w:t>
      </w:r>
      <w:r w:rsidR="00860B49" w:rsidRPr="00D719FF">
        <w:rPr>
          <w:lang w:val="en-AU"/>
        </w:rPr>
        <w:t>dispose of</w:t>
      </w:r>
      <w:r w:rsidR="00EA6559" w:rsidRPr="00D719FF">
        <w:rPr>
          <w:lang w:val="en-AU"/>
        </w:rPr>
        <w:t xml:space="preserve"> material </w:t>
      </w:r>
      <w:r w:rsidR="00F14461" w:rsidRPr="00D719FF">
        <w:rPr>
          <w:lang w:val="en-AU"/>
        </w:rPr>
        <w:t xml:space="preserve">on the basis of a suspicion that it is a GMO and without </w:t>
      </w:r>
      <w:r w:rsidR="00EA6559" w:rsidRPr="00D719FF">
        <w:rPr>
          <w:lang w:val="en-AU"/>
        </w:rPr>
        <w:t>confirming whether it is a GMO or not, if m</w:t>
      </w:r>
      <w:r w:rsidR="00A5257E" w:rsidRPr="00D719FF">
        <w:rPr>
          <w:lang w:val="en-AU"/>
        </w:rPr>
        <w:t xml:space="preserve">aterial is otherwise valuable and </w:t>
      </w:r>
      <w:r w:rsidR="00EA6559" w:rsidRPr="00D719FF">
        <w:rPr>
          <w:lang w:val="en-AU"/>
        </w:rPr>
        <w:t xml:space="preserve">is </w:t>
      </w:r>
      <w:r w:rsidR="00A5257E" w:rsidRPr="00D719FF">
        <w:rPr>
          <w:lang w:val="en-AU"/>
        </w:rPr>
        <w:t xml:space="preserve">confirmed not to be a GMO </w:t>
      </w:r>
      <w:r w:rsidR="00EA6559" w:rsidRPr="00D719FF">
        <w:rPr>
          <w:lang w:val="en-AU"/>
        </w:rPr>
        <w:t xml:space="preserve">it </w:t>
      </w:r>
      <w:r w:rsidR="00A5257E" w:rsidRPr="00D719FF">
        <w:rPr>
          <w:lang w:val="en-AU"/>
        </w:rPr>
        <w:t xml:space="preserve">would not need to be </w:t>
      </w:r>
      <w:r w:rsidR="00860B49" w:rsidRPr="00D719FF">
        <w:rPr>
          <w:lang w:val="en-AU"/>
        </w:rPr>
        <w:t>disposed of</w:t>
      </w:r>
      <w:r w:rsidR="00A5257E" w:rsidRPr="00D719FF">
        <w:rPr>
          <w:lang w:val="en-AU"/>
        </w:rPr>
        <w:t>.</w:t>
      </w:r>
    </w:p>
    <w:p w:rsidR="00A5257E" w:rsidRPr="00D719FF" w:rsidRDefault="00D40A5C" w:rsidP="00A75F29">
      <w:pPr>
        <w:spacing w:before="100" w:beforeAutospacing="1" w:after="240"/>
        <w:rPr>
          <w:lang w:val="en-AU"/>
        </w:rPr>
      </w:pPr>
      <w:r w:rsidRPr="00D719FF">
        <w:rPr>
          <w:lang w:val="en-AU"/>
        </w:rPr>
        <w:t>In some circu</w:t>
      </w:r>
      <w:r w:rsidR="00256F0B" w:rsidRPr="00D719FF">
        <w:rPr>
          <w:lang w:val="en-AU"/>
        </w:rPr>
        <w:t>mstances material for testing</w:t>
      </w:r>
      <w:r w:rsidRPr="00D719FF">
        <w:rPr>
          <w:lang w:val="en-AU"/>
        </w:rPr>
        <w:t xml:space="preserve"> may </w:t>
      </w:r>
      <w:r w:rsidR="00860B49" w:rsidRPr="00D719FF">
        <w:rPr>
          <w:lang w:val="en-AU"/>
        </w:rPr>
        <w:t>be limited</w:t>
      </w:r>
      <w:r w:rsidRPr="00D719FF">
        <w:rPr>
          <w:lang w:val="en-AU"/>
        </w:rPr>
        <w:t xml:space="preserve">, and it </w:t>
      </w:r>
      <w:r w:rsidR="00A5257E" w:rsidRPr="00D719FF">
        <w:rPr>
          <w:lang w:val="en-AU"/>
        </w:rPr>
        <w:t xml:space="preserve">would be </w:t>
      </w:r>
      <w:r w:rsidRPr="00D719FF">
        <w:rPr>
          <w:lang w:val="en-AU"/>
        </w:rPr>
        <w:t xml:space="preserve">necessary to </w:t>
      </w:r>
      <w:r w:rsidR="00FB26CA" w:rsidRPr="00D719FF">
        <w:rPr>
          <w:lang w:val="en-AU"/>
        </w:rPr>
        <w:t>propagate</w:t>
      </w:r>
      <w:r w:rsidRPr="00D719FF">
        <w:rPr>
          <w:lang w:val="en-AU"/>
        </w:rPr>
        <w:t xml:space="preserve">, grow, raise or culture the </w:t>
      </w:r>
      <w:r w:rsidR="00A5257E" w:rsidRPr="00D719FF">
        <w:rPr>
          <w:lang w:val="en-AU"/>
        </w:rPr>
        <w:t xml:space="preserve">organism </w:t>
      </w:r>
      <w:r w:rsidR="00FB26CA" w:rsidRPr="00D719FF">
        <w:rPr>
          <w:lang w:val="en-AU"/>
        </w:rPr>
        <w:t>to obtain</w:t>
      </w:r>
      <w:r w:rsidR="00860B49" w:rsidRPr="00D719FF">
        <w:rPr>
          <w:lang w:val="en-AU"/>
        </w:rPr>
        <w:t xml:space="preserve"> enough</w:t>
      </w:r>
      <w:r w:rsidR="00FB26CA" w:rsidRPr="00D719FF">
        <w:rPr>
          <w:lang w:val="en-AU"/>
        </w:rPr>
        <w:t xml:space="preserve"> </w:t>
      </w:r>
      <w:r w:rsidR="00F14461" w:rsidRPr="00D719FF">
        <w:rPr>
          <w:lang w:val="en-AU"/>
        </w:rPr>
        <w:t>material for testing, f</w:t>
      </w:r>
      <w:r w:rsidR="003501A3" w:rsidRPr="00D719FF">
        <w:rPr>
          <w:lang w:val="en-AU"/>
        </w:rPr>
        <w:t xml:space="preserve">or example, if only a small number of seeds are available. This situation may </w:t>
      </w:r>
      <w:r w:rsidRPr="00D719FF">
        <w:rPr>
          <w:lang w:val="en-AU"/>
        </w:rPr>
        <w:t>apply where organisms are suspected to be GMOs or are already known to be GMOs. As an example of the latter</w:t>
      </w:r>
      <w:r w:rsidR="00B06E07" w:rsidRPr="00D719FF">
        <w:rPr>
          <w:lang w:val="en-AU"/>
        </w:rPr>
        <w:t xml:space="preserve">, if broad, generic tests </w:t>
      </w:r>
      <w:r w:rsidR="00A5257E" w:rsidRPr="00D719FF">
        <w:rPr>
          <w:lang w:val="en-AU"/>
        </w:rPr>
        <w:t>were</w:t>
      </w:r>
      <w:r w:rsidR="00B06E07" w:rsidRPr="00D719FF">
        <w:rPr>
          <w:lang w:val="en-AU"/>
        </w:rPr>
        <w:t xml:space="preserve"> used to </w:t>
      </w:r>
      <w:r w:rsidR="00F14461" w:rsidRPr="00D719FF">
        <w:rPr>
          <w:lang w:val="en-AU"/>
        </w:rPr>
        <w:t xml:space="preserve">confirm that an organism is </w:t>
      </w:r>
      <w:r w:rsidR="00B06E07" w:rsidRPr="00D719FF">
        <w:rPr>
          <w:lang w:val="en-AU"/>
        </w:rPr>
        <w:t>a</w:t>
      </w:r>
      <w:r w:rsidR="003501A3" w:rsidRPr="00D719FF">
        <w:rPr>
          <w:lang w:val="en-AU"/>
        </w:rPr>
        <w:t xml:space="preserve"> GMO</w:t>
      </w:r>
      <w:r w:rsidR="00B06E07" w:rsidRPr="00D719FF">
        <w:rPr>
          <w:lang w:val="en-AU"/>
        </w:rPr>
        <w:t xml:space="preserve">, further testing </w:t>
      </w:r>
      <w:r w:rsidR="00A5257E" w:rsidRPr="00D719FF">
        <w:rPr>
          <w:lang w:val="en-AU"/>
        </w:rPr>
        <w:t>would be</w:t>
      </w:r>
      <w:r w:rsidR="00B06E07" w:rsidRPr="00D719FF">
        <w:rPr>
          <w:lang w:val="en-AU"/>
        </w:rPr>
        <w:t xml:space="preserve"> necessary to determine the specific identity of the GMO.</w:t>
      </w:r>
      <w:r w:rsidR="003501A3" w:rsidRPr="00D719FF">
        <w:rPr>
          <w:lang w:val="en-AU"/>
        </w:rPr>
        <w:t xml:space="preserve"> Identification of the genetic modification</w:t>
      </w:r>
      <w:r w:rsidRPr="00D719FF">
        <w:rPr>
          <w:lang w:val="en-AU"/>
        </w:rPr>
        <w:t xml:space="preserve"> </w:t>
      </w:r>
      <w:r w:rsidR="00A5257E" w:rsidRPr="00D719FF">
        <w:rPr>
          <w:lang w:val="en-AU"/>
        </w:rPr>
        <w:t>would facilitate</w:t>
      </w:r>
      <w:r w:rsidRPr="00D719FF">
        <w:rPr>
          <w:lang w:val="en-AU"/>
        </w:rPr>
        <w:t xml:space="preserve"> </w:t>
      </w:r>
      <w:r w:rsidR="003501A3" w:rsidRPr="00D719FF">
        <w:rPr>
          <w:lang w:val="en-AU"/>
        </w:rPr>
        <w:t xml:space="preserve">managing any risks posed by the GMO and aid in </w:t>
      </w:r>
      <w:r w:rsidR="00F14461" w:rsidRPr="00D719FF">
        <w:rPr>
          <w:lang w:val="en-AU"/>
        </w:rPr>
        <w:t>tracing the origin of the</w:t>
      </w:r>
      <w:r w:rsidRPr="00D719FF">
        <w:rPr>
          <w:lang w:val="en-AU"/>
        </w:rPr>
        <w:t xml:space="preserve"> GMO.</w:t>
      </w:r>
    </w:p>
    <w:p w:rsidR="00EA6559" w:rsidRPr="00D719FF" w:rsidRDefault="00A5257E" w:rsidP="00A75F29">
      <w:pPr>
        <w:spacing w:before="100" w:beforeAutospacing="1" w:after="240"/>
        <w:rPr>
          <w:lang w:val="en-AU"/>
        </w:rPr>
      </w:pPr>
      <w:r w:rsidRPr="00D719FF">
        <w:rPr>
          <w:lang w:val="en-AU"/>
        </w:rPr>
        <w:t>Transporting the GMO to</w:t>
      </w:r>
      <w:r w:rsidR="00AD247B" w:rsidRPr="00D719FF">
        <w:rPr>
          <w:lang w:val="en-AU"/>
        </w:rPr>
        <w:t xml:space="preserve"> places with</w:t>
      </w:r>
      <w:r w:rsidRPr="00D719FF">
        <w:rPr>
          <w:lang w:val="en-AU"/>
        </w:rPr>
        <w:t xml:space="preserve"> appropriate facilities or necessary equipment may be required in the course of</w:t>
      </w:r>
      <w:r w:rsidR="001347A2" w:rsidRPr="00D719FF">
        <w:rPr>
          <w:lang w:val="en-AU"/>
        </w:rPr>
        <w:t xml:space="preserve"> testing or destruction of material as </w:t>
      </w:r>
      <w:r w:rsidR="00961C12" w:rsidRPr="00D719FF">
        <w:rPr>
          <w:lang w:val="en-AU"/>
        </w:rPr>
        <w:t>authorised by an inadvertent dealings licence.</w:t>
      </w:r>
    </w:p>
    <w:p w:rsidR="00D37698" w:rsidRPr="00D719FF" w:rsidRDefault="00D37698" w:rsidP="00A75F29">
      <w:pPr>
        <w:spacing w:before="100" w:beforeAutospacing="1" w:after="240"/>
        <w:rPr>
          <w:lang w:val="en-AU"/>
        </w:rPr>
      </w:pPr>
      <w:r w:rsidRPr="00D719FF">
        <w:rPr>
          <w:b/>
          <w:lang w:val="en-AU"/>
        </w:rPr>
        <w:t>Item 6</w:t>
      </w:r>
      <w:r w:rsidRPr="00D719FF">
        <w:rPr>
          <w:lang w:val="en-AU"/>
        </w:rPr>
        <w:t xml:space="preserve"> (application) </w:t>
      </w:r>
      <w:r w:rsidR="00F14461" w:rsidRPr="00D719FF">
        <w:rPr>
          <w:lang w:val="en-AU"/>
        </w:rPr>
        <w:t>would require that</w:t>
      </w:r>
      <w:r w:rsidRPr="00D719FF">
        <w:rPr>
          <w:lang w:val="en-AU"/>
        </w:rPr>
        <w:t xml:space="preserve"> the amended provision</w:t>
      </w:r>
      <w:r w:rsidR="00EA6559" w:rsidRPr="00D719FF">
        <w:rPr>
          <w:lang w:val="en-AU"/>
        </w:rPr>
        <w:t>s apply</w:t>
      </w:r>
      <w:r w:rsidRPr="00D719FF">
        <w:rPr>
          <w:lang w:val="en-AU"/>
        </w:rPr>
        <w:t xml:space="preserve"> to inadvertent dealings applications made to the Regulator</w:t>
      </w:r>
      <w:r w:rsidR="00F14461" w:rsidRPr="00D719FF">
        <w:rPr>
          <w:lang w:val="en-AU"/>
        </w:rPr>
        <w:t xml:space="preserve"> but not decided at the time of commencement,</w:t>
      </w:r>
      <w:r w:rsidRPr="00D719FF">
        <w:rPr>
          <w:lang w:val="en-AU"/>
        </w:rPr>
        <w:t xml:space="preserve"> and to inadvertent dealings applications made on or after commencement.</w:t>
      </w:r>
    </w:p>
    <w:p w:rsidR="0096791B" w:rsidRPr="00D719FF" w:rsidRDefault="002C2F74" w:rsidP="00FB26CA">
      <w:pPr>
        <w:spacing w:before="100" w:beforeAutospacing="1" w:after="100" w:afterAutospacing="1"/>
        <w:rPr>
          <w:b/>
          <w:lang w:val="en-AU"/>
        </w:rPr>
      </w:pPr>
      <w:proofErr w:type="gramStart"/>
      <w:r w:rsidRPr="00D719FF">
        <w:rPr>
          <w:b/>
          <w:lang w:val="en-AU"/>
        </w:rPr>
        <w:t>Part</w:t>
      </w:r>
      <w:r w:rsidR="00AD247B" w:rsidRPr="00D719FF">
        <w:rPr>
          <w:b/>
          <w:lang w:val="en-AU"/>
        </w:rPr>
        <w:t xml:space="preserve"> 3</w:t>
      </w:r>
      <w:r w:rsidR="00FB26CA" w:rsidRPr="00D719FF">
        <w:rPr>
          <w:b/>
          <w:lang w:val="en-AU"/>
        </w:rPr>
        <w:t xml:space="preserve"> –</w:t>
      </w:r>
      <w:r w:rsidR="0096791B" w:rsidRPr="00D719FF">
        <w:rPr>
          <w:b/>
          <w:lang w:val="en-AU"/>
        </w:rPr>
        <w:t xml:space="preserve"> </w:t>
      </w:r>
      <w:r w:rsidR="00FB26CA" w:rsidRPr="00D719FF">
        <w:rPr>
          <w:b/>
          <w:lang w:val="en-AU"/>
        </w:rPr>
        <w:t xml:space="preserve">Public notification of risk assessment </w:t>
      </w:r>
      <w:r w:rsidR="00961C12" w:rsidRPr="00D719FF">
        <w:rPr>
          <w:b/>
          <w:lang w:val="en-AU"/>
        </w:rPr>
        <w:t>etc.</w:t>
      </w:r>
      <w:proofErr w:type="gramEnd"/>
    </w:p>
    <w:p w:rsidR="00AD247B" w:rsidRPr="00D719FF" w:rsidRDefault="00172E4F" w:rsidP="00A75F29">
      <w:pPr>
        <w:spacing w:before="100" w:beforeAutospacing="1" w:after="240"/>
        <w:rPr>
          <w:lang w:val="en-AU"/>
        </w:rPr>
      </w:pPr>
      <w:r w:rsidRPr="00D719FF">
        <w:rPr>
          <w:lang w:val="en-AU"/>
        </w:rPr>
        <w:t>T</w:t>
      </w:r>
      <w:r w:rsidR="003501A3" w:rsidRPr="00D719FF">
        <w:rPr>
          <w:lang w:val="en-AU"/>
        </w:rPr>
        <w:t>he Regulator is</w:t>
      </w:r>
      <w:r w:rsidR="0052323B" w:rsidRPr="00D719FF">
        <w:rPr>
          <w:lang w:val="en-AU"/>
        </w:rPr>
        <w:t xml:space="preserve"> require</w:t>
      </w:r>
      <w:r w:rsidR="003501A3" w:rsidRPr="00D719FF">
        <w:rPr>
          <w:lang w:val="en-AU"/>
        </w:rPr>
        <w:t>d to</w:t>
      </w:r>
      <w:r w:rsidR="0096791B" w:rsidRPr="00D719FF">
        <w:rPr>
          <w:lang w:val="en-AU"/>
        </w:rPr>
        <w:t xml:space="preserve"> </w:t>
      </w:r>
      <w:r w:rsidRPr="00D719FF">
        <w:rPr>
          <w:lang w:val="en-AU"/>
        </w:rPr>
        <w:t xml:space="preserve">consult the </w:t>
      </w:r>
      <w:r w:rsidR="0096791B" w:rsidRPr="00D719FF">
        <w:rPr>
          <w:lang w:val="en-AU"/>
        </w:rPr>
        <w:t>public on risk assessment and risk management plan</w:t>
      </w:r>
      <w:r w:rsidRPr="00D719FF">
        <w:rPr>
          <w:lang w:val="en-AU"/>
        </w:rPr>
        <w:t>s prepared for DIR licence application assessments</w:t>
      </w:r>
      <w:r w:rsidR="003501A3" w:rsidRPr="00D719FF">
        <w:rPr>
          <w:lang w:val="en-AU"/>
        </w:rPr>
        <w:t xml:space="preserve">. </w:t>
      </w:r>
      <w:r w:rsidRPr="00D719FF">
        <w:rPr>
          <w:lang w:val="en-AU"/>
        </w:rPr>
        <w:t xml:space="preserve">Consultation </w:t>
      </w:r>
      <w:r w:rsidR="003501A3" w:rsidRPr="00D719FF">
        <w:rPr>
          <w:lang w:val="en-AU"/>
        </w:rPr>
        <w:t>notices must be</w:t>
      </w:r>
      <w:r w:rsidR="0096791B" w:rsidRPr="00D719FF">
        <w:rPr>
          <w:lang w:val="en-AU"/>
        </w:rPr>
        <w:t xml:space="preserve"> </w:t>
      </w:r>
      <w:r w:rsidR="003501A3" w:rsidRPr="00D719FF">
        <w:rPr>
          <w:lang w:val="en-AU"/>
        </w:rPr>
        <w:t xml:space="preserve">published </w:t>
      </w:r>
      <w:r w:rsidR="0096791B" w:rsidRPr="00D719FF">
        <w:rPr>
          <w:lang w:val="en-AU"/>
        </w:rPr>
        <w:t>in a newspaper</w:t>
      </w:r>
      <w:r w:rsidR="0052323B" w:rsidRPr="00D719FF">
        <w:rPr>
          <w:lang w:val="en-AU"/>
        </w:rPr>
        <w:t>,</w:t>
      </w:r>
      <w:r w:rsidR="0096791B" w:rsidRPr="00D719FF">
        <w:rPr>
          <w:lang w:val="en-AU"/>
        </w:rPr>
        <w:t xml:space="preserve"> in the </w:t>
      </w:r>
      <w:r w:rsidR="0052323B" w:rsidRPr="00D719FF">
        <w:rPr>
          <w:lang w:val="en-AU"/>
        </w:rPr>
        <w:t xml:space="preserve">Australian Government </w:t>
      </w:r>
      <w:r w:rsidR="0096791B" w:rsidRPr="00D719FF">
        <w:rPr>
          <w:lang w:val="en-AU"/>
        </w:rPr>
        <w:t>Gazette and on the Regulator’s website.</w:t>
      </w:r>
      <w:r w:rsidR="00FB26CA" w:rsidRPr="00D719FF">
        <w:rPr>
          <w:lang w:val="en-AU"/>
        </w:rPr>
        <w:t xml:space="preserve"> </w:t>
      </w:r>
      <w:r w:rsidR="00961C12" w:rsidRPr="00D719FF">
        <w:rPr>
          <w:b/>
          <w:lang w:val="en-AU"/>
        </w:rPr>
        <w:t>Item 7</w:t>
      </w:r>
      <w:r w:rsidR="00FB26CA" w:rsidRPr="00D719FF">
        <w:rPr>
          <w:lang w:val="en-AU"/>
        </w:rPr>
        <w:t xml:space="preserve"> </w:t>
      </w:r>
      <w:r w:rsidR="007215C7" w:rsidRPr="00D719FF">
        <w:rPr>
          <w:lang w:val="en-AU"/>
        </w:rPr>
        <w:t>would remove</w:t>
      </w:r>
      <w:r w:rsidR="00961C12" w:rsidRPr="00D719FF">
        <w:rPr>
          <w:lang w:val="en-AU"/>
        </w:rPr>
        <w:t xml:space="preserve"> </w:t>
      </w:r>
      <w:r w:rsidR="00AD247B" w:rsidRPr="00D719FF">
        <w:rPr>
          <w:lang w:val="en-AU"/>
        </w:rPr>
        <w:t>the requirement</w:t>
      </w:r>
      <w:r w:rsidR="00FB26CA" w:rsidRPr="00D719FF">
        <w:rPr>
          <w:lang w:val="en-AU"/>
        </w:rPr>
        <w:t xml:space="preserve"> </w:t>
      </w:r>
      <w:r w:rsidR="00961C12" w:rsidRPr="00D719FF">
        <w:rPr>
          <w:lang w:val="en-AU"/>
        </w:rPr>
        <w:t xml:space="preserve">that the chosen newspaper circulate generally in all states, instead allowing </w:t>
      </w:r>
      <w:r w:rsidR="00FB26CA" w:rsidRPr="00D719FF">
        <w:rPr>
          <w:lang w:val="en-AU"/>
        </w:rPr>
        <w:t xml:space="preserve">the Regulator </w:t>
      </w:r>
      <w:r w:rsidR="00AD247B" w:rsidRPr="00D719FF">
        <w:rPr>
          <w:lang w:val="en-AU"/>
        </w:rPr>
        <w:t xml:space="preserve">to </w:t>
      </w:r>
      <w:r w:rsidR="00FB26CA" w:rsidRPr="00D719FF">
        <w:rPr>
          <w:lang w:val="en-AU"/>
        </w:rPr>
        <w:t>decide the most appropriate newspaper</w:t>
      </w:r>
      <w:r w:rsidR="000120FA" w:rsidRPr="00D719FF">
        <w:rPr>
          <w:lang w:val="en-AU"/>
        </w:rPr>
        <w:t>(s)</w:t>
      </w:r>
      <w:r w:rsidR="00FB26CA" w:rsidRPr="00D719FF">
        <w:rPr>
          <w:lang w:val="en-AU"/>
        </w:rPr>
        <w:t xml:space="preserve"> given the geographic area </w:t>
      </w:r>
      <w:r w:rsidR="00961C12" w:rsidRPr="00D719FF">
        <w:rPr>
          <w:lang w:val="en-AU"/>
        </w:rPr>
        <w:t xml:space="preserve">in which </w:t>
      </w:r>
      <w:r w:rsidR="00FB26CA" w:rsidRPr="00D719FF">
        <w:rPr>
          <w:lang w:val="en-AU"/>
        </w:rPr>
        <w:t xml:space="preserve">the </w:t>
      </w:r>
      <w:r w:rsidR="008110AC" w:rsidRPr="00D719FF">
        <w:rPr>
          <w:lang w:val="en-AU"/>
        </w:rPr>
        <w:t xml:space="preserve">dealings </w:t>
      </w:r>
      <w:r w:rsidR="00FB26CA" w:rsidRPr="00D719FF">
        <w:rPr>
          <w:lang w:val="en-AU"/>
        </w:rPr>
        <w:t xml:space="preserve">proposed </w:t>
      </w:r>
      <w:r w:rsidR="00961C12" w:rsidRPr="00D719FF">
        <w:rPr>
          <w:lang w:val="en-AU"/>
        </w:rPr>
        <w:t>to be authorised by the licence may occur</w:t>
      </w:r>
      <w:r w:rsidR="00FB26CA" w:rsidRPr="00D719FF">
        <w:rPr>
          <w:lang w:val="en-AU"/>
        </w:rPr>
        <w:t>.</w:t>
      </w:r>
      <w:r w:rsidR="00961C12" w:rsidRPr="00D719FF">
        <w:rPr>
          <w:lang w:val="en-AU"/>
        </w:rPr>
        <w:t xml:space="preserve"> </w:t>
      </w:r>
      <w:r w:rsidR="00AD247B" w:rsidRPr="00D719FF">
        <w:rPr>
          <w:lang w:val="en-AU"/>
        </w:rPr>
        <w:t xml:space="preserve">This discretion </w:t>
      </w:r>
      <w:r w:rsidR="007215C7" w:rsidRPr="00D719FF">
        <w:rPr>
          <w:lang w:val="en-AU"/>
        </w:rPr>
        <w:t>would allow</w:t>
      </w:r>
      <w:r w:rsidR="00AD247B" w:rsidRPr="00D719FF">
        <w:rPr>
          <w:lang w:val="en-AU"/>
        </w:rPr>
        <w:t xml:space="preserve"> the Regulator </w:t>
      </w:r>
      <w:r w:rsidR="008110AC" w:rsidRPr="00D719FF">
        <w:rPr>
          <w:lang w:val="en-AU"/>
        </w:rPr>
        <w:t xml:space="preserve">to </w:t>
      </w:r>
      <w:r w:rsidR="00AD247B" w:rsidRPr="00D719FF">
        <w:rPr>
          <w:lang w:val="en-AU"/>
        </w:rPr>
        <w:t xml:space="preserve">tailor </w:t>
      </w:r>
      <w:r w:rsidR="00961C12" w:rsidRPr="00D719FF">
        <w:rPr>
          <w:lang w:val="en-AU"/>
        </w:rPr>
        <w:t xml:space="preserve">newspaper notices to </w:t>
      </w:r>
      <w:r w:rsidR="00AD247B" w:rsidRPr="00D719FF">
        <w:rPr>
          <w:lang w:val="en-AU"/>
        </w:rPr>
        <w:t xml:space="preserve">best reach interested members of the public, for example through a rural newspaper for a release proposed to occur in a rural area. </w:t>
      </w:r>
      <w:r w:rsidR="007E07C9" w:rsidRPr="00D719FF">
        <w:rPr>
          <w:lang w:val="en-AU"/>
        </w:rPr>
        <w:t xml:space="preserve">Email and web-based notifications from the Regulator are </w:t>
      </w:r>
      <w:r w:rsidR="00F057CD" w:rsidRPr="00D719FF">
        <w:rPr>
          <w:lang w:val="en-AU"/>
        </w:rPr>
        <w:t>known</w:t>
      </w:r>
      <w:r w:rsidR="007E07C9" w:rsidRPr="00D719FF">
        <w:rPr>
          <w:lang w:val="en-AU"/>
        </w:rPr>
        <w:t xml:space="preserve"> to generate the vast majority of submissions on consultations, so m</w:t>
      </w:r>
      <w:r w:rsidR="000120FA" w:rsidRPr="00D719FF">
        <w:rPr>
          <w:lang w:val="en-AU"/>
        </w:rPr>
        <w:t xml:space="preserve">ore targeted use of newspaper notices </w:t>
      </w:r>
      <w:r w:rsidR="008110AC" w:rsidRPr="00D719FF">
        <w:rPr>
          <w:lang w:val="en-AU"/>
        </w:rPr>
        <w:t xml:space="preserve">is </w:t>
      </w:r>
      <w:r w:rsidR="000120FA" w:rsidRPr="00D719FF">
        <w:rPr>
          <w:lang w:val="en-AU"/>
        </w:rPr>
        <w:t xml:space="preserve">a cost-effective measure for engaging interested members of the public who may not </w:t>
      </w:r>
      <w:r w:rsidR="008110AC" w:rsidRPr="00D719FF">
        <w:rPr>
          <w:lang w:val="en-AU"/>
        </w:rPr>
        <w:t xml:space="preserve">have </w:t>
      </w:r>
      <w:r w:rsidR="009D18C1" w:rsidRPr="00D719FF">
        <w:rPr>
          <w:lang w:val="en-AU"/>
        </w:rPr>
        <w:t xml:space="preserve">access </w:t>
      </w:r>
      <w:r w:rsidR="008110AC" w:rsidRPr="00D719FF">
        <w:rPr>
          <w:lang w:val="en-AU"/>
        </w:rPr>
        <w:t xml:space="preserve">to </w:t>
      </w:r>
      <w:r w:rsidR="009D18C1" w:rsidRPr="00D719FF">
        <w:rPr>
          <w:lang w:val="en-AU"/>
        </w:rPr>
        <w:t>the internet or email.</w:t>
      </w:r>
    </w:p>
    <w:p w:rsidR="00A20067" w:rsidRPr="00D719FF" w:rsidRDefault="00AD247B" w:rsidP="00A75F29">
      <w:pPr>
        <w:spacing w:before="100" w:beforeAutospacing="1" w:after="240"/>
        <w:rPr>
          <w:lang w:val="en-AU"/>
        </w:rPr>
      </w:pPr>
      <w:r w:rsidRPr="00D719FF">
        <w:rPr>
          <w:b/>
          <w:lang w:val="en-AU"/>
        </w:rPr>
        <w:t>Item 8</w:t>
      </w:r>
      <w:r w:rsidRPr="00D719FF">
        <w:rPr>
          <w:lang w:val="en-AU"/>
        </w:rPr>
        <w:t xml:space="preserve"> </w:t>
      </w:r>
      <w:r w:rsidR="007215C7" w:rsidRPr="00D719FF">
        <w:rPr>
          <w:lang w:val="en-AU"/>
        </w:rPr>
        <w:t>would omit</w:t>
      </w:r>
      <w:r w:rsidRPr="00D719FF">
        <w:rPr>
          <w:lang w:val="en-AU"/>
        </w:rPr>
        <w:t xml:space="preserve"> the words ‘(if any)’ from paragraph 52(1</w:t>
      </w:r>
      <w:proofErr w:type="gramStart"/>
      <w:r w:rsidRPr="00D719FF">
        <w:rPr>
          <w:lang w:val="en-AU"/>
        </w:rPr>
        <w:t>)(</w:t>
      </w:r>
      <w:proofErr w:type="gramEnd"/>
      <w:r w:rsidRPr="00D719FF">
        <w:rPr>
          <w:lang w:val="en-AU"/>
        </w:rPr>
        <w:t>c) to clarify that the Regulator does have a website, on which notices must be published.</w:t>
      </w:r>
    </w:p>
    <w:p w:rsidR="0096791B" w:rsidRPr="00D719FF" w:rsidRDefault="002C2F74" w:rsidP="009D18C1">
      <w:pPr>
        <w:keepNext/>
        <w:spacing w:before="100" w:beforeAutospacing="1" w:after="100" w:afterAutospacing="1"/>
        <w:rPr>
          <w:b/>
          <w:lang w:val="en-AU"/>
        </w:rPr>
      </w:pPr>
      <w:r w:rsidRPr="00D719FF">
        <w:rPr>
          <w:b/>
          <w:lang w:val="en-AU"/>
        </w:rPr>
        <w:lastRenderedPageBreak/>
        <w:t>Part</w:t>
      </w:r>
      <w:r w:rsidR="00AD247B" w:rsidRPr="00D719FF">
        <w:rPr>
          <w:b/>
          <w:lang w:val="en-AU"/>
        </w:rPr>
        <w:t xml:space="preserve"> 4</w:t>
      </w:r>
      <w:r w:rsidR="009D18C1" w:rsidRPr="00D719FF">
        <w:rPr>
          <w:b/>
          <w:lang w:val="en-AU"/>
        </w:rPr>
        <w:t xml:space="preserve"> – </w:t>
      </w:r>
      <w:r w:rsidR="0096791B" w:rsidRPr="00D719FF">
        <w:rPr>
          <w:b/>
          <w:lang w:val="en-AU"/>
        </w:rPr>
        <w:t>GM</w:t>
      </w:r>
      <w:r w:rsidR="009D18C1" w:rsidRPr="00D719FF">
        <w:rPr>
          <w:b/>
          <w:lang w:val="en-AU"/>
        </w:rPr>
        <w:t xml:space="preserve"> Products</w:t>
      </w:r>
    </w:p>
    <w:p w:rsidR="00D374E0" w:rsidRPr="00D719FF" w:rsidRDefault="002C2F74" w:rsidP="00A75F29">
      <w:pPr>
        <w:spacing w:before="100" w:beforeAutospacing="1" w:after="240"/>
        <w:rPr>
          <w:lang w:val="en-AU"/>
        </w:rPr>
      </w:pPr>
      <w:r w:rsidRPr="00D719FF">
        <w:rPr>
          <w:lang w:val="en-AU"/>
        </w:rPr>
        <w:t xml:space="preserve">Part 4 </w:t>
      </w:r>
      <w:r w:rsidR="007215C7" w:rsidRPr="00D719FF">
        <w:rPr>
          <w:lang w:val="en-AU"/>
        </w:rPr>
        <w:t>would remove</w:t>
      </w:r>
      <w:r w:rsidRPr="00D719FF">
        <w:rPr>
          <w:lang w:val="en-AU"/>
        </w:rPr>
        <w:t xml:space="preserve"> the requirement that t</w:t>
      </w:r>
      <w:r w:rsidR="0096791B" w:rsidRPr="00D719FF">
        <w:rPr>
          <w:lang w:val="en-AU"/>
        </w:rPr>
        <w:t xml:space="preserve">he Regulator maintain a </w:t>
      </w:r>
      <w:r w:rsidRPr="00D719FF">
        <w:rPr>
          <w:lang w:val="en-AU"/>
        </w:rPr>
        <w:t>rec</w:t>
      </w:r>
      <w:r w:rsidR="009850F0" w:rsidRPr="00D719FF">
        <w:rPr>
          <w:lang w:val="en-AU"/>
        </w:rPr>
        <w:t>ord of GM</w:t>
      </w:r>
      <w:r w:rsidRPr="00D719FF">
        <w:rPr>
          <w:lang w:val="en-AU"/>
        </w:rPr>
        <w:t xml:space="preserve"> product approvals </w:t>
      </w:r>
      <w:r w:rsidR="00172E4F" w:rsidRPr="00D719FF">
        <w:rPr>
          <w:lang w:val="en-AU"/>
        </w:rPr>
        <w:t xml:space="preserve">made </w:t>
      </w:r>
      <w:r w:rsidRPr="00D719FF">
        <w:rPr>
          <w:lang w:val="en-AU"/>
        </w:rPr>
        <w:t>by other agencies</w:t>
      </w:r>
      <w:r w:rsidR="00D374E0" w:rsidRPr="00D719FF">
        <w:rPr>
          <w:lang w:val="en-AU"/>
        </w:rPr>
        <w:t xml:space="preserve">, retaining the requirement to record </w:t>
      </w:r>
      <w:r w:rsidR="00172E4F" w:rsidRPr="00D719FF">
        <w:rPr>
          <w:lang w:val="en-AU"/>
        </w:rPr>
        <w:t xml:space="preserve">the Regulator’s own </w:t>
      </w:r>
      <w:r w:rsidR="00D374E0" w:rsidRPr="00D719FF">
        <w:rPr>
          <w:lang w:val="en-AU"/>
        </w:rPr>
        <w:t>approvals for dealings with GMOs</w:t>
      </w:r>
      <w:r w:rsidRPr="00D719FF">
        <w:rPr>
          <w:lang w:val="en-AU"/>
        </w:rPr>
        <w:t xml:space="preserve">. </w:t>
      </w:r>
    </w:p>
    <w:p w:rsidR="00F31171" w:rsidRPr="00D719FF" w:rsidRDefault="00D374E0" w:rsidP="00A75F29">
      <w:pPr>
        <w:spacing w:before="100" w:beforeAutospacing="1" w:after="240"/>
        <w:rPr>
          <w:lang w:val="en-AU"/>
        </w:rPr>
      </w:pPr>
      <w:r w:rsidRPr="00D719FF">
        <w:rPr>
          <w:b/>
          <w:lang w:val="en-AU"/>
        </w:rPr>
        <w:t>Items 9-16</w:t>
      </w:r>
      <w:r w:rsidRPr="00D719FF">
        <w:rPr>
          <w:lang w:val="en-AU"/>
        </w:rPr>
        <w:t xml:space="preserve"> </w:t>
      </w:r>
      <w:r w:rsidR="007215C7" w:rsidRPr="00D719FF">
        <w:rPr>
          <w:lang w:val="en-AU"/>
        </w:rPr>
        <w:t xml:space="preserve">would </w:t>
      </w:r>
      <w:r w:rsidRPr="00D719FF">
        <w:rPr>
          <w:lang w:val="en-AU"/>
        </w:rPr>
        <w:t xml:space="preserve">amend </w:t>
      </w:r>
      <w:r w:rsidR="00F31171" w:rsidRPr="00D719FF">
        <w:rPr>
          <w:lang w:val="en-AU"/>
        </w:rPr>
        <w:t>references to</w:t>
      </w:r>
      <w:r w:rsidRPr="00D719FF">
        <w:rPr>
          <w:lang w:val="en-AU"/>
        </w:rPr>
        <w:t xml:space="preserve"> </w:t>
      </w:r>
      <w:r w:rsidR="00F31171" w:rsidRPr="00D719FF">
        <w:rPr>
          <w:lang w:val="en-AU"/>
        </w:rPr>
        <w:t xml:space="preserve">the Record of GMO and GM Product Dealings (the </w:t>
      </w:r>
      <w:r w:rsidR="00493FCC" w:rsidRPr="00D719FF">
        <w:rPr>
          <w:lang w:val="en-AU"/>
        </w:rPr>
        <w:t xml:space="preserve">GMO </w:t>
      </w:r>
      <w:r w:rsidR="00F31171" w:rsidRPr="00D719FF">
        <w:rPr>
          <w:lang w:val="en-AU"/>
        </w:rPr>
        <w:t xml:space="preserve">Record), </w:t>
      </w:r>
      <w:r w:rsidR="00493FCC" w:rsidRPr="00D719FF">
        <w:rPr>
          <w:lang w:val="en-AU"/>
        </w:rPr>
        <w:t>or descriptions of its contents,</w:t>
      </w:r>
      <w:r w:rsidR="00F31171" w:rsidRPr="00D719FF">
        <w:rPr>
          <w:lang w:val="en-AU"/>
        </w:rPr>
        <w:t xml:space="preserve"> to remove reference</w:t>
      </w:r>
      <w:r w:rsidR="009850F0" w:rsidRPr="00D719FF">
        <w:rPr>
          <w:lang w:val="en-AU"/>
        </w:rPr>
        <w:t>s</w:t>
      </w:r>
      <w:r w:rsidR="00F31171" w:rsidRPr="00D719FF">
        <w:rPr>
          <w:lang w:val="en-AU"/>
        </w:rPr>
        <w:t xml:space="preserve"> to GM products.</w:t>
      </w:r>
    </w:p>
    <w:p w:rsidR="00F31171" w:rsidRPr="00D719FF" w:rsidRDefault="00F31171" w:rsidP="00A75F29">
      <w:pPr>
        <w:spacing w:before="100" w:beforeAutospacing="1" w:after="240"/>
        <w:rPr>
          <w:lang w:val="en-AU"/>
        </w:rPr>
      </w:pPr>
      <w:r w:rsidRPr="00D719FF">
        <w:rPr>
          <w:b/>
          <w:lang w:val="en-AU"/>
        </w:rPr>
        <w:t>Item 17</w:t>
      </w:r>
      <w:r w:rsidRPr="00D719FF">
        <w:rPr>
          <w:lang w:val="en-AU"/>
        </w:rPr>
        <w:t xml:space="preserve"> </w:t>
      </w:r>
      <w:r w:rsidR="007215C7" w:rsidRPr="00D719FF">
        <w:rPr>
          <w:lang w:val="en-AU"/>
        </w:rPr>
        <w:t>would remove</w:t>
      </w:r>
      <w:r w:rsidRPr="00D719FF">
        <w:rPr>
          <w:lang w:val="en-AU"/>
        </w:rPr>
        <w:t xml:space="preserve"> the requirement that </w:t>
      </w:r>
      <w:r w:rsidR="003B1485" w:rsidRPr="00D719FF">
        <w:rPr>
          <w:lang w:val="en-AU"/>
        </w:rPr>
        <w:t xml:space="preserve">the GMO Record include </w:t>
      </w:r>
      <w:r w:rsidRPr="00D719FF">
        <w:rPr>
          <w:lang w:val="en-AU"/>
        </w:rPr>
        <w:t xml:space="preserve">information about GM product approvals </w:t>
      </w:r>
      <w:r w:rsidR="003B1485" w:rsidRPr="00D719FF">
        <w:rPr>
          <w:lang w:val="en-AU"/>
        </w:rPr>
        <w:t>by other regulatory agencies</w:t>
      </w:r>
      <w:r w:rsidRPr="00D719FF">
        <w:rPr>
          <w:lang w:val="en-AU"/>
        </w:rPr>
        <w:t>.</w:t>
      </w:r>
      <w:r w:rsidR="004F0C40" w:rsidRPr="00D719FF">
        <w:rPr>
          <w:lang w:val="en-AU"/>
        </w:rPr>
        <w:t xml:space="preserve"> </w:t>
      </w:r>
      <w:r w:rsidR="003B1485" w:rsidRPr="00D719FF">
        <w:rPr>
          <w:lang w:val="en-AU"/>
        </w:rPr>
        <w:t>I</w:t>
      </w:r>
      <w:r w:rsidR="004F0C40" w:rsidRPr="00D719FF">
        <w:rPr>
          <w:lang w:val="en-AU"/>
        </w:rPr>
        <w:t>nforma</w:t>
      </w:r>
      <w:r w:rsidR="003B1485" w:rsidRPr="00D719FF">
        <w:rPr>
          <w:lang w:val="en-AU"/>
        </w:rPr>
        <w:t>tion about GM product approvals can be sought</w:t>
      </w:r>
      <w:r w:rsidR="004F0C40" w:rsidRPr="00D719FF">
        <w:rPr>
          <w:lang w:val="en-AU"/>
        </w:rPr>
        <w:t xml:space="preserve"> direc</w:t>
      </w:r>
      <w:r w:rsidR="003B1485" w:rsidRPr="00D719FF">
        <w:rPr>
          <w:lang w:val="en-AU"/>
        </w:rPr>
        <w:t>tly from the relevant agency (t</w:t>
      </w:r>
      <w:r w:rsidR="00172E4F" w:rsidRPr="00D719FF">
        <w:rPr>
          <w:lang w:val="en-AU"/>
        </w:rPr>
        <w:t>he Australian Pesticides and</w:t>
      </w:r>
      <w:r w:rsidR="003B1485" w:rsidRPr="00D719FF">
        <w:rPr>
          <w:lang w:val="en-AU"/>
        </w:rPr>
        <w:t xml:space="preserve"> Veterinary Medicines Authority, the </w:t>
      </w:r>
      <w:r w:rsidR="00172E4F" w:rsidRPr="00D719FF">
        <w:rPr>
          <w:lang w:val="en-AU"/>
        </w:rPr>
        <w:t>T</w:t>
      </w:r>
      <w:r w:rsidR="003B1485" w:rsidRPr="00D719FF">
        <w:rPr>
          <w:lang w:val="en-AU"/>
        </w:rPr>
        <w:t>herapeutic Goods Administration,</w:t>
      </w:r>
      <w:r w:rsidR="00172E4F" w:rsidRPr="00D719FF">
        <w:rPr>
          <w:lang w:val="en-AU"/>
        </w:rPr>
        <w:t xml:space="preserve"> Food Standards Australia New Zealand</w:t>
      </w:r>
      <w:r w:rsidR="003B1485" w:rsidRPr="00D719FF">
        <w:rPr>
          <w:lang w:val="en-AU"/>
        </w:rPr>
        <w:t xml:space="preserve"> and the</w:t>
      </w:r>
      <w:r w:rsidR="00504B2E" w:rsidRPr="00D719FF">
        <w:rPr>
          <w:lang w:val="en-AU"/>
        </w:rPr>
        <w:t xml:space="preserve"> </w:t>
      </w:r>
      <w:r w:rsidR="004F0C40" w:rsidRPr="00D719FF">
        <w:rPr>
          <w:lang w:val="en-AU"/>
        </w:rPr>
        <w:t>National Industrial Chemicals Notification and Assessment</w:t>
      </w:r>
      <w:r w:rsidR="00504B2E" w:rsidRPr="00D719FF">
        <w:rPr>
          <w:lang w:val="en-AU"/>
        </w:rPr>
        <w:t xml:space="preserve"> Scheme</w:t>
      </w:r>
      <w:r w:rsidR="003B1485" w:rsidRPr="00D719FF">
        <w:rPr>
          <w:lang w:val="en-AU"/>
        </w:rPr>
        <w:t>)</w:t>
      </w:r>
      <w:r w:rsidR="00504B2E" w:rsidRPr="00D719FF">
        <w:rPr>
          <w:lang w:val="en-AU"/>
        </w:rPr>
        <w:t>.</w:t>
      </w:r>
    </w:p>
    <w:p w:rsidR="00D374E0" w:rsidRPr="00D719FF" w:rsidRDefault="00F31171" w:rsidP="00A75F29">
      <w:pPr>
        <w:spacing w:before="100" w:beforeAutospacing="1" w:after="240"/>
        <w:rPr>
          <w:lang w:val="en-AU"/>
        </w:rPr>
      </w:pPr>
      <w:r w:rsidRPr="00D719FF">
        <w:rPr>
          <w:b/>
          <w:lang w:val="en-AU"/>
        </w:rPr>
        <w:t>Item 18</w:t>
      </w:r>
      <w:r w:rsidRPr="00D719FF">
        <w:rPr>
          <w:lang w:val="en-AU"/>
        </w:rPr>
        <w:t xml:space="preserve"> </w:t>
      </w:r>
      <w:r w:rsidR="007215C7" w:rsidRPr="00D719FF">
        <w:rPr>
          <w:lang w:val="en-AU"/>
        </w:rPr>
        <w:t>would remove the requirement</w:t>
      </w:r>
      <w:r w:rsidRPr="00D719FF">
        <w:rPr>
          <w:lang w:val="en-AU"/>
        </w:rPr>
        <w:t xml:space="preserve"> that information about GM products be entered on the</w:t>
      </w:r>
      <w:r w:rsidR="00172E4F" w:rsidRPr="00D719FF">
        <w:rPr>
          <w:lang w:val="en-AU"/>
        </w:rPr>
        <w:t xml:space="preserve"> GMO</w:t>
      </w:r>
      <w:r w:rsidRPr="00D719FF">
        <w:rPr>
          <w:lang w:val="en-AU"/>
        </w:rPr>
        <w:t xml:space="preserve"> Record as soon as practicable, and </w:t>
      </w:r>
      <w:r w:rsidR="007215C7" w:rsidRPr="00D719FF">
        <w:rPr>
          <w:lang w:val="en-AU"/>
        </w:rPr>
        <w:t>would include</w:t>
      </w:r>
      <w:r w:rsidRPr="00D719FF">
        <w:rPr>
          <w:lang w:val="en-AU"/>
        </w:rPr>
        <w:t xml:space="preserve"> that information about emergency dealing determinations be entered as soon as practicable. The latter was an apparent oversight </w:t>
      </w:r>
      <w:r w:rsidR="00172E4F" w:rsidRPr="00D719FF">
        <w:rPr>
          <w:lang w:val="en-AU"/>
        </w:rPr>
        <w:t>when</w:t>
      </w:r>
      <w:r w:rsidRPr="00D719FF">
        <w:rPr>
          <w:lang w:val="en-AU"/>
        </w:rPr>
        <w:t xml:space="preserve"> amendments </w:t>
      </w:r>
      <w:r w:rsidR="00172E4F" w:rsidRPr="00D719FF">
        <w:rPr>
          <w:lang w:val="en-AU"/>
        </w:rPr>
        <w:t xml:space="preserve">were made to </w:t>
      </w:r>
      <w:r w:rsidRPr="00D719FF">
        <w:rPr>
          <w:lang w:val="en-AU"/>
        </w:rPr>
        <w:t>introduce emergency dealing determination provisions.</w:t>
      </w:r>
    </w:p>
    <w:p w:rsidR="00D37698" w:rsidRPr="00D719FF" w:rsidRDefault="00D37698" w:rsidP="00A75F29">
      <w:pPr>
        <w:spacing w:before="100" w:beforeAutospacing="1" w:after="240"/>
        <w:rPr>
          <w:lang w:val="en-AU"/>
        </w:rPr>
      </w:pPr>
      <w:r w:rsidRPr="00D719FF">
        <w:rPr>
          <w:b/>
          <w:lang w:val="en-AU"/>
        </w:rPr>
        <w:t>Item 19</w:t>
      </w:r>
      <w:r w:rsidRPr="00D719FF">
        <w:rPr>
          <w:lang w:val="en-AU"/>
        </w:rPr>
        <w:t xml:space="preserve"> (transitional provision) </w:t>
      </w:r>
      <w:r w:rsidR="009850F0" w:rsidRPr="00D719FF">
        <w:rPr>
          <w:lang w:val="en-AU"/>
        </w:rPr>
        <w:t>would provide that</w:t>
      </w:r>
      <w:r w:rsidRPr="00D719FF">
        <w:rPr>
          <w:lang w:val="en-AU"/>
        </w:rPr>
        <w:t xml:space="preserve"> the Regulator may remove all historical information about GM products from the GMO Record.</w:t>
      </w:r>
    </w:p>
    <w:p w:rsidR="002279E5" w:rsidRPr="00D719FF" w:rsidRDefault="0058460B" w:rsidP="002279E5">
      <w:pPr>
        <w:keepNext/>
        <w:spacing w:before="100" w:beforeAutospacing="1" w:after="100" w:afterAutospacing="1"/>
        <w:rPr>
          <w:b/>
          <w:lang w:val="en-AU"/>
        </w:rPr>
      </w:pPr>
      <w:r w:rsidRPr="00D719FF">
        <w:rPr>
          <w:b/>
          <w:lang w:val="en-AU"/>
        </w:rPr>
        <w:t>Part 5</w:t>
      </w:r>
      <w:r w:rsidR="001D6B59" w:rsidRPr="00D719FF">
        <w:rPr>
          <w:b/>
          <w:lang w:val="en-AU"/>
        </w:rPr>
        <w:t xml:space="preserve"> – Restrictions on licence variations</w:t>
      </w:r>
    </w:p>
    <w:p w:rsidR="00A75A67" w:rsidRPr="00D719FF" w:rsidRDefault="0052323B" w:rsidP="00A75F29">
      <w:pPr>
        <w:spacing w:before="100" w:beforeAutospacing="1" w:after="240"/>
        <w:rPr>
          <w:bCs/>
          <w:iCs/>
          <w:lang w:val="en-AU"/>
        </w:rPr>
      </w:pPr>
      <w:r w:rsidRPr="00D719FF">
        <w:rPr>
          <w:bCs/>
          <w:iCs/>
          <w:lang w:val="en-AU"/>
        </w:rPr>
        <w:t>T</w:t>
      </w:r>
      <w:r w:rsidR="002279E5" w:rsidRPr="00D719FF">
        <w:rPr>
          <w:bCs/>
          <w:iCs/>
          <w:lang w:val="en-AU"/>
        </w:rPr>
        <w:t xml:space="preserve">he Regulator </w:t>
      </w:r>
      <w:r w:rsidRPr="00D719FF">
        <w:rPr>
          <w:bCs/>
          <w:iCs/>
          <w:lang w:val="en-AU"/>
        </w:rPr>
        <w:t xml:space="preserve">is restricted in how </w:t>
      </w:r>
      <w:r w:rsidR="002279E5" w:rsidRPr="00D719FF">
        <w:rPr>
          <w:bCs/>
          <w:iCs/>
          <w:lang w:val="en-AU"/>
        </w:rPr>
        <w:t xml:space="preserve">licences </w:t>
      </w:r>
      <w:r w:rsidR="00DD5003" w:rsidRPr="00D719FF">
        <w:rPr>
          <w:bCs/>
          <w:iCs/>
          <w:lang w:val="en-AU"/>
        </w:rPr>
        <w:t xml:space="preserve">can be varied. This is </w:t>
      </w:r>
      <w:r w:rsidR="002279E5" w:rsidRPr="00D719FF">
        <w:rPr>
          <w:bCs/>
          <w:iCs/>
          <w:lang w:val="en-AU"/>
        </w:rPr>
        <w:t xml:space="preserve">so </w:t>
      </w:r>
      <w:r w:rsidR="00433F31" w:rsidRPr="00D719FF">
        <w:rPr>
          <w:bCs/>
          <w:iCs/>
          <w:lang w:val="en-AU"/>
        </w:rPr>
        <w:t xml:space="preserve">that </w:t>
      </w:r>
      <w:r w:rsidR="002279E5" w:rsidRPr="00D719FF">
        <w:rPr>
          <w:bCs/>
          <w:iCs/>
          <w:lang w:val="en-AU"/>
        </w:rPr>
        <w:t xml:space="preserve">variations </w:t>
      </w:r>
      <w:r w:rsidR="00433F31" w:rsidRPr="00D719FF">
        <w:rPr>
          <w:bCs/>
          <w:iCs/>
          <w:lang w:val="en-AU"/>
        </w:rPr>
        <w:t>cannot be</w:t>
      </w:r>
      <w:r w:rsidR="002279E5" w:rsidRPr="00D719FF">
        <w:rPr>
          <w:bCs/>
          <w:iCs/>
          <w:lang w:val="en-AU"/>
        </w:rPr>
        <w:t xml:space="preserve"> used to extend the coverage of licences</w:t>
      </w:r>
      <w:r w:rsidR="00433F31" w:rsidRPr="00D719FF">
        <w:rPr>
          <w:bCs/>
          <w:iCs/>
          <w:lang w:val="en-AU"/>
        </w:rPr>
        <w:t xml:space="preserve"> unreasonably</w:t>
      </w:r>
      <w:r w:rsidR="002279E5" w:rsidRPr="00D719FF">
        <w:rPr>
          <w:bCs/>
          <w:iCs/>
          <w:lang w:val="en-AU"/>
        </w:rPr>
        <w:t xml:space="preserve">. </w:t>
      </w:r>
      <w:r w:rsidR="002279E5" w:rsidRPr="00D719FF">
        <w:rPr>
          <w:b/>
          <w:lang w:val="en-AU"/>
        </w:rPr>
        <w:t>Item 20</w:t>
      </w:r>
      <w:r w:rsidR="002279E5" w:rsidRPr="00D719FF">
        <w:rPr>
          <w:bCs/>
          <w:iCs/>
          <w:lang w:val="en-AU"/>
        </w:rPr>
        <w:t xml:space="preserve"> </w:t>
      </w:r>
      <w:r w:rsidR="007215C7" w:rsidRPr="00D719FF">
        <w:rPr>
          <w:bCs/>
          <w:iCs/>
          <w:lang w:val="en-AU"/>
        </w:rPr>
        <w:t>would modify</w:t>
      </w:r>
      <w:r w:rsidR="002279E5" w:rsidRPr="00D719FF">
        <w:rPr>
          <w:bCs/>
          <w:iCs/>
          <w:lang w:val="en-AU"/>
        </w:rPr>
        <w:t xml:space="preserve"> one of these restrictions to broaden the information which may be taken into account </w:t>
      </w:r>
      <w:r w:rsidR="00282F8D" w:rsidRPr="00D719FF">
        <w:rPr>
          <w:bCs/>
          <w:iCs/>
          <w:lang w:val="en-AU"/>
        </w:rPr>
        <w:t xml:space="preserve">by the Regulator </w:t>
      </w:r>
      <w:r w:rsidR="002279E5" w:rsidRPr="00D719FF">
        <w:rPr>
          <w:bCs/>
          <w:iCs/>
          <w:lang w:val="en-AU"/>
        </w:rPr>
        <w:t xml:space="preserve">when assessing variation applications from licence holders. </w:t>
      </w:r>
    </w:p>
    <w:p w:rsidR="00A7317C" w:rsidRPr="00D719FF" w:rsidRDefault="00A75A67" w:rsidP="00A75F29">
      <w:pPr>
        <w:spacing w:before="100" w:beforeAutospacing="1" w:after="240"/>
        <w:rPr>
          <w:lang w:val="en-AU"/>
        </w:rPr>
      </w:pPr>
      <w:r w:rsidRPr="00D719FF">
        <w:rPr>
          <w:bCs/>
          <w:iCs/>
          <w:lang w:val="en-AU"/>
        </w:rPr>
        <w:t>Previously, the Regulator could only vary a licence if the risk assessment and risk management plan (RARMP) prepared for the original licence applicat</w:t>
      </w:r>
      <w:r w:rsidR="00433F31" w:rsidRPr="00D719FF">
        <w:rPr>
          <w:bCs/>
          <w:iCs/>
          <w:lang w:val="en-AU"/>
        </w:rPr>
        <w:t>i</w:t>
      </w:r>
      <w:r w:rsidRPr="00D719FF">
        <w:rPr>
          <w:bCs/>
          <w:iCs/>
          <w:lang w:val="en-AU"/>
        </w:rPr>
        <w:t>on covered the risks posed by the dealings proposed to be authorised by the licence as varied. This ensured that a comprehensive RARMP considered any risks posed by dealing</w:t>
      </w:r>
      <w:r w:rsidR="000B518E" w:rsidRPr="00D719FF">
        <w:rPr>
          <w:bCs/>
          <w:iCs/>
          <w:lang w:val="en-AU"/>
        </w:rPr>
        <w:t>s</w:t>
      </w:r>
      <w:r w:rsidRPr="00D719FF">
        <w:rPr>
          <w:bCs/>
          <w:iCs/>
          <w:lang w:val="en-AU"/>
        </w:rPr>
        <w:t xml:space="preserve"> conducted under a varied licence. </w:t>
      </w:r>
      <w:r w:rsidR="00992E0F" w:rsidRPr="00D719FF">
        <w:rPr>
          <w:bCs/>
          <w:iCs/>
          <w:lang w:val="en-AU"/>
        </w:rPr>
        <w:t xml:space="preserve">As the same or similar GMOs and dealings may be subject to more than one application and assessment, </w:t>
      </w:r>
      <w:r w:rsidRPr="00D719FF">
        <w:rPr>
          <w:bCs/>
          <w:iCs/>
          <w:lang w:val="en-AU"/>
        </w:rPr>
        <w:t xml:space="preserve">Item 20 </w:t>
      </w:r>
      <w:r w:rsidR="00D052D4" w:rsidRPr="00D719FF">
        <w:rPr>
          <w:bCs/>
          <w:iCs/>
          <w:lang w:val="en-AU"/>
        </w:rPr>
        <w:t>would allow</w:t>
      </w:r>
      <w:r w:rsidRPr="00D719FF">
        <w:rPr>
          <w:bCs/>
          <w:iCs/>
          <w:lang w:val="en-AU"/>
        </w:rPr>
        <w:t xml:space="preserve"> the Regulator to take into account RARMPs prepared for licence applications</w:t>
      </w:r>
      <w:r w:rsidR="004F0C40" w:rsidRPr="00D719FF">
        <w:rPr>
          <w:bCs/>
          <w:iCs/>
          <w:lang w:val="en-AU"/>
        </w:rPr>
        <w:t xml:space="preserve"> (for which licences have been </w:t>
      </w:r>
      <w:r w:rsidR="008124FB" w:rsidRPr="00D719FF">
        <w:rPr>
          <w:bCs/>
          <w:iCs/>
          <w:lang w:val="en-AU"/>
        </w:rPr>
        <w:t>issued</w:t>
      </w:r>
      <w:r w:rsidR="004F0C40" w:rsidRPr="00D719FF">
        <w:rPr>
          <w:bCs/>
          <w:iCs/>
          <w:lang w:val="en-AU"/>
        </w:rPr>
        <w:t>)</w:t>
      </w:r>
      <w:r w:rsidRPr="00D719FF">
        <w:rPr>
          <w:bCs/>
          <w:iCs/>
          <w:lang w:val="en-AU"/>
        </w:rPr>
        <w:t xml:space="preserve"> other than the </w:t>
      </w:r>
      <w:r w:rsidR="00504B2E" w:rsidRPr="00D719FF">
        <w:rPr>
          <w:bCs/>
          <w:iCs/>
          <w:lang w:val="en-AU"/>
        </w:rPr>
        <w:t>licence</w:t>
      </w:r>
      <w:r w:rsidRPr="00D719FF">
        <w:rPr>
          <w:bCs/>
          <w:iCs/>
          <w:lang w:val="en-AU"/>
        </w:rPr>
        <w:t xml:space="preserve"> to be varied.</w:t>
      </w:r>
      <w:r w:rsidR="00992E0F" w:rsidRPr="00D719FF">
        <w:rPr>
          <w:bCs/>
          <w:iCs/>
          <w:lang w:val="en-AU"/>
        </w:rPr>
        <w:t xml:space="preserve"> </w:t>
      </w:r>
      <w:r w:rsidR="000B518E" w:rsidRPr="00D719FF">
        <w:rPr>
          <w:bCs/>
          <w:iCs/>
          <w:lang w:val="en-AU"/>
        </w:rPr>
        <w:t xml:space="preserve">This </w:t>
      </w:r>
      <w:r w:rsidR="00D052D4" w:rsidRPr="00D719FF">
        <w:rPr>
          <w:lang w:val="en-AU"/>
        </w:rPr>
        <w:t>would allow</w:t>
      </w:r>
      <w:r w:rsidR="00992E0F" w:rsidRPr="00D719FF">
        <w:rPr>
          <w:lang w:val="en-AU"/>
        </w:rPr>
        <w:t xml:space="preserve"> licence variations to proceed provided </w:t>
      </w:r>
      <w:r w:rsidR="000B3634" w:rsidRPr="00D719FF">
        <w:rPr>
          <w:lang w:val="en-AU"/>
        </w:rPr>
        <w:t>potential risks associated with the dealings are adequately assessed in an existing RARMP</w:t>
      </w:r>
      <w:r w:rsidR="00433F31" w:rsidRPr="00D719FF">
        <w:rPr>
          <w:lang w:val="en-AU"/>
        </w:rPr>
        <w:t>,</w:t>
      </w:r>
      <w:r w:rsidR="00992E0F" w:rsidRPr="00D719FF">
        <w:rPr>
          <w:lang w:val="en-AU"/>
        </w:rPr>
        <w:t xml:space="preserve"> </w:t>
      </w:r>
      <w:r w:rsidR="00D052D4" w:rsidRPr="00D719FF">
        <w:rPr>
          <w:lang w:val="en-AU"/>
        </w:rPr>
        <w:t>and would avoid</w:t>
      </w:r>
      <w:r w:rsidR="00433F31" w:rsidRPr="00D719FF">
        <w:rPr>
          <w:lang w:val="en-AU"/>
        </w:rPr>
        <w:t xml:space="preserve"> some circumstances where </w:t>
      </w:r>
      <w:r w:rsidR="00992E0F" w:rsidRPr="00D719FF">
        <w:rPr>
          <w:lang w:val="en-AU"/>
        </w:rPr>
        <w:t xml:space="preserve">applicants </w:t>
      </w:r>
      <w:r w:rsidR="00433F31" w:rsidRPr="00D719FF">
        <w:rPr>
          <w:lang w:val="en-AU"/>
        </w:rPr>
        <w:t xml:space="preserve">would need </w:t>
      </w:r>
      <w:r w:rsidR="00A7317C" w:rsidRPr="00D719FF">
        <w:rPr>
          <w:lang w:val="en-AU"/>
        </w:rPr>
        <w:t>to seek a new licence.</w:t>
      </w:r>
    </w:p>
    <w:p w:rsidR="000B518E" w:rsidRPr="00D719FF" w:rsidRDefault="007C4870" w:rsidP="00A75F29">
      <w:pPr>
        <w:spacing w:before="100" w:beforeAutospacing="1" w:after="240"/>
        <w:rPr>
          <w:lang w:val="en-AU"/>
        </w:rPr>
      </w:pPr>
      <w:r w:rsidRPr="00D719FF">
        <w:rPr>
          <w:lang w:val="en-AU"/>
        </w:rPr>
        <w:t xml:space="preserve">In considering licence variation applications that utilise risk assessments contained in RARMPs for other licences, the Regulator would consider whether </w:t>
      </w:r>
      <w:r w:rsidR="003D376A" w:rsidRPr="00D719FF">
        <w:rPr>
          <w:lang w:val="en-AU"/>
        </w:rPr>
        <w:t>the</w:t>
      </w:r>
      <w:r w:rsidRPr="00D719FF">
        <w:rPr>
          <w:lang w:val="en-AU"/>
        </w:rPr>
        <w:t xml:space="preserve"> two licences involve similar GMOs or similar dealings. </w:t>
      </w:r>
      <w:r w:rsidR="00695C04" w:rsidRPr="00D719FF">
        <w:rPr>
          <w:lang w:val="en-AU"/>
        </w:rPr>
        <w:t xml:space="preserve">For example, </w:t>
      </w:r>
      <w:r w:rsidR="00A7317C" w:rsidRPr="00D719FF">
        <w:rPr>
          <w:lang w:val="en-AU"/>
        </w:rPr>
        <w:t xml:space="preserve">a limited and controlled </w:t>
      </w:r>
      <w:r w:rsidRPr="00D719FF">
        <w:rPr>
          <w:lang w:val="en-AU"/>
        </w:rPr>
        <w:t xml:space="preserve">plant </w:t>
      </w:r>
      <w:r w:rsidR="00A7317C" w:rsidRPr="00D719FF">
        <w:rPr>
          <w:lang w:val="en-AU"/>
        </w:rPr>
        <w:t xml:space="preserve">DIR licence </w:t>
      </w:r>
      <w:r w:rsidRPr="00D719FF">
        <w:rPr>
          <w:lang w:val="en-AU"/>
        </w:rPr>
        <w:t xml:space="preserve">could potentially be varied to include </w:t>
      </w:r>
      <w:r w:rsidR="00695C04" w:rsidRPr="00D719FF">
        <w:rPr>
          <w:lang w:val="en-AU"/>
        </w:rPr>
        <w:t xml:space="preserve">dealings with </w:t>
      </w:r>
      <w:r w:rsidR="003D376A" w:rsidRPr="00D719FF">
        <w:rPr>
          <w:lang w:val="en-AU"/>
        </w:rPr>
        <w:t>a GMO of the same parent species</w:t>
      </w:r>
      <w:r w:rsidR="00695C04" w:rsidRPr="00D719FF">
        <w:rPr>
          <w:lang w:val="en-AU"/>
        </w:rPr>
        <w:t xml:space="preserve"> carrying another gene </w:t>
      </w:r>
      <w:r w:rsidRPr="00D719FF">
        <w:rPr>
          <w:lang w:val="en-AU"/>
        </w:rPr>
        <w:t xml:space="preserve">or new methods of destroying GMOs, provided that these dealings had been assessed in the RARMP for another licence relating to the same parent species. </w:t>
      </w:r>
      <w:r w:rsidRPr="00D719FF">
        <w:rPr>
          <w:lang w:val="en-AU" w:eastAsia="en-AU"/>
        </w:rPr>
        <w:t xml:space="preserve">For DNIRs, licences could potentially be varied to include, for example, </w:t>
      </w:r>
      <w:r w:rsidRPr="00D719FF">
        <w:rPr>
          <w:i/>
          <w:iCs/>
          <w:lang w:val="en-AU" w:eastAsia="en-AU"/>
        </w:rPr>
        <w:t>in vivo</w:t>
      </w:r>
      <w:r w:rsidRPr="00D719FF">
        <w:rPr>
          <w:lang w:val="en-AU" w:eastAsia="en-AU"/>
        </w:rPr>
        <w:t xml:space="preserve"> </w:t>
      </w:r>
      <w:r w:rsidR="00A71C54" w:rsidRPr="00D719FF">
        <w:rPr>
          <w:lang w:val="en-AU" w:eastAsia="en-AU"/>
        </w:rPr>
        <w:t>experiments with</w:t>
      </w:r>
      <w:r w:rsidRPr="00D719FF">
        <w:rPr>
          <w:lang w:val="en-AU" w:eastAsia="en-AU"/>
        </w:rPr>
        <w:t xml:space="preserve"> a GMO which is licenced for </w:t>
      </w:r>
      <w:r w:rsidRPr="00D719FF">
        <w:rPr>
          <w:i/>
          <w:iCs/>
          <w:lang w:val="en-AU" w:eastAsia="en-AU"/>
        </w:rPr>
        <w:t>in vitro</w:t>
      </w:r>
      <w:r w:rsidRPr="00D719FF">
        <w:rPr>
          <w:lang w:val="en-AU" w:eastAsia="en-AU"/>
        </w:rPr>
        <w:t xml:space="preserve"> experiments, provided another RARMP considers </w:t>
      </w:r>
      <w:r w:rsidR="003D376A" w:rsidRPr="00D719FF">
        <w:rPr>
          <w:i/>
          <w:iCs/>
          <w:lang w:val="en-AU" w:eastAsia="en-AU"/>
        </w:rPr>
        <w:t>in</w:t>
      </w:r>
      <w:r w:rsidR="00456C77">
        <w:rPr>
          <w:i/>
          <w:iCs/>
          <w:lang w:val="en-AU" w:eastAsia="en-AU"/>
        </w:rPr>
        <w:t> </w:t>
      </w:r>
      <w:bookmarkStart w:id="0" w:name="_GoBack"/>
      <w:bookmarkEnd w:id="0"/>
      <w:r w:rsidR="003D376A" w:rsidRPr="00D719FF">
        <w:rPr>
          <w:i/>
          <w:iCs/>
          <w:lang w:val="en-AU" w:eastAsia="en-AU"/>
        </w:rPr>
        <w:t>vivo</w:t>
      </w:r>
      <w:r w:rsidR="003D376A" w:rsidRPr="00D719FF">
        <w:rPr>
          <w:lang w:val="en-AU" w:eastAsia="en-AU"/>
        </w:rPr>
        <w:t xml:space="preserve"> </w:t>
      </w:r>
      <w:r w:rsidR="00006118" w:rsidRPr="00D719FF">
        <w:rPr>
          <w:lang w:val="en-AU" w:eastAsia="en-AU"/>
        </w:rPr>
        <w:t xml:space="preserve">dealings </w:t>
      </w:r>
      <w:r w:rsidRPr="00D719FF">
        <w:rPr>
          <w:lang w:val="en-AU" w:eastAsia="en-AU"/>
        </w:rPr>
        <w:t>with the same GMO</w:t>
      </w:r>
      <w:r w:rsidR="00006118" w:rsidRPr="00D719FF">
        <w:rPr>
          <w:lang w:val="en-AU" w:eastAsia="en-AU"/>
        </w:rPr>
        <w:t xml:space="preserve"> or with GMOs from the same parent organism with similar modifications</w:t>
      </w:r>
      <w:r w:rsidRPr="00D719FF">
        <w:rPr>
          <w:lang w:val="en-AU" w:eastAsia="en-AU"/>
        </w:rPr>
        <w:t>.</w:t>
      </w:r>
    </w:p>
    <w:p w:rsidR="00BC2CF6" w:rsidRPr="00D719FF" w:rsidRDefault="00B674BA" w:rsidP="00A75F29">
      <w:pPr>
        <w:spacing w:before="100" w:beforeAutospacing="1" w:after="240"/>
        <w:rPr>
          <w:lang w:val="en-AU"/>
        </w:rPr>
      </w:pPr>
      <w:r w:rsidRPr="00D719FF">
        <w:rPr>
          <w:lang w:val="en-AU"/>
        </w:rPr>
        <w:t xml:space="preserve">Item 20 </w:t>
      </w:r>
      <w:r w:rsidR="00D052D4" w:rsidRPr="00D719FF">
        <w:rPr>
          <w:lang w:val="en-AU"/>
        </w:rPr>
        <w:t>would also remove</w:t>
      </w:r>
      <w:r w:rsidRPr="00D719FF">
        <w:rPr>
          <w:lang w:val="en-AU"/>
        </w:rPr>
        <w:t xml:space="preserve"> an unintended restriction on the Regulator’s ability to initiate licence variations. </w:t>
      </w:r>
      <w:r w:rsidR="008110AC" w:rsidRPr="00D719FF">
        <w:rPr>
          <w:lang w:val="en-AU"/>
        </w:rPr>
        <w:t>A</w:t>
      </w:r>
      <w:r w:rsidRPr="00D719FF">
        <w:rPr>
          <w:lang w:val="en-AU"/>
        </w:rPr>
        <w:t xml:space="preserve">mended subsection 71(2B) </w:t>
      </w:r>
      <w:r w:rsidR="00D052D4" w:rsidRPr="00D719FF">
        <w:rPr>
          <w:lang w:val="en-AU"/>
        </w:rPr>
        <w:t>would apply</w:t>
      </w:r>
      <w:r w:rsidRPr="00D719FF">
        <w:rPr>
          <w:lang w:val="en-AU"/>
        </w:rPr>
        <w:t xml:space="preserve"> only to variations which have been applied for, not to variations initiated by the Regulator. This is necessary because if the Regulator becomes aware of risks posed by licenced dea</w:t>
      </w:r>
      <w:r w:rsidR="008110AC" w:rsidRPr="00D719FF">
        <w:rPr>
          <w:lang w:val="en-AU"/>
        </w:rPr>
        <w:t>lings</w:t>
      </w:r>
      <w:r w:rsidRPr="00D719FF">
        <w:rPr>
          <w:lang w:val="en-AU"/>
        </w:rPr>
        <w:t xml:space="preserve"> which are not</w:t>
      </w:r>
      <w:r w:rsidR="008110AC" w:rsidRPr="00D719FF">
        <w:rPr>
          <w:lang w:val="en-AU"/>
        </w:rPr>
        <w:t xml:space="preserve"> covered in the original RARMP or any other RARMP</w:t>
      </w:r>
      <w:r w:rsidRPr="00D719FF">
        <w:rPr>
          <w:lang w:val="en-AU"/>
        </w:rPr>
        <w:t xml:space="preserve">, the Regulator </w:t>
      </w:r>
      <w:r w:rsidR="005F4EC3" w:rsidRPr="00D719FF">
        <w:rPr>
          <w:lang w:val="en-AU"/>
        </w:rPr>
        <w:t>would</w:t>
      </w:r>
      <w:r w:rsidRPr="00D719FF">
        <w:rPr>
          <w:lang w:val="en-AU"/>
        </w:rPr>
        <w:t xml:space="preserve"> </w:t>
      </w:r>
      <w:r w:rsidR="008110AC" w:rsidRPr="00D719FF">
        <w:rPr>
          <w:lang w:val="en-AU"/>
        </w:rPr>
        <w:t xml:space="preserve">then </w:t>
      </w:r>
      <w:r w:rsidR="005F4EC3" w:rsidRPr="00D719FF">
        <w:rPr>
          <w:lang w:val="en-AU"/>
        </w:rPr>
        <w:t xml:space="preserve">be </w:t>
      </w:r>
      <w:r w:rsidRPr="00D719FF">
        <w:rPr>
          <w:lang w:val="en-AU"/>
        </w:rPr>
        <w:t>able t</w:t>
      </w:r>
      <w:r w:rsidR="008110AC" w:rsidRPr="00D719FF">
        <w:rPr>
          <w:lang w:val="en-AU"/>
        </w:rPr>
        <w:t>o initiate a variation to manage those risks,</w:t>
      </w:r>
      <w:r w:rsidRPr="00D719FF">
        <w:rPr>
          <w:lang w:val="en-AU"/>
        </w:rPr>
        <w:t xml:space="preserve"> to protect the health and safety of people and the environment.</w:t>
      </w:r>
    </w:p>
    <w:p w:rsidR="00BC2CF6" w:rsidRPr="00D719FF" w:rsidRDefault="00BC2CF6" w:rsidP="00A75F29">
      <w:pPr>
        <w:spacing w:before="100" w:beforeAutospacing="1" w:after="240"/>
        <w:rPr>
          <w:lang w:val="en-AU"/>
        </w:rPr>
      </w:pPr>
      <w:r w:rsidRPr="00D719FF">
        <w:rPr>
          <w:b/>
          <w:lang w:val="en-AU"/>
        </w:rPr>
        <w:t>Item 21</w:t>
      </w:r>
      <w:r w:rsidRPr="00D719FF">
        <w:rPr>
          <w:lang w:val="en-AU"/>
        </w:rPr>
        <w:t xml:space="preserve"> (application) </w:t>
      </w:r>
      <w:r w:rsidR="00F057CD" w:rsidRPr="00D719FF">
        <w:rPr>
          <w:lang w:val="en-AU"/>
        </w:rPr>
        <w:t>would require that the amended provisions apply to variation applications made to the Regulator but not decided at the time of commencement, and to new variation applications made on or after commencement.</w:t>
      </w:r>
    </w:p>
    <w:p w:rsidR="0096791B" w:rsidRPr="00D719FF" w:rsidRDefault="003936B8" w:rsidP="001D6B59">
      <w:pPr>
        <w:keepNext/>
        <w:spacing w:before="100" w:beforeAutospacing="1" w:after="100" w:afterAutospacing="1"/>
        <w:rPr>
          <w:b/>
          <w:lang w:val="en-AU"/>
        </w:rPr>
      </w:pPr>
      <w:r w:rsidRPr="00D719FF">
        <w:rPr>
          <w:b/>
          <w:lang w:val="en-AU"/>
        </w:rPr>
        <w:t>Part 6</w:t>
      </w:r>
      <w:r w:rsidR="001D6B59" w:rsidRPr="00D719FF">
        <w:rPr>
          <w:b/>
          <w:lang w:val="en-AU"/>
        </w:rPr>
        <w:t xml:space="preserve"> - Technical amendments</w:t>
      </w:r>
    </w:p>
    <w:p w:rsidR="003936B8" w:rsidRPr="00D719FF" w:rsidRDefault="003936B8" w:rsidP="00A75F29">
      <w:pPr>
        <w:spacing w:before="100" w:beforeAutospacing="1" w:after="240"/>
        <w:rPr>
          <w:lang w:val="en-AU"/>
        </w:rPr>
      </w:pPr>
      <w:r w:rsidRPr="00D719FF">
        <w:rPr>
          <w:b/>
          <w:lang w:val="en-AU"/>
        </w:rPr>
        <w:t>Item 22</w:t>
      </w:r>
      <w:r w:rsidRPr="00D719FF">
        <w:rPr>
          <w:bCs/>
          <w:iCs/>
          <w:lang w:val="en-AU"/>
        </w:rPr>
        <w:t xml:space="preserve"> </w:t>
      </w:r>
      <w:r w:rsidR="005F4EC3" w:rsidRPr="00D719FF">
        <w:rPr>
          <w:bCs/>
          <w:iCs/>
          <w:lang w:val="en-AU"/>
        </w:rPr>
        <w:t xml:space="preserve">would </w:t>
      </w:r>
      <w:r w:rsidRPr="00D719FF">
        <w:rPr>
          <w:lang w:val="en-AU"/>
        </w:rPr>
        <w:t>clarif</w:t>
      </w:r>
      <w:r w:rsidR="00DD5003" w:rsidRPr="00D719FF">
        <w:rPr>
          <w:lang w:val="en-AU"/>
        </w:rPr>
        <w:t>y</w:t>
      </w:r>
      <w:r w:rsidRPr="00D719FF">
        <w:rPr>
          <w:lang w:val="en-AU"/>
        </w:rPr>
        <w:t xml:space="preserve"> ambiguous wording of a </w:t>
      </w:r>
      <w:r w:rsidR="0096791B" w:rsidRPr="00D719FF">
        <w:rPr>
          <w:lang w:val="en-AU"/>
        </w:rPr>
        <w:t xml:space="preserve">phrase </w:t>
      </w:r>
      <w:r w:rsidRPr="00D719FF">
        <w:rPr>
          <w:lang w:val="en-AU"/>
        </w:rPr>
        <w:t>in paragraph 30(a).</w:t>
      </w:r>
    </w:p>
    <w:p w:rsidR="00A079BC" w:rsidRPr="00D719FF" w:rsidRDefault="003936B8" w:rsidP="00A75F29">
      <w:pPr>
        <w:spacing w:before="100" w:beforeAutospacing="1" w:after="240"/>
        <w:rPr>
          <w:bCs/>
          <w:iCs/>
          <w:lang w:val="en-AU"/>
        </w:rPr>
      </w:pPr>
      <w:r w:rsidRPr="00D719FF">
        <w:rPr>
          <w:b/>
          <w:lang w:val="en-AU"/>
        </w:rPr>
        <w:t>Item 23</w:t>
      </w:r>
      <w:r w:rsidR="005F4EC3" w:rsidRPr="00D719FF">
        <w:rPr>
          <w:bCs/>
          <w:iCs/>
          <w:lang w:val="en-AU"/>
        </w:rPr>
        <w:t xml:space="preserve"> would amend</w:t>
      </w:r>
      <w:r w:rsidRPr="00D719FF">
        <w:rPr>
          <w:bCs/>
          <w:iCs/>
          <w:lang w:val="en-AU"/>
        </w:rPr>
        <w:t xml:space="preserve"> the list of considerations which the </w:t>
      </w:r>
      <w:r w:rsidR="0096791B" w:rsidRPr="00D719FF">
        <w:rPr>
          <w:bCs/>
          <w:iCs/>
          <w:lang w:val="en-AU"/>
        </w:rPr>
        <w:t xml:space="preserve">Regulator must </w:t>
      </w:r>
      <w:r w:rsidR="00F057CD" w:rsidRPr="00D719FF">
        <w:rPr>
          <w:bCs/>
          <w:iCs/>
          <w:lang w:val="en-AU"/>
        </w:rPr>
        <w:t>make</w:t>
      </w:r>
      <w:r w:rsidRPr="00D719FF">
        <w:rPr>
          <w:bCs/>
          <w:iCs/>
          <w:lang w:val="en-AU"/>
        </w:rPr>
        <w:t xml:space="preserve"> </w:t>
      </w:r>
      <w:r w:rsidR="0096791B" w:rsidRPr="00D719FF">
        <w:rPr>
          <w:bCs/>
          <w:iCs/>
          <w:lang w:val="en-AU"/>
        </w:rPr>
        <w:t>before the Governor</w:t>
      </w:r>
      <w:r w:rsidR="00157D9C" w:rsidRPr="00D719FF">
        <w:rPr>
          <w:bCs/>
          <w:iCs/>
          <w:lang w:val="en-AU"/>
        </w:rPr>
        <w:t>-</w:t>
      </w:r>
      <w:r w:rsidR="0096791B" w:rsidRPr="00D719FF">
        <w:rPr>
          <w:bCs/>
          <w:iCs/>
          <w:lang w:val="en-AU"/>
        </w:rPr>
        <w:t>General can declare dealings to be Notifi</w:t>
      </w:r>
      <w:r w:rsidR="008110AC" w:rsidRPr="00D719FF">
        <w:rPr>
          <w:bCs/>
          <w:iCs/>
          <w:lang w:val="en-AU"/>
        </w:rPr>
        <w:t>able Low Risk Dealings (NLRDs).</w:t>
      </w:r>
      <w:r w:rsidRPr="00D719FF">
        <w:rPr>
          <w:bCs/>
          <w:iCs/>
          <w:lang w:val="en-AU"/>
        </w:rPr>
        <w:t xml:space="preserve"> The amended considerations </w:t>
      </w:r>
      <w:r w:rsidR="005F4EC3" w:rsidRPr="00D719FF">
        <w:rPr>
          <w:bCs/>
          <w:iCs/>
          <w:lang w:val="en-AU"/>
        </w:rPr>
        <w:t xml:space="preserve">would </w:t>
      </w:r>
      <w:r w:rsidR="00F057CD" w:rsidRPr="00D719FF">
        <w:rPr>
          <w:bCs/>
          <w:iCs/>
          <w:lang w:val="en-AU"/>
        </w:rPr>
        <w:t>require the Regulator to</w:t>
      </w:r>
      <w:r w:rsidR="00337AA0" w:rsidRPr="00D719FF">
        <w:rPr>
          <w:bCs/>
          <w:iCs/>
          <w:lang w:val="en-AU"/>
        </w:rPr>
        <w:t xml:space="preserve"> consider</w:t>
      </w:r>
      <w:r w:rsidR="00F057CD" w:rsidRPr="00D719FF">
        <w:rPr>
          <w:bCs/>
          <w:iCs/>
          <w:lang w:val="en-AU"/>
        </w:rPr>
        <w:t xml:space="preserve"> </w:t>
      </w:r>
      <w:r w:rsidRPr="00D719FF">
        <w:rPr>
          <w:bCs/>
          <w:iCs/>
          <w:lang w:val="en-AU"/>
        </w:rPr>
        <w:t xml:space="preserve">any risks to the health and safety of people and the environment and, if there </w:t>
      </w:r>
      <w:r w:rsidR="00654BA7" w:rsidRPr="00D719FF">
        <w:rPr>
          <w:bCs/>
          <w:iCs/>
          <w:lang w:val="en-AU"/>
        </w:rPr>
        <w:t>is any risk</w:t>
      </w:r>
      <w:r w:rsidRPr="00D719FF">
        <w:rPr>
          <w:bCs/>
          <w:iCs/>
          <w:lang w:val="en-AU"/>
        </w:rPr>
        <w:t>, whether generic NLRD requirements prescribed under subsection 75(2)</w:t>
      </w:r>
      <w:r w:rsidR="00654BA7" w:rsidRPr="00D719FF">
        <w:rPr>
          <w:bCs/>
          <w:iCs/>
          <w:lang w:val="en-AU"/>
        </w:rPr>
        <w:t xml:space="preserve"> would be sufficient to manage that risk. </w:t>
      </w:r>
    </w:p>
    <w:sectPr w:rsidR="00A079BC" w:rsidRPr="00D719FF" w:rsidSect="00974EA5">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B6" w:rsidRDefault="009A6EB6" w:rsidP="00FF1292">
      <w:r>
        <w:separator/>
      </w:r>
    </w:p>
  </w:endnote>
  <w:endnote w:type="continuationSeparator" w:id="0">
    <w:p w:rsidR="009A6EB6" w:rsidRDefault="009A6EB6" w:rsidP="00FF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85143"/>
      <w:docPartObj>
        <w:docPartGallery w:val="Page Numbers (Bottom of Page)"/>
        <w:docPartUnique/>
      </w:docPartObj>
    </w:sdtPr>
    <w:sdtEndPr>
      <w:rPr>
        <w:noProof/>
      </w:rPr>
    </w:sdtEndPr>
    <w:sdtContent>
      <w:p w:rsidR="00FF1292" w:rsidRDefault="00FF1292" w:rsidP="00D719FF">
        <w:pPr>
          <w:pStyle w:val="Footer"/>
          <w:jc w:val="center"/>
        </w:pPr>
        <w:r>
          <w:fldChar w:fldCharType="begin"/>
        </w:r>
        <w:r>
          <w:instrText xml:space="preserve"> PAGE   \* MERGEFORMAT </w:instrText>
        </w:r>
        <w:r>
          <w:fldChar w:fldCharType="separate"/>
        </w:r>
        <w:r w:rsidR="00456C77">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B6" w:rsidRDefault="009A6EB6" w:rsidP="00FF1292">
      <w:r>
        <w:separator/>
      </w:r>
    </w:p>
  </w:footnote>
  <w:footnote w:type="continuationSeparator" w:id="0">
    <w:p w:rsidR="009A6EB6" w:rsidRDefault="009A6EB6" w:rsidP="00FF1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199F"/>
    <w:multiLevelType w:val="hybridMultilevel"/>
    <w:tmpl w:val="420404B8"/>
    <w:lvl w:ilvl="0" w:tplc="0068EDBA">
      <w:start w:val="1"/>
      <w:numFmt w:val="bullet"/>
      <w:lvlText w:val=""/>
      <w:lvlJc w:val="left"/>
      <w:pPr>
        <w:ind w:left="720" w:hanging="360"/>
      </w:pPr>
      <w:rPr>
        <w:rFonts w:ascii="Symbol" w:hAnsi="Symbol" w:hint="default"/>
      </w:rPr>
    </w:lvl>
    <w:lvl w:ilvl="1" w:tplc="7DDE3F64">
      <w:start w:val="1"/>
      <w:numFmt w:val="bullet"/>
      <w:lvlText w:val="o"/>
      <w:lvlJc w:val="left"/>
      <w:pPr>
        <w:ind w:left="1440" w:hanging="360"/>
      </w:pPr>
      <w:rPr>
        <w:rFonts w:ascii="Courier New" w:hAnsi="Courier New" w:cs="Courier New" w:hint="default"/>
      </w:rPr>
    </w:lvl>
    <w:lvl w:ilvl="2" w:tplc="4A923216" w:tentative="1">
      <w:start w:val="1"/>
      <w:numFmt w:val="bullet"/>
      <w:lvlText w:val=""/>
      <w:lvlJc w:val="left"/>
      <w:pPr>
        <w:ind w:left="2160" w:hanging="360"/>
      </w:pPr>
      <w:rPr>
        <w:rFonts w:ascii="Wingdings" w:hAnsi="Wingdings" w:hint="default"/>
      </w:rPr>
    </w:lvl>
    <w:lvl w:ilvl="3" w:tplc="F7C84078" w:tentative="1">
      <w:start w:val="1"/>
      <w:numFmt w:val="bullet"/>
      <w:lvlText w:val=""/>
      <w:lvlJc w:val="left"/>
      <w:pPr>
        <w:ind w:left="2880" w:hanging="360"/>
      </w:pPr>
      <w:rPr>
        <w:rFonts w:ascii="Symbol" w:hAnsi="Symbol" w:hint="default"/>
      </w:rPr>
    </w:lvl>
    <w:lvl w:ilvl="4" w:tplc="B27CC846" w:tentative="1">
      <w:start w:val="1"/>
      <w:numFmt w:val="bullet"/>
      <w:lvlText w:val="o"/>
      <w:lvlJc w:val="left"/>
      <w:pPr>
        <w:ind w:left="3600" w:hanging="360"/>
      </w:pPr>
      <w:rPr>
        <w:rFonts w:ascii="Courier New" w:hAnsi="Courier New" w:cs="Courier New" w:hint="default"/>
      </w:rPr>
    </w:lvl>
    <w:lvl w:ilvl="5" w:tplc="C04E238A" w:tentative="1">
      <w:start w:val="1"/>
      <w:numFmt w:val="bullet"/>
      <w:lvlText w:val=""/>
      <w:lvlJc w:val="left"/>
      <w:pPr>
        <w:ind w:left="4320" w:hanging="360"/>
      </w:pPr>
      <w:rPr>
        <w:rFonts w:ascii="Wingdings" w:hAnsi="Wingdings" w:hint="default"/>
      </w:rPr>
    </w:lvl>
    <w:lvl w:ilvl="6" w:tplc="A96C41AE" w:tentative="1">
      <w:start w:val="1"/>
      <w:numFmt w:val="bullet"/>
      <w:lvlText w:val=""/>
      <w:lvlJc w:val="left"/>
      <w:pPr>
        <w:ind w:left="5040" w:hanging="360"/>
      </w:pPr>
      <w:rPr>
        <w:rFonts w:ascii="Symbol" w:hAnsi="Symbol" w:hint="default"/>
      </w:rPr>
    </w:lvl>
    <w:lvl w:ilvl="7" w:tplc="FB1274F4" w:tentative="1">
      <w:start w:val="1"/>
      <w:numFmt w:val="bullet"/>
      <w:lvlText w:val="o"/>
      <w:lvlJc w:val="left"/>
      <w:pPr>
        <w:ind w:left="5760" w:hanging="360"/>
      </w:pPr>
      <w:rPr>
        <w:rFonts w:ascii="Courier New" w:hAnsi="Courier New" w:cs="Courier New" w:hint="default"/>
      </w:rPr>
    </w:lvl>
    <w:lvl w:ilvl="8" w:tplc="3AD8D844" w:tentative="1">
      <w:start w:val="1"/>
      <w:numFmt w:val="bullet"/>
      <w:lvlText w:val=""/>
      <w:lvlJc w:val="left"/>
      <w:pPr>
        <w:ind w:left="6480" w:hanging="360"/>
      </w:pPr>
      <w:rPr>
        <w:rFonts w:ascii="Wingdings" w:hAnsi="Wingdings" w:hint="default"/>
      </w:rPr>
    </w:lvl>
  </w:abstractNum>
  <w:abstractNum w:abstractNumId="1">
    <w:nsid w:val="1CE12BCC"/>
    <w:multiLevelType w:val="hybridMultilevel"/>
    <w:tmpl w:val="CEA0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BF2730"/>
    <w:multiLevelType w:val="hybridMultilevel"/>
    <w:tmpl w:val="8C1CB2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A3F0F9E"/>
    <w:multiLevelType w:val="hybridMultilevel"/>
    <w:tmpl w:val="A88C780C"/>
    <w:lvl w:ilvl="0" w:tplc="06B0DF5E">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4E597720"/>
    <w:multiLevelType w:val="hybridMultilevel"/>
    <w:tmpl w:val="6FA0B276"/>
    <w:lvl w:ilvl="0" w:tplc="06FAE800">
      <w:start w:val="1"/>
      <w:numFmt w:val="decimal"/>
      <w:lvlText w:val="%1."/>
      <w:lvlJc w:val="left"/>
      <w:pPr>
        <w:ind w:left="360" w:hanging="360"/>
      </w:pPr>
      <w:rPr>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509956D0"/>
    <w:multiLevelType w:val="hybridMultilevel"/>
    <w:tmpl w:val="87984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F4"/>
    <w:rsid w:val="00006118"/>
    <w:rsid w:val="0000712A"/>
    <w:rsid w:val="000120FA"/>
    <w:rsid w:val="00026531"/>
    <w:rsid w:val="00043B45"/>
    <w:rsid w:val="0007011B"/>
    <w:rsid w:val="000B089B"/>
    <w:rsid w:val="000B3634"/>
    <w:rsid w:val="000B518E"/>
    <w:rsid w:val="000F2800"/>
    <w:rsid w:val="001347A2"/>
    <w:rsid w:val="00146B68"/>
    <w:rsid w:val="00157D9C"/>
    <w:rsid w:val="00172E4F"/>
    <w:rsid w:val="00180DFC"/>
    <w:rsid w:val="001821C6"/>
    <w:rsid w:val="001A3641"/>
    <w:rsid w:val="001B3443"/>
    <w:rsid w:val="001D6729"/>
    <w:rsid w:val="001D6B59"/>
    <w:rsid w:val="001E423D"/>
    <w:rsid w:val="001F2907"/>
    <w:rsid w:val="001F3C30"/>
    <w:rsid w:val="001F6DE7"/>
    <w:rsid w:val="00202FB8"/>
    <w:rsid w:val="00210C18"/>
    <w:rsid w:val="002279E5"/>
    <w:rsid w:val="0023478C"/>
    <w:rsid w:val="002536C8"/>
    <w:rsid w:val="00256F0B"/>
    <w:rsid w:val="00273C4C"/>
    <w:rsid w:val="00282F8D"/>
    <w:rsid w:val="002C2F74"/>
    <w:rsid w:val="0030786C"/>
    <w:rsid w:val="00337AA0"/>
    <w:rsid w:val="00345BBC"/>
    <w:rsid w:val="003501A3"/>
    <w:rsid w:val="003558F2"/>
    <w:rsid w:val="003721AC"/>
    <w:rsid w:val="003936B8"/>
    <w:rsid w:val="003977FD"/>
    <w:rsid w:val="003A1238"/>
    <w:rsid w:val="003B1485"/>
    <w:rsid w:val="003B18E0"/>
    <w:rsid w:val="003B4785"/>
    <w:rsid w:val="003C7737"/>
    <w:rsid w:val="003D376A"/>
    <w:rsid w:val="003E4B73"/>
    <w:rsid w:val="00410DCB"/>
    <w:rsid w:val="00423AC0"/>
    <w:rsid w:val="004270F2"/>
    <w:rsid w:val="00433F31"/>
    <w:rsid w:val="00456C77"/>
    <w:rsid w:val="00477CB2"/>
    <w:rsid w:val="004867E2"/>
    <w:rsid w:val="00493FCC"/>
    <w:rsid w:val="004A1894"/>
    <w:rsid w:val="004C2FE3"/>
    <w:rsid w:val="004F0C40"/>
    <w:rsid w:val="00504B2E"/>
    <w:rsid w:val="0052323B"/>
    <w:rsid w:val="00551DBD"/>
    <w:rsid w:val="005569C7"/>
    <w:rsid w:val="00560A45"/>
    <w:rsid w:val="00576845"/>
    <w:rsid w:val="0058460B"/>
    <w:rsid w:val="00584983"/>
    <w:rsid w:val="005C09A9"/>
    <w:rsid w:val="005C3B58"/>
    <w:rsid w:val="005E0C21"/>
    <w:rsid w:val="005F1FCD"/>
    <w:rsid w:val="005F4EC3"/>
    <w:rsid w:val="00612E2D"/>
    <w:rsid w:val="00613CE0"/>
    <w:rsid w:val="0061671C"/>
    <w:rsid w:val="00654BA7"/>
    <w:rsid w:val="00676590"/>
    <w:rsid w:val="00676C72"/>
    <w:rsid w:val="00683682"/>
    <w:rsid w:val="00695C04"/>
    <w:rsid w:val="00696C72"/>
    <w:rsid w:val="00696EB4"/>
    <w:rsid w:val="006B53C1"/>
    <w:rsid w:val="006D7754"/>
    <w:rsid w:val="007215C7"/>
    <w:rsid w:val="007259EF"/>
    <w:rsid w:val="00737F11"/>
    <w:rsid w:val="0074343C"/>
    <w:rsid w:val="0075638D"/>
    <w:rsid w:val="007616BC"/>
    <w:rsid w:val="00770773"/>
    <w:rsid w:val="007A3F9D"/>
    <w:rsid w:val="007A75AF"/>
    <w:rsid w:val="007C4870"/>
    <w:rsid w:val="007E07C9"/>
    <w:rsid w:val="007F0B93"/>
    <w:rsid w:val="008110AC"/>
    <w:rsid w:val="008124FB"/>
    <w:rsid w:val="008264EB"/>
    <w:rsid w:val="0083655C"/>
    <w:rsid w:val="00840558"/>
    <w:rsid w:val="0085006A"/>
    <w:rsid w:val="00850C7F"/>
    <w:rsid w:val="0085345F"/>
    <w:rsid w:val="00860B49"/>
    <w:rsid w:val="00871617"/>
    <w:rsid w:val="008876FF"/>
    <w:rsid w:val="008E3A02"/>
    <w:rsid w:val="008E5109"/>
    <w:rsid w:val="00922875"/>
    <w:rsid w:val="00933B41"/>
    <w:rsid w:val="00933E06"/>
    <w:rsid w:val="00942EFF"/>
    <w:rsid w:val="009609FA"/>
    <w:rsid w:val="00961C12"/>
    <w:rsid w:val="0096791B"/>
    <w:rsid w:val="00974EA5"/>
    <w:rsid w:val="009850CD"/>
    <w:rsid w:val="009850F0"/>
    <w:rsid w:val="00992E0F"/>
    <w:rsid w:val="009973B0"/>
    <w:rsid w:val="009A26F1"/>
    <w:rsid w:val="009A6EB6"/>
    <w:rsid w:val="009B6EE1"/>
    <w:rsid w:val="009D18C1"/>
    <w:rsid w:val="009F1286"/>
    <w:rsid w:val="00A079BC"/>
    <w:rsid w:val="00A17792"/>
    <w:rsid w:val="00A20067"/>
    <w:rsid w:val="00A36D2B"/>
    <w:rsid w:val="00A5257E"/>
    <w:rsid w:val="00A52880"/>
    <w:rsid w:val="00A52A10"/>
    <w:rsid w:val="00A71C54"/>
    <w:rsid w:val="00A7317C"/>
    <w:rsid w:val="00A75A67"/>
    <w:rsid w:val="00A75F29"/>
    <w:rsid w:val="00AD247B"/>
    <w:rsid w:val="00AD29F4"/>
    <w:rsid w:val="00AE2115"/>
    <w:rsid w:val="00AE3D72"/>
    <w:rsid w:val="00B06E07"/>
    <w:rsid w:val="00B241F3"/>
    <w:rsid w:val="00B42851"/>
    <w:rsid w:val="00B64B21"/>
    <w:rsid w:val="00B674BA"/>
    <w:rsid w:val="00B95631"/>
    <w:rsid w:val="00BB4857"/>
    <w:rsid w:val="00BC2CF6"/>
    <w:rsid w:val="00BD4EBF"/>
    <w:rsid w:val="00BE3E53"/>
    <w:rsid w:val="00BF1ECD"/>
    <w:rsid w:val="00C07B6F"/>
    <w:rsid w:val="00C24B35"/>
    <w:rsid w:val="00C27322"/>
    <w:rsid w:val="00C44485"/>
    <w:rsid w:val="00C52D1A"/>
    <w:rsid w:val="00C739CE"/>
    <w:rsid w:val="00C83350"/>
    <w:rsid w:val="00CB5B1A"/>
    <w:rsid w:val="00CD27D2"/>
    <w:rsid w:val="00D052D4"/>
    <w:rsid w:val="00D10A63"/>
    <w:rsid w:val="00D32E10"/>
    <w:rsid w:val="00D374E0"/>
    <w:rsid w:val="00D37698"/>
    <w:rsid w:val="00D37A07"/>
    <w:rsid w:val="00D40A5C"/>
    <w:rsid w:val="00D719FF"/>
    <w:rsid w:val="00D8680F"/>
    <w:rsid w:val="00DB2578"/>
    <w:rsid w:val="00DB3175"/>
    <w:rsid w:val="00DB445E"/>
    <w:rsid w:val="00DD5003"/>
    <w:rsid w:val="00E101C4"/>
    <w:rsid w:val="00E200B8"/>
    <w:rsid w:val="00E26A86"/>
    <w:rsid w:val="00E73873"/>
    <w:rsid w:val="00E7457E"/>
    <w:rsid w:val="00EA6449"/>
    <w:rsid w:val="00EA6559"/>
    <w:rsid w:val="00ED6C83"/>
    <w:rsid w:val="00EE6FDC"/>
    <w:rsid w:val="00F057CD"/>
    <w:rsid w:val="00F05928"/>
    <w:rsid w:val="00F14461"/>
    <w:rsid w:val="00F31171"/>
    <w:rsid w:val="00F54A9B"/>
    <w:rsid w:val="00F72600"/>
    <w:rsid w:val="00FB26CA"/>
    <w:rsid w:val="00FD7ACA"/>
    <w:rsid w:val="00FE4EEC"/>
    <w:rsid w:val="00FF12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rsid w:val="00A079BC"/>
    <w:pPr>
      <w:spacing w:before="240"/>
    </w:pPr>
    <w:rPr>
      <w:szCs w:val="20"/>
      <w:lang w:val="en-AU" w:eastAsia="en-AU"/>
    </w:rPr>
  </w:style>
  <w:style w:type="paragraph" w:customStyle="1" w:styleId="Head1">
    <w:name w:val="Head 1"/>
    <w:aliases w:val="1"/>
    <w:basedOn w:val="Normal"/>
    <w:next w:val="Normal"/>
    <w:rsid w:val="00A079BC"/>
    <w:pPr>
      <w:keepNext/>
      <w:spacing w:before="240" w:after="60"/>
      <w:outlineLvl w:val="0"/>
    </w:pPr>
    <w:rPr>
      <w:rFonts w:ascii="Arial" w:hAnsi="Arial"/>
      <w:b/>
      <w:kern w:val="28"/>
      <w:sz w:val="36"/>
      <w:szCs w:val="20"/>
      <w:lang w:val="en-AU" w:eastAsia="en-AU"/>
    </w:rPr>
  </w:style>
  <w:style w:type="character" w:styleId="Hyperlink">
    <w:name w:val="Hyperlink"/>
    <w:uiPriority w:val="99"/>
    <w:unhideWhenUsed/>
    <w:rsid w:val="00A079BC"/>
    <w:rPr>
      <w:color w:val="0000FF"/>
      <w:u w:val="single"/>
    </w:rPr>
  </w:style>
  <w:style w:type="paragraph" w:styleId="Header">
    <w:name w:val="header"/>
    <w:basedOn w:val="Normal"/>
    <w:link w:val="HeaderChar"/>
    <w:rsid w:val="00FF1292"/>
    <w:pPr>
      <w:tabs>
        <w:tab w:val="center" w:pos="4513"/>
        <w:tab w:val="right" w:pos="9026"/>
      </w:tabs>
    </w:pPr>
  </w:style>
  <w:style w:type="character" w:customStyle="1" w:styleId="HeaderChar">
    <w:name w:val="Header Char"/>
    <w:basedOn w:val="DefaultParagraphFont"/>
    <w:link w:val="Header"/>
    <w:rsid w:val="00FF1292"/>
    <w:rPr>
      <w:sz w:val="24"/>
      <w:szCs w:val="24"/>
      <w:lang w:val="en-US" w:eastAsia="en-US"/>
    </w:rPr>
  </w:style>
  <w:style w:type="paragraph" w:styleId="Footer">
    <w:name w:val="footer"/>
    <w:basedOn w:val="Normal"/>
    <w:link w:val="FooterChar"/>
    <w:uiPriority w:val="99"/>
    <w:rsid w:val="00FF1292"/>
    <w:pPr>
      <w:tabs>
        <w:tab w:val="center" w:pos="4513"/>
        <w:tab w:val="right" w:pos="9026"/>
      </w:tabs>
    </w:pPr>
  </w:style>
  <w:style w:type="character" w:customStyle="1" w:styleId="FooterChar">
    <w:name w:val="Footer Char"/>
    <w:basedOn w:val="DefaultParagraphFont"/>
    <w:link w:val="Footer"/>
    <w:uiPriority w:val="99"/>
    <w:rsid w:val="00FF1292"/>
    <w:rPr>
      <w:sz w:val="24"/>
      <w:szCs w:val="24"/>
      <w:lang w:val="en-US" w:eastAsia="en-US"/>
    </w:rPr>
  </w:style>
  <w:style w:type="paragraph" w:styleId="ListParagraph">
    <w:name w:val="List Paragraph"/>
    <w:basedOn w:val="Normal"/>
    <w:uiPriority w:val="34"/>
    <w:qFormat/>
    <w:rsid w:val="0096791B"/>
    <w:pPr>
      <w:ind w:left="720"/>
      <w:contextualSpacing/>
    </w:pPr>
  </w:style>
  <w:style w:type="paragraph" w:styleId="NormalWeb">
    <w:name w:val="Normal (Web)"/>
    <w:basedOn w:val="Normal"/>
    <w:uiPriority w:val="99"/>
    <w:unhideWhenUsed/>
    <w:rsid w:val="0096791B"/>
    <w:pPr>
      <w:spacing w:before="100" w:beforeAutospacing="1" w:after="100" w:afterAutospacing="1"/>
    </w:pPr>
    <w:rPr>
      <w:lang w:val="en-AU" w:eastAsia="en-AU"/>
    </w:rPr>
  </w:style>
  <w:style w:type="character" w:styleId="CommentReference">
    <w:name w:val="annotation reference"/>
    <w:basedOn w:val="DefaultParagraphFont"/>
    <w:rsid w:val="00D37698"/>
    <w:rPr>
      <w:sz w:val="16"/>
      <w:szCs w:val="16"/>
    </w:rPr>
  </w:style>
  <w:style w:type="paragraph" w:styleId="CommentText">
    <w:name w:val="annotation text"/>
    <w:basedOn w:val="Normal"/>
    <w:link w:val="CommentTextChar"/>
    <w:rsid w:val="00D37698"/>
    <w:rPr>
      <w:sz w:val="20"/>
      <w:szCs w:val="20"/>
    </w:rPr>
  </w:style>
  <w:style w:type="character" w:customStyle="1" w:styleId="CommentTextChar">
    <w:name w:val="Comment Text Char"/>
    <w:basedOn w:val="DefaultParagraphFont"/>
    <w:link w:val="CommentText"/>
    <w:rsid w:val="00D37698"/>
    <w:rPr>
      <w:lang w:val="en-US" w:eastAsia="en-US"/>
    </w:rPr>
  </w:style>
  <w:style w:type="paragraph" w:styleId="CommentSubject">
    <w:name w:val="annotation subject"/>
    <w:basedOn w:val="CommentText"/>
    <w:next w:val="CommentText"/>
    <w:link w:val="CommentSubjectChar"/>
    <w:rsid w:val="00D37698"/>
    <w:rPr>
      <w:b/>
      <w:bCs/>
    </w:rPr>
  </w:style>
  <w:style w:type="character" w:customStyle="1" w:styleId="CommentSubjectChar">
    <w:name w:val="Comment Subject Char"/>
    <w:basedOn w:val="CommentTextChar"/>
    <w:link w:val="CommentSubject"/>
    <w:rsid w:val="00D37698"/>
    <w:rPr>
      <w:b/>
      <w:bCs/>
      <w:lang w:val="en-US" w:eastAsia="en-US"/>
    </w:rPr>
  </w:style>
  <w:style w:type="paragraph" w:styleId="BalloonText">
    <w:name w:val="Balloon Text"/>
    <w:basedOn w:val="Normal"/>
    <w:link w:val="BalloonTextChar"/>
    <w:rsid w:val="00D37698"/>
    <w:rPr>
      <w:rFonts w:ascii="Tahoma" w:hAnsi="Tahoma" w:cs="Tahoma"/>
      <w:sz w:val="16"/>
      <w:szCs w:val="16"/>
    </w:rPr>
  </w:style>
  <w:style w:type="character" w:customStyle="1" w:styleId="BalloonTextChar">
    <w:name w:val="Balloon Text Char"/>
    <w:basedOn w:val="DefaultParagraphFont"/>
    <w:link w:val="BalloonText"/>
    <w:rsid w:val="00D37698"/>
    <w:rPr>
      <w:rFonts w:ascii="Tahoma" w:hAnsi="Tahoma" w:cs="Tahoma"/>
      <w:sz w:val="16"/>
      <w:szCs w:val="16"/>
      <w:lang w:val="en-US" w:eastAsia="en-US"/>
    </w:rPr>
  </w:style>
  <w:style w:type="table" w:styleId="TableGrid">
    <w:name w:val="Table Grid"/>
    <w:basedOn w:val="TableNormal"/>
    <w:rsid w:val="009B6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E7457E"/>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
    <w:basedOn w:val="Normal"/>
    <w:rsid w:val="00A079BC"/>
    <w:pPr>
      <w:spacing w:before="240"/>
    </w:pPr>
    <w:rPr>
      <w:szCs w:val="20"/>
      <w:lang w:val="en-AU" w:eastAsia="en-AU"/>
    </w:rPr>
  </w:style>
  <w:style w:type="paragraph" w:customStyle="1" w:styleId="Head1">
    <w:name w:val="Head 1"/>
    <w:aliases w:val="1"/>
    <w:basedOn w:val="Normal"/>
    <w:next w:val="Normal"/>
    <w:rsid w:val="00A079BC"/>
    <w:pPr>
      <w:keepNext/>
      <w:spacing w:before="240" w:after="60"/>
      <w:outlineLvl w:val="0"/>
    </w:pPr>
    <w:rPr>
      <w:rFonts w:ascii="Arial" w:hAnsi="Arial"/>
      <w:b/>
      <w:kern w:val="28"/>
      <w:sz w:val="36"/>
      <w:szCs w:val="20"/>
      <w:lang w:val="en-AU" w:eastAsia="en-AU"/>
    </w:rPr>
  </w:style>
  <w:style w:type="character" w:styleId="Hyperlink">
    <w:name w:val="Hyperlink"/>
    <w:uiPriority w:val="99"/>
    <w:unhideWhenUsed/>
    <w:rsid w:val="00A079BC"/>
    <w:rPr>
      <w:color w:val="0000FF"/>
      <w:u w:val="single"/>
    </w:rPr>
  </w:style>
  <w:style w:type="paragraph" w:styleId="Header">
    <w:name w:val="header"/>
    <w:basedOn w:val="Normal"/>
    <w:link w:val="HeaderChar"/>
    <w:rsid w:val="00FF1292"/>
    <w:pPr>
      <w:tabs>
        <w:tab w:val="center" w:pos="4513"/>
        <w:tab w:val="right" w:pos="9026"/>
      </w:tabs>
    </w:pPr>
  </w:style>
  <w:style w:type="character" w:customStyle="1" w:styleId="HeaderChar">
    <w:name w:val="Header Char"/>
    <w:basedOn w:val="DefaultParagraphFont"/>
    <w:link w:val="Header"/>
    <w:rsid w:val="00FF1292"/>
    <w:rPr>
      <w:sz w:val="24"/>
      <w:szCs w:val="24"/>
      <w:lang w:val="en-US" w:eastAsia="en-US"/>
    </w:rPr>
  </w:style>
  <w:style w:type="paragraph" w:styleId="Footer">
    <w:name w:val="footer"/>
    <w:basedOn w:val="Normal"/>
    <w:link w:val="FooterChar"/>
    <w:uiPriority w:val="99"/>
    <w:rsid w:val="00FF1292"/>
    <w:pPr>
      <w:tabs>
        <w:tab w:val="center" w:pos="4513"/>
        <w:tab w:val="right" w:pos="9026"/>
      </w:tabs>
    </w:pPr>
  </w:style>
  <w:style w:type="character" w:customStyle="1" w:styleId="FooterChar">
    <w:name w:val="Footer Char"/>
    <w:basedOn w:val="DefaultParagraphFont"/>
    <w:link w:val="Footer"/>
    <w:uiPriority w:val="99"/>
    <w:rsid w:val="00FF1292"/>
    <w:rPr>
      <w:sz w:val="24"/>
      <w:szCs w:val="24"/>
      <w:lang w:val="en-US" w:eastAsia="en-US"/>
    </w:rPr>
  </w:style>
  <w:style w:type="paragraph" w:styleId="ListParagraph">
    <w:name w:val="List Paragraph"/>
    <w:basedOn w:val="Normal"/>
    <w:uiPriority w:val="34"/>
    <w:qFormat/>
    <w:rsid w:val="0096791B"/>
    <w:pPr>
      <w:ind w:left="720"/>
      <w:contextualSpacing/>
    </w:pPr>
  </w:style>
  <w:style w:type="paragraph" w:styleId="NormalWeb">
    <w:name w:val="Normal (Web)"/>
    <w:basedOn w:val="Normal"/>
    <w:uiPriority w:val="99"/>
    <w:unhideWhenUsed/>
    <w:rsid w:val="0096791B"/>
    <w:pPr>
      <w:spacing w:before="100" w:beforeAutospacing="1" w:after="100" w:afterAutospacing="1"/>
    </w:pPr>
    <w:rPr>
      <w:lang w:val="en-AU" w:eastAsia="en-AU"/>
    </w:rPr>
  </w:style>
  <w:style w:type="character" w:styleId="CommentReference">
    <w:name w:val="annotation reference"/>
    <w:basedOn w:val="DefaultParagraphFont"/>
    <w:rsid w:val="00D37698"/>
    <w:rPr>
      <w:sz w:val="16"/>
      <w:szCs w:val="16"/>
    </w:rPr>
  </w:style>
  <w:style w:type="paragraph" w:styleId="CommentText">
    <w:name w:val="annotation text"/>
    <w:basedOn w:val="Normal"/>
    <w:link w:val="CommentTextChar"/>
    <w:rsid w:val="00D37698"/>
    <w:rPr>
      <w:sz w:val="20"/>
      <w:szCs w:val="20"/>
    </w:rPr>
  </w:style>
  <w:style w:type="character" w:customStyle="1" w:styleId="CommentTextChar">
    <w:name w:val="Comment Text Char"/>
    <w:basedOn w:val="DefaultParagraphFont"/>
    <w:link w:val="CommentText"/>
    <w:rsid w:val="00D37698"/>
    <w:rPr>
      <w:lang w:val="en-US" w:eastAsia="en-US"/>
    </w:rPr>
  </w:style>
  <w:style w:type="paragraph" w:styleId="CommentSubject">
    <w:name w:val="annotation subject"/>
    <w:basedOn w:val="CommentText"/>
    <w:next w:val="CommentText"/>
    <w:link w:val="CommentSubjectChar"/>
    <w:rsid w:val="00D37698"/>
    <w:rPr>
      <w:b/>
      <w:bCs/>
    </w:rPr>
  </w:style>
  <w:style w:type="character" w:customStyle="1" w:styleId="CommentSubjectChar">
    <w:name w:val="Comment Subject Char"/>
    <w:basedOn w:val="CommentTextChar"/>
    <w:link w:val="CommentSubject"/>
    <w:rsid w:val="00D37698"/>
    <w:rPr>
      <w:b/>
      <w:bCs/>
      <w:lang w:val="en-US" w:eastAsia="en-US"/>
    </w:rPr>
  </w:style>
  <w:style w:type="paragraph" w:styleId="BalloonText">
    <w:name w:val="Balloon Text"/>
    <w:basedOn w:val="Normal"/>
    <w:link w:val="BalloonTextChar"/>
    <w:rsid w:val="00D37698"/>
    <w:rPr>
      <w:rFonts w:ascii="Tahoma" w:hAnsi="Tahoma" w:cs="Tahoma"/>
      <w:sz w:val="16"/>
      <w:szCs w:val="16"/>
    </w:rPr>
  </w:style>
  <w:style w:type="character" w:customStyle="1" w:styleId="BalloonTextChar">
    <w:name w:val="Balloon Text Char"/>
    <w:basedOn w:val="DefaultParagraphFont"/>
    <w:link w:val="BalloonText"/>
    <w:rsid w:val="00D37698"/>
    <w:rPr>
      <w:rFonts w:ascii="Tahoma" w:hAnsi="Tahoma" w:cs="Tahoma"/>
      <w:sz w:val="16"/>
      <w:szCs w:val="16"/>
      <w:lang w:val="en-US" w:eastAsia="en-US"/>
    </w:rPr>
  </w:style>
  <w:style w:type="table" w:styleId="TableGrid">
    <w:name w:val="Table Grid"/>
    <w:basedOn w:val="TableNormal"/>
    <w:rsid w:val="009B6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E7457E"/>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41166">
      <w:bodyDiv w:val="1"/>
      <w:marLeft w:val="0"/>
      <w:marRight w:val="0"/>
      <w:marTop w:val="0"/>
      <w:marBottom w:val="0"/>
      <w:divBdr>
        <w:top w:val="none" w:sz="0" w:space="0" w:color="auto"/>
        <w:left w:val="none" w:sz="0" w:space="0" w:color="auto"/>
        <w:bottom w:val="none" w:sz="0" w:space="0" w:color="auto"/>
        <w:right w:val="none" w:sz="0" w:space="0" w:color="auto"/>
      </w:divBdr>
      <w:divsChild>
        <w:div w:id="1887597932">
          <w:marLeft w:val="0"/>
          <w:marRight w:val="0"/>
          <w:marTop w:val="0"/>
          <w:marBottom w:val="0"/>
          <w:divBdr>
            <w:top w:val="none" w:sz="0" w:space="0" w:color="auto"/>
            <w:left w:val="none" w:sz="0" w:space="0" w:color="auto"/>
            <w:bottom w:val="none" w:sz="0" w:space="0" w:color="auto"/>
            <w:right w:val="none" w:sz="0" w:space="0" w:color="auto"/>
          </w:divBdr>
          <w:divsChild>
            <w:div w:id="1557743814">
              <w:marLeft w:val="0"/>
              <w:marRight w:val="0"/>
              <w:marTop w:val="0"/>
              <w:marBottom w:val="0"/>
              <w:divBdr>
                <w:top w:val="none" w:sz="0" w:space="0" w:color="auto"/>
                <w:left w:val="none" w:sz="0" w:space="0" w:color="auto"/>
                <w:bottom w:val="none" w:sz="0" w:space="0" w:color="auto"/>
                <w:right w:val="none" w:sz="0" w:space="0" w:color="auto"/>
              </w:divBdr>
              <w:divsChild>
                <w:div w:id="961108040">
                  <w:marLeft w:val="0"/>
                  <w:marRight w:val="0"/>
                  <w:marTop w:val="0"/>
                  <w:marBottom w:val="0"/>
                  <w:divBdr>
                    <w:top w:val="none" w:sz="0" w:space="0" w:color="auto"/>
                    <w:left w:val="none" w:sz="0" w:space="0" w:color="auto"/>
                    <w:bottom w:val="none" w:sz="0" w:space="0" w:color="auto"/>
                    <w:right w:val="none" w:sz="0" w:space="0" w:color="auto"/>
                  </w:divBdr>
                  <w:divsChild>
                    <w:div w:id="500853866">
                      <w:marLeft w:val="0"/>
                      <w:marRight w:val="0"/>
                      <w:marTop w:val="0"/>
                      <w:marBottom w:val="0"/>
                      <w:divBdr>
                        <w:top w:val="none" w:sz="0" w:space="0" w:color="auto"/>
                        <w:left w:val="none" w:sz="0" w:space="0" w:color="auto"/>
                        <w:bottom w:val="none" w:sz="0" w:space="0" w:color="auto"/>
                        <w:right w:val="none" w:sz="0" w:space="0" w:color="auto"/>
                      </w:divBdr>
                      <w:divsChild>
                        <w:div w:id="1357266655">
                          <w:marLeft w:val="0"/>
                          <w:marRight w:val="0"/>
                          <w:marTop w:val="0"/>
                          <w:marBottom w:val="0"/>
                          <w:divBdr>
                            <w:top w:val="single" w:sz="6" w:space="0" w:color="828282"/>
                            <w:left w:val="single" w:sz="6" w:space="0" w:color="828282"/>
                            <w:bottom w:val="single" w:sz="6" w:space="0" w:color="828282"/>
                            <w:right w:val="single" w:sz="6" w:space="0" w:color="828282"/>
                          </w:divBdr>
                          <w:divsChild>
                            <w:div w:id="531966090">
                              <w:marLeft w:val="0"/>
                              <w:marRight w:val="0"/>
                              <w:marTop w:val="0"/>
                              <w:marBottom w:val="0"/>
                              <w:divBdr>
                                <w:top w:val="none" w:sz="0" w:space="0" w:color="auto"/>
                                <w:left w:val="none" w:sz="0" w:space="0" w:color="auto"/>
                                <w:bottom w:val="none" w:sz="0" w:space="0" w:color="auto"/>
                                <w:right w:val="none" w:sz="0" w:space="0" w:color="auto"/>
                              </w:divBdr>
                              <w:divsChild>
                                <w:div w:id="230577636">
                                  <w:marLeft w:val="0"/>
                                  <w:marRight w:val="0"/>
                                  <w:marTop w:val="0"/>
                                  <w:marBottom w:val="0"/>
                                  <w:divBdr>
                                    <w:top w:val="none" w:sz="0" w:space="0" w:color="auto"/>
                                    <w:left w:val="none" w:sz="0" w:space="0" w:color="auto"/>
                                    <w:bottom w:val="none" w:sz="0" w:space="0" w:color="auto"/>
                                    <w:right w:val="none" w:sz="0" w:space="0" w:color="auto"/>
                                  </w:divBdr>
                                  <w:divsChild>
                                    <w:div w:id="42802208">
                                      <w:marLeft w:val="0"/>
                                      <w:marRight w:val="0"/>
                                      <w:marTop w:val="0"/>
                                      <w:marBottom w:val="0"/>
                                      <w:divBdr>
                                        <w:top w:val="none" w:sz="0" w:space="0" w:color="auto"/>
                                        <w:left w:val="none" w:sz="0" w:space="0" w:color="auto"/>
                                        <w:bottom w:val="none" w:sz="0" w:space="0" w:color="auto"/>
                                        <w:right w:val="none" w:sz="0" w:space="0" w:color="auto"/>
                                      </w:divBdr>
                                      <w:divsChild>
                                        <w:div w:id="1673029759">
                                          <w:marLeft w:val="0"/>
                                          <w:marRight w:val="0"/>
                                          <w:marTop w:val="0"/>
                                          <w:marBottom w:val="0"/>
                                          <w:divBdr>
                                            <w:top w:val="none" w:sz="0" w:space="0" w:color="auto"/>
                                            <w:left w:val="none" w:sz="0" w:space="0" w:color="auto"/>
                                            <w:bottom w:val="none" w:sz="0" w:space="0" w:color="auto"/>
                                            <w:right w:val="none" w:sz="0" w:space="0" w:color="auto"/>
                                          </w:divBdr>
                                          <w:divsChild>
                                            <w:div w:id="1769156787">
                                              <w:marLeft w:val="0"/>
                                              <w:marRight w:val="0"/>
                                              <w:marTop w:val="0"/>
                                              <w:marBottom w:val="0"/>
                                              <w:divBdr>
                                                <w:top w:val="none" w:sz="0" w:space="0" w:color="auto"/>
                                                <w:left w:val="none" w:sz="0" w:space="0" w:color="auto"/>
                                                <w:bottom w:val="none" w:sz="0" w:space="0" w:color="auto"/>
                                                <w:right w:val="none" w:sz="0" w:space="0" w:color="auto"/>
                                              </w:divBdr>
                                              <w:divsChild>
                                                <w:div w:id="909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6B02-08E5-49E2-9924-A1D18397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2347</Words>
  <Characters>12684</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Matthew</dc:creator>
  <cp:lastModifiedBy>Martin Yvette</cp:lastModifiedBy>
  <cp:revision>4</cp:revision>
  <cp:lastPrinted>2015-05-27T00:07:00Z</cp:lastPrinted>
  <dcterms:created xsi:type="dcterms:W3CDTF">2015-05-27T01:44:00Z</dcterms:created>
  <dcterms:modified xsi:type="dcterms:W3CDTF">2015-06-12T01:40:00Z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