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7C32B" w14:textId="77777777" w:rsidR="00DF600C" w:rsidRDefault="00DF600C" w:rsidP="00DF600C">
      <w:pPr>
        <w:pStyle w:val="Baseparagraphcentred"/>
      </w:pPr>
      <w:bookmarkStart w:id="0" w:name="_GoBack"/>
      <w:bookmarkEnd w:id="0"/>
      <w:r>
        <w:t>2013-2014-2015</w:t>
      </w:r>
    </w:p>
    <w:p w14:paraId="5EB71BB7" w14:textId="77777777" w:rsidR="00DF600C" w:rsidRDefault="00DF600C" w:rsidP="00DF600C">
      <w:pPr>
        <w:pStyle w:val="Baseparagraphcentred"/>
      </w:pPr>
    </w:p>
    <w:p w14:paraId="31AF262E" w14:textId="77777777" w:rsidR="00DF600C" w:rsidRDefault="00DF600C" w:rsidP="00DF600C">
      <w:pPr>
        <w:pStyle w:val="Baseparagraphcentred"/>
      </w:pPr>
      <w:r>
        <w:t>THE PARLIAMENT OF THE COMMONWEALTH OF AUSTRALIA</w:t>
      </w:r>
    </w:p>
    <w:p w14:paraId="27587F5D" w14:textId="77777777" w:rsidR="00DF600C" w:rsidRDefault="00DF600C" w:rsidP="00DF600C">
      <w:pPr>
        <w:pStyle w:val="Baseparagraphcentred"/>
      </w:pPr>
    </w:p>
    <w:p w14:paraId="091AE5A9" w14:textId="77777777" w:rsidR="00DF600C" w:rsidRDefault="00DF600C" w:rsidP="00DF600C">
      <w:pPr>
        <w:pStyle w:val="Baseparagraphcentred"/>
      </w:pPr>
    </w:p>
    <w:p w14:paraId="67E933D2" w14:textId="77777777" w:rsidR="00DF600C" w:rsidRDefault="00DF600C" w:rsidP="00DF600C">
      <w:pPr>
        <w:pStyle w:val="Baseparagraphcentred"/>
      </w:pPr>
    </w:p>
    <w:p w14:paraId="7875FEAA" w14:textId="77777777" w:rsidR="00DF600C" w:rsidRDefault="00DF600C" w:rsidP="00DF600C">
      <w:pPr>
        <w:pStyle w:val="Baseparagraphcentred"/>
      </w:pPr>
      <w:r>
        <w:t>HOUSE OF REPRESENTATIVES</w:t>
      </w:r>
    </w:p>
    <w:p w14:paraId="61B7B7DE" w14:textId="77777777" w:rsidR="00DF600C" w:rsidRDefault="00DF600C" w:rsidP="00DF600C">
      <w:pPr>
        <w:pStyle w:val="Baseparagraphcentred"/>
      </w:pPr>
    </w:p>
    <w:p w14:paraId="6015A014" w14:textId="77777777" w:rsidR="00DF600C" w:rsidRDefault="00DF600C" w:rsidP="00DF600C">
      <w:pPr>
        <w:pStyle w:val="Baseparagraphcentred"/>
      </w:pPr>
    </w:p>
    <w:p w14:paraId="38AB16B4" w14:textId="77777777" w:rsidR="00DF600C" w:rsidRDefault="00DF600C" w:rsidP="00DF600C">
      <w:pPr>
        <w:pStyle w:val="Baseparagraphcentred"/>
      </w:pPr>
    </w:p>
    <w:p w14:paraId="1692BF66" w14:textId="77777777" w:rsidR="00DF600C" w:rsidRDefault="00DF600C" w:rsidP="00DF600C">
      <w:pPr>
        <w:pStyle w:val="BillName"/>
        <w:spacing w:after="0"/>
        <w:rPr>
          <w:szCs w:val="22"/>
          <w:lang w:val="en"/>
        </w:rPr>
      </w:pPr>
      <w:r w:rsidRPr="00687EFC">
        <w:t>Excise Tariff Amendment (</w:t>
      </w:r>
      <w:r>
        <w:t>Fuel Indexation</w:t>
      </w:r>
      <w:r w:rsidRPr="00687EFC">
        <w:t>) Bill 201</w:t>
      </w:r>
      <w:r>
        <w:t>5</w:t>
      </w:r>
      <w:r>
        <w:br/>
        <w:t>Customs Tariff Amendment (Fuel Indexation) Bill 2015</w:t>
      </w:r>
      <w:r>
        <w:br/>
      </w:r>
      <w:r>
        <w:rPr>
          <w:szCs w:val="22"/>
          <w:lang w:val="en"/>
        </w:rPr>
        <w:t>fuel indexation (road funding) Special Account bill 2015</w:t>
      </w:r>
    </w:p>
    <w:p w14:paraId="16C574E3" w14:textId="77777777" w:rsidR="00DF600C" w:rsidRDefault="00DF600C" w:rsidP="00DF600C">
      <w:pPr>
        <w:pStyle w:val="BillName"/>
        <w:spacing w:before="0"/>
      </w:pPr>
      <w:r>
        <w:rPr>
          <w:szCs w:val="22"/>
          <w:lang w:val="en"/>
        </w:rPr>
        <w:t>Fuel Indexation (Road Funding) Bill 2015</w:t>
      </w:r>
    </w:p>
    <w:p w14:paraId="3021F139" w14:textId="77777777" w:rsidR="00DF600C" w:rsidRPr="007F464A" w:rsidRDefault="00DF600C" w:rsidP="00DF600C">
      <w:pPr>
        <w:pStyle w:val="Baseparagraphcentred"/>
      </w:pPr>
    </w:p>
    <w:p w14:paraId="212FD97F" w14:textId="77777777" w:rsidR="00DF600C" w:rsidRDefault="00DF600C" w:rsidP="00DF600C">
      <w:pPr>
        <w:pStyle w:val="Baseparagraphcentred"/>
      </w:pPr>
    </w:p>
    <w:p w14:paraId="43B7A30B" w14:textId="77777777" w:rsidR="00DF600C" w:rsidRDefault="00DF600C" w:rsidP="00DF600C">
      <w:pPr>
        <w:pStyle w:val="Baseparagraphcentred"/>
      </w:pPr>
    </w:p>
    <w:p w14:paraId="76F6C8E4" w14:textId="77777777" w:rsidR="00DF600C" w:rsidRDefault="00DF600C" w:rsidP="00DF600C">
      <w:pPr>
        <w:pStyle w:val="Baseparagraphcentred"/>
      </w:pPr>
      <w:r>
        <w:t>EXPLANATORY MEMORANDUM</w:t>
      </w:r>
    </w:p>
    <w:p w14:paraId="7485C23E" w14:textId="77777777" w:rsidR="00DF600C" w:rsidRDefault="00DF600C" w:rsidP="00DF600C">
      <w:pPr>
        <w:pStyle w:val="Baseparagraphcentred"/>
      </w:pPr>
    </w:p>
    <w:p w14:paraId="4A79C89F" w14:textId="77777777" w:rsidR="00DF600C" w:rsidRDefault="00DF600C" w:rsidP="00DF600C">
      <w:pPr>
        <w:pStyle w:val="Baseparagraphcentred"/>
      </w:pPr>
    </w:p>
    <w:p w14:paraId="3D125E98" w14:textId="77777777" w:rsidR="00DF600C" w:rsidRDefault="00DF600C" w:rsidP="00DF600C">
      <w:pPr>
        <w:pStyle w:val="Baseparagraphcentred"/>
      </w:pPr>
    </w:p>
    <w:p w14:paraId="04C3B71A" w14:textId="77777777" w:rsidR="00DF600C" w:rsidRDefault="00DF600C" w:rsidP="00DF600C">
      <w:pPr>
        <w:pStyle w:val="Baseparagraphcentred"/>
      </w:pPr>
    </w:p>
    <w:p w14:paraId="635417AA" w14:textId="77777777" w:rsidR="00DF600C" w:rsidRDefault="00DF600C" w:rsidP="00DF600C">
      <w:pPr>
        <w:jc w:val="center"/>
        <w:rPr>
          <w:szCs w:val="22"/>
        </w:rPr>
      </w:pPr>
      <w:r w:rsidRPr="00EC3261">
        <w:t>(Circulated by the authority of the Treasurer, the Hon J</w:t>
      </w:r>
      <w:r>
        <w:t xml:space="preserve">. </w:t>
      </w:r>
      <w:r w:rsidRPr="00EC3261">
        <w:t>B</w:t>
      </w:r>
      <w:r>
        <w:t xml:space="preserve">. </w:t>
      </w:r>
      <w:r w:rsidRPr="00EC3261">
        <w:t xml:space="preserve">Hockey MP and </w:t>
      </w:r>
      <w:r w:rsidRPr="00EC3261">
        <w:rPr>
          <w:szCs w:val="22"/>
        </w:rPr>
        <w:t xml:space="preserve">the Minister for Immigration and Border Protection, the Hon </w:t>
      </w:r>
      <w:r>
        <w:rPr>
          <w:szCs w:val="22"/>
        </w:rPr>
        <w:t>Peter Dutton</w:t>
      </w:r>
      <w:r w:rsidRPr="00EC3261">
        <w:rPr>
          <w:szCs w:val="22"/>
        </w:rPr>
        <w:t xml:space="preserve"> MP)</w:t>
      </w:r>
    </w:p>
    <w:p w14:paraId="2C1CCFF1" w14:textId="77777777" w:rsidR="00DF600C" w:rsidRDefault="00DF600C" w:rsidP="00DF600C">
      <w:pPr>
        <w:jc w:val="center"/>
      </w:pPr>
    </w:p>
    <w:p w14:paraId="62554782" w14:textId="77777777" w:rsidR="00DF600C" w:rsidRDefault="00DF600C" w:rsidP="00DF600C">
      <w:pPr>
        <w:sectPr w:rsidR="00DF600C" w:rsidSect="00842856">
          <w:headerReference w:type="even" r:id="rId13"/>
          <w:headerReference w:type="default" r:id="rId14"/>
          <w:footerReference w:type="even" r:id="rId15"/>
          <w:footerReference w:type="default" r:id="rId16"/>
          <w:headerReference w:type="first" r:id="rId17"/>
          <w:type w:val="oddPage"/>
          <w:pgSz w:w="11906" w:h="16838" w:code="9"/>
          <w:pgMar w:top="2466" w:right="2098" w:bottom="2466" w:left="2098" w:header="1559" w:footer="1899" w:gutter="0"/>
          <w:cols w:space="708"/>
          <w:titlePg/>
          <w:docGrid w:linePitch="360"/>
        </w:sectPr>
      </w:pPr>
    </w:p>
    <w:p w14:paraId="7CA5344B" w14:textId="77777777" w:rsidR="00DF600C" w:rsidRPr="003E0794" w:rsidRDefault="00DF600C" w:rsidP="00DF600C">
      <w:pPr>
        <w:pStyle w:val="TOCHeading"/>
      </w:pPr>
      <w:r w:rsidRPr="003E0794">
        <w:lastRenderedPageBreak/>
        <w:t>Table of contents</w:t>
      </w:r>
    </w:p>
    <w:p w14:paraId="68D41AED" w14:textId="77777777" w:rsidR="009844AA" w:rsidRDefault="00DF600C">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9844AA">
        <w:t>Glossary</w:t>
      </w:r>
      <w:r w:rsidR="009844AA">
        <w:tab/>
      </w:r>
      <w:r w:rsidR="009844AA">
        <w:fldChar w:fldCharType="begin"/>
      </w:r>
      <w:r w:rsidR="009844AA">
        <w:instrText xml:space="preserve"> PAGEREF _Toc422820732 \h </w:instrText>
      </w:r>
      <w:r w:rsidR="009844AA">
        <w:fldChar w:fldCharType="separate"/>
      </w:r>
      <w:r w:rsidR="000061A6">
        <w:t>1</w:t>
      </w:r>
      <w:r w:rsidR="009844AA">
        <w:fldChar w:fldCharType="end"/>
      </w:r>
    </w:p>
    <w:p w14:paraId="2C19F5B4" w14:textId="77777777" w:rsidR="009844AA" w:rsidRDefault="009844AA">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_Toc422820733 \h </w:instrText>
      </w:r>
      <w:r>
        <w:fldChar w:fldCharType="separate"/>
      </w:r>
      <w:r w:rsidR="000061A6">
        <w:t>3</w:t>
      </w:r>
      <w:r>
        <w:fldChar w:fldCharType="end"/>
      </w:r>
    </w:p>
    <w:p w14:paraId="7AF3BAAD" w14:textId="77777777" w:rsidR="009844AA" w:rsidRDefault="009844A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CPI indexation of fuel excise and excise</w:t>
      </w:r>
      <w:r>
        <w:rPr>
          <w:noProof/>
        </w:rPr>
        <w:noBreakHyphen/>
        <w:t>equivalent customs duty</w:t>
      </w:r>
      <w:r>
        <w:rPr>
          <w:noProof/>
        </w:rPr>
        <w:tab/>
      </w:r>
      <w:r>
        <w:rPr>
          <w:noProof/>
        </w:rPr>
        <w:fldChar w:fldCharType="begin"/>
      </w:r>
      <w:r>
        <w:rPr>
          <w:noProof/>
        </w:rPr>
        <w:instrText xml:space="preserve"> PAGEREF _Toc422820734 \h </w:instrText>
      </w:r>
      <w:r>
        <w:rPr>
          <w:noProof/>
        </w:rPr>
      </w:r>
      <w:r>
        <w:rPr>
          <w:noProof/>
        </w:rPr>
        <w:fldChar w:fldCharType="separate"/>
      </w:r>
      <w:r w:rsidR="000061A6">
        <w:rPr>
          <w:noProof/>
        </w:rPr>
        <w:t>7</w:t>
      </w:r>
      <w:r>
        <w:rPr>
          <w:noProof/>
        </w:rPr>
        <w:fldChar w:fldCharType="end"/>
      </w:r>
    </w:p>
    <w:p w14:paraId="734D7934" w14:textId="77777777" w:rsidR="009844AA" w:rsidRDefault="009844AA">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Regulation impact statement: CPI indexation of fuel excise and excise</w:t>
      </w:r>
      <w:r>
        <w:rPr>
          <w:noProof/>
        </w:rPr>
        <w:noBreakHyphen/>
        <w:t>equivalent customs duty</w:t>
      </w:r>
      <w:r>
        <w:rPr>
          <w:noProof/>
        </w:rPr>
        <w:tab/>
      </w:r>
      <w:r>
        <w:rPr>
          <w:noProof/>
        </w:rPr>
        <w:fldChar w:fldCharType="begin"/>
      </w:r>
      <w:r>
        <w:rPr>
          <w:noProof/>
        </w:rPr>
        <w:instrText xml:space="preserve"> PAGEREF _Toc422820735 \h </w:instrText>
      </w:r>
      <w:r>
        <w:rPr>
          <w:noProof/>
        </w:rPr>
      </w:r>
      <w:r>
        <w:rPr>
          <w:noProof/>
        </w:rPr>
        <w:fldChar w:fldCharType="separate"/>
      </w:r>
      <w:r w:rsidR="000061A6">
        <w:rPr>
          <w:noProof/>
        </w:rPr>
        <w:t>31</w:t>
      </w:r>
      <w:r>
        <w:rPr>
          <w:noProof/>
        </w:rPr>
        <w:fldChar w:fldCharType="end"/>
      </w:r>
    </w:p>
    <w:p w14:paraId="7E2FB18E" w14:textId="77777777" w:rsidR="009844AA" w:rsidRDefault="009844AA">
      <w:pPr>
        <w:pStyle w:val="TOC2"/>
        <w:rPr>
          <w:rFonts w:asciiTheme="minorHAnsi" w:eastAsiaTheme="minorEastAsia" w:hAnsiTheme="minorHAnsi" w:cstheme="minorBidi"/>
          <w:sz w:val="22"/>
          <w:szCs w:val="22"/>
        </w:rPr>
      </w:pPr>
      <w:r>
        <w:t>Index</w:t>
      </w:r>
      <w:r>
        <w:tab/>
      </w:r>
      <w:r>
        <w:fldChar w:fldCharType="begin"/>
      </w:r>
      <w:r>
        <w:instrText xml:space="preserve"> PAGEREF _Toc422820736 \h </w:instrText>
      </w:r>
      <w:r>
        <w:fldChar w:fldCharType="separate"/>
      </w:r>
      <w:r w:rsidR="000061A6">
        <w:t>41</w:t>
      </w:r>
      <w:r>
        <w:fldChar w:fldCharType="end"/>
      </w:r>
    </w:p>
    <w:p w14:paraId="06BB838F" w14:textId="77777777" w:rsidR="00DF600C" w:rsidRDefault="00DF600C" w:rsidP="00DF600C">
      <w:pPr>
        <w:pStyle w:val="base-text-paragraphnonumbers"/>
      </w:pPr>
      <w:r>
        <w:rPr>
          <w:b/>
          <w:bCs/>
          <w:noProof/>
          <w:lang w:val="en-US"/>
        </w:rPr>
        <w:fldChar w:fldCharType="end"/>
      </w:r>
    </w:p>
    <w:p w14:paraId="3F9EA2AE" w14:textId="77777777" w:rsidR="00DF600C" w:rsidRDefault="00DF600C" w:rsidP="00DF600C">
      <w:pPr>
        <w:pStyle w:val="base-text-paragraphnonumbers"/>
        <w:sectPr w:rsidR="00DF600C" w:rsidSect="00842856">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66" w:right="2098" w:bottom="2466" w:left="2098" w:header="1559" w:footer="1899" w:gutter="0"/>
          <w:cols w:space="708"/>
          <w:titlePg/>
          <w:docGrid w:linePitch="360"/>
        </w:sectPr>
      </w:pPr>
    </w:p>
    <w:p w14:paraId="43D3B717" w14:textId="77777777" w:rsidR="00DF600C" w:rsidRPr="00D67ADC" w:rsidRDefault="00DF600C" w:rsidP="00DF600C">
      <w:pPr>
        <w:pStyle w:val="Chapterheadingsubdocument"/>
      </w:pPr>
      <w:bookmarkStart w:id="1" w:name="_Toc416339976"/>
      <w:bookmarkStart w:id="2" w:name="_Toc420051475"/>
      <w:bookmarkStart w:id="3" w:name="_Toc420060829"/>
      <w:bookmarkStart w:id="4" w:name="_Toc422409200"/>
      <w:bookmarkStart w:id="5" w:name="_Toc422820732"/>
      <w:r w:rsidRPr="00D67ADC">
        <w:lastRenderedPageBreak/>
        <w:t>Glossary</w:t>
      </w:r>
      <w:bookmarkEnd w:id="1"/>
      <w:bookmarkEnd w:id="2"/>
      <w:bookmarkEnd w:id="3"/>
      <w:bookmarkEnd w:id="4"/>
      <w:bookmarkEnd w:id="5"/>
    </w:p>
    <w:p w14:paraId="2C23CAF1" w14:textId="77777777" w:rsidR="00DF600C" w:rsidRDefault="00DF600C" w:rsidP="00DF600C">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DF600C" w:rsidRPr="00123D96" w14:paraId="519CD9CA" w14:textId="77777777" w:rsidTr="008A145B">
        <w:tc>
          <w:tcPr>
            <w:tcW w:w="2721" w:type="dxa"/>
          </w:tcPr>
          <w:p w14:paraId="742D545E" w14:textId="77777777" w:rsidR="00DF600C" w:rsidRPr="00123D96" w:rsidRDefault="00DF600C" w:rsidP="008A145B">
            <w:pPr>
              <w:pStyle w:val="tableheaderwithintable"/>
            </w:pPr>
            <w:r w:rsidRPr="00123D96">
              <w:t>Abbreviation</w:t>
            </w:r>
          </w:p>
        </w:tc>
        <w:tc>
          <w:tcPr>
            <w:tcW w:w="3885" w:type="dxa"/>
          </w:tcPr>
          <w:p w14:paraId="0A0A8BAB" w14:textId="77777777" w:rsidR="00DF600C" w:rsidRPr="00123D96" w:rsidRDefault="00DF600C" w:rsidP="008A145B">
            <w:pPr>
              <w:pStyle w:val="tableheaderwithintable"/>
            </w:pPr>
            <w:r w:rsidRPr="00123D96">
              <w:t>Definition</w:t>
            </w:r>
          </w:p>
        </w:tc>
      </w:tr>
      <w:tr w:rsidR="00DF600C" w:rsidRPr="002C43E8" w14:paraId="6F7DF40D" w14:textId="77777777" w:rsidTr="008A145B">
        <w:tc>
          <w:tcPr>
            <w:tcW w:w="2721" w:type="dxa"/>
          </w:tcPr>
          <w:p w14:paraId="095BFCD8" w14:textId="77777777" w:rsidR="00DF600C" w:rsidRDefault="00DF600C" w:rsidP="008A145B">
            <w:pPr>
              <w:pStyle w:val="Glossarytabletext"/>
              <w:rPr>
                <w:lang w:val="en-US" w:eastAsia="en-US"/>
              </w:rPr>
            </w:pPr>
            <w:proofErr w:type="spellStart"/>
            <w:r>
              <w:rPr>
                <w:lang w:val="en-US" w:eastAsia="en-US"/>
              </w:rPr>
              <w:t>ACCC</w:t>
            </w:r>
            <w:proofErr w:type="spellEnd"/>
          </w:p>
        </w:tc>
        <w:tc>
          <w:tcPr>
            <w:tcW w:w="3885" w:type="dxa"/>
          </w:tcPr>
          <w:p w14:paraId="28FF9182" w14:textId="77777777" w:rsidR="00DF600C" w:rsidRDefault="00DF600C" w:rsidP="008A145B">
            <w:pPr>
              <w:pStyle w:val="Glossarytabletext"/>
              <w:rPr>
                <w:lang w:val="en-US" w:eastAsia="en-US"/>
              </w:rPr>
            </w:pPr>
            <w:r>
              <w:rPr>
                <w:lang w:val="en-US" w:eastAsia="en-US"/>
              </w:rPr>
              <w:t xml:space="preserve">Australian Competition and Consumer Commission </w:t>
            </w:r>
          </w:p>
        </w:tc>
      </w:tr>
      <w:tr w:rsidR="00DF600C" w:rsidRPr="002C43E8" w14:paraId="0C87D7E4" w14:textId="77777777" w:rsidTr="008A145B">
        <w:tc>
          <w:tcPr>
            <w:tcW w:w="2721" w:type="dxa"/>
          </w:tcPr>
          <w:p w14:paraId="4E089008" w14:textId="77777777" w:rsidR="00DF600C" w:rsidRDefault="00DF600C" w:rsidP="008A145B">
            <w:pPr>
              <w:pStyle w:val="Glossarytabletext"/>
              <w:rPr>
                <w:lang w:val="en-US" w:eastAsia="en-US"/>
              </w:rPr>
            </w:pPr>
            <w:proofErr w:type="spellStart"/>
            <w:r>
              <w:rPr>
                <w:lang w:val="en-US" w:eastAsia="en-US"/>
              </w:rPr>
              <w:t>ATO</w:t>
            </w:r>
            <w:proofErr w:type="spellEnd"/>
          </w:p>
        </w:tc>
        <w:tc>
          <w:tcPr>
            <w:tcW w:w="3885" w:type="dxa"/>
          </w:tcPr>
          <w:p w14:paraId="398A5FBE" w14:textId="77777777" w:rsidR="00DF600C" w:rsidRDefault="00DF600C" w:rsidP="008A145B">
            <w:pPr>
              <w:pStyle w:val="Glossarytabletext"/>
              <w:rPr>
                <w:lang w:val="en-US" w:eastAsia="en-US"/>
              </w:rPr>
            </w:pPr>
            <w:r>
              <w:rPr>
                <w:lang w:val="en-US" w:eastAsia="en-US"/>
              </w:rPr>
              <w:t>Australian Taxation Office</w:t>
            </w:r>
          </w:p>
        </w:tc>
      </w:tr>
      <w:tr w:rsidR="00DF600C" w:rsidRPr="002C43E8" w14:paraId="2E1C8665" w14:textId="77777777" w:rsidTr="008A145B">
        <w:tc>
          <w:tcPr>
            <w:tcW w:w="2721" w:type="dxa"/>
          </w:tcPr>
          <w:p w14:paraId="5271ED77" w14:textId="77777777" w:rsidR="00DF600C" w:rsidRDefault="00DF600C" w:rsidP="008A145B">
            <w:pPr>
              <w:pStyle w:val="Glossarytabletext"/>
              <w:rPr>
                <w:lang w:val="en-US" w:eastAsia="en-US"/>
              </w:rPr>
            </w:pPr>
            <w:proofErr w:type="spellStart"/>
            <w:r>
              <w:rPr>
                <w:lang w:val="en-US" w:eastAsia="en-US"/>
              </w:rPr>
              <w:t>AWOTE</w:t>
            </w:r>
            <w:proofErr w:type="spellEnd"/>
          </w:p>
        </w:tc>
        <w:tc>
          <w:tcPr>
            <w:tcW w:w="3885" w:type="dxa"/>
          </w:tcPr>
          <w:p w14:paraId="77AFCB70" w14:textId="77777777" w:rsidR="00DF600C" w:rsidRDefault="00DF600C" w:rsidP="008A145B">
            <w:pPr>
              <w:pStyle w:val="Glossarytabletext"/>
              <w:rPr>
                <w:lang w:val="en-US" w:eastAsia="en-US"/>
              </w:rPr>
            </w:pPr>
            <w:r>
              <w:rPr>
                <w:lang w:val="en-US" w:eastAsia="en-US"/>
              </w:rPr>
              <w:t>Average Weekly Ordinary Time Earnings</w:t>
            </w:r>
          </w:p>
        </w:tc>
      </w:tr>
      <w:tr w:rsidR="009B49CE" w:rsidRPr="002C43E8" w14:paraId="642228E3" w14:textId="77777777" w:rsidTr="008A145B">
        <w:tc>
          <w:tcPr>
            <w:tcW w:w="2721" w:type="dxa"/>
          </w:tcPr>
          <w:p w14:paraId="175C8A2A" w14:textId="77777777" w:rsidR="009B49CE" w:rsidRDefault="009B49CE" w:rsidP="008A145B">
            <w:pPr>
              <w:pStyle w:val="Glossarytabletext"/>
              <w:rPr>
                <w:lang w:val="en-US" w:eastAsia="en-US"/>
              </w:rPr>
            </w:pPr>
            <w:proofErr w:type="spellStart"/>
            <w:r>
              <w:rPr>
                <w:lang w:val="en-US" w:eastAsia="en-US"/>
              </w:rPr>
              <w:t>CNG</w:t>
            </w:r>
            <w:proofErr w:type="spellEnd"/>
          </w:p>
        </w:tc>
        <w:tc>
          <w:tcPr>
            <w:tcW w:w="3885" w:type="dxa"/>
          </w:tcPr>
          <w:p w14:paraId="542D2CF2" w14:textId="77777777" w:rsidR="009B49CE" w:rsidRDefault="00097063" w:rsidP="008A145B">
            <w:pPr>
              <w:pStyle w:val="Glossarytabletext"/>
              <w:rPr>
                <w:lang w:val="en-US" w:eastAsia="en-US"/>
              </w:rPr>
            </w:pPr>
            <w:r>
              <w:rPr>
                <w:lang w:val="en-US" w:eastAsia="en-US"/>
              </w:rPr>
              <w:t>C</w:t>
            </w:r>
            <w:r w:rsidR="009B49CE">
              <w:rPr>
                <w:lang w:val="en-US" w:eastAsia="en-US"/>
              </w:rPr>
              <w:t>ompressed natural gas</w:t>
            </w:r>
          </w:p>
        </w:tc>
      </w:tr>
      <w:tr w:rsidR="00DF600C" w:rsidRPr="002C43E8" w14:paraId="4F40CD54" w14:textId="77777777" w:rsidTr="008A145B">
        <w:tc>
          <w:tcPr>
            <w:tcW w:w="2721" w:type="dxa"/>
          </w:tcPr>
          <w:p w14:paraId="0D8778AA" w14:textId="77777777" w:rsidR="00DF600C" w:rsidRDefault="00DF600C" w:rsidP="008A145B">
            <w:pPr>
              <w:pStyle w:val="Glossarytabletext"/>
              <w:rPr>
                <w:lang w:val="en-US" w:eastAsia="en-US"/>
              </w:rPr>
            </w:pPr>
            <w:proofErr w:type="spellStart"/>
            <w:r>
              <w:rPr>
                <w:lang w:val="en-US" w:eastAsia="en-US"/>
              </w:rPr>
              <w:t>COAG</w:t>
            </w:r>
            <w:proofErr w:type="spellEnd"/>
          </w:p>
        </w:tc>
        <w:tc>
          <w:tcPr>
            <w:tcW w:w="3885" w:type="dxa"/>
          </w:tcPr>
          <w:p w14:paraId="212CD053" w14:textId="77777777" w:rsidR="00DF600C" w:rsidRDefault="00DF600C" w:rsidP="008A145B">
            <w:pPr>
              <w:pStyle w:val="Glossarytabletext"/>
              <w:rPr>
                <w:lang w:val="en-US" w:eastAsia="en-US"/>
              </w:rPr>
            </w:pPr>
            <w:r>
              <w:rPr>
                <w:lang w:val="en-US" w:eastAsia="en-US"/>
              </w:rPr>
              <w:t>Council of Australian Governments</w:t>
            </w:r>
          </w:p>
        </w:tc>
      </w:tr>
      <w:tr w:rsidR="00DF600C" w:rsidRPr="002C43E8" w14:paraId="73B8FB4A" w14:textId="77777777" w:rsidTr="008A145B">
        <w:tc>
          <w:tcPr>
            <w:tcW w:w="2721" w:type="dxa"/>
          </w:tcPr>
          <w:p w14:paraId="0411ECCE" w14:textId="77777777" w:rsidR="00DF600C" w:rsidRPr="002C43E8" w:rsidRDefault="00DF600C" w:rsidP="008A145B">
            <w:pPr>
              <w:pStyle w:val="Glossarytabletext"/>
              <w:rPr>
                <w:lang w:val="en-US" w:eastAsia="en-US"/>
              </w:rPr>
            </w:pPr>
            <w:r>
              <w:rPr>
                <w:lang w:val="en-US" w:eastAsia="en-US"/>
              </w:rPr>
              <w:t>CPI</w:t>
            </w:r>
          </w:p>
        </w:tc>
        <w:tc>
          <w:tcPr>
            <w:tcW w:w="3885" w:type="dxa"/>
          </w:tcPr>
          <w:p w14:paraId="3EB653C8" w14:textId="77777777" w:rsidR="00DF600C" w:rsidRPr="002C43E8" w:rsidRDefault="00DF600C" w:rsidP="008A145B">
            <w:pPr>
              <w:pStyle w:val="Glossarytabletext"/>
              <w:rPr>
                <w:lang w:val="en-US" w:eastAsia="en-US"/>
              </w:rPr>
            </w:pPr>
            <w:r>
              <w:rPr>
                <w:lang w:val="en-US" w:eastAsia="en-US"/>
              </w:rPr>
              <w:t>Consumer Price Index</w:t>
            </w:r>
          </w:p>
        </w:tc>
      </w:tr>
      <w:tr w:rsidR="00DF600C" w:rsidRPr="002C43E8" w14:paraId="0289D7F3" w14:textId="77777777" w:rsidTr="008A145B">
        <w:tc>
          <w:tcPr>
            <w:tcW w:w="2721" w:type="dxa"/>
          </w:tcPr>
          <w:p w14:paraId="1A8D4BB5" w14:textId="77777777" w:rsidR="00DF600C" w:rsidRDefault="00DF600C" w:rsidP="008A145B">
            <w:pPr>
              <w:pStyle w:val="Glossarytabletext"/>
              <w:rPr>
                <w:lang w:val="en-US" w:eastAsia="en-US"/>
              </w:rPr>
            </w:pPr>
            <w:r>
              <w:rPr>
                <w:lang w:val="en-US" w:eastAsia="en-US"/>
              </w:rPr>
              <w:t>Customs Fuel Indexation Bill</w:t>
            </w:r>
            <w:r w:rsidR="00020871">
              <w:rPr>
                <w:lang w:val="en-US" w:eastAsia="en-US"/>
              </w:rPr>
              <w:t> </w:t>
            </w:r>
            <w:r>
              <w:rPr>
                <w:lang w:val="en-US" w:eastAsia="en-US"/>
              </w:rPr>
              <w:t>2015</w:t>
            </w:r>
          </w:p>
        </w:tc>
        <w:tc>
          <w:tcPr>
            <w:tcW w:w="3885" w:type="dxa"/>
          </w:tcPr>
          <w:p w14:paraId="399E21F7" w14:textId="77777777" w:rsidR="00DF600C" w:rsidRPr="00D67CBB" w:rsidRDefault="00DF600C" w:rsidP="008A145B">
            <w:pPr>
              <w:pStyle w:val="Glossarytabletext"/>
              <w:rPr>
                <w:lang w:val="en"/>
              </w:rPr>
            </w:pPr>
            <w:r w:rsidRPr="00D67CBB">
              <w:rPr>
                <w:lang w:val="en"/>
              </w:rPr>
              <w:t>Customs Tariff Amendment (Fuel Indexation) Bill 201</w:t>
            </w:r>
            <w:r>
              <w:rPr>
                <w:lang w:val="en"/>
              </w:rPr>
              <w:t>5</w:t>
            </w:r>
          </w:p>
        </w:tc>
      </w:tr>
      <w:tr w:rsidR="00DF600C" w:rsidRPr="002C43E8" w14:paraId="2087B049" w14:textId="77777777" w:rsidTr="008A145B">
        <w:tc>
          <w:tcPr>
            <w:tcW w:w="2721" w:type="dxa"/>
          </w:tcPr>
          <w:p w14:paraId="7D2E493C" w14:textId="77777777" w:rsidR="00DF600C" w:rsidRDefault="00DF600C" w:rsidP="008A145B">
            <w:pPr>
              <w:pStyle w:val="Glossarytabletext"/>
              <w:rPr>
                <w:lang w:val="en-US" w:eastAsia="en-US"/>
              </w:rPr>
            </w:pPr>
            <w:r>
              <w:rPr>
                <w:lang w:val="en-US" w:eastAsia="en-US"/>
              </w:rPr>
              <w:t>Excise Fuel Indexation Bill</w:t>
            </w:r>
            <w:r w:rsidR="00020871">
              <w:rPr>
                <w:lang w:val="en-US" w:eastAsia="en-US"/>
              </w:rPr>
              <w:t> </w:t>
            </w:r>
            <w:r>
              <w:rPr>
                <w:lang w:val="en-US" w:eastAsia="en-US"/>
              </w:rPr>
              <w:t>2015</w:t>
            </w:r>
          </w:p>
        </w:tc>
        <w:tc>
          <w:tcPr>
            <w:tcW w:w="3885" w:type="dxa"/>
          </w:tcPr>
          <w:p w14:paraId="73BC7955" w14:textId="77777777" w:rsidR="00DF600C" w:rsidRPr="00D67CBB" w:rsidRDefault="00DF600C" w:rsidP="008A145B">
            <w:pPr>
              <w:pStyle w:val="Glossarytabletext"/>
              <w:rPr>
                <w:lang w:val="en"/>
              </w:rPr>
            </w:pPr>
            <w:r w:rsidRPr="00D67CBB">
              <w:rPr>
                <w:lang w:val="en"/>
              </w:rPr>
              <w:t>Excise Tariff Amendment (Fuel Indexation) Bill 201</w:t>
            </w:r>
            <w:r>
              <w:rPr>
                <w:lang w:val="en"/>
              </w:rPr>
              <w:t>5</w:t>
            </w:r>
          </w:p>
        </w:tc>
      </w:tr>
      <w:tr w:rsidR="00DF600C" w:rsidRPr="002C43E8" w14:paraId="5E620308" w14:textId="77777777" w:rsidTr="008A145B">
        <w:tc>
          <w:tcPr>
            <w:tcW w:w="2721" w:type="dxa"/>
          </w:tcPr>
          <w:p w14:paraId="1082A47C" w14:textId="77777777" w:rsidR="00DF600C" w:rsidRDefault="00DF600C" w:rsidP="008A145B">
            <w:pPr>
              <w:pStyle w:val="Glossarytabletext"/>
              <w:rPr>
                <w:lang w:val="en-US" w:eastAsia="en-US"/>
              </w:rPr>
            </w:pPr>
            <w:r>
              <w:rPr>
                <w:lang w:val="en-US" w:eastAsia="en-US"/>
              </w:rPr>
              <w:t>Fuel Indexation Consequential Bill 2015</w:t>
            </w:r>
          </w:p>
        </w:tc>
        <w:tc>
          <w:tcPr>
            <w:tcW w:w="3885" w:type="dxa"/>
          </w:tcPr>
          <w:p w14:paraId="7EECD2DA" w14:textId="77777777" w:rsidR="00DF600C" w:rsidRPr="00D67CBB" w:rsidRDefault="00DF600C" w:rsidP="008A145B">
            <w:pPr>
              <w:pStyle w:val="Glossarytabletext"/>
              <w:rPr>
                <w:lang w:val="en"/>
              </w:rPr>
            </w:pPr>
            <w:r>
              <w:rPr>
                <w:lang w:val="en"/>
              </w:rPr>
              <w:t>Fuel Indexation (Road Funding) Bill</w:t>
            </w:r>
            <w:r w:rsidRPr="00D67CBB">
              <w:rPr>
                <w:lang w:val="en"/>
              </w:rPr>
              <w:t xml:space="preserve"> 201</w:t>
            </w:r>
            <w:r>
              <w:rPr>
                <w:lang w:val="en"/>
              </w:rPr>
              <w:t>5</w:t>
            </w:r>
          </w:p>
        </w:tc>
      </w:tr>
      <w:tr w:rsidR="00DF600C" w:rsidRPr="002C43E8" w14:paraId="07682564" w14:textId="77777777" w:rsidTr="008A145B">
        <w:tc>
          <w:tcPr>
            <w:tcW w:w="2721" w:type="dxa"/>
          </w:tcPr>
          <w:p w14:paraId="711B4443" w14:textId="77777777" w:rsidR="00DF600C" w:rsidRDefault="00DF600C" w:rsidP="008A145B">
            <w:pPr>
              <w:pStyle w:val="Glossarytabletext"/>
              <w:rPr>
                <w:lang w:val="en-US" w:eastAsia="en-US"/>
              </w:rPr>
            </w:pPr>
            <w:r>
              <w:t>Fuel Indexation Special Account Bill 2015</w:t>
            </w:r>
          </w:p>
        </w:tc>
        <w:tc>
          <w:tcPr>
            <w:tcW w:w="3885" w:type="dxa"/>
          </w:tcPr>
          <w:p w14:paraId="3E16AFEE" w14:textId="77777777" w:rsidR="00DF600C" w:rsidRPr="00D67CBB" w:rsidRDefault="00DF600C" w:rsidP="008A145B">
            <w:pPr>
              <w:pStyle w:val="Glossarytabletext"/>
              <w:rPr>
                <w:lang w:val="en"/>
              </w:rPr>
            </w:pPr>
            <w:r w:rsidRPr="00C315A7">
              <w:t>F</w:t>
            </w:r>
            <w:r>
              <w:t>uel Indexation (Road Funding) Special Account Bill 2015</w:t>
            </w:r>
          </w:p>
        </w:tc>
      </w:tr>
      <w:tr w:rsidR="009B49CE" w:rsidRPr="002C43E8" w14:paraId="09EBBE3A" w14:textId="77777777" w:rsidTr="008A145B">
        <w:tc>
          <w:tcPr>
            <w:tcW w:w="2721" w:type="dxa"/>
          </w:tcPr>
          <w:p w14:paraId="416F1E55" w14:textId="77777777" w:rsidR="009B49CE" w:rsidRDefault="009B49CE" w:rsidP="008A145B">
            <w:pPr>
              <w:pStyle w:val="Glossarytabletext"/>
            </w:pPr>
            <w:proofErr w:type="spellStart"/>
            <w:r>
              <w:t>LNP</w:t>
            </w:r>
            <w:proofErr w:type="spellEnd"/>
          </w:p>
        </w:tc>
        <w:tc>
          <w:tcPr>
            <w:tcW w:w="3885" w:type="dxa"/>
          </w:tcPr>
          <w:p w14:paraId="5EEB74C6" w14:textId="77777777" w:rsidR="009B49CE" w:rsidRDefault="00097063" w:rsidP="008A145B">
            <w:pPr>
              <w:pStyle w:val="Glossarytabletext"/>
            </w:pPr>
            <w:r>
              <w:t>L</w:t>
            </w:r>
            <w:r w:rsidR="009B49CE">
              <w:t>iquefied natural gas</w:t>
            </w:r>
          </w:p>
        </w:tc>
      </w:tr>
      <w:tr w:rsidR="009B49CE" w:rsidRPr="002C43E8" w14:paraId="5229FBCD" w14:textId="77777777" w:rsidTr="008A145B">
        <w:tc>
          <w:tcPr>
            <w:tcW w:w="2721" w:type="dxa"/>
          </w:tcPr>
          <w:p w14:paraId="33ED78EF" w14:textId="77777777" w:rsidR="009B49CE" w:rsidRDefault="009B49CE" w:rsidP="008A145B">
            <w:pPr>
              <w:pStyle w:val="Glossarytabletext"/>
            </w:pPr>
            <w:r>
              <w:t>LPG</w:t>
            </w:r>
          </w:p>
        </w:tc>
        <w:tc>
          <w:tcPr>
            <w:tcW w:w="3885" w:type="dxa"/>
          </w:tcPr>
          <w:p w14:paraId="384535B4" w14:textId="77777777" w:rsidR="009B49CE" w:rsidRDefault="00097063" w:rsidP="009B49CE">
            <w:pPr>
              <w:pStyle w:val="Glossarytabletext"/>
            </w:pPr>
            <w:r>
              <w:t>L</w:t>
            </w:r>
            <w:r w:rsidR="009B49CE">
              <w:t>iquefied petroleum gas</w:t>
            </w:r>
          </w:p>
        </w:tc>
      </w:tr>
      <w:tr w:rsidR="00DF600C" w:rsidRPr="002C43E8" w14:paraId="0E4096A7" w14:textId="77777777" w:rsidTr="008A145B">
        <w:tc>
          <w:tcPr>
            <w:tcW w:w="2721" w:type="dxa"/>
          </w:tcPr>
          <w:p w14:paraId="2FADD744" w14:textId="77777777" w:rsidR="00DF600C" w:rsidRDefault="00DF600C" w:rsidP="008A145B">
            <w:pPr>
              <w:pStyle w:val="Glossarytabletext"/>
            </w:pPr>
            <w:r>
              <w:t>SES</w:t>
            </w:r>
          </w:p>
        </w:tc>
        <w:tc>
          <w:tcPr>
            <w:tcW w:w="3885" w:type="dxa"/>
          </w:tcPr>
          <w:p w14:paraId="3B2825D8" w14:textId="77777777" w:rsidR="00DF600C" w:rsidRDefault="00DF600C" w:rsidP="008A145B">
            <w:pPr>
              <w:pStyle w:val="Glossarytabletext"/>
            </w:pPr>
            <w:r>
              <w:t>Senior Executive Service</w:t>
            </w:r>
          </w:p>
        </w:tc>
      </w:tr>
      <w:tr w:rsidR="00440064" w:rsidRPr="002C43E8" w14:paraId="2C993FA8" w14:textId="77777777" w:rsidTr="008A145B">
        <w:tc>
          <w:tcPr>
            <w:tcW w:w="2721" w:type="dxa"/>
          </w:tcPr>
          <w:p w14:paraId="5EE04D92" w14:textId="77777777" w:rsidR="00440064" w:rsidRDefault="00440064" w:rsidP="008A145B">
            <w:pPr>
              <w:pStyle w:val="Glossarytabletext"/>
            </w:pPr>
            <w:r>
              <w:t>Tariff Proposals</w:t>
            </w:r>
          </w:p>
        </w:tc>
        <w:tc>
          <w:tcPr>
            <w:tcW w:w="3885" w:type="dxa"/>
          </w:tcPr>
          <w:p w14:paraId="5E0CD020" w14:textId="77777777" w:rsidR="00440064" w:rsidRDefault="00440064" w:rsidP="008A145B">
            <w:pPr>
              <w:pStyle w:val="Glossarytabletext"/>
            </w:pPr>
            <w:r>
              <w:t>Excise Tariff Proposal (No. 1) 2014 and Customs Tariff Proposal (No. 1) 2014</w:t>
            </w:r>
          </w:p>
        </w:tc>
      </w:tr>
    </w:tbl>
    <w:p w14:paraId="7E08D7B0" w14:textId="77777777" w:rsidR="00DF600C" w:rsidRDefault="00DF600C" w:rsidP="00DF600C">
      <w:pPr>
        <w:sectPr w:rsidR="00DF600C" w:rsidSect="00296DAB">
          <w:headerReference w:type="even" r:id="rId24"/>
          <w:headerReference w:type="default" r:id="rId25"/>
          <w:footerReference w:type="even" r:id="rId26"/>
          <w:footerReference w:type="default" r:id="rId27"/>
          <w:footerReference w:type="first" r:id="rId28"/>
          <w:type w:val="oddPage"/>
          <w:pgSz w:w="11906" w:h="16838" w:code="9"/>
          <w:pgMar w:top="2466" w:right="2098" w:bottom="2466" w:left="2098" w:header="1559" w:footer="1899" w:gutter="0"/>
          <w:pgNumType w:start="1"/>
          <w:cols w:space="708"/>
          <w:titlePg/>
          <w:docGrid w:linePitch="360"/>
        </w:sectPr>
      </w:pPr>
    </w:p>
    <w:p w14:paraId="34476AE2" w14:textId="77777777" w:rsidR="00DF600C" w:rsidRPr="00D67ADC" w:rsidRDefault="00DF600C" w:rsidP="00DF600C">
      <w:pPr>
        <w:pStyle w:val="Chapterheadingsubdocument"/>
      </w:pPr>
      <w:bookmarkStart w:id="6" w:name="_Toc416339977"/>
      <w:bookmarkStart w:id="7" w:name="_Toc420051476"/>
      <w:bookmarkStart w:id="8" w:name="_Toc420060830"/>
      <w:bookmarkStart w:id="9" w:name="_Toc422409201"/>
      <w:bookmarkStart w:id="10" w:name="_Toc422820733"/>
      <w:r w:rsidRPr="00D67ADC">
        <w:t>General outline and financial impact</w:t>
      </w:r>
      <w:bookmarkEnd w:id="6"/>
      <w:bookmarkEnd w:id="7"/>
      <w:bookmarkEnd w:id="8"/>
      <w:bookmarkEnd w:id="9"/>
      <w:bookmarkEnd w:id="10"/>
    </w:p>
    <w:p w14:paraId="32DC21D1" w14:textId="77777777" w:rsidR="00DF600C" w:rsidRDefault="00665A12" w:rsidP="00DF600C">
      <w:pPr>
        <w:pStyle w:val="Heading2"/>
      </w:pPr>
      <w:r>
        <w:t xml:space="preserve">CPI </w:t>
      </w:r>
      <w:r w:rsidR="00090155">
        <w:t>i</w:t>
      </w:r>
      <w:r w:rsidR="00DF600C">
        <w:t>ndexation of fuel excise and excise</w:t>
      </w:r>
      <w:r w:rsidR="00DF600C">
        <w:noBreakHyphen/>
        <w:t>equivalent customs</w:t>
      </w:r>
      <w:r w:rsidR="00D86BDD">
        <w:t> </w:t>
      </w:r>
      <w:r w:rsidR="00DF600C">
        <w:t>duty</w:t>
      </w:r>
    </w:p>
    <w:p w14:paraId="420A0DDE" w14:textId="77777777" w:rsidR="00DF600C" w:rsidRDefault="00DF600C" w:rsidP="00DF600C">
      <w:pPr>
        <w:pStyle w:val="base-text-paragraphnonumbers"/>
        <w:rPr>
          <w:szCs w:val="22"/>
          <w:lang w:val="en"/>
        </w:rPr>
      </w:pPr>
      <w:r w:rsidRPr="00687EFC">
        <w:t>The Excise Tariff Amendment (</w:t>
      </w:r>
      <w:r>
        <w:t>Fuel Indexation</w:t>
      </w:r>
      <w:r w:rsidRPr="00687EFC">
        <w:t>) Bill 201</w:t>
      </w:r>
      <w:r>
        <w:t xml:space="preserve">5 </w:t>
      </w:r>
      <w:r w:rsidRPr="00687EFC">
        <w:t xml:space="preserve">and </w:t>
      </w:r>
      <w:r>
        <w:t xml:space="preserve">the Customs Tariff Amendment (Fuel Indexation) Bill 2015 amend the </w:t>
      </w:r>
      <w:r>
        <w:rPr>
          <w:i/>
          <w:szCs w:val="22"/>
          <w:lang w:val="en"/>
        </w:rPr>
        <w:t>Excise Tariff Act 1921</w:t>
      </w:r>
      <w:r w:rsidRPr="00B22DB4">
        <w:rPr>
          <w:lang w:val="en"/>
        </w:rPr>
        <w:t xml:space="preserve"> </w:t>
      </w:r>
      <w:r>
        <w:rPr>
          <w:szCs w:val="22"/>
          <w:lang w:val="en"/>
        </w:rPr>
        <w:t xml:space="preserve">and the </w:t>
      </w:r>
      <w:r>
        <w:rPr>
          <w:i/>
          <w:szCs w:val="22"/>
          <w:lang w:val="en"/>
        </w:rPr>
        <w:t>Customs Tariff Act 1995</w:t>
      </w:r>
      <w:r w:rsidRPr="00B22DB4">
        <w:rPr>
          <w:lang w:val="en"/>
        </w:rPr>
        <w:t xml:space="preserve"> </w:t>
      </w:r>
      <w:r>
        <w:rPr>
          <w:szCs w:val="22"/>
          <w:lang w:val="en"/>
        </w:rPr>
        <w:t>to index the rate of excise and excise</w:t>
      </w:r>
      <w:r>
        <w:rPr>
          <w:szCs w:val="22"/>
          <w:lang w:val="en"/>
        </w:rPr>
        <w:noBreakHyphen/>
        <w:t xml:space="preserve">equivalent customs duty applying to fuels </w:t>
      </w:r>
      <w:r w:rsidR="006A06D9">
        <w:rPr>
          <w:szCs w:val="22"/>
          <w:lang w:val="en"/>
        </w:rPr>
        <w:t xml:space="preserve">(other than aviation fuels) </w:t>
      </w:r>
      <w:r>
        <w:rPr>
          <w:szCs w:val="22"/>
          <w:lang w:val="en"/>
        </w:rPr>
        <w:t>to assist in funding</w:t>
      </w:r>
      <w:r w:rsidR="00BD137F">
        <w:rPr>
          <w:szCs w:val="22"/>
          <w:lang w:val="en"/>
        </w:rPr>
        <w:t xml:space="preserve"> investment in</w:t>
      </w:r>
      <w:r>
        <w:rPr>
          <w:szCs w:val="22"/>
          <w:lang w:val="en"/>
        </w:rPr>
        <w:t xml:space="preserve"> road infrastructure. </w:t>
      </w:r>
    </w:p>
    <w:p w14:paraId="16C2C74E" w14:textId="77777777" w:rsidR="00906756" w:rsidRPr="00C40034" w:rsidRDefault="00906756" w:rsidP="00C40034">
      <w:pPr>
        <w:pStyle w:val="base-text-paragraphnonumbers"/>
        <w:rPr>
          <w:szCs w:val="22"/>
          <w:lang w:val="en"/>
        </w:rPr>
      </w:pPr>
      <w:r w:rsidRPr="00C40034">
        <w:rPr>
          <w:szCs w:val="22"/>
          <w:lang w:val="en"/>
        </w:rPr>
        <w:t xml:space="preserve">The effect of the </w:t>
      </w:r>
      <w:r w:rsidR="00013341" w:rsidRPr="00C40034">
        <w:rPr>
          <w:szCs w:val="22"/>
          <w:lang w:val="en"/>
        </w:rPr>
        <w:t>Excise Tariff Amendment (Fuel Indexation) Bill 2015</w:t>
      </w:r>
      <w:r w:rsidRPr="00C40034">
        <w:rPr>
          <w:szCs w:val="22"/>
          <w:lang w:val="en"/>
        </w:rPr>
        <w:t xml:space="preserve"> and the </w:t>
      </w:r>
      <w:r w:rsidR="00013341" w:rsidRPr="00C40034">
        <w:rPr>
          <w:szCs w:val="22"/>
          <w:lang w:val="en"/>
        </w:rPr>
        <w:t xml:space="preserve">Customs Tariff Amendment (Fuel Indexation) Bill 2015 </w:t>
      </w:r>
      <w:r w:rsidRPr="00C40034">
        <w:rPr>
          <w:szCs w:val="22"/>
          <w:lang w:val="en"/>
        </w:rPr>
        <w:t xml:space="preserve">is to validate the Excise Tariff Proposal (No. 1) 2014 and Customs Tariff Proposal (No. 1) 2014 </w:t>
      </w:r>
      <w:r w:rsidR="009B49CE" w:rsidRPr="00C40034">
        <w:rPr>
          <w:szCs w:val="22"/>
          <w:lang w:val="en"/>
        </w:rPr>
        <w:t>(Tariff Proposal</w:t>
      </w:r>
      <w:r w:rsidR="00ED726F">
        <w:rPr>
          <w:szCs w:val="22"/>
          <w:lang w:val="en"/>
        </w:rPr>
        <w:t>s</w:t>
      </w:r>
      <w:r w:rsidR="009B49CE" w:rsidRPr="00C40034">
        <w:rPr>
          <w:szCs w:val="22"/>
          <w:lang w:val="en"/>
        </w:rPr>
        <w:t xml:space="preserve">) </w:t>
      </w:r>
      <w:r w:rsidRPr="00C40034">
        <w:rPr>
          <w:szCs w:val="22"/>
          <w:lang w:val="en"/>
        </w:rPr>
        <w:t xml:space="preserve">that were tabled in the House of Representatives on 30 October 2014 to index fuel duty to the </w:t>
      </w:r>
      <w:r w:rsidR="007E1E20" w:rsidRPr="00C40034">
        <w:rPr>
          <w:szCs w:val="22"/>
          <w:lang w:val="en"/>
        </w:rPr>
        <w:t>consumer price index (</w:t>
      </w:r>
      <w:r w:rsidRPr="00C40034">
        <w:rPr>
          <w:szCs w:val="22"/>
          <w:lang w:val="en"/>
        </w:rPr>
        <w:t>CPI</w:t>
      </w:r>
      <w:r w:rsidR="007E1E20" w:rsidRPr="00C40034">
        <w:rPr>
          <w:szCs w:val="22"/>
          <w:lang w:val="en"/>
        </w:rPr>
        <w:t>)</w:t>
      </w:r>
      <w:r w:rsidRPr="00C40034">
        <w:rPr>
          <w:szCs w:val="22"/>
          <w:lang w:val="en"/>
        </w:rPr>
        <w:t xml:space="preserve"> from 10 November 2014.</w:t>
      </w:r>
    </w:p>
    <w:p w14:paraId="4964C404" w14:textId="77777777" w:rsidR="00DF600C" w:rsidRDefault="00DF600C" w:rsidP="00DF600C">
      <w:pPr>
        <w:pStyle w:val="base-text-paragraphnonumbers"/>
        <w:rPr>
          <w:szCs w:val="22"/>
          <w:lang w:val="en"/>
        </w:rPr>
      </w:pPr>
      <w:r>
        <w:rPr>
          <w:szCs w:val="22"/>
          <w:lang w:val="en"/>
        </w:rPr>
        <w:t xml:space="preserve">The </w:t>
      </w:r>
      <w:r w:rsidRPr="00C315A7">
        <w:t>F</w:t>
      </w:r>
      <w:r>
        <w:t>uel Indexation (Road Funding) Special Account Bill 2015 establishes a special account to ensure that the net additional revenue from the reintroduction of fuel indexation is used for road infrastructure funding.</w:t>
      </w:r>
    </w:p>
    <w:p w14:paraId="39C0AEA3" w14:textId="77777777" w:rsidR="00DF600C" w:rsidRDefault="00DF600C" w:rsidP="00DF600C">
      <w:pPr>
        <w:pStyle w:val="base-text-paragraphnonumbers"/>
        <w:rPr>
          <w:szCs w:val="22"/>
          <w:lang w:val="en"/>
        </w:rPr>
      </w:pPr>
      <w:r w:rsidRPr="00F174A1">
        <w:rPr>
          <w:szCs w:val="22"/>
          <w:lang w:val="en"/>
        </w:rPr>
        <w:t xml:space="preserve">The Fuel Indexation (Road Funding) Bill 2015 </w:t>
      </w:r>
      <w:r w:rsidR="00D71CB1">
        <w:rPr>
          <w:szCs w:val="22"/>
          <w:lang w:val="en"/>
        </w:rPr>
        <w:t>makes consequential amendments</w:t>
      </w:r>
      <w:r w:rsidR="000360E0">
        <w:rPr>
          <w:szCs w:val="22"/>
          <w:lang w:val="en"/>
        </w:rPr>
        <w:t>,</w:t>
      </w:r>
      <w:r w:rsidR="00D71CB1">
        <w:rPr>
          <w:szCs w:val="22"/>
          <w:lang w:val="en"/>
        </w:rPr>
        <w:t xml:space="preserve"> including </w:t>
      </w:r>
      <w:r w:rsidRPr="00F174A1">
        <w:rPr>
          <w:szCs w:val="22"/>
          <w:lang w:val="en"/>
        </w:rPr>
        <w:t>amend</w:t>
      </w:r>
      <w:r w:rsidR="00D71CB1">
        <w:rPr>
          <w:szCs w:val="22"/>
          <w:lang w:val="en"/>
        </w:rPr>
        <w:t>ing</w:t>
      </w:r>
      <w:r w:rsidRPr="00F174A1">
        <w:rPr>
          <w:szCs w:val="22"/>
          <w:lang w:val="en"/>
        </w:rPr>
        <w:t xml:space="preserve"> the </w:t>
      </w:r>
      <w:r w:rsidRPr="00F174A1">
        <w:rPr>
          <w:i/>
          <w:szCs w:val="22"/>
          <w:lang w:val="en"/>
        </w:rPr>
        <w:t xml:space="preserve">Fuel Tax Act 2006 </w:t>
      </w:r>
      <w:r w:rsidRPr="00F174A1" w:rsidDel="00293F39">
        <w:t xml:space="preserve">to </w:t>
      </w:r>
      <w:r w:rsidRPr="00F174A1">
        <w:t xml:space="preserve">ensure that </w:t>
      </w:r>
      <w:r w:rsidRPr="00363674">
        <w:t xml:space="preserve">the road user charge </w:t>
      </w:r>
      <w:r w:rsidR="00484C2C">
        <w:t xml:space="preserve">rate that is determined </w:t>
      </w:r>
      <w:r w:rsidRPr="00363674">
        <w:t xml:space="preserve">is rounded </w:t>
      </w:r>
      <w:r w:rsidR="00D71CB1">
        <w:t>in the same way as</w:t>
      </w:r>
      <w:r w:rsidRPr="00363674">
        <w:t xml:space="preserve"> </w:t>
      </w:r>
      <w:r w:rsidR="00FC4B81">
        <w:t>fuel duty rates are rounded.</w:t>
      </w:r>
    </w:p>
    <w:p w14:paraId="2FF86D3F" w14:textId="77777777" w:rsidR="00DF600C" w:rsidRDefault="00DF600C" w:rsidP="00DF600C">
      <w:pPr>
        <w:pStyle w:val="base-text-paragraphnonumbers"/>
      </w:pPr>
      <w:r w:rsidRPr="0088195E">
        <w:rPr>
          <w:rStyle w:val="BoldItalic"/>
        </w:rPr>
        <w:t>Date of effect</w:t>
      </w:r>
      <w:r w:rsidRPr="00266048">
        <w:rPr>
          <w:rStyle w:val="base-text-paragraphChar"/>
        </w:rPr>
        <w:t xml:space="preserve">: </w:t>
      </w:r>
      <w:r>
        <w:t>The amendments apply to duty on domestically manufactured and imported fuel with effect from 10 November 2014</w:t>
      </w:r>
      <w:r w:rsidR="001C5526">
        <w:t xml:space="preserve">. </w:t>
      </w:r>
    </w:p>
    <w:p w14:paraId="6883CF0B" w14:textId="77777777" w:rsidR="00DF600C" w:rsidRDefault="00DF600C" w:rsidP="00DF600C">
      <w:pPr>
        <w:pStyle w:val="base-text-paragraphnonumbers"/>
      </w:pPr>
      <w:r w:rsidRPr="00D547E2">
        <w:t xml:space="preserve">The provisions which establish a special account for the net additional revenue </w:t>
      </w:r>
      <w:r w:rsidR="00651843">
        <w:t xml:space="preserve">from fuel indexation </w:t>
      </w:r>
      <w:r w:rsidR="007950AC">
        <w:t xml:space="preserve">are linked to the commencement of the amendments to duty on fuel. </w:t>
      </w:r>
      <w:r w:rsidR="00033A4E">
        <w:t>T</w:t>
      </w:r>
      <w:r w:rsidR="00A10B8E">
        <w:t xml:space="preserve">he special account </w:t>
      </w:r>
      <w:r w:rsidR="00651843">
        <w:t>is</w:t>
      </w:r>
      <w:r w:rsidR="00A10B8E">
        <w:t xml:space="preserve"> first credited </w:t>
      </w:r>
      <w:r w:rsidR="00CB311E">
        <w:t>after the end of the 2014-</w:t>
      </w:r>
      <w:r w:rsidR="00651843" w:rsidRPr="00651843">
        <w:t>15 financial year</w:t>
      </w:r>
      <w:r w:rsidR="00A10B8E">
        <w:t xml:space="preserve"> once the net revenue collected for th</w:t>
      </w:r>
      <w:r w:rsidR="00651843">
        <w:t>at</w:t>
      </w:r>
      <w:r w:rsidR="00A10B8E">
        <w:t xml:space="preserve"> financial year can be calculated</w:t>
      </w:r>
      <w:r w:rsidRPr="00D547E2">
        <w:t>.</w:t>
      </w:r>
    </w:p>
    <w:p w14:paraId="23AACBF0" w14:textId="77777777" w:rsidR="00C0176F" w:rsidRDefault="00DF600C" w:rsidP="00DF600C">
      <w:pPr>
        <w:pStyle w:val="base-text-paragraphnonumbers"/>
        <w:rPr>
          <w:rStyle w:val="base-text-paragraphChar"/>
        </w:rPr>
      </w:pPr>
      <w:r w:rsidRPr="0088195E">
        <w:rPr>
          <w:rStyle w:val="BoldItalic"/>
        </w:rPr>
        <w:t>Proposal announced</w:t>
      </w:r>
      <w:r w:rsidRPr="00266048">
        <w:rPr>
          <w:rStyle w:val="base-text-paragraphChar"/>
        </w:rPr>
        <w:t xml:space="preserve">: </w:t>
      </w:r>
      <w:r w:rsidR="00C138D2">
        <w:rPr>
          <w:szCs w:val="22"/>
        </w:rPr>
        <w:t>The measure to reintroduce fuel</w:t>
      </w:r>
      <w:r w:rsidR="00C076E9">
        <w:rPr>
          <w:szCs w:val="22"/>
        </w:rPr>
        <w:t xml:space="preserve"> </w:t>
      </w:r>
      <w:r w:rsidR="00C138D2">
        <w:rPr>
          <w:szCs w:val="22"/>
        </w:rPr>
        <w:t>indexation</w:t>
      </w:r>
      <w:r w:rsidR="00DC08F4">
        <w:rPr>
          <w:szCs w:val="22"/>
        </w:rPr>
        <w:t xml:space="preserve"> from </w:t>
      </w:r>
      <w:r w:rsidR="00C076E9">
        <w:rPr>
          <w:szCs w:val="22"/>
        </w:rPr>
        <w:t>1 </w:t>
      </w:r>
      <w:r w:rsidR="00DC08F4">
        <w:rPr>
          <w:szCs w:val="22"/>
        </w:rPr>
        <w:t>August 2014</w:t>
      </w:r>
      <w:r w:rsidR="00C138D2">
        <w:rPr>
          <w:szCs w:val="22"/>
        </w:rPr>
        <w:t xml:space="preserve"> was announced by the Treasurer in the </w:t>
      </w:r>
      <w:r w:rsidR="000D4C31">
        <w:rPr>
          <w:szCs w:val="22"/>
        </w:rPr>
        <w:t xml:space="preserve">2014-15 </w:t>
      </w:r>
      <w:r w:rsidR="00C138D2">
        <w:rPr>
          <w:szCs w:val="22"/>
        </w:rPr>
        <w:t>Budget on 13</w:t>
      </w:r>
      <w:r w:rsidR="000D4C31">
        <w:rPr>
          <w:szCs w:val="22"/>
        </w:rPr>
        <w:t> </w:t>
      </w:r>
      <w:r w:rsidR="00C138D2">
        <w:rPr>
          <w:szCs w:val="22"/>
        </w:rPr>
        <w:t>May 2014</w:t>
      </w:r>
      <w:r w:rsidR="001C5526">
        <w:rPr>
          <w:szCs w:val="22"/>
        </w:rPr>
        <w:t xml:space="preserve">. </w:t>
      </w:r>
    </w:p>
    <w:p w14:paraId="6A5E8216" w14:textId="77777777" w:rsidR="00FF1E1A" w:rsidRDefault="00DC08F4" w:rsidP="00D86BDD">
      <w:pPr>
        <w:pStyle w:val="base-text-paragraphnonumbers"/>
        <w:keepNext/>
        <w:keepLines/>
        <w:spacing w:after="100"/>
        <w:rPr>
          <w:rStyle w:val="base-text-paragraphChar"/>
        </w:rPr>
      </w:pPr>
      <w:r>
        <w:rPr>
          <w:rStyle w:val="base-text-paragraphChar"/>
        </w:rPr>
        <w:t xml:space="preserve">In </w:t>
      </w:r>
      <w:r w:rsidR="000D4C31">
        <w:rPr>
          <w:rStyle w:val="base-text-paragraphChar"/>
        </w:rPr>
        <w:t>the</w:t>
      </w:r>
      <w:r w:rsidR="006F1A83">
        <w:rPr>
          <w:rStyle w:val="base-text-paragraphChar"/>
        </w:rPr>
        <w:t xml:space="preserve"> </w:t>
      </w:r>
      <w:r w:rsidR="00013341">
        <w:rPr>
          <w:rStyle w:val="base-text-paragraphChar"/>
        </w:rPr>
        <w:t xml:space="preserve">then </w:t>
      </w:r>
      <w:r>
        <w:rPr>
          <w:rStyle w:val="base-text-paragraphChar"/>
        </w:rPr>
        <w:t>Acting Assistant Treasurer</w:t>
      </w:r>
      <w:r w:rsidR="000D4C31">
        <w:rPr>
          <w:rStyle w:val="base-text-paragraphChar"/>
        </w:rPr>
        <w:t>’s</w:t>
      </w:r>
      <w:r>
        <w:rPr>
          <w:rStyle w:val="base-text-paragraphChar"/>
        </w:rPr>
        <w:t xml:space="preserve"> Media Release (MC 107/14) of 28</w:t>
      </w:r>
      <w:r w:rsidR="000D4C31">
        <w:rPr>
          <w:rStyle w:val="base-text-paragraphChar"/>
        </w:rPr>
        <w:t> </w:t>
      </w:r>
      <w:r>
        <w:rPr>
          <w:rStyle w:val="base-text-paragraphChar"/>
        </w:rPr>
        <w:t>October 2014, it was announced that</w:t>
      </w:r>
      <w:r w:rsidR="00C138D2">
        <w:rPr>
          <w:rStyle w:val="base-text-paragraphChar"/>
        </w:rPr>
        <w:t xml:space="preserve"> </w:t>
      </w:r>
      <w:r w:rsidR="00096F07">
        <w:rPr>
          <w:rStyle w:val="base-text-paragraphChar"/>
        </w:rPr>
        <w:t>T</w:t>
      </w:r>
      <w:r w:rsidR="00C138D2">
        <w:rPr>
          <w:rStyle w:val="base-text-paragraphChar"/>
        </w:rPr>
        <w:t xml:space="preserve">ariff </w:t>
      </w:r>
      <w:r w:rsidR="00096F07">
        <w:rPr>
          <w:rStyle w:val="base-text-paragraphChar"/>
        </w:rPr>
        <w:t>P</w:t>
      </w:r>
      <w:r w:rsidR="00C138D2">
        <w:rPr>
          <w:rStyle w:val="base-text-paragraphChar"/>
        </w:rPr>
        <w:t xml:space="preserve">roposals </w:t>
      </w:r>
      <w:r>
        <w:rPr>
          <w:rStyle w:val="base-text-paragraphChar"/>
        </w:rPr>
        <w:t xml:space="preserve">would be used </w:t>
      </w:r>
      <w:r w:rsidR="00C138D2">
        <w:rPr>
          <w:rStyle w:val="base-text-paragraphChar"/>
        </w:rPr>
        <w:t xml:space="preserve">to give </w:t>
      </w:r>
      <w:r w:rsidR="00275EA2">
        <w:rPr>
          <w:rStyle w:val="base-text-paragraphChar"/>
        </w:rPr>
        <w:t xml:space="preserve">practical </w:t>
      </w:r>
      <w:r w:rsidR="00C138D2">
        <w:rPr>
          <w:rStyle w:val="base-text-paragraphChar"/>
        </w:rPr>
        <w:t>effect to the Budget measure</w:t>
      </w:r>
      <w:r>
        <w:rPr>
          <w:rStyle w:val="base-text-paragraphChar"/>
        </w:rPr>
        <w:t>, with a delayed start date of 10</w:t>
      </w:r>
      <w:r w:rsidR="000D4C31">
        <w:rPr>
          <w:rStyle w:val="base-text-paragraphChar"/>
        </w:rPr>
        <w:t> </w:t>
      </w:r>
      <w:r>
        <w:rPr>
          <w:rStyle w:val="base-text-paragraphChar"/>
        </w:rPr>
        <w:t>November 2014</w:t>
      </w:r>
      <w:r w:rsidR="00AA1DED">
        <w:rPr>
          <w:rStyle w:val="base-text-paragraphChar"/>
        </w:rPr>
        <w:t xml:space="preserve">. </w:t>
      </w:r>
    </w:p>
    <w:p w14:paraId="46B18645" w14:textId="77777777" w:rsidR="00DF600C" w:rsidRDefault="00AA1DED" w:rsidP="00D86BDD">
      <w:pPr>
        <w:pStyle w:val="base-text-paragraphnonumbers"/>
        <w:spacing w:before="100" w:after="100"/>
      </w:pPr>
      <w:r>
        <w:rPr>
          <w:rStyle w:val="base-text-paragraphChar"/>
        </w:rPr>
        <w:t>T</w:t>
      </w:r>
      <w:r w:rsidR="00DF600C">
        <w:rPr>
          <w:rStyle w:val="base-text-paragraphChar"/>
        </w:rPr>
        <w:t>he Tariff Proposal</w:t>
      </w:r>
      <w:r w:rsidR="009B49CE">
        <w:rPr>
          <w:rStyle w:val="base-text-paragraphChar"/>
        </w:rPr>
        <w:t>s</w:t>
      </w:r>
      <w:r w:rsidR="00DF600C">
        <w:rPr>
          <w:rStyle w:val="base-text-paragraphChar"/>
        </w:rPr>
        <w:t xml:space="preserve"> </w:t>
      </w:r>
      <w:r>
        <w:rPr>
          <w:rStyle w:val="base-text-paragraphChar"/>
        </w:rPr>
        <w:t xml:space="preserve">were tabled in Parliament </w:t>
      </w:r>
      <w:r w:rsidR="00DF600C">
        <w:rPr>
          <w:rStyle w:val="base-text-paragraphChar"/>
        </w:rPr>
        <w:t>on 30 October 2014</w:t>
      </w:r>
      <w:r w:rsidR="001C5526">
        <w:rPr>
          <w:rStyle w:val="base-text-paragraphChar"/>
        </w:rPr>
        <w:t xml:space="preserve">. </w:t>
      </w:r>
    </w:p>
    <w:p w14:paraId="2378DDB5" w14:textId="77777777" w:rsidR="00DF600C" w:rsidRPr="0056229D" w:rsidRDefault="00DF600C" w:rsidP="00D86BDD">
      <w:pPr>
        <w:pStyle w:val="base-text-paragraphnonumbers"/>
        <w:spacing w:after="160"/>
      </w:pPr>
      <w:r w:rsidRPr="0056229D">
        <w:rPr>
          <w:rStyle w:val="BoldItalic"/>
        </w:rPr>
        <w:t>Financial impact</w:t>
      </w:r>
      <w:r w:rsidRPr="0056229D">
        <w:rPr>
          <w:rStyle w:val="base-text-paragraphChar"/>
        </w:rPr>
        <w:t xml:space="preserve">: </w:t>
      </w:r>
      <w:r w:rsidRPr="0056229D">
        <w:t xml:space="preserve">The measure is estimated to result in a gain to revenue </w:t>
      </w:r>
      <w:r w:rsidR="007B18F8">
        <w:t>in net terms</w:t>
      </w:r>
      <w:r w:rsidRPr="0056229D">
        <w:t xml:space="preserve"> over the forward estimates period of $</w:t>
      </w:r>
      <w:r w:rsidR="006306ED">
        <w:t>3,598</w:t>
      </w:r>
      <w:r w:rsidR="005F50D2" w:rsidRPr="0056229D">
        <w:t xml:space="preserve"> </w:t>
      </w:r>
      <w:r w:rsidRPr="0056229D">
        <w:t>million</w:t>
      </w:r>
      <w:r w:rsidR="00D86BDD">
        <w:t xml:space="preserve"> </w:t>
      </w:r>
      <w:r w:rsidR="007B18F8">
        <w:t>in</w:t>
      </w:r>
      <w:r w:rsidR="00BF573B">
        <w:t xml:space="preserve"> </w:t>
      </w:r>
      <w:r w:rsidR="007B18F8">
        <w:t>underlying cash balance</w:t>
      </w:r>
      <w:r w:rsidR="00166907">
        <w:t xml:space="preserve"> terms</w:t>
      </w:r>
      <w:r w:rsidR="007B18F8">
        <w:t>,</w:t>
      </w:r>
      <w:r w:rsidRPr="0056229D">
        <w:t xml:space="preserve"> comprising:</w:t>
      </w:r>
    </w:p>
    <w:tbl>
      <w:tblPr>
        <w:tblStyle w:val="TableGrid"/>
        <w:tblW w:w="0" w:type="auto"/>
        <w:tblInd w:w="1134" w:type="dxa"/>
        <w:tblLook w:val="04A0" w:firstRow="1" w:lastRow="0" w:firstColumn="1" w:lastColumn="0" w:noHBand="0" w:noVBand="1"/>
      </w:tblPr>
      <w:tblGrid>
        <w:gridCol w:w="1358"/>
        <w:gridCol w:w="1358"/>
        <w:gridCol w:w="1359"/>
        <w:gridCol w:w="1358"/>
        <w:gridCol w:w="1359"/>
      </w:tblGrid>
      <w:tr w:rsidR="005024FE" w:rsidRPr="005024FE" w14:paraId="58459AA2" w14:textId="77777777" w:rsidTr="00D86BDD">
        <w:tc>
          <w:tcPr>
            <w:tcW w:w="1358" w:type="dxa"/>
          </w:tcPr>
          <w:p w14:paraId="6EDE3E05" w14:textId="77777777" w:rsidR="005024FE" w:rsidRPr="0056229D" w:rsidRDefault="005024FE" w:rsidP="008A145B">
            <w:pPr>
              <w:pStyle w:val="tableheaderwithintable"/>
            </w:pPr>
            <w:r w:rsidRPr="0056229D">
              <w:t>2014-15</w:t>
            </w:r>
          </w:p>
        </w:tc>
        <w:tc>
          <w:tcPr>
            <w:tcW w:w="1358" w:type="dxa"/>
          </w:tcPr>
          <w:p w14:paraId="5EFE3AC7" w14:textId="77777777" w:rsidR="005024FE" w:rsidRPr="0056229D" w:rsidRDefault="005024FE" w:rsidP="008A145B">
            <w:pPr>
              <w:pStyle w:val="tableheaderwithintable"/>
            </w:pPr>
            <w:r w:rsidRPr="0056229D">
              <w:t>2015-16</w:t>
            </w:r>
          </w:p>
        </w:tc>
        <w:tc>
          <w:tcPr>
            <w:tcW w:w="1359" w:type="dxa"/>
          </w:tcPr>
          <w:p w14:paraId="5A21D2F6" w14:textId="77777777" w:rsidR="005024FE" w:rsidRPr="0056229D" w:rsidRDefault="005024FE" w:rsidP="008A145B">
            <w:pPr>
              <w:pStyle w:val="tableheaderwithintable"/>
            </w:pPr>
            <w:r w:rsidRPr="0056229D">
              <w:t>2016-17</w:t>
            </w:r>
          </w:p>
        </w:tc>
        <w:tc>
          <w:tcPr>
            <w:tcW w:w="1358" w:type="dxa"/>
          </w:tcPr>
          <w:p w14:paraId="5EA70C12" w14:textId="77777777" w:rsidR="005024FE" w:rsidRPr="0056229D" w:rsidRDefault="005024FE" w:rsidP="008A145B">
            <w:pPr>
              <w:pStyle w:val="tableheaderwithintable"/>
            </w:pPr>
            <w:r w:rsidRPr="0056229D">
              <w:t>2017-18</w:t>
            </w:r>
          </w:p>
        </w:tc>
        <w:tc>
          <w:tcPr>
            <w:tcW w:w="1359" w:type="dxa"/>
          </w:tcPr>
          <w:p w14:paraId="4986ED2C" w14:textId="77777777" w:rsidR="005024FE" w:rsidRPr="005024FE" w:rsidRDefault="005024FE" w:rsidP="008A145B">
            <w:pPr>
              <w:pStyle w:val="tableheaderwithintable"/>
            </w:pPr>
            <w:r>
              <w:t>2018-19</w:t>
            </w:r>
          </w:p>
        </w:tc>
      </w:tr>
      <w:tr w:rsidR="005024FE" w:rsidRPr="005024FE" w14:paraId="205C5599" w14:textId="77777777" w:rsidTr="00D86BDD">
        <w:tc>
          <w:tcPr>
            <w:tcW w:w="1358" w:type="dxa"/>
          </w:tcPr>
          <w:p w14:paraId="014A170A" w14:textId="77777777" w:rsidR="005024FE" w:rsidRPr="0056229D" w:rsidRDefault="005024FE" w:rsidP="005F50D2">
            <w:pPr>
              <w:pStyle w:val="tableheaderwithintable"/>
              <w:rPr>
                <w:b w:val="0"/>
                <w:i w:val="0"/>
              </w:rPr>
            </w:pPr>
            <w:r w:rsidRPr="0056229D">
              <w:rPr>
                <w:b w:val="0"/>
                <w:i w:val="0"/>
              </w:rPr>
              <w:t>$</w:t>
            </w:r>
            <w:r w:rsidR="006306ED">
              <w:rPr>
                <w:b w:val="0"/>
                <w:i w:val="0"/>
              </w:rPr>
              <w:t>123</w:t>
            </w:r>
            <w:r w:rsidR="005F50D2" w:rsidRPr="0056229D">
              <w:rPr>
                <w:b w:val="0"/>
                <w:i w:val="0"/>
              </w:rPr>
              <w:t>m</w:t>
            </w:r>
          </w:p>
        </w:tc>
        <w:tc>
          <w:tcPr>
            <w:tcW w:w="1358" w:type="dxa"/>
          </w:tcPr>
          <w:p w14:paraId="12629A7A" w14:textId="77777777" w:rsidR="005024FE" w:rsidRPr="0056229D" w:rsidRDefault="005024FE" w:rsidP="005F50D2">
            <w:pPr>
              <w:pStyle w:val="tableheaderwithintable"/>
              <w:rPr>
                <w:b w:val="0"/>
                <w:i w:val="0"/>
              </w:rPr>
            </w:pPr>
            <w:r w:rsidRPr="0056229D">
              <w:rPr>
                <w:b w:val="0"/>
                <w:i w:val="0"/>
              </w:rPr>
              <w:t>$</w:t>
            </w:r>
            <w:r w:rsidR="005F50D2">
              <w:rPr>
                <w:b w:val="0"/>
                <w:i w:val="0"/>
              </w:rPr>
              <w:t>430</w:t>
            </w:r>
            <w:r w:rsidR="005F50D2" w:rsidRPr="0056229D">
              <w:rPr>
                <w:b w:val="0"/>
                <w:i w:val="0"/>
              </w:rPr>
              <w:t>m</w:t>
            </w:r>
          </w:p>
        </w:tc>
        <w:tc>
          <w:tcPr>
            <w:tcW w:w="1359" w:type="dxa"/>
          </w:tcPr>
          <w:p w14:paraId="6BCCE481" w14:textId="77777777" w:rsidR="005024FE" w:rsidRPr="0056229D" w:rsidRDefault="005024FE" w:rsidP="005F50D2">
            <w:pPr>
              <w:pStyle w:val="tableheaderwithintable"/>
              <w:rPr>
                <w:b w:val="0"/>
                <w:i w:val="0"/>
              </w:rPr>
            </w:pPr>
            <w:r w:rsidRPr="0056229D">
              <w:rPr>
                <w:b w:val="0"/>
                <w:i w:val="0"/>
              </w:rPr>
              <w:t>$</w:t>
            </w:r>
            <w:r w:rsidR="005F50D2">
              <w:rPr>
                <w:b w:val="0"/>
                <w:i w:val="0"/>
              </w:rPr>
              <w:t>675</w:t>
            </w:r>
            <w:r w:rsidR="005F50D2" w:rsidRPr="0056229D">
              <w:rPr>
                <w:b w:val="0"/>
                <w:i w:val="0"/>
              </w:rPr>
              <w:t>m</w:t>
            </w:r>
          </w:p>
        </w:tc>
        <w:tc>
          <w:tcPr>
            <w:tcW w:w="1358" w:type="dxa"/>
          </w:tcPr>
          <w:p w14:paraId="2E671852" w14:textId="77777777" w:rsidR="005024FE" w:rsidRPr="0056229D" w:rsidRDefault="005024FE" w:rsidP="005F50D2">
            <w:pPr>
              <w:pStyle w:val="tableheaderwithintable"/>
              <w:rPr>
                <w:b w:val="0"/>
                <w:i w:val="0"/>
              </w:rPr>
            </w:pPr>
            <w:r w:rsidRPr="0056229D">
              <w:rPr>
                <w:b w:val="0"/>
                <w:i w:val="0"/>
              </w:rPr>
              <w:t>$</w:t>
            </w:r>
            <w:r w:rsidR="00A754D4">
              <w:rPr>
                <w:b w:val="0"/>
                <w:i w:val="0"/>
              </w:rPr>
              <w:t>1,</w:t>
            </w:r>
            <w:r w:rsidR="005F50D2">
              <w:rPr>
                <w:b w:val="0"/>
                <w:i w:val="0"/>
              </w:rPr>
              <w:t>040</w:t>
            </w:r>
            <w:r w:rsidR="005F50D2" w:rsidRPr="0056229D">
              <w:rPr>
                <w:b w:val="0"/>
                <w:i w:val="0"/>
              </w:rPr>
              <w:t>m</w:t>
            </w:r>
          </w:p>
        </w:tc>
        <w:tc>
          <w:tcPr>
            <w:tcW w:w="1359" w:type="dxa"/>
          </w:tcPr>
          <w:p w14:paraId="441CCFCA" w14:textId="77777777" w:rsidR="005024FE" w:rsidRDefault="005024FE" w:rsidP="005F50D2">
            <w:pPr>
              <w:pStyle w:val="tableheaderwithintable"/>
              <w:rPr>
                <w:b w:val="0"/>
                <w:i w:val="0"/>
              </w:rPr>
            </w:pPr>
            <w:r>
              <w:rPr>
                <w:b w:val="0"/>
                <w:i w:val="0"/>
              </w:rPr>
              <w:t>$</w:t>
            </w:r>
            <w:r w:rsidR="005F50D2">
              <w:rPr>
                <w:b w:val="0"/>
                <w:i w:val="0"/>
              </w:rPr>
              <w:t>1,330m</w:t>
            </w:r>
          </w:p>
        </w:tc>
      </w:tr>
    </w:tbl>
    <w:p w14:paraId="114C8090" w14:textId="77777777" w:rsidR="00DF600C" w:rsidRPr="009B49CE" w:rsidRDefault="00DF600C" w:rsidP="00DF600C">
      <w:pPr>
        <w:pStyle w:val="base-text-paragraphnonumbers"/>
        <w:spacing w:before="0"/>
        <w:ind w:left="1077"/>
        <w:rPr>
          <w:sz w:val="20"/>
        </w:rPr>
      </w:pPr>
      <w:r w:rsidRPr="009B49CE">
        <w:rPr>
          <w:sz w:val="20"/>
        </w:rPr>
        <w:t xml:space="preserve">Note: financial impacts are in </w:t>
      </w:r>
      <w:r w:rsidR="002824E4" w:rsidRPr="009B49CE">
        <w:rPr>
          <w:sz w:val="20"/>
        </w:rPr>
        <w:t>underlying cash balance</w:t>
      </w:r>
      <w:r w:rsidRPr="009B49CE">
        <w:rPr>
          <w:sz w:val="20"/>
        </w:rPr>
        <w:t xml:space="preserve"> terms.</w:t>
      </w:r>
    </w:p>
    <w:p w14:paraId="3EECCDB5" w14:textId="77777777" w:rsidR="00DF600C" w:rsidRDefault="00DF600C" w:rsidP="00DF600C">
      <w:pPr>
        <w:pStyle w:val="base-text-paragraphnonumbers"/>
      </w:pPr>
      <w:r>
        <w:rPr>
          <w:rStyle w:val="BoldItalic"/>
        </w:rPr>
        <w:t>Human rights implications</w:t>
      </w:r>
      <w:r w:rsidRPr="00D93657">
        <w:t>:</w:t>
      </w:r>
      <w:r>
        <w:t xml:space="preserve"> </w:t>
      </w:r>
      <w:r w:rsidRPr="00D93657">
        <w:t>Th</w:t>
      </w:r>
      <w:r>
        <w:t>ese</w:t>
      </w:r>
      <w:r w:rsidRPr="00D93657">
        <w:t xml:space="preserve"> </w:t>
      </w:r>
      <w:r>
        <w:t xml:space="preserve">Bills do not raise </w:t>
      </w:r>
      <w:r w:rsidRPr="00D93657">
        <w:t>any human rights issue</w:t>
      </w:r>
      <w:r>
        <w:t xml:space="preserve">s. </w:t>
      </w:r>
      <w:r w:rsidRPr="00D93657">
        <w:t xml:space="preserve">See </w:t>
      </w:r>
      <w:r w:rsidRPr="00480C91">
        <w:rPr>
          <w:i/>
        </w:rPr>
        <w:t>Statement of Compatibility with Human Rights</w:t>
      </w:r>
      <w:r>
        <w:t xml:space="preserve"> — Chapter 1, paragraphs </w:t>
      </w:r>
      <w:r w:rsidR="005940E8" w:rsidRPr="00E00E95">
        <w:t>1</w:t>
      </w:r>
      <w:r w:rsidRPr="00E00E95">
        <w:t>.</w:t>
      </w:r>
      <w:r w:rsidR="005940E8" w:rsidRPr="00E00E95">
        <w:t>9</w:t>
      </w:r>
      <w:r w:rsidR="00E3224B" w:rsidRPr="00E00E95">
        <w:t>8</w:t>
      </w:r>
      <w:r w:rsidRPr="00E00E95">
        <w:t xml:space="preserve"> to </w:t>
      </w:r>
      <w:r w:rsidR="005940E8" w:rsidRPr="00E00E95">
        <w:t>1</w:t>
      </w:r>
      <w:r w:rsidRPr="00E00E95">
        <w:t>.</w:t>
      </w:r>
      <w:r w:rsidR="002309AA" w:rsidRPr="00E00E95">
        <w:t>1</w:t>
      </w:r>
      <w:r w:rsidR="00E3224B" w:rsidRPr="00E00E95">
        <w:t>13</w:t>
      </w:r>
      <w:r w:rsidRPr="00587A9E">
        <w:t>.</w:t>
      </w:r>
    </w:p>
    <w:p w14:paraId="1D9C77D7" w14:textId="77777777" w:rsidR="00DF600C" w:rsidRDefault="00DF600C" w:rsidP="00DF600C">
      <w:pPr>
        <w:pStyle w:val="base-text-paragraphnonumbers"/>
      </w:pPr>
      <w:r w:rsidRPr="00A62512">
        <w:rPr>
          <w:rStyle w:val="BoldItalic"/>
        </w:rPr>
        <w:t>Compliance cost impact</w:t>
      </w:r>
      <w:r w:rsidRPr="00A62512">
        <w:rPr>
          <w:rStyle w:val="base-text-paragraphChar"/>
        </w:rPr>
        <w:t xml:space="preserve">: </w:t>
      </w:r>
      <w:r w:rsidRPr="00221711">
        <w:t xml:space="preserve">The measure imposes a </w:t>
      </w:r>
      <w:r>
        <w:t>moderate</w:t>
      </w:r>
      <w:r w:rsidRPr="00221711">
        <w:t xml:space="preserve"> </w:t>
      </w:r>
      <w:r>
        <w:t>increase in</w:t>
      </w:r>
      <w:r w:rsidRPr="00221711">
        <w:t xml:space="preserve"> compliance cost</w:t>
      </w:r>
      <w:r>
        <w:t>s</w:t>
      </w:r>
      <w:r w:rsidRPr="00221711">
        <w:t xml:space="preserve"> </w:t>
      </w:r>
      <w:r>
        <w:t>for</w:t>
      </w:r>
      <w:r w:rsidRPr="00221711">
        <w:t xml:space="preserve"> fuel manufacturers and importers</w:t>
      </w:r>
      <w:r>
        <w:t>, as well as</w:t>
      </w:r>
      <w:r w:rsidRPr="00221711">
        <w:t xml:space="preserve"> fuel tax credit claimants.</w:t>
      </w:r>
    </w:p>
    <w:p w14:paraId="16AE39D7" w14:textId="77777777" w:rsidR="00DF600C" w:rsidRPr="0016322A" w:rsidRDefault="00DF600C" w:rsidP="00D86BDD">
      <w:pPr>
        <w:pStyle w:val="Heading2"/>
        <w:spacing w:before="360"/>
      </w:pPr>
      <w:r w:rsidRPr="0016322A">
        <w:t>Summary of regulation impact statement</w:t>
      </w:r>
    </w:p>
    <w:p w14:paraId="34EDB291" w14:textId="77777777" w:rsidR="006640CD" w:rsidRPr="00BF68B5" w:rsidRDefault="006640CD" w:rsidP="00C40034">
      <w:pPr>
        <w:pStyle w:val="base-text-paragraphnonumbers"/>
      </w:pPr>
      <w:r w:rsidRPr="00FD6629">
        <w:t xml:space="preserve">The </w:t>
      </w:r>
      <w:r w:rsidRPr="00BF68B5">
        <w:t xml:space="preserve">regulation impact statement in Chapter 2 is the same </w:t>
      </w:r>
      <w:r w:rsidRPr="00BB2867">
        <w:t>regulation impact</w:t>
      </w:r>
      <w:r w:rsidRPr="006640CD">
        <w:t xml:space="preserve"> </w:t>
      </w:r>
      <w:r w:rsidRPr="00BF68B5">
        <w:t xml:space="preserve">statement </w:t>
      </w:r>
      <w:r>
        <w:t>that</w:t>
      </w:r>
      <w:r w:rsidRPr="00BF68B5">
        <w:t xml:space="preserve"> was included in the Explanatory Memorandum </w:t>
      </w:r>
      <w:r w:rsidR="007228D9">
        <w:t>for</w:t>
      </w:r>
      <w:r w:rsidRPr="00BF68B5">
        <w:t xml:space="preserve"> the Excise Tariff Amendment (Fuel Indexation) Bill 2014, the </w:t>
      </w:r>
      <w:hyperlink r:id="rId29" w:history="1">
        <w:r w:rsidRPr="00BF68B5">
          <w:t>Customs Tariff Amendment (Fuel Indexation) Bill 2014</w:t>
        </w:r>
      </w:hyperlink>
      <w:r w:rsidRPr="00BF68B5">
        <w:t xml:space="preserve">, the </w:t>
      </w:r>
      <w:hyperlink r:id="rId30" w:history="1">
        <w:r w:rsidRPr="00BF68B5">
          <w:t>Fuel Indexation (Road Funding) Special Account Bill 2014</w:t>
        </w:r>
      </w:hyperlink>
      <w:r w:rsidRPr="00BF68B5">
        <w:t xml:space="preserve"> and the </w:t>
      </w:r>
      <w:hyperlink r:id="rId31" w:history="1">
        <w:r w:rsidRPr="00BF68B5">
          <w:t>Fuel Indexation (Road Funding) Bill 2014</w:t>
        </w:r>
      </w:hyperlink>
      <w:r w:rsidR="007E1E20">
        <w:t>,</w:t>
      </w:r>
      <w:r w:rsidR="007228D9">
        <w:t xml:space="preserve"> that were introduced to Parliament on </w:t>
      </w:r>
      <w:r w:rsidR="00DC7F28">
        <w:t>19 June 20</w:t>
      </w:r>
      <w:r w:rsidR="008247EF">
        <w:t>1</w:t>
      </w:r>
      <w:r w:rsidR="00DC7F28">
        <w:t>4.</w:t>
      </w:r>
      <w:r>
        <w:t xml:space="preserve"> The policy intent of this package of Bills </w:t>
      </w:r>
      <w:r w:rsidR="003E5657">
        <w:t xml:space="preserve">to index fuel duty to </w:t>
      </w:r>
      <w:r w:rsidR="00BD137F">
        <w:t xml:space="preserve">the </w:t>
      </w:r>
      <w:r w:rsidR="003E5657">
        <w:t xml:space="preserve">CPI </w:t>
      </w:r>
      <w:r>
        <w:t>remains the same.</w:t>
      </w:r>
    </w:p>
    <w:p w14:paraId="1DE826C4" w14:textId="77777777" w:rsidR="00DF600C" w:rsidRPr="0016322A" w:rsidRDefault="00DF600C" w:rsidP="00DF600C">
      <w:pPr>
        <w:pStyle w:val="Heading3"/>
      </w:pPr>
      <w:r w:rsidRPr="0016322A">
        <w:t>Regulation impact on business</w:t>
      </w:r>
    </w:p>
    <w:p w14:paraId="6E23E89E" w14:textId="77777777" w:rsidR="00DF600C" w:rsidRPr="0016322A" w:rsidRDefault="00DF600C" w:rsidP="00DF600C">
      <w:pPr>
        <w:pStyle w:val="base-text-paragraphnonumbers"/>
      </w:pPr>
      <w:r w:rsidRPr="0016322A">
        <w:rPr>
          <w:b/>
          <w:i/>
        </w:rPr>
        <w:t>Impact</w:t>
      </w:r>
      <w:r w:rsidRPr="0016322A">
        <w:t>: Moderate</w:t>
      </w:r>
      <w:r>
        <w:t>.</w:t>
      </w:r>
    </w:p>
    <w:p w14:paraId="729FF72C" w14:textId="77777777" w:rsidR="00DF600C" w:rsidRPr="0016322A" w:rsidRDefault="00DF600C" w:rsidP="00DF600C">
      <w:pPr>
        <w:pStyle w:val="base-text-paragraphnonumbers"/>
        <w:rPr>
          <w:b/>
          <w:i/>
        </w:rPr>
      </w:pPr>
      <w:r w:rsidRPr="0016322A">
        <w:rPr>
          <w:b/>
          <w:i/>
        </w:rPr>
        <w:t>Main points</w:t>
      </w:r>
      <w:r w:rsidRPr="0016322A">
        <w:t>:</w:t>
      </w:r>
    </w:p>
    <w:p w14:paraId="7DDA43E6" w14:textId="77777777" w:rsidR="00DF600C" w:rsidRPr="0016322A" w:rsidRDefault="00DF600C" w:rsidP="003F4CD9">
      <w:pPr>
        <w:pStyle w:val="dotpoint"/>
      </w:pPr>
      <w:r w:rsidRPr="0016322A">
        <w:t>Some of the fuel manufacturers and importers in the Australian market are likely to require an update to their systems in order to accommodate the biannual indexation of fuel duty rates</w:t>
      </w:r>
      <w:r w:rsidR="001C5526">
        <w:t xml:space="preserve">. </w:t>
      </w:r>
    </w:p>
    <w:p w14:paraId="396BC491" w14:textId="77777777" w:rsidR="00DF600C" w:rsidRPr="0016322A" w:rsidRDefault="00DF600C" w:rsidP="003F4CD9">
      <w:pPr>
        <w:pStyle w:val="dotpoint"/>
      </w:pPr>
      <w:r w:rsidRPr="0016322A">
        <w:t>There will also be ongoing costs associated with the twice</w:t>
      </w:r>
      <w:r>
        <w:noBreakHyphen/>
      </w:r>
      <w:r w:rsidRPr="0016322A">
        <w:t>yearly change in the fuel duty rate for all remitters of fuel excise and excise-equivalent customs duty.</w:t>
      </w:r>
    </w:p>
    <w:p w14:paraId="7660CBCF" w14:textId="77777777" w:rsidR="006640CD" w:rsidRPr="0016322A" w:rsidRDefault="00DF600C" w:rsidP="00D86BDD">
      <w:pPr>
        <w:pStyle w:val="dotpoint"/>
      </w:pPr>
      <w:r w:rsidRPr="0016322A">
        <w:t>The majority of the change in the compliance costs for businesses with entitlements to fuel tax credits is borne by entities who submit their Business Activity Statements on a quarterly or annual basis</w:t>
      </w:r>
      <w:r>
        <w:t xml:space="preserve">. </w:t>
      </w:r>
      <w:r w:rsidRPr="0016322A">
        <w:t>These entities will be required to organise purchases of fuels between purchases before and after the indexation date, in order to properly account for their fuel tax credit entitlement</w:t>
      </w:r>
      <w:r w:rsidR="001C5526">
        <w:t xml:space="preserve">. </w:t>
      </w:r>
    </w:p>
    <w:p w14:paraId="7A77BBEE" w14:textId="77777777" w:rsidR="00DF600C" w:rsidRDefault="00DF600C" w:rsidP="00DF600C">
      <w:pPr>
        <w:pStyle w:val="base-text-paragraphnonumbers"/>
      </w:pPr>
    </w:p>
    <w:p w14:paraId="59C412DC" w14:textId="77777777" w:rsidR="00DF600C" w:rsidRDefault="00DF600C" w:rsidP="00DF600C">
      <w:pPr>
        <w:pStyle w:val="base-text-paragraphnonumbers"/>
        <w:sectPr w:rsidR="00DF600C" w:rsidSect="00527C7F">
          <w:headerReference w:type="even" r:id="rId32"/>
          <w:headerReference w:type="default" r:id="rId33"/>
          <w:footerReference w:type="even" r:id="rId34"/>
          <w:footerReference w:type="default" r:id="rId35"/>
          <w:footerReference w:type="first" r:id="rId36"/>
          <w:type w:val="oddPage"/>
          <w:pgSz w:w="11906" w:h="16838" w:code="9"/>
          <w:pgMar w:top="2466" w:right="2098" w:bottom="2466" w:left="2098" w:header="1559" w:footer="1899" w:gutter="0"/>
          <w:cols w:space="708"/>
          <w:titlePg/>
          <w:docGrid w:linePitch="360"/>
        </w:sectPr>
      </w:pPr>
    </w:p>
    <w:p w14:paraId="52147071" w14:textId="77777777" w:rsidR="00DF600C" w:rsidRPr="00F51A71" w:rsidRDefault="00BB5832">
      <w:pPr>
        <w:pStyle w:val="ChapterHeading"/>
        <w:tabs>
          <w:tab w:val="clear" w:pos="1134"/>
          <w:tab w:val="num" w:pos="360"/>
        </w:tabs>
      </w:pPr>
      <w:bookmarkStart w:id="11" w:name="_Toc416339978"/>
      <w:bookmarkStart w:id="12" w:name="_Toc420051477"/>
      <w:bookmarkStart w:id="13" w:name="_Toc420060831"/>
      <w:r>
        <w:br/>
      </w:r>
      <w:bookmarkStart w:id="14" w:name="_Toc422409202"/>
      <w:bookmarkStart w:id="15" w:name="_Toc422820734"/>
      <w:r w:rsidR="00665A12">
        <w:t>CPI i</w:t>
      </w:r>
      <w:r w:rsidR="00DF600C">
        <w:t>ndexation of fuel excise and excise</w:t>
      </w:r>
      <w:r w:rsidR="00DF600C">
        <w:noBreakHyphen/>
        <w:t>equivalent customs duty</w:t>
      </w:r>
      <w:bookmarkEnd w:id="11"/>
      <w:bookmarkEnd w:id="12"/>
      <w:bookmarkEnd w:id="13"/>
      <w:bookmarkEnd w:id="14"/>
      <w:bookmarkEnd w:id="15"/>
    </w:p>
    <w:p w14:paraId="752A75D1" w14:textId="77777777" w:rsidR="00DF600C" w:rsidRDefault="00DF600C" w:rsidP="00DF600C">
      <w:pPr>
        <w:pStyle w:val="Heading2"/>
      </w:pPr>
      <w:r>
        <w:t>Outline of chapter</w:t>
      </w:r>
    </w:p>
    <w:p w14:paraId="78F6B9CD" w14:textId="77777777" w:rsidR="00DF600C" w:rsidRDefault="00DF600C" w:rsidP="003F4CD9">
      <w:pPr>
        <w:pStyle w:val="base-text-paragraph"/>
        <w:numPr>
          <w:ilvl w:val="1"/>
          <w:numId w:val="32"/>
        </w:numPr>
      </w:pPr>
      <w:r>
        <w:t xml:space="preserve">The Excise Tariff Amendment (Fuel Indexation) Bill 2015 (Excise Fuel Indexation Bill 2015) and the Customs Tariff Amendment (Fuel Indexation) Bill 2015 (Customs Fuel Indexation Bill 2015) amend the </w:t>
      </w:r>
      <w:r w:rsidRPr="005601E5">
        <w:rPr>
          <w:i/>
        </w:rPr>
        <w:t>Excise Tariff Act 1921</w:t>
      </w:r>
      <w:r>
        <w:t xml:space="preserve"> and the </w:t>
      </w:r>
      <w:r w:rsidRPr="005601E5">
        <w:rPr>
          <w:i/>
        </w:rPr>
        <w:t>Customs Tariff Act 1995</w:t>
      </w:r>
      <w:r>
        <w:t xml:space="preserve"> to index the rate of excise and excise</w:t>
      </w:r>
      <w:r>
        <w:noBreakHyphen/>
        <w:t xml:space="preserve">equivalent customs duty applying to fuels </w:t>
      </w:r>
      <w:r w:rsidR="005B5D4D">
        <w:t xml:space="preserve">(other than aviation fuels) </w:t>
      </w:r>
      <w:r>
        <w:t>to assist in funding investment in road infrastructure</w:t>
      </w:r>
      <w:r w:rsidR="001C5526">
        <w:t xml:space="preserve">. </w:t>
      </w:r>
    </w:p>
    <w:p w14:paraId="2C42D673" w14:textId="77777777" w:rsidR="00906756" w:rsidRDefault="00906756" w:rsidP="00906756">
      <w:pPr>
        <w:pStyle w:val="base-text-paragraph"/>
        <w:numPr>
          <w:ilvl w:val="1"/>
          <w:numId w:val="32"/>
        </w:numPr>
      </w:pPr>
      <w:r>
        <w:t xml:space="preserve">The effect of the </w:t>
      </w:r>
      <w:r w:rsidRPr="00906756">
        <w:t>E</w:t>
      </w:r>
      <w:r>
        <w:t xml:space="preserve">xcise Fuel Indexation Bill 2015 and the </w:t>
      </w:r>
      <w:r w:rsidRPr="00906756">
        <w:t>Customs Fuel Indexation Bill 2015</w:t>
      </w:r>
      <w:r>
        <w:t xml:space="preserve"> is to validate the </w:t>
      </w:r>
      <w:r w:rsidRPr="00906756">
        <w:t>Excise Tariff Proposal (No. 1) 2014 and Customs Tariff Proposal (No. 1) 2014</w:t>
      </w:r>
      <w:r>
        <w:t xml:space="preserve"> </w:t>
      </w:r>
      <w:r w:rsidR="009B49CE">
        <w:t xml:space="preserve">(Tariff Proposals) </w:t>
      </w:r>
      <w:r>
        <w:t xml:space="preserve">that were tabled in the House of Representatives on 30 October 2014 to index fuel duty to the </w:t>
      </w:r>
      <w:r w:rsidR="007E1E20">
        <w:t>consumer price index (</w:t>
      </w:r>
      <w:r>
        <w:t>CPI</w:t>
      </w:r>
      <w:r w:rsidR="007E1E20">
        <w:t>)</w:t>
      </w:r>
      <w:r>
        <w:t xml:space="preserve"> from 10</w:t>
      </w:r>
      <w:r w:rsidR="00DB3F37">
        <w:t> </w:t>
      </w:r>
      <w:r>
        <w:t>November 2014.</w:t>
      </w:r>
    </w:p>
    <w:p w14:paraId="1B29BFB0" w14:textId="77777777" w:rsidR="00DF600C" w:rsidRDefault="00DF600C" w:rsidP="003F4CD9">
      <w:pPr>
        <w:pStyle w:val="base-text-paragraph"/>
        <w:numPr>
          <w:ilvl w:val="1"/>
          <w:numId w:val="32"/>
        </w:numPr>
        <w:rPr>
          <w:szCs w:val="22"/>
          <w:lang w:val="en"/>
        </w:rPr>
      </w:pPr>
      <w:r>
        <w:rPr>
          <w:szCs w:val="22"/>
          <w:lang w:val="en"/>
        </w:rPr>
        <w:t xml:space="preserve">The Fuel Indexation (Road Funding) Special Account Bill 2015 (Fuel Indexation Special Account Bill 2015) </w:t>
      </w:r>
      <w:r>
        <w:t>establishes a special account to ensure that the net additional revenue from the reintroduction of fuel indexation is used for road infrastructure funding.</w:t>
      </w:r>
    </w:p>
    <w:p w14:paraId="2BAB8879" w14:textId="77777777" w:rsidR="00DF600C" w:rsidRPr="00906756" w:rsidRDefault="00DF600C" w:rsidP="003F4CD9">
      <w:pPr>
        <w:pStyle w:val="base-text-paragraph"/>
        <w:numPr>
          <w:ilvl w:val="1"/>
          <w:numId w:val="32"/>
        </w:numPr>
        <w:rPr>
          <w:szCs w:val="22"/>
          <w:lang w:val="en"/>
        </w:rPr>
      </w:pPr>
      <w:r w:rsidRPr="00F174A1">
        <w:t>The Fuel Indexation (Road Funding) Bill</w:t>
      </w:r>
      <w:r w:rsidRPr="00FB5763">
        <w:t xml:space="preserve"> 201</w:t>
      </w:r>
      <w:r w:rsidRPr="004B0CB1">
        <w:t xml:space="preserve">5 </w:t>
      </w:r>
      <w:r w:rsidRPr="00F174A1">
        <w:t xml:space="preserve">(Fuel Indexation Consequential Bill 2015) </w:t>
      </w:r>
      <w:r w:rsidR="0012498E">
        <w:rPr>
          <w:szCs w:val="22"/>
          <w:lang w:val="en"/>
        </w:rPr>
        <w:t xml:space="preserve">makes consequential amendments, including </w:t>
      </w:r>
      <w:r w:rsidR="0012498E" w:rsidRPr="00F174A1">
        <w:rPr>
          <w:szCs w:val="22"/>
          <w:lang w:val="en"/>
        </w:rPr>
        <w:t>amend</w:t>
      </w:r>
      <w:r w:rsidR="0012498E">
        <w:rPr>
          <w:szCs w:val="22"/>
          <w:lang w:val="en"/>
        </w:rPr>
        <w:t>ing</w:t>
      </w:r>
      <w:r w:rsidR="0012498E" w:rsidRPr="00F174A1">
        <w:rPr>
          <w:szCs w:val="22"/>
          <w:lang w:val="en"/>
        </w:rPr>
        <w:t xml:space="preserve"> the </w:t>
      </w:r>
      <w:r w:rsidR="0012498E" w:rsidRPr="00F174A1">
        <w:rPr>
          <w:i/>
          <w:szCs w:val="22"/>
          <w:lang w:val="en"/>
        </w:rPr>
        <w:t xml:space="preserve">Fuel Tax Act 2006 </w:t>
      </w:r>
      <w:r w:rsidR="0012498E" w:rsidRPr="00F174A1" w:rsidDel="00293F39">
        <w:t xml:space="preserve">to </w:t>
      </w:r>
      <w:r w:rsidR="0012498E" w:rsidRPr="00F174A1">
        <w:t xml:space="preserve">ensure that </w:t>
      </w:r>
      <w:r w:rsidR="0012498E" w:rsidRPr="00363674">
        <w:t xml:space="preserve">the road user charge </w:t>
      </w:r>
      <w:r w:rsidR="00484C2C">
        <w:t xml:space="preserve">rate that is determined </w:t>
      </w:r>
      <w:r w:rsidR="0012498E" w:rsidRPr="00363674">
        <w:t xml:space="preserve">is rounded </w:t>
      </w:r>
      <w:r w:rsidR="0012498E">
        <w:t>in the same way as</w:t>
      </w:r>
      <w:r w:rsidR="0012498E" w:rsidRPr="00363674">
        <w:t xml:space="preserve"> </w:t>
      </w:r>
      <w:r w:rsidR="0012498E">
        <w:t>fuel duty rates are rounded</w:t>
      </w:r>
      <w:r w:rsidRPr="00363674">
        <w:t>.</w:t>
      </w:r>
      <w:r w:rsidRPr="00F174A1">
        <w:t xml:space="preserve"> </w:t>
      </w:r>
    </w:p>
    <w:p w14:paraId="6E9F5302" w14:textId="77777777" w:rsidR="00DF600C" w:rsidRDefault="00DF600C" w:rsidP="00DF600C">
      <w:pPr>
        <w:pStyle w:val="Heading2"/>
      </w:pPr>
      <w:r>
        <w:t>Context of amendments</w:t>
      </w:r>
    </w:p>
    <w:p w14:paraId="714077BF" w14:textId="77777777" w:rsidR="00DF600C" w:rsidRDefault="00DF600C" w:rsidP="003F4CD9">
      <w:pPr>
        <w:pStyle w:val="base-text-paragraph"/>
        <w:numPr>
          <w:ilvl w:val="1"/>
          <w:numId w:val="32"/>
        </w:numPr>
      </w:pPr>
      <w:r>
        <w:t xml:space="preserve">Excise and excise-equivalent customs duty are levied on fuel at the rates set out in the </w:t>
      </w:r>
      <w:r w:rsidRPr="00363674">
        <w:rPr>
          <w:i/>
        </w:rPr>
        <w:t>Excise Tariff Act</w:t>
      </w:r>
      <w:r w:rsidRPr="003F4CD9">
        <w:rPr>
          <w:i/>
        </w:rPr>
        <w:t xml:space="preserve"> 1921</w:t>
      </w:r>
      <w:r w:rsidRPr="002D3A83">
        <w:rPr>
          <w:i/>
        </w:rPr>
        <w:t xml:space="preserve"> </w:t>
      </w:r>
      <w:r>
        <w:t xml:space="preserve">and the </w:t>
      </w:r>
      <w:r w:rsidRPr="00363674">
        <w:rPr>
          <w:i/>
        </w:rPr>
        <w:t>Customs Tariff Act </w:t>
      </w:r>
      <w:r w:rsidRPr="003F4CD9">
        <w:rPr>
          <w:i/>
        </w:rPr>
        <w:t>1995</w:t>
      </w:r>
      <w:r>
        <w:t xml:space="preserve">. </w:t>
      </w:r>
      <w:r w:rsidR="007E1E20">
        <w:t>Indexation of t</w:t>
      </w:r>
      <w:r>
        <w:t>he rates of excise and excise</w:t>
      </w:r>
      <w:r>
        <w:noBreakHyphen/>
        <w:t xml:space="preserve">equivalent customs duty applying to fuel </w:t>
      </w:r>
      <w:r w:rsidR="006128D5">
        <w:t xml:space="preserve">under these Acts </w:t>
      </w:r>
      <w:r w:rsidR="007F12D1">
        <w:t xml:space="preserve">ceased in </w:t>
      </w:r>
      <w:r>
        <w:t>2001. As a result, the real value of excise and excise</w:t>
      </w:r>
      <w:r>
        <w:noBreakHyphen/>
        <w:t xml:space="preserve">equivalent customs duty collections has decreased each year. </w:t>
      </w:r>
    </w:p>
    <w:p w14:paraId="513EDC89" w14:textId="77777777" w:rsidR="00923E39" w:rsidRPr="00923E39" w:rsidRDefault="00923E39" w:rsidP="00ED1EB6">
      <w:pPr>
        <w:pStyle w:val="base-text-paragraph"/>
        <w:keepNext/>
        <w:keepLines/>
      </w:pPr>
      <w:r>
        <w:t>The Government introduced t</w:t>
      </w:r>
      <w:r w:rsidRPr="00547588">
        <w:t>he Excise Tariff Amendment (Fuel Indexation) Bill 2014</w:t>
      </w:r>
      <w:r w:rsidR="00F948DE" w:rsidRPr="00F948DE">
        <w:t>, the Customs Tariff Amendment (Fuel Indexation) Bill 2014, the Fuel Indexation (Road Funding) Special Account Bill 2014 and the Fuel Indexation (Road Funding) Bill 2014</w:t>
      </w:r>
      <w:r w:rsidRPr="00547588">
        <w:t xml:space="preserve"> to Parliament on 19</w:t>
      </w:r>
      <w:r>
        <w:t> </w:t>
      </w:r>
      <w:r w:rsidRPr="00F948DE">
        <w:t>June 2014.</w:t>
      </w:r>
      <w:r w:rsidR="00547588">
        <w:t xml:space="preserve"> </w:t>
      </w:r>
      <w:r>
        <w:t xml:space="preserve">The package of Bills </w:t>
      </w:r>
      <w:r w:rsidR="00A7407D">
        <w:t>sought</w:t>
      </w:r>
      <w:r>
        <w:t xml:space="preserve"> to give effect to the 2014</w:t>
      </w:r>
      <w:r w:rsidR="001C5526">
        <w:noBreakHyphen/>
        <w:t>15 </w:t>
      </w:r>
      <w:r>
        <w:t xml:space="preserve">Budget announcement to </w:t>
      </w:r>
      <w:r w:rsidR="000165CB">
        <w:t>re</w:t>
      </w:r>
      <w:r>
        <w:t xml:space="preserve">introduce fuel indexation from </w:t>
      </w:r>
      <w:r w:rsidR="001C5526">
        <w:t>1 </w:t>
      </w:r>
      <w:r>
        <w:t>August 2014.</w:t>
      </w:r>
    </w:p>
    <w:p w14:paraId="739F613D" w14:textId="77777777" w:rsidR="006128D5" w:rsidRDefault="00923E39" w:rsidP="00ED1EB6">
      <w:pPr>
        <w:pStyle w:val="base-text-paragraph"/>
      </w:pPr>
      <w:r>
        <w:t xml:space="preserve">However this </w:t>
      </w:r>
      <w:r w:rsidR="00965DFF" w:rsidRPr="00965DFF">
        <w:t xml:space="preserve">package </w:t>
      </w:r>
      <w:r>
        <w:t xml:space="preserve">of Bills </w:t>
      </w:r>
      <w:r w:rsidR="00965DFF" w:rsidRPr="00965DFF">
        <w:t>did not receive passage in time to implement the measure from 1 August 2014</w:t>
      </w:r>
      <w:r>
        <w:t>. Therefore to give practical effect to the Budget decision</w:t>
      </w:r>
      <w:r w:rsidR="00965DFF" w:rsidRPr="00965DFF">
        <w:t xml:space="preserve">, </w:t>
      </w:r>
      <w:r>
        <w:t>o</w:t>
      </w:r>
      <w:r w:rsidR="006128D5">
        <w:t>n 30 October 2014</w:t>
      </w:r>
      <w:r>
        <w:t xml:space="preserve"> </w:t>
      </w:r>
      <w:r w:rsidR="009908C6">
        <w:t xml:space="preserve">the Government </w:t>
      </w:r>
      <w:r>
        <w:t>tabled the</w:t>
      </w:r>
      <w:r w:rsidR="006128D5">
        <w:t xml:space="preserve"> </w:t>
      </w:r>
      <w:r w:rsidR="00440064">
        <w:t>Tariff Proposals</w:t>
      </w:r>
      <w:r w:rsidR="006128D5">
        <w:t xml:space="preserve"> in the House of Representatives. The </w:t>
      </w:r>
      <w:r w:rsidR="00440064">
        <w:t>T</w:t>
      </w:r>
      <w:r w:rsidR="006128D5">
        <w:t xml:space="preserve">ariff </w:t>
      </w:r>
      <w:r w:rsidR="00440064">
        <w:t>P</w:t>
      </w:r>
      <w:r w:rsidR="006128D5">
        <w:t xml:space="preserve">roposals </w:t>
      </w:r>
      <w:r w:rsidR="005F01E7">
        <w:t>authorise</w:t>
      </w:r>
      <w:r w:rsidR="00054836">
        <w:t xml:space="preserve"> </w:t>
      </w:r>
      <w:r w:rsidR="006128D5">
        <w:t>the Commissioner of Taxation and the</w:t>
      </w:r>
      <w:r w:rsidR="002275B1">
        <w:t xml:space="preserve"> </w:t>
      </w:r>
      <w:r w:rsidR="006265C0">
        <w:t>Comptroller-General of Customs</w:t>
      </w:r>
      <w:r w:rsidR="00CE3EAF" w:rsidDel="00CE3EAF">
        <w:t xml:space="preserve"> </w:t>
      </w:r>
      <w:r w:rsidR="004E222E">
        <w:t xml:space="preserve">to collect </w:t>
      </w:r>
      <w:r w:rsidR="006128D5">
        <w:t>higher rate</w:t>
      </w:r>
      <w:r w:rsidR="004E222E">
        <w:t>s</w:t>
      </w:r>
      <w:r w:rsidR="006128D5">
        <w:t xml:space="preserve"> of fuel duty from </w:t>
      </w:r>
      <w:r>
        <w:t>10 </w:t>
      </w:r>
      <w:r w:rsidR="006128D5">
        <w:t>November 2014</w:t>
      </w:r>
      <w:r w:rsidR="006C783B">
        <w:t>,</w:t>
      </w:r>
      <w:r w:rsidR="004E222E">
        <w:t xml:space="preserve"> which </w:t>
      </w:r>
      <w:r w:rsidR="006C783B">
        <w:t>are indexed</w:t>
      </w:r>
      <w:r w:rsidR="00EC17F8">
        <w:t xml:space="preserve"> in line with </w:t>
      </w:r>
      <w:r w:rsidR="004E222E">
        <w:t xml:space="preserve">CPI movements on </w:t>
      </w:r>
      <w:r>
        <w:t>2 </w:t>
      </w:r>
      <w:r w:rsidR="004E222E">
        <w:t>February 2015</w:t>
      </w:r>
      <w:r w:rsidR="005B5D4D">
        <w:rPr>
          <w:rStyle w:val="FootnoteReference"/>
        </w:rPr>
        <w:footnoteReference w:id="2"/>
      </w:r>
      <w:r w:rsidR="004E222E">
        <w:t xml:space="preserve"> and </w:t>
      </w:r>
      <w:r w:rsidR="00097063">
        <w:t>1 </w:t>
      </w:r>
      <w:r w:rsidR="004E222E">
        <w:t>August 2015</w:t>
      </w:r>
      <w:r w:rsidR="00EC17F8">
        <w:t xml:space="preserve"> respectively</w:t>
      </w:r>
      <w:r w:rsidR="004E222E">
        <w:t xml:space="preserve">. The </w:t>
      </w:r>
      <w:r w:rsidR="00440064">
        <w:t>T</w:t>
      </w:r>
      <w:r w:rsidR="004E222E">
        <w:t xml:space="preserve">ariff </w:t>
      </w:r>
      <w:r w:rsidR="00440064">
        <w:t>P</w:t>
      </w:r>
      <w:r w:rsidR="004E222E">
        <w:t xml:space="preserve">roposals </w:t>
      </w:r>
      <w:r w:rsidR="005F01E7">
        <w:t xml:space="preserve">authorise </w:t>
      </w:r>
      <w:r w:rsidR="004E222E">
        <w:t xml:space="preserve">the </w:t>
      </w:r>
      <w:r w:rsidR="00EC17F8">
        <w:t xml:space="preserve">collection of the </w:t>
      </w:r>
      <w:r w:rsidR="004E222E">
        <w:t xml:space="preserve">higher indexed rates of duty until </w:t>
      </w:r>
      <w:r w:rsidR="001C5526">
        <w:t>29 </w:t>
      </w:r>
      <w:r w:rsidR="004E222E">
        <w:t>October 2015.</w:t>
      </w:r>
      <w:r w:rsidR="00654ED6">
        <w:rPr>
          <w:rStyle w:val="FootnoteReference"/>
        </w:rPr>
        <w:footnoteReference w:id="3"/>
      </w:r>
      <w:r w:rsidR="004E222E">
        <w:t xml:space="preserve"> </w:t>
      </w:r>
    </w:p>
    <w:p w14:paraId="07B8D9BD" w14:textId="77777777" w:rsidR="008D263D" w:rsidRDefault="008D263D" w:rsidP="00597E5D">
      <w:pPr>
        <w:pStyle w:val="base-text-paragraph"/>
        <w:numPr>
          <w:ilvl w:val="1"/>
          <w:numId w:val="32"/>
        </w:numPr>
      </w:pPr>
      <w:r>
        <w:t xml:space="preserve">The </w:t>
      </w:r>
      <w:r w:rsidRPr="008D263D">
        <w:rPr>
          <w:i/>
        </w:rPr>
        <w:t>Tax and Superannuation Laws Amendment (2014 Measures No. 6) Act 2014</w:t>
      </w:r>
      <w:r>
        <w:t xml:space="preserve"> amended the </w:t>
      </w:r>
      <w:r w:rsidRPr="008D263D">
        <w:rPr>
          <w:i/>
        </w:rPr>
        <w:t>Fuel Tax Act 2006</w:t>
      </w:r>
      <w:r>
        <w:t xml:space="preserve"> and the </w:t>
      </w:r>
      <w:r w:rsidRPr="008D263D">
        <w:rPr>
          <w:i/>
        </w:rPr>
        <w:t>Energy Grants (Cleaner Fuels) Scheme Regulations 2004</w:t>
      </w:r>
      <w:r>
        <w:t xml:space="preserve"> to ensure that changes to the amounts of excise and excise</w:t>
      </w:r>
      <w:r>
        <w:noBreakHyphen/>
        <w:t xml:space="preserve">equivalent customs duty payable as a result of any tariff proposals tabled in </w:t>
      </w:r>
      <w:r w:rsidR="00EA5201">
        <w:t>Parliament</w:t>
      </w:r>
      <w:r w:rsidR="00C751AB">
        <w:t>,</w:t>
      </w:r>
      <w:r>
        <w:t xml:space="preserve"> are taken into account in calculating the </w:t>
      </w:r>
      <w:r w:rsidR="00EA5201">
        <w:t>amount</w:t>
      </w:r>
      <w:r>
        <w:t xml:space="preserve"> of fuel tax credits and any entitlement to the cleaner fuels grant for biodiesel and renewable diesel</w:t>
      </w:r>
      <w:r w:rsidR="001C5526">
        <w:t xml:space="preserve">. </w:t>
      </w:r>
    </w:p>
    <w:p w14:paraId="5985D7EA" w14:textId="77777777" w:rsidR="008D263D" w:rsidRDefault="008D263D" w:rsidP="00ED1EB6">
      <w:pPr>
        <w:pStyle w:val="base-text-paragraph"/>
        <w:numPr>
          <w:ilvl w:val="1"/>
          <w:numId w:val="32"/>
        </w:numPr>
      </w:pPr>
      <w:r>
        <w:t xml:space="preserve">This </w:t>
      </w:r>
      <w:r w:rsidR="00440064">
        <w:t xml:space="preserve">ensures </w:t>
      </w:r>
      <w:r>
        <w:t>that:</w:t>
      </w:r>
    </w:p>
    <w:p w14:paraId="7EB904F2" w14:textId="77777777" w:rsidR="00D53ADB" w:rsidRDefault="008D263D" w:rsidP="00ED1EB6">
      <w:pPr>
        <w:pStyle w:val="dotpoint"/>
        <w:tabs>
          <w:tab w:val="clear" w:pos="2268"/>
          <w:tab w:val="num" w:pos="1985"/>
        </w:tabs>
        <w:ind w:left="1985" w:hanging="284"/>
      </w:pPr>
      <w:r w:rsidRPr="00D53ADB">
        <w:t>entities that use fuel in their business</w:t>
      </w:r>
      <w:r w:rsidR="00D53ADB">
        <w:t>es</w:t>
      </w:r>
      <w:r w:rsidRPr="00D53ADB">
        <w:t xml:space="preserve"> for certain activities are entitled to claim fuel tax credits</w:t>
      </w:r>
      <w:r w:rsidR="00D53ADB">
        <w:t xml:space="preserve"> based on the rate of applicable duty less any rebates or grants that apply</w:t>
      </w:r>
      <w:r w:rsidR="00440064">
        <w:t xml:space="preserve"> at that time</w:t>
      </w:r>
      <w:r w:rsidR="00D53ADB">
        <w:t>; and</w:t>
      </w:r>
    </w:p>
    <w:p w14:paraId="1AFFA90F" w14:textId="77777777" w:rsidR="008D263D" w:rsidRDefault="008D263D" w:rsidP="00ED1EB6">
      <w:pPr>
        <w:pStyle w:val="dotpoint"/>
        <w:tabs>
          <w:tab w:val="clear" w:pos="2268"/>
          <w:tab w:val="num" w:pos="1985"/>
        </w:tabs>
        <w:ind w:left="1985" w:hanging="284"/>
      </w:pPr>
      <w:r>
        <w:t>grants</w:t>
      </w:r>
      <w:r w:rsidR="00262D78">
        <w:rPr>
          <w:rStyle w:val="FootnoteReference"/>
        </w:rPr>
        <w:footnoteReference w:id="4"/>
      </w:r>
      <w:r>
        <w:t xml:space="preserve"> are available for entities that manufacture, and in some cases import, biodiesel, renewable diesel and </w:t>
      </w:r>
      <w:r w:rsidR="00C768A5">
        <w:t xml:space="preserve">fuel </w:t>
      </w:r>
      <w:r>
        <w:t>ethanol</w:t>
      </w:r>
      <w:r w:rsidR="00D53ADB">
        <w:t xml:space="preserve"> e</w:t>
      </w:r>
      <w:r>
        <w:t xml:space="preserve">qual </w:t>
      </w:r>
      <w:r w:rsidR="00BD137F">
        <w:t xml:space="preserve">to </w:t>
      </w:r>
      <w:r>
        <w:t xml:space="preserve">the rate of duty for </w:t>
      </w:r>
      <w:r w:rsidR="00D53ADB">
        <w:t>these fuels</w:t>
      </w:r>
      <w:r w:rsidR="00440064">
        <w:t xml:space="preserve"> at that time</w:t>
      </w:r>
      <w:r w:rsidR="00D53ADB">
        <w:t>.</w:t>
      </w:r>
    </w:p>
    <w:p w14:paraId="32A31E68" w14:textId="77777777" w:rsidR="00DD224B" w:rsidRDefault="00EC17F8" w:rsidP="00EC17F8">
      <w:pPr>
        <w:pStyle w:val="base-text-paragraph"/>
        <w:numPr>
          <w:ilvl w:val="1"/>
          <w:numId w:val="32"/>
        </w:numPr>
      </w:pPr>
      <w:r>
        <w:t xml:space="preserve">If the collection of the higher rates of duty under the </w:t>
      </w:r>
      <w:r w:rsidR="00C751AB">
        <w:t>Tariff</w:t>
      </w:r>
      <w:r w:rsidR="00967724">
        <w:t> </w:t>
      </w:r>
      <w:r w:rsidR="00C751AB">
        <w:t>P</w:t>
      </w:r>
      <w:r>
        <w:t xml:space="preserve">roposals is not validated by the enactment of legislation by </w:t>
      </w:r>
      <w:r w:rsidR="00654ED6">
        <w:t>29</w:t>
      </w:r>
      <w:r w:rsidR="00967724">
        <w:t> </w:t>
      </w:r>
      <w:r>
        <w:t>October 2015,</w:t>
      </w:r>
      <w:r w:rsidR="00654ED6">
        <w:rPr>
          <w:rStyle w:val="FootnoteReference"/>
        </w:rPr>
        <w:footnoteReference w:id="5"/>
      </w:r>
      <w:r>
        <w:t xml:space="preserve"> then</w:t>
      </w:r>
      <w:r w:rsidR="00DD224B">
        <w:t>:</w:t>
      </w:r>
    </w:p>
    <w:p w14:paraId="3CA49806" w14:textId="77777777" w:rsidR="00DD224B" w:rsidRDefault="00EC17F8" w:rsidP="00967724">
      <w:pPr>
        <w:pStyle w:val="dotpoint"/>
        <w:spacing w:before="80" w:after="80"/>
        <w:ind w:left="2269" w:hanging="284"/>
      </w:pPr>
      <w:r>
        <w:t xml:space="preserve">the Commissioner of Taxation and the </w:t>
      </w:r>
      <w:r w:rsidR="006265C0">
        <w:t>Comptroller-General of Customs</w:t>
      </w:r>
      <w:r w:rsidR="00CB421B">
        <w:t xml:space="preserve"> </w:t>
      </w:r>
      <w:r w:rsidR="00DD224B">
        <w:t>would be</w:t>
      </w:r>
      <w:r>
        <w:t xml:space="preserve"> required to:</w:t>
      </w:r>
    </w:p>
    <w:p w14:paraId="1168E896" w14:textId="77777777" w:rsidR="00DD224B" w:rsidRDefault="00DD224B" w:rsidP="00967724">
      <w:pPr>
        <w:pStyle w:val="dotpoint2"/>
        <w:tabs>
          <w:tab w:val="clear" w:pos="360"/>
          <w:tab w:val="num" w:pos="2552"/>
        </w:tabs>
        <w:spacing w:before="80" w:after="80"/>
        <w:ind w:left="2552" w:hanging="284"/>
      </w:pPr>
      <w:r>
        <w:t xml:space="preserve">cease collecting the higher rate of duty on </w:t>
      </w:r>
      <w:r w:rsidR="007E1E20">
        <w:t>30</w:t>
      </w:r>
      <w:r w:rsidR="00967724">
        <w:t> </w:t>
      </w:r>
      <w:r w:rsidR="007E1E20">
        <w:t>October</w:t>
      </w:r>
      <w:r w:rsidR="00967724">
        <w:t> </w:t>
      </w:r>
      <w:r>
        <w:t>2015; and</w:t>
      </w:r>
    </w:p>
    <w:p w14:paraId="00AF8422" w14:textId="77777777" w:rsidR="00DD224B" w:rsidRDefault="00DD224B" w:rsidP="00967724">
      <w:pPr>
        <w:pStyle w:val="dotpoint2"/>
        <w:tabs>
          <w:tab w:val="clear" w:pos="360"/>
          <w:tab w:val="num" w:pos="2552"/>
        </w:tabs>
        <w:spacing w:before="80" w:after="80"/>
        <w:ind w:left="2552" w:hanging="284"/>
      </w:pPr>
      <w:r w:rsidRPr="00DD224B">
        <w:t xml:space="preserve">refund the additional duty attributable to the </w:t>
      </w:r>
      <w:r w:rsidR="00650DAD">
        <w:t>T</w:t>
      </w:r>
      <w:r w:rsidRPr="00DD224B">
        <w:t>ariff</w:t>
      </w:r>
      <w:r w:rsidR="00967724">
        <w:t> </w:t>
      </w:r>
      <w:r w:rsidR="00650DAD">
        <w:t>P</w:t>
      </w:r>
      <w:r w:rsidRPr="00DD224B">
        <w:t>roposals paid by fuel duty remitters (principally petroleum manufacturers and petroleum importers</w:t>
      </w:r>
      <w:r w:rsidR="006330EF">
        <w:t>)</w:t>
      </w:r>
      <w:r w:rsidR="00564F35">
        <w:t>;</w:t>
      </w:r>
      <w:r w:rsidRPr="00DD224B">
        <w:t xml:space="preserve"> </w:t>
      </w:r>
    </w:p>
    <w:p w14:paraId="686CC452" w14:textId="77777777" w:rsidR="00DD224B" w:rsidRDefault="00BD137F" w:rsidP="00967724">
      <w:pPr>
        <w:pStyle w:val="dotpoint"/>
        <w:spacing w:before="80" w:after="80"/>
        <w:ind w:left="2269" w:hanging="284"/>
      </w:pPr>
      <w:r>
        <w:t>fuel tax credit</w:t>
      </w:r>
      <w:r w:rsidR="00E779E9">
        <w:t xml:space="preserve"> claimants and</w:t>
      </w:r>
      <w:r>
        <w:t xml:space="preserve"> biodiesel and renewable diesel grant claimants would be requi</w:t>
      </w:r>
      <w:r w:rsidR="002D699F">
        <w:t>r</w:t>
      </w:r>
      <w:r>
        <w:t>ed to repay to the Commissioner of Taxation</w:t>
      </w:r>
      <w:r w:rsidR="009F725C" w:rsidDel="00415A81">
        <w:t xml:space="preserve"> </w:t>
      </w:r>
      <w:r w:rsidR="009F725C">
        <w:t xml:space="preserve">the </w:t>
      </w:r>
      <w:r w:rsidR="00440064">
        <w:t>part o</w:t>
      </w:r>
      <w:r w:rsidR="009F725C">
        <w:t>f</w:t>
      </w:r>
      <w:r w:rsidR="00DD224B">
        <w:t>:</w:t>
      </w:r>
      <w:r w:rsidR="00DD224B" w:rsidRPr="00DD224B">
        <w:t xml:space="preserve"> </w:t>
      </w:r>
    </w:p>
    <w:p w14:paraId="2FB471EE" w14:textId="77777777" w:rsidR="00564F35" w:rsidRDefault="00564F35" w:rsidP="00967724">
      <w:pPr>
        <w:pStyle w:val="dotpoint2"/>
        <w:tabs>
          <w:tab w:val="clear" w:pos="360"/>
          <w:tab w:val="num" w:pos="2552"/>
        </w:tabs>
        <w:spacing w:before="80" w:after="80"/>
        <w:ind w:left="2552" w:hanging="284"/>
      </w:pPr>
      <w:r>
        <w:t>f</w:t>
      </w:r>
      <w:r w:rsidR="00DD224B">
        <w:t xml:space="preserve">uel tax credits </w:t>
      </w:r>
      <w:r>
        <w:t xml:space="preserve">paid that are attributable to the </w:t>
      </w:r>
      <w:r w:rsidR="00650DAD">
        <w:t>T</w:t>
      </w:r>
      <w:r>
        <w:t>ariff</w:t>
      </w:r>
      <w:r w:rsidR="00967724">
        <w:t> </w:t>
      </w:r>
      <w:r w:rsidR="00650DAD">
        <w:t>P</w:t>
      </w:r>
      <w:r>
        <w:t>roposals (business users of heavy on road vehicles or off road business use); and</w:t>
      </w:r>
    </w:p>
    <w:p w14:paraId="38838B3B" w14:textId="77777777" w:rsidR="00564F35" w:rsidRDefault="00564F35" w:rsidP="00967724">
      <w:pPr>
        <w:pStyle w:val="dotpoint2"/>
        <w:tabs>
          <w:tab w:val="clear" w:pos="360"/>
          <w:tab w:val="num" w:pos="2552"/>
        </w:tabs>
        <w:spacing w:before="80" w:after="80"/>
        <w:ind w:left="2552" w:hanging="284"/>
      </w:pPr>
      <w:r>
        <w:t xml:space="preserve">grants paid in relation to biodiesel </w:t>
      </w:r>
      <w:r w:rsidR="008D263D">
        <w:t xml:space="preserve">and renewable diesel </w:t>
      </w:r>
      <w:r>
        <w:t xml:space="preserve">that are attributable to the </w:t>
      </w:r>
      <w:r w:rsidR="00650DAD">
        <w:t>T</w:t>
      </w:r>
      <w:r>
        <w:t xml:space="preserve">ariff </w:t>
      </w:r>
      <w:r w:rsidR="00650DAD">
        <w:t>P</w:t>
      </w:r>
      <w:r>
        <w:t>roposals.</w:t>
      </w:r>
    </w:p>
    <w:p w14:paraId="2981331F" w14:textId="77777777" w:rsidR="00E814D7" w:rsidRDefault="00AD666F" w:rsidP="00967724">
      <w:pPr>
        <w:pStyle w:val="dotpoint"/>
        <w:spacing w:before="80" w:after="80"/>
        <w:ind w:left="2269" w:hanging="284"/>
      </w:pPr>
      <w:r w:rsidDel="00415A81">
        <w:t xml:space="preserve">manufacturers of fuel ethanol </w:t>
      </w:r>
      <w:r w:rsidR="002D699F">
        <w:t>that have claimed grants</w:t>
      </w:r>
      <w:r w:rsidR="002D699F" w:rsidRPr="002D699F">
        <w:t xml:space="preserve"> </w:t>
      </w:r>
      <w:r w:rsidR="00E814D7" w:rsidDel="00415A81">
        <w:t xml:space="preserve">under the Ethanol Production Grants Program </w:t>
      </w:r>
      <w:r w:rsidR="002D699F" w:rsidRPr="002D699F">
        <w:t>would be required to re</w:t>
      </w:r>
      <w:r w:rsidR="002D699F">
        <w:t>pay</w:t>
      </w:r>
      <w:r w:rsidR="002D699F" w:rsidRPr="002D699F">
        <w:t xml:space="preserve"> grants </w:t>
      </w:r>
      <w:r w:rsidR="002D699F">
        <w:t xml:space="preserve">to the Commonwealth </w:t>
      </w:r>
      <w:r w:rsidR="00E814D7" w:rsidDel="00415A81">
        <w:t xml:space="preserve">that are attributable to the </w:t>
      </w:r>
      <w:r w:rsidR="007E1E20">
        <w:t>T</w:t>
      </w:r>
      <w:r w:rsidR="00E814D7" w:rsidDel="00415A81">
        <w:t xml:space="preserve">ariff </w:t>
      </w:r>
      <w:r w:rsidR="007E1E20">
        <w:t>P</w:t>
      </w:r>
      <w:r w:rsidR="00E814D7" w:rsidDel="00415A81">
        <w:t>roposals</w:t>
      </w:r>
      <w:r w:rsidR="00E814D7">
        <w:t>.</w:t>
      </w:r>
    </w:p>
    <w:p w14:paraId="5C92FA30" w14:textId="77777777" w:rsidR="00DF600C" w:rsidRDefault="00DF600C" w:rsidP="00DF600C">
      <w:pPr>
        <w:pStyle w:val="Heading2"/>
      </w:pPr>
      <w:r>
        <w:t>Summary of new law</w:t>
      </w:r>
    </w:p>
    <w:p w14:paraId="0D94D9AF" w14:textId="77777777" w:rsidR="00DF600C" w:rsidRDefault="00DF600C" w:rsidP="00267CC7">
      <w:pPr>
        <w:pStyle w:val="base-text-paragraph"/>
        <w:numPr>
          <w:ilvl w:val="1"/>
          <w:numId w:val="32"/>
        </w:numPr>
      </w:pPr>
      <w:r>
        <w:t>The amendments increase the rate of excise and excise</w:t>
      </w:r>
      <w:r>
        <w:noBreakHyphen/>
        <w:t xml:space="preserve">equivalent customs duty applying to fuels </w:t>
      </w:r>
      <w:r w:rsidR="008176CA">
        <w:t xml:space="preserve">(other than aviation fuels) </w:t>
      </w:r>
      <w:r>
        <w:t>from 10 November 2014.</w:t>
      </w:r>
      <w:r w:rsidR="00267CC7">
        <w:t xml:space="preserve"> </w:t>
      </w:r>
      <w:r w:rsidR="00267CC7" w:rsidRPr="00267CC7">
        <w:t xml:space="preserve">The effect of the </w:t>
      </w:r>
      <w:r w:rsidR="00267CC7">
        <w:t>package of Bills is to</w:t>
      </w:r>
      <w:r w:rsidR="00267CC7" w:rsidRPr="00267CC7">
        <w:t xml:space="preserve"> validate the Tariff Proposal</w:t>
      </w:r>
      <w:r w:rsidR="00967724">
        <w:t>s</w:t>
      </w:r>
      <w:r w:rsidR="00267CC7" w:rsidRPr="00267CC7">
        <w:t xml:space="preserve"> that were tabled in the House of Representatives on 30 October 2014 to index fuel duty to the CPI from 10</w:t>
      </w:r>
      <w:r w:rsidR="00E1388E">
        <w:t> </w:t>
      </w:r>
      <w:r w:rsidR="00267CC7" w:rsidRPr="00267CC7">
        <w:t>November 2014.</w:t>
      </w:r>
    </w:p>
    <w:p w14:paraId="226FC4AD" w14:textId="77777777" w:rsidR="00DF600C" w:rsidRDefault="00DF600C" w:rsidP="00DF600C">
      <w:pPr>
        <w:pStyle w:val="Heading4"/>
      </w:pPr>
      <w:r>
        <w:t>Fuel (other than gaseous fuel</w:t>
      </w:r>
      <w:r w:rsidR="00535124">
        <w:t>s</w:t>
      </w:r>
      <w:r>
        <w:t>)</w:t>
      </w:r>
    </w:p>
    <w:p w14:paraId="34D8D9DE" w14:textId="77777777" w:rsidR="007E25D8" w:rsidRDefault="00DF600C" w:rsidP="007E25D8">
      <w:pPr>
        <w:pStyle w:val="base-text-paragraph"/>
        <w:numPr>
          <w:ilvl w:val="1"/>
          <w:numId w:val="32"/>
        </w:numPr>
      </w:pPr>
      <w:r>
        <w:t>From 10 November 2014</w:t>
      </w:r>
      <w:r w:rsidR="00FC4B81">
        <w:t xml:space="preserve"> </w:t>
      </w:r>
      <w:r>
        <w:t xml:space="preserve">until </w:t>
      </w:r>
      <w:r w:rsidR="00C82059">
        <w:t>1 February</w:t>
      </w:r>
      <w:r>
        <w:t xml:space="preserve"> 2015, the rate of excise and excise</w:t>
      </w:r>
      <w:r>
        <w:noBreakHyphen/>
        <w:t>equivalent customs duty on fuel (other than gaseous fuel</w:t>
      </w:r>
      <w:r w:rsidR="00535124">
        <w:t>s</w:t>
      </w:r>
      <w:r>
        <w:t xml:space="preserve">) </w:t>
      </w:r>
      <w:r w:rsidR="00C82059">
        <w:t xml:space="preserve">is </w:t>
      </w:r>
      <w:r>
        <w:t xml:space="preserve">$0.386 per litre. </w:t>
      </w:r>
      <w:r w:rsidR="007E25D8">
        <w:t>From 2 February 2015</w:t>
      </w:r>
      <w:r w:rsidR="007829B2">
        <w:rPr>
          <w:rStyle w:val="FootnoteReference"/>
        </w:rPr>
        <w:footnoteReference w:id="6"/>
      </w:r>
      <w:r w:rsidR="007E25D8">
        <w:t xml:space="preserve"> to 31 July 2015, the indexed rate for fuel (other than gaseous fuels) is $0.389 per litre.</w:t>
      </w:r>
    </w:p>
    <w:p w14:paraId="521C24F3" w14:textId="77777777" w:rsidR="00DF600C" w:rsidRDefault="007E25D8" w:rsidP="00DF600C">
      <w:pPr>
        <w:pStyle w:val="base-text-paragraph"/>
        <w:numPr>
          <w:ilvl w:val="1"/>
          <w:numId w:val="32"/>
        </w:numPr>
      </w:pPr>
      <w:r>
        <w:t>This reflects that f</w:t>
      </w:r>
      <w:r w:rsidR="00DF600C">
        <w:t xml:space="preserve">rom </w:t>
      </w:r>
      <w:r>
        <w:t>2</w:t>
      </w:r>
      <w:r w:rsidR="00DF600C">
        <w:t xml:space="preserve"> February 2015</w:t>
      </w:r>
      <w:r w:rsidR="007829B2">
        <w:rPr>
          <w:rStyle w:val="FootnoteReference"/>
        </w:rPr>
        <w:footnoteReference w:id="7"/>
      </w:r>
      <w:r w:rsidR="00DF600C">
        <w:t xml:space="preserve">, the duty on fuel </w:t>
      </w:r>
      <w:r w:rsidR="00752B87">
        <w:t>is</w:t>
      </w:r>
      <w:r w:rsidR="00DF600C">
        <w:t xml:space="preserve"> indexed </w:t>
      </w:r>
      <w:r w:rsidR="00EA0A4E">
        <w:t xml:space="preserve">in line with changes in the CPI. </w:t>
      </w:r>
      <w:r w:rsidR="00CC4A63">
        <w:t xml:space="preserve">Indexation occurs twice a year, generally on </w:t>
      </w:r>
      <w:r w:rsidR="00DF600C">
        <w:t>1 February</w:t>
      </w:r>
      <w:r w:rsidR="007829B2">
        <w:rPr>
          <w:rStyle w:val="FootnoteReference"/>
        </w:rPr>
        <w:footnoteReference w:id="8"/>
      </w:r>
      <w:r w:rsidR="00DF600C">
        <w:t xml:space="preserve"> and 1 August.</w:t>
      </w:r>
      <w:r w:rsidR="007829B2" w:rsidDel="007829B2">
        <w:rPr>
          <w:rStyle w:val="FootnoteReference"/>
        </w:rPr>
        <w:t xml:space="preserve"> </w:t>
      </w:r>
    </w:p>
    <w:p w14:paraId="45453AD0" w14:textId="77777777" w:rsidR="00DF600C" w:rsidRDefault="00DF600C" w:rsidP="00DF600C">
      <w:pPr>
        <w:pStyle w:val="Heading4"/>
      </w:pPr>
      <w:r>
        <w:t>Gaseous fuels</w:t>
      </w:r>
    </w:p>
    <w:p w14:paraId="0BEE0FFD" w14:textId="77777777" w:rsidR="00DF600C" w:rsidRDefault="00DF600C" w:rsidP="00DF600C">
      <w:pPr>
        <w:pStyle w:val="base-text-paragraph"/>
        <w:numPr>
          <w:ilvl w:val="1"/>
          <w:numId w:val="32"/>
        </w:numPr>
      </w:pPr>
      <w:r>
        <w:t>The excise and excise</w:t>
      </w:r>
      <w:r w:rsidR="00CA051D">
        <w:noBreakHyphen/>
      </w:r>
      <w:r>
        <w:t>equivalent customs duty rate from 1</w:t>
      </w:r>
      <w:r w:rsidR="00967724">
        <w:t> </w:t>
      </w:r>
      <w:r>
        <w:t>July</w:t>
      </w:r>
      <w:r w:rsidR="00967724">
        <w:t> </w:t>
      </w:r>
      <w:r>
        <w:t>2014 until 10 November 2014 for liquefied natural gas (LNG) and compressed natural gas (</w:t>
      </w:r>
      <w:proofErr w:type="spellStart"/>
      <w:r>
        <w:t>CNG</w:t>
      </w:r>
      <w:proofErr w:type="spellEnd"/>
      <w:r>
        <w:t xml:space="preserve">) is $0.209 per kilogram, and for liquefied petroleum gas (LPG) is $0.10 per litre. </w:t>
      </w:r>
    </w:p>
    <w:p w14:paraId="46E808E5" w14:textId="77777777" w:rsidR="00DF600C" w:rsidRDefault="00DF600C" w:rsidP="00DF600C">
      <w:pPr>
        <w:pStyle w:val="base-text-paragraph"/>
        <w:numPr>
          <w:ilvl w:val="1"/>
          <w:numId w:val="32"/>
        </w:numPr>
      </w:pPr>
      <w:r>
        <w:t xml:space="preserve">From 10 November 2014 </w:t>
      </w:r>
      <w:r w:rsidR="00C82059">
        <w:t>until 1 February 2015,</w:t>
      </w:r>
      <w:r w:rsidR="007E1E20">
        <w:rPr>
          <w:rStyle w:val="FootnoteReference"/>
        </w:rPr>
        <w:footnoteReference w:id="9"/>
      </w:r>
      <w:r w:rsidR="00C82059">
        <w:t xml:space="preserve"> </w:t>
      </w:r>
      <w:r>
        <w:t>these rates</w:t>
      </w:r>
      <w:r w:rsidR="00967724">
        <w:t> </w:t>
      </w:r>
      <w:r>
        <w:t>proportionally increase based on the liquid fuel duty rate of $0.386</w:t>
      </w:r>
      <w:r w:rsidR="00967724">
        <w:t> </w:t>
      </w:r>
      <w:r>
        <w:t>per</w:t>
      </w:r>
      <w:r w:rsidR="00967724">
        <w:t> </w:t>
      </w:r>
      <w:r>
        <w:t xml:space="preserve">litre. For LNG and </w:t>
      </w:r>
      <w:proofErr w:type="spellStart"/>
      <w:r>
        <w:t>CNG</w:t>
      </w:r>
      <w:proofErr w:type="spellEnd"/>
      <w:r>
        <w:t xml:space="preserve">, the rate of duty </w:t>
      </w:r>
      <w:r w:rsidR="00752B87">
        <w:t>is</w:t>
      </w:r>
      <w:r>
        <w:t xml:space="preserve"> $0.212</w:t>
      </w:r>
      <w:r w:rsidR="00967724">
        <w:t> </w:t>
      </w:r>
      <w:r>
        <w:t>per</w:t>
      </w:r>
      <w:r w:rsidR="00967724">
        <w:t> </w:t>
      </w:r>
      <w:r>
        <w:t xml:space="preserve">kilogram, and for LPG the rate of duty </w:t>
      </w:r>
      <w:r w:rsidR="00752B87">
        <w:t>is</w:t>
      </w:r>
      <w:r>
        <w:t xml:space="preserve"> $0.101 per litre.</w:t>
      </w:r>
    </w:p>
    <w:p w14:paraId="6B7E2489" w14:textId="77777777" w:rsidR="00CA051D" w:rsidRDefault="00DF600C" w:rsidP="001F386F">
      <w:pPr>
        <w:pStyle w:val="base-text-paragraph"/>
        <w:numPr>
          <w:ilvl w:val="1"/>
          <w:numId w:val="32"/>
        </w:numPr>
      </w:pPr>
      <w:r>
        <w:t xml:space="preserve">From </w:t>
      </w:r>
      <w:r w:rsidR="000B2954">
        <w:t>2</w:t>
      </w:r>
      <w:r>
        <w:t xml:space="preserve"> February 2015</w:t>
      </w:r>
      <w:r w:rsidR="00F154C1">
        <w:t>,</w:t>
      </w:r>
      <w:r w:rsidR="000B2954">
        <w:rPr>
          <w:rStyle w:val="FootnoteReference"/>
        </w:rPr>
        <w:footnoteReference w:id="10"/>
      </w:r>
      <w:r>
        <w:t xml:space="preserve"> </w:t>
      </w:r>
      <w:r w:rsidR="00CC4A63">
        <w:t xml:space="preserve">the </w:t>
      </w:r>
      <w:r>
        <w:t xml:space="preserve">duty on gaseous fuels </w:t>
      </w:r>
      <w:r w:rsidR="00CC4A63">
        <w:t xml:space="preserve">in indexed in line with changes in the CPI. Indexation occurs </w:t>
      </w:r>
      <w:r>
        <w:t>twice a year</w:t>
      </w:r>
      <w:r w:rsidR="00CC4A63">
        <w:t>,</w:t>
      </w:r>
      <w:r>
        <w:t xml:space="preserve"> generally on 1 February and 1 August.</w:t>
      </w:r>
      <w:r w:rsidR="00CA051D">
        <w:t xml:space="preserve"> </w:t>
      </w:r>
    </w:p>
    <w:p w14:paraId="516D639F" w14:textId="77777777" w:rsidR="00DF600C" w:rsidRDefault="009E42CE" w:rsidP="001F386F">
      <w:pPr>
        <w:pStyle w:val="base-text-paragraph"/>
        <w:numPr>
          <w:ilvl w:val="1"/>
          <w:numId w:val="32"/>
        </w:numPr>
      </w:pPr>
      <w:r>
        <w:t>F</w:t>
      </w:r>
      <w:r w:rsidR="00CA051D">
        <w:t>rom 2 February 2015</w:t>
      </w:r>
      <w:r w:rsidR="007829B2">
        <w:rPr>
          <w:rStyle w:val="FootnoteReference"/>
        </w:rPr>
        <w:footnoteReference w:id="11"/>
      </w:r>
      <w:r w:rsidR="00CA051D">
        <w:t xml:space="preserve"> to 30 June 2015</w:t>
      </w:r>
      <w:r>
        <w:t xml:space="preserve">, the indexed rate </w:t>
      </w:r>
      <w:r w:rsidR="00CA051D">
        <w:t xml:space="preserve">for LNG and </w:t>
      </w:r>
      <w:proofErr w:type="spellStart"/>
      <w:r w:rsidR="00CA051D">
        <w:t>CNG</w:t>
      </w:r>
      <w:proofErr w:type="spellEnd"/>
      <w:r w:rsidR="00CA051D">
        <w:t xml:space="preserve"> is $0.213 per kilogram, and for LPG is $0.102 per litre.</w:t>
      </w:r>
    </w:p>
    <w:p w14:paraId="79210277" w14:textId="77777777" w:rsidR="009E42CE" w:rsidRDefault="009E42CE" w:rsidP="00DF600C">
      <w:pPr>
        <w:pStyle w:val="base-text-paragraph"/>
        <w:numPr>
          <w:ilvl w:val="1"/>
          <w:numId w:val="32"/>
        </w:numPr>
      </w:pPr>
      <w:r>
        <w:t>From 1 July 2015,</w:t>
      </w:r>
      <w:r w:rsidR="0051251B">
        <w:t xml:space="preserve"> the</w:t>
      </w:r>
      <w:r>
        <w:t xml:space="preserve"> indexed rate of duty on gaseous fuels takes into account the </w:t>
      </w:r>
      <w:r w:rsidR="00DF600C">
        <w:t>scheduled increase</w:t>
      </w:r>
      <w:r>
        <w:t xml:space="preserve"> as a result of the final phase</w:t>
      </w:r>
      <w:r>
        <w:noBreakHyphen/>
        <w:t xml:space="preserve">in of taxation on gaseous fuels. From 1 July 2015 </w:t>
      </w:r>
      <w:r w:rsidR="00DF600C">
        <w:t>to 31 July 2015</w:t>
      </w:r>
      <w:r>
        <w:t>,</w:t>
      </w:r>
      <w:r w:rsidR="00DF600C">
        <w:t xml:space="preserve"> </w:t>
      </w:r>
      <w:r w:rsidR="00CA051D">
        <w:t xml:space="preserve">the rate </w:t>
      </w:r>
      <w:r w:rsidR="00DF600C">
        <w:t xml:space="preserve">for LNG and </w:t>
      </w:r>
      <w:proofErr w:type="spellStart"/>
      <w:r w:rsidR="00DF600C">
        <w:t>CNG</w:t>
      </w:r>
      <w:proofErr w:type="spellEnd"/>
      <w:r w:rsidR="00DF600C">
        <w:t xml:space="preserve"> </w:t>
      </w:r>
      <w:r w:rsidR="00CA051D">
        <w:t>is</w:t>
      </w:r>
      <w:r w:rsidR="00DF600C">
        <w:t xml:space="preserve"> $0.26</w:t>
      </w:r>
      <w:r w:rsidR="00CA051D">
        <w:t>6</w:t>
      </w:r>
      <w:r w:rsidR="00DF600C">
        <w:t xml:space="preserve"> per kilogram</w:t>
      </w:r>
      <w:r w:rsidR="00CA051D">
        <w:t xml:space="preserve">, and the </w:t>
      </w:r>
      <w:r w:rsidR="00DF600C">
        <w:t xml:space="preserve">rate for LPG </w:t>
      </w:r>
      <w:r w:rsidR="00F66F55">
        <w:t>is</w:t>
      </w:r>
      <w:r w:rsidR="00DF600C">
        <w:t xml:space="preserve"> $0.12</w:t>
      </w:r>
      <w:r w:rsidR="00CA051D">
        <w:t>7</w:t>
      </w:r>
      <w:r w:rsidR="00967724">
        <w:t> </w:t>
      </w:r>
      <w:r w:rsidR="00DF600C">
        <w:t>per litre</w:t>
      </w:r>
      <w:r w:rsidR="001C5526">
        <w:t xml:space="preserve">. </w:t>
      </w:r>
    </w:p>
    <w:p w14:paraId="0268864C" w14:textId="77777777" w:rsidR="00DF600C" w:rsidRDefault="00167B6E" w:rsidP="00967724">
      <w:pPr>
        <w:pStyle w:val="base-text-paragraph"/>
        <w:numPr>
          <w:ilvl w:val="1"/>
          <w:numId w:val="32"/>
        </w:numPr>
        <w:spacing w:before="80" w:after="80"/>
      </w:pPr>
      <w:r>
        <w:t>Regular indexation</w:t>
      </w:r>
      <w:r w:rsidR="000856FD">
        <w:t xml:space="preserve"> of gaseous fuel,</w:t>
      </w:r>
      <w:r>
        <w:t xml:space="preserve"> </w:t>
      </w:r>
      <w:r w:rsidR="000856FD">
        <w:t>in line with changes in the CPI, appli</w:t>
      </w:r>
      <w:r>
        <w:t xml:space="preserve">es </w:t>
      </w:r>
      <w:r w:rsidR="000856FD">
        <w:t xml:space="preserve">twice a year </w:t>
      </w:r>
      <w:r>
        <w:t>from 1 August 2015.</w:t>
      </w:r>
    </w:p>
    <w:p w14:paraId="7EF4B6D8" w14:textId="77777777" w:rsidR="00DF600C" w:rsidRDefault="00DF600C" w:rsidP="00967724">
      <w:pPr>
        <w:pStyle w:val="Heading4"/>
        <w:spacing w:before="60" w:after="60"/>
      </w:pPr>
      <w:r>
        <w:t>Special account</w:t>
      </w:r>
    </w:p>
    <w:p w14:paraId="0D17873E" w14:textId="77777777" w:rsidR="00DF600C" w:rsidRDefault="00DF600C" w:rsidP="00967724">
      <w:pPr>
        <w:pStyle w:val="base-text-paragraph"/>
        <w:numPr>
          <w:ilvl w:val="1"/>
          <w:numId w:val="32"/>
        </w:numPr>
        <w:spacing w:before="40" w:after="40"/>
      </w:pPr>
      <w:r>
        <w:t xml:space="preserve">The additional net revenue from the reintroduction of fuel indexation is </w:t>
      </w:r>
      <w:r w:rsidR="00E14DF2">
        <w:t>included</w:t>
      </w:r>
      <w:r>
        <w:t xml:space="preserve"> in a special account established by the Fuel Indexation Special Account Bill 2015. The balance of the special account can only be used for road infrastructure funding.</w:t>
      </w:r>
    </w:p>
    <w:p w14:paraId="5AAC08D9" w14:textId="77777777" w:rsidR="00DF600C" w:rsidRDefault="00DF600C" w:rsidP="00967724">
      <w:pPr>
        <w:pStyle w:val="Heading4"/>
        <w:spacing w:before="60" w:after="60"/>
      </w:pPr>
      <w:r>
        <w:t>Other amendments</w:t>
      </w:r>
    </w:p>
    <w:p w14:paraId="14DC56EF" w14:textId="77777777" w:rsidR="00DF600C" w:rsidRPr="00A97CEC" w:rsidRDefault="00A97CEC" w:rsidP="00967724">
      <w:pPr>
        <w:pStyle w:val="base-text-paragraph"/>
        <w:numPr>
          <w:ilvl w:val="1"/>
          <w:numId w:val="32"/>
        </w:numPr>
        <w:tabs>
          <w:tab w:val="left" w:pos="5812"/>
        </w:tabs>
        <w:spacing w:before="40" w:after="40"/>
      </w:pPr>
      <w:r w:rsidRPr="00A97CEC">
        <w:t>The Fuel Indexation Consequential Bill 2015</w:t>
      </w:r>
      <w:r>
        <w:t xml:space="preserve"> </w:t>
      </w:r>
      <w:r w:rsidR="0028556F">
        <w:rPr>
          <w:szCs w:val="22"/>
          <w:lang w:val="en"/>
        </w:rPr>
        <w:t xml:space="preserve">makes consequential amendments, including </w:t>
      </w:r>
      <w:r w:rsidR="0028556F" w:rsidRPr="00F174A1">
        <w:rPr>
          <w:szCs w:val="22"/>
          <w:lang w:val="en"/>
        </w:rPr>
        <w:t>amend</w:t>
      </w:r>
      <w:r w:rsidR="0028556F">
        <w:rPr>
          <w:szCs w:val="22"/>
          <w:lang w:val="en"/>
        </w:rPr>
        <w:t>ing</w:t>
      </w:r>
      <w:r w:rsidR="0028556F" w:rsidRPr="00F174A1">
        <w:rPr>
          <w:szCs w:val="22"/>
          <w:lang w:val="en"/>
        </w:rPr>
        <w:t xml:space="preserve"> the </w:t>
      </w:r>
      <w:r w:rsidR="0028556F" w:rsidRPr="00F174A1">
        <w:rPr>
          <w:i/>
          <w:szCs w:val="22"/>
          <w:lang w:val="en"/>
        </w:rPr>
        <w:t xml:space="preserve">Fuel Tax Act 2006 </w:t>
      </w:r>
      <w:r w:rsidR="0028556F" w:rsidRPr="00F174A1" w:rsidDel="00293F39">
        <w:t xml:space="preserve">to </w:t>
      </w:r>
      <w:r w:rsidR="0028556F" w:rsidRPr="00F174A1">
        <w:t xml:space="preserve">ensure that </w:t>
      </w:r>
      <w:r w:rsidR="0028556F" w:rsidRPr="00363674">
        <w:t xml:space="preserve">the road user charge </w:t>
      </w:r>
      <w:r w:rsidR="00E14DF2">
        <w:t xml:space="preserve">rate that is determined </w:t>
      </w:r>
      <w:r w:rsidR="0028556F" w:rsidRPr="00363674">
        <w:t xml:space="preserve">is rounded </w:t>
      </w:r>
      <w:r w:rsidR="0028556F">
        <w:t>in the same way as</w:t>
      </w:r>
      <w:r w:rsidR="0028556F" w:rsidRPr="00363674">
        <w:t xml:space="preserve"> </w:t>
      </w:r>
      <w:r w:rsidR="0028556F">
        <w:t>fuel duty rates are rounded</w:t>
      </w:r>
      <w:r w:rsidR="001C5526">
        <w:t xml:space="preserve">. </w:t>
      </w:r>
    </w:p>
    <w:p w14:paraId="63FFCA17" w14:textId="77777777" w:rsidR="00DF600C" w:rsidRDefault="00DF600C" w:rsidP="00967724">
      <w:pPr>
        <w:pStyle w:val="Heading2"/>
        <w:spacing w:before="240" w:after="160"/>
      </w:pPr>
      <w:r w:rsidRPr="00A97CEC">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F600C" w:rsidRPr="004666B8" w14:paraId="326FC431" w14:textId="77777777" w:rsidTr="008A145B">
        <w:trPr>
          <w:tblHeader/>
        </w:trPr>
        <w:tc>
          <w:tcPr>
            <w:tcW w:w="3275" w:type="dxa"/>
          </w:tcPr>
          <w:p w14:paraId="66F8C831" w14:textId="77777777" w:rsidR="00DF600C" w:rsidRPr="004666B8" w:rsidRDefault="00DF600C" w:rsidP="008A145B">
            <w:pPr>
              <w:pStyle w:val="tableheaderwithintable"/>
              <w:rPr>
                <w:lang w:val="en-US" w:eastAsia="en-US"/>
              </w:rPr>
            </w:pPr>
            <w:r w:rsidRPr="004666B8">
              <w:rPr>
                <w:lang w:val="en-US" w:eastAsia="en-US"/>
              </w:rPr>
              <w:t>New law</w:t>
            </w:r>
          </w:p>
        </w:tc>
        <w:tc>
          <w:tcPr>
            <w:tcW w:w="3276" w:type="dxa"/>
          </w:tcPr>
          <w:p w14:paraId="7124F8F5" w14:textId="77777777" w:rsidR="00DF600C" w:rsidRPr="004666B8" w:rsidRDefault="00DF600C" w:rsidP="008A145B">
            <w:pPr>
              <w:pStyle w:val="tableheaderwithintable"/>
              <w:rPr>
                <w:lang w:val="en-US" w:eastAsia="en-US"/>
              </w:rPr>
            </w:pPr>
            <w:r w:rsidRPr="004666B8">
              <w:rPr>
                <w:lang w:val="en-US" w:eastAsia="en-US"/>
              </w:rPr>
              <w:t>Current law</w:t>
            </w:r>
          </w:p>
        </w:tc>
      </w:tr>
      <w:tr w:rsidR="00DF600C" w:rsidRPr="004666B8" w14:paraId="4AB4908F" w14:textId="77777777" w:rsidTr="008A145B">
        <w:trPr>
          <w:trHeight w:val="317"/>
        </w:trPr>
        <w:tc>
          <w:tcPr>
            <w:tcW w:w="6551" w:type="dxa"/>
            <w:gridSpan w:val="2"/>
          </w:tcPr>
          <w:p w14:paraId="04C668F1" w14:textId="77777777" w:rsidR="00DF600C" w:rsidRPr="00405656" w:rsidRDefault="00DF600C" w:rsidP="00967724">
            <w:pPr>
              <w:pStyle w:val="tableheaderwithintable"/>
              <w:rPr>
                <w:b w:val="0"/>
                <w:lang w:val="en-US" w:eastAsia="en-US"/>
              </w:rPr>
            </w:pPr>
            <w:r w:rsidRPr="00967724">
              <w:rPr>
                <w:lang w:val="en-US" w:eastAsia="en-US"/>
              </w:rPr>
              <w:t>Indexation of duty on fuel</w:t>
            </w:r>
          </w:p>
        </w:tc>
      </w:tr>
      <w:tr w:rsidR="00DF600C" w:rsidRPr="004666B8" w14:paraId="26B7FDCB" w14:textId="77777777" w:rsidTr="008A145B">
        <w:tc>
          <w:tcPr>
            <w:tcW w:w="3275" w:type="dxa"/>
          </w:tcPr>
          <w:p w14:paraId="0C1AA1D5" w14:textId="77777777" w:rsidR="00DF600C" w:rsidRPr="004666B8" w:rsidRDefault="00DF600C" w:rsidP="008A145B">
            <w:pPr>
              <w:pStyle w:val="tabletext"/>
              <w:rPr>
                <w:lang w:val="en-US" w:eastAsia="en-US"/>
              </w:rPr>
            </w:pPr>
            <w:r>
              <w:rPr>
                <w:lang w:val="en-US" w:eastAsia="en-US"/>
              </w:rPr>
              <w:t>T</w:t>
            </w:r>
            <w:r w:rsidRPr="001A02A8">
              <w:rPr>
                <w:lang w:val="en-US" w:eastAsia="en-US"/>
              </w:rPr>
              <w:t>he rate of excise and excise</w:t>
            </w:r>
            <w:r>
              <w:rPr>
                <w:lang w:val="en-US" w:eastAsia="en-US"/>
              </w:rPr>
              <w:noBreakHyphen/>
            </w:r>
            <w:r w:rsidRPr="001A02A8">
              <w:rPr>
                <w:lang w:val="en-US" w:eastAsia="en-US"/>
              </w:rPr>
              <w:t>equivalent duty on fuels</w:t>
            </w:r>
            <w:r>
              <w:rPr>
                <w:lang w:val="en-US" w:eastAsia="en-US"/>
              </w:rPr>
              <w:t>, including gaseous fuels,</w:t>
            </w:r>
            <w:r w:rsidRPr="001A02A8">
              <w:rPr>
                <w:lang w:val="en-US" w:eastAsia="en-US"/>
              </w:rPr>
              <w:t xml:space="preserve"> </w:t>
            </w:r>
            <w:r>
              <w:rPr>
                <w:lang w:val="en-US" w:eastAsia="en-US"/>
              </w:rPr>
              <w:t>is indexed. This generally occurs on 1 February and 1 August of each year. No indexation occurs for aviation fuels, production of</w:t>
            </w:r>
            <w:r>
              <w:t xml:space="preserve"> </w:t>
            </w:r>
            <w:proofErr w:type="spellStart"/>
            <w:r w:rsidRPr="0006027A">
              <w:rPr>
                <w:lang w:val="en-US" w:eastAsia="en-US"/>
              </w:rPr>
              <w:t>stabilised</w:t>
            </w:r>
            <w:proofErr w:type="spellEnd"/>
            <w:r w:rsidRPr="0006027A">
              <w:rPr>
                <w:lang w:val="en-US" w:eastAsia="en-US"/>
              </w:rPr>
              <w:t xml:space="preserve"> crude oil and condensate</w:t>
            </w:r>
            <w:r>
              <w:rPr>
                <w:lang w:val="en-US" w:eastAsia="en-US"/>
              </w:rPr>
              <w:t>, or petroleum-based oils and greases</w:t>
            </w:r>
            <w:r w:rsidR="001C5526">
              <w:rPr>
                <w:lang w:val="en-US" w:eastAsia="en-US"/>
              </w:rPr>
              <w:t xml:space="preserve">. </w:t>
            </w:r>
          </w:p>
        </w:tc>
        <w:tc>
          <w:tcPr>
            <w:tcW w:w="3276" w:type="dxa"/>
          </w:tcPr>
          <w:p w14:paraId="74BF20B9" w14:textId="77777777" w:rsidR="00DF600C" w:rsidRPr="004666B8" w:rsidRDefault="00DF600C" w:rsidP="006265C0">
            <w:pPr>
              <w:pStyle w:val="tabletext"/>
              <w:rPr>
                <w:lang w:val="en-US" w:eastAsia="en-US"/>
              </w:rPr>
            </w:pPr>
            <w:r>
              <w:rPr>
                <w:lang w:val="en-US" w:eastAsia="en-US"/>
              </w:rPr>
              <w:t>The rate of excise and excise</w:t>
            </w:r>
            <w:r>
              <w:rPr>
                <w:lang w:val="en-US" w:eastAsia="en-US"/>
              </w:rPr>
              <w:noBreakHyphen/>
              <w:t>equivalent customs duty on fuels is not indexed</w:t>
            </w:r>
            <w:r w:rsidR="009E6F3D">
              <w:rPr>
                <w:lang w:val="en-US" w:eastAsia="en-US"/>
              </w:rPr>
              <w:t xml:space="preserve"> under enacted legislation. However, under </w:t>
            </w:r>
            <w:r w:rsidR="00291311">
              <w:rPr>
                <w:lang w:val="en-US" w:eastAsia="en-US"/>
              </w:rPr>
              <w:t>T</w:t>
            </w:r>
            <w:r w:rsidR="009E6F3D" w:rsidRPr="009E6F3D">
              <w:rPr>
                <w:lang w:val="en-US" w:eastAsia="en-US"/>
              </w:rPr>
              <w:t xml:space="preserve">ariff </w:t>
            </w:r>
            <w:r w:rsidR="00291311">
              <w:rPr>
                <w:lang w:val="en-US" w:eastAsia="en-US"/>
              </w:rPr>
              <w:t>P</w:t>
            </w:r>
            <w:r w:rsidR="009E6F3D" w:rsidRPr="009E6F3D">
              <w:rPr>
                <w:lang w:val="en-US" w:eastAsia="en-US"/>
              </w:rPr>
              <w:t>roposals tabled in the House of Representatives</w:t>
            </w:r>
            <w:r w:rsidR="009E6F3D">
              <w:rPr>
                <w:lang w:val="en-US" w:eastAsia="en-US"/>
              </w:rPr>
              <w:t xml:space="preserve"> on 30 October 2014, t</w:t>
            </w:r>
            <w:r w:rsidR="009E6F3D" w:rsidRPr="009E6F3D">
              <w:rPr>
                <w:lang w:val="en-US" w:eastAsia="en-US"/>
              </w:rPr>
              <w:t xml:space="preserve">he Commissioner of Taxation and the </w:t>
            </w:r>
            <w:r w:rsidR="006265C0" w:rsidRPr="006265C0">
              <w:rPr>
                <w:lang w:val="en-US" w:eastAsia="en-US"/>
              </w:rPr>
              <w:t xml:space="preserve">Comptroller-General of Customs </w:t>
            </w:r>
            <w:r w:rsidR="009E6F3D">
              <w:rPr>
                <w:lang w:val="en-US" w:eastAsia="en-US"/>
              </w:rPr>
              <w:t xml:space="preserve">are </w:t>
            </w:r>
            <w:proofErr w:type="spellStart"/>
            <w:r w:rsidR="005F01E7">
              <w:rPr>
                <w:lang w:val="en-US" w:eastAsia="en-US"/>
              </w:rPr>
              <w:t>authorised</w:t>
            </w:r>
            <w:proofErr w:type="spellEnd"/>
            <w:r w:rsidR="005F01E7">
              <w:rPr>
                <w:lang w:val="en-US" w:eastAsia="en-US"/>
              </w:rPr>
              <w:t xml:space="preserve"> </w:t>
            </w:r>
            <w:r w:rsidR="009E6F3D" w:rsidRPr="009E6F3D">
              <w:rPr>
                <w:lang w:val="en-US" w:eastAsia="en-US"/>
              </w:rPr>
              <w:t xml:space="preserve">to collect higher rates of fuel duty from </w:t>
            </w:r>
            <w:r w:rsidR="00AD44CF" w:rsidRPr="009E6F3D">
              <w:rPr>
                <w:lang w:val="en-US" w:eastAsia="en-US"/>
              </w:rPr>
              <w:t>10</w:t>
            </w:r>
            <w:r w:rsidR="00AD44CF">
              <w:rPr>
                <w:lang w:val="en-US" w:eastAsia="en-US"/>
              </w:rPr>
              <w:t> </w:t>
            </w:r>
            <w:r w:rsidR="009E6F3D" w:rsidRPr="009E6F3D">
              <w:rPr>
                <w:lang w:val="en-US" w:eastAsia="en-US"/>
              </w:rPr>
              <w:t xml:space="preserve">November 2014 which is </w:t>
            </w:r>
            <w:r w:rsidR="00291311">
              <w:rPr>
                <w:lang w:val="en-US" w:eastAsia="en-US"/>
              </w:rPr>
              <w:t>indexed</w:t>
            </w:r>
            <w:r w:rsidR="009E6F3D" w:rsidRPr="009E6F3D">
              <w:rPr>
                <w:lang w:val="en-US" w:eastAsia="en-US"/>
              </w:rPr>
              <w:t xml:space="preserve"> in line with CPI movements until </w:t>
            </w:r>
            <w:r w:rsidR="00654ED6">
              <w:rPr>
                <w:lang w:val="en-US" w:eastAsia="en-US"/>
              </w:rPr>
              <w:t>29</w:t>
            </w:r>
            <w:r w:rsidR="00654ED6" w:rsidRPr="009E6F3D">
              <w:rPr>
                <w:lang w:val="en-US" w:eastAsia="en-US"/>
              </w:rPr>
              <w:t xml:space="preserve"> </w:t>
            </w:r>
            <w:r w:rsidR="009E6F3D" w:rsidRPr="009E6F3D">
              <w:rPr>
                <w:lang w:val="en-US" w:eastAsia="en-US"/>
              </w:rPr>
              <w:t>October 2015</w:t>
            </w:r>
            <w:r w:rsidR="009E6F3D">
              <w:rPr>
                <w:lang w:val="en-US" w:eastAsia="en-US"/>
              </w:rPr>
              <w:t>.</w:t>
            </w:r>
            <w:r w:rsidR="00654ED6">
              <w:rPr>
                <w:rStyle w:val="FootnoteReference"/>
                <w:lang w:val="en-US" w:eastAsia="en-US"/>
              </w:rPr>
              <w:footnoteReference w:id="12"/>
            </w:r>
          </w:p>
        </w:tc>
      </w:tr>
      <w:tr w:rsidR="00DF600C" w:rsidRPr="004666B8" w14:paraId="628C425D" w14:textId="77777777" w:rsidTr="008A145B">
        <w:trPr>
          <w:trHeight w:val="319"/>
        </w:trPr>
        <w:tc>
          <w:tcPr>
            <w:tcW w:w="6551" w:type="dxa"/>
            <w:gridSpan w:val="2"/>
          </w:tcPr>
          <w:p w14:paraId="7B901BED" w14:textId="77777777" w:rsidR="00DF600C" w:rsidRPr="00D2444F" w:rsidRDefault="00DF600C" w:rsidP="001A2200">
            <w:pPr>
              <w:pStyle w:val="tableheaderwithintable"/>
              <w:keepLines/>
              <w:rPr>
                <w:b w:val="0"/>
                <w:lang w:val="en-US" w:eastAsia="en-US"/>
              </w:rPr>
            </w:pPr>
            <w:r w:rsidRPr="00967724">
              <w:rPr>
                <w:lang w:val="en-US" w:eastAsia="en-US"/>
              </w:rPr>
              <w:t>Rounding of duty rate</w:t>
            </w:r>
          </w:p>
        </w:tc>
      </w:tr>
      <w:tr w:rsidR="00DF600C" w:rsidRPr="004666B8" w14:paraId="7BD67A5E" w14:textId="77777777" w:rsidTr="008A145B">
        <w:tc>
          <w:tcPr>
            <w:tcW w:w="3275" w:type="dxa"/>
          </w:tcPr>
          <w:p w14:paraId="39DADFF3" w14:textId="77777777" w:rsidR="00DF600C" w:rsidRDefault="00DF600C" w:rsidP="001A2200">
            <w:pPr>
              <w:pStyle w:val="tabletext"/>
              <w:keepNext/>
              <w:keepLines/>
              <w:rPr>
                <w:lang w:val="en-US" w:eastAsia="en-US"/>
              </w:rPr>
            </w:pPr>
            <w:r>
              <w:rPr>
                <w:lang w:val="en-US" w:eastAsia="en-US"/>
              </w:rPr>
              <w:t>The indexed rates of excise and excise</w:t>
            </w:r>
            <w:r>
              <w:rPr>
                <w:lang w:val="en-US" w:eastAsia="en-US"/>
              </w:rPr>
              <w:noBreakHyphen/>
              <w:t>equivalent customs duty for fuels (excluding aviation fuel and the other petroleum products listed above) are rounded to one decimal place of a cent.</w:t>
            </w:r>
          </w:p>
        </w:tc>
        <w:tc>
          <w:tcPr>
            <w:tcW w:w="3276" w:type="dxa"/>
          </w:tcPr>
          <w:p w14:paraId="1CCE31EA" w14:textId="77777777" w:rsidR="00DF600C" w:rsidRDefault="00DF600C" w:rsidP="001A2200">
            <w:pPr>
              <w:pStyle w:val="tabletext"/>
              <w:keepNext/>
              <w:keepLines/>
              <w:spacing w:before="120"/>
              <w:rPr>
                <w:lang w:val="en-US" w:eastAsia="en-US"/>
              </w:rPr>
            </w:pPr>
            <w:r>
              <w:rPr>
                <w:lang w:val="en-US" w:eastAsia="en-US"/>
              </w:rPr>
              <w:t>No equivalent. Duty rates for fuels are generally expressed to three decimal places of a cent.</w:t>
            </w:r>
            <w:r w:rsidR="009E6F3D">
              <w:t xml:space="preserve"> </w:t>
            </w:r>
            <w:r w:rsidR="00650DAD">
              <w:rPr>
                <w:lang w:val="en-US" w:eastAsia="en-US"/>
              </w:rPr>
              <w:t>However, under Tariff P</w:t>
            </w:r>
            <w:r w:rsidR="009E6F3D" w:rsidRPr="009E6F3D">
              <w:rPr>
                <w:lang w:val="en-US" w:eastAsia="en-US"/>
              </w:rPr>
              <w:t>roposals tabled in the House of Representatives on 30</w:t>
            </w:r>
            <w:r w:rsidR="00A74FB2">
              <w:rPr>
                <w:lang w:val="en-US" w:eastAsia="en-US"/>
              </w:rPr>
              <w:t> </w:t>
            </w:r>
            <w:r w:rsidR="009E6F3D" w:rsidRPr="009E6F3D">
              <w:rPr>
                <w:lang w:val="en-US" w:eastAsia="en-US"/>
              </w:rPr>
              <w:t xml:space="preserve">October 2014, the Commissioner of Taxation and the </w:t>
            </w:r>
            <w:r w:rsidR="006265C0" w:rsidRPr="006265C0">
              <w:rPr>
                <w:lang w:val="en-US" w:eastAsia="en-US"/>
              </w:rPr>
              <w:t>Comptroller</w:t>
            </w:r>
            <w:r w:rsidR="006265C0">
              <w:rPr>
                <w:lang w:val="en-US" w:eastAsia="en-US"/>
              </w:rPr>
              <w:noBreakHyphen/>
            </w:r>
            <w:r w:rsidR="006265C0" w:rsidRPr="006265C0">
              <w:rPr>
                <w:lang w:val="en-US" w:eastAsia="en-US"/>
              </w:rPr>
              <w:t xml:space="preserve">General of Customs </w:t>
            </w:r>
            <w:r w:rsidR="009E6F3D" w:rsidRPr="009E6F3D">
              <w:rPr>
                <w:lang w:val="en-US" w:eastAsia="en-US"/>
              </w:rPr>
              <w:t xml:space="preserve">are </w:t>
            </w:r>
            <w:proofErr w:type="spellStart"/>
            <w:r w:rsidR="009E6F3D">
              <w:rPr>
                <w:lang w:val="en-US" w:eastAsia="en-US"/>
              </w:rPr>
              <w:t>authorised</w:t>
            </w:r>
            <w:proofErr w:type="spellEnd"/>
            <w:r w:rsidR="009E6F3D">
              <w:rPr>
                <w:lang w:val="en-US" w:eastAsia="en-US"/>
              </w:rPr>
              <w:t xml:space="preserve"> </w:t>
            </w:r>
            <w:r w:rsidR="009E6F3D" w:rsidRPr="009E6F3D">
              <w:rPr>
                <w:lang w:val="en-US" w:eastAsia="en-US"/>
              </w:rPr>
              <w:t>to</w:t>
            </w:r>
            <w:r w:rsidR="009E6F3D">
              <w:rPr>
                <w:lang w:val="en-US" w:eastAsia="en-US"/>
              </w:rPr>
              <w:t xml:space="preserve"> round the rates of additional duty </w:t>
            </w:r>
            <w:r w:rsidR="00A74FB2">
              <w:rPr>
                <w:lang w:val="en-US" w:eastAsia="en-US"/>
              </w:rPr>
              <w:t>payable</w:t>
            </w:r>
            <w:r w:rsidR="009E6F3D">
              <w:rPr>
                <w:lang w:val="en-US" w:eastAsia="en-US"/>
              </w:rPr>
              <w:t xml:space="preserve"> to one decimal place of a cent</w:t>
            </w:r>
            <w:r w:rsidR="00FD0235">
              <w:rPr>
                <w:lang w:val="en-US" w:eastAsia="en-US"/>
              </w:rPr>
              <w:t xml:space="preserve"> in the period</w:t>
            </w:r>
            <w:r w:rsidR="00E1388E">
              <w:rPr>
                <w:lang w:val="en-US" w:eastAsia="en-US"/>
              </w:rPr>
              <w:t> </w:t>
            </w:r>
            <w:r w:rsidR="00FD0235">
              <w:rPr>
                <w:lang w:val="en-US" w:eastAsia="en-US"/>
              </w:rPr>
              <w:t xml:space="preserve">10 November 2014 until </w:t>
            </w:r>
            <w:r w:rsidR="00503845">
              <w:rPr>
                <w:lang w:val="en-US" w:eastAsia="en-US"/>
              </w:rPr>
              <w:t>29 </w:t>
            </w:r>
            <w:r w:rsidR="00FD0235">
              <w:rPr>
                <w:lang w:val="en-US" w:eastAsia="en-US"/>
              </w:rPr>
              <w:t>October</w:t>
            </w:r>
            <w:r w:rsidR="00967724">
              <w:rPr>
                <w:lang w:val="en-US" w:eastAsia="en-US"/>
              </w:rPr>
              <w:t> </w:t>
            </w:r>
            <w:r w:rsidR="00FD0235">
              <w:rPr>
                <w:lang w:val="en-US" w:eastAsia="en-US"/>
              </w:rPr>
              <w:t>2015</w:t>
            </w:r>
            <w:r w:rsidR="009E6F3D">
              <w:rPr>
                <w:lang w:val="en-US" w:eastAsia="en-US"/>
              </w:rPr>
              <w:t>.</w:t>
            </w:r>
            <w:r w:rsidR="00654ED6">
              <w:rPr>
                <w:rStyle w:val="FootnoteReference"/>
                <w:lang w:val="en-US" w:eastAsia="en-US"/>
              </w:rPr>
              <w:footnoteReference w:id="13"/>
            </w:r>
            <w:r w:rsidR="009E6F3D">
              <w:rPr>
                <w:lang w:val="en-US" w:eastAsia="en-US"/>
              </w:rPr>
              <w:t xml:space="preserve"> </w:t>
            </w:r>
          </w:p>
        </w:tc>
      </w:tr>
      <w:tr w:rsidR="00967724" w:rsidRPr="004666B8" w14:paraId="124B5AD8" w14:textId="77777777" w:rsidTr="00F721B7">
        <w:trPr>
          <w:trHeight w:val="319"/>
        </w:trPr>
        <w:tc>
          <w:tcPr>
            <w:tcW w:w="6551" w:type="dxa"/>
            <w:gridSpan w:val="2"/>
          </w:tcPr>
          <w:p w14:paraId="6E2165CD" w14:textId="77777777" w:rsidR="00967724" w:rsidRPr="00D2444F" w:rsidRDefault="00DB3F37" w:rsidP="00F721B7">
            <w:pPr>
              <w:pStyle w:val="tableheaderwithintable"/>
              <w:rPr>
                <w:b w:val="0"/>
                <w:lang w:val="en-US" w:eastAsia="en-US"/>
              </w:rPr>
            </w:pPr>
            <w:r>
              <w:rPr>
                <w:lang w:val="en-US" w:eastAsia="en-US"/>
              </w:rPr>
              <w:t>R</w:t>
            </w:r>
            <w:r w:rsidR="00967724" w:rsidRPr="00967724">
              <w:rPr>
                <w:lang w:val="en-US" w:eastAsia="en-US"/>
              </w:rPr>
              <w:t>oad user charge</w:t>
            </w:r>
          </w:p>
        </w:tc>
      </w:tr>
      <w:tr w:rsidR="00967724" w:rsidRPr="004666B8" w14:paraId="330CD5B9" w14:textId="77777777" w:rsidTr="008A145B">
        <w:tc>
          <w:tcPr>
            <w:tcW w:w="3275" w:type="dxa"/>
          </w:tcPr>
          <w:p w14:paraId="6FE8BD33" w14:textId="77777777" w:rsidR="00967724" w:rsidRDefault="00967724" w:rsidP="008A145B">
            <w:pPr>
              <w:pStyle w:val="tabletext"/>
              <w:rPr>
                <w:lang w:val="en-US" w:eastAsia="en-US"/>
              </w:rPr>
            </w:pPr>
            <w:r w:rsidRPr="00A53DFF">
              <w:rPr>
                <w:lang w:val="en-US" w:eastAsia="en-US"/>
              </w:rPr>
              <w:t xml:space="preserve">The road user charge </w:t>
            </w:r>
            <w:r>
              <w:rPr>
                <w:lang w:val="en-US" w:eastAsia="en-US"/>
              </w:rPr>
              <w:t xml:space="preserve">rate that is determined </w:t>
            </w:r>
            <w:r w:rsidRPr="00A53DFF">
              <w:rPr>
                <w:lang w:val="en-US" w:eastAsia="en-US"/>
              </w:rPr>
              <w:t xml:space="preserve">is </w:t>
            </w:r>
            <w:r>
              <w:rPr>
                <w:lang w:val="en-US" w:eastAsia="en-US"/>
              </w:rPr>
              <w:t xml:space="preserve">also </w:t>
            </w:r>
            <w:r w:rsidRPr="00A53DFF">
              <w:rPr>
                <w:lang w:val="en-US" w:eastAsia="en-US"/>
              </w:rPr>
              <w:t xml:space="preserve">rounded to </w:t>
            </w:r>
            <w:r>
              <w:rPr>
                <w:lang w:val="en-US" w:eastAsia="en-US"/>
              </w:rPr>
              <w:t>one decimal place of a cent</w:t>
            </w:r>
            <w:r w:rsidRPr="00A53DFF">
              <w:rPr>
                <w:lang w:val="en-US" w:eastAsia="en-US"/>
              </w:rPr>
              <w:t>.</w:t>
            </w:r>
          </w:p>
        </w:tc>
        <w:tc>
          <w:tcPr>
            <w:tcW w:w="3276" w:type="dxa"/>
          </w:tcPr>
          <w:p w14:paraId="4EAF383A" w14:textId="77777777" w:rsidR="00967724" w:rsidRDefault="00967724" w:rsidP="008A145B">
            <w:pPr>
              <w:pStyle w:val="tabletext"/>
              <w:rPr>
                <w:lang w:val="en-US" w:eastAsia="en-US"/>
              </w:rPr>
            </w:pPr>
            <w:r w:rsidRPr="00A53DFF">
              <w:rPr>
                <w:lang w:val="en-US" w:eastAsia="en-US"/>
              </w:rPr>
              <w:t>No equivalent.</w:t>
            </w:r>
          </w:p>
        </w:tc>
      </w:tr>
      <w:tr w:rsidR="00DF600C" w:rsidRPr="004666B8" w14:paraId="76E6EE0E" w14:textId="77777777" w:rsidTr="008A145B">
        <w:tc>
          <w:tcPr>
            <w:tcW w:w="6551" w:type="dxa"/>
            <w:gridSpan w:val="2"/>
          </w:tcPr>
          <w:p w14:paraId="0E6FED15" w14:textId="77777777" w:rsidR="00DF600C" w:rsidRPr="00786DDA" w:rsidRDefault="00DF600C" w:rsidP="00967724">
            <w:pPr>
              <w:pStyle w:val="tableheaderwithintable"/>
              <w:rPr>
                <w:b w:val="0"/>
                <w:lang w:val="en-US" w:eastAsia="en-US"/>
              </w:rPr>
            </w:pPr>
            <w:r w:rsidRPr="00967724">
              <w:rPr>
                <w:lang w:val="en-US" w:eastAsia="en-US"/>
              </w:rPr>
              <w:t>Special account for additional net revenue from fuel indexation</w:t>
            </w:r>
          </w:p>
        </w:tc>
      </w:tr>
      <w:tr w:rsidR="00DF600C" w:rsidRPr="004666B8" w14:paraId="33FD232E" w14:textId="77777777" w:rsidTr="008A145B">
        <w:tc>
          <w:tcPr>
            <w:tcW w:w="3275" w:type="dxa"/>
          </w:tcPr>
          <w:p w14:paraId="14478E78" w14:textId="77777777" w:rsidR="00DF600C" w:rsidRDefault="00DF600C" w:rsidP="008A145B">
            <w:pPr>
              <w:pStyle w:val="tabletext"/>
              <w:rPr>
                <w:lang w:val="en-US" w:eastAsia="en-US"/>
              </w:rPr>
            </w:pPr>
            <w:r>
              <w:rPr>
                <w:lang w:val="en-US" w:eastAsia="en-US"/>
              </w:rPr>
              <w:t xml:space="preserve">The net additional revenue from reintroducing fuel </w:t>
            </w:r>
            <w:r w:rsidRPr="00BE0332">
              <w:rPr>
                <w:lang w:val="en-US" w:eastAsia="en-US"/>
              </w:rPr>
              <w:t>indexation</w:t>
            </w:r>
            <w:r>
              <w:rPr>
                <w:lang w:val="en-US" w:eastAsia="en-US"/>
              </w:rPr>
              <w:t xml:space="preserve"> is credited to a special account and amounts are debited from the account only for the purpose of road infrastructure funding.</w:t>
            </w:r>
          </w:p>
        </w:tc>
        <w:tc>
          <w:tcPr>
            <w:tcW w:w="3276" w:type="dxa"/>
          </w:tcPr>
          <w:p w14:paraId="18313CFB" w14:textId="77777777" w:rsidR="00DF600C" w:rsidRDefault="00DF600C" w:rsidP="008A145B">
            <w:pPr>
              <w:pStyle w:val="tabletext"/>
              <w:rPr>
                <w:lang w:val="en-US" w:eastAsia="en-US"/>
              </w:rPr>
            </w:pPr>
            <w:r>
              <w:rPr>
                <w:lang w:val="en-US" w:eastAsia="en-US"/>
              </w:rPr>
              <w:t>No equivalent.</w:t>
            </w:r>
          </w:p>
        </w:tc>
      </w:tr>
    </w:tbl>
    <w:p w14:paraId="113B65D1" w14:textId="77777777" w:rsidR="00DF600C" w:rsidRDefault="00DF600C" w:rsidP="00DF600C">
      <w:pPr>
        <w:pStyle w:val="Heading2"/>
      </w:pPr>
      <w:r>
        <w:t>Detailed explanation of new law</w:t>
      </w:r>
    </w:p>
    <w:p w14:paraId="2EBDCF0E" w14:textId="77777777" w:rsidR="00DF600C" w:rsidRPr="007623CF" w:rsidRDefault="00DF600C" w:rsidP="00DF600C">
      <w:pPr>
        <w:pStyle w:val="Heading3"/>
      </w:pPr>
      <w:r w:rsidRPr="007623CF">
        <w:t>Indexation</w:t>
      </w:r>
      <w:r>
        <w:t xml:space="preserve"> of the rates of excise and excise</w:t>
      </w:r>
      <w:r>
        <w:noBreakHyphen/>
        <w:t>equivalent customs duty for fuel</w:t>
      </w:r>
    </w:p>
    <w:p w14:paraId="42BD148B" w14:textId="77777777" w:rsidR="00DF600C" w:rsidRDefault="00DF600C" w:rsidP="007061A8">
      <w:pPr>
        <w:pStyle w:val="base-text-paragraph"/>
        <w:numPr>
          <w:ilvl w:val="1"/>
          <w:numId w:val="32"/>
        </w:numPr>
      </w:pPr>
      <w:r>
        <w:t>This measure applies indexation to the rates of excise and excise</w:t>
      </w:r>
      <w:r>
        <w:noBreakHyphen/>
        <w:t>equivalent customs duty applying to fuels</w:t>
      </w:r>
      <w:r w:rsidR="003D0132">
        <w:t xml:space="preserve"> (other than aviation fuels)</w:t>
      </w:r>
      <w:r>
        <w:t>. The measure maintains the real value of excise and excise</w:t>
      </w:r>
      <w:r w:rsidR="008B08BE">
        <w:noBreakHyphen/>
      </w:r>
      <w:r>
        <w:t>equivalent customs duty collections. The additional revenue is used to fund investment in road infrastructure.</w:t>
      </w:r>
    </w:p>
    <w:p w14:paraId="6AC9E4C5" w14:textId="77777777" w:rsidR="00DF600C" w:rsidRDefault="00DF600C" w:rsidP="001A2200">
      <w:pPr>
        <w:pStyle w:val="base-text-paragraph"/>
        <w:keepNext/>
        <w:keepLines/>
        <w:numPr>
          <w:ilvl w:val="1"/>
          <w:numId w:val="32"/>
        </w:numPr>
        <w:spacing w:before="100" w:after="100"/>
      </w:pPr>
      <w:r>
        <w:t>Fuel indexation operates in a similar way to the indexation of the rates of excise and excise</w:t>
      </w:r>
      <w:r>
        <w:noBreakHyphen/>
        <w:t xml:space="preserve">equivalent customs duty applying to alcohol. Generally, indexation occurs on 1 February and 1 August each year and is based on changes in the CPI as published by the Australian </w:t>
      </w:r>
      <w:r w:rsidR="0004148E">
        <w:t xml:space="preserve">Bureau of </w:t>
      </w:r>
      <w:r>
        <w:t>Statistic</w:t>
      </w:r>
      <w:r w:rsidR="0004148E">
        <w:t>s</w:t>
      </w:r>
      <w:r>
        <w:t xml:space="preserve">. </w:t>
      </w:r>
      <w:r>
        <w:rPr>
          <w:rStyle w:val="Referencingstyle"/>
        </w:rPr>
        <w:t>[</w:t>
      </w:r>
      <w:r w:rsidRPr="00054B31">
        <w:rPr>
          <w:rStyle w:val="Referencingstyle"/>
        </w:rPr>
        <w:t xml:space="preserve">Schedule </w:t>
      </w:r>
      <w:r>
        <w:rPr>
          <w:rStyle w:val="Referencingstyle"/>
        </w:rPr>
        <w:t>1 of Excise Fuel Indexation Bill 2015</w:t>
      </w:r>
      <w:r w:rsidRPr="00054B31">
        <w:rPr>
          <w:rStyle w:val="Referencingstyle"/>
        </w:rPr>
        <w:t>, item</w:t>
      </w:r>
      <w:r>
        <w:rPr>
          <w:rStyle w:val="Referencingstyle"/>
        </w:rPr>
        <w:t>s</w:t>
      </w:r>
      <w:r w:rsidRPr="00054B31">
        <w:rPr>
          <w:rStyle w:val="Referencingstyle"/>
        </w:rPr>
        <w:t xml:space="preserve"> </w:t>
      </w:r>
      <w:r>
        <w:rPr>
          <w:rStyle w:val="Referencingstyle"/>
        </w:rPr>
        <w:t>20</w:t>
      </w:r>
      <w:r w:rsidRPr="00054B31">
        <w:rPr>
          <w:rStyle w:val="Referencingstyle"/>
        </w:rPr>
        <w:t xml:space="preserve"> to</w:t>
      </w:r>
      <w:r w:rsidR="004E0202">
        <w:rPr>
          <w:rStyle w:val="Referencingstyle"/>
        </w:rPr>
        <w:t xml:space="preserve"> </w:t>
      </w:r>
      <w:r>
        <w:rPr>
          <w:rStyle w:val="Referencingstyle"/>
        </w:rPr>
        <w:t>25</w:t>
      </w:r>
      <w:r w:rsidRPr="00054B31">
        <w:rPr>
          <w:rStyle w:val="Referencingstyle"/>
        </w:rPr>
        <w:t xml:space="preserve">, </w:t>
      </w:r>
      <w:r>
        <w:rPr>
          <w:rStyle w:val="Referencingstyle"/>
        </w:rPr>
        <w:t>subsections </w:t>
      </w:r>
      <w:r w:rsidRPr="00054B31">
        <w:rPr>
          <w:rStyle w:val="Referencingstyle"/>
        </w:rPr>
        <w:t>6A(1), (2), (5)</w:t>
      </w:r>
      <w:r>
        <w:rPr>
          <w:rStyle w:val="Referencingstyle"/>
        </w:rPr>
        <w:t>,</w:t>
      </w:r>
      <w:r w:rsidRPr="00054B31">
        <w:rPr>
          <w:rStyle w:val="Referencingstyle"/>
        </w:rPr>
        <w:t xml:space="preserve"> (6)</w:t>
      </w:r>
      <w:r>
        <w:rPr>
          <w:rStyle w:val="Referencingstyle"/>
        </w:rPr>
        <w:t>, (8) and</w:t>
      </w:r>
      <w:r w:rsidRPr="00054B31" w:rsidDel="00694421">
        <w:rPr>
          <w:rStyle w:val="Referencingstyle"/>
        </w:rPr>
        <w:t xml:space="preserve"> </w:t>
      </w:r>
      <w:r w:rsidRPr="00054B31">
        <w:rPr>
          <w:rStyle w:val="Referencingstyle"/>
        </w:rPr>
        <w:t xml:space="preserve">(9) of </w:t>
      </w:r>
      <w:r>
        <w:rPr>
          <w:rStyle w:val="Referencingstyle"/>
        </w:rPr>
        <w:t>the Excise Tariff Act 1921, Schedule 1 of the Customs Fuel Indexation Bill</w:t>
      </w:r>
      <w:r w:rsidR="00590DEF">
        <w:rPr>
          <w:rStyle w:val="Referencingstyle"/>
        </w:rPr>
        <w:t xml:space="preserve"> </w:t>
      </w:r>
      <w:r>
        <w:rPr>
          <w:rStyle w:val="Referencingstyle"/>
        </w:rPr>
        <w:t xml:space="preserve">2015, items </w:t>
      </w:r>
      <w:r w:rsidR="00EF1E99">
        <w:rPr>
          <w:rStyle w:val="Referencingstyle"/>
        </w:rPr>
        <w:t>3</w:t>
      </w:r>
      <w:r>
        <w:rPr>
          <w:rStyle w:val="Referencingstyle"/>
        </w:rPr>
        <w:t xml:space="preserve"> to </w:t>
      </w:r>
      <w:r w:rsidR="00EF1E99">
        <w:rPr>
          <w:rStyle w:val="Referencingstyle"/>
        </w:rPr>
        <w:t>9</w:t>
      </w:r>
      <w:r>
        <w:rPr>
          <w:rStyle w:val="Referencingstyle"/>
        </w:rPr>
        <w:t xml:space="preserve">, subsections 19(1), (2), (5), (6), (8), (9) and (10) of </w:t>
      </w:r>
      <w:r w:rsidR="00E06E70">
        <w:rPr>
          <w:rStyle w:val="Referencingstyle"/>
        </w:rPr>
        <w:t xml:space="preserve">the </w:t>
      </w:r>
      <w:r>
        <w:rPr>
          <w:rStyle w:val="Referencingstyle"/>
        </w:rPr>
        <w:t>Customs Tariff Act 1995</w:t>
      </w:r>
      <w:r w:rsidRPr="00864537">
        <w:rPr>
          <w:rStyle w:val="Referencingstyle"/>
        </w:rPr>
        <w:t>]</w:t>
      </w:r>
    </w:p>
    <w:p w14:paraId="5E5A5652" w14:textId="77777777" w:rsidR="00C82059" w:rsidRDefault="00DF600C" w:rsidP="009374C4">
      <w:pPr>
        <w:pStyle w:val="base-text-paragraph"/>
        <w:numPr>
          <w:ilvl w:val="1"/>
          <w:numId w:val="32"/>
        </w:numPr>
      </w:pPr>
      <w:r>
        <w:t xml:space="preserve">However, </w:t>
      </w:r>
      <w:r w:rsidR="0004148E">
        <w:t xml:space="preserve">in some situations </w:t>
      </w:r>
      <w:r w:rsidRPr="001E6B97">
        <w:t xml:space="preserve">indexation </w:t>
      </w:r>
      <w:r w:rsidR="00241A2A">
        <w:t xml:space="preserve">comes into </w:t>
      </w:r>
      <w:r w:rsidR="0004148E">
        <w:t xml:space="preserve">effect </w:t>
      </w:r>
      <w:r>
        <w:t xml:space="preserve">one or </w:t>
      </w:r>
      <w:r w:rsidR="0004148E">
        <w:t>a number of</w:t>
      </w:r>
      <w:r>
        <w:t xml:space="preserve"> days later than </w:t>
      </w:r>
      <w:r w:rsidR="003E7960">
        <w:t xml:space="preserve">the indexation day of </w:t>
      </w:r>
      <w:r>
        <w:t xml:space="preserve">1 February </w:t>
      </w:r>
      <w:r w:rsidR="0079779B">
        <w:t>or</w:t>
      </w:r>
      <w:r>
        <w:t xml:space="preserve"> 1 August.</w:t>
      </w:r>
    </w:p>
    <w:p w14:paraId="4AAE7243" w14:textId="77777777" w:rsidR="0079779B" w:rsidRDefault="00DF600C" w:rsidP="009374C4">
      <w:pPr>
        <w:pStyle w:val="base-text-paragraph"/>
        <w:numPr>
          <w:ilvl w:val="1"/>
          <w:numId w:val="32"/>
        </w:numPr>
      </w:pPr>
      <w:r>
        <w:t xml:space="preserve">This </w:t>
      </w:r>
      <w:r w:rsidR="008B6B9B">
        <w:t>is because</w:t>
      </w:r>
      <w:r>
        <w:t xml:space="preserve"> under subsection 6A(5</w:t>
      </w:r>
      <w:r w:rsidR="0079779B">
        <w:t>)</w:t>
      </w:r>
      <w:r w:rsidR="00103801">
        <w:t xml:space="preserve"> of the </w:t>
      </w:r>
      <w:r w:rsidRPr="00190025">
        <w:rPr>
          <w:i/>
        </w:rPr>
        <w:t>Excise Tariff Act</w:t>
      </w:r>
      <w:r w:rsidR="00E1388E">
        <w:rPr>
          <w:i/>
        </w:rPr>
        <w:t> </w:t>
      </w:r>
      <w:r w:rsidRPr="00103801">
        <w:rPr>
          <w:i/>
        </w:rPr>
        <w:t>1921</w:t>
      </w:r>
      <w:r w:rsidR="00AD44CF">
        <w:rPr>
          <w:i/>
        </w:rPr>
        <w:t xml:space="preserve"> </w:t>
      </w:r>
      <w:r w:rsidR="00AD44CF">
        <w:t xml:space="preserve">and subsection 19(5) of the </w:t>
      </w:r>
      <w:r w:rsidR="00AD44CF" w:rsidRPr="006269B7">
        <w:rPr>
          <w:i/>
        </w:rPr>
        <w:t>Customs Tariff Act 1995</w:t>
      </w:r>
      <w:r w:rsidR="00103801">
        <w:t xml:space="preserve">, </w:t>
      </w:r>
      <w:r w:rsidRPr="0035088C">
        <w:t>if</w:t>
      </w:r>
      <w:r w:rsidR="00190025">
        <w:t xml:space="preserve"> </w:t>
      </w:r>
      <w:r w:rsidR="00190025" w:rsidRPr="00190025">
        <w:t xml:space="preserve">the CPI index number is published by the Australian Bureau of Statistics less than </w:t>
      </w:r>
      <w:r w:rsidR="00103801">
        <w:t>five</w:t>
      </w:r>
      <w:r w:rsidR="00190025" w:rsidRPr="00190025">
        <w:t xml:space="preserve"> days before </w:t>
      </w:r>
      <w:r w:rsidR="00103801">
        <w:t>the indexation day (</w:t>
      </w:r>
      <w:r w:rsidR="00190025" w:rsidRPr="00190025">
        <w:t>1 February or 1</w:t>
      </w:r>
      <w:r w:rsidR="008B6B9B">
        <w:t> </w:t>
      </w:r>
      <w:r w:rsidR="00190025" w:rsidRPr="00190025">
        <w:t>August</w:t>
      </w:r>
      <w:r w:rsidR="00103801">
        <w:t>)</w:t>
      </w:r>
      <w:r w:rsidR="00C031DB">
        <w:t>,</w:t>
      </w:r>
      <w:r w:rsidR="00190025">
        <w:t xml:space="preserve"> indexation applies from</w:t>
      </w:r>
      <w:r w:rsidR="00CD3507">
        <w:t xml:space="preserve"> </w:t>
      </w:r>
      <w:r w:rsidR="00103801">
        <w:t xml:space="preserve">the fifth </w:t>
      </w:r>
      <w:r w:rsidR="00190025">
        <w:t>day after the release of the CP</w:t>
      </w:r>
      <w:r w:rsidR="00A35F85">
        <w:t>I index number</w:t>
      </w:r>
      <w:r w:rsidR="00CD3507">
        <w:t>.</w:t>
      </w:r>
      <w:r w:rsidR="00F66F55">
        <w:t xml:space="preserve"> This is the case for the February 2015 indexation</w:t>
      </w:r>
      <w:r w:rsidR="00E06E70">
        <w:t xml:space="preserve"> day</w:t>
      </w:r>
      <w:r w:rsidR="00F66F55">
        <w:t xml:space="preserve">, where </w:t>
      </w:r>
      <w:r w:rsidR="002B6789">
        <w:t xml:space="preserve">the </w:t>
      </w:r>
      <w:r w:rsidR="00103801">
        <w:t>index number was published on the 28 January 201</w:t>
      </w:r>
      <w:r w:rsidR="002B6789">
        <w:t>5 and accordingly,</w:t>
      </w:r>
      <w:r w:rsidR="008B6B9B">
        <w:t xml:space="preserve"> indexation applies</w:t>
      </w:r>
      <w:r w:rsidR="002B6789">
        <w:t xml:space="preserve"> from 2 February 2015</w:t>
      </w:r>
      <w:r w:rsidR="00751A6E">
        <w:t xml:space="preserve">. </w:t>
      </w:r>
    </w:p>
    <w:p w14:paraId="21625274" w14:textId="77777777" w:rsidR="00DF600C" w:rsidRDefault="00DF600C" w:rsidP="00A35F85">
      <w:pPr>
        <w:pStyle w:val="base-text-paragraph"/>
        <w:keepNext/>
        <w:keepLines/>
        <w:numPr>
          <w:ilvl w:val="1"/>
          <w:numId w:val="32"/>
        </w:numPr>
      </w:pPr>
      <w:r>
        <w:t>Indexation applies to the following fuels:</w:t>
      </w:r>
    </w:p>
    <w:p w14:paraId="5401E503" w14:textId="77777777" w:rsidR="00DF600C" w:rsidRDefault="00DF600C" w:rsidP="009374C4">
      <w:pPr>
        <w:pStyle w:val="dotpoint"/>
        <w:keepNext/>
        <w:keepLines/>
        <w:spacing w:before="100" w:after="100"/>
        <w:ind w:left="2269" w:hanging="284"/>
      </w:pPr>
      <w:r>
        <w:t>petroleum condensate and stabilised crude petroleum oil used as a fuel;</w:t>
      </w:r>
    </w:p>
    <w:p w14:paraId="67BB78C2" w14:textId="77777777" w:rsidR="00DF600C" w:rsidRDefault="00DF600C" w:rsidP="009374C4">
      <w:pPr>
        <w:pStyle w:val="dotpoint"/>
        <w:keepNext/>
        <w:keepLines/>
        <w:spacing w:before="100" w:after="100"/>
        <w:ind w:left="2269" w:hanging="284"/>
      </w:pPr>
      <w:r>
        <w:t>topped crude petroleum oil;</w:t>
      </w:r>
    </w:p>
    <w:p w14:paraId="1E148E0F" w14:textId="77777777" w:rsidR="00DF600C" w:rsidRDefault="00DF600C" w:rsidP="007061A8">
      <w:pPr>
        <w:pStyle w:val="dotpoint"/>
        <w:ind w:left="2269" w:hanging="284"/>
      </w:pPr>
      <w:r>
        <w:t>refined or semi-refined liquid products derived from petroleum;</w:t>
      </w:r>
    </w:p>
    <w:p w14:paraId="159A984A" w14:textId="77777777" w:rsidR="00DF600C" w:rsidRDefault="00DF600C" w:rsidP="009374C4">
      <w:pPr>
        <w:pStyle w:val="dotpoint"/>
        <w:keepNext/>
        <w:keepLines/>
        <w:spacing w:before="100" w:after="100"/>
        <w:ind w:left="2269" w:hanging="284"/>
      </w:pPr>
      <w:r>
        <w:t>liquid hydrocarbon products;</w:t>
      </w:r>
    </w:p>
    <w:p w14:paraId="66D10341" w14:textId="77777777" w:rsidR="00DF600C" w:rsidRDefault="00DF600C" w:rsidP="009374C4">
      <w:pPr>
        <w:pStyle w:val="dotpoint"/>
        <w:keepNext/>
        <w:keepLines/>
        <w:spacing w:before="100" w:after="100"/>
        <w:ind w:left="2269" w:hanging="284"/>
      </w:pPr>
      <w:r>
        <w:t>gaseous fuels:</w:t>
      </w:r>
    </w:p>
    <w:p w14:paraId="7B76D38A" w14:textId="77777777" w:rsidR="00DF600C" w:rsidRDefault="00DF600C" w:rsidP="007061A8">
      <w:pPr>
        <w:pStyle w:val="dotpoint2"/>
        <w:tabs>
          <w:tab w:val="clear" w:pos="360"/>
          <w:tab w:val="num" w:pos="2552"/>
        </w:tabs>
        <w:ind w:left="2552" w:hanging="284"/>
      </w:pPr>
      <w:r>
        <w:t>LPG;</w:t>
      </w:r>
    </w:p>
    <w:p w14:paraId="189E49CD" w14:textId="77777777" w:rsidR="00DF600C" w:rsidRDefault="00DF600C" w:rsidP="007061A8">
      <w:pPr>
        <w:pStyle w:val="dotpoint2"/>
        <w:tabs>
          <w:tab w:val="clear" w:pos="360"/>
          <w:tab w:val="num" w:pos="2552"/>
        </w:tabs>
        <w:ind w:left="2552" w:hanging="284"/>
      </w:pPr>
      <w:r>
        <w:t xml:space="preserve">LNG and </w:t>
      </w:r>
      <w:proofErr w:type="spellStart"/>
      <w:r>
        <w:t>CNG</w:t>
      </w:r>
      <w:proofErr w:type="spellEnd"/>
      <w:r>
        <w:t>;</w:t>
      </w:r>
    </w:p>
    <w:p w14:paraId="0B81E9E9" w14:textId="77777777" w:rsidR="00DF600C" w:rsidRDefault="00DF600C" w:rsidP="009374C4">
      <w:pPr>
        <w:pStyle w:val="dotpoint"/>
        <w:keepNext/>
        <w:keepLines/>
        <w:spacing w:before="100" w:after="100"/>
        <w:ind w:left="2269" w:hanging="284"/>
      </w:pPr>
      <w:r>
        <w:t xml:space="preserve">denatured ethanol </w:t>
      </w:r>
      <w:r w:rsidR="00C768A5">
        <w:t xml:space="preserve">(fuel ethanol) </w:t>
      </w:r>
      <w:r>
        <w:t>for use in an internal combustion engine;</w:t>
      </w:r>
      <w:r w:rsidR="00101BCB">
        <w:rPr>
          <w:rStyle w:val="FootnoteReference"/>
        </w:rPr>
        <w:footnoteReference w:id="14"/>
      </w:r>
    </w:p>
    <w:p w14:paraId="543040F2" w14:textId="77777777" w:rsidR="00DF600C" w:rsidRDefault="00DF600C" w:rsidP="009374C4">
      <w:pPr>
        <w:pStyle w:val="dotpoint"/>
        <w:keepNext/>
        <w:keepLines/>
        <w:spacing w:before="100" w:after="100"/>
        <w:ind w:left="2269" w:hanging="284"/>
      </w:pPr>
      <w:r>
        <w:t>biodiesel; and</w:t>
      </w:r>
    </w:p>
    <w:p w14:paraId="5A385549" w14:textId="77777777" w:rsidR="00DF600C" w:rsidRDefault="00DF600C" w:rsidP="009374C4">
      <w:pPr>
        <w:pStyle w:val="dotpoint"/>
        <w:keepNext/>
        <w:keepLines/>
        <w:spacing w:before="100" w:after="100"/>
        <w:ind w:left="2269" w:hanging="284"/>
      </w:pPr>
      <w:r>
        <w:t>blends of the above products.</w:t>
      </w:r>
    </w:p>
    <w:p w14:paraId="3E2CB566" w14:textId="77777777" w:rsidR="00DF600C" w:rsidRPr="00C40034" w:rsidRDefault="00DF600C" w:rsidP="00DF600C">
      <w:pPr>
        <w:pStyle w:val="base-text-paragraph"/>
        <w:numPr>
          <w:ilvl w:val="0"/>
          <w:numId w:val="0"/>
        </w:numPr>
        <w:ind w:left="1134"/>
        <w:rPr>
          <w:rStyle w:val="Referencingstyle"/>
        </w:rPr>
      </w:pPr>
      <w:r w:rsidRPr="00C40034">
        <w:rPr>
          <w:rStyle w:val="Referencingstyle"/>
        </w:rPr>
        <w:t>[Schedule 1 of Excise Fuel Indexation Bill 2015, item 26, subsection 6A(10) of the Excise Tariff Act 1921, Schedule 1 of the Customs Fuel Indexation Bill 2015, item </w:t>
      </w:r>
      <w:r w:rsidR="00385DBF" w:rsidRPr="00C40034">
        <w:rPr>
          <w:rStyle w:val="Referencingstyle"/>
        </w:rPr>
        <w:t>9</w:t>
      </w:r>
      <w:r w:rsidRPr="00C40034">
        <w:rPr>
          <w:rStyle w:val="Referencingstyle"/>
        </w:rPr>
        <w:t xml:space="preserve">, </w:t>
      </w:r>
      <w:r w:rsidR="00CE4C00" w:rsidRPr="00C40034">
        <w:rPr>
          <w:rStyle w:val="Referencingstyle"/>
        </w:rPr>
        <w:t>sub</w:t>
      </w:r>
      <w:r w:rsidRPr="00C40034">
        <w:rPr>
          <w:rStyle w:val="Referencingstyle"/>
        </w:rPr>
        <w:t xml:space="preserve">section </w:t>
      </w:r>
      <w:r w:rsidR="00CE4C00" w:rsidRPr="00C40034">
        <w:rPr>
          <w:rStyle w:val="Referencingstyle"/>
        </w:rPr>
        <w:t xml:space="preserve">19(10) </w:t>
      </w:r>
      <w:r w:rsidRPr="00C40034">
        <w:rPr>
          <w:rStyle w:val="Referencingstyle"/>
        </w:rPr>
        <w:t>of the Customs Tariff Act 1995]</w:t>
      </w:r>
    </w:p>
    <w:p w14:paraId="5437E8C3" w14:textId="77777777" w:rsidR="00267CC7" w:rsidRDefault="00267CC7" w:rsidP="00267CC7">
      <w:pPr>
        <w:pStyle w:val="base-text-paragraph"/>
      </w:pPr>
      <w:r w:rsidRPr="00267CC7">
        <w:t>The effect of the Excise Fuel Indexation Bill 2015 and the Customs Fuel Indexation Bill 2015 is to validate the Tariff Proposal</w:t>
      </w:r>
      <w:r w:rsidR="00E1388E">
        <w:t>s</w:t>
      </w:r>
      <w:r w:rsidRPr="00267CC7">
        <w:t xml:space="preserve"> that were tabled in the House of Representatives on 30 October 2014 to index fuel duty to the CPI from 10 November 2014.</w:t>
      </w:r>
    </w:p>
    <w:p w14:paraId="7FE97174" w14:textId="77777777" w:rsidR="00DF600C" w:rsidRDefault="00DF600C" w:rsidP="00DF600C">
      <w:pPr>
        <w:pStyle w:val="Heading4"/>
      </w:pPr>
      <w:r>
        <w:t>Aviation fuels</w:t>
      </w:r>
    </w:p>
    <w:p w14:paraId="39B26F92" w14:textId="77777777" w:rsidR="00DF600C" w:rsidRDefault="00DF600C" w:rsidP="007061A8">
      <w:pPr>
        <w:pStyle w:val="base-text-paragraph"/>
        <w:numPr>
          <w:ilvl w:val="1"/>
          <w:numId w:val="32"/>
        </w:numPr>
      </w:pPr>
      <w:r>
        <w:t>Indexation does not apply to the rates of excise and excise</w:t>
      </w:r>
      <w:r>
        <w:noBreakHyphen/>
        <w:t xml:space="preserve">equivalent customs duty applying to aviation fuels as the net </w:t>
      </w:r>
      <w:r w:rsidRPr="00002A64">
        <w:t>excise</w:t>
      </w:r>
      <w:r>
        <w:t xml:space="preserve"> and excise-equivalent customs duty</w:t>
      </w:r>
      <w:r w:rsidRPr="00002A64">
        <w:t xml:space="preserve"> collected from aviation fuels </w:t>
      </w:r>
      <w:r>
        <w:t xml:space="preserve">is hypothecated to fund the </w:t>
      </w:r>
      <w:r w:rsidRPr="002F5653">
        <w:t>Civil Aviation Safety Authority</w:t>
      </w:r>
      <w:r>
        <w:t xml:space="preserve">. </w:t>
      </w:r>
      <w:r w:rsidRPr="006D2756">
        <w:t>Also indexation does not apply</w:t>
      </w:r>
      <w:r w:rsidRPr="00006DEE">
        <w:t xml:space="preserve"> for certain imported goods</w:t>
      </w:r>
      <w:r w:rsidRPr="006D2756">
        <w:t xml:space="preserve"> to the component of the duty rate that is calculated as a pe</w:t>
      </w:r>
      <w:r>
        <w:t xml:space="preserve">rcentage of the value of the goods. </w:t>
      </w:r>
      <w:r>
        <w:rPr>
          <w:rStyle w:val="Referencingstyle"/>
        </w:rPr>
        <w:t>[Schedule 1 of Customs Fuel Indexation Bill</w:t>
      </w:r>
      <w:r w:rsidR="009E78F0">
        <w:rPr>
          <w:rStyle w:val="Referencingstyle"/>
        </w:rPr>
        <w:t xml:space="preserve"> </w:t>
      </w:r>
      <w:r>
        <w:rPr>
          <w:rStyle w:val="Referencingstyle"/>
        </w:rPr>
        <w:t>2015, item 1, section 19AAC of Customs Tariff Act</w:t>
      </w:r>
      <w:r w:rsidR="00E1388E">
        <w:rPr>
          <w:rStyle w:val="Referencingstyle"/>
        </w:rPr>
        <w:t> </w:t>
      </w:r>
      <w:r>
        <w:rPr>
          <w:rStyle w:val="Referencingstyle"/>
        </w:rPr>
        <w:t>1995]</w:t>
      </w:r>
      <w:r w:rsidDel="006D2756">
        <w:t xml:space="preserve"> </w:t>
      </w:r>
    </w:p>
    <w:p w14:paraId="0D6EF442" w14:textId="77777777" w:rsidR="00DF600C" w:rsidRDefault="00DF600C" w:rsidP="00DF600C">
      <w:pPr>
        <w:pStyle w:val="Heading4"/>
      </w:pPr>
      <w:r>
        <w:t>Stabilised crude oil and condensate</w:t>
      </w:r>
    </w:p>
    <w:p w14:paraId="749D2EA3" w14:textId="77777777" w:rsidR="00D52262" w:rsidRDefault="00DF600C" w:rsidP="007061A8">
      <w:pPr>
        <w:pStyle w:val="base-text-paragraph"/>
        <w:numPr>
          <w:ilvl w:val="1"/>
          <w:numId w:val="32"/>
        </w:numPr>
      </w:pPr>
      <w:r w:rsidRPr="00786DDA">
        <w:t xml:space="preserve">The duty </w:t>
      </w:r>
      <w:r w:rsidRPr="00710349">
        <w:t>payable on petroleum products is generally worked out by applying duty at a set rat</w:t>
      </w:r>
      <w:r>
        <w:t>e of cents per litre</w:t>
      </w:r>
      <w:r w:rsidRPr="00786DDA">
        <w:t xml:space="preserve"> </w:t>
      </w:r>
      <w:r>
        <w:t xml:space="preserve">or kilogram </w:t>
      </w:r>
      <w:r w:rsidRPr="00786DDA">
        <w:t>of the product</w:t>
      </w:r>
      <w:r>
        <w:t xml:space="preserve">. </w:t>
      </w:r>
    </w:p>
    <w:p w14:paraId="4D1318ED" w14:textId="77777777" w:rsidR="00DF600C" w:rsidRDefault="00DF600C" w:rsidP="007061A8">
      <w:pPr>
        <w:pStyle w:val="base-text-paragraph"/>
        <w:numPr>
          <w:ilvl w:val="1"/>
          <w:numId w:val="32"/>
        </w:numPr>
      </w:pPr>
      <w:r w:rsidRPr="00710349">
        <w:t>H</w:t>
      </w:r>
      <w:r w:rsidRPr="001D5867">
        <w:t xml:space="preserve">owever, </w:t>
      </w:r>
      <w:r>
        <w:t>duty on</w:t>
      </w:r>
      <w:r w:rsidRPr="001D5867">
        <w:t xml:space="preserve"> </w:t>
      </w:r>
      <w:r w:rsidRPr="001D5867" w:rsidDel="003831B4">
        <w:t>production of</w:t>
      </w:r>
      <w:r w:rsidRPr="001D5867">
        <w:t xml:space="preserve"> stabilised crude oil and condensate</w:t>
      </w:r>
      <w:r w:rsidRPr="0021473C">
        <w:t xml:space="preserve"> under items 20 and 21 of the </w:t>
      </w:r>
      <w:r>
        <w:t>S</w:t>
      </w:r>
      <w:r w:rsidRPr="0021473C">
        <w:t>chedule to the</w:t>
      </w:r>
      <w:r>
        <w:t xml:space="preserve"> </w:t>
      </w:r>
      <w:r w:rsidRPr="00DC6265">
        <w:rPr>
          <w:i/>
        </w:rPr>
        <w:t>Excise Tariff Act</w:t>
      </w:r>
      <w:r w:rsidR="00D52262">
        <w:rPr>
          <w:i/>
        </w:rPr>
        <w:t> </w:t>
      </w:r>
      <w:r w:rsidRPr="007061A8">
        <w:rPr>
          <w:i/>
        </w:rPr>
        <w:t>1921</w:t>
      </w:r>
      <w:r w:rsidRPr="0021473C" w:rsidDel="00BF00AF">
        <w:t xml:space="preserve"> </w:t>
      </w:r>
      <w:r w:rsidRPr="0021473C">
        <w:t>is calculated as a percentage of the weighted-average selling price of product from the production field</w:t>
      </w:r>
      <w:r>
        <w:t>. Accordingly, indexation does not apply to the production of stabilised crude oil and condensate under items 20 and 21.</w:t>
      </w:r>
    </w:p>
    <w:p w14:paraId="70B023B9" w14:textId="77777777" w:rsidR="00DF600C" w:rsidRDefault="00DF600C" w:rsidP="00DF600C">
      <w:pPr>
        <w:pStyle w:val="Heading4"/>
      </w:pPr>
      <w:r>
        <w:t>Blends of fuel</w:t>
      </w:r>
    </w:p>
    <w:p w14:paraId="30575211" w14:textId="77777777" w:rsidR="00DF600C" w:rsidRPr="00683EFE" w:rsidRDefault="00DF600C" w:rsidP="007061A8">
      <w:pPr>
        <w:pStyle w:val="base-text-paragraph"/>
        <w:numPr>
          <w:ilvl w:val="1"/>
          <w:numId w:val="32"/>
        </w:numPr>
        <w:rPr>
          <w:rStyle w:val="Referencingstyle"/>
          <w:b w:val="0"/>
          <w:i w:val="0"/>
          <w:sz w:val="22"/>
        </w:rPr>
      </w:pPr>
      <w:r>
        <w:t xml:space="preserve">Indexation applies to blends of fuels. The rate of excise </w:t>
      </w:r>
      <w:r w:rsidRPr="0002041B">
        <w:t>duty for fuel blends is determined by</w:t>
      </w:r>
      <w:r>
        <w:t xml:space="preserve"> using a </w:t>
      </w:r>
      <w:r w:rsidDel="00293F39">
        <w:t>five</w:t>
      </w:r>
      <w:r>
        <w:noBreakHyphen/>
        <w:t xml:space="preserve">step process. First, the entity calculates the duty that would be payable on each fuel constituent in the blend. The appropriate duty rate is the rate at the time that duty on the blend is payable and takes into account indexation. </w:t>
      </w:r>
      <w:r>
        <w:rPr>
          <w:rStyle w:val="Referencingstyle"/>
        </w:rPr>
        <w:t xml:space="preserve">[Schedule 1 of Excise Fuel Indexation Bill 2015, item 28, </w:t>
      </w:r>
      <w:r w:rsidR="00936F4C">
        <w:rPr>
          <w:rStyle w:val="Referencingstyle"/>
        </w:rPr>
        <w:t xml:space="preserve">method statement step 1 in </w:t>
      </w:r>
      <w:r>
        <w:rPr>
          <w:rStyle w:val="Referencingstyle"/>
        </w:rPr>
        <w:t>subsection 6G(1)</w:t>
      </w:r>
      <w:r w:rsidR="00936F4C">
        <w:rPr>
          <w:rStyle w:val="Referencingstyle"/>
        </w:rPr>
        <w:t xml:space="preserve"> </w:t>
      </w:r>
      <w:r>
        <w:rPr>
          <w:rStyle w:val="Referencingstyle"/>
        </w:rPr>
        <w:t>of</w:t>
      </w:r>
      <w:r w:rsidDel="00683EFE">
        <w:rPr>
          <w:rStyle w:val="Referencingstyle"/>
        </w:rPr>
        <w:t xml:space="preserve"> </w:t>
      </w:r>
      <w:r>
        <w:rPr>
          <w:rStyle w:val="Referencingstyle"/>
        </w:rPr>
        <w:t xml:space="preserve">the Excise Tariff Act 1921] </w:t>
      </w:r>
    </w:p>
    <w:p w14:paraId="20F41232" w14:textId="77777777" w:rsidR="00DF600C" w:rsidRPr="008D7F75" w:rsidRDefault="00DF600C" w:rsidP="007061A8">
      <w:pPr>
        <w:pStyle w:val="base-text-paragraph"/>
        <w:numPr>
          <w:ilvl w:val="1"/>
          <w:numId w:val="32"/>
        </w:numPr>
        <w:rPr>
          <w:rStyle w:val="Referencingstyle"/>
          <w:b w:val="0"/>
          <w:i w:val="0"/>
          <w:sz w:val="22"/>
        </w:rPr>
      </w:pPr>
      <w:r>
        <w:t>The second and third steps require the entity to determine the volume of fuel</w:t>
      </w:r>
      <w:r w:rsidRPr="0002041B">
        <w:t xml:space="preserve"> that is not attributable to one of the fuel constituents </w:t>
      </w:r>
      <w:r>
        <w:t>or to water, and to calculate the duty payable on these non-fuel</w:t>
      </w:r>
      <w:r w:rsidRPr="0002041B">
        <w:t xml:space="preserve"> constituents</w:t>
      </w:r>
      <w:r>
        <w:t xml:space="preserve">. The rate of duty is the same as the indexed rate of duty that applies to petrol and diesel in item 10 of the Schedule to the </w:t>
      </w:r>
      <w:r w:rsidRPr="008266E4">
        <w:rPr>
          <w:i/>
        </w:rPr>
        <w:t>Excise Tariff Act</w:t>
      </w:r>
      <w:r w:rsidRPr="007061A8">
        <w:rPr>
          <w:i/>
        </w:rPr>
        <w:t xml:space="preserve"> 1921</w:t>
      </w:r>
      <w:r>
        <w:t xml:space="preserve">. </w:t>
      </w:r>
      <w:r w:rsidRPr="00333596">
        <w:rPr>
          <w:rStyle w:val="Referencingstyle"/>
        </w:rPr>
        <w:t>[</w:t>
      </w:r>
      <w:r w:rsidRPr="008D7F75">
        <w:rPr>
          <w:rStyle w:val="Referencingstyle"/>
        </w:rPr>
        <w:t xml:space="preserve">Schedule 1 of </w:t>
      </w:r>
      <w:r>
        <w:rPr>
          <w:rStyle w:val="Referencingstyle"/>
        </w:rPr>
        <w:t>Excise Fuel Indexation Bill 2015</w:t>
      </w:r>
      <w:r w:rsidRPr="008D7F75">
        <w:rPr>
          <w:rStyle w:val="Referencingstyle"/>
        </w:rPr>
        <w:t xml:space="preserve">, </w:t>
      </w:r>
      <w:r>
        <w:rPr>
          <w:rStyle w:val="Referencingstyle"/>
        </w:rPr>
        <w:t xml:space="preserve">items 26 and 29, </w:t>
      </w:r>
      <w:r w:rsidR="00F65C85">
        <w:rPr>
          <w:rStyle w:val="Referencingstyle"/>
        </w:rPr>
        <w:t xml:space="preserve">subsection 6A(10) and </w:t>
      </w:r>
      <w:r w:rsidR="0027259B">
        <w:rPr>
          <w:rStyle w:val="Referencingstyle"/>
        </w:rPr>
        <w:t xml:space="preserve">method statement at the end </w:t>
      </w:r>
      <w:r w:rsidR="00F65C85">
        <w:rPr>
          <w:rStyle w:val="Referencingstyle"/>
        </w:rPr>
        <w:t xml:space="preserve">of step 3 of subsection </w:t>
      </w:r>
      <w:r>
        <w:rPr>
          <w:rStyle w:val="Referencingstyle"/>
        </w:rPr>
        <w:t>6G(1) of the Excise Tariff Act 1921]</w:t>
      </w:r>
    </w:p>
    <w:p w14:paraId="4E6ACE99" w14:textId="77777777" w:rsidR="00DF600C" w:rsidRDefault="00DF600C" w:rsidP="007061A8">
      <w:pPr>
        <w:pStyle w:val="base-text-paragraph"/>
        <w:numPr>
          <w:ilvl w:val="1"/>
          <w:numId w:val="32"/>
        </w:numPr>
      </w:pPr>
      <w:r>
        <w:t xml:space="preserve">The fourth step in subsection 6G(1) of the </w:t>
      </w:r>
      <w:r w:rsidRPr="008266E4">
        <w:rPr>
          <w:i/>
        </w:rPr>
        <w:t>Excise Tariff Act</w:t>
      </w:r>
      <w:r w:rsidRPr="007061A8">
        <w:rPr>
          <w:i/>
        </w:rPr>
        <w:t xml:space="preserve"> 1921</w:t>
      </w:r>
      <w:r>
        <w:t xml:space="preserve"> requires the entity to add the duty calculated in steps 1 and 3. Finally, the entity subtracts any duty that has already been paid.</w:t>
      </w:r>
    </w:p>
    <w:p w14:paraId="72849387" w14:textId="77777777" w:rsidR="00DF600C" w:rsidRDefault="00DF600C" w:rsidP="007061A8">
      <w:pPr>
        <w:pStyle w:val="ExampleHeading"/>
        <w:keepNext w:val="0"/>
        <w:numPr>
          <w:ilvl w:val="3"/>
          <w:numId w:val="32"/>
        </w:numPr>
        <w:spacing w:before="80"/>
      </w:pPr>
      <w:r>
        <w:t>: Duty on fuel blends where duty has been paid on a constituent at the same rate</w:t>
      </w:r>
    </w:p>
    <w:p w14:paraId="631C9AFA" w14:textId="77777777" w:rsidR="00DF600C" w:rsidRDefault="00DF600C" w:rsidP="00DF600C">
      <w:pPr>
        <w:pStyle w:val="exampletext"/>
        <w:spacing w:before="80"/>
      </w:pPr>
      <w:r w:rsidRPr="00F13F0B">
        <w:t>A manufacturer makes a solvent blend to a customer’s specification from 10,000 litres of toluene and 100 litres of a synthetic performance enhance</w:t>
      </w:r>
      <w:r>
        <w:t>r</w:t>
      </w:r>
      <w:r w:rsidRPr="00F13F0B">
        <w:t xml:space="preserve"> on 21 January 201</w:t>
      </w:r>
      <w:r>
        <w:t xml:space="preserve">6. </w:t>
      </w:r>
      <w:r w:rsidRPr="00F13F0B">
        <w:t>Duty was paid on the toluene on 21</w:t>
      </w:r>
      <w:r>
        <w:t> </w:t>
      </w:r>
      <w:r w:rsidRPr="00F13F0B">
        <w:t>December 201</w:t>
      </w:r>
      <w:r>
        <w:t xml:space="preserve">5. </w:t>
      </w:r>
      <w:r w:rsidRPr="00F13F0B">
        <w:t>Assume that the CPI indexed rate for toluene on 1</w:t>
      </w:r>
      <w:r>
        <w:t> </w:t>
      </w:r>
      <w:r w:rsidRPr="00F13F0B">
        <w:t>August 201</w:t>
      </w:r>
      <w:r>
        <w:t>5</w:t>
      </w:r>
      <w:r w:rsidRPr="00F13F0B">
        <w:t xml:space="preserve"> is </w:t>
      </w:r>
      <w:r>
        <w:t>39.5</w:t>
      </w:r>
      <w:r w:rsidRPr="00F13F0B">
        <w:t xml:space="preserve"> </w:t>
      </w:r>
      <w:r>
        <w:t xml:space="preserve">cents </w:t>
      </w:r>
      <w:r w:rsidRPr="00F13F0B">
        <w:t>per litre.</w:t>
      </w:r>
    </w:p>
    <w:p w14:paraId="5B72491A" w14:textId="77777777" w:rsidR="00DF600C" w:rsidRDefault="00DF600C" w:rsidP="00DF600C">
      <w:pPr>
        <w:pStyle w:val="exampletext"/>
        <w:spacing w:before="80"/>
      </w:pPr>
      <w:r w:rsidRPr="00F13F0B">
        <w:t xml:space="preserve">Toluene is classified to </w:t>
      </w:r>
      <w:proofErr w:type="spellStart"/>
      <w:r w:rsidRPr="00F13F0B">
        <w:t>subitem</w:t>
      </w:r>
      <w:proofErr w:type="spellEnd"/>
      <w:r w:rsidRPr="00F13F0B">
        <w:t xml:space="preserve"> 10.25 of the Schedule to the </w:t>
      </w:r>
      <w:r w:rsidRPr="00C56980">
        <w:rPr>
          <w:i/>
        </w:rPr>
        <w:t>Excise Tariff Act</w:t>
      </w:r>
      <w:r w:rsidRPr="007061A8">
        <w:rPr>
          <w:i/>
        </w:rPr>
        <w:t> 1921</w:t>
      </w:r>
      <w:r>
        <w:t xml:space="preserve">. </w:t>
      </w:r>
      <w:r w:rsidRPr="00F13F0B">
        <w:t xml:space="preserve">The synthetic performance enhancer is not classified in its own right in the Schedule to the </w:t>
      </w:r>
      <w:r w:rsidRPr="00C56980">
        <w:rPr>
          <w:i/>
        </w:rPr>
        <w:t>Excise Tariff Act</w:t>
      </w:r>
      <w:r w:rsidRPr="007061A8">
        <w:rPr>
          <w:i/>
        </w:rPr>
        <w:t xml:space="preserve"> 1921</w:t>
      </w:r>
      <w:r w:rsidRPr="00F13F0B">
        <w:t>.</w:t>
      </w:r>
    </w:p>
    <w:p w14:paraId="4A6B53F2" w14:textId="77777777" w:rsidR="00DF600C" w:rsidRDefault="003D0132" w:rsidP="00DF600C">
      <w:pPr>
        <w:pStyle w:val="exampletext"/>
        <w:spacing w:before="80" w:after="240"/>
      </w:pPr>
      <w:r>
        <w:t xml:space="preserve">For the purpose of this example, </w:t>
      </w:r>
      <w:r w:rsidR="0083166C">
        <w:t>t</w:t>
      </w:r>
      <w:r w:rsidR="00DF600C" w:rsidRPr="00F13F0B">
        <w:t xml:space="preserve">he blend is classified to </w:t>
      </w:r>
      <w:proofErr w:type="spellStart"/>
      <w:r w:rsidR="00DF600C" w:rsidRPr="00F13F0B">
        <w:t>subitem</w:t>
      </w:r>
      <w:proofErr w:type="spellEnd"/>
      <w:r w:rsidR="00E1388E">
        <w:t> </w:t>
      </w:r>
      <w:r w:rsidR="00DF600C" w:rsidRPr="00F13F0B">
        <w:t xml:space="preserve">10.30 of the Schedule to the </w:t>
      </w:r>
      <w:r w:rsidR="00DF600C" w:rsidRPr="00C56980">
        <w:rPr>
          <w:i/>
        </w:rPr>
        <w:t>Excise Tariff Act</w:t>
      </w:r>
      <w:r w:rsidR="00DF600C" w:rsidRPr="007061A8">
        <w:rPr>
          <w:i/>
        </w:rPr>
        <w:t> 1921</w:t>
      </w:r>
      <w:r w:rsidR="00DF600C">
        <w:t xml:space="preserve"> (assume that the blend is not excluded from </w:t>
      </w:r>
      <w:proofErr w:type="spellStart"/>
      <w:r w:rsidR="00DF600C">
        <w:t>subitem</w:t>
      </w:r>
      <w:proofErr w:type="spellEnd"/>
      <w:r w:rsidR="00DF600C">
        <w:t xml:space="preserve"> 10.30 by the operation of section 77J of the </w:t>
      </w:r>
      <w:r w:rsidR="00DF600C">
        <w:rPr>
          <w:i/>
        </w:rPr>
        <w:t>Excise Act 1901</w:t>
      </w:r>
      <w:r w:rsidR="00DF600C">
        <w:t xml:space="preserve">). </w:t>
      </w:r>
      <w:r w:rsidR="00DF600C" w:rsidRPr="00F13F0B">
        <w:t xml:space="preserve">The duty on the blend is calculated under subsection 6G(1) of the </w:t>
      </w:r>
      <w:r w:rsidR="00DF600C" w:rsidRPr="00C56980">
        <w:rPr>
          <w:i/>
        </w:rPr>
        <w:t>Excise Tariff Act</w:t>
      </w:r>
      <w:r w:rsidR="00DF600C" w:rsidRPr="007061A8">
        <w:rPr>
          <w:i/>
        </w:rPr>
        <w:t xml:space="preserve"> 1921</w:t>
      </w:r>
      <w:r w:rsidR="00DF600C" w:rsidRPr="00F13F0B">
        <w:t xml:space="preserve"> as follows:</w:t>
      </w:r>
    </w:p>
    <w:tbl>
      <w:tblPr>
        <w:tblStyle w:val="TableGrid"/>
        <w:tblW w:w="0" w:type="auto"/>
        <w:tblInd w:w="19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686"/>
        <w:gridCol w:w="1155"/>
      </w:tblGrid>
      <w:tr w:rsidR="00DF600C" w14:paraId="7950416A" w14:textId="77777777" w:rsidTr="008A145B">
        <w:tc>
          <w:tcPr>
            <w:tcW w:w="1100" w:type="dxa"/>
            <w:tcBorders>
              <w:bottom w:val="single" w:sz="4" w:space="0" w:color="auto"/>
            </w:tcBorders>
          </w:tcPr>
          <w:p w14:paraId="12803B2A" w14:textId="77777777" w:rsidR="00DF600C" w:rsidRDefault="00DF600C" w:rsidP="008A145B">
            <w:pPr>
              <w:pStyle w:val="exampletext"/>
              <w:ind w:left="0"/>
            </w:pPr>
            <w:r>
              <w:t>Step 1</w:t>
            </w:r>
          </w:p>
        </w:tc>
        <w:tc>
          <w:tcPr>
            <w:tcW w:w="3686" w:type="dxa"/>
            <w:tcBorders>
              <w:bottom w:val="single" w:sz="4" w:space="0" w:color="auto"/>
            </w:tcBorders>
          </w:tcPr>
          <w:p w14:paraId="5C6A8256" w14:textId="77777777" w:rsidR="00DF600C" w:rsidRDefault="00DF600C" w:rsidP="008A145B">
            <w:pPr>
              <w:pStyle w:val="exampletext"/>
              <w:ind w:left="0"/>
            </w:pPr>
            <w:r>
              <w:t xml:space="preserve">10,000 litres of toluene × </w:t>
            </w:r>
            <w:r w:rsidRPr="00F13F0B">
              <w:t>39</w:t>
            </w:r>
            <w:r>
              <w:t>.</w:t>
            </w:r>
            <w:r w:rsidRPr="00F13F0B">
              <w:t xml:space="preserve">5 </w:t>
            </w:r>
            <w:r>
              <w:t xml:space="preserve">cents </w:t>
            </w:r>
            <w:r w:rsidRPr="00F13F0B">
              <w:t>per</w:t>
            </w:r>
            <w:r>
              <w:t> </w:t>
            </w:r>
            <w:r w:rsidRPr="00F13F0B">
              <w:t>litre</w:t>
            </w:r>
          </w:p>
        </w:tc>
        <w:tc>
          <w:tcPr>
            <w:tcW w:w="1155" w:type="dxa"/>
            <w:tcBorders>
              <w:bottom w:val="single" w:sz="4" w:space="0" w:color="auto"/>
            </w:tcBorders>
          </w:tcPr>
          <w:p w14:paraId="7D171367" w14:textId="77777777" w:rsidR="00DF600C" w:rsidRDefault="00DF600C" w:rsidP="008A145B">
            <w:pPr>
              <w:pStyle w:val="exampletext"/>
              <w:ind w:left="0"/>
              <w:jc w:val="right"/>
            </w:pPr>
            <w:r>
              <w:t>$</w:t>
            </w:r>
            <w:r w:rsidRPr="00F13F0B">
              <w:t>3</w:t>
            </w:r>
            <w:r>
              <w:t>,</w:t>
            </w:r>
            <w:r w:rsidRPr="00F13F0B">
              <w:t>95</w:t>
            </w:r>
            <w:r>
              <w:t>0</w:t>
            </w:r>
            <w:r w:rsidRPr="00F13F0B">
              <w:t>.00</w:t>
            </w:r>
          </w:p>
        </w:tc>
      </w:tr>
      <w:tr w:rsidR="00DF600C" w14:paraId="239D53F9" w14:textId="77777777" w:rsidTr="008A145B">
        <w:tc>
          <w:tcPr>
            <w:tcW w:w="1100" w:type="dxa"/>
            <w:tcBorders>
              <w:top w:val="single" w:sz="4" w:space="0" w:color="auto"/>
              <w:bottom w:val="single" w:sz="4" w:space="0" w:color="auto"/>
            </w:tcBorders>
          </w:tcPr>
          <w:p w14:paraId="16EA6809" w14:textId="77777777" w:rsidR="00DF600C" w:rsidRDefault="00DF600C" w:rsidP="008A145B">
            <w:pPr>
              <w:pStyle w:val="exampletext"/>
              <w:ind w:left="0"/>
            </w:pPr>
            <w:r w:rsidRPr="00F75B8C">
              <w:t xml:space="preserve">Step </w:t>
            </w:r>
            <w:r>
              <w:t>2</w:t>
            </w:r>
          </w:p>
        </w:tc>
        <w:tc>
          <w:tcPr>
            <w:tcW w:w="3686" w:type="dxa"/>
            <w:tcBorders>
              <w:top w:val="single" w:sz="4" w:space="0" w:color="auto"/>
              <w:bottom w:val="single" w:sz="4" w:space="0" w:color="auto"/>
            </w:tcBorders>
          </w:tcPr>
          <w:p w14:paraId="39A5E3BB" w14:textId="77777777" w:rsidR="00DF600C" w:rsidRDefault="00DF600C" w:rsidP="008A145B">
            <w:pPr>
              <w:pStyle w:val="exampletext"/>
              <w:ind w:left="0"/>
            </w:pPr>
            <w:r w:rsidRPr="00F13F0B">
              <w:t>100 litres of synthetic performance enhancer</w:t>
            </w:r>
          </w:p>
        </w:tc>
        <w:tc>
          <w:tcPr>
            <w:tcW w:w="1155" w:type="dxa"/>
            <w:tcBorders>
              <w:top w:val="single" w:sz="4" w:space="0" w:color="auto"/>
              <w:bottom w:val="single" w:sz="4" w:space="0" w:color="auto"/>
            </w:tcBorders>
          </w:tcPr>
          <w:p w14:paraId="2C1E5B32" w14:textId="77777777" w:rsidR="00DF600C" w:rsidRDefault="00DF600C" w:rsidP="008A145B">
            <w:pPr>
              <w:pStyle w:val="exampletext"/>
              <w:ind w:left="0"/>
              <w:jc w:val="right"/>
            </w:pPr>
          </w:p>
        </w:tc>
      </w:tr>
      <w:tr w:rsidR="00DF600C" w14:paraId="6D511DC9" w14:textId="77777777" w:rsidTr="008A145B">
        <w:tc>
          <w:tcPr>
            <w:tcW w:w="1100" w:type="dxa"/>
            <w:tcBorders>
              <w:top w:val="single" w:sz="4" w:space="0" w:color="auto"/>
              <w:bottom w:val="single" w:sz="4" w:space="0" w:color="auto"/>
            </w:tcBorders>
          </w:tcPr>
          <w:p w14:paraId="65AB43E2" w14:textId="77777777" w:rsidR="00DF600C" w:rsidRDefault="00DF600C" w:rsidP="008A145B">
            <w:pPr>
              <w:pStyle w:val="exampletext"/>
              <w:ind w:left="0"/>
            </w:pPr>
            <w:r w:rsidRPr="00F75B8C">
              <w:t xml:space="preserve">Step </w:t>
            </w:r>
            <w:r>
              <w:t>3</w:t>
            </w:r>
          </w:p>
        </w:tc>
        <w:tc>
          <w:tcPr>
            <w:tcW w:w="3686" w:type="dxa"/>
            <w:tcBorders>
              <w:top w:val="single" w:sz="4" w:space="0" w:color="auto"/>
              <w:bottom w:val="single" w:sz="4" w:space="0" w:color="auto"/>
            </w:tcBorders>
          </w:tcPr>
          <w:p w14:paraId="7658196D" w14:textId="77777777" w:rsidR="00DF600C" w:rsidRDefault="00DF600C" w:rsidP="008A145B">
            <w:pPr>
              <w:pStyle w:val="exampletext"/>
              <w:ind w:left="0"/>
            </w:pPr>
            <w:r w:rsidRPr="00F13F0B">
              <w:t xml:space="preserve">100 litres </w:t>
            </w:r>
            <w:r>
              <w:t>×</w:t>
            </w:r>
            <w:r w:rsidRPr="00F13F0B">
              <w:t xml:space="preserve"> 39</w:t>
            </w:r>
            <w:r>
              <w:t>.</w:t>
            </w:r>
            <w:r w:rsidRPr="00F13F0B">
              <w:t xml:space="preserve">5 </w:t>
            </w:r>
            <w:r>
              <w:t xml:space="preserve">cents </w:t>
            </w:r>
            <w:r w:rsidRPr="00F13F0B">
              <w:t>per litre</w:t>
            </w:r>
          </w:p>
        </w:tc>
        <w:tc>
          <w:tcPr>
            <w:tcW w:w="1155" w:type="dxa"/>
            <w:tcBorders>
              <w:top w:val="single" w:sz="4" w:space="0" w:color="auto"/>
              <w:bottom w:val="single" w:sz="4" w:space="0" w:color="auto"/>
            </w:tcBorders>
          </w:tcPr>
          <w:p w14:paraId="2CD4731E" w14:textId="77777777" w:rsidR="00DF600C" w:rsidRDefault="00DF600C" w:rsidP="008A145B">
            <w:pPr>
              <w:pStyle w:val="exampletext"/>
              <w:tabs>
                <w:tab w:val="left" w:pos="184"/>
              </w:tabs>
              <w:ind w:left="0"/>
              <w:jc w:val="right"/>
            </w:pPr>
            <w:r>
              <w:t>$</w:t>
            </w:r>
            <w:r w:rsidRPr="00B35A43">
              <w:t>39.5</w:t>
            </w:r>
            <w:r>
              <w:t>0</w:t>
            </w:r>
          </w:p>
        </w:tc>
      </w:tr>
      <w:tr w:rsidR="00DF600C" w14:paraId="651E6367" w14:textId="77777777" w:rsidTr="008A145B">
        <w:tc>
          <w:tcPr>
            <w:tcW w:w="1100" w:type="dxa"/>
            <w:tcBorders>
              <w:top w:val="single" w:sz="4" w:space="0" w:color="auto"/>
              <w:bottom w:val="single" w:sz="4" w:space="0" w:color="auto"/>
            </w:tcBorders>
          </w:tcPr>
          <w:p w14:paraId="5BF0AAB1" w14:textId="77777777" w:rsidR="00DF600C" w:rsidRDefault="00DF600C" w:rsidP="008A145B">
            <w:pPr>
              <w:pStyle w:val="exampletext"/>
              <w:ind w:left="0"/>
            </w:pPr>
            <w:r w:rsidRPr="00F75B8C">
              <w:t xml:space="preserve">Step </w:t>
            </w:r>
            <w:r>
              <w:t>4</w:t>
            </w:r>
          </w:p>
        </w:tc>
        <w:tc>
          <w:tcPr>
            <w:tcW w:w="3686" w:type="dxa"/>
            <w:tcBorders>
              <w:top w:val="single" w:sz="4" w:space="0" w:color="auto"/>
              <w:bottom w:val="single" w:sz="4" w:space="0" w:color="auto"/>
            </w:tcBorders>
          </w:tcPr>
          <w:p w14:paraId="3AD1401D" w14:textId="77777777" w:rsidR="00DF600C" w:rsidRDefault="00DF600C" w:rsidP="008A145B">
            <w:pPr>
              <w:pStyle w:val="exampletext"/>
              <w:ind w:left="0"/>
            </w:pPr>
            <w:r w:rsidRPr="00F13F0B">
              <w:t>Add</w:t>
            </w:r>
            <w:r>
              <w:t xml:space="preserve"> the amounts in steps 1 and 3</w:t>
            </w:r>
          </w:p>
        </w:tc>
        <w:tc>
          <w:tcPr>
            <w:tcW w:w="1155" w:type="dxa"/>
            <w:tcBorders>
              <w:top w:val="single" w:sz="4" w:space="0" w:color="auto"/>
              <w:bottom w:val="single" w:sz="4" w:space="0" w:color="auto"/>
            </w:tcBorders>
          </w:tcPr>
          <w:p w14:paraId="08955D06" w14:textId="77777777" w:rsidR="00DF600C" w:rsidRDefault="00DF600C" w:rsidP="008A145B">
            <w:pPr>
              <w:pStyle w:val="exampletext"/>
              <w:ind w:left="0"/>
              <w:jc w:val="right"/>
            </w:pPr>
            <w:r>
              <w:t>$</w:t>
            </w:r>
            <w:r w:rsidRPr="00F13F0B">
              <w:t>3</w:t>
            </w:r>
            <w:r>
              <w:t>,</w:t>
            </w:r>
            <w:r w:rsidRPr="00F13F0B">
              <w:t>9</w:t>
            </w:r>
            <w:r>
              <w:t>89</w:t>
            </w:r>
            <w:r w:rsidRPr="00F13F0B">
              <w:t>.5</w:t>
            </w:r>
            <w:r>
              <w:t>0</w:t>
            </w:r>
          </w:p>
        </w:tc>
      </w:tr>
      <w:tr w:rsidR="00DF600C" w14:paraId="131CDB8C" w14:textId="77777777" w:rsidTr="008A145B">
        <w:tc>
          <w:tcPr>
            <w:tcW w:w="1100" w:type="dxa"/>
            <w:tcBorders>
              <w:top w:val="single" w:sz="4" w:space="0" w:color="auto"/>
              <w:bottom w:val="single" w:sz="4" w:space="0" w:color="auto"/>
            </w:tcBorders>
          </w:tcPr>
          <w:p w14:paraId="59D85769" w14:textId="77777777" w:rsidR="00DF600C" w:rsidRDefault="00DF600C" w:rsidP="008A145B">
            <w:pPr>
              <w:pStyle w:val="exampletext"/>
              <w:ind w:left="0"/>
            </w:pPr>
            <w:r w:rsidRPr="00F75B8C">
              <w:t xml:space="preserve">Step </w:t>
            </w:r>
            <w:r>
              <w:t>5</w:t>
            </w:r>
          </w:p>
        </w:tc>
        <w:tc>
          <w:tcPr>
            <w:tcW w:w="3686" w:type="dxa"/>
            <w:tcBorders>
              <w:top w:val="single" w:sz="4" w:space="0" w:color="auto"/>
              <w:bottom w:val="single" w:sz="4" w:space="0" w:color="auto"/>
            </w:tcBorders>
          </w:tcPr>
          <w:p w14:paraId="5B9E2DAF" w14:textId="77777777" w:rsidR="00DF600C" w:rsidRDefault="00DF600C" w:rsidP="008A145B">
            <w:pPr>
              <w:pStyle w:val="exampletext"/>
              <w:ind w:left="0"/>
            </w:pPr>
            <w:r>
              <w:t>Less duty paid (10,000 litres × 39.5 cents</w:t>
            </w:r>
            <w:r w:rsidR="00730747">
              <w:t xml:space="preserve"> per litre</w:t>
            </w:r>
            <w:r>
              <w:t>)</w:t>
            </w:r>
          </w:p>
        </w:tc>
        <w:tc>
          <w:tcPr>
            <w:tcW w:w="1155" w:type="dxa"/>
            <w:tcBorders>
              <w:top w:val="single" w:sz="4" w:space="0" w:color="auto"/>
              <w:bottom w:val="single" w:sz="4" w:space="0" w:color="auto"/>
            </w:tcBorders>
          </w:tcPr>
          <w:p w14:paraId="5E4B8AE8" w14:textId="77777777" w:rsidR="00DF600C" w:rsidRDefault="00DF600C" w:rsidP="008A145B">
            <w:pPr>
              <w:pStyle w:val="exampletext"/>
              <w:ind w:left="-250" w:firstLine="250"/>
              <w:jc w:val="right"/>
            </w:pPr>
            <w:r>
              <w:rPr>
                <w:u w:val="single"/>
              </w:rPr>
              <w:t>‒$</w:t>
            </w:r>
            <w:r w:rsidRPr="00A438E2">
              <w:rPr>
                <w:u w:val="single"/>
              </w:rPr>
              <w:t>3</w:t>
            </w:r>
            <w:r>
              <w:rPr>
                <w:u w:val="single"/>
              </w:rPr>
              <w:t>,</w:t>
            </w:r>
            <w:r w:rsidRPr="00A438E2">
              <w:rPr>
                <w:u w:val="single"/>
              </w:rPr>
              <w:t>95</w:t>
            </w:r>
            <w:r>
              <w:rPr>
                <w:u w:val="single"/>
              </w:rPr>
              <w:t>0</w:t>
            </w:r>
            <w:r w:rsidRPr="00A438E2">
              <w:rPr>
                <w:u w:val="single"/>
              </w:rPr>
              <w:t>.00</w:t>
            </w:r>
          </w:p>
        </w:tc>
      </w:tr>
      <w:tr w:rsidR="00DF600C" w14:paraId="416D8A0F" w14:textId="77777777" w:rsidTr="008A145B">
        <w:tc>
          <w:tcPr>
            <w:tcW w:w="1100" w:type="dxa"/>
            <w:tcBorders>
              <w:top w:val="single" w:sz="4" w:space="0" w:color="auto"/>
            </w:tcBorders>
          </w:tcPr>
          <w:p w14:paraId="551F4799" w14:textId="77777777" w:rsidR="00DF600C" w:rsidRPr="00F75B8C" w:rsidRDefault="00DF600C" w:rsidP="008A145B">
            <w:pPr>
              <w:pStyle w:val="exampletext"/>
              <w:ind w:left="0"/>
            </w:pPr>
          </w:p>
        </w:tc>
        <w:tc>
          <w:tcPr>
            <w:tcW w:w="3686" w:type="dxa"/>
            <w:tcBorders>
              <w:top w:val="single" w:sz="4" w:space="0" w:color="auto"/>
            </w:tcBorders>
          </w:tcPr>
          <w:p w14:paraId="2C0AAC33" w14:textId="77777777" w:rsidR="00DF600C" w:rsidRDefault="00DF600C" w:rsidP="008A145B">
            <w:pPr>
              <w:pStyle w:val="exampletext"/>
              <w:ind w:left="0"/>
            </w:pPr>
            <w:r>
              <w:t>Duty payable on the blend</w:t>
            </w:r>
          </w:p>
        </w:tc>
        <w:tc>
          <w:tcPr>
            <w:tcW w:w="1155" w:type="dxa"/>
            <w:tcBorders>
              <w:top w:val="single" w:sz="4" w:space="0" w:color="auto"/>
            </w:tcBorders>
          </w:tcPr>
          <w:p w14:paraId="307CDE6B" w14:textId="77777777" w:rsidR="00DF600C" w:rsidRDefault="00DF600C" w:rsidP="008A145B">
            <w:pPr>
              <w:pStyle w:val="exampletext"/>
              <w:ind w:left="-250" w:firstLine="250"/>
              <w:jc w:val="right"/>
              <w:rPr>
                <w:u w:val="single"/>
              </w:rPr>
            </w:pPr>
            <w:r>
              <w:rPr>
                <w:u w:val="double"/>
              </w:rPr>
              <w:t>$</w:t>
            </w:r>
            <w:r w:rsidRPr="00A438E2">
              <w:rPr>
                <w:u w:val="double"/>
              </w:rPr>
              <w:t>39.5</w:t>
            </w:r>
            <w:r>
              <w:rPr>
                <w:u w:val="double"/>
              </w:rPr>
              <w:t>0</w:t>
            </w:r>
          </w:p>
        </w:tc>
      </w:tr>
    </w:tbl>
    <w:p w14:paraId="22563D77" w14:textId="77777777" w:rsidR="00DF600C" w:rsidRPr="00A438E2" w:rsidRDefault="001C5526" w:rsidP="007061A8">
      <w:pPr>
        <w:pStyle w:val="ExampleHeading"/>
        <w:keepLines/>
        <w:numPr>
          <w:ilvl w:val="3"/>
          <w:numId w:val="32"/>
        </w:numPr>
        <w:spacing w:before="240" w:after="0"/>
      </w:pPr>
      <w:r>
        <w:t>:</w:t>
      </w:r>
      <w:r w:rsidR="00DF600C">
        <w:t xml:space="preserve"> D</w:t>
      </w:r>
      <w:r w:rsidR="00DF600C" w:rsidRPr="00BA3D7D">
        <w:t xml:space="preserve">uty on </w:t>
      </w:r>
      <w:r w:rsidR="00DF600C">
        <w:t>fuel</w:t>
      </w:r>
      <w:r w:rsidR="00DF600C" w:rsidRPr="00BA3D7D">
        <w:t xml:space="preserve"> blends where duty has been paid on </w:t>
      </w:r>
      <w:r w:rsidR="00DF600C">
        <w:t>a constituent</w:t>
      </w:r>
      <w:r w:rsidR="00DF600C" w:rsidRPr="00BA3D7D">
        <w:t xml:space="preserve"> at </w:t>
      </w:r>
      <w:r w:rsidR="00DF600C">
        <w:t>a lower</w:t>
      </w:r>
      <w:r w:rsidR="00DF600C" w:rsidRPr="00BA3D7D">
        <w:t xml:space="preserve"> rate</w:t>
      </w:r>
    </w:p>
    <w:p w14:paraId="6180B3CD" w14:textId="77777777" w:rsidR="00DF600C" w:rsidRDefault="00DF600C" w:rsidP="009374C4">
      <w:pPr>
        <w:pStyle w:val="exampletext"/>
      </w:pPr>
      <w:r>
        <w:t xml:space="preserve">Assume the same facts as </w:t>
      </w:r>
      <w:proofErr w:type="spellStart"/>
      <w:r>
        <w:t>in</w:t>
      </w:r>
      <w:proofErr w:type="spellEnd"/>
      <w:r>
        <w:t xml:space="preserve"> Example 1.1 but that the duty was paid on the toluene on 21 June 201</w:t>
      </w:r>
      <w:r w:rsidR="005A35BE">
        <w:t>5</w:t>
      </w:r>
      <w:r>
        <w:t xml:space="preserve"> at a rate of 3</w:t>
      </w:r>
      <w:r w:rsidR="005A35BE">
        <w:t>8</w:t>
      </w:r>
      <w:r w:rsidR="00B46197">
        <w:t>.</w:t>
      </w:r>
      <w:r w:rsidR="005A35BE">
        <w:t>9</w:t>
      </w:r>
      <w:r>
        <w:t xml:space="preserve"> cents per litre. The duty on the blend is calculated as follows:</w:t>
      </w:r>
    </w:p>
    <w:tbl>
      <w:tblPr>
        <w:tblStyle w:val="TableGrid"/>
        <w:tblW w:w="6095" w:type="dxa"/>
        <w:tblInd w:w="195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969"/>
        <w:gridCol w:w="1275"/>
      </w:tblGrid>
      <w:tr w:rsidR="00DF600C" w14:paraId="449CC4CD" w14:textId="77777777" w:rsidTr="008A145B">
        <w:tc>
          <w:tcPr>
            <w:tcW w:w="851" w:type="dxa"/>
            <w:tcBorders>
              <w:bottom w:val="single" w:sz="4" w:space="0" w:color="auto"/>
            </w:tcBorders>
          </w:tcPr>
          <w:p w14:paraId="217EBACF" w14:textId="77777777" w:rsidR="00DF600C" w:rsidRPr="00F934EC" w:rsidRDefault="00DF600C" w:rsidP="009374C4">
            <w:pPr>
              <w:pStyle w:val="Heading3"/>
              <w:keepNext w:val="0"/>
              <w:ind w:left="34"/>
              <w:outlineLvl w:val="2"/>
              <w:rPr>
                <w:rFonts w:ascii="Times New Roman" w:hAnsi="Times New Roman"/>
                <w:b w:val="0"/>
                <w:sz w:val="20"/>
              </w:rPr>
            </w:pPr>
            <w:r>
              <w:rPr>
                <w:rFonts w:ascii="Times New Roman" w:hAnsi="Times New Roman"/>
                <w:b w:val="0"/>
                <w:sz w:val="20"/>
              </w:rPr>
              <w:t>Step 1</w:t>
            </w:r>
          </w:p>
        </w:tc>
        <w:tc>
          <w:tcPr>
            <w:tcW w:w="3969" w:type="dxa"/>
            <w:tcBorders>
              <w:bottom w:val="single" w:sz="4" w:space="0" w:color="auto"/>
            </w:tcBorders>
          </w:tcPr>
          <w:p w14:paraId="15D149EE"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 xml:space="preserve">10,000 litres of toluene </w:t>
            </w:r>
            <w:r>
              <w:rPr>
                <w:rFonts w:ascii="Times New Roman" w:hAnsi="Times New Roman"/>
                <w:b w:val="0"/>
                <w:sz w:val="20"/>
              </w:rPr>
              <w:t>×</w:t>
            </w:r>
            <w:r w:rsidRPr="00F934EC">
              <w:rPr>
                <w:rFonts w:ascii="Times New Roman" w:hAnsi="Times New Roman"/>
                <w:b w:val="0"/>
                <w:sz w:val="20"/>
              </w:rPr>
              <w:t xml:space="preserve"> 3</w:t>
            </w:r>
            <w:r w:rsidR="005A35BE">
              <w:rPr>
                <w:rFonts w:ascii="Times New Roman" w:hAnsi="Times New Roman"/>
                <w:b w:val="0"/>
                <w:sz w:val="20"/>
              </w:rPr>
              <w:t>9.5</w:t>
            </w:r>
            <w:r w:rsidRPr="00F934EC">
              <w:rPr>
                <w:rFonts w:ascii="Times New Roman" w:hAnsi="Times New Roman"/>
                <w:b w:val="0"/>
                <w:sz w:val="20"/>
              </w:rPr>
              <w:t xml:space="preserve"> </w:t>
            </w:r>
            <w:r>
              <w:rPr>
                <w:rFonts w:ascii="Times New Roman" w:hAnsi="Times New Roman"/>
                <w:b w:val="0"/>
                <w:sz w:val="20"/>
              </w:rPr>
              <w:t xml:space="preserve">cents </w:t>
            </w:r>
            <w:r w:rsidRPr="00F934EC">
              <w:rPr>
                <w:rFonts w:ascii="Times New Roman" w:hAnsi="Times New Roman"/>
                <w:b w:val="0"/>
                <w:sz w:val="20"/>
              </w:rPr>
              <w:t xml:space="preserve">per </w:t>
            </w:r>
            <w:r w:rsidR="001C5526" w:rsidRPr="00F934EC">
              <w:rPr>
                <w:rFonts w:ascii="Times New Roman" w:hAnsi="Times New Roman"/>
                <w:b w:val="0"/>
                <w:sz w:val="20"/>
              </w:rPr>
              <w:t>litre</w:t>
            </w:r>
            <w:r w:rsidR="001C5526">
              <w:rPr>
                <w:rFonts w:ascii="Times New Roman" w:hAnsi="Times New Roman"/>
                <w:b w:val="0"/>
                <w:sz w:val="20"/>
              </w:rPr>
              <w:t xml:space="preserve"> </w:t>
            </w:r>
          </w:p>
        </w:tc>
        <w:tc>
          <w:tcPr>
            <w:tcW w:w="1275" w:type="dxa"/>
            <w:tcBorders>
              <w:bottom w:val="single" w:sz="4" w:space="0" w:color="auto"/>
            </w:tcBorders>
          </w:tcPr>
          <w:p w14:paraId="190DE1D1" w14:textId="77777777" w:rsidR="00DF600C" w:rsidRPr="00F934EC" w:rsidRDefault="00DF600C" w:rsidP="009374C4">
            <w:pPr>
              <w:pStyle w:val="Heading3"/>
              <w:keepNext w:val="0"/>
              <w:ind w:left="33"/>
              <w:jc w:val="right"/>
              <w:outlineLvl w:val="2"/>
              <w:rPr>
                <w:rFonts w:ascii="Times New Roman" w:hAnsi="Times New Roman"/>
                <w:b w:val="0"/>
                <w:sz w:val="20"/>
              </w:rPr>
            </w:pPr>
            <w:r w:rsidRPr="00F934EC">
              <w:rPr>
                <w:rFonts w:ascii="Times New Roman" w:hAnsi="Times New Roman"/>
                <w:b w:val="0"/>
                <w:sz w:val="20"/>
              </w:rPr>
              <w:t>$3</w:t>
            </w:r>
            <w:r>
              <w:rPr>
                <w:rFonts w:ascii="Times New Roman" w:hAnsi="Times New Roman"/>
                <w:b w:val="0"/>
                <w:sz w:val="20"/>
              </w:rPr>
              <w:t>,</w:t>
            </w:r>
            <w:r w:rsidRPr="00F934EC">
              <w:rPr>
                <w:rFonts w:ascii="Times New Roman" w:hAnsi="Times New Roman"/>
                <w:b w:val="0"/>
                <w:sz w:val="20"/>
              </w:rPr>
              <w:t>9</w:t>
            </w:r>
            <w:r w:rsidR="005A35BE">
              <w:rPr>
                <w:rFonts w:ascii="Times New Roman" w:hAnsi="Times New Roman"/>
                <w:b w:val="0"/>
                <w:sz w:val="20"/>
              </w:rPr>
              <w:t>5</w:t>
            </w:r>
            <w:r>
              <w:rPr>
                <w:rFonts w:ascii="Times New Roman" w:hAnsi="Times New Roman"/>
                <w:b w:val="0"/>
                <w:sz w:val="20"/>
              </w:rPr>
              <w:t>0</w:t>
            </w:r>
            <w:r w:rsidRPr="00F934EC">
              <w:rPr>
                <w:rFonts w:ascii="Times New Roman" w:hAnsi="Times New Roman"/>
                <w:b w:val="0"/>
                <w:sz w:val="20"/>
              </w:rPr>
              <w:t>.00</w:t>
            </w:r>
          </w:p>
        </w:tc>
      </w:tr>
      <w:tr w:rsidR="00DF600C" w14:paraId="33016199" w14:textId="77777777" w:rsidTr="008A145B">
        <w:tc>
          <w:tcPr>
            <w:tcW w:w="851" w:type="dxa"/>
            <w:tcBorders>
              <w:top w:val="single" w:sz="4" w:space="0" w:color="auto"/>
              <w:bottom w:val="single" w:sz="4" w:space="0" w:color="auto"/>
            </w:tcBorders>
          </w:tcPr>
          <w:p w14:paraId="4D36B6F3" w14:textId="77777777" w:rsidR="00DF600C" w:rsidRPr="00F934EC" w:rsidRDefault="00DF600C" w:rsidP="009374C4">
            <w:pPr>
              <w:pStyle w:val="Heading3"/>
              <w:keepNext w:val="0"/>
              <w:ind w:left="34"/>
              <w:outlineLvl w:val="2"/>
              <w:rPr>
                <w:rFonts w:ascii="Times New Roman" w:hAnsi="Times New Roman"/>
                <w:b w:val="0"/>
                <w:sz w:val="20"/>
              </w:rPr>
            </w:pPr>
            <w:r w:rsidRPr="009B676E">
              <w:rPr>
                <w:rFonts w:ascii="Times New Roman" w:hAnsi="Times New Roman"/>
                <w:b w:val="0"/>
                <w:sz w:val="20"/>
              </w:rPr>
              <w:t xml:space="preserve">Step </w:t>
            </w:r>
            <w:r>
              <w:rPr>
                <w:rFonts w:ascii="Times New Roman" w:hAnsi="Times New Roman"/>
                <w:b w:val="0"/>
                <w:sz w:val="20"/>
              </w:rPr>
              <w:t>2</w:t>
            </w:r>
          </w:p>
        </w:tc>
        <w:tc>
          <w:tcPr>
            <w:tcW w:w="3969" w:type="dxa"/>
            <w:tcBorders>
              <w:top w:val="single" w:sz="4" w:space="0" w:color="auto"/>
              <w:bottom w:val="single" w:sz="4" w:space="0" w:color="auto"/>
            </w:tcBorders>
          </w:tcPr>
          <w:p w14:paraId="4715773F"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100 litres of synthetic performance enhancer</w:t>
            </w:r>
          </w:p>
        </w:tc>
        <w:tc>
          <w:tcPr>
            <w:tcW w:w="1275" w:type="dxa"/>
            <w:tcBorders>
              <w:top w:val="single" w:sz="4" w:space="0" w:color="auto"/>
              <w:bottom w:val="single" w:sz="4" w:space="0" w:color="auto"/>
            </w:tcBorders>
          </w:tcPr>
          <w:p w14:paraId="1D8C861A" w14:textId="77777777" w:rsidR="00DF600C" w:rsidRPr="00F934EC" w:rsidRDefault="00DF600C" w:rsidP="009374C4">
            <w:pPr>
              <w:pStyle w:val="Heading3"/>
              <w:keepNext w:val="0"/>
              <w:ind w:left="33"/>
              <w:jc w:val="right"/>
              <w:outlineLvl w:val="2"/>
              <w:rPr>
                <w:rFonts w:ascii="Times New Roman" w:hAnsi="Times New Roman"/>
                <w:b w:val="0"/>
                <w:sz w:val="20"/>
              </w:rPr>
            </w:pPr>
          </w:p>
        </w:tc>
      </w:tr>
      <w:tr w:rsidR="00DF600C" w14:paraId="7313A8BB" w14:textId="77777777" w:rsidTr="008A145B">
        <w:tc>
          <w:tcPr>
            <w:tcW w:w="851" w:type="dxa"/>
            <w:tcBorders>
              <w:top w:val="single" w:sz="4" w:space="0" w:color="auto"/>
              <w:bottom w:val="single" w:sz="4" w:space="0" w:color="auto"/>
            </w:tcBorders>
          </w:tcPr>
          <w:p w14:paraId="5709EF5D" w14:textId="77777777" w:rsidR="00DF600C" w:rsidRPr="00F934EC" w:rsidRDefault="00DF600C" w:rsidP="009374C4">
            <w:pPr>
              <w:pStyle w:val="Heading3"/>
              <w:keepNext w:val="0"/>
              <w:ind w:left="34"/>
              <w:outlineLvl w:val="2"/>
              <w:rPr>
                <w:rFonts w:ascii="Times New Roman" w:hAnsi="Times New Roman"/>
                <w:b w:val="0"/>
                <w:sz w:val="20"/>
              </w:rPr>
            </w:pPr>
            <w:r w:rsidRPr="009B676E">
              <w:rPr>
                <w:rFonts w:ascii="Times New Roman" w:hAnsi="Times New Roman"/>
                <w:b w:val="0"/>
                <w:sz w:val="20"/>
              </w:rPr>
              <w:t xml:space="preserve">Step </w:t>
            </w:r>
            <w:r>
              <w:rPr>
                <w:rFonts w:ascii="Times New Roman" w:hAnsi="Times New Roman"/>
                <w:b w:val="0"/>
                <w:sz w:val="20"/>
              </w:rPr>
              <w:t>3</w:t>
            </w:r>
          </w:p>
        </w:tc>
        <w:tc>
          <w:tcPr>
            <w:tcW w:w="3969" w:type="dxa"/>
            <w:tcBorders>
              <w:top w:val="single" w:sz="4" w:space="0" w:color="auto"/>
              <w:bottom w:val="single" w:sz="4" w:space="0" w:color="auto"/>
            </w:tcBorders>
          </w:tcPr>
          <w:p w14:paraId="3330B93F"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 xml:space="preserve">100 litres </w:t>
            </w:r>
            <w:r>
              <w:rPr>
                <w:rFonts w:ascii="Times New Roman" w:hAnsi="Times New Roman"/>
                <w:b w:val="0"/>
                <w:sz w:val="20"/>
              </w:rPr>
              <w:t>×</w:t>
            </w:r>
            <w:r w:rsidRPr="00F934EC">
              <w:rPr>
                <w:rFonts w:ascii="Times New Roman" w:hAnsi="Times New Roman"/>
                <w:b w:val="0"/>
                <w:sz w:val="20"/>
              </w:rPr>
              <w:t xml:space="preserve"> 39</w:t>
            </w:r>
            <w:r>
              <w:rPr>
                <w:rFonts w:ascii="Times New Roman" w:hAnsi="Times New Roman"/>
                <w:b w:val="0"/>
                <w:sz w:val="20"/>
              </w:rPr>
              <w:t>.</w:t>
            </w:r>
            <w:r w:rsidR="005A35BE">
              <w:rPr>
                <w:rFonts w:ascii="Times New Roman" w:hAnsi="Times New Roman"/>
                <w:b w:val="0"/>
                <w:sz w:val="20"/>
              </w:rPr>
              <w:t>5</w:t>
            </w:r>
            <w:r w:rsidRPr="00F934EC">
              <w:rPr>
                <w:rFonts w:ascii="Times New Roman" w:hAnsi="Times New Roman"/>
                <w:b w:val="0"/>
                <w:sz w:val="20"/>
              </w:rPr>
              <w:t xml:space="preserve"> </w:t>
            </w:r>
            <w:r>
              <w:rPr>
                <w:rFonts w:ascii="Times New Roman" w:hAnsi="Times New Roman"/>
                <w:b w:val="0"/>
                <w:sz w:val="20"/>
              </w:rPr>
              <w:t xml:space="preserve">cents </w:t>
            </w:r>
            <w:r w:rsidRPr="00F934EC">
              <w:rPr>
                <w:rFonts w:ascii="Times New Roman" w:hAnsi="Times New Roman"/>
                <w:b w:val="0"/>
                <w:sz w:val="20"/>
              </w:rPr>
              <w:t>per litre</w:t>
            </w:r>
          </w:p>
        </w:tc>
        <w:tc>
          <w:tcPr>
            <w:tcW w:w="1275" w:type="dxa"/>
            <w:tcBorders>
              <w:top w:val="single" w:sz="4" w:space="0" w:color="auto"/>
              <w:bottom w:val="single" w:sz="4" w:space="0" w:color="auto"/>
            </w:tcBorders>
          </w:tcPr>
          <w:p w14:paraId="6F3F8664" w14:textId="77777777" w:rsidR="00DF600C" w:rsidRPr="00F934EC" w:rsidRDefault="00DF600C" w:rsidP="009374C4">
            <w:pPr>
              <w:pStyle w:val="Heading3"/>
              <w:keepNext w:val="0"/>
              <w:ind w:left="33"/>
              <w:jc w:val="right"/>
              <w:outlineLvl w:val="2"/>
              <w:rPr>
                <w:rFonts w:ascii="Times New Roman" w:hAnsi="Times New Roman"/>
                <w:b w:val="0"/>
                <w:sz w:val="20"/>
              </w:rPr>
            </w:pPr>
            <w:r w:rsidRPr="00F934EC">
              <w:rPr>
                <w:rFonts w:ascii="Times New Roman" w:hAnsi="Times New Roman"/>
                <w:b w:val="0"/>
                <w:sz w:val="20"/>
              </w:rPr>
              <w:t>$39.</w:t>
            </w:r>
            <w:r w:rsidR="005A35BE">
              <w:rPr>
                <w:rFonts w:ascii="Times New Roman" w:hAnsi="Times New Roman"/>
                <w:b w:val="0"/>
                <w:sz w:val="20"/>
              </w:rPr>
              <w:t>5</w:t>
            </w:r>
            <w:r>
              <w:rPr>
                <w:rFonts w:ascii="Times New Roman" w:hAnsi="Times New Roman"/>
                <w:b w:val="0"/>
                <w:sz w:val="20"/>
              </w:rPr>
              <w:t>0</w:t>
            </w:r>
          </w:p>
        </w:tc>
      </w:tr>
      <w:tr w:rsidR="00DF600C" w14:paraId="247DC8F8" w14:textId="77777777" w:rsidTr="008A145B">
        <w:tc>
          <w:tcPr>
            <w:tcW w:w="851" w:type="dxa"/>
            <w:tcBorders>
              <w:top w:val="single" w:sz="4" w:space="0" w:color="auto"/>
              <w:bottom w:val="single" w:sz="4" w:space="0" w:color="auto"/>
            </w:tcBorders>
          </w:tcPr>
          <w:p w14:paraId="543CF842" w14:textId="77777777" w:rsidR="00DF600C" w:rsidRPr="00F934EC" w:rsidRDefault="00DF600C" w:rsidP="009374C4">
            <w:pPr>
              <w:pStyle w:val="Heading3"/>
              <w:keepNext w:val="0"/>
              <w:ind w:left="34"/>
              <w:outlineLvl w:val="2"/>
              <w:rPr>
                <w:rFonts w:ascii="Times New Roman" w:hAnsi="Times New Roman"/>
                <w:b w:val="0"/>
                <w:sz w:val="20"/>
              </w:rPr>
            </w:pPr>
            <w:r w:rsidRPr="009B676E">
              <w:rPr>
                <w:rFonts w:ascii="Times New Roman" w:hAnsi="Times New Roman"/>
                <w:b w:val="0"/>
                <w:sz w:val="20"/>
              </w:rPr>
              <w:t xml:space="preserve">Step </w:t>
            </w:r>
            <w:r>
              <w:rPr>
                <w:rFonts w:ascii="Times New Roman" w:hAnsi="Times New Roman"/>
                <w:b w:val="0"/>
                <w:sz w:val="20"/>
              </w:rPr>
              <w:t>4</w:t>
            </w:r>
          </w:p>
        </w:tc>
        <w:tc>
          <w:tcPr>
            <w:tcW w:w="3969" w:type="dxa"/>
            <w:tcBorders>
              <w:top w:val="single" w:sz="4" w:space="0" w:color="auto"/>
              <w:bottom w:val="single" w:sz="4" w:space="0" w:color="auto"/>
            </w:tcBorders>
          </w:tcPr>
          <w:p w14:paraId="420CCC3A"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Add the amounts in steps 1 and 3</w:t>
            </w:r>
          </w:p>
        </w:tc>
        <w:tc>
          <w:tcPr>
            <w:tcW w:w="1275" w:type="dxa"/>
            <w:tcBorders>
              <w:top w:val="single" w:sz="4" w:space="0" w:color="auto"/>
              <w:bottom w:val="single" w:sz="4" w:space="0" w:color="auto"/>
            </w:tcBorders>
          </w:tcPr>
          <w:p w14:paraId="00039528" w14:textId="77777777" w:rsidR="00DF600C" w:rsidRPr="00F934EC" w:rsidRDefault="00DF600C" w:rsidP="009374C4">
            <w:pPr>
              <w:pStyle w:val="Heading3"/>
              <w:keepNext w:val="0"/>
              <w:ind w:left="33"/>
              <w:jc w:val="right"/>
              <w:outlineLvl w:val="2"/>
              <w:rPr>
                <w:rFonts w:ascii="Times New Roman" w:hAnsi="Times New Roman"/>
                <w:b w:val="0"/>
                <w:sz w:val="20"/>
              </w:rPr>
            </w:pPr>
            <w:r w:rsidRPr="00F934EC">
              <w:rPr>
                <w:rFonts w:ascii="Times New Roman" w:hAnsi="Times New Roman"/>
                <w:b w:val="0"/>
                <w:sz w:val="20"/>
              </w:rPr>
              <w:t>$</w:t>
            </w:r>
            <w:r w:rsidR="005A35BE">
              <w:rPr>
                <w:rFonts w:ascii="Times New Roman" w:hAnsi="Times New Roman"/>
                <w:b w:val="0"/>
                <w:sz w:val="20"/>
              </w:rPr>
              <w:t>3,989.5</w:t>
            </w:r>
            <w:r>
              <w:rPr>
                <w:rFonts w:ascii="Times New Roman" w:hAnsi="Times New Roman"/>
                <w:b w:val="0"/>
                <w:sz w:val="20"/>
              </w:rPr>
              <w:t>0</w:t>
            </w:r>
          </w:p>
        </w:tc>
      </w:tr>
      <w:tr w:rsidR="00DF600C" w14:paraId="1DC1F6B7" w14:textId="77777777" w:rsidTr="008A145B">
        <w:tc>
          <w:tcPr>
            <w:tcW w:w="851" w:type="dxa"/>
            <w:tcBorders>
              <w:top w:val="single" w:sz="4" w:space="0" w:color="auto"/>
              <w:bottom w:val="single" w:sz="4" w:space="0" w:color="auto"/>
            </w:tcBorders>
          </w:tcPr>
          <w:p w14:paraId="089396BC" w14:textId="77777777" w:rsidR="00DF600C" w:rsidRPr="00F934EC" w:rsidRDefault="00DF600C" w:rsidP="009374C4">
            <w:pPr>
              <w:pStyle w:val="Heading3"/>
              <w:keepNext w:val="0"/>
              <w:ind w:left="34"/>
              <w:outlineLvl w:val="2"/>
              <w:rPr>
                <w:rFonts w:ascii="Times New Roman" w:hAnsi="Times New Roman"/>
                <w:b w:val="0"/>
                <w:sz w:val="20"/>
              </w:rPr>
            </w:pPr>
            <w:r w:rsidRPr="009B676E">
              <w:rPr>
                <w:rFonts w:ascii="Times New Roman" w:hAnsi="Times New Roman"/>
                <w:b w:val="0"/>
                <w:sz w:val="20"/>
              </w:rPr>
              <w:t xml:space="preserve">Step </w:t>
            </w:r>
            <w:r>
              <w:rPr>
                <w:rFonts w:ascii="Times New Roman" w:hAnsi="Times New Roman"/>
                <w:b w:val="0"/>
                <w:sz w:val="20"/>
              </w:rPr>
              <w:t>5</w:t>
            </w:r>
          </w:p>
        </w:tc>
        <w:tc>
          <w:tcPr>
            <w:tcW w:w="3969" w:type="dxa"/>
            <w:tcBorders>
              <w:top w:val="single" w:sz="4" w:space="0" w:color="auto"/>
              <w:bottom w:val="single" w:sz="4" w:space="0" w:color="auto"/>
            </w:tcBorders>
          </w:tcPr>
          <w:p w14:paraId="210A53EC"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 xml:space="preserve">Less duty paid (10,000 litres </w:t>
            </w:r>
            <w:r>
              <w:rPr>
                <w:rFonts w:ascii="Times New Roman" w:hAnsi="Times New Roman"/>
                <w:b w:val="0"/>
                <w:sz w:val="20"/>
              </w:rPr>
              <w:t xml:space="preserve">× </w:t>
            </w:r>
            <w:r w:rsidRPr="00F934EC">
              <w:rPr>
                <w:rFonts w:ascii="Times New Roman" w:hAnsi="Times New Roman"/>
                <w:b w:val="0"/>
                <w:sz w:val="20"/>
              </w:rPr>
              <w:t>38</w:t>
            </w:r>
            <w:r>
              <w:rPr>
                <w:rFonts w:ascii="Times New Roman" w:hAnsi="Times New Roman"/>
                <w:b w:val="0"/>
                <w:sz w:val="20"/>
              </w:rPr>
              <w:t>.</w:t>
            </w:r>
            <w:r w:rsidR="00B46197">
              <w:rPr>
                <w:rFonts w:ascii="Times New Roman" w:hAnsi="Times New Roman"/>
                <w:b w:val="0"/>
                <w:sz w:val="20"/>
              </w:rPr>
              <w:t>9</w:t>
            </w:r>
            <w:r>
              <w:rPr>
                <w:rFonts w:ascii="Times New Roman" w:hAnsi="Times New Roman"/>
                <w:b w:val="0"/>
                <w:sz w:val="20"/>
              </w:rPr>
              <w:t xml:space="preserve"> cents</w:t>
            </w:r>
            <w:r w:rsidRPr="00F934EC">
              <w:rPr>
                <w:rFonts w:ascii="Times New Roman" w:hAnsi="Times New Roman"/>
                <w:b w:val="0"/>
                <w:sz w:val="20"/>
              </w:rPr>
              <w:t>)</w:t>
            </w:r>
          </w:p>
        </w:tc>
        <w:tc>
          <w:tcPr>
            <w:tcW w:w="1275" w:type="dxa"/>
            <w:tcBorders>
              <w:top w:val="single" w:sz="4" w:space="0" w:color="auto"/>
              <w:bottom w:val="single" w:sz="4" w:space="0" w:color="auto"/>
            </w:tcBorders>
          </w:tcPr>
          <w:p w14:paraId="2442479C" w14:textId="77777777" w:rsidR="00DF600C" w:rsidRPr="00F934EC" w:rsidRDefault="00DF600C" w:rsidP="009374C4">
            <w:pPr>
              <w:pStyle w:val="exampletext"/>
              <w:ind w:left="33"/>
              <w:jc w:val="right"/>
            </w:pPr>
            <w:r w:rsidRPr="00915C76">
              <w:rPr>
                <w:u w:val="single"/>
              </w:rPr>
              <w:t>‒$</w:t>
            </w:r>
            <w:r w:rsidR="00B46197">
              <w:rPr>
                <w:u w:val="single"/>
              </w:rPr>
              <w:t>3,</w:t>
            </w:r>
            <w:r w:rsidR="005A35BE">
              <w:rPr>
                <w:u w:val="single"/>
              </w:rPr>
              <w:t>89</w:t>
            </w:r>
            <w:r w:rsidR="00B46197">
              <w:rPr>
                <w:u w:val="single"/>
              </w:rPr>
              <w:t>0.00</w:t>
            </w:r>
          </w:p>
        </w:tc>
      </w:tr>
      <w:tr w:rsidR="00DF600C" w14:paraId="18BC5C46" w14:textId="77777777" w:rsidTr="008A145B">
        <w:tc>
          <w:tcPr>
            <w:tcW w:w="851" w:type="dxa"/>
            <w:tcBorders>
              <w:top w:val="single" w:sz="4" w:space="0" w:color="auto"/>
            </w:tcBorders>
          </w:tcPr>
          <w:p w14:paraId="35228DCE" w14:textId="77777777" w:rsidR="00DF600C" w:rsidRPr="00F934EC" w:rsidRDefault="00DF600C" w:rsidP="009374C4">
            <w:pPr>
              <w:pStyle w:val="Heading3"/>
              <w:keepNext w:val="0"/>
              <w:ind w:left="34"/>
              <w:outlineLvl w:val="2"/>
              <w:rPr>
                <w:rFonts w:ascii="Times New Roman" w:hAnsi="Times New Roman"/>
                <w:b w:val="0"/>
                <w:sz w:val="20"/>
              </w:rPr>
            </w:pPr>
          </w:p>
        </w:tc>
        <w:tc>
          <w:tcPr>
            <w:tcW w:w="3969" w:type="dxa"/>
            <w:tcBorders>
              <w:top w:val="single" w:sz="4" w:space="0" w:color="auto"/>
            </w:tcBorders>
          </w:tcPr>
          <w:p w14:paraId="09A6E654" w14:textId="77777777" w:rsidR="00DF600C" w:rsidRPr="00F934EC" w:rsidRDefault="00DF600C" w:rsidP="009374C4">
            <w:pPr>
              <w:pStyle w:val="Heading3"/>
              <w:keepNext w:val="0"/>
              <w:ind w:left="0" w:firstLine="18"/>
              <w:outlineLvl w:val="2"/>
              <w:rPr>
                <w:rFonts w:ascii="Times New Roman" w:hAnsi="Times New Roman"/>
                <w:b w:val="0"/>
                <w:sz w:val="20"/>
              </w:rPr>
            </w:pPr>
            <w:r w:rsidRPr="00F934EC">
              <w:rPr>
                <w:rFonts w:ascii="Times New Roman" w:hAnsi="Times New Roman"/>
                <w:b w:val="0"/>
                <w:sz w:val="20"/>
              </w:rPr>
              <w:t>Duty payable on the blend</w:t>
            </w:r>
          </w:p>
        </w:tc>
        <w:tc>
          <w:tcPr>
            <w:tcW w:w="1275" w:type="dxa"/>
            <w:tcBorders>
              <w:top w:val="single" w:sz="4" w:space="0" w:color="auto"/>
            </w:tcBorders>
          </w:tcPr>
          <w:p w14:paraId="62DECF1C" w14:textId="77777777" w:rsidR="00DF600C" w:rsidRPr="00F934EC" w:rsidRDefault="00DF600C" w:rsidP="009374C4">
            <w:pPr>
              <w:pStyle w:val="Heading3"/>
              <w:keepNext w:val="0"/>
              <w:ind w:left="33"/>
              <w:jc w:val="right"/>
              <w:outlineLvl w:val="2"/>
              <w:rPr>
                <w:rFonts w:ascii="Times New Roman" w:hAnsi="Times New Roman"/>
                <w:b w:val="0"/>
                <w:sz w:val="20"/>
              </w:rPr>
            </w:pPr>
            <w:r>
              <w:rPr>
                <w:rFonts w:ascii="Times New Roman" w:hAnsi="Times New Roman"/>
                <w:b w:val="0"/>
                <w:sz w:val="20"/>
                <w:u w:val="double"/>
              </w:rPr>
              <w:t>$</w:t>
            </w:r>
            <w:r w:rsidR="005A35BE">
              <w:rPr>
                <w:rFonts w:ascii="Times New Roman" w:hAnsi="Times New Roman"/>
                <w:b w:val="0"/>
                <w:sz w:val="20"/>
                <w:u w:val="double"/>
              </w:rPr>
              <w:t>99.50</w:t>
            </w:r>
          </w:p>
        </w:tc>
      </w:tr>
    </w:tbl>
    <w:p w14:paraId="0D2CA54D" w14:textId="77777777" w:rsidR="00DF600C" w:rsidRDefault="00DF600C" w:rsidP="00DF600C">
      <w:pPr>
        <w:pStyle w:val="Heading3"/>
      </w:pPr>
      <w:r>
        <w:t>Initial duty rate period and transitional matters</w:t>
      </w:r>
    </w:p>
    <w:p w14:paraId="04CE3379" w14:textId="77777777" w:rsidR="00DF600C" w:rsidRDefault="00DF600C" w:rsidP="00DF600C">
      <w:pPr>
        <w:pStyle w:val="Heading4"/>
      </w:pPr>
      <w:r>
        <w:t>Fuel duty (other than gaseous fuel</w:t>
      </w:r>
      <w:r w:rsidR="00535124">
        <w:t>s</w:t>
      </w:r>
      <w:r>
        <w:t>)</w:t>
      </w:r>
    </w:p>
    <w:p w14:paraId="75995AC8" w14:textId="77777777" w:rsidR="00DF600C" w:rsidRDefault="00DF600C" w:rsidP="00DF600C">
      <w:pPr>
        <w:pStyle w:val="base-text-paragraph"/>
        <w:numPr>
          <w:ilvl w:val="1"/>
          <w:numId w:val="32"/>
        </w:numPr>
      </w:pPr>
      <w:r>
        <w:t xml:space="preserve">From 10 November 2014 until </w:t>
      </w:r>
      <w:r w:rsidR="003667FF">
        <w:t xml:space="preserve">1 </w:t>
      </w:r>
      <w:r w:rsidR="00D12924">
        <w:t>February</w:t>
      </w:r>
      <w:r>
        <w:t xml:space="preserve"> 2015</w:t>
      </w:r>
      <w:r w:rsidR="008A6125">
        <w:t>,</w:t>
      </w:r>
      <w:r w:rsidR="000B2954">
        <w:rPr>
          <w:rStyle w:val="FootnoteReference"/>
        </w:rPr>
        <w:footnoteReference w:id="15"/>
      </w:r>
      <w:r>
        <w:t xml:space="preserve"> the rate of excise and excise</w:t>
      </w:r>
      <w:r>
        <w:noBreakHyphen/>
        <w:t>equivalent customs duty on fuel (other than gaseous fuel</w:t>
      </w:r>
      <w:r w:rsidR="00535124">
        <w:t>s</w:t>
      </w:r>
      <w:r>
        <w:t>) is set at $0.386 per litre.</w:t>
      </w:r>
      <w:r w:rsidRPr="003051AA">
        <w:rPr>
          <w:rStyle w:val="Referencingstyle"/>
        </w:rPr>
        <w:t xml:space="preserve"> </w:t>
      </w:r>
      <w:r>
        <w:rPr>
          <w:rStyle w:val="Referencingstyle"/>
        </w:rPr>
        <w:t xml:space="preserve">[Schedule 1 of Excise Fuel Indexation Bill 2015, items 1 to 9 and 13 to 18, subsection 6G(1) and </w:t>
      </w:r>
      <w:proofErr w:type="spellStart"/>
      <w:r>
        <w:rPr>
          <w:rStyle w:val="Referencingstyle"/>
        </w:rPr>
        <w:t>subitems</w:t>
      </w:r>
      <w:proofErr w:type="spellEnd"/>
      <w:r>
        <w:rPr>
          <w:rStyle w:val="Referencingstyle"/>
        </w:rPr>
        <w:t xml:space="preserve"> 10.1, 10.2, 10.3, 10.5, 10.10, 10.15, 10.16, 10.18, 10.20, 10.21, </w:t>
      </w:r>
      <w:r w:rsidRPr="00EF1E99">
        <w:rPr>
          <w:rStyle w:val="Referencingstyle"/>
        </w:rPr>
        <w:t>10.25, 10.26</w:t>
      </w:r>
      <w:r>
        <w:rPr>
          <w:rStyle w:val="Referencingstyle"/>
        </w:rPr>
        <w:t>, 10.27, 10.28 of the Schedule to the Excise</w:t>
      </w:r>
      <w:r w:rsidR="00E1388E">
        <w:rPr>
          <w:rStyle w:val="Referencingstyle"/>
        </w:rPr>
        <w:t> </w:t>
      </w:r>
      <w:r>
        <w:rPr>
          <w:rStyle w:val="Referencingstyle"/>
        </w:rPr>
        <w:t>Tariff Act 1921, Schedule 1 of the Customs Fuel Indexation Bill 2015, item 1, paragraph 19AAB(1)(a) of the Customs Tariff Act 1995]</w:t>
      </w:r>
    </w:p>
    <w:p w14:paraId="0C3FF96F" w14:textId="77777777" w:rsidR="00DF600C" w:rsidRDefault="00DF600C" w:rsidP="00DF600C">
      <w:pPr>
        <w:pStyle w:val="base-text-paragraph"/>
        <w:numPr>
          <w:ilvl w:val="1"/>
          <w:numId w:val="32"/>
        </w:numPr>
      </w:pPr>
      <w:r>
        <w:t xml:space="preserve">This is the rate indexed to the CPI and set by the </w:t>
      </w:r>
      <w:r w:rsidR="00FE55B2">
        <w:t>Tariff Proposals</w:t>
      </w:r>
      <w:r>
        <w:t xml:space="preserve"> following delays in the passage of the legislation to re</w:t>
      </w:r>
      <w:r>
        <w:noBreakHyphen/>
        <w:t>introduce indexation on 1 August 2014.</w:t>
      </w:r>
    </w:p>
    <w:p w14:paraId="0D50DD50" w14:textId="77777777" w:rsidR="00877677" w:rsidRPr="00877677" w:rsidRDefault="007E25D8" w:rsidP="00877677">
      <w:pPr>
        <w:pStyle w:val="base-text-paragraph"/>
        <w:numPr>
          <w:ilvl w:val="1"/>
          <w:numId w:val="32"/>
        </w:numPr>
      </w:pPr>
      <w:r>
        <w:t>From 2</w:t>
      </w:r>
      <w:r w:rsidR="00877677" w:rsidRPr="00877677">
        <w:t xml:space="preserve"> February 2015</w:t>
      </w:r>
      <w:r w:rsidR="008A6125">
        <w:t>,</w:t>
      </w:r>
      <w:r w:rsidR="007829B2">
        <w:rPr>
          <w:rStyle w:val="FootnoteReference"/>
        </w:rPr>
        <w:footnoteReference w:id="16"/>
      </w:r>
      <w:r w:rsidR="00877677" w:rsidRPr="00877677">
        <w:t xml:space="preserve"> the rate of excise and excise</w:t>
      </w:r>
      <w:r w:rsidR="00A333CB">
        <w:t>-</w:t>
      </w:r>
      <w:r w:rsidR="00877677" w:rsidRPr="00877677">
        <w:t>equivalent customs duty on fuel (other than gaseous fuels) is indexed in line with</w:t>
      </w:r>
      <w:r w:rsidR="00E1388E">
        <w:t> </w:t>
      </w:r>
      <w:r w:rsidR="00877677" w:rsidRPr="00877677">
        <w:t>changes in the CPI</w:t>
      </w:r>
      <w:r w:rsidR="00B33B97">
        <w:t>. The indexed rate from 2 February 2015 is</w:t>
      </w:r>
      <w:r w:rsidR="00877677" w:rsidRPr="00877677">
        <w:t xml:space="preserve"> $0.389</w:t>
      </w:r>
      <w:r w:rsidR="00E1388E">
        <w:t> </w:t>
      </w:r>
      <w:r w:rsidR="00877677" w:rsidRPr="00877677">
        <w:t>per</w:t>
      </w:r>
      <w:r w:rsidR="00E1388E">
        <w:t> </w:t>
      </w:r>
      <w:r w:rsidR="00877677" w:rsidRPr="00877677">
        <w:t>litre. Indexation occurs twice a year, generally on 1</w:t>
      </w:r>
      <w:r w:rsidR="00E1388E">
        <w:t> </w:t>
      </w:r>
      <w:r w:rsidR="00877677" w:rsidRPr="00877677">
        <w:t>February</w:t>
      </w:r>
      <w:r w:rsidR="00E1388E">
        <w:t> </w:t>
      </w:r>
      <w:r w:rsidR="00877677" w:rsidRPr="00877677">
        <w:t>and 1</w:t>
      </w:r>
      <w:r w:rsidR="00B33B97">
        <w:t> </w:t>
      </w:r>
      <w:r w:rsidR="00877677" w:rsidRPr="00877677">
        <w:t>August</w:t>
      </w:r>
      <w:r w:rsidR="001C5526">
        <w:t xml:space="preserve">. </w:t>
      </w:r>
    </w:p>
    <w:p w14:paraId="25E04BD4" w14:textId="77777777" w:rsidR="00DF600C" w:rsidRDefault="00DF600C" w:rsidP="00DF600C">
      <w:pPr>
        <w:pStyle w:val="Heading4"/>
      </w:pPr>
      <w:r>
        <w:t>Gaseous fuel</w:t>
      </w:r>
      <w:r w:rsidR="00535124">
        <w:t>s</w:t>
      </w:r>
    </w:p>
    <w:p w14:paraId="28C9BBB0" w14:textId="77777777" w:rsidR="00DF600C" w:rsidRDefault="00DF600C" w:rsidP="00DF600C">
      <w:pPr>
        <w:pStyle w:val="base-text-paragraph"/>
        <w:numPr>
          <w:ilvl w:val="1"/>
          <w:numId w:val="32"/>
        </w:numPr>
      </w:pPr>
      <w:r>
        <w:t>The excise and excise–equivalent customs duty rate from 1</w:t>
      </w:r>
      <w:r w:rsidR="00E1388E">
        <w:t> </w:t>
      </w:r>
      <w:r>
        <w:t>July</w:t>
      </w:r>
      <w:r w:rsidR="00E1388E">
        <w:t> </w:t>
      </w:r>
      <w:r>
        <w:t xml:space="preserve">2014 until </w:t>
      </w:r>
      <w:r w:rsidR="001911B4">
        <w:t xml:space="preserve">9 </w:t>
      </w:r>
      <w:r>
        <w:t xml:space="preserve">November 2014 for LNG and </w:t>
      </w:r>
      <w:proofErr w:type="spellStart"/>
      <w:r>
        <w:t>CNG</w:t>
      </w:r>
      <w:proofErr w:type="spellEnd"/>
      <w:r>
        <w:t xml:space="preserve"> is $0.209 per kilogram, and for LPG is $0.10 per litre. </w:t>
      </w:r>
    </w:p>
    <w:p w14:paraId="5E322734" w14:textId="77777777" w:rsidR="00DF600C" w:rsidRDefault="00DF600C" w:rsidP="00653796">
      <w:pPr>
        <w:pStyle w:val="base-text-paragraph"/>
        <w:numPr>
          <w:ilvl w:val="1"/>
          <w:numId w:val="32"/>
        </w:numPr>
      </w:pPr>
      <w:r>
        <w:t>From 10 November 2014 until</w:t>
      </w:r>
      <w:r w:rsidR="00B45C6A">
        <w:t xml:space="preserve"> </w:t>
      </w:r>
      <w:r w:rsidR="001911B4">
        <w:t>1</w:t>
      </w:r>
      <w:r w:rsidR="001911B4" w:rsidRPr="00B45C6A">
        <w:t xml:space="preserve"> </w:t>
      </w:r>
      <w:r w:rsidR="00BA09C4" w:rsidRPr="00B45C6A">
        <w:t>February</w:t>
      </w:r>
      <w:r>
        <w:t xml:space="preserve"> 2015</w:t>
      </w:r>
      <w:r w:rsidR="006263CD">
        <w:t>,</w:t>
      </w:r>
      <w:r w:rsidR="000B2954">
        <w:rPr>
          <w:rStyle w:val="FootnoteReference"/>
        </w:rPr>
        <w:footnoteReference w:id="17"/>
      </w:r>
      <w:r>
        <w:t xml:space="preserve"> these rates proportionally increase based on the fixed liquid fuel duty rate of $0.386</w:t>
      </w:r>
      <w:r w:rsidR="00E1388E">
        <w:t> </w:t>
      </w:r>
      <w:r>
        <w:t>per litre</w:t>
      </w:r>
      <w:r w:rsidR="00653796" w:rsidRPr="00653796">
        <w:t xml:space="preserve"> dividing </w:t>
      </w:r>
      <w:r w:rsidR="00653796">
        <w:t>by</w:t>
      </w:r>
      <w:r w:rsidR="00653796" w:rsidRPr="00653796">
        <w:t xml:space="preserve"> the previous liquid fuel duty rate of $0.38143</w:t>
      </w:r>
      <w:r>
        <w:t>.</w:t>
      </w:r>
      <w:r w:rsidR="00E1388E">
        <w:t> </w:t>
      </w:r>
      <w:r>
        <w:t xml:space="preserve">For LNG and </w:t>
      </w:r>
      <w:proofErr w:type="spellStart"/>
      <w:r>
        <w:t>CNG</w:t>
      </w:r>
      <w:proofErr w:type="spellEnd"/>
      <w:r>
        <w:t xml:space="preserve">, the rate of duty </w:t>
      </w:r>
      <w:r w:rsidR="00973D97">
        <w:t xml:space="preserve">for the above period </w:t>
      </w:r>
      <w:r w:rsidR="00F66F55">
        <w:t>is</w:t>
      </w:r>
      <w:r>
        <w:t xml:space="preserve"> $0.212 per kilogram (calculated as $0.386/$0.38143 x $0.209 per kilogram), and for LPG the rate of duty </w:t>
      </w:r>
      <w:r w:rsidR="00F66F55">
        <w:t>is</w:t>
      </w:r>
      <w:r>
        <w:t xml:space="preserve"> $0.101 per litre (calculated as $0.</w:t>
      </w:r>
      <w:r w:rsidRPr="00114B69">
        <w:t>386/$0.38143 x $0.10</w:t>
      </w:r>
      <w:r>
        <w:t xml:space="preserve"> per litre). </w:t>
      </w:r>
      <w:r>
        <w:rPr>
          <w:rStyle w:val="Referencingstyle"/>
        </w:rPr>
        <w:t>[Schedule 1 of Excise Fuel Indexation Bill</w:t>
      </w:r>
      <w:r w:rsidR="00E1388E">
        <w:rPr>
          <w:rStyle w:val="Referencingstyle"/>
        </w:rPr>
        <w:t> </w:t>
      </w:r>
      <w:r>
        <w:rPr>
          <w:rStyle w:val="Referencingstyle"/>
        </w:rPr>
        <w:t xml:space="preserve">2015, items 10 to12, </w:t>
      </w:r>
      <w:proofErr w:type="spellStart"/>
      <w:r>
        <w:rPr>
          <w:rStyle w:val="Referencingstyle"/>
        </w:rPr>
        <w:t>subitems</w:t>
      </w:r>
      <w:proofErr w:type="spellEnd"/>
      <w:r>
        <w:rPr>
          <w:rStyle w:val="Referencingstyle"/>
        </w:rPr>
        <w:t xml:space="preserve"> 10.19A, 10.19B and 10.19C of the Schedule to the Excise Tariff Act 1921, Schedule 1 of the Customs Fuel Indexation Bill 2015, item 1, paragraphs 19AAB(1)(b), (c) and (d) of the Customs Tariff Act 1995] </w:t>
      </w:r>
    </w:p>
    <w:p w14:paraId="1703CC6B" w14:textId="77777777" w:rsidR="00DF600C" w:rsidRDefault="0033290A" w:rsidP="00815390">
      <w:pPr>
        <w:pStyle w:val="base-text-paragraph"/>
        <w:keepNext/>
        <w:keepLines/>
        <w:numPr>
          <w:ilvl w:val="1"/>
          <w:numId w:val="32"/>
        </w:numPr>
      </w:pPr>
      <w:r>
        <w:t xml:space="preserve">From </w:t>
      </w:r>
      <w:r w:rsidR="000B2954">
        <w:t>2</w:t>
      </w:r>
      <w:r>
        <w:t xml:space="preserve"> February 2015</w:t>
      </w:r>
      <w:r w:rsidR="00403AEE">
        <w:t>,</w:t>
      </w:r>
      <w:r w:rsidR="000B2954">
        <w:rPr>
          <w:rStyle w:val="FootnoteReference"/>
        </w:rPr>
        <w:footnoteReference w:id="18"/>
      </w:r>
      <w:r>
        <w:t xml:space="preserve"> the duty on gaseous fuels i</w:t>
      </w:r>
      <w:r w:rsidR="009178C7">
        <w:t>s</w:t>
      </w:r>
      <w:r>
        <w:t xml:space="preserve"> indexed </w:t>
      </w:r>
      <w:r w:rsidR="00815390" w:rsidRPr="00815390">
        <w:t>(indexation factor of 1.007</w:t>
      </w:r>
      <w:r w:rsidR="00815390">
        <w:t xml:space="preserve">) </w:t>
      </w:r>
      <w:r>
        <w:t xml:space="preserve">in line with changes in the CPI. </w:t>
      </w:r>
      <w:r w:rsidR="009C7A95">
        <w:t>For the period 2 February 2015 until 30 June</w:t>
      </w:r>
      <w:r w:rsidR="00E1388E">
        <w:t> </w:t>
      </w:r>
      <w:r w:rsidR="009C7A95">
        <w:t xml:space="preserve">2015 a </w:t>
      </w:r>
      <w:r w:rsidR="00403AEE">
        <w:t xml:space="preserve">duty </w:t>
      </w:r>
      <w:r w:rsidR="009C7A95">
        <w:t xml:space="preserve">rate of $0.213 per kilogram of duty applies for LNG and </w:t>
      </w:r>
      <w:proofErr w:type="spellStart"/>
      <w:r w:rsidR="009C7A95">
        <w:t>CNG</w:t>
      </w:r>
      <w:proofErr w:type="spellEnd"/>
      <w:r w:rsidR="009C7A95">
        <w:t xml:space="preserve"> and duty rate of $0.102 per litre applies for LPG. </w:t>
      </w:r>
      <w:r>
        <w:t>Indexation</w:t>
      </w:r>
      <w:r w:rsidR="00403AEE">
        <w:t xml:space="preserve"> </w:t>
      </w:r>
      <w:r>
        <w:t xml:space="preserve">occurs twice a year, generally on 1 February and </w:t>
      </w:r>
      <w:r w:rsidR="00593E7D">
        <w:t>1 </w:t>
      </w:r>
      <w:r>
        <w:t>August</w:t>
      </w:r>
      <w:r w:rsidR="00D807BB">
        <w:t>.</w:t>
      </w:r>
      <w:r w:rsidR="00D807BB">
        <w:rPr>
          <w:rStyle w:val="FootnoteReference"/>
        </w:rPr>
        <w:footnoteReference w:id="19"/>
      </w:r>
    </w:p>
    <w:p w14:paraId="359C5C33" w14:textId="77777777" w:rsidR="00FE55B2" w:rsidRDefault="00FE55B2" w:rsidP="00DF600C">
      <w:pPr>
        <w:pStyle w:val="base-text-paragraph"/>
        <w:numPr>
          <w:ilvl w:val="1"/>
          <w:numId w:val="32"/>
        </w:numPr>
      </w:pPr>
      <w:r>
        <w:t>However, o</w:t>
      </w:r>
      <w:r w:rsidR="00DF600C">
        <w:t>n 1 July 2015</w:t>
      </w:r>
      <w:r>
        <w:t xml:space="preserve"> un</w:t>
      </w:r>
      <w:r w:rsidR="00DF600C">
        <w:t xml:space="preserve">der the </w:t>
      </w:r>
      <w:r w:rsidR="00DF600C" w:rsidRPr="0013234D">
        <w:rPr>
          <w:i/>
        </w:rPr>
        <w:t>Excise Tariff Amendment (Taxation of Alternative Fuels) Act 2011</w:t>
      </w:r>
      <w:r w:rsidR="00DF600C">
        <w:t xml:space="preserve"> and the </w:t>
      </w:r>
      <w:r w:rsidR="00DF600C" w:rsidRPr="0013234D">
        <w:rPr>
          <w:i/>
        </w:rPr>
        <w:t>Customs Tariff Amendment (Taxation of Alternative Fuels) Act 2011</w:t>
      </w:r>
      <w:r w:rsidR="00DF600C">
        <w:t xml:space="preserve"> the rate of duty for LNG and </w:t>
      </w:r>
      <w:proofErr w:type="spellStart"/>
      <w:r w:rsidR="00DF600C">
        <w:t>CNG</w:t>
      </w:r>
      <w:proofErr w:type="spellEnd"/>
      <w:r w:rsidR="00DF600C">
        <w:t xml:space="preserve"> was scheduled to increase to $0.2613 per kilogram, and the rate of duty for LPG was schedule to increase to $0.125</w:t>
      </w:r>
      <w:r w:rsidR="001478B1">
        <w:t xml:space="preserve"> as part of the final stage of the phase</w:t>
      </w:r>
      <w:r w:rsidR="001478B1">
        <w:noBreakHyphen/>
        <w:t>in of taxation on gaseous fuels</w:t>
      </w:r>
      <w:r>
        <w:t>.</w:t>
      </w:r>
    </w:p>
    <w:p w14:paraId="4A89F06F" w14:textId="77777777" w:rsidR="00DF600C" w:rsidRDefault="00313C0A" w:rsidP="00DF600C">
      <w:pPr>
        <w:pStyle w:val="base-text-paragraph"/>
        <w:numPr>
          <w:ilvl w:val="1"/>
          <w:numId w:val="32"/>
        </w:numPr>
      </w:pPr>
      <w:r>
        <w:t xml:space="preserve">The applicable rates of duty on gaseous fuels from 1 July 2015 to 31 July 2015 take into account </w:t>
      </w:r>
      <w:r w:rsidR="00FE55B2">
        <w:t>these scheduled increases</w:t>
      </w:r>
      <w:r>
        <w:t xml:space="preserve"> and the</w:t>
      </w:r>
      <w:r w:rsidR="00D10838">
        <w:t xml:space="preserve"> </w:t>
      </w:r>
      <w:r>
        <w:t xml:space="preserve">effect of the indexation. </w:t>
      </w:r>
    </w:p>
    <w:p w14:paraId="28D9BF59" w14:textId="77777777" w:rsidR="00C1065F" w:rsidRPr="00D807BB" w:rsidRDefault="00DF600C" w:rsidP="00DF600C">
      <w:pPr>
        <w:pStyle w:val="base-text-paragraph"/>
        <w:numPr>
          <w:ilvl w:val="1"/>
          <w:numId w:val="32"/>
        </w:numPr>
      </w:pPr>
      <w:r w:rsidRPr="00D807BB">
        <w:t xml:space="preserve">For LNG and </w:t>
      </w:r>
      <w:proofErr w:type="spellStart"/>
      <w:r w:rsidRPr="00D807BB">
        <w:t>CNG</w:t>
      </w:r>
      <w:proofErr w:type="spellEnd"/>
      <w:r w:rsidRPr="00D807BB">
        <w:t xml:space="preserve">, the </w:t>
      </w:r>
      <w:r w:rsidR="00CD78FA" w:rsidRPr="00D807BB">
        <w:t xml:space="preserve">duty </w:t>
      </w:r>
      <w:r w:rsidRPr="00D807BB">
        <w:t xml:space="preserve">rate </w:t>
      </w:r>
      <w:r w:rsidR="00973D97" w:rsidRPr="00D807BB">
        <w:t xml:space="preserve">from </w:t>
      </w:r>
      <w:r w:rsidR="00B45C6A" w:rsidRPr="00D807BB">
        <w:t>1 July</w:t>
      </w:r>
      <w:r w:rsidR="00973D97" w:rsidRPr="00D807BB">
        <w:t xml:space="preserve"> 2015 </w:t>
      </w:r>
      <w:r w:rsidR="00C1065F" w:rsidRPr="00D807BB">
        <w:t>to 31</w:t>
      </w:r>
      <w:r w:rsidR="00E1388E">
        <w:t> </w:t>
      </w:r>
      <w:r w:rsidR="00C1065F" w:rsidRPr="00D807BB">
        <w:t>July</w:t>
      </w:r>
      <w:r w:rsidR="00E1388E">
        <w:t> </w:t>
      </w:r>
      <w:r w:rsidR="00C1065F" w:rsidRPr="00D807BB">
        <w:t xml:space="preserve">2015 </w:t>
      </w:r>
      <w:r w:rsidR="00F66F55" w:rsidRPr="00D807BB">
        <w:t>is</w:t>
      </w:r>
      <w:r w:rsidRPr="00D807BB">
        <w:t xml:space="preserve"> </w:t>
      </w:r>
      <w:r w:rsidR="003E61F8" w:rsidRPr="00D807BB">
        <w:t>$0.</w:t>
      </w:r>
      <w:r w:rsidR="00337F14" w:rsidRPr="00D807BB">
        <w:t>266</w:t>
      </w:r>
      <w:r w:rsidR="0097718F" w:rsidRPr="00D807BB">
        <w:t xml:space="preserve"> per kilogram</w:t>
      </w:r>
      <w:r w:rsidR="00C1065F" w:rsidRPr="00D807BB">
        <w:t xml:space="preserve">. This is </w:t>
      </w:r>
      <w:r w:rsidR="003E61F8" w:rsidRPr="00D807BB">
        <w:t>calculated based on</w:t>
      </w:r>
      <w:r w:rsidR="00C1065F" w:rsidRPr="00D807BB">
        <w:t>:</w:t>
      </w:r>
    </w:p>
    <w:p w14:paraId="448E77D3" w14:textId="77777777" w:rsidR="00C1065F" w:rsidRPr="00CD78FA" w:rsidRDefault="009C2BC8" w:rsidP="00ED1EB6">
      <w:pPr>
        <w:pStyle w:val="dotpoint"/>
        <w:tabs>
          <w:tab w:val="clear" w:pos="2268"/>
          <w:tab w:val="num" w:pos="1985"/>
        </w:tabs>
        <w:ind w:left="1985" w:hanging="284"/>
      </w:pPr>
      <w:r>
        <w:t>Step one –</w:t>
      </w:r>
      <w:r w:rsidR="00C1065F" w:rsidRPr="006A348C">
        <w:t xml:space="preserve"> </w:t>
      </w:r>
      <w:r w:rsidR="001911B4">
        <w:t>t</w:t>
      </w:r>
      <w:r w:rsidR="001911B4" w:rsidRPr="006A348C">
        <w:t xml:space="preserve">he </w:t>
      </w:r>
      <w:r w:rsidR="00C1065F" w:rsidRPr="006A348C">
        <w:t xml:space="preserve">rate of $0.2613 per kilogram </w:t>
      </w:r>
      <w:r w:rsidR="00C1065F" w:rsidRPr="00337F14">
        <w:t xml:space="preserve">proposed in </w:t>
      </w:r>
      <w:r w:rsidR="00C1065F" w:rsidRPr="006A348C">
        <w:rPr>
          <w:i/>
        </w:rPr>
        <w:t>Excise</w:t>
      </w:r>
      <w:r w:rsidR="00E1388E">
        <w:rPr>
          <w:i/>
        </w:rPr>
        <w:t> </w:t>
      </w:r>
      <w:r w:rsidR="00C1065F" w:rsidRPr="006A348C">
        <w:rPr>
          <w:i/>
        </w:rPr>
        <w:t>Tariff Amendment (Taxation of Alternative Fuels) Act</w:t>
      </w:r>
      <w:r w:rsidR="00E1388E">
        <w:rPr>
          <w:i/>
        </w:rPr>
        <w:t> </w:t>
      </w:r>
      <w:r w:rsidR="00C1065F" w:rsidRPr="006A348C">
        <w:rPr>
          <w:i/>
        </w:rPr>
        <w:t>2011</w:t>
      </w:r>
      <w:r w:rsidR="00C1065F" w:rsidRPr="00337F14">
        <w:t xml:space="preserve"> </w:t>
      </w:r>
      <w:r w:rsidR="00580042" w:rsidRPr="00580042">
        <w:t xml:space="preserve">and </w:t>
      </w:r>
      <w:r w:rsidR="00580042" w:rsidRPr="00325159">
        <w:rPr>
          <w:i/>
        </w:rPr>
        <w:t>the Customs Tariff Amendment (Taxation of Alternative Fuels) Act 2011</w:t>
      </w:r>
      <w:r w:rsidR="00580042" w:rsidRPr="00580042">
        <w:t xml:space="preserve"> </w:t>
      </w:r>
      <w:r w:rsidR="00580042">
        <w:t>i</w:t>
      </w:r>
      <w:r w:rsidR="00C1065F" w:rsidRPr="00337F14">
        <w:t>s subject to indexation based on the increase in duty on 10 November 2014</w:t>
      </w:r>
      <w:r w:rsidR="00580042">
        <w:t xml:space="preserve"> as a proportion of the liquid fuel duty rate</w:t>
      </w:r>
      <w:r w:rsidR="00C1065F" w:rsidRPr="00337F14">
        <w:t xml:space="preserve"> </w:t>
      </w:r>
      <w:r w:rsidR="00C1065F" w:rsidRPr="006A348C">
        <w:t>(calculated as $</w:t>
      </w:r>
      <w:r w:rsidR="00C1065F" w:rsidRPr="00580042">
        <w:t>0.386/$0.38143 x $0.2613</w:t>
      </w:r>
      <w:r w:rsidR="00C1065F" w:rsidRPr="006A348C">
        <w:t xml:space="preserve"> per kilogram</w:t>
      </w:r>
      <w:r w:rsidR="00B13A0A" w:rsidRPr="006A348C">
        <w:t xml:space="preserve"> = $0</w:t>
      </w:r>
      <w:r w:rsidR="00513BBF" w:rsidRPr="006A348C">
        <w:t>.</w:t>
      </w:r>
      <w:r w:rsidR="00513BBF" w:rsidRPr="00851154">
        <w:t>2644);</w:t>
      </w:r>
      <w:r w:rsidR="00C1065F" w:rsidRPr="006A348C">
        <w:t xml:space="preserve"> and</w:t>
      </w:r>
    </w:p>
    <w:p w14:paraId="28979FDD" w14:textId="77777777" w:rsidR="00513BBF" w:rsidRDefault="009C2BC8" w:rsidP="009374C4">
      <w:pPr>
        <w:pStyle w:val="dotpoint"/>
        <w:tabs>
          <w:tab w:val="clear" w:pos="2268"/>
          <w:tab w:val="num" w:pos="1985"/>
        </w:tabs>
        <w:ind w:left="1985" w:hanging="284"/>
      </w:pPr>
      <w:r>
        <w:t>Step two –</w:t>
      </w:r>
      <w:r w:rsidR="00C1065F">
        <w:t xml:space="preserve"> </w:t>
      </w:r>
      <w:r w:rsidR="001911B4">
        <w:t xml:space="preserve">the </w:t>
      </w:r>
      <w:r w:rsidR="00C1065F">
        <w:t xml:space="preserve">rate of $0.2644 </w:t>
      </w:r>
      <w:r w:rsidR="0097718F">
        <w:t xml:space="preserve">per kilogram </w:t>
      </w:r>
      <w:r w:rsidR="00513BBF">
        <w:t xml:space="preserve">is subject to </w:t>
      </w:r>
      <w:r w:rsidR="001911B4">
        <w:t xml:space="preserve">February 2015 </w:t>
      </w:r>
      <w:r w:rsidR="00513BBF">
        <w:t>indexation</w:t>
      </w:r>
      <w:r w:rsidR="00EE3ED1">
        <w:rPr>
          <w:rStyle w:val="FootnoteReference"/>
        </w:rPr>
        <w:footnoteReference w:id="20"/>
      </w:r>
      <w:r w:rsidR="00513BBF">
        <w:t xml:space="preserve"> (calculated as </w:t>
      </w:r>
      <w:r w:rsidR="00580042">
        <w:t>106.6/105.9</w:t>
      </w:r>
      <w:r w:rsidR="00513BBF">
        <w:t xml:space="preserve"> </w:t>
      </w:r>
      <w:r w:rsidR="00222780">
        <w:t>(1.007</w:t>
      </w:r>
      <w:r>
        <w:t> </w:t>
      </w:r>
      <w:r w:rsidR="00222780">
        <w:t xml:space="preserve">rounded up to three decimal places) </w:t>
      </w:r>
      <w:r w:rsidR="00513BBF">
        <w:t>x $0.264</w:t>
      </w:r>
      <w:r w:rsidR="00337F14">
        <w:t>4</w:t>
      </w:r>
      <w:r w:rsidR="00513BBF">
        <w:t xml:space="preserve"> per kilogram = $0.26</w:t>
      </w:r>
      <w:r w:rsidR="00337F14">
        <w:t xml:space="preserve">6 (rounded </w:t>
      </w:r>
      <w:r w:rsidR="00222780">
        <w:t xml:space="preserve">down </w:t>
      </w:r>
      <w:r w:rsidR="00337F14">
        <w:t>to three decimal places</w:t>
      </w:r>
      <w:r w:rsidR="00513BBF">
        <w:t>)</w:t>
      </w:r>
      <w:r w:rsidR="00D807BB">
        <w:t>.</w:t>
      </w:r>
    </w:p>
    <w:p w14:paraId="39662173" w14:textId="77777777" w:rsidR="00CD78FA" w:rsidRPr="00AF1A0F" w:rsidRDefault="00CD78FA" w:rsidP="009374C4">
      <w:pPr>
        <w:pStyle w:val="base-text-paragraph"/>
        <w:keepNext/>
        <w:keepLines/>
        <w:numPr>
          <w:ilvl w:val="1"/>
          <w:numId w:val="32"/>
        </w:numPr>
      </w:pPr>
      <w:r>
        <w:t>For LPG the duty rate</w:t>
      </w:r>
      <w:r w:rsidR="00E41D5E">
        <w:t xml:space="preserve"> from 1 July</w:t>
      </w:r>
      <w:r>
        <w:t xml:space="preserve"> 2015 to 31 July 2015 </w:t>
      </w:r>
      <w:r w:rsidR="00E41D5E">
        <w:t xml:space="preserve">is </w:t>
      </w:r>
      <w:r w:rsidRPr="0097718F">
        <w:t>$0</w:t>
      </w:r>
      <w:r w:rsidR="0097718F" w:rsidRPr="006A348C">
        <w:t>.127</w:t>
      </w:r>
      <w:r w:rsidR="0097718F">
        <w:t xml:space="preserve"> per litre</w:t>
      </w:r>
      <w:r w:rsidRPr="0097718F">
        <w:t>. This</w:t>
      </w:r>
      <w:r w:rsidRPr="00AF1A0F">
        <w:t xml:space="preserve"> is </w:t>
      </w:r>
      <w:r w:rsidRPr="00337F14">
        <w:t>c</w:t>
      </w:r>
      <w:r w:rsidRPr="00CD78FA">
        <w:t>alculated based on</w:t>
      </w:r>
      <w:r w:rsidRPr="00AF1A0F">
        <w:t>:</w:t>
      </w:r>
    </w:p>
    <w:p w14:paraId="1E1E17F0" w14:textId="77777777" w:rsidR="00CD78FA" w:rsidRPr="00CD78FA" w:rsidRDefault="00CD78FA" w:rsidP="00ED1EB6">
      <w:pPr>
        <w:pStyle w:val="dotpoint"/>
        <w:keepNext/>
        <w:keepLines/>
        <w:tabs>
          <w:tab w:val="clear" w:pos="2268"/>
          <w:tab w:val="num" w:pos="1985"/>
        </w:tabs>
        <w:ind w:left="1985" w:hanging="284"/>
      </w:pPr>
      <w:r w:rsidRPr="00AF1A0F">
        <w:t xml:space="preserve">Step one </w:t>
      </w:r>
      <w:r w:rsidR="009C2BC8">
        <w:t>–</w:t>
      </w:r>
      <w:r w:rsidRPr="00AF1A0F">
        <w:t xml:space="preserve"> </w:t>
      </w:r>
      <w:r w:rsidR="001911B4">
        <w:t>t</w:t>
      </w:r>
      <w:r w:rsidR="001911B4" w:rsidRPr="00AF1A0F">
        <w:t xml:space="preserve">he </w:t>
      </w:r>
      <w:r w:rsidRPr="00AF1A0F">
        <w:t>rate of $0.</w:t>
      </w:r>
      <w:r w:rsidR="00E41D5E">
        <w:t>125</w:t>
      </w:r>
      <w:r w:rsidRPr="00AF1A0F">
        <w:t xml:space="preserve"> per </w:t>
      </w:r>
      <w:r w:rsidR="00E41D5E">
        <w:t>litre</w:t>
      </w:r>
      <w:r w:rsidRPr="00AF1A0F">
        <w:t xml:space="preserve"> </w:t>
      </w:r>
      <w:r w:rsidRPr="00337F14">
        <w:t xml:space="preserve">proposed in </w:t>
      </w:r>
      <w:r w:rsidRPr="00AF1A0F">
        <w:rPr>
          <w:i/>
        </w:rPr>
        <w:t>Excise Tariff Amendment (Taxation of Alternative Fuels) Act 2011</w:t>
      </w:r>
      <w:r w:rsidRPr="00337F14">
        <w:t xml:space="preserve"> </w:t>
      </w:r>
      <w:r w:rsidR="00736B5F">
        <w:t xml:space="preserve">and the </w:t>
      </w:r>
      <w:r w:rsidR="00736B5F" w:rsidRPr="00067CF3">
        <w:rPr>
          <w:i/>
        </w:rPr>
        <w:t xml:space="preserve">Customs Tariff Amendment (Taxation of </w:t>
      </w:r>
      <w:r w:rsidR="00736B5F" w:rsidRPr="00736B5F">
        <w:rPr>
          <w:i/>
        </w:rPr>
        <w:t>Alternative</w:t>
      </w:r>
      <w:r w:rsidR="00736B5F" w:rsidRPr="00067CF3">
        <w:rPr>
          <w:i/>
        </w:rPr>
        <w:t xml:space="preserve"> Fuels) Act</w:t>
      </w:r>
      <w:r w:rsidR="009C2BC8">
        <w:rPr>
          <w:i/>
        </w:rPr>
        <w:t> </w:t>
      </w:r>
      <w:r w:rsidR="00736B5F" w:rsidRPr="00067CF3">
        <w:rPr>
          <w:i/>
        </w:rPr>
        <w:t xml:space="preserve">2011 </w:t>
      </w:r>
      <w:r w:rsidRPr="00337F14">
        <w:t>is subject to indexation based on the increase in duty on 10</w:t>
      </w:r>
      <w:r w:rsidR="00E41D5E">
        <w:t> </w:t>
      </w:r>
      <w:r w:rsidRPr="00337F14">
        <w:t xml:space="preserve">November 2014 </w:t>
      </w:r>
      <w:r w:rsidR="00580042">
        <w:t xml:space="preserve">as a proportion of the liquid fuel duty rate </w:t>
      </w:r>
      <w:r w:rsidRPr="00AF1A0F">
        <w:t>(calculated as $0.386/$0.38143 x $0.</w:t>
      </w:r>
      <w:r w:rsidR="00E41D5E">
        <w:t>125</w:t>
      </w:r>
      <w:r w:rsidRPr="00AF1A0F">
        <w:t xml:space="preserve"> per </w:t>
      </w:r>
      <w:r w:rsidR="00E41D5E">
        <w:t>litre</w:t>
      </w:r>
      <w:r w:rsidRPr="00AF1A0F">
        <w:t xml:space="preserve"> = $0.</w:t>
      </w:r>
      <w:r w:rsidR="00E41D5E">
        <w:t>126</w:t>
      </w:r>
      <w:r w:rsidRPr="00AF1A0F">
        <w:t>); and</w:t>
      </w:r>
    </w:p>
    <w:p w14:paraId="03891FE4" w14:textId="77777777" w:rsidR="00CD78FA" w:rsidRDefault="00CD78FA" w:rsidP="00ED1EB6">
      <w:pPr>
        <w:pStyle w:val="dotpoint"/>
        <w:tabs>
          <w:tab w:val="clear" w:pos="2268"/>
          <w:tab w:val="num" w:pos="1985"/>
        </w:tabs>
        <w:ind w:left="1985"/>
      </w:pPr>
      <w:r>
        <w:t xml:space="preserve">Step two </w:t>
      </w:r>
      <w:r w:rsidR="009C2BC8">
        <w:t>–</w:t>
      </w:r>
      <w:r>
        <w:t xml:space="preserve"> </w:t>
      </w:r>
      <w:r w:rsidR="001911B4">
        <w:t xml:space="preserve">the </w:t>
      </w:r>
      <w:r>
        <w:t>rate of $0.</w:t>
      </w:r>
      <w:r w:rsidR="00E41D5E">
        <w:t>126</w:t>
      </w:r>
      <w:r w:rsidR="0097718F">
        <w:t xml:space="preserve"> per litre</w:t>
      </w:r>
      <w:r>
        <w:t xml:space="preserve"> is subject to </w:t>
      </w:r>
      <w:r w:rsidR="001911B4">
        <w:t>February</w:t>
      </w:r>
      <w:r w:rsidR="009C2BC8">
        <w:t> </w:t>
      </w:r>
      <w:r w:rsidR="001911B4">
        <w:t xml:space="preserve">2015 </w:t>
      </w:r>
      <w:r>
        <w:t>indexation</w:t>
      </w:r>
      <w:r w:rsidR="00EE3ED1">
        <w:rPr>
          <w:rStyle w:val="FootnoteReference"/>
        </w:rPr>
        <w:footnoteReference w:id="21"/>
      </w:r>
      <w:r>
        <w:t xml:space="preserve"> (calculated as </w:t>
      </w:r>
      <w:r w:rsidR="00580042" w:rsidRPr="00580042">
        <w:t>106.6/105.9</w:t>
      </w:r>
      <w:r w:rsidR="00B763F4">
        <w:t xml:space="preserve"> </w:t>
      </w:r>
      <w:r w:rsidR="00B763F4" w:rsidRPr="00B763F4">
        <w:t>(1.007</w:t>
      </w:r>
      <w:r w:rsidR="009C2BC8">
        <w:t> </w:t>
      </w:r>
      <w:r w:rsidR="00B763F4" w:rsidRPr="00B763F4">
        <w:t>roun</w:t>
      </w:r>
      <w:r w:rsidR="00B763F4">
        <w:t>ded up to three decimal places)</w:t>
      </w:r>
      <w:r>
        <w:t xml:space="preserve"> x $0.</w:t>
      </w:r>
      <w:r w:rsidR="0097718F">
        <w:t>126 per kilogram = $0.127</w:t>
      </w:r>
      <w:r>
        <w:t xml:space="preserve"> (rounded </w:t>
      </w:r>
      <w:r w:rsidR="00B763F4">
        <w:t xml:space="preserve">up </w:t>
      </w:r>
      <w:r>
        <w:t>to three decimal places)</w:t>
      </w:r>
      <w:r w:rsidR="006A22E9">
        <w:t>.</w:t>
      </w:r>
    </w:p>
    <w:p w14:paraId="15B34716" w14:textId="77777777" w:rsidR="00DF600C" w:rsidRPr="00C40034" w:rsidRDefault="00DF600C" w:rsidP="00ED1EB6">
      <w:pPr>
        <w:pStyle w:val="dotpoint"/>
        <w:numPr>
          <w:ilvl w:val="0"/>
          <w:numId w:val="0"/>
        </w:numPr>
        <w:ind w:left="1134"/>
        <w:rPr>
          <w:rStyle w:val="Referencingstyle"/>
        </w:rPr>
      </w:pPr>
      <w:r w:rsidRPr="00C40034">
        <w:rPr>
          <w:rStyle w:val="Referencingstyle"/>
        </w:rPr>
        <w:t>[Schedule 1 of Excise Fuel Indexation Bill 2015, item 31, section 6FAA of the Excise</w:t>
      </w:r>
      <w:r w:rsidR="009C2BC8" w:rsidRPr="00C40034">
        <w:rPr>
          <w:rStyle w:val="Referencingstyle"/>
        </w:rPr>
        <w:t> </w:t>
      </w:r>
      <w:r w:rsidRPr="00C40034">
        <w:rPr>
          <w:rStyle w:val="Referencingstyle"/>
        </w:rPr>
        <w:t>Tariff Act 1921, Schedule 1 of the Customs Fuel Indexation Bill 2015, item</w:t>
      </w:r>
      <w:r w:rsidR="00C40034">
        <w:rPr>
          <w:rStyle w:val="Referencingstyle"/>
        </w:rPr>
        <w:t> </w:t>
      </w:r>
      <w:r w:rsidRPr="00C40034">
        <w:rPr>
          <w:rStyle w:val="Referencingstyle"/>
        </w:rPr>
        <w:t>1</w:t>
      </w:r>
      <w:r w:rsidR="00385DBF" w:rsidRPr="00C40034">
        <w:rPr>
          <w:rStyle w:val="Referencingstyle"/>
        </w:rPr>
        <w:t>3</w:t>
      </w:r>
      <w:r w:rsidRPr="00C40034">
        <w:rPr>
          <w:rStyle w:val="Referencingstyle"/>
        </w:rPr>
        <w:t xml:space="preserve">, section 19AD of the Customs Tariff Act 1995] </w:t>
      </w:r>
    </w:p>
    <w:p w14:paraId="19BACEE4" w14:textId="77777777" w:rsidR="00DF600C" w:rsidRPr="00D33BF0" w:rsidRDefault="00DF600C" w:rsidP="00D33BF0">
      <w:pPr>
        <w:pStyle w:val="Heading3"/>
        <w:rPr>
          <w:rStyle w:val="Referencingstyle"/>
          <w:b/>
          <w:sz w:val="22"/>
        </w:rPr>
      </w:pPr>
      <w:r w:rsidRPr="00D33BF0">
        <w:t>Rounding of duty payable</w:t>
      </w:r>
    </w:p>
    <w:p w14:paraId="2E9FC7A3" w14:textId="77777777" w:rsidR="00DF600C" w:rsidRDefault="00DF600C" w:rsidP="00D33BF0">
      <w:pPr>
        <w:pStyle w:val="base-text-paragraph"/>
        <w:numPr>
          <w:ilvl w:val="1"/>
          <w:numId w:val="32"/>
        </w:numPr>
        <w:spacing w:before="80" w:after="80"/>
      </w:pPr>
      <w:r w:rsidRPr="00554B3E">
        <w:t>The indexed rates of excise and excise</w:t>
      </w:r>
      <w:r w:rsidRPr="00934424">
        <w:noBreakHyphen/>
        <w:t>equivalent customs duty for fuels (excluding aviation fuels) are rounded to one decimal place of a cent</w:t>
      </w:r>
      <w:r>
        <w:t xml:space="preserve">. </w:t>
      </w:r>
      <w:r w:rsidRPr="00934424">
        <w:t>This simplifies the fuel tax credit claim calculation for claimants of fuels such as petrol and diesel that currently have a rate of duty calculated to three decimal places of a cent</w:t>
      </w:r>
      <w:r w:rsidRPr="00554B3E">
        <w:t xml:space="preserve"> (otherwise expressed as five decimal places of a dollar</w:t>
      </w:r>
      <w:r>
        <w:t xml:space="preserve">). </w:t>
      </w:r>
      <w:r w:rsidRPr="00934424">
        <w:rPr>
          <w:rStyle w:val="Referencingstyle"/>
        </w:rPr>
        <w:t xml:space="preserve">[Schedule 1, item </w:t>
      </w:r>
      <w:r>
        <w:rPr>
          <w:rStyle w:val="Referencingstyle"/>
        </w:rPr>
        <w:t>27</w:t>
      </w:r>
      <w:r w:rsidRPr="00934424">
        <w:rPr>
          <w:rStyle w:val="Referencingstyle"/>
        </w:rPr>
        <w:t xml:space="preserve"> of </w:t>
      </w:r>
      <w:r>
        <w:rPr>
          <w:rStyle w:val="Referencingstyle"/>
        </w:rPr>
        <w:t>the Excise Fuel Indexation Bill 2015, subsection 6AAA(1), (3) and (4) of the Excise Tariff Act 1921</w:t>
      </w:r>
      <w:r w:rsidRPr="00934424">
        <w:rPr>
          <w:rStyle w:val="Referencingstyle"/>
        </w:rPr>
        <w:t xml:space="preserve">, Schedule 1, item </w:t>
      </w:r>
      <w:r w:rsidR="00385DBF">
        <w:rPr>
          <w:rStyle w:val="Referencingstyle"/>
        </w:rPr>
        <w:t xml:space="preserve">10 </w:t>
      </w:r>
      <w:r w:rsidRPr="00934424">
        <w:rPr>
          <w:rStyle w:val="Referencingstyle"/>
        </w:rPr>
        <w:t xml:space="preserve">of </w:t>
      </w:r>
      <w:r>
        <w:rPr>
          <w:rStyle w:val="Referencingstyle"/>
        </w:rPr>
        <w:t>the Customs Fuel Indexation Bill</w:t>
      </w:r>
      <w:r w:rsidR="00C76D98">
        <w:rPr>
          <w:rStyle w:val="Referencingstyle"/>
        </w:rPr>
        <w:t xml:space="preserve"> </w:t>
      </w:r>
      <w:r>
        <w:rPr>
          <w:rStyle w:val="Referencingstyle"/>
        </w:rPr>
        <w:t>2015, section 19AAA of the Customs Tariff Act 1995</w:t>
      </w:r>
      <w:r w:rsidRPr="00934424">
        <w:rPr>
          <w:rStyle w:val="Referencingstyle"/>
        </w:rPr>
        <w:t>]</w:t>
      </w:r>
    </w:p>
    <w:p w14:paraId="42BA84A4" w14:textId="77777777" w:rsidR="00DF600C" w:rsidRDefault="00DF600C" w:rsidP="00D33BF0">
      <w:pPr>
        <w:pStyle w:val="base-text-paragraph"/>
        <w:numPr>
          <w:ilvl w:val="1"/>
          <w:numId w:val="32"/>
        </w:numPr>
        <w:spacing w:before="80" w:after="80"/>
      </w:pPr>
      <w:r>
        <w:t xml:space="preserve">The rounding rules in subsection 6A(2) of the </w:t>
      </w:r>
      <w:r w:rsidRPr="00981689">
        <w:rPr>
          <w:i/>
        </w:rPr>
        <w:t>Excise Tariff Act</w:t>
      </w:r>
      <w:r w:rsidR="007C52F6">
        <w:rPr>
          <w:i/>
        </w:rPr>
        <w:t> </w:t>
      </w:r>
      <w:r w:rsidRPr="00D33BF0">
        <w:rPr>
          <w:i/>
        </w:rPr>
        <w:t>1921</w:t>
      </w:r>
      <w:r>
        <w:t xml:space="preserve"> and subsection 19(2) of the </w:t>
      </w:r>
      <w:r w:rsidRPr="00981689">
        <w:rPr>
          <w:i/>
        </w:rPr>
        <w:t>Customs Tariff Act</w:t>
      </w:r>
      <w:r w:rsidRPr="00D33BF0">
        <w:rPr>
          <w:i/>
        </w:rPr>
        <w:t xml:space="preserve"> 1995</w:t>
      </w:r>
      <w:r>
        <w:t xml:space="preserve"> still apply for the purposes of calculating the CPI indexed rate of duty for each indexation period. Accordingly, the calculation of CPI indexed rates uses rates expressed to three decimal places of a cent for fuels such as petrol and diesel</w:t>
      </w:r>
      <w:r w:rsidR="001911B4">
        <w:t>,</w:t>
      </w:r>
      <w:r>
        <w:t xml:space="preserve"> but with the result of the calculation rounded to one decimal place of a cent. </w:t>
      </w:r>
      <w:r w:rsidRPr="00934424">
        <w:rPr>
          <w:rStyle w:val="Referencingstyle"/>
        </w:rPr>
        <w:t xml:space="preserve">[Schedule 1, item </w:t>
      </w:r>
      <w:r>
        <w:rPr>
          <w:rStyle w:val="Referencingstyle"/>
        </w:rPr>
        <w:t>27</w:t>
      </w:r>
      <w:r w:rsidRPr="00934424">
        <w:rPr>
          <w:rStyle w:val="Referencingstyle"/>
        </w:rPr>
        <w:t xml:space="preserve"> of </w:t>
      </w:r>
      <w:r>
        <w:rPr>
          <w:rStyle w:val="Referencingstyle"/>
        </w:rPr>
        <w:t>Excise Fuel Indexation Bill 2015, subsections</w:t>
      </w:r>
      <w:r w:rsidR="009C2BC8">
        <w:rPr>
          <w:rStyle w:val="Referencingstyle"/>
        </w:rPr>
        <w:t> </w:t>
      </w:r>
      <w:r>
        <w:rPr>
          <w:rStyle w:val="Referencingstyle"/>
        </w:rPr>
        <w:t>6AAA(2), (3) and (4) of the Excise Tariff Act 1921</w:t>
      </w:r>
      <w:r w:rsidRPr="00934424">
        <w:rPr>
          <w:rStyle w:val="Referencingstyle"/>
        </w:rPr>
        <w:t>, Schedule 1</w:t>
      </w:r>
      <w:r>
        <w:rPr>
          <w:rStyle w:val="Referencingstyle"/>
        </w:rPr>
        <w:t xml:space="preserve">, item </w:t>
      </w:r>
      <w:r w:rsidR="00385DBF">
        <w:rPr>
          <w:rStyle w:val="Referencingstyle"/>
        </w:rPr>
        <w:t>10</w:t>
      </w:r>
      <w:r w:rsidRPr="00934424">
        <w:rPr>
          <w:rStyle w:val="Referencingstyle"/>
        </w:rPr>
        <w:t xml:space="preserve"> of </w:t>
      </w:r>
      <w:r>
        <w:rPr>
          <w:rStyle w:val="Referencingstyle"/>
        </w:rPr>
        <w:t xml:space="preserve">Customs Fuel Indexation Bill, </w:t>
      </w:r>
      <w:r w:rsidR="007C52F6">
        <w:rPr>
          <w:rStyle w:val="Referencingstyle"/>
        </w:rPr>
        <w:t>sub</w:t>
      </w:r>
      <w:r>
        <w:rPr>
          <w:rStyle w:val="Referencingstyle"/>
        </w:rPr>
        <w:t>section 19AAA</w:t>
      </w:r>
      <w:r w:rsidR="007C52F6">
        <w:rPr>
          <w:rStyle w:val="Referencingstyle"/>
        </w:rPr>
        <w:t>(2)</w:t>
      </w:r>
      <w:r>
        <w:rPr>
          <w:rStyle w:val="Referencingstyle"/>
        </w:rPr>
        <w:t xml:space="preserve"> of the Customs Tariff Act 1995</w:t>
      </w:r>
      <w:r w:rsidRPr="00934424">
        <w:rPr>
          <w:rStyle w:val="Referencingstyle"/>
        </w:rPr>
        <w:t>]</w:t>
      </w:r>
      <w:r>
        <w:t xml:space="preserve"> </w:t>
      </w:r>
    </w:p>
    <w:p w14:paraId="087F6BE9" w14:textId="77777777" w:rsidR="00DF600C" w:rsidRPr="00A438E2" w:rsidRDefault="001C5526" w:rsidP="00D33BF0">
      <w:pPr>
        <w:pStyle w:val="ExampleHeading"/>
        <w:keepLines/>
        <w:numPr>
          <w:ilvl w:val="3"/>
          <w:numId w:val="32"/>
        </w:numPr>
        <w:spacing w:before="240" w:after="0"/>
      </w:pPr>
      <w:r>
        <w:t>:</w:t>
      </w:r>
      <w:r w:rsidR="00DF600C">
        <w:t xml:space="preserve"> Calculating rounding of indexed duty payable on diesel</w:t>
      </w:r>
    </w:p>
    <w:p w14:paraId="1B5B8571" w14:textId="77777777" w:rsidR="00DF600C" w:rsidRDefault="00DF600C" w:rsidP="009374C4">
      <w:pPr>
        <w:pStyle w:val="exampletext"/>
        <w:keepNext/>
        <w:keepLines/>
        <w:spacing w:before="100" w:after="100"/>
      </w:pPr>
      <w:r w:rsidRPr="00F71EAE">
        <w:t>On 1 August 2015 CPI indexation applies. Assume that the indexation factor for 1 August 2015 is 1.0</w:t>
      </w:r>
      <w:r w:rsidR="00D27094">
        <w:t>14</w:t>
      </w:r>
      <w:r w:rsidRPr="00F71EAE">
        <w:t xml:space="preserve">. </w:t>
      </w:r>
    </w:p>
    <w:p w14:paraId="211AF195" w14:textId="77777777" w:rsidR="00DF600C" w:rsidRDefault="00DF600C" w:rsidP="009374C4">
      <w:pPr>
        <w:pStyle w:val="exampletext"/>
        <w:spacing w:before="100" w:after="100"/>
      </w:pPr>
      <w:r>
        <w:t xml:space="preserve">The CPI indexed duty rate </w:t>
      </w:r>
      <w:r w:rsidR="00877677">
        <w:t xml:space="preserve">that applies from 1 August 2015 </w:t>
      </w:r>
      <w:r>
        <w:t xml:space="preserve">is calculated by multiplying the indexation factor by the </w:t>
      </w:r>
      <w:r w:rsidR="00792168">
        <w:t xml:space="preserve">duty rate for </w:t>
      </w:r>
      <w:r w:rsidR="001911B4">
        <w:t>the</w:t>
      </w:r>
      <w:r w:rsidR="001A386F">
        <w:t> February 2015</w:t>
      </w:r>
      <w:r w:rsidR="001911B4">
        <w:t xml:space="preserve"> indexation</w:t>
      </w:r>
      <w:r w:rsidR="00C46FFB">
        <w:t xml:space="preserve">, </w:t>
      </w:r>
      <w:r w:rsidR="001A386F">
        <w:t xml:space="preserve">expressed to 3 decimal places of a </w:t>
      </w:r>
      <w:r w:rsidR="008C14F3">
        <w:t>cent</w:t>
      </w:r>
      <w:r w:rsidR="001A386F">
        <w:t xml:space="preserve"> </w:t>
      </w:r>
      <w:r>
        <w:t>(38.</w:t>
      </w:r>
      <w:r w:rsidR="008C14F3">
        <w:t>870</w:t>
      </w:r>
      <w:r>
        <w:t xml:space="preserve"> cents per litre x 1.0</w:t>
      </w:r>
      <w:r w:rsidR="005D0476">
        <w:t>1</w:t>
      </w:r>
      <w:r w:rsidR="00DC2884">
        <w:t>4</w:t>
      </w:r>
      <w:r>
        <w:t xml:space="preserve"> =</w:t>
      </w:r>
      <w:r w:rsidR="00DC2884">
        <w:t>39.414</w:t>
      </w:r>
      <w:r w:rsidR="00792168">
        <w:t>1</w:t>
      </w:r>
      <w:r w:rsidR="001911B4">
        <w:t>8</w:t>
      </w:r>
      <w:r>
        <w:t xml:space="preserve"> cents per litre</w:t>
      </w:r>
      <w:r w:rsidR="00792168">
        <w:t xml:space="preserve">. The result of this calculation is then </w:t>
      </w:r>
      <w:r>
        <w:t xml:space="preserve">rounded </w:t>
      </w:r>
      <w:r w:rsidR="00DC2884">
        <w:t>down</w:t>
      </w:r>
      <w:r>
        <w:t xml:space="preserve"> </w:t>
      </w:r>
      <w:r w:rsidR="00792168">
        <w:t>(</w:t>
      </w:r>
      <w:r w:rsidR="00F4498E">
        <w:t xml:space="preserve">as the </w:t>
      </w:r>
      <w:r w:rsidR="00792168">
        <w:t>2nd</w:t>
      </w:r>
      <w:r w:rsidR="000E35E9">
        <w:t xml:space="preserve"> decimal place is less than 5) </w:t>
      </w:r>
      <w:r>
        <w:t xml:space="preserve">to one decimal place of a cent being </w:t>
      </w:r>
      <w:r w:rsidR="00B96F1F">
        <w:t>39</w:t>
      </w:r>
      <w:r>
        <w:t>.</w:t>
      </w:r>
      <w:r w:rsidR="00DC2884">
        <w:t>4</w:t>
      </w:r>
      <w:r>
        <w:t xml:space="preserve"> cents per litre)</w:t>
      </w:r>
      <w:r w:rsidRPr="007A0FAE">
        <w:t>.</w:t>
      </w:r>
      <w:r w:rsidR="000E35E9" w:rsidRPr="000E35E9">
        <w:t xml:space="preserve"> The rate to be used for the February 2016 indexation calculation is </w:t>
      </w:r>
      <w:r w:rsidR="00792168">
        <w:t xml:space="preserve">rounded down to </w:t>
      </w:r>
      <w:r w:rsidR="000E35E9" w:rsidRPr="000E35E9">
        <w:t xml:space="preserve">39.414 cents per litre </w:t>
      </w:r>
      <w:r w:rsidR="000E35E9">
        <w:t>as</w:t>
      </w:r>
      <w:r w:rsidR="000E35E9" w:rsidRPr="000E35E9">
        <w:t xml:space="preserve"> the </w:t>
      </w:r>
      <w:r w:rsidR="00792168">
        <w:t>4th</w:t>
      </w:r>
      <w:r w:rsidR="000E35E9" w:rsidRPr="000E35E9">
        <w:t xml:space="preserve"> decimal place is less than 5.</w:t>
      </w:r>
    </w:p>
    <w:p w14:paraId="21B29714" w14:textId="77777777" w:rsidR="00DF600C" w:rsidRDefault="00DF600C" w:rsidP="009374C4">
      <w:pPr>
        <w:pStyle w:val="exampletext"/>
        <w:spacing w:before="100" w:after="100"/>
      </w:pPr>
      <w:r w:rsidRPr="00F71EAE">
        <w:t>Accordingly</w:t>
      </w:r>
      <w:r>
        <w:t>,</w:t>
      </w:r>
      <w:r w:rsidRPr="00F71EAE">
        <w:t xml:space="preserve"> the CPI indexed duty</w:t>
      </w:r>
      <w:r>
        <w:t xml:space="preserve"> </w:t>
      </w:r>
      <w:r w:rsidRPr="007A0FAE">
        <w:t xml:space="preserve">rate for </w:t>
      </w:r>
      <w:r>
        <w:t>diesel</w:t>
      </w:r>
      <w:r w:rsidRPr="007A0FAE">
        <w:t xml:space="preserve"> on 1 August 201</w:t>
      </w:r>
      <w:r>
        <w:t>5</w:t>
      </w:r>
      <w:r w:rsidRPr="007A0FAE">
        <w:t xml:space="preserve"> is </w:t>
      </w:r>
      <w:r w:rsidR="00D27094">
        <w:t>39.4</w:t>
      </w:r>
      <w:r w:rsidRPr="007A0FAE">
        <w:t xml:space="preserve"> cents per litre</w:t>
      </w:r>
      <w:r>
        <w:t xml:space="preserve"> (or $0.</w:t>
      </w:r>
      <w:r w:rsidR="00D27094">
        <w:t>394</w:t>
      </w:r>
      <w:r>
        <w:t xml:space="preserve"> per litre). </w:t>
      </w:r>
    </w:p>
    <w:p w14:paraId="5B5AABB6" w14:textId="77777777" w:rsidR="00DF600C" w:rsidRDefault="00DF600C" w:rsidP="009374C4">
      <w:pPr>
        <w:pStyle w:val="exampletext"/>
        <w:spacing w:before="100" w:after="100"/>
      </w:pPr>
      <w:r>
        <w:t>On 1 February 2016 CPI indexation applies. Assume that the indexation factor for 1 February 2016 is 1.0</w:t>
      </w:r>
      <w:r w:rsidR="006E3961">
        <w:t>09</w:t>
      </w:r>
      <w:r>
        <w:t xml:space="preserve">. </w:t>
      </w:r>
    </w:p>
    <w:p w14:paraId="407A4FF7" w14:textId="77777777" w:rsidR="00DF600C" w:rsidRDefault="00DF600C" w:rsidP="009374C4">
      <w:pPr>
        <w:pStyle w:val="exampletext"/>
        <w:spacing w:before="100" w:after="100"/>
      </w:pPr>
      <w:r>
        <w:t xml:space="preserve">The CPI indexed duty rate </w:t>
      </w:r>
      <w:r w:rsidR="00654B3C">
        <w:t xml:space="preserve">that applies from 1 February 2016 </w:t>
      </w:r>
      <w:r>
        <w:t xml:space="preserve">is calculated by multiplying the indexation factor by the </w:t>
      </w:r>
      <w:r w:rsidR="000E35E9">
        <w:t>duty rate for 1 </w:t>
      </w:r>
      <w:r>
        <w:t xml:space="preserve">August 2015 </w:t>
      </w:r>
      <w:r w:rsidR="00F4498E">
        <w:t xml:space="preserve">but which is </w:t>
      </w:r>
      <w:r w:rsidR="0097117B">
        <w:t xml:space="preserve">expressed </w:t>
      </w:r>
      <w:r w:rsidR="009C08D1">
        <w:t xml:space="preserve">to 3 decimal </w:t>
      </w:r>
      <w:r w:rsidR="00193987">
        <w:t>places</w:t>
      </w:r>
      <w:r w:rsidRPr="00D562D4">
        <w:t xml:space="preserve"> </w:t>
      </w:r>
      <w:r w:rsidR="009178C7">
        <w:t>of a cent</w:t>
      </w:r>
      <w:r w:rsidR="003318D5">
        <w:t xml:space="preserve"> </w:t>
      </w:r>
      <w:r w:rsidRPr="00D562D4">
        <w:t>(</w:t>
      </w:r>
      <w:r w:rsidR="003318D5">
        <w:t>3</w:t>
      </w:r>
      <w:r w:rsidR="00DC2884">
        <w:t>9.414</w:t>
      </w:r>
      <w:r w:rsidRPr="00D562D4">
        <w:t xml:space="preserve"> cents per litre </w:t>
      </w:r>
      <w:r>
        <w:t>x 1.</w:t>
      </w:r>
      <w:r w:rsidR="003318D5">
        <w:t>0</w:t>
      </w:r>
      <w:r w:rsidR="00DC2884">
        <w:t>09</w:t>
      </w:r>
      <w:r w:rsidR="003318D5">
        <w:t xml:space="preserve"> </w:t>
      </w:r>
      <w:r>
        <w:t xml:space="preserve">= </w:t>
      </w:r>
      <w:r w:rsidR="003318D5">
        <w:t>39.</w:t>
      </w:r>
      <w:r w:rsidR="00DC2884">
        <w:t>768</w:t>
      </w:r>
      <w:r w:rsidR="00792168">
        <w:t>7</w:t>
      </w:r>
      <w:r>
        <w:t xml:space="preserve"> cents per litre). The result of this calculation is then rounded </w:t>
      </w:r>
      <w:r w:rsidR="00DC2884">
        <w:t>up</w:t>
      </w:r>
      <w:r w:rsidR="00F4498E">
        <w:t xml:space="preserve"> </w:t>
      </w:r>
      <w:r w:rsidR="000E35E9" w:rsidRPr="000E35E9">
        <w:t xml:space="preserve">(as the </w:t>
      </w:r>
      <w:r w:rsidR="00792168">
        <w:t>2nd</w:t>
      </w:r>
      <w:r w:rsidR="000E35E9" w:rsidRPr="000E35E9">
        <w:t xml:space="preserve"> decimal place is </w:t>
      </w:r>
      <w:r w:rsidR="000E35E9">
        <w:t>5 or more</w:t>
      </w:r>
      <w:r w:rsidR="000E35E9" w:rsidRPr="000E35E9">
        <w:t xml:space="preserve">) </w:t>
      </w:r>
      <w:r w:rsidRPr="00D562D4">
        <w:t xml:space="preserve">to </w:t>
      </w:r>
      <w:r w:rsidRPr="00D32B10">
        <w:t xml:space="preserve">one decimal place of a cent being </w:t>
      </w:r>
      <w:r w:rsidR="00DC2884">
        <w:t>39.8</w:t>
      </w:r>
      <w:r w:rsidRPr="00D32B10">
        <w:t xml:space="preserve"> cents per</w:t>
      </w:r>
      <w:r>
        <w:t> </w:t>
      </w:r>
      <w:r w:rsidRPr="00D32B10">
        <w:t>litre</w:t>
      </w:r>
      <w:r>
        <w:t>.</w:t>
      </w:r>
      <w:r w:rsidR="000E35E9">
        <w:t xml:space="preserve"> </w:t>
      </w:r>
      <w:r w:rsidR="000E35E9" w:rsidRPr="000E35E9">
        <w:t>The rate to be used for the August 2016 indexation calculation is 39.769 cents per lit</w:t>
      </w:r>
      <w:r w:rsidR="00792168">
        <w:t xml:space="preserve">re as </w:t>
      </w:r>
      <w:r w:rsidR="000E35E9" w:rsidRPr="000E35E9">
        <w:t>the 4th decimal place is 5 or more it is rounded up).</w:t>
      </w:r>
    </w:p>
    <w:p w14:paraId="2F5A9152" w14:textId="77777777" w:rsidR="00DF600C" w:rsidRDefault="00DF600C" w:rsidP="009374C4">
      <w:pPr>
        <w:pStyle w:val="exampletext"/>
        <w:spacing w:before="80" w:after="80"/>
      </w:pPr>
      <w:r w:rsidRPr="00D562D4">
        <w:t>Accordingly</w:t>
      </w:r>
      <w:r>
        <w:t>,</w:t>
      </w:r>
      <w:r w:rsidRPr="00D562D4">
        <w:t xml:space="preserve"> </w:t>
      </w:r>
      <w:r>
        <w:t xml:space="preserve">the </w:t>
      </w:r>
      <w:r w:rsidRPr="00D562D4">
        <w:t xml:space="preserve">CPI indexed </w:t>
      </w:r>
      <w:r>
        <w:t xml:space="preserve">duty </w:t>
      </w:r>
      <w:r w:rsidRPr="00D562D4">
        <w:t>rate for</w:t>
      </w:r>
      <w:r>
        <w:t xml:space="preserve"> diesel on 1 February 2016 is </w:t>
      </w:r>
      <w:r w:rsidR="00DC2884">
        <w:t>39.8</w:t>
      </w:r>
      <w:r w:rsidRPr="00D562D4">
        <w:t xml:space="preserve"> cents per litre</w:t>
      </w:r>
      <w:r>
        <w:t xml:space="preserve"> (or $0.</w:t>
      </w:r>
      <w:r w:rsidR="00DC2884">
        <w:t>398</w:t>
      </w:r>
      <w:r>
        <w:t xml:space="preserve"> per litre).</w:t>
      </w:r>
    </w:p>
    <w:p w14:paraId="4085C16B" w14:textId="77777777" w:rsidR="00DF600C" w:rsidRPr="007623CF" w:rsidRDefault="00DF600C" w:rsidP="00DF600C">
      <w:pPr>
        <w:pStyle w:val="Heading3"/>
        <w:spacing w:before="200" w:after="80"/>
      </w:pPr>
      <w:r>
        <w:t>Special account for additional net revenue from fuel indexation</w:t>
      </w:r>
    </w:p>
    <w:p w14:paraId="6659FC69" w14:textId="77777777" w:rsidR="00DF600C" w:rsidRPr="003E5B8A" w:rsidRDefault="00DF600C" w:rsidP="00D33BF0">
      <w:pPr>
        <w:pStyle w:val="base-text-paragraph"/>
        <w:numPr>
          <w:ilvl w:val="1"/>
          <w:numId w:val="32"/>
        </w:numPr>
        <w:spacing w:before="80" w:after="80"/>
      </w:pPr>
      <w:r>
        <w:t xml:space="preserve">The </w:t>
      </w:r>
      <w:r>
        <w:rPr>
          <w:szCs w:val="22"/>
          <w:lang w:val="en"/>
        </w:rPr>
        <w:t>Fuel Indexation Special Account Bill 2015</w:t>
      </w:r>
      <w:r>
        <w:t xml:space="preserve"> establishes a special account called the Fuel Indexation (Road Funding) </w:t>
      </w:r>
      <w:r w:rsidR="00E27964">
        <w:t>s</w:t>
      </w:r>
      <w:r>
        <w:t xml:space="preserve">pecial </w:t>
      </w:r>
      <w:r w:rsidR="00E27964">
        <w:t>a</w:t>
      </w:r>
      <w:r>
        <w:t xml:space="preserve">ccount. </w:t>
      </w:r>
      <w:r>
        <w:rPr>
          <w:rStyle w:val="Referencingstyle"/>
        </w:rPr>
        <w:t>[Schedule 1, section 7 of Fuel Indexation Special Account Bill 2015]</w:t>
      </w:r>
    </w:p>
    <w:p w14:paraId="2535407B" w14:textId="77777777" w:rsidR="00DF600C" w:rsidRDefault="00DF600C" w:rsidP="00D33BF0">
      <w:pPr>
        <w:pStyle w:val="base-text-paragraph"/>
        <w:numPr>
          <w:ilvl w:val="1"/>
          <w:numId w:val="32"/>
        </w:numPr>
        <w:spacing w:before="80" w:after="80"/>
      </w:pPr>
      <w:r>
        <w:t xml:space="preserve">A special account </w:t>
      </w:r>
      <w:r w:rsidRPr="00555907">
        <w:t xml:space="preserve">is a mechanism that sets aside an amount within the </w:t>
      </w:r>
      <w:r>
        <w:t xml:space="preserve">Commonwealth’s </w:t>
      </w:r>
      <w:r w:rsidRPr="00555907">
        <w:t>C</w:t>
      </w:r>
      <w:r>
        <w:t xml:space="preserve">onsolidated </w:t>
      </w:r>
      <w:r w:rsidRPr="00555907">
        <w:t>R</w:t>
      </w:r>
      <w:r>
        <w:t xml:space="preserve">evenue </w:t>
      </w:r>
      <w:r w:rsidRPr="00555907">
        <w:t>F</w:t>
      </w:r>
      <w:r>
        <w:t>und. The amount</w:t>
      </w:r>
      <w:r w:rsidRPr="00555907">
        <w:t xml:space="preserve"> i</w:t>
      </w:r>
      <w:r>
        <w:t>n the special account must</w:t>
      </w:r>
      <w:r w:rsidRPr="00555907">
        <w:t xml:space="preserve"> be expended for a particular purpose</w:t>
      </w:r>
      <w:r>
        <w:t xml:space="preserve">. </w:t>
      </w:r>
    </w:p>
    <w:p w14:paraId="06F77D96" w14:textId="77777777" w:rsidR="00DF600C" w:rsidRPr="00D2444F" w:rsidRDefault="00DF600C" w:rsidP="00D33BF0">
      <w:pPr>
        <w:pStyle w:val="base-text-paragraph"/>
        <w:numPr>
          <w:ilvl w:val="1"/>
          <w:numId w:val="32"/>
        </w:numPr>
        <w:spacing w:before="80" w:after="80"/>
        <w:rPr>
          <w:rStyle w:val="Referencingstyle"/>
          <w:b w:val="0"/>
          <w:i w:val="0"/>
          <w:sz w:val="22"/>
        </w:rPr>
      </w:pPr>
      <w:r>
        <w:t xml:space="preserve">The purpose of the special account established by the </w:t>
      </w:r>
      <w:r>
        <w:rPr>
          <w:szCs w:val="22"/>
          <w:lang w:val="en"/>
        </w:rPr>
        <w:t>Fuel Indexation Special Account Bill 2015</w:t>
      </w:r>
      <w:r>
        <w:t xml:space="preserve"> is to ensure that the additional net revenue collected from the reintroduction of fuel indexation is used to fund road infrastructure investment. The additional net revenue is calculated by determining the excise and excise</w:t>
      </w:r>
      <w:r>
        <w:noBreakHyphen/>
        <w:t xml:space="preserve">equivalent customs duty collected as a result of the reintroduction of fuel indexation and subtracting the estimated amount of fuel tax credits, grants and other similar amounts that are payable to the extent they relate to the additional duty collected from reintroducing fuel indexation. </w:t>
      </w:r>
      <w:r>
        <w:rPr>
          <w:rStyle w:val="Referencingstyle"/>
        </w:rPr>
        <w:t>[Schedule 1, section 9 of Fuel Indexation Special Account Bill 2015]</w:t>
      </w:r>
    </w:p>
    <w:p w14:paraId="5F99A13B" w14:textId="77777777" w:rsidR="00DF600C" w:rsidRPr="00D2444F" w:rsidRDefault="00DF600C" w:rsidP="009374C4">
      <w:pPr>
        <w:pStyle w:val="base-text-paragraph"/>
        <w:keepNext/>
        <w:keepLines/>
        <w:numPr>
          <w:ilvl w:val="1"/>
          <w:numId w:val="32"/>
        </w:numPr>
        <w:spacing w:before="100" w:after="100"/>
        <w:rPr>
          <w:rStyle w:val="Referencingstyle"/>
          <w:b w:val="0"/>
          <w:i w:val="0"/>
          <w:sz w:val="22"/>
        </w:rPr>
      </w:pPr>
      <w:r>
        <w:t xml:space="preserve">The </w:t>
      </w:r>
      <w:r>
        <w:rPr>
          <w:szCs w:val="22"/>
          <w:lang w:val="en"/>
        </w:rPr>
        <w:t>Fuel Indexation Special Account Bill 2015</w:t>
      </w:r>
      <w:r>
        <w:t xml:space="preserve"> extends to external Territories and binds the Crown in each of its capacities. However, it does not make the Crown liable to be prosecuted for an offence. </w:t>
      </w:r>
      <w:r>
        <w:rPr>
          <w:rStyle w:val="Referencingstyle"/>
        </w:rPr>
        <w:t>[Schedule 1, sections 5 and 6 of the Fuel Indexation Special Account Bill 2015]</w:t>
      </w:r>
    </w:p>
    <w:p w14:paraId="23CB480D" w14:textId="77777777" w:rsidR="00DF600C" w:rsidRPr="00A32FE8" w:rsidRDefault="00DF600C" w:rsidP="009374C4">
      <w:pPr>
        <w:pStyle w:val="Heading4"/>
        <w:spacing w:before="100" w:after="100"/>
        <w:rPr>
          <w:rStyle w:val="Referencingstyle"/>
          <w:b/>
          <w:sz w:val="22"/>
        </w:rPr>
      </w:pPr>
      <w:r w:rsidRPr="00115C9C">
        <w:t>Simplified outline</w:t>
      </w:r>
    </w:p>
    <w:p w14:paraId="4897D89D" w14:textId="77777777" w:rsidR="00DF600C" w:rsidRPr="002B1AA9" w:rsidRDefault="00DF600C" w:rsidP="00D33BF0">
      <w:pPr>
        <w:pStyle w:val="base-text-paragraph"/>
        <w:numPr>
          <w:ilvl w:val="1"/>
          <w:numId w:val="32"/>
        </w:numPr>
        <w:spacing w:before="80" w:after="80"/>
        <w:rPr>
          <w:rStyle w:val="Referencingstyle"/>
          <w:b w:val="0"/>
          <w:i w:val="0"/>
          <w:sz w:val="22"/>
        </w:rPr>
      </w:pPr>
      <w:r>
        <w:rPr>
          <w:rStyle w:val="Referencingstyle"/>
          <w:b w:val="0"/>
          <w:i w:val="0"/>
          <w:sz w:val="22"/>
        </w:rPr>
        <w:t xml:space="preserve">The simplified outline in the </w:t>
      </w:r>
      <w:r>
        <w:rPr>
          <w:szCs w:val="22"/>
          <w:lang w:val="en"/>
        </w:rPr>
        <w:t>Fuel Indexation Special Account Bill</w:t>
      </w:r>
      <w:r>
        <w:rPr>
          <w:rStyle w:val="Referencingstyle"/>
          <w:b w:val="0"/>
          <w:i w:val="0"/>
          <w:sz w:val="22"/>
        </w:rPr>
        <w:t xml:space="preserve"> 2015 is designed to assist readers by describing the main provisions in the legislation in general terms. </w:t>
      </w:r>
      <w:r>
        <w:rPr>
          <w:rStyle w:val="Referencingstyle"/>
        </w:rPr>
        <w:t>[Schedule 1, section 3 of the Fuel Indexation Special Account Bill 2015]</w:t>
      </w:r>
    </w:p>
    <w:p w14:paraId="045DDA3A" w14:textId="77777777" w:rsidR="00DF600C" w:rsidRPr="002B1AA9" w:rsidRDefault="00DF600C" w:rsidP="00D33BF0">
      <w:pPr>
        <w:pStyle w:val="base-text-paragraph"/>
        <w:numPr>
          <w:ilvl w:val="1"/>
          <w:numId w:val="32"/>
        </w:numPr>
        <w:spacing w:before="80" w:after="80"/>
        <w:rPr>
          <w:rStyle w:val="Referencingstyle"/>
          <w:b w:val="0"/>
          <w:i w:val="0"/>
          <w:sz w:val="22"/>
        </w:rPr>
      </w:pPr>
      <w:r>
        <w:rPr>
          <w:rStyle w:val="Referencingstyle"/>
          <w:b w:val="0"/>
          <w:i w:val="0"/>
          <w:sz w:val="22"/>
        </w:rPr>
        <w:t>As the outline is not intended to be comprehensive it is important to rely on the substantive provisions.</w:t>
      </w:r>
    </w:p>
    <w:p w14:paraId="1F8998B9" w14:textId="77777777" w:rsidR="00DF600C" w:rsidRPr="00115C9C" w:rsidRDefault="00DF600C" w:rsidP="009374C4">
      <w:pPr>
        <w:pStyle w:val="Heading4"/>
        <w:spacing w:before="100" w:after="100"/>
      </w:pPr>
      <w:r w:rsidRPr="00115C9C">
        <w:t>Credits to the special account</w:t>
      </w:r>
    </w:p>
    <w:p w14:paraId="7CB4A6C7" w14:textId="77777777" w:rsidR="00DF600C" w:rsidRDefault="00DF600C" w:rsidP="00D33BF0">
      <w:pPr>
        <w:pStyle w:val="base-text-paragraph"/>
        <w:numPr>
          <w:ilvl w:val="1"/>
          <w:numId w:val="32"/>
        </w:numPr>
        <w:spacing w:before="80" w:after="80"/>
      </w:pPr>
      <w:r>
        <w:t xml:space="preserve">The Treasurer determines, in writing, the amount to credit to the special account. This results in a credit from the Consolidated Revenue Fund to the special account equal to the amount of the determination. </w:t>
      </w:r>
      <w:r>
        <w:rPr>
          <w:rStyle w:val="Referencingstyle"/>
        </w:rPr>
        <w:t xml:space="preserve">[Schedule 1, subsection 8(1) of the Fuel Indexation Special Account </w:t>
      </w:r>
      <w:r w:rsidR="001C5526">
        <w:rPr>
          <w:rStyle w:val="Referencingstyle"/>
        </w:rPr>
        <w:t xml:space="preserve">Bill </w:t>
      </w:r>
      <w:r>
        <w:rPr>
          <w:rStyle w:val="Referencingstyle"/>
        </w:rPr>
        <w:t>2015]</w:t>
      </w:r>
    </w:p>
    <w:p w14:paraId="396F1BA0" w14:textId="77777777" w:rsidR="00DF600C" w:rsidRPr="00D2444F" w:rsidRDefault="00DF600C" w:rsidP="00D33BF0">
      <w:pPr>
        <w:pStyle w:val="base-text-paragraph"/>
        <w:numPr>
          <w:ilvl w:val="1"/>
          <w:numId w:val="32"/>
        </w:numPr>
        <w:spacing w:before="80" w:after="80"/>
        <w:rPr>
          <w:rStyle w:val="Referencingstyle"/>
          <w:b w:val="0"/>
          <w:i w:val="0"/>
          <w:sz w:val="22"/>
        </w:rPr>
      </w:pPr>
      <w:r>
        <w:t xml:space="preserve">The determination must state that a specified amount is credited to the special account on a specified day. </w:t>
      </w:r>
      <w:r>
        <w:rPr>
          <w:rStyle w:val="Referencingstyle"/>
        </w:rPr>
        <w:t>[Schedule 1, subsection</w:t>
      </w:r>
      <w:r w:rsidR="00C40034">
        <w:rPr>
          <w:rStyle w:val="Referencingstyle"/>
        </w:rPr>
        <w:t> </w:t>
      </w:r>
      <w:r>
        <w:rPr>
          <w:rStyle w:val="Referencingstyle"/>
        </w:rPr>
        <w:t>8(1) of the Fuel Indexation Special Account Bill 2015]</w:t>
      </w:r>
    </w:p>
    <w:p w14:paraId="7683A236" w14:textId="77777777" w:rsidR="00DF600C" w:rsidRDefault="00DF600C" w:rsidP="00D33BF0">
      <w:pPr>
        <w:pStyle w:val="base-text-paragraph"/>
        <w:numPr>
          <w:ilvl w:val="1"/>
          <w:numId w:val="32"/>
        </w:numPr>
        <w:spacing w:before="80" w:after="80"/>
      </w:pPr>
      <w:r>
        <w:t xml:space="preserve">The Treasurer must have regard to the purpose of the special account when making the determination. This ensures that the amount of the determination is an estimate of the net additional revenue from the reintroduction of fuel indexation. </w:t>
      </w:r>
      <w:r>
        <w:rPr>
          <w:rStyle w:val="Referencingstyle"/>
        </w:rPr>
        <w:t>[Schedule 1, subsection 8(2) of the Fuel Indexation Special Account Bill 2015]</w:t>
      </w:r>
    </w:p>
    <w:p w14:paraId="32F2F0B2" w14:textId="77777777" w:rsidR="00DF600C" w:rsidRDefault="00DF600C" w:rsidP="00D33BF0">
      <w:pPr>
        <w:pStyle w:val="base-text-paragraph"/>
        <w:numPr>
          <w:ilvl w:val="1"/>
          <w:numId w:val="32"/>
        </w:numPr>
        <w:spacing w:before="80" w:after="80"/>
      </w:pPr>
      <w:r>
        <w:t xml:space="preserve">The determination must be made as soon as practicable after 1 July each year once the net additional revenue from fuel indexation for the immediately preceding financial year can be determined. In practice, the Treasurer can only estimate the net additional revenue from fuel indexation several months after the end of the financial year once Business Activity Statements, which include fuel tax credit claims, have been lodged and grant and rebate claims have been made. </w:t>
      </w:r>
      <w:r>
        <w:rPr>
          <w:rStyle w:val="Referencingstyle"/>
        </w:rPr>
        <w:t>[Schedule 1, paragraph</w:t>
      </w:r>
      <w:r w:rsidRPr="00C47BED">
        <w:rPr>
          <w:rStyle w:val="Referencingstyle"/>
        </w:rPr>
        <w:t xml:space="preserve"> </w:t>
      </w:r>
      <w:r>
        <w:rPr>
          <w:rStyle w:val="Referencingstyle"/>
        </w:rPr>
        <w:t>8</w:t>
      </w:r>
      <w:r w:rsidRPr="00C47BED">
        <w:rPr>
          <w:rStyle w:val="Referencingstyle"/>
        </w:rPr>
        <w:t>(4)</w:t>
      </w:r>
      <w:r>
        <w:rPr>
          <w:rStyle w:val="Referencingstyle"/>
        </w:rPr>
        <w:t>(b)</w:t>
      </w:r>
      <w:r w:rsidRPr="00C47BED">
        <w:rPr>
          <w:rStyle w:val="Referencingstyle"/>
        </w:rPr>
        <w:t xml:space="preserve"> of </w:t>
      </w:r>
      <w:r>
        <w:rPr>
          <w:rStyle w:val="Referencingstyle"/>
        </w:rPr>
        <w:t>the Fuel Indexation Special Account Bill 2015]</w:t>
      </w:r>
    </w:p>
    <w:p w14:paraId="2D08B8E7" w14:textId="77777777" w:rsidR="00DF600C" w:rsidRDefault="00DF600C" w:rsidP="00D33BF0">
      <w:pPr>
        <w:pStyle w:val="base-text-paragraph"/>
        <w:numPr>
          <w:ilvl w:val="1"/>
          <w:numId w:val="32"/>
        </w:numPr>
        <w:spacing w:before="80" w:after="80"/>
      </w:pPr>
      <w:r>
        <w:t>The Treasurer must make only one determination a year. The Fuel Indexation Special Account Bill 2015 does not exclude the general</w:t>
      </w:r>
      <w:r w:rsidR="009C2BC8">
        <w:t> </w:t>
      </w:r>
      <w:r>
        <w:t xml:space="preserve">power to amend a determination in subsection 33(3) of the </w:t>
      </w:r>
      <w:r>
        <w:rPr>
          <w:i/>
        </w:rPr>
        <w:t>Acts</w:t>
      </w:r>
      <w:r w:rsidR="009C2BC8">
        <w:rPr>
          <w:i/>
        </w:rPr>
        <w:t> </w:t>
      </w:r>
      <w:r>
        <w:rPr>
          <w:i/>
        </w:rPr>
        <w:t>Interpretation Act 1901</w:t>
      </w:r>
      <w:r>
        <w:t xml:space="preserve">. Nevertheless, it is not anticipated that the Treasurer would vary the amount of a determination. Any adjustments that occur to duty collections or grant, credit or rebate claims after a determination is made are reflected in the amount worked out for the next year’s determination. </w:t>
      </w:r>
      <w:r>
        <w:rPr>
          <w:rStyle w:val="Referencingstyle"/>
        </w:rPr>
        <w:t>[Schedule 1, paragraph 8(4)(a) of the Fuel Indexation Special Account Bill 2015]</w:t>
      </w:r>
    </w:p>
    <w:p w14:paraId="42AA4066" w14:textId="77777777" w:rsidR="00DF600C" w:rsidRDefault="00DF600C" w:rsidP="00D33BF0">
      <w:pPr>
        <w:pStyle w:val="base-text-paragraph"/>
        <w:numPr>
          <w:ilvl w:val="1"/>
          <w:numId w:val="32"/>
        </w:numPr>
        <w:spacing w:before="80" w:after="80"/>
      </w:pPr>
      <w:r w:rsidDel="004F486B">
        <w:t xml:space="preserve"> </w:t>
      </w:r>
      <w:r>
        <w:t xml:space="preserve">The determination is administrative in character and would not ordinarily be considered to be a legislative instrument. However, for the purposes of transparency, it has been decided that the determination should be treated as a legislative instrument under the </w:t>
      </w:r>
      <w:r w:rsidRPr="00A94285">
        <w:rPr>
          <w:i/>
        </w:rPr>
        <w:t>Legislative Instruments Act 2003</w:t>
      </w:r>
      <w:r>
        <w:t xml:space="preserve"> despite its administrative character. This ensures that the determination is published on the Federal Register of Legislative Instruments. </w:t>
      </w:r>
      <w:r>
        <w:rPr>
          <w:rStyle w:val="Referencingstyle"/>
        </w:rPr>
        <w:t>[Schedule 1, subsection 8(3) of the Fuel Indexation Special Account Bill</w:t>
      </w:r>
      <w:r w:rsidR="009C2BC8">
        <w:rPr>
          <w:rStyle w:val="Referencingstyle"/>
        </w:rPr>
        <w:t> </w:t>
      </w:r>
      <w:r>
        <w:rPr>
          <w:rStyle w:val="Referencingstyle"/>
        </w:rPr>
        <w:t>2015]</w:t>
      </w:r>
    </w:p>
    <w:p w14:paraId="187551AA" w14:textId="77777777" w:rsidR="00DF600C" w:rsidRDefault="00DF600C" w:rsidP="00D33BF0">
      <w:pPr>
        <w:pStyle w:val="base-text-paragraph"/>
        <w:numPr>
          <w:ilvl w:val="1"/>
          <w:numId w:val="32"/>
        </w:numPr>
      </w:pPr>
      <w:r w:rsidRPr="003422AC">
        <w:t>The Treasurer does not have a broad discretion to determine the amount to credit to the special account as the Treasurer must have regard to the purpose of the account and the amount of net additional revenue from fuel indexation</w:t>
      </w:r>
      <w:r>
        <w:t xml:space="preserve">. </w:t>
      </w:r>
      <w:r w:rsidRPr="003422AC">
        <w:t>Decisions which are admi</w:t>
      </w:r>
      <w:r>
        <w:t>nistrative in character and non-</w:t>
      </w:r>
      <w:r w:rsidRPr="003422AC">
        <w:t xml:space="preserve">discretionary are not generally </w:t>
      </w:r>
      <w:r>
        <w:t>treated as disallowable legislative instruments. Accordingly, given</w:t>
      </w:r>
      <w:r w:rsidRPr="000A01AC">
        <w:t xml:space="preserve"> the </w:t>
      </w:r>
      <w:r>
        <w:t xml:space="preserve">administrative nature of the </w:t>
      </w:r>
      <w:r w:rsidRPr="000A01AC">
        <w:t>determination</w:t>
      </w:r>
      <w:r>
        <w:t xml:space="preserve">, the provisions ensure that the determination is not disallowable under section 42 of the </w:t>
      </w:r>
      <w:r w:rsidRPr="00A94285">
        <w:rPr>
          <w:i/>
        </w:rPr>
        <w:t>Legislative Instruments Act 2003</w:t>
      </w:r>
      <w:r>
        <w:rPr>
          <w:i/>
        </w:rPr>
        <w:t xml:space="preserve">. </w:t>
      </w:r>
      <w:r>
        <w:rPr>
          <w:rStyle w:val="Referencingstyle"/>
        </w:rPr>
        <w:t>[Schedule 1, subsection 8(3) of the Fuel Indexation Special Account Bill 2015]</w:t>
      </w:r>
    </w:p>
    <w:p w14:paraId="67CA9A9B" w14:textId="77777777" w:rsidR="00DF600C" w:rsidRDefault="00DF600C" w:rsidP="00D33BF0">
      <w:pPr>
        <w:pStyle w:val="base-text-paragraph"/>
        <w:numPr>
          <w:ilvl w:val="1"/>
          <w:numId w:val="32"/>
        </w:numPr>
      </w:pPr>
      <w:r>
        <w:t>Treating the determination as not disallowable minimises uncertainty. The risk of disallowance would delay decisions to apply the amounts in the special account for road infrastructure funding until after the disallowance period had expired. Delays would also occur if the instrument was disallowed and arrangements needed to be put in place for remaking a revised instrument or legislation needed to be passed to give effect to the intended operation of the determination.</w:t>
      </w:r>
    </w:p>
    <w:p w14:paraId="629A20D2" w14:textId="77777777" w:rsidR="00DF600C" w:rsidRPr="0027056E" w:rsidRDefault="00DF600C" w:rsidP="000F013A">
      <w:pPr>
        <w:pStyle w:val="Heading4"/>
        <w:rPr>
          <w:rStyle w:val="Referencingstyle"/>
          <w:b/>
          <w:i/>
          <w:sz w:val="22"/>
        </w:rPr>
      </w:pPr>
      <w:r w:rsidRPr="00115C9C">
        <w:t>Debits from the special account</w:t>
      </w:r>
    </w:p>
    <w:p w14:paraId="4DEA0370" w14:textId="77777777" w:rsidR="00DF600C" w:rsidRDefault="00DF600C" w:rsidP="00D33BF0">
      <w:pPr>
        <w:pStyle w:val="base-text-paragraph"/>
        <w:numPr>
          <w:ilvl w:val="1"/>
          <w:numId w:val="32"/>
        </w:numPr>
      </w:pPr>
      <w:r>
        <w:t xml:space="preserve">The balance of the special account must be used to make grants of financial assistance to the States and Territories for the purpose of investing in road infrastructure. </w:t>
      </w:r>
      <w:r>
        <w:rPr>
          <w:rStyle w:val="Referencingstyle"/>
        </w:rPr>
        <w:t>[Schedule 1, section 9 of the Fuel Indexation Special Account Bill 2015]</w:t>
      </w:r>
    </w:p>
    <w:p w14:paraId="2592AFCA" w14:textId="77777777" w:rsidR="00DF600C" w:rsidRDefault="00DF600C" w:rsidP="00D33BF0">
      <w:pPr>
        <w:pStyle w:val="base-text-paragraph"/>
        <w:numPr>
          <w:ilvl w:val="1"/>
          <w:numId w:val="32"/>
        </w:numPr>
      </w:pPr>
      <w:r>
        <w:t xml:space="preserve">The Commonwealth has the power to make conditional grants of financial assistance to the States and Territories under sections 96 and 122 of the Australian Constitution. The terms and conditions of the grant must be set out in a written agreement between the Commonwealth and the relevant States and Territories. A Commonwealth Minister has the power to enter into the agreement on behalf of the Commonwealth. </w:t>
      </w:r>
      <w:r>
        <w:rPr>
          <w:rStyle w:val="Referencingstyle"/>
        </w:rPr>
        <w:t>[Schedule 1, section 11 of the Fuel Indexation Special Account Bill 2015]</w:t>
      </w:r>
    </w:p>
    <w:p w14:paraId="076E9288" w14:textId="77777777" w:rsidR="00DF600C" w:rsidRDefault="00DF600C" w:rsidP="00D33BF0">
      <w:pPr>
        <w:pStyle w:val="base-text-paragraph"/>
        <w:numPr>
          <w:ilvl w:val="1"/>
          <w:numId w:val="32"/>
        </w:numPr>
      </w:pPr>
      <w:r>
        <w:t>The Commonwealth makes grants of financial assistance to the States and Territories</w:t>
      </w:r>
      <w:r w:rsidRPr="00E7156C">
        <w:t xml:space="preserve"> through the </w:t>
      </w:r>
      <w:proofErr w:type="spellStart"/>
      <w:r w:rsidRPr="00E7156C">
        <w:t>COAG</w:t>
      </w:r>
      <w:proofErr w:type="spellEnd"/>
      <w:r w:rsidRPr="00E7156C">
        <w:t xml:space="preserve"> Reform Fund special account established under the </w:t>
      </w:r>
      <w:proofErr w:type="spellStart"/>
      <w:r w:rsidRPr="00A94285">
        <w:rPr>
          <w:i/>
        </w:rPr>
        <w:t>COAG</w:t>
      </w:r>
      <w:proofErr w:type="spellEnd"/>
      <w:r w:rsidRPr="00A94285">
        <w:rPr>
          <w:i/>
        </w:rPr>
        <w:t xml:space="preserve"> Reform Fund Act 2008</w:t>
      </w:r>
      <w:r>
        <w:t xml:space="preserve">. Funds are payable from the </w:t>
      </w:r>
      <w:r w:rsidRPr="00E7156C">
        <w:t xml:space="preserve">Fuel Indexation (Road Funding) </w:t>
      </w:r>
      <w:r w:rsidR="002A2377">
        <w:t>s</w:t>
      </w:r>
      <w:r w:rsidRPr="00E7156C">
        <w:t xml:space="preserve">pecial </w:t>
      </w:r>
      <w:r w:rsidR="002A2377">
        <w:t>a</w:t>
      </w:r>
      <w:r w:rsidRPr="00E7156C">
        <w:t>ccount</w:t>
      </w:r>
      <w:r>
        <w:t xml:space="preserve"> in accordance with the existing payment processes.</w:t>
      </w:r>
    </w:p>
    <w:p w14:paraId="37F81D16" w14:textId="77777777" w:rsidR="00DF600C" w:rsidRDefault="00DF600C" w:rsidP="00D33BF0">
      <w:pPr>
        <w:pStyle w:val="base-text-paragraph"/>
        <w:numPr>
          <w:ilvl w:val="1"/>
          <w:numId w:val="32"/>
        </w:numPr>
      </w:pPr>
      <w:r w:rsidRPr="00052C14">
        <w:t xml:space="preserve">When a payment is to be made to a State or Territory for road infrastructure in accordance with the relevant written agreement, the Infrastructure Minister directs, in writing, that a specified amount is to be debited from the special account and credited to the </w:t>
      </w:r>
      <w:proofErr w:type="spellStart"/>
      <w:r w:rsidRPr="00052C14">
        <w:t>COAG</w:t>
      </w:r>
      <w:proofErr w:type="spellEnd"/>
      <w:r w:rsidR="00C40034">
        <w:t> </w:t>
      </w:r>
      <w:r w:rsidRPr="00052C14">
        <w:t>Reform Fund special account</w:t>
      </w:r>
      <w:r>
        <w:t xml:space="preserve">. </w:t>
      </w:r>
      <w:r>
        <w:rPr>
          <w:rStyle w:val="Referencingstyle"/>
        </w:rPr>
        <w:t>[Schedule 1, subsection 10(1) of the Fuel Indexation Special Account Bill 2015]</w:t>
      </w:r>
    </w:p>
    <w:p w14:paraId="448098E1" w14:textId="77777777" w:rsidR="00DF600C" w:rsidRDefault="00DF600C" w:rsidP="00D33BF0">
      <w:pPr>
        <w:pStyle w:val="base-text-paragraph"/>
        <w:keepNext/>
        <w:keepLines/>
        <w:numPr>
          <w:ilvl w:val="1"/>
          <w:numId w:val="32"/>
        </w:numPr>
      </w:pPr>
      <w:r>
        <w:t xml:space="preserve">The declaration enables the amounts to be debited from the </w:t>
      </w:r>
      <w:proofErr w:type="spellStart"/>
      <w:r>
        <w:t>COAG</w:t>
      </w:r>
      <w:proofErr w:type="spellEnd"/>
      <w:r>
        <w:t xml:space="preserve"> Reform Fund for the purpose of making a specified grant of financial assistance to the States and Territories. This debiting should occur as soon as practicable. </w:t>
      </w:r>
      <w:r>
        <w:rPr>
          <w:rStyle w:val="Referencingstyle"/>
        </w:rPr>
        <w:t>[Schedule 1, subsection 10(2) and (3) of the Fuel</w:t>
      </w:r>
      <w:r w:rsidR="009C2BC8">
        <w:rPr>
          <w:rStyle w:val="Referencingstyle"/>
        </w:rPr>
        <w:t> </w:t>
      </w:r>
      <w:r>
        <w:rPr>
          <w:rStyle w:val="Referencingstyle"/>
        </w:rPr>
        <w:t>Indexation Special Account Bill 2015]</w:t>
      </w:r>
    </w:p>
    <w:p w14:paraId="1475B8F2" w14:textId="77777777" w:rsidR="00DF600C" w:rsidRDefault="00DF600C" w:rsidP="00D33BF0">
      <w:pPr>
        <w:pStyle w:val="base-text-paragraph"/>
        <w:numPr>
          <w:ilvl w:val="1"/>
          <w:numId w:val="32"/>
        </w:numPr>
      </w:pPr>
      <w:r>
        <w:t xml:space="preserve">The Infrastructure Minister may make multiple directions in the same year and in the same document. This differs from determinations made by the Treasurer which may only be made once a year. The Infrastructure Minister makes periodic transfers as </w:t>
      </w:r>
      <w:r w:rsidRPr="00052C14">
        <w:t>road infrastructure payments become due throughout the year in accordance with the relevant written agreement</w:t>
      </w:r>
      <w:r>
        <w:t xml:space="preserve">. </w:t>
      </w:r>
      <w:r>
        <w:rPr>
          <w:rStyle w:val="Referencingstyle"/>
        </w:rPr>
        <w:t>[Schedule 1, subsection</w:t>
      </w:r>
      <w:r w:rsidR="00C40034">
        <w:rPr>
          <w:rStyle w:val="Referencingstyle"/>
        </w:rPr>
        <w:t> </w:t>
      </w:r>
      <w:r>
        <w:rPr>
          <w:rStyle w:val="Referencingstyle"/>
        </w:rPr>
        <w:t>10(4) of the Fuel Indexation Special Account Bill 2015]</w:t>
      </w:r>
    </w:p>
    <w:p w14:paraId="0344E127" w14:textId="77777777" w:rsidR="00DF600C" w:rsidRDefault="00DF600C" w:rsidP="00D33BF0">
      <w:pPr>
        <w:pStyle w:val="base-text-paragraph"/>
        <w:numPr>
          <w:ilvl w:val="1"/>
          <w:numId w:val="32"/>
        </w:numPr>
      </w:pPr>
      <w:r>
        <w:t xml:space="preserve">The Infrastructure Minister’s directions are not a legislative instrument within the meaning of section 5 of the </w:t>
      </w:r>
      <w:r>
        <w:rPr>
          <w:i/>
        </w:rPr>
        <w:t xml:space="preserve">Legislative Instruments Act 2003 </w:t>
      </w:r>
      <w:r>
        <w:t xml:space="preserve">as they are administrative in character. </w:t>
      </w:r>
      <w:r>
        <w:rPr>
          <w:rStyle w:val="Referencingstyle"/>
        </w:rPr>
        <w:t>[Schedule</w:t>
      </w:r>
      <w:r w:rsidR="00C40034">
        <w:rPr>
          <w:rStyle w:val="Referencingstyle"/>
        </w:rPr>
        <w:t> </w:t>
      </w:r>
      <w:r>
        <w:rPr>
          <w:rStyle w:val="Referencingstyle"/>
        </w:rPr>
        <w:t>1, subsection 10(5) of the Fuel Indexation Special Account Bill 2015]</w:t>
      </w:r>
    </w:p>
    <w:p w14:paraId="047E425B" w14:textId="77777777" w:rsidR="00DF600C" w:rsidRDefault="00DF600C" w:rsidP="00D33BF0">
      <w:pPr>
        <w:pStyle w:val="base-text-paragraph"/>
        <w:numPr>
          <w:ilvl w:val="1"/>
          <w:numId w:val="32"/>
        </w:numPr>
      </w:pPr>
      <w:r>
        <w:t>The Infrastructure Minister</w:t>
      </w:r>
      <w:r w:rsidRPr="00093033">
        <w:t xml:space="preserve"> </w:t>
      </w:r>
      <w:r>
        <w:t xml:space="preserve">is defined as the Minister that is responsible for the administration of the </w:t>
      </w:r>
      <w:r w:rsidRPr="00093033">
        <w:rPr>
          <w:i/>
        </w:rPr>
        <w:t xml:space="preserve">Infrastructure Australia </w:t>
      </w:r>
      <w:r>
        <w:rPr>
          <w:i/>
        </w:rPr>
        <w:t>Act </w:t>
      </w:r>
      <w:r w:rsidRPr="00093033">
        <w:rPr>
          <w:i/>
        </w:rPr>
        <w:t>2008</w:t>
      </w:r>
      <w:r>
        <w:rPr>
          <w:i/>
        </w:rPr>
        <w:t xml:space="preserve">. </w:t>
      </w:r>
      <w:r>
        <w:rPr>
          <w:rStyle w:val="Referencingstyle"/>
        </w:rPr>
        <w:t>[Schedule 1, section 4 of the Fuel Indexation Special Account Bill</w:t>
      </w:r>
      <w:r w:rsidR="00C40034">
        <w:rPr>
          <w:rStyle w:val="Referencingstyle"/>
        </w:rPr>
        <w:t> </w:t>
      </w:r>
      <w:r>
        <w:rPr>
          <w:rStyle w:val="Referencingstyle"/>
        </w:rPr>
        <w:t>2015]</w:t>
      </w:r>
    </w:p>
    <w:p w14:paraId="7AC43E7A" w14:textId="77777777" w:rsidR="00DF600C" w:rsidRPr="00D53A8A" w:rsidRDefault="00DF600C" w:rsidP="00D33BF0">
      <w:pPr>
        <w:pStyle w:val="base-text-paragraph"/>
        <w:numPr>
          <w:ilvl w:val="1"/>
          <w:numId w:val="32"/>
        </w:numPr>
        <w:rPr>
          <w:rStyle w:val="Referencingstyle"/>
          <w:b w:val="0"/>
          <w:i w:val="0"/>
          <w:sz w:val="22"/>
        </w:rPr>
      </w:pPr>
      <w:r w:rsidRPr="00D53A8A">
        <w:t>After the funds have been transferred from the special account</w:t>
      </w:r>
      <w:r w:rsidR="009C2BC8">
        <w:t> </w:t>
      </w:r>
      <w:r w:rsidRPr="00D53A8A">
        <w:t>to</w:t>
      </w:r>
      <w:r w:rsidR="009C2BC8">
        <w:t> </w:t>
      </w:r>
      <w:r w:rsidRPr="00D53A8A">
        <w:t xml:space="preserve">the </w:t>
      </w:r>
      <w:proofErr w:type="spellStart"/>
      <w:r w:rsidRPr="00D53A8A">
        <w:t>COAG</w:t>
      </w:r>
      <w:proofErr w:type="spellEnd"/>
      <w:r w:rsidRPr="00D53A8A">
        <w:t xml:space="preserve"> Reform Fund special account following the Infrastructure Minister’s direction, the funds will then be paid to the States</w:t>
      </w:r>
      <w:r w:rsidR="009C2BC8">
        <w:t> </w:t>
      </w:r>
      <w:r w:rsidRPr="00D53A8A">
        <w:t xml:space="preserve">and Territories as part of the normal </w:t>
      </w:r>
      <w:r>
        <w:t>regular</w:t>
      </w:r>
      <w:r w:rsidRPr="00D53A8A">
        <w:t xml:space="preserve"> payments from the </w:t>
      </w:r>
      <w:proofErr w:type="spellStart"/>
      <w:r w:rsidRPr="00D53A8A">
        <w:t>COAG</w:t>
      </w:r>
      <w:proofErr w:type="spellEnd"/>
      <w:r w:rsidRPr="00D53A8A">
        <w:t xml:space="preserve"> Reform Fund special account</w:t>
      </w:r>
      <w:r>
        <w:t xml:space="preserve">. </w:t>
      </w:r>
      <w:r w:rsidRPr="00D53A8A">
        <w:t xml:space="preserve">The Treasurer must ensure that these funds are paid to the States and Territories as soon as practicable after the amount is credited to the </w:t>
      </w:r>
      <w:proofErr w:type="spellStart"/>
      <w:r w:rsidRPr="00D53A8A">
        <w:t>COAG</w:t>
      </w:r>
      <w:proofErr w:type="spellEnd"/>
      <w:r w:rsidRPr="00D53A8A">
        <w:t xml:space="preserve"> Reform Fund special account</w:t>
      </w:r>
      <w:r>
        <w:t xml:space="preserve">. </w:t>
      </w:r>
      <w:r>
        <w:rPr>
          <w:rStyle w:val="Referencingstyle"/>
        </w:rPr>
        <w:t>[Schedule 1, section 11 of the Fuel Indexation Special Account Bill</w:t>
      </w:r>
      <w:r w:rsidR="00C40034">
        <w:rPr>
          <w:rStyle w:val="Referencingstyle"/>
        </w:rPr>
        <w:t> </w:t>
      </w:r>
      <w:r>
        <w:rPr>
          <w:rStyle w:val="Referencingstyle"/>
        </w:rPr>
        <w:t>2015]</w:t>
      </w:r>
    </w:p>
    <w:p w14:paraId="559DBF9B" w14:textId="77777777" w:rsidR="00DF600C" w:rsidRPr="0027056E" w:rsidRDefault="00DF600C" w:rsidP="00DF600C">
      <w:pPr>
        <w:pStyle w:val="base-text-paragraph"/>
        <w:numPr>
          <w:ilvl w:val="0"/>
          <w:numId w:val="0"/>
        </w:numPr>
        <w:ind w:left="1134"/>
        <w:rPr>
          <w:rStyle w:val="Referencingstyle"/>
          <w:i w:val="0"/>
          <w:sz w:val="22"/>
        </w:rPr>
      </w:pPr>
      <w:r w:rsidRPr="0027056E">
        <w:rPr>
          <w:rStyle w:val="Referencingstyle"/>
          <w:sz w:val="22"/>
        </w:rPr>
        <w:t>Delegation</w:t>
      </w:r>
    </w:p>
    <w:p w14:paraId="1FCC8815" w14:textId="77777777" w:rsidR="00DF600C" w:rsidRDefault="00DF600C" w:rsidP="00D33BF0">
      <w:pPr>
        <w:pStyle w:val="base-text-paragraph"/>
        <w:numPr>
          <w:ilvl w:val="1"/>
          <w:numId w:val="32"/>
        </w:numPr>
      </w:pPr>
      <w:r>
        <w:t xml:space="preserve">The Infrastructure Minister may, by writing, delegate the Minister’s functions to the Secretary of the Infrastructure Department, or a Senior Executive Service (SES) employee or an acting SES employee in the Department. A delegation power is necessary and appropriate as the Minister is required to make periodic declarations throughout each year as grants are made. </w:t>
      </w:r>
      <w:r>
        <w:rPr>
          <w:rStyle w:val="Referencingstyle"/>
        </w:rPr>
        <w:t>[Schedule 1, section 13 of the Fuel Indexation Special Account Bill</w:t>
      </w:r>
      <w:r w:rsidR="009C2BC8">
        <w:rPr>
          <w:rStyle w:val="Referencingstyle"/>
        </w:rPr>
        <w:t> </w:t>
      </w:r>
      <w:r>
        <w:rPr>
          <w:rStyle w:val="Referencingstyle"/>
        </w:rPr>
        <w:t>2015]</w:t>
      </w:r>
      <w:r>
        <w:t xml:space="preserve"> </w:t>
      </w:r>
    </w:p>
    <w:p w14:paraId="048D6141" w14:textId="77777777" w:rsidR="00DF600C" w:rsidRDefault="00DF600C" w:rsidP="009374C4">
      <w:pPr>
        <w:pStyle w:val="base-text-paragraph"/>
        <w:keepNext/>
        <w:keepLines/>
        <w:numPr>
          <w:ilvl w:val="1"/>
          <w:numId w:val="32"/>
        </w:numPr>
        <w:spacing w:before="80" w:after="80"/>
      </w:pPr>
      <w:r>
        <w:t xml:space="preserve">The Treasurer may delegate, in writing, the debiting of the </w:t>
      </w:r>
      <w:proofErr w:type="spellStart"/>
      <w:r>
        <w:t>COAG</w:t>
      </w:r>
      <w:proofErr w:type="spellEnd"/>
      <w:r>
        <w:t xml:space="preserve"> Reform Fund special account to the Secretary to the Treasury or an SES employee, or acting SES employee in the Department. </w:t>
      </w:r>
      <w:r>
        <w:rPr>
          <w:rStyle w:val="Referencingstyle"/>
        </w:rPr>
        <w:t>[Schedule 1, section 14 of the Fuel Indexation Special Account Bill 2015]</w:t>
      </w:r>
      <w:r>
        <w:t xml:space="preserve"> </w:t>
      </w:r>
    </w:p>
    <w:p w14:paraId="3ED8A300" w14:textId="77777777" w:rsidR="00DF600C" w:rsidRDefault="00DF600C" w:rsidP="009374C4">
      <w:pPr>
        <w:pStyle w:val="base-text-paragraph"/>
        <w:numPr>
          <w:ilvl w:val="1"/>
          <w:numId w:val="32"/>
        </w:numPr>
        <w:spacing w:before="80" w:after="80"/>
      </w:pPr>
      <w:r>
        <w:t xml:space="preserve">The Treasurer does not need a power to delegate the determination of the amounts to be credited to the special account because these determinations are made only once a year. </w:t>
      </w:r>
    </w:p>
    <w:p w14:paraId="17F20D2C" w14:textId="77777777" w:rsidR="00DF600C" w:rsidRDefault="00DF600C" w:rsidP="009374C4">
      <w:pPr>
        <w:pStyle w:val="base-text-paragraph"/>
        <w:numPr>
          <w:ilvl w:val="1"/>
          <w:numId w:val="32"/>
        </w:numPr>
        <w:spacing w:before="80" w:after="80"/>
      </w:pPr>
      <w:r>
        <w:t xml:space="preserve">The Infrastructure Department is defined as the Department administered by the Infrastructure Minister while the Treasury </w:t>
      </w:r>
      <w:r w:rsidR="00064C7F">
        <w:t xml:space="preserve">Department </w:t>
      </w:r>
      <w:r>
        <w:t xml:space="preserve">is defined as the Department administered by the Treasurer. The terms SES employee and acting SES employee have the meaning set out in section 2B of the </w:t>
      </w:r>
      <w:r>
        <w:rPr>
          <w:i/>
        </w:rPr>
        <w:t>Acts Interpretation Act 1901</w:t>
      </w:r>
      <w:r>
        <w:t xml:space="preserve">. </w:t>
      </w:r>
      <w:r>
        <w:rPr>
          <w:rStyle w:val="Referencingstyle"/>
        </w:rPr>
        <w:t>[Schedule 1, section 4 of the Fuel Indexation Special Account Bill 2015]</w:t>
      </w:r>
      <w:r>
        <w:t xml:space="preserve"> </w:t>
      </w:r>
    </w:p>
    <w:p w14:paraId="3BF0001D" w14:textId="77777777" w:rsidR="00DF600C" w:rsidRPr="00115C9C" w:rsidRDefault="00DF600C" w:rsidP="000F013A">
      <w:pPr>
        <w:pStyle w:val="Heading4"/>
      </w:pPr>
      <w:r w:rsidRPr="00115C9C">
        <w:t>Reporting requirements and rule</w:t>
      </w:r>
      <w:r w:rsidRPr="00115C9C">
        <w:noBreakHyphen/>
        <w:t>making power</w:t>
      </w:r>
    </w:p>
    <w:p w14:paraId="01413C0B" w14:textId="77777777" w:rsidR="00DF600C" w:rsidRDefault="00DF600C" w:rsidP="009374C4">
      <w:pPr>
        <w:pStyle w:val="base-text-paragraph"/>
        <w:numPr>
          <w:ilvl w:val="1"/>
          <w:numId w:val="32"/>
        </w:numPr>
        <w:spacing w:before="80" w:after="80"/>
      </w:pPr>
      <w:r>
        <w:t>There are no specific reporting requirements in the Fuel Indexation Special Account Bill 2015 as Budget Paper No. 4 sets out the estimated cash flows and balances of all special accounts for the relevant year.</w:t>
      </w:r>
    </w:p>
    <w:p w14:paraId="3EA92DDD" w14:textId="77777777" w:rsidR="00DF600C" w:rsidRDefault="00DF600C" w:rsidP="009374C4">
      <w:pPr>
        <w:pStyle w:val="base-text-paragraph"/>
        <w:numPr>
          <w:ilvl w:val="1"/>
          <w:numId w:val="32"/>
        </w:numPr>
        <w:spacing w:before="80" w:after="80"/>
      </w:pPr>
      <w:r>
        <w:t xml:space="preserve">The Minister (responsible for the Fuel Indexation Special Account Bill 2015, as enacted) may make rules prescribing matters required or permitted to be prescribed by the rules, necessary or convenient to be prescribed for giving effect to the Fuel Indexation Special Account Bill 2015. </w:t>
      </w:r>
      <w:r>
        <w:rPr>
          <w:rStyle w:val="Referencingstyle"/>
        </w:rPr>
        <w:t>[Schedule 1, section 15 of the Fuel Indexation Special Account Bill 2015]</w:t>
      </w:r>
      <w:r>
        <w:t xml:space="preserve"> </w:t>
      </w:r>
    </w:p>
    <w:p w14:paraId="7B515624" w14:textId="77777777" w:rsidR="00DF600C" w:rsidRDefault="00DF600C" w:rsidP="009374C4">
      <w:pPr>
        <w:pStyle w:val="Heading2"/>
        <w:spacing w:before="360"/>
      </w:pPr>
      <w:r>
        <w:t>Consequential amendments</w:t>
      </w:r>
    </w:p>
    <w:p w14:paraId="7A62AD18" w14:textId="77777777" w:rsidR="00F9279C" w:rsidRPr="007310FD" w:rsidRDefault="00F9279C" w:rsidP="009374C4">
      <w:pPr>
        <w:pStyle w:val="base-text-paragraph"/>
        <w:numPr>
          <w:ilvl w:val="1"/>
          <w:numId w:val="32"/>
        </w:numPr>
        <w:spacing w:before="80" w:after="80"/>
      </w:pPr>
      <w:r w:rsidRPr="007310FD">
        <w:t xml:space="preserve">A note is added to section 5 of the </w:t>
      </w:r>
      <w:proofErr w:type="spellStart"/>
      <w:r w:rsidRPr="007310FD">
        <w:rPr>
          <w:i/>
        </w:rPr>
        <w:t>COAG</w:t>
      </w:r>
      <w:proofErr w:type="spellEnd"/>
      <w:r w:rsidRPr="007310FD">
        <w:rPr>
          <w:i/>
        </w:rPr>
        <w:t xml:space="preserve"> Reform Fund Act 2008</w:t>
      </w:r>
      <w:r w:rsidRPr="007310FD">
        <w:t xml:space="preserve">. The note sets out that amounts may be credited to the </w:t>
      </w:r>
      <w:proofErr w:type="spellStart"/>
      <w:r w:rsidRPr="007310FD">
        <w:t>COAG</w:t>
      </w:r>
      <w:proofErr w:type="spellEnd"/>
      <w:r w:rsidRPr="007310FD">
        <w:t xml:space="preserve"> Reform Fund special account under the Fuel Indexation Special Account Bill 2015. </w:t>
      </w:r>
      <w:r w:rsidRPr="007310FD">
        <w:rPr>
          <w:rStyle w:val="Referencingstyle"/>
        </w:rPr>
        <w:t xml:space="preserve">[Schedule 1, item 1 of the Fuel Indexation </w:t>
      </w:r>
      <w:r w:rsidR="00DB2EA6" w:rsidRPr="007310FD">
        <w:rPr>
          <w:rStyle w:val="Referencingstyle"/>
        </w:rPr>
        <w:t>Consequential</w:t>
      </w:r>
      <w:r w:rsidRPr="007310FD">
        <w:rPr>
          <w:rStyle w:val="Referencingstyle"/>
        </w:rPr>
        <w:t xml:space="preserve"> Bill</w:t>
      </w:r>
      <w:r w:rsidR="009C2BC8">
        <w:rPr>
          <w:rStyle w:val="Referencingstyle"/>
        </w:rPr>
        <w:t> </w:t>
      </w:r>
      <w:r w:rsidRPr="007310FD">
        <w:rPr>
          <w:rStyle w:val="Referencingstyle"/>
        </w:rPr>
        <w:t xml:space="preserve">2015, subsection 5(2) of the </w:t>
      </w:r>
      <w:proofErr w:type="spellStart"/>
      <w:r w:rsidRPr="007310FD">
        <w:rPr>
          <w:rStyle w:val="Referencingstyle"/>
        </w:rPr>
        <w:t>COAG</w:t>
      </w:r>
      <w:proofErr w:type="spellEnd"/>
      <w:r w:rsidRPr="007310FD">
        <w:rPr>
          <w:rStyle w:val="Referencingstyle"/>
        </w:rPr>
        <w:t xml:space="preserve"> Reform Fund Act 2008]</w:t>
      </w:r>
    </w:p>
    <w:p w14:paraId="369761E3" w14:textId="77777777" w:rsidR="007C1B4A" w:rsidRDefault="007C1B4A" w:rsidP="009374C4">
      <w:pPr>
        <w:pStyle w:val="base-text-paragraph"/>
        <w:numPr>
          <w:ilvl w:val="1"/>
          <w:numId w:val="32"/>
        </w:numPr>
        <w:spacing w:before="80" w:after="80"/>
      </w:pPr>
      <w:r>
        <w:t xml:space="preserve">A consequential amendment is made to the </w:t>
      </w:r>
      <w:r w:rsidRPr="0010437C">
        <w:t xml:space="preserve">Fuel Indexation (Road Funding) Special Account </w:t>
      </w:r>
      <w:r w:rsidR="002A2377">
        <w:t>Bill</w:t>
      </w:r>
      <w:r w:rsidRPr="0010437C">
        <w:t xml:space="preserve"> 2015</w:t>
      </w:r>
      <w:r>
        <w:t xml:space="preserve"> </w:t>
      </w:r>
      <w:r w:rsidR="000B2C7A">
        <w:t>to reflect the</w:t>
      </w:r>
      <w:r>
        <w:t xml:space="preserve"> </w:t>
      </w:r>
      <w:r w:rsidR="00B23D01">
        <w:t xml:space="preserve">renaming of the </w:t>
      </w:r>
      <w:r w:rsidRPr="00AC629C">
        <w:rPr>
          <w:i/>
        </w:rPr>
        <w:t>Legislative Instruments Act 2003</w:t>
      </w:r>
      <w:r>
        <w:t xml:space="preserve"> to the </w:t>
      </w:r>
      <w:r w:rsidRPr="00AC629C">
        <w:rPr>
          <w:i/>
        </w:rPr>
        <w:t>Legislation Act 2003</w:t>
      </w:r>
      <w:r>
        <w:t xml:space="preserve"> under the </w:t>
      </w:r>
      <w:r w:rsidRPr="00AC629C">
        <w:rPr>
          <w:i/>
        </w:rPr>
        <w:t>Acts and Instruments (Framework Reform) Act 2015</w:t>
      </w:r>
      <w:r>
        <w:t>.</w:t>
      </w:r>
      <w:r w:rsidR="0033290A">
        <w:t xml:space="preserve"> </w:t>
      </w:r>
      <w:r w:rsidR="0033290A" w:rsidRPr="0033290A">
        <w:rPr>
          <w:rStyle w:val="Referencingstyle"/>
        </w:rPr>
        <w:t>[Schedule 1, item</w:t>
      </w:r>
      <w:r w:rsidR="00C40034">
        <w:rPr>
          <w:rStyle w:val="Referencingstyle"/>
        </w:rPr>
        <w:t> </w:t>
      </w:r>
      <w:r w:rsidR="0033290A" w:rsidRPr="0033290A">
        <w:rPr>
          <w:rStyle w:val="Referencingstyle"/>
        </w:rPr>
        <w:t>2 of the Fuel Indexation Consequential Bill 2015, subsection 8(3) of the Fuel Indexation (Road Funding) Special Account Act 2015]</w:t>
      </w:r>
    </w:p>
    <w:p w14:paraId="68931828" w14:textId="6D237B0A" w:rsidR="00DF600C" w:rsidRDefault="00BE50C0" w:rsidP="009374C4">
      <w:pPr>
        <w:pStyle w:val="base-text-paragraph"/>
        <w:numPr>
          <w:ilvl w:val="1"/>
          <w:numId w:val="32"/>
        </w:numPr>
        <w:spacing w:before="80" w:after="80"/>
      </w:pPr>
      <w:r w:rsidRPr="007310FD">
        <w:t>A</w:t>
      </w:r>
      <w:r w:rsidR="00DB2EA6" w:rsidRPr="007310FD">
        <w:t>n</w:t>
      </w:r>
      <w:r w:rsidRPr="007310FD">
        <w:t xml:space="preserve"> </w:t>
      </w:r>
      <w:r w:rsidR="00DF600C" w:rsidRPr="007310FD">
        <w:t xml:space="preserve">amendment </w:t>
      </w:r>
      <w:r w:rsidRPr="007310FD">
        <w:t>is</w:t>
      </w:r>
      <w:r w:rsidR="00DF600C" w:rsidRPr="007310FD">
        <w:t xml:space="preserve"> also made to the </w:t>
      </w:r>
      <w:r w:rsidR="00DF600C" w:rsidRPr="007310FD">
        <w:rPr>
          <w:i/>
        </w:rPr>
        <w:t>Excise Act 1901</w:t>
      </w:r>
      <w:r w:rsidR="00DF600C" w:rsidRPr="007310FD">
        <w:t xml:space="preserve"> to ensure that a fuel is not classified as a blend and subject to duty if</w:t>
      </w:r>
      <w:r w:rsidR="00DF600C">
        <w:t xml:space="preserve"> parts of the fuel attracted a different rate of duty only because of indexation. </w:t>
      </w:r>
      <w:r w:rsidR="00DF600C">
        <w:rPr>
          <w:rStyle w:val="Referencingstyle"/>
        </w:rPr>
        <w:t>[Schedule</w:t>
      </w:r>
      <w:r w:rsidR="009C2BC8">
        <w:rPr>
          <w:rStyle w:val="Referencingstyle"/>
        </w:rPr>
        <w:t> </w:t>
      </w:r>
      <w:r w:rsidR="00DB2EA6">
        <w:rPr>
          <w:rStyle w:val="Referencingstyle"/>
        </w:rPr>
        <w:t>2</w:t>
      </w:r>
      <w:r w:rsidR="00DF600C">
        <w:rPr>
          <w:rStyle w:val="Referencingstyle"/>
        </w:rPr>
        <w:t xml:space="preserve">, item 1 of </w:t>
      </w:r>
      <w:r w:rsidR="00DB2EA6">
        <w:rPr>
          <w:rStyle w:val="Referencingstyle"/>
        </w:rPr>
        <w:t xml:space="preserve">the Fuel Indexation Consequential Bill </w:t>
      </w:r>
      <w:r w:rsidR="00DF600C">
        <w:rPr>
          <w:rStyle w:val="Referencingstyle"/>
        </w:rPr>
        <w:t xml:space="preserve">2015, </w:t>
      </w:r>
      <w:r w:rsidR="00C64C01">
        <w:rPr>
          <w:rStyle w:val="Referencingstyle"/>
        </w:rPr>
        <w:t>paragraph</w:t>
      </w:r>
      <w:r w:rsidR="009C2BC8">
        <w:rPr>
          <w:rStyle w:val="Referencingstyle"/>
        </w:rPr>
        <w:t> </w:t>
      </w:r>
      <w:r w:rsidR="00DF600C">
        <w:rPr>
          <w:rStyle w:val="Referencingstyle"/>
        </w:rPr>
        <w:t>77H(2</w:t>
      </w:r>
      <w:r w:rsidR="00C64C01">
        <w:rPr>
          <w:rStyle w:val="Referencingstyle"/>
        </w:rPr>
        <w:t>)(2</w:t>
      </w:r>
      <w:r w:rsidR="00DF600C">
        <w:rPr>
          <w:rStyle w:val="Referencingstyle"/>
        </w:rPr>
        <w:t>AA) of the Excise Act 1901]</w:t>
      </w:r>
      <w:r w:rsidR="00DF600C">
        <w:t xml:space="preserve"> </w:t>
      </w:r>
    </w:p>
    <w:p w14:paraId="6E129670" w14:textId="77777777" w:rsidR="00DF600C" w:rsidRPr="009B56B3" w:rsidRDefault="00DB2EA6" w:rsidP="00DF600C">
      <w:pPr>
        <w:pStyle w:val="base-text-paragraph"/>
        <w:numPr>
          <w:ilvl w:val="1"/>
          <w:numId w:val="32"/>
        </w:numPr>
        <w:rPr>
          <w:rStyle w:val="Referencingstyle"/>
          <w:b w:val="0"/>
          <w:i w:val="0"/>
          <w:sz w:val="22"/>
        </w:rPr>
      </w:pPr>
      <w:r>
        <w:t xml:space="preserve">An amendment is also made to provide that a </w:t>
      </w:r>
      <w:r w:rsidR="00187C22">
        <w:t>determination</w:t>
      </w:r>
      <w:r w:rsidR="00AA07A7">
        <w:t xml:space="preserve"> made </w:t>
      </w:r>
      <w:r>
        <w:t xml:space="preserve">by the Transport Minister </w:t>
      </w:r>
      <w:r w:rsidR="00AA07A7">
        <w:t>setting</w:t>
      </w:r>
      <w:r w:rsidR="00187C22">
        <w:t xml:space="preserve"> the rate </w:t>
      </w:r>
      <w:r w:rsidR="00DF600C" w:rsidRPr="00817E1B">
        <w:t>of the road user charge must be rounded to one decimal place of a cent</w:t>
      </w:r>
      <w:r>
        <w:t xml:space="preserve"> for each litre of fuel</w:t>
      </w:r>
      <w:r w:rsidR="00DF600C">
        <w:t>.</w:t>
      </w:r>
      <w:r w:rsidR="00C76D98">
        <w:t xml:space="preserve"> This ensures</w:t>
      </w:r>
      <w:r w:rsidR="00C76D98" w:rsidRPr="00F174A1">
        <w:t xml:space="preserve"> that </w:t>
      </w:r>
      <w:r w:rsidR="00C76D98" w:rsidRPr="00363674">
        <w:t>the road user charge is rounded</w:t>
      </w:r>
      <w:r w:rsidR="00B673D1">
        <w:t xml:space="preserve"> in the same way as</w:t>
      </w:r>
      <w:r w:rsidR="00C76D98">
        <w:t xml:space="preserve"> </w:t>
      </w:r>
      <w:r w:rsidR="00AC629C">
        <w:t xml:space="preserve">fuel duty rates are </w:t>
      </w:r>
      <w:r w:rsidR="00C76D98" w:rsidRPr="00363674">
        <w:t>round</w:t>
      </w:r>
      <w:r w:rsidR="00AC629C">
        <w:t>ed.</w:t>
      </w:r>
      <w:r w:rsidR="00C76D98">
        <w:t xml:space="preserve"> </w:t>
      </w:r>
      <w:r w:rsidR="00DF600C" w:rsidRPr="00817E1B">
        <w:rPr>
          <w:rStyle w:val="Referencingstyle"/>
        </w:rPr>
        <w:t xml:space="preserve">[Schedule </w:t>
      </w:r>
      <w:r>
        <w:rPr>
          <w:rStyle w:val="Referencingstyle"/>
        </w:rPr>
        <w:t>3</w:t>
      </w:r>
      <w:r w:rsidR="00DF600C" w:rsidRPr="00817E1B">
        <w:rPr>
          <w:rStyle w:val="Referencingstyle"/>
        </w:rPr>
        <w:t>, item</w:t>
      </w:r>
      <w:r w:rsidR="0001369C">
        <w:rPr>
          <w:rStyle w:val="Referencingstyle"/>
        </w:rPr>
        <w:t xml:space="preserve"> 1</w:t>
      </w:r>
      <w:r w:rsidR="00DF600C" w:rsidRPr="00817E1B">
        <w:rPr>
          <w:rStyle w:val="Referencingstyle"/>
        </w:rPr>
        <w:t xml:space="preserve"> of </w:t>
      </w:r>
      <w:r w:rsidR="0001369C">
        <w:rPr>
          <w:rStyle w:val="Referencingstyle"/>
        </w:rPr>
        <w:t>the Fuel Indexation Consequential Bill</w:t>
      </w:r>
      <w:r w:rsidR="009C2BC8">
        <w:rPr>
          <w:rStyle w:val="Referencingstyle"/>
        </w:rPr>
        <w:t> </w:t>
      </w:r>
      <w:r w:rsidR="0001369C">
        <w:rPr>
          <w:rStyle w:val="Referencingstyle"/>
        </w:rPr>
        <w:t>2015</w:t>
      </w:r>
      <w:r w:rsidR="00DF600C" w:rsidRPr="00817E1B">
        <w:rPr>
          <w:rStyle w:val="Referencingstyle"/>
        </w:rPr>
        <w:t>, subsection 43</w:t>
      </w:r>
      <w:r w:rsidR="0001369C">
        <w:rPr>
          <w:rStyle w:val="Referencingstyle"/>
        </w:rPr>
        <w:noBreakHyphen/>
      </w:r>
      <w:r w:rsidR="00DF600C" w:rsidRPr="00817E1B">
        <w:rPr>
          <w:rStyle w:val="Referencingstyle"/>
        </w:rPr>
        <w:t>10(11A) of the Fuel Tax Act</w:t>
      </w:r>
      <w:r w:rsidR="00C40034">
        <w:rPr>
          <w:rStyle w:val="Referencingstyle"/>
        </w:rPr>
        <w:t> </w:t>
      </w:r>
      <w:r w:rsidR="00DF600C" w:rsidRPr="00817E1B">
        <w:rPr>
          <w:rStyle w:val="Referencingstyle"/>
        </w:rPr>
        <w:t>2006]</w:t>
      </w:r>
    </w:p>
    <w:p w14:paraId="5A2233B5" w14:textId="77777777" w:rsidR="006267B6" w:rsidRDefault="00F35067" w:rsidP="00F75BB0">
      <w:pPr>
        <w:pStyle w:val="base-text-paragraph"/>
        <w:numPr>
          <w:ilvl w:val="1"/>
          <w:numId w:val="32"/>
        </w:numPr>
        <w:rPr>
          <w:rStyle w:val="Referencingstyle"/>
          <w:b w:val="0"/>
          <w:i w:val="0"/>
          <w:sz w:val="22"/>
        </w:rPr>
      </w:pPr>
      <w:r>
        <w:rPr>
          <w:rStyle w:val="Referencingstyle"/>
          <w:b w:val="0"/>
          <w:i w:val="0"/>
          <w:sz w:val="22"/>
        </w:rPr>
        <w:t>T</w:t>
      </w:r>
      <w:r w:rsidR="007D5B47" w:rsidRPr="00F75BB0">
        <w:rPr>
          <w:rStyle w:val="Referencingstyle"/>
          <w:b w:val="0"/>
          <w:i w:val="0"/>
          <w:sz w:val="22"/>
        </w:rPr>
        <w:t>he Excise Tariff Amendment (Ethanol and Biodiesel) Bill</w:t>
      </w:r>
      <w:r w:rsidR="00C40034">
        <w:rPr>
          <w:rStyle w:val="Referencingstyle"/>
          <w:b w:val="0"/>
          <w:i w:val="0"/>
          <w:sz w:val="22"/>
        </w:rPr>
        <w:t> </w:t>
      </w:r>
      <w:r w:rsidR="007D5B47" w:rsidRPr="00F75BB0">
        <w:rPr>
          <w:rStyle w:val="Referencingstyle"/>
          <w:b w:val="0"/>
          <w:i w:val="0"/>
          <w:sz w:val="22"/>
        </w:rPr>
        <w:t>2015 provide</w:t>
      </w:r>
      <w:r>
        <w:rPr>
          <w:rStyle w:val="Referencingstyle"/>
          <w:b w:val="0"/>
          <w:i w:val="0"/>
          <w:sz w:val="22"/>
        </w:rPr>
        <w:t>s</w:t>
      </w:r>
      <w:r w:rsidR="007D5B47" w:rsidRPr="00F75BB0">
        <w:rPr>
          <w:rStyle w:val="Referencingstyle"/>
          <w:b w:val="0"/>
          <w:i w:val="0"/>
          <w:sz w:val="22"/>
        </w:rPr>
        <w:t xml:space="preserve"> that the rate of excise duty for fuel ethanol and biodiesel is not directly contained in </w:t>
      </w:r>
      <w:proofErr w:type="spellStart"/>
      <w:r w:rsidR="007D5B47" w:rsidRPr="00F75BB0">
        <w:rPr>
          <w:rStyle w:val="Referencingstyle"/>
          <w:b w:val="0"/>
          <w:i w:val="0"/>
          <w:sz w:val="22"/>
        </w:rPr>
        <w:t>subitems</w:t>
      </w:r>
      <w:proofErr w:type="spellEnd"/>
      <w:r w:rsidR="007D5B47" w:rsidRPr="00F75BB0">
        <w:rPr>
          <w:rStyle w:val="Referencingstyle"/>
          <w:b w:val="0"/>
          <w:i w:val="0"/>
          <w:sz w:val="22"/>
        </w:rPr>
        <w:t xml:space="preserve"> 10.20 and 10.21 of the Schedule to the </w:t>
      </w:r>
      <w:r w:rsidR="007D5B47" w:rsidRPr="00F75BB0">
        <w:rPr>
          <w:rStyle w:val="Referencingstyle"/>
          <w:b w:val="0"/>
          <w:sz w:val="22"/>
        </w:rPr>
        <w:t>Excise Tariff Act 1921.</w:t>
      </w:r>
      <w:r w:rsidR="007D5B47" w:rsidRPr="00F75BB0">
        <w:rPr>
          <w:rStyle w:val="Referencingstyle"/>
          <w:b w:val="0"/>
          <w:i w:val="0"/>
          <w:sz w:val="22"/>
        </w:rPr>
        <w:t xml:space="preserve"> Instead the rate of duty is determined by applying the method </w:t>
      </w:r>
      <w:r>
        <w:rPr>
          <w:rStyle w:val="Referencingstyle"/>
          <w:b w:val="0"/>
          <w:i w:val="0"/>
          <w:sz w:val="22"/>
        </w:rPr>
        <w:t>to be set out in</w:t>
      </w:r>
      <w:r w:rsidR="007D5B47" w:rsidRPr="00F75BB0">
        <w:rPr>
          <w:rStyle w:val="Referencingstyle"/>
          <w:b w:val="0"/>
          <w:i w:val="0"/>
          <w:sz w:val="22"/>
        </w:rPr>
        <w:t xml:space="preserve"> sections 6H (for fuel ethanol) and 6J (for biodiesel) which are to be included in the </w:t>
      </w:r>
      <w:r w:rsidR="007D5B47" w:rsidRPr="00F75BB0">
        <w:rPr>
          <w:rStyle w:val="Referencingstyle"/>
          <w:b w:val="0"/>
          <w:sz w:val="22"/>
        </w:rPr>
        <w:t>Excise Tariff Act 1921</w:t>
      </w:r>
      <w:r w:rsidR="007D5B47" w:rsidRPr="00F75BB0">
        <w:rPr>
          <w:rStyle w:val="Referencingstyle"/>
          <w:b w:val="0"/>
          <w:i w:val="0"/>
          <w:sz w:val="22"/>
        </w:rPr>
        <w:t xml:space="preserve"> by the Excise Tariff Amendment (Ethanol and Biodiesel) Bill 2015. </w:t>
      </w:r>
    </w:p>
    <w:p w14:paraId="6D268BAE" w14:textId="77777777" w:rsidR="009B56B3" w:rsidRPr="00DB4006" w:rsidRDefault="007D5B47" w:rsidP="00DB4006">
      <w:pPr>
        <w:pStyle w:val="base-text-paragraph"/>
        <w:numPr>
          <w:ilvl w:val="1"/>
          <w:numId w:val="32"/>
        </w:numPr>
        <w:rPr>
          <w:rStyle w:val="Referencingstyle"/>
          <w:b w:val="0"/>
          <w:i w:val="0"/>
          <w:sz w:val="22"/>
        </w:rPr>
      </w:pPr>
      <w:r w:rsidRPr="00DB4006">
        <w:rPr>
          <w:rStyle w:val="Referencingstyle"/>
          <w:b w:val="0"/>
          <w:i w:val="0"/>
          <w:sz w:val="22"/>
        </w:rPr>
        <w:t>Accordingly, a consequential amendment is</w:t>
      </w:r>
      <w:r w:rsidR="00C02323">
        <w:rPr>
          <w:rStyle w:val="Referencingstyle"/>
          <w:b w:val="0"/>
          <w:i w:val="0"/>
          <w:sz w:val="22"/>
        </w:rPr>
        <w:t xml:space="preserve"> made</w:t>
      </w:r>
      <w:r w:rsidRPr="00DB4006">
        <w:rPr>
          <w:rStyle w:val="Referencingstyle"/>
          <w:b w:val="0"/>
          <w:i w:val="0"/>
          <w:sz w:val="22"/>
        </w:rPr>
        <w:t xml:space="preserve"> to ensure that </w:t>
      </w:r>
      <w:r w:rsidR="005405B3" w:rsidRPr="00DB4006">
        <w:rPr>
          <w:rStyle w:val="Referencingstyle"/>
          <w:b w:val="0"/>
          <w:i w:val="0"/>
          <w:sz w:val="22"/>
        </w:rPr>
        <w:t xml:space="preserve">the provisions that apply fuel indexation to excise duty on fuel ethanol and biodiesel reflect that the duty rate that applies under </w:t>
      </w:r>
      <w:proofErr w:type="spellStart"/>
      <w:r w:rsidR="005405B3" w:rsidRPr="00DB4006">
        <w:rPr>
          <w:rStyle w:val="Referencingstyle"/>
          <w:b w:val="0"/>
          <w:i w:val="0"/>
          <w:sz w:val="22"/>
        </w:rPr>
        <w:t>subitems</w:t>
      </w:r>
      <w:proofErr w:type="spellEnd"/>
      <w:r w:rsidR="005405B3" w:rsidRPr="00DB4006">
        <w:rPr>
          <w:rStyle w:val="Referencingstyle"/>
          <w:b w:val="0"/>
          <w:i w:val="0"/>
          <w:sz w:val="22"/>
        </w:rPr>
        <w:t xml:space="preserve"> 10.20 and 10.21 is calculated by reference to the method contained in sections 6H and 6J. </w:t>
      </w:r>
      <w:r w:rsidR="009C0D72" w:rsidRPr="00DB4006">
        <w:rPr>
          <w:rStyle w:val="Referencingstyle"/>
          <w:b w:val="0"/>
          <w:i w:val="0"/>
          <w:sz w:val="22"/>
        </w:rPr>
        <w:t>This consequential amendment</w:t>
      </w:r>
      <w:r w:rsidR="00770801" w:rsidRPr="00DB4006">
        <w:rPr>
          <w:rStyle w:val="Referencingstyle"/>
          <w:b w:val="0"/>
          <w:i w:val="0"/>
          <w:sz w:val="22"/>
        </w:rPr>
        <w:t xml:space="preserve"> is contingent on the commencement of </w:t>
      </w:r>
      <w:r w:rsidR="0009643D">
        <w:rPr>
          <w:rStyle w:val="Referencingstyle"/>
          <w:b w:val="0"/>
          <w:i w:val="0"/>
          <w:sz w:val="22"/>
        </w:rPr>
        <w:t xml:space="preserve">Schedule 1 to </w:t>
      </w:r>
      <w:r w:rsidR="00770801" w:rsidRPr="00DB4006">
        <w:rPr>
          <w:rStyle w:val="Referencingstyle"/>
          <w:b w:val="0"/>
          <w:i w:val="0"/>
          <w:sz w:val="22"/>
        </w:rPr>
        <w:t xml:space="preserve">the </w:t>
      </w:r>
      <w:r w:rsidR="00770801" w:rsidRPr="0010437C">
        <w:rPr>
          <w:rStyle w:val="Referencingstyle"/>
          <w:b w:val="0"/>
          <w:sz w:val="22"/>
        </w:rPr>
        <w:t>E</w:t>
      </w:r>
      <w:r w:rsidR="004B7A07">
        <w:rPr>
          <w:rStyle w:val="Referencingstyle"/>
          <w:b w:val="0"/>
          <w:sz w:val="22"/>
        </w:rPr>
        <w:t>xcise Tariff Amendment (Ethanol and Biodiesel) Act 2015</w:t>
      </w:r>
      <w:r w:rsidR="00770801" w:rsidRPr="00DB4006">
        <w:rPr>
          <w:rStyle w:val="Referencingstyle"/>
          <w:b w:val="0"/>
          <w:i w:val="0"/>
          <w:sz w:val="22"/>
        </w:rPr>
        <w:t xml:space="preserve">. </w:t>
      </w:r>
      <w:r w:rsidR="00FD56EC">
        <w:rPr>
          <w:rStyle w:val="Referencingstyle"/>
        </w:rPr>
        <w:t>[</w:t>
      </w:r>
      <w:r w:rsidR="00F75BB0" w:rsidRPr="002B2990">
        <w:rPr>
          <w:rStyle w:val="Referencingstyle"/>
        </w:rPr>
        <w:t xml:space="preserve">Schedule </w:t>
      </w:r>
      <w:r w:rsidR="002B2990" w:rsidRPr="002B2990">
        <w:rPr>
          <w:rStyle w:val="Referencingstyle"/>
        </w:rPr>
        <w:t>2</w:t>
      </w:r>
      <w:r w:rsidR="00F75BB0" w:rsidRPr="00C02323">
        <w:rPr>
          <w:rStyle w:val="Referencingstyle"/>
        </w:rPr>
        <w:t xml:space="preserve"> of</w:t>
      </w:r>
      <w:r w:rsidR="00F75BB0" w:rsidRPr="00F75BB0">
        <w:rPr>
          <w:rStyle w:val="Referencingstyle"/>
        </w:rPr>
        <w:t xml:space="preserve"> the </w:t>
      </w:r>
      <w:r w:rsidR="00DB4006" w:rsidRPr="00DB4006">
        <w:rPr>
          <w:rStyle w:val="Referencingstyle"/>
        </w:rPr>
        <w:t xml:space="preserve">Excise Fuel Indexation Bill </w:t>
      </w:r>
      <w:r w:rsidR="00DB4006" w:rsidRPr="002B2990">
        <w:rPr>
          <w:rStyle w:val="Referencingstyle"/>
        </w:rPr>
        <w:t>2015</w:t>
      </w:r>
      <w:r w:rsidR="00F75BB0" w:rsidRPr="00C02323">
        <w:rPr>
          <w:rStyle w:val="Referencingstyle"/>
        </w:rPr>
        <w:t>, items</w:t>
      </w:r>
      <w:r w:rsidR="009C2BC8">
        <w:rPr>
          <w:rStyle w:val="Referencingstyle"/>
        </w:rPr>
        <w:t> </w:t>
      </w:r>
      <w:r w:rsidR="00F75BB0" w:rsidRPr="00C02323">
        <w:rPr>
          <w:rStyle w:val="Referencingstyle"/>
        </w:rPr>
        <w:t>1 and 2,</w:t>
      </w:r>
      <w:r w:rsidR="00F75BB0" w:rsidRPr="002B2990">
        <w:rPr>
          <w:rStyle w:val="Referencingstyle"/>
        </w:rPr>
        <w:t xml:space="preserve"> subsection</w:t>
      </w:r>
      <w:r w:rsidR="00F75BB0">
        <w:rPr>
          <w:rStyle w:val="Referencingstyle"/>
        </w:rPr>
        <w:t xml:space="preserve"> 6A(10) and subparagraph 6AAA(</w:t>
      </w:r>
      <w:r w:rsidR="00C02323">
        <w:rPr>
          <w:rStyle w:val="Referencingstyle"/>
        </w:rPr>
        <w:t>3)(a)(i</w:t>
      </w:r>
      <w:r w:rsidR="00F75BB0">
        <w:rPr>
          <w:rStyle w:val="Referencingstyle"/>
        </w:rPr>
        <w:t xml:space="preserve">i) </w:t>
      </w:r>
      <w:r w:rsidR="00F75BB0" w:rsidRPr="00F75BB0">
        <w:rPr>
          <w:rStyle w:val="Referencingstyle"/>
        </w:rPr>
        <w:t>of the Excise Tariff Act 1921</w:t>
      </w:r>
      <w:r w:rsidR="00FD56EC">
        <w:rPr>
          <w:rStyle w:val="Referencingstyle"/>
        </w:rPr>
        <w:t>]</w:t>
      </w:r>
    </w:p>
    <w:p w14:paraId="7AC985BF" w14:textId="77777777" w:rsidR="00966D51" w:rsidRPr="004B7A07" w:rsidRDefault="002018C0" w:rsidP="004B7A07">
      <w:pPr>
        <w:pStyle w:val="base-text-paragraph"/>
        <w:numPr>
          <w:ilvl w:val="1"/>
          <w:numId w:val="32"/>
        </w:numPr>
        <w:rPr>
          <w:rStyle w:val="Referencingstyle"/>
          <w:b w:val="0"/>
          <w:i w:val="0"/>
          <w:sz w:val="22"/>
        </w:rPr>
      </w:pPr>
      <w:r w:rsidRPr="004B7A07">
        <w:rPr>
          <w:rStyle w:val="Referencingstyle"/>
          <w:b w:val="0"/>
          <w:i w:val="0"/>
          <w:sz w:val="22"/>
        </w:rPr>
        <w:t>Amendments are also</w:t>
      </w:r>
      <w:r w:rsidR="00B50EA0" w:rsidRPr="004B7A07">
        <w:rPr>
          <w:rStyle w:val="Referencingstyle"/>
          <w:b w:val="0"/>
          <w:i w:val="0"/>
          <w:sz w:val="22"/>
        </w:rPr>
        <w:t xml:space="preserve"> made</w:t>
      </w:r>
      <w:r w:rsidRPr="004B7A07">
        <w:rPr>
          <w:rStyle w:val="Referencingstyle"/>
          <w:b w:val="0"/>
          <w:i w:val="0"/>
          <w:sz w:val="22"/>
        </w:rPr>
        <w:t xml:space="preserve"> </w:t>
      </w:r>
      <w:r w:rsidR="006267B6" w:rsidRPr="004B7A07">
        <w:rPr>
          <w:rStyle w:val="Referencingstyle"/>
          <w:b w:val="0"/>
          <w:i w:val="0"/>
          <w:sz w:val="22"/>
        </w:rPr>
        <w:t xml:space="preserve">which are </w:t>
      </w:r>
      <w:r w:rsidRPr="004B7A07">
        <w:rPr>
          <w:rStyle w:val="Referencingstyle"/>
          <w:b w:val="0"/>
          <w:i w:val="0"/>
          <w:sz w:val="22"/>
        </w:rPr>
        <w:t xml:space="preserve">contingent on the commencement of </w:t>
      </w:r>
      <w:r w:rsidR="009671D1">
        <w:rPr>
          <w:rStyle w:val="Referencingstyle"/>
          <w:b w:val="0"/>
          <w:i w:val="0"/>
          <w:sz w:val="22"/>
        </w:rPr>
        <w:t xml:space="preserve">Schedule 1 to </w:t>
      </w:r>
      <w:r w:rsidRPr="004B7A07">
        <w:rPr>
          <w:rStyle w:val="Referencingstyle"/>
          <w:b w:val="0"/>
          <w:i w:val="0"/>
          <w:sz w:val="22"/>
        </w:rPr>
        <w:t>t</w:t>
      </w:r>
      <w:r w:rsidR="00966D51" w:rsidRPr="004B7A07">
        <w:rPr>
          <w:rStyle w:val="Referencingstyle"/>
          <w:b w:val="0"/>
          <w:i w:val="0"/>
          <w:sz w:val="22"/>
        </w:rPr>
        <w:t>he</w:t>
      </w:r>
      <w:r w:rsidR="00FD56EC" w:rsidRPr="004B7A07">
        <w:rPr>
          <w:rStyle w:val="Referencingstyle"/>
          <w:b w:val="0"/>
          <w:i w:val="0"/>
          <w:sz w:val="22"/>
        </w:rPr>
        <w:t xml:space="preserve"> </w:t>
      </w:r>
      <w:r w:rsidR="004B7A07" w:rsidRPr="0009027A">
        <w:rPr>
          <w:rStyle w:val="Referencingstyle"/>
          <w:b w:val="0"/>
          <w:sz w:val="22"/>
        </w:rPr>
        <w:t>Excise Tariff Amendment (</w:t>
      </w:r>
      <w:r w:rsidR="004B7A07" w:rsidRPr="004B7A07">
        <w:rPr>
          <w:rStyle w:val="Referencingstyle"/>
          <w:b w:val="0"/>
          <w:sz w:val="22"/>
        </w:rPr>
        <w:t xml:space="preserve">Ethanol and Biodiesel) Act 2015 </w:t>
      </w:r>
      <w:r w:rsidR="004B7A07" w:rsidRPr="004B7A07">
        <w:rPr>
          <w:rStyle w:val="Referencingstyle"/>
          <w:b w:val="0"/>
          <w:i w:val="0"/>
          <w:sz w:val="22"/>
        </w:rPr>
        <w:t xml:space="preserve">and </w:t>
      </w:r>
      <w:r w:rsidR="001D68BF">
        <w:rPr>
          <w:rStyle w:val="Referencingstyle"/>
          <w:b w:val="0"/>
          <w:i w:val="0"/>
          <w:sz w:val="22"/>
        </w:rPr>
        <w:t xml:space="preserve">the </w:t>
      </w:r>
      <w:r w:rsidR="004B7A07" w:rsidRPr="0010437C">
        <w:rPr>
          <w:rStyle w:val="Referencingstyle"/>
          <w:b w:val="0"/>
          <w:sz w:val="22"/>
        </w:rPr>
        <w:t>Energy Grants and Other Legislation Amendment (Ethanol and Biodiesel) Act 2015</w:t>
      </w:r>
      <w:r w:rsidR="001D68BF">
        <w:rPr>
          <w:rStyle w:val="Referencingstyle"/>
          <w:b w:val="0"/>
          <w:i w:val="0"/>
          <w:sz w:val="22"/>
        </w:rPr>
        <w:t xml:space="preserve"> </w:t>
      </w:r>
      <w:r w:rsidR="009671D1">
        <w:rPr>
          <w:rStyle w:val="Referencingstyle"/>
          <w:b w:val="0"/>
          <w:i w:val="0"/>
          <w:sz w:val="22"/>
        </w:rPr>
        <w:t xml:space="preserve">respectively </w:t>
      </w:r>
      <w:r w:rsidR="00037058" w:rsidRPr="004B7A07">
        <w:rPr>
          <w:rStyle w:val="Referencingstyle"/>
          <w:b w:val="0"/>
          <w:i w:val="0"/>
          <w:sz w:val="22"/>
        </w:rPr>
        <w:t>to</w:t>
      </w:r>
      <w:r w:rsidRPr="004B7A07">
        <w:rPr>
          <w:rStyle w:val="Referencingstyle"/>
          <w:b w:val="0"/>
          <w:i w:val="0"/>
          <w:sz w:val="22"/>
        </w:rPr>
        <w:t>:</w:t>
      </w:r>
      <w:r w:rsidR="00FD56EC" w:rsidRPr="004B7A07">
        <w:rPr>
          <w:rStyle w:val="Referencingstyle"/>
          <w:b w:val="0"/>
          <w:i w:val="0"/>
          <w:sz w:val="22"/>
        </w:rPr>
        <w:t xml:space="preserve"> </w:t>
      </w:r>
    </w:p>
    <w:p w14:paraId="201CF40A" w14:textId="77777777" w:rsidR="00FD56EC" w:rsidRDefault="00754577" w:rsidP="0010437C">
      <w:pPr>
        <w:pStyle w:val="dotpoint"/>
        <w:tabs>
          <w:tab w:val="clear" w:pos="2268"/>
          <w:tab w:val="num" w:pos="1985"/>
        </w:tabs>
        <w:ind w:left="1985" w:hanging="284"/>
        <w:rPr>
          <w:rStyle w:val="Referencingstyle"/>
          <w:b w:val="0"/>
          <w:i w:val="0"/>
          <w:sz w:val="22"/>
        </w:rPr>
      </w:pPr>
      <w:r>
        <w:rPr>
          <w:rStyle w:val="Referencingstyle"/>
          <w:b w:val="0"/>
          <w:i w:val="0"/>
          <w:sz w:val="22"/>
        </w:rPr>
        <w:t>make minor changes to the</w:t>
      </w:r>
      <w:r w:rsidR="002018C0">
        <w:rPr>
          <w:rStyle w:val="Referencingstyle"/>
          <w:b w:val="0"/>
          <w:i w:val="0"/>
          <w:sz w:val="22"/>
        </w:rPr>
        <w:t xml:space="preserve"> note</w:t>
      </w:r>
      <w:r>
        <w:rPr>
          <w:rStyle w:val="Referencingstyle"/>
          <w:b w:val="0"/>
          <w:i w:val="0"/>
          <w:sz w:val="22"/>
        </w:rPr>
        <w:t>s</w:t>
      </w:r>
      <w:r w:rsidR="002018C0">
        <w:rPr>
          <w:rStyle w:val="Referencingstyle"/>
          <w:b w:val="0"/>
          <w:i w:val="0"/>
          <w:sz w:val="22"/>
        </w:rPr>
        <w:t xml:space="preserve"> </w:t>
      </w:r>
      <w:r w:rsidR="004129AB">
        <w:rPr>
          <w:rStyle w:val="Referencingstyle"/>
          <w:b w:val="0"/>
          <w:i w:val="0"/>
          <w:sz w:val="22"/>
        </w:rPr>
        <w:t>following</w:t>
      </w:r>
      <w:r w:rsidR="00FD56EC" w:rsidRPr="00966D51">
        <w:rPr>
          <w:rStyle w:val="Referencingstyle"/>
          <w:b w:val="0"/>
          <w:i w:val="0"/>
          <w:sz w:val="22"/>
        </w:rPr>
        <w:t xml:space="preserve"> subsection</w:t>
      </w:r>
      <w:r>
        <w:rPr>
          <w:rStyle w:val="Referencingstyle"/>
          <w:b w:val="0"/>
          <w:i w:val="0"/>
          <w:sz w:val="22"/>
        </w:rPr>
        <w:t>s</w:t>
      </w:r>
      <w:r w:rsidR="00FD56EC" w:rsidRPr="00966D51">
        <w:rPr>
          <w:rStyle w:val="Referencingstyle"/>
          <w:b w:val="0"/>
          <w:i w:val="0"/>
          <w:sz w:val="22"/>
        </w:rPr>
        <w:t xml:space="preserve"> 6H(1) and 6J(1) that are to be included in the </w:t>
      </w:r>
      <w:r w:rsidR="00FD56EC" w:rsidRPr="00966D51">
        <w:rPr>
          <w:rStyle w:val="Referencingstyle"/>
          <w:b w:val="0"/>
          <w:sz w:val="22"/>
        </w:rPr>
        <w:t>Excise Tariff Act 1921</w:t>
      </w:r>
      <w:r w:rsidR="00966D51" w:rsidRPr="00966D51">
        <w:rPr>
          <w:rStyle w:val="Referencingstyle"/>
          <w:b w:val="0"/>
          <w:i w:val="0"/>
          <w:sz w:val="22"/>
        </w:rPr>
        <w:t xml:space="preserve"> by the Excise Tariff Amendment (Ethanol and Biodiesel) </w:t>
      </w:r>
      <w:r w:rsidR="004129AB">
        <w:rPr>
          <w:rStyle w:val="Referencingstyle"/>
          <w:b w:val="0"/>
          <w:i w:val="0"/>
          <w:sz w:val="22"/>
        </w:rPr>
        <w:t>Bill</w:t>
      </w:r>
      <w:r w:rsidR="00966D51" w:rsidRPr="00966D51">
        <w:rPr>
          <w:rStyle w:val="Referencingstyle"/>
          <w:b w:val="0"/>
          <w:i w:val="0"/>
          <w:sz w:val="22"/>
        </w:rPr>
        <w:t xml:space="preserve"> 2015</w:t>
      </w:r>
      <w:r w:rsidR="00966D51">
        <w:rPr>
          <w:rStyle w:val="Referencingstyle"/>
          <w:b w:val="0"/>
          <w:i w:val="0"/>
          <w:sz w:val="22"/>
        </w:rPr>
        <w:t>; and</w:t>
      </w:r>
    </w:p>
    <w:p w14:paraId="11CADCA8" w14:textId="77777777" w:rsidR="00966D51" w:rsidRDefault="00754577" w:rsidP="0010437C">
      <w:pPr>
        <w:pStyle w:val="dotpoint"/>
        <w:tabs>
          <w:tab w:val="left" w:pos="1985"/>
        </w:tabs>
        <w:ind w:left="1985" w:hanging="284"/>
        <w:rPr>
          <w:rStyle w:val="Referencingstyle"/>
          <w:b w:val="0"/>
          <w:i w:val="0"/>
          <w:sz w:val="22"/>
        </w:rPr>
      </w:pPr>
      <w:r>
        <w:rPr>
          <w:rStyle w:val="Referencingstyle"/>
          <w:b w:val="0"/>
          <w:i w:val="0"/>
          <w:sz w:val="22"/>
        </w:rPr>
        <w:t>reflect that</w:t>
      </w:r>
      <w:r w:rsidR="00E3224B" w:rsidRPr="00E3224B">
        <w:rPr>
          <w:b/>
          <w:i/>
        </w:rPr>
        <w:t xml:space="preserve"> </w:t>
      </w:r>
      <w:r w:rsidR="00E3224B">
        <w:rPr>
          <w:rStyle w:val="Referencingstyle"/>
          <w:b w:val="0"/>
          <w:i w:val="0"/>
          <w:sz w:val="22"/>
        </w:rPr>
        <w:t xml:space="preserve">grants will no longer be paid under the </w:t>
      </w:r>
      <w:r w:rsidR="00E3224B" w:rsidRPr="00754577">
        <w:rPr>
          <w:rStyle w:val="Referencingstyle"/>
          <w:b w:val="0"/>
          <w:sz w:val="22"/>
        </w:rPr>
        <w:t>Energy Grants (Cleaner Fuels) Scheme Act 2004</w:t>
      </w:r>
      <w:r w:rsidR="00E3224B">
        <w:rPr>
          <w:rStyle w:val="Referencingstyle"/>
          <w:b w:val="0"/>
          <w:i w:val="0"/>
          <w:sz w:val="22"/>
        </w:rPr>
        <w:t xml:space="preserve"> from 1 July 2015 as a result of</w:t>
      </w:r>
      <w:r w:rsidR="00FC2DDD">
        <w:rPr>
          <w:rStyle w:val="Referencingstyle"/>
          <w:b w:val="0"/>
          <w:i w:val="0"/>
          <w:sz w:val="22"/>
        </w:rPr>
        <w:t xml:space="preserve"> the</w:t>
      </w:r>
      <w:r w:rsidR="00E3224B">
        <w:rPr>
          <w:rStyle w:val="Referencingstyle"/>
          <w:b w:val="0"/>
          <w:i w:val="0"/>
          <w:sz w:val="22"/>
        </w:rPr>
        <w:t xml:space="preserve"> intended repeal of that Act</w:t>
      </w:r>
      <w:r>
        <w:rPr>
          <w:rStyle w:val="Referencingstyle"/>
          <w:b w:val="0"/>
          <w:i w:val="0"/>
          <w:sz w:val="22"/>
        </w:rPr>
        <w:t xml:space="preserve"> </w:t>
      </w:r>
      <w:r w:rsidR="00E3224B">
        <w:rPr>
          <w:rStyle w:val="Referencingstyle"/>
          <w:b w:val="0"/>
          <w:i w:val="0"/>
          <w:sz w:val="22"/>
        </w:rPr>
        <w:t xml:space="preserve">and therefore will not </w:t>
      </w:r>
      <w:r w:rsidR="00FC2DDD">
        <w:rPr>
          <w:rStyle w:val="Referencingstyle"/>
          <w:b w:val="0"/>
          <w:i w:val="0"/>
          <w:sz w:val="22"/>
        </w:rPr>
        <w:t xml:space="preserve">be included from 1 July 2015 in </w:t>
      </w:r>
      <w:r w:rsidR="00966D51">
        <w:rPr>
          <w:rStyle w:val="Referencingstyle"/>
          <w:b w:val="0"/>
          <w:i w:val="0"/>
          <w:sz w:val="22"/>
        </w:rPr>
        <w:t xml:space="preserve">the calculation of the fuel indexation amount to be transferred to the </w:t>
      </w:r>
      <w:proofErr w:type="spellStart"/>
      <w:r w:rsidR="00966D51">
        <w:rPr>
          <w:rStyle w:val="Referencingstyle"/>
          <w:b w:val="0"/>
          <w:i w:val="0"/>
          <w:sz w:val="22"/>
        </w:rPr>
        <w:t>COAG</w:t>
      </w:r>
      <w:proofErr w:type="spellEnd"/>
      <w:r w:rsidR="00966D51">
        <w:rPr>
          <w:rStyle w:val="Referencingstyle"/>
          <w:b w:val="0"/>
          <w:i w:val="0"/>
          <w:sz w:val="22"/>
        </w:rPr>
        <w:t xml:space="preserve"> Reform Fund</w:t>
      </w:r>
      <w:r w:rsidR="00FC2DDD">
        <w:rPr>
          <w:rStyle w:val="Referencingstyle"/>
          <w:b w:val="0"/>
          <w:i w:val="0"/>
          <w:sz w:val="22"/>
        </w:rPr>
        <w:t>.</w:t>
      </w:r>
    </w:p>
    <w:p w14:paraId="2E7FD546" w14:textId="268C36F5" w:rsidR="00386C93" w:rsidRDefault="00386C93" w:rsidP="0010437C">
      <w:pPr>
        <w:pStyle w:val="dotpoint"/>
        <w:numPr>
          <w:ilvl w:val="0"/>
          <w:numId w:val="0"/>
        </w:numPr>
        <w:ind w:left="1134"/>
      </w:pPr>
      <w:r w:rsidRPr="002B2990">
        <w:rPr>
          <w:rStyle w:val="Referencingstyle"/>
        </w:rPr>
        <w:t xml:space="preserve">[Schedule </w:t>
      </w:r>
      <w:r w:rsidR="00814F9F" w:rsidRPr="00C02323">
        <w:rPr>
          <w:rStyle w:val="Referencingstyle"/>
        </w:rPr>
        <w:t>2</w:t>
      </w:r>
      <w:r w:rsidRPr="00814F9F">
        <w:rPr>
          <w:rStyle w:val="Referencingstyle"/>
        </w:rPr>
        <w:t xml:space="preserve"> of</w:t>
      </w:r>
      <w:r>
        <w:rPr>
          <w:rStyle w:val="Referencingstyle"/>
        </w:rPr>
        <w:t xml:space="preserve"> the </w:t>
      </w:r>
      <w:r w:rsidR="00DB4006" w:rsidRPr="00DB4006">
        <w:rPr>
          <w:rStyle w:val="Referencingstyle"/>
        </w:rPr>
        <w:t>Excise Fuel Indexation Bill 2015</w:t>
      </w:r>
      <w:r>
        <w:rPr>
          <w:rStyle w:val="Referencingstyle"/>
        </w:rPr>
        <w:t xml:space="preserve">, </w:t>
      </w:r>
      <w:r w:rsidR="001D68BF">
        <w:rPr>
          <w:rStyle w:val="Referencingstyle"/>
        </w:rPr>
        <w:t>item</w:t>
      </w:r>
      <w:r w:rsidR="009C2BC8">
        <w:rPr>
          <w:rStyle w:val="Referencingstyle"/>
        </w:rPr>
        <w:t>s</w:t>
      </w:r>
      <w:r w:rsidRPr="002B2990">
        <w:rPr>
          <w:rStyle w:val="Referencingstyle"/>
        </w:rPr>
        <w:t xml:space="preserve"> 3 and 4</w:t>
      </w:r>
      <w:r w:rsidRPr="00C02323">
        <w:rPr>
          <w:rStyle w:val="Referencingstyle"/>
        </w:rPr>
        <w:t>,</w:t>
      </w:r>
      <w:r>
        <w:rPr>
          <w:rStyle w:val="Referencingstyle"/>
        </w:rPr>
        <w:t xml:space="preserve"> notes at the end of subsections 6H(1) and 6J(1) of the Excise Tariff Act 1921, </w:t>
      </w:r>
      <w:r w:rsidRPr="00313C0A">
        <w:rPr>
          <w:rStyle w:val="Referencingstyle"/>
        </w:rPr>
        <w:t xml:space="preserve">Schedule 1 of </w:t>
      </w:r>
      <w:r w:rsidRPr="00386C93">
        <w:rPr>
          <w:rStyle w:val="Referencingstyle"/>
        </w:rPr>
        <w:t>Fuel Indexation Consequential Bill 2015</w:t>
      </w:r>
      <w:r>
        <w:rPr>
          <w:rStyle w:val="Referencingstyle"/>
        </w:rPr>
        <w:t>, item 3</w:t>
      </w:r>
      <w:r w:rsidRPr="00313C0A">
        <w:rPr>
          <w:rStyle w:val="Referencingstyle"/>
        </w:rPr>
        <w:t>,</w:t>
      </w:r>
      <w:r>
        <w:rPr>
          <w:rStyle w:val="Referencingstyle"/>
        </w:rPr>
        <w:t xml:space="preserve"> </w:t>
      </w:r>
      <w:r w:rsidR="00C64C01">
        <w:rPr>
          <w:rStyle w:val="Referencingstyle"/>
        </w:rPr>
        <w:t>sub</w:t>
      </w:r>
      <w:r>
        <w:rPr>
          <w:rStyle w:val="Referencingstyle"/>
        </w:rPr>
        <w:t>paragraph 9(2)(b)</w:t>
      </w:r>
      <w:r w:rsidR="00C64C01">
        <w:rPr>
          <w:rStyle w:val="Referencingstyle"/>
        </w:rPr>
        <w:t>(</w:t>
      </w:r>
      <w:proofErr w:type="spellStart"/>
      <w:r w:rsidR="00C64C01">
        <w:rPr>
          <w:rStyle w:val="Referencingstyle"/>
        </w:rPr>
        <w:t>i</w:t>
      </w:r>
      <w:proofErr w:type="spellEnd"/>
      <w:r w:rsidR="00C64C01">
        <w:rPr>
          <w:rStyle w:val="Referencingstyle"/>
        </w:rPr>
        <w:t>)</w:t>
      </w:r>
      <w:r>
        <w:rPr>
          <w:rStyle w:val="Referencingstyle"/>
        </w:rPr>
        <w:t xml:space="preserve"> </w:t>
      </w:r>
      <w:r w:rsidR="001D68BF" w:rsidRPr="004900A0">
        <w:rPr>
          <w:rStyle w:val="Referencingstyle"/>
        </w:rPr>
        <w:t>of the</w:t>
      </w:r>
      <w:r>
        <w:rPr>
          <w:rStyle w:val="Referencingstyle"/>
        </w:rPr>
        <w:t xml:space="preserve"> </w:t>
      </w:r>
      <w:r w:rsidRPr="00386C93">
        <w:rPr>
          <w:rStyle w:val="Referencingstyle"/>
        </w:rPr>
        <w:t>Fuel Indexation Special Account Bill 2015</w:t>
      </w:r>
      <w:r>
        <w:rPr>
          <w:rStyle w:val="Referencingstyle"/>
        </w:rPr>
        <w:t>]</w:t>
      </w:r>
      <w:r w:rsidR="001C5526">
        <w:rPr>
          <w:rStyle w:val="Referencingstyle"/>
        </w:rPr>
        <w:t xml:space="preserve"> </w:t>
      </w:r>
    </w:p>
    <w:p w14:paraId="7925B9C4" w14:textId="77777777" w:rsidR="00B50EA0" w:rsidRPr="006B5DA9" w:rsidRDefault="00B50EA0" w:rsidP="009374C4">
      <w:pPr>
        <w:pStyle w:val="base-text-paragraph"/>
        <w:keepNext/>
        <w:keepLines/>
        <w:numPr>
          <w:ilvl w:val="1"/>
          <w:numId w:val="32"/>
        </w:numPr>
        <w:spacing w:before="80" w:after="80"/>
        <w:rPr>
          <w:rStyle w:val="Referencingstyle"/>
          <w:b w:val="0"/>
          <w:i w:val="0"/>
          <w:sz w:val="22"/>
        </w:rPr>
      </w:pPr>
      <w:r>
        <w:t xml:space="preserve">A transitional provision is also included to ensure that </w:t>
      </w:r>
      <w:r w:rsidR="006255B4" w:rsidRPr="006255B4">
        <w:t>the calculation of the fuel indexation amount to be transferr</w:t>
      </w:r>
      <w:r w:rsidR="006255B4">
        <w:t xml:space="preserve">ed to the </w:t>
      </w:r>
      <w:proofErr w:type="spellStart"/>
      <w:r w:rsidR="006255B4">
        <w:t>COAG</w:t>
      </w:r>
      <w:proofErr w:type="spellEnd"/>
      <w:r w:rsidR="009C2BC8">
        <w:t> </w:t>
      </w:r>
      <w:r w:rsidR="006255B4">
        <w:t>Reform Fund will co</w:t>
      </w:r>
      <w:r w:rsidR="00E3224B">
        <w:t>ntinue to take into account</w:t>
      </w:r>
      <w:r w:rsidR="006255B4">
        <w:t xml:space="preserve"> any provisional </w:t>
      </w:r>
      <w:r w:rsidR="00252FE9">
        <w:t xml:space="preserve">entitlement to </w:t>
      </w:r>
      <w:r w:rsidR="006255B4">
        <w:t>grant</w:t>
      </w:r>
      <w:r w:rsidR="00252FE9">
        <w:t>s</w:t>
      </w:r>
      <w:r w:rsidR="006255B4">
        <w:t xml:space="preserve"> under </w:t>
      </w:r>
      <w:r w:rsidR="006255B4" w:rsidRPr="006B5DA9">
        <w:t>the</w:t>
      </w:r>
      <w:r w:rsidR="006255B4" w:rsidRPr="0010437C">
        <w:rPr>
          <w:i/>
        </w:rPr>
        <w:t xml:space="preserve"> Energy Grants (Cleaner Fuels) Scheme Act</w:t>
      </w:r>
      <w:r w:rsidR="009C2BC8">
        <w:rPr>
          <w:i/>
        </w:rPr>
        <w:t> </w:t>
      </w:r>
      <w:r w:rsidR="006255B4" w:rsidRPr="0010437C">
        <w:rPr>
          <w:i/>
        </w:rPr>
        <w:t>2004</w:t>
      </w:r>
      <w:r w:rsidR="006255B4" w:rsidRPr="006255B4">
        <w:t xml:space="preserve"> </w:t>
      </w:r>
      <w:r w:rsidR="006255B4">
        <w:t>that arose prior to</w:t>
      </w:r>
      <w:r w:rsidR="006255B4" w:rsidRPr="006255B4">
        <w:t xml:space="preserve"> 1 July 2015</w:t>
      </w:r>
      <w:r w:rsidR="006255B4">
        <w:t xml:space="preserve">. This ensures that where grants are paid after 30 June 2015 in recognition of an entitlement that existed prior to the repeal of the grant scheme, then these grants will be correctly taken into account in determining the fuel indexation amount to be transferred to the </w:t>
      </w:r>
      <w:proofErr w:type="spellStart"/>
      <w:r w:rsidR="006255B4">
        <w:t>COAG</w:t>
      </w:r>
      <w:proofErr w:type="spellEnd"/>
      <w:r w:rsidR="006255B4">
        <w:t xml:space="preserve"> Reform Fund</w:t>
      </w:r>
      <w:r w:rsidR="006B5DA9">
        <w:t xml:space="preserve">. The operation of the transitional provision is contingent on the commencement of the </w:t>
      </w:r>
      <w:r w:rsidR="006B5DA9" w:rsidRPr="0010437C">
        <w:rPr>
          <w:i/>
        </w:rPr>
        <w:t>Energy Grants and Other Legislation Amendment (Ethanol and Biodiesel) Act 2015</w:t>
      </w:r>
      <w:r w:rsidR="006B5DA9" w:rsidRPr="006B5DA9">
        <w:rPr>
          <w:i/>
        </w:rPr>
        <w:t xml:space="preserve"> </w:t>
      </w:r>
      <w:r w:rsidR="006B5DA9">
        <w:t xml:space="preserve">which </w:t>
      </w:r>
      <w:r w:rsidR="009671D1">
        <w:t xml:space="preserve">will </w:t>
      </w:r>
      <w:r w:rsidR="006B5DA9">
        <w:t>re</w:t>
      </w:r>
      <w:r w:rsidR="009671D1">
        <w:t>peal</w:t>
      </w:r>
      <w:r w:rsidR="006B5DA9">
        <w:t xml:space="preserve"> the </w:t>
      </w:r>
      <w:r w:rsidR="006B5DA9" w:rsidRPr="0010437C">
        <w:rPr>
          <w:i/>
        </w:rPr>
        <w:t>Energy Grants (Cleaner Fuels) Scheme Act 2004</w:t>
      </w:r>
      <w:r w:rsidR="006255B4" w:rsidRPr="0010437C">
        <w:rPr>
          <w:rStyle w:val="Referencingstyle"/>
        </w:rPr>
        <w:t>.</w:t>
      </w:r>
      <w:r w:rsidRPr="00F374EF">
        <w:rPr>
          <w:rStyle w:val="Referencingstyle"/>
        </w:rPr>
        <w:t xml:space="preserve"> </w:t>
      </w:r>
      <w:r w:rsidR="006255B4" w:rsidRPr="00AE05B0">
        <w:rPr>
          <w:rStyle w:val="Referencingstyle"/>
        </w:rPr>
        <w:t xml:space="preserve">[Schedule </w:t>
      </w:r>
      <w:r w:rsidR="006255B4" w:rsidRPr="004900A0">
        <w:rPr>
          <w:rStyle w:val="Referencingstyle"/>
        </w:rPr>
        <w:t>1</w:t>
      </w:r>
      <w:r w:rsidR="006255B4" w:rsidRPr="00C076E9">
        <w:rPr>
          <w:rStyle w:val="Referencingstyle"/>
          <w:i w:val="0"/>
        </w:rPr>
        <w:t xml:space="preserve"> </w:t>
      </w:r>
      <w:r w:rsidR="006255B4" w:rsidRPr="00F310D7">
        <w:rPr>
          <w:rStyle w:val="Referencingstyle"/>
        </w:rPr>
        <w:t>of</w:t>
      </w:r>
      <w:r w:rsidR="001D68BF" w:rsidRPr="004900A0">
        <w:rPr>
          <w:rStyle w:val="Referencingstyle"/>
        </w:rPr>
        <w:t xml:space="preserve"> the</w:t>
      </w:r>
      <w:r w:rsidR="006255B4" w:rsidRPr="00F374EF">
        <w:rPr>
          <w:rStyle w:val="Referencingstyle"/>
        </w:rPr>
        <w:t xml:space="preserve"> Fuel Indexation</w:t>
      </w:r>
      <w:r w:rsidR="006255B4" w:rsidRPr="006255B4">
        <w:rPr>
          <w:rStyle w:val="Referencingstyle"/>
        </w:rPr>
        <w:t xml:space="preserve"> Consequential Bill 2015, item </w:t>
      </w:r>
      <w:r w:rsidR="006255B4">
        <w:rPr>
          <w:rStyle w:val="Referencingstyle"/>
        </w:rPr>
        <w:t>4</w:t>
      </w:r>
      <w:r w:rsidR="006255B4" w:rsidRPr="00F374EF">
        <w:rPr>
          <w:rStyle w:val="Referencingstyle"/>
        </w:rPr>
        <w:t>]</w:t>
      </w:r>
      <w:r w:rsidR="001C5526">
        <w:rPr>
          <w:rStyle w:val="Referencingstyle"/>
          <w:b w:val="0"/>
          <w:i w:val="0"/>
          <w:sz w:val="22"/>
        </w:rPr>
        <w:t xml:space="preserve"> </w:t>
      </w:r>
    </w:p>
    <w:p w14:paraId="37547E27" w14:textId="77777777" w:rsidR="00DF600C" w:rsidRDefault="00DF600C" w:rsidP="009374C4">
      <w:pPr>
        <w:pStyle w:val="Heading2"/>
        <w:spacing w:before="360"/>
      </w:pPr>
      <w:r>
        <w:t>Application and transitional provisions</w:t>
      </w:r>
    </w:p>
    <w:p w14:paraId="3F7871DD" w14:textId="77777777" w:rsidR="00DF600C" w:rsidRDefault="00DF600C" w:rsidP="00DF600C">
      <w:pPr>
        <w:pStyle w:val="Heading3"/>
      </w:pPr>
      <w:r>
        <w:t>Application provisions</w:t>
      </w:r>
    </w:p>
    <w:p w14:paraId="0AB50102" w14:textId="77777777" w:rsidR="00A84230" w:rsidRDefault="00A84230" w:rsidP="00A84230">
      <w:pPr>
        <w:pStyle w:val="Heading4"/>
      </w:pPr>
      <w:r>
        <w:t>Fuel duty (other than gaseous fuel</w:t>
      </w:r>
      <w:r w:rsidR="00535124">
        <w:t>s</w:t>
      </w:r>
      <w:r>
        <w:t>)</w:t>
      </w:r>
    </w:p>
    <w:p w14:paraId="5CF45569" w14:textId="77777777" w:rsidR="00A84230" w:rsidRPr="00DA0DB4" w:rsidRDefault="00A84230" w:rsidP="009374C4">
      <w:pPr>
        <w:pStyle w:val="base-text-paragraph"/>
        <w:numPr>
          <w:ilvl w:val="1"/>
          <w:numId w:val="32"/>
        </w:numPr>
        <w:spacing w:before="80" w:after="80"/>
        <w:rPr>
          <w:rStyle w:val="Referencingstyle"/>
          <w:b w:val="0"/>
          <w:i w:val="0"/>
          <w:sz w:val="22"/>
        </w:rPr>
      </w:pPr>
      <w:r>
        <w:t xml:space="preserve">The </w:t>
      </w:r>
      <w:r w:rsidR="00B91D9C">
        <w:t xml:space="preserve">set </w:t>
      </w:r>
      <w:r>
        <w:t>rate of excise and excise</w:t>
      </w:r>
      <w:r>
        <w:noBreakHyphen/>
        <w:t>equivalent customs duty on fuel (other than gaseous fuel</w:t>
      </w:r>
      <w:r w:rsidR="00535124">
        <w:t>s</w:t>
      </w:r>
      <w:r>
        <w:t xml:space="preserve">) </w:t>
      </w:r>
      <w:r w:rsidR="00B91D9C">
        <w:t>of</w:t>
      </w:r>
      <w:r>
        <w:t xml:space="preserve"> $0.386 per litre applies from 10</w:t>
      </w:r>
      <w:r w:rsidR="005556F4">
        <w:t> </w:t>
      </w:r>
      <w:r>
        <w:t xml:space="preserve">November 2014 until </w:t>
      </w:r>
      <w:r w:rsidR="00B91D9C">
        <w:t xml:space="preserve">1 February </w:t>
      </w:r>
      <w:r>
        <w:t>2015.</w:t>
      </w:r>
      <w:r w:rsidR="009635E7">
        <w:t xml:space="preserve"> </w:t>
      </w:r>
      <w:r>
        <w:rPr>
          <w:rStyle w:val="Referencingstyle"/>
        </w:rPr>
        <w:t>[Schedule 1</w:t>
      </w:r>
      <w:r w:rsidR="00237B02">
        <w:rPr>
          <w:rStyle w:val="Referencingstyle"/>
        </w:rPr>
        <w:t>, clause 2</w:t>
      </w:r>
      <w:r>
        <w:rPr>
          <w:rStyle w:val="Referencingstyle"/>
        </w:rPr>
        <w:t xml:space="preserve"> of </w:t>
      </w:r>
      <w:r w:rsidR="00237B02">
        <w:rPr>
          <w:rStyle w:val="Referencingstyle"/>
        </w:rPr>
        <w:t xml:space="preserve">the </w:t>
      </w:r>
      <w:r>
        <w:rPr>
          <w:rStyle w:val="Referencingstyle"/>
        </w:rPr>
        <w:t xml:space="preserve">Excise Fuel Indexation Bill 2015, </w:t>
      </w:r>
      <w:r w:rsidR="00C375E6">
        <w:rPr>
          <w:rStyle w:val="Referencingstyle"/>
        </w:rPr>
        <w:t>Schedule 1, item</w:t>
      </w:r>
      <w:r w:rsidR="00237B02">
        <w:rPr>
          <w:rStyle w:val="Referencingstyle"/>
        </w:rPr>
        <w:t xml:space="preserve"> 2</w:t>
      </w:r>
      <w:r>
        <w:rPr>
          <w:rStyle w:val="Referencingstyle"/>
        </w:rPr>
        <w:t xml:space="preserve"> of the Cu</w:t>
      </w:r>
      <w:r w:rsidR="00237B02">
        <w:rPr>
          <w:rStyle w:val="Referencingstyle"/>
        </w:rPr>
        <w:t>stoms Fuel Indexation Bill 2015</w:t>
      </w:r>
      <w:r>
        <w:rPr>
          <w:rStyle w:val="Referencingstyle"/>
        </w:rPr>
        <w:t>]</w:t>
      </w:r>
    </w:p>
    <w:p w14:paraId="247D7304" w14:textId="77777777" w:rsidR="00DA0DB4" w:rsidRPr="00CD6B8F" w:rsidRDefault="00D239DF" w:rsidP="009374C4">
      <w:pPr>
        <w:pStyle w:val="base-text-paragraph"/>
        <w:numPr>
          <w:ilvl w:val="1"/>
          <w:numId w:val="32"/>
        </w:numPr>
        <w:spacing w:before="80" w:after="80"/>
        <w:rPr>
          <w:rStyle w:val="Referencingstyle"/>
          <w:b w:val="0"/>
          <w:i w:val="0"/>
          <w:sz w:val="22"/>
        </w:rPr>
      </w:pPr>
      <w:r>
        <w:t xml:space="preserve">Due to the effect in the delay of publication of the index number for the December 2014 quarter, </w:t>
      </w:r>
      <w:r w:rsidR="00DA0DB4">
        <w:t>CPI indexation of excise and excise</w:t>
      </w:r>
      <w:r w:rsidR="00DA0DB4">
        <w:noBreakHyphen/>
        <w:t xml:space="preserve">equivalent customs duty on fuel applies </w:t>
      </w:r>
      <w:r w:rsidR="004511B0">
        <w:t>to goods manufactured or produced in Australia, or imported into Australia</w:t>
      </w:r>
      <w:r w:rsidR="00D807BB">
        <w:t>,</w:t>
      </w:r>
      <w:r w:rsidR="004511B0">
        <w:t xml:space="preserve"> after </w:t>
      </w:r>
      <w:r w:rsidR="000B2C7A">
        <w:t>1</w:t>
      </w:r>
      <w:r w:rsidR="009635E7">
        <w:t xml:space="preserve"> February</w:t>
      </w:r>
      <w:r w:rsidR="004511B0">
        <w:t xml:space="preserve"> 2015</w:t>
      </w:r>
      <w:r w:rsidR="00FD0353">
        <w:t>.</w:t>
      </w:r>
      <w:r w:rsidR="00327224">
        <w:rPr>
          <w:rStyle w:val="FootnoteReference"/>
        </w:rPr>
        <w:footnoteReference w:id="22"/>
      </w:r>
      <w:r w:rsidR="004511B0">
        <w:t xml:space="preserve"> It also applies to goods imported into Australia, or manufactured or produced in Australia before </w:t>
      </w:r>
      <w:r w:rsidR="000B2C7A">
        <w:t>1</w:t>
      </w:r>
      <w:r w:rsidR="009635E7">
        <w:t xml:space="preserve"> February 2015</w:t>
      </w:r>
      <w:r w:rsidR="004511B0">
        <w:t xml:space="preserve"> on which no duty has been paid, and on </w:t>
      </w:r>
      <w:r w:rsidR="000B2C7A">
        <w:t>1</w:t>
      </w:r>
      <w:r w:rsidR="009635E7">
        <w:t xml:space="preserve"> February</w:t>
      </w:r>
      <w:r w:rsidR="004511B0">
        <w:t xml:space="preserve"> 2015 the goods either were subject to the </w:t>
      </w:r>
      <w:r w:rsidR="00CD6B8F" w:rsidRPr="00CD6B8F">
        <w:t>Comptroller-General of Custom</w:t>
      </w:r>
      <w:r w:rsidR="004511B0">
        <w:t>’s control, or were in the stock, custody or possession of, or belonged to, a manufacturer or producer of the goods.</w:t>
      </w:r>
      <w:r w:rsidR="00CE4C00">
        <w:t xml:space="preserve"> </w:t>
      </w:r>
      <w:r w:rsidR="00CE4C00">
        <w:rPr>
          <w:rStyle w:val="Referencingstyle"/>
        </w:rPr>
        <w:t>[</w:t>
      </w:r>
      <w:r w:rsidR="00CE4C00" w:rsidRPr="00054B31">
        <w:rPr>
          <w:rStyle w:val="Referencingstyle"/>
        </w:rPr>
        <w:t xml:space="preserve">Schedule </w:t>
      </w:r>
      <w:r w:rsidR="00CE4C00">
        <w:rPr>
          <w:rStyle w:val="Referencingstyle"/>
        </w:rPr>
        <w:t>1</w:t>
      </w:r>
      <w:r w:rsidR="00237B02">
        <w:rPr>
          <w:rStyle w:val="Referencingstyle"/>
        </w:rPr>
        <w:t>, item 30</w:t>
      </w:r>
      <w:r w:rsidR="00CE4C00">
        <w:rPr>
          <w:rStyle w:val="Referencingstyle"/>
        </w:rPr>
        <w:t xml:space="preserve"> of </w:t>
      </w:r>
      <w:r w:rsidR="00237B02">
        <w:rPr>
          <w:rStyle w:val="Referencingstyle"/>
        </w:rPr>
        <w:t xml:space="preserve">the </w:t>
      </w:r>
      <w:r w:rsidR="00CE4C00">
        <w:rPr>
          <w:rStyle w:val="Referencingstyle"/>
        </w:rPr>
        <w:t>Excise Fuel Indexation Bill 2015</w:t>
      </w:r>
      <w:r w:rsidR="00CE4C00" w:rsidRPr="00054B31">
        <w:rPr>
          <w:rStyle w:val="Referencingstyle"/>
        </w:rPr>
        <w:t xml:space="preserve">, </w:t>
      </w:r>
      <w:r w:rsidR="00237B02">
        <w:rPr>
          <w:rStyle w:val="Referencingstyle"/>
        </w:rPr>
        <w:t xml:space="preserve">Schedule 1, item 12 </w:t>
      </w:r>
      <w:r w:rsidR="00CE4C00">
        <w:rPr>
          <w:rStyle w:val="Referencingstyle"/>
        </w:rPr>
        <w:t>of the Customs Fuel Indexation Bill</w:t>
      </w:r>
      <w:r w:rsidR="00237B02">
        <w:rPr>
          <w:rStyle w:val="Referencingstyle"/>
        </w:rPr>
        <w:t xml:space="preserve"> </w:t>
      </w:r>
      <w:r w:rsidR="00CE4C00">
        <w:rPr>
          <w:rStyle w:val="Referencingstyle"/>
        </w:rPr>
        <w:t>2015</w:t>
      </w:r>
      <w:r w:rsidR="00CE4C00" w:rsidRPr="00864537">
        <w:rPr>
          <w:rStyle w:val="Referencingstyle"/>
        </w:rPr>
        <w:t>]</w:t>
      </w:r>
    </w:p>
    <w:p w14:paraId="7A9F1886" w14:textId="77777777" w:rsidR="00AD586E" w:rsidRPr="00DC5949" w:rsidRDefault="00AD586E" w:rsidP="009374C4">
      <w:pPr>
        <w:pStyle w:val="base-text-paragraph"/>
        <w:numPr>
          <w:ilvl w:val="1"/>
          <w:numId w:val="32"/>
        </w:numPr>
        <w:spacing w:before="80" w:after="80"/>
        <w:rPr>
          <w:rStyle w:val="Referencingstyle"/>
          <w:b w:val="0"/>
          <w:i w:val="0"/>
          <w:sz w:val="22"/>
        </w:rPr>
      </w:pPr>
      <w:r>
        <w:t>CPI indexation of excise</w:t>
      </w:r>
      <w:r>
        <w:noBreakHyphen/>
        <w:t xml:space="preserve">equivalent customs duty applies to </w:t>
      </w:r>
      <w:r w:rsidR="0097117B">
        <w:t xml:space="preserve">imported fuel </w:t>
      </w:r>
      <w:r>
        <w:t>ethanol for use as fuel in an internal combustion engine</w:t>
      </w:r>
      <w:r w:rsidR="00B91D9C">
        <w:t xml:space="preserve"> from the </w:t>
      </w:r>
      <w:r w:rsidR="00C768A5">
        <w:t>seventh</w:t>
      </w:r>
      <w:r w:rsidR="00B91D9C">
        <w:t xml:space="preserve"> day after </w:t>
      </w:r>
      <w:r w:rsidR="00C768A5">
        <w:t xml:space="preserve">the day of </w:t>
      </w:r>
      <w:r w:rsidR="00B91D9C">
        <w:t>Royal Assent</w:t>
      </w:r>
      <w:r>
        <w:t>.</w:t>
      </w:r>
      <w:r w:rsidR="00D807BB">
        <w:t xml:space="preserve"> Indexation was not applied to </w:t>
      </w:r>
      <w:r w:rsidR="00464F36">
        <w:t xml:space="preserve">excise-equivalent customs duty for </w:t>
      </w:r>
      <w:r w:rsidR="00C768A5">
        <w:t xml:space="preserve">fuel </w:t>
      </w:r>
      <w:r w:rsidR="00D807BB">
        <w:t>ethanol as part of the Tariff Proposals.</w:t>
      </w:r>
      <w:r w:rsidR="008224B9">
        <w:t xml:space="preserve"> </w:t>
      </w:r>
      <w:r w:rsidR="008224B9" w:rsidRPr="00E87349">
        <w:rPr>
          <w:rStyle w:val="Referencingstyle"/>
        </w:rPr>
        <w:t xml:space="preserve">[Schedule 2, </w:t>
      </w:r>
      <w:r w:rsidR="009D6996">
        <w:rPr>
          <w:rStyle w:val="Referencingstyle"/>
        </w:rPr>
        <w:t xml:space="preserve">clause 2 and </w:t>
      </w:r>
      <w:r w:rsidR="008224B9" w:rsidRPr="00E87349">
        <w:rPr>
          <w:rStyle w:val="Referencingstyle"/>
        </w:rPr>
        <w:t>item</w:t>
      </w:r>
      <w:r w:rsidR="00E341DA">
        <w:rPr>
          <w:rStyle w:val="Referencingstyle"/>
        </w:rPr>
        <w:t xml:space="preserve"> </w:t>
      </w:r>
      <w:r w:rsidR="008224B9" w:rsidRPr="00E87349">
        <w:rPr>
          <w:rStyle w:val="Referencingstyle"/>
        </w:rPr>
        <w:t>2 of the Customs Fuel Indexation Bill 2015]</w:t>
      </w:r>
    </w:p>
    <w:p w14:paraId="447CD3C7" w14:textId="77777777" w:rsidR="00A84230" w:rsidRDefault="00A84230" w:rsidP="00A84230">
      <w:pPr>
        <w:pStyle w:val="Heading4"/>
      </w:pPr>
      <w:r>
        <w:t>Gaseous fuel</w:t>
      </w:r>
      <w:r w:rsidR="00535124">
        <w:t>s</w:t>
      </w:r>
    </w:p>
    <w:p w14:paraId="03D53FF4" w14:textId="77777777" w:rsidR="00A84230" w:rsidRDefault="00A84230" w:rsidP="009374C4">
      <w:pPr>
        <w:pStyle w:val="base-text-paragraph"/>
        <w:numPr>
          <w:ilvl w:val="1"/>
          <w:numId w:val="32"/>
        </w:numPr>
        <w:spacing w:before="80" w:after="80"/>
      </w:pPr>
      <w:r>
        <w:t>The set rate of excise and excise</w:t>
      </w:r>
      <w:r>
        <w:noBreakHyphen/>
        <w:t>equivalent customs duty for</w:t>
      </w:r>
      <w:r w:rsidR="009C2BC8">
        <w:t> </w:t>
      </w:r>
      <w:r>
        <w:t xml:space="preserve">gaseous fuels ($0.212 per kilogram for LNG and </w:t>
      </w:r>
      <w:proofErr w:type="spellStart"/>
      <w:r>
        <w:t>CNG</w:t>
      </w:r>
      <w:proofErr w:type="spellEnd"/>
      <w:r>
        <w:t xml:space="preserve"> and $0.101</w:t>
      </w:r>
      <w:r w:rsidR="009C2BC8">
        <w:t> </w:t>
      </w:r>
      <w:r>
        <w:t>per</w:t>
      </w:r>
      <w:r w:rsidR="009C2BC8">
        <w:t> </w:t>
      </w:r>
      <w:r>
        <w:t xml:space="preserve">litre for LPG) applies from 10 November 2014 until </w:t>
      </w:r>
      <w:r w:rsidR="00E8203C">
        <w:t>1</w:t>
      </w:r>
      <w:r w:rsidR="00904277">
        <w:t> </w:t>
      </w:r>
      <w:r w:rsidR="00E8203C">
        <w:t>February</w:t>
      </w:r>
      <w:r>
        <w:t xml:space="preserve"> 2015</w:t>
      </w:r>
      <w:r w:rsidR="00F9788B">
        <w:t>.</w:t>
      </w:r>
      <w:r>
        <w:t xml:space="preserve"> </w:t>
      </w:r>
      <w:r>
        <w:rPr>
          <w:rStyle w:val="Referencingstyle"/>
        </w:rPr>
        <w:t>[Schedule</w:t>
      </w:r>
      <w:r w:rsidR="00237B02">
        <w:rPr>
          <w:rStyle w:val="Referencingstyle"/>
        </w:rPr>
        <w:t xml:space="preserve"> 1,</w:t>
      </w:r>
      <w:r w:rsidR="00F06BE3">
        <w:rPr>
          <w:rStyle w:val="Referencingstyle"/>
        </w:rPr>
        <w:t xml:space="preserve"> </w:t>
      </w:r>
      <w:r w:rsidR="00237B02">
        <w:rPr>
          <w:rStyle w:val="Referencingstyle"/>
        </w:rPr>
        <w:t>clause 2</w:t>
      </w:r>
      <w:r w:rsidR="00F06BE3">
        <w:rPr>
          <w:rStyle w:val="Referencingstyle"/>
        </w:rPr>
        <w:t xml:space="preserve"> and item 19</w:t>
      </w:r>
      <w:r w:rsidR="00237B02">
        <w:rPr>
          <w:rStyle w:val="Referencingstyle"/>
        </w:rPr>
        <w:t xml:space="preserve"> of the </w:t>
      </w:r>
      <w:r>
        <w:rPr>
          <w:rStyle w:val="Referencingstyle"/>
        </w:rPr>
        <w:t xml:space="preserve">Excise Fuel Indexation Bill 2015, </w:t>
      </w:r>
      <w:r w:rsidR="00237B02">
        <w:rPr>
          <w:rStyle w:val="Referencingstyle"/>
        </w:rPr>
        <w:t xml:space="preserve">Schedule 1, </w:t>
      </w:r>
      <w:r w:rsidR="00F06BE3">
        <w:rPr>
          <w:rStyle w:val="Referencingstyle"/>
        </w:rPr>
        <w:t xml:space="preserve">clause 2 and </w:t>
      </w:r>
      <w:r w:rsidR="00C375E6">
        <w:rPr>
          <w:rStyle w:val="Referencingstyle"/>
        </w:rPr>
        <w:t>item</w:t>
      </w:r>
      <w:r w:rsidR="00237B02">
        <w:rPr>
          <w:rStyle w:val="Referencingstyle"/>
        </w:rPr>
        <w:t xml:space="preserve"> 2 </w:t>
      </w:r>
      <w:r>
        <w:rPr>
          <w:rStyle w:val="Referencingstyle"/>
        </w:rPr>
        <w:t xml:space="preserve">of the Customs Fuel Indexation Bill 2015] </w:t>
      </w:r>
    </w:p>
    <w:p w14:paraId="27033222" w14:textId="77777777" w:rsidR="00A84230" w:rsidRDefault="00F06BE3" w:rsidP="009374C4">
      <w:pPr>
        <w:pStyle w:val="base-text-paragraph"/>
        <w:numPr>
          <w:ilvl w:val="1"/>
          <w:numId w:val="32"/>
        </w:numPr>
        <w:spacing w:before="80" w:after="80"/>
      </w:pPr>
      <w:r>
        <w:t xml:space="preserve">Due to the effect in the delay of publication of the index number for the December 2014 quarter, </w:t>
      </w:r>
      <w:r w:rsidR="004511B0">
        <w:t>CPI indexation of excise and excise</w:t>
      </w:r>
      <w:r w:rsidR="004511B0">
        <w:noBreakHyphen/>
        <w:t xml:space="preserve">equivalent customs duty on gaseous fuels applies to goods manufactured or produced in Australia, or imported into Australia, after </w:t>
      </w:r>
      <w:r w:rsidR="00846B38">
        <w:t>1 </w:t>
      </w:r>
      <w:r w:rsidR="00660022">
        <w:t xml:space="preserve">February </w:t>
      </w:r>
      <w:r w:rsidR="004511B0">
        <w:t>2015</w:t>
      </w:r>
      <w:r w:rsidR="001E76BE">
        <w:t>.</w:t>
      </w:r>
      <w:r w:rsidR="00EE3ED1">
        <w:rPr>
          <w:rStyle w:val="FootnoteReference"/>
        </w:rPr>
        <w:footnoteReference w:id="23"/>
      </w:r>
      <w:r w:rsidR="004511B0">
        <w:t xml:space="preserve"> It also applies to goods imported into Australia, or manufactured or produced in Australia before 1 </w:t>
      </w:r>
      <w:r w:rsidR="00660022">
        <w:t>February</w:t>
      </w:r>
      <w:r w:rsidR="004511B0">
        <w:t xml:space="preserve"> 2015 on which no duty has been paid, and on 1 </w:t>
      </w:r>
      <w:r w:rsidR="00660022">
        <w:t xml:space="preserve">February </w:t>
      </w:r>
      <w:r w:rsidR="004511B0">
        <w:t xml:space="preserve">2015 the goods either were subject to the </w:t>
      </w:r>
      <w:r w:rsidR="00CD6B8F">
        <w:t>Comptroller-General of Custom</w:t>
      </w:r>
      <w:r w:rsidR="004511B0">
        <w:t xml:space="preserve">’s control, or were in the stock, custody or possession of, or belonged to, a manufacturer or producer of the goods. </w:t>
      </w:r>
      <w:r w:rsidR="004511B0">
        <w:rPr>
          <w:rStyle w:val="Referencingstyle"/>
        </w:rPr>
        <w:t>[</w:t>
      </w:r>
      <w:r w:rsidR="004511B0" w:rsidRPr="00054B31">
        <w:rPr>
          <w:rStyle w:val="Referencingstyle"/>
        </w:rPr>
        <w:t xml:space="preserve">Schedule </w:t>
      </w:r>
      <w:r w:rsidR="00237B02">
        <w:rPr>
          <w:rStyle w:val="Referencingstyle"/>
        </w:rPr>
        <w:t>1,</w:t>
      </w:r>
      <w:r w:rsidR="004511B0">
        <w:rPr>
          <w:rStyle w:val="Referencingstyle"/>
        </w:rPr>
        <w:t xml:space="preserve"> </w:t>
      </w:r>
      <w:r w:rsidR="00237B02">
        <w:rPr>
          <w:rStyle w:val="Referencingstyle"/>
        </w:rPr>
        <w:t xml:space="preserve">clause 2 and </w:t>
      </w:r>
      <w:r w:rsidR="00237B02" w:rsidRPr="00054B31">
        <w:rPr>
          <w:rStyle w:val="Referencingstyle"/>
        </w:rPr>
        <w:t>item</w:t>
      </w:r>
      <w:r w:rsidR="00237B02">
        <w:rPr>
          <w:rStyle w:val="Referencingstyle"/>
        </w:rPr>
        <w:t xml:space="preserve"> 30 of the </w:t>
      </w:r>
      <w:r w:rsidR="004511B0">
        <w:rPr>
          <w:rStyle w:val="Referencingstyle"/>
        </w:rPr>
        <w:t>Excise Fuel Indexation Bill 2015</w:t>
      </w:r>
      <w:r w:rsidR="00237B02">
        <w:rPr>
          <w:rStyle w:val="Referencingstyle"/>
        </w:rPr>
        <w:t xml:space="preserve">, Schedule 1, clause 2 and item 12 </w:t>
      </w:r>
      <w:r w:rsidR="004511B0">
        <w:rPr>
          <w:rStyle w:val="Referencingstyle"/>
        </w:rPr>
        <w:t>of the Customs Fuel Indexation Bill</w:t>
      </w:r>
      <w:r w:rsidR="00237B02">
        <w:rPr>
          <w:rStyle w:val="Referencingstyle"/>
        </w:rPr>
        <w:t> </w:t>
      </w:r>
      <w:r w:rsidR="004511B0">
        <w:rPr>
          <w:rStyle w:val="Referencingstyle"/>
        </w:rPr>
        <w:t>2015</w:t>
      </w:r>
      <w:r w:rsidR="004511B0" w:rsidRPr="00864537">
        <w:rPr>
          <w:rStyle w:val="Referencingstyle"/>
        </w:rPr>
        <w:t>]</w:t>
      </w:r>
    </w:p>
    <w:p w14:paraId="6300375B" w14:textId="77777777" w:rsidR="00D726B9" w:rsidRPr="00A97CEC" w:rsidRDefault="00D726B9" w:rsidP="009374C4">
      <w:pPr>
        <w:pStyle w:val="base-text-paragraph"/>
        <w:numPr>
          <w:ilvl w:val="1"/>
          <w:numId w:val="32"/>
        </w:numPr>
        <w:spacing w:before="80" w:after="80"/>
        <w:rPr>
          <w:rStyle w:val="Referencingstyle"/>
          <w:b w:val="0"/>
          <w:i w:val="0"/>
          <w:sz w:val="22"/>
        </w:rPr>
      </w:pPr>
      <w:r>
        <w:t xml:space="preserve">The duty rate </w:t>
      </w:r>
      <w:r w:rsidR="00F91C66">
        <w:t xml:space="preserve">of $0.266 per kilogram for LNG and </w:t>
      </w:r>
      <w:proofErr w:type="spellStart"/>
      <w:r w:rsidR="00F91C66">
        <w:t>CNG</w:t>
      </w:r>
      <w:proofErr w:type="spellEnd"/>
      <w:r>
        <w:t xml:space="preserve"> and $0.12</w:t>
      </w:r>
      <w:r w:rsidR="00696212">
        <w:t>7</w:t>
      </w:r>
      <w:r>
        <w:t xml:space="preserve"> </w:t>
      </w:r>
      <w:r w:rsidR="00F91C66">
        <w:t xml:space="preserve">per litre for </w:t>
      </w:r>
      <w:r>
        <w:t xml:space="preserve">LPG applies </w:t>
      </w:r>
      <w:r w:rsidR="00F91C66">
        <w:t>from</w:t>
      </w:r>
      <w:r>
        <w:t xml:space="preserve"> 1 July 2015</w:t>
      </w:r>
      <w:r w:rsidR="00F91C66">
        <w:t xml:space="preserve"> to 31 July 2015</w:t>
      </w:r>
      <w:r>
        <w:t xml:space="preserve">. </w:t>
      </w:r>
      <w:r w:rsidR="00237B02">
        <w:rPr>
          <w:rStyle w:val="Referencingstyle"/>
        </w:rPr>
        <w:t xml:space="preserve">[Schedule 1, clause 2 and item 32 </w:t>
      </w:r>
      <w:r>
        <w:rPr>
          <w:rStyle w:val="Referencingstyle"/>
        </w:rPr>
        <w:t xml:space="preserve">of </w:t>
      </w:r>
      <w:r w:rsidR="00237B02">
        <w:rPr>
          <w:rStyle w:val="Referencingstyle"/>
        </w:rPr>
        <w:t xml:space="preserve">the </w:t>
      </w:r>
      <w:r>
        <w:rPr>
          <w:rStyle w:val="Referencingstyle"/>
        </w:rPr>
        <w:t>Ex</w:t>
      </w:r>
      <w:r w:rsidR="00237B02">
        <w:rPr>
          <w:rStyle w:val="Referencingstyle"/>
        </w:rPr>
        <w:t>cise Fuel Indexation Bill 2015</w:t>
      </w:r>
      <w:r>
        <w:rPr>
          <w:rStyle w:val="Referencingstyle"/>
        </w:rPr>
        <w:t>, Schedule 1</w:t>
      </w:r>
      <w:r w:rsidR="00237B02">
        <w:rPr>
          <w:rStyle w:val="Referencingstyle"/>
        </w:rPr>
        <w:t>,</w:t>
      </w:r>
      <w:r>
        <w:rPr>
          <w:rStyle w:val="Referencingstyle"/>
        </w:rPr>
        <w:t xml:space="preserve"> </w:t>
      </w:r>
      <w:r w:rsidR="00237B02">
        <w:rPr>
          <w:rStyle w:val="Referencingstyle"/>
        </w:rPr>
        <w:t xml:space="preserve">clause 2 and item 14 </w:t>
      </w:r>
      <w:r>
        <w:rPr>
          <w:rStyle w:val="Referencingstyle"/>
        </w:rPr>
        <w:t>of the Customs Fuel Indexation Bill 2015]</w:t>
      </w:r>
    </w:p>
    <w:p w14:paraId="1A587CFF" w14:textId="77777777" w:rsidR="00654B3C" w:rsidRDefault="00654B3C" w:rsidP="001E76BE">
      <w:pPr>
        <w:pStyle w:val="Heading5"/>
      </w:pPr>
      <w:r>
        <w:t>Impact of retrospective amendments to fuel duty</w:t>
      </w:r>
    </w:p>
    <w:p w14:paraId="4FBFFB6F" w14:textId="77777777" w:rsidR="0097117B" w:rsidRDefault="0097117B" w:rsidP="009374C4">
      <w:pPr>
        <w:pStyle w:val="base-text-paragraph"/>
        <w:spacing w:before="80" w:after="80"/>
      </w:pPr>
      <w:r>
        <w:t xml:space="preserve">Although, the amendments apply retrospectively from 10 November 2014, there is no adverse effect on taxpayers. This is because the amendments validate the rate of duty that has already been collected by the Commissioner of Taxation and the </w:t>
      </w:r>
      <w:r w:rsidR="006265C0">
        <w:t>Comptroller-General of Customs</w:t>
      </w:r>
      <w:r>
        <w:t xml:space="preserve"> since 10 November 2014 under the Tariff Proposals. If the amendments are not enacted, duty paid will need to be refunded to fuel </w:t>
      </w:r>
      <w:r w:rsidR="008C157B">
        <w:t xml:space="preserve">duty remitters (principally petroleum </w:t>
      </w:r>
      <w:r>
        <w:t>manufacturers and importers</w:t>
      </w:r>
      <w:r w:rsidR="008C157B">
        <w:t>)</w:t>
      </w:r>
      <w:r w:rsidR="00663669">
        <w:t>,</w:t>
      </w:r>
      <w:r>
        <w:t xml:space="preserve"> and claimants of fuel tax credits and </w:t>
      </w:r>
      <w:r w:rsidR="00C768A5">
        <w:t xml:space="preserve">fuel </w:t>
      </w:r>
      <w:r>
        <w:t>ethanol, biodiesel and renewable diesel grants will be required to repay the additional amount of fuel tax credits and grants that are attributable to the Tariff Proposals.</w:t>
      </w:r>
    </w:p>
    <w:p w14:paraId="131D9F07" w14:textId="77777777" w:rsidR="00FE4CD0" w:rsidRDefault="00FE4CD0" w:rsidP="00C5012B">
      <w:pPr>
        <w:pStyle w:val="Heading4"/>
      </w:pPr>
      <w:r>
        <w:t>Special account</w:t>
      </w:r>
    </w:p>
    <w:p w14:paraId="726A90E1" w14:textId="77777777" w:rsidR="00E8203C" w:rsidRDefault="001136FE" w:rsidP="009374C4">
      <w:pPr>
        <w:pStyle w:val="base-text-paragraph"/>
        <w:numPr>
          <w:ilvl w:val="1"/>
          <w:numId w:val="32"/>
        </w:numPr>
        <w:spacing w:before="80" w:after="80"/>
        <w:rPr>
          <w:rStyle w:val="Referencingstyle"/>
          <w:b w:val="0"/>
          <w:i w:val="0"/>
          <w:sz w:val="22"/>
        </w:rPr>
      </w:pPr>
      <w:r>
        <w:t xml:space="preserve">The </w:t>
      </w:r>
      <w:r w:rsidR="00E8203C">
        <w:t xml:space="preserve">commencement of the </w:t>
      </w:r>
      <w:r>
        <w:t>Fuel Indexation Special Account Bill</w:t>
      </w:r>
      <w:r w:rsidR="00F91C66">
        <w:t> </w:t>
      </w:r>
      <w:r>
        <w:t xml:space="preserve">2015 establishing the </w:t>
      </w:r>
      <w:r w:rsidR="001B209A">
        <w:t>s</w:t>
      </w:r>
      <w:r>
        <w:t xml:space="preserve">pecial </w:t>
      </w:r>
      <w:r w:rsidR="001B209A">
        <w:t>a</w:t>
      </w:r>
      <w:r>
        <w:t xml:space="preserve">ccount </w:t>
      </w:r>
      <w:r w:rsidR="00E8203C">
        <w:t>is linked to the commencement of the Excise Fuel Indexation Bill 2015 and the Customs Fuel Indexation Bill 2015.</w:t>
      </w:r>
      <w:r w:rsidR="001373CA">
        <w:rPr>
          <w:rStyle w:val="Referencingstyle"/>
          <w:b w:val="0"/>
          <w:i w:val="0"/>
          <w:sz w:val="22"/>
        </w:rPr>
        <w:t xml:space="preserve"> </w:t>
      </w:r>
    </w:p>
    <w:p w14:paraId="7D44F08F" w14:textId="77777777" w:rsidR="00DF600C" w:rsidRPr="002D3692" w:rsidRDefault="001373CA" w:rsidP="009374C4">
      <w:pPr>
        <w:pStyle w:val="base-text-paragraph"/>
        <w:numPr>
          <w:ilvl w:val="1"/>
          <w:numId w:val="32"/>
        </w:numPr>
        <w:spacing w:before="80" w:after="80"/>
        <w:rPr>
          <w:rStyle w:val="Referencingstyle"/>
          <w:b w:val="0"/>
          <w:i w:val="0"/>
          <w:sz w:val="22"/>
        </w:rPr>
      </w:pPr>
      <w:r>
        <w:rPr>
          <w:rStyle w:val="Referencingstyle"/>
          <w:b w:val="0"/>
          <w:i w:val="0"/>
          <w:sz w:val="22"/>
        </w:rPr>
        <w:t xml:space="preserve">The Treasurer must make a determination for credits to the </w:t>
      </w:r>
      <w:r w:rsidR="00F44E07">
        <w:rPr>
          <w:rStyle w:val="Referencingstyle"/>
          <w:b w:val="0"/>
          <w:i w:val="0"/>
          <w:sz w:val="22"/>
        </w:rPr>
        <w:t>s</w:t>
      </w:r>
      <w:r>
        <w:rPr>
          <w:rStyle w:val="Referencingstyle"/>
          <w:b w:val="0"/>
          <w:i w:val="0"/>
          <w:sz w:val="22"/>
        </w:rPr>
        <w:t xml:space="preserve">pecial </w:t>
      </w:r>
      <w:r w:rsidR="00F44E07">
        <w:rPr>
          <w:rStyle w:val="Referencingstyle"/>
          <w:b w:val="0"/>
          <w:i w:val="0"/>
          <w:sz w:val="22"/>
        </w:rPr>
        <w:t>a</w:t>
      </w:r>
      <w:r>
        <w:rPr>
          <w:rStyle w:val="Referencingstyle"/>
          <w:b w:val="0"/>
          <w:i w:val="0"/>
          <w:sz w:val="22"/>
        </w:rPr>
        <w:t xml:space="preserve">ccount for each financial year starting on or after 1 July 2014. </w:t>
      </w:r>
      <w:r w:rsidR="001B209A">
        <w:t>This ensures that the special account which</w:t>
      </w:r>
      <w:r w:rsidR="0040048D">
        <w:t xml:space="preserve"> sets aside</w:t>
      </w:r>
      <w:r w:rsidR="001B209A">
        <w:t xml:space="preserve"> net revenue from</w:t>
      </w:r>
      <w:r w:rsidR="009C2BC8">
        <w:t> </w:t>
      </w:r>
      <w:r w:rsidR="001B209A">
        <w:t>fuel indexation can be first credited with an amount after the end of</w:t>
      </w:r>
      <w:r w:rsidR="009C2BC8">
        <w:t> </w:t>
      </w:r>
      <w:r w:rsidR="001B209A">
        <w:t>the 2014</w:t>
      </w:r>
      <w:r w:rsidR="001B209A">
        <w:noBreakHyphen/>
        <w:t>15 financial year once the net revenue collected for the 2014</w:t>
      </w:r>
      <w:r w:rsidR="009C2BC8">
        <w:noBreakHyphen/>
      </w:r>
      <w:r w:rsidR="001B209A">
        <w:t>15</w:t>
      </w:r>
      <w:r w:rsidR="009C2BC8">
        <w:t> </w:t>
      </w:r>
      <w:r w:rsidR="001B209A">
        <w:t>financial year can be calculated.</w:t>
      </w:r>
      <w:r w:rsidR="001B209A">
        <w:rPr>
          <w:rStyle w:val="Referencingstyle"/>
        </w:rPr>
        <w:t xml:space="preserve"> </w:t>
      </w:r>
      <w:r w:rsidR="00DF600C">
        <w:rPr>
          <w:rStyle w:val="Referencingstyle"/>
        </w:rPr>
        <w:t>[</w:t>
      </w:r>
      <w:r>
        <w:rPr>
          <w:rStyle w:val="Referencingstyle"/>
        </w:rPr>
        <w:t>Clause 2 and subsection 8(4) of the Fuel Indexation Special Account Bill 2015</w:t>
      </w:r>
      <w:r w:rsidR="00DF600C">
        <w:rPr>
          <w:rStyle w:val="Referencingstyle"/>
        </w:rPr>
        <w:t>]</w:t>
      </w:r>
    </w:p>
    <w:p w14:paraId="58CDA2A5" w14:textId="77777777" w:rsidR="00FE4CD0" w:rsidRPr="00A35548" w:rsidRDefault="00FE4CD0" w:rsidP="00A35548">
      <w:pPr>
        <w:pStyle w:val="Heading4"/>
        <w:rPr>
          <w:rStyle w:val="Referencingstyle"/>
          <w:b/>
          <w:i/>
          <w:sz w:val="22"/>
        </w:rPr>
      </w:pPr>
      <w:r w:rsidRPr="00A35548">
        <w:rPr>
          <w:rStyle w:val="Referencingstyle"/>
          <w:b/>
          <w:i/>
          <w:sz w:val="22"/>
        </w:rPr>
        <w:t>Consequential Bill</w:t>
      </w:r>
    </w:p>
    <w:p w14:paraId="63E58827" w14:textId="77777777" w:rsidR="0027056E" w:rsidRPr="00FC1C3F" w:rsidRDefault="0027056E" w:rsidP="009374C4">
      <w:pPr>
        <w:pStyle w:val="base-text-paragraph"/>
        <w:numPr>
          <w:ilvl w:val="1"/>
          <w:numId w:val="32"/>
        </w:numPr>
        <w:spacing w:before="80" w:after="80"/>
        <w:rPr>
          <w:rStyle w:val="Referencingstyle"/>
          <w:b w:val="0"/>
          <w:i w:val="0"/>
          <w:sz w:val="22"/>
        </w:rPr>
      </w:pPr>
      <w:r w:rsidRPr="00E87349">
        <w:t xml:space="preserve">The consequential amendment that inserts a note into the </w:t>
      </w:r>
      <w:proofErr w:type="spellStart"/>
      <w:r w:rsidRPr="00FC1C3F">
        <w:rPr>
          <w:i/>
        </w:rPr>
        <w:t>COAG</w:t>
      </w:r>
      <w:proofErr w:type="spellEnd"/>
      <w:r w:rsidR="009C2BC8">
        <w:rPr>
          <w:i/>
        </w:rPr>
        <w:t> </w:t>
      </w:r>
      <w:r w:rsidRPr="00FC1C3F">
        <w:rPr>
          <w:i/>
        </w:rPr>
        <w:t>Reform Fund Act 2008</w:t>
      </w:r>
      <w:r w:rsidRPr="00E87349">
        <w:t xml:space="preserve"> commences on Royal Assent.</w:t>
      </w:r>
      <w:r>
        <w:t xml:space="preserve"> </w:t>
      </w:r>
      <w:r w:rsidRPr="00E87349">
        <w:rPr>
          <w:rStyle w:val="Referencingstyle"/>
        </w:rPr>
        <w:t>[Clause 2 of the Fuel Indexation Consequential Bill 2015]</w:t>
      </w:r>
    </w:p>
    <w:p w14:paraId="77A535CD" w14:textId="77777777" w:rsidR="00FC1C3F" w:rsidRDefault="00FC1C3F" w:rsidP="009374C4">
      <w:pPr>
        <w:pStyle w:val="base-text-paragraph"/>
        <w:numPr>
          <w:ilvl w:val="1"/>
          <w:numId w:val="32"/>
        </w:numPr>
        <w:spacing w:before="80" w:after="80"/>
      </w:pPr>
      <w:r>
        <w:t xml:space="preserve">The consequential amendment to the </w:t>
      </w:r>
      <w:r w:rsidRPr="00FA019C">
        <w:rPr>
          <w:i/>
        </w:rPr>
        <w:t>Fuel Indexation (Road Funding) Special Account Act 2015</w:t>
      </w:r>
      <w:r>
        <w:t xml:space="preserve"> </w:t>
      </w:r>
      <w:r w:rsidR="00FA019C">
        <w:t xml:space="preserve">concerning the renaming of the </w:t>
      </w:r>
      <w:r w:rsidR="00FA019C" w:rsidRPr="00FA019C">
        <w:rPr>
          <w:i/>
        </w:rPr>
        <w:t>Legislative Instruments Act 2003</w:t>
      </w:r>
      <w:r w:rsidR="00FA019C">
        <w:t xml:space="preserve"> </w:t>
      </w:r>
      <w:r w:rsidR="00C62BE8">
        <w:t xml:space="preserve">to the </w:t>
      </w:r>
      <w:r w:rsidR="00C62BE8" w:rsidRPr="00C62BE8">
        <w:rPr>
          <w:i/>
        </w:rPr>
        <w:t>Legislation Act 2003</w:t>
      </w:r>
      <w:r w:rsidR="00C62BE8">
        <w:t xml:space="preserve"> </w:t>
      </w:r>
      <w:r>
        <w:t xml:space="preserve">commences </w:t>
      </w:r>
      <w:r w:rsidR="004B4375">
        <w:t xml:space="preserve">on </w:t>
      </w:r>
      <w:r>
        <w:t xml:space="preserve">the later of the commencement of the </w:t>
      </w:r>
      <w:r w:rsidRPr="00FC1C3F">
        <w:rPr>
          <w:i/>
        </w:rPr>
        <w:t>Fuel Indexation (Road Funding) Special Account Act 201</w:t>
      </w:r>
      <w:r w:rsidRPr="00423C4A">
        <w:rPr>
          <w:i/>
        </w:rPr>
        <w:t>5</w:t>
      </w:r>
      <w:r w:rsidRPr="00423C4A">
        <w:t xml:space="preserve"> </w:t>
      </w:r>
      <w:r>
        <w:t xml:space="preserve">and the </w:t>
      </w:r>
      <w:r w:rsidRPr="00FC1C3F">
        <w:rPr>
          <w:i/>
        </w:rPr>
        <w:t>Acts and Instruments (Framework Reform) Act 2015</w:t>
      </w:r>
      <w:r>
        <w:t>.</w:t>
      </w:r>
      <w:r w:rsidR="00FA019C">
        <w:t xml:space="preserve"> </w:t>
      </w:r>
      <w:r w:rsidR="00FA019C" w:rsidRPr="00FA019C">
        <w:rPr>
          <w:rStyle w:val="Referencingstyle"/>
        </w:rPr>
        <w:t>[</w:t>
      </w:r>
      <w:r w:rsidR="00423C4A">
        <w:rPr>
          <w:rStyle w:val="Referencingstyle"/>
        </w:rPr>
        <w:t>C</w:t>
      </w:r>
      <w:r w:rsidR="00C62BE8">
        <w:rPr>
          <w:rStyle w:val="Referencingstyle"/>
        </w:rPr>
        <w:t xml:space="preserve">lause 2 </w:t>
      </w:r>
      <w:r w:rsidR="00FA019C" w:rsidRPr="00FA019C">
        <w:rPr>
          <w:rStyle w:val="Referencingstyle"/>
        </w:rPr>
        <w:t>of the Fuel Indexation Consequential Bill]</w:t>
      </w:r>
    </w:p>
    <w:p w14:paraId="180E006C" w14:textId="77777777" w:rsidR="00DF600C" w:rsidRPr="00554B3E" w:rsidRDefault="00DF600C" w:rsidP="009374C4">
      <w:pPr>
        <w:pStyle w:val="base-text-paragraph"/>
        <w:numPr>
          <w:ilvl w:val="1"/>
          <w:numId w:val="32"/>
        </w:numPr>
        <w:spacing w:before="80" w:after="80"/>
        <w:rPr>
          <w:rStyle w:val="Referencingstyle"/>
          <w:b w:val="0"/>
          <w:i w:val="0"/>
          <w:sz w:val="22"/>
        </w:rPr>
      </w:pPr>
      <w:r w:rsidRPr="00554B3E">
        <w:t>T</w:t>
      </w:r>
      <w:r w:rsidRPr="00AC2C01">
        <w:t xml:space="preserve">he </w:t>
      </w:r>
      <w:r w:rsidRPr="00554B3E">
        <w:t xml:space="preserve">consequential </w:t>
      </w:r>
      <w:r w:rsidRPr="00AC2C01">
        <w:t xml:space="preserve">amendment </w:t>
      </w:r>
      <w:r w:rsidRPr="00554B3E">
        <w:t xml:space="preserve">to the </w:t>
      </w:r>
      <w:r w:rsidRPr="00554B3E">
        <w:rPr>
          <w:i/>
        </w:rPr>
        <w:t xml:space="preserve">Excise Act 1901 </w:t>
      </w:r>
      <w:r w:rsidRPr="00554B3E">
        <w:t>concerning blending commence</w:t>
      </w:r>
      <w:r w:rsidR="001B209A">
        <w:t>s</w:t>
      </w:r>
      <w:r w:rsidRPr="000D06E2">
        <w:t xml:space="preserve"> </w:t>
      </w:r>
      <w:r w:rsidRPr="00554B3E">
        <w:t xml:space="preserve">on </w:t>
      </w:r>
      <w:r w:rsidR="001373CA">
        <w:t>10 November 2014</w:t>
      </w:r>
      <w:r>
        <w:t xml:space="preserve">. </w:t>
      </w:r>
      <w:r w:rsidRPr="00AC2C01">
        <w:rPr>
          <w:rStyle w:val="Referencingstyle"/>
        </w:rPr>
        <w:t xml:space="preserve">[Clause 2 of </w:t>
      </w:r>
      <w:r w:rsidR="001373CA">
        <w:rPr>
          <w:rStyle w:val="Referencingstyle"/>
        </w:rPr>
        <w:t>the Fuel Indexation Consequential Bill</w:t>
      </w:r>
      <w:r w:rsidRPr="00AC2C01">
        <w:rPr>
          <w:rStyle w:val="Referencingstyle"/>
        </w:rPr>
        <w:t> 201</w:t>
      </w:r>
      <w:r>
        <w:rPr>
          <w:rStyle w:val="Referencingstyle"/>
        </w:rPr>
        <w:t>5</w:t>
      </w:r>
      <w:r w:rsidRPr="00AC2C01">
        <w:rPr>
          <w:rStyle w:val="Referencingstyle"/>
        </w:rPr>
        <w:t>]</w:t>
      </w:r>
    </w:p>
    <w:p w14:paraId="6C32E7F4" w14:textId="77777777" w:rsidR="001B209A" w:rsidRPr="00F75BB0" w:rsidRDefault="00DF600C" w:rsidP="009374C4">
      <w:pPr>
        <w:pStyle w:val="base-text-paragraph"/>
        <w:numPr>
          <w:ilvl w:val="1"/>
          <w:numId w:val="32"/>
        </w:numPr>
        <w:spacing w:before="80" w:after="80"/>
        <w:rPr>
          <w:rStyle w:val="Referencingstyle"/>
          <w:b w:val="0"/>
          <w:i w:val="0"/>
          <w:sz w:val="22"/>
        </w:rPr>
      </w:pPr>
      <w:r>
        <w:t xml:space="preserve">The </w:t>
      </w:r>
      <w:r w:rsidR="001373CA">
        <w:t>consequential amendment</w:t>
      </w:r>
      <w:r w:rsidR="001B209A">
        <w:t xml:space="preserve"> that provides that a determination made by the Transport Minister setting the rate </w:t>
      </w:r>
      <w:r w:rsidR="001B209A" w:rsidRPr="00817E1B">
        <w:t>of the road user charge must be rounded to one decimal place of a cent</w:t>
      </w:r>
      <w:r w:rsidR="001B209A">
        <w:t xml:space="preserve"> for each litre of fuel applies to determinations made under the </w:t>
      </w:r>
      <w:r w:rsidR="001B209A" w:rsidRPr="00E87349">
        <w:rPr>
          <w:i/>
        </w:rPr>
        <w:t>Fuel Tax Act 2006</w:t>
      </w:r>
      <w:r w:rsidR="001B209A">
        <w:t xml:space="preserve"> on or after Royal Assent. </w:t>
      </w:r>
      <w:r w:rsidR="001B209A" w:rsidRPr="005556F4">
        <w:rPr>
          <w:rStyle w:val="Referencingstyle"/>
        </w:rPr>
        <w:t>[</w:t>
      </w:r>
      <w:r w:rsidR="0040048D">
        <w:rPr>
          <w:rStyle w:val="Referencingstyle"/>
        </w:rPr>
        <w:t>Schedule 3, i</w:t>
      </w:r>
      <w:r w:rsidR="001B209A" w:rsidRPr="005556F4">
        <w:rPr>
          <w:rStyle w:val="Referencingstyle"/>
        </w:rPr>
        <w:t xml:space="preserve">tem </w:t>
      </w:r>
      <w:r w:rsidR="00E87349">
        <w:rPr>
          <w:rStyle w:val="Referencingstyle"/>
        </w:rPr>
        <w:t xml:space="preserve">2 </w:t>
      </w:r>
      <w:r w:rsidR="001B209A" w:rsidRPr="005556F4">
        <w:rPr>
          <w:rStyle w:val="Referencingstyle"/>
        </w:rPr>
        <w:t>of the Fuel Indexation Consequential Bill 2015]</w:t>
      </w:r>
    </w:p>
    <w:p w14:paraId="77F968BC" w14:textId="77777777" w:rsidR="00F75BB0" w:rsidRDefault="00F75BB0" w:rsidP="009374C4">
      <w:pPr>
        <w:pStyle w:val="base-text-paragraph"/>
        <w:numPr>
          <w:ilvl w:val="1"/>
          <w:numId w:val="32"/>
        </w:numPr>
        <w:spacing w:before="80" w:after="80"/>
      </w:pPr>
      <w:r w:rsidRPr="007D4743">
        <w:t xml:space="preserve">The amendments </w:t>
      </w:r>
      <w:r w:rsidR="00404C40" w:rsidRPr="009A1FBC">
        <w:t xml:space="preserve">to the </w:t>
      </w:r>
      <w:r w:rsidR="00404C40" w:rsidRPr="0010437C">
        <w:rPr>
          <w:i/>
        </w:rPr>
        <w:t>Excise Tariff Act 1921</w:t>
      </w:r>
      <w:r w:rsidR="00404C40" w:rsidRPr="007D4743">
        <w:t xml:space="preserve"> </w:t>
      </w:r>
      <w:r w:rsidRPr="009A1FBC">
        <w:t>that are contingent on the commencement of</w:t>
      </w:r>
      <w:r w:rsidR="004F793B">
        <w:t xml:space="preserve"> Schedule 1 to the</w:t>
      </w:r>
      <w:r w:rsidRPr="009A1FBC">
        <w:t xml:space="preserve"> </w:t>
      </w:r>
      <w:r w:rsidR="004F793B" w:rsidRPr="0010437C">
        <w:rPr>
          <w:i/>
        </w:rPr>
        <w:t>E</w:t>
      </w:r>
      <w:r w:rsidR="004F793B" w:rsidRPr="004F793B">
        <w:rPr>
          <w:i/>
        </w:rPr>
        <w:t>xcise Tariff Amendment (Ethanol and Biodiesel) Act 2015</w:t>
      </w:r>
      <w:r w:rsidR="004F793B">
        <w:rPr>
          <w:i/>
        </w:rPr>
        <w:t xml:space="preserve"> </w:t>
      </w:r>
      <w:r w:rsidR="00404C40" w:rsidRPr="009A1FBC">
        <w:t xml:space="preserve">commence immediately after that </w:t>
      </w:r>
      <w:r w:rsidR="004F793B">
        <w:t>Schedule</w:t>
      </w:r>
      <w:r w:rsidR="006A7B32">
        <w:t>.</w:t>
      </w:r>
      <w:r w:rsidR="009A1FBC">
        <w:t xml:space="preserve"> </w:t>
      </w:r>
      <w:r w:rsidR="009A1FBC">
        <w:rPr>
          <w:rStyle w:val="Referencingstyle"/>
        </w:rPr>
        <w:t xml:space="preserve">[Clause 2 of the </w:t>
      </w:r>
      <w:r w:rsidR="00F44E07" w:rsidRPr="00F44E07">
        <w:rPr>
          <w:b/>
          <w:i/>
          <w:sz w:val="18"/>
          <w:lang w:val="en-US"/>
        </w:rPr>
        <w:t>Excise Fuel Indexation Bill 2015</w:t>
      </w:r>
      <w:r w:rsidR="009A1FBC" w:rsidRPr="0010437C">
        <w:rPr>
          <w:b/>
          <w:i/>
          <w:sz w:val="18"/>
          <w:szCs w:val="18"/>
        </w:rPr>
        <w:t>]</w:t>
      </w:r>
    </w:p>
    <w:p w14:paraId="3633E01F" w14:textId="77777777" w:rsidR="00404C40" w:rsidRDefault="00404C40" w:rsidP="009374C4">
      <w:pPr>
        <w:pStyle w:val="base-text-paragraph"/>
        <w:numPr>
          <w:ilvl w:val="1"/>
          <w:numId w:val="32"/>
        </w:numPr>
        <w:spacing w:before="80" w:after="80"/>
      </w:pPr>
      <w:r>
        <w:t xml:space="preserve">The amendments to the </w:t>
      </w:r>
      <w:r w:rsidR="006A7B32" w:rsidRPr="006A7B32">
        <w:t>Fuel Indexation Special Account Bill</w:t>
      </w:r>
      <w:r w:rsidR="009C2BC8">
        <w:t> </w:t>
      </w:r>
      <w:r w:rsidR="006A7B32" w:rsidRPr="006A7B32">
        <w:t>2015</w:t>
      </w:r>
      <w:r w:rsidR="006A7B32">
        <w:t xml:space="preserve"> </w:t>
      </w:r>
      <w:r w:rsidRPr="00404C40">
        <w:t xml:space="preserve">that are contingent on the commencement of the </w:t>
      </w:r>
      <w:r w:rsidRPr="0010437C">
        <w:rPr>
          <w:i/>
        </w:rPr>
        <w:t>Energy Grants and Other Legislation Amendment (Ethanol and Biodiesel) Act 2015</w:t>
      </w:r>
      <w:r>
        <w:t xml:space="preserve"> commence </w:t>
      </w:r>
      <w:r w:rsidR="006267B6">
        <w:t xml:space="preserve">on </w:t>
      </w:r>
      <w:r>
        <w:t>the later of</w:t>
      </w:r>
      <w:r w:rsidR="006267B6">
        <w:t xml:space="preserve"> the commencement of</w:t>
      </w:r>
      <w:r>
        <w:t>:</w:t>
      </w:r>
    </w:p>
    <w:p w14:paraId="7F29C76B" w14:textId="77777777" w:rsidR="00404C40" w:rsidRDefault="00404C40" w:rsidP="0010437C">
      <w:pPr>
        <w:pStyle w:val="dotpoint"/>
      </w:pPr>
      <w:r w:rsidRPr="00404C40">
        <w:t xml:space="preserve">section 9 of the </w:t>
      </w:r>
      <w:r w:rsidR="00E1771C" w:rsidRPr="00E1771C">
        <w:rPr>
          <w:i/>
        </w:rPr>
        <w:t xml:space="preserve">Fuel Indexation (Road Funding) Special Account </w:t>
      </w:r>
      <w:r w:rsidR="00593E7D">
        <w:rPr>
          <w:i/>
        </w:rPr>
        <w:t>Act</w:t>
      </w:r>
      <w:r w:rsidR="00E1771C" w:rsidRPr="00E1771C">
        <w:rPr>
          <w:i/>
        </w:rPr>
        <w:t xml:space="preserve"> 2015</w:t>
      </w:r>
      <w:r>
        <w:t>; and</w:t>
      </w:r>
    </w:p>
    <w:p w14:paraId="00D462FD" w14:textId="77777777" w:rsidR="00404C40" w:rsidRDefault="006267B6" w:rsidP="009C2BC8">
      <w:pPr>
        <w:pStyle w:val="dotpoint"/>
      </w:pPr>
      <w:r>
        <w:t>t</w:t>
      </w:r>
      <w:r w:rsidR="00404C40">
        <w:t xml:space="preserve">he </w:t>
      </w:r>
      <w:r w:rsidRPr="0010437C">
        <w:rPr>
          <w:i/>
        </w:rPr>
        <w:t>Energy Grants and Other Legislation Amendment (Ethanol and Biodiesel) Act 2015</w:t>
      </w:r>
      <w:r>
        <w:t>.</w:t>
      </w:r>
      <w:r w:rsidRPr="006267B6">
        <w:t xml:space="preserve"> </w:t>
      </w:r>
    </w:p>
    <w:p w14:paraId="6EE634D6" w14:textId="77777777" w:rsidR="009A1FBC" w:rsidRDefault="009A1FBC" w:rsidP="0010437C">
      <w:pPr>
        <w:pStyle w:val="dotpoint"/>
        <w:numPr>
          <w:ilvl w:val="0"/>
          <w:numId w:val="0"/>
        </w:numPr>
        <w:ind w:left="1134"/>
      </w:pPr>
      <w:r w:rsidRPr="0010437C">
        <w:rPr>
          <w:b/>
          <w:i/>
          <w:sz w:val="18"/>
          <w:szCs w:val="18"/>
        </w:rPr>
        <w:t>[</w:t>
      </w:r>
      <w:r>
        <w:rPr>
          <w:rStyle w:val="Referencingstyle"/>
        </w:rPr>
        <w:t xml:space="preserve">Clause 2 of the </w:t>
      </w:r>
      <w:r w:rsidRPr="009A1FBC">
        <w:rPr>
          <w:rStyle w:val="Referencingstyle"/>
        </w:rPr>
        <w:t>Fuel Indexation Consequential Bill 2015</w:t>
      </w:r>
      <w:r w:rsidRPr="00D96D2B">
        <w:rPr>
          <w:b/>
          <w:i/>
          <w:sz w:val="18"/>
          <w:szCs w:val="18"/>
        </w:rPr>
        <w:t>]</w:t>
      </w:r>
    </w:p>
    <w:p w14:paraId="1085E70A" w14:textId="77777777" w:rsidR="00DF600C" w:rsidRPr="00C56BB9" w:rsidRDefault="00DF600C" w:rsidP="00DF600C">
      <w:pPr>
        <w:pStyle w:val="Heading1"/>
        <w:keepLines/>
        <w:spacing w:before="480"/>
      </w:pPr>
      <w:r w:rsidRPr="00C56BB9">
        <w:t>Statement of Compatibility with Human Rights</w:t>
      </w:r>
    </w:p>
    <w:p w14:paraId="7BFD1BDB" w14:textId="77777777" w:rsidR="00DF600C" w:rsidRPr="00E32E56" w:rsidRDefault="00DF600C" w:rsidP="00DF600C">
      <w:pPr>
        <w:pStyle w:val="Heading2"/>
        <w:keepLines/>
        <w:spacing w:before="360"/>
      </w:pPr>
      <w:r w:rsidRPr="00C56BB9">
        <w:t xml:space="preserve">Prepared in accordance with Part 3 of the </w:t>
      </w:r>
      <w:r w:rsidRPr="00C56BB9">
        <w:rPr>
          <w:i/>
        </w:rPr>
        <w:t>Human Rights (Parliamentary Scrutiny) Act 2011</w:t>
      </w:r>
    </w:p>
    <w:p w14:paraId="3822ADB9" w14:textId="77777777" w:rsidR="00DF600C" w:rsidRPr="00A438E2" w:rsidRDefault="00DF600C" w:rsidP="00DF600C">
      <w:pPr>
        <w:pStyle w:val="Heading2"/>
        <w:keepLines/>
        <w:spacing w:before="360"/>
        <w:rPr>
          <w:sz w:val="22"/>
        </w:rPr>
      </w:pPr>
      <w:r w:rsidRPr="00A438E2">
        <w:rPr>
          <w:sz w:val="22"/>
        </w:rPr>
        <w:t>Excise Tariff Amendment (Fuel Indexation) Bill 201</w:t>
      </w:r>
      <w:r>
        <w:rPr>
          <w:sz w:val="22"/>
        </w:rPr>
        <w:t>5</w:t>
      </w:r>
      <w:r w:rsidRPr="00153A74">
        <w:t xml:space="preserve"> </w:t>
      </w:r>
    </w:p>
    <w:p w14:paraId="256F7424" w14:textId="77777777" w:rsidR="00DF600C" w:rsidRDefault="00DF600C" w:rsidP="002309AA">
      <w:pPr>
        <w:pStyle w:val="base-text-paragraph"/>
        <w:numPr>
          <w:ilvl w:val="1"/>
          <w:numId w:val="32"/>
        </w:numPr>
      </w:pPr>
      <w:r>
        <w:t xml:space="preserve">The </w:t>
      </w:r>
      <w:r w:rsidRPr="006614AA">
        <w:t>Excise Tariff Amendment (</w:t>
      </w:r>
      <w:r>
        <w:t>Fuel Indexation) Bill 2015</w:t>
      </w:r>
      <w:r w:rsidR="00687F55">
        <w:t xml:space="preserve"> is </w:t>
      </w:r>
      <w:r>
        <w:t xml:space="preserve">compatible with the human rights and freedoms recognised or declared in the international instruments listed in section 3 of the </w:t>
      </w:r>
      <w:r w:rsidRPr="001245E8">
        <w:rPr>
          <w:i/>
        </w:rPr>
        <w:t>Human Rights (Parliamentary Scrutiny) Act 2011</w:t>
      </w:r>
      <w:r>
        <w:t>.</w:t>
      </w:r>
    </w:p>
    <w:p w14:paraId="3FC74C10" w14:textId="77777777" w:rsidR="00DF600C" w:rsidRDefault="00DF600C" w:rsidP="002309AA">
      <w:pPr>
        <w:pStyle w:val="Heading3"/>
      </w:pPr>
      <w:r>
        <w:t>Overview</w:t>
      </w:r>
    </w:p>
    <w:p w14:paraId="5BBDEA7C" w14:textId="77777777" w:rsidR="00DF600C" w:rsidRDefault="00DF600C" w:rsidP="002309AA">
      <w:pPr>
        <w:pStyle w:val="base-text-paragraph"/>
        <w:numPr>
          <w:ilvl w:val="1"/>
          <w:numId w:val="32"/>
        </w:numPr>
        <w:spacing w:after="240"/>
      </w:pPr>
      <w:r>
        <w:t xml:space="preserve">The Excise Tariff Amendment (Fuel Indexation) Bill 2015 </w:t>
      </w:r>
      <w:r w:rsidR="00687F55">
        <w:t>a</w:t>
      </w:r>
      <w:r>
        <w:t>mend</w:t>
      </w:r>
      <w:r w:rsidR="00687F55">
        <w:t>s</w:t>
      </w:r>
      <w:r>
        <w:t xml:space="preserve"> the </w:t>
      </w:r>
      <w:r w:rsidRPr="00A32A33">
        <w:rPr>
          <w:i/>
        </w:rPr>
        <w:t>Excise Tariff Act 1921</w:t>
      </w:r>
      <w:r>
        <w:t xml:space="preserve"> to index the rate of excise applying to fuels to fund investment in road infrastructure</w:t>
      </w:r>
      <w:r w:rsidR="001C5526">
        <w:t xml:space="preserve">. </w:t>
      </w:r>
    </w:p>
    <w:p w14:paraId="1FD98DBC" w14:textId="77777777" w:rsidR="00DF600C" w:rsidRDefault="00DF600C" w:rsidP="002309AA">
      <w:pPr>
        <w:pStyle w:val="Heading3"/>
      </w:pPr>
      <w:r>
        <w:t>Human rights implications</w:t>
      </w:r>
    </w:p>
    <w:p w14:paraId="781F3458" w14:textId="77777777" w:rsidR="00DF600C" w:rsidRDefault="00687F55">
      <w:pPr>
        <w:pStyle w:val="base-text-paragraph"/>
      </w:pPr>
      <w:r>
        <w:t>This Bill does not engage any of the applicable rights or freedoms.</w:t>
      </w:r>
    </w:p>
    <w:p w14:paraId="60280602" w14:textId="77777777" w:rsidR="00DF600C" w:rsidRDefault="00DF600C" w:rsidP="00DF600C">
      <w:pPr>
        <w:pStyle w:val="Heading3"/>
      </w:pPr>
      <w:r>
        <w:t>Conclusion</w:t>
      </w:r>
    </w:p>
    <w:p w14:paraId="7A7B6618" w14:textId="77777777" w:rsidR="00DF600C" w:rsidRDefault="00687F55">
      <w:pPr>
        <w:pStyle w:val="base-text-paragraph"/>
      </w:pPr>
      <w:r>
        <w:t>This Bill is compatible with human rights as it does not raise any human rights issues.</w:t>
      </w:r>
    </w:p>
    <w:p w14:paraId="6B08B215" w14:textId="77777777" w:rsidR="00DF600C" w:rsidRDefault="00687F55" w:rsidP="002309AA">
      <w:pPr>
        <w:pStyle w:val="Heading3"/>
      </w:pPr>
      <w:r w:rsidRPr="00A438E2">
        <w:t>Customs Tariff Amendment (Fuel Indexation) Bill 201</w:t>
      </w:r>
      <w:r>
        <w:t>5</w:t>
      </w:r>
    </w:p>
    <w:p w14:paraId="47A4CA23" w14:textId="77777777" w:rsidR="00687F55" w:rsidRDefault="00687F55" w:rsidP="002309AA">
      <w:pPr>
        <w:pStyle w:val="base-text-paragraph"/>
      </w:pPr>
      <w:r>
        <w:t>The</w:t>
      </w:r>
      <w:r w:rsidRPr="006614AA">
        <w:t xml:space="preserve"> Customs Tariff Amendment (</w:t>
      </w:r>
      <w:r>
        <w:t xml:space="preserve">Fuel Indexation) Bill 2015 is compatible with the human rights and freedoms recognised or declared in the international instruments listed in section 3 of the </w:t>
      </w:r>
      <w:r w:rsidRPr="001245E8">
        <w:rPr>
          <w:i/>
        </w:rPr>
        <w:t>Human Rights (Parliamentary Scrutiny) Act 2011</w:t>
      </w:r>
      <w:r>
        <w:t>.</w:t>
      </w:r>
    </w:p>
    <w:p w14:paraId="17EB79F5" w14:textId="77777777" w:rsidR="00687F55" w:rsidRDefault="00687F55" w:rsidP="002309AA">
      <w:pPr>
        <w:pStyle w:val="Heading3"/>
      </w:pPr>
      <w:r>
        <w:t>Overview</w:t>
      </w:r>
    </w:p>
    <w:p w14:paraId="3FB26C4B" w14:textId="77777777" w:rsidR="00687F55" w:rsidRDefault="00687F55" w:rsidP="002309AA">
      <w:pPr>
        <w:pStyle w:val="base-text-paragraph"/>
      </w:pPr>
      <w:r>
        <w:t xml:space="preserve">The Customs Tariff Amendment (Fuel Indexation) Bill 2015 amends the </w:t>
      </w:r>
      <w:r w:rsidRPr="00A32A33">
        <w:rPr>
          <w:i/>
        </w:rPr>
        <w:t>Customs Tariff Act 1995</w:t>
      </w:r>
      <w:r>
        <w:t xml:space="preserve"> to index the rate of excise</w:t>
      </w:r>
      <w:r>
        <w:noBreakHyphen/>
        <w:t>equivalent customs duty applying to fuels to fund investment in road infrastructure.</w:t>
      </w:r>
    </w:p>
    <w:p w14:paraId="3AF14D3E" w14:textId="77777777" w:rsidR="00687F55" w:rsidRDefault="00687F55" w:rsidP="002309AA">
      <w:pPr>
        <w:pStyle w:val="Heading3"/>
      </w:pPr>
      <w:r>
        <w:t>Human rights implications</w:t>
      </w:r>
    </w:p>
    <w:p w14:paraId="562D0EC0" w14:textId="77777777" w:rsidR="00687F55" w:rsidRDefault="00687F55" w:rsidP="002309AA">
      <w:pPr>
        <w:pStyle w:val="base-text-paragraph"/>
      </w:pPr>
      <w:r>
        <w:t>This Bill does not engage any of the applicable rights or freedoms.</w:t>
      </w:r>
    </w:p>
    <w:p w14:paraId="199BC3AE" w14:textId="77777777" w:rsidR="00687F55" w:rsidRDefault="00687F55" w:rsidP="002309AA">
      <w:pPr>
        <w:pStyle w:val="Heading3"/>
      </w:pPr>
      <w:r>
        <w:t>Conclusion</w:t>
      </w:r>
    </w:p>
    <w:p w14:paraId="07AE9B38" w14:textId="77777777" w:rsidR="00687F55" w:rsidRDefault="00687F55" w:rsidP="00687F55">
      <w:pPr>
        <w:pStyle w:val="base-text-paragraph"/>
      </w:pPr>
      <w:r>
        <w:t>This Bill is compatible with human rights as it does not raise any human rights issues.</w:t>
      </w:r>
    </w:p>
    <w:p w14:paraId="50855EE0" w14:textId="77777777" w:rsidR="00687F55" w:rsidRDefault="00687F55" w:rsidP="002309AA">
      <w:pPr>
        <w:pStyle w:val="Heading3"/>
      </w:pPr>
      <w:r w:rsidRPr="001245E8">
        <w:t xml:space="preserve">Fuel Indexation </w:t>
      </w:r>
      <w:r>
        <w:t>(</w:t>
      </w:r>
      <w:r w:rsidRPr="001245E8">
        <w:t xml:space="preserve">Road </w:t>
      </w:r>
      <w:r>
        <w:t>Funding)</w:t>
      </w:r>
      <w:r w:rsidRPr="001245E8">
        <w:t xml:space="preserve"> Special Account Bill 201</w:t>
      </w:r>
      <w:r>
        <w:t>5</w:t>
      </w:r>
    </w:p>
    <w:p w14:paraId="2795A5AC" w14:textId="77777777" w:rsidR="00687F55" w:rsidRDefault="00687F55">
      <w:pPr>
        <w:pStyle w:val="base-text-paragraph"/>
      </w:pPr>
      <w:r>
        <w:t xml:space="preserve">The </w:t>
      </w:r>
      <w:r w:rsidRPr="001245E8">
        <w:t xml:space="preserve">Fuel Indexation </w:t>
      </w:r>
      <w:r>
        <w:t>(</w:t>
      </w:r>
      <w:r w:rsidRPr="001245E8">
        <w:t xml:space="preserve">Road </w:t>
      </w:r>
      <w:r>
        <w:t>Funding)</w:t>
      </w:r>
      <w:r w:rsidRPr="001245E8">
        <w:t xml:space="preserve"> Special Account Bill 201</w:t>
      </w:r>
      <w:r>
        <w:t xml:space="preserve">5 is compatible with the human rights and freedoms recognised or declared in the international instruments listed in section 3 of the </w:t>
      </w:r>
      <w:r w:rsidRPr="001245E8">
        <w:rPr>
          <w:i/>
        </w:rPr>
        <w:t>Human Rights (Parliamentary Scrutiny) Act 2011</w:t>
      </w:r>
      <w:r>
        <w:t>.</w:t>
      </w:r>
    </w:p>
    <w:p w14:paraId="33017959" w14:textId="77777777" w:rsidR="00687F55" w:rsidRDefault="00687F55" w:rsidP="002309AA">
      <w:pPr>
        <w:pStyle w:val="Heading3"/>
      </w:pPr>
      <w:r>
        <w:t>Overview</w:t>
      </w:r>
    </w:p>
    <w:p w14:paraId="5A991835" w14:textId="77777777" w:rsidR="00687F55" w:rsidRDefault="00687F55">
      <w:pPr>
        <w:pStyle w:val="base-text-paragraph"/>
      </w:pPr>
      <w:r>
        <w:t xml:space="preserve">The </w:t>
      </w:r>
      <w:r w:rsidRPr="001245E8">
        <w:t xml:space="preserve">Fuel Indexation </w:t>
      </w:r>
      <w:r>
        <w:t>(</w:t>
      </w:r>
      <w:r w:rsidRPr="001245E8">
        <w:t xml:space="preserve">Road </w:t>
      </w:r>
      <w:r>
        <w:t>Funding)</w:t>
      </w:r>
      <w:r w:rsidRPr="001245E8">
        <w:t xml:space="preserve"> Special Account Bill 201</w:t>
      </w:r>
      <w:r>
        <w:t>5 establishes a special account to ensure that the net additional revenue from fuel indexation is used for road infrastructure investment.</w:t>
      </w:r>
    </w:p>
    <w:p w14:paraId="3E429108" w14:textId="77777777" w:rsidR="00687F55" w:rsidRDefault="00687F55" w:rsidP="00E779E9">
      <w:pPr>
        <w:pStyle w:val="Heading3"/>
      </w:pPr>
      <w:r>
        <w:t>Human rights implications</w:t>
      </w:r>
    </w:p>
    <w:p w14:paraId="1AC2A957" w14:textId="77777777" w:rsidR="00687F55" w:rsidRDefault="00687F55">
      <w:pPr>
        <w:pStyle w:val="base-text-paragraph"/>
      </w:pPr>
      <w:r>
        <w:t>This Bill does not engage any of the applicable rights or freedoms.</w:t>
      </w:r>
    </w:p>
    <w:p w14:paraId="38E72262" w14:textId="77777777" w:rsidR="00687F55" w:rsidRDefault="00687F55" w:rsidP="00E779E9">
      <w:pPr>
        <w:pStyle w:val="Heading3"/>
      </w:pPr>
      <w:r>
        <w:t>Conclusion</w:t>
      </w:r>
    </w:p>
    <w:p w14:paraId="161ED0C9" w14:textId="77777777" w:rsidR="00687F55" w:rsidRDefault="00687F55">
      <w:pPr>
        <w:pStyle w:val="base-text-paragraph"/>
      </w:pPr>
      <w:r>
        <w:t>This Bill is compatible with human rights as it does not raise any human rights issues.</w:t>
      </w:r>
    </w:p>
    <w:p w14:paraId="373C77ED" w14:textId="77777777" w:rsidR="00687F55" w:rsidRDefault="00687F55" w:rsidP="00E779E9">
      <w:pPr>
        <w:pStyle w:val="Heading3"/>
      </w:pPr>
      <w:r>
        <w:t>Fuel Indexation (Road Funding) Bill </w:t>
      </w:r>
      <w:r w:rsidRPr="00A438E2">
        <w:t>201</w:t>
      </w:r>
      <w:r>
        <w:t>5</w:t>
      </w:r>
    </w:p>
    <w:p w14:paraId="25D18ED3" w14:textId="77777777" w:rsidR="00687F55" w:rsidRDefault="00687F55">
      <w:pPr>
        <w:pStyle w:val="base-text-paragraph"/>
      </w:pPr>
      <w:r>
        <w:t>T</w:t>
      </w:r>
      <w:r w:rsidRPr="00A32A33">
        <w:t xml:space="preserve">he </w:t>
      </w:r>
      <w:r>
        <w:t>Fuel Indexation (Road Funding) Bill</w:t>
      </w:r>
      <w:r w:rsidRPr="00A32A33">
        <w:t xml:space="preserve"> 201</w:t>
      </w:r>
      <w:r>
        <w:t>5</w:t>
      </w:r>
      <w:r w:rsidRPr="00A32A33">
        <w:t xml:space="preserve"> </w:t>
      </w:r>
      <w:r>
        <w:t xml:space="preserve">is compatible with the human rights and freedoms recognised or declared in the international instruments listed in section 3 of the </w:t>
      </w:r>
      <w:r w:rsidRPr="001245E8">
        <w:rPr>
          <w:i/>
        </w:rPr>
        <w:t>Human Rights (Parliamentary Scrutiny) Act 2011</w:t>
      </w:r>
      <w:r>
        <w:t>.</w:t>
      </w:r>
    </w:p>
    <w:p w14:paraId="7360F251" w14:textId="77777777" w:rsidR="00687F55" w:rsidRDefault="00687F55" w:rsidP="00E779E9">
      <w:pPr>
        <w:pStyle w:val="Heading3"/>
      </w:pPr>
      <w:r>
        <w:t>Overview</w:t>
      </w:r>
    </w:p>
    <w:p w14:paraId="693CFA12" w14:textId="77777777" w:rsidR="00687F55" w:rsidRDefault="00687F55" w:rsidP="009374C4">
      <w:pPr>
        <w:pStyle w:val="base-text-paragraph"/>
        <w:keepNext/>
        <w:keepLines/>
      </w:pPr>
      <w:r>
        <w:t>The Fuel Indexation (Road Funding) Bill </w:t>
      </w:r>
      <w:r w:rsidRPr="00A438E2">
        <w:t>201</w:t>
      </w:r>
      <w:r>
        <w:t xml:space="preserve">5 makes consequential amendments, including amending the </w:t>
      </w:r>
      <w:r w:rsidRPr="00E572BE">
        <w:rPr>
          <w:i/>
        </w:rPr>
        <w:t>Fuel Tax Act 2006</w:t>
      </w:r>
      <w:r>
        <w:t xml:space="preserve"> </w:t>
      </w:r>
      <w:r w:rsidRPr="00F174A1" w:rsidDel="00293F39">
        <w:t xml:space="preserve">to </w:t>
      </w:r>
      <w:r w:rsidRPr="00F174A1">
        <w:t xml:space="preserve">ensure that </w:t>
      </w:r>
      <w:r w:rsidRPr="00363674">
        <w:t>the road user charge</w:t>
      </w:r>
      <w:r w:rsidR="00E1771C">
        <w:t xml:space="preserve"> rate that is determined</w:t>
      </w:r>
      <w:r w:rsidRPr="00363674">
        <w:t xml:space="preserve"> is rounded </w:t>
      </w:r>
      <w:r>
        <w:t>in the same way as</w:t>
      </w:r>
      <w:r w:rsidRPr="00363674">
        <w:t xml:space="preserve"> fuel duty rates</w:t>
      </w:r>
      <w:r>
        <w:t xml:space="preserve"> are rounded. The road user charge is a cost recovery mechanism that recovers part of the road construction and maintenance costs attributed to heavy vehicles. The </w:t>
      </w:r>
      <w:r w:rsidRPr="00E572BE">
        <w:rPr>
          <w:i/>
        </w:rPr>
        <w:t>Fuel Tax Act 2006</w:t>
      </w:r>
      <w:r>
        <w:t xml:space="preserve"> establishes a mechanism for the collection of the road user charge by reducing the fuel tax credit</w:t>
      </w:r>
      <w:r w:rsidR="00E779E9">
        <w:t>s</w:t>
      </w:r>
      <w:r>
        <w:t xml:space="preserve"> on fuel used by eligible heavy vehicle operators.</w:t>
      </w:r>
    </w:p>
    <w:p w14:paraId="63526CEA" w14:textId="77777777" w:rsidR="00687F55" w:rsidRDefault="00687F55" w:rsidP="00E779E9">
      <w:pPr>
        <w:pStyle w:val="Heading3"/>
      </w:pPr>
      <w:r>
        <w:t>Human rights implications</w:t>
      </w:r>
    </w:p>
    <w:p w14:paraId="6C2927D2" w14:textId="77777777" w:rsidR="00687F55" w:rsidRDefault="00687F55" w:rsidP="00687F55">
      <w:pPr>
        <w:pStyle w:val="base-text-paragraph"/>
      </w:pPr>
      <w:r>
        <w:t>This Bill does not engage any of the applicable rights or freedoms.</w:t>
      </w:r>
    </w:p>
    <w:p w14:paraId="01E982D4" w14:textId="77777777" w:rsidR="00687F55" w:rsidRDefault="00687F55" w:rsidP="00E779E9">
      <w:pPr>
        <w:pStyle w:val="Heading3"/>
      </w:pPr>
      <w:r>
        <w:t>Conclusion</w:t>
      </w:r>
    </w:p>
    <w:p w14:paraId="764CA2E7" w14:textId="77777777" w:rsidR="00687F55" w:rsidRDefault="00687F55" w:rsidP="00687F55">
      <w:pPr>
        <w:pStyle w:val="base-text-paragraph"/>
      </w:pPr>
      <w:r>
        <w:t>This Bill is compatible with human rights as it does not raise any human rights issues.</w:t>
      </w:r>
    </w:p>
    <w:p w14:paraId="4F5836B7" w14:textId="77777777" w:rsidR="00DF600C" w:rsidRDefault="00DF600C" w:rsidP="00DF600C">
      <w:pPr>
        <w:sectPr w:rsidR="00DF600C" w:rsidSect="00821379">
          <w:headerReference w:type="even" r:id="rId37"/>
          <w:headerReference w:type="default" r:id="rId38"/>
          <w:footerReference w:type="even" r:id="rId39"/>
          <w:footerReference w:type="default" r:id="rId40"/>
          <w:footerReference w:type="first" r:id="rId41"/>
          <w:type w:val="oddPage"/>
          <w:pgSz w:w="11906" w:h="16838" w:code="9"/>
          <w:pgMar w:top="2466" w:right="2098" w:bottom="2466" w:left="2098" w:header="1559" w:footer="1899" w:gutter="0"/>
          <w:cols w:space="708"/>
          <w:titlePg/>
          <w:docGrid w:linePitch="360"/>
        </w:sectPr>
      </w:pPr>
    </w:p>
    <w:p w14:paraId="0637DB08" w14:textId="77777777" w:rsidR="00DF600C" w:rsidRDefault="00F445A8" w:rsidP="00665A12">
      <w:pPr>
        <w:pStyle w:val="ChapterHeading"/>
        <w:tabs>
          <w:tab w:val="num" w:pos="0"/>
        </w:tabs>
      </w:pPr>
      <w:bookmarkStart w:id="16" w:name="_Toc420051478"/>
      <w:bookmarkStart w:id="17" w:name="_Toc420060832"/>
      <w:bookmarkStart w:id="18" w:name="_Toc422409203"/>
      <w:r>
        <w:br/>
      </w:r>
      <w:bookmarkStart w:id="19" w:name="_Toc422820735"/>
      <w:r w:rsidR="00DF600C">
        <w:t>Regulation impact statement: CPI indexation of fuel excise and excise</w:t>
      </w:r>
      <w:r w:rsidR="00DF600C">
        <w:noBreakHyphen/>
        <w:t>equivalent customs duty</w:t>
      </w:r>
      <w:bookmarkEnd w:id="16"/>
      <w:bookmarkEnd w:id="17"/>
      <w:bookmarkEnd w:id="18"/>
      <w:bookmarkEnd w:id="19"/>
    </w:p>
    <w:p w14:paraId="27DA7F80" w14:textId="77777777" w:rsidR="00DF600C" w:rsidRDefault="00DF600C" w:rsidP="00DF600C">
      <w:pPr>
        <w:pStyle w:val="Heading2"/>
      </w:pPr>
      <w:r>
        <w:t>What is fuel excise?</w:t>
      </w:r>
    </w:p>
    <w:p w14:paraId="045A10D2" w14:textId="77777777" w:rsidR="00DF600C" w:rsidRPr="00201F27" w:rsidRDefault="00DF600C" w:rsidP="0010437C">
      <w:pPr>
        <w:pStyle w:val="base-text-paragraph"/>
        <w:rPr>
          <w:szCs w:val="22"/>
        </w:rPr>
      </w:pPr>
      <w:r>
        <w:t>Fuel tax (excise or customs duty) is applied to all excisable fuel and petroleum products whether domestically produced or imported.</w:t>
      </w:r>
      <w:r w:rsidR="00665A12">
        <w:t xml:space="preserve"> </w:t>
      </w:r>
    </w:p>
    <w:p w14:paraId="0E43E810" w14:textId="77777777" w:rsidR="00DF600C" w:rsidRDefault="00DF600C" w:rsidP="0010437C">
      <w:pPr>
        <w:pStyle w:val="base-text-paragraph"/>
      </w:pPr>
      <w:r>
        <w:t>The rate applicable to each fuel varies, but the benchmark rate that applies to petroleum and diesel is currently set at 38.143 cents per</w:t>
      </w:r>
      <w:r w:rsidR="00665A12">
        <w:t xml:space="preserve"> litre.</w:t>
      </w:r>
      <w:r>
        <w:t xml:space="preserve"> The tax is applied at the point at which the fuel enters the Australian market. For domestically produced fuels, this is generally at the point of wholesale, while for imported fuels, it is at the point of delivery for home consumption.</w:t>
      </w:r>
    </w:p>
    <w:p w14:paraId="5E2A61E3" w14:textId="77777777" w:rsidR="00DF600C" w:rsidRDefault="00DF600C" w:rsidP="0010437C">
      <w:pPr>
        <w:pStyle w:val="base-text-paragraph"/>
      </w:pPr>
      <w:r>
        <w:t>Indexation of fuel tax was introduced in August 1983 in order to maintain the real value of tax collections and to provide more stability for businesses and consumers by removing the need for discretionary changes to tax rates (larger amounts made less frequently). In March 2001, the then Government abolished the six monthly indexation of fuel tax rates, but continued to apply indexation to other excisable goods, such as alcohol and tobacco. This decision was taken following the introduction of the GST on 1 July 2000, as increasing world oil prices at the time gave rise to concerns that fuel prices would be pushed higher. Consequently, the fuel tax on petrol and diesel has remained at 38.143 cents per litre since then.</w:t>
      </w:r>
    </w:p>
    <w:p w14:paraId="1AFA2486" w14:textId="77777777" w:rsidR="00DF600C" w:rsidRDefault="00DF600C" w:rsidP="0010437C">
      <w:pPr>
        <w:pStyle w:val="base-text-paragraph"/>
      </w:pPr>
      <w:r>
        <w:t xml:space="preserve">The </w:t>
      </w:r>
      <w:r w:rsidRPr="006E7370">
        <w:rPr>
          <w:i/>
        </w:rPr>
        <w:t>Australia’s Future Tax System</w:t>
      </w:r>
      <w:r>
        <w:t xml:space="preserve"> report released in May 2010 recommended that revenue from fuel tax imposed for general government purposes should be replaced over time with revenue from more efficient broad-based taxes. </w:t>
      </w:r>
    </w:p>
    <w:p w14:paraId="0957E11B" w14:textId="77777777" w:rsidR="00DF600C" w:rsidRPr="00121FD4" w:rsidRDefault="00DF600C" w:rsidP="0010437C">
      <w:pPr>
        <w:pStyle w:val="base-text-paragraph"/>
      </w:pPr>
      <w:r>
        <w:t>The report also recommended that fuel tax should apply to all fuels used in road transport on the basis of energy content, and be indexed to the consumer price index (CPI).</w:t>
      </w:r>
    </w:p>
    <w:p w14:paraId="0B6373AC" w14:textId="77777777" w:rsidR="00DF600C" w:rsidRDefault="00DF600C" w:rsidP="00DF600C">
      <w:pPr>
        <w:pStyle w:val="Heading2"/>
      </w:pPr>
      <w:r>
        <w:t>Why is government action needed?</w:t>
      </w:r>
    </w:p>
    <w:p w14:paraId="01593D11" w14:textId="77777777" w:rsidR="00DF600C" w:rsidRDefault="00DF600C" w:rsidP="0010437C">
      <w:pPr>
        <w:pStyle w:val="base-text-paragraph"/>
      </w:pPr>
      <w:r>
        <w:t>Since the cessation of fuel tax indexation in March 2001 the real value of fuel tax has declined with inflation, creating significant difficulties for the Government to fund spending commitments, such as new road infrastructure projects. At the time of the indexation freeze, fuel tax represented 43.4 per cent of the average national petrol price. By March 2014 this proportion had fallen to 25 per cent.</w:t>
      </w:r>
    </w:p>
    <w:p w14:paraId="578875C3" w14:textId="77777777" w:rsidR="00DF600C" w:rsidRPr="000C3FD5" w:rsidRDefault="00DF600C" w:rsidP="0010437C">
      <w:pPr>
        <w:pStyle w:val="base-text-paragraph"/>
      </w:pPr>
      <w:r>
        <w:t>In the 2014-15 Budget t</w:t>
      </w:r>
      <w:r w:rsidRPr="00FB44AE">
        <w:t>he Government committed to increas</w:t>
      </w:r>
      <w:r>
        <w:t>ing</w:t>
      </w:r>
      <w:r w:rsidRPr="00FB44AE">
        <w:t xml:space="preserve"> road expenditure</w:t>
      </w:r>
      <w:r>
        <w:t xml:space="preserve">, with </w:t>
      </w:r>
      <w:r w:rsidR="00665A12">
        <w:t>around</w:t>
      </w:r>
      <w:r>
        <w:t xml:space="preserve"> $26 billion of Commonwealth spending planned for road infrastructure projects. An increase in the rate of fuel tax would be used to help fund these infrastructure projects. This would create a link between the users of the road infrastructure and the payers of fuel tax whilst ensuring a predictable and growing source of revenue.</w:t>
      </w:r>
    </w:p>
    <w:p w14:paraId="291AA9B6" w14:textId="77777777" w:rsidR="00DF600C" w:rsidRPr="000C3FD5" w:rsidRDefault="00DF600C" w:rsidP="0010437C">
      <w:pPr>
        <w:pStyle w:val="base-text-paragraph"/>
      </w:pPr>
      <w:r>
        <w:t>Unlike fuel, rates on alcohol and tobacco are currently indexed</w:t>
      </w:r>
      <w:r w:rsidR="001C5526">
        <w:t xml:space="preserve">. </w:t>
      </w:r>
      <w:r>
        <w:t>Alcohol (excluding wine) is indexed to the CPI, which changes biannually in February and August every year</w:t>
      </w:r>
      <w:r w:rsidR="001C5526">
        <w:t xml:space="preserve">. </w:t>
      </w:r>
      <w:r w:rsidR="00665A12">
        <w:t xml:space="preserve">As of March </w:t>
      </w:r>
      <w:r>
        <w:t>2014, tobacco has changed from CPI indexation to Average Weekly Ordinary Time Earnings (</w:t>
      </w:r>
      <w:proofErr w:type="spellStart"/>
      <w:r>
        <w:t>AWOTE</w:t>
      </w:r>
      <w:proofErr w:type="spellEnd"/>
      <w:r>
        <w:t>) indexation and is now indexed in March and September every year.</w:t>
      </w:r>
    </w:p>
    <w:p w14:paraId="7EED7152" w14:textId="77777777" w:rsidR="00DF600C" w:rsidRDefault="00DF600C" w:rsidP="00DF600C">
      <w:pPr>
        <w:pStyle w:val="Heading2"/>
      </w:pPr>
      <w:r>
        <w:t>What policy options are you considering?</w:t>
      </w:r>
    </w:p>
    <w:p w14:paraId="76215E8E" w14:textId="77777777" w:rsidR="00DF600C" w:rsidRDefault="00665A12" w:rsidP="00665A12">
      <w:pPr>
        <w:pStyle w:val="Heading4"/>
      </w:pPr>
      <w:r>
        <w:t>OPTION 1:</w:t>
      </w:r>
      <w:r w:rsidR="00DF600C">
        <w:t xml:space="preserve"> Biannual CPI indexation</w:t>
      </w:r>
    </w:p>
    <w:p w14:paraId="793572E1" w14:textId="77777777" w:rsidR="00DF600C" w:rsidRDefault="00DF600C" w:rsidP="0010437C">
      <w:pPr>
        <w:pStyle w:val="base-text-paragraph"/>
      </w:pPr>
      <w:r>
        <w:t>Beginning 1 August 2014 the excise and excise-equivalent customs duty on all non-aviation fuels are indexed to the CPI, occurring on 1 February and 1 August each year thereafter based on the sum of the CPI movements in the two quarters prior to the indexation date.</w:t>
      </w:r>
    </w:p>
    <w:p w14:paraId="12852757" w14:textId="77777777" w:rsidR="00DF600C" w:rsidRPr="0087256A" w:rsidRDefault="00DF600C" w:rsidP="0010437C">
      <w:pPr>
        <w:pStyle w:val="base-text-paragraph"/>
      </w:pPr>
      <w:r w:rsidRPr="000F0950">
        <w:t>The duty on gaseous fuels will increase on 1 July 2014 in accordance with their transition into the fuel tax system, and will then have biannual CPI indexation applied to</w:t>
      </w:r>
      <w:r>
        <w:t xml:space="preserve"> them from 1 August 2014</w:t>
      </w:r>
      <w:r w:rsidR="001C5526">
        <w:t xml:space="preserve">. </w:t>
      </w:r>
      <w:r>
        <w:t>On 1 July</w:t>
      </w:r>
      <w:r w:rsidRPr="000F0950">
        <w:t xml:space="preserve"> 2015 the duty rate will then rise by an interval such that it maintains a 50 per cent discount on the energy</w:t>
      </w:r>
      <w:r w:rsidR="00665A12" w:rsidRPr="000E1156">
        <w:noBreakHyphen/>
      </w:r>
      <w:r w:rsidRPr="000F0950">
        <w:t>content equivalent rate with the application of indexation.</w:t>
      </w:r>
    </w:p>
    <w:p w14:paraId="1942E2FD" w14:textId="77777777" w:rsidR="00665A12" w:rsidRDefault="00665A12" w:rsidP="0010437C">
      <w:pPr>
        <w:pStyle w:val="base-text-paragraph"/>
      </w:pPr>
      <w:r w:rsidRPr="00F0490C">
        <w:t xml:space="preserve"> For consumers of petrol and diesel, the reintroduction of indexation is expected to result in an initial price increase of around 0.5 cents per litre on 1 August</w:t>
      </w:r>
      <w:r>
        <w:t> </w:t>
      </w:r>
      <w:r w:rsidRPr="00A43CD7">
        <w:t>2014</w:t>
      </w:r>
      <w:r>
        <w:t>.</w:t>
      </w:r>
    </w:p>
    <w:p w14:paraId="360AC819" w14:textId="77777777" w:rsidR="00665A12" w:rsidRDefault="00665A12" w:rsidP="009374C4">
      <w:pPr>
        <w:pStyle w:val="base-text-paragraph"/>
        <w:keepNext/>
        <w:keepLines/>
      </w:pPr>
      <w:r>
        <w:t xml:space="preserve">By the end of the forward estimates period in July 2018 the biannual indexation of fuel excise and excise-equivalent customs duty is estimated to result in a total increase in petrol and diesel prices of </w:t>
      </w:r>
      <w:r w:rsidRPr="00C344D8">
        <w:t>4.1 cents per litre, which includes a 0.4 cent per litre increase in GST which</w:t>
      </w:r>
      <w:r>
        <w:t xml:space="preserve"> is levied on the duty-inclusive price.</w:t>
      </w:r>
    </w:p>
    <w:p w14:paraId="56AB25CC" w14:textId="77777777" w:rsidR="00DF600C" w:rsidRDefault="00665A12" w:rsidP="00665A12">
      <w:pPr>
        <w:pStyle w:val="Heading4"/>
      </w:pPr>
      <w:r>
        <w:t>OPTION 2:</w:t>
      </w:r>
      <w:r w:rsidR="00DF600C">
        <w:t xml:space="preserve"> Quarterly CPI indexation</w:t>
      </w:r>
    </w:p>
    <w:p w14:paraId="7ED5DE38" w14:textId="77777777" w:rsidR="00DF600C" w:rsidRDefault="00DF600C" w:rsidP="00252FE9">
      <w:pPr>
        <w:pStyle w:val="base-text-paragraph"/>
      </w:pPr>
      <w:r>
        <w:t>Beginning 1 August 2014</w:t>
      </w:r>
      <w:r w:rsidRPr="009952AB">
        <w:t xml:space="preserve"> </w:t>
      </w:r>
      <w:r>
        <w:t>the excise and excise-equivalent customs duty on all non-aviation fuels are indexed to the CPI, occurring on 1 February, 1 May, 1 August and 1 November each year thereafter based on the CPI movement in the quarter prior to the indexation date.</w:t>
      </w:r>
    </w:p>
    <w:p w14:paraId="6DBB05C0" w14:textId="77777777" w:rsidR="00DF600C" w:rsidRPr="0087256A" w:rsidRDefault="00DF600C" w:rsidP="00252FE9">
      <w:pPr>
        <w:pStyle w:val="base-text-paragraph"/>
      </w:pPr>
      <w:r w:rsidRPr="000F0950">
        <w:t>The duty on gaseous fuels will increase on 1 July 2014 in accordance with their transition into the fuel tax system, and will then have quarterly CPI indexation applied to</w:t>
      </w:r>
      <w:r>
        <w:t xml:space="preserve"> them from 1 August 2014</w:t>
      </w:r>
      <w:r w:rsidR="001C5526">
        <w:t xml:space="preserve">. </w:t>
      </w:r>
      <w:r>
        <w:t>On 1 July</w:t>
      </w:r>
      <w:r w:rsidRPr="000F0950">
        <w:t xml:space="preserve"> 2015 the duty rate will then rise by an interval such that it maintains a 50 per cent discount on the energy-content equivalent rate with the application of indexation.</w:t>
      </w:r>
    </w:p>
    <w:p w14:paraId="3AD876E2" w14:textId="77777777" w:rsidR="00DF600C" w:rsidRDefault="00DF600C" w:rsidP="00252FE9">
      <w:pPr>
        <w:pStyle w:val="base-text-paragraph"/>
      </w:pPr>
      <w:r>
        <w:t xml:space="preserve">For consumers of petrol and diesel, the reintroduction of indexation is expected to result in a </w:t>
      </w:r>
      <w:r w:rsidRPr="00A43CD7">
        <w:t xml:space="preserve">price increase of </w:t>
      </w:r>
      <w:r>
        <w:t xml:space="preserve">around </w:t>
      </w:r>
      <w:r w:rsidRPr="00A43CD7">
        <w:t>0.5</w:t>
      </w:r>
      <w:r>
        <w:t> </w:t>
      </w:r>
      <w:r w:rsidRPr="00A43CD7">
        <w:t>cents</w:t>
      </w:r>
      <w:r w:rsidR="009C2BC8">
        <w:t> </w:t>
      </w:r>
      <w:r w:rsidRPr="00A43CD7">
        <w:t>per</w:t>
      </w:r>
      <w:r w:rsidR="009C2BC8">
        <w:t> </w:t>
      </w:r>
      <w:r w:rsidRPr="00A43CD7">
        <w:t xml:space="preserve">litre </w:t>
      </w:r>
      <w:r>
        <w:t>after two indexation periods.</w:t>
      </w:r>
    </w:p>
    <w:p w14:paraId="1D5597BE" w14:textId="77777777" w:rsidR="00665A12" w:rsidRDefault="00665A12" w:rsidP="0010437C">
      <w:pPr>
        <w:pStyle w:val="base-text-paragraph"/>
      </w:pPr>
      <w:r>
        <w:t xml:space="preserve">By the end of the forward estimates period in July 2018, the quarterly indexation of fuel excise and excise-equivalents customs duty will result in a larger increase in petrol and diesel prices than the biannual indexation due to compounding effects. </w:t>
      </w:r>
    </w:p>
    <w:p w14:paraId="77AB0D1E" w14:textId="77777777" w:rsidR="00665A12" w:rsidRDefault="00665A12" w:rsidP="00665A12">
      <w:pPr>
        <w:pStyle w:val="Heading4"/>
      </w:pPr>
      <w:r>
        <w:t>OPTION 3: A one-off increase of four cents</w:t>
      </w:r>
    </w:p>
    <w:p w14:paraId="78232178" w14:textId="77777777" w:rsidR="00DF600C" w:rsidRDefault="00DF600C" w:rsidP="0010437C">
      <w:pPr>
        <w:pStyle w:val="base-text-paragraph"/>
      </w:pPr>
      <w:r>
        <w:t>On 1 August 2014 the excise and excise-equivalent customs</w:t>
      </w:r>
      <w:r w:rsidR="00665A12">
        <w:t xml:space="preserve"> </w:t>
      </w:r>
      <w:r>
        <w:t>duty rates on petrol and diesel are increased by 4 cents per litre, with all other non</w:t>
      </w:r>
      <w:r>
        <w:noBreakHyphen/>
        <w:t>aviation fuels having pro-rated increases</w:t>
      </w:r>
      <w:r w:rsidR="001C5526">
        <w:t xml:space="preserve">. </w:t>
      </w:r>
      <w:r>
        <w:t>This would increase the duty rate on petrol and diesel from 38.143 cents per litre to 42.143</w:t>
      </w:r>
      <w:r w:rsidR="009C2BC8">
        <w:t> </w:t>
      </w:r>
      <w:r>
        <w:t>cents per litre.</w:t>
      </w:r>
    </w:p>
    <w:p w14:paraId="76C7F63F" w14:textId="77777777" w:rsidR="00DF600C" w:rsidRDefault="00DF600C" w:rsidP="0010437C">
      <w:pPr>
        <w:pStyle w:val="base-text-paragraph"/>
      </w:pPr>
      <w:r>
        <w:t xml:space="preserve">Gaseous fuels would continue to increase at the same </w:t>
      </w:r>
      <w:r w:rsidRPr="0087256A">
        <w:t xml:space="preserve">intervals </w:t>
      </w:r>
      <w:r>
        <w:t>as previously until they reach their full rate on 1 July 2015 and then have an additional 10.5 per cent increase on 1 July 2016, bringing the duty rate on gaseous fuels back in line with 50 per cent of the energy equivalent rate.</w:t>
      </w:r>
    </w:p>
    <w:p w14:paraId="703EC040" w14:textId="77777777" w:rsidR="00DF600C" w:rsidRDefault="00DF600C" w:rsidP="00665A12">
      <w:pPr>
        <w:pStyle w:val="Heading2"/>
      </w:pPr>
      <w:r>
        <w:t xml:space="preserve">What is the likely </w:t>
      </w:r>
      <w:r w:rsidRPr="008751C6">
        <w:t>impact</w:t>
      </w:r>
      <w:r>
        <w:t xml:space="preserve"> of each option?</w:t>
      </w:r>
    </w:p>
    <w:p w14:paraId="326250B6" w14:textId="77777777" w:rsidR="00DF600C" w:rsidRDefault="00DF600C" w:rsidP="00665A12">
      <w:pPr>
        <w:pStyle w:val="Heading4"/>
      </w:pPr>
      <w:r>
        <w:t>Fuel wholesalers and importers</w:t>
      </w:r>
    </w:p>
    <w:p w14:paraId="00BF1A88" w14:textId="77777777" w:rsidR="00DF600C" w:rsidRDefault="00DF600C" w:rsidP="009374C4">
      <w:pPr>
        <w:pStyle w:val="base-text-paragraph"/>
        <w:spacing w:before="80" w:after="80"/>
      </w:pPr>
      <w:r>
        <w:t>The Australian Competition and Consumer Commission (</w:t>
      </w:r>
      <w:proofErr w:type="spellStart"/>
      <w:r>
        <w:t>ACCC</w:t>
      </w:r>
      <w:proofErr w:type="spellEnd"/>
      <w:r>
        <w:t>) currently publishes an annual price monitoring report on the Australian petroleum industry</w:t>
      </w:r>
      <w:r w:rsidR="001C5526">
        <w:t xml:space="preserve">. </w:t>
      </w:r>
      <w:r>
        <w:t>The most recent was published in December 2013.</w:t>
      </w:r>
      <w:r w:rsidRPr="001D13F0">
        <w:rPr>
          <w:rStyle w:val="FootnoteReference"/>
        </w:rPr>
        <w:t xml:space="preserve"> </w:t>
      </w:r>
      <w:r>
        <w:rPr>
          <w:rStyle w:val="FootnoteReference"/>
        </w:rPr>
        <w:footnoteReference w:id="24"/>
      </w:r>
      <w:r>
        <w:t xml:space="preserve"> </w:t>
      </w:r>
    </w:p>
    <w:p w14:paraId="7079C882" w14:textId="77777777" w:rsidR="00DF600C" w:rsidRDefault="00DF600C" w:rsidP="009374C4">
      <w:pPr>
        <w:pStyle w:val="base-text-paragraph"/>
        <w:spacing w:before="80" w:after="80"/>
      </w:pPr>
      <w:r>
        <w:t xml:space="preserve">In that report, the </w:t>
      </w:r>
      <w:proofErr w:type="spellStart"/>
      <w:r>
        <w:t>ACCC</w:t>
      </w:r>
      <w:proofErr w:type="spellEnd"/>
      <w:r>
        <w:t xml:space="preserve"> stated that the wholesale market for petroleum is dominated by four major players (BP, Shell, Caltex and Mobil)</w:t>
      </w:r>
      <w:r w:rsidR="001C5526">
        <w:t xml:space="preserve">. </w:t>
      </w:r>
      <w:r>
        <w:t xml:space="preserve">These four entities accounted for 92 per cent of </w:t>
      </w:r>
      <w:r w:rsidRPr="00F353A7">
        <w:t>wholesale petrol sale volumes</w:t>
      </w:r>
      <w:r>
        <w:t xml:space="preserve"> in 2012-13.</w:t>
      </w:r>
    </w:p>
    <w:p w14:paraId="0B0E04DD" w14:textId="77777777" w:rsidR="00DF600C" w:rsidRDefault="00DF600C" w:rsidP="009374C4">
      <w:pPr>
        <w:pStyle w:val="base-text-paragraph"/>
        <w:spacing w:before="80" w:after="80"/>
      </w:pPr>
      <w:r>
        <w:t>According to further data provided by the Australian Taxation Office (</w:t>
      </w:r>
      <w:proofErr w:type="spellStart"/>
      <w:r>
        <w:t>ATO</w:t>
      </w:r>
      <w:proofErr w:type="spellEnd"/>
      <w:r>
        <w:t>), there are fewer than 100 remitters of fuel excise (excluding aviation fuel remitters).</w:t>
      </w:r>
    </w:p>
    <w:p w14:paraId="33DD3979" w14:textId="77777777" w:rsidR="00DF600C" w:rsidRDefault="00DF600C" w:rsidP="009374C4">
      <w:pPr>
        <w:pStyle w:val="base-text-paragraph"/>
        <w:spacing w:before="80" w:after="80"/>
      </w:pPr>
      <w:r>
        <w:t>For the options which change the current treatment of fuel tax (all options), the initial compliance cost imposed on wholesale remitters is likely to be felt through the need for an update to their systems to enable changes to the rate they apply when on-selling the fuel</w:t>
      </w:r>
      <w:r w:rsidR="001C5526">
        <w:t xml:space="preserve">. </w:t>
      </w:r>
    </w:p>
    <w:p w14:paraId="48F2B0B9" w14:textId="77777777" w:rsidR="00DF600C" w:rsidRPr="00A8032D" w:rsidRDefault="00DF600C" w:rsidP="009374C4">
      <w:pPr>
        <w:pStyle w:val="base-text-paragraph"/>
        <w:spacing w:before="80" w:after="80"/>
      </w:pPr>
      <w:r w:rsidRPr="003B7BCD">
        <w:t xml:space="preserve">As a result, the compliance cost assessment uses the average wage in the IT industry of $47 </w:t>
      </w:r>
      <w:r>
        <w:t xml:space="preserve">per hour </w:t>
      </w:r>
      <w:r w:rsidRPr="003B7BCD">
        <w:t xml:space="preserve">and assumes </w:t>
      </w:r>
      <w:r>
        <w:t>an average</w:t>
      </w:r>
      <w:r w:rsidRPr="003B7BCD">
        <w:t xml:space="preserve"> of </w:t>
      </w:r>
      <w:r>
        <w:t>five</w:t>
      </w:r>
      <w:r w:rsidR="009C2BC8">
        <w:t> </w:t>
      </w:r>
      <w:r w:rsidRPr="003B7BCD">
        <w:t xml:space="preserve">hours to update </w:t>
      </w:r>
      <w:r>
        <w:t xml:space="preserve">each of </w:t>
      </w:r>
      <w:r w:rsidRPr="003B7BCD">
        <w:t xml:space="preserve">the 97 </w:t>
      </w:r>
      <w:r>
        <w:t>fuel</w:t>
      </w:r>
      <w:r w:rsidRPr="003B7BCD">
        <w:t xml:space="preserve"> companies</w:t>
      </w:r>
      <w:r w:rsidR="001C5526">
        <w:t xml:space="preserve">. </w:t>
      </w:r>
      <w:r>
        <w:t>This creates a total compliance cost for the industry of approximately $22,795 for all of the considered options (a</w:t>
      </w:r>
      <w:r w:rsidRPr="00A8032D">
        <w:t xml:space="preserve"> Regulatory Burden and Cost Offset Estimate Table </w:t>
      </w:r>
      <w:r>
        <w:t>for option 1 is</w:t>
      </w:r>
      <w:r w:rsidRPr="00A8032D">
        <w:t xml:space="preserve"> provided at </w:t>
      </w:r>
      <w:r w:rsidRPr="00575861">
        <w:rPr>
          <w:u w:val="single"/>
        </w:rPr>
        <w:t>Appendix</w:t>
      </w:r>
      <w:r>
        <w:rPr>
          <w:u w:val="single"/>
        </w:rPr>
        <w:t> </w:t>
      </w:r>
      <w:r w:rsidRPr="00575861">
        <w:rPr>
          <w:u w:val="single"/>
        </w:rPr>
        <w:t>A</w:t>
      </w:r>
      <w:r w:rsidRPr="00A94E9F">
        <w:t>)</w:t>
      </w:r>
      <w:r w:rsidRPr="00A8032D">
        <w:t>.</w:t>
      </w:r>
    </w:p>
    <w:p w14:paraId="217273EA" w14:textId="77777777" w:rsidR="00DF600C" w:rsidRDefault="00DF600C" w:rsidP="009374C4">
      <w:pPr>
        <w:pStyle w:val="base-text-paragraph"/>
        <w:spacing w:before="80" w:after="80"/>
      </w:pPr>
      <w:r>
        <w:t>However, some of the oil companies may not need the initial update to their systems as they will already have the ability to account for changing duty rates</w:t>
      </w:r>
      <w:r w:rsidR="001C5526">
        <w:t xml:space="preserve">. </w:t>
      </w:r>
    </w:p>
    <w:p w14:paraId="3ED58F28" w14:textId="77777777" w:rsidR="00DF600C" w:rsidRDefault="00DF600C" w:rsidP="009374C4">
      <w:pPr>
        <w:pStyle w:val="base-text-paragraph"/>
        <w:spacing w:before="80" w:after="80"/>
      </w:pPr>
      <w:r>
        <w:t>There will also be ongoing compliance costs for the options, as a legislative change to the fuel excise and excise-equivalent customs duty will result in either biannual (Option 1), quarterly (Option 2) or once-off (Option 3) changes to the duty rate that the wholesalers charge purchasers of fuel</w:t>
      </w:r>
      <w:r w:rsidR="001C5526">
        <w:t xml:space="preserve">. </w:t>
      </w:r>
      <w:r>
        <w:t xml:space="preserve">Each change with indexation will require the manual inputting of a new duty rate into the company’s systems, with reference to the new duty rate announced by the </w:t>
      </w:r>
      <w:proofErr w:type="spellStart"/>
      <w:r>
        <w:t>ATO</w:t>
      </w:r>
      <w:proofErr w:type="spellEnd"/>
      <w:r w:rsidR="001C5526">
        <w:t xml:space="preserve">. </w:t>
      </w:r>
    </w:p>
    <w:p w14:paraId="21E1BF62" w14:textId="77777777" w:rsidR="00DF600C" w:rsidRDefault="00DF600C" w:rsidP="0010437C">
      <w:pPr>
        <w:pStyle w:val="base-text-paragraph"/>
      </w:pPr>
      <w:r>
        <w:t>The compliance costs for this action are assumed to be completed by administrative staff paid an average of $27 per hour, taking half an hour to find and change the excise and customs duty rates in the company’s system and done either biannually, quarterly or once only, depending upon which option is chosen</w:t>
      </w:r>
      <w:r w:rsidR="001C5526">
        <w:t xml:space="preserve">. </w:t>
      </w:r>
      <w:r>
        <w:t>This creates a total compliance cost for the industry of $2,619 for biannual indexation, $5,238 for quarterly indexation or $1,309 for the one-off increase (which would be the same as for an annual indexation option).</w:t>
      </w:r>
    </w:p>
    <w:p w14:paraId="6C77E1E0" w14:textId="77777777" w:rsidR="00DF600C" w:rsidRDefault="00DF600C" w:rsidP="0010437C">
      <w:pPr>
        <w:pStyle w:val="base-text-paragraph"/>
      </w:pPr>
      <w:r>
        <w:t xml:space="preserve">The indexed rates of fuel tax will be calculated by the </w:t>
      </w:r>
      <w:proofErr w:type="spellStart"/>
      <w:r>
        <w:t>ATO</w:t>
      </w:r>
      <w:proofErr w:type="spellEnd"/>
      <w:r>
        <w:t xml:space="preserve"> every indexation period, which will save businesses the need to calculate the new rate themselves by applying CPI to the present duty rate.</w:t>
      </w:r>
    </w:p>
    <w:p w14:paraId="4E212EF5" w14:textId="77777777" w:rsidR="00DF600C" w:rsidRDefault="00DF600C" w:rsidP="0010437C">
      <w:pPr>
        <w:pStyle w:val="base-text-paragraph"/>
      </w:pPr>
      <w:r>
        <w:t>The size of these compliance costs is likely to vary from wholesaler to wholesaler, with smaller remitters of duty likely to face greater compliance cost relative to the four large oil companies.</w:t>
      </w:r>
    </w:p>
    <w:p w14:paraId="6A134C16" w14:textId="77777777" w:rsidR="00DF600C" w:rsidRDefault="00DF600C" w:rsidP="00665A12">
      <w:pPr>
        <w:pStyle w:val="Heading4"/>
      </w:pPr>
      <w:r>
        <w:t>Households and businesses</w:t>
      </w:r>
    </w:p>
    <w:p w14:paraId="015AD518" w14:textId="77777777" w:rsidR="00DF600C" w:rsidRPr="0099037A" w:rsidRDefault="00DF600C" w:rsidP="0010437C">
      <w:pPr>
        <w:pStyle w:val="base-text-paragraph"/>
      </w:pPr>
      <w:r w:rsidRPr="0099037A">
        <w:t>By re-introducing biannual indexation by the consumer price index of excise and excise-equivalent customs duty (Option 1) for all fuels except aviation fuels, the Government would generate $2.2 billion over the forward estimates period.</w:t>
      </w:r>
    </w:p>
    <w:p w14:paraId="14AD98D1" w14:textId="77777777" w:rsidR="00DF600C" w:rsidRPr="004C589B" w:rsidRDefault="00DF600C" w:rsidP="0010437C">
      <w:pPr>
        <w:pStyle w:val="base-text-paragraph"/>
      </w:pPr>
      <w:r w:rsidRPr="006974D6">
        <w:t xml:space="preserve">The </w:t>
      </w:r>
      <w:r>
        <w:t xml:space="preserve">price </w:t>
      </w:r>
      <w:r w:rsidRPr="006974D6">
        <w:t xml:space="preserve">impact </w:t>
      </w:r>
      <w:r>
        <w:t>of any increase in fuel excise and excise</w:t>
      </w:r>
      <w:r w:rsidRPr="004C589B">
        <w:noBreakHyphen/>
        <w:t>equivalent customs duty will fall most heavily on households and owners of light commercial vehicles used on-road</w:t>
      </w:r>
      <w:r w:rsidR="001C5526">
        <w:t xml:space="preserve">. </w:t>
      </w:r>
      <w:r w:rsidRPr="004C589B">
        <w:t>However, there will be no increase in the compliance costs borne by these groups.</w:t>
      </w:r>
    </w:p>
    <w:p w14:paraId="62CC4C03" w14:textId="77777777" w:rsidR="00DF600C" w:rsidRPr="004C589B" w:rsidRDefault="00DF600C" w:rsidP="0010437C">
      <w:pPr>
        <w:pStyle w:val="base-text-paragraph"/>
      </w:pPr>
      <w:r w:rsidRPr="004C589B">
        <w:t>Similarly, the effect on demand of an increase in the fuel tax is expected to be minimal, due to the inelasticity of demand for most fuel products</w:t>
      </w:r>
      <w:r w:rsidR="001C5526">
        <w:t xml:space="preserve">. </w:t>
      </w:r>
      <w:r w:rsidRPr="004C589B">
        <w:t xml:space="preserve">The </w:t>
      </w:r>
      <w:r w:rsidRPr="004C589B">
        <w:rPr>
          <w:i/>
        </w:rPr>
        <w:t>Australia’s Future Tax System</w:t>
      </w:r>
      <w:r w:rsidRPr="004C589B">
        <w:t xml:space="preserve"> consultation paper noted that </w:t>
      </w:r>
      <w:r>
        <w:t>‘</w:t>
      </w:r>
      <w:r w:rsidRPr="004C589B">
        <w:t>due to limitations in current technology and distribution systems, the demand for transport fuels is relatively unresponsive to price.</w:t>
      </w:r>
      <w:r>
        <w:t>’</w:t>
      </w:r>
      <w:r w:rsidRPr="004C589B">
        <w:rPr>
          <w:rStyle w:val="FootnoteReference"/>
        </w:rPr>
        <w:footnoteReference w:id="25"/>
      </w:r>
    </w:p>
    <w:p w14:paraId="05BAB29D" w14:textId="77777777" w:rsidR="00DF600C" w:rsidRDefault="00DF600C" w:rsidP="0010437C">
      <w:pPr>
        <w:pStyle w:val="base-text-paragraph"/>
      </w:pPr>
      <w:r w:rsidRPr="004C589B">
        <w:t>Fuel used in heavy (that is, more than 4.5 tonnes gross vehicle mass) on-road vehicles and business off-road use will not bear the burden of any fuel excise increases because of their entitlements</w:t>
      </w:r>
      <w:r w:rsidRPr="006974D6">
        <w:t xml:space="preserve"> to fuel tax credits</w:t>
      </w:r>
      <w:r w:rsidR="001C5526">
        <w:t xml:space="preserve">. </w:t>
      </w:r>
      <w:r w:rsidRPr="00CA1457">
        <w:t xml:space="preserve">For off-road activities, this is the full reimbursement of fuel </w:t>
      </w:r>
      <w:r>
        <w:t xml:space="preserve">tax </w:t>
      </w:r>
      <w:r w:rsidRPr="00CA1457">
        <w:t xml:space="preserve">while for </w:t>
      </w:r>
      <w:r>
        <w:t xml:space="preserve">heavy </w:t>
      </w:r>
      <w:r w:rsidRPr="00CA1457">
        <w:t>on</w:t>
      </w:r>
      <w:r w:rsidRPr="00CA1457">
        <w:noBreakHyphen/>
        <w:t xml:space="preserve">road vehicles this is equivalent to the </w:t>
      </w:r>
      <w:r>
        <w:t>fuel tax</w:t>
      </w:r>
      <w:r w:rsidRPr="00CA1457">
        <w:t xml:space="preserve"> rate minus the road user charge.</w:t>
      </w:r>
    </w:p>
    <w:p w14:paraId="6662EC4D" w14:textId="77777777" w:rsidR="00DF600C" w:rsidRDefault="00DF600C" w:rsidP="0010437C">
      <w:pPr>
        <w:pStyle w:val="base-text-paragraph"/>
      </w:pPr>
      <w:r>
        <w:t>However, businesses with access to fuel tax credits may still face increased compliance costs</w:t>
      </w:r>
      <w:r w:rsidR="001C5526">
        <w:t xml:space="preserve">. </w:t>
      </w:r>
      <w:r>
        <w:t>Fuel purchase records will need to be categorised before and after the indexation date and variable fuel tax credit entitlements will need to be calculated for standard reporting businesses with either quarterly or annual Business Activity Statements (BAS)</w:t>
      </w:r>
      <w:r w:rsidR="001C5526">
        <w:t xml:space="preserve">. </w:t>
      </w:r>
      <w:r>
        <w:t>This will occur under any of the considered options to change the duty rates (all options), but will be an ongoing cost every six- or three</w:t>
      </w:r>
      <w:r>
        <w:noBreakHyphen/>
        <w:t>month period under the indexation options (Options 1 and 2).</w:t>
      </w:r>
    </w:p>
    <w:p w14:paraId="7C1039CF" w14:textId="77777777" w:rsidR="00DF600C" w:rsidRDefault="00DF600C" w:rsidP="0010437C">
      <w:pPr>
        <w:pStyle w:val="base-text-paragraph"/>
      </w:pPr>
      <w:r>
        <w:t xml:space="preserve">The indexation of fuel excise will also further affect those businesses which rely on their own software to calculate their fuel tax credit claims, as they will have to manually enter the new excise rate every indexation period. </w:t>
      </w:r>
    </w:p>
    <w:p w14:paraId="1586B35C" w14:textId="77777777" w:rsidR="00DF600C" w:rsidRDefault="00DF600C" w:rsidP="0010437C">
      <w:pPr>
        <w:pStyle w:val="base-text-paragraph"/>
      </w:pPr>
      <w:r>
        <w:t>The ongoing compliance costs for these actions depend on which option is chosen and may occur once-off, biannually or quarterly</w:t>
      </w:r>
      <w:r w:rsidR="001C5526">
        <w:t xml:space="preserve">. </w:t>
      </w:r>
      <w:r>
        <w:t xml:space="preserve">Assuming that all (approximately </w:t>
      </w:r>
      <w:r w:rsidRPr="00F76B12">
        <w:t>186</w:t>
      </w:r>
      <w:r>
        <w:t>,000) fuel tax credit claimants are similarly affected by either filing a B</w:t>
      </w:r>
      <w:r w:rsidR="009B49CE">
        <w:t xml:space="preserve">usiness </w:t>
      </w:r>
      <w:r>
        <w:t>A</w:t>
      </w:r>
      <w:r w:rsidR="009B49CE">
        <w:t xml:space="preserve">ctivity </w:t>
      </w:r>
      <w:r>
        <w:t>S</w:t>
      </w:r>
      <w:r w:rsidR="009B49CE">
        <w:t>tat</w:t>
      </w:r>
      <w:r w:rsidR="00793D8D">
        <w:t>e</w:t>
      </w:r>
      <w:r w:rsidR="009B49CE">
        <w:t>ment</w:t>
      </w:r>
      <w:r>
        <w:t xml:space="preserve"> quarterly or annually or through having to update their own software every month, the compliance costs are estimated at $27 per hour for a single administrative staff member to either sort through the fuel purchase records or change the excise rate in the software within half an hour</w:t>
      </w:r>
      <w:r w:rsidR="001C5526">
        <w:t xml:space="preserve">. </w:t>
      </w:r>
      <w:r w:rsidRPr="00F76B12">
        <w:t>This creates a total compliance cost for the industry of</w:t>
      </w:r>
      <w:r>
        <w:t xml:space="preserve"> $5,037,903 for biannual indexation, $10,075,806 for quarterly indexation or $2,518,952 for the once-off increase.</w:t>
      </w:r>
    </w:p>
    <w:p w14:paraId="6B9B9F52" w14:textId="77777777" w:rsidR="00DF600C" w:rsidRDefault="00DF600C" w:rsidP="0010437C">
      <w:pPr>
        <w:pStyle w:val="base-text-paragraph"/>
      </w:pPr>
      <w:r w:rsidRPr="009040C1">
        <w:t xml:space="preserve">Businesses with an entitlement to offsetting fuel tax credits may </w:t>
      </w:r>
      <w:r>
        <w:t>also</w:t>
      </w:r>
      <w:r w:rsidRPr="009040C1">
        <w:t xml:space="preserve"> face </w:t>
      </w:r>
      <w:r>
        <w:t>the possibility of increased cash flow issues due to a larger immediate outgoing of fuel tax, as they only receive the credit for fuel tax paid at the end of their tax period when they lodge their BAS</w:t>
      </w:r>
      <w:r w:rsidR="001C5526">
        <w:t xml:space="preserve">. </w:t>
      </w:r>
    </w:p>
    <w:p w14:paraId="4C3BF0E5" w14:textId="77777777" w:rsidR="00DF600C" w:rsidRDefault="00DF600C" w:rsidP="0010437C">
      <w:pPr>
        <w:pStyle w:val="base-text-paragraph"/>
      </w:pPr>
      <w:r>
        <w:t>As a result of the more frequent indexation periods and the fixed time costs of any rate changes, quarterly indexation (Option 2) would likely involve higher compliance costs than biannual indexation (Option 1).</w:t>
      </w:r>
    </w:p>
    <w:p w14:paraId="32954E72" w14:textId="77777777" w:rsidR="00DF600C" w:rsidRDefault="00DF600C" w:rsidP="00665A12">
      <w:pPr>
        <w:pStyle w:val="Heading4"/>
      </w:pPr>
      <w:r>
        <w:t>Alternative fuels</w:t>
      </w:r>
    </w:p>
    <w:p w14:paraId="24EF294F" w14:textId="77777777" w:rsidR="00DF600C" w:rsidRDefault="00DF600C" w:rsidP="0010437C">
      <w:pPr>
        <w:pStyle w:val="base-text-paragraph"/>
      </w:pPr>
      <w:r>
        <w:t xml:space="preserve">The gaseous fuels </w:t>
      </w:r>
      <w:r w:rsidRPr="0096301F">
        <w:t xml:space="preserve">are not yet through their transition into the fuel tax system, which </w:t>
      </w:r>
      <w:r>
        <w:t xml:space="preserve">is set to </w:t>
      </w:r>
      <w:r w:rsidRPr="0096301F">
        <w:t>be complete</w:t>
      </w:r>
      <w:r>
        <w:t>d</w:t>
      </w:r>
      <w:r w:rsidRPr="0096301F">
        <w:t xml:space="preserve"> on 1 July 2015</w:t>
      </w:r>
      <w:r w:rsidR="001C5526">
        <w:t xml:space="preserve">. </w:t>
      </w:r>
      <w:r>
        <w:t>Reintroducing</w:t>
      </w:r>
      <w:r w:rsidRPr="0096301F">
        <w:t xml:space="preserve"> fuel </w:t>
      </w:r>
      <w:r>
        <w:t>tax</w:t>
      </w:r>
      <w:r w:rsidRPr="0096301F">
        <w:t xml:space="preserve"> indexation will further raise the scheduled increases in their fuel </w:t>
      </w:r>
      <w:r>
        <w:t>tax</w:t>
      </w:r>
      <w:r w:rsidRPr="0096301F">
        <w:t>.</w:t>
      </w:r>
    </w:p>
    <w:p w14:paraId="06107087" w14:textId="77777777" w:rsidR="00DF600C" w:rsidRDefault="00DF600C" w:rsidP="0010437C">
      <w:pPr>
        <w:pStyle w:val="base-text-paragraph"/>
      </w:pPr>
      <w:r>
        <w:t>The Government announced in the 2014-15 Budget that it will make changes to the tax treatment of ethanol and biodiesel to end their respective industry support grants, the Ethanol Production Grants and the Cleaner Fuels Grants Scheme</w:t>
      </w:r>
      <w:r w:rsidR="001C5526">
        <w:t xml:space="preserve">. </w:t>
      </w:r>
      <w:r>
        <w:t>This is planned to begin on 1 July 2015 with the immediate cessation of the grants and a simultaneous reduction of the excise rate on domestically produced ethanol and biodiesel from its current rate of 38.143 cents per litre to zero</w:t>
      </w:r>
      <w:r w:rsidR="001C5526">
        <w:t xml:space="preserve">. </w:t>
      </w:r>
      <w:r>
        <w:t>The customs duty rate on imported ethanol and biodiesel will remain at 38.143 cents per litre</w:t>
      </w:r>
      <w:r w:rsidR="001C5526">
        <w:t xml:space="preserve">. </w:t>
      </w:r>
      <w:r>
        <w:t>Over the following five years to 2020-21, both products will be phased into the excise system until they reach 50 per cent of the energy content equivalent</w:t>
      </w:r>
      <w:r w:rsidR="00665A12">
        <w:t xml:space="preserve"> </w:t>
      </w:r>
      <w:r>
        <w:t>excise rate, similar to the expected treatment of gaseous fuels after 1 July 2015.</w:t>
      </w:r>
    </w:p>
    <w:p w14:paraId="3FB9A0B1" w14:textId="77777777" w:rsidR="00DF600C" w:rsidRDefault="00DF600C" w:rsidP="0010437C">
      <w:pPr>
        <w:pStyle w:val="base-text-paragraph"/>
      </w:pPr>
      <w:r>
        <w:t xml:space="preserve">At current excise rates, 50 per cent of energy content equivalence would be </w:t>
      </w:r>
      <w:r w:rsidRPr="008751C6">
        <w:t>12.5</w:t>
      </w:r>
      <w:r>
        <w:t xml:space="preserve"> cents per litre for ethanol (increasing in 2.5 cent intervals over the five years) and 19.07 for biodiesel (in 3.814</w:t>
      </w:r>
      <w:r w:rsidR="00665A12">
        <w:t> cent intervals)</w:t>
      </w:r>
      <w:r w:rsidR="001C5526">
        <w:t xml:space="preserve">. </w:t>
      </w:r>
      <w:r>
        <w:t>However, during the transition period, ethanol and biodiesel will be subject to indexation along with other non-aviation fuels, which will further raise the scheduled increases in their excise.</w:t>
      </w:r>
    </w:p>
    <w:p w14:paraId="4F56823D" w14:textId="77777777" w:rsidR="00DF600C" w:rsidRDefault="00DF600C" w:rsidP="00DF600C">
      <w:pPr>
        <w:pStyle w:val="Heading2"/>
      </w:pPr>
      <w:r>
        <w:t>Consultation</w:t>
      </w:r>
    </w:p>
    <w:p w14:paraId="44CF3321" w14:textId="77777777" w:rsidR="00DF600C" w:rsidRDefault="00DF600C" w:rsidP="0010437C">
      <w:pPr>
        <w:pStyle w:val="base-text-paragraph"/>
      </w:pPr>
      <w:r>
        <w:t>A targeted consultation process on the compliance costs associated with a change to biannual fuel duty indexation was undertaken</w:t>
      </w:r>
      <w:r w:rsidR="001C5526">
        <w:t xml:space="preserve">. </w:t>
      </w:r>
      <w:r>
        <w:t>The four major fuel manufacturers in the Australian market (BP, Shell, Caltex and Mobil) have been consulted on the estimated costs associated with the reintroduction of fuel duty indexation</w:t>
      </w:r>
    </w:p>
    <w:p w14:paraId="5BE95214" w14:textId="77777777" w:rsidR="00DF600C" w:rsidRDefault="00DF600C" w:rsidP="0010437C">
      <w:pPr>
        <w:pStyle w:val="base-text-paragraph"/>
      </w:pPr>
      <w:r>
        <w:t>While the fuel manufacturers are not overly concerned about the costs of updating their systems, they do have concerns about the time between the announcement of the new duty rate each indexation period and its application on 1 August or 1 February as they consider this could lead to disputes over payments from customers.</w:t>
      </w:r>
    </w:p>
    <w:p w14:paraId="20FEA1FC" w14:textId="77777777" w:rsidR="00DF600C" w:rsidRDefault="00DF600C" w:rsidP="0010437C">
      <w:pPr>
        <w:pStyle w:val="base-text-paragraph"/>
      </w:pPr>
      <w:r>
        <w:t>These timing concerns are largely driven by the relevant CPI figures only being released in late July and late January for the August and February indexation periods, respectively</w:t>
      </w:r>
      <w:r w:rsidR="001C5526">
        <w:t xml:space="preserve">. </w:t>
      </w:r>
      <w:r>
        <w:t xml:space="preserve">This gives the fuel manufacturers approximately one week to be forewarned of the new duty rate by the </w:t>
      </w:r>
      <w:proofErr w:type="spellStart"/>
      <w:r>
        <w:t>ATO</w:t>
      </w:r>
      <w:proofErr w:type="spellEnd"/>
      <w:r>
        <w:t xml:space="preserve"> and Customs</w:t>
      </w:r>
      <w:r w:rsidR="001C5526">
        <w:t xml:space="preserve">. </w:t>
      </w:r>
      <w:r>
        <w:t xml:space="preserve">One weeks’ notice for the new rate was standard practice in the years between 1983 and 2001, prior to the freezing of indexation for fuel products, and has continued to be standard practise for alcohol and tobacco duty (prior to tobacco moving to </w:t>
      </w:r>
      <w:proofErr w:type="spellStart"/>
      <w:r>
        <w:t>AWOTE</w:t>
      </w:r>
      <w:proofErr w:type="spellEnd"/>
      <w:r>
        <w:t xml:space="preserve"> indexation in March 2014).</w:t>
      </w:r>
    </w:p>
    <w:p w14:paraId="6398F66B" w14:textId="77777777" w:rsidR="00DF600C" w:rsidRDefault="00DF600C" w:rsidP="0010437C">
      <w:pPr>
        <w:pStyle w:val="base-text-paragraph"/>
      </w:pPr>
      <w:r>
        <w:t>Concerns were also raised about the impact of indexation on tying up working capital, as there is normally a delay between when the manufacturers remit excise and customs duty and when they receive payment from their customers</w:t>
      </w:r>
      <w:r w:rsidR="001C5526">
        <w:t xml:space="preserve">. </w:t>
      </w:r>
    </w:p>
    <w:p w14:paraId="7E3257B6" w14:textId="77777777" w:rsidR="00DF600C" w:rsidRDefault="00DF600C" w:rsidP="0010437C">
      <w:pPr>
        <w:pStyle w:val="base-text-paragraph"/>
      </w:pPr>
      <w:r>
        <w:t>Further, the fuel manufacturers also raised concerns about the costs involved with informing customers of changed prices</w:t>
      </w:r>
      <w:r w:rsidR="001C5526">
        <w:t xml:space="preserve">. </w:t>
      </w:r>
      <w:r>
        <w:t>However, given the constant price volatility in fuel markets, the additional costs from fuel indexation involved with this are considered to be negligible in the context of the overall compliance costs of $5.1 million.</w:t>
      </w:r>
    </w:p>
    <w:p w14:paraId="6C5BD015" w14:textId="77777777" w:rsidR="00DF600C" w:rsidRDefault="00DF600C" w:rsidP="00DF600C">
      <w:pPr>
        <w:pStyle w:val="Heading2"/>
      </w:pPr>
      <w:r>
        <w:t>Conclusion and recommended option</w:t>
      </w:r>
    </w:p>
    <w:p w14:paraId="194AB649" w14:textId="77777777" w:rsidR="00DF600C" w:rsidRDefault="00DF600C" w:rsidP="0010437C">
      <w:pPr>
        <w:pStyle w:val="base-text-paragraph"/>
      </w:pPr>
      <w:r w:rsidRPr="00684FDA">
        <w:t xml:space="preserve">In view of the Government’s commitment to </w:t>
      </w:r>
      <w:r>
        <w:t xml:space="preserve">deliver new road infrastructure projects through a predictable, growing source of revenue, </w:t>
      </w:r>
      <w:r w:rsidRPr="00684FDA">
        <w:t xml:space="preserve">it is considered that the </w:t>
      </w:r>
      <w:r>
        <w:t>re</w:t>
      </w:r>
      <w:r w:rsidRPr="00684FDA">
        <w:t xml:space="preserve">introduction of </w:t>
      </w:r>
      <w:r>
        <w:t xml:space="preserve">some form of indexation of fuel tax (Options 1 or 2) </w:t>
      </w:r>
      <w:r w:rsidRPr="00684FDA">
        <w:t xml:space="preserve">is </w:t>
      </w:r>
      <w:r>
        <w:t>the</w:t>
      </w:r>
      <w:r w:rsidRPr="00684FDA">
        <w:t xml:space="preserve"> preferred option</w:t>
      </w:r>
      <w:r>
        <w:t xml:space="preserve">. </w:t>
      </w:r>
    </w:p>
    <w:p w14:paraId="623FBD59" w14:textId="77777777" w:rsidR="00DF600C" w:rsidRDefault="00DF600C" w:rsidP="0010437C">
      <w:pPr>
        <w:pStyle w:val="base-text-paragraph"/>
      </w:pPr>
      <w:r>
        <w:t xml:space="preserve">Given that biannual indexation was a standard feature of the fuel tax system prior to 2001 and due to the additional compliance costs expected from quarterly indexation (Option 2), the biannual indexation of fuel excise to the CPI from 1 August </w:t>
      </w:r>
      <w:r w:rsidRPr="00684FDA">
        <w:t>2014</w:t>
      </w:r>
      <w:r>
        <w:t xml:space="preserve"> (Option 1),</w:t>
      </w:r>
      <w:r w:rsidRPr="00684FDA">
        <w:t xml:space="preserve"> </w:t>
      </w:r>
      <w:r>
        <w:t>is the preferred option</w:t>
      </w:r>
      <w:r w:rsidR="001C5526">
        <w:t xml:space="preserve">. </w:t>
      </w:r>
      <w:r>
        <w:t>In addition, in comparison to annual indexation, biannual indexation would also result in a larger source of revenue which would allow the Government to more easily fund spending on new road infrastructure projects.</w:t>
      </w:r>
    </w:p>
    <w:p w14:paraId="424FED54" w14:textId="77777777" w:rsidR="00DF600C" w:rsidRPr="00B115AD" w:rsidRDefault="00DF600C" w:rsidP="0010437C">
      <w:pPr>
        <w:pStyle w:val="base-text-paragraph"/>
      </w:pPr>
      <w:r w:rsidRPr="000F0950">
        <w:t xml:space="preserve">To further simplify the compliance burden on businesses, rounding the duty rate of indexed fuels from </w:t>
      </w:r>
      <w:r w:rsidR="00665A12" w:rsidRPr="000E1156">
        <w:t xml:space="preserve">three decimal places </w:t>
      </w:r>
      <w:r w:rsidR="00665A12">
        <w:t>in a cent</w:t>
      </w:r>
      <w:r w:rsidR="009C2BC8">
        <w:t> </w:t>
      </w:r>
      <w:r w:rsidR="00665A12">
        <w:t xml:space="preserve">to one decimal place </w:t>
      </w:r>
      <w:r w:rsidR="00665A12" w:rsidRPr="000E1156">
        <w:t>would also be recommended</w:t>
      </w:r>
      <w:r w:rsidR="001C5526">
        <w:t xml:space="preserve">. </w:t>
      </w:r>
      <w:r w:rsidR="00665A12" w:rsidRPr="000E1156">
        <w:t>On the current rate for petrol, this would have the effect of reducing the excise and excise</w:t>
      </w:r>
      <w:r w:rsidR="009C2BC8">
        <w:noBreakHyphen/>
      </w:r>
      <w:r w:rsidR="00665A12" w:rsidRPr="000E1156">
        <w:t>equivalent customs duty rate from 38.143 cents per litre to 38.1</w:t>
      </w:r>
      <w:r w:rsidR="009C2BC8">
        <w:t> </w:t>
      </w:r>
      <w:r w:rsidRPr="000F0950">
        <w:t>cents per litre.</w:t>
      </w:r>
    </w:p>
    <w:p w14:paraId="0F507BDF" w14:textId="77777777" w:rsidR="00DF600C" w:rsidRDefault="00DF600C" w:rsidP="00DF600C">
      <w:pPr>
        <w:pStyle w:val="Heading2"/>
      </w:pPr>
      <w:r>
        <w:t>Implementation and review</w:t>
      </w:r>
    </w:p>
    <w:p w14:paraId="1DACD103" w14:textId="77777777" w:rsidR="00DF600C" w:rsidRPr="00332668" w:rsidRDefault="00DF600C" w:rsidP="0010437C">
      <w:pPr>
        <w:pStyle w:val="base-text-paragraph"/>
      </w:pPr>
      <w:r w:rsidRPr="00332668">
        <w:t xml:space="preserve">The proposed approach is to </w:t>
      </w:r>
      <w:r>
        <w:t xml:space="preserve">biannually index non-aviation fuel excise and excise-equivalent customs duty to the CPI </w:t>
      </w:r>
      <w:r w:rsidRPr="00332668">
        <w:t xml:space="preserve">from 1 </w:t>
      </w:r>
      <w:r>
        <w:t>August</w:t>
      </w:r>
      <w:r w:rsidRPr="00332668">
        <w:t xml:space="preserve"> 2014 by the introduction of legislation into the Parliament</w:t>
      </w:r>
      <w:r w:rsidR="001C5526">
        <w:t xml:space="preserve">. </w:t>
      </w:r>
    </w:p>
    <w:p w14:paraId="09DB2002" w14:textId="77777777" w:rsidR="00DF600C" w:rsidRPr="00223F37" w:rsidRDefault="00DF600C" w:rsidP="0010437C">
      <w:pPr>
        <w:pStyle w:val="base-text-paragraph"/>
      </w:pPr>
      <w:r w:rsidRPr="00332668">
        <w:t xml:space="preserve">The legislation would modify the </w:t>
      </w:r>
      <w:r w:rsidRPr="00332668">
        <w:rPr>
          <w:i/>
        </w:rPr>
        <w:t>Excise Tariff Act 1921</w:t>
      </w:r>
      <w:r w:rsidRPr="00332668">
        <w:t xml:space="preserve"> and the </w:t>
      </w:r>
      <w:r w:rsidRPr="00332668">
        <w:rPr>
          <w:i/>
        </w:rPr>
        <w:t>Customs Tariff Act 1995</w:t>
      </w:r>
      <w:r w:rsidR="001C5526">
        <w:t xml:space="preserve">. </w:t>
      </w:r>
      <w:r w:rsidRPr="00332668">
        <w:t xml:space="preserve">These modifications will result in </w:t>
      </w:r>
      <w:r>
        <w:t xml:space="preserve">the reintroduction of the indexation to the CPI of </w:t>
      </w:r>
      <w:r w:rsidRPr="00332668">
        <w:t>excise and</w:t>
      </w:r>
      <w:r>
        <w:t xml:space="preserve"> excise-equivalent customs duty on fuel products</w:t>
      </w:r>
      <w:r w:rsidR="001C5526">
        <w:t xml:space="preserve">. </w:t>
      </w:r>
      <w:r w:rsidRPr="00223F37">
        <w:t xml:space="preserve">In addition, the applicable duties will now be applied by rounding to </w:t>
      </w:r>
      <w:r>
        <w:t>one decimal place</w:t>
      </w:r>
      <w:r w:rsidRPr="00223F37">
        <w:t xml:space="preserve"> for the purpose of remitting excise and the claiming of fuel tax credits.</w:t>
      </w:r>
    </w:p>
    <w:p w14:paraId="36679DE1" w14:textId="77777777" w:rsidR="00DF600C" w:rsidRDefault="00DF600C" w:rsidP="009374C4">
      <w:pPr>
        <w:pStyle w:val="base-text-paragraph"/>
        <w:keepNext/>
        <w:keepLines/>
      </w:pPr>
      <w:r>
        <w:t xml:space="preserve">To ensure that </w:t>
      </w:r>
      <w:r w:rsidRPr="00332668">
        <w:t>the fuel tax credit system works effectively</w:t>
      </w:r>
      <w:r>
        <w:t>,</w:t>
      </w:r>
      <w:r w:rsidRPr="00332668">
        <w:t xml:space="preserve"> modifications </w:t>
      </w:r>
      <w:r>
        <w:t xml:space="preserve">will also be made </w:t>
      </w:r>
      <w:r w:rsidRPr="00332668">
        <w:t xml:space="preserve">to the </w:t>
      </w:r>
      <w:r w:rsidRPr="000E7EF7">
        <w:rPr>
          <w:i/>
        </w:rPr>
        <w:t>Fuel Tax Act 2006</w:t>
      </w:r>
      <w:r w:rsidR="001C5526">
        <w:t xml:space="preserve">. </w:t>
      </w:r>
      <w:r w:rsidRPr="00332668">
        <w:t>These modifications</w:t>
      </w:r>
      <w:r>
        <w:t xml:space="preserve"> seek</w:t>
      </w:r>
      <w:r w:rsidDel="00293F39">
        <w:t xml:space="preserve"> to </w:t>
      </w:r>
      <w:r>
        <w:t>ensure that the same indexed rate is used for determining the amount of excise or excise</w:t>
      </w:r>
      <w:r>
        <w:noBreakHyphen/>
        <w:t>equivalent customs duty payable on the fuel and the amount of the fuel tax credit for the same fuel.</w:t>
      </w:r>
    </w:p>
    <w:p w14:paraId="4020A092" w14:textId="77777777" w:rsidR="00DF600C" w:rsidRDefault="00DF600C" w:rsidP="0010437C">
      <w:pPr>
        <w:pStyle w:val="base-text-paragraph"/>
      </w:pPr>
      <w:r>
        <w:t xml:space="preserve">Further changes to the </w:t>
      </w:r>
      <w:r w:rsidRPr="00554B3E">
        <w:rPr>
          <w:i/>
        </w:rPr>
        <w:t>Fuel Tax Act 2006</w:t>
      </w:r>
      <w:r>
        <w:t xml:space="preserve"> will also ensure that the road user charge is designated to three decimal places after the next determination by the Transport Minister as well as during the transition period prior to this determination, in order to prevent additional compliance burdens through an early determination. </w:t>
      </w:r>
    </w:p>
    <w:p w14:paraId="3EBCE718" w14:textId="77777777" w:rsidR="00665A12" w:rsidRDefault="00665A12" w:rsidP="0010437C">
      <w:pPr>
        <w:pStyle w:val="base-text-paragraph"/>
      </w:pPr>
      <w:r>
        <w:t xml:space="preserve">A separate </w:t>
      </w:r>
      <w:r w:rsidRPr="0021349A">
        <w:t xml:space="preserve">Fuel Indexation </w:t>
      </w:r>
      <w:r>
        <w:t>(</w:t>
      </w:r>
      <w:r w:rsidRPr="0021349A">
        <w:t xml:space="preserve">Road </w:t>
      </w:r>
      <w:r>
        <w:t xml:space="preserve">Funding) </w:t>
      </w:r>
      <w:r w:rsidRPr="0021349A">
        <w:t xml:space="preserve">Special Account </w:t>
      </w:r>
      <w:r>
        <w:t>Bill</w:t>
      </w:r>
      <w:r w:rsidR="009C2BC8">
        <w:t> </w:t>
      </w:r>
      <w:r>
        <w:t>2014 will establish a special account in order to ensure that all net additional revenue gained from the indexation of fuel duty is used to fund the provision of new road infrastructure projects.</w:t>
      </w:r>
    </w:p>
    <w:p w14:paraId="6FFA4654" w14:textId="77777777" w:rsidR="00DF600C" w:rsidRPr="00252FE9" w:rsidRDefault="00DF600C" w:rsidP="0010437C">
      <w:pPr>
        <w:pStyle w:val="base-text-paragraph"/>
      </w:pPr>
      <w:r>
        <w:t xml:space="preserve">Consequential amendments will also be made to the </w:t>
      </w:r>
      <w:bookmarkStart w:id="20" w:name="_Toc389659998"/>
      <w:r w:rsidRPr="00FC2858">
        <w:rPr>
          <w:i/>
        </w:rPr>
        <w:t>Energy</w:t>
      </w:r>
      <w:r w:rsidR="00665A12" w:rsidRPr="00FC2858">
        <w:rPr>
          <w:i/>
        </w:rPr>
        <w:t xml:space="preserve"> </w:t>
      </w:r>
      <w:r w:rsidRPr="00FC2858">
        <w:rPr>
          <w:i/>
        </w:rPr>
        <w:t>Grants (Cleaner Fuels) Scheme Regulations</w:t>
      </w:r>
      <w:r w:rsidR="00665A12" w:rsidRPr="00FC2858">
        <w:rPr>
          <w:i/>
        </w:rPr>
        <w:t> </w:t>
      </w:r>
      <w:r w:rsidRPr="00FC2858">
        <w:rPr>
          <w:i/>
        </w:rPr>
        <w:t>2004</w:t>
      </w:r>
      <w:bookmarkEnd w:id="20"/>
      <w:r>
        <w:t xml:space="preserve"> to ensure that the Cleaner Fuels Grants Scheme continues to fully offset the increased fuel duty applying to biofuels</w:t>
      </w:r>
      <w:r w:rsidR="001C5526">
        <w:t xml:space="preserve">. </w:t>
      </w:r>
      <w:r>
        <w:t xml:space="preserve">Further amendments will be made to </w:t>
      </w:r>
      <w:r w:rsidRPr="00373298">
        <w:t>the</w:t>
      </w:r>
      <w:r>
        <w:t xml:space="preserve"> </w:t>
      </w:r>
      <w:r w:rsidRPr="00554B3E">
        <w:rPr>
          <w:i/>
        </w:rPr>
        <w:t>Excise Act 1901</w:t>
      </w:r>
      <w:r>
        <w:t xml:space="preserve"> and</w:t>
      </w:r>
      <w:r w:rsidRPr="00AC61D1">
        <w:rPr>
          <w:i/>
        </w:rPr>
        <w:t xml:space="preserve"> </w:t>
      </w:r>
      <w:r>
        <w:t xml:space="preserve">the </w:t>
      </w:r>
      <w:r>
        <w:rPr>
          <w:rStyle w:val="CharAmSchText"/>
          <w:i/>
        </w:rPr>
        <w:t xml:space="preserve">Financial Management and Accountability Act 1997 </w:t>
      </w:r>
      <w:r>
        <w:t>to ensure the proper functioning of the fuel duty indexation measure.</w:t>
      </w:r>
    </w:p>
    <w:p w14:paraId="6F68F0B6" w14:textId="77777777" w:rsidR="00DF600C" w:rsidRDefault="00DF600C" w:rsidP="00B50FAD">
      <w:pPr>
        <w:pStyle w:val="Heading3"/>
      </w:pPr>
      <w:r w:rsidRPr="00097E4D">
        <w:t>Appendix A</w:t>
      </w:r>
      <w:r w:rsidR="001C5526" w:rsidRPr="00097E4D">
        <w:t>:</w:t>
      </w:r>
      <w:r w:rsidR="001C5526">
        <w:t xml:space="preserve"> </w:t>
      </w:r>
      <w:r w:rsidRPr="00097E4D">
        <w:t>Regulatory Burden and Cost Offset Estimate Table</w:t>
      </w:r>
    </w:p>
    <w:p w14:paraId="27E75B0C" w14:textId="77777777" w:rsidR="00665A12" w:rsidRPr="00587A9E" w:rsidRDefault="00665A12" w:rsidP="00B50FAD">
      <w:pPr>
        <w:pStyle w:val="Heading4"/>
        <w:ind w:left="142"/>
        <w:rPr>
          <w:i w:val="0"/>
        </w:rPr>
      </w:pPr>
      <w:r w:rsidRPr="00587A9E">
        <w:rPr>
          <w:i w:val="0"/>
        </w:rPr>
        <w:t>Regulatory Burden and Cost Offset Estimate Table</w:t>
      </w:r>
    </w:p>
    <w:tbl>
      <w:tblPr>
        <w:tblStyle w:val="LightGrid"/>
        <w:tblW w:w="7533" w:type="dxa"/>
        <w:tblInd w:w="250"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1698"/>
        <w:gridCol w:w="1378"/>
        <w:gridCol w:w="1335"/>
        <w:gridCol w:w="1134"/>
        <w:gridCol w:w="1988"/>
      </w:tblGrid>
      <w:tr w:rsidR="001F2EBB" w:rsidRPr="00A76068" w14:paraId="21FD4CEE" w14:textId="77777777" w:rsidTr="00587A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33" w:type="dxa"/>
            <w:gridSpan w:val="5"/>
            <w:tcBorders>
              <w:bottom w:val="single" w:sz="8" w:space="0" w:color="000000" w:themeColor="text1"/>
            </w:tcBorders>
            <w:shd w:val="clear" w:color="auto" w:fill="D9D9D9" w:themeFill="background1" w:themeFillShade="D9"/>
            <w:noWrap/>
          </w:tcPr>
          <w:p w14:paraId="719CA89C" w14:textId="77777777" w:rsidR="001F2EBB" w:rsidRPr="00587A9E" w:rsidRDefault="001F2EBB" w:rsidP="00587A9E">
            <w:pPr>
              <w:pStyle w:val="tableheaderwithintable"/>
              <w:jc w:val="left"/>
              <w:rPr>
                <w:i w:val="0"/>
              </w:rPr>
            </w:pPr>
            <w:r>
              <w:br w:type="page"/>
            </w:r>
            <w:r w:rsidRPr="00587A9E">
              <w:rPr>
                <w:i w:val="0"/>
              </w:rPr>
              <w:t>Average Annual Compliance Costs (from business as usual)</w:t>
            </w:r>
          </w:p>
        </w:tc>
      </w:tr>
      <w:tr w:rsidR="00793D8D" w:rsidRPr="00A76068" w14:paraId="0EC0FB89" w14:textId="77777777" w:rsidTr="00793D8D">
        <w:trPr>
          <w:trHeight w:val="300"/>
        </w:trPr>
        <w:tc>
          <w:tcPr>
            <w:cnfStyle w:val="001000000000" w:firstRow="0" w:lastRow="0" w:firstColumn="1" w:lastColumn="0" w:oddVBand="0" w:evenVBand="0" w:oddHBand="0" w:evenHBand="0" w:firstRowFirstColumn="0" w:firstRowLastColumn="0" w:lastRowFirstColumn="0" w:lastRowLastColumn="0"/>
            <w:tcW w:w="7533" w:type="dxa"/>
            <w:gridSpan w:val="5"/>
            <w:tcBorders>
              <w:bottom w:val="single" w:sz="8" w:space="0" w:color="000000" w:themeColor="text1"/>
            </w:tcBorders>
            <w:noWrap/>
          </w:tcPr>
          <w:p w14:paraId="0D7CFB4A" w14:textId="77777777" w:rsidR="00793D8D" w:rsidRDefault="00793D8D" w:rsidP="00F721B7">
            <w:pPr>
              <w:pStyle w:val="tableheaderwithintable"/>
            </w:pPr>
          </w:p>
        </w:tc>
      </w:tr>
      <w:tr w:rsidR="001F2EBB" w:rsidRPr="00A76068" w14:paraId="356BE6B6"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shd w:val="clear" w:color="auto" w:fill="D9D9D9" w:themeFill="background1" w:themeFillShade="D9"/>
            <w:noWrap/>
          </w:tcPr>
          <w:p w14:paraId="1C7E6C59" w14:textId="77777777" w:rsidR="001F2EBB" w:rsidRPr="00081818" w:rsidRDefault="001F2EBB" w:rsidP="00F721B7">
            <w:pPr>
              <w:pStyle w:val="tabletext"/>
              <w:keepNext/>
              <w:keepLines/>
              <w:rPr>
                <w:rFonts w:ascii="Times New Roman" w:hAnsi="Times New Roman" w:cs="Times New Roman"/>
                <w:b w:val="0"/>
              </w:rPr>
            </w:pPr>
            <w:r w:rsidRPr="00081818">
              <w:rPr>
                <w:rFonts w:ascii="Times New Roman" w:hAnsi="Times New Roman" w:cs="Times New Roman"/>
                <w:b w:val="0"/>
              </w:rPr>
              <w:t>C</w:t>
            </w:r>
            <w:r>
              <w:rPr>
                <w:b w:val="0"/>
              </w:rPr>
              <w:t>osts</w:t>
            </w:r>
          </w:p>
        </w:tc>
        <w:tc>
          <w:tcPr>
            <w:tcW w:w="1378" w:type="dxa"/>
            <w:shd w:val="clear" w:color="auto" w:fill="D9D9D9" w:themeFill="background1" w:themeFillShade="D9"/>
            <w:noWrap/>
          </w:tcPr>
          <w:p w14:paraId="390F40F0"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Business</w:t>
            </w:r>
          </w:p>
        </w:tc>
        <w:tc>
          <w:tcPr>
            <w:tcW w:w="1335" w:type="dxa"/>
            <w:shd w:val="clear" w:color="auto" w:fill="D9D9D9" w:themeFill="background1" w:themeFillShade="D9"/>
            <w:noWrap/>
          </w:tcPr>
          <w:p w14:paraId="193B1048"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Community Organisations</w:t>
            </w:r>
          </w:p>
        </w:tc>
        <w:tc>
          <w:tcPr>
            <w:tcW w:w="1134" w:type="dxa"/>
            <w:shd w:val="clear" w:color="auto" w:fill="D9D9D9" w:themeFill="background1" w:themeFillShade="D9"/>
            <w:noWrap/>
          </w:tcPr>
          <w:p w14:paraId="09EC4C83"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Individuals</w:t>
            </w:r>
          </w:p>
        </w:tc>
        <w:tc>
          <w:tcPr>
            <w:tcW w:w="1988" w:type="dxa"/>
            <w:shd w:val="clear" w:color="auto" w:fill="D9D9D9" w:themeFill="background1" w:themeFillShade="D9"/>
            <w:noWrap/>
          </w:tcPr>
          <w:p w14:paraId="493FF377"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Total change in cost</w:t>
            </w:r>
          </w:p>
        </w:tc>
      </w:tr>
      <w:tr w:rsidR="001F2EBB" w:rsidRPr="00A76068" w14:paraId="3B08D057"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tcBorders>
              <w:bottom w:val="single" w:sz="8" w:space="0" w:color="000000" w:themeColor="text1"/>
            </w:tcBorders>
            <w:noWrap/>
          </w:tcPr>
          <w:p w14:paraId="077E9CBA" w14:textId="77777777" w:rsidR="001F2EBB" w:rsidRPr="00081818" w:rsidRDefault="001F2EBB" w:rsidP="00F721B7">
            <w:pPr>
              <w:pStyle w:val="tabletext"/>
              <w:keepNext/>
              <w:keepLines/>
              <w:rPr>
                <w:rFonts w:ascii="Times New Roman" w:hAnsi="Times New Roman" w:cs="Times New Roman"/>
                <w:b w:val="0"/>
              </w:rPr>
            </w:pPr>
            <w:r w:rsidRPr="00081818">
              <w:rPr>
                <w:rFonts w:ascii="Times New Roman" w:hAnsi="Times New Roman" w:cs="Times New Roman"/>
                <w:b w:val="0"/>
              </w:rPr>
              <w:t>Total, by sector</w:t>
            </w:r>
          </w:p>
        </w:tc>
        <w:tc>
          <w:tcPr>
            <w:tcW w:w="1378" w:type="dxa"/>
            <w:tcBorders>
              <w:bottom w:val="single" w:sz="8" w:space="0" w:color="000000" w:themeColor="text1"/>
            </w:tcBorders>
            <w:noWrap/>
          </w:tcPr>
          <w:p w14:paraId="1F4F3F6C"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c>
          <w:tcPr>
            <w:tcW w:w="1335" w:type="dxa"/>
            <w:tcBorders>
              <w:bottom w:val="single" w:sz="8" w:space="0" w:color="000000" w:themeColor="text1"/>
            </w:tcBorders>
            <w:noWrap/>
          </w:tcPr>
          <w:p w14:paraId="3E40E063"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134" w:type="dxa"/>
            <w:tcBorders>
              <w:bottom w:val="single" w:sz="8" w:space="0" w:color="000000" w:themeColor="text1"/>
            </w:tcBorders>
            <w:noWrap/>
          </w:tcPr>
          <w:p w14:paraId="59ECFABF"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988" w:type="dxa"/>
            <w:tcBorders>
              <w:bottom w:val="single" w:sz="8" w:space="0" w:color="000000" w:themeColor="text1"/>
            </w:tcBorders>
            <w:noWrap/>
          </w:tcPr>
          <w:p w14:paraId="735C67D8"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r>
      <w:tr w:rsidR="001F2EBB" w:rsidRPr="00A76068" w14:paraId="566DB130"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7533" w:type="dxa"/>
            <w:gridSpan w:val="5"/>
            <w:shd w:val="clear" w:color="auto" w:fill="D9D9D9" w:themeFill="background1" w:themeFillShade="D9"/>
            <w:noWrap/>
          </w:tcPr>
          <w:p w14:paraId="5C2D71A5" w14:textId="77777777" w:rsidR="001F2EBB" w:rsidRPr="00081818" w:rsidRDefault="001F2EBB" w:rsidP="00F721B7">
            <w:pPr>
              <w:pStyle w:val="tabletext"/>
              <w:keepNext/>
              <w:keepLines/>
              <w:rPr>
                <w:rFonts w:ascii="Times New Roman" w:hAnsi="Times New Roman" w:cs="Times New Roman"/>
                <w:b w:val="0"/>
              </w:rPr>
            </w:pPr>
          </w:p>
        </w:tc>
      </w:tr>
      <w:tr w:rsidR="001F2EBB" w:rsidRPr="00A76068" w14:paraId="61D29D9A"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tcBorders>
              <w:bottom w:val="single" w:sz="8" w:space="0" w:color="000000" w:themeColor="text1"/>
            </w:tcBorders>
            <w:noWrap/>
          </w:tcPr>
          <w:p w14:paraId="49336E01" w14:textId="77777777" w:rsidR="001F2EBB" w:rsidRPr="00081818" w:rsidRDefault="001F2EBB" w:rsidP="00F721B7">
            <w:pPr>
              <w:pStyle w:val="tabletext"/>
              <w:keepNext/>
              <w:keepLines/>
              <w:rPr>
                <w:rFonts w:ascii="Times New Roman" w:hAnsi="Times New Roman" w:cs="Times New Roman"/>
                <w:b w:val="0"/>
              </w:rPr>
            </w:pPr>
            <w:r w:rsidRPr="00081818">
              <w:rPr>
                <w:rFonts w:ascii="Times New Roman" w:hAnsi="Times New Roman" w:cs="Times New Roman"/>
                <w:b w:val="0"/>
              </w:rPr>
              <w:t xml:space="preserve">Cost offset </w:t>
            </w:r>
          </w:p>
        </w:tc>
        <w:tc>
          <w:tcPr>
            <w:tcW w:w="1378" w:type="dxa"/>
            <w:tcBorders>
              <w:bottom w:val="single" w:sz="8" w:space="0" w:color="000000" w:themeColor="text1"/>
            </w:tcBorders>
            <w:noWrap/>
          </w:tcPr>
          <w:p w14:paraId="551007F6"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Business</w:t>
            </w:r>
          </w:p>
        </w:tc>
        <w:tc>
          <w:tcPr>
            <w:tcW w:w="1335" w:type="dxa"/>
            <w:tcBorders>
              <w:bottom w:val="single" w:sz="8" w:space="0" w:color="000000" w:themeColor="text1"/>
            </w:tcBorders>
            <w:noWrap/>
          </w:tcPr>
          <w:p w14:paraId="630E3BE9"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 xml:space="preserve">Community </w:t>
            </w:r>
            <w:r w:rsidRPr="00081818">
              <w:t>Organisations</w:t>
            </w:r>
          </w:p>
        </w:tc>
        <w:tc>
          <w:tcPr>
            <w:tcW w:w="1134" w:type="dxa"/>
            <w:tcBorders>
              <w:bottom w:val="single" w:sz="8" w:space="0" w:color="000000" w:themeColor="text1"/>
            </w:tcBorders>
            <w:noWrap/>
          </w:tcPr>
          <w:p w14:paraId="341D47CA"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Individuals</w:t>
            </w:r>
          </w:p>
        </w:tc>
        <w:tc>
          <w:tcPr>
            <w:tcW w:w="1988" w:type="dxa"/>
            <w:tcBorders>
              <w:bottom w:val="single" w:sz="8" w:space="0" w:color="000000" w:themeColor="text1"/>
            </w:tcBorders>
            <w:noWrap/>
          </w:tcPr>
          <w:p w14:paraId="6257EAAB"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 xml:space="preserve">Total, by source </w:t>
            </w:r>
          </w:p>
        </w:tc>
      </w:tr>
      <w:tr w:rsidR="001F2EBB" w:rsidRPr="00A76068" w14:paraId="0C4C08A0"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shd w:val="clear" w:color="auto" w:fill="D9D9D9" w:themeFill="background1" w:themeFillShade="D9"/>
            <w:noWrap/>
          </w:tcPr>
          <w:p w14:paraId="67F503F8" w14:textId="77777777" w:rsidR="001F2EBB" w:rsidRPr="00081818" w:rsidRDefault="001F2EBB" w:rsidP="00F721B7">
            <w:pPr>
              <w:pStyle w:val="tabletext"/>
              <w:keepNext/>
              <w:keepLines/>
              <w:rPr>
                <w:rFonts w:ascii="Times New Roman" w:hAnsi="Times New Roman" w:cs="Times New Roman"/>
                <w:b w:val="0"/>
              </w:rPr>
            </w:pPr>
            <w:r w:rsidRPr="00081818">
              <w:rPr>
                <w:rFonts w:ascii="Times New Roman" w:hAnsi="Times New Roman" w:cs="Times New Roman"/>
                <w:b w:val="0"/>
              </w:rPr>
              <w:t xml:space="preserve">Agency </w:t>
            </w:r>
          </w:p>
        </w:tc>
        <w:tc>
          <w:tcPr>
            <w:tcW w:w="1378" w:type="dxa"/>
            <w:shd w:val="clear" w:color="auto" w:fill="D9D9D9" w:themeFill="background1" w:themeFillShade="D9"/>
            <w:noWrap/>
          </w:tcPr>
          <w:p w14:paraId="3DA637EE"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c>
          <w:tcPr>
            <w:tcW w:w="1335" w:type="dxa"/>
            <w:shd w:val="clear" w:color="auto" w:fill="D9D9D9" w:themeFill="background1" w:themeFillShade="D9"/>
            <w:noWrap/>
          </w:tcPr>
          <w:p w14:paraId="2CBC8273"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134" w:type="dxa"/>
            <w:shd w:val="clear" w:color="auto" w:fill="D9D9D9" w:themeFill="background1" w:themeFillShade="D9"/>
            <w:noWrap/>
          </w:tcPr>
          <w:p w14:paraId="56E53936"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988" w:type="dxa"/>
            <w:shd w:val="clear" w:color="auto" w:fill="D9D9D9" w:themeFill="background1" w:themeFillShade="D9"/>
            <w:noWrap/>
          </w:tcPr>
          <w:p w14:paraId="32D0B8BD"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r>
      <w:tr w:rsidR="001F2EBB" w:rsidRPr="00A76068" w14:paraId="6ADCC150"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tcBorders>
              <w:bottom w:val="single" w:sz="8" w:space="0" w:color="000000" w:themeColor="text1"/>
            </w:tcBorders>
            <w:noWrap/>
          </w:tcPr>
          <w:p w14:paraId="5BF38D0F" w14:textId="77777777" w:rsidR="001F2EBB" w:rsidRPr="00081818" w:rsidRDefault="001F2EBB" w:rsidP="00F721B7">
            <w:pPr>
              <w:pStyle w:val="tabletext"/>
              <w:keepNext/>
              <w:keepLines/>
              <w:rPr>
                <w:rFonts w:ascii="Times New Roman" w:hAnsi="Times New Roman" w:cs="Times New Roman"/>
                <w:b w:val="0"/>
              </w:rPr>
            </w:pPr>
            <w:r>
              <w:rPr>
                <w:b w:val="0"/>
              </w:rPr>
              <w:t>Within portfolio</w:t>
            </w:r>
          </w:p>
        </w:tc>
        <w:tc>
          <w:tcPr>
            <w:tcW w:w="1378" w:type="dxa"/>
            <w:tcBorders>
              <w:bottom w:val="single" w:sz="8" w:space="0" w:color="000000" w:themeColor="text1"/>
            </w:tcBorders>
            <w:noWrap/>
          </w:tcPr>
          <w:p w14:paraId="2977555D"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rPr>
            </w:pPr>
            <w:r w:rsidRPr="00052FE8">
              <w:rPr>
                <w:rFonts w:ascii="Times New Roman" w:hAnsi="Times New Roman" w:cs="Times New Roman"/>
                <w:color w:val="000000"/>
              </w:rPr>
              <w:t>$</w:t>
            </w:r>
            <w:r w:rsidRPr="00052FE8">
              <w:rPr>
                <w:color w:val="000000"/>
              </w:rPr>
              <w:t>0</w:t>
            </w:r>
          </w:p>
        </w:tc>
        <w:tc>
          <w:tcPr>
            <w:tcW w:w="1335" w:type="dxa"/>
            <w:tcBorders>
              <w:bottom w:val="single" w:sz="8" w:space="0" w:color="000000" w:themeColor="text1"/>
            </w:tcBorders>
            <w:noWrap/>
          </w:tcPr>
          <w:p w14:paraId="62128D40"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Pr>
                <w:color w:val="000000"/>
              </w:rPr>
              <w:t>0</w:t>
            </w:r>
          </w:p>
        </w:tc>
        <w:tc>
          <w:tcPr>
            <w:tcW w:w="1134" w:type="dxa"/>
            <w:tcBorders>
              <w:bottom w:val="single" w:sz="8" w:space="0" w:color="000000" w:themeColor="text1"/>
            </w:tcBorders>
            <w:noWrap/>
          </w:tcPr>
          <w:p w14:paraId="7CC1C07D"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Pr>
                <w:color w:val="000000"/>
              </w:rPr>
              <w:t>0</w:t>
            </w:r>
          </w:p>
        </w:tc>
        <w:tc>
          <w:tcPr>
            <w:tcW w:w="1988" w:type="dxa"/>
            <w:tcBorders>
              <w:bottom w:val="single" w:sz="8" w:space="0" w:color="000000" w:themeColor="text1"/>
            </w:tcBorders>
            <w:noWrap/>
          </w:tcPr>
          <w:p w14:paraId="30027F5C"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rPr>
            </w:pPr>
            <w:r w:rsidRPr="002C00E8">
              <w:rPr>
                <w:rFonts w:ascii="Times New Roman" w:hAnsi="Times New Roman" w:cs="Times New Roman"/>
                <w:color w:val="000000"/>
              </w:rPr>
              <w:t>$</w:t>
            </w:r>
            <w:r w:rsidRPr="002C00E8">
              <w:rPr>
                <w:color w:val="000000"/>
              </w:rPr>
              <w:t>0</w:t>
            </w:r>
          </w:p>
        </w:tc>
      </w:tr>
      <w:tr w:rsidR="001F2EBB" w:rsidRPr="00A76068" w14:paraId="25EE4A99"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shd w:val="clear" w:color="auto" w:fill="D9D9D9" w:themeFill="background1" w:themeFillShade="D9"/>
            <w:noWrap/>
          </w:tcPr>
          <w:p w14:paraId="31F1128C" w14:textId="77777777" w:rsidR="001F2EBB" w:rsidRPr="00081818" w:rsidRDefault="001F2EBB" w:rsidP="00F721B7">
            <w:pPr>
              <w:pStyle w:val="tabletext"/>
              <w:keepNext/>
              <w:keepLines/>
              <w:rPr>
                <w:rFonts w:ascii="Times New Roman" w:hAnsi="Times New Roman" w:cs="Times New Roman"/>
                <w:b w:val="0"/>
              </w:rPr>
            </w:pPr>
            <w:r>
              <w:rPr>
                <w:b w:val="0"/>
              </w:rPr>
              <w:t>Outside portfolio</w:t>
            </w:r>
          </w:p>
        </w:tc>
        <w:tc>
          <w:tcPr>
            <w:tcW w:w="1378" w:type="dxa"/>
            <w:shd w:val="clear" w:color="auto" w:fill="D9D9D9" w:themeFill="background1" w:themeFillShade="D9"/>
            <w:noWrap/>
          </w:tcPr>
          <w:p w14:paraId="086161B3"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rPr>
            </w:pPr>
            <w:r w:rsidRPr="00052FE8">
              <w:rPr>
                <w:rFonts w:ascii="Times New Roman" w:hAnsi="Times New Roman" w:cs="Times New Roman"/>
                <w:color w:val="000000"/>
              </w:rPr>
              <w:t>$</w:t>
            </w:r>
            <w:r w:rsidRPr="00052FE8">
              <w:rPr>
                <w:color w:val="000000"/>
              </w:rPr>
              <w:t>0</w:t>
            </w:r>
          </w:p>
        </w:tc>
        <w:tc>
          <w:tcPr>
            <w:tcW w:w="1335" w:type="dxa"/>
            <w:shd w:val="clear" w:color="auto" w:fill="D9D9D9" w:themeFill="background1" w:themeFillShade="D9"/>
            <w:noWrap/>
          </w:tcPr>
          <w:p w14:paraId="1AEDC587"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Pr>
                <w:color w:val="000000"/>
              </w:rPr>
              <w:t>0</w:t>
            </w:r>
          </w:p>
        </w:tc>
        <w:tc>
          <w:tcPr>
            <w:tcW w:w="1134" w:type="dxa"/>
            <w:shd w:val="clear" w:color="auto" w:fill="D9D9D9" w:themeFill="background1" w:themeFillShade="D9"/>
            <w:noWrap/>
          </w:tcPr>
          <w:p w14:paraId="2EBF9A0B"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Pr>
                <w:color w:val="000000"/>
              </w:rPr>
              <w:t>0</w:t>
            </w:r>
          </w:p>
        </w:tc>
        <w:tc>
          <w:tcPr>
            <w:tcW w:w="1988" w:type="dxa"/>
            <w:shd w:val="clear" w:color="auto" w:fill="D9D9D9" w:themeFill="background1" w:themeFillShade="D9"/>
            <w:noWrap/>
          </w:tcPr>
          <w:p w14:paraId="07857536" w14:textId="77777777" w:rsidR="001F2EBB" w:rsidRPr="00F02A5A"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rPr>
            </w:pPr>
            <w:r w:rsidRPr="002C00E8">
              <w:rPr>
                <w:rFonts w:ascii="Times New Roman" w:hAnsi="Times New Roman" w:cs="Times New Roman"/>
                <w:color w:val="000000"/>
              </w:rPr>
              <w:t>$</w:t>
            </w:r>
            <w:r w:rsidRPr="002C00E8">
              <w:rPr>
                <w:color w:val="000000"/>
              </w:rPr>
              <w:t>0</w:t>
            </w:r>
          </w:p>
        </w:tc>
      </w:tr>
      <w:tr w:rsidR="001F2EBB" w:rsidRPr="00A76068" w14:paraId="08C4F381"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1698" w:type="dxa"/>
            <w:tcBorders>
              <w:bottom w:val="single" w:sz="8" w:space="0" w:color="000000" w:themeColor="text1"/>
            </w:tcBorders>
            <w:noWrap/>
          </w:tcPr>
          <w:p w14:paraId="41B088FA" w14:textId="77777777" w:rsidR="001F2EBB" w:rsidRPr="00081818" w:rsidRDefault="001F2EBB" w:rsidP="00F721B7">
            <w:pPr>
              <w:pStyle w:val="tabletext"/>
              <w:keepNext/>
              <w:keepLines/>
              <w:rPr>
                <w:rFonts w:ascii="Times New Roman" w:hAnsi="Times New Roman" w:cs="Times New Roman"/>
                <w:b w:val="0"/>
              </w:rPr>
            </w:pPr>
            <w:r>
              <w:rPr>
                <w:b w:val="0"/>
              </w:rPr>
              <w:t>Total by Sector</w:t>
            </w:r>
          </w:p>
        </w:tc>
        <w:tc>
          <w:tcPr>
            <w:tcW w:w="1378" w:type="dxa"/>
            <w:tcBorders>
              <w:bottom w:val="single" w:sz="8" w:space="0" w:color="000000" w:themeColor="text1"/>
            </w:tcBorders>
            <w:noWrap/>
          </w:tcPr>
          <w:p w14:paraId="2C83BDE8"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c>
          <w:tcPr>
            <w:tcW w:w="1335" w:type="dxa"/>
            <w:tcBorders>
              <w:bottom w:val="single" w:sz="8" w:space="0" w:color="000000" w:themeColor="text1"/>
            </w:tcBorders>
            <w:noWrap/>
          </w:tcPr>
          <w:p w14:paraId="55193403"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134" w:type="dxa"/>
            <w:tcBorders>
              <w:bottom w:val="single" w:sz="8" w:space="0" w:color="000000" w:themeColor="text1"/>
            </w:tcBorders>
            <w:noWrap/>
          </w:tcPr>
          <w:p w14:paraId="42ED42E9" w14:textId="77777777" w:rsidR="001F2EBB" w:rsidRPr="00081818" w:rsidRDefault="001F2EBB" w:rsidP="00F721B7">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0</w:t>
            </w:r>
          </w:p>
        </w:tc>
        <w:tc>
          <w:tcPr>
            <w:tcW w:w="1988" w:type="dxa"/>
            <w:tcBorders>
              <w:bottom w:val="single" w:sz="8" w:space="0" w:color="000000" w:themeColor="text1"/>
            </w:tcBorders>
            <w:noWrap/>
          </w:tcPr>
          <w:p w14:paraId="232CCD19" w14:textId="77777777" w:rsidR="001F2EBB" w:rsidRPr="00081818" w:rsidRDefault="001F2EBB" w:rsidP="00F721B7">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w:t>
            </w:r>
            <w:r>
              <w:rPr>
                <w:color w:val="000000"/>
              </w:rPr>
              <w:t>5,</w:t>
            </w:r>
            <w:r>
              <w:rPr>
                <w:rFonts w:ascii="Times New Roman" w:hAnsi="Times New Roman" w:cs="Times New Roman"/>
                <w:color w:val="000000"/>
              </w:rPr>
              <w:t>0</w:t>
            </w:r>
            <w:r>
              <w:rPr>
                <w:color w:val="000000"/>
              </w:rPr>
              <w:t>63,317.00</w:t>
            </w:r>
          </w:p>
        </w:tc>
      </w:tr>
      <w:tr w:rsidR="001F2EBB" w:rsidRPr="00A76068" w14:paraId="4E32EB90"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7533" w:type="dxa"/>
            <w:gridSpan w:val="5"/>
            <w:shd w:val="clear" w:color="auto" w:fill="D9D9D9" w:themeFill="background1" w:themeFillShade="D9"/>
            <w:noWrap/>
          </w:tcPr>
          <w:p w14:paraId="06BE50EB" w14:textId="77777777" w:rsidR="001F2EBB" w:rsidRPr="00081818" w:rsidRDefault="001F2EBB" w:rsidP="00F721B7">
            <w:pPr>
              <w:pStyle w:val="tabletext"/>
              <w:keepNext/>
              <w:keepLines/>
            </w:pPr>
          </w:p>
        </w:tc>
      </w:tr>
      <w:tr w:rsidR="001F2EBB" w:rsidRPr="00A76068" w14:paraId="63D8548E"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7533" w:type="dxa"/>
            <w:gridSpan w:val="5"/>
            <w:tcBorders>
              <w:bottom w:val="single" w:sz="8" w:space="0" w:color="000000" w:themeColor="text1"/>
            </w:tcBorders>
            <w:noWrap/>
          </w:tcPr>
          <w:p w14:paraId="1283C2E4" w14:textId="77777777" w:rsidR="001F2EBB" w:rsidRPr="00081818" w:rsidRDefault="001F2EBB" w:rsidP="00F721B7">
            <w:pPr>
              <w:pStyle w:val="tabletext"/>
              <w:keepNext/>
              <w:keepLines/>
              <w:rPr>
                <w:rFonts w:ascii="Times New Roman" w:hAnsi="Times New Roman" w:cs="Times New Roman"/>
                <w:b w:val="0"/>
              </w:rPr>
            </w:pPr>
            <w:r>
              <w:rPr>
                <w:b w:val="0"/>
              </w:rPr>
              <w:t>Proposal is cost neutral</w:t>
            </w:r>
            <w:r w:rsidRPr="00081818">
              <w:rPr>
                <w:rFonts w:ascii="Times New Roman" w:hAnsi="Times New Roman" w:cs="Times New Roman"/>
                <w:b w:val="0"/>
              </w:rPr>
              <w:t xml:space="preserve">? </w:t>
            </w:r>
            <w:r>
              <w:rPr>
                <w:b w:val="0"/>
              </w:rPr>
              <w:sym w:font="Wingdings 2" w:char="F052"/>
            </w:r>
            <w:r w:rsidRPr="00081818">
              <w:rPr>
                <w:rFonts w:ascii="Times New Roman" w:hAnsi="Times New Roman" w:cs="Times New Roman"/>
                <w:b w:val="0"/>
              </w:rPr>
              <w:t xml:space="preserve"> Yes</w:t>
            </w:r>
            <w:r>
              <w:rPr>
                <w:b w:val="0"/>
              </w:rPr>
              <w:t xml:space="preserve">   </w:t>
            </w:r>
            <w:r w:rsidRPr="00081818">
              <w:rPr>
                <w:rFonts w:ascii="Times New Roman" w:hAnsi="Times New Roman" w:cs="Times New Roman"/>
                <w:b w:val="0"/>
              </w:rPr>
              <w:sym w:font="Wingdings 2" w:char="F02A"/>
            </w:r>
            <w:r w:rsidRPr="00081818">
              <w:rPr>
                <w:rFonts w:ascii="Times New Roman" w:hAnsi="Times New Roman" w:cs="Times New Roman"/>
                <w:b w:val="0"/>
              </w:rPr>
              <w:t xml:space="preserve"> No</w:t>
            </w:r>
          </w:p>
        </w:tc>
      </w:tr>
      <w:tr w:rsidR="001F2EBB" w:rsidRPr="00A76068" w14:paraId="5254C995" w14:textId="77777777" w:rsidTr="00587A9E">
        <w:trPr>
          <w:trHeight w:val="300"/>
        </w:trPr>
        <w:tc>
          <w:tcPr>
            <w:cnfStyle w:val="001000000000" w:firstRow="0" w:lastRow="0" w:firstColumn="1" w:lastColumn="0" w:oddVBand="0" w:evenVBand="0" w:oddHBand="0" w:evenHBand="0" w:firstRowFirstColumn="0" w:firstRowLastColumn="0" w:lastRowFirstColumn="0" w:lastRowLastColumn="0"/>
            <w:tcW w:w="7533" w:type="dxa"/>
            <w:gridSpan w:val="5"/>
            <w:shd w:val="clear" w:color="auto" w:fill="D9D9D9" w:themeFill="background1" w:themeFillShade="D9"/>
            <w:noWrap/>
          </w:tcPr>
          <w:p w14:paraId="7D30C078" w14:textId="77777777" w:rsidR="001F2EBB" w:rsidRPr="00081818" w:rsidRDefault="001F2EBB" w:rsidP="00F721B7">
            <w:pPr>
              <w:pStyle w:val="tabletext"/>
              <w:keepNext/>
              <w:keepLines/>
              <w:rPr>
                <w:rFonts w:ascii="Times New Roman" w:hAnsi="Times New Roman" w:cs="Times New Roman"/>
                <w:b w:val="0"/>
              </w:rPr>
            </w:pPr>
            <w:r>
              <w:rPr>
                <w:b w:val="0"/>
              </w:rPr>
              <w:t xml:space="preserve">Proposal is </w:t>
            </w:r>
            <w:r w:rsidRPr="00F02A5A">
              <w:rPr>
                <w:b w:val="0"/>
              </w:rPr>
              <w:t>deregulatory</w:t>
            </w:r>
            <w:r w:rsidRPr="00081818">
              <w:rPr>
                <w:rFonts w:ascii="Times New Roman" w:hAnsi="Times New Roman" w:cs="Times New Roman"/>
                <w:b w:val="0"/>
              </w:rPr>
              <w:t xml:space="preserve">? </w:t>
            </w:r>
            <w:r w:rsidRPr="00081818">
              <w:rPr>
                <w:rFonts w:ascii="Times New Roman" w:hAnsi="Times New Roman" w:cs="Times New Roman"/>
                <w:b w:val="0"/>
              </w:rPr>
              <w:sym w:font="Wingdings 2" w:char="F02A"/>
            </w:r>
            <w:r w:rsidRPr="00081818">
              <w:rPr>
                <w:rFonts w:ascii="Times New Roman" w:hAnsi="Times New Roman" w:cs="Times New Roman"/>
                <w:b w:val="0"/>
              </w:rPr>
              <w:t xml:space="preserve"> Yes </w:t>
            </w:r>
            <w:r>
              <w:rPr>
                <w:b w:val="0"/>
              </w:rPr>
              <w:t xml:space="preserve">  </w:t>
            </w:r>
            <w:r>
              <w:rPr>
                <w:b w:val="0"/>
              </w:rPr>
              <w:sym w:font="Wingdings 2" w:char="F052"/>
            </w:r>
            <w:r w:rsidRPr="00081818">
              <w:rPr>
                <w:rFonts w:ascii="Times New Roman" w:hAnsi="Times New Roman" w:cs="Times New Roman"/>
                <w:b w:val="0"/>
              </w:rPr>
              <w:t xml:space="preserve"> No</w:t>
            </w:r>
          </w:p>
        </w:tc>
      </w:tr>
      <w:tr w:rsidR="001F2EBB" w:rsidRPr="00A76068" w14:paraId="64D497CC" w14:textId="77777777" w:rsidTr="001F2EBB">
        <w:tc>
          <w:tcPr>
            <w:cnfStyle w:val="001000000000" w:firstRow="0" w:lastRow="0" w:firstColumn="1" w:lastColumn="0" w:oddVBand="0" w:evenVBand="0" w:oddHBand="0" w:evenHBand="0" w:firstRowFirstColumn="0" w:firstRowLastColumn="0" w:lastRowFirstColumn="0" w:lastRowLastColumn="0"/>
            <w:tcW w:w="7533" w:type="dxa"/>
            <w:gridSpan w:val="5"/>
          </w:tcPr>
          <w:p w14:paraId="19C63B10" w14:textId="77777777" w:rsidR="001F2EBB" w:rsidRPr="00081818" w:rsidRDefault="001F2EBB" w:rsidP="00F721B7">
            <w:pPr>
              <w:pStyle w:val="tabletext"/>
              <w:keepNext/>
              <w:keepLines/>
              <w:rPr>
                <w:rFonts w:ascii="Times New Roman" w:hAnsi="Times New Roman" w:cs="Times New Roman"/>
                <w:b w:val="0"/>
              </w:rPr>
            </w:pPr>
            <w:r>
              <w:rPr>
                <w:b w:val="0"/>
              </w:rPr>
              <w:t xml:space="preserve">Balance of cost offsets </w:t>
            </w:r>
            <w:r w:rsidRPr="00B16CFC">
              <w:rPr>
                <w:rFonts w:ascii="Times New Roman" w:hAnsi="Times New Roman" w:cs="Times New Roman"/>
                <w:b w:val="0"/>
              </w:rPr>
              <w:t>(</w:t>
            </w:r>
            <w:r w:rsidRPr="00587A9E">
              <w:rPr>
                <w:rFonts w:ascii="Times New Roman" w:hAnsi="Times New Roman" w:cs="Times New Roman"/>
                <w:u w:val="single"/>
              </w:rPr>
              <w:t>$</w:t>
            </w:r>
            <w:r w:rsidRPr="00587A9E">
              <w:rPr>
                <w:u w:val="single"/>
              </w:rPr>
              <w:t>132,988,606.10</w:t>
            </w:r>
            <w:r w:rsidRPr="00081818">
              <w:rPr>
                <w:rFonts w:ascii="Times New Roman" w:hAnsi="Times New Roman" w:cs="Times New Roman"/>
                <w:b w:val="0"/>
              </w:rPr>
              <w:t>)</w:t>
            </w:r>
          </w:p>
        </w:tc>
      </w:tr>
    </w:tbl>
    <w:p w14:paraId="4AD055C9" w14:textId="77777777" w:rsidR="00F721B7" w:rsidRDefault="00665A12" w:rsidP="00A717B8">
      <w:pPr>
        <w:rPr>
          <w:sz w:val="20"/>
        </w:rPr>
      </w:pPr>
      <w:r w:rsidRPr="00A94E9F">
        <w:rPr>
          <w:sz w:val="20"/>
        </w:rPr>
        <w:t>A regulatory offset has been identified from within the Treasury portfolio</w:t>
      </w:r>
      <w:r w:rsidR="001C5526">
        <w:rPr>
          <w:sz w:val="20"/>
        </w:rPr>
        <w:t xml:space="preserve">. </w:t>
      </w:r>
      <w:r w:rsidRPr="00A94E9F">
        <w:rPr>
          <w:sz w:val="20"/>
        </w:rPr>
        <w:t>This offset relates to the Future of Financial Advice (</w:t>
      </w:r>
      <w:proofErr w:type="spellStart"/>
      <w:r w:rsidRPr="00A94E9F">
        <w:rPr>
          <w:sz w:val="20"/>
        </w:rPr>
        <w:t>FOFA</w:t>
      </w:r>
      <w:proofErr w:type="spellEnd"/>
      <w:r w:rsidRPr="00A94E9F">
        <w:rPr>
          <w:sz w:val="20"/>
        </w:rPr>
        <w:t>) reforms</w:t>
      </w:r>
      <w:r w:rsidR="001C5526">
        <w:rPr>
          <w:sz w:val="20"/>
        </w:rPr>
        <w:t xml:space="preserve">. </w:t>
      </w:r>
    </w:p>
    <w:p w14:paraId="3577D058" w14:textId="77777777" w:rsidR="0062117A" w:rsidRDefault="0062117A" w:rsidP="00A717B8">
      <w:pPr>
        <w:rPr>
          <w:sz w:val="20"/>
        </w:rPr>
      </w:pPr>
    </w:p>
    <w:p w14:paraId="41309325" w14:textId="77777777" w:rsidR="00942A0F" w:rsidRDefault="00942A0F" w:rsidP="00A717B8">
      <w:pPr>
        <w:sectPr w:rsidR="00942A0F" w:rsidSect="00821379">
          <w:headerReference w:type="default" r:id="rId42"/>
          <w:type w:val="oddPage"/>
          <w:pgSz w:w="11906" w:h="16838" w:code="9"/>
          <w:pgMar w:top="2466" w:right="2098" w:bottom="2466" w:left="2098" w:header="1559" w:footer="1899" w:gutter="0"/>
          <w:cols w:space="708"/>
          <w:titlePg/>
          <w:docGrid w:linePitch="360"/>
        </w:sectPr>
      </w:pPr>
    </w:p>
    <w:p w14:paraId="7F89D784" w14:textId="77777777" w:rsidR="00942A0F" w:rsidRDefault="00942A0F" w:rsidP="00A717B8"/>
    <w:p w14:paraId="661DE46D" w14:textId="77777777" w:rsidR="00942A0F" w:rsidRPr="00D67ADC" w:rsidRDefault="00942A0F" w:rsidP="00942A0F">
      <w:pPr>
        <w:pStyle w:val="Chapterheadingsubdocument"/>
      </w:pPr>
      <w:bookmarkStart w:id="21" w:name="Index"/>
      <w:bookmarkStart w:id="22" w:name="_Toc422820736"/>
      <w:r w:rsidRPr="00D67ADC">
        <w:t>Index</w:t>
      </w:r>
      <w:bookmarkEnd w:id="21"/>
      <w:bookmarkEnd w:id="22"/>
    </w:p>
    <w:p w14:paraId="23D12502" w14:textId="77777777" w:rsidR="009727E7" w:rsidRDefault="009727E7" w:rsidP="009727E7">
      <w:pPr>
        <w:pStyle w:val="Heading2"/>
      </w:pPr>
      <w:r>
        <w:t>Excise Tariff Amendment (Fuel Indexation) Bill 2015</w:t>
      </w:r>
    </w:p>
    <w:p w14:paraId="2985776C" w14:textId="77777777" w:rsidR="009727E7" w:rsidRDefault="009727E7" w:rsidP="009727E7">
      <w:pPr>
        <w:pStyle w:val="Heading3"/>
      </w:pPr>
      <w:r>
        <w:t>Schedule 1: Incorporation of Tariff Proposals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35D31273" w14:textId="77777777" w:rsidTr="00C64C01">
        <w:trPr>
          <w:tblHeader/>
        </w:trPr>
        <w:tc>
          <w:tcPr>
            <w:tcW w:w="5760" w:type="dxa"/>
          </w:tcPr>
          <w:p w14:paraId="00433ED5" w14:textId="77777777" w:rsidR="009727E7" w:rsidRPr="00231CBA" w:rsidRDefault="009727E7" w:rsidP="00C64C01">
            <w:pPr>
              <w:pStyle w:val="tableheaderwithintable"/>
            </w:pPr>
            <w:r w:rsidRPr="00231CBA">
              <w:t>Bill reference</w:t>
            </w:r>
          </w:p>
        </w:tc>
        <w:tc>
          <w:tcPr>
            <w:tcW w:w="1980" w:type="dxa"/>
          </w:tcPr>
          <w:p w14:paraId="2ECE27A1" w14:textId="77777777" w:rsidR="009727E7" w:rsidRPr="00231CBA" w:rsidRDefault="009727E7" w:rsidP="00C64C01">
            <w:pPr>
              <w:pStyle w:val="tableheaderwithintable"/>
            </w:pPr>
            <w:r w:rsidRPr="00231CBA">
              <w:t>Paragraph number</w:t>
            </w:r>
          </w:p>
        </w:tc>
      </w:tr>
      <w:tr w:rsidR="009727E7" w:rsidRPr="00231CBA" w14:paraId="02630E3B" w14:textId="77777777" w:rsidTr="00C64C01">
        <w:trPr>
          <w:tblHeader/>
        </w:trPr>
        <w:tc>
          <w:tcPr>
            <w:tcW w:w="5760" w:type="dxa"/>
          </w:tcPr>
          <w:p w14:paraId="7D778829" w14:textId="77777777" w:rsidR="009727E7" w:rsidRDefault="009727E7" w:rsidP="00C64C01">
            <w:pPr>
              <w:pStyle w:val="tabletext"/>
            </w:pPr>
            <w:r>
              <w:t>Clause 2</w:t>
            </w:r>
          </w:p>
        </w:tc>
        <w:tc>
          <w:tcPr>
            <w:tcW w:w="1980" w:type="dxa"/>
          </w:tcPr>
          <w:p w14:paraId="6DAF8A8C" w14:textId="77777777" w:rsidR="009727E7" w:rsidRDefault="009727E7" w:rsidP="00C64C01">
            <w:pPr>
              <w:pStyle w:val="tabletext"/>
            </w:pPr>
            <w:r>
              <w:t>1.83, 1.86, 1.87, 1.88</w:t>
            </w:r>
          </w:p>
        </w:tc>
      </w:tr>
      <w:tr w:rsidR="009727E7" w:rsidRPr="00231CBA" w14:paraId="6641C5A8" w14:textId="77777777" w:rsidTr="00C64C01">
        <w:trPr>
          <w:tblHeader/>
        </w:trPr>
        <w:tc>
          <w:tcPr>
            <w:tcW w:w="5760" w:type="dxa"/>
          </w:tcPr>
          <w:p w14:paraId="2D259A2B" w14:textId="77777777" w:rsidR="009727E7" w:rsidRDefault="009727E7" w:rsidP="00C64C01">
            <w:pPr>
              <w:pStyle w:val="tabletext"/>
            </w:pPr>
            <w:r>
              <w:t xml:space="preserve">Items 1 to 9 and 13 to 18, subsection 6G(1) and </w:t>
            </w:r>
            <w:proofErr w:type="spellStart"/>
            <w:r>
              <w:t>subitems</w:t>
            </w:r>
            <w:proofErr w:type="spellEnd"/>
            <w:r>
              <w:t xml:space="preserve"> 10.1, 10.2, 10.3, 10.5, 10.10, 10.15, 10.16, 10.18, 10.20, 10.21, 10.25, 10.26, 10.27, 10.28 of the Schedule to the </w:t>
            </w:r>
            <w:r w:rsidRPr="00B31A00">
              <w:rPr>
                <w:i/>
              </w:rPr>
              <w:t>Excise Tariff Act 1921</w:t>
            </w:r>
          </w:p>
        </w:tc>
        <w:tc>
          <w:tcPr>
            <w:tcW w:w="1980" w:type="dxa"/>
          </w:tcPr>
          <w:p w14:paraId="169827F6" w14:textId="77777777" w:rsidR="009727E7" w:rsidRDefault="009727E7" w:rsidP="00C64C01">
            <w:pPr>
              <w:pStyle w:val="tabletext"/>
            </w:pPr>
            <w:r>
              <w:t>1.34</w:t>
            </w:r>
          </w:p>
        </w:tc>
      </w:tr>
      <w:tr w:rsidR="009727E7" w:rsidRPr="00231CBA" w14:paraId="534BB161" w14:textId="77777777" w:rsidTr="00C64C01">
        <w:trPr>
          <w:tblHeader/>
        </w:trPr>
        <w:tc>
          <w:tcPr>
            <w:tcW w:w="5760" w:type="dxa"/>
          </w:tcPr>
          <w:p w14:paraId="0448AE34" w14:textId="77777777" w:rsidR="009727E7" w:rsidRDefault="009727E7" w:rsidP="00C64C01">
            <w:pPr>
              <w:pStyle w:val="tabletext"/>
            </w:pPr>
            <w:r>
              <w:t xml:space="preserve">Items 10 to12, </w:t>
            </w:r>
            <w:proofErr w:type="spellStart"/>
            <w:r>
              <w:t>subitems</w:t>
            </w:r>
            <w:proofErr w:type="spellEnd"/>
            <w:r>
              <w:t xml:space="preserve"> 10.19A, 10.19B and 10.19C of the Schedule to the </w:t>
            </w:r>
            <w:r w:rsidRPr="00AF6B39">
              <w:rPr>
                <w:i/>
              </w:rPr>
              <w:t>Excise Tariff Act 1921</w:t>
            </w:r>
          </w:p>
        </w:tc>
        <w:tc>
          <w:tcPr>
            <w:tcW w:w="1980" w:type="dxa"/>
          </w:tcPr>
          <w:p w14:paraId="734FB124" w14:textId="77777777" w:rsidR="009727E7" w:rsidRDefault="009727E7" w:rsidP="00C64C01">
            <w:pPr>
              <w:pStyle w:val="tabletext"/>
            </w:pPr>
            <w:r>
              <w:t>1.38</w:t>
            </w:r>
          </w:p>
        </w:tc>
      </w:tr>
      <w:tr w:rsidR="009727E7" w:rsidRPr="00231CBA" w14:paraId="31FA9E77" w14:textId="77777777" w:rsidTr="00C64C01">
        <w:trPr>
          <w:tblHeader/>
        </w:trPr>
        <w:tc>
          <w:tcPr>
            <w:tcW w:w="5760" w:type="dxa"/>
          </w:tcPr>
          <w:p w14:paraId="19E0C775" w14:textId="77777777" w:rsidR="009727E7" w:rsidRDefault="009727E7" w:rsidP="00C64C01">
            <w:pPr>
              <w:pStyle w:val="tabletext"/>
            </w:pPr>
            <w:r>
              <w:t xml:space="preserve">Item 19 </w:t>
            </w:r>
          </w:p>
        </w:tc>
        <w:tc>
          <w:tcPr>
            <w:tcW w:w="1980" w:type="dxa"/>
          </w:tcPr>
          <w:p w14:paraId="5F509896" w14:textId="77777777" w:rsidR="009727E7" w:rsidRDefault="009727E7" w:rsidP="00C64C01">
            <w:pPr>
              <w:pStyle w:val="tabletext"/>
            </w:pPr>
            <w:r>
              <w:t>1.86</w:t>
            </w:r>
          </w:p>
        </w:tc>
      </w:tr>
      <w:tr w:rsidR="009727E7" w:rsidRPr="00231CBA" w14:paraId="51E73267" w14:textId="77777777" w:rsidTr="00C64C01">
        <w:trPr>
          <w:tblHeader/>
        </w:trPr>
        <w:tc>
          <w:tcPr>
            <w:tcW w:w="5760" w:type="dxa"/>
          </w:tcPr>
          <w:p w14:paraId="769E0B40" w14:textId="77777777" w:rsidR="009727E7" w:rsidRDefault="009727E7" w:rsidP="00C64C01">
            <w:pPr>
              <w:pStyle w:val="tabletext"/>
            </w:pPr>
            <w:r>
              <w:t xml:space="preserve">Items 20 to 25, subsections 6A(1), (2), (5), (6), (8) and (9) of the </w:t>
            </w:r>
            <w:r w:rsidRPr="002509B9">
              <w:rPr>
                <w:i/>
              </w:rPr>
              <w:t>Excise Tariff Act 1921</w:t>
            </w:r>
          </w:p>
        </w:tc>
        <w:tc>
          <w:tcPr>
            <w:tcW w:w="1980" w:type="dxa"/>
          </w:tcPr>
          <w:p w14:paraId="28229628" w14:textId="77777777" w:rsidR="009727E7" w:rsidRDefault="009727E7" w:rsidP="00C64C01">
            <w:pPr>
              <w:pStyle w:val="tabletext"/>
            </w:pPr>
            <w:r>
              <w:t>1.23</w:t>
            </w:r>
          </w:p>
        </w:tc>
      </w:tr>
      <w:tr w:rsidR="009727E7" w:rsidRPr="00231CBA" w14:paraId="2062C221" w14:textId="77777777" w:rsidTr="00C64C01">
        <w:trPr>
          <w:tblHeader/>
        </w:trPr>
        <w:tc>
          <w:tcPr>
            <w:tcW w:w="5760" w:type="dxa"/>
            <w:tcBorders>
              <w:top w:val="single" w:sz="4" w:space="0" w:color="auto"/>
              <w:left w:val="single" w:sz="4" w:space="0" w:color="auto"/>
              <w:bottom w:val="single" w:sz="4" w:space="0" w:color="auto"/>
              <w:right w:val="single" w:sz="4" w:space="0" w:color="auto"/>
            </w:tcBorders>
          </w:tcPr>
          <w:p w14:paraId="2D858A43" w14:textId="77777777" w:rsidR="009727E7" w:rsidRDefault="009727E7" w:rsidP="00C64C01">
            <w:pPr>
              <w:pStyle w:val="tabletext"/>
            </w:pPr>
            <w:r>
              <w:t xml:space="preserve">Item 26, subsection 6A(10) of the </w:t>
            </w:r>
            <w:r w:rsidRPr="009D41FB">
              <w:rPr>
                <w:i/>
              </w:rPr>
              <w:t>Excise Tariff Act 1921</w:t>
            </w:r>
          </w:p>
        </w:tc>
        <w:tc>
          <w:tcPr>
            <w:tcW w:w="1980" w:type="dxa"/>
            <w:tcBorders>
              <w:top w:val="single" w:sz="4" w:space="0" w:color="auto"/>
              <w:left w:val="single" w:sz="4" w:space="0" w:color="auto"/>
              <w:bottom w:val="single" w:sz="4" w:space="0" w:color="auto"/>
              <w:right w:val="single" w:sz="4" w:space="0" w:color="auto"/>
            </w:tcBorders>
          </w:tcPr>
          <w:p w14:paraId="7715F4F1" w14:textId="77777777" w:rsidR="009727E7" w:rsidRDefault="009727E7" w:rsidP="00C64C01">
            <w:pPr>
              <w:pStyle w:val="tabletext"/>
            </w:pPr>
            <w:r>
              <w:t>1.26</w:t>
            </w:r>
          </w:p>
        </w:tc>
      </w:tr>
      <w:tr w:rsidR="009727E7" w:rsidRPr="00231CBA" w14:paraId="6E0A5D62" w14:textId="77777777" w:rsidTr="00C64C01">
        <w:trPr>
          <w:tblHeader/>
        </w:trPr>
        <w:tc>
          <w:tcPr>
            <w:tcW w:w="5760" w:type="dxa"/>
          </w:tcPr>
          <w:p w14:paraId="07BE3A24" w14:textId="77777777" w:rsidR="009727E7" w:rsidRDefault="009727E7" w:rsidP="00C64C01">
            <w:pPr>
              <w:pStyle w:val="tabletext"/>
            </w:pPr>
            <w:r>
              <w:t xml:space="preserve">Items 26 and 29, subsection 6A(10) and method statement at the end of step 3 of subsection 6G(1) of the </w:t>
            </w:r>
            <w:r w:rsidRPr="002509B9">
              <w:rPr>
                <w:i/>
              </w:rPr>
              <w:t>Excise Tariff Act 1921</w:t>
            </w:r>
          </w:p>
        </w:tc>
        <w:tc>
          <w:tcPr>
            <w:tcW w:w="1980" w:type="dxa"/>
          </w:tcPr>
          <w:p w14:paraId="27C93BDD" w14:textId="77777777" w:rsidR="009727E7" w:rsidRDefault="009727E7" w:rsidP="00C64C01">
            <w:pPr>
              <w:pStyle w:val="tabletext"/>
            </w:pPr>
            <w:r>
              <w:t>1.32</w:t>
            </w:r>
          </w:p>
        </w:tc>
      </w:tr>
      <w:tr w:rsidR="009727E7" w:rsidRPr="00231CBA" w14:paraId="6F9184DD" w14:textId="77777777" w:rsidTr="00C64C01">
        <w:trPr>
          <w:tblHeader/>
        </w:trPr>
        <w:tc>
          <w:tcPr>
            <w:tcW w:w="5760" w:type="dxa"/>
          </w:tcPr>
          <w:p w14:paraId="1EAD591D" w14:textId="77777777" w:rsidR="009727E7" w:rsidRDefault="009727E7" w:rsidP="00C64C01">
            <w:pPr>
              <w:pStyle w:val="tabletext"/>
            </w:pPr>
            <w:r>
              <w:t xml:space="preserve">Item 27, subsections 6AAA(1), (3) and (4) of the </w:t>
            </w:r>
            <w:r w:rsidRPr="002509B9">
              <w:rPr>
                <w:i/>
              </w:rPr>
              <w:t>Excise Tariff Act</w:t>
            </w:r>
            <w:r>
              <w:t> </w:t>
            </w:r>
            <w:r w:rsidRPr="002509B9">
              <w:rPr>
                <w:i/>
              </w:rPr>
              <w:t>1921</w:t>
            </w:r>
          </w:p>
        </w:tc>
        <w:tc>
          <w:tcPr>
            <w:tcW w:w="1980" w:type="dxa"/>
          </w:tcPr>
          <w:p w14:paraId="7B405F36" w14:textId="77777777" w:rsidR="009727E7" w:rsidRDefault="009727E7" w:rsidP="00C64C01">
            <w:pPr>
              <w:pStyle w:val="tabletext"/>
            </w:pPr>
            <w:r>
              <w:t>1.44</w:t>
            </w:r>
          </w:p>
        </w:tc>
      </w:tr>
      <w:tr w:rsidR="009727E7" w:rsidRPr="00231CBA" w14:paraId="71BA6629" w14:textId="77777777" w:rsidTr="00C64C01">
        <w:trPr>
          <w:tblHeader/>
        </w:trPr>
        <w:tc>
          <w:tcPr>
            <w:tcW w:w="5760" w:type="dxa"/>
          </w:tcPr>
          <w:p w14:paraId="3CA301DB" w14:textId="77777777" w:rsidR="009727E7" w:rsidRDefault="009727E7" w:rsidP="00C64C01">
            <w:pPr>
              <w:pStyle w:val="tabletext"/>
            </w:pPr>
            <w:r>
              <w:t xml:space="preserve">Item 27, subsections 6AAA(2), (3) and (4) of the </w:t>
            </w:r>
            <w:r w:rsidRPr="002509B9">
              <w:rPr>
                <w:i/>
              </w:rPr>
              <w:t>Excise Tariff Act</w:t>
            </w:r>
            <w:r>
              <w:t> </w:t>
            </w:r>
            <w:r w:rsidRPr="002509B9">
              <w:rPr>
                <w:i/>
              </w:rPr>
              <w:t>1921</w:t>
            </w:r>
          </w:p>
        </w:tc>
        <w:tc>
          <w:tcPr>
            <w:tcW w:w="1980" w:type="dxa"/>
          </w:tcPr>
          <w:p w14:paraId="548AF3DE" w14:textId="77777777" w:rsidR="009727E7" w:rsidRDefault="009727E7" w:rsidP="00C64C01">
            <w:pPr>
              <w:pStyle w:val="tabletext"/>
            </w:pPr>
            <w:r>
              <w:t>1.45</w:t>
            </w:r>
          </w:p>
        </w:tc>
      </w:tr>
      <w:tr w:rsidR="009727E7" w:rsidRPr="00231CBA" w14:paraId="4DD390BD" w14:textId="77777777" w:rsidTr="00C64C01">
        <w:trPr>
          <w:tblHeader/>
        </w:trPr>
        <w:tc>
          <w:tcPr>
            <w:tcW w:w="5760" w:type="dxa"/>
          </w:tcPr>
          <w:p w14:paraId="16EE1CEC" w14:textId="77777777" w:rsidR="009727E7" w:rsidRDefault="009727E7" w:rsidP="00C64C01">
            <w:pPr>
              <w:pStyle w:val="tabletext"/>
            </w:pPr>
            <w:r>
              <w:t xml:space="preserve">Item 28, method statement step 1 in subsection 6G(1) of the </w:t>
            </w:r>
            <w:r w:rsidRPr="002509B9">
              <w:rPr>
                <w:i/>
              </w:rPr>
              <w:t>Excise Tariff Act 1921</w:t>
            </w:r>
          </w:p>
        </w:tc>
        <w:tc>
          <w:tcPr>
            <w:tcW w:w="1980" w:type="dxa"/>
          </w:tcPr>
          <w:p w14:paraId="47D83E1C" w14:textId="77777777" w:rsidR="009727E7" w:rsidRDefault="009727E7" w:rsidP="00C64C01">
            <w:pPr>
              <w:pStyle w:val="tabletext"/>
            </w:pPr>
            <w:r>
              <w:t>1.31</w:t>
            </w:r>
          </w:p>
        </w:tc>
      </w:tr>
      <w:tr w:rsidR="009727E7" w:rsidRPr="00231CBA" w14:paraId="69C91A36" w14:textId="77777777" w:rsidTr="00C64C01">
        <w:trPr>
          <w:tblHeader/>
        </w:trPr>
        <w:tc>
          <w:tcPr>
            <w:tcW w:w="5760" w:type="dxa"/>
          </w:tcPr>
          <w:p w14:paraId="486470F6" w14:textId="77777777" w:rsidR="009727E7" w:rsidRDefault="009727E7" w:rsidP="00C64C01">
            <w:pPr>
              <w:pStyle w:val="tabletext"/>
            </w:pPr>
            <w:r>
              <w:t>Item 30</w:t>
            </w:r>
          </w:p>
        </w:tc>
        <w:tc>
          <w:tcPr>
            <w:tcW w:w="1980" w:type="dxa"/>
          </w:tcPr>
          <w:p w14:paraId="504E6016" w14:textId="77777777" w:rsidR="009727E7" w:rsidRDefault="009727E7" w:rsidP="00C64C01">
            <w:pPr>
              <w:pStyle w:val="tabletext"/>
            </w:pPr>
            <w:r>
              <w:t>1.84, 1.87</w:t>
            </w:r>
          </w:p>
        </w:tc>
      </w:tr>
      <w:tr w:rsidR="009727E7" w:rsidRPr="00231CBA" w14:paraId="3F4CF7EA" w14:textId="77777777" w:rsidTr="00C64C01">
        <w:trPr>
          <w:tblHeader/>
        </w:trPr>
        <w:tc>
          <w:tcPr>
            <w:tcW w:w="5760" w:type="dxa"/>
          </w:tcPr>
          <w:p w14:paraId="62FF6ADF" w14:textId="77777777" w:rsidR="009727E7" w:rsidRDefault="009727E7" w:rsidP="00C64C01">
            <w:pPr>
              <w:pStyle w:val="tabletext"/>
            </w:pPr>
            <w:r>
              <w:t xml:space="preserve">Item 31, section 6FAA of the </w:t>
            </w:r>
            <w:r w:rsidRPr="00561539">
              <w:rPr>
                <w:i/>
              </w:rPr>
              <w:t>Excise Tariff Act 1921</w:t>
            </w:r>
          </w:p>
        </w:tc>
        <w:tc>
          <w:tcPr>
            <w:tcW w:w="1980" w:type="dxa"/>
          </w:tcPr>
          <w:p w14:paraId="7BB3E45F" w14:textId="77777777" w:rsidR="009727E7" w:rsidRDefault="009727E7" w:rsidP="00C64C01">
            <w:pPr>
              <w:pStyle w:val="tabletext"/>
            </w:pPr>
            <w:r>
              <w:t>1.43</w:t>
            </w:r>
          </w:p>
        </w:tc>
      </w:tr>
      <w:tr w:rsidR="009727E7" w:rsidRPr="00231CBA" w14:paraId="5EE6D40F" w14:textId="77777777" w:rsidTr="00C64C01">
        <w:trPr>
          <w:tblHeader/>
        </w:trPr>
        <w:tc>
          <w:tcPr>
            <w:tcW w:w="5760" w:type="dxa"/>
          </w:tcPr>
          <w:p w14:paraId="06CF98F7" w14:textId="77777777" w:rsidR="009727E7" w:rsidRDefault="009727E7" w:rsidP="00C64C01">
            <w:pPr>
              <w:pStyle w:val="tabletext"/>
            </w:pPr>
            <w:r>
              <w:t xml:space="preserve">Item 32 </w:t>
            </w:r>
          </w:p>
        </w:tc>
        <w:tc>
          <w:tcPr>
            <w:tcW w:w="1980" w:type="dxa"/>
          </w:tcPr>
          <w:p w14:paraId="652BDDBF" w14:textId="77777777" w:rsidR="009727E7" w:rsidRDefault="009727E7" w:rsidP="00C64C01">
            <w:pPr>
              <w:pStyle w:val="tabletext"/>
            </w:pPr>
            <w:r>
              <w:t>1.88</w:t>
            </w:r>
          </w:p>
        </w:tc>
      </w:tr>
    </w:tbl>
    <w:p w14:paraId="58621DF6" w14:textId="77777777" w:rsidR="009727E7" w:rsidRDefault="009727E7" w:rsidP="009727E7">
      <w:pPr>
        <w:pStyle w:val="Heading3"/>
      </w:pPr>
      <w:r>
        <w:t>Schedule 2: Consequential amendments for ethanol and biodiesel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70A66FDE" w14:textId="77777777" w:rsidTr="00C64C01">
        <w:trPr>
          <w:tblHeader/>
        </w:trPr>
        <w:tc>
          <w:tcPr>
            <w:tcW w:w="5760" w:type="dxa"/>
          </w:tcPr>
          <w:p w14:paraId="47245064" w14:textId="77777777" w:rsidR="009727E7" w:rsidRPr="00442FB9" w:rsidRDefault="009727E7" w:rsidP="00C64C01">
            <w:pPr>
              <w:pStyle w:val="tableheaderwithintable"/>
              <w:rPr>
                <w:lang w:val="en-US" w:eastAsia="en-US"/>
              </w:rPr>
            </w:pPr>
            <w:r w:rsidRPr="00442FB9">
              <w:rPr>
                <w:lang w:val="en-US" w:eastAsia="en-US"/>
              </w:rPr>
              <w:t>Bill reference</w:t>
            </w:r>
          </w:p>
        </w:tc>
        <w:tc>
          <w:tcPr>
            <w:tcW w:w="1980" w:type="dxa"/>
          </w:tcPr>
          <w:p w14:paraId="572CE6FE" w14:textId="77777777" w:rsidR="009727E7" w:rsidRPr="00442FB9" w:rsidRDefault="009727E7" w:rsidP="00C64C01">
            <w:pPr>
              <w:pStyle w:val="tableheaderwithintable"/>
              <w:rPr>
                <w:lang w:val="en-US" w:eastAsia="en-US"/>
              </w:rPr>
            </w:pPr>
            <w:r w:rsidRPr="00442FB9">
              <w:rPr>
                <w:lang w:val="en-US" w:eastAsia="en-US"/>
              </w:rPr>
              <w:t>Paragraph number</w:t>
            </w:r>
          </w:p>
        </w:tc>
      </w:tr>
      <w:tr w:rsidR="009727E7" w:rsidRPr="00231CBA" w14:paraId="0860C5DE" w14:textId="77777777" w:rsidTr="00C64C01">
        <w:trPr>
          <w:tblHeader/>
        </w:trPr>
        <w:tc>
          <w:tcPr>
            <w:tcW w:w="5760" w:type="dxa"/>
          </w:tcPr>
          <w:p w14:paraId="3C1E906F" w14:textId="77777777" w:rsidR="009727E7" w:rsidRDefault="009727E7" w:rsidP="00C64C01">
            <w:pPr>
              <w:pStyle w:val="tabletext"/>
            </w:pPr>
            <w:r>
              <w:t xml:space="preserve">Items 1 and 2, subsection 6A(10) and subparagraph 6AAA(3)(a)(ii) of the </w:t>
            </w:r>
            <w:r w:rsidRPr="00561539">
              <w:rPr>
                <w:i/>
              </w:rPr>
              <w:t>Excise Tariff Act 1921</w:t>
            </w:r>
          </w:p>
        </w:tc>
        <w:tc>
          <w:tcPr>
            <w:tcW w:w="1980" w:type="dxa"/>
          </w:tcPr>
          <w:p w14:paraId="7B97C4AB" w14:textId="77777777" w:rsidR="009727E7" w:rsidRDefault="009727E7" w:rsidP="00C64C01">
            <w:pPr>
              <w:pStyle w:val="tabletext"/>
            </w:pPr>
            <w:r>
              <w:t>1.80</w:t>
            </w:r>
          </w:p>
        </w:tc>
      </w:tr>
      <w:tr w:rsidR="009727E7" w:rsidRPr="00231CBA" w14:paraId="0DD2C217" w14:textId="77777777" w:rsidTr="00C64C01">
        <w:trPr>
          <w:tblHeader/>
        </w:trPr>
        <w:tc>
          <w:tcPr>
            <w:tcW w:w="5760" w:type="dxa"/>
          </w:tcPr>
          <w:p w14:paraId="03937ECA" w14:textId="77777777" w:rsidR="009727E7" w:rsidRDefault="009727E7" w:rsidP="00C64C01">
            <w:pPr>
              <w:pStyle w:val="tabletext"/>
            </w:pPr>
            <w:r>
              <w:t xml:space="preserve">Items 3 and 4, notes at the end of subsections 6H(1) and 6J(1) of the </w:t>
            </w:r>
            <w:r w:rsidRPr="00561539">
              <w:rPr>
                <w:i/>
              </w:rPr>
              <w:t>Excise Tariff Act 1921</w:t>
            </w:r>
          </w:p>
        </w:tc>
        <w:tc>
          <w:tcPr>
            <w:tcW w:w="1980" w:type="dxa"/>
          </w:tcPr>
          <w:p w14:paraId="4C73B425" w14:textId="77777777" w:rsidR="009727E7" w:rsidRDefault="009727E7" w:rsidP="00C64C01">
            <w:pPr>
              <w:pStyle w:val="tabletext"/>
            </w:pPr>
            <w:r>
              <w:t>1.81</w:t>
            </w:r>
          </w:p>
        </w:tc>
      </w:tr>
    </w:tbl>
    <w:p w14:paraId="696CAD3E" w14:textId="77777777" w:rsidR="009727E7" w:rsidRDefault="009727E7" w:rsidP="009727E7">
      <w:pPr>
        <w:pStyle w:val="Heading2"/>
      </w:pPr>
      <w:r>
        <w:t>Customs Tariff Amendment (Fuel Indexation) Bill 2015</w:t>
      </w:r>
    </w:p>
    <w:p w14:paraId="093F08E8" w14:textId="77777777" w:rsidR="009727E7" w:rsidRDefault="009727E7" w:rsidP="009727E7">
      <w:pPr>
        <w:pStyle w:val="Heading3"/>
      </w:pPr>
      <w:r>
        <w:t>Schedule 1: Incorporation of Tariff Proposals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65E815A4" w14:textId="77777777" w:rsidTr="00C64C01">
        <w:trPr>
          <w:tblHeader/>
        </w:trPr>
        <w:tc>
          <w:tcPr>
            <w:tcW w:w="5760" w:type="dxa"/>
          </w:tcPr>
          <w:p w14:paraId="5245568A" w14:textId="77777777" w:rsidR="009727E7" w:rsidRPr="00231CBA" w:rsidRDefault="009727E7" w:rsidP="00C64C01">
            <w:pPr>
              <w:pStyle w:val="tableheaderwithintable"/>
            </w:pPr>
            <w:r w:rsidRPr="00231CBA">
              <w:t>Bill reference</w:t>
            </w:r>
          </w:p>
        </w:tc>
        <w:tc>
          <w:tcPr>
            <w:tcW w:w="1980" w:type="dxa"/>
          </w:tcPr>
          <w:p w14:paraId="4915D70E" w14:textId="77777777" w:rsidR="009727E7" w:rsidRPr="00231CBA" w:rsidRDefault="009727E7" w:rsidP="00C64C01">
            <w:pPr>
              <w:pStyle w:val="tableheaderwithintable"/>
            </w:pPr>
            <w:r w:rsidRPr="00231CBA">
              <w:t>Paragraph number</w:t>
            </w:r>
          </w:p>
        </w:tc>
      </w:tr>
      <w:tr w:rsidR="009727E7" w:rsidRPr="00231CBA" w14:paraId="08A1EE1E" w14:textId="77777777" w:rsidTr="00C64C01">
        <w:trPr>
          <w:tblHeader/>
        </w:trPr>
        <w:tc>
          <w:tcPr>
            <w:tcW w:w="5760" w:type="dxa"/>
            <w:tcBorders>
              <w:top w:val="single" w:sz="4" w:space="0" w:color="auto"/>
              <w:left w:val="single" w:sz="4" w:space="0" w:color="auto"/>
              <w:bottom w:val="single" w:sz="4" w:space="0" w:color="auto"/>
              <w:right w:val="single" w:sz="4" w:space="0" w:color="auto"/>
            </w:tcBorders>
          </w:tcPr>
          <w:p w14:paraId="13932174" w14:textId="77777777" w:rsidR="009727E7" w:rsidRDefault="009727E7" w:rsidP="00C64C01">
            <w:pPr>
              <w:pStyle w:val="tabletext"/>
            </w:pPr>
            <w:r>
              <w:t xml:space="preserve">Clause 2 </w:t>
            </w:r>
          </w:p>
        </w:tc>
        <w:tc>
          <w:tcPr>
            <w:tcW w:w="1980" w:type="dxa"/>
            <w:tcBorders>
              <w:top w:val="single" w:sz="4" w:space="0" w:color="auto"/>
              <w:left w:val="single" w:sz="4" w:space="0" w:color="auto"/>
              <w:bottom w:val="single" w:sz="4" w:space="0" w:color="auto"/>
              <w:right w:val="single" w:sz="4" w:space="0" w:color="auto"/>
            </w:tcBorders>
          </w:tcPr>
          <w:p w14:paraId="0E770FB3" w14:textId="77777777" w:rsidR="009727E7" w:rsidRDefault="009727E7" w:rsidP="00C64C01">
            <w:pPr>
              <w:pStyle w:val="tabletext"/>
            </w:pPr>
            <w:r>
              <w:t>1.86, 1.87, 1.88</w:t>
            </w:r>
          </w:p>
        </w:tc>
      </w:tr>
      <w:tr w:rsidR="009727E7" w:rsidRPr="00231CBA" w14:paraId="4847444D" w14:textId="77777777" w:rsidTr="00C64C01">
        <w:trPr>
          <w:tblHeader/>
        </w:trPr>
        <w:tc>
          <w:tcPr>
            <w:tcW w:w="5760" w:type="dxa"/>
          </w:tcPr>
          <w:p w14:paraId="4738AF31" w14:textId="77777777" w:rsidR="009727E7" w:rsidRPr="00231CBA" w:rsidRDefault="009727E7" w:rsidP="00C64C01">
            <w:pPr>
              <w:pStyle w:val="tabletext"/>
            </w:pPr>
            <w:r>
              <w:t xml:space="preserve">Item 1, section 19AAC of </w:t>
            </w:r>
            <w:r w:rsidRPr="00E32B1A">
              <w:rPr>
                <w:i/>
              </w:rPr>
              <w:t>Customs Tariff Act 1995</w:t>
            </w:r>
          </w:p>
        </w:tc>
        <w:tc>
          <w:tcPr>
            <w:tcW w:w="1980" w:type="dxa"/>
          </w:tcPr>
          <w:p w14:paraId="64A5D0C7" w14:textId="77777777" w:rsidR="009727E7" w:rsidRPr="00231CBA" w:rsidRDefault="009727E7" w:rsidP="00C64C01">
            <w:pPr>
              <w:pStyle w:val="tabletext"/>
            </w:pPr>
            <w:r>
              <w:t>1.28</w:t>
            </w:r>
          </w:p>
        </w:tc>
      </w:tr>
      <w:tr w:rsidR="009727E7" w:rsidRPr="00231CBA" w14:paraId="76101E5D" w14:textId="77777777" w:rsidTr="00C64C01">
        <w:trPr>
          <w:tblHeader/>
        </w:trPr>
        <w:tc>
          <w:tcPr>
            <w:tcW w:w="5760" w:type="dxa"/>
          </w:tcPr>
          <w:p w14:paraId="711407ED" w14:textId="77777777" w:rsidR="009727E7" w:rsidRDefault="009727E7" w:rsidP="00C64C01">
            <w:pPr>
              <w:pStyle w:val="tabletext"/>
            </w:pPr>
            <w:r>
              <w:t xml:space="preserve">Item 1, paragraph 19AAB(1)(a) of the </w:t>
            </w:r>
            <w:r w:rsidRPr="009D41FB">
              <w:rPr>
                <w:i/>
              </w:rPr>
              <w:t>Customs Tariff Act 1995</w:t>
            </w:r>
          </w:p>
        </w:tc>
        <w:tc>
          <w:tcPr>
            <w:tcW w:w="1980" w:type="dxa"/>
          </w:tcPr>
          <w:p w14:paraId="2880F3A7" w14:textId="77777777" w:rsidR="009727E7" w:rsidRDefault="009727E7" w:rsidP="00C64C01">
            <w:pPr>
              <w:pStyle w:val="tabletext"/>
            </w:pPr>
            <w:r>
              <w:t>1.34</w:t>
            </w:r>
          </w:p>
        </w:tc>
      </w:tr>
      <w:tr w:rsidR="009727E7" w:rsidRPr="00231CBA" w14:paraId="59235867" w14:textId="77777777" w:rsidTr="00C64C01">
        <w:trPr>
          <w:tblHeader/>
        </w:trPr>
        <w:tc>
          <w:tcPr>
            <w:tcW w:w="5760" w:type="dxa"/>
          </w:tcPr>
          <w:p w14:paraId="6369C7AD" w14:textId="77777777" w:rsidR="009727E7" w:rsidRDefault="009727E7" w:rsidP="00C64C01">
            <w:pPr>
              <w:pStyle w:val="tabletext"/>
            </w:pPr>
            <w:r>
              <w:t xml:space="preserve">Item 1, paragraphs 19AAB(1)(b), (c) and (d) of the </w:t>
            </w:r>
            <w:r w:rsidRPr="009D41FB">
              <w:rPr>
                <w:i/>
              </w:rPr>
              <w:t>Customs Tariff Act 1995</w:t>
            </w:r>
          </w:p>
        </w:tc>
        <w:tc>
          <w:tcPr>
            <w:tcW w:w="1980" w:type="dxa"/>
          </w:tcPr>
          <w:p w14:paraId="6C1E1548" w14:textId="77777777" w:rsidR="009727E7" w:rsidRDefault="009727E7" w:rsidP="00C64C01">
            <w:pPr>
              <w:pStyle w:val="tabletext"/>
            </w:pPr>
            <w:r>
              <w:t>1.38</w:t>
            </w:r>
          </w:p>
        </w:tc>
      </w:tr>
      <w:tr w:rsidR="009727E7" w:rsidRPr="00231CBA" w14:paraId="4A26F119" w14:textId="77777777" w:rsidTr="00C64C01">
        <w:trPr>
          <w:tblHeader/>
        </w:trPr>
        <w:tc>
          <w:tcPr>
            <w:tcW w:w="5760" w:type="dxa"/>
          </w:tcPr>
          <w:p w14:paraId="3C033AD0" w14:textId="77777777" w:rsidR="009727E7" w:rsidRDefault="009727E7" w:rsidP="00C64C01">
            <w:pPr>
              <w:pStyle w:val="tabletext"/>
            </w:pPr>
            <w:r>
              <w:t>Item 2</w:t>
            </w:r>
          </w:p>
        </w:tc>
        <w:tc>
          <w:tcPr>
            <w:tcW w:w="1980" w:type="dxa"/>
          </w:tcPr>
          <w:p w14:paraId="62F41DC5" w14:textId="77777777" w:rsidR="009727E7" w:rsidRDefault="009727E7" w:rsidP="00C64C01">
            <w:pPr>
              <w:pStyle w:val="tabletext"/>
            </w:pPr>
            <w:r>
              <w:t>1.83, 1.86</w:t>
            </w:r>
          </w:p>
        </w:tc>
      </w:tr>
      <w:tr w:rsidR="009727E7" w:rsidRPr="00231CBA" w14:paraId="1ACD5D28" w14:textId="77777777" w:rsidTr="00C64C01">
        <w:trPr>
          <w:tblHeader/>
        </w:trPr>
        <w:tc>
          <w:tcPr>
            <w:tcW w:w="5760" w:type="dxa"/>
          </w:tcPr>
          <w:p w14:paraId="52FC2073" w14:textId="77777777" w:rsidR="009727E7" w:rsidRDefault="009727E7" w:rsidP="00C64C01">
            <w:pPr>
              <w:pStyle w:val="tabletext"/>
            </w:pPr>
            <w:r>
              <w:t xml:space="preserve">Items 3 to 9, subsections 19(1), (2), (5), (6), (8), (9) and (10) of the </w:t>
            </w:r>
            <w:r w:rsidRPr="00C37F07">
              <w:rPr>
                <w:i/>
              </w:rPr>
              <w:t>Customs Tariff Act 1995</w:t>
            </w:r>
          </w:p>
        </w:tc>
        <w:tc>
          <w:tcPr>
            <w:tcW w:w="1980" w:type="dxa"/>
          </w:tcPr>
          <w:p w14:paraId="2D75C9D9" w14:textId="77777777" w:rsidR="009727E7" w:rsidRDefault="009727E7" w:rsidP="00C64C01">
            <w:pPr>
              <w:pStyle w:val="tabletext"/>
            </w:pPr>
            <w:r>
              <w:t>1.23</w:t>
            </w:r>
          </w:p>
        </w:tc>
      </w:tr>
      <w:tr w:rsidR="009727E7" w:rsidRPr="00231CBA" w14:paraId="69E34C51" w14:textId="77777777" w:rsidTr="00C64C01">
        <w:trPr>
          <w:tblHeader/>
        </w:trPr>
        <w:tc>
          <w:tcPr>
            <w:tcW w:w="5760" w:type="dxa"/>
          </w:tcPr>
          <w:p w14:paraId="537B7A68" w14:textId="77777777" w:rsidR="009727E7" w:rsidRDefault="009727E7" w:rsidP="00C64C01">
            <w:pPr>
              <w:pStyle w:val="tabletext"/>
            </w:pPr>
            <w:r>
              <w:t xml:space="preserve">Item 9, subsection 19(10) of the </w:t>
            </w:r>
            <w:r w:rsidRPr="00C37F07">
              <w:rPr>
                <w:i/>
              </w:rPr>
              <w:t>Customs Tariff Act 1995</w:t>
            </w:r>
          </w:p>
        </w:tc>
        <w:tc>
          <w:tcPr>
            <w:tcW w:w="1980" w:type="dxa"/>
          </w:tcPr>
          <w:p w14:paraId="4313CE6F" w14:textId="77777777" w:rsidR="009727E7" w:rsidRDefault="009727E7" w:rsidP="00C64C01">
            <w:pPr>
              <w:pStyle w:val="tabletext"/>
            </w:pPr>
            <w:r>
              <w:t>1.26</w:t>
            </w:r>
          </w:p>
        </w:tc>
      </w:tr>
      <w:tr w:rsidR="009727E7" w:rsidRPr="00231CBA" w14:paraId="2F2C369B" w14:textId="77777777" w:rsidTr="00C64C01">
        <w:trPr>
          <w:tblHeader/>
        </w:trPr>
        <w:tc>
          <w:tcPr>
            <w:tcW w:w="5760" w:type="dxa"/>
          </w:tcPr>
          <w:p w14:paraId="4FF3B104" w14:textId="77777777" w:rsidR="009727E7" w:rsidRDefault="009727E7" w:rsidP="00C64C01">
            <w:pPr>
              <w:pStyle w:val="tabletext"/>
            </w:pPr>
            <w:r>
              <w:t xml:space="preserve">Item 10, section 19AAA of the </w:t>
            </w:r>
            <w:r w:rsidRPr="00C37F07">
              <w:rPr>
                <w:i/>
              </w:rPr>
              <w:t>Customs Tariff Act 1995</w:t>
            </w:r>
          </w:p>
        </w:tc>
        <w:tc>
          <w:tcPr>
            <w:tcW w:w="1980" w:type="dxa"/>
          </w:tcPr>
          <w:p w14:paraId="52DACE61" w14:textId="77777777" w:rsidR="009727E7" w:rsidRDefault="009727E7" w:rsidP="00C64C01">
            <w:pPr>
              <w:pStyle w:val="tabletext"/>
            </w:pPr>
            <w:r>
              <w:t>1.44</w:t>
            </w:r>
          </w:p>
        </w:tc>
      </w:tr>
      <w:tr w:rsidR="009727E7" w:rsidRPr="00231CBA" w14:paraId="5D47A24C" w14:textId="77777777" w:rsidTr="00C64C01">
        <w:trPr>
          <w:tblHeader/>
        </w:trPr>
        <w:tc>
          <w:tcPr>
            <w:tcW w:w="5760" w:type="dxa"/>
          </w:tcPr>
          <w:p w14:paraId="4E37AA34" w14:textId="77777777" w:rsidR="009727E7" w:rsidRDefault="009727E7" w:rsidP="00C64C01">
            <w:pPr>
              <w:pStyle w:val="tabletext"/>
            </w:pPr>
            <w:r>
              <w:t xml:space="preserve">Item 10, subsection 19AAA(2) of the </w:t>
            </w:r>
            <w:r w:rsidRPr="00C37F07">
              <w:rPr>
                <w:i/>
              </w:rPr>
              <w:t>Customs Tariff Act 1995</w:t>
            </w:r>
          </w:p>
        </w:tc>
        <w:tc>
          <w:tcPr>
            <w:tcW w:w="1980" w:type="dxa"/>
          </w:tcPr>
          <w:p w14:paraId="48897B2F" w14:textId="77777777" w:rsidR="009727E7" w:rsidRDefault="009727E7" w:rsidP="00C64C01">
            <w:pPr>
              <w:pStyle w:val="tabletext"/>
            </w:pPr>
            <w:r>
              <w:t>1.45</w:t>
            </w:r>
          </w:p>
        </w:tc>
      </w:tr>
      <w:tr w:rsidR="009727E7" w:rsidRPr="00231CBA" w14:paraId="6F3C1619" w14:textId="77777777" w:rsidTr="00C64C01">
        <w:trPr>
          <w:tblHeader/>
        </w:trPr>
        <w:tc>
          <w:tcPr>
            <w:tcW w:w="5760" w:type="dxa"/>
          </w:tcPr>
          <w:p w14:paraId="202A30DA" w14:textId="77777777" w:rsidR="009727E7" w:rsidRDefault="009727E7" w:rsidP="00C64C01">
            <w:pPr>
              <w:pStyle w:val="tabletext"/>
            </w:pPr>
            <w:r>
              <w:t>Item 12</w:t>
            </w:r>
          </w:p>
        </w:tc>
        <w:tc>
          <w:tcPr>
            <w:tcW w:w="1980" w:type="dxa"/>
          </w:tcPr>
          <w:p w14:paraId="0DA0DC9C" w14:textId="77777777" w:rsidR="009727E7" w:rsidRDefault="009727E7" w:rsidP="00C64C01">
            <w:pPr>
              <w:pStyle w:val="tabletext"/>
            </w:pPr>
            <w:r>
              <w:t>1.84, 1.87</w:t>
            </w:r>
          </w:p>
        </w:tc>
      </w:tr>
      <w:tr w:rsidR="009727E7" w:rsidRPr="00231CBA" w14:paraId="102397B4" w14:textId="77777777" w:rsidTr="00C64C01">
        <w:trPr>
          <w:tblHeader/>
        </w:trPr>
        <w:tc>
          <w:tcPr>
            <w:tcW w:w="5760" w:type="dxa"/>
          </w:tcPr>
          <w:p w14:paraId="6F28BD95" w14:textId="77777777" w:rsidR="009727E7" w:rsidRDefault="009727E7" w:rsidP="00C64C01">
            <w:pPr>
              <w:pStyle w:val="tabletext"/>
            </w:pPr>
            <w:r>
              <w:t xml:space="preserve">Item 13, section 19AD of the </w:t>
            </w:r>
            <w:r w:rsidRPr="00D910FD">
              <w:rPr>
                <w:i/>
              </w:rPr>
              <w:t>Customs Tariff Act 1995</w:t>
            </w:r>
          </w:p>
        </w:tc>
        <w:tc>
          <w:tcPr>
            <w:tcW w:w="1980" w:type="dxa"/>
          </w:tcPr>
          <w:p w14:paraId="08FDEAC1" w14:textId="77777777" w:rsidR="009727E7" w:rsidRDefault="009727E7" w:rsidP="00C64C01">
            <w:pPr>
              <w:pStyle w:val="tabletext"/>
            </w:pPr>
            <w:r>
              <w:t>1.43</w:t>
            </w:r>
          </w:p>
        </w:tc>
      </w:tr>
      <w:tr w:rsidR="009727E7" w:rsidRPr="00231CBA" w14:paraId="0D3900CA" w14:textId="77777777" w:rsidTr="00C64C01">
        <w:trPr>
          <w:tblHeader/>
        </w:trPr>
        <w:tc>
          <w:tcPr>
            <w:tcW w:w="5760" w:type="dxa"/>
          </w:tcPr>
          <w:p w14:paraId="407F8099" w14:textId="77777777" w:rsidR="009727E7" w:rsidRDefault="009727E7" w:rsidP="00C64C01">
            <w:pPr>
              <w:pStyle w:val="tabletext"/>
            </w:pPr>
            <w:r>
              <w:t xml:space="preserve">Item 14 </w:t>
            </w:r>
          </w:p>
        </w:tc>
        <w:tc>
          <w:tcPr>
            <w:tcW w:w="1980" w:type="dxa"/>
          </w:tcPr>
          <w:p w14:paraId="76754DDD" w14:textId="77777777" w:rsidR="009727E7" w:rsidRDefault="009727E7" w:rsidP="00C64C01">
            <w:pPr>
              <w:pStyle w:val="tabletext"/>
            </w:pPr>
            <w:r>
              <w:t>1.88</w:t>
            </w:r>
          </w:p>
        </w:tc>
      </w:tr>
    </w:tbl>
    <w:p w14:paraId="5EDFEF44" w14:textId="77777777" w:rsidR="009727E7" w:rsidRDefault="009727E7" w:rsidP="009727E7">
      <w:pPr>
        <w:pStyle w:val="Heading3"/>
      </w:pPr>
      <w:r>
        <w:t>Schedule 2: Other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7224DDF1" w14:textId="77777777" w:rsidTr="00C64C01">
        <w:trPr>
          <w:tblHeader/>
        </w:trPr>
        <w:tc>
          <w:tcPr>
            <w:tcW w:w="5760" w:type="dxa"/>
          </w:tcPr>
          <w:p w14:paraId="4FEAF226" w14:textId="77777777" w:rsidR="009727E7" w:rsidRPr="00442FB9" w:rsidRDefault="009727E7" w:rsidP="00C64C01">
            <w:pPr>
              <w:pStyle w:val="tableheaderwithintable"/>
              <w:rPr>
                <w:lang w:val="en-US" w:eastAsia="en-US"/>
              </w:rPr>
            </w:pPr>
            <w:r w:rsidRPr="00442FB9">
              <w:rPr>
                <w:lang w:val="en-US" w:eastAsia="en-US"/>
              </w:rPr>
              <w:t>Bill reference</w:t>
            </w:r>
          </w:p>
        </w:tc>
        <w:tc>
          <w:tcPr>
            <w:tcW w:w="1980" w:type="dxa"/>
          </w:tcPr>
          <w:p w14:paraId="03586B9B" w14:textId="77777777" w:rsidR="009727E7" w:rsidRPr="00442FB9" w:rsidRDefault="009727E7" w:rsidP="00C64C01">
            <w:pPr>
              <w:pStyle w:val="tableheaderwithintable"/>
              <w:rPr>
                <w:lang w:val="en-US" w:eastAsia="en-US"/>
              </w:rPr>
            </w:pPr>
            <w:r w:rsidRPr="00442FB9">
              <w:rPr>
                <w:lang w:val="en-US" w:eastAsia="en-US"/>
              </w:rPr>
              <w:t>Paragraph number</w:t>
            </w:r>
          </w:p>
        </w:tc>
      </w:tr>
      <w:tr w:rsidR="009727E7" w:rsidRPr="00231CBA" w14:paraId="79D3E1D4" w14:textId="77777777" w:rsidTr="00C64C01">
        <w:trPr>
          <w:tblHeader/>
        </w:trPr>
        <w:tc>
          <w:tcPr>
            <w:tcW w:w="5760" w:type="dxa"/>
          </w:tcPr>
          <w:p w14:paraId="0B634F14" w14:textId="77777777" w:rsidR="009727E7" w:rsidRDefault="009727E7" w:rsidP="00C64C01">
            <w:pPr>
              <w:pStyle w:val="tabletext"/>
            </w:pPr>
            <w:r>
              <w:t xml:space="preserve">Clause 2 </w:t>
            </w:r>
          </w:p>
        </w:tc>
        <w:tc>
          <w:tcPr>
            <w:tcW w:w="1980" w:type="dxa"/>
          </w:tcPr>
          <w:p w14:paraId="7BDD74B9" w14:textId="77777777" w:rsidR="009727E7" w:rsidRDefault="009727E7" w:rsidP="00C64C01">
            <w:pPr>
              <w:pStyle w:val="tabletext"/>
            </w:pPr>
            <w:r>
              <w:t>1.85</w:t>
            </w:r>
          </w:p>
        </w:tc>
      </w:tr>
      <w:tr w:rsidR="009727E7" w:rsidRPr="00231CBA" w14:paraId="686EF27C" w14:textId="77777777" w:rsidTr="00C64C01">
        <w:trPr>
          <w:tblHeader/>
        </w:trPr>
        <w:tc>
          <w:tcPr>
            <w:tcW w:w="5760" w:type="dxa"/>
          </w:tcPr>
          <w:p w14:paraId="508B6F2F" w14:textId="77777777" w:rsidR="009727E7" w:rsidRDefault="009727E7" w:rsidP="00C64C01">
            <w:pPr>
              <w:pStyle w:val="tabletext"/>
            </w:pPr>
            <w:r>
              <w:t>Item 2</w:t>
            </w:r>
          </w:p>
        </w:tc>
        <w:tc>
          <w:tcPr>
            <w:tcW w:w="1980" w:type="dxa"/>
          </w:tcPr>
          <w:p w14:paraId="103550F1" w14:textId="77777777" w:rsidR="009727E7" w:rsidRDefault="009727E7" w:rsidP="00C64C01">
            <w:pPr>
              <w:pStyle w:val="tabletext"/>
            </w:pPr>
            <w:r>
              <w:t>1.85</w:t>
            </w:r>
          </w:p>
        </w:tc>
      </w:tr>
    </w:tbl>
    <w:p w14:paraId="03595D16" w14:textId="77777777" w:rsidR="009727E7" w:rsidRDefault="009727E7" w:rsidP="009727E7">
      <w:pPr>
        <w:pStyle w:val="Heading2"/>
      </w:pPr>
      <w:r>
        <w:t>Fuel Indexation (Road Funding) Special Account Bill 2015</w:t>
      </w:r>
    </w:p>
    <w:p w14:paraId="1654C6E6" w14:textId="77777777" w:rsidR="009727E7" w:rsidRDefault="009727E7" w:rsidP="009727E7">
      <w:pPr>
        <w:pStyle w:val="Heading3"/>
      </w:pPr>
      <w:r>
        <w:t>Part 1: Preliminary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181851B0" w14:textId="77777777" w:rsidTr="00C64C01">
        <w:trPr>
          <w:tblHeader/>
        </w:trPr>
        <w:tc>
          <w:tcPr>
            <w:tcW w:w="5760" w:type="dxa"/>
          </w:tcPr>
          <w:p w14:paraId="4D5F17FB" w14:textId="77777777" w:rsidR="009727E7" w:rsidRPr="00231CBA" w:rsidRDefault="009727E7" w:rsidP="00C64C01">
            <w:pPr>
              <w:pStyle w:val="tableheaderwithintable"/>
            </w:pPr>
            <w:r w:rsidRPr="00231CBA">
              <w:t>Bill reference</w:t>
            </w:r>
          </w:p>
        </w:tc>
        <w:tc>
          <w:tcPr>
            <w:tcW w:w="1980" w:type="dxa"/>
          </w:tcPr>
          <w:p w14:paraId="5427DB63" w14:textId="77777777" w:rsidR="009727E7" w:rsidRPr="00231CBA" w:rsidRDefault="009727E7" w:rsidP="00C64C01">
            <w:pPr>
              <w:pStyle w:val="tableheaderwithintable"/>
            </w:pPr>
            <w:r w:rsidRPr="00231CBA">
              <w:t>Paragraph number</w:t>
            </w:r>
          </w:p>
        </w:tc>
      </w:tr>
      <w:tr w:rsidR="009727E7" w:rsidRPr="00231CBA" w14:paraId="6AA058CB" w14:textId="77777777" w:rsidTr="00C64C01">
        <w:trPr>
          <w:tblHeader/>
        </w:trPr>
        <w:tc>
          <w:tcPr>
            <w:tcW w:w="5760" w:type="dxa"/>
          </w:tcPr>
          <w:p w14:paraId="780295EA" w14:textId="77777777" w:rsidR="009727E7" w:rsidRDefault="009727E7" w:rsidP="00C64C01">
            <w:pPr>
              <w:pStyle w:val="tabletext"/>
            </w:pPr>
            <w:r>
              <w:t>Section 3</w:t>
            </w:r>
          </w:p>
        </w:tc>
        <w:tc>
          <w:tcPr>
            <w:tcW w:w="1980" w:type="dxa"/>
          </w:tcPr>
          <w:p w14:paraId="163E2F11" w14:textId="77777777" w:rsidR="009727E7" w:rsidRDefault="009727E7" w:rsidP="00C64C01">
            <w:pPr>
              <w:pStyle w:val="tabletext"/>
            </w:pPr>
            <w:r>
              <w:t>1.50</w:t>
            </w:r>
          </w:p>
        </w:tc>
      </w:tr>
      <w:tr w:rsidR="009727E7" w:rsidRPr="00231CBA" w14:paraId="2DF8017D" w14:textId="77777777" w:rsidTr="00C64C01">
        <w:trPr>
          <w:tblHeader/>
        </w:trPr>
        <w:tc>
          <w:tcPr>
            <w:tcW w:w="5760" w:type="dxa"/>
          </w:tcPr>
          <w:p w14:paraId="247B57BD" w14:textId="77777777" w:rsidR="009727E7" w:rsidRDefault="009727E7" w:rsidP="00C64C01">
            <w:pPr>
              <w:pStyle w:val="tabletext"/>
            </w:pPr>
            <w:r>
              <w:t>Section 4</w:t>
            </w:r>
          </w:p>
        </w:tc>
        <w:tc>
          <w:tcPr>
            <w:tcW w:w="1980" w:type="dxa"/>
          </w:tcPr>
          <w:p w14:paraId="2AE1A808" w14:textId="77777777" w:rsidR="009727E7" w:rsidRDefault="009727E7" w:rsidP="00C64C01">
            <w:pPr>
              <w:pStyle w:val="tabletext"/>
            </w:pPr>
            <w:r>
              <w:t>1.67, 1.72</w:t>
            </w:r>
          </w:p>
        </w:tc>
      </w:tr>
      <w:tr w:rsidR="009727E7" w:rsidRPr="00231CBA" w14:paraId="4A0B5738" w14:textId="77777777" w:rsidTr="00C64C01">
        <w:trPr>
          <w:tblHeader/>
        </w:trPr>
        <w:tc>
          <w:tcPr>
            <w:tcW w:w="5760" w:type="dxa"/>
          </w:tcPr>
          <w:p w14:paraId="1E5DF64C" w14:textId="77777777" w:rsidR="009727E7" w:rsidRDefault="009727E7" w:rsidP="00C64C01">
            <w:pPr>
              <w:pStyle w:val="tabletext"/>
            </w:pPr>
            <w:r>
              <w:t>Sections 5 and 6</w:t>
            </w:r>
          </w:p>
        </w:tc>
        <w:tc>
          <w:tcPr>
            <w:tcW w:w="1980" w:type="dxa"/>
          </w:tcPr>
          <w:p w14:paraId="15BE8BF1" w14:textId="77777777" w:rsidR="009727E7" w:rsidRDefault="009727E7" w:rsidP="00C64C01">
            <w:pPr>
              <w:pStyle w:val="tabletext"/>
            </w:pPr>
            <w:r>
              <w:t>1.49</w:t>
            </w:r>
          </w:p>
        </w:tc>
      </w:tr>
    </w:tbl>
    <w:p w14:paraId="301DE1CD" w14:textId="77777777" w:rsidR="009727E7" w:rsidRDefault="009727E7" w:rsidP="009727E7">
      <w:pPr>
        <w:pStyle w:val="Heading3"/>
      </w:pPr>
      <w:r>
        <w:t>Part 2: Fuel Indexation (Road Funding) special account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497438D6" w14:textId="77777777" w:rsidTr="00C64C01">
        <w:trPr>
          <w:tblHeader/>
        </w:trPr>
        <w:tc>
          <w:tcPr>
            <w:tcW w:w="5760" w:type="dxa"/>
          </w:tcPr>
          <w:p w14:paraId="056C42E1" w14:textId="77777777" w:rsidR="009727E7" w:rsidRPr="00442FB9" w:rsidRDefault="009727E7" w:rsidP="00C64C01">
            <w:pPr>
              <w:pStyle w:val="tableheaderwithintable"/>
              <w:keepLines/>
              <w:rPr>
                <w:lang w:val="en-US" w:eastAsia="en-US"/>
              </w:rPr>
            </w:pPr>
            <w:r w:rsidRPr="00442FB9">
              <w:rPr>
                <w:lang w:val="en-US" w:eastAsia="en-US"/>
              </w:rPr>
              <w:t>Bill reference</w:t>
            </w:r>
          </w:p>
        </w:tc>
        <w:tc>
          <w:tcPr>
            <w:tcW w:w="1980" w:type="dxa"/>
          </w:tcPr>
          <w:p w14:paraId="254E5734" w14:textId="77777777" w:rsidR="009727E7" w:rsidRPr="00442FB9" w:rsidRDefault="009727E7" w:rsidP="00C64C01">
            <w:pPr>
              <w:pStyle w:val="tableheaderwithintable"/>
              <w:keepLines/>
              <w:rPr>
                <w:lang w:val="en-US" w:eastAsia="en-US"/>
              </w:rPr>
            </w:pPr>
            <w:r w:rsidRPr="00442FB9">
              <w:rPr>
                <w:lang w:val="en-US" w:eastAsia="en-US"/>
              </w:rPr>
              <w:t>Paragraph number</w:t>
            </w:r>
          </w:p>
        </w:tc>
      </w:tr>
      <w:tr w:rsidR="009727E7" w:rsidRPr="00231CBA" w14:paraId="32F0BF99" w14:textId="77777777" w:rsidTr="00C64C01">
        <w:trPr>
          <w:tblHeader/>
        </w:trPr>
        <w:tc>
          <w:tcPr>
            <w:tcW w:w="5760" w:type="dxa"/>
          </w:tcPr>
          <w:p w14:paraId="0AB54682" w14:textId="77777777" w:rsidR="009727E7" w:rsidRDefault="009727E7" w:rsidP="00C64C01">
            <w:pPr>
              <w:pStyle w:val="tabletext"/>
              <w:keepNext/>
              <w:keepLines/>
            </w:pPr>
            <w:r>
              <w:t xml:space="preserve">Section 7 </w:t>
            </w:r>
          </w:p>
        </w:tc>
        <w:tc>
          <w:tcPr>
            <w:tcW w:w="1980" w:type="dxa"/>
          </w:tcPr>
          <w:p w14:paraId="675E97C1" w14:textId="77777777" w:rsidR="009727E7" w:rsidRDefault="009727E7" w:rsidP="00C64C01">
            <w:pPr>
              <w:pStyle w:val="tabletext"/>
              <w:keepNext/>
              <w:keepLines/>
            </w:pPr>
            <w:r>
              <w:t>1.46</w:t>
            </w:r>
          </w:p>
        </w:tc>
      </w:tr>
      <w:tr w:rsidR="009727E7" w:rsidRPr="00231CBA" w14:paraId="30A7234C" w14:textId="77777777" w:rsidTr="00C64C01">
        <w:trPr>
          <w:tblHeader/>
        </w:trPr>
        <w:tc>
          <w:tcPr>
            <w:tcW w:w="5760" w:type="dxa"/>
          </w:tcPr>
          <w:p w14:paraId="58F32D6B" w14:textId="77777777" w:rsidR="009727E7" w:rsidRDefault="009727E7" w:rsidP="00C64C01">
            <w:pPr>
              <w:pStyle w:val="tabletext"/>
              <w:keepNext/>
              <w:keepLines/>
            </w:pPr>
            <w:r>
              <w:t>Subsection 8(1)</w:t>
            </w:r>
          </w:p>
        </w:tc>
        <w:tc>
          <w:tcPr>
            <w:tcW w:w="1980" w:type="dxa"/>
          </w:tcPr>
          <w:p w14:paraId="04223DBD" w14:textId="77777777" w:rsidR="009727E7" w:rsidRDefault="009727E7" w:rsidP="00C64C01">
            <w:pPr>
              <w:pStyle w:val="tabletext"/>
              <w:keepNext/>
              <w:keepLines/>
            </w:pPr>
            <w:r>
              <w:t>1.52, 1.53</w:t>
            </w:r>
          </w:p>
        </w:tc>
      </w:tr>
      <w:tr w:rsidR="009727E7" w:rsidRPr="00231CBA" w14:paraId="5B03FF3F" w14:textId="77777777" w:rsidTr="00C64C01">
        <w:trPr>
          <w:tblHeader/>
        </w:trPr>
        <w:tc>
          <w:tcPr>
            <w:tcW w:w="5760" w:type="dxa"/>
          </w:tcPr>
          <w:p w14:paraId="1701F7D3" w14:textId="77777777" w:rsidR="009727E7" w:rsidRDefault="009727E7" w:rsidP="00C64C01">
            <w:pPr>
              <w:pStyle w:val="tabletext"/>
              <w:keepNext/>
              <w:keepLines/>
            </w:pPr>
            <w:r>
              <w:t>Subsection 8(2)</w:t>
            </w:r>
          </w:p>
        </w:tc>
        <w:tc>
          <w:tcPr>
            <w:tcW w:w="1980" w:type="dxa"/>
          </w:tcPr>
          <w:p w14:paraId="418D0BA1" w14:textId="77777777" w:rsidR="009727E7" w:rsidRDefault="009727E7" w:rsidP="00C64C01">
            <w:pPr>
              <w:pStyle w:val="tabletext"/>
              <w:keepNext/>
              <w:keepLines/>
            </w:pPr>
            <w:r>
              <w:t>1.54</w:t>
            </w:r>
          </w:p>
        </w:tc>
      </w:tr>
      <w:tr w:rsidR="009727E7" w:rsidRPr="00231CBA" w14:paraId="2CD37A43" w14:textId="77777777" w:rsidTr="00C64C01">
        <w:trPr>
          <w:tblHeader/>
        </w:trPr>
        <w:tc>
          <w:tcPr>
            <w:tcW w:w="5760" w:type="dxa"/>
          </w:tcPr>
          <w:p w14:paraId="4363F2F9" w14:textId="77777777" w:rsidR="009727E7" w:rsidRDefault="009727E7" w:rsidP="00C64C01">
            <w:pPr>
              <w:pStyle w:val="tabletext"/>
            </w:pPr>
            <w:r>
              <w:t xml:space="preserve">Subsection 8(3) </w:t>
            </w:r>
          </w:p>
        </w:tc>
        <w:tc>
          <w:tcPr>
            <w:tcW w:w="1980" w:type="dxa"/>
          </w:tcPr>
          <w:p w14:paraId="6C6D0130" w14:textId="77777777" w:rsidR="009727E7" w:rsidRDefault="009727E7" w:rsidP="00C64C01">
            <w:pPr>
              <w:pStyle w:val="tabletext"/>
            </w:pPr>
            <w:r>
              <w:t>1.57, 1.58</w:t>
            </w:r>
          </w:p>
        </w:tc>
      </w:tr>
      <w:tr w:rsidR="009727E7" w:rsidRPr="00231CBA" w14:paraId="2C1C578B" w14:textId="77777777" w:rsidTr="00C64C01">
        <w:trPr>
          <w:tblHeader/>
        </w:trPr>
        <w:tc>
          <w:tcPr>
            <w:tcW w:w="5760" w:type="dxa"/>
          </w:tcPr>
          <w:p w14:paraId="48061E80" w14:textId="77777777" w:rsidR="009727E7" w:rsidRDefault="009727E7" w:rsidP="00C64C01">
            <w:pPr>
              <w:pStyle w:val="tabletext"/>
            </w:pPr>
            <w:r>
              <w:t xml:space="preserve">Subsection 8(3) of the </w:t>
            </w:r>
            <w:r w:rsidRPr="00B31A00">
              <w:rPr>
                <w:i/>
              </w:rPr>
              <w:t>Fuel Indexation (Road Funding) Special Account Act 2015</w:t>
            </w:r>
          </w:p>
        </w:tc>
        <w:tc>
          <w:tcPr>
            <w:tcW w:w="1980" w:type="dxa"/>
          </w:tcPr>
          <w:p w14:paraId="2DCCFD40" w14:textId="77777777" w:rsidR="009727E7" w:rsidRDefault="009727E7" w:rsidP="00C64C01">
            <w:pPr>
              <w:pStyle w:val="tabletext"/>
            </w:pPr>
            <w:r>
              <w:t>1.76</w:t>
            </w:r>
          </w:p>
        </w:tc>
      </w:tr>
      <w:tr w:rsidR="009727E7" w:rsidRPr="00231CBA" w14:paraId="3DEF4F28" w14:textId="77777777" w:rsidTr="00C64C01">
        <w:trPr>
          <w:tblHeader/>
        </w:trPr>
        <w:tc>
          <w:tcPr>
            <w:tcW w:w="5760" w:type="dxa"/>
          </w:tcPr>
          <w:p w14:paraId="56573A6C" w14:textId="77777777" w:rsidR="009727E7" w:rsidRDefault="009727E7" w:rsidP="00C64C01">
            <w:pPr>
              <w:pStyle w:val="tabletext"/>
            </w:pPr>
            <w:r>
              <w:t>Paragraph 8(4)(a)</w:t>
            </w:r>
          </w:p>
        </w:tc>
        <w:tc>
          <w:tcPr>
            <w:tcW w:w="1980" w:type="dxa"/>
          </w:tcPr>
          <w:p w14:paraId="6B6933A6" w14:textId="77777777" w:rsidR="009727E7" w:rsidRDefault="009727E7" w:rsidP="00C64C01">
            <w:pPr>
              <w:pStyle w:val="tabletext"/>
            </w:pPr>
            <w:r>
              <w:t>1.56</w:t>
            </w:r>
          </w:p>
        </w:tc>
      </w:tr>
      <w:tr w:rsidR="009727E7" w:rsidRPr="00231CBA" w14:paraId="4CFBFF3D" w14:textId="77777777" w:rsidTr="00C64C01">
        <w:trPr>
          <w:tblHeader/>
        </w:trPr>
        <w:tc>
          <w:tcPr>
            <w:tcW w:w="5760" w:type="dxa"/>
          </w:tcPr>
          <w:p w14:paraId="20BC81EE" w14:textId="77777777" w:rsidR="009727E7" w:rsidRDefault="009727E7" w:rsidP="00C64C01">
            <w:pPr>
              <w:pStyle w:val="tabletext"/>
              <w:keepNext/>
              <w:keepLines/>
            </w:pPr>
            <w:r>
              <w:t>Paragraph 8(4)(b)</w:t>
            </w:r>
          </w:p>
        </w:tc>
        <w:tc>
          <w:tcPr>
            <w:tcW w:w="1980" w:type="dxa"/>
          </w:tcPr>
          <w:p w14:paraId="7AD15D7A" w14:textId="77777777" w:rsidR="009727E7" w:rsidRDefault="009727E7" w:rsidP="00C64C01">
            <w:pPr>
              <w:pStyle w:val="tabletext"/>
              <w:keepNext/>
              <w:keepLines/>
            </w:pPr>
            <w:r>
              <w:t>1.55</w:t>
            </w:r>
          </w:p>
        </w:tc>
      </w:tr>
      <w:tr w:rsidR="009727E7" w:rsidRPr="00231CBA" w14:paraId="47C63BA2" w14:textId="77777777" w:rsidTr="00C64C01">
        <w:trPr>
          <w:tblHeader/>
        </w:trPr>
        <w:tc>
          <w:tcPr>
            <w:tcW w:w="5760" w:type="dxa"/>
          </w:tcPr>
          <w:p w14:paraId="7A7BB2FB" w14:textId="77777777" w:rsidR="009727E7" w:rsidRDefault="009727E7" w:rsidP="00C64C01">
            <w:pPr>
              <w:pStyle w:val="tabletext"/>
            </w:pPr>
            <w:r>
              <w:t>Section 9</w:t>
            </w:r>
          </w:p>
        </w:tc>
        <w:tc>
          <w:tcPr>
            <w:tcW w:w="1980" w:type="dxa"/>
          </w:tcPr>
          <w:p w14:paraId="768E2FA1" w14:textId="77777777" w:rsidR="009727E7" w:rsidRDefault="009727E7" w:rsidP="00C64C01">
            <w:pPr>
              <w:pStyle w:val="tabletext"/>
            </w:pPr>
            <w:r>
              <w:t>1.48, 1.60</w:t>
            </w:r>
          </w:p>
        </w:tc>
      </w:tr>
      <w:tr w:rsidR="009727E7" w:rsidRPr="00231CBA" w14:paraId="48312571" w14:textId="77777777" w:rsidTr="00C64C01">
        <w:trPr>
          <w:tblHeader/>
        </w:trPr>
        <w:tc>
          <w:tcPr>
            <w:tcW w:w="5760" w:type="dxa"/>
          </w:tcPr>
          <w:p w14:paraId="1AEA9157" w14:textId="77777777" w:rsidR="009727E7" w:rsidRDefault="009727E7" w:rsidP="00C64C01">
            <w:pPr>
              <w:pStyle w:val="tabletext"/>
            </w:pPr>
            <w:r>
              <w:t xml:space="preserve">Subsection 10(1) </w:t>
            </w:r>
          </w:p>
        </w:tc>
        <w:tc>
          <w:tcPr>
            <w:tcW w:w="1980" w:type="dxa"/>
          </w:tcPr>
          <w:p w14:paraId="33D68821" w14:textId="77777777" w:rsidR="009727E7" w:rsidRDefault="009727E7" w:rsidP="00C64C01">
            <w:pPr>
              <w:pStyle w:val="tabletext"/>
            </w:pPr>
            <w:r>
              <w:t>1.63</w:t>
            </w:r>
          </w:p>
        </w:tc>
      </w:tr>
      <w:tr w:rsidR="009727E7" w:rsidRPr="00231CBA" w14:paraId="5E20B7CF" w14:textId="77777777" w:rsidTr="00C64C01">
        <w:trPr>
          <w:tblHeader/>
        </w:trPr>
        <w:tc>
          <w:tcPr>
            <w:tcW w:w="5760" w:type="dxa"/>
          </w:tcPr>
          <w:p w14:paraId="20763685" w14:textId="77777777" w:rsidR="009727E7" w:rsidRDefault="009727E7" w:rsidP="00C64C01">
            <w:pPr>
              <w:pStyle w:val="tabletext"/>
            </w:pPr>
            <w:r>
              <w:t xml:space="preserve">Subsection 10(2) and (3) </w:t>
            </w:r>
          </w:p>
        </w:tc>
        <w:tc>
          <w:tcPr>
            <w:tcW w:w="1980" w:type="dxa"/>
          </w:tcPr>
          <w:p w14:paraId="72165751" w14:textId="77777777" w:rsidR="009727E7" w:rsidRDefault="009727E7" w:rsidP="00C64C01">
            <w:pPr>
              <w:pStyle w:val="tabletext"/>
            </w:pPr>
            <w:r>
              <w:t>1.64</w:t>
            </w:r>
          </w:p>
        </w:tc>
      </w:tr>
      <w:tr w:rsidR="009727E7" w:rsidRPr="00231CBA" w14:paraId="40513A4B" w14:textId="77777777" w:rsidTr="00C64C01">
        <w:trPr>
          <w:tblHeader/>
        </w:trPr>
        <w:tc>
          <w:tcPr>
            <w:tcW w:w="5760" w:type="dxa"/>
          </w:tcPr>
          <w:p w14:paraId="283863EE" w14:textId="77777777" w:rsidR="009727E7" w:rsidRDefault="009727E7" w:rsidP="00C64C01">
            <w:pPr>
              <w:pStyle w:val="tabletext"/>
            </w:pPr>
            <w:r>
              <w:t xml:space="preserve">Subsection 10(4) </w:t>
            </w:r>
          </w:p>
        </w:tc>
        <w:tc>
          <w:tcPr>
            <w:tcW w:w="1980" w:type="dxa"/>
          </w:tcPr>
          <w:p w14:paraId="165E723D" w14:textId="77777777" w:rsidR="009727E7" w:rsidRDefault="009727E7" w:rsidP="00C64C01">
            <w:pPr>
              <w:pStyle w:val="tabletext"/>
            </w:pPr>
            <w:r>
              <w:t>1.65</w:t>
            </w:r>
          </w:p>
        </w:tc>
      </w:tr>
      <w:tr w:rsidR="009727E7" w:rsidRPr="00231CBA" w14:paraId="0D2D27EB" w14:textId="77777777" w:rsidTr="00C64C01">
        <w:trPr>
          <w:tblHeader/>
        </w:trPr>
        <w:tc>
          <w:tcPr>
            <w:tcW w:w="5760" w:type="dxa"/>
          </w:tcPr>
          <w:p w14:paraId="07362890" w14:textId="77777777" w:rsidR="009727E7" w:rsidRDefault="009727E7" w:rsidP="00C64C01">
            <w:pPr>
              <w:pStyle w:val="tabletext"/>
            </w:pPr>
            <w:r>
              <w:t xml:space="preserve">Subsection 10(5) </w:t>
            </w:r>
          </w:p>
        </w:tc>
        <w:tc>
          <w:tcPr>
            <w:tcW w:w="1980" w:type="dxa"/>
          </w:tcPr>
          <w:p w14:paraId="43BEE392" w14:textId="77777777" w:rsidR="009727E7" w:rsidRDefault="009727E7" w:rsidP="00C64C01">
            <w:pPr>
              <w:pStyle w:val="tabletext"/>
            </w:pPr>
            <w:r>
              <w:t>1.66</w:t>
            </w:r>
          </w:p>
        </w:tc>
      </w:tr>
      <w:tr w:rsidR="009727E7" w:rsidRPr="00231CBA" w14:paraId="58D45207" w14:textId="77777777" w:rsidTr="00C64C01">
        <w:trPr>
          <w:tblHeader/>
        </w:trPr>
        <w:tc>
          <w:tcPr>
            <w:tcW w:w="5760" w:type="dxa"/>
          </w:tcPr>
          <w:p w14:paraId="1861079D" w14:textId="77777777" w:rsidR="009727E7" w:rsidRDefault="009727E7" w:rsidP="00C64C01">
            <w:pPr>
              <w:pStyle w:val="tabletext"/>
            </w:pPr>
            <w:r>
              <w:t xml:space="preserve">Section 11 </w:t>
            </w:r>
          </w:p>
        </w:tc>
        <w:tc>
          <w:tcPr>
            <w:tcW w:w="1980" w:type="dxa"/>
          </w:tcPr>
          <w:p w14:paraId="5D6DD013" w14:textId="77777777" w:rsidR="009727E7" w:rsidRDefault="009727E7" w:rsidP="00C64C01">
            <w:pPr>
              <w:pStyle w:val="tabletext"/>
            </w:pPr>
            <w:r>
              <w:t>1.61, 1.68</w:t>
            </w:r>
          </w:p>
        </w:tc>
      </w:tr>
    </w:tbl>
    <w:p w14:paraId="645BAA50" w14:textId="77777777" w:rsidR="009727E7" w:rsidRDefault="009727E7" w:rsidP="009727E7">
      <w:pPr>
        <w:pStyle w:val="Heading3"/>
      </w:pPr>
      <w:r>
        <w:t>Part 3: Miscellaneous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5B64DD17" w14:textId="77777777" w:rsidTr="00C64C01">
        <w:trPr>
          <w:tblHeader/>
        </w:trPr>
        <w:tc>
          <w:tcPr>
            <w:tcW w:w="5760" w:type="dxa"/>
          </w:tcPr>
          <w:p w14:paraId="2BA19BC0" w14:textId="77777777" w:rsidR="009727E7" w:rsidRPr="00442FB9" w:rsidRDefault="009727E7" w:rsidP="00C64C01">
            <w:pPr>
              <w:pStyle w:val="tableheaderwithintable"/>
              <w:rPr>
                <w:lang w:val="en-US" w:eastAsia="en-US"/>
              </w:rPr>
            </w:pPr>
            <w:r w:rsidRPr="00442FB9">
              <w:rPr>
                <w:lang w:val="en-US" w:eastAsia="en-US"/>
              </w:rPr>
              <w:t>Bill reference</w:t>
            </w:r>
          </w:p>
        </w:tc>
        <w:tc>
          <w:tcPr>
            <w:tcW w:w="1980" w:type="dxa"/>
          </w:tcPr>
          <w:p w14:paraId="71E0E2AC" w14:textId="77777777" w:rsidR="009727E7" w:rsidRPr="00442FB9" w:rsidRDefault="009727E7" w:rsidP="00C64C01">
            <w:pPr>
              <w:pStyle w:val="tableheaderwithintable"/>
              <w:rPr>
                <w:lang w:val="en-US" w:eastAsia="en-US"/>
              </w:rPr>
            </w:pPr>
            <w:r w:rsidRPr="00442FB9">
              <w:rPr>
                <w:lang w:val="en-US" w:eastAsia="en-US"/>
              </w:rPr>
              <w:t>Paragraph number</w:t>
            </w:r>
          </w:p>
        </w:tc>
      </w:tr>
      <w:tr w:rsidR="009727E7" w:rsidRPr="00231CBA" w14:paraId="2FB67F32" w14:textId="77777777" w:rsidTr="00C64C01">
        <w:trPr>
          <w:tblHeader/>
        </w:trPr>
        <w:tc>
          <w:tcPr>
            <w:tcW w:w="5760" w:type="dxa"/>
          </w:tcPr>
          <w:p w14:paraId="478297E4" w14:textId="77777777" w:rsidR="009727E7" w:rsidRDefault="009727E7" w:rsidP="00C64C01">
            <w:pPr>
              <w:pStyle w:val="tabletext"/>
            </w:pPr>
            <w:r>
              <w:t xml:space="preserve">Section 13 </w:t>
            </w:r>
          </w:p>
        </w:tc>
        <w:tc>
          <w:tcPr>
            <w:tcW w:w="1980" w:type="dxa"/>
          </w:tcPr>
          <w:p w14:paraId="7809EC2D" w14:textId="77777777" w:rsidR="009727E7" w:rsidRDefault="009727E7" w:rsidP="00C64C01">
            <w:pPr>
              <w:pStyle w:val="tabletext"/>
            </w:pPr>
            <w:r>
              <w:t>1.69</w:t>
            </w:r>
          </w:p>
        </w:tc>
      </w:tr>
      <w:tr w:rsidR="009727E7" w:rsidRPr="00231CBA" w14:paraId="2D749ED1" w14:textId="77777777" w:rsidTr="00C64C01">
        <w:trPr>
          <w:tblHeader/>
        </w:trPr>
        <w:tc>
          <w:tcPr>
            <w:tcW w:w="5760" w:type="dxa"/>
          </w:tcPr>
          <w:p w14:paraId="073A7CF4" w14:textId="77777777" w:rsidR="009727E7" w:rsidRDefault="009727E7" w:rsidP="00C64C01">
            <w:pPr>
              <w:pStyle w:val="tabletext"/>
            </w:pPr>
            <w:r>
              <w:t xml:space="preserve">Section 14 </w:t>
            </w:r>
          </w:p>
        </w:tc>
        <w:tc>
          <w:tcPr>
            <w:tcW w:w="1980" w:type="dxa"/>
          </w:tcPr>
          <w:p w14:paraId="69D863AC" w14:textId="77777777" w:rsidR="009727E7" w:rsidRDefault="009727E7" w:rsidP="00C64C01">
            <w:pPr>
              <w:pStyle w:val="tabletext"/>
            </w:pPr>
            <w:r>
              <w:t>1.70</w:t>
            </w:r>
          </w:p>
        </w:tc>
      </w:tr>
      <w:tr w:rsidR="009727E7" w:rsidRPr="00231CBA" w14:paraId="36E55C93" w14:textId="77777777" w:rsidTr="00C64C01">
        <w:trPr>
          <w:tblHeader/>
        </w:trPr>
        <w:tc>
          <w:tcPr>
            <w:tcW w:w="5760" w:type="dxa"/>
          </w:tcPr>
          <w:p w14:paraId="6DFD8FE4" w14:textId="77777777" w:rsidR="009727E7" w:rsidRDefault="009727E7" w:rsidP="00C64C01">
            <w:pPr>
              <w:pStyle w:val="tabletext"/>
            </w:pPr>
            <w:r>
              <w:t xml:space="preserve">Section 15 </w:t>
            </w:r>
          </w:p>
        </w:tc>
        <w:tc>
          <w:tcPr>
            <w:tcW w:w="1980" w:type="dxa"/>
          </w:tcPr>
          <w:p w14:paraId="3386011C" w14:textId="77777777" w:rsidR="009727E7" w:rsidRDefault="009727E7" w:rsidP="00C64C01">
            <w:pPr>
              <w:pStyle w:val="tabletext"/>
            </w:pPr>
            <w:r>
              <w:t>1.74</w:t>
            </w:r>
          </w:p>
        </w:tc>
      </w:tr>
    </w:tbl>
    <w:p w14:paraId="181D3F3C" w14:textId="77777777" w:rsidR="009727E7" w:rsidRDefault="009727E7" w:rsidP="009727E7">
      <w:pPr>
        <w:pStyle w:val="Heading2"/>
      </w:pPr>
      <w:r>
        <w:t>Fuel Indexation (Road Funding) Bill 2015</w:t>
      </w:r>
    </w:p>
    <w:p w14:paraId="350F8D61" w14:textId="77777777" w:rsidR="009727E7" w:rsidRDefault="009727E7" w:rsidP="009727E7">
      <w:pPr>
        <w:pStyle w:val="Heading3"/>
      </w:pPr>
      <w:r>
        <w:t>Schedule 1: Consequential amendments for establishment of Fuel Indexation (Road Funding) special account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5996FE50" w14:textId="77777777" w:rsidTr="00C64C01">
        <w:trPr>
          <w:tblHeader/>
        </w:trPr>
        <w:tc>
          <w:tcPr>
            <w:tcW w:w="5760" w:type="dxa"/>
          </w:tcPr>
          <w:p w14:paraId="30AF9F00" w14:textId="77777777" w:rsidR="009727E7" w:rsidRPr="00231CBA" w:rsidRDefault="009727E7" w:rsidP="00C64C01">
            <w:pPr>
              <w:pStyle w:val="tableheaderwithintable"/>
            </w:pPr>
            <w:r w:rsidRPr="00231CBA">
              <w:t>Bill reference</w:t>
            </w:r>
          </w:p>
        </w:tc>
        <w:tc>
          <w:tcPr>
            <w:tcW w:w="1980" w:type="dxa"/>
          </w:tcPr>
          <w:p w14:paraId="5C7397E4" w14:textId="77777777" w:rsidR="009727E7" w:rsidRPr="00231CBA" w:rsidRDefault="009727E7" w:rsidP="00C64C01">
            <w:pPr>
              <w:pStyle w:val="tableheaderwithintable"/>
            </w:pPr>
            <w:r w:rsidRPr="00231CBA">
              <w:t>Paragraph number</w:t>
            </w:r>
          </w:p>
        </w:tc>
      </w:tr>
      <w:tr w:rsidR="009727E7" w:rsidRPr="00231CBA" w14:paraId="17BA54E0" w14:textId="77777777" w:rsidTr="00C64C01">
        <w:trPr>
          <w:tblHeader/>
        </w:trPr>
        <w:tc>
          <w:tcPr>
            <w:tcW w:w="5760" w:type="dxa"/>
          </w:tcPr>
          <w:p w14:paraId="10A71FE7" w14:textId="77777777" w:rsidR="009727E7" w:rsidRDefault="009727E7" w:rsidP="00C64C01">
            <w:pPr>
              <w:pStyle w:val="tabletext"/>
            </w:pPr>
            <w:r>
              <w:t xml:space="preserve">Item 1, subsection 5(2) of </w:t>
            </w:r>
            <w:r w:rsidRPr="00CF4616">
              <w:rPr>
                <w:i/>
              </w:rPr>
              <w:t xml:space="preserve">the </w:t>
            </w:r>
            <w:proofErr w:type="spellStart"/>
            <w:r w:rsidRPr="00CF4616">
              <w:rPr>
                <w:i/>
              </w:rPr>
              <w:t>COAG</w:t>
            </w:r>
            <w:proofErr w:type="spellEnd"/>
            <w:r w:rsidRPr="00CF4616">
              <w:rPr>
                <w:i/>
              </w:rPr>
              <w:t xml:space="preserve"> Reform Fund Act 2008</w:t>
            </w:r>
          </w:p>
        </w:tc>
        <w:tc>
          <w:tcPr>
            <w:tcW w:w="1980" w:type="dxa"/>
          </w:tcPr>
          <w:p w14:paraId="767F966A" w14:textId="77777777" w:rsidR="009727E7" w:rsidRDefault="009727E7" w:rsidP="00C64C01">
            <w:pPr>
              <w:pStyle w:val="tabletext"/>
            </w:pPr>
            <w:r>
              <w:t>1.75</w:t>
            </w:r>
          </w:p>
        </w:tc>
      </w:tr>
      <w:tr w:rsidR="009727E7" w:rsidRPr="00231CBA" w14:paraId="0B8E3903" w14:textId="77777777" w:rsidTr="00C64C01">
        <w:trPr>
          <w:tblHeader/>
        </w:trPr>
        <w:tc>
          <w:tcPr>
            <w:tcW w:w="5760" w:type="dxa"/>
          </w:tcPr>
          <w:p w14:paraId="6256CC4C" w14:textId="77777777" w:rsidR="009727E7" w:rsidRDefault="009727E7" w:rsidP="00C64C01">
            <w:pPr>
              <w:pStyle w:val="tabletext"/>
            </w:pPr>
            <w:r>
              <w:t xml:space="preserve">Item 2, subsection  8(3) of the </w:t>
            </w:r>
            <w:r w:rsidRPr="00CF4616">
              <w:rPr>
                <w:i/>
              </w:rPr>
              <w:t>Fuel Indexation (Road Funding) Special Account Act 2015</w:t>
            </w:r>
          </w:p>
        </w:tc>
        <w:tc>
          <w:tcPr>
            <w:tcW w:w="1980" w:type="dxa"/>
          </w:tcPr>
          <w:p w14:paraId="36E85EEB" w14:textId="77777777" w:rsidR="009727E7" w:rsidRDefault="009727E7" w:rsidP="00C64C01">
            <w:pPr>
              <w:pStyle w:val="tabletext"/>
            </w:pPr>
            <w:r>
              <w:t>1.76</w:t>
            </w:r>
          </w:p>
        </w:tc>
      </w:tr>
      <w:tr w:rsidR="009727E7" w:rsidRPr="00231CBA" w14:paraId="03C00486" w14:textId="77777777" w:rsidTr="00C64C01">
        <w:trPr>
          <w:tblHeader/>
        </w:trPr>
        <w:tc>
          <w:tcPr>
            <w:tcW w:w="5760" w:type="dxa"/>
          </w:tcPr>
          <w:p w14:paraId="6A2DE12F" w14:textId="77777777" w:rsidR="009727E7" w:rsidRDefault="009727E7" w:rsidP="00C64C01">
            <w:pPr>
              <w:pStyle w:val="tabletext"/>
            </w:pPr>
            <w:r>
              <w:t>Item 3, subparagraph 9(2)(b)(</w:t>
            </w:r>
            <w:proofErr w:type="spellStart"/>
            <w:r>
              <w:t>i</w:t>
            </w:r>
            <w:proofErr w:type="spellEnd"/>
            <w:r>
              <w:t xml:space="preserve">) </w:t>
            </w:r>
          </w:p>
        </w:tc>
        <w:tc>
          <w:tcPr>
            <w:tcW w:w="1980" w:type="dxa"/>
          </w:tcPr>
          <w:p w14:paraId="7D24B1A5" w14:textId="77777777" w:rsidR="009727E7" w:rsidRDefault="009727E7" w:rsidP="00C64C01">
            <w:pPr>
              <w:pStyle w:val="tabletext"/>
            </w:pPr>
            <w:r>
              <w:t>1.81</w:t>
            </w:r>
          </w:p>
        </w:tc>
      </w:tr>
      <w:tr w:rsidR="009727E7" w:rsidRPr="00231CBA" w14:paraId="1A92503B" w14:textId="77777777" w:rsidTr="00C64C01">
        <w:trPr>
          <w:tblHeader/>
        </w:trPr>
        <w:tc>
          <w:tcPr>
            <w:tcW w:w="5760" w:type="dxa"/>
          </w:tcPr>
          <w:p w14:paraId="787A4CA3" w14:textId="77777777" w:rsidR="009727E7" w:rsidRDefault="009727E7" w:rsidP="00C64C01">
            <w:pPr>
              <w:pStyle w:val="tabletext"/>
            </w:pPr>
            <w:r>
              <w:t>Item 4</w:t>
            </w:r>
          </w:p>
        </w:tc>
        <w:tc>
          <w:tcPr>
            <w:tcW w:w="1980" w:type="dxa"/>
          </w:tcPr>
          <w:p w14:paraId="06DAFFC1" w14:textId="77777777" w:rsidR="009727E7" w:rsidRDefault="009727E7" w:rsidP="00C64C01">
            <w:pPr>
              <w:pStyle w:val="tabletext"/>
            </w:pPr>
            <w:r>
              <w:t>1.82</w:t>
            </w:r>
          </w:p>
        </w:tc>
      </w:tr>
    </w:tbl>
    <w:p w14:paraId="7A1C94FD" w14:textId="77777777" w:rsidR="009727E7" w:rsidRDefault="009727E7" w:rsidP="009727E7">
      <w:pPr>
        <w:pStyle w:val="Heading3"/>
      </w:pPr>
      <w:r>
        <w:t>Schedule 2: Consequential amendments for indexation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27436A01" w14:textId="77777777" w:rsidTr="00C64C01">
        <w:trPr>
          <w:tblHeader/>
        </w:trPr>
        <w:tc>
          <w:tcPr>
            <w:tcW w:w="5760" w:type="dxa"/>
          </w:tcPr>
          <w:p w14:paraId="358C9889" w14:textId="77777777" w:rsidR="009727E7" w:rsidRPr="00442FB9" w:rsidRDefault="009727E7" w:rsidP="00C64C01">
            <w:pPr>
              <w:pStyle w:val="tableheaderwithintable"/>
              <w:rPr>
                <w:lang w:val="en-US" w:eastAsia="en-US"/>
              </w:rPr>
            </w:pPr>
            <w:r w:rsidRPr="00442FB9">
              <w:rPr>
                <w:lang w:val="en-US" w:eastAsia="en-US"/>
              </w:rPr>
              <w:t>Bill reference</w:t>
            </w:r>
          </w:p>
        </w:tc>
        <w:tc>
          <w:tcPr>
            <w:tcW w:w="1980" w:type="dxa"/>
          </w:tcPr>
          <w:p w14:paraId="6DC48586" w14:textId="77777777" w:rsidR="009727E7" w:rsidRPr="00442FB9" w:rsidRDefault="009727E7" w:rsidP="00C64C01">
            <w:pPr>
              <w:pStyle w:val="tableheaderwithintable"/>
              <w:rPr>
                <w:lang w:val="en-US" w:eastAsia="en-US"/>
              </w:rPr>
            </w:pPr>
            <w:r w:rsidRPr="00442FB9">
              <w:rPr>
                <w:lang w:val="en-US" w:eastAsia="en-US"/>
              </w:rPr>
              <w:t>Paragraph number</w:t>
            </w:r>
          </w:p>
        </w:tc>
      </w:tr>
      <w:tr w:rsidR="009727E7" w:rsidRPr="00231CBA" w14:paraId="08C2042C" w14:textId="77777777" w:rsidTr="00C64C01">
        <w:trPr>
          <w:tblHeader/>
        </w:trPr>
        <w:tc>
          <w:tcPr>
            <w:tcW w:w="5760" w:type="dxa"/>
            <w:tcBorders>
              <w:top w:val="single" w:sz="4" w:space="0" w:color="auto"/>
              <w:left w:val="single" w:sz="4" w:space="0" w:color="auto"/>
              <w:bottom w:val="single" w:sz="4" w:space="0" w:color="auto"/>
              <w:right w:val="single" w:sz="4" w:space="0" w:color="auto"/>
            </w:tcBorders>
          </w:tcPr>
          <w:p w14:paraId="604679A9" w14:textId="77777777" w:rsidR="009727E7" w:rsidRPr="0074167D" w:rsidRDefault="009727E7" w:rsidP="00C64C01">
            <w:pPr>
              <w:pStyle w:val="tabletext"/>
            </w:pPr>
            <w:r w:rsidRPr="0074167D">
              <w:t xml:space="preserve">Item 1, </w:t>
            </w:r>
            <w:r>
              <w:t>paragraph</w:t>
            </w:r>
            <w:r w:rsidRPr="0074167D">
              <w:t> 77H</w:t>
            </w:r>
            <w:r>
              <w:t>(2)</w:t>
            </w:r>
            <w:r w:rsidRPr="0074167D">
              <w:t xml:space="preserve">(2AA) of the </w:t>
            </w:r>
            <w:r w:rsidRPr="00CE56C6">
              <w:rPr>
                <w:i/>
              </w:rPr>
              <w:t>Excise Act 1901</w:t>
            </w:r>
          </w:p>
        </w:tc>
        <w:tc>
          <w:tcPr>
            <w:tcW w:w="1980" w:type="dxa"/>
            <w:tcBorders>
              <w:top w:val="single" w:sz="4" w:space="0" w:color="auto"/>
              <w:left w:val="single" w:sz="4" w:space="0" w:color="auto"/>
              <w:bottom w:val="single" w:sz="4" w:space="0" w:color="auto"/>
              <w:right w:val="single" w:sz="4" w:space="0" w:color="auto"/>
            </w:tcBorders>
          </w:tcPr>
          <w:p w14:paraId="0AB6254F" w14:textId="77777777" w:rsidR="009727E7" w:rsidRPr="0074167D" w:rsidRDefault="009727E7" w:rsidP="00C64C01">
            <w:pPr>
              <w:pStyle w:val="tabletext"/>
            </w:pPr>
            <w:r w:rsidRPr="0074167D">
              <w:t>1.77</w:t>
            </w:r>
          </w:p>
        </w:tc>
      </w:tr>
    </w:tbl>
    <w:p w14:paraId="1626AF81" w14:textId="77777777" w:rsidR="009727E7" w:rsidRDefault="009727E7" w:rsidP="009727E7">
      <w:pPr>
        <w:pStyle w:val="Heading3"/>
      </w:pPr>
      <w:r>
        <w:t>Schedule 3: Fuel tax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727E7" w:rsidRPr="00442FB9" w14:paraId="22466DB8" w14:textId="77777777" w:rsidTr="00C64C01">
        <w:trPr>
          <w:tblHeader/>
        </w:trPr>
        <w:tc>
          <w:tcPr>
            <w:tcW w:w="5760" w:type="dxa"/>
          </w:tcPr>
          <w:p w14:paraId="65279F15" w14:textId="77777777" w:rsidR="009727E7" w:rsidRPr="00442FB9" w:rsidRDefault="009727E7" w:rsidP="00C64C01">
            <w:pPr>
              <w:pStyle w:val="tableheaderwithintable"/>
              <w:rPr>
                <w:lang w:val="en-US" w:eastAsia="en-US"/>
              </w:rPr>
            </w:pPr>
            <w:r w:rsidRPr="00442FB9">
              <w:rPr>
                <w:lang w:val="en-US" w:eastAsia="en-US"/>
              </w:rPr>
              <w:t>Bill reference</w:t>
            </w:r>
          </w:p>
        </w:tc>
        <w:tc>
          <w:tcPr>
            <w:tcW w:w="1980" w:type="dxa"/>
          </w:tcPr>
          <w:p w14:paraId="3C0EE3D0" w14:textId="77777777" w:rsidR="009727E7" w:rsidRPr="00442FB9" w:rsidRDefault="009727E7" w:rsidP="00C64C01">
            <w:pPr>
              <w:pStyle w:val="tableheaderwithintable"/>
              <w:rPr>
                <w:lang w:val="en-US" w:eastAsia="en-US"/>
              </w:rPr>
            </w:pPr>
            <w:r w:rsidRPr="00442FB9">
              <w:rPr>
                <w:lang w:val="en-US" w:eastAsia="en-US"/>
              </w:rPr>
              <w:t>Paragraph number</w:t>
            </w:r>
          </w:p>
        </w:tc>
      </w:tr>
      <w:tr w:rsidR="009727E7" w:rsidRPr="00442FB9" w14:paraId="6935B9DF" w14:textId="77777777" w:rsidTr="00C64C01">
        <w:trPr>
          <w:tblHeader/>
        </w:trPr>
        <w:tc>
          <w:tcPr>
            <w:tcW w:w="5760" w:type="dxa"/>
          </w:tcPr>
          <w:p w14:paraId="02EBE671" w14:textId="77777777" w:rsidR="009727E7" w:rsidRPr="00442FB9" w:rsidRDefault="009727E7" w:rsidP="00C64C01">
            <w:pPr>
              <w:pStyle w:val="tabletext"/>
              <w:rPr>
                <w:lang w:val="en-US" w:eastAsia="en-US"/>
              </w:rPr>
            </w:pPr>
            <w:r>
              <w:rPr>
                <w:lang w:val="en-US" w:eastAsia="en-US"/>
              </w:rPr>
              <w:t>Item 1 subsection 43</w:t>
            </w:r>
            <w:r>
              <w:rPr>
                <w:lang w:val="en-US" w:eastAsia="en-US"/>
              </w:rPr>
              <w:noBreakHyphen/>
              <w:t xml:space="preserve">10(11A) of the </w:t>
            </w:r>
            <w:r w:rsidRPr="005F0148">
              <w:rPr>
                <w:i/>
                <w:lang w:val="en-US" w:eastAsia="en-US"/>
              </w:rPr>
              <w:t>Fuel Tax Act 2006</w:t>
            </w:r>
          </w:p>
        </w:tc>
        <w:tc>
          <w:tcPr>
            <w:tcW w:w="1980" w:type="dxa"/>
          </w:tcPr>
          <w:p w14:paraId="2EF4322D" w14:textId="77777777" w:rsidR="009727E7" w:rsidRPr="00442FB9" w:rsidRDefault="009727E7" w:rsidP="00C64C01">
            <w:pPr>
              <w:pStyle w:val="tabletext"/>
              <w:rPr>
                <w:lang w:val="en-US" w:eastAsia="en-US"/>
              </w:rPr>
            </w:pPr>
            <w:r>
              <w:rPr>
                <w:lang w:val="en-US" w:eastAsia="en-US"/>
              </w:rPr>
              <w:t>1.78</w:t>
            </w:r>
          </w:p>
        </w:tc>
      </w:tr>
      <w:tr w:rsidR="009727E7" w:rsidRPr="00442FB9" w14:paraId="01D9BC78" w14:textId="77777777" w:rsidTr="00C64C01">
        <w:trPr>
          <w:tblHeader/>
        </w:trPr>
        <w:tc>
          <w:tcPr>
            <w:tcW w:w="5760" w:type="dxa"/>
          </w:tcPr>
          <w:p w14:paraId="4D288278" w14:textId="77777777" w:rsidR="009727E7" w:rsidRDefault="009727E7" w:rsidP="00C64C01">
            <w:pPr>
              <w:pStyle w:val="tabletext"/>
              <w:rPr>
                <w:lang w:val="en-US" w:eastAsia="en-US"/>
              </w:rPr>
            </w:pPr>
            <w:r>
              <w:rPr>
                <w:lang w:val="en-US" w:eastAsia="en-US"/>
              </w:rPr>
              <w:t>Item 2</w:t>
            </w:r>
          </w:p>
        </w:tc>
        <w:tc>
          <w:tcPr>
            <w:tcW w:w="1980" w:type="dxa"/>
          </w:tcPr>
          <w:p w14:paraId="262202FF" w14:textId="77777777" w:rsidR="009727E7" w:rsidRDefault="009727E7" w:rsidP="00C64C01">
            <w:pPr>
              <w:pStyle w:val="tabletext"/>
              <w:rPr>
                <w:lang w:val="en-US" w:eastAsia="en-US"/>
              </w:rPr>
            </w:pPr>
            <w:r>
              <w:rPr>
                <w:lang w:val="en-US" w:eastAsia="en-US"/>
              </w:rPr>
              <w:t>1.95</w:t>
            </w:r>
          </w:p>
        </w:tc>
      </w:tr>
    </w:tbl>
    <w:p w14:paraId="191FF42E" w14:textId="77777777" w:rsidR="009727E7" w:rsidRDefault="009727E7" w:rsidP="009727E7">
      <w:pPr>
        <w:pStyle w:val="Hiddentext"/>
      </w:pPr>
    </w:p>
    <w:p w14:paraId="79E73F1C" w14:textId="77777777" w:rsidR="009727E7" w:rsidRPr="00D67ADC" w:rsidRDefault="009727E7" w:rsidP="009727E7"/>
    <w:p w14:paraId="376D0112" w14:textId="77777777" w:rsidR="009727E7" w:rsidRDefault="009727E7" w:rsidP="009727E7"/>
    <w:p w14:paraId="6BCED898" w14:textId="77777777" w:rsidR="009727E7" w:rsidRDefault="009727E7" w:rsidP="009727E7"/>
    <w:p w14:paraId="79581CE0" w14:textId="77777777" w:rsidR="009727E7" w:rsidRPr="009727E7" w:rsidRDefault="009727E7" w:rsidP="009727E7"/>
    <w:sectPr w:rsidR="009727E7" w:rsidRPr="009727E7" w:rsidSect="00821379">
      <w:headerReference w:type="default" r:id="rId43"/>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199C0" w14:textId="77777777" w:rsidR="00C64C01" w:rsidRDefault="00C64C01">
      <w:r>
        <w:separator/>
      </w:r>
    </w:p>
  </w:endnote>
  <w:endnote w:type="continuationSeparator" w:id="0">
    <w:p w14:paraId="38B8A95A" w14:textId="77777777" w:rsidR="00C64C01" w:rsidRDefault="00C64C01">
      <w:r>
        <w:continuationSeparator/>
      </w:r>
    </w:p>
  </w:endnote>
  <w:endnote w:type="continuationNotice" w:id="1">
    <w:p w14:paraId="5268FABB" w14:textId="77777777" w:rsidR="00C64C01" w:rsidRDefault="00C64C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69EB" w14:textId="77777777" w:rsidR="00C64C01" w:rsidRDefault="00C64C01" w:rsidP="0084285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8233" w14:textId="77777777" w:rsidR="00C64C01" w:rsidRDefault="00C64C01" w:rsidP="00527C7F">
    <w:pPr>
      <w:pStyle w:val="rightfooter"/>
    </w:pPr>
    <w:r>
      <w:fldChar w:fldCharType="begin"/>
    </w:r>
    <w:r>
      <w:instrText xml:space="preserve"> PAGE   \* MERGEFORMAT </w:instrText>
    </w:r>
    <w:r>
      <w:fldChar w:fldCharType="separate"/>
    </w:r>
    <w:r w:rsidR="007D713B">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3A30" w14:textId="77777777" w:rsidR="00C64C01" w:rsidRDefault="00C64C01" w:rsidP="00527C7F">
    <w:pPr>
      <w:pStyle w:val="rightfooter"/>
    </w:pPr>
    <w:r>
      <w:fldChar w:fldCharType="begin"/>
    </w:r>
    <w:r>
      <w:instrText xml:space="preserve"> PAGE  \* Arabic  \* MERGEFORMAT </w:instrText>
    </w:r>
    <w:r>
      <w:fldChar w:fldCharType="separate"/>
    </w:r>
    <w:r w:rsidR="007D713B">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E758B" w14:textId="77777777" w:rsidR="00C64C01" w:rsidRDefault="00C64C01" w:rsidP="005A76CC">
    <w:pPr>
      <w:pStyle w:val="leftfooter"/>
    </w:pPr>
    <w:r>
      <w:fldChar w:fldCharType="begin"/>
    </w:r>
    <w:r>
      <w:instrText xml:space="preserve"> PAGE   \* MERGEFORMAT </w:instrText>
    </w:r>
    <w:r>
      <w:fldChar w:fldCharType="separate"/>
    </w:r>
    <w:r w:rsidR="007D713B">
      <w:rPr>
        <w:noProof/>
      </w:rPr>
      <w:t>44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891E3" w14:textId="77777777" w:rsidR="00C64C01" w:rsidRDefault="00C64C01" w:rsidP="005A76CC">
    <w:pPr>
      <w:pStyle w:val="rightfooter"/>
    </w:pPr>
    <w:r>
      <w:fldChar w:fldCharType="begin"/>
    </w:r>
    <w:r>
      <w:instrText xml:space="preserve"> PAGE   \* MERGEFORMAT </w:instrText>
    </w:r>
    <w:r>
      <w:fldChar w:fldCharType="separate"/>
    </w:r>
    <w:r w:rsidR="007D713B">
      <w:rPr>
        <w:noProof/>
      </w:rPr>
      <w:t>43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245F" w14:textId="77777777" w:rsidR="00C64C01" w:rsidRDefault="00C64C01" w:rsidP="005A76CC">
    <w:pPr>
      <w:pStyle w:val="rightfooter"/>
    </w:pPr>
    <w:r>
      <w:fldChar w:fldCharType="begin"/>
    </w:r>
    <w:r>
      <w:instrText xml:space="preserve"> PAGE  \* Arabic  \* MERGEFORMAT </w:instrText>
    </w:r>
    <w:r>
      <w:fldChar w:fldCharType="separate"/>
    </w:r>
    <w:r w:rsidR="007D713B">
      <w:rPr>
        <w:noProof/>
      </w:rPr>
      <w:t>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1EAE" w14:textId="77777777" w:rsidR="00C64C01" w:rsidRDefault="00C64C01" w:rsidP="0084285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B93F" w14:textId="77777777" w:rsidR="00C64C01" w:rsidRDefault="00C64C01" w:rsidP="0084285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D642" w14:textId="77777777" w:rsidR="00C64C01" w:rsidRDefault="00C64C01" w:rsidP="0084285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3EFAD" w14:textId="77777777" w:rsidR="00C64C01" w:rsidRPr="00B2068E" w:rsidRDefault="00C64C01" w:rsidP="008428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05E1" w14:textId="77777777" w:rsidR="00C64C01" w:rsidRDefault="00C64C01" w:rsidP="00296DA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E0C6" w14:textId="77777777" w:rsidR="00C64C01" w:rsidRDefault="00C64C01" w:rsidP="00296DA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77ED0" w14:textId="77777777" w:rsidR="00C64C01" w:rsidRDefault="00C64C01" w:rsidP="00296DAB">
    <w:pPr>
      <w:pStyle w:val="rightfooter"/>
    </w:pPr>
    <w:r>
      <w:fldChar w:fldCharType="begin"/>
    </w:r>
    <w:r>
      <w:instrText xml:space="preserve"> PAGE  \* Arabic  \* MERGEFORMAT </w:instrText>
    </w:r>
    <w:r>
      <w:fldChar w:fldCharType="separate"/>
    </w:r>
    <w:r w:rsidR="007D713B">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EC38" w14:textId="77777777" w:rsidR="00C64C01" w:rsidRDefault="00C64C01" w:rsidP="00527C7F">
    <w:pPr>
      <w:pStyle w:val="leftfooter"/>
    </w:pPr>
    <w:r>
      <w:fldChar w:fldCharType="begin"/>
    </w:r>
    <w:r>
      <w:instrText xml:space="preserve"> PAGE   \* MERGEFORMAT </w:instrText>
    </w:r>
    <w:r>
      <w:fldChar w:fldCharType="separate"/>
    </w:r>
    <w:r w:rsidR="007D713B">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AC93" w14:textId="77777777" w:rsidR="00C64C01" w:rsidRDefault="00C64C01">
      <w:r>
        <w:separator/>
      </w:r>
    </w:p>
  </w:footnote>
  <w:footnote w:type="continuationSeparator" w:id="0">
    <w:p w14:paraId="6D382180" w14:textId="77777777" w:rsidR="00C64C01" w:rsidRDefault="00C64C01">
      <w:r>
        <w:continuationSeparator/>
      </w:r>
    </w:p>
  </w:footnote>
  <w:footnote w:type="continuationNotice" w:id="1">
    <w:p w14:paraId="0C6C11F4" w14:textId="77777777" w:rsidR="00C64C01" w:rsidRDefault="00C64C01">
      <w:pPr>
        <w:spacing w:before="0" w:after="0"/>
      </w:pPr>
    </w:p>
  </w:footnote>
  <w:footnote w:id="2">
    <w:p w14:paraId="7064B6B3" w14:textId="77777777" w:rsidR="00C64C01" w:rsidRDefault="00C64C01" w:rsidP="00D42B69">
      <w:pPr>
        <w:pStyle w:val="FootnoteText"/>
        <w:tabs>
          <w:tab w:val="clear" w:pos="284"/>
        </w:tabs>
      </w:pPr>
      <w:r w:rsidRPr="00662944">
        <w:rPr>
          <w:rStyle w:val="FootnoteReference"/>
          <w:vertAlign w:val="baseline"/>
        </w:rPr>
        <w:footnoteRef/>
      </w:r>
      <w:r>
        <w:t xml:space="preserve">   </w:t>
      </w:r>
      <w:r w:rsidRPr="007829B2">
        <w:t xml:space="preserve">Indexation generally occurs on 1 February and 1 August (the indexation day), where the indexation number is published by the Australian Bureau of Statistics at least </w:t>
      </w:r>
      <w:r>
        <w:t>five</w:t>
      </w:r>
      <w:r w:rsidRPr="007829B2">
        <w:t xml:space="preserve"> days before the indexation day. If there is a delay in publication, the indexation day is the fifth day after the publication day. The indexation number for the December 2014 quarter was released on 28</w:t>
      </w:r>
      <w:r>
        <w:t> </w:t>
      </w:r>
      <w:r w:rsidRPr="007829B2">
        <w:t>January 2015, therefore the fixed rate of $0.386 per litre applies until and including 1</w:t>
      </w:r>
      <w:r>
        <w:t> </w:t>
      </w:r>
      <w:r w:rsidRPr="007829B2">
        <w:t>February 2015, and indexation of the rate of duty occurs on and from 2 February 2015</w:t>
      </w:r>
      <w:r>
        <w:t xml:space="preserve"> (the fifth day after publication)</w:t>
      </w:r>
      <w:r w:rsidRPr="007829B2">
        <w:t xml:space="preserve">. </w:t>
      </w:r>
      <w:r w:rsidRPr="00587A9E">
        <w:t xml:space="preserve">See </w:t>
      </w:r>
      <w:r w:rsidRPr="00E00E95">
        <w:t>paragraphs 1.23 to 1.25</w:t>
      </w:r>
      <w:r w:rsidRPr="00587A9E">
        <w:t>.</w:t>
      </w:r>
      <w:r>
        <w:t xml:space="preserve"> </w:t>
      </w:r>
    </w:p>
  </w:footnote>
  <w:footnote w:id="3">
    <w:p w14:paraId="62C1E22B" w14:textId="77777777" w:rsidR="00C64C01" w:rsidRDefault="00C64C01" w:rsidP="00D42B69">
      <w:pPr>
        <w:pStyle w:val="FootnoteText"/>
        <w:tabs>
          <w:tab w:val="clear" w:pos="284"/>
        </w:tabs>
      </w:pPr>
      <w:r w:rsidRPr="00662944">
        <w:rPr>
          <w:rStyle w:val="FootnoteReference"/>
          <w:vertAlign w:val="baseline"/>
        </w:rPr>
        <w:footnoteRef/>
      </w:r>
      <w:r w:rsidRPr="00662944">
        <w:t xml:space="preserve"> </w:t>
      </w:r>
      <w:r>
        <w:t xml:space="preserve">  The Tariff Proposals authorise the collection of the higher rates of duty for 12 months from the date the Tariff Proposals are tabled. This period expires at midnight on 29 October 2015.</w:t>
      </w:r>
    </w:p>
  </w:footnote>
  <w:footnote w:id="4">
    <w:p w14:paraId="430E701A" w14:textId="77777777" w:rsidR="00C64C01" w:rsidRDefault="00C64C01">
      <w:pPr>
        <w:pStyle w:val="FootnoteText"/>
      </w:pPr>
      <w:r w:rsidRPr="008C5C1B">
        <w:rPr>
          <w:rStyle w:val="FootnoteReference"/>
          <w:vertAlign w:val="baseline"/>
        </w:rPr>
        <w:footnoteRef/>
      </w:r>
      <w:r w:rsidRPr="008C5C1B">
        <w:t xml:space="preserve"> </w:t>
      </w:r>
      <w:r>
        <w:tab/>
        <w:t xml:space="preserve">The Energy Grants and Other Legislation Amendment (Ethanol and Biodiesel) Bill 2015 will repeal entitlement to grants for biodiesel and renewable diesel from 1 July 2015. </w:t>
      </w:r>
      <w:r w:rsidRPr="007809B0">
        <w:t>Entitlement to grants under the Ethanol Production Grants Program ceases from 1 July 2015</w:t>
      </w:r>
      <w:r>
        <w:t>.</w:t>
      </w:r>
    </w:p>
  </w:footnote>
  <w:footnote w:id="5">
    <w:p w14:paraId="1BEF5F2D" w14:textId="77777777" w:rsidR="00C64C01" w:rsidRDefault="00C64C01">
      <w:pPr>
        <w:pStyle w:val="FootnoteText"/>
      </w:pPr>
      <w:r w:rsidRPr="008C5C1B">
        <w:rPr>
          <w:rStyle w:val="FootnoteReference"/>
          <w:vertAlign w:val="baseline"/>
        </w:rPr>
        <w:footnoteRef/>
      </w:r>
      <w:r w:rsidRPr="008C5C1B">
        <w:t xml:space="preserve"> </w:t>
      </w:r>
      <w:r>
        <w:tab/>
        <w:t>See footnote 2.</w:t>
      </w:r>
    </w:p>
  </w:footnote>
  <w:footnote w:id="6">
    <w:p w14:paraId="492310FF"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7">
    <w:p w14:paraId="614FE3B2"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8">
    <w:p w14:paraId="50DF146E"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9">
    <w:p w14:paraId="191FA7F7"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0">
    <w:p w14:paraId="6E7B66B3"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1">
    <w:p w14:paraId="0F1FD52B"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2">
    <w:p w14:paraId="53419AED" w14:textId="77777777" w:rsidR="00C64C01" w:rsidRDefault="00C64C01">
      <w:pPr>
        <w:pStyle w:val="FootnoteText"/>
      </w:pPr>
      <w:r w:rsidRPr="00967724">
        <w:rPr>
          <w:rStyle w:val="FootnoteReference"/>
          <w:vertAlign w:val="baseline"/>
        </w:rPr>
        <w:footnoteRef/>
      </w:r>
      <w:r>
        <w:t xml:space="preserve"> </w:t>
      </w:r>
      <w:r>
        <w:tab/>
        <w:t>See footnote 2.</w:t>
      </w:r>
    </w:p>
  </w:footnote>
  <w:footnote w:id="13">
    <w:p w14:paraId="16E15ACE" w14:textId="77777777" w:rsidR="00C64C01" w:rsidRDefault="00C64C01">
      <w:pPr>
        <w:pStyle w:val="FootnoteText"/>
      </w:pPr>
      <w:r w:rsidRPr="00967724">
        <w:rPr>
          <w:rStyle w:val="FootnoteReference"/>
          <w:vertAlign w:val="baseline"/>
        </w:rPr>
        <w:footnoteRef/>
      </w:r>
      <w:r>
        <w:t xml:space="preserve"> </w:t>
      </w:r>
      <w:r>
        <w:tab/>
        <w:t>See footnote 2.</w:t>
      </w:r>
    </w:p>
  </w:footnote>
  <w:footnote w:id="14">
    <w:p w14:paraId="5E65491B" w14:textId="77777777" w:rsidR="00C64C01" w:rsidRDefault="00C64C01" w:rsidP="00E1388E">
      <w:pPr>
        <w:pStyle w:val="FootnoteText"/>
      </w:pPr>
      <w:r w:rsidRPr="008C5C1B">
        <w:rPr>
          <w:rStyle w:val="FootnoteReference"/>
          <w:vertAlign w:val="baseline"/>
        </w:rPr>
        <w:footnoteRef/>
      </w:r>
      <w:r w:rsidRPr="008C5C1B">
        <w:t xml:space="preserve"> </w:t>
      </w:r>
      <w:r>
        <w:t>Note: the application of indexation to the rate of excise</w:t>
      </w:r>
      <w:r>
        <w:noBreakHyphen/>
        <w:t xml:space="preserve">equivalent customs duty for fuel ethanol is delayed, see </w:t>
      </w:r>
      <w:r w:rsidRPr="00587A9E">
        <w:t xml:space="preserve">paragraph </w:t>
      </w:r>
      <w:r w:rsidRPr="00E00E95">
        <w:t>1.85</w:t>
      </w:r>
      <w:r w:rsidRPr="00587A9E">
        <w:t>.</w:t>
      </w:r>
      <w:r>
        <w:t xml:space="preserve"> </w:t>
      </w:r>
    </w:p>
  </w:footnote>
  <w:footnote w:id="15">
    <w:p w14:paraId="6EB27A74"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6">
    <w:p w14:paraId="5010B8B0"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7">
    <w:p w14:paraId="2C8A1E37"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8">
    <w:p w14:paraId="49B5FB7F"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19">
    <w:p w14:paraId="657E16F8"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20">
    <w:p w14:paraId="31440E26"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21">
    <w:p w14:paraId="1ADF8A6B"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22">
    <w:p w14:paraId="0CCDF0B5"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23">
    <w:p w14:paraId="53980E51" w14:textId="77777777" w:rsidR="00C64C01" w:rsidRDefault="00C64C01">
      <w:pPr>
        <w:pStyle w:val="FootnoteText"/>
      </w:pPr>
      <w:r w:rsidRPr="008C5C1B">
        <w:rPr>
          <w:rStyle w:val="FootnoteReference"/>
          <w:vertAlign w:val="baseline"/>
        </w:rPr>
        <w:footnoteRef/>
      </w:r>
      <w:r w:rsidRPr="008C5C1B">
        <w:t xml:space="preserve"> </w:t>
      </w:r>
      <w:r>
        <w:tab/>
        <w:t>See footnote 1.</w:t>
      </w:r>
    </w:p>
  </w:footnote>
  <w:footnote w:id="24">
    <w:p w14:paraId="0B6A2CF8" w14:textId="77777777" w:rsidR="00C64C01" w:rsidRDefault="00C64C01" w:rsidP="00DF600C">
      <w:pPr>
        <w:pStyle w:val="FootnoteText"/>
      </w:pPr>
      <w:r w:rsidRPr="008C5C1B">
        <w:rPr>
          <w:rStyle w:val="FootnoteReference"/>
          <w:vertAlign w:val="baseline"/>
        </w:rPr>
        <w:footnoteRef/>
      </w:r>
      <w:r w:rsidRPr="008C5C1B">
        <w:t xml:space="preserve"> </w:t>
      </w:r>
      <w:r>
        <w:tab/>
        <w:t xml:space="preserve">Australian Competition and Consumer Commission (2013) </w:t>
      </w:r>
      <w:r w:rsidRPr="00B34DD9">
        <w:rPr>
          <w:i/>
        </w:rPr>
        <w:t xml:space="preserve">Monitoring of the Australian petroleum industry 2013 - Report of the </w:t>
      </w:r>
      <w:proofErr w:type="spellStart"/>
      <w:r w:rsidRPr="00B34DD9">
        <w:rPr>
          <w:i/>
        </w:rPr>
        <w:t>ACCC</w:t>
      </w:r>
      <w:proofErr w:type="spellEnd"/>
      <w:r w:rsidRPr="00B34DD9">
        <w:rPr>
          <w:i/>
        </w:rPr>
        <w:t xml:space="preserve"> into the prices, costs and profits of unleaded petrol in Australia</w:t>
      </w:r>
      <w:r>
        <w:t xml:space="preserve">; </w:t>
      </w:r>
      <w:r w:rsidRPr="008C5C1B">
        <w:t>http://www.accc.gov.au/publications/monitoring-of-the-australian-petroleum-industry</w:t>
      </w:r>
      <w:r>
        <w:t xml:space="preserve">. </w:t>
      </w:r>
    </w:p>
  </w:footnote>
  <w:footnote w:id="25">
    <w:p w14:paraId="034BDD05" w14:textId="77777777" w:rsidR="00C64C01" w:rsidRDefault="00C64C01" w:rsidP="009C2BC8">
      <w:pPr>
        <w:pStyle w:val="FootnoteText"/>
        <w:tabs>
          <w:tab w:val="clear" w:pos="284"/>
          <w:tab w:val="left" w:pos="142"/>
        </w:tabs>
        <w:ind w:right="-87"/>
      </w:pPr>
      <w:r w:rsidRPr="008C5C1B">
        <w:rPr>
          <w:rStyle w:val="FootnoteReference"/>
          <w:vertAlign w:val="baseline"/>
        </w:rPr>
        <w:footnoteRef/>
      </w:r>
      <w:r w:rsidRPr="008C5C1B">
        <w:t xml:space="preserve"> </w:t>
      </w:r>
      <w:r>
        <w:t xml:space="preserve"> Australia’s Future Tax System (2008) </w:t>
      </w:r>
      <w:r>
        <w:rPr>
          <w:i/>
        </w:rPr>
        <w:t>Consultation Paper</w:t>
      </w:r>
      <w:r>
        <w:t>;</w:t>
      </w:r>
      <w:r w:rsidRPr="000F6834">
        <w:t xml:space="preserve"> </w:t>
      </w:r>
      <w:r w:rsidRPr="008C5C1B">
        <w:t>http://taxreview.treasury.gov.au/content/downloads/consultation_paper/consultation_paper.</w:t>
      </w:r>
      <w:r>
        <w:br/>
      </w:r>
      <w:proofErr w:type="spellStart"/>
      <w:r w:rsidRPr="008C5C1B">
        <w:t>pdf</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A95A" w14:textId="77777777" w:rsidR="00C64C01" w:rsidRDefault="00C64C01" w:rsidP="00842856">
    <w:pPr>
      <w:pStyle w:val="leftheader"/>
    </w:pPr>
    <w:r w:rsidRPr="00687EFC">
      <w:t>Excise Tariff Amendment (</w:t>
    </w:r>
    <w:r>
      <w:t>Fuel Indexation</w:t>
    </w:r>
    <w:r w:rsidRPr="00687EFC">
      <w:t>) Bill 2014</w:t>
    </w:r>
    <w:r>
      <w:t xml:space="preserve">, Customs Tariff Amendment (Fuel Indexation) Bill 2014, </w:t>
    </w:r>
    <w:r w:rsidRPr="00C315A7">
      <w:t>F</w:t>
    </w:r>
    <w:r>
      <w:t xml:space="preserve">uel Indexation Road Infrastructure Special Account Bill 2014, </w:t>
    </w:r>
    <w:r>
      <w:rPr>
        <w:szCs w:val="22"/>
        <w:lang w:val="en"/>
      </w:rPr>
      <w:t>Fuel Indexation (Road Infrastructure Investment) Bill 2014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70FC" w14:textId="77777777" w:rsidR="00C64C01" w:rsidRDefault="00C64C01" w:rsidP="00296DAB">
    <w:pPr>
      <w:pStyle w:val="rightheader"/>
    </w:pPr>
    <w:r>
      <w:t>General outline and financial impact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C579" w14:textId="77777777" w:rsidR="00C64C01" w:rsidRDefault="00C64C01" w:rsidP="005A76CC">
    <w:pPr>
      <w:pStyle w:val="leftheader"/>
    </w:pPr>
    <w:r w:rsidRPr="00687EFC">
      <w:t>Excise Tariff Amendment (</w:t>
    </w:r>
    <w:r>
      <w:t>Fuel Indexation</w:t>
    </w:r>
    <w:r w:rsidRPr="00687EFC">
      <w:t>) Bill 201</w:t>
    </w:r>
    <w:r>
      <w:t xml:space="preserve">5, Customs Tariff Amendment (Fuel Indexation) Bill 2015, </w:t>
    </w:r>
    <w:r w:rsidRPr="001245E8">
      <w:t xml:space="preserve">Fuel Indexation </w:t>
    </w:r>
    <w:r>
      <w:t>(</w:t>
    </w:r>
    <w:r w:rsidRPr="001245E8">
      <w:t xml:space="preserve">Road </w:t>
    </w:r>
    <w:r>
      <w:t>Funding)</w:t>
    </w:r>
    <w:r w:rsidRPr="001245E8">
      <w:t xml:space="preserve"> Special Account Bill 201</w:t>
    </w:r>
    <w:r>
      <w:t xml:space="preserve">5, </w:t>
    </w:r>
    <w:r>
      <w:rPr>
        <w:szCs w:val="22"/>
        <w:lang w:val="en"/>
      </w:rPr>
      <w:t>Fuel Indexation (Road Funding) Bill 2015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2F3A" w14:textId="77777777" w:rsidR="00C64C01" w:rsidRDefault="00C64C01" w:rsidP="00527C7F">
    <w:pPr>
      <w:pStyle w:val="rightheader"/>
    </w:pPr>
    <w:r>
      <w:t>CPI indexation of fuel excise and excise</w:t>
    </w:r>
    <w:r>
      <w:noBreakHyphen/>
      <w:t>equivalent customs duty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B7E7E" w14:textId="77777777" w:rsidR="00C64C01" w:rsidRPr="000061A6" w:rsidRDefault="00C64C01" w:rsidP="000061A6">
    <w:pPr>
      <w:pStyle w:val="Header"/>
      <w:pBdr>
        <w:bottom w:val="single" w:sz="4" w:space="1" w:color="auto"/>
      </w:pBdr>
      <w:jc w:val="right"/>
    </w:pPr>
    <w:r w:rsidRPr="000061A6">
      <w:rPr>
        <w:i/>
        <w:sz w:val="20"/>
      </w:rPr>
      <w:t>Regulation impact statement: CPI index</w:t>
    </w:r>
    <w:r>
      <w:rPr>
        <w:i/>
        <w:sz w:val="20"/>
      </w:rPr>
      <w:t>ation of fuel excise and excise-</w:t>
    </w:r>
    <w:r w:rsidRPr="000061A6">
      <w:rPr>
        <w:i/>
        <w:sz w:val="20"/>
      </w:rPr>
      <w:t>equivalent customs duty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86527" w14:textId="77777777" w:rsidR="00C64C01" w:rsidRDefault="00C64C01" w:rsidP="00DA6709">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C7D0" w14:textId="77777777" w:rsidR="00C64C01" w:rsidRDefault="00C64C01" w:rsidP="0084285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DA66" w14:textId="77777777" w:rsidR="00C64C01" w:rsidRDefault="007D713B" w:rsidP="00797C9A">
    <w:pPr>
      <w:pStyle w:val="Header"/>
      <w:tabs>
        <w:tab w:val="clear" w:pos="4153"/>
        <w:tab w:val="clear" w:pos="8306"/>
        <w:tab w:val="left" w:pos="693"/>
      </w:tabs>
      <w:jc w:val="center"/>
    </w:pPr>
    <w:r>
      <w:rPr>
        <w:noProof/>
      </w:rPr>
      <w:pict w14:anchorId="28F1F159">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63.8pt;margin-top:89.65pt;width:264.75pt;height:418.5pt;rotation:-277233fd;z-index:251658240" o:allowincell="f" fillcolor="silver" stroked="f">
          <v:fill opacity=".5"/>
          <v:shadow color="#868686"/>
          <v:textpath style="font-family:&quot;Arial Black&quot;;font-size:66pt;v-text-kern:t" trim="t" fitpath="t" string=" "/>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3E7D" w14:textId="77777777" w:rsidR="00C64C01" w:rsidRDefault="00C64C01" w:rsidP="00842856">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0DF06" w14:textId="77777777" w:rsidR="00C64C01" w:rsidRDefault="00C64C01" w:rsidP="00842856">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A4E8" w14:textId="77777777" w:rsidR="00C64C01" w:rsidRPr="00D72685" w:rsidRDefault="00C64C01" w:rsidP="00D726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A370" w14:textId="77777777" w:rsidR="00C64C01" w:rsidRDefault="00C64C01" w:rsidP="00296DAB">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E4009" w14:textId="77777777" w:rsidR="00C64C01" w:rsidRDefault="00C64C01" w:rsidP="00296DAB">
    <w:pPr>
      <w:pStyle w:val="rightheader"/>
    </w:pPr>
    <w:r>
      <w:t>General outline and financial impact</w:t>
    </w: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0F2D" w14:textId="77777777" w:rsidR="00C64C01" w:rsidRPr="00EB0AFE" w:rsidRDefault="00C64C01" w:rsidP="00EC3261">
    <w:pPr>
      <w:pStyle w:val="leftheader"/>
    </w:pPr>
    <w:r w:rsidRPr="00687EFC">
      <w:t>Excise Tariff Amendment (</w:t>
    </w:r>
    <w:r>
      <w:t>Fuel Indexation</w:t>
    </w:r>
    <w:r w:rsidRPr="00687EFC">
      <w:t>) Bill 201</w:t>
    </w:r>
    <w:r>
      <w:t xml:space="preserve">5, Customs Tariff Amendment (Fuel Indexation) Bill 2015, </w:t>
    </w:r>
    <w:r w:rsidRPr="00C315A7">
      <w:t>F</w:t>
    </w:r>
    <w:r>
      <w:t xml:space="preserve">uel Indexation (Road Funding) Special Account Bill 2015, </w:t>
    </w:r>
    <w:r>
      <w:rPr>
        <w:szCs w:val="22"/>
        <w:lang w:val="en"/>
      </w:rPr>
      <w:t>Fuel Indexation (Road Funding) Bill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17CF1"/>
    <w:multiLevelType w:val="multilevel"/>
    <w:tmpl w:val="BE289308"/>
    <w:lvl w:ilvl="0">
      <w:start w:val="1"/>
      <w:numFmt w:val="decimal"/>
      <w:lvlRestart w:val="0"/>
      <w:lvlText w:val="%1."/>
      <w:lvlJc w:val="left"/>
      <w:pPr>
        <w:tabs>
          <w:tab w:val="num" w:pos="1984"/>
        </w:tabs>
        <w:ind w:left="1134" w:firstLine="0"/>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6DE23B4"/>
    <w:multiLevelType w:val="multilevel"/>
    <w:tmpl w:val="C8D0716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13">
    <w:nsid w:val="07B019E2"/>
    <w:multiLevelType w:val="multilevel"/>
    <w:tmpl w:val="A316FE50"/>
    <w:numStyleLink w:val="ChapterList"/>
  </w:abstractNum>
  <w:abstractNum w:abstractNumId="14">
    <w:nsid w:val="0F5B5BBF"/>
    <w:multiLevelType w:val="multilevel"/>
    <w:tmpl w:val="A316FE50"/>
    <w:numStyleLink w:val="ChapterList"/>
  </w:abstractNum>
  <w:abstractNum w:abstractNumId="15">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BEB4EC5"/>
    <w:multiLevelType w:val="multilevel"/>
    <w:tmpl w:val="6D98FC9A"/>
    <w:numStyleLink w:val="TableDotPointList"/>
  </w:abstractNum>
  <w:abstractNum w:abstractNumId="18">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1BA0396"/>
    <w:multiLevelType w:val="multilevel"/>
    <w:tmpl w:val="89726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43FB3E18"/>
    <w:multiLevelType w:val="multilevel"/>
    <w:tmpl w:val="A316FE50"/>
    <w:numStyleLink w:val="ChapterList"/>
  </w:abstractNum>
  <w:abstractNum w:abstractNumId="25">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4A912E0"/>
    <w:multiLevelType w:val="hybridMultilevel"/>
    <w:tmpl w:val="7DEC5D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9">
    <w:nsid w:val="64281CEB"/>
    <w:multiLevelType w:val="multilevel"/>
    <w:tmpl w:val="A316FE50"/>
    <w:numStyleLink w:val="ChapterList"/>
  </w:abstractNum>
  <w:abstractNum w:abstractNumId="30">
    <w:nsid w:val="65DF6494"/>
    <w:multiLevelType w:val="multilevel"/>
    <w:tmpl w:val="A316FE50"/>
    <w:numStyleLink w:val="ChapterList"/>
  </w:abstractNum>
  <w:abstractNum w:abstractNumId="31">
    <w:nsid w:val="6D302C09"/>
    <w:multiLevelType w:val="multilevel"/>
    <w:tmpl w:val="A316FE50"/>
    <w:numStyleLink w:val="ChapterList"/>
  </w:abstractNum>
  <w:abstractNum w:abstractNumId="3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CAC208D"/>
    <w:multiLevelType w:val="multilevel"/>
    <w:tmpl w:val="A316FE50"/>
    <w:numStyleLink w:val="ChapterList"/>
  </w:abstractNum>
  <w:num w:numId="1">
    <w:abstractNumId w:val="23"/>
  </w:num>
  <w:num w:numId="2">
    <w:abstractNumId w:val="22"/>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32"/>
  </w:num>
  <w:num w:numId="17">
    <w:abstractNumId w:val="33"/>
  </w:num>
  <w:num w:numId="18">
    <w:abstractNumId w:val="11"/>
  </w:num>
  <w:num w:numId="19">
    <w:abstractNumId w:val="21"/>
  </w:num>
  <w:num w:numId="20">
    <w:abstractNumId w:val="25"/>
  </w:num>
  <w:num w:numId="21">
    <w:abstractNumId w:val="27"/>
  </w:num>
  <w:num w:numId="22">
    <w:abstractNumId w:val="15"/>
  </w:num>
  <w:num w:numId="23">
    <w:abstractNumId w:val="17"/>
  </w:num>
  <w:num w:numId="24">
    <w:abstractNumId w:val="31"/>
  </w:num>
  <w:num w:numId="25">
    <w:abstractNumId w:val="34"/>
  </w:num>
  <w:num w:numId="26">
    <w:abstractNumId w:val="29"/>
  </w:num>
  <w:num w:numId="27">
    <w:abstractNumId w:val="13"/>
  </w:num>
  <w:num w:numId="28">
    <w:abstractNumId w:val="24"/>
  </w:num>
  <w:num w:numId="29">
    <w:abstractNumId w:val="14"/>
  </w:num>
  <w:num w:numId="30">
    <w:abstractNumId w:val="3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0"/>
  </w:num>
  <w:num w:numId="32">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2"/>
  </w:num>
  <w:num w:numId="34">
    <w:abstractNumId w:val="28"/>
  </w:num>
  <w:num w:numId="35">
    <w:abstractNumId w:val="3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20"/>
  </w:num>
  <w:num w:numId="37">
    <w:abstractNumId w:val="26"/>
  </w:num>
  <w:num w:numId="38">
    <w:abstractNumId w:val="10"/>
  </w:num>
  <w:num w:numId="39">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3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3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0C"/>
    <w:rsid w:val="000002B6"/>
    <w:rsid w:val="000005F1"/>
    <w:rsid w:val="00000BE0"/>
    <w:rsid w:val="000023C6"/>
    <w:rsid w:val="00002A64"/>
    <w:rsid w:val="00003E66"/>
    <w:rsid w:val="000045D3"/>
    <w:rsid w:val="000061A6"/>
    <w:rsid w:val="00006DEE"/>
    <w:rsid w:val="00007000"/>
    <w:rsid w:val="00007AD3"/>
    <w:rsid w:val="00011860"/>
    <w:rsid w:val="00012CD4"/>
    <w:rsid w:val="00012E5D"/>
    <w:rsid w:val="00012F66"/>
    <w:rsid w:val="00013341"/>
    <w:rsid w:val="0001369C"/>
    <w:rsid w:val="00014EBF"/>
    <w:rsid w:val="000153E2"/>
    <w:rsid w:val="00015E8C"/>
    <w:rsid w:val="000165CB"/>
    <w:rsid w:val="00017CD4"/>
    <w:rsid w:val="000202D8"/>
    <w:rsid w:val="0002041B"/>
    <w:rsid w:val="00020871"/>
    <w:rsid w:val="00022663"/>
    <w:rsid w:val="00023455"/>
    <w:rsid w:val="00024AE2"/>
    <w:rsid w:val="00025350"/>
    <w:rsid w:val="000268F6"/>
    <w:rsid w:val="000277DF"/>
    <w:rsid w:val="00030EBE"/>
    <w:rsid w:val="00031919"/>
    <w:rsid w:val="000327A2"/>
    <w:rsid w:val="0003305A"/>
    <w:rsid w:val="00033A4E"/>
    <w:rsid w:val="0003452F"/>
    <w:rsid w:val="00034BE8"/>
    <w:rsid w:val="00035C97"/>
    <w:rsid w:val="000360E0"/>
    <w:rsid w:val="00037058"/>
    <w:rsid w:val="00040A05"/>
    <w:rsid w:val="0004148E"/>
    <w:rsid w:val="00041CCD"/>
    <w:rsid w:val="00041EB9"/>
    <w:rsid w:val="000441BA"/>
    <w:rsid w:val="00044B70"/>
    <w:rsid w:val="00050170"/>
    <w:rsid w:val="00050447"/>
    <w:rsid w:val="000529D8"/>
    <w:rsid w:val="00052C14"/>
    <w:rsid w:val="00053D13"/>
    <w:rsid w:val="00054836"/>
    <w:rsid w:val="0005499F"/>
    <w:rsid w:val="000549E4"/>
    <w:rsid w:val="00054B31"/>
    <w:rsid w:val="00054FAC"/>
    <w:rsid w:val="0005600E"/>
    <w:rsid w:val="00056D62"/>
    <w:rsid w:val="0006027A"/>
    <w:rsid w:val="00060715"/>
    <w:rsid w:val="00060758"/>
    <w:rsid w:val="00060D5A"/>
    <w:rsid w:val="0006126A"/>
    <w:rsid w:val="000623EC"/>
    <w:rsid w:val="00062ACA"/>
    <w:rsid w:val="00063008"/>
    <w:rsid w:val="00064871"/>
    <w:rsid w:val="00064C7F"/>
    <w:rsid w:val="00066627"/>
    <w:rsid w:val="00066A98"/>
    <w:rsid w:val="00066C9B"/>
    <w:rsid w:val="00067086"/>
    <w:rsid w:val="0006721A"/>
    <w:rsid w:val="00067CF3"/>
    <w:rsid w:val="00067D95"/>
    <w:rsid w:val="00067E1D"/>
    <w:rsid w:val="00070146"/>
    <w:rsid w:val="000705A5"/>
    <w:rsid w:val="00070858"/>
    <w:rsid w:val="000725A7"/>
    <w:rsid w:val="000725C0"/>
    <w:rsid w:val="000738A3"/>
    <w:rsid w:val="00075250"/>
    <w:rsid w:val="000752AE"/>
    <w:rsid w:val="000756BF"/>
    <w:rsid w:val="00076543"/>
    <w:rsid w:val="00076A97"/>
    <w:rsid w:val="00077643"/>
    <w:rsid w:val="000802F1"/>
    <w:rsid w:val="00080F04"/>
    <w:rsid w:val="00081072"/>
    <w:rsid w:val="0008191E"/>
    <w:rsid w:val="00081967"/>
    <w:rsid w:val="0008348F"/>
    <w:rsid w:val="000834F8"/>
    <w:rsid w:val="000835C7"/>
    <w:rsid w:val="0008374D"/>
    <w:rsid w:val="000856FD"/>
    <w:rsid w:val="00085748"/>
    <w:rsid w:val="00085C5D"/>
    <w:rsid w:val="00086236"/>
    <w:rsid w:val="00086C4A"/>
    <w:rsid w:val="00087CF6"/>
    <w:rsid w:val="00090155"/>
    <w:rsid w:val="0009027A"/>
    <w:rsid w:val="0009055D"/>
    <w:rsid w:val="00090CEE"/>
    <w:rsid w:val="00093033"/>
    <w:rsid w:val="00095338"/>
    <w:rsid w:val="000960B7"/>
    <w:rsid w:val="0009643D"/>
    <w:rsid w:val="00096F07"/>
    <w:rsid w:val="00097063"/>
    <w:rsid w:val="000A01AC"/>
    <w:rsid w:val="000A0AFD"/>
    <w:rsid w:val="000A0C58"/>
    <w:rsid w:val="000A1401"/>
    <w:rsid w:val="000A192C"/>
    <w:rsid w:val="000A2094"/>
    <w:rsid w:val="000A2C95"/>
    <w:rsid w:val="000A2C9E"/>
    <w:rsid w:val="000A341E"/>
    <w:rsid w:val="000A5B26"/>
    <w:rsid w:val="000A5E67"/>
    <w:rsid w:val="000A6DBE"/>
    <w:rsid w:val="000A6DFF"/>
    <w:rsid w:val="000B05A5"/>
    <w:rsid w:val="000B12A5"/>
    <w:rsid w:val="000B2954"/>
    <w:rsid w:val="000B2C7A"/>
    <w:rsid w:val="000B35BC"/>
    <w:rsid w:val="000B37C6"/>
    <w:rsid w:val="000B434A"/>
    <w:rsid w:val="000B48CC"/>
    <w:rsid w:val="000B52F5"/>
    <w:rsid w:val="000B5430"/>
    <w:rsid w:val="000B6594"/>
    <w:rsid w:val="000B6EA8"/>
    <w:rsid w:val="000B7FBA"/>
    <w:rsid w:val="000C06D9"/>
    <w:rsid w:val="000C0DE5"/>
    <w:rsid w:val="000C1D96"/>
    <w:rsid w:val="000C1E14"/>
    <w:rsid w:val="000C27ED"/>
    <w:rsid w:val="000C3B83"/>
    <w:rsid w:val="000D06E2"/>
    <w:rsid w:val="000D0E48"/>
    <w:rsid w:val="000D1A2B"/>
    <w:rsid w:val="000D1F99"/>
    <w:rsid w:val="000D4A3E"/>
    <w:rsid w:val="000D4C31"/>
    <w:rsid w:val="000D4E5D"/>
    <w:rsid w:val="000D54A6"/>
    <w:rsid w:val="000D6052"/>
    <w:rsid w:val="000D6927"/>
    <w:rsid w:val="000D735E"/>
    <w:rsid w:val="000D7F30"/>
    <w:rsid w:val="000E0136"/>
    <w:rsid w:val="000E089D"/>
    <w:rsid w:val="000E14E8"/>
    <w:rsid w:val="000E1614"/>
    <w:rsid w:val="000E17A5"/>
    <w:rsid w:val="000E18A5"/>
    <w:rsid w:val="000E35E9"/>
    <w:rsid w:val="000E4572"/>
    <w:rsid w:val="000E4A1F"/>
    <w:rsid w:val="000E5B9A"/>
    <w:rsid w:val="000E630A"/>
    <w:rsid w:val="000F013A"/>
    <w:rsid w:val="000F05A7"/>
    <w:rsid w:val="000F0950"/>
    <w:rsid w:val="000F0F59"/>
    <w:rsid w:val="000F17C1"/>
    <w:rsid w:val="000F18CC"/>
    <w:rsid w:val="000F2F4A"/>
    <w:rsid w:val="000F33F7"/>
    <w:rsid w:val="000F3AE2"/>
    <w:rsid w:val="000F4377"/>
    <w:rsid w:val="000F4583"/>
    <w:rsid w:val="000F4CF7"/>
    <w:rsid w:val="000F566E"/>
    <w:rsid w:val="000F6F38"/>
    <w:rsid w:val="000F7A16"/>
    <w:rsid w:val="001003AE"/>
    <w:rsid w:val="001007E7"/>
    <w:rsid w:val="00100BDA"/>
    <w:rsid w:val="00101BCB"/>
    <w:rsid w:val="0010307F"/>
    <w:rsid w:val="00103801"/>
    <w:rsid w:val="0010437C"/>
    <w:rsid w:val="00105D01"/>
    <w:rsid w:val="00107587"/>
    <w:rsid w:val="00110695"/>
    <w:rsid w:val="001113CA"/>
    <w:rsid w:val="001114E6"/>
    <w:rsid w:val="001136FE"/>
    <w:rsid w:val="00113E19"/>
    <w:rsid w:val="00114B69"/>
    <w:rsid w:val="00115073"/>
    <w:rsid w:val="00115289"/>
    <w:rsid w:val="001155C2"/>
    <w:rsid w:val="00115AFE"/>
    <w:rsid w:val="00115C9C"/>
    <w:rsid w:val="00117126"/>
    <w:rsid w:val="00117962"/>
    <w:rsid w:val="00117A39"/>
    <w:rsid w:val="001207FD"/>
    <w:rsid w:val="00121C11"/>
    <w:rsid w:val="00121EB0"/>
    <w:rsid w:val="00122CB4"/>
    <w:rsid w:val="0012351B"/>
    <w:rsid w:val="001238F2"/>
    <w:rsid w:val="00123D96"/>
    <w:rsid w:val="0012405D"/>
    <w:rsid w:val="001245E8"/>
    <w:rsid w:val="0012498E"/>
    <w:rsid w:val="00124D52"/>
    <w:rsid w:val="00124E05"/>
    <w:rsid w:val="00124E15"/>
    <w:rsid w:val="00127470"/>
    <w:rsid w:val="00130CFD"/>
    <w:rsid w:val="00130EA2"/>
    <w:rsid w:val="00131E0C"/>
    <w:rsid w:val="00132048"/>
    <w:rsid w:val="00132B32"/>
    <w:rsid w:val="001331EE"/>
    <w:rsid w:val="00133D37"/>
    <w:rsid w:val="001355BA"/>
    <w:rsid w:val="00136692"/>
    <w:rsid w:val="001373CA"/>
    <w:rsid w:val="0014197C"/>
    <w:rsid w:val="001426A3"/>
    <w:rsid w:val="001426D0"/>
    <w:rsid w:val="00143291"/>
    <w:rsid w:val="0014498A"/>
    <w:rsid w:val="00144C52"/>
    <w:rsid w:val="001466F4"/>
    <w:rsid w:val="001475A7"/>
    <w:rsid w:val="00147843"/>
    <w:rsid w:val="001478B1"/>
    <w:rsid w:val="0015042C"/>
    <w:rsid w:val="001519CA"/>
    <w:rsid w:val="00153A74"/>
    <w:rsid w:val="00153F5C"/>
    <w:rsid w:val="0015698A"/>
    <w:rsid w:val="001569FC"/>
    <w:rsid w:val="00156A83"/>
    <w:rsid w:val="00160896"/>
    <w:rsid w:val="00161229"/>
    <w:rsid w:val="001621C9"/>
    <w:rsid w:val="00162A03"/>
    <w:rsid w:val="00162DBA"/>
    <w:rsid w:val="0016322A"/>
    <w:rsid w:val="0016470E"/>
    <w:rsid w:val="00164A0E"/>
    <w:rsid w:val="00164BF5"/>
    <w:rsid w:val="00165406"/>
    <w:rsid w:val="0016614B"/>
    <w:rsid w:val="00166907"/>
    <w:rsid w:val="00166E76"/>
    <w:rsid w:val="00166F98"/>
    <w:rsid w:val="00167731"/>
    <w:rsid w:val="00167954"/>
    <w:rsid w:val="00167B6E"/>
    <w:rsid w:val="00170721"/>
    <w:rsid w:val="0017077F"/>
    <w:rsid w:val="00170E75"/>
    <w:rsid w:val="00171C24"/>
    <w:rsid w:val="00174A29"/>
    <w:rsid w:val="0017532D"/>
    <w:rsid w:val="001757E2"/>
    <w:rsid w:val="00175BDF"/>
    <w:rsid w:val="00182BFC"/>
    <w:rsid w:val="001836B5"/>
    <w:rsid w:val="0018395A"/>
    <w:rsid w:val="00183EB5"/>
    <w:rsid w:val="001860B4"/>
    <w:rsid w:val="0018667C"/>
    <w:rsid w:val="00186B96"/>
    <w:rsid w:val="00187C22"/>
    <w:rsid w:val="00190025"/>
    <w:rsid w:val="001907B9"/>
    <w:rsid w:val="001911B4"/>
    <w:rsid w:val="00191AB2"/>
    <w:rsid w:val="001920F6"/>
    <w:rsid w:val="00192DC1"/>
    <w:rsid w:val="0019315A"/>
    <w:rsid w:val="0019380E"/>
    <w:rsid w:val="00193987"/>
    <w:rsid w:val="00194F6F"/>
    <w:rsid w:val="00195682"/>
    <w:rsid w:val="00195951"/>
    <w:rsid w:val="00195E76"/>
    <w:rsid w:val="00195F30"/>
    <w:rsid w:val="0019763A"/>
    <w:rsid w:val="00197B59"/>
    <w:rsid w:val="001A012B"/>
    <w:rsid w:val="001A02A8"/>
    <w:rsid w:val="001A1016"/>
    <w:rsid w:val="001A2200"/>
    <w:rsid w:val="001A267C"/>
    <w:rsid w:val="001A2C92"/>
    <w:rsid w:val="001A386F"/>
    <w:rsid w:val="001A4278"/>
    <w:rsid w:val="001A496D"/>
    <w:rsid w:val="001A543E"/>
    <w:rsid w:val="001A6167"/>
    <w:rsid w:val="001A647B"/>
    <w:rsid w:val="001A6E57"/>
    <w:rsid w:val="001A72E5"/>
    <w:rsid w:val="001A784E"/>
    <w:rsid w:val="001A7A18"/>
    <w:rsid w:val="001B09C3"/>
    <w:rsid w:val="001B0A3D"/>
    <w:rsid w:val="001B0BF0"/>
    <w:rsid w:val="001B0C2B"/>
    <w:rsid w:val="001B11AC"/>
    <w:rsid w:val="001B209A"/>
    <w:rsid w:val="001B250F"/>
    <w:rsid w:val="001B26E9"/>
    <w:rsid w:val="001B366E"/>
    <w:rsid w:val="001B3E40"/>
    <w:rsid w:val="001B4FE2"/>
    <w:rsid w:val="001B50A8"/>
    <w:rsid w:val="001B5291"/>
    <w:rsid w:val="001B744E"/>
    <w:rsid w:val="001C01D5"/>
    <w:rsid w:val="001C3A28"/>
    <w:rsid w:val="001C53E5"/>
    <w:rsid w:val="001C5526"/>
    <w:rsid w:val="001C6081"/>
    <w:rsid w:val="001C63B0"/>
    <w:rsid w:val="001C68F0"/>
    <w:rsid w:val="001C6CD0"/>
    <w:rsid w:val="001D0D94"/>
    <w:rsid w:val="001D1560"/>
    <w:rsid w:val="001D245C"/>
    <w:rsid w:val="001D5436"/>
    <w:rsid w:val="001D5867"/>
    <w:rsid w:val="001D68BF"/>
    <w:rsid w:val="001E03D2"/>
    <w:rsid w:val="001E0B03"/>
    <w:rsid w:val="001E1170"/>
    <w:rsid w:val="001E42EC"/>
    <w:rsid w:val="001E5890"/>
    <w:rsid w:val="001E5AF6"/>
    <w:rsid w:val="001E6545"/>
    <w:rsid w:val="001E76BE"/>
    <w:rsid w:val="001F2E4B"/>
    <w:rsid w:val="001F2EBB"/>
    <w:rsid w:val="001F319F"/>
    <w:rsid w:val="001F363B"/>
    <w:rsid w:val="001F386F"/>
    <w:rsid w:val="001F39FE"/>
    <w:rsid w:val="001F3E48"/>
    <w:rsid w:val="001F6A37"/>
    <w:rsid w:val="0020098D"/>
    <w:rsid w:val="00200C32"/>
    <w:rsid w:val="00200E96"/>
    <w:rsid w:val="002018C0"/>
    <w:rsid w:val="00201B36"/>
    <w:rsid w:val="00202D29"/>
    <w:rsid w:val="00203980"/>
    <w:rsid w:val="00203C60"/>
    <w:rsid w:val="00205BA9"/>
    <w:rsid w:val="00206C12"/>
    <w:rsid w:val="00206E6B"/>
    <w:rsid w:val="0020701E"/>
    <w:rsid w:val="00211383"/>
    <w:rsid w:val="00211F05"/>
    <w:rsid w:val="002120FE"/>
    <w:rsid w:val="0021473C"/>
    <w:rsid w:val="002152CE"/>
    <w:rsid w:val="00215380"/>
    <w:rsid w:val="00220D6C"/>
    <w:rsid w:val="00221711"/>
    <w:rsid w:val="0022206A"/>
    <w:rsid w:val="00222780"/>
    <w:rsid w:val="00222955"/>
    <w:rsid w:val="00222D57"/>
    <w:rsid w:val="00223F37"/>
    <w:rsid w:val="00224BF6"/>
    <w:rsid w:val="002259BA"/>
    <w:rsid w:val="002275B1"/>
    <w:rsid w:val="002309AA"/>
    <w:rsid w:val="00231CBA"/>
    <w:rsid w:val="00232049"/>
    <w:rsid w:val="00233490"/>
    <w:rsid w:val="002341CE"/>
    <w:rsid w:val="00234531"/>
    <w:rsid w:val="00235458"/>
    <w:rsid w:val="00235D31"/>
    <w:rsid w:val="002369C9"/>
    <w:rsid w:val="00236A1C"/>
    <w:rsid w:val="00237B02"/>
    <w:rsid w:val="00240E5B"/>
    <w:rsid w:val="00241A2A"/>
    <w:rsid w:val="00242F5F"/>
    <w:rsid w:val="00244E76"/>
    <w:rsid w:val="00245240"/>
    <w:rsid w:val="00245F6A"/>
    <w:rsid w:val="00246C39"/>
    <w:rsid w:val="00246E59"/>
    <w:rsid w:val="002470C5"/>
    <w:rsid w:val="00247B5C"/>
    <w:rsid w:val="00250154"/>
    <w:rsid w:val="00250588"/>
    <w:rsid w:val="0025128E"/>
    <w:rsid w:val="002514C9"/>
    <w:rsid w:val="00252C00"/>
    <w:rsid w:val="00252CF4"/>
    <w:rsid w:val="00252FE9"/>
    <w:rsid w:val="002536F0"/>
    <w:rsid w:val="00253CEB"/>
    <w:rsid w:val="00253E01"/>
    <w:rsid w:val="002551B2"/>
    <w:rsid w:val="002564D8"/>
    <w:rsid w:val="002572AC"/>
    <w:rsid w:val="00257C0C"/>
    <w:rsid w:val="00260B01"/>
    <w:rsid w:val="002613D5"/>
    <w:rsid w:val="00261BD0"/>
    <w:rsid w:val="0026221D"/>
    <w:rsid w:val="00262ADE"/>
    <w:rsid w:val="00262D78"/>
    <w:rsid w:val="0026363B"/>
    <w:rsid w:val="00263CF5"/>
    <w:rsid w:val="00264DEF"/>
    <w:rsid w:val="00264E1C"/>
    <w:rsid w:val="00266048"/>
    <w:rsid w:val="002664A7"/>
    <w:rsid w:val="00266AD9"/>
    <w:rsid w:val="00267CC7"/>
    <w:rsid w:val="00267D81"/>
    <w:rsid w:val="002703D8"/>
    <w:rsid w:val="0027056E"/>
    <w:rsid w:val="00270FEC"/>
    <w:rsid w:val="00271201"/>
    <w:rsid w:val="0027259B"/>
    <w:rsid w:val="00272FD3"/>
    <w:rsid w:val="002737C5"/>
    <w:rsid w:val="00274D0F"/>
    <w:rsid w:val="002751C6"/>
    <w:rsid w:val="00275EA2"/>
    <w:rsid w:val="0027668E"/>
    <w:rsid w:val="00277225"/>
    <w:rsid w:val="00277D8F"/>
    <w:rsid w:val="00280741"/>
    <w:rsid w:val="002824E4"/>
    <w:rsid w:val="00282C59"/>
    <w:rsid w:val="002838AF"/>
    <w:rsid w:val="002844D8"/>
    <w:rsid w:val="002845A0"/>
    <w:rsid w:val="0028556F"/>
    <w:rsid w:val="002857E2"/>
    <w:rsid w:val="0028589A"/>
    <w:rsid w:val="00287047"/>
    <w:rsid w:val="002879D8"/>
    <w:rsid w:val="00287A5F"/>
    <w:rsid w:val="00290321"/>
    <w:rsid w:val="00290B75"/>
    <w:rsid w:val="00291311"/>
    <w:rsid w:val="002917E7"/>
    <w:rsid w:val="0029213C"/>
    <w:rsid w:val="00292D54"/>
    <w:rsid w:val="00293448"/>
    <w:rsid w:val="00293F39"/>
    <w:rsid w:val="002940E2"/>
    <w:rsid w:val="00294198"/>
    <w:rsid w:val="00294BFE"/>
    <w:rsid w:val="00294FCE"/>
    <w:rsid w:val="00295336"/>
    <w:rsid w:val="00296DAB"/>
    <w:rsid w:val="002970BD"/>
    <w:rsid w:val="00297A1A"/>
    <w:rsid w:val="002A2377"/>
    <w:rsid w:val="002A3657"/>
    <w:rsid w:val="002A37FD"/>
    <w:rsid w:val="002A39DD"/>
    <w:rsid w:val="002A4F0D"/>
    <w:rsid w:val="002A4F1C"/>
    <w:rsid w:val="002A5643"/>
    <w:rsid w:val="002A64A2"/>
    <w:rsid w:val="002A6E49"/>
    <w:rsid w:val="002A7227"/>
    <w:rsid w:val="002B1769"/>
    <w:rsid w:val="002B2990"/>
    <w:rsid w:val="002B29EF"/>
    <w:rsid w:val="002B3988"/>
    <w:rsid w:val="002B3B02"/>
    <w:rsid w:val="002B505E"/>
    <w:rsid w:val="002B5309"/>
    <w:rsid w:val="002B6789"/>
    <w:rsid w:val="002B69F9"/>
    <w:rsid w:val="002B7594"/>
    <w:rsid w:val="002C088E"/>
    <w:rsid w:val="002C244B"/>
    <w:rsid w:val="002C43E8"/>
    <w:rsid w:val="002C6147"/>
    <w:rsid w:val="002C686C"/>
    <w:rsid w:val="002C6B44"/>
    <w:rsid w:val="002C7A81"/>
    <w:rsid w:val="002D04DE"/>
    <w:rsid w:val="002D12AF"/>
    <w:rsid w:val="002D1BDE"/>
    <w:rsid w:val="002D2436"/>
    <w:rsid w:val="002D3692"/>
    <w:rsid w:val="002D3A83"/>
    <w:rsid w:val="002D50D5"/>
    <w:rsid w:val="002D6555"/>
    <w:rsid w:val="002D699F"/>
    <w:rsid w:val="002E0313"/>
    <w:rsid w:val="002E0753"/>
    <w:rsid w:val="002E14C3"/>
    <w:rsid w:val="002E3471"/>
    <w:rsid w:val="002E3A4D"/>
    <w:rsid w:val="002E3E65"/>
    <w:rsid w:val="002E4FA1"/>
    <w:rsid w:val="002E5FD3"/>
    <w:rsid w:val="002E646E"/>
    <w:rsid w:val="002E6D3C"/>
    <w:rsid w:val="002E7D52"/>
    <w:rsid w:val="002F1A0B"/>
    <w:rsid w:val="002F1ED6"/>
    <w:rsid w:val="002F2244"/>
    <w:rsid w:val="002F3497"/>
    <w:rsid w:val="002F3730"/>
    <w:rsid w:val="002F3991"/>
    <w:rsid w:val="002F4E9A"/>
    <w:rsid w:val="002F5653"/>
    <w:rsid w:val="002F57F7"/>
    <w:rsid w:val="002F5F8C"/>
    <w:rsid w:val="002F7257"/>
    <w:rsid w:val="002F75B0"/>
    <w:rsid w:val="002F7F23"/>
    <w:rsid w:val="00301104"/>
    <w:rsid w:val="0030256C"/>
    <w:rsid w:val="00303390"/>
    <w:rsid w:val="00303A4C"/>
    <w:rsid w:val="00305809"/>
    <w:rsid w:val="00306FCF"/>
    <w:rsid w:val="00307200"/>
    <w:rsid w:val="0031198E"/>
    <w:rsid w:val="00311BF0"/>
    <w:rsid w:val="00311E79"/>
    <w:rsid w:val="00312FC4"/>
    <w:rsid w:val="00313039"/>
    <w:rsid w:val="00313865"/>
    <w:rsid w:val="00313C0A"/>
    <w:rsid w:val="003155EC"/>
    <w:rsid w:val="003171FC"/>
    <w:rsid w:val="00320374"/>
    <w:rsid w:val="00320B51"/>
    <w:rsid w:val="003227FE"/>
    <w:rsid w:val="003234D2"/>
    <w:rsid w:val="00324542"/>
    <w:rsid w:val="00325159"/>
    <w:rsid w:val="00325BF0"/>
    <w:rsid w:val="00326329"/>
    <w:rsid w:val="00327224"/>
    <w:rsid w:val="003279FA"/>
    <w:rsid w:val="00330422"/>
    <w:rsid w:val="00330B9B"/>
    <w:rsid w:val="00330F44"/>
    <w:rsid w:val="003313E5"/>
    <w:rsid w:val="003318D5"/>
    <w:rsid w:val="003321B7"/>
    <w:rsid w:val="0033290A"/>
    <w:rsid w:val="00333596"/>
    <w:rsid w:val="003358D1"/>
    <w:rsid w:val="003370F9"/>
    <w:rsid w:val="0033740A"/>
    <w:rsid w:val="00337F14"/>
    <w:rsid w:val="003422AC"/>
    <w:rsid w:val="00342C69"/>
    <w:rsid w:val="00342DFA"/>
    <w:rsid w:val="00342EFF"/>
    <w:rsid w:val="00343787"/>
    <w:rsid w:val="00343CE6"/>
    <w:rsid w:val="00343DB0"/>
    <w:rsid w:val="00344F28"/>
    <w:rsid w:val="00345CCB"/>
    <w:rsid w:val="00346BEB"/>
    <w:rsid w:val="003501C2"/>
    <w:rsid w:val="003505E3"/>
    <w:rsid w:val="0035085E"/>
    <w:rsid w:val="0035088C"/>
    <w:rsid w:val="003510E7"/>
    <w:rsid w:val="003535B7"/>
    <w:rsid w:val="003544B5"/>
    <w:rsid w:val="003555CE"/>
    <w:rsid w:val="003569C4"/>
    <w:rsid w:val="00356E8F"/>
    <w:rsid w:val="003612F6"/>
    <w:rsid w:val="003621E6"/>
    <w:rsid w:val="00362591"/>
    <w:rsid w:val="0036274F"/>
    <w:rsid w:val="00362B9B"/>
    <w:rsid w:val="00362D3A"/>
    <w:rsid w:val="003636B4"/>
    <w:rsid w:val="003649B0"/>
    <w:rsid w:val="00365216"/>
    <w:rsid w:val="003667FF"/>
    <w:rsid w:val="0036697C"/>
    <w:rsid w:val="0036742F"/>
    <w:rsid w:val="0036787F"/>
    <w:rsid w:val="00370996"/>
    <w:rsid w:val="00370AE1"/>
    <w:rsid w:val="00370CF4"/>
    <w:rsid w:val="00370FBF"/>
    <w:rsid w:val="0037172F"/>
    <w:rsid w:val="003719A4"/>
    <w:rsid w:val="00371B8C"/>
    <w:rsid w:val="00372BC1"/>
    <w:rsid w:val="00373298"/>
    <w:rsid w:val="00373FB4"/>
    <w:rsid w:val="00376FAF"/>
    <w:rsid w:val="0037749D"/>
    <w:rsid w:val="003779D6"/>
    <w:rsid w:val="00377CD4"/>
    <w:rsid w:val="00380F59"/>
    <w:rsid w:val="00381352"/>
    <w:rsid w:val="00382FD5"/>
    <w:rsid w:val="003831B4"/>
    <w:rsid w:val="0038330C"/>
    <w:rsid w:val="003849B8"/>
    <w:rsid w:val="00385964"/>
    <w:rsid w:val="00385DBF"/>
    <w:rsid w:val="00385F0B"/>
    <w:rsid w:val="00386037"/>
    <w:rsid w:val="003860C5"/>
    <w:rsid w:val="00386A6F"/>
    <w:rsid w:val="00386C93"/>
    <w:rsid w:val="00387764"/>
    <w:rsid w:val="00387BAB"/>
    <w:rsid w:val="00390E94"/>
    <w:rsid w:val="003911AD"/>
    <w:rsid w:val="0039217E"/>
    <w:rsid w:val="0039400F"/>
    <w:rsid w:val="00394024"/>
    <w:rsid w:val="0039506A"/>
    <w:rsid w:val="003A06E4"/>
    <w:rsid w:val="003A0A70"/>
    <w:rsid w:val="003A197F"/>
    <w:rsid w:val="003A2632"/>
    <w:rsid w:val="003A2C89"/>
    <w:rsid w:val="003A2D9C"/>
    <w:rsid w:val="003A311E"/>
    <w:rsid w:val="003A5A84"/>
    <w:rsid w:val="003A5BE6"/>
    <w:rsid w:val="003A5D7E"/>
    <w:rsid w:val="003A7BBC"/>
    <w:rsid w:val="003B0206"/>
    <w:rsid w:val="003B07B8"/>
    <w:rsid w:val="003B2012"/>
    <w:rsid w:val="003B2C77"/>
    <w:rsid w:val="003B2F8B"/>
    <w:rsid w:val="003B42CD"/>
    <w:rsid w:val="003B50AB"/>
    <w:rsid w:val="003B550D"/>
    <w:rsid w:val="003B5519"/>
    <w:rsid w:val="003B74B6"/>
    <w:rsid w:val="003B7B06"/>
    <w:rsid w:val="003B7CFD"/>
    <w:rsid w:val="003C1301"/>
    <w:rsid w:val="003C32F9"/>
    <w:rsid w:val="003C38AD"/>
    <w:rsid w:val="003C4B14"/>
    <w:rsid w:val="003C4D08"/>
    <w:rsid w:val="003C5BA3"/>
    <w:rsid w:val="003D0132"/>
    <w:rsid w:val="003D0BC0"/>
    <w:rsid w:val="003D106E"/>
    <w:rsid w:val="003D3C3A"/>
    <w:rsid w:val="003D68D2"/>
    <w:rsid w:val="003D6FD9"/>
    <w:rsid w:val="003D7F02"/>
    <w:rsid w:val="003E034E"/>
    <w:rsid w:val="003E0424"/>
    <w:rsid w:val="003E0794"/>
    <w:rsid w:val="003E38CC"/>
    <w:rsid w:val="003E5657"/>
    <w:rsid w:val="003E5B8A"/>
    <w:rsid w:val="003E61F8"/>
    <w:rsid w:val="003E6742"/>
    <w:rsid w:val="003E68F7"/>
    <w:rsid w:val="003E6B79"/>
    <w:rsid w:val="003E703F"/>
    <w:rsid w:val="003E7960"/>
    <w:rsid w:val="003F064E"/>
    <w:rsid w:val="003F096C"/>
    <w:rsid w:val="003F2256"/>
    <w:rsid w:val="003F2AA6"/>
    <w:rsid w:val="003F2B39"/>
    <w:rsid w:val="003F4BD0"/>
    <w:rsid w:val="003F4CD9"/>
    <w:rsid w:val="003F6FFD"/>
    <w:rsid w:val="003F7BCF"/>
    <w:rsid w:val="0040048D"/>
    <w:rsid w:val="00400D62"/>
    <w:rsid w:val="00401EF5"/>
    <w:rsid w:val="0040323B"/>
    <w:rsid w:val="004035FE"/>
    <w:rsid w:val="00403AEE"/>
    <w:rsid w:val="00403BB8"/>
    <w:rsid w:val="00403EA2"/>
    <w:rsid w:val="00404477"/>
    <w:rsid w:val="00404C40"/>
    <w:rsid w:val="00404DF3"/>
    <w:rsid w:val="00405656"/>
    <w:rsid w:val="004059C7"/>
    <w:rsid w:val="00405D28"/>
    <w:rsid w:val="0040730E"/>
    <w:rsid w:val="00407A1A"/>
    <w:rsid w:val="0041018D"/>
    <w:rsid w:val="004129AB"/>
    <w:rsid w:val="00414743"/>
    <w:rsid w:val="00414F8E"/>
    <w:rsid w:val="00415A81"/>
    <w:rsid w:val="00416757"/>
    <w:rsid w:val="00423132"/>
    <w:rsid w:val="00423C4A"/>
    <w:rsid w:val="00425B68"/>
    <w:rsid w:val="00425EE5"/>
    <w:rsid w:val="0042676E"/>
    <w:rsid w:val="00426E94"/>
    <w:rsid w:val="004274C0"/>
    <w:rsid w:val="00431924"/>
    <w:rsid w:val="00431F10"/>
    <w:rsid w:val="00432B63"/>
    <w:rsid w:val="00432E3B"/>
    <w:rsid w:val="0043366C"/>
    <w:rsid w:val="00433B1D"/>
    <w:rsid w:val="00433FD9"/>
    <w:rsid w:val="00434D47"/>
    <w:rsid w:val="00435BAB"/>
    <w:rsid w:val="00436054"/>
    <w:rsid w:val="0043744C"/>
    <w:rsid w:val="004377CA"/>
    <w:rsid w:val="00440064"/>
    <w:rsid w:val="004416B9"/>
    <w:rsid w:val="00441D38"/>
    <w:rsid w:val="00442FB9"/>
    <w:rsid w:val="0044391B"/>
    <w:rsid w:val="004445AA"/>
    <w:rsid w:val="004458B3"/>
    <w:rsid w:val="00447FEA"/>
    <w:rsid w:val="00450635"/>
    <w:rsid w:val="004511B0"/>
    <w:rsid w:val="0045139E"/>
    <w:rsid w:val="0045143D"/>
    <w:rsid w:val="00451BB3"/>
    <w:rsid w:val="0045396A"/>
    <w:rsid w:val="004544E8"/>
    <w:rsid w:val="00454C99"/>
    <w:rsid w:val="004556AC"/>
    <w:rsid w:val="00455BAA"/>
    <w:rsid w:val="00456EC4"/>
    <w:rsid w:val="0045744C"/>
    <w:rsid w:val="004578DE"/>
    <w:rsid w:val="00457A12"/>
    <w:rsid w:val="00457BC3"/>
    <w:rsid w:val="00460019"/>
    <w:rsid w:val="00461992"/>
    <w:rsid w:val="00463E95"/>
    <w:rsid w:val="00464F36"/>
    <w:rsid w:val="00465A34"/>
    <w:rsid w:val="00466413"/>
    <w:rsid w:val="00466B86"/>
    <w:rsid w:val="00467FC8"/>
    <w:rsid w:val="00470181"/>
    <w:rsid w:val="00470284"/>
    <w:rsid w:val="004710EB"/>
    <w:rsid w:val="00471516"/>
    <w:rsid w:val="004727CD"/>
    <w:rsid w:val="00475D9F"/>
    <w:rsid w:val="00476F92"/>
    <w:rsid w:val="004800FD"/>
    <w:rsid w:val="00480C91"/>
    <w:rsid w:val="004826C3"/>
    <w:rsid w:val="004836D2"/>
    <w:rsid w:val="00483A94"/>
    <w:rsid w:val="0048451A"/>
    <w:rsid w:val="00484977"/>
    <w:rsid w:val="00484C2C"/>
    <w:rsid w:val="004853CA"/>
    <w:rsid w:val="0048556C"/>
    <w:rsid w:val="0048584F"/>
    <w:rsid w:val="0048595B"/>
    <w:rsid w:val="00486A75"/>
    <w:rsid w:val="00486D4C"/>
    <w:rsid w:val="004900A0"/>
    <w:rsid w:val="00490A70"/>
    <w:rsid w:val="00490CA2"/>
    <w:rsid w:val="004910F1"/>
    <w:rsid w:val="00492880"/>
    <w:rsid w:val="00494542"/>
    <w:rsid w:val="004948B4"/>
    <w:rsid w:val="00495146"/>
    <w:rsid w:val="00495766"/>
    <w:rsid w:val="004A0F53"/>
    <w:rsid w:val="004A1447"/>
    <w:rsid w:val="004A170B"/>
    <w:rsid w:val="004A235F"/>
    <w:rsid w:val="004A2373"/>
    <w:rsid w:val="004A3449"/>
    <w:rsid w:val="004A4889"/>
    <w:rsid w:val="004A5F27"/>
    <w:rsid w:val="004A7151"/>
    <w:rsid w:val="004A7497"/>
    <w:rsid w:val="004A7CD4"/>
    <w:rsid w:val="004B1745"/>
    <w:rsid w:val="004B32C9"/>
    <w:rsid w:val="004B433E"/>
    <w:rsid w:val="004B4375"/>
    <w:rsid w:val="004B5D04"/>
    <w:rsid w:val="004B68DB"/>
    <w:rsid w:val="004B755A"/>
    <w:rsid w:val="004B7A07"/>
    <w:rsid w:val="004C0AFB"/>
    <w:rsid w:val="004C1229"/>
    <w:rsid w:val="004C1468"/>
    <w:rsid w:val="004C2DCF"/>
    <w:rsid w:val="004C2E85"/>
    <w:rsid w:val="004C3DEC"/>
    <w:rsid w:val="004C5CF0"/>
    <w:rsid w:val="004C60E9"/>
    <w:rsid w:val="004C6CFD"/>
    <w:rsid w:val="004D10F7"/>
    <w:rsid w:val="004D1A92"/>
    <w:rsid w:val="004D1F2D"/>
    <w:rsid w:val="004D4F91"/>
    <w:rsid w:val="004D6B85"/>
    <w:rsid w:val="004D7BB1"/>
    <w:rsid w:val="004E0202"/>
    <w:rsid w:val="004E09DE"/>
    <w:rsid w:val="004E161F"/>
    <w:rsid w:val="004E1A6A"/>
    <w:rsid w:val="004E1B81"/>
    <w:rsid w:val="004E222E"/>
    <w:rsid w:val="004E2295"/>
    <w:rsid w:val="004E25A0"/>
    <w:rsid w:val="004E3991"/>
    <w:rsid w:val="004E3BBF"/>
    <w:rsid w:val="004E4217"/>
    <w:rsid w:val="004E45FC"/>
    <w:rsid w:val="004E481B"/>
    <w:rsid w:val="004E4FB4"/>
    <w:rsid w:val="004E5368"/>
    <w:rsid w:val="004E53D5"/>
    <w:rsid w:val="004E6082"/>
    <w:rsid w:val="004E7599"/>
    <w:rsid w:val="004E7657"/>
    <w:rsid w:val="004F1155"/>
    <w:rsid w:val="004F1161"/>
    <w:rsid w:val="004F2003"/>
    <w:rsid w:val="004F2D4F"/>
    <w:rsid w:val="004F410C"/>
    <w:rsid w:val="004F486B"/>
    <w:rsid w:val="004F5E4B"/>
    <w:rsid w:val="004F6C14"/>
    <w:rsid w:val="004F793B"/>
    <w:rsid w:val="005009BE"/>
    <w:rsid w:val="005024FE"/>
    <w:rsid w:val="00502551"/>
    <w:rsid w:val="005028F1"/>
    <w:rsid w:val="00502BB1"/>
    <w:rsid w:val="005032D5"/>
    <w:rsid w:val="00503845"/>
    <w:rsid w:val="00504D4A"/>
    <w:rsid w:val="005052B0"/>
    <w:rsid w:val="00505741"/>
    <w:rsid w:val="0050652E"/>
    <w:rsid w:val="00506E65"/>
    <w:rsid w:val="00507E54"/>
    <w:rsid w:val="00511E54"/>
    <w:rsid w:val="0051251B"/>
    <w:rsid w:val="005137DB"/>
    <w:rsid w:val="00513BBF"/>
    <w:rsid w:val="00515E69"/>
    <w:rsid w:val="0051617C"/>
    <w:rsid w:val="005167F0"/>
    <w:rsid w:val="0051721F"/>
    <w:rsid w:val="005177DF"/>
    <w:rsid w:val="00517B68"/>
    <w:rsid w:val="00521474"/>
    <w:rsid w:val="00521570"/>
    <w:rsid w:val="005219B2"/>
    <w:rsid w:val="00523617"/>
    <w:rsid w:val="005255EA"/>
    <w:rsid w:val="0052705E"/>
    <w:rsid w:val="00527C7F"/>
    <w:rsid w:val="00527F09"/>
    <w:rsid w:val="00530499"/>
    <w:rsid w:val="005310B9"/>
    <w:rsid w:val="00532884"/>
    <w:rsid w:val="00532927"/>
    <w:rsid w:val="00535124"/>
    <w:rsid w:val="00535B53"/>
    <w:rsid w:val="00535BAB"/>
    <w:rsid w:val="00536C27"/>
    <w:rsid w:val="00537188"/>
    <w:rsid w:val="00537FD7"/>
    <w:rsid w:val="005405B3"/>
    <w:rsid w:val="00540812"/>
    <w:rsid w:val="005408E6"/>
    <w:rsid w:val="00541DC6"/>
    <w:rsid w:val="00541F9E"/>
    <w:rsid w:val="00542346"/>
    <w:rsid w:val="0054284D"/>
    <w:rsid w:val="00544006"/>
    <w:rsid w:val="0054431C"/>
    <w:rsid w:val="00547588"/>
    <w:rsid w:val="00551BEF"/>
    <w:rsid w:val="00552ACA"/>
    <w:rsid w:val="005534D0"/>
    <w:rsid w:val="00554B0B"/>
    <w:rsid w:val="00554B3E"/>
    <w:rsid w:val="00554EBC"/>
    <w:rsid w:val="0055543A"/>
    <w:rsid w:val="005556F4"/>
    <w:rsid w:val="00555907"/>
    <w:rsid w:val="00555937"/>
    <w:rsid w:val="00555D38"/>
    <w:rsid w:val="0055641F"/>
    <w:rsid w:val="00557518"/>
    <w:rsid w:val="005601E5"/>
    <w:rsid w:val="00560631"/>
    <w:rsid w:val="00560C14"/>
    <w:rsid w:val="005621D5"/>
    <w:rsid w:val="0056229D"/>
    <w:rsid w:val="00563172"/>
    <w:rsid w:val="00564F35"/>
    <w:rsid w:val="0056508B"/>
    <w:rsid w:val="005665F7"/>
    <w:rsid w:val="0056775D"/>
    <w:rsid w:val="005700C9"/>
    <w:rsid w:val="00570693"/>
    <w:rsid w:val="00570BC0"/>
    <w:rsid w:val="00572EA5"/>
    <w:rsid w:val="00574DA3"/>
    <w:rsid w:val="00580042"/>
    <w:rsid w:val="0058023C"/>
    <w:rsid w:val="00580B72"/>
    <w:rsid w:val="00580C19"/>
    <w:rsid w:val="00582F05"/>
    <w:rsid w:val="00583D99"/>
    <w:rsid w:val="00585902"/>
    <w:rsid w:val="00585AFF"/>
    <w:rsid w:val="0058704B"/>
    <w:rsid w:val="00587A9E"/>
    <w:rsid w:val="00587C07"/>
    <w:rsid w:val="00587C6B"/>
    <w:rsid w:val="00587DA7"/>
    <w:rsid w:val="005903F2"/>
    <w:rsid w:val="00590990"/>
    <w:rsid w:val="00590DEF"/>
    <w:rsid w:val="00590EDF"/>
    <w:rsid w:val="00592273"/>
    <w:rsid w:val="005930B3"/>
    <w:rsid w:val="00593E7D"/>
    <w:rsid w:val="005940E8"/>
    <w:rsid w:val="005948A4"/>
    <w:rsid w:val="00595652"/>
    <w:rsid w:val="005972E9"/>
    <w:rsid w:val="005976FB"/>
    <w:rsid w:val="00597E5D"/>
    <w:rsid w:val="00597F27"/>
    <w:rsid w:val="005A0AC2"/>
    <w:rsid w:val="005A13A4"/>
    <w:rsid w:val="005A187A"/>
    <w:rsid w:val="005A2192"/>
    <w:rsid w:val="005A256D"/>
    <w:rsid w:val="005A35BE"/>
    <w:rsid w:val="005A474B"/>
    <w:rsid w:val="005A5348"/>
    <w:rsid w:val="005A5BB3"/>
    <w:rsid w:val="005A76CC"/>
    <w:rsid w:val="005B0A26"/>
    <w:rsid w:val="005B22C7"/>
    <w:rsid w:val="005B2C80"/>
    <w:rsid w:val="005B49EB"/>
    <w:rsid w:val="005B546F"/>
    <w:rsid w:val="005B5AF1"/>
    <w:rsid w:val="005B5D4D"/>
    <w:rsid w:val="005B7341"/>
    <w:rsid w:val="005C0475"/>
    <w:rsid w:val="005C1071"/>
    <w:rsid w:val="005C11FC"/>
    <w:rsid w:val="005C2A13"/>
    <w:rsid w:val="005C2B1A"/>
    <w:rsid w:val="005C2FE0"/>
    <w:rsid w:val="005C36D4"/>
    <w:rsid w:val="005C398D"/>
    <w:rsid w:val="005C3CDB"/>
    <w:rsid w:val="005C4460"/>
    <w:rsid w:val="005C521F"/>
    <w:rsid w:val="005C58E6"/>
    <w:rsid w:val="005C5F4E"/>
    <w:rsid w:val="005C6FB4"/>
    <w:rsid w:val="005D0476"/>
    <w:rsid w:val="005D0C5D"/>
    <w:rsid w:val="005D0F90"/>
    <w:rsid w:val="005D1118"/>
    <w:rsid w:val="005D31B8"/>
    <w:rsid w:val="005D3DF6"/>
    <w:rsid w:val="005D5B54"/>
    <w:rsid w:val="005D64A0"/>
    <w:rsid w:val="005D6F68"/>
    <w:rsid w:val="005E0426"/>
    <w:rsid w:val="005E0A2D"/>
    <w:rsid w:val="005E34DE"/>
    <w:rsid w:val="005E468F"/>
    <w:rsid w:val="005E4ABA"/>
    <w:rsid w:val="005E4C8E"/>
    <w:rsid w:val="005E4D2F"/>
    <w:rsid w:val="005E637E"/>
    <w:rsid w:val="005E6B50"/>
    <w:rsid w:val="005E73EC"/>
    <w:rsid w:val="005E741D"/>
    <w:rsid w:val="005E77E1"/>
    <w:rsid w:val="005F01E7"/>
    <w:rsid w:val="005F056E"/>
    <w:rsid w:val="005F1813"/>
    <w:rsid w:val="005F25DC"/>
    <w:rsid w:val="005F2923"/>
    <w:rsid w:val="005F2A80"/>
    <w:rsid w:val="005F2F86"/>
    <w:rsid w:val="005F3614"/>
    <w:rsid w:val="005F50D2"/>
    <w:rsid w:val="005F7BE0"/>
    <w:rsid w:val="0060004A"/>
    <w:rsid w:val="006017DE"/>
    <w:rsid w:val="0060211C"/>
    <w:rsid w:val="00603FFC"/>
    <w:rsid w:val="00604F85"/>
    <w:rsid w:val="00606145"/>
    <w:rsid w:val="006071CA"/>
    <w:rsid w:val="006071E9"/>
    <w:rsid w:val="0060779A"/>
    <w:rsid w:val="00607F6F"/>
    <w:rsid w:val="00610966"/>
    <w:rsid w:val="00611DB1"/>
    <w:rsid w:val="00611F3B"/>
    <w:rsid w:val="006128D5"/>
    <w:rsid w:val="00613C8C"/>
    <w:rsid w:val="00614384"/>
    <w:rsid w:val="00614528"/>
    <w:rsid w:val="00614628"/>
    <w:rsid w:val="00615B06"/>
    <w:rsid w:val="006163D1"/>
    <w:rsid w:val="0061788E"/>
    <w:rsid w:val="00620F1F"/>
    <w:rsid w:val="0062117A"/>
    <w:rsid w:val="00621575"/>
    <w:rsid w:val="00621923"/>
    <w:rsid w:val="00623918"/>
    <w:rsid w:val="00623A4C"/>
    <w:rsid w:val="00624E4C"/>
    <w:rsid w:val="006253E5"/>
    <w:rsid w:val="00625433"/>
    <w:rsid w:val="006255B4"/>
    <w:rsid w:val="006263CD"/>
    <w:rsid w:val="006265C0"/>
    <w:rsid w:val="006267B6"/>
    <w:rsid w:val="006269B7"/>
    <w:rsid w:val="00627A09"/>
    <w:rsid w:val="00627CFE"/>
    <w:rsid w:val="00630091"/>
    <w:rsid w:val="006306ED"/>
    <w:rsid w:val="00631F46"/>
    <w:rsid w:val="006330EF"/>
    <w:rsid w:val="00634492"/>
    <w:rsid w:val="00636286"/>
    <w:rsid w:val="00640A04"/>
    <w:rsid w:val="006412C3"/>
    <w:rsid w:val="0064146B"/>
    <w:rsid w:val="00641C26"/>
    <w:rsid w:val="00641C3F"/>
    <w:rsid w:val="00643438"/>
    <w:rsid w:val="0064457A"/>
    <w:rsid w:val="00645CD8"/>
    <w:rsid w:val="00645E3D"/>
    <w:rsid w:val="00645E58"/>
    <w:rsid w:val="006479EF"/>
    <w:rsid w:val="00650DAD"/>
    <w:rsid w:val="00651403"/>
    <w:rsid w:val="00651843"/>
    <w:rsid w:val="00652578"/>
    <w:rsid w:val="00652DDB"/>
    <w:rsid w:val="00653796"/>
    <w:rsid w:val="00653DA2"/>
    <w:rsid w:val="00653DA5"/>
    <w:rsid w:val="006546BC"/>
    <w:rsid w:val="0065475F"/>
    <w:rsid w:val="00654B3C"/>
    <w:rsid w:val="00654ED6"/>
    <w:rsid w:val="00657453"/>
    <w:rsid w:val="00657C73"/>
    <w:rsid w:val="00660022"/>
    <w:rsid w:val="006602A7"/>
    <w:rsid w:val="006614AA"/>
    <w:rsid w:val="00662944"/>
    <w:rsid w:val="00663669"/>
    <w:rsid w:val="006640CD"/>
    <w:rsid w:val="00664835"/>
    <w:rsid w:val="00664E21"/>
    <w:rsid w:val="006655F9"/>
    <w:rsid w:val="00665A12"/>
    <w:rsid w:val="00665CA0"/>
    <w:rsid w:val="00670C61"/>
    <w:rsid w:val="00670C64"/>
    <w:rsid w:val="006712FD"/>
    <w:rsid w:val="00671D84"/>
    <w:rsid w:val="00671EFA"/>
    <w:rsid w:val="00672C32"/>
    <w:rsid w:val="00673E5D"/>
    <w:rsid w:val="006742B5"/>
    <w:rsid w:val="00674358"/>
    <w:rsid w:val="00675028"/>
    <w:rsid w:val="00676AC8"/>
    <w:rsid w:val="006808CE"/>
    <w:rsid w:val="00681894"/>
    <w:rsid w:val="006824E2"/>
    <w:rsid w:val="00683EFE"/>
    <w:rsid w:val="006853E6"/>
    <w:rsid w:val="006857AE"/>
    <w:rsid w:val="00687B7D"/>
    <w:rsid w:val="00687EFC"/>
    <w:rsid w:val="00687F55"/>
    <w:rsid w:val="00690255"/>
    <w:rsid w:val="00690B01"/>
    <w:rsid w:val="00690EF3"/>
    <w:rsid w:val="006916A8"/>
    <w:rsid w:val="00691F64"/>
    <w:rsid w:val="00692B53"/>
    <w:rsid w:val="00694421"/>
    <w:rsid w:val="00695010"/>
    <w:rsid w:val="0069599E"/>
    <w:rsid w:val="00695EC1"/>
    <w:rsid w:val="00696212"/>
    <w:rsid w:val="00696896"/>
    <w:rsid w:val="006972A9"/>
    <w:rsid w:val="006A06D9"/>
    <w:rsid w:val="006A081D"/>
    <w:rsid w:val="006A0BA5"/>
    <w:rsid w:val="006A22E9"/>
    <w:rsid w:val="006A246D"/>
    <w:rsid w:val="006A2A31"/>
    <w:rsid w:val="006A2DD6"/>
    <w:rsid w:val="006A348C"/>
    <w:rsid w:val="006A3C10"/>
    <w:rsid w:val="006A461C"/>
    <w:rsid w:val="006A4718"/>
    <w:rsid w:val="006A70B6"/>
    <w:rsid w:val="006A7B32"/>
    <w:rsid w:val="006B1209"/>
    <w:rsid w:val="006B1E05"/>
    <w:rsid w:val="006B2640"/>
    <w:rsid w:val="006B2E78"/>
    <w:rsid w:val="006B3257"/>
    <w:rsid w:val="006B5127"/>
    <w:rsid w:val="006B5C3E"/>
    <w:rsid w:val="006B5DA9"/>
    <w:rsid w:val="006B66E4"/>
    <w:rsid w:val="006B707C"/>
    <w:rsid w:val="006B7340"/>
    <w:rsid w:val="006B7BD6"/>
    <w:rsid w:val="006C0007"/>
    <w:rsid w:val="006C120D"/>
    <w:rsid w:val="006C26DA"/>
    <w:rsid w:val="006C36F2"/>
    <w:rsid w:val="006C3CEB"/>
    <w:rsid w:val="006C783B"/>
    <w:rsid w:val="006D00C1"/>
    <w:rsid w:val="006D2756"/>
    <w:rsid w:val="006D27C9"/>
    <w:rsid w:val="006D4184"/>
    <w:rsid w:val="006D4CA4"/>
    <w:rsid w:val="006D520A"/>
    <w:rsid w:val="006D5F6F"/>
    <w:rsid w:val="006D601A"/>
    <w:rsid w:val="006D6CFF"/>
    <w:rsid w:val="006D737B"/>
    <w:rsid w:val="006D76FF"/>
    <w:rsid w:val="006D7999"/>
    <w:rsid w:val="006E01A2"/>
    <w:rsid w:val="006E08FB"/>
    <w:rsid w:val="006E0E97"/>
    <w:rsid w:val="006E12AD"/>
    <w:rsid w:val="006E166D"/>
    <w:rsid w:val="006E2518"/>
    <w:rsid w:val="006E3961"/>
    <w:rsid w:val="006E4A23"/>
    <w:rsid w:val="006E7B2D"/>
    <w:rsid w:val="006F0927"/>
    <w:rsid w:val="006F09D9"/>
    <w:rsid w:val="006F0F1C"/>
    <w:rsid w:val="006F1A83"/>
    <w:rsid w:val="006F278A"/>
    <w:rsid w:val="006F3A5E"/>
    <w:rsid w:val="006F47BB"/>
    <w:rsid w:val="006F577C"/>
    <w:rsid w:val="006F5C81"/>
    <w:rsid w:val="006F71AF"/>
    <w:rsid w:val="006F7AFB"/>
    <w:rsid w:val="006F7EDD"/>
    <w:rsid w:val="007001D0"/>
    <w:rsid w:val="00700AE8"/>
    <w:rsid w:val="00701F55"/>
    <w:rsid w:val="00703B14"/>
    <w:rsid w:val="00703C25"/>
    <w:rsid w:val="0070596F"/>
    <w:rsid w:val="007061A8"/>
    <w:rsid w:val="00707D39"/>
    <w:rsid w:val="00710171"/>
    <w:rsid w:val="00710349"/>
    <w:rsid w:val="00711043"/>
    <w:rsid w:val="007114A8"/>
    <w:rsid w:val="00712346"/>
    <w:rsid w:val="00713FF4"/>
    <w:rsid w:val="0071485E"/>
    <w:rsid w:val="00715313"/>
    <w:rsid w:val="007155B4"/>
    <w:rsid w:val="0071684F"/>
    <w:rsid w:val="00717E54"/>
    <w:rsid w:val="007228D9"/>
    <w:rsid w:val="007239C1"/>
    <w:rsid w:val="007247AA"/>
    <w:rsid w:val="0072485B"/>
    <w:rsid w:val="007251C3"/>
    <w:rsid w:val="0072547A"/>
    <w:rsid w:val="00725B4F"/>
    <w:rsid w:val="00727507"/>
    <w:rsid w:val="007306E5"/>
    <w:rsid w:val="00730747"/>
    <w:rsid w:val="007310FD"/>
    <w:rsid w:val="00731A7A"/>
    <w:rsid w:val="007329C5"/>
    <w:rsid w:val="00732E8C"/>
    <w:rsid w:val="0073550B"/>
    <w:rsid w:val="00735B0A"/>
    <w:rsid w:val="00736240"/>
    <w:rsid w:val="00736B5F"/>
    <w:rsid w:val="0074160F"/>
    <w:rsid w:val="00741A70"/>
    <w:rsid w:val="00741B07"/>
    <w:rsid w:val="00741F5A"/>
    <w:rsid w:val="00742DCB"/>
    <w:rsid w:val="007439D0"/>
    <w:rsid w:val="007454F8"/>
    <w:rsid w:val="00745900"/>
    <w:rsid w:val="007471F4"/>
    <w:rsid w:val="00751796"/>
    <w:rsid w:val="00751A6E"/>
    <w:rsid w:val="00751AAC"/>
    <w:rsid w:val="00752B87"/>
    <w:rsid w:val="00753239"/>
    <w:rsid w:val="007541BC"/>
    <w:rsid w:val="00754277"/>
    <w:rsid w:val="00754577"/>
    <w:rsid w:val="007555B6"/>
    <w:rsid w:val="00755E6E"/>
    <w:rsid w:val="00756965"/>
    <w:rsid w:val="00756CBB"/>
    <w:rsid w:val="00760255"/>
    <w:rsid w:val="00761848"/>
    <w:rsid w:val="007623CF"/>
    <w:rsid w:val="00762AAE"/>
    <w:rsid w:val="00763461"/>
    <w:rsid w:val="00764001"/>
    <w:rsid w:val="007650EB"/>
    <w:rsid w:val="007652BC"/>
    <w:rsid w:val="00765F05"/>
    <w:rsid w:val="00766B32"/>
    <w:rsid w:val="00767BCF"/>
    <w:rsid w:val="00770801"/>
    <w:rsid w:val="00772ED1"/>
    <w:rsid w:val="00773D65"/>
    <w:rsid w:val="0077417F"/>
    <w:rsid w:val="00774214"/>
    <w:rsid w:val="007809B0"/>
    <w:rsid w:val="007813EC"/>
    <w:rsid w:val="00782235"/>
    <w:rsid w:val="007829B2"/>
    <w:rsid w:val="00782FC9"/>
    <w:rsid w:val="00785432"/>
    <w:rsid w:val="00786683"/>
    <w:rsid w:val="00786DDA"/>
    <w:rsid w:val="007871CD"/>
    <w:rsid w:val="00787996"/>
    <w:rsid w:val="00790795"/>
    <w:rsid w:val="00790C70"/>
    <w:rsid w:val="00792168"/>
    <w:rsid w:val="00792E0E"/>
    <w:rsid w:val="00792ECD"/>
    <w:rsid w:val="00793D8D"/>
    <w:rsid w:val="00793F75"/>
    <w:rsid w:val="007950AC"/>
    <w:rsid w:val="0079551F"/>
    <w:rsid w:val="007955F4"/>
    <w:rsid w:val="007966EF"/>
    <w:rsid w:val="00796A3B"/>
    <w:rsid w:val="0079779B"/>
    <w:rsid w:val="00797C9A"/>
    <w:rsid w:val="007A048E"/>
    <w:rsid w:val="007A0FAE"/>
    <w:rsid w:val="007A1204"/>
    <w:rsid w:val="007A1BCB"/>
    <w:rsid w:val="007A35C3"/>
    <w:rsid w:val="007A4A2E"/>
    <w:rsid w:val="007A4C99"/>
    <w:rsid w:val="007A54D1"/>
    <w:rsid w:val="007A7040"/>
    <w:rsid w:val="007A76E2"/>
    <w:rsid w:val="007A7F1F"/>
    <w:rsid w:val="007B0ABB"/>
    <w:rsid w:val="007B10A9"/>
    <w:rsid w:val="007B188B"/>
    <w:rsid w:val="007B18F8"/>
    <w:rsid w:val="007B23EE"/>
    <w:rsid w:val="007B3A85"/>
    <w:rsid w:val="007B4479"/>
    <w:rsid w:val="007B4983"/>
    <w:rsid w:val="007B569B"/>
    <w:rsid w:val="007B57D7"/>
    <w:rsid w:val="007B5F3F"/>
    <w:rsid w:val="007B7175"/>
    <w:rsid w:val="007B7D5F"/>
    <w:rsid w:val="007C10D8"/>
    <w:rsid w:val="007C1130"/>
    <w:rsid w:val="007C1B4A"/>
    <w:rsid w:val="007C23C9"/>
    <w:rsid w:val="007C24B7"/>
    <w:rsid w:val="007C3A8D"/>
    <w:rsid w:val="007C3FA7"/>
    <w:rsid w:val="007C52F6"/>
    <w:rsid w:val="007C64CF"/>
    <w:rsid w:val="007D1821"/>
    <w:rsid w:val="007D199F"/>
    <w:rsid w:val="007D1A19"/>
    <w:rsid w:val="007D373A"/>
    <w:rsid w:val="007D4398"/>
    <w:rsid w:val="007D464A"/>
    <w:rsid w:val="007D4743"/>
    <w:rsid w:val="007D4AB6"/>
    <w:rsid w:val="007D53D5"/>
    <w:rsid w:val="007D5B47"/>
    <w:rsid w:val="007D713B"/>
    <w:rsid w:val="007D765E"/>
    <w:rsid w:val="007D7AEE"/>
    <w:rsid w:val="007E14F7"/>
    <w:rsid w:val="007E1655"/>
    <w:rsid w:val="007E1E20"/>
    <w:rsid w:val="007E25D8"/>
    <w:rsid w:val="007E25E0"/>
    <w:rsid w:val="007E2892"/>
    <w:rsid w:val="007E3C31"/>
    <w:rsid w:val="007E436D"/>
    <w:rsid w:val="007E467E"/>
    <w:rsid w:val="007E61D2"/>
    <w:rsid w:val="007E6267"/>
    <w:rsid w:val="007E68B7"/>
    <w:rsid w:val="007E73E5"/>
    <w:rsid w:val="007E756A"/>
    <w:rsid w:val="007E7834"/>
    <w:rsid w:val="007E7D52"/>
    <w:rsid w:val="007F116D"/>
    <w:rsid w:val="007F12D1"/>
    <w:rsid w:val="007F1A02"/>
    <w:rsid w:val="007F1C67"/>
    <w:rsid w:val="007F1CA4"/>
    <w:rsid w:val="007F1FCE"/>
    <w:rsid w:val="007F2E4A"/>
    <w:rsid w:val="007F43E1"/>
    <w:rsid w:val="007F464A"/>
    <w:rsid w:val="007F5B1F"/>
    <w:rsid w:val="007F7AAC"/>
    <w:rsid w:val="00801C5D"/>
    <w:rsid w:val="00801C9A"/>
    <w:rsid w:val="00803234"/>
    <w:rsid w:val="0080531A"/>
    <w:rsid w:val="008059F0"/>
    <w:rsid w:val="008061B6"/>
    <w:rsid w:val="00807C8C"/>
    <w:rsid w:val="00812B40"/>
    <w:rsid w:val="00813210"/>
    <w:rsid w:val="00813739"/>
    <w:rsid w:val="008147F1"/>
    <w:rsid w:val="00814B1E"/>
    <w:rsid w:val="00814F9F"/>
    <w:rsid w:val="00815390"/>
    <w:rsid w:val="00815E34"/>
    <w:rsid w:val="008167D1"/>
    <w:rsid w:val="00816EC1"/>
    <w:rsid w:val="008176CA"/>
    <w:rsid w:val="00817746"/>
    <w:rsid w:val="00817E1B"/>
    <w:rsid w:val="008212B5"/>
    <w:rsid w:val="00821379"/>
    <w:rsid w:val="008224B9"/>
    <w:rsid w:val="00823B0D"/>
    <w:rsid w:val="008247EF"/>
    <w:rsid w:val="00826DEC"/>
    <w:rsid w:val="008271CB"/>
    <w:rsid w:val="00827930"/>
    <w:rsid w:val="00827FB5"/>
    <w:rsid w:val="00830A28"/>
    <w:rsid w:val="00830A9A"/>
    <w:rsid w:val="0083166C"/>
    <w:rsid w:val="00832502"/>
    <w:rsid w:val="00832743"/>
    <w:rsid w:val="00832C97"/>
    <w:rsid w:val="00833F6F"/>
    <w:rsid w:val="00834806"/>
    <w:rsid w:val="00834BB1"/>
    <w:rsid w:val="00835001"/>
    <w:rsid w:val="00835E0A"/>
    <w:rsid w:val="00836BD8"/>
    <w:rsid w:val="00841396"/>
    <w:rsid w:val="00842856"/>
    <w:rsid w:val="00843D9F"/>
    <w:rsid w:val="00844687"/>
    <w:rsid w:val="00844B61"/>
    <w:rsid w:val="00845346"/>
    <w:rsid w:val="00846B38"/>
    <w:rsid w:val="00847AA8"/>
    <w:rsid w:val="008500CE"/>
    <w:rsid w:val="00850644"/>
    <w:rsid w:val="00851154"/>
    <w:rsid w:val="00853A85"/>
    <w:rsid w:val="00854CF5"/>
    <w:rsid w:val="00855D57"/>
    <w:rsid w:val="0085792C"/>
    <w:rsid w:val="00857D3C"/>
    <w:rsid w:val="00861696"/>
    <w:rsid w:val="00862191"/>
    <w:rsid w:val="008623BA"/>
    <w:rsid w:val="00863D30"/>
    <w:rsid w:val="00864537"/>
    <w:rsid w:val="008661A9"/>
    <w:rsid w:val="00867F0F"/>
    <w:rsid w:val="00870330"/>
    <w:rsid w:val="00870C63"/>
    <w:rsid w:val="008723CC"/>
    <w:rsid w:val="00872EDC"/>
    <w:rsid w:val="00873512"/>
    <w:rsid w:val="008752F1"/>
    <w:rsid w:val="00875C78"/>
    <w:rsid w:val="00876EBB"/>
    <w:rsid w:val="00877677"/>
    <w:rsid w:val="008811A7"/>
    <w:rsid w:val="0088201A"/>
    <w:rsid w:val="0088313A"/>
    <w:rsid w:val="008833A6"/>
    <w:rsid w:val="00883B24"/>
    <w:rsid w:val="00883D8F"/>
    <w:rsid w:val="00884EF5"/>
    <w:rsid w:val="00885BE8"/>
    <w:rsid w:val="00886446"/>
    <w:rsid w:val="008870B2"/>
    <w:rsid w:val="00890245"/>
    <w:rsid w:val="00890A61"/>
    <w:rsid w:val="008916C3"/>
    <w:rsid w:val="00891D23"/>
    <w:rsid w:val="008923A4"/>
    <w:rsid w:val="0089290E"/>
    <w:rsid w:val="00892EB3"/>
    <w:rsid w:val="00892EE8"/>
    <w:rsid w:val="00893477"/>
    <w:rsid w:val="00895D01"/>
    <w:rsid w:val="00895F20"/>
    <w:rsid w:val="008A12DB"/>
    <w:rsid w:val="008A145B"/>
    <w:rsid w:val="008A175C"/>
    <w:rsid w:val="008A181D"/>
    <w:rsid w:val="008A3A26"/>
    <w:rsid w:val="008A4FB2"/>
    <w:rsid w:val="008A5A49"/>
    <w:rsid w:val="008A5F24"/>
    <w:rsid w:val="008A6125"/>
    <w:rsid w:val="008A65E8"/>
    <w:rsid w:val="008A6B2F"/>
    <w:rsid w:val="008B0747"/>
    <w:rsid w:val="008B08BE"/>
    <w:rsid w:val="008B08E9"/>
    <w:rsid w:val="008B095D"/>
    <w:rsid w:val="008B1D79"/>
    <w:rsid w:val="008B2F92"/>
    <w:rsid w:val="008B31CE"/>
    <w:rsid w:val="008B3B09"/>
    <w:rsid w:val="008B3D95"/>
    <w:rsid w:val="008B510F"/>
    <w:rsid w:val="008B5459"/>
    <w:rsid w:val="008B56B5"/>
    <w:rsid w:val="008B6B9B"/>
    <w:rsid w:val="008B7470"/>
    <w:rsid w:val="008C0829"/>
    <w:rsid w:val="008C14F3"/>
    <w:rsid w:val="008C157B"/>
    <w:rsid w:val="008C359D"/>
    <w:rsid w:val="008C51F4"/>
    <w:rsid w:val="008C5281"/>
    <w:rsid w:val="008C5C1B"/>
    <w:rsid w:val="008C68A9"/>
    <w:rsid w:val="008C742F"/>
    <w:rsid w:val="008C79ED"/>
    <w:rsid w:val="008C7CFD"/>
    <w:rsid w:val="008D0AE4"/>
    <w:rsid w:val="008D15F7"/>
    <w:rsid w:val="008D1D1B"/>
    <w:rsid w:val="008D263D"/>
    <w:rsid w:val="008D2D81"/>
    <w:rsid w:val="008D330E"/>
    <w:rsid w:val="008D383E"/>
    <w:rsid w:val="008D4C40"/>
    <w:rsid w:val="008D4DC6"/>
    <w:rsid w:val="008D4DE1"/>
    <w:rsid w:val="008D4EB4"/>
    <w:rsid w:val="008D71A4"/>
    <w:rsid w:val="008D75E9"/>
    <w:rsid w:val="008D7F75"/>
    <w:rsid w:val="008E0A49"/>
    <w:rsid w:val="008E1E1A"/>
    <w:rsid w:val="008E2F1B"/>
    <w:rsid w:val="008E33B5"/>
    <w:rsid w:val="008E3C98"/>
    <w:rsid w:val="008E5002"/>
    <w:rsid w:val="008E65D7"/>
    <w:rsid w:val="008E7F4B"/>
    <w:rsid w:val="008F1A67"/>
    <w:rsid w:val="008F35AE"/>
    <w:rsid w:val="008F3996"/>
    <w:rsid w:val="008F3998"/>
    <w:rsid w:val="008F467B"/>
    <w:rsid w:val="008F55B9"/>
    <w:rsid w:val="008F6A91"/>
    <w:rsid w:val="008F726E"/>
    <w:rsid w:val="008F727D"/>
    <w:rsid w:val="008F72A6"/>
    <w:rsid w:val="008F76AC"/>
    <w:rsid w:val="008F7855"/>
    <w:rsid w:val="009002EF"/>
    <w:rsid w:val="00901ED2"/>
    <w:rsid w:val="00902855"/>
    <w:rsid w:val="0090343F"/>
    <w:rsid w:val="00904277"/>
    <w:rsid w:val="009045FA"/>
    <w:rsid w:val="009049EA"/>
    <w:rsid w:val="0090536E"/>
    <w:rsid w:val="00905E70"/>
    <w:rsid w:val="00906756"/>
    <w:rsid w:val="00906AA9"/>
    <w:rsid w:val="00911051"/>
    <w:rsid w:val="0091123A"/>
    <w:rsid w:val="009125BB"/>
    <w:rsid w:val="00912B3D"/>
    <w:rsid w:val="00912DE2"/>
    <w:rsid w:val="00915008"/>
    <w:rsid w:val="009153E9"/>
    <w:rsid w:val="00915C76"/>
    <w:rsid w:val="00915CAC"/>
    <w:rsid w:val="00915FA5"/>
    <w:rsid w:val="009178C7"/>
    <w:rsid w:val="00917DED"/>
    <w:rsid w:val="00920B7F"/>
    <w:rsid w:val="00922787"/>
    <w:rsid w:val="009235F2"/>
    <w:rsid w:val="00923E39"/>
    <w:rsid w:val="00924CD4"/>
    <w:rsid w:val="00924FCB"/>
    <w:rsid w:val="00926101"/>
    <w:rsid w:val="00926894"/>
    <w:rsid w:val="00926E36"/>
    <w:rsid w:val="0092721E"/>
    <w:rsid w:val="00931242"/>
    <w:rsid w:val="0093132C"/>
    <w:rsid w:val="009313EC"/>
    <w:rsid w:val="00933934"/>
    <w:rsid w:val="00934167"/>
    <w:rsid w:val="00934424"/>
    <w:rsid w:val="00935862"/>
    <w:rsid w:val="00935C6B"/>
    <w:rsid w:val="00935F35"/>
    <w:rsid w:val="00935FD5"/>
    <w:rsid w:val="00936805"/>
    <w:rsid w:val="00936973"/>
    <w:rsid w:val="00936F4C"/>
    <w:rsid w:val="009370CE"/>
    <w:rsid w:val="00937100"/>
    <w:rsid w:val="009374C4"/>
    <w:rsid w:val="00937B71"/>
    <w:rsid w:val="009402DA"/>
    <w:rsid w:val="0094084F"/>
    <w:rsid w:val="00940B89"/>
    <w:rsid w:val="00940BFD"/>
    <w:rsid w:val="00941EE1"/>
    <w:rsid w:val="00942A0F"/>
    <w:rsid w:val="00946D60"/>
    <w:rsid w:val="00951693"/>
    <w:rsid w:val="0095195F"/>
    <w:rsid w:val="00951BD3"/>
    <w:rsid w:val="0095290C"/>
    <w:rsid w:val="009530DE"/>
    <w:rsid w:val="00953F17"/>
    <w:rsid w:val="00954C9B"/>
    <w:rsid w:val="00954DC8"/>
    <w:rsid w:val="009615B2"/>
    <w:rsid w:val="00961791"/>
    <w:rsid w:val="009635E7"/>
    <w:rsid w:val="0096411E"/>
    <w:rsid w:val="009654B2"/>
    <w:rsid w:val="00965DFF"/>
    <w:rsid w:val="00966B1F"/>
    <w:rsid w:val="00966D51"/>
    <w:rsid w:val="009671D1"/>
    <w:rsid w:val="00967724"/>
    <w:rsid w:val="00971162"/>
    <w:rsid w:val="0097117B"/>
    <w:rsid w:val="00971479"/>
    <w:rsid w:val="009727E7"/>
    <w:rsid w:val="00973550"/>
    <w:rsid w:val="00973D97"/>
    <w:rsid w:val="009746EA"/>
    <w:rsid w:val="009759C8"/>
    <w:rsid w:val="00976B30"/>
    <w:rsid w:val="00976DA4"/>
    <w:rsid w:val="0097718F"/>
    <w:rsid w:val="00980D30"/>
    <w:rsid w:val="00980D6E"/>
    <w:rsid w:val="0098187C"/>
    <w:rsid w:val="0098311F"/>
    <w:rsid w:val="009844AA"/>
    <w:rsid w:val="00986025"/>
    <w:rsid w:val="0099037A"/>
    <w:rsid w:val="009908C6"/>
    <w:rsid w:val="00993565"/>
    <w:rsid w:val="009938B1"/>
    <w:rsid w:val="00993B57"/>
    <w:rsid w:val="00994466"/>
    <w:rsid w:val="009973BE"/>
    <w:rsid w:val="009977B4"/>
    <w:rsid w:val="00997812"/>
    <w:rsid w:val="009A084F"/>
    <w:rsid w:val="009A1FBC"/>
    <w:rsid w:val="009A215C"/>
    <w:rsid w:val="009A2B11"/>
    <w:rsid w:val="009A32EE"/>
    <w:rsid w:val="009A3D27"/>
    <w:rsid w:val="009A3E84"/>
    <w:rsid w:val="009A4908"/>
    <w:rsid w:val="009A79F4"/>
    <w:rsid w:val="009A7AA6"/>
    <w:rsid w:val="009B0AB7"/>
    <w:rsid w:val="009B1587"/>
    <w:rsid w:val="009B27B7"/>
    <w:rsid w:val="009B2AD6"/>
    <w:rsid w:val="009B2AED"/>
    <w:rsid w:val="009B2CC6"/>
    <w:rsid w:val="009B3657"/>
    <w:rsid w:val="009B49CE"/>
    <w:rsid w:val="009B5699"/>
    <w:rsid w:val="009B56B3"/>
    <w:rsid w:val="009B57C6"/>
    <w:rsid w:val="009B6BFC"/>
    <w:rsid w:val="009B7712"/>
    <w:rsid w:val="009C0146"/>
    <w:rsid w:val="009C04AB"/>
    <w:rsid w:val="009C08D1"/>
    <w:rsid w:val="009C0D72"/>
    <w:rsid w:val="009C2BC8"/>
    <w:rsid w:val="009C2F58"/>
    <w:rsid w:val="009C33BA"/>
    <w:rsid w:val="009C3766"/>
    <w:rsid w:val="009C380E"/>
    <w:rsid w:val="009C3EDE"/>
    <w:rsid w:val="009C4629"/>
    <w:rsid w:val="009C55BB"/>
    <w:rsid w:val="009C5F85"/>
    <w:rsid w:val="009C6215"/>
    <w:rsid w:val="009C6BA8"/>
    <w:rsid w:val="009C71B7"/>
    <w:rsid w:val="009C7A95"/>
    <w:rsid w:val="009C7C51"/>
    <w:rsid w:val="009C7CE3"/>
    <w:rsid w:val="009D0AAE"/>
    <w:rsid w:val="009D0FB1"/>
    <w:rsid w:val="009D131C"/>
    <w:rsid w:val="009D3046"/>
    <w:rsid w:val="009D4286"/>
    <w:rsid w:val="009D4EB0"/>
    <w:rsid w:val="009D5583"/>
    <w:rsid w:val="009D59CD"/>
    <w:rsid w:val="009D645F"/>
    <w:rsid w:val="009D6996"/>
    <w:rsid w:val="009D74C2"/>
    <w:rsid w:val="009E42CE"/>
    <w:rsid w:val="009E57AD"/>
    <w:rsid w:val="009E5ACA"/>
    <w:rsid w:val="009E6C76"/>
    <w:rsid w:val="009E6F3D"/>
    <w:rsid w:val="009E78AC"/>
    <w:rsid w:val="009E78F0"/>
    <w:rsid w:val="009E7E58"/>
    <w:rsid w:val="009F07A8"/>
    <w:rsid w:val="009F07D8"/>
    <w:rsid w:val="009F0E46"/>
    <w:rsid w:val="009F6D5E"/>
    <w:rsid w:val="009F725C"/>
    <w:rsid w:val="00A01234"/>
    <w:rsid w:val="00A01492"/>
    <w:rsid w:val="00A016DC"/>
    <w:rsid w:val="00A02776"/>
    <w:rsid w:val="00A03E30"/>
    <w:rsid w:val="00A03FA3"/>
    <w:rsid w:val="00A04250"/>
    <w:rsid w:val="00A0453B"/>
    <w:rsid w:val="00A04A9F"/>
    <w:rsid w:val="00A0545D"/>
    <w:rsid w:val="00A06E12"/>
    <w:rsid w:val="00A06F38"/>
    <w:rsid w:val="00A07DDF"/>
    <w:rsid w:val="00A10873"/>
    <w:rsid w:val="00A10AC2"/>
    <w:rsid w:val="00A10B8E"/>
    <w:rsid w:val="00A1128B"/>
    <w:rsid w:val="00A1171C"/>
    <w:rsid w:val="00A11B94"/>
    <w:rsid w:val="00A13EF1"/>
    <w:rsid w:val="00A16C2A"/>
    <w:rsid w:val="00A16CD3"/>
    <w:rsid w:val="00A17E14"/>
    <w:rsid w:val="00A20DD3"/>
    <w:rsid w:val="00A2178E"/>
    <w:rsid w:val="00A22C72"/>
    <w:rsid w:val="00A2462D"/>
    <w:rsid w:val="00A248A5"/>
    <w:rsid w:val="00A24C72"/>
    <w:rsid w:val="00A2512F"/>
    <w:rsid w:val="00A26775"/>
    <w:rsid w:val="00A26A87"/>
    <w:rsid w:val="00A27B13"/>
    <w:rsid w:val="00A27B94"/>
    <w:rsid w:val="00A30455"/>
    <w:rsid w:val="00A32143"/>
    <w:rsid w:val="00A32A33"/>
    <w:rsid w:val="00A32A45"/>
    <w:rsid w:val="00A32FE8"/>
    <w:rsid w:val="00A332EA"/>
    <w:rsid w:val="00A333CB"/>
    <w:rsid w:val="00A33CC6"/>
    <w:rsid w:val="00A3405E"/>
    <w:rsid w:val="00A344A3"/>
    <w:rsid w:val="00A35548"/>
    <w:rsid w:val="00A35F85"/>
    <w:rsid w:val="00A3651C"/>
    <w:rsid w:val="00A37F77"/>
    <w:rsid w:val="00A37FAF"/>
    <w:rsid w:val="00A414A2"/>
    <w:rsid w:val="00A42378"/>
    <w:rsid w:val="00A438E2"/>
    <w:rsid w:val="00A44E9C"/>
    <w:rsid w:val="00A44E9F"/>
    <w:rsid w:val="00A46CE0"/>
    <w:rsid w:val="00A46ECB"/>
    <w:rsid w:val="00A46F20"/>
    <w:rsid w:val="00A5122D"/>
    <w:rsid w:val="00A5123E"/>
    <w:rsid w:val="00A516CB"/>
    <w:rsid w:val="00A520D2"/>
    <w:rsid w:val="00A52790"/>
    <w:rsid w:val="00A52C62"/>
    <w:rsid w:val="00A53619"/>
    <w:rsid w:val="00A53DFF"/>
    <w:rsid w:val="00A53EB2"/>
    <w:rsid w:val="00A54CD3"/>
    <w:rsid w:val="00A55E03"/>
    <w:rsid w:val="00A5614E"/>
    <w:rsid w:val="00A56CF9"/>
    <w:rsid w:val="00A57073"/>
    <w:rsid w:val="00A575AE"/>
    <w:rsid w:val="00A61078"/>
    <w:rsid w:val="00A61985"/>
    <w:rsid w:val="00A62512"/>
    <w:rsid w:val="00A63853"/>
    <w:rsid w:val="00A63D62"/>
    <w:rsid w:val="00A6416F"/>
    <w:rsid w:val="00A650E3"/>
    <w:rsid w:val="00A65299"/>
    <w:rsid w:val="00A65D09"/>
    <w:rsid w:val="00A67F66"/>
    <w:rsid w:val="00A706A4"/>
    <w:rsid w:val="00A70878"/>
    <w:rsid w:val="00A70E8F"/>
    <w:rsid w:val="00A717B8"/>
    <w:rsid w:val="00A722B0"/>
    <w:rsid w:val="00A735BF"/>
    <w:rsid w:val="00A73E02"/>
    <w:rsid w:val="00A7407D"/>
    <w:rsid w:val="00A746E7"/>
    <w:rsid w:val="00A74FB2"/>
    <w:rsid w:val="00A754D4"/>
    <w:rsid w:val="00A75774"/>
    <w:rsid w:val="00A77D48"/>
    <w:rsid w:val="00A81595"/>
    <w:rsid w:val="00A8323D"/>
    <w:rsid w:val="00A834B8"/>
    <w:rsid w:val="00A83EB4"/>
    <w:rsid w:val="00A84230"/>
    <w:rsid w:val="00A8611D"/>
    <w:rsid w:val="00A86F1A"/>
    <w:rsid w:val="00A8743A"/>
    <w:rsid w:val="00A9159F"/>
    <w:rsid w:val="00A9236B"/>
    <w:rsid w:val="00A924B2"/>
    <w:rsid w:val="00A9275F"/>
    <w:rsid w:val="00A93764"/>
    <w:rsid w:val="00A93921"/>
    <w:rsid w:val="00A93996"/>
    <w:rsid w:val="00A93F86"/>
    <w:rsid w:val="00A94088"/>
    <w:rsid w:val="00A94119"/>
    <w:rsid w:val="00A94285"/>
    <w:rsid w:val="00A96322"/>
    <w:rsid w:val="00A965BE"/>
    <w:rsid w:val="00A96DE9"/>
    <w:rsid w:val="00A97CEC"/>
    <w:rsid w:val="00AA0181"/>
    <w:rsid w:val="00AA07A7"/>
    <w:rsid w:val="00AA1DED"/>
    <w:rsid w:val="00AA20C9"/>
    <w:rsid w:val="00AA2141"/>
    <w:rsid w:val="00AA2E4D"/>
    <w:rsid w:val="00AA34A6"/>
    <w:rsid w:val="00AA50D8"/>
    <w:rsid w:val="00AA5524"/>
    <w:rsid w:val="00AA5A8E"/>
    <w:rsid w:val="00AA6D8B"/>
    <w:rsid w:val="00AA715E"/>
    <w:rsid w:val="00AB04F9"/>
    <w:rsid w:val="00AB14BD"/>
    <w:rsid w:val="00AB60DD"/>
    <w:rsid w:val="00AB6974"/>
    <w:rsid w:val="00AB6C15"/>
    <w:rsid w:val="00AB7742"/>
    <w:rsid w:val="00AC2306"/>
    <w:rsid w:val="00AC2C01"/>
    <w:rsid w:val="00AC2CFD"/>
    <w:rsid w:val="00AC39EC"/>
    <w:rsid w:val="00AC629C"/>
    <w:rsid w:val="00AC6E54"/>
    <w:rsid w:val="00AD090A"/>
    <w:rsid w:val="00AD1AAD"/>
    <w:rsid w:val="00AD2B5D"/>
    <w:rsid w:val="00AD421A"/>
    <w:rsid w:val="00AD44CF"/>
    <w:rsid w:val="00AD4ABE"/>
    <w:rsid w:val="00AD4C58"/>
    <w:rsid w:val="00AD586E"/>
    <w:rsid w:val="00AD666F"/>
    <w:rsid w:val="00AD687A"/>
    <w:rsid w:val="00AD68D8"/>
    <w:rsid w:val="00AD6DC4"/>
    <w:rsid w:val="00AD6E17"/>
    <w:rsid w:val="00AD7D1D"/>
    <w:rsid w:val="00AE05B0"/>
    <w:rsid w:val="00AE0A56"/>
    <w:rsid w:val="00AE0E49"/>
    <w:rsid w:val="00AE23F9"/>
    <w:rsid w:val="00AE3D3E"/>
    <w:rsid w:val="00AE5335"/>
    <w:rsid w:val="00AE6ABB"/>
    <w:rsid w:val="00AE72C3"/>
    <w:rsid w:val="00AF042C"/>
    <w:rsid w:val="00AF0A9F"/>
    <w:rsid w:val="00AF0EB2"/>
    <w:rsid w:val="00AF0F32"/>
    <w:rsid w:val="00AF197F"/>
    <w:rsid w:val="00AF1E6A"/>
    <w:rsid w:val="00AF3340"/>
    <w:rsid w:val="00AF51BC"/>
    <w:rsid w:val="00AF54DF"/>
    <w:rsid w:val="00AF5EFE"/>
    <w:rsid w:val="00B00569"/>
    <w:rsid w:val="00B00C37"/>
    <w:rsid w:val="00B01280"/>
    <w:rsid w:val="00B021F1"/>
    <w:rsid w:val="00B07898"/>
    <w:rsid w:val="00B10116"/>
    <w:rsid w:val="00B10262"/>
    <w:rsid w:val="00B11490"/>
    <w:rsid w:val="00B11D6C"/>
    <w:rsid w:val="00B12034"/>
    <w:rsid w:val="00B13A0A"/>
    <w:rsid w:val="00B150CE"/>
    <w:rsid w:val="00B15710"/>
    <w:rsid w:val="00B1649F"/>
    <w:rsid w:val="00B16CFC"/>
    <w:rsid w:val="00B17977"/>
    <w:rsid w:val="00B206C1"/>
    <w:rsid w:val="00B218A9"/>
    <w:rsid w:val="00B21BC3"/>
    <w:rsid w:val="00B21F76"/>
    <w:rsid w:val="00B22DB4"/>
    <w:rsid w:val="00B23D01"/>
    <w:rsid w:val="00B30700"/>
    <w:rsid w:val="00B31641"/>
    <w:rsid w:val="00B31FC0"/>
    <w:rsid w:val="00B321BE"/>
    <w:rsid w:val="00B33A4D"/>
    <w:rsid w:val="00B33B97"/>
    <w:rsid w:val="00B3400E"/>
    <w:rsid w:val="00B3403E"/>
    <w:rsid w:val="00B3407C"/>
    <w:rsid w:val="00B35A43"/>
    <w:rsid w:val="00B35AA0"/>
    <w:rsid w:val="00B36610"/>
    <w:rsid w:val="00B3743E"/>
    <w:rsid w:val="00B40A77"/>
    <w:rsid w:val="00B4230A"/>
    <w:rsid w:val="00B44E4F"/>
    <w:rsid w:val="00B45C6A"/>
    <w:rsid w:val="00B46197"/>
    <w:rsid w:val="00B469A1"/>
    <w:rsid w:val="00B50EA0"/>
    <w:rsid w:val="00B50FAD"/>
    <w:rsid w:val="00B52AD7"/>
    <w:rsid w:val="00B52C76"/>
    <w:rsid w:val="00B56B6E"/>
    <w:rsid w:val="00B57366"/>
    <w:rsid w:val="00B60463"/>
    <w:rsid w:val="00B60BAD"/>
    <w:rsid w:val="00B610BD"/>
    <w:rsid w:val="00B61BA6"/>
    <w:rsid w:val="00B62480"/>
    <w:rsid w:val="00B6273D"/>
    <w:rsid w:val="00B64794"/>
    <w:rsid w:val="00B64DA4"/>
    <w:rsid w:val="00B64EA6"/>
    <w:rsid w:val="00B654ED"/>
    <w:rsid w:val="00B66641"/>
    <w:rsid w:val="00B67264"/>
    <w:rsid w:val="00B673D1"/>
    <w:rsid w:val="00B67600"/>
    <w:rsid w:val="00B6797B"/>
    <w:rsid w:val="00B67A94"/>
    <w:rsid w:val="00B67F35"/>
    <w:rsid w:val="00B711D2"/>
    <w:rsid w:val="00B71B93"/>
    <w:rsid w:val="00B725B1"/>
    <w:rsid w:val="00B72FFF"/>
    <w:rsid w:val="00B7308A"/>
    <w:rsid w:val="00B7349F"/>
    <w:rsid w:val="00B7388C"/>
    <w:rsid w:val="00B73F49"/>
    <w:rsid w:val="00B7408F"/>
    <w:rsid w:val="00B747FB"/>
    <w:rsid w:val="00B75DB6"/>
    <w:rsid w:val="00B763F4"/>
    <w:rsid w:val="00B76888"/>
    <w:rsid w:val="00B82FDF"/>
    <w:rsid w:val="00B83BB5"/>
    <w:rsid w:val="00B86EDD"/>
    <w:rsid w:val="00B87A85"/>
    <w:rsid w:val="00B902DE"/>
    <w:rsid w:val="00B9089B"/>
    <w:rsid w:val="00B91D9C"/>
    <w:rsid w:val="00B92F16"/>
    <w:rsid w:val="00B93631"/>
    <w:rsid w:val="00B94871"/>
    <w:rsid w:val="00B94FB4"/>
    <w:rsid w:val="00B9630A"/>
    <w:rsid w:val="00B96E97"/>
    <w:rsid w:val="00B96F1F"/>
    <w:rsid w:val="00B9795D"/>
    <w:rsid w:val="00BA09C4"/>
    <w:rsid w:val="00BA1919"/>
    <w:rsid w:val="00BA200A"/>
    <w:rsid w:val="00BA2235"/>
    <w:rsid w:val="00BA2903"/>
    <w:rsid w:val="00BA3018"/>
    <w:rsid w:val="00BA3D7D"/>
    <w:rsid w:val="00BA4208"/>
    <w:rsid w:val="00BA4F63"/>
    <w:rsid w:val="00BA59C6"/>
    <w:rsid w:val="00BA64D7"/>
    <w:rsid w:val="00BA6712"/>
    <w:rsid w:val="00BA6B04"/>
    <w:rsid w:val="00BA728F"/>
    <w:rsid w:val="00BA7D4B"/>
    <w:rsid w:val="00BB3849"/>
    <w:rsid w:val="00BB3A73"/>
    <w:rsid w:val="00BB52AD"/>
    <w:rsid w:val="00BB5832"/>
    <w:rsid w:val="00BB6695"/>
    <w:rsid w:val="00BB6F23"/>
    <w:rsid w:val="00BB70D1"/>
    <w:rsid w:val="00BC1363"/>
    <w:rsid w:val="00BC2128"/>
    <w:rsid w:val="00BC33C9"/>
    <w:rsid w:val="00BC3699"/>
    <w:rsid w:val="00BC3DB1"/>
    <w:rsid w:val="00BC4852"/>
    <w:rsid w:val="00BC65AA"/>
    <w:rsid w:val="00BC6991"/>
    <w:rsid w:val="00BC69BE"/>
    <w:rsid w:val="00BC6F88"/>
    <w:rsid w:val="00BD137F"/>
    <w:rsid w:val="00BD29C0"/>
    <w:rsid w:val="00BD4153"/>
    <w:rsid w:val="00BD4513"/>
    <w:rsid w:val="00BD7286"/>
    <w:rsid w:val="00BD7917"/>
    <w:rsid w:val="00BD7FC9"/>
    <w:rsid w:val="00BE0332"/>
    <w:rsid w:val="00BE10CF"/>
    <w:rsid w:val="00BE12E8"/>
    <w:rsid w:val="00BE334D"/>
    <w:rsid w:val="00BE50C0"/>
    <w:rsid w:val="00BE6210"/>
    <w:rsid w:val="00BE6803"/>
    <w:rsid w:val="00BE681A"/>
    <w:rsid w:val="00BE7CAF"/>
    <w:rsid w:val="00BF00AF"/>
    <w:rsid w:val="00BF0195"/>
    <w:rsid w:val="00BF0317"/>
    <w:rsid w:val="00BF0A78"/>
    <w:rsid w:val="00BF0EC6"/>
    <w:rsid w:val="00BF1C59"/>
    <w:rsid w:val="00BF3BDF"/>
    <w:rsid w:val="00BF3ED1"/>
    <w:rsid w:val="00BF4273"/>
    <w:rsid w:val="00BF4811"/>
    <w:rsid w:val="00BF56BC"/>
    <w:rsid w:val="00BF573B"/>
    <w:rsid w:val="00BF6213"/>
    <w:rsid w:val="00BF68B5"/>
    <w:rsid w:val="00BF70B0"/>
    <w:rsid w:val="00C00567"/>
    <w:rsid w:val="00C00973"/>
    <w:rsid w:val="00C0176F"/>
    <w:rsid w:val="00C01BBF"/>
    <w:rsid w:val="00C02323"/>
    <w:rsid w:val="00C02C8B"/>
    <w:rsid w:val="00C02CE7"/>
    <w:rsid w:val="00C031DB"/>
    <w:rsid w:val="00C03AF3"/>
    <w:rsid w:val="00C044AF"/>
    <w:rsid w:val="00C0501C"/>
    <w:rsid w:val="00C05020"/>
    <w:rsid w:val="00C052CE"/>
    <w:rsid w:val="00C05595"/>
    <w:rsid w:val="00C05A3A"/>
    <w:rsid w:val="00C076E9"/>
    <w:rsid w:val="00C1065F"/>
    <w:rsid w:val="00C10F60"/>
    <w:rsid w:val="00C11BB4"/>
    <w:rsid w:val="00C11C4F"/>
    <w:rsid w:val="00C11C6A"/>
    <w:rsid w:val="00C1279C"/>
    <w:rsid w:val="00C138D2"/>
    <w:rsid w:val="00C157C5"/>
    <w:rsid w:val="00C16F77"/>
    <w:rsid w:val="00C1738A"/>
    <w:rsid w:val="00C21FA5"/>
    <w:rsid w:val="00C21FEC"/>
    <w:rsid w:val="00C22608"/>
    <w:rsid w:val="00C22814"/>
    <w:rsid w:val="00C229D1"/>
    <w:rsid w:val="00C23691"/>
    <w:rsid w:val="00C23813"/>
    <w:rsid w:val="00C24656"/>
    <w:rsid w:val="00C24948"/>
    <w:rsid w:val="00C26CB0"/>
    <w:rsid w:val="00C27414"/>
    <w:rsid w:val="00C2743B"/>
    <w:rsid w:val="00C30D70"/>
    <w:rsid w:val="00C31225"/>
    <w:rsid w:val="00C315A7"/>
    <w:rsid w:val="00C32240"/>
    <w:rsid w:val="00C33676"/>
    <w:rsid w:val="00C34824"/>
    <w:rsid w:val="00C34D5D"/>
    <w:rsid w:val="00C36051"/>
    <w:rsid w:val="00C3702B"/>
    <w:rsid w:val="00C3726B"/>
    <w:rsid w:val="00C375E6"/>
    <w:rsid w:val="00C37D10"/>
    <w:rsid w:val="00C37E89"/>
    <w:rsid w:val="00C40034"/>
    <w:rsid w:val="00C40AA3"/>
    <w:rsid w:val="00C43810"/>
    <w:rsid w:val="00C43BF5"/>
    <w:rsid w:val="00C43E0F"/>
    <w:rsid w:val="00C44BB3"/>
    <w:rsid w:val="00C44D85"/>
    <w:rsid w:val="00C4528D"/>
    <w:rsid w:val="00C45449"/>
    <w:rsid w:val="00C46D14"/>
    <w:rsid w:val="00C46FFB"/>
    <w:rsid w:val="00C473C1"/>
    <w:rsid w:val="00C47BED"/>
    <w:rsid w:val="00C5012B"/>
    <w:rsid w:val="00C50B38"/>
    <w:rsid w:val="00C51E57"/>
    <w:rsid w:val="00C522E0"/>
    <w:rsid w:val="00C543F3"/>
    <w:rsid w:val="00C543FF"/>
    <w:rsid w:val="00C55D39"/>
    <w:rsid w:val="00C55EFB"/>
    <w:rsid w:val="00C56331"/>
    <w:rsid w:val="00C56BB9"/>
    <w:rsid w:val="00C60AF8"/>
    <w:rsid w:val="00C60C5E"/>
    <w:rsid w:val="00C61EB8"/>
    <w:rsid w:val="00C629C7"/>
    <w:rsid w:val="00C62BE8"/>
    <w:rsid w:val="00C62BFD"/>
    <w:rsid w:val="00C63656"/>
    <w:rsid w:val="00C643DF"/>
    <w:rsid w:val="00C64C01"/>
    <w:rsid w:val="00C64F99"/>
    <w:rsid w:val="00C666D3"/>
    <w:rsid w:val="00C669A4"/>
    <w:rsid w:val="00C66CCC"/>
    <w:rsid w:val="00C70A38"/>
    <w:rsid w:val="00C70DF7"/>
    <w:rsid w:val="00C726BE"/>
    <w:rsid w:val="00C73367"/>
    <w:rsid w:val="00C742F9"/>
    <w:rsid w:val="00C744BC"/>
    <w:rsid w:val="00C74D87"/>
    <w:rsid w:val="00C750D0"/>
    <w:rsid w:val="00C751AB"/>
    <w:rsid w:val="00C768A5"/>
    <w:rsid w:val="00C76ADB"/>
    <w:rsid w:val="00C76D98"/>
    <w:rsid w:val="00C81F22"/>
    <w:rsid w:val="00C82059"/>
    <w:rsid w:val="00C82916"/>
    <w:rsid w:val="00C82CBA"/>
    <w:rsid w:val="00C830AC"/>
    <w:rsid w:val="00C854E1"/>
    <w:rsid w:val="00C857C0"/>
    <w:rsid w:val="00C8606B"/>
    <w:rsid w:val="00C8648B"/>
    <w:rsid w:val="00C864F5"/>
    <w:rsid w:val="00C8728F"/>
    <w:rsid w:val="00C87F16"/>
    <w:rsid w:val="00C903C8"/>
    <w:rsid w:val="00C91B11"/>
    <w:rsid w:val="00C922B7"/>
    <w:rsid w:val="00C947E7"/>
    <w:rsid w:val="00C95DAB"/>
    <w:rsid w:val="00C96776"/>
    <w:rsid w:val="00C977AE"/>
    <w:rsid w:val="00C978EF"/>
    <w:rsid w:val="00C97B3E"/>
    <w:rsid w:val="00CA051D"/>
    <w:rsid w:val="00CA07C2"/>
    <w:rsid w:val="00CA2449"/>
    <w:rsid w:val="00CA2F7A"/>
    <w:rsid w:val="00CA4872"/>
    <w:rsid w:val="00CA5F63"/>
    <w:rsid w:val="00CA6CE7"/>
    <w:rsid w:val="00CA7CDA"/>
    <w:rsid w:val="00CB007F"/>
    <w:rsid w:val="00CB172F"/>
    <w:rsid w:val="00CB311E"/>
    <w:rsid w:val="00CB421B"/>
    <w:rsid w:val="00CB561A"/>
    <w:rsid w:val="00CB591B"/>
    <w:rsid w:val="00CB61E1"/>
    <w:rsid w:val="00CB6473"/>
    <w:rsid w:val="00CB72E5"/>
    <w:rsid w:val="00CC09C5"/>
    <w:rsid w:val="00CC15E7"/>
    <w:rsid w:val="00CC4A63"/>
    <w:rsid w:val="00CC4AA1"/>
    <w:rsid w:val="00CC5A10"/>
    <w:rsid w:val="00CD046F"/>
    <w:rsid w:val="00CD1ACF"/>
    <w:rsid w:val="00CD1D5E"/>
    <w:rsid w:val="00CD1FA8"/>
    <w:rsid w:val="00CD3507"/>
    <w:rsid w:val="00CD39E5"/>
    <w:rsid w:val="00CD4D1C"/>
    <w:rsid w:val="00CD5136"/>
    <w:rsid w:val="00CD608B"/>
    <w:rsid w:val="00CD6252"/>
    <w:rsid w:val="00CD6B5E"/>
    <w:rsid w:val="00CD6B8F"/>
    <w:rsid w:val="00CD78FA"/>
    <w:rsid w:val="00CE02F4"/>
    <w:rsid w:val="00CE0B82"/>
    <w:rsid w:val="00CE1CB4"/>
    <w:rsid w:val="00CE2DFC"/>
    <w:rsid w:val="00CE34FE"/>
    <w:rsid w:val="00CE3A0E"/>
    <w:rsid w:val="00CE3EAF"/>
    <w:rsid w:val="00CE4136"/>
    <w:rsid w:val="00CE42CC"/>
    <w:rsid w:val="00CE4C00"/>
    <w:rsid w:val="00CE5590"/>
    <w:rsid w:val="00CE63F2"/>
    <w:rsid w:val="00CE648A"/>
    <w:rsid w:val="00CE79DE"/>
    <w:rsid w:val="00CE7C95"/>
    <w:rsid w:val="00CF1646"/>
    <w:rsid w:val="00CF19E1"/>
    <w:rsid w:val="00CF38DB"/>
    <w:rsid w:val="00CF3913"/>
    <w:rsid w:val="00CF442B"/>
    <w:rsid w:val="00CF511C"/>
    <w:rsid w:val="00CF5226"/>
    <w:rsid w:val="00CF5871"/>
    <w:rsid w:val="00CF5EE9"/>
    <w:rsid w:val="00CF670E"/>
    <w:rsid w:val="00CF67EB"/>
    <w:rsid w:val="00CF6F22"/>
    <w:rsid w:val="00CF7B36"/>
    <w:rsid w:val="00D0008B"/>
    <w:rsid w:val="00D0017B"/>
    <w:rsid w:val="00D00B74"/>
    <w:rsid w:val="00D015D9"/>
    <w:rsid w:val="00D01826"/>
    <w:rsid w:val="00D01E95"/>
    <w:rsid w:val="00D02AC5"/>
    <w:rsid w:val="00D04720"/>
    <w:rsid w:val="00D070C0"/>
    <w:rsid w:val="00D0731D"/>
    <w:rsid w:val="00D07A4A"/>
    <w:rsid w:val="00D1058B"/>
    <w:rsid w:val="00D10838"/>
    <w:rsid w:val="00D10BC0"/>
    <w:rsid w:val="00D10E0E"/>
    <w:rsid w:val="00D11D73"/>
    <w:rsid w:val="00D11DA0"/>
    <w:rsid w:val="00D11EEF"/>
    <w:rsid w:val="00D12924"/>
    <w:rsid w:val="00D15430"/>
    <w:rsid w:val="00D15BAE"/>
    <w:rsid w:val="00D15C25"/>
    <w:rsid w:val="00D17DB1"/>
    <w:rsid w:val="00D17F1A"/>
    <w:rsid w:val="00D2034E"/>
    <w:rsid w:val="00D22666"/>
    <w:rsid w:val="00D22699"/>
    <w:rsid w:val="00D239DF"/>
    <w:rsid w:val="00D2444F"/>
    <w:rsid w:val="00D24A81"/>
    <w:rsid w:val="00D254B4"/>
    <w:rsid w:val="00D26C50"/>
    <w:rsid w:val="00D26FF0"/>
    <w:rsid w:val="00D27094"/>
    <w:rsid w:val="00D301D1"/>
    <w:rsid w:val="00D310EF"/>
    <w:rsid w:val="00D32B10"/>
    <w:rsid w:val="00D33326"/>
    <w:rsid w:val="00D3399D"/>
    <w:rsid w:val="00D33BF0"/>
    <w:rsid w:val="00D34972"/>
    <w:rsid w:val="00D34FC3"/>
    <w:rsid w:val="00D3639D"/>
    <w:rsid w:val="00D363E1"/>
    <w:rsid w:val="00D372B4"/>
    <w:rsid w:val="00D4029F"/>
    <w:rsid w:val="00D42AB7"/>
    <w:rsid w:val="00D42B69"/>
    <w:rsid w:val="00D4342B"/>
    <w:rsid w:val="00D4365B"/>
    <w:rsid w:val="00D43DC4"/>
    <w:rsid w:val="00D45097"/>
    <w:rsid w:val="00D46F8A"/>
    <w:rsid w:val="00D47E24"/>
    <w:rsid w:val="00D52262"/>
    <w:rsid w:val="00D522E9"/>
    <w:rsid w:val="00D53630"/>
    <w:rsid w:val="00D53A8A"/>
    <w:rsid w:val="00D53ADB"/>
    <w:rsid w:val="00D53B06"/>
    <w:rsid w:val="00D5428F"/>
    <w:rsid w:val="00D547E2"/>
    <w:rsid w:val="00D56123"/>
    <w:rsid w:val="00D562D4"/>
    <w:rsid w:val="00D57C8E"/>
    <w:rsid w:val="00D62345"/>
    <w:rsid w:val="00D6243A"/>
    <w:rsid w:val="00D63A98"/>
    <w:rsid w:val="00D64171"/>
    <w:rsid w:val="00D65D9D"/>
    <w:rsid w:val="00D65E2F"/>
    <w:rsid w:val="00D66D0A"/>
    <w:rsid w:val="00D66F0C"/>
    <w:rsid w:val="00D66F6A"/>
    <w:rsid w:val="00D67ADC"/>
    <w:rsid w:val="00D67CBB"/>
    <w:rsid w:val="00D708B5"/>
    <w:rsid w:val="00D71790"/>
    <w:rsid w:val="00D71CB1"/>
    <w:rsid w:val="00D724DD"/>
    <w:rsid w:val="00D72685"/>
    <w:rsid w:val="00D726B9"/>
    <w:rsid w:val="00D727B8"/>
    <w:rsid w:val="00D72CB0"/>
    <w:rsid w:val="00D72EC4"/>
    <w:rsid w:val="00D7302A"/>
    <w:rsid w:val="00D738F6"/>
    <w:rsid w:val="00D73D34"/>
    <w:rsid w:val="00D74BB3"/>
    <w:rsid w:val="00D75375"/>
    <w:rsid w:val="00D7546E"/>
    <w:rsid w:val="00D75FB3"/>
    <w:rsid w:val="00D76FB7"/>
    <w:rsid w:val="00D77C88"/>
    <w:rsid w:val="00D77D58"/>
    <w:rsid w:val="00D807BB"/>
    <w:rsid w:val="00D8089A"/>
    <w:rsid w:val="00D811C2"/>
    <w:rsid w:val="00D81ADD"/>
    <w:rsid w:val="00D82157"/>
    <w:rsid w:val="00D8475A"/>
    <w:rsid w:val="00D84C60"/>
    <w:rsid w:val="00D85B38"/>
    <w:rsid w:val="00D8624A"/>
    <w:rsid w:val="00D86BDD"/>
    <w:rsid w:val="00D876E3"/>
    <w:rsid w:val="00D90579"/>
    <w:rsid w:val="00D90D9C"/>
    <w:rsid w:val="00D93657"/>
    <w:rsid w:val="00D93694"/>
    <w:rsid w:val="00D941E8"/>
    <w:rsid w:val="00D94C30"/>
    <w:rsid w:val="00D95552"/>
    <w:rsid w:val="00D96329"/>
    <w:rsid w:val="00D963F2"/>
    <w:rsid w:val="00D976FA"/>
    <w:rsid w:val="00D97DE7"/>
    <w:rsid w:val="00DA0DB4"/>
    <w:rsid w:val="00DA1345"/>
    <w:rsid w:val="00DA19F8"/>
    <w:rsid w:val="00DA2F1A"/>
    <w:rsid w:val="00DA4D2C"/>
    <w:rsid w:val="00DA54E9"/>
    <w:rsid w:val="00DA6709"/>
    <w:rsid w:val="00DA6811"/>
    <w:rsid w:val="00DA6966"/>
    <w:rsid w:val="00DA72C6"/>
    <w:rsid w:val="00DA7BFD"/>
    <w:rsid w:val="00DB1F26"/>
    <w:rsid w:val="00DB210C"/>
    <w:rsid w:val="00DB2EA6"/>
    <w:rsid w:val="00DB36FF"/>
    <w:rsid w:val="00DB3F37"/>
    <w:rsid w:val="00DB4006"/>
    <w:rsid w:val="00DB4106"/>
    <w:rsid w:val="00DB546A"/>
    <w:rsid w:val="00DB6168"/>
    <w:rsid w:val="00DB6F41"/>
    <w:rsid w:val="00DC08F4"/>
    <w:rsid w:val="00DC2884"/>
    <w:rsid w:val="00DC5949"/>
    <w:rsid w:val="00DC5A7E"/>
    <w:rsid w:val="00DC6725"/>
    <w:rsid w:val="00DC764F"/>
    <w:rsid w:val="00DC7F28"/>
    <w:rsid w:val="00DD04AC"/>
    <w:rsid w:val="00DD1F88"/>
    <w:rsid w:val="00DD224B"/>
    <w:rsid w:val="00DD2EC4"/>
    <w:rsid w:val="00DD32CA"/>
    <w:rsid w:val="00DD6306"/>
    <w:rsid w:val="00DD6963"/>
    <w:rsid w:val="00DD6DA7"/>
    <w:rsid w:val="00DE0D86"/>
    <w:rsid w:val="00DE0DBD"/>
    <w:rsid w:val="00DE106F"/>
    <w:rsid w:val="00DE14A8"/>
    <w:rsid w:val="00DE1F9B"/>
    <w:rsid w:val="00DE2312"/>
    <w:rsid w:val="00DE2DC2"/>
    <w:rsid w:val="00DE2E40"/>
    <w:rsid w:val="00DE326A"/>
    <w:rsid w:val="00DE34B7"/>
    <w:rsid w:val="00DE38AF"/>
    <w:rsid w:val="00DE4C1B"/>
    <w:rsid w:val="00DE5AA8"/>
    <w:rsid w:val="00DE6647"/>
    <w:rsid w:val="00DE7691"/>
    <w:rsid w:val="00DF0773"/>
    <w:rsid w:val="00DF0871"/>
    <w:rsid w:val="00DF2041"/>
    <w:rsid w:val="00DF4319"/>
    <w:rsid w:val="00DF4FCD"/>
    <w:rsid w:val="00DF600C"/>
    <w:rsid w:val="00DF68E4"/>
    <w:rsid w:val="00DF6D98"/>
    <w:rsid w:val="00DF6F35"/>
    <w:rsid w:val="00DF709A"/>
    <w:rsid w:val="00E00CB1"/>
    <w:rsid w:val="00E00E95"/>
    <w:rsid w:val="00E01A29"/>
    <w:rsid w:val="00E0223F"/>
    <w:rsid w:val="00E024DC"/>
    <w:rsid w:val="00E02B79"/>
    <w:rsid w:val="00E06771"/>
    <w:rsid w:val="00E06819"/>
    <w:rsid w:val="00E06E70"/>
    <w:rsid w:val="00E07379"/>
    <w:rsid w:val="00E110EE"/>
    <w:rsid w:val="00E12586"/>
    <w:rsid w:val="00E12B27"/>
    <w:rsid w:val="00E137F1"/>
    <w:rsid w:val="00E1388E"/>
    <w:rsid w:val="00E14838"/>
    <w:rsid w:val="00E14DF2"/>
    <w:rsid w:val="00E14E18"/>
    <w:rsid w:val="00E1547A"/>
    <w:rsid w:val="00E165FF"/>
    <w:rsid w:val="00E1771C"/>
    <w:rsid w:val="00E2061C"/>
    <w:rsid w:val="00E211BF"/>
    <w:rsid w:val="00E22ECF"/>
    <w:rsid w:val="00E2345C"/>
    <w:rsid w:val="00E23F55"/>
    <w:rsid w:val="00E240C4"/>
    <w:rsid w:val="00E24698"/>
    <w:rsid w:val="00E25EEE"/>
    <w:rsid w:val="00E262A9"/>
    <w:rsid w:val="00E27964"/>
    <w:rsid w:val="00E30B3D"/>
    <w:rsid w:val="00E30BB3"/>
    <w:rsid w:val="00E317EE"/>
    <w:rsid w:val="00E31B34"/>
    <w:rsid w:val="00E3224B"/>
    <w:rsid w:val="00E322FA"/>
    <w:rsid w:val="00E3231C"/>
    <w:rsid w:val="00E33716"/>
    <w:rsid w:val="00E341DA"/>
    <w:rsid w:val="00E35206"/>
    <w:rsid w:val="00E3551C"/>
    <w:rsid w:val="00E36F7A"/>
    <w:rsid w:val="00E41143"/>
    <w:rsid w:val="00E41D5E"/>
    <w:rsid w:val="00E429C1"/>
    <w:rsid w:val="00E467B0"/>
    <w:rsid w:val="00E47DF5"/>
    <w:rsid w:val="00E5040C"/>
    <w:rsid w:val="00E509B6"/>
    <w:rsid w:val="00E51FAF"/>
    <w:rsid w:val="00E53677"/>
    <w:rsid w:val="00E54185"/>
    <w:rsid w:val="00E54C62"/>
    <w:rsid w:val="00E56268"/>
    <w:rsid w:val="00E56EB8"/>
    <w:rsid w:val="00E5761E"/>
    <w:rsid w:val="00E6042D"/>
    <w:rsid w:val="00E60916"/>
    <w:rsid w:val="00E6146F"/>
    <w:rsid w:val="00E61EA1"/>
    <w:rsid w:val="00E62521"/>
    <w:rsid w:val="00E64340"/>
    <w:rsid w:val="00E65B23"/>
    <w:rsid w:val="00E663CB"/>
    <w:rsid w:val="00E66B1F"/>
    <w:rsid w:val="00E7156C"/>
    <w:rsid w:val="00E726EF"/>
    <w:rsid w:val="00E7365D"/>
    <w:rsid w:val="00E742C5"/>
    <w:rsid w:val="00E74BDE"/>
    <w:rsid w:val="00E7534A"/>
    <w:rsid w:val="00E7546B"/>
    <w:rsid w:val="00E761C8"/>
    <w:rsid w:val="00E765BF"/>
    <w:rsid w:val="00E779E9"/>
    <w:rsid w:val="00E80374"/>
    <w:rsid w:val="00E8094A"/>
    <w:rsid w:val="00E80C57"/>
    <w:rsid w:val="00E814D7"/>
    <w:rsid w:val="00E81903"/>
    <w:rsid w:val="00E81F3B"/>
    <w:rsid w:val="00E8203C"/>
    <w:rsid w:val="00E82542"/>
    <w:rsid w:val="00E8287E"/>
    <w:rsid w:val="00E82B49"/>
    <w:rsid w:val="00E837EE"/>
    <w:rsid w:val="00E8398A"/>
    <w:rsid w:val="00E85785"/>
    <w:rsid w:val="00E85834"/>
    <w:rsid w:val="00E85B2A"/>
    <w:rsid w:val="00E8654F"/>
    <w:rsid w:val="00E87349"/>
    <w:rsid w:val="00E87729"/>
    <w:rsid w:val="00E87CD2"/>
    <w:rsid w:val="00E90D1E"/>
    <w:rsid w:val="00E91A2B"/>
    <w:rsid w:val="00E91A7C"/>
    <w:rsid w:val="00E91F43"/>
    <w:rsid w:val="00E921A0"/>
    <w:rsid w:val="00E92790"/>
    <w:rsid w:val="00E92EC2"/>
    <w:rsid w:val="00E936BD"/>
    <w:rsid w:val="00E9496A"/>
    <w:rsid w:val="00E94AFF"/>
    <w:rsid w:val="00E958CD"/>
    <w:rsid w:val="00E95DFF"/>
    <w:rsid w:val="00E96092"/>
    <w:rsid w:val="00E964B2"/>
    <w:rsid w:val="00E9682E"/>
    <w:rsid w:val="00E96CFA"/>
    <w:rsid w:val="00E96D85"/>
    <w:rsid w:val="00E979BB"/>
    <w:rsid w:val="00EA0A4E"/>
    <w:rsid w:val="00EA15A6"/>
    <w:rsid w:val="00EA16DE"/>
    <w:rsid w:val="00EA1823"/>
    <w:rsid w:val="00EA19EC"/>
    <w:rsid w:val="00EA1D11"/>
    <w:rsid w:val="00EA339D"/>
    <w:rsid w:val="00EA43C6"/>
    <w:rsid w:val="00EA5201"/>
    <w:rsid w:val="00EA582A"/>
    <w:rsid w:val="00EA706C"/>
    <w:rsid w:val="00EB0AFE"/>
    <w:rsid w:val="00EB0D0C"/>
    <w:rsid w:val="00EB0E8F"/>
    <w:rsid w:val="00EB0EC2"/>
    <w:rsid w:val="00EB17DE"/>
    <w:rsid w:val="00EB2689"/>
    <w:rsid w:val="00EB2C7E"/>
    <w:rsid w:val="00EB33F2"/>
    <w:rsid w:val="00EB5292"/>
    <w:rsid w:val="00EB62B2"/>
    <w:rsid w:val="00EB77FB"/>
    <w:rsid w:val="00EC0433"/>
    <w:rsid w:val="00EC17F8"/>
    <w:rsid w:val="00EC1A7C"/>
    <w:rsid w:val="00EC1FA4"/>
    <w:rsid w:val="00EC276E"/>
    <w:rsid w:val="00EC2B93"/>
    <w:rsid w:val="00EC2D7C"/>
    <w:rsid w:val="00EC3226"/>
    <w:rsid w:val="00EC3261"/>
    <w:rsid w:val="00EC36BB"/>
    <w:rsid w:val="00EC4117"/>
    <w:rsid w:val="00EC49BC"/>
    <w:rsid w:val="00EC4C90"/>
    <w:rsid w:val="00EC5919"/>
    <w:rsid w:val="00EC7012"/>
    <w:rsid w:val="00EC7AE8"/>
    <w:rsid w:val="00EC7B1B"/>
    <w:rsid w:val="00ED092E"/>
    <w:rsid w:val="00ED0976"/>
    <w:rsid w:val="00ED1527"/>
    <w:rsid w:val="00ED15AD"/>
    <w:rsid w:val="00ED1C32"/>
    <w:rsid w:val="00ED1D7E"/>
    <w:rsid w:val="00ED1EB6"/>
    <w:rsid w:val="00ED2740"/>
    <w:rsid w:val="00ED2E88"/>
    <w:rsid w:val="00ED50A3"/>
    <w:rsid w:val="00ED51F7"/>
    <w:rsid w:val="00ED54F6"/>
    <w:rsid w:val="00ED5897"/>
    <w:rsid w:val="00ED6BF2"/>
    <w:rsid w:val="00ED6D67"/>
    <w:rsid w:val="00ED6F05"/>
    <w:rsid w:val="00ED6F84"/>
    <w:rsid w:val="00ED726F"/>
    <w:rsid w:val="00ED7E64"/>
    <w:rsid w:val="00ED7EC9"/>
    <w:rsid w:val="00EE010D"/>
    <w:rsid w:val="00EE16AC"/>
    <w:rsid w:val="00EE1EFF"/>
    <w:rsid w:val="00EE2DA2"/>
    <w:rsid w:val="00EE307D"/>
    <w:rsid w:val="00EE3415"/>
    <w:rsid w:val="00EE34AC"/>
    <w:rsid w:val="00EE3ED1"/>
    <w:rsid w:val="00EE4357"/>
    <w:rsid w:val="00EE4F36"/>
    <w:rsid w:val="00EE6122"/>
    <w:rsid w:val="00EE7884"/>
    <w:rsid w:val="00EF08FF"/>
    <w:rsid w:val="00EF19A0"/>
    <w:rsid w:val="00EF1E99"/>
    <w:rsid w:val="00EF521D"/>
    <w:rsid w:val="00EF547A"/>
    <w:rsid w:val="00EF5559"/>
    <w:rsid w:val="00EF5D14"/>
    <w:rsid w:val="00EF789C"/>
    <w:rsid w:val="00EF7FD2"/>
    <w:rsid w:val="00F00767"/>
    <w:rsid w:val="00F00AD3"/>
    <w:rsid w:val="00F00AED"/>
    <w:rsid w:val="00F0301E"/>
    <w:rsid w:val="00F03E0F"/>
    <w:rsid w:val="00F046FA"/>
    <w:rsid w:val="00F053A1"/>
    <w:rsid w:val="00F054BC"/>
    <w:rsid w:val="00F05754"/>
    <w:rsid w:val="00F05940"/>
    <w:rsid w:val="00F06BE3"/>
    <w:rsid w:val="00F06E22"/>
    <w:rsid w:val="00F10DD5"/>
    <w:rsid w:val="00F11220"/>
    <w:rsid w:val="00F11B9B"/>
    <w:rsid w:val="00F11BCC"/>
    <w:rsid w:val="00F127BD"/>
    <w:rsid w:val="00F12B01"/>
    <w:rsid w:val="00F12E13"/>
    <w:rsid w:val="00F12FDD"/>
    <w:rsid w:val="00F13827"/>
    <w:rsid w:val="00F13F0B"/>
    <w:rsid w:val="00F1422B"/>
    <w:rsid w:val="00F14230"/>
    <w:rsid w:val="00F14312"/>
    <w:rsid w:val="00F15130"/>
    <w:rsid w:val="00F154C1"/>
    <w:rsid w:val="00F1601D"/>
    <w:rsid w:val="00F21065"/>
    <w:rsid w:val="00F21330"/>
    <w:rsid w:val="00F21757"/>
    <w:rsid w:val="00F219C5"/>
    <w:rsid w:val="00F235C7"/>
    <w:rsid w:val="00F24189"/>
    <w:rsid w:val="00F24856"/>
    <w:rsid w:val="00F24E6C"/>
    <w:rsid w:val="00F255D9"/>
    <w:rsid w:val="00F25C8F"/>
    <w:rsid w:val="00F26334"/>
    <w:rsid w:val="00F27009"/>
    <w:rsid w:val="00F3068E"/>
    <w:rsid w:val="00F30C3B"/>
    <w:rsid w:val="00F310D7"/>
    <w:rsid w:val="00F32E3A"/>
    <w:rsid w:val="00F35067"/>
    <w:rsid w:val="00F374EF"/>
    <w:rsid w:val="00F37804"/>
    <w:rsid w:val="00F37D13"/>
    <w:rsid w:val="00F4077A"/>
    <w:rsid w:val="00F409A8"/>
    <w:rsid w:val="00F40AD1"/>
    <w:rsid w:val="00F41B41"/>
    <w:rsid w:val="00F445A8"/>
    <w:rsid w:val="00F4498E"/>
    <w:rsid w:val="00F44E07"/>
    <w:rsid w:val="00F45983"/>
    <w:rsid w:val="00F45C1A"/>
    <w:rsid w:val="00F45C5A"/>
    <w:rsid w:val="00F51A71"/>
    <w:rsid w:val="00F51AE2"/>
    <w:rsid w:val="00F52F0E"/>
    <w:rsid w:val="00F5335C"/>
    <w:rsid w:val="00F567C1"/>
    <w:rsid w:val="00F5704B"/>
    <w:rsid w:val="00F572F5"/>
    <w:rsid w:val="00F605D2"/>
    <w:rsid w:val="00F61E50"/>
    <w:rsid w:val="00F62FE4"/>
    <w:rsid w:val="00F63584"/>
    <w:rsid w:val="00F63897"/>
    <w:rsid w:val="00F63AEC"/>
    <w:rsid w:val="00F64C09"/>
    <w:rsid w:val="00F65C85"/>
    <w:rsid w:val="00F65F97"/>
    <w:rsid w:val="00F66F55"/>
    <w:rsid w:val="00F7049C"/>
    <w:rsid w:val="00F7218E"/>
    <w:rsid w:val="00F721B7"/>
    <w:rsid w:val="00F72CC4"/>
    <w:rsid w:val="00F732FA"/>
    <w:rsid w:val="00F7364E"/>
    <w:rsid w:val="00F74A3F"/>
    <w:rsid w:val="00F74AA9"/>
    <w:rsid w:val="00F75837"/>
    <w:rsid w:val="00F759E2"/>
    <w:rsid w:val="00F75BB0"/>
    <w:rsid w:val="00F762BE"/>
    <w:rsid w:val="00F76B7C"/>
    <w:rsid w:val="00F76C94"/>
    <w:rsid w:val="00F77A5C"/>
    <w:rsid w:val="00F81133"/>
    <w:rsid w:val="00F83556"/>
    <w:rsid w:val="00F83B43"/>
    <w:rsid w:val="00F8405D"/>
    <w:rsid w:val="00F841A0"/>
    <w:rsid w:val="00F84AA2"/>
    <w:rsid w:val="00F853D1"/>
    <w:rsid w:val="00F854BD"/>
    <w:rsid w:val="00F86732"/>
    <w:rsid w:val="00F87253"/>
    <w:rsid w:val="00F87F97"/>
    <w:rsid w:val="00F918CE"/>
    <w:rsid w:val="00F91A5E"/>
    <w:rsid w:val="00F91C66"/>
    <w:rsid w:val="00F9279C"/>
    <w:rsid w:val="00F9284A"/>
    <w:rsid w:val="00F92C0C"/>
    <w:rsid w:val="00F92FE2"/>
    <w:rsid w:val="00F9306A"/>
    <w:rsid w:val="00F934EC"/>
    <w:rsid w:val="00F937C4"/>
    <w:rsid w:val="00F939A6"/>
    <w:rsid w:val="00F94500"/>
    <w:rsid w:val="00F948DE"/>
    <w:rsid w:val="00F94AC0"/>
    <w:rsid w:val="00F95B90"/>
    <w:rsid w:val="00F9788B"/>
    <w:rsid w:val="00F978C1"/>
    <w:rsid w:val="00FA019C"/>
    <w:rsid w:val="00FA129E"/>
    <w:rsid w:val="00FA3792"/>
    <w:rsid w:val="00FA582D"/>
    <w:rsid w:val="00FA61C0"/>
    <w:rsid w:val="00FB0087"/>
    <w:rsid w:val="00FB00C7"/>
    <w:rsid w:val="00FB1984"/>
    <w:rsid w:val="00FB2692"/>
    <w:rsid w:val="00FB279F"/>
    <w:rsid w:val="00FB2B02"/>
    <w:rsid w:val="00FB2B81"/>
    <w:rsid w:val="00FB4D72"/>
    <w:rsid w:val="00FB53AE"/>
    <w:rsid w:val="00FC1516"/>
    <w:rsid w:val="00FC1C3F"/>
    <w:rsid w:val="00FC2439"/>
    <w:rsid w:val="00FC2DDD"/>
    <w:rsid w:val="00FC3229"/>
    <w:rsid w:val="00FC4B81"/>
    <w:rsid w:val="00FC58FE"/>
    <w:rsid w:val="00FC604E"/>
    <w:rsid w:val="00FC62AA"/>
    <w:rsid w:val="00FC6339"/>
    <w:rsid w:val="00FC6CCF"/>
    <w:rsid w:val="00FC716C"/>
    <w:rsid w:val="00FD0235"/>
    <w:rsid w:val="00FD0353"/>
    <w:rsid w:val="00FD1D02"/>
    <w:rsid w:val="00FD23DE"/>
    <w:rsid w:val="00FD243B"/>
    <w:rsid w:val="00FD2807"/>
    <w:rsid w:val="00FD332D"/>
    <w:rsid w:val="00FD3463"/>
    <w:rsid w:val="00FD38B0"/>
    <w:rsid w:val="00FD3DE1"/>
    <w:rsid w:val="00FD4B5C"/>
    <w:rsid w:val="00FD56EC"/>
    <w:rsid w:val="00FD6506"/>
    <w:rsid w:val="00FD6629"/>
    <w:rsid w:val="00FD7C61"/>
    <w:rsid w:val="00FE0840"/>
    <w:rsid w:val="00FE2ED4"/>
    <w:rsid w:val="00FE3995"/>
    <w:rsid w:val="00FE3E96"/>
    <w:rsid w:val="00FE4340"/>
    <w:rsid w:val="00FE4CD0"/>
    <w:rsid w:val="00FE55B2"/>
    <w:rsid w:val="00FE6778"/>
    <w:rsid w:val="00FE6C0B"/>
    <w:rsid w:val="00FF0747"/>
    <w:rsid w:val="00FF1E1A"/>
    <w:rsid w:val="00FF3174"/>
    <w:rsid w:val="00FF5074"/>
    <w:rsid w:val="00FF5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7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42A0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BF0317"/>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BF0317"/>
    <w:pPr>
      <w:numPr>
        <w:ilvl w:val="4"/>
        <w:numId w:val="30"/>
      </w:numPr>
      <w:tabs>
        <w:tab w:val="num" w:pos="360"/>
      </w:tabs>
    </w:pPr>
    <w:rPr>
      <w:i w:val="0"/>
    </w:rPr>
  </w:style>
  <w:style w:type="paragraph" w:customStyle="1" w:styleId="base-text-paragraph">
    <w:name w:val="base-text-paragraph"/>
    <w:basedOn w:val="Normal"/>
    <w:link w:val="base-text-paragraphChar"/>
    <w:rsid w:val="00BF0317"/>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BF0317"/>
    <w:pPr>
      <w:keepNext/>
      <w:numPr>
        <w:ilvl w:val="3"/>
        <w:numId w:val="30"/>
      </w:numPr>
      <w:tabs>
        <w:tab w:val="num" w:pos="360"/>
      </w:tabs>
      <w:ind w:left="0"/>
    </w:pPr>
    <w:rPr>
      <w:b/>
    </w:rPr>
  </w:style>
  <w:style w:type="paragraph" w:customStyle="1" w:styleId="Diagram">
    <w:name w:val="Diagram"/>
    <w:basedOn w:val="Normal"/>
    <w:next w:val="base-text-paragraphnonumbers"/>
    <w:rsid w:val="00BF0317"/>
    <w:pPr>
      <w:keepNext/>
      <w:numPr>
        <w:ilvl w:val="2"/>
        <w:numId w:val="30"/>
      </w:numPr>
      <w:tabs>
        <w:tab w:val="num" w:pos="360"/>
      </w:tabs>
      <w:spacing w:before="0" w:after="0"/>
      <w:ind w:left="0"/>
    </w:pPr>
    <w:rPr>
      <w:b/>
    </w:rPr>
  </w:style>
  <w:style w:type="paragraph" w:customStyle="1" w:styleId="dotpoint">
    <w:name w:val="dot point"/>
    <w:basedOn w:val="Normal"/>
    <w:rsid w:val="00BF0317"/>
    <w:pPr>
      <w:numPr>
        <w:numId w:val="20"/>
      </w:numPr>
    </w:pPr>
  </w:style>
  <w:style w:type="paragraph" w:customStyle="1" w:styleId="dotpoint2">
    <w:name w:val="dot point 2"/>
    <w:basedOn w:val="Normal"/>
    <w:rsid w:val="00BF0317"/>
    <w:pPr>
      <w:numPr>
        <w:ilvl w:val="1"/>
        <w:numId w:val="20"/>
      </w:numPr>
      <w:tabs>
        <w:tab w:val="clear" w:pos="2552"/>
        <w:tab w:val="num" w:pos="360"/>
      </w:tabs>
      <w:ind w:left="0"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uiPriority w:val="20"/>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uiPriority w:val="99"/>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tabs>
        <w:tab w:val="clear" w:pos="926"/>
        <w:tab w:val="num" w:pos="360"/>
      </w:tabs>
      <w:ind w:left="0" w:firstLine="0"/>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Bullet">
    <w:name w:val="Bullet"/>
    <w:basedOn w:val="Normal"/>
    <w:link w:val="BulletChar"/>
    <w:rsid w:val="00DF600C"/>
    <w:pPr>
      <w:numPr>
        <w:numId w:val="33"/>
      </w:numPr>
    </w:pPr>
  </w:style>
  <w:style w:type="character" w:customStyle="1" w:styleId="BulletChar">
    <w:name w:val="Bullet Char"/>
    <w:basedOn w:val="base-text-paragraphChar"/>
    <w:link w:val="Bullet"/>
    <w:rsid w:val="00DF600C"/>
    <w:rPr>
      <w:sz w:val="22"/>
    </w:rPr>
  </w:style>
  <w:style w:type="paragraph" w:customStyle="1" w:styleId="Dash">
    <w:name w:val="Dash"/>
    <w:basedOn w:val="Normal"/>
    <w:link w:val="DashChar"/>
    <w:rsid w:val="00DF600C"/>
    <w:pPr>
      <w:numPr>
        <w:ilvl w:val="1"/>
        <w:numId w:val="33"/>
      </w:numPr>
    </w:pPr>
  </w:style>
  <w:style w:type="character" w:customStyle="1" w:styleId="DashChar">
    <w:name w:val="Dash Char"/>
    <w:basedOn w:val="base-text-paragraphChar"/>
    <w:link w:val="Dash"/>
    <w:rsid w:val="00DF600C"/>
    <w:rPr>
      <w:sz w:val="22"/>
    </w:rPr>
  </w:style>
  <w:style w:type="paragraph" w:customStyle="1" w:styleId="DoubleDot">
    <w:name w:val="Double Dot"/>
    <w:basedOn w:val="Normal"/>
    <w:link w:val="DoubleDotChar"/>
    <w:rsid w:val="00DF600C"/>
    <w:pPr>
      <w:numPr>
        <w:ilvl w:val="2"/>
        <w:numId w:val="33"/>
      </w:numPr>
    </w:pPr>
  </w:style>
  <w:style w:type="character" w:customStyle="1" w:styleId="DoubleDotChar">
    <w:name w:val="Double Dot Char"/>
    <w:basedOn w:val="base-text-paragraphChar"/>
    <w:link w:val="DoubleDot"/>
    <w:rsid w:val="00DF600C"/>
    <w:rPr>
      <w:sz w:val="22"/>
    </w:rPr>
  </w:style>
  <w:style w:type="paragraph" w:styleId="BalloonText">
    <w:name w:val="Balloon Text"/>
    <w:basedOn w:val="Normal"/>
    <w:link w:val="BalloonTextChar"/>
    <w:rsid w:val="00DF600C"/>
    <w:pPr>
      <w:spacing w:before="0" w:after="0"/>
    </w:pPr>
    <w:rPr>
      <w:rFonts w:ascii="Tahoma" w:hAnsi="Tahoma" w:cs="Tahoma"/>
      <w:sz w:val="16"/>
      <w:szCs w:val="16"/>
    </w:rPr>
  </w:style>
  <w:style w:type="character" w:customStyle="1" w:styleId="BalloonTextChar">
    <w:name w:val="Balloon Text Char"/>
    <w:basedOn w:val="DefaultParagraphFont"/>
    <w:link w:val="BalloonText"/>
    <w:rsid w:val="00DF600C"/>
    <w:rPr>
      <w:rFonts w:ascii="Tahoma" w:hAnsi="Tahoma" w:cs="Tahoma"/>
      <w:sz w:val="16"/>
      <w:szCs w:val="16"/>
    </w:rPr>
  </w:style>
  <w:style w:type="character" w:styleId="CommentReference">
    <w:name w:val="annotation reference"/>
    <w:basedOn w:val="DefaultParagraphFont"/>
    <w:rsid w:val="00DF600C"/>
    <w:rPr>
      <w:sz w:val="16"/>
      <w:szCs w:val="16"/>
    </w:rPr>
  </w:style>
  <w:style w:type="paragraph" w:styleId="CommentText">
    <w:name w:val="annotation text"/>
    <w:basedOn w:val="Normal"/>
    <w:link w:val="CommentTextChar"/>
    <w:rsid w:val="00DF600C"/>
    <w:rPr>
      <w:sz w:val="20"/>
    </w:rPr>
  </w:style>
  <w:style w:type="character" w:customStyle="1" w:styleId="CommentTextChar">
    <w:name w:val="Comment Text Char"/>
    <w:basedOn w:val="DefaultParagraphFont"/>
    <w:link w:val="CommentText"/>
    <w:rsid w:val="00DF600C"/>
  </w:style>
  <w:style w:type="paragraph" w:styleId="CommentSubject">
    <w:name w:val="annotation subject"/>
    <w:basedOn w:val="CommentText"/>
    <w:next w:val="CommentText"/>
    <w:link w:val="CommentSubjectChar"/>
    <w:rsid w:val="00DF600C"/>
    <w:rPr>
      <w:b/>
      <w:bCs/>
    </w:rPr>
  </w:style>
  <w:style w:type="character" w:customStyle="1" w:styleId="CommentSubjectChar">
    <w:name w:val="Comment Subject Char"/>
    <w:basedOn w:val="CommentTextChar"/>
    <w:link w:val="CommentSubject"/>
    <w:rsid w:val="00DF600C"/>
    <w:rPr>
      <w:b/>
      <w:bCs/>
    </w:rPr>
  </w:style>
  <w:style w:type="paragraph" w:styleId="Revision">
    <w:name w:val="Revision"/>
    <w:hidden/>
    <w:uiPriority w:val="99"/>
    <w:semiHidden/>
    <w:rsid w:val="00DF600C"/>
    <w:rPr>
      <w:sz w:val="22"/>
    </w:rPr>
  </w:style>
  <w:style w:type="character" w:customStyle="1" w:styleId="Heading2Char">
    <w:name w:val="Heading 2 Char"/>
    <w:basedOn w:val="DefaultParagraphFont"/>
    <w:link w:val="Heading2"/>
    <w:rsid w:val="00DF600C"/>
    <w:rPr>
      <w:rFonts w:ascii="Helvetica" w:hAnsi="Helvetica"/>
      <w:b/>
      <w:sz w:val="26"/>
    </w:rPr>
  </w:style>
  <w:style w:type="character" w:customStyle="1" w:styleId="Heading3Char">
    <w:name w:val="Heading 3 Char"/>
    <w:basedOn w:val="DefaultParagraphFont"/>
    <w:link w:val="Heading3"/>
    <w:rsid w:val="00DF600C"/>
    <w:rPr>
      <w:rFonts w:ascii="Helvetica" w:hAnsi="Helvetica"/>
      <w:b/>
      <w:sz w:val="22"/>
    </w:rPr>
  </w:style>
  <w:style w:type="character" w:customStyle="1" w:styleId="base-text-paragraphnonumbersChar">
    <w:name w:val="base-text-paragraph no numbers Char"/>
    <w:basedOn w:val="base-text-paragraphChar"/>
    <w:link w:val="base-text-paragraphnonumbers"/>
    <w:rsid w:val="00DF600C"/>
    <w:rPr>
      <w:sz w:val="22"/>
    </w:rPr>
  </w:style>
  <w:style w:type="table" w:customStyle="1" w:styleId="MediumShading1-Accent11">
    <w:name w:val="Medium Shading 1 - Accent 11"/>
    <w:basedOn w:val="TableNormal"/>
    <w:uiPriority w:val="63"/>
    <w:rsid w:val="00DF600C"/>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FootnoteTextChar">
    <w:name w:val="Footnote Text Char"/>
    <w:basedOn w:val="DefaultParagraphFont"/>
    <w:link w:val="FootnoteText"/>
    <w:rsid w:val="00DF600C"/>
  </w:style>
  <w:style w:type="character" w:styleId="FootnoteReference">
    <w:name w:val="footnote reference"/>
    <w:basedOn w:val="DefaultParagraphFont"/>
    <w:rsid w:val="00DF600C"/>
    <w:rPr>
      <w:vertAlign w:val="superscript"/>
    </w:rPr>
  </w:style>
  <w:style w:type="character" w:customStyle="1" w:styleId="FooterChar">
    <w:name w:val="Footer Char"/>
    <w:basedOn w:val="DefaultParagraphFont"/>
    <w:link w:val="Footer"/>
    <w:uiPriority w:val="99"/>
    <w:rsid w:val="000F6F38"/>
    <w:rPr>
      <w:sz w:val="22"/>
    </w:rPr>
  </w:style>
  <w:style w:type="character" w:customStyle="1" w:styleId="CharAmSchText">
    <w:name w:val="CharAmSchText"/>
    <w:basedOn w:val="DefaultParagraphFont"/>
    <w:qFormat/>
    <w:rsid w:val="005E73EC"/>
  </w:style>
  <w:style w:type="character" w:customStyle="1" w:styleId="tabletextChar">
    <w:name w:val="table text Char"/>
    <w:basedOn w:val="DefaultParagraphFont"/>
    <w:link w:val="tabletext"/>
    <w:rsid w:val="001F2EBB"/>
  </w:style>
  <w:style w:type="table" w:styleId="LightGrid">
    <w:name w:val="Light Grid"/>
    <w:basedOn w:val="TableNormal"/>
    <w:uiPriority w:val="62"/>
    <w:rsid w:val="001F2EB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42A0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BF0317"/>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BF0317"/>
    <w:pPr>
      <w:numPr>
        <w:ilvl w:val="4"/>
        <w:numId w:val="30"/>
      </w:numPr>
      <w:tabs>
        <w:tab w:val="num" w:pos="360"/>
      </w:tabs>
    </w:pPr>
    <w:rPr>
      <w:i w:val="0"/>
    </w:rPr>
  </w:style>
  <w:style w:type="paragraph" w:customStyle="1" w:styleId="base-text-paragraph">
    <w:name w:val="base-text-paragraph"/>
    <w:basedOn w:val="Normal"/>
    <w:link w:val="base-text-paragraphChar"/>
    <w:rsid w:val="00BF0317"/>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BF0317"/>
    <w:pPr>
      <w:keepNext/>
      <w:numPr>
        <w:ilvl w:val="3"/>
        <w:numId w:val="30"/>
      </w:numPr>
      <w:tabs>
        <w:tab w:val="num" w:pos="360"/>
      </w:tabs>
      <w:ind w:left="0"/>
    </w:pPr>
    <w:rPr>
      <w:b/>
    </w:rPr>
  </w:style>
  <w:style w:type="paragraph" w:customStyle="1" w:styleId="Diagram">
    <w:name w:val="Diagram"/>
    <w:basedOn w:val="Normal"/>
    <w:next w:val="base-text-paragraphnonumbers"/>
    <w:rsid w:val="00BF0317"/>
    <w:pPr>
      <w:keepNext/>
      <w:numPr>
        <w:ilvl w:val="2"/>
        <w:numId w:val="30"/>
      </w:numPr>
      <w:tabs>
        <w:tab w:val="num" w:pos="360"/>
      </w:tabs>
      <w:spacing w:before="0" w:after="0"/>
      <w:ind w:left="0"/>
    </w:pPr>
    <w:rPr>
      <w:b/>
    </w:rPr>
  </w:style>
  <w:style w:type="paragraph" w:customStyle="1" w:styleId="dotpoint">
    <w:name w:val="dot point"/>
    <w:basedOn w:val="Normal"/>
    <w:rsid w:val="00BF0317"/>
    <w:pPr>
      <w:numPr>
        <w:numId w:val="20"/>
      </w:numPr>
    </w:pPr>
  </w:style>
  <w:style w:type="paragraph" w:customStyle="1" w:styleId="dotpoint2">
    <w:name w:val="dot point 2"/>
    <w:basedOn w:val="Normal"/>
    <w:rsid w:val="00BF0317"/>
    <w:pPr>
      <w:numPr>
        <w:ilvl w:val="1"/>
        <w:numId w:val="20"/>
      </w:numPr>
      <w:tabs>
        <w:tab w:val="clear" w:pos="2552"/>
        <w:tab w:val="num" w:pos="360"/>
      </w:tabs>
      <w:ind w:left="0"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uiPriority w:val="20"/>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uiPriority w:val="99"/>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tabs>
        <w:tab w:val="clear" w:pos="926"/>
        <w:tab w:val="num" w:pos="360"/>
      </w:tabs>
      <w:ind w:left="0" w:firstLine="0"/>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Bullet">
    <w:name w:val="Bullet"/>
    <w:basedOn w:val="Normal"/>
    <w:link w:val="BulletChar"/>
    <w:rsid w:val="00DF600C"/>
    <w:pPr>
      <w:numPr>
        <w:numId w:val="33"/>
      </w:numPr>
    </w:pPr>
  </w:style>
  <w:style w:type="character" w:customStyle="1" w:styleId="BulletChar">
    <w:name w:val="Bullet Char"/>
    <w:basedOn w:val="base-text-paragraphChar"/>
    <w:link w:val="Bullet"/>
    <w:rsid w:val="00DF600C"/>
    <w:rPr>
      <w:sz w:val="22"/>
    </w:rPr>
  </w:style>
  <w:style w:type="paragraph" w:customStyle="1" w:styleId="Dash">
    <w:name w:val="Dash"/>
    <w:basedOn w:val="Normal"/>
    <w:link w:val="DashChar"/>
    <w:rsid w:val="00DF600C"/>
    <w:pPr>
      <w:numPr>
        <w:ilvl w:val="1"/>
        <w:numId w:val="33"/>
      </w:numPr>
    </w:pPr>
  </w:style>
  <w:style w:type="character" w:customStyle="1" w:styleId="DashChar">
    <w:name w:val="Dash Char"/>
    <w:basedOn w:val="base-text-paragraphChar"/>
    <w:link w:val="Dash"/>
    <w:rsid w:val="00DF600C"/>
    <w:rPr>
      <w:sz w:val="22"/>
    </w:rPr>
  </w:style>
  <w:style w:type="paragraph" w:customStyle="1" w:styleId="DoubleDot">
    <w:name w:val="Double Dot"/>
    <w:basedOn w:val="Normal"/>
    <w:link w:val="DoubleDotChar"/>
    <w:rsid w:val="00DF600C"/>
    <w:pPr>
      <w:numPr>
        <w:ilvl w:val="2"/>
        <w:numId w:val="33"/>
      </w:numPr>
    </w:pPr>
  </w:style>
  <w:style w:type="character" w:customStyle="1" w:styleId="DoubleDotChar">
    <w:name w:val="Double Dot Char"/>
    <w:basedOn w:val="base-text-paragraphChar"/>
    <w:link w:val="DoubleDot"/>
    <w:rsid w:val="00DF600C"/>
    <w:rPr>
      <w:sz w:val="22"/>
    </w:rPr>
  </w:style>
  <w:style w:type="paragraph" w:styleId="BalloonText">
    <w:name w:val="Balloon Text"/>
    <w:basedOn w:val="Normal"/>
    <w:link w:val="BalloonTextChar"/>
    <w:rsid w:val="00DF600C"/>
    <w:pPr>
      <w:spacing w:before="0" w:after="0"/>
    </w:pPr>
    <w:rPr>
      <w:rFonts w:ascii="Tahoma" w:hAnsi="Tahoma" w:cs="Tahoma"/>
      <w:sz w:val="16"/>
      <w:szCs w:val="16"/>
    </w:rPr>
  </w:style>
  <w:style w:type="character" w:customStyle="1" w:styleId="BalloonTextChar">
    <w:name w:val="Balloon Text Char"/>
    <w:basedOn w:val="DefaultParagraphFont"/>
    <w:link w:val="BalloonText"/>
    <w:rsid w:val="00DF600C"/>
    <w:rPr>
      <w:rFonts w:ascii="Tahoma" w:hAnsi="Tahoma" w:cs="Tahoma"/>
      <w:sz w:val="16"/>
      <w:szCs w:val="16"/>
    </w:rPr>
  </w:style>
  <w:style w:type="character" w:styleId="CommentReference">
    <w:name w:val="annotation reference"/>
    <w:basedOn w:val="DefaultParagraphFont"/>
    <w:rsid w:val="00DF600C"/>
    <w:rPr>
      <w:sz w:val="16"/>
      <w:szCs w:val="16"/>
    </w:rPr>
  </w:style>
  <w:style w:type="paragraph" w:styleId="CommentText">
    <w:name w:val="annotation text"/>
    <w:basedOn w:val="Normal"/>
    <w:link w:val="CommentTextChar"/>
    <w:rsid w:val="00DF600C"/>
    <w:rPr>
      <w:sz w:val="20"/>
    </w:rPr>
  </w:style>
  <w:style w:type="character" w:customStyle="1" w:styleId="CommentTextChar">
    <w:name w:val="Comment Text Char"/>
    <w:basedOn w:val="DefaultParagraphFont"/>
    <w:link w:val="CommentText"/>
    <w:rsid w:val="00DF600C"/>
  </w:style>
  <w:style w:type="paragraph" w:styleId="CommentSubject">
    <w:name w:val="annotation subject"/>
    <w:basedOn w:val="CommentText"/>
    <w:next w:val="CommentText"/>
    <w:link w:val="CommentSubjectChar"/>
    <w:rsid w:val="00DF600C"/>
    <w:rPr>
      <w:b/>
      <w:bCs/>
    </w:rPr>
  </w:style>
  <w:style w:type="character" w:customStyle="1" w:styleId="CommentSubjectChar">
    <w:name w:val="Comment Subject Char"/>
    <w:basedOn w:val="CommentTextChar"/>
    <w:link w:val="CommentSubject"/>
    <w:rsid w:val="00DF600C"/>
    <w:rPr>
      <w:b/>
      <w:bCs/>
    </w:rPr>
  </w:style>
  <w:style w:type="paragraph" w:styleId="Revision">
    <w:name w:val="Revision"/>
    <w:hidden/>
    <w:uiPriority w:val="99"/>
    <w:semiHidden/>
    <w:rsid w:val="00DF600C"/>
    <w:rPr>
      <w:sz w:val="22"/>
    </w:rPr>
  </w:style>
  <w:style w:type="character" w:customStyle="1" w:styleId="Heading2Char">
    <w:name w:val="Heading 2 Char"/>
    <w:basedOn w:val="DefaultParagraphFont"/>
    <w:link w:val="Heading2"/>
    <w:rsid w:val="00DF600C"/>
    <w:rPr>
      <w:rFonts w:ascii="Helvetica" w:hAnsi="Helvetica"/>
      <w:b/>
      <w:sz w:val="26"/>
    </w:rPr>
  </w:style>
  <w:style w:type="character" w:customStyle="1" w:styleId="Heading3Char">
    <w:name w:val="Heading 3 Char"/>
    <w:basedOn w:val="DefaultParagraphFont"/>
    <w:link w:val="Heading3"/>
    <w:rsid w:val="00DF600C"/>
    <w:rPr>
      <w:rFonts w:ascii="Helvetica" w:hAnsi="Helvetica"/>
      <w:b/>
      <w:sz w:val="22"/>
    </w:rPr>
  </w:style>
  <w:style w:type="character" w:customStyle="1" w:styleId="base-text-paragraphnonumbersChar">
    <w:name w:val="base-text-paragraph no numbers Char"/>
    <w:basedOn w:val="base-text-paragraphChar"/>
    <w:link w:val="base-text-paragraphnonumbers"/>
    <w:rsid w:val="00DF600C"/>
    <w:rPr>
      <w:sz w:val="22"/>
    </w:rPr>
  </w:style>
  <w:style w:type="table" w:customStyle="1" w:styleId="MediumShading1-Accent11">
    <w:name w:val="Medium Shading 1 - Accent 11"/>
    <w:basedOn w:val="TableNormal"/>
    <w:uiPriority w:val="63"/>
    <w:rsid w:val="00DF600C"/>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FootnoteTextChar">
    <w:name w:val="Footnote Text Char"/>
    <w:basedOn w:val="DefaultParagraphFont"/>
    <w:link w:val="FootnoteText"/>
    <w:rsid w:val="00DF600C"/>
  </w:style>
  <w:style w:type="character" w:styleId="FootnoteReference">
    <w:name w:val="footnote reference"/>
    <w:basedOn w:val="DefaultParagraphFont"/>
    <w:rsid w:val="00DF600C"/>
    <w:rPr>
      <w:vertAlign w:val="superscript"/>
    </w:rPr>
  </w:style>
  <w:style w:type="character" w:customStyle="1" w:styleId="FooterChar">
    <w:name w:val="Footer Char"/>
    <w:basedOn w:val="DefaultParagraphFont"/>
    <w:link w:val="Footer"/>
    <w:uiPriority w:val="99"/>
    <w:rsid w:val="000F6F38"/>
    <w:rPr>
      <w:sz w:val="22"/>
    </w:rPr>
  </w:style>
  <w:style w:type="character" w:customStyle="1" w:styleId="CharAmSchText">
    <w:name w:val="CharAmSchText"/>
    <w:basedOn w:val="DefaultParagraphFont"/>
    <w:qFormat/>
    <w:rsid w:val="005E73EC"/>
  </w:style>
  <w:style w:type="character" w:customStyle="1" w:styleId="tabletextChar">
    <w:name w:val="table text Char"/>
    <w:basedOn w:val="DefaultParagraphFont"/>
    <w:link w:val="tabletext"/>
    <w:rsid w:val="001F2EBB"/>
  </w:style>
  <w:style w:type="table" w:styleId="LightGrid">
    <w:name w:val="Light Grid"/>
    <w:basedOn w:val="TableNormal"/>
    <w:uiPriority w:val="62"/>
    <w:rsid w:val="001F2EB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6452">
      <w:bodyDiv w:val="1"/>
      <w:marLeft w:val="0"/>
      <w:marRight w:val="0"/>
      <w:marTop w:val="0"/>
      <w:marBottom w:val="0"/>
      <w:divBdr>
        <w:top w:val="none" w:sz="0" w:space="0" w:color="auto"/>
        <w:left w:val="none" w:sz="0" w:space="0" w:color="auto"/>
        <w:bottom w:val="none" w:sz="0" w:space="0" w:color="auto"/>
        <w:right w:val="none" w:sz="0" w:space="0" w:color="auto"/>
      </w:divBdr>
    </w:div>
    <w:div w:id="230387556">
      <w:bodyDiv w:val="1"/>
      <w:marLeft w:val="0"/>
      <w:marRight w:val="0"/>
      <w:marTop w:val="0"/>
      <w:marBottom w:val="0"/>
      <w:divBdr>
        <w:top w:val="none" w:sz="0" w:space="0" w:color="auto"/>
        <w:left w:val="none" w:sz="0" w:space="0" w:color="auto"/>
        <w:bottom w:val="none" w:sz="0" w:space="0" w:color="auto"/>
        <w:right w:val="none" w:sz="0" w:space="0" w:color="auto"/>
      </w:divBdr>
    </w:div>
    <w:div w:id="239947859">
      <w:bodyDiv w:val="1"/>
      <w:marLeft w:val="0"/>
      <w:marRight w:val="0"/>
      <w:marTop w:val="0"/>
      <w:marBottom w:val="0"/>
      <w:divBdr>
        <w:top w:val="none" w:sz="0" w:space="0" w:color="auto"/>
        <w:left w:val="none" w:sz="0" w:space="0" w:color="auto"/>
        <w:bottom w:val="none" w:sz="0" w:space="0" w:color="auto"/>
        <w:right w:val="none" w:sz="0" w:space="0" w:color="auto"/>
      </w:divBdr>
    </w:div>
    <w:div w:id="499124747">
      <w:bodyDiv w:val="1"/>
      <w:marLeft w:val="0"/>
      <w:marRight w:val="0"/>
      <w:marTop w:val="0"/>
      <w:marBottom w:val="0"/>
      <w:divBdr>
        <w:top w:val="none" w:sz="0" w:space="0" w:color="auto"/>
        <w:left w:val="none" w:sz="0" w:space="0" w:color="auto"/>
        <w:bottom w:val="none" w:sz="0" w:space="0" w:color="auto"/>
        <w:right w:val="none" w:sz="0" w:space="0" w:color="auto"/>
      </w:divBdr>
    </w:div>
    <w:div w:id="829246885">
      <w:bodyDiv w:val="1"/>
      <w:marLeft w:val="0"/>
      <w:marRight w:val="0"/>
      <w:marTop w:val="0"/>
      <w:marBottom w:val="0"/>
      <w:divBdr>
        <w:top w:val="none" w:sz="0" w:space="0" w:color="auto"/>
        <w:left w:val="none" w:sz="0" w:space="0" w:color="auto"/>
        <w:bottom w:val="none" w:sz="0" w:space="0" w:color="auto"/>
        <w:right w:val="none" w:sz="0" w:space="0" w:color="auto"/>
      </w:divBdr>
      <w:divsChild>
        <w:div w:id="1204290541">
          <w:marLeft w:val="0"/>
          <w:marRight w:val="0"/>
          <w:marTop w:val="0"/>
          <w:marBottom w:val="0"/>
          <w:divBdr>
            <w:top w:val="none" w:sz="0" w:space="0" w:color="auto"/>
            <w:left w:val="none" w:sz="0" w:space="0" w:color="auto"/>
            <w:bottom w:val="none" w:sz="0" w:space="0" w:color="auto"/>
            <w:right w:val="none" w:sz="0" w:space="0" w:color="auto"/>
          </w:divBdr>
          <w:divsChild>
            <w:div w:id="2023122319">
              <w:marLeft w:val="0"/>
              <w:marRight w:val="0"/>
              <w:marTop w:val="0"/>
              <w:marBottom w:val="0"/>
              <w:divBdr>
                <w:top w:val="none" w:sz="0" w:space="0" w:color="auto"/>
                <w:left w:val="none" w:sz="0" w:space="0" w:color="auto"/>
                <w:bottom w:val="none" w:sz="0" w:space="0" w:color="auto"/>
                <w:right w:val="none" w:sz="0" w:space="0" w:color="auto"/>
              </w:divBdr>
              <w:divsChild>
                <w:div w:id="761805127">
                  <w:marLeft w:val="0"/>
                  <w:marRight w:val="0"/>
                  <w:marTop w:val="0"/>
                  <w:marBottom w:val="0"/>
                  <w:divBdr>
                    <w:top w:val="none" w:sz="0" w:space="0" w:color="auto"/>
                    <w:left w:val="none" w:sz="0" w:space="0" w:color="auto"/>
                    <w:bottom w:val="none" w:sz="0" w:space="0" w:color="auto"/>
                    <w:right w:val="none" w:sz="0" w:space="0" w:color="auto"/>
                  </w:divBdr>
                  <w:divsChild>
                    <w:div w:id="995107260">
                      <w:marLeft w:val="0"/>
                      <w:marRight w:val="0"/>
                      <w:marTop w:val="0"/>
                      <w:marBottom w:val="0"/>
                      <w:divBdr>
                        <w:top w:val="none" w:sz="0" w:space="0" w:color="auto"/>
                        <w:left w:val="none" w:sz="0" w:space="0" w:color="auto"/>
                        <w:bottom w:val="none" w:sz="0" w:space="0" w:color="auto"/>
                        <w:right w:val="none" w:sz="0" w:space="0" w:color="auto"/>
                      </w:divBdr>
                      <w:divsChild>
                        <w:div w:id="613025984">
                          <w:marLeft w:val="0"/>
                          <w:marRight w:val="0"/>
                          <w:marTop w:val="0"/>
                          <w:marBottom w:val="0"/>
                          <w:divBdr>
                            <w:top w:val="none" w:sz="0" w:space="0" w:color="auto"/>
                            <w:left w:val="none" w:sz="0" w:space="0" w:color="auto"/>
                            <w:bottom w:val="none" w:sz="0" w:space="0" w:color="auto"/>
                            <w:right w:val="none" w:sz="0" w:space="0" w:color="auto"/>
                          </w:divBdr>
                          <w:divsChild>
                            <w:div w:id="1628975348">
                              <w:marLeft w:val="0"/>
                              <w:marRight w:val="0"/>
                              <w:marTop w:val="0"/>
                              <w:marBottom w:val="0"/>
                              <w:divBdr>
                                <w:top w:val="none" w:sz="0" w:space="0" w:color="auto"/>
                                <w:left w:val="none" w:sz="0" w:space="0" w:color="auto"/>
                                <w:bottom w:val="none" w:sz="0" w:space="0" w:color="auto"/>
                                <w:right w:val="none" w:sz="0" w:space="0" w:color="auto"/>
                              </w:divBdr>
                              <w:divsChild>
                                <w:div w:id="1185095187">
                                  <w:marLeft w:val="0"/>
                                  <w:marRight w:val="0"/>
                                  <w:marTop w:val="0"/>
                                  <w:marBottom w:val="0"/>
                                  <w:divBdr>
                                    <w:top w:val="none" w:sz="0" w:space="0" w:color="auto"/>
                                    <w:left w:val="none" w:sz="0" w:space="0" w:color="auto"/>
                                    <w:bottom w:val="none" w:sz="0" w:space="0" w:color="auto"/>
                                    <w:right w:val="none" w:sz="0" w:space="0" w:color="auto"/>
                                  </w:divBdr>
                                  <w:divsChild>
                                    <w:div w:id="796416235">
                                      <w:marLeft w:val="0"/>
                                      <w:marRight w:val="0"/>
                                      <w:marTop w:val="0"/>
                                      <w:marBottom w:val="0"/>
                                      <w:divBdr>
                                        <w:top w:val="none" w:sz="0" w:space="0" w:color="auto"/>
                                        <w:left w:val="none" w:sz="0" w:space="0" w:color="auto"/>
                                        <w:bottom w:val="none" w:sz="0" w:space="0" w:color="auto"/>
                                        <w:right w:val="none" w:sz="0" w:space="0" w:color="auto"/>
                                      </w:divBdr>
                                      <w:divsChild>
                                        <w:div w:id="1097360275">
                                          <w:marLeft w:val="0"/>
                                          <w:marRight w:val="0"/>
                                          <w:marTop w:val="0"/>
                                          <w:marBottom w:val="0"/>
                                          <w:divBdr>
                                            <w:top w:val="none" w:sz="0" w:space="0" w:color="auto"/>
                                            <w:left w:val="none" w:sz="0" w:space="0" w:color="auto"/>
                                            <w:bottom w:val="none" w:sz="0" w:space="0" w:color="auto"/>
                                            <w:right w:val="none" w:sz="0" w:space="0" w:color="auto"/>
                                          </w:divBdr>
                                          <w:divsChild>
                                            <w:div w:id="1034815300">
                                              <w:marLeft w:val="0"/>
                                              <w:marRight w:val="0"/>
                                              <w:marTop w:val="0"/>
                                              <w:marBottom w:val="0"/>
                                              <w:divBdr>
                                                <w:top w:val="none" w:sz="0" w:space="0" w:color="auto"/>
                                                <w:left w:val="none" w:sz="0" w:space="0" w:color="auto"/>
                                                <w:bottom w:val="none" w:sz="0" w:space="0" w:color="auto"/>
                                                <w:right w:val="none" w:sz="0" w:space="0" w:color="auto"/>
                                              </w:divBdr>
                                              <w:divsChild>
                                                <w:div w:id="133910612">
                                                  <w:marLeft w:val="0"/>
                                                  <w:marRight w:val="0"/>
                                                  <w:marTop w:val="0"/>
                                                  <w:marBottom w:val="0"/>
                                                  <w:divBdr>
                                                    <w:top w:val="none" w:sz="0" w:space="0" w:color="auto"/>
                                                    <w:left w:val="none" w:sz="0" w:space="0" w:color="auto"/>
                                                    <w:bottom w:val="none" w:sz="0" w:space="0" w:color="auto"/>
                                                    <w:right w:val="none" w:sz="0" w:space="0" w:color="auto"/>
                                                  </w:divBdr>
                                                  <w:divsChild>
                                                    <w:div w:id="3851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643554">
      <w:bodyDiv w:val="1"/>
      <w:marLeft w:val="0"/>
      <w:marRight w:val="0"/>
      <w:marTop w:val="0"/>
      <w:marBottom w:val="0"/>
      <w:divBdr>
        <w:top w:val="none" w:sz="0" w:space="0" w:color="auto"/>
        <w:left w:val="none" w:sz="0" w:space="0" w:color="auto"/>
        <w:bottom w:val="none" w:sz="0" w:space="0" w:color="auto"/>
        <w:right w:val="none" w:sz="0" w:space="0" w:color="auto"/>
      </w:divBdr>
    </w:div>
    <w:div w:id="1165629262">
      <w:bodyDiv w:val="1"/>
      <w:marLeft w:val="0"/>
      <w:marRight w:val="0"/>
      <w:marTop w:val="0"/>
      <w:marBottom w:val="0"/>
      <w:divBdr>
        <w:top w:val="none" w:sz="0" w:space="0" w:color="auto"/>
        <w:left w:val="none" w:sz="0" w:space="0" w:color="auto"/>
        <w:bottom w:val="none" w:sz="0" w:space="0" w:color="auto"/>
        <w:right w:val="none" w:sz="0" w:space="0" w:color="auto"/>
      </w:divBdr>
    </w:div>
    <w:div w:id="1259100931">
      <w:bodyDiv w:val="1"/>
      <w:marLeft w:val="0"/>
      <w:marRight w:val="0"/>
      <w:marTop w:val="0"/>
      <w:marBottom w:val="0"/>
      <w:divBdr>
        <w:top w:val="none" w:sz="0" w:space="0" w:color="auto"/>
        <w:left w:val="none" w:sz="0" w:space="0" w:color="auto"/>
        <w:bottom w:val="none" w:sz="0" w:space="0" w:color="auto"/>
        <w:right w:val="none" w:sz="0" w:space="0" w:color="auto"/>
      </w:divBdr>
      <w:divsChild>
        <w:div w:id="967707530">
          <w:marLeft w:val="0"/>
          <w:marRight w:val="0"/>
          <w:marTop w:val="0"/>
          <w:marBottom w:val="0"/>
          <w:divBdr>
            <w:top w:val="none" w:sz="0" w:space="0" w:color="auto"/>
            <w:left w:val="none" w:sz="0" w:space="0" w:color="auto"/>
            <w:bottom w:val="none" w:sz="0" w:space="0" w:color="auto"/>
            <w:right w:val="none" w:sz="0" w:space="0" w:color="auto"/>
          </w:divBdr>
          <w:divsChild>
            <w:div w:id="1947538965">
              <w:marLeft w:val="0"/>
              <w:marRight w:val="0"/>
              <w:marTop w:val="0"/>
              <w:marBottom w:val="0"/>
              <w:divBdr>
                <w:top w:val="none" w:sz="0" w:space="0" w:color="auto"/>
                <w:left w:val="none" w:sz="0" w:space="0" w:color="auto"/>
                <w:bottom w:val="none" w:sz="0" w:space="0" w:color="auto"/>
                <w:right w:val="none" w:sz="0" w:space="0" w:color="auto"/>
              </w:divBdr>
              <w:divsChild>
                <w:div w:id="1916544549">
                  <w:marLeft w:val="0"/>
                  <w:marRight w:val="0"/>
                  <w:marTop w:val="0"/>
                  <w:marBottom w:val="0"/>
                  <w:divBdr>
                    <w:top w:val="none" w:sz="0" w:space="0" w:color="auto"/>
                    <w:left w:val="none" w:sz="0" w:space="0" w:color="auto"/>
                    <w:bottom w:val="none" w:sz="0" w:space="0" w:color="auto"/>
                    <w:right w:val="none" w:sz="0" w:space="0" w:color="auto"/>
                  </w:divBdr>
                  <w:divsChild>
                    <w:div w:id="268857161">
                      <w:marLeft w:val="0"/>
                      <w:marRight w:val="0"/>
                      <w:marTop w:val="0"/>
                      <w:marBottom w:val="0"/>
                      <w:divBdr>
                        <w:top w:val="none" w:sz="0" w:space="0" w:color="auto"/>
                        <w:left w:val="none" w:sz="0" w:space="0" w:color="auto"/>
                        <w:bottom w:val="none" w:sz="0" w:space="0" w:color="auto"/>
                        <w:right w:val="none" w:sz="0" w:space="0" w:color="auto"/>
                      </w:divBdr>
                      <w:divsChild>
                        <w:div w:id="1269463366">
                          <w:marLeft w:val="0"/>
                          <w:marRight w:val="0"/>
                          <w:marTop w:val="0"/>
                          <w:marBottom w:val="0"/>
                          <w:divBdr>
                            <w:top w:val="none" w:sz="0" w:space="0" w:color="auto"/>
                            <w:left w:val="none" w:sz="0" w:space="0" w:color="auto"/>
                            <w:bottom w:val="none" w:sz="0" w:space="0" w:color="auto"/>
                            <w:right w:val="none" w:sz="0" w:space="0" w:color="auto"/>
                          </w:divBdr>
                          <w:divsChild>
                            <w:div w:id="896860202">
                              <w:marLeft w:val="0"/>
                              <w:marRight w:val="0"/>
                              <w:marTop w:val="0"/>
                              <w:marBottom w:val="0"/>
                              <w:divBdr>
                                <w:top w:val="none" w:sz="0" w:space="0" w:color="auto"/>
                                <w:left w:val="none" w:sz="0" w:space="0" w:color="auto"/>
                                <w:bottom w:val="none" w:sz="0" w:space="0" w:color="auto"/>
                                <w:right w:val="none" w:sz="0" w:space="0" w:color="auto"/>
                              </w:divBdr>
                              <w:divsChild>
                                <w:div w:id="490367999">
                                  <w:marLeft w:val="0"/>
                                  <w:marRight w:val="0"/>
                                  <w:marTop w:val="0"/>
                                  <w:marBottom w:val="0"/>
                                  <w:divBdr>
                                    <w:top w:val="none" w:sz="0" w:space="0" w:color="auto"/>
                                    <w:left w:val="none" w:sz="0" w:space="0" w:color="auto"/>
                                    <w:bottom w:val="none" w:sz="0" w:space="0" w:color="auto"/>
                                    <w:right w:val="none" w:sz="0" w:space="0" w:color="auto"/>
                                  </w:divBdr>
                                  <w:divsChild>
                                    <w:div w:id="1336878907">
                                      <w:marLeft w:val="0"/>
                                      <w:marRight w:val="0"/>
                                      <w:marTop w:val="0"/>
                                      <w:marBottom w:val="0"/>
                                      <w:divBdr>
                                        <w:top w:val="none" w:sz="0" w:space="0" w:color="auto"/>
                                        <w:left w:val="none" w:sz="0" w:space="0" w:color="auto"/>
                                        <w:bottom w:val="none" w:sz="0" w:space="0" w:color="auto"/>
                                        <w:right w:val="none" w:sz="0" w:space="0" w:color="auto"/>
                                      </w:divBdr>
                                      <w:divsChild>
                                        <w:div w:id="157621575">
                                          <w:marLeft w:val="0"/>
                                          <w:marRight w:val="0"/>
                                          <w:marTop w:val="0"/>
                                          <w:marBottom w:val="0"/>
                                          <w:divBdr>
                                            <w:top w:val="none" w:sz="0" w:space="0" w:color="auto"/>
                                            <w:left w:val="none" w:sz="0" w:space="0" w:color="auto"/>
                                            <w:bottom w:val="none" w:sz="0" w:space="0" w:color="auto"/>
                                            <w:right w:val="none" w:sz="0" w:space="0" w:color="auto"/>
                                          </w:divBdr>
                                          <w:divsChild>
                                            <w:div w:id="611013231">
                                              <w:marLeft w:val="0"/>
                                              <w:marRight w:val="0"/>
                                              <w:marTop w:val="0"/>
                                              <w:marBottom w:val="0"/>
                                              <w:divBdr>
                                                <w:top w:val="none" w:sz="0" w:space="0" w:color="auto"/>
                                                <w:left w:val="none" w:sz="0" w:space="0" w:color="auto"/>
                                                <w:bottom w:val="none" w:sz="0" w:space="0" w:color="auto"/>
                                                <w:right w:val="none" w:sz="0" w:space="0" w:color="auto"/>
                                              </w:divBdr>
                                              <w:divsChild>
                                                <w:div w:id="22370221">
                                                  <w:marLeft w:val="0"/>
                                                  <w:marRight w:val="0"/>
                                                  <w:marTop w:val="0"/>
                                                  <w:marBottom w:val="0"/>
                                                  <w:divBdr>
                                                    <w:top w:val="none" w:sz="0" w:space="0" w:color="auto"/>
                                                    <w:left w:val="none" w:sz="0" w:space="0" w:color="auto"/>
                                                    <w:bottom w:val="none" w:sz="0" w:space="0" w:color="auto"/>
                                                    <w:right w:val="none" w:sz="0" w:space="0" w:color="auto"/>
                                                  </w:divBdr>
                                                  <w:divsChild>
                                                    <w:div w:id="20875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parlinfo.aph.gov.au/parlInfo/search/display/display.w3p;query=Id%3A%22legislation%2Fbillhome%2Fr5286%22"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parlinfo.aph.gov.au/parlInfo/search/display/display.w3p;query=Id%3A%22legislation%2Fbillhome%2Fr5284%2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yperlink" Target="http://parlinfo.aph.gov.au/parlInfo/search/display/display.w3p;query=Id%3A%22legislation%2Fbillhome%2Fr5283%22" TargetMode="External"/><Relationship Id="rId35" Type="http://schemas.openxmlformats.org/officeDocument/2006/relationships/footer" Target="footer10.xml"/><Relationship Id="rId43"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7bc583-7cbe-45b9-a2bd-8bbb6543b37e" xsi:nil="true"/>
    <_dlc_DocIdUrl xmlns="9f7bc583-7cbe-45b9-a2bd-8bbb6543b37e">
      <Url xsi:nil="true"/>
      <Description xsi:nil="true"/>
    </_dlc_DocIdUrl>
    <lb508a4dc5e84436a0fe496b536466aa xmlns="9f7bc583-7cbe-45b9-a2bd-8bbb6543b37e">
      <Terms xmlns="http://schemas.microsoft.com/office/infopath/2007/PartnerControls"/>
    </lb508a4dc5e84436a0fe496b536466aa>
    <TaxCatchAll xmlns="9f7bc583-7cbe-45b9-a2bd-8bbb6543b37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3294-A79C-44AF-A4FA-63CBE667F375}">
  <ds:schemaRefs>
    <ds:schemaRef ds:uri="http://schemas.microsoft.com/office/infopath/2007/PartnerControls"/>
    <ds:schemaRef ds:uri="http://schemas.microsoft.com/office/2006/documentManagement/types"/>
    <ds:schemaRef ds:uri="http://purl.org/dc/dcmitype/"/>
    <ds:schemaRef ds:uri="http://schemas.microsoft.com/sharepoint/v3"/>
    <ds:schemaRef ds:uri="http://schemas.microsoft.com/sharepoint/v4"/>
    <ds:schemaRef ds:uri="http://purl.org/dc/elements/1.1/"/>
    <ds:schemaRef ds:uri="http://schemas.openxmlformats.org/package/2006/metadata/core-properties"/>
    <ds:schemaRef ds:uri="9f7bc583-7cbe-45b9-a2bd-8bbb6543b37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E81CFC0-BCC0-4EFC-A707-D95CE5C14137}">
  <ds:schemaRefs>
    <ds:schemaRef ds:uri="http://schemas.microsoft.com/sharepoint/v3/contenttype/forms"/>
  </ds:schemaRefs>
</ds:datastoreItem>
</file>

<file path=customXml/itemProps3.xml><?xml version="1.0" encoding="utf-8"?>
<ds:datastoreItem xmlns:ds="http://schemas.openxmlformats.org/officeDocument/2006/customXml" ds:itemID="{CE30CEAE-E0BE-41BE-9653-B673DA68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FEFC1-258E-4B72-98DD-D45A4B63B066}">
  <ds:schemaRefs>
    <ds:schemaRef ds:uri="http://schemas.microsoft.com/sharepoint/events"/>
  </ds:schemaRefs>
</ds:datastoreItem>
</file>

<file path=customXml/itemProps5.xml><?xml version="1.0" encoding="utf-8"?>
<ds:datastoreItem xmlns:ds="http://schemas.openxmlformats.org/officeDocument/2006/customXml" ds:itemID="{E4709D5B-765C-4E56-8F61-CD5EDFB7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0</TotalTime>
  <Pages>48</Pages>
  <Words>11803</Words>
  <Characters>65040</Characters>
  <Application>Microsoft Office Word</Application>
  <DocSecurity>4</DocSecurity>
  <Lines>2601</Lines>
  <Paragraphs>1921</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74922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Beresford, Laurel</dc:creator>
  <cp:lastModifiedBy>Clifton, Rhiannon</cp:lastModifiedBy>
  <cp:revision>2</cp:revision>
  <cp:lastPrinted>2015-06-23T00:49:00Z</cp:lastPrinted>
  <dcterms:created xsi:type="dcterms:W3CDTF">2015-06-24T03:34:00Z</dcterms:created>
  <dcterms:modified xsi:type="dcterms:W3CDTF">2015-06-24T03:34:00Z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c6082fe8-c266-453b-baf4-b132809f1a00</vt:lpwstr>
  </property>
  <property fmtid="{D5CDD505-2E9C-101B-9397-08002B2CF9AE}" pid="4" name="_AdHocReviewCycleID">
    <vt:i4>1685223152</vt:i4>
  </property>
  <property fmtid="{D5CDD505-2E9C-101B-9397-08002B2CF9AE}" pid="5" name="_NewReviewCycle">
    <vt:lpwstr/>
  </property>
  <property fmtid="{D5CDD505-2E9C-101B-9397-08002B2CF9AE}" pid="6" name="_EmailSubject">
    <vt:lpwstr>ExM for introduction - Fuel Indexation [DLM=Sensitive:Legal]</vt:lpwstr>
  </property>
  <property fmtid="{D5CDD505-2E9C-101B-9397-08002B2CF9AE}" pid="7" name="_AuthorEmail">
    <vt:lpwstr>Caroline.Bogusz@TREASURY.GOV.AU</vt:lpwstr>
  </property>
  <property fmtid="{D5CDD505-2E9C-101B-9397-08002B2CF9AE}" pid="8" name="_AuthorEmailDisplayName">
    <vt:lpwstr>Bogusz, Caroline</vt:lpwstr>
  </property>
  <property fmtid="{D5CDD505-2E9C-101B-9397-08002B2CF9AE}" pid="9" name="_PreviousAdHocReviewCycleID">
    <vt:i4>414920206</vt:i4>
  </property>
  <property fmtid="{D5CDD505-2E9C-101B-9397-08002B2CF9AE}" pid="10" name="TSYRecordClass">
    <vt:lpwstr>11;#TSY RA-9237 - Destroy 5 years after action completed|9f1a030e-81bf-44c5-98eb-4d5d869a40d5</vt:lpwstr>
  </property>
  <property fmtid="{D5CDD505-2E9C-101B-9397-08002B2CF9AE}" pid="11" name="RecordPoint_WorkflowType">
    <vt:lpwstr>ActiveSubmitStub</vt:lpwstr>
  </property>
  <property fmtid="{D5CDD505-2E9C-101B-9397-08002B2CF9AE}" pid="12" name="RecordPoint_ActiveItemUniqueId">
    <vt:lpwstr>{e901e33f-6d6c-4984-b6f8-9ef4215ff714}</vt:lpwstr>
  </property>
  <property fmtid="{D5CDD505-2E9C-101B-9397-08002B2CF9AE}" pid="13" name="RecordPoint_ActiveItemListId">
    <vt:lpwstr>{687b78b0-2ddd-4441-8a8b-c9638c2a1939}</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RecordNumberSubmitted">
    <vt:lpwstr>R0000056942</vt:lpwstr>
  </property>
  <property fmtid="{D5CDD505-2E9C-101B-9397-08002B2CF9AE}" pid="17" name="RecordPoint_SubmissionCompleted">
    <vt:lpwstr>2015-06-23T10:39:09.8718915+10:00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