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D9" w:rsidRPr="00774011" w:rsidRDefault="001B4C1B" w:rsidP="009504D9">
      <w:pPr>
        <w:jc w:val="center"/>
      </w:pPr>
      <w:bookmarkStart w:id="0" w:name="_GoBack"/>
      <w:bookmarkEnd w:id="0"/>
      <w:r w:rsidRPr="00774011">
        <w:t>2013</w:t>
      </w:r>
      <w:r w:rsidR="008B5568" w:rsidRPr="00774011">
        <w:t>-</w:t>
      </w:r>
      <w:r w:rsidR="009504D9" w:rsidRPr="00774011">
        <w:t>2014-2015</w:t>
      </w:r>
    </w:p>
    <w:p w:rsidR="009504D9" w:rsidRPr="00774011" w:rsidRDefault="009504D9" w:rsidP="009504D9">
      <w:pPr>
        <w:jc w:val="center"/>
      </w:pPr>
    </w:p>
    <w:p w:rsidR="009504D9" w:rsidRPr="00774011" w:rsidRDefault="009504D9" w:rsidP="009504D9">
      <w:pPr>
        <w:jc w:val="center"/>
      </w:pPr>
    </w:p>
    <w:p w:rsidR="009504D9" w:rsidRPr="00774011" w:rsidRDefault="009504D9" w:rsidP="009504D9">
      <w:pPr>
        <w:jc w:val="center"/>
      </w:pPr>
      <w:r w:rsidRPr="00774011">
        <w:t>THE PARLIAMENT OF THE COMMONWEALTH OF AUSTRALIA</w:t>
      </w:r>
    </w:p>
    <w:p w:rsidR="009504D9" w:rsidRPr="00774011" w:rsidRDefault="009504D9" w:rsidP="009504D9">
      <w:pPr>
        <w:jc w:val="center"/>
      </w:pPr>
    </w:p>
    <w:p w:rsidR="009504D9" w:rsidRPr="00774011" w:rsidRDefault="009504D9" w:rsidP="009504D9">
      <w:pPr>
        <w:jc w:val="center"/>
      </w:pPr>
    </w:p>
    <w:p w:rsidR="009504D9" w:rsidRPr="00774011" w:rsidRDefault="009504D9" w:rsidP="009504D9">
      <w:pPr>
        <w:jc w:val="center"/>
      </w:pPr>
      <w:r w:rsidRPr="00774011">
        <w:t>SENATE</w:t>
      </w:r>
    </w:p>
    <w:p w:rsidR="009504D9" w:rsidRPr="00774011" w:rsidRDefault="009504D9" w:rsidP="009504D9">
      <w:pPr>
        <w:jc w:val="center"/>
      </w:pPr>
    </w:p>
    <w:p w:rsidR="009504D9" w:rsidRPr="00774011" w:rsidRDefault="009504D9" w:rsidP="009504D9">
      <w:pPr>
        <w:rPr>
          <w:szCs w:val="24"/>
        </w:rPr>
      </w:pPr>
    </w:p>
    <w:p w:rsidR="009504D9" w:rsidRPr="00774011" w:rsidRDefault="009504D9" w:rsidP="009504D9">
      <w:pPr>
        <w:jc w:val="center"/>
        <w:rPr>
          <w:b/>
        </w:rPr>
      </w:pPr>
      <w:r w:rsidRPr="00774011">
        <w:rPr>
          <w:b/>
        </w:rPr>
        <w:t xml:space="preserve">CIVIL LAW AND JUSTICE </w:t>
      </w:r>
      <w:r w:rsidR="00942B81">
        <w:rPr>
          <w:b/>
        </w:rPr>
        <w:t xml:space="preserve">(OMNIBUS </w:t>
      </w:r>
      <w:r w:rsidRPr="00774011">
        <w:rPr>
          <w:b/>
        </w:rPr>
        <w:t>AMENDMENT</w:t>
      </w:r>
      <w:r w:rsidR="00942B81">
        <w:rPr>
          <w:b/>
        </w:rPr>
        <w:t>S)</w:t>
      </w:r>
      <w:r w:rsidRPr="00774011">
        <w:rPr>
          <w:b/>
        </w:rPr>
        <w:t xml:space="preserve"> BILL 2015</w:t>
      </w:r>
    </w:p>
    <w:p w:rsidR="009504D9" w:rsidRPr="00774011" w:rsidRDefault="009504D9" w:rsidP="009504D9"/>
    <w:p w:rsidR="009504D9" w:rsidRPr="00774011" w:rsidRDefault="009504D9" w:rsidP="009504D9"/>
    <w:p w:rsidR="009504D9" w:rsidRPr="00774011" w:rsidRDefault="009504D9" w:rsidP="009504D9">
      <w:pPr>
        <w:pStyle w:val="Title"/>
      </w:pPr>
      <w:r w:rsidRPr="00774011">
        <w:t>EXPLANATORY MEMORANDUM</w:t>
      </w:r>
    </w:p>
    <w:p w:rsidR="009504D9" w:rsidRPr="00774011" w:rsidRDefault="009504D9" w:rsidP="009504D9">
      <w:pPr>
        <w:jc w:val="center"/>
        <w:rPr>
          <w:szCs w:val="24"/>
        </w:rPr>
      </w:pPr>
    </w:p>
    <w:p w:rsidR="009504D9" w:rsidRPr="00774011" w:rsidRDefault="009504D9" w:rsidP="009504D9">
      <w:pPr>
        <w:rPr>
          <w:szCs w:val="24"/>
        </w:rPr>
      </w:pPr>
    </w:p>
    <w:p w:rsidR="009504D9" w:rsidRPr="00774011" w:rsidRDefault="009504D9" w:rsidP="009504D9">
      <w:pPr>
        <w:rPr>
          <w:szCs w:val="24"/>
        </w:rPr>
      </w:pPr>
    </w:p>
    <w:p w:rsidR="009504D9" w:rsidRPr="00774011" w:rsidRDefault="009504D9" w:rsidP="009504D9">
      <w:pPr>
        <w:jc w:val="center"/>
        <w:rPr>
          <w:szCs w:val="24"/>
        </w:rPr>
      </w:pPr>
      <w:r w:rsidRPr="00774011">
        <w:rPr>
          <w:szCs w:val="24"/>
        </w:rPr>
        <w:t>(Circulated by authority of the Attorney</w:t>
      </w:r>
      <w:r w:rsidRPr="00774011">
        <w:rPr>
          <w:szCs w:val="24"/>
        </w:rPr>
        <w:noBreakHyphen/>
        <w:t>General,</w:t>
      </w:r>
    </w:p>
    <w:p w:rsidR="009504D9" w:rsidRPr="00774011" w:rsidRDefault="009504D9" w:rsidP="009504D9">
      <w:pPr>
        <w:jc w:val="center"/>
        <w:rPr>
          <w:szCs w:val="24"/>
        </w:rPr>
      </w:pPr>
      <w:r w:rsidRPr="00774011">
        <w:rPr>
          <w:szCs w:val="24"/>
        </w:rPr>
        <w:t>Senator the Hon George Brandis QC)</w:t>
      </w:r>
    </w:p>
    <w:p w:rsidR="009504D9" w:rsidRPr="00774011" w:rsidRDefault="009504D9" w:rsidP="009504D9">
      <w:pPr>
        <w:rPr>
          <w:rFonts w:eastAsia="Times New Roman"/>
          <w:kern w:val="32"/>
          <w:sz w:val="32"/>
          <w:szCs w:val="32"/>
        </w:rPr>
      </w:pPr>
      <w:r w:rsidRPr="00774011">
        <w:br w:type="page"/>
      </w:r>
    </w:p>
    <w:p w:rsidR="009504D9" w:rsidRPr="00774011" w:rsidRDefault="009504D9" w:rsidP="009504D9">
      <w:pPr>
        <w:pStyle w:val="Heading1"/>
      </w:pPr>
      <w:r w:rsidRPr="00774011">
        <w:lastRenderedPageBreak/>
        <w:t xml:space="preserve">CIVIL LAW AND JUSTICE </w:t>
      </w:r>
      <w:r w:rsidR="00B201ED">
        <w:t>(omnibus</w:t>
      </w:r>
      <w:r w:rsidRPr="00774011">
        <w:t xml:space="preserve"> AMENDMENT</w:t>
      </w:r>
      <w:r w:rsidR="00B201ED">
        <w:t>S)</w:t>
      </w:r>
      <w:r w:rsidRPr="00774011">
        <w:t xml:space="preserve"> Bill 20</w:t>
      </w:r>
      <w:r w:rsidR="00305E88" w:rsidRPr="00774011">
        <w:t>15</w:t>
      </w:r>
    </w:p>
    <w:p w:rsidR="009504D9" w:rsidRPr="00774011" w:rsidRDefault="009504D9" w:rsidP="009504D9">
      <w:pPr>
        <w:pStyle w:val="Heading2"/>
        <w:spacing w:after="0"/>
        <w:rPr>
          <w:szCs w:val="24"/>
        </w:rPr>
      </w:pPr>
      <w:r w:rsidRPr="00774011">
        <w:rPr>
          <w:caps w:val="0"/>
          <w:szCs w:val="24"/>
        </w:rPr>
        <w:t>GENERAL OUTLINE</w:t>
      </w:r>
    </w:p>
    <w:p w:rsidR="00FC6519" w:rsidRPr="00422CE5" w:rsidRDefault="009504D9" w:rsidP="00FC6519">
      <w:pPr>
        <w:pStyle w:val="ListParagraph"/>
        <w:numPr>
          <w:ilvl w:val="0"/>
          <w:numId w:val="29"/>
        </w:numPr>
        <w:spacing w:after="240"/>
        <w:ind w:left="0" w:firstLine="0"/>
        <w:contextualSpacing w:val="0"/>
        <w:rPr>
          <w:szCs w:val="24"/>
        </w:rPr>
      </w:pPr>
      <w:r w:rsidRPr="00422CE5">
        <w:rPr>
          <w:szCs w:val="24"/>
        </w:rPr>
        <w:t xml:space="preserve">The purpose of the </w:t>
      </w:r>
      <w:r w:rsidR="00305E88" w:rsidRPr="00422CE5">
        <w:rPr>
          <w:szCs w:val="24"/>
        </w:rPr>
        <w:t>Bill</w:t>
      </w:r>
      <w:r w:rsidRPr="00422CE5">
        <w:rPr>
          <w:szCs w:val="24"/>
        </w:rPr>
        <w:t xml:space="preserve"> is to make minor, technical and uncontroversial amendments to civil justice legislation. This will improve the operation and clarity of civil justice legislation administered by the Attorney</w:t>
      </w:r>
      <w:r w:rsidRPr="00422CE5">
        <w:rPr>
          <w:szCs w:val="24"/>
        </w:rPr>
        <w:noBreakHyphen/>
        <w:t xml:space="preserve">General’s portfolio. </w:t>
      </w:r>
    </w:p>
    <w:p w:rsidR="00FC6519" w:rsidRPr="00422CE5" w:rsidRDefault="009504D9" w:rsidP="00FC6519">
      <w:pPr>
        <w:pStyle w:val="ListParagraph"/>
        <w:numPr>
          <w:ilvl w:val="0"/>
          <w:numId w:val="29"/>
        </w:numPr>
        <w:spacing w:after="240"/>
        <w:ind w:left="0" w:firstLine="0"/>
        <w:contextualSpacing w:val="0"/>
        <w:rPr>
          <w:szCs w:val="24"/>
        </w:rPr>
      </w:pPr>
      <w:r w:rsidRPr="00422CE5">
        <w:rPr>
          <w:szCs w:val="24"/>
        </w:rPr>
        <w:t>The Bill is an omnibus bill which will</w:t>
      </w:r>
      <w:r w:rsidR="00D87789" w:rsidRPr="00422CE5">
        <w:rPr>
          <w:szCs w:val="24"/>
        </w:rPr>
        <w:t xml:space="preserve"> primarily</w:t>
      </w:r>
      <w:r w:rsidRPr="00422CE5">
        <w:rPr>
          <w:szCs w:val="24"/>
        </w:rPr>
        <w:t xml:space="preserve"> amend the </w:t>
      </w:r>
      <w:r w:rsidR="00305E88" w:rsidRPr="00422CE5">
        <w:rPr>
          <w:i/>
          <w:szCs w:val="24"/>
        </w:rPr>
        <w:t>Administr</w:t>
      </w:r>
      <w:r w:rsidR="00D87789" w:rsidRPr="00422CE5">
        <w:rPr>
          <w:i/>
          <w:szCs w:val="24"/>
        </w:rPr>
        <w:t>ative Appeals Tribunal Act 1975,</w:t>
      </w:r>
      <w:r w:rsidRPr="00422CE5">
        <w:rPr>
          <w:szCs w:val="24"/>
        </w:rPr>
        <w:t xml:space="preserve"> </w:t>
      </w:r>
      <w:r w:rsidR="00226CF7" w:rsidRPr="00422CE5">
        <w:rPr>
          <w:szCs w:val="24"/>
        </w:rPr>
        <w:t xml:space="preserve">the </w:t>
      </w:r>
      <w:r w:rsidRPr="00422CE5">
        <w:rPr>
          <w:i/>
          <w:szCs w:val="24"/>
        </w:rPr>
        <w:t>Bankruptcy Act 1966</w:t>
      </w:r>
      <w:r w:rsidR="00D87789" w:rsidRPr="00422CE5">
        <w:rPr>
          <w:i/>
          <w:szCs w:val="24"/>
        </w:rPr>
        <w:t>,</w:t>
      </w:r>
      <w:r w:rsidRPr="00422CE5">
        <w:rPr>
          <w:szCs w:val="24"/>
        </w:rPr>
        <w:t xml:space="preserve"> the </w:t>
      </w:r>
      <w:r w:rsidRPr="00422CE5">
        <w:rPr>
          <w:i/>
          <w:szCs w:val="24"/>
        </w:rPr>
        <w:t>Evidence Act 1995</w:t>
      </w:r>
      <w:r w:rsidR="00D87789" w:rsidRPr="00422CE5">
        <w:rPr>
          <w:i/>
          <w:szCs w:val="24"/>
        </w:rPr>
        <w:t>,</w:t>
      </w:r>
      <w:r w:rsidRPr="00422CE5">
        <w:rPr>
          <w:szCs w:val="24"/>
        </w:rPr>
        <w:t xml:space="preserve"> </w:t>
      </w:r>
      <w:r w:rsidR="00305E88" w:rsidRPr="00422CE5">
        <w:rPr>
          <w:szCs w:val="24"/>
        </w:rPr>
        <w:t xml:space="preserve">the </w:t>
      </w:r>
      <w:r w:rsidR="00305E88" w:rsidRPr="00422CE5">
        <w:rPr>
          <w:i/>
          <w:szCs w:val="24"/>
        </w:rPr>
        <w:t>Federal Circuit Court of Australia Act 1999</w:t>
      </w:r>
      <w:r w:rsidR="00D87789" w:rsidRPr="00422CE5">
        <w:rPr>
          <w:i/>
          <w:szCs w:val="24"/>
        </w:rPr>
        <w:t>,</w:t>
      </w:r>
      <w:r w:rsidR="00305E88" w:rsidRPr="00422CE5">
        <w:rPr>
          <w:i/>
          <w:szCs w:val="24"/>
        </w:rPr>
        <w:t xml:space="preserve"> </w:t>
      </w:r>
      <w:r w:rsidR="00305E88" w:rsidRPr="00422CE5">
        <w:rPr>
          <w:szCs w:val="24"/>
        </w:rPr>
        <w:t xml:space="preserve">the </w:t>
      </w:r>
      <w:r w:rsidR="00305E88" w:rsidRPr="00422CE5">
        <w:rPr>
          <w:i/>
          <w:szCs w:val="24"/>
        </w:rPr>
        <w:t>Federal Court of Australia Act 1976</w:t>
      </w:r>
      <w:r w:rsidR="00BA3D78" w:rsidRPr="00422CE5">
        <w:rPr>
          <w:i/>
          <w:szCs w:val="24"/>
        </w:rPr>
        <w:t xml:space="preserve"> </w:t>
      </w:r>
      <w:r w:rsidR="00BA3D78" w:rsidRPr="00422CE5">
        <w:rPr>
          <w:szCs w:val="24"/>
        </w:rPr>
        <w:t>and</w:t>
      </w:r>
      <w:r w:rsidRPr="00422CE5">
        <w:rPr>
          <w:szCs w:val="24"/>
        </w:rPr>
        <w:t xml:space="preserve"> the </w:t>
      </w:r>
      <w:r w:rsidRPr="00422CE5">
        <w:rPr>
          <w:i/>
          <w:szCs w:val="24"/>
        </w:rPr>
        <w:t>International Arbitration Act 1974</w:t>
      </w:r>
      <w:r w:rsidR="00BA3D78" w:rsidRPr="00422CE5">
        <w:rPr>
          <w:i/>
          <w:szCs w:val="24"/>
        </w:rPr>
        <w:t xml:space="preserve">. </w:t>
      </w:r>
    </w:p>
    <w:p w:rsidR="00FC6519" w:rsidRPr="00422CE5" w:rsidRDefault="00CB03F3" w:rsidP="00FC6519">
      <w:pPr>
        <w:pStyle w:val="ListParagraph"/>
        <w:numPr>
          <w:ilvl w:val="0"/>
          <w:numId w:val="29"/>
        </w:numPr>
        <w:spacing w:after="240"/>
        <w:ind w:left="0" w:firstLine="0"/>
        <w:contextualSpacing w:val="0"/>
        <w:rPr>
          <w:szCs w:val="24"/>
        </w:rPr>
      </w:pPr>
      <w:r w:rsidRPr="00422CE5">
        <w:rPr>
          <w:szCs w:val="24"/>
        </w:rPr>
        <w:t>T</w:t>
      </w:r>
      <w:r w:rsidR="00305E88" w:rsidRPr="00422CE5">
        <w:rPr>
          <w:szCs w:val="24"/>
        </w:rPr>
        <w:t>he</w:t>
      </w:r>
      <w:r w:rsidR="00BA3D78" w:rsidRPr="00422CE5">
        <w:rPr>
          <w:szCs w:val="24"/>
        </w:rPr>
        <w:t xml:space="preserve"> Bill will also make consequential amendments to the</w:t>
      </w:r>
      <w:r w:rsidR="00D87789" w:rsidRPr="00422CE5">
        <w:rPr>
          <w:szCs w:val="24"/>
        </w:rPr>
        <w:t xml:space="preserve"> </w:t>
      </w:r>
      <w:r w:rsidR="00D87789" w:rsidRPr="00422CE5">
        <w:rPr>
          <w:i/>
          <w:szCs w:val="24"/>
        </w:rPr>
        <w:t>A New Tax System (Family Assistance) Act 1999</w:t>
      </w:r>
      <w:r w:rsidR="00D87789" w:rsidRPr="00422CE5">
        <w:rPr>
          <w:szCs w:val="24"/>
        </w:rPr>
        <w:t>,</w:t>
      </w:r>
      <w:r w:rsidR="00C05201" w:rsidRPr="00422CE5">
        <w:rPr>
          <w:szCs w:val="24"/>
        </w:rPr>
        <w:t xml:space="preserve"> the </w:t>
      </w:r>
      <w:r w:rsidR="00C05201" w:rsidRPr="00422CE5">
        <w:rPr>
          <w:i/>
          <w:szCs w:val="24"/>
        </w:rPr>
        <w:t>Child Support (Registration and Collection) Act 1988</w:t>
      </w:r>
      <w:r w:rsidR="00C05201" w:rsidRPr="00422CE5">
        <w:rPr>
          <w:szCs w:val="24"/>
        </w:rPr>
        <w:t>,</w:t>
      </w:r>
      <w:r w:rsidR="00D87789" w:rsidRPr="00422CE5">
        <w:rPr>
          <w:szCs w:val="24"/>
        </w:rPr>
        <w:t xml:space="preserve"> the </w:t>
      </w:r>
      <w:r w:rsidR="00C97DC0" w:rsidRPr="00422CE5">
        <w:rPr>
          <w:i/>
          <w:szCs w:val="24"/>
        </w:rPr>
        <w:t>Family Law Act 1975</w:t>
      </w:r>
      <w:r w:rsidR="00C97DC0" w:rsidRPr="00422CE5">
        <w:rPr>
          <w:szCs w:val="24"/>
        </w:rPr>
        <w:t>,</w:t>
      </w:r>
      <w:r w:rsidR="00C05201" w:rsidRPr="00422CE5">
        <w:rPr>
          <w:szCs w:val="24"/>
        </w:rPr>
        <w:t xml:space="preserve"> the </w:t>
      </w:r>
      <w:r w:rsidR="007D37D8" w:rsidRPr="00422CE5">
        <w:rPr>
          <w:i/>
          <w:szCs w:val="24"/>
        </w:rPr>
        <w:t>Freedom of Information Act 1982</w:t>
      </w:r>
      <w:r w:rsidR="00C05201" w:rsidRPr="00422CE5">
        <w:rPr>
          <w:szCs w:val="24"/>
        </w:rPr>
        <w:t>,</w:t>
      </w:r>
      <w:r w:rsidR="00C97DC0" w:rsidRPr="00422CE5">
        <w:rPr>
          <w:szCs w:val="24"/>
        </w:rPr>
        <w:t xml:space="preserve"> the</w:t>
      </w:r>
      <w:r w:rsidR="00305E88" w:rsidRPr="00422CE5">
        <w:rPr>
          <w:szCs w:val="24"/>
        </w:rPr>
        <w:t xml:space="preserve"> </w:t>
      </w:r>
      <w:r w:rsidR="00305E88" w:rsidRPr="00422CE5">
        <w:rPr>
          <w:i/>
          <w:szCs w:val="24"/>
        </w:rPr>
        <w:t>James Hardie (Investigations and Proceedings) Act 2004</w:t>
      </w:r>
      <w:r w:rsidR="00305E88" w:rsidRPr="00422CE5">
        <w:rPr>
          <w:szCs w:val="24"/>
        </w:rPr>
        <w:t>,</w:t>
      </w:r>
      <w:r w:rsidR="00D87789" w:rsidRPr="00422CE5">
        <w:rPr>
          <w:szCs w:val="24"/>
        </w:rPr>
        <w:t xml:space="preserve"> the </w:t>
      </w:r>
      <w:r w:rsidR="00D87789" w:rsidRPr="00422CE5">
        <w:rPr>
          <w:i/>
          <w:szCs w:val="24"/>
        </w:rPr>
        <w:t>Paid Parental Leave Act 2010</w:t>
      </w:r>
      <w:r w:rsidR="00D87789" w:rsidRPr="00422CE5">
        <w:rPr>
          <w:szCs w:val="24"/>
        </w:rPr>
        <w:t>,</w:t>
      </w:r>
      <w:r w:rsidR="00305E88" w:rsidRPr="00422CE5">
        <w:rPr>
          <w:szCs w:val="24"/>
        </w:rPr>
        <w:t xml:space="preserve"> the </w:t>
      </w:r>
      <w:r w:rsidR="00305E88" w:rsidRPr="00422CE5">
        <w:rPr>
          <w:i/>
          <w:szCs w:val="24"/>
        </w:rPr>
        <w:t>Proceeds of Crime Act 2002</w:t>
      </w:r>
      <w:r w:rsidR="00D87789" w:rsidRPr="00422CE5">
        <w:rPr>
          <w:szCs w:val="24"/>
        </w:rPr>
        <w:t>,</w:t>
      </w:r>
      <w:r w:rsidR="009504D9" w:rsidRPr="00422CE5">
        <w:rPr>
          <w:szCs w:val="24"/>
        </w:rPr>
        <w:t xml:space="preserve"> the </w:t>
      </w:r>
      <w:r w:rsidR="009504D9" w:rsidRPr="00422CE5">
        <w:rPr>
          <w:i/>
          <w:szCs w:val="24"/>
        </w:rPr>
        <w:t>P</w:t>
      </w:r>
      <w:r w:rsidR="00305E88" w:rsidRPr="00422CE5">
        <w:rPr>
          <w:i/>
          <w:szCs w:val="24"/>
        </w:rPr>
        <w:t>ublic Interest Disclosure Act 2013</w:t>
      </w:r>
      <w:r w:rsidR="00D87789" w:rsidRPr="00422CE5">
        <w:rPr>
          <w:szCs w:val="24"/>
        </w:rPr>
        <w:t xml:space="preserve">, the </w:t>
      </w:r>
      <w:r w:rsidR="00D87789" w:rsidRPr="00422CE5">
        <w:rPr>
          <w:i/>
          <w:szCs w:val="24"/>
        </w:rPr>
        <w:t>Social Security (Administration) Act 1999</w:t>
      </w:r>
      <w:r w:rsidR="00D87789" w:rsidRPr="00422CE5">
        <w:rPr>
          <w:szCs w:val="24"/>
        </w:rPr>
        <w:t xml:space="preserve"> and the </w:t>
      </w:r>
      <w:r w:rsidR="00D87789" w:rsidRPr="00422CE5">
        <w:rPr>
          <w:i/>
          <w:szCs w:val="24"/>
        </w:rPr>
        <w:t>Student Assistance Act 1973</w:t>
      </w:r>
      <w:r w:rsidR="00FC6519" w:rsidRPr="00422CE5">
        <w:rPr>
          <w:szCs w:val="24"/>
        </w:rPr>
        <w:t>.</w:t>
      </w:r>
    </w:p>
    <w:p w:rsidR="00BC17C9" w:rsidRPr="00422CE5" w:rsidRDefault="00BC17C9" w:rsidP="00BC17C9">
      <w:pPr>
        <w:pStyle w:val="ListParagraph"/>
        <w:numPr>
          <w:ilvl w:val="0"/>
          <w:numId w:val="29"/>
        </w:numPr>
        <w:spacing w:after="240"/>
        <w:ind w:left="0" w:firstLine="0"/>
        <w:contextualSpacing w:val="0"/>
        <w:rPr>
          <w:szCs w:val="24"/>
        </w:rPr>
      </w:pPr>
      <w:r w:rsidRPr="00422CE5">
        <w:rPr>
          <w:szCs w:val="24"/>
        </w:rPr>
        <w:t xml:space="preserve">Amendments to the </w:t>
      </w:r>
      <w:r w:rsidRPr="00422CE5">
        <w:rPr>
          <w:i/>
          <w:szCs w:val="24"/>
        </w:rPr>
        <w:t xml:space="preserve">Administrative Appeals Tribunal Act 1975 </w:t>
      </w:r>
      <w:r w:rsidRPr="00422CE5">
        <w:rPr>
          <w:szCs w:val="24"/>
        </w:rPr>
        <w:t>will:</w:t>
      </w:r>
    </w:p>
    <w:p w:rsidR="00BC17C9" w:rsidRPr="00422CE5" w:rsidRDefault="00BC17C9" w:rsidP="00BC17C9">
      <w:pPr>
        <w:pStyle w:val="Summary"/>
        <w:numPr>
          <w:ilvl w:val="0"/>
          <w:numId w:val="16"/>
        </w:numPr>
        <w:tabs>
          <w:tab w:val="clear" w:pos="390"/>
        </w:tabs>
        <w:ind w:left="1080"/>
        <w:rPr>
          <w:sz w:val="24"/>
          <w:szCs w:val="24"/>
        </w:rPr>
      </w:pPr>
      <w:r w:rsidRPr="00422CE5">
        <w:rPr>
          <w:sz w:val="24"/>
          <w:szCs w:val="24"/>
        </w:rPr>
        <w:t>ensure all persons who are parties to a review receive notice that an application for review has been made</w:t>
      </w:r>
    </w:p>
    <w:p w:rsidR="00F82EAB" w:rsidRPr="00422CE5" w:rsidRDefault="00BC17C9" w:rsidP="00F82EAB">
      <w:pPr>
        <w:pStyle w:val="Summary"/>
        <w:numPr>
          <w:ilvl w:val="0"/>
          <w:numId w:val="16"/>
        </w:numPr>
        <w:tabs>
          <w:tab w:val="clear" w:pos="390"/>
        </w:tabs>
        <w:ind w:left="1080"/>
        <w:rPr>
          <w:sz w:val="24"/>
          <w:szCs w:val="24"/>
        </w:rPr>
      </w:pPr>
      <w:r w:rsidRPr="00422CE5">
        <w:rPr>
          <w:sz w:val="24"/>
          <w:szCs w:val="24"/>
        </w:rPr>
        <w:t>clarify that the Tribunal may make orders that certain information is not to be disclosed to the parties</w:t>
      </w:r>
    </w:p>
    <w:p w:rsidR="00F82EAB" w:rsidRPr="00422CE5" w:rsidRDefault="00F82EAB" w:rsidP="00F82EAB">
      <w:pPr>
        <w:pStyle w:val="Summary"/>
        <w:numPr>
          <w:ilvl w:val="0"/>
          <w:numId w:val="16"/>
        </w:numPr>
        <w:tabs>
          <w:tab w:val="clear" w:pos="390"/>
        </w:tabs>
        <w:ind w:left="1080"/>
        <w:rPr>
          <w:sz w:val="24"/>
          <w:szCs w:val="24"/>
        </w:rPr>
      </w:pPr>
      <w:r w:rsidRPr="00422CE5">
        <w:rPr>
          <w:sz w:val="24"/>
          <w:szCs w:val="24"/>
        </w:rPr>
        <w:t>provide flexibility in prescribing the method of giving documents or things for the purposes of proceedings</w:t>
      </w:r>
    </w:p>
    <w:p w:rsidR="00BC17C9" w:rsidRPr="00422CE5" w:rsidRDefault="00BC17C9" w:rsidP="00BC17C9">
      <w:pPr>
        <w:pStyle w:val="Summary"/>
        <w:numPr>
          <w:ilvl w:val="0"/>
          <w:numId w:val="16"/>
        </w:numPr>
        <w:tabs>
          <w:tab w:val="clear" w:pos="390"/>
        </w:tabs>
        <w:ind w:left="1080"/>
        <w:rPr>
          <w:sz w:val="24"/>
          <w:szCs w:val="24"/>
        </w:rPr>
      </w:pPr>
      <w:r w:rsidRPr="00422CE5">
        <w:rPr>
          <w:sz w:val="24"/>
          <w:szCs w:val="24"/>
        </w:rPr>
        <w:t>enable the President to authorise any member of the Tribunal to exercise power to dismiss applications under subsection 39A(18) of the Act, and</w:t>
      </w:r>
    </w:p>
    <w:p w:rsidR="00BC17C9" w:rsidRPr="00422CE5" w:rsidRDefault="00BC17C9" w:rsidP="00BC17C9">
      <w:pPr>
        <w:pStyle w:val="Summary"/>
        <w:numPr>
          <w:ilvl w:val="0"/>
          <w:numId w:val="16"/>
        </w:numPr>
        <w:tabs>
          <w:tab w:val="clear" w:pos="390"/>
        </w:tabs>
        <w:ind w:left="1080"/>
        <w:rPr>
          <w:sz w:val="24"/>
          <w:szCs w:val="24"/>
        </w:rPr>
      </w:pPr>
      <w:r w:rsidRPr="00422CE5">
        <w:rPr>
          <w:sz w:val="24"/>
          <w:szCs w:val="24"/>
        </w:rPr>
        <w:t>ensure that in matters with more than one non</w:t>
      </w:r>
      <w:r w:rsidRPr="00422CE5">
        <w:rPr>
          <w:sz w:val="24"/>
          <w:szCs w:val="24"/>
        </w:rPr>
        <w:noBreakHyphen/>
        <w:t xml:space="preserve">governmental party (such as child support reviews), if the applicant withdraws the application, another party may seek to have it reinstated. </w:t>
      </w:r>
    </w:p>
    <w:p w:rsidR="009504D9" w:rsidRPr="00422CE5" w:rsidRDefault="002A28D2" w:rsidP="00FC6519">
      <w:pPr>
        <w:pStyle w:val="ListParagraph"/>
        <w:numPr>
          <w:ilvl w:val="0"/>
          <w:numId w:val="29"/>
        </w:numPr>
        <w:spacing w:after="240"/>
        <w:ind w:left="0" w:firstLine="0"/>
        <w:contextualSpacing w:val="0"/>
        <w:rPr>
          <w:szCs w:val="24"/>
        </w:rPr>
      </w:pPr>
      <w:r w:rsidRPr="00422CE5">
        <w:rPr>
          <w:szCs w:val="24"/>
        </w:rPr>
        <w:t xml:space="preserve">Amendments to the </w:t>
      </w:r>
      <w:r w:rsidRPr="00422CE5">
        <w:rPr>
          <w:i/>
          <w:szCs w:val="24"/>
        </w:rPr>
        <w:t>Bankruptcy Act 1966</w:t>
      </w:r>
      <w:r w:rsidRPr="00422CE5">
        <w:rPr>
          <w:szCs w:val="24"/>
        </w:rPr>
        <w:t xml:space="preserve"> </w:t>
      </w:r>
      <w:r w:rsidR="0008692F" w:rsidRPr="00422CE5">
        <w:rPr>
          <w:szCs w:val="24"/>
        </w:rPr>
        <w:t>will:</w:t>
      </w:r>
    </w:p>
    <w:p w:rsidR="0004018C"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c</w:t>
      </w:r>
      <w:r w:rsidR="0004018C" w:rsidRPr="00422CE5">
        <w:rPr>
          <w:sz w:val="24"/>
          <w:szCs w:val="24"/>
        </w:rPr>
        <w:t>larify the confidentiality requirements re</w:t>
      </w:r>
      <w:r w:rsidRPr="00422CE5">
        <w:rPr>
          <w:sz w:val="24"/>
          <w:szCs w:val="24"/>
        </w:rPr>
        <w:t>lating to statements of affairs</w:t>
      </w:r>
    </w:p>
    <w:p w:rsidR="0004018C"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lang w:val="en-AU"/>
        </w:rPr>
        <w:t>c</w:t>
      </w:r>
      <w:r w:rsidR="0004018C" w:rsidRPr="00422CE5">
        <w:rPr>
          <w:sz w:val="24"/>
          <w:szCs w:val="24"/>
          <w:lang w:val="en-AU"/>
        </w:rPr>
        <w:t>hange the requirement for a bankrupt to lodge certain requests with the Official</w:t>
      </w:r>
      <w:r w:rsidR="000637C2" w:rsidRPr="00422CE5">
        <w:rPr>
          <w:sz w:val="24"/>
          <w:szCs w:val="24"/>
          <w:lang w:val="en-AU"/>
        </w:rPr>
        <w:t> </w:t>
      </w:r>
      <w:r w:rsidR="0004018C" w:rsidRPr="00422CE5">
        <w:rPr>
          <w:sz w:val="24"/>
          <w:szCs w:val="24"/>
          <w:lang w:val="en-AU"/>
        </w:rPr>
        <w:t>Receive</w:t>
      </w:r>
      <w:r w:rsidRPr="00422CE5">
        <w:rPr>
          <w:sz w:val="24"/>
          <w:szCs w:val="24"/>
          <w:lang w:val="en-AU"/>
        </w:rPr>
        <w:t>r to the Inspector-General</w:t>
      </w:r>
    </w:p>
    <w:p w:rsidR="0004018C"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r</w:t>
      </w:r>
      <w:r w:rsidR="0004018C" w:rsidRPr="00422CE5">
        <w:rPr>
          <w:sz w:val="24"/>
          <w:szCs w:val="24"/>
        </w:rPr>
        <w:t>emove the requirement for the Inspector-General in Bankruptcy to notify the Official</w:t>
      </w:r>
      <w:r w:rsidRPr="00422CE5">
        <w:rPr>
          <w:sz w:val="24"/>
          <w:szCs w:val="24"/>
        </w:rPr>
        <w:t xml:space="preserve"> Receiver of certain decisions</w:t>
      </w:r>
    </w:p>
    <w:p w:rsidR="0004018C"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i</w:t>
      </w:r>
      <w:r w:rsidR="0004018C" w:rsidRPr="00422CE5">
        <w:rPr>
          <w:sz w:val="24"/>
          <w:szCs w:val="24"/>
        </w:rPr>
        <w:t>mpose time limits for applications to the court to review certain dec</w:t>
      </w:r>
      <w:r w:rsidRPr="00422CE5">
        <w:rPr>
          <w:sz w:val="24"/>
          <w:szCs w:val="24"/>
        </w:rPr>
        <w:t>isions of the Official Receiver, and</w:t>
      </w:r>
    </w:p>
    <w:p w:rsidR="0004018C"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r</w:t>
      </w:r>
      <w:r w:rsidR="0004018C" w:rsidRPr="00422CE5">
        <w:rPr>
          <w:sz w:val="24"/>
          <w:szCs w:val="24"/>
        </w:rPr>
        <w:t xml:space="preserve">emove a reference to a repealed provision in section 225 of the Act. </w:t>
      </w:r>
    </w:p>
    <w:p w:rsidR="00FC6519" w:rsidRPr="00422CE5" w:rsidRDefault="00FC6519" w:rsidP="00FC6519">
      <w:pPr>
        <w:pStyle w:val="Summary"/>
        <w:numPr>
          <w:ilvl w:val="0"/>
          <w:numId w:val="0"/>
        </w:numPr>
        <w:tabs>
          <w:tab w:val="clear" w:pos="390"/>
        </w:tabs>
        <w:spacing w:before="240" w:after="240"/>
        <w:ind w:left="390" w:hanging="390"/>
        <w:contextualSpacing/>
        <w:rPr>
          <w:sz w:val="24"/>
          <w:szCs w:val="24"/>
        </w:rPr>
      </w:pPr>
    </w:p>
    <w:p w:rsidR="0008692F" w:rsidRPr="00422CE5" w:rsidRDefault="002A28D2" w:rsidP="003E6DA7">
      <w:pPr>
        <w:pStyle w:val="ListParagraph"/>
        <w:keepNext/>
        <w:numPr>
          <w:ilvl w:val="0"/>
          <w:numId w:val="29"/>
        </w:numPr>
        <w:spacing w:after="240"/>
        <w:ind w:left="0" w:firstLine="0"/>
        <w:contextualSpacing w:val="0"/>
        <w:rPr>
          <w:szCs w:val="24"/>
        </w:rPr>
      </w:pPr>
      <w:r w:rsidRPr="00422CE5">
        <w:rPr>
          <w:szCs w:val="24"/>
        </w:rPr>
        <w:lastRenderedPageBreak/>
        <w:t xml:space="preserve">Amendments to the </w:t>
      </w:r>
      <w:r w:rsidRPr="00422CE5">
        <w:rPr>
          <w:i/>
          <w:szCs w:val="24"/>
        </w:rPr>
        <w:t xml:space="preserve">Evidence Act 1995 </w:t>
      </w:r>
      <w:r w:rsidRPr="00422CE5">
        <w:rPr>
          <w:szCs w:val="24"/>
        </w:rPr>
        <w:t>will</w:t>
      </w:r>
      <w:r w:rsidR="0008692F" w:rsidRPr="00422CE5">
        <w:rPr>
          <w:szCs w:val="24"/>
        </w:rPr>
        <w:t>:</w:t>
      </w:r>
    </w:p>
    <w:p w:rsidR="002A3053" w:rsidRPr="00422CE5" w:rsidRDefault="00266422" w:rsidP="003E6DA7">
      <w:pPr>
        <w:pStyle w:val="Summary"/>
        <w:keepNext/>
        <w:numPr>
          <w:ilvl w:val="0"/>
          <w:numId w:val="16"/>
        </w:numPr>
        <w:tabs>
          <w:tab w:val="clear" w:pos="390"/>
        </w:tabs>
        <w:spacing w:before="240" w:after="240"/>
        <w:ind w:left="1080"/>
        <w:contextualSpacing/>
        <w:rPr>
          <w:sz w:val="24"/>
          <w:szCs w:val="24"/>
        </w:rPr>
      </w:pPr>
      <w:r w:rsidRPr="00422CE5">
        <w:rPr>
          <w:sz w:val="24"/>
          <w:szCs w:val="24"/>
        </w:rPr>
        <w:t>m</w:t>
      </w:r>
      <w:r w:rsidR="00B552BC">
        <w:rPr>
          <w:sz w:val="24"/>
          <w:szCs w:val="24"/>
        </w:rPr>
        <w:t>ove the journalist</w:t>
      </w:r>
      <w:r w:rsidR="0008692F" w:rsidRPr="00422CE5">
        <w:rPr>
          <w:sz w:val="24"/>
          <w:szCs w:val="24"/>
        </w:rPr>
        <w:t xml:space="preserve"> privilege provisions</w:t>
      </w:r>
      <w:r w:rsidR="00621A43" w:rsidRPr="00422CE5">
        <w:rPr>
          <w:sz w:val="24"/>
          <w:szCs w:val="24"/>
        </w:rPr>
        <w:t xml:space="preserve"> from Division 1A of Part 3.10 to new D</w:t>
      </w:r>
      <w:r w:rsidR="004301D8" w:rsidRPr="00422CE5">
        <w:rPr>
          <w:sz w:val="24"/>
          <w:szCs w:val="24"/>
        </w:rPr>
        <w:t xml:space="preserve">ivision 1C of </w:t>
      </w:r>
      <w:r w:rsidR="00621A43" w:rsidRPr="00422CE5">
        <w:rPr>
          <w:sz w:val="24"/>
          <w:szCs w:val="24"/>
        </w:rPr>
        <w:t>P</w:t>
      </w:r>
      <w:r w:rsidR="004301D8" w:rsidRPr="00422CE5">
        <w:rPr>
          <w:sz w:val="24"/>
          <w:szCs w:val="24"/>
        </w:rPr>
        <w:t>art 3.10</w:t>
      </w:r>
      <w:r w:rsidR="0008692F" w:rsidRPr="00422CE5">
        <w:rPr>
          <w:sz w:val="24"/>
          <w:szCs w:val="24"/>
        </w:rPr>
        <w:t xml:space="preserve"> so that the Act accords with the Parliamentary Counsel’s Committee Protocol on Drafting National Uniform Legislation. </w:t>
      </w:r>
    </w:p>
    <w:p w:rsidR="009504D9" w:rsidRPr="00422CE5" w:rsidRDefault="00BA3D78" w:rsidP="00FC6519">
      <w:pPr>
        <w:pStyle w:val="ListParagraph"/>
        <w:keepNext/>
        <w:numPr>
          <w:ilvl w:val="0"/>
          <w:numId w:val="29"/>
        </w:numPr>
        <w:spacing w:after="240"/>
        <w:ind w:left="0" w:firstLine="0"/>
        <w:rPr>
          <w:szCs w:val="24"/>
        </w:rPr>
      </w:pPr>
      <w:r w:rsidRPr="00422CE5">
        <w:rPr>
          <w:szCs w:val="24"/>
        </w:rPr>
        <w:t xml:space="preserve">Amendments to the </w:t>
      </w:r>
      <w:r w:rsidRPr="00422CE5">
        <w:rPr>
          <w:i/>
          <w:szCs w:val="24"/>
        </w:rPr>
        <w:t xml:space="preserve">Federal Circuit Court of Australia Act 1999 </w:t>
      </w:r>
      <w:r w:rsidR="00EA2892" w:rsidRPr="00422CE5">
        <w:rPr>
          <w:szCs w:val="24"/>
        </w:rPr>
        <w:t xml:space="preserve">will: </w:t>
      </w:r>
    </w:p>
    <w:p w:rsidR="00603B1A" w:rsidRPr="00422CE5" w:rsidRDefault="00266422" w:rsidP="00FC6519">
      <w:pPr>
        <w:pStyle w:val="Summary"/>
        <w:keepNext/>
        <w:numPr>
          <w:ilvl w:val="0"/>
          <w:numId w:val="16"/>
        </w:numPr>
        <w:tabs>
          <w:tab w:val="clear" w:pos="390"/>
        </w:tabs>
        <w:spacing w:before="240" w:after="240"/>
        <w:ind w:left="1080"/>
        <w:contextualSpacing/>
        <w:rPr>
          <w:sz w:val="24"/>
          <w:szCs w:val="24"/>
        </w:rPr>
      </w:pPr>
      <w:r w:rsidRPr="00422CE5">
        <w:rPr>
          <w:sz w:val="24"/>
          <w:szCs w:val="24"/>
        </w:rPr>
        <w:t>p</w:t>
      </w:r>
      <w:r w:rsidR="00603B1A" w:rsidRPr="00422CE5">
        <w:rPr>
          <w:sz w:val="24"/>
          <w:szCs w:val="24"/>
        </w:rPr>
        <w:t>rovide an arrester, who is authorised by the Act, or a warrant issued under the Act or the Rules of Court, with the power to use reasonable force to enter premise</w:t>
      </w:r>
      <w:r w:rsidRPr="00422CE5">
        <w:rPr>
          <w:sz w:val="24"/>
          <w:szCs w:val="24"/>
        </w:rPr>
        <w:t>s to execute an arrest warrant, and</w:t>
      </w:r>
    </w:p>
    <w:p w:rsidR="00EC3D7D" w:rsidRPr="00422CE5" w:rsidRDefault="00266422" w:rsidP="00FC6519">
      <w:pPr>
        <w:pStyle w:val="Summary"/>
        <w:keepNext/>
        <w:numPr>
          <w:ilvl w:val="0"/>
          <w:numId w:val="16"/>
        </w:numPr>
        <w:tabs>
          <w:tab w:val="clear" w:pos="390"/>
        </w:tabs>
        <w:spacing w:before="240" w:after="240"/>
        <w:ind w:left="1080"/>
        <w:contextualSpacing/>
        <w:rPr>
          <w:sz w:val="24"/>
          <w:szCs w:val="24"/>
        </w:rPr>
      </w:pPr>
      <w:r w:rsidRPr="00422CE5">
        <w:rPr>
          <w:sz w:val="24"/>
          <w:szCs w:val="24"/>
        </w:rPr>
        <w:t>r</w:t>
      </w:r>
      <w:r w:rsidR="00EC3D7D" w:rsidRPr="00422CE5">
        <w:rPr>
          <w:sz w:val="24"/>
          <w:szCs w:val="24"/>
        </w:rPr>
        <w:t xml:space="preserve">epeal an obsolete reference and improve readability of the Act. </w:t>
      </w:r>
    </w:p>
    <w:p w:rsidR="002E2F82" w:rsidRPr="00422CE5" w:rsidRDefault="002E2F82" w:rsidP="00EF5FC9">
      <w:pPr>
        <w:pStyle w:val="ListParagraph"/>
        <w:numPr>
          <w:ilvl w:val="0"/>
          <w:numId w:val="29"/>
        </w:numPr>
        <w:spacing w:after="240"/>
        <w:ind w:left="0" w:firstLine="0"/>
        <w:contextualSpacing w:val="0"/>
        <w:rPr>
          <w:szCs w:val="24"/>
        </w:rPr>
      </w:pPr>
      <w:r w:rsidRPr="00422CE5">
        <w:rPr>
          <w:szCs w:val="24"/>
        </w:rPr>
        <w:t xml:space="preserve">Amendments to the </w:t>
      </w:r>
      <w:r w:rsidRPr="00422CE5">
        <w:rPr>
          <w:i/>
          <w:szCs w:val="24"/>
        </w:rPr>
        <w:t xml:space="preserve">Federal Court of Australia Act 1976 </w:t>
      </w:r>
      <w:r w:rsidRPr="00422CE5">
        <w:rPr>
          <w:szCs w:val="24"/>
        </w:rPr>
        <w:t xml:space="preserve">will: </w:t>
      </w:r>
    </w:p>
    <w:p w:rsidR="003D55D8"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s</w:t>
      </w:r>
      <w:r w:rsidR="003D55D8" w:rsidRPr="00422CE5">
        <w:rPr>
          <w:sz w:val="24"/>
          <w:szCs w:val="24"/>
        </w:rPr>
        <w:t xml:space="preserve">treamline </w:t>
      </w:r>
      <w:r w:rsidR="00AE0536" w:rsidRPr="00422CE5">
        <w:rPr>
          <w:sz w:val="24"/>
          <w:szCs w:val="24"/>
        </w:rPr>
        <w:t xml:space="preserve">and enhance </w:t>
      </w:r>
      <w:r w:rsidRPr="00422CE5">
        <w:rPr>
          <w:sz w:val="24"/>
          <w:szCs w:val="24"/>
        </w:rPr>
        <w:t>the jury empanelment process</w:t>
      </w:r>
    </w:p>
    <w:p w:rsidR="003D55D8"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e</w:t>
      </w:r>
      <w:r w:rsidR="003D55D8" w:rsidRPr="00422CE5">
        <w:rPr>
          <w:sz w:val="24"/>
          <w:szCs w:val="24"/>
        </w:rPr>
        <w:t>nhance the pre-trial process for indictable offences</w:t>
      </w:r>
      <w:r w:rsidRPr="00422CE5">
        <w:rPr>
          <w:sz w:val="24"/>
          <w:szCs w:val="24"/>
        </w:rPr>
        <w:t>, and</w:t>
      </w:r>
    </w:p>
    <w:p w:rsidR="003D55D8" w:rsidRPr="00422CE5" w:rsidRDefault="00266422" w:rsidP="00FC6519">
      <w:pPr>
        <w:pStyle w:val="Summary"/>
        <w:numPr>
          <w:ilvl w:val="0"/>
          <w:numId w:val="16"/>
        </w:numPr>
        <w:tabs>
          <w:tab w:val="clear" w:pos="390"/>
        </w:tabs>
        <w:spacing w:before="240" w:after="240"/>
        <w:ind w:left="1080"/>
        <w:contextualSpacing/>
        <w:rPr>
          <w:sz w:val="24"/>
          <w:szCs w:val="24"/>
        </w:rPr>
      </w:pPr>
      <w:r w:rsidRPr="00422CE5">
        <w:rPr>
          <w:sz w:val="24"/>
          <w:szCs w:val="24"/>
        </w:rPr>
        <w:t>r</w:t>
      </w:r>
      <w:r w:rsidR="003D55D8" w:rsidRPr="00422CE5">
        <w:rPr>
          <w:sz w:val="24"/>
          <w:szCs w:val="24"/>
        </w:rPr>
        <w:t>epeal obsolete provisions</w:t>
      </w:r>
      <w:r w:rsidR="0072379C" w:rsidRPr="00422CE5">
        <w:rPr>
          <w:sz w:val="24"/>
          <w:szCs w:val="24"/>
        </w:rPr>
        <w:t>, correct legislative oversights and</w:t>
      </w:r>
      <w:r w:rsidR="003D55D8" w:rsidRPr="00422CE5">
        <w:rPr>
          <w:sz w:val="24"/>
          <w:szCs w:val="24"/>
        </w:rPr>
        <w:t xml:space="preserve"> improve</w:t>
      </w:r>
      <w:r w:rsidR="0072379C" w:rsidRPr="00422CE5">
        <w:rPr>
          <w:sz w:val="24"/>
          <w:szCs w:val="24"/>
        </w:rPr>
        <w:t xml:space="preserve"> the ac</w:t>
      </w:r>
      <w:r w:rsidR="00DC2C2C" w:rsidRPr="00422CE5">
        <w:rPr>
          <w:sz w:val="24"/>
          <w:szCs w:val="24"/>
        </w:rPr>
        <w:t>curacy</w:t>
      </w:r>
      <w:r w:rsidR="003D55D8" w:rsidRPr="00422CE5">
        <w:rPr>
          <w:sz w:val="24"/>
          <w:szCs w:val="24"/>
        </w:rPr>
        <w:t xml:space="preserve"> of the Act</w:t>
      </w:r>
      <w:r w:rsidR="00AE0536" w:rsidRPr="00422CE5">
        <w:rPr>
          <w:sz w:val="24"/>
          <w:szCs w:val="24"/>
        </w:rPr>
        <w:t>.</w:t>
      </w:r>
    </w:p>
    <w:p w:rsidR="009504D9" w:rsidRPr="00422CE5" w:rsidRDefault="00BA3D78" w:rsidP="00FC6519">
      <w:pPr>
        <w:pStyle w:val="ListParagraph"/>
        <w:numPr>
          <w:ilvl w:val="0"/>
          <w:numId w:val="29"/>
        </w:numPr>
        <w:spacing w:after="240"/>
        <w:ind w:left="0" w:firstLine="0"/>
        <w:rPr>
          <w:szCs w:val="24"/>
        </w:rPr>
      </w:pPr>
      <w:r w:rsidRPr="00422CE5">
        <w:rPr>
          <w:szCs w:val="24"/>
        </w:rPr>
        <w:t xml:space="preserve">Amendments to the </w:t>
      </w:r>
      <w:r w:rsidRPr="00422CE5">
        <w:rPr>
          <w:i/>
          <w:szCs w:val="24"/>
        </w:rPr>
        <w:t>International Arbitration Act 1974</w:t>
      </w:r>
      <w:r w:rsidR="000445E2" w:rsidRPr="00422CE5">
        <w:rPr>
          <w:szCs w:val="24"/>
        </w:rPr>
        <w:t xml:space="preserve"> will: </w:t>
      </w:r>
    </w:p>
    <w:p w:rsidR="00451108" w:rsidRPr="00422CE5" w:rsidRDefault="00212658" w:rsidP="00FC6519">
      <w:pPr>
        <w:pStyle w:val="Summary"/>
        <w:numPr>
          <w:ilvl w:val="0"/>
          <w:numId w:val="16"/>
        </w:numPr>
        <w:tabs>
          <w:tab w:val="clear" w:pos="390"/>
        </w:tabs>
        <w:spacing w:before="240" w:after="240"/>
        <w:ind w:left="1080"/>
        <w:contextualSpacing/>
        <w:rPr>
          <w:sz w:val="24"/>
          <w:szCs w:val="24"/>
        </w:rPr>
      </w:pPr>
      <w:r w:rsidRPr="00422CE5">
        <w:rPr>
          <w:sz w:val="24"/>
          <w:szCs w:val="24"/>
        </w:rPr>
        <w:t>c</w:t>
      </w:r>
      <w:r w:rsidR="00451108" w:rsidRPr="00422CE5">
        <w:rPr>
          <w:sz w:val="24"/>
          <w:szCs w:val="24"/>
        </w:rPr>
        <w:t xml:space="preserve">orrect the heading of </w:t>
      </w:r>
      <w:r w:rsidR="008B54FD" w:rsidRPr="00422CE5">
        <w:rPr>
          <w:sz w:val="24"/>
          <w:szCs w:val="24"/>
        </w:rPr>
        <w:t>P</w:t>
      </w:r>
      <w:r w:rsidR="00451108" w:rsidRPr="00422CE5">
        <w:rPr>
          <w:sz w:val="24"/>
          <w:szCs w:val="24"/>
        </w:rPr>
        <w:t>art II</w:t>
      </w:r>
      <w:r w:rsidRPr="00422CE5">
        <w:rPr>
          <w:sz w:val="24"/>
          <w:szCs w:val="24"/>
        </w:rPr>
        <w:t xml:space="preserve"> to better reflect its contents</w:t>
      </w:r>
    </w:p>
    <w:p w:rsidR="00451108" w:rsidRPr="00422CE5" w:rsidRDefault="00212658" w:rsidP="00FC6519">
      <w:pPr>
        <w:pStyle w:val="Summary"/>
        <w:numPr>
          <w:ilvl w:val="0"/>
          <w:numId w:val="16"/>
        </w:numPr>
        <w:tabs>
          <w:tab w:val="clear" w:pos="390"/>
        </w:tabs>
        <w:spacing w:before="240" w:after="240"/>
        <w:ind w:left="1080"/>
        <w:contextualSpacing/>
        <w:rPr>
          <w:sz w:val="24"/>
          <w:szCs w:val="24"/>
        </w:rPr>
      </w:pPr>
      <w:r w:rsidRPr="00422CE5">
        <w:rPr>
          <w:sz w:val="24"/>
          <w:szCs w:val="24"/>
        </w:rPr>
        <w:t>s</w:t>
      </w:r>
      <w:r w:rsidR="00451108" w:rsidRPr="00422CE5">
        <w:rPr>
          <w:sz w:val="24"/>
          <w:szCs w:val="24"/>
        </w:rPr>
        <w:t>implify provisions for enforcement of foreign arbitral awards and improve compliance with the 1958 New York Convention on the Recognition and Enforce</w:t>
      </w:r>
      <w:r w:rsidRPr="00422CE5">
        <w:rPr>
          <w:sz w:val="24"/>
          <w:szCs w:val="24"/>
        </w:rPr>
        <w:t>ment of Foreign Arbitral Awards</w:t>
      </w:r>
    </w:p>
    <w:p w:rsidR="00451108" w:rsidRPr="00422CE5" w:rsidRDefault="00212658" w:rsidP="00FC6519">
      <w:pPr>
        <w:pStyle w:val="Summary"/>
        <w:numPr>
          <w:ilvl w:val="0"/>
          <w:numId w:val="16"/>
        </w:numPr>
        <w:tabs>
          <w:tab w:val="clear" w:pos="390"/>
        </w:tabs>
        <w:spacing w:before="240" w:after="240"/>
        <w:ind w:left="1080"/>
        <w:contextualSpacing/>
        <w:rPr>
          <w:sz w:val="24"/>
          <w:szCs w:val="24"/>
        </w:rPr>
      </w:pPr>
      <w:r w:rsidRPr="00422CE5">
        <w:rPr>
          <w:sz w:val="24"/>
          <w:szCs w:val="24"/>
        </w:rPr>
        <w:t>a</w:t>
      </w:r>
      <w:r w:rsidR="00451108" w:rsidRPr="00422CE5">
        <w:rPr>
          <w:sz w:val="24"/>
          <w:szCs w:val="24"/>
        </w:rPr>
        <w:t>pply confidentiality provisions to arbitral proceedings on an o</w:t>
      </w:r>
      <w:r w:rsidRPr="00422CE5">
        <w:rPr>
          <w:sz w:val="24"/>
          <w:szCs w:val="24"/>
        </w:rPr>
        <w:t>pt-out rather than opt-in basis, and</w:t>
      </w:r>
    </w:p>
    <w:p w:rsidR="00451108" w:rsidRPr="00422CE5" w:rsidRDefault="00212658" w:rsidP="00FC6519">
      <w:pPr>
        <w:pStyle w:val="Summary"/>
        <w:numPr>
          <w:ilvl w:val="0"/>
          <w:numId w:val="16"/>
        </w:numPr>
        <w:tabs>
          <w:tab w:val="clear" w:pos="390"/>
        </w:tabs>
        <w:spacing w:before="240" w:after="240"/>
        <w:ind w:left="1080"/>
        <w:contextualSpacing/>
        <w:rPr>
          <w:sz w:val="24"/>
          <w:szCs w:val="24"/>
        </w:rPr>
      </w:pPr>
      <w:r w:rsidRPr="00422CE5">
        <w:rPr>
          <w:sz w:val="24"/>
          <w:szCs w:val="24"/>
        </w:rPr>
        <w:t>r</w:t>
      </w:r>
      <w:r w:rsidR="00451108" w:rsidRPr="00422CE5">
        <w:rPr>
          <w:sz w:val="24"/>
          <w:szCs w:val="24"/>
        </w:rPr>
        <w:t xml:space="preserve">epeal an obsolete section.  </w:t>
      </w:r>
    </w:p>
    <w:p w:rsidR="006B6C6B" w:rsidRPr="00774011" w:rsidRDefault="006B6C6B" w:rsidP="00FC6519">
      <w:pPr>
        <w:pStyle w:val="Summary"/>
        <w:numPr>
          <w:ilvl w:val="0"/>
          <w:numId w:val="0"/>
        </w:numPr>
        <w:tabs>
          <w:tab w:val="clear" w:pos="390"/>
        </w:tabs>
        <w:spacing w:before="240" w:after="240"/>
        <w:ind w:left="1080"/>
        <w:contextualSpacing/>
        <w:rPr>
          <w:sz w:val="24"/>
          <w:szCs w:val="24"/>
        </w:rPr>
      </w:pPr>
    </w:p>
    <w:p w:rsidR="009504D9" w:rsidRDefault="009504D9" w:rsidP="00FC6519">
      <w:pPr>
        <w:pStyle w:val="Heading2"/>
        <w:spacing w:after="240"/>
        <w:contextualSpacing/>
      </w:pPr>
      <w:r w:rsidRPr="00774011">
        <w:t>Financial impact statement</w:t>
      </w:r>
    </w:p>
    <w:p w:rsidR="009504D9" w:rsidRPr="00431064" w:rsidRDefault="009504D9" w:rsidP="00FC6519">
      <w:pPr>
        <w:pStyle w:val="ListParagraph"/>
        <w:numPr>
          <w:ilvl w:val="0"/>
          <w:numId w:val="29"/>
        </w:numPr>
        <w:spacing w:after="240"/>
        <w:ind w:left="0" w:firstLine="0"/>
        <w:contextualSpacing w:val="0"/>
        <w:rPr>
          <w:szCs w:val="24"/>
        </w:rPr>
      </w:pPr>
      <w:r w:rsidRPr="00431064">
        <w:rPr>
          <w:szCs w:val="24"/>
        </w:rPr>
        <w:t xml:space="preserve">There is no financial impact associated with this Bill. </w:t>
      </w:r>
    </w:p>
    <w:p w:rsidR="009504D9" w:rsidRPr="00774011" w:rsidRDefault="009504D9" w:rsidP="00FC6519">
      <w:pPr>
        <w:pStyle w:val="Heading2"/>
        <w:spacing w:after="240"/>
        <w:contextualSpacing/>
      </w:pPr>
      <w:r w:rsidRPr="00774011">
        <w:t>Regulatory impact statement</w:t>
      </w:r>
    </w:p>
    <w:p w:rsidR="009504D9" w:rsidRPr="00431064" w:rsidRDefault="009504D9" w:rsidP="00FC6519">
      <w:pPr>
        <w:pStyle w:val="ListParagraph"/>
        <w:numPr>
          <w:ilvl w:val="0"/>
          <w:numId w:val="29"/>
        </w:numPr>
        <w:spacing w:after="240"/>
        <w:ind w:left="0" w:firstLine="0"/>
        <w:contextualSpacing w:val="0"/>
        <w:rPr>
          <w:szCs w:val="24"/>
        </w:rPr>
      </w:pPr>
      <w:r w:rsidRPr="00774011">
        <w:t>The</w:t>
      </w:r>
      <w:r w:rsidR="00D35485" w:rsidRPr="00774011">
        <w:t>re is no regulatory impact associated with this Bill.</w:t>
      </w:r>
      <w:r w:rsidR="009F2722">
        <w:t xml:space="preserve"> The Office</w:t>
      </w:r>
      <w:r w:rsidR="000E39A1">
        <w:t xml:space="preserve"> of Best Practice Regulation</w:t>
      </w:r>
      <w:r w:rsidR="009F2722">
        <w:t xml:space="preserve"> advis</w:t>
      </w:r>
      <w:r w:rsidR="00CF28F4">
        <w:t>ed that a Regulatory</w:t>
      </w:r>
      <w:r w:rsidR="009F2722">
        <w:t xml:space="preserve"> Impact S</w:t>
      </w:r>
      <w:r w:rsidR="00D72C34">
        <w:t>tatement is not required for this</w:t>
      </w:r>
      <w:r w:rsidR="009F2722">
        <w:t xml:space="preserve"> Bill. </w:t>
      </w:r>
    </w:p>
    <w:p w:rsidR="009504D9" w:rsidRPr="00774011" w:rsidRDefault="009504D9" w:rsidP="00FC6519">
      <w:pPr>
        <w:spacing w:after="240"/>
        <w:contextualSpacing/>
        <w:rPr>
          <w:szCs w:val="24"/>
          <w:highlight w:val="yellow"/>
        </w:rPr>
      </w:pPr>
      <w:r w:rsidRPr="00774011">
        <w:rPr>
          <w:szCs w:val="24"/>
          <w:highlight w:val="yellow"/>
        </w:rPr>
        <w:br w:type="page"/>
      </w:r>
    </w:p>
    <w:p w:rsidR="0097248B" w:rsidRPr="00774011" w:rsidRDefault="0097248B" w:rsidP="0097248B">
      <w:pPr>
        <w:pStyle w:val="Heading1"/>
        <w:jc w:val="center"/>
      </w:pPr>
      <w:r w:rsidRPr="00774011">
        <w:t>STATEMENT OF COMPATIBILITY WITH HUMAN RIGHTS</w:t>
      </w:r>
    </w:p>
    <w:p w:rsidR="0097248B" w:rsidRPr="00774011" w:rsidRDefault="0097248B" w:rsidP="0097248B">
      <w:pPr>
        <w:keepNext/>
        <w:spacing w:after="120"/>
        <w:jc w:val="center"/>
        <w:rPr>
          <w:i/>
          <w:szCs w:val="24"/>
        </w:rPr>
      </w:pPr>
      <w:r w:rsidRPr="00774011">
        <w:rPr>
          <w:i/>
          <w:szCs w:val="24"/>
        </w:rPr>
        <w:t>Prepared in accordance with Part 3 of the Human Rights (Parliamentary Scrutiny) Act 2011</w:t>
      </w:r>
    </w:p>
    <w:p w:rsidR="0097248B" w:rsidRPr="00774011" w:rsidRDefault="0097248B" w:rsidP="0097248B">
      <w:pPr>
        <w:jc w:val="center"/>
        <w:rPr>
          <w:b/>
          <w:szCs w:val="24"/>
        </w:rPr>
      </w:pPr>
      <w:r w:rsidRPr="00774011">
        <w:rPr>
          <w:b/>
          <w:szCs w:val="24"/>
        </w:rPr>
        <w:t xml:space="preserve">Civil Law and Justice </w:t>
      </w:r>
      <w:r>
        <w:rPr>
          <w:b/>
          <w:szCs w:val="24"/>
        </w:rPr>
        <w:t xml:space="preserve">(Omnibus </w:t>
      </w:r>
      <w:r w:rsidRPr="00774011">
        <w:rPr>
          <w:b/>
          <w:szCs w:val="24"/>
        </w:rPr>
        <w:t>Amendment</w:t>
      </w:r>
      <w:r>
        <w:rPr>
          <w:b/>
          <w:szCs w:val="24"/>
        </w:rPr>
        <w:t>s)</w:t>
      </w:r>
      <w:r w:rsidRPr="00774011">
        <w:rPr>
          <w:b/>
          <w:szCs w:val="24"/>
        </w:rPr>
        <w:t xml:space="preserve"> Bill 2015</w:t>
      </w:r>
    </w:p>
    <w:p w:rsidR="0097248B" w:rsidRPr="00774011" w:rsidRDefault="0097248B" w:rsidP="0097248B">
      <w:pPr>
        <w:jc w:val="center"/>
        <w:rPr>
          <w:szCs w:val="24"/>
        </w:rPr>
      </w:pPr>
      <w:r w:rsidRPr="00774011">
        <w:rPr>
          <w:szCs w:val="24"/>
        </w:rPr>
        <w:t xml:space="preserve">This Bill is compatible with the human rights and freedoms recognised or declared in the international instruments listed in section 3 of the </w:t>
      </w:r>
      <w:r w:rsidRPr="00774011">
        <w:rPr>
          <w:i/>
          <w:szCs w:val="24"/>
        </w:rPr>
        <w:t>Human Rights (Parliamentary Scrutiny) Act 2011</w:t>
      </w:r>
      <w:r w:rsidRPr="00774011">
        <w:rPr>
          <w:szCs w:val="24"/>
        </w:rPr>
        <w:t>.</w:t>
      </w:r>
    </w:p>
    <w:p w:rsidR="0097248B" w:rsidRPr="00774011" w:rsidRDefault="0097248B" w:rsidP="0097248B">
      <w:pPr>
        <w:pStyle w:val="Heading3"/>
        <w:spacing w:after="0"/>
        <w:rPr>
          <w:szCs w:val="24"/>
        </w:rPr>
      </w:pPr>
      <w:r w:rsidRPr="00774011">
        <w:rPr>
          <w:szCs w:val="24"/>
        </w:rPr>
        <w:t>Overview of the Bill</w:t>
      </w:r>
    </w:p>
    <w:p w:rsidR="007F7F0C" w:rsidRPr="008B51C0" w:rsidRDefault="0097248B" w:rsidP="0097248B">
      <w:pPr>
        <w:pStyle w:val="ListParagraph"/>
        <w:numPr>
          <w:ilvl w:val="0"/>
          <w:numId w:val="29"/>
        </w:numPr>
        <w:spacing w:after="240"/>
        <w:ind w:left="0" w:firstLine="0"/>
        <w:contextualSpacing w:val="0"/>
        <w:rPr>
          <w:szCs w:val="24"/>
        </w:rPr>
      </w:pPr>
      <w:r w:rsidRPr="008B51C0">
        <w:rPr>
          <w:szCs w:val="24"/>
        </w:rPr>
        <w:t xml:space="preserve">The Bill is an omnibus bill which will </w:t>
      </w:r>
      <w:r w:rsidR="00CB03F3" w:rsidRPr="008B51C0">
        <w:rPr>
          <w:szCs w:val="24"/>
        </w:rPr>
        <w:t>make minor, technical and uncontroversial amendments to the following Acts:</w:t>
      </w:r>
      <w:r w:rsidRPr="008B51C0">
        <w:rPr>
          <w:szCs w:val="24"/>
        </w:rPr>
        <w:t xml:space="preserve"> the </w:t>
      </w:r>
      <w:r w:rsidRPr="008B51C0">
        <w:rPr>
          <w:i/>
          <w:szCs w:val="24"/>
        </w:rPr>
        <w:t>Administrative Appeals Tribunal Act 1975,</w:t>
      </w:r>
      <w:r w:rsidRPr="008B51C0">
        <w:rPr>
          <w:szCs w:val="24"/>
        </w:rPr>
        <w:t xml:space="preserve"> the </w:t>
      </w:r>
      <w:r w:rsidRPr="008B51C0">
        <w:rPr>
          <w:i/>
          <w:szCs w:val="24"/>
        </w:rPr>
        <w:t>Bankruptcy Act 1966,</w:t>
      </w:r>
      <w:r w:rsidRPr="008B51C0">
        <w:rPr>
          <w:szCs w:val="24"/>
        </w:rPr>
        <w:t xml:space="preserve"> the </w:t>
      </w:r>
      <w:r w:rsidRPr="008B51C0">
        <w:rPr>
          <w:i/>
          <w:szCs w:val="24"/>
        </w:rPr>
        <w:t>Evidence Act 1995,</w:t>
      </w:r>
      <w:r w:rsidRPr="008B51C0">
        <w:rPr>
          <w:szCs w:val="24"/>
        </w:rPr>
        <w:t xml:space="preserve"> the </w:t>
      </w:r>
      <w:r w:rsidRPr="008B51C0">
        <w:rPr>
          <w:i/>
          <w:szCs w:val="24"/>
        </w:rPr>
        <w:t xml:space="preserve">Federal Circuit Court of Australia Act 1999, </w:t>
      </w:r>
      <w:r w:rsidRPr="008B51C0">
        <w:rPr>
          <w:szCs w:val="24"/>
        </w:rPr>
        <w:t xml:space="preserve">the </w:t>
      </w:r>
      <w:r w:rsidRPr="008B51C0">
        <w:rPr>
          <w:i/>
          <w:szCs w:val="24"/>
        </w:rPr>
        <w:t xml:space="preserve">Federal Court of Australia Act 1976 </w:t>
      </w:r>
      <w:r w:rsidRPr="008B51C0">
        <w:rPr>
          <w:szCs w:val="24"/>
        </w:rPr>
        <w:t xml:space="preserve">and the </w:t>
      </w:r>
      <w:r w:rsidRPr="008B51C0">
        <w:rPr>
          <w:i/>
          <w:szCs w:val="24"/>
        </w:rPr>
        <w:t xml:space="preserve">International Arbitration Act 1974. </w:t>
      </w:r>
    </w:p>
    <w:p w:rsidR="00185326" w:rsidRPr="008B51C0" w:rsidRDefault="00185326" w:rsidP="00185326">
      <w:pPr>
        <w:pStyle w:val="ListParagraph"/>
        <w:numPr>
          <w:ilvl w:val="0"/>
          <w:numId w:val="29"/>
        </w:numPr>
        <w:spacing w:after="240"/>
        <w:ind w:left="0" w:firstLine="0"/>
        <w:contextualSpacing w:val="0"/>
        <w:rPr>
          <w:szCs w:val="24"/>
        </w:rPr>
      </w:pPr>
      <w:r w:rsidRPr="008B51C0">
        <w:rPr>
          <w:szCs w:val="24"/>
        </w:rPr>
        <w:t xml:space="preserve">The Bill will also make consequential amendments to the </w:t>
      </w:r>
      <w:r w:rsidRPr="008B51C0">
        <w:rPr>
          <w:i/>
          <w:szCs w:val="24"/>
        </w:rPr>
        <w:t>A New Tax System (Family Assistance) Act 1999</w:t>
      </w:r>
      <w:r w:rsidRPr="008B51C0">
        <w:rPr>
          <w:szCs w:val="24"/>
        </w:rPr>
        <w:t xml:space="preserve">, the </w:t>
      </w:r>
      <w:r w:rsidRPr="008B51C0">
        <w:rPr>
          <w:i/>
          <w:szCs w:val="24"/>
        </w:rPr>
        <w:t>Child Support (Registration and Collection) Act 1988</w:t>
      </w:r>
      <w:r w:rsidRPr="008B51C0">
        <w:rPr>
          <w:szCs w:val="24"/>
        </w:rPr>
        <w:t xml:space="preserve">, the </w:t>
      </w:r>
      <w:r w:rsidRPr="008B51C0">
        <w:rPr>
          <w:i/>
          <w:szCs w:val="24"/>
        </w:rPr>
        <w:t>Family Law Act 1975</w:t>
      </w:r>
      <w:r w:rsidRPr="008B51C0">
        <w:rPr>
          <w:szCs w:val="24"/>
        </w:rPr>
        <w:t xml:space="preserve">, the </w:t>
      </w:r>
      <w:r w:rsidRPr="008B51C0">
        <w:rPr>
          <w:i/>
          <w:szCs w:val="24"/>
        </w:rPr>
        <w:t>Freedom of Information Act 1982</w:t>
      </w:r>
      <w:r w:rsidRPr="008B51C0">
        <w:rPr>
          <w:szCs w:val="24"/>
        </w:rPr>
        <w:t xml:space="preserve">, the </w:t>
      </w:r>
      <w:r w:rsidRPr="008B51C0">
        <w:rPr>
          <w:i/>
          <w:szCs w:val="24"/>
        </w:rPr>
        <w:t>James Hardie (Investigations and Proceedings) Act 2004</w:t>
      </w:r>
      <w:r w:rsidRPr="008B51C0">
        <w:rPr>
          <w:szCs w:val="24"/>
        </w:rPr>
        <w:t xml:space="preserve">, the </w:t>
      </w:r>
      <w:r w:rsidRPr="008B51C0">
        <w:rPr>
          <w:i/>
          <w:szCs w:val="24"/>
        </w:rPr>
        <w:t>Paid Parental Leave Act 2010</w:t>
      </w:r>
      <w:r w:rsidRPr="008B51C0">
        <w:rPr>
          <w:szCs w:val="24"/>
        </w:rPr>
        <w:t xml:space="preserve">, the </w:t>
      </w:r>
      <w:r w:rsidRPr="008B51C0">
        <w:rPr>
          <w:i/>
          <w:szCs w:val="24"/>
        </w:rPr>
        <w:t>Proceeds of Crime Act 2002</w:t>
      </w:r>
      <w:r w:rsidRPr="008B51C0">
        <w:rPr>
          <w:szCs w:val="24"/>
        </w:rPr>
        <w:t xml:space="preserve">, the </w:t>
      </w:r>
      <w:r w:rsidRPr="008B51C0">
        <w:rPr>
          <w:i/>
          <w:szCs w:val="24"/>
        </w:rPr>
        <w:t>Public Interest Disclosure Act 2013</w:t>
      </w:r>
      <w:r w:rsidRPr="008B51C0">
        <w:rPr>
          <w:szCs w:val="24"/>
        </w:rPr>
        <w:t xml:space="preserve">, the </w:t>
      </w:r>
      <w:r w:rsidRPr="008B51C0">
        <w:rPr>
          <w:i/>
          <w:szCs w:val="24"/>
        </w:rPr>
        <w:t>Social Security (Administration) Act 1999</w:t>
      </w:r>
      <w:r w:rsidRPr="008B51C0">
        <w:rPr>
          <w:szCs w:val="24"/>
        </w:rPr>
        <w:t xml:space="preserve"> and the </w:t>
      </w:r>
      <w:r w:rsidRPr="008B51C0">
        <w:rPr>
          <w:i/>
          <w:szCs w:val="24"/>
        </w:rPr>
        <w:t>Student Assistance Act 1973</w:t>
      </w:r>
      <w:r w:rsidRPr="008B51C0">
        <w:rPr>
          <w:szCs w:val="24"/>
        </w:rPr>
        <w:t>.</w:t>
      </w:r>
      <w:r w:rsidR="00870FDA" w:rsidRPr="008B51C0">
        <w:rPr>
          <w:szCs w:val="24"/>
        </w:rPr>
        <w:t xml:space="preserve"> </w:t>
      </w:r>
    </w:p>
    <w:p w:rsidR="0097248B" w:rsidRPr="008B51C0" w:rsidRDefault="0097248B" w:rsidP="0097248B">
      <w:pPr>
        <w:pStyle w:val="ListParagraph"/>
        <w:numPr>
          <w:ilvl w:val="0"/>
          <w:numId w:val="29"/>
        </w:numPr>
        <w:spacing w:after="240"/>
        <w:ind w:left="0" w:firstLine="0"/>
        <w:contextualSpacing w:val="0"/>
        <w:rPr>
          <w:szCs w:val="24"/>
        </w:rPr>
      </w:pPr>
      <w:r w:rsidRPr="008B51C0">
        <w:rPr>
          <w:szCs w:val="24"/>
        </w:rPr>
        <w:t xml:space="preserve">Amendments to the </w:t>
      </w:r>
      <w:r w:rsidRPr="008B51C0">
        <w:rPr>
          <w:i/>
          <w:szCs w:val="24"/>
        </w:rPr>
        <w:t xml:space="preserve">Administrative Appeals Tribunal Act 1975 </w:t>
      </w:r>
      <w:r w:rsidRPr="008B51C0">
        <w:rPr>
          <w:szCs w:val="24"/>
        </w:rPr>
        <w:t>will:</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e</w:t>
      </w:r>
      <w:r w:rsidR="0097248B" w:rsidRPr="008B51C0">
        <w:rPr>
          <w:sz w:val="24"/>
          <w:szCs w:val="24"/>
        </w:rPr>
        <w:t>nsure all persons who are parties to a review receive notice that an application for review has been made</w:t>
      </w:r>
    </w:p>
    <w:p w:rsidR="00B324F9" w:rsidRPr="008B51C0" w:rsidRDefault="00CB03F3" w:rsidP="00B324F9">
      <w:pPr>
        <w:pStyle w:val="Summary"/>
        <w:numPr>
          <w:ilvl w:val="0"/>
          <w:numId w:val="16"/>
        </w:numPr>
        <w:tabs>
          <w:tab w:val="clear" w:pos="390"/>
        </w:tabs>
        <w:ind w:left="1080"/>
        <w:rPr>
          <w:sz w:val="24"/>
          <w:szCs w:val="24"/>
        </w:rPr>
      </w:pPr>
      <w:r w:rsidRPr="008B51C0">
        <w:rPr>
          <w:sz w:val="24"/>
          <w:szCs w:val="24"/>
        </w:rPr>
        <w:t>c</w:t>
      </w:r>
      <w:r w:rsidR="0097248B" w:rsidRPr="008B51C0">
        <w:rPr>
          <w:sz w:val="24"/>
          <w:szCs w:val="24"/>
        </w:rPr>
        <w:t>larify that the Tribunal may make orders that certain information is not to be disclosed to the parties</w:t>
      </w:r>
    </w:p>
    <w:p w:rsidR="00B324F9" w:rsidRPr="008B51C0" w:rsidRDefault="00B324F9" w:rsidP="00B324F9">
      <w:pPr>
        <w:pStyle w:val="Summary"/>
        <w:numPr>
          <w:ilvl w:val="0"/>
          <w:numId w:val="16"/>
        </w:numPr>
        <w:tabs>
          <w:tab w:val="clear" w:pos="390"/>
        </w:tabs>
        <w:ind w:left="1080"/>
        <w:rPr>
          <w:sz w:val="24"/>
          <w:szCs w:val="24"/>
        </w:rPr>
      </w:pPr>
      <w:r w:rsidRPr="008B51C0">
        <w:rPr>
          <w:sz w:val="24"/>
          <w:szCs w:val="24"/>
        </w:rPr>
        <w:t>provide flexibility in prescribing the method of giving documents or things for the purposes of proceedings</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e</w:t>
      </w:r>
      <w:r w:rsidR="0097248B" w:rsidRPr="008B51C0">
        <w:rPr>
          <w:sz w:val="24"/>
          <w:szCs w:val="24"/>
        </w:rPr>
        <w:t>nable the President to authorise any member of the Tribunal to exercise power to dismiss applications under subsection 39A(18) of the Act</w:t>
      </w:r>
      <w:r w:rsidRPr="008B51C0">
        <w:rPr>
          <w:sz w:val="24"/>
          <w:szCs w:val="24"/>
        </w:rPr>
        <w:t>, and</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e</w:t>
      </w:r>
      <w:r w:rsidR="0097248B" w:rsidRPr="008B51C0">
        <w:rPr>
          <w:sz w:val="24"/>
          <w:szCs w:val="24"/>
        </w:rPr>
        <w:t xml:space="preserve">nsure that in matters with more than one citizen party, if the applicant withdraws the application, another party may seek to have it reinstated. </w:t>
      </w:r>
    </w:p>
    <w:p w:rsidR="0097248B" w:rsidRPr="008B51C0" w:rsidRDefault="0097248B" w:rsidP="0097248B">
      <w:pPr>
        <w:pStyle w:val="ListParagraph"/>
        <w:numPr>
          <w:ilvl w:val="0"/>
          <w:numId w:val="29"/>
        </w:numPr>
        <w:spacing w:after="240"/>
        <w:ind w:left="0" w:firstLine="0"/>
        <w:contextualSpacing w:val="0"/>
        <w:rPr>
          <w:szCs w:val="24"/>
        </w:rPr>
      </w:pPr>
      <w:r w:rsidRPr="008B51C0">
        <w:rPr>
          <w:szCs w:val="24"/>
        </w:rPr>
        <w:t xml:space="preserve">Amendments to the </w:t>
      </w:r>
      <w:r w:rsidRPr="008B51C0">
        <w:rPr>
          <w:i/>
          <w:szCs w:val="24"/>
        </w:rPr>
        <w:t>Bankruptcy Act 1966</w:t>
      </w:r>
      <w:r w:rsidRPr="008B51C0">
        <w:rPr>
          <w:szCs w:val="24"/>
        </w:rPr>
        <w:t xml:space="preserve"> will:</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c</w:t>
      </w:r>
      <w:r w:rsidR="0097248B" w:rsidRPr="008B51C0">
        <w:rPr>
          <w:sz w:val="24"/>
          <w:szCs w:val="24"/>
        </w:rPr>
        <w:t>larify the confidentiality requirements relating to statements of affairs</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lang w:val="en-AU"/>
        </w:rPr>
        <w:t>c</w:t>
      </w:r>
      <w:r w:rsidR="0097248B" w:rsidRPr="008B51C0">
        <w:rPr>
          <w:sz w:val="24"/>
          <w:szCs w:val="24"/>
          <w:lang w:val="en-AU"/>
        </w:rPr>
        <w:t>hange the requirement for a bankrupt to lodge certain requests with the Official Receiver to the Inspector-General</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r</w:t>
      </w:r>
      <w:r w:rsidR="0097248B" w:rsidRPr="008B51C0">
        <w:rPr>
          <w:sz w:val="24"/>
          <w:szCs w:val="24"/>
        </w:rPr>
        <w:t xml:space="preserve">emove the requirement for the Inspector-General in Bankruptcy to notify the Official Receiver of certain decisions </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i</w:t>
      </w:r>
      <w:r w:rsidR="0097248B" w:rsidRPr="008B51C0">
        <w:rPr>
          <w:sz w:val="24"/>
          <w:szCs w:val="24"/>
        </w:rPr>
        <w:t>mpose time limits for applications to the court to review certain decisions of the Official Receiver</w:t>
      </w:r>
      <w:r w:rsidRPr="008B51C0">
        <w:rPr>
          <w:sz w:val="24"/>
          <w:szCs w:val="24"/>
        </w:rPr>
        <w:t>, and</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r</w:t>
      </w:r>
      <w:r w:rsidR="0097248B" w:rsidRPr="008B51C0">
        <w:rPr>
          <w:sz w:val="24"/>
          <w:szCs w:val="24"/>
        </w:rPr>
        <w:t xml:space="preserve">emove a reference to a repealed provision in section 225 of the Act. </w:t>
      </w:r>
    </w:p>
    <w:p w:rsidR="0097248B" w:rsidRPr="008B51C0" w:rsidRDefault="0097248B" w:rsidP="009770AB">
      <w:pPr>
        <w:pStyle w:val="ListParagraph"/>
        <w:keepNext/>
        <w:numPr>
          <w:ilvl w:val="0"/>
          <w:numId w:val="29"/>
        </w:numPr>
        <w:spacing w:after="240"/>
        <w:ind w:left="0" w:firstLine="0"/>
        <w:contextualSpacing w:val="0"/>
        <w:rPr>
          <w:szCs w:val="24"/>
        </w:rPr>
      </w:pPr>
      <w:r w:rsidRPr="008B51C0">
        <w:rPr>
          <w:szCs w:val="24"/>
        </w:rPr>
        <w:t xml:space="preserve">Amendments to the </w:t>
      </w:r>
      <w:r w:rsidRPr="008B51C0">
        <w:rPr>
          <w:i/>
          <w:szCs w:val="24"/>
        </w:rPr>
        <w:t xml:space="preserve">Evidence Act 1995 </w:t>
      </w:r>
      <w:r w:rsidRPr="008B51C0">
        <w:rPr>
          <w:szCs w:val="24"/>
        </w:rPr>
        <w:t>will:</w:t>
      </w:r>
    </w:p>
    <w:p w:rsidR="0097248B" w:rsidRPr="008B51C0" w:rsidRDefault="00CB03F3" w:rsidP="009770AB">
      <w:pPr>
        <w:pStyle w:val="Summary"/>
        <w:keepNext/>
        <w:numPr>
          <w:ilvl w:val="0"/>
          <w:numId w:val="16"/>
        </w:numPr>
        <w:tabs>
          <w:tab w:val="clear" w:pos="390"/>
        </w:tabs>
        <w:ind w:left="1080"/>
        <w:rPr>
          <w:sz w:val="24"/>
          <w:szCs w:val="24"/>
        </w:rPr>
      </w:pPr>
      <w:r w:rsidRPr="008B51C0">
        <w:rPr>
          <w:sz w:val="24"/>
          <w:szCs w:val="24"/>
        </w:rPr>
        <w:t>m</w:t>
      </w:r>
      <w:r w:rsidR="0097248B" w:rsidRPr="008B51C0">
        <w:rPr>
          <w:sz w:val="24"/>
          <w:szCs w:val="24"/>
        </w:rPr>
        <w:t>ove the journali</w:t>
      </w:r>
      <w:r w:rsidR="00B552BC">
        <w:rPr>
          <w:sz w:val="24"/>
          <w:szCs w:val="24"/>
        </w:rPr>
        <w:t>st</w:t>
      </w:r>
      <w:r w:rsidR="00621A43" w:rsidRPr="008B51C0">
        <w:rPr>
          <w:sz w:val="24"/>
          <w:szCs w:val="24"/>
        </w:rPr>
        <w:t xml:space="preserve"> privilege provisions from Division 1A of Part 3.10 to new Division 1C of P</w:t>
      </w:r>
      <w:r w:rsidR="0097248B" w:rsidRPr="008B51C0">
        <w:rPr>
          <w:sz w:val="24"/>
          <w:szCs w:val="24"/>
        </w:rPr>
        <w:t xml:space="preserve">art 3.10 so that the Act accords with the Parliamentary Counsel’s Committee Protocol on Drafting National Uniform Legislation. </w:t>
      </w:r>
    </w:p>
    <w:p w:rsidR="0097248B" w:rsidRPr="008B51C0" w:rsidRDefault="0097248B" w:rsidP="007F7F0C">
      <w:pPr>
        <w:pStyle w:val="ListParagraph"/>
        <w:numPr>
          <w:ilvl w:val="0"/>
          <w:numId w:val="29"/>
        </w:numPr>
        <w:spacing w:after="240"/>
        <w:ind w:left="0" w:firstLine="0"/>
        <w:contextualSpacing w:val="0"/>
        <w:rPr>
          <w:szCs w:val="24"/>
        </w:rPr>
      </w:pPr>
      <w:r w:rsidRPr="008B51C0">
        <w:rPr>
          <w:szCs w:val="24"/>
        </w:rPr>
        <w:t xml:space="preserve">Amendments to the </w:t>
      </w:r>
      <w:r w:rsidRPr="008B51C0">
        <w:rPr>
          <w:i/>
          <w:szCs w:val="24"/>
        </w:rPr>
        <w:t xml:space="preserve">Federal Circuit Court of Australia Act 1999 </w:t>
      </w:r>
      <w:r w:rsidRPr="008B51C0">
        <w:rPr>
          <w:szCs w:val="24"/>
        </w:rPr>
        <w:t xml:space="preserve">will: </w:t>
      </w:r>
    </w:p>
    <w:p w:rsidR="0097248B" w:rsidRPr="008B51C0" w:rsidRDefault="00CB03F3" w:rsidP="0097248B">
      <w:pPr>
        <w:pStyle w:val="Summary"/>
        <w:keepNext/>
        <w:numPr>
          <w:ilvl w:val="0"/>
          <w:numId w:val="16"/>
        </w:numPr>
        <w:tabs>
          <w:tab w:val="clear" w:pos="390"/>
        </w:tabs>
        <w:ind w:left="1080"/>
        <w:rPr>
          <w:sz w:val="24"/>
          <w:szCs w:val="24"/>
        </w:rPr>
      </w:pPr>
      <w:r w:rsidRPr="008B51C0">
        <w:rPr>
          <w:sz w:val="24"/>
          <w:szCs w:val="24"/>
        </w:rPr>
        <w:t>p</w:t>
      </w:r>
      <w:r w:rsidR="0097248B" w:rsidRPr="008B51C0">
        <w:rPr>
          <w:sz w:val="24"/>
          <w:szCs w:val="24"/>
        </w:rPr>
        <w:t>rovide an arrester, who is authorised by the Act, or a warrant issued under the Act or the Rules of Court, with the power to use reasonable force to enter premises to execute an arrest warrant</w:t>
      </w:r>
      <w:r w:rsidRPr="008B51C0">
        <w:rPr>
          <w:sz w:val="24"/>
          <w:szCs w:val="24"/>
        </w:rPr>
        <w:t>, and</w:t>
      </w:r>
      <w:r w:rsidR="0097248B" w:rsidRPr="008B51C0">
        <w:rPr>
          <w:sz w:val="24"/>
          <w:szCs w:val="24"/>
        </w:rPr>
        <w:t xml:space="preserve"> </w:t>
      </w:r>
    </w:p>
    <w:p w:rsidR="0097248B" w:rsidRPr="008B51C0" w:rsidRDefault="00CB03F3" w:rsidP="0097248B">
      <w:pPr>
        <w:pStyle w:val="Summary"/>
        <w:keepNext/>
        <w:numPr>
          <w:ilvl w:val="0"/>
          <w:numId w:val="16"/>
        </w:numPr>
        <w:tabs>
          <w:tab w:val="clear" w:pos="390"/>
        </w:tabs>
        <w:ind w:left="1080"/>
        <w:rPr>
          <w:sz w:val="24"/>
          <w:szCs w:val="24"/>
        </w:rPr>
      </w:pPr>
      <w:r w:rsidRPr="008B51C0">
        <w:rPr>
          <w:sz w:val="24"/>
          <w:szCs w:val="24"/>
        </w:rPr>
        <w:t>r</w:t>
      </w:r>
      <w:r w:rsidR="0097248B" w:rsidRPr="008B51C0">
        <w:rPr>
          <w:sz w:val="24"/>
          <w:szCs w:val="24"/>
        </w:rPr>
        <w:t xml:space="preserve">epeal an obsolete reference and improve readability of the Act. </w:t>
      </w:r>
    </w:p>
    <w:p w:rsidR="0097248B" w:rsidRPr="008B51C0" w:rsidRDefault="0097248B" w:rsidP="007F7F0C">
      <w:pPr>
        <w:pStyle w:val="ListParagraph"/>
        <w:numPr>
          <w:ilvl w:val="0"/>
          <w:numId w:val="29"/>
        </w:numPr>
        <w:spacing w:after="240"/>
        <w:ind w:left="0" w:firstLine="0"/>
        <w:contextualSpacing w:val="0"/>
        <w:rPr>
          <w:szCs w:val="24"/>
        </w:rPr>
      </w:pPr>
      <w:r w:rsidRPr="008B51C0">
        <w:rPr>
          <w:szCs w:val="24"/>
        </w:rPr>
        <w:t xml:space="preserve">Amendments to the </w:t>
      </w:r>
      <w:r w:rsidRPr="008B51C0">
        <w:rPr>
          <w:i/>
          <w:szCs w:val="24"/>
        </w:rPr>
        <w:t xml:space="preserve">Federal Court of Australia Act 1976 </w:t>
      </w:r>
      <w:r w:rsidRPr="008B51C0">
        <w:rPr>
          <w:szCs w:val="24"/>
        </w:rPr>
        <w:t xml:space="preserve">will: </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s</w:t>
      </w:r>
      <w:r w:rsidR="0097248B" w:rsidRPr="008B51C0">
        <w:rPr>
          <w:sz w:val="24"/>
          <w:szCs w:val="24"/>
        </w:rPr>
        <w:t>treamline and enhance the jury empanelment process</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e</w:t>
      </w:r>
      <w:r w:rsidR="0097248B" w:rsidRPr="008B51C0">
        <w:rPr>
          <w:sz w:val="24"/>
          <w:szCs w:val="24"/>
        </w:rPr>
        <w:t>nhance the pre-trial process for indictable offences</w:t>
      </w:r>
      <w:r w:rsidRPr="008B51C0">
        <w:rPr>
          <w:sz w:val="24"/>
          <w:szCs w:val="24"/>
        </w:rPr>
        <w:t>, and</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r</w:t>
      </w:r>
      <w:r w:rsidR="0097248B" w:rsidRPr="008B51C0">
        <w:rPr>
          <w:sz w:val="24"/>
          <w:szCs w:val="24"/>
        </w:rPr>
        <w:t>epeal obsolete provisions, correct legislative oversights and improve the accuracy of the Act.</w:t>
      </w:r>
    </w:p>
    <w:p w:rsidR="0097248B" w:rsidRPr="008B51C0" w:rsidRDefault="0097248B" w:rsidP="0097248B">
      <w:pPr>
        <w:pStyle w:val="ListParagraph"/>
        <w:numPr>
          <w:ilvl w:val="0"/>
          <w:numId w:val="29"/>
        </w:numPr>
        <w:spacing w:after="240"/>
        <w:ind w:left="0" w:firstLine="0"/>
        <w:contextualSpacing w:val="0"/>
        <w:rPr>
          <w:szCs w:val="24"/>
        </w:rPr>
      </w:pPr>
      <w:r w:rsidRPr="008B51C0">
        <w:rPr>
          <w:szCs w:val="24"/>
        </w:rPr>
        <w:t xml:space="preserve">Amendments to the </w:t>
      </w:r>
      <w:r w:rsidRPr="008B51C0">
        <w:rPr>
          <w:i/>
          <w:szCs w:val="24"/>
        </w:rPr>
        <w:t>International Arbitration Act 1974</w:t>
      </w:r>
      <w:r w:rsidRPr="008B51C0">
        <w:rPr>
          <w:szCs w:val="24"/>
        </w:rPr>
        <w:t xml:space="preserve"> will: </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c</w:t>
      </w:r>
      <w:r w:rsidR="0097248B" w:rsidRPr="008B51C0">
        <w:rPr>
          <w:sz w:val="24"/>
          <w:szCs w:val="24"/>
        </w:rPr>
        <w:t xml:space="preserve">orrect the heading of </w:t>
      </w:r>
      <w:r w:rsidR="00621A43" w:rsidRPr="008B51C0">
        <w:rPr>
          <w:sz w:val="24"/>
          <w:szCs w:val="24"/>
        </w:rPr>
        <w:t>P</w:t>
      </w:r>
      <w:r w:rsidR="0097248B" w:rsidRPr="008B51C0">
        <w:rPr>
          <w:sz w:val="24"/>
          <w:szCs w:val="24"/>
        </w:rPr>
        <w:t>art II to better reflect its contents</w:t>
      </w:r>
      <w:r w:rsidRPr="008B51C0">
        <w:rPr>
          <w:sz w:val="24"/>
          <w:szCs w:val="24"/>
        </w:rPr>
        <w:t>,</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s</w:t>
      </w:r>
      <w:r w:rsidR="0097248B" w:rsidRPr="008B51C0">
        <w:rPr>
          <w:sz w:val="24"/>
          <w:szCs w:val="24"/>
        </w:rPr>
        <w:t>implify provisions for enforcement of foreign arbitral awards and improve compliance with the 1958 New York Convention on the Recognition and Enforcement of Foreign Arbitral Awards</w:t>
      </w:r>
      <w:r w:rsidRPr="008B51C0">
        <w:rPr>
          <w:sz w:val="24"/>
          <w:szCs w:val="24"/>
        </w:rPr>
        <w:t>,</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a</w:t>
      </w:r>
      <w:r w:rsidR="0097248B" w:rsidRPr="008B51C0">
        <w:rPr>
          <w:sz w:val="24"/>
          <w:szCs w:val="24"/>
        </w:rPr>
        <w:t>pply confidentiality provisions to arbitral proceedings on an opt-out rather than opt-in basis</w:t>
      </w:r>
      <w:r w:rsidRPr="008B51C0">
        <w:rPr>
          <w:sz w:val="24"/>
          <w:szCs w:val="24"/>
        </w:rPr>
        <w:t>, and</w:t>
      </w:r>
    </w:p>
    <w:p w:rsidR="0097248B" w:rsidRPr="008B51C0" w:rsidRDefault="00CB03F3" w:rsidP="0097248B">
      <w:pPr>
        <w:pStyle w:val="Summary"/>
        <w:numPr>
          <w:ilvl w:val="0"/>
          <w:numId w:val="16"/>
        </w:numPr>
        <w:tabs>
          <w:tab w:val="clear" w:pos="390"/>
        </w:tabs>
        <w:ind w:left="1080"/>
        <w:rPr>
          <w:sz w:val="24"/>
          <w:szCs w:val="24"/>
        </w:rPr>
      </w:pPr>
      <w:r w:rsidRPr="008B51C0">
        <w:rPr>
          <w:sz w:val="24"/>
          <w:szCs w:val="24"/>
        </w:rPr>
        <w:t>r</w:t>
      </w:r>
      <w:r w:rsidR="0097248B" w:rsidRPr="008B51C0">
        <w:rPr>
          <w:sz w:val="24"/>
          <w:szCs w:val="24"/>
        </w:rPr>
        <w:t xml:space="preserve">epeal an obsolete section.  </w:t>
      </w:r>
    </w:p>
    <w:p w:rsidR="0097248B" w:rsidRPr="008B51C0" w:rsidRDefault="0097248B" w:rsidP="0097248B">
      <w:pPr>
        <w:rPr>
          <w:b/>
          <w:szCs w:val="24"/>
        </w:rPr>
      </w:pPr>
      <w:r w:rsidRPr="008B51C0">
        <w:rPr>
          <w:b/>
          <w:szCs w:val="24"/>
        </w:rPr>
        <w:t>Human rights implications</w:t>
      </w:r>
    </w:p>
    <w:p w:rsidR="0097248B" w:rsidRPr="008B51C0" w:rsidRDefault="0097248B" w:rsidP="007F7F0C">
      <w:pPr>
        <w:pStyle w:val="ListParagraph"/>
        <w:numPr>
          <w:ilvl w:val="0"/>
          <w:numId w:val="29"/>
        </w:numPr>
        <w:spacing w:after="240"/>
        <w:ind w:left="0" w:firstLine="0"/>
        <w:contextualSpacing w:val="0"/>
        <w:rPr>
          <w:szCs w:val="24"/>
        </w:rPr>
      </w:pPr>
      <w:r w:rsidRPr="008B51C0">
        <w:rPr>
          <w:szCs w:val="24"/>
        </w:rPr>
        <w:t>The Bill engages the following human rights:</w:t>
      </w:r>
    </w:p>
    <w:p w:rsidR="0097248B" w:rsidRPr="008B51C0" w:rsidRDefault="0097248B" w:rsidP="00CE36BA">
      <w:pPr>
        <w:pStyle w:val="ListParagraph"/>
        <w:numPr>
          <w:ilvl w:val="0"/>
          <w:numId w:val="14"/>
        </w:numPr>
        <w:ind w:left="1134" w:hanging="425"/>
        <w:rPr>
          <w:szCs w:val="24"/>
        </w:rPr>
      </w:pPr>
      <w:r w:rsidRPr="008B51C0">
        <w:rPr>
          <w:szCs w:val="24"/>
        </w:rPr>
        <w:t>the right to an effective remedy – article 2(3) of the International Covenant on Civil and Political Rights (ICCPR)</w:t>
      </w:r>
    </w:p>
    <w:p w:rsidR="0097248B" w:rsidRPr="008B51C0" w:rsidRDefault="0097248B" w:rsidP="00CE36BA">
      <w:pPr>
        <w:pStyle w:val="ListParagraph"/>
        <w:numPr>
          <w:ilvl w:val="0"/>
          <w:numId w:val="14"/>
        </w:numPr>
        <w:ind w:left="1134" w:hanging="425"/>
        <w:rPr>
          <w:szCs w:val="24"/>
        </w:rPr>
      </w:pPr>
      <w:r w:rsidRPr="008B51C0">
        <w:rPr>
          <w:szCs w:val="24"/>
        </w:rPr>
        <w:t>the right to life; the right to security of the person; and the prohibition on torture and cruel, inhuman or degrading treatment or punishment – article 6 of the ICCPR; article 9 of the ICCPR; and article 7 of the ICCPR and the Convention Against Torture and other Cruel, Inhuman or Degrading Treatment or Punishment (CAT)</w:t>
      </w:r>
    </w:p>
    <w:p w:rsidR="0097248B" w:rsidRPr="008B51C0" w:rsidRDefault="0097248B" w:rsidP="00CE36BA">
      <w:pPr>
        <w:pStyle w:val="ListParagraph"/>
        <w:numPr>
          <w:ilvl w:val="0"/>
          <w:numId w:val="14"/>
        </w:numPr>
        <w:ind w:left="1134" w:hanging="425"/>
        <w:rPr>
          <w:szCs w:val="24"/>
        </w:rPr>
      </w:pPr>
      <w:r w:rsidRPr="008B51C0">
        <w:rPr>
          <w:szCs w:val="24"/>
        </w:rPr>
        <w:t>the right to a fair and public hearing</w:t>
      </w:r>
      <w:r w:rsidR="00E900B8" w:rsidRPr="008B51C0">
        <w:rPr>
          <w:szCs w:val="24"/>
        </w:rPr>
        <w:t xml:space="preserve"> – </w:t>
      </w:r>
      <w:r w:rsidRPr="008B51C0">
        <w:rPr>
          <w:szCs w:val="24"/>
        </w:rPr>
        <w:t>article 14(1) of the ICCPR</w:t>
      </w:r>
    </w:p>
    <w:p w:rsidR="0097248B" w:rsidRPr="008B51C0" w:rsidRDefault="0097248B" w:rsidP="00CE36BA">
      <w:pPr>
        <w:pStyle w:val="ListParagraph"/>
        <w:numPr>
          <w:ilvl w:val="0"/>
          <w:numId w:val="14"/>
        </w:numPr>
        <w:ind w:left="1134" w:hanging="425"/>
        <w:rPr>
          <w:szCs w:val="24"/>
        </w:rPr>
      </w:pPr>
      <w:r w:rsidRPr="008B51C0">
        <w:rPr>
          <w:szCs w:val="24"/>
        </w:rPr>
        <w:t>the right to privacy – article 17(1) of the ICCPR</w:t>
      </w:r>
      <w:r w:rsidR="00CB03F3" w:rsidRPr="008B51C0">
        <w:rPr>
          <w:szCs w:val="24"/>
        </w:rPr>
        <w:t>, and</w:t>
      </w:r>
    </w:p>
    <w:p w:rsidR="0097248B" w:rsidRPr="008B51C0" w:rsidRDefault="0097248B" w:rsidP="00CE36BA">
      <w:pPr>
        <w:pStyle w:val="ListParagraph"/>
        <w:numPr>
          <w:ilvl w:val="0"/>
          <w:numId w:val="14"/>
        </w:numPr>
        <w:spacing w:after="240"/>
        <w:ind w:left="1134" w:hanging="425"/>
        <w:rPr>
          <w:szCs w:val="24"/>
        </w:rPr>
      </w:pPr>
      <w:r w:rsidRPr="008B51C0">
        <w:rPr>
          <w:szCs w:val="24"/>
        </w:rPr>
        <w:t>the right to freedom of opinion and expression – articles 19(1) and (2) of the ICCPR</w:t>
      </w:r>
      <w:r w:rsidR="00CB03F3" w:rsidRPr="008B51C0">
        <w:rPr>
          <w:szCs w:val="24"/>
        </w:rPr>
        <w:t>.</w:t>
      </w:r>
    </w:p>
    <w:p w:rsidR="0097248B" w:rsidRPr="008B51C0" w:rsidRDefault="0097248B" w:rsidP="0097248B">
      <w:pPr>
        <w:pStyle w:val="Heading6"/>
        <w:spacing w:before="0" w:after="240"/>
        <w:rPr>
          <w:szCs w:val="24"/>
          <w:u w:val="single"/>
        </w:rPr>
      </w:pPr>
      <w:r w:rsidRPr="008B51C0">
        <w:rPr>
          <w:szCs w:val="24"/>
          <w:u w:val="single"/>
        </w:rPr>
        <w:t>The right to an effective remedy</w:t>
      </w:r>
    </w:p>
    <w:p w:rsidR="0097248B" w:rsidRPr="008B51C0" w:rsidRDefault="0097248B" w:rsidP="0097248B">
      <w:pPr>
        <w:pStyle w:val="Heading6"/>
        <w:spacing w:before="0" w:after="240"/>
        <w:rPr>
          <w:szCs w:val="24"/>
        </w:rPr>
      </w:pPr>
      <w:r w:rsidRPr="008B51C0">
        <w:rPr>
          <w:szCs w:val="24"/>
        </w:rPr>
        <w:t>Administrative Appeals Tribunal Act 1975</w:t>
      </w:r>
    </w:p>
    <w:p w:rsidR="00DF7925" w:rsidRPr="008B51C0" w:rsidRDefault="00DF7925" w:rsidP="00DF7925">
      <w:pPr>
        <w:pStyle w:val="ListParagraph"/>
        <w:numPr>
          <w:ilvl w:val="0"/>
          <w:numId w:val="29"/>
        </w:numPr>
        <w:spacing w:after="240"/>
        <w:ind w:left="0" w:firstLine="0"/>
        <w:contextualSpacing w:val="0"/>
        <w:rPr>
          <w:szCs w:val="24"/>
        </w:rPr>
      </w:pPr>
      <w:r w:rsidRPr="008B51C0">
        <w:rPr>
          <w:szCs w:val="24"/>
        </w:rPr>
        <w:t xml:space="preserve">Items 1 to 4 of Schedule 1 of the Bill will amend the Administrative Appeals Tribunal Act to provide that other people may be made a party to a review and require notification that an application has been made. The amendments also provide that a party to a proceeding, other than the applicant or the decision maker, may request the Tribunal to reinstate an application that has been dismissed.  </w:t>
      </w:r>
    </w:p>
    <w:p w:rsidR="004D4E67" w:rsidRPr="008B51C0" w:rsidRDefault="00DF7925" w:rsidP="00DF7925">
      <w:pPr>
        <w:pStyle w:val="ListParagraph"/>
        <w:numPr>
          <w:ilvl w:val="0"/>
          <w:numId w:val="29"/>
        </w:numPr>
        <w:spacing w:after="240"/>
        <w:ind w:left="0" w:firstLine="0"/>
        <w:contextualSpacing w:val="0"/>
        <w:rPr>
          <w:szCs w:val="24"/>
        </w:rPr>
      </w:pPr>
      <w:r w:rsidRPr="008B51C0">
        <w:rPr>
          <w:szCs w:val="24"/>
        </w:rPr>
        <w:t xml:space="preserve">Article 2(3) of the ICCPR requires the Government to ensure that, where a person’s rights or freedoms are violated under the ICCPR, they have access to an effective and enforceable remedy determined by competent judicial, administrative or legislative authorities. </w:t>
      </w:r>
    </w:p>
    <w:p w:rsidR="00DF7925" w:rsidRPr="008B51C0" w:rsidRDefault="00DF7925" w:rsidP="00DF7925">
      <w:pPr>
        <w:pStyle w:val="ListParagraph"/>
        <w:numPr>
          <w:ilvl w:val="0"/>
          <w:numId w:val="29"/>
        </w:numPr>
        <w:spacing w:after="240"/>
        <w:ind w:left="0" w:firstLine="0"/>
        <w:contextualSpacing w:val="0"/>
        <w:rPr>
          <w:szCs w:val="24"/>
        </w:rPr>
      </w:pPr>
      <w:r w:rsidRPr="008B51C0">
        <w:rPr>
          <w:szCs w:val="24"/>
        </w:rPr>
        <w:t>The A</w:t>
      </w:r>
      <w:r w:rsidR="00BA755A" w:rsidRPr="008B51C0">
        <w:rPr>
          <w:szCs w:val="24"/>
        </w:rPr>
        <w:t xml:space="preserve">dministrative </w:t>
      </w:r>
      <w:r w:rsidRPr="008B51C0">
        <w:rPr>
          <w:szCs w:val="24"/>
        </w:rPr>
        <w:t>A</w:t>
      </w:r>
      <w:r w:rsidR="00BA755A" w:rsidRPr="008B51C0">
        <w:rPr>
          <w:szCs w:val="24"/>
        </w:rPr>
        <w:t xml:space="preserve">ppeals </w:t>
      </w:r>
      <w:r w:rsidRPr="008B51C0">
        <w:rPr>
          <w:szCs w:val="24"/>
        </w:rPr>
        <w:t>T</w:t>
      </w:r>
      <w:r w:rsidR="00BA755A" w:rsidRPr="008B51C0">
        <w:rPr>
          <w:szCs w:val="24"/>
        </w:rPr>
        <w:t>ribunal</w:t>
      </w:r>
      <w:r w:rsidR="00F96499" w:rsidRPr="008B51C0">
        <w:rPr>
          <w:szCs w:val="24"/>
        </w:rPr>
        <w:t xml:space="preserve"> (the AAT)</w:t>
      </w:r>
      <w:r w:rsidRPr="008B51C0">
        <w:rPr>
          <w:szCs w:val="24"/>
        </w:rPr>
        <w:t xml:space="preserve"> performs a critical role in the review of government decisions by performing a merits review funct</w:t>
      </w:r>
      <w:r w:rsidR="004D4E67" w:rsidRPr="008B51C0">
        <w:rPr>
          <w:szCs w:val="24"/>
        </w:rPr>
        <w:t>ion which</w:t>
      </w:r>
      <w:r w:rsidRPr="008B51C0">
        <w:rPr>
          <w:szCs w:val="24"/>
        </w:rPr>
        <w:t xml:space="preserve"> is an administrative process created by statute. In reviewing administrative decisions, the role of the Tribunal is to ensure the correct or preferable decision is made based on the information before it.  </w:t>
      </w:r>
    </w:p>
    <w:p w:rsidR="00DF7925" w:rsidRPr="008B51C0" w:rsidRDefault="00DF7925" w:rsidP="00DF7925">
      <w:pPr>
        <w:pStyle w:val="ListParagraph"/>
        <w:numPr>
          <w:ilvl w:val="0"/>
          <w:numId w:val="29"/>
        </w:numPr>
        <w:spacing w:after="240"/>
        <w:ind w:left="0" w:firstLine="0"/>
        <w:contextualSpacing w:val="0"/>
        <w:rPr>
          <w:szCs w:val="24"/>
        </w:rPr>
      </w:pPr>
      <w:r w:rsidRPr="008B51C0">
        <w:rPr>
          <w:szCs w:val="24"/>
        </w:rPr>
        <w:t>These amendments will promote the right to an effective remedy by ensuring that persons with an interest in an AAT matter are given a reasonable opportunity to engage with the merits review process.</w:t>
      </w:r>
    </w:p>
    <w:p w:rsidR="0097248B" w:rsidRPr="008B51C0" w:rsidRDefault="0097248B" w:rsidP="0097248B">
      <w:pPr>
        <w:spacing w:before="0" w:after="240"/>
        <w:rPr>
          <w:i/>
          <w:szCs w:val="24"/>
          <w:u w:val="single"/>
        </w:rPr>
      </w:pPr>
      <w:r w:rsidRPr="008B51C0">
        <w:rPr>
          <w:i/>
          <w:szCs w:val="24"/>
          <w:u w:val="single"/>
        </w:rPr>
        <w:t>The right to life; the right to security of the person; and the prohibition on torture and other cruel, inhuman or degrading treatment or punishment</w:t>
      </w:r>
    </w:p>
    <w:p w:rsidR="0097248B" w:rsidRPr="008B51C0" w:rsidRDefault="0097248B" w:rsidP="0097248B">
      <w:pPr>
        <w:pStyle w:val="Heading6"/>
        <w:spacing w:before="0" w:after="240"/>
        <w:rPr>
          <w:szCs w:val="24"/>
        </w:rPr>
      </w:pPr>
      <w:r w:rsidRPr="008B51C0">
        <w:rPr>
          <w:szCs w:val="24"/>
        </w:rPr>
        <w:t>Federal Circuit Court of Australia Act 1999</w:t>
      </w:r>
    </w:p>
    <w:p w:rsidR="00DA7D9C" w:rsidRPr="008B51C0" w:rsidRDefault="007F6527" w:rsidP="00DA7D9C">
      <w:pPr>
        <w:pStyle w:val="ListParagraph"/>
        <w:numPr>
          <w:ilvl w:val="0"/>
          <w:numId w:val="29"/>
        </w:numPr>
        <w:spacing w:after="240"/>
        <w:ind w:left="0" w:firstLine="0"/>
        <w:contextualSpacing w:val="0"/>
        <w:rPr>
          <w:szCs w:val="24"/>
        </w:rPr>
      </w:pPr>
      <w:r w:rsidRPr="008B51C0">
        <w:rPr>
          <w:szCs w:val="24"/>
        </w:rPr>
        <w:t>Item 3</w:t>
      </w:r>
      <w:r w:rsidR="0097248B" w:rsidRPr="008B51C0">
        <w:rPr>
          <w:szCs w:val="24"/>
        </w:rPr>
        <w:t>7 of Schedule 1 of the Bill will amend the Federal Circuit Court of Australia Act to provide an arrester, who is authorised by the Act, or a warrant issued under the Act or the Rules of Court, with the power to</w:t>
      </w:r>
      <w:r w:rsidR="009B67EC" w:rsidRPr="008B51C0">
        <w:rPr>
          <w:szCs w:val="24"/>
        </w:rPr>
        <w:t xml:space="preserve"> use such force</w:t>
      </w:r>
      <w:bookmarkStart w:id="1" w:name="BK_S3P8L23C54"/>
      <w:bookmarkEnd w:id="1"/>
      <w:r w:rsidR="009B67EC" w:rsidRPr="008B51C0">
        <w:rPr>
          <w:szCs w:val="24"/>
        </w:rPr>
        <w:t xml:space="preserve"> as is necessary and reasonable in the circumstances</w:t>
      </w:r>
      <w:r w:rsidR="0097248B" w:rsidRPr="008B51C0">
        <w:rPr>
          <w:szCs w:val="24"/>
        </w:rPr>
        <w:t xml:space="preserve"> to enter premises to execute an arrest warrant. </w:t>
      </w:r>
    </w:p>
    <w:p w:rsidR="00DA7D9C" w:rsidRPr="008B51C0" w:rsidRDefault="0097248B" w:rsidP="00DA7D9C">
      <w:pPr>
        <w:pStyle w:val="ListParagraph"/>
        <w:numPr>
          <w:ilvl w:val="0"/>
          <w:numId w:val="29"/>
        </w:numPr>
        <w:spacing w:after="240"/>
        <w:ind w:left="0" w:firstLine="0"/>
        <w:contextualSpacing w:val="0"/>
        <w:rPr>
          <w:szCs w:val="24"/>
        </w:rPr>
      </w:pPr>
      <w:r w:rsidRPr="008B51C0">
        <w:rPr>
          <w:szCs w:val="24"/>
        </w:rPr>
        <w:t xml:space="preserve">Currently, the </w:t>
      </w:r>
      <w:r w:rsidRPr="008B51C0">
        <w:rPr>
          <w:i/>
          <w:szCs w:val="24"/>
        </w:rPr>
        <w:t>Federal Circuit Court Rules 2001</w:t>
      </w:r>
      <w:r w:rsidRPr="008B51C0">
        <w:rPr>
          <w:szCs w:val="24"/>
        </w:rPr>
        <w:t xml:space="preserve"> provide that the Federal Circuit Court may issue a warrant where a respondent who is required to attend court fails to attend court on the date fixed for attendance. </w:t>
      </w:r>
      <w:r w:rsidR="006942A6" w:rsidRPr="008B51C0">
        <w:rPr>
          <w:szCs w:val="24"/>
        </w:rPr>
        <w:t>T</w:t>
      </w:r>
      <w:r w:rsidRPr="008B51C0">
        <w:rPr>
          <w:szCs w:val="24"/>
        </w:rPr>
        <w:t>here is</w:t>
      </w:r>
      <w:r w:rsidR="006942A6" w:rsidRPr="008B51C0">
        <w:rPr>
          <w:szCs w:val="24"/>
        </w:rPr>
        <w:t>, however,</w:t>
      </w:r>
      <w:r w:rsidRPr="008B51C0">
        <w:rPr>
          <w:szCs w:val="24"/>
        </w:rPr>
        <w:t xml:space="preserve"> uncertainty about whether reasonable force can be used to enter premises to execute an arrest warrant. This means that circumstances can arise where an arrest warrant is unable to be executed because an arrestee is inside premises. This can delay the Court process and burden the justice system. </w:t>
      </w:r>
    </w:p>
    <w:p w:rsidR="00DA7D9C" w:rsidRPr="008B51C0" w:rsidRDefault="0097248B" w:rsidP="00DA7D9C">
      <w:pPr>
        <w:pStyle w:val="ListParagraph"/>
        <w:numPr>
          <w:ilvl w:val="0"/>
          <w:numId w:val="29"/>
        </w:numPr>
        <w:spacing w:after="240"/>
        <w:ind w:left="0" w:firstLine="0"/>
        <w:contextualSpacing w:val="0"/>
        <w:rPr>
          <w:szCs w:val="24"/>
        </w:rPr>
      </w:pPr>
      <w:r w:rsidRPr="008B51C0">
        <w:rPr>
          <w:szCs w:val="24"/>
        </w:rPr>
        <w:t xml:space="preserve">The proposed amendments engage the right to security of the person in article 9 and the right to life in article 6 of the ICCPR and require the provision of reasonable measures to protect a person's physical security. They also engage the prohibition on torture and cruel, inhuman or degrading treatment or punishment in article 7 of the ICCPR and in CAT. </w:t>
      </w:r>
    </w:p>
    <w:p w:rsidR="00DA7D9C" w:rsidRPr="008B51C0" w:rsidRDefault="0097248B" w:rsidP="00DA7D9C">
      <w:pPr>
        <w:pStyle w:val="ListParagraph"/>
        <w:numPr>
          <w:ilvl w:val="0"/>
          <w:numId w:val="29"/>
        </w:numPr>
        <w:spacing w:before="0" w:after="240"/>
        <w:ind w:left="0" w:firstLine="0"/>
        <w:contextualSpacing w:val="0"/>
        <w:rPr>
          <w:szCs w:val="24"/>
        </w:rPr>
      </w:pPr>
      <w:r w:rsidRPr="008B51C0">
        <w:rPr>
          <w:szCs w:val="24"/>
        </w:rPr>
        <w:t xml:space="preserve">The proposed amendments seek to achieve the legitimate objective of ensuring an arrestee is able to be arrested and brought promptly before the Court in circumstances where they may otherwise attempt to evade arrest by staying inside premises. </w:t>
      </w:r>
    </w:p>
    <w:p w:rsidR="00954362" w:rsidRPr="008B51C0" w:rsidRDefault="0097248B" w:rsidP="0097248B">
      <w:pPr>
        <w:pStyle w:val="ListParagraph"/>
        <w:numPr>
          <w:ilvl w:val="0"/>
          <w:numId w:val="29"/>
        </w:numPr>
        <w:spacing w:before="0" w:after="240"/>
        <w:ind w:left="0" w:firstLine="0"/>
        <w:contextualSpacing w:val="0"/>
        <w:rPr>
          <w:szCs w:val="24"/>
        </w:rPr>
      </w:pPr>
      <w:r w:rsidRPr="008B51C0">
        <w:rPr>
          <w:szCs w:val="24"/>
        </w:rPr>
        <w:t>The proposed new power is reasonable and proportionate to this objective. Police officers, court sheriffs and deputy court sheriffs (the arresters) will be the only persons able to exercise this power and will only be able to enter premises using such force as is necessary and reasonable in the circumstances if they reasonably believe the arrestee is on premises</w:t>
      </w:r>
      <w:r w:rsidR="00954362" w:rsidRPr="008B51C0">
        <w:rPr>
          <w:iCs/>
          <w:szCs w:val="24"/>
        </w:rPr>
        <w:t>.</w:t>
      </w:r>
    </w:p>
    <w:p w:rsidR="00B82A7E" w:rsidRPr="008B51C0" w:rsidRDefault="00C3638F" w:rsidP="00B82A7E">
      <w:pPr>
        <w:pStyle w:val="ListParagraph"/>
        <w:numPr>
          <w:ilvl w:val="0"/>
          <w:numId w:val="29"/>
        </w:numPr>
        <w:spacing w:before="0" w:after="240"/>
        <w:ind w:left="0" w:firstLine="0"/>
        <w:contextualSpacing w:val="0"/>
        <w:rPr>
          <w:szCs w:val="24"/>
        </w:rPr>
      </w:pPr>
      <w:r w:rsidRPr="008B51C0">
        <w:rPr>
          <w:szCs w:val="24"/>
        </w:rPr>
        <w:t>Moreover, new section 113A(4)</w:t>
      </w:r>
      <w:r w:rsidR="00684F54" w:rsidRPr="008B51C0">
        <w:rPr>
          <w:szCs w:val="24"/>
        </w:rPr>
        <w:t xml:space="preserve"> of the Federal Court of Australia Act,</w:t>
      </w:r>
      <w:r w:rsidR="009029B1" w:rsidRPr="008B51C0">
        <w:rPr>
          <w:szCs w:val="24"/>
        </w:rPr>
        <w:t xml:space="preserve"> which will be</w:t>
      </w:r>
      <w:r w:rsidR="008D376D" w:rsidRPr="008B51C0">
        <w:rPr>
          <w:szCs w:val="24"/>
        </w:rPr>
        <w:t xml:space="preserve"> inserted by item 3</w:t>
      </w:r>
      <w:r w:rsidR="00684F54" w:rsidRPr="008B51C0">
        <w:rPr>
          <w:szCs w:val="24"/>
        </w:rPr>
        <w:t>7 of the Bill,</w:t>
      </w:r>
      <w:r w:rsidR="009950FF" w:rsidRPr="008B51C0">
        <w:rPr>
          <w:szCs w:val="24"/>
        </w:rPr>
        <w:t xml:space="preserve"> will</w:t>
      </w:r>
      <w:r w:rsidRPr="008B51C0">
        <w:rPr>
          <w:szCs w:val="24"/>
        </w:rPr>
        <w:t xml:space="preserve"> provide</w:t>
      </w:r>
      <w:r w:rsidR="00684F54" w:rsidRPr="008B51C0">
        <w:rPr>
          <w:szCs w:val="24"/>
        </w:rPr>
        <w:t xml:space="preserve"> significant</w:t>
      </w:r>
      <w:r w:rsidR="00B82A7E" w:rsidRPr="008B51C0">
        <w:rPr>
          <w:szCs w:val="24"/>
        </w:rPr>
        <w:t xml:space="preserve"> safeguards to prevent arresters using more force than is necessary in the course of arresting the arrestee. For example, it will provide, among other things, that </w:t>
      </w:r>
      <w:r w:rsidRPr="008B51C0">
        <w:rPr>
          <w:szCs w:val="24"/>
        </w:rPr>
        <w:t>in the course of arres</w:t>
      </w:r>
      <w:r w:rsidR="00B82A7E" w:rsidRPr="008B51C0">
        <w:rPr>
          <w:szCs w:val="24"/>
        </w:rPr>
        <w:t xml:space="preserve">ting the arrestee, the arrester </w:t>
      </w:r>
      <w:r w:rsidRPr="008B51C0">
        <w:rPr>
          <w:szCs w:val="24"/>
        </w:rPr>
        <w:t>must not</w:t>
      </w:r>
      <w:r w:rsidR="00B82A7E" w:rsidRPr="008B51C0">
        <w:rPr>
          <w:szCs w:val="24"/>
        </w:rPr>
        <w:t>:</w:t>
      </w:r>
    </w:p>
    <w:p w:rsidR="00B82A7E" w:rsidRPr="008B51C0" w:rsidRDefault="00C3638F" w:rsidP="00B82A7E">
      <w:pPr>
        <w:pStyle w:val="ListParagraph"/>
        <w:numPr>
          <w:ilvl w:val="0"/>
          <w:numId w:val="42"/>
        </w:numPr>
        <w:spacing w:before="0" w:after="240"/>
        <w:contextualSpacing w:val="0"/>
        <w:rPr>
          <w:szCs w:val="24"/>
        </w:rPr>
      </w:pPr>
      <w:r w:rsidRPr="008B51C0">
        <w:rPr>
          <w:szCs w:val="24"/>
        </w:rPr>
        <w:t>use more force, or subject the arrestee to greater indignity, than is necessary and reasonable to make the arrest</w:t>
      </w:r>
      <w:r w:rsidR="00B82A7E" w:rsidRPr="008B51C0">
        <w:rPr>
          <w:szCs w:val="24"/>
        </w:rPr>
        <w:t>, and</w:t>
      </w:r>
    </w:p>
    <w:p w:rsidR="00B82A7E" w:rsidRPr="008B51C0" w:rsidRDefault="00C3638F" w:rsidP="00B82A7E">
      <w:pPr>
        <w:pStyle w:val="ListParagraph"/>
        <w:numPr>
          <w:ilvl w:val="0"/>
          <w:numId w:val="42"/>
        </w:numPr>
        <w:spacing w:before="0" w:after="240"/>
        <w:contextualSpacing w:val="0"/>
        <w:rPr>
          <w:szCs w:val="24"/>
        </w:rPr>
      </w:pPr>
      <w:r w:rsidRPr="008B51C0">
        <w:rPr>
          <w:szCs w:val="24"/>
        </w:rPr>
        <w:t>must not do anything that is likely to cause the death of, or grievous bodily harm to, the arrestee unless the arrester reasonably believes that doing that thing is necessary to protect life or prevent serious injury to another pers</w:t>
      </w:r>
      <w:r w:rsidR="004D727E" w:rsidRPr="008B51C0">
        <w:rPr>
          <w:szCs w:val="24"/>
        </w:rPr>
        <w:t>on</w:t>
      </w:r>
      <w:r w:rsidR="00B82A7E" w:rsidRPr="008B51C0">
        <w:rPr>
          <w:szCs w:val="24"/>
        </w:rPr>
        <w:t xml:space="preserve">. </w:t>
      </w:r>
    </w:p>
    <w:p w:rsidR="00B038A1" w:rsidRPr="008B51C0" w:rsidRDefault="0097248B" w:rsidP="00B038A1">
      <w:pPr>
        <w:pStyle w:val="ListParagraph"/>
        <w:numPr>
          <w:ilvl w:val="0"/>
          <w:numId w:val="29"/>
        </w:numPr>
        <w:spacing w:before="0" w:after="240"/>
        <w:ind w:left="0" w:firstLine="0"/>
        <w:contextualSpacing w:val="0"/>
        <w:rPr>
          <w:szCs w:val="24"/>
        </w:rPr>
      </w:pPr>
      <w:r w:rsidRPr="008B51C0">
        <w:rPr>
          <w:szCs w:val="24"/>
        </w:rPr>
        <w:t xml:space="preserve">Arresters who do not adhere to the safeguards provided in this item may face criminal charges, particularly if they are found to have used more force than is reasonably necessary to make the arrest. </w:t>
      </w:r>
    </w:p>
    <w:p w:rsidR="00DA7D9C" w:rsidRPr="008B51C0" w:rsidRDefault="0097248B" w:rsidP="00B038A1">
      <w:pPr>
        <w:pStyle w:val="ListParagraph"/>
        <w:numPr>
          <w:ilvl w:val="0"/>
          <w:numId w:val="29"/>
        </w:numPr>
        <w:spacing w:before="0" w:after="240"/>
        <w:ind w:left="0" w:firstLine="0"/>
        <w:contextualSpacing w:val="0"/>
        <w:rPr>
          <w:szCs w:val="24"/>
        </w:rPr>
      </w:pPr>
      <w:r w:rsidRPr="008B51C0">
        <w:rPr>
          <w:szCs w:val="24"/>
        </w:rPr>
        <w:t>These amendments will not change the already established grounds and procedures for arrest and detention</w:t>
      </w:r>
      <w:r w:rsidR="00B038A1" w:rsidRPr="008B51C0">
        <w:rPr>
          <w:szCs w:val="24"/>
        </w:rPr>
        <w:t>.</w:t>
      </w:r>
    </w:p>
    <w:p w:rsidR="0097248B" w:rsidRPr="008B51C0" w:rsidRDefault="0097248B" w:rsidP="00DA7D9C">
      <w:pPr>
        <w:pStyle w:val="ListParagraph"/>
        <w:numPr>
          <w:ilvl w:val="0"/>
          <w:numId w:val="29"/>
        </w:numPr>
        <w:spacing w:before="0" w:after="240"/>
        <w:ind w:left="0" w:firstLine="0"/>
        <w:contextualSpacing w:val="0"/>
        <w:rPr>
          <w:szCs w:val="24"/>
        </w:rPr>
      </w:pPr>
      <w:r w:rsidRPr="008B51C0">
        <w:rPr>
          <w:szCs w:val="24"/>
        </w:rPr>
        <w:t xml:space="preserve">These amendments are consistent with the rights to life, security of the person and the prohibition on torture and cruel, inhuman and degrading treatment and punishment because they are aimed at the legitimate and lawful objective of bringing a person who is the subject of an arrest warrant before the Court. Furthermore, these amendments are reasonable, necessary and proportionate to the objective of achieving the efficient administration of justice. </w:t>
      </w:r>
    </w:p>
    <w:p w:rsidR="0097248B" w:rsidRPr="008B51C0" w:rsidRDefault="0097248B" w:rsidP="0097248B">
      <w:pPr>
        <w:pStyle w:val="Heading6"/>
        <w:spacing w:before="0" w:after="240"/>
        <w:rPr>
          <w:szCs w:val="24"/>
          <w:u w:val="single"/>
        </w:rPr>
      </w:pPr>
      <w:r w:rsidRPr="008B51C0">
        <w:rPr>
          <w:szCs w:val="24"/>
          <w:u w:val="single"/>
        </w:rPr>
        <w:t>The right to a fair and public hearing</w:t>
      </w:r>
    </w:p>
    <w:p w:rsidR="0097248B" w:rsidRPr="008B51C0" w:rsidRDefault="0097248B" w:rsidP="00DA7D9C">
      <w:pPr>
        <w:pStyle w:val="ListParagraph"/>
        <w:numPr>
          <w:ilvl w:val="0"/>
          <w:numId w:val="29"/>
        </w:numPr>
        <w:spacing w:before="0" w:after="240"/>
        <w:ind w:left="0" w:firstLine="0"/>
        <w:contextualSpacing w:val="0"/>
        <w:rPr>
          <w:szCs w:val="24"/>
        </w:rPr>
      </w:pPr>
      <w:r w:rsidRPr="008B51C0">
        <w:rPr>
          <w:szCs w:val="24"/>
        </w:rPr>
        <w:t xml:space="preserve">Article 14(1) of the ICCPR sets out the right to a fair and public hearing and requires that that all persons are equal before courts and tribunals and that they have right to a fair and public hearing before a competent, independent and impartial court or tribunal established by law. </w:t>
      </w:r>
    </w:p>
    <w:p w:rsidR="0097248B" w:rsidRPr="008B51C0" w:rsidRDefault="0097248B" w:rsidP="0097248B">
      <w:pPr>
        <w:pStyle w:val="Heading6"/>
        <w:spacing w:before="0" w:after="240"/>
        <w:rPr>
          <w:szCs w:val="24"/>
        </w:rPr>
      </w:pPr>
      <w:r w:rsidRPr="008B51C0">
        <w:rPr>
          <w:szCs w:val="24"/>
        </w:rPr>
        <w:t>Administrative Appeals Tribunal Act 1975</w:t>
      </w:r>
    </w:p>
    <w:p w:rsidR="00DA7D9C" w:rsidRPr="008B51C0" w:rsidRDefault="0097248B" w:rsidP="0097248B">
      <w:pPr>
        <w:pStyle w:val="ListParagraph"/>
        <w:numPr>
          <w:ilvl w:val="0"/>
          <w:numId w:val="29"/>
        </w:numPr>
        <w:spacing w:before="0" w:after="240"/>
        <w:ind w:left="0" w:firstLine="0"/>
        <w:contextualSpacing w:val="0"/>
        <w:rPr>
          <w:szCs w:val="24"/>
        </w:rPr>
      </w:pPr>
      <w:r w:rsidRPr="008B51C0">
        <w:rPr>
          <w:szCs w:val="24"/>
        </w:rPr>
        <w:t xml:space="preserve">As described above, items 1 to 4 of Schedule 1 of the Bill will amend the Administrative Appeals Tribunal Act to provide that other people may be made a party to a review and require notification that an application has been made. The amendments also provide that a party to a proceeding, other than the applicant or the decision maker, may request the Tribunal to reinstate an application that has been dismissed.   </w:t>
      </w:r>
    </w:p>
    <w:p w:rsidR="00193584" w:rsidRPr="008B51C0" w:rsidRDefault="0097248B" w:rsidP="00193584">
      <w:pPr>
        <w:pStyle w:val="ListParagraph"/>
        <w:numPr>
          <w:ilvl w:val="0"/>
          <w:numId w:val="29"/>
        </w:numPr>
        <w:spacing w:before="0" w:after="240"/>
        <w:ind w:left="0" w:firstLine="0"/>
        <w:contextualSpacing w:val="0"/>
        <w:rPr>
          <w:szCs w:val="24"/>
        </w:rPr>
      </w:pPr>
      <w:r w:rsidRPr="008B51C0">
        <w:rPr>
          <w:szCs w:val="24"/>
        </w:rPr>
        <w:t>These amendments promote the right to a fair hearing by ensuring that persons with an interest in a matter are given a reasonable opportunity to engage with the A</w:t>
      </w:r>
      <w:r w:rsidR="00482E10" w:rsidRPr="008B51C0">
        <w:rPr>
          <w:szCs w:val="24"/>
        </w:rPr>
        <w:t xml:space="preserve">dministrative </w:t>
      </w:r>
      <w:r w:rsidRPr="008B51C0">
        <w:rPr>
          <w:szCs w:val="24"/>
        </w:rPr>
        <w:t>A</w:t>
      </w:r>
      <w:r w:rsidR="00482E10" w:rsidRPr="008B51C0">
        <w:rPr>
          <w:szCs w:val="24"/>
        </w:rPr>
        <w:t xml:space="preserve">ppeals </w:t>
      </w:r>
      <w:r w:rsidRPr="008B51C0">
        <w:rPr>
          <w:szCs w:val="24"/>
        </w:rPr>
        <w:t>T</w:t>
      </w:r>
      <w:r w:rsidR="00482E10" w:rsidRPr="008B51C0">
        <w:rPr>
          <w:szCs w:val="24"/>
        </w:rPr>
        <w:t>ribunal (the AAT)</w:t>
      </w:r>
      <w:r w:rsidRPr="008B51C0">
        <w:rPr>
          <w:szCs w:val="24"/>
        </w:rPr>
        <w:t xml:space="preserve"> review process.</w:t>
      </w:r>
    </w:p>
    <w:p w:rsidR="00193584" w:rsidRPr="008B51C0" w:rsidRDefault="00482E10" w:rsidP="00193584">
      <w:pPr>
        <w:pStyle w:val="ListParagraph"/>
        <w:numPr>
          <w:ilvl w:val="0"/>
          <w:numId w:val="29"/>
        </w:numPr>
        <w:spacing w:before="0" w:after="240"/>
        <w:ind w:left="0" w:firstLine="0"/>
        <w:contextualSpacing w:val="0"/>
        <w:rPr>
          <w:szCs w:val="24"/>
        </w:rPr>
      </w:pPr>
      <w:r w:rsidRPr="008B51C0">
        <w:rPr>
          <w:szCs w:val="24"/>
        </w:rPr>
        <w:t>Item 2 will</w:t>
      </w:r>
      <w:r w:rsidR="00193584" w:rsidRPr="008B51C0">
        <w:rPr>
          <w:szCs w:val="24"/>
        </w:rPr>
        <w:t xml:space="preserve"> engage the right to a fair and public hearing by clarifying the</w:t>
      </w:r>
      <w:r w:rsidRPr="008B51C0">
        <w:rPr>
          <w:szCs w:val="24"/>
        </w:rPr>
        <w:t xml:space="preserve"> existing power for the AAT</w:t>
      </w:r>
      <w:r w:rsidR="00193584" w:rsidRPr="008B51C0">
        <w:rPr>
          <w:szCs w:val="24"/>
        </w:rPr>
        <w:t xml:space="preserve"> to make orders preventing the publication or disclosure of information relating to a proceeding, to make it clear that such orders may apply to all parties to an AAT review.</w:t>
      </w:r>
    </w:p>
    <w:p w:rsidR="00193584" w:rsidRPr="008B51C0" w:rsidRDefault="00193584" w:rsidP="00193584">
      <w:pPr>
        <w:pStyle w:val="ListParagraph"/>
        <w:numPr>
          <w:ilvl w:val="0"/>
          <w:numId w:val="29"/>
        </w:numPr>
        <w:spacing w:before="0" w:after="240"/>
        <w:ind w:left="0" w:firstLine="0"/>
        <w:contextualSpacing w:val="0"/>
        <w:rPr>
          <w:szCs w:val="24"/>
        </w:rPr>
      </w:pPr>
      <w:r w:rsidRPr="008B51C0">
        <w:rPr>
          <w:szCs w:val="24"/>
        </w:rPr>
        <w:t>The amendment is reasonable, necessary and proportionate. There will be strong reasons for confidentiality in respect of certain information before the Tribunal. For example, in child support reviews, there may be safety reasons why information relating to the address of one or both parties should be suppressed. Similarly, there may be national security reasons why certain information should not</w:t>
      </w:r>
      <w:r w:rsidR="00674757" w:rsidRPr="008B51C0">
        <w:rPr>
          <w:szCs w:val="24"/>
        </w:rPr>
        <w:t xml:space="preserve"> be disclosed to either party. </w:t>
      </w:r>
      <w:r w:rsidRPr="008B51C0">
        <w:rPr>
          <w:szCs w:val="24"/>
        </w:rPr>
        <w:t xml:space="preserve">The </w:t>
      </w:r>
      <w:r w:rsidR="00674757" w:rsidRPr="008B51C0">
        <w:rPr>
          <w:szCs w:val="24"/>
        </w:rPr>
        <w:t>AAT</w:t>
      </w:r>
      <w:r w:rsidRPr="008B51C0">
        <w:rPr>
          <w:szCs w:val="24"/>
        </w:rPr>
        <w:t>’s discretion to make non-disclosure orders is governed by subsection 35(5) of the AAT Act, which requires the Tribunal to balance the importance of hearings being conducted in public and that evidence or documents should be made available to the public or to all the parties, with any reasons in favour of confidentiality.</w:t>
      </w:r>
      <w:r w:rsidR="00CB6FEC" w:rsidRPr="008B51C0">
        <w:rPr>
          <w:szCs w:val="24"/>
        </w:rPr>
        <w:t xml:space="preserve"> </w:t>
      </w:r>
      <w:r w:rsidRPr="008B51C0">
        <w:rPr>
          <w:szCs w:val="24"/>
        </w:rPr>
        <w:t>This limitation ensures that the Tribunal’s exercise of its non-disclosure powers is proportionate, and only exercised where necessary.</w:t>
      </w:r>
    </w:p>
    <w:p w:rsidR="0097248B" w:rsidRPr="008B51C0" w:rsidRDefault="0097248B" w:rsidP="0097248B">
      <w:pPr>
        <w:pStyle w:val="ListParagraph"/>
        <w:spacing w:before="0" w:after="240"/>
        <w:ind w:left="0"/>
        <w:rPr>
          <w:i/>
          <w:szCs w:val="24"/>
        </w:rPr>
      </w:pPr>
      <w:r w:rsidRPr="008B51C0">
        <w:rPr>
          <w:i/>
          <w:szCs w:val="24"/>
        </w:rPr>
        <w:t>International Arbitration Act 1974</w:t>
      </w:r>
    </w:p>
    <w:p w:rsidR="0097248B" w:rsidRPr="008B51C0" w:rsidRDefault="0097248B" w:rsidP="0097248B">
      <w:pPr>
        <w:pStyle w:val="ListParagraph"/>
        <w:spacing w:before="0" w:after="240"/>
        <w:ind w:left="0"/>
        <w:rPr>
          <w:szCs w:val="24"/>
        </w:rPr>
      </w:pPr>
    </w:p>
    <w:p w:rsidR="006B00C2" w:rsidRPr="008B51C0" w:rsidRDefault="006B00C2" w:rsidP="006B00C2">
      <w:pPr>
        <w:pStyle w:val="ListParagraph"/>
        <w:numPr>
          <w:ilvl w:val="0"/>
          <w:numId w:val="29"/>
        </w:numPr>
        <w:spacing w:before="0" w:after="240"/>
        <w:ind w:left="0" w:firstLine="0"/>
        <w:contextualSpacing w:val="0"/>
        <w:rPr>
          <w:szCs w:val="24"/>
        </w:rPr>
      </w:pPr>
      <w:r w:rsidRPr="008B51C0">
        <w:rPr>
          <w:szCs w:val="24"/>
        </w:rPr>
        <w:t>The International Arbitration Act is part of a global framework supporting international commercial arbitration, by providing for the conduct of arbitral proceedings, the recognition and enforcement of foreign arbitral awards, and for the judicial supervision of arbitration in over 150 countries. This framework allows parties to international arbitration agreements to resolve their disputes in a manner of their choosing, subject to the limitations of domestic and international law.</w:t>
      </w:r>
    </w:p>
    <w:p w:rsidR="006B00C2" w:rsidRPr="008B51C0" w:rsidRDefault="006B00C2" w:rsidP="006B00C2">
      <w:pPr>
        <w:pStyle w:val="ListParagraph"/>
        <w:numPr>
          <w:ilvl w:val="0"/>
          <w:numId w:val="29"/>
        </w:numPr>
        <w:spacing w:before="0" w:after="240"/>
        <w:ind w:left="0" w:firstLine="0"/>
        <w:contextualSpacing w:val="0"/>
        <w:rPr>
          <w:szCs w:val="24"/>
        </w:rPr>
      </w:pPr>
      <w:r w:rsidRPr="008B51C0">
        <w:rPr>
          <w:szCs w:val="24"/>
        </w:rPr>
        <w:t xml:space="preserve">Items </w:t>
      </w:r>
      <w:r w:rsidR="008D376D" w:rsidRPr="008B51C0">
        <w:rPr>
          <w:szCs w:val="24"/>
        </w:rPr>
        <w:t>56 to 64</w:t>
      </w:r>
      <w:r w:rsidRPr="008B51C0">
        <w:rPr>
          <w:szCs w:val="24"/>
        </w:rPr>
        <w:t xml:space="preserve"> of Schedule 1 of the Bill will amend the International Arbitration Act to make arbitral proceedings </w:t>
      </w:r>
      <w:r w:rsidR="00AE3822">
        <w:rPr>
          <w:szCs w:val="24"/>
        </w:rPr>
        <w:t>confidential unless parties opt</w:t>
      </w:r>
      <w:r w:rsidR="00AE3822" w:rsidRPr="008B51C0">
        <w:rPr>
          <w:szCs w:val="24"/>
        </w:rPr>
        <w:t xml:space="preserve"> out</w:t>
      </w:r>
      <w:r w:rsidRPr="008B51C0">
        <w:rPr>
          <w:szCs w:val="24"/>
        </w:rPr>
        <w:t>, broaden the circumstances in which enforcement of an award may be resisted, clarify mechanical aspects of the Act making it easier to use, and increase the number of countries from which arbitral awards will be recognised and enforced. It also expands the powers of domestic courts to ensure that the enforcement of awards can be resisted on the basis of incapacity of a party, fairly and by all parties.</w:t>
      </w:r>
    </w:p>
    <w:p w:rsidR="006B00C2" w:rsidRPr="008B51C0" w:rsidRDefault="006B00C2" w:rsidP="006B00C2">
      <w:pPr>
        <w:pStyle w:val="ListParagraph"/>
        <w:numPr>
          <w:ilvl w:val="0"/>
          <w:numId w:val="29"/>
        </w:numPr>
        <w:spacing w:before="0" w:after="240"/>
        <w:ind w:left="0" w:firstLine="0"/>
        <w:contextualSpacing w:val="0"/>
        <w:rPr>
          <w:szCs w:val="24"/>
        </w:rPr>
      </w:pPr>
      <w:r w:rsidRPr="008B51C0">
        <w:rPr>
          <w:szCs w:val="24"/>
        </w:rPr>
        <w:t>Parties under the International Arbitration Act are pre</w:t>
      </w:r>
      <w:r w:rsidR="004F39F7" w:rsidRPr="008B51C0">
        <w:rPr>
          <w:szCs w:val="24"/>
        </w:rPr>
        <w:t>dominantly commercial entities</w:t>
      </w:r>
      <w:r w:rsidR="00A94EA0" w:rsidRPr="008B51C0">
        <w:rPr>
          <w:szCs w:val="24"/>
        </w:rPr>
        <w:t>. H</w:t>
      </w:r>
      <w:r w:rsidRPr="008B51C0">
        <w:rPr>
          <w:szCs w:val="24"/>
        </w:rPr>
        <w:t>owever</w:t>
      </w:r>
      <w:r w:rsidR="004F39F7" w:rsidRPr="008B51C0">
        <w:rPr>
          <w:szCs w:val="24"/>
        </w:rPr>
        <w:t>,</w:t>
      </w:r>
      <w:r w:rsidRPr="008B51C0">
        <w:rPr>
          <w:szCs w:val="24"/>
        </w:rPr>
        <w:t xml:space="preserve"> it is possible that parties may be individuals. The amendments promote the right to a fair hearing because they seek to ensure that arbitral awards can be more broadly enforced and that all parties have equal access to grounds for resisting enforcement. These measures serve to make arbitration in Australia fairer and more efficient, promoting the right to have civil rights and obligations determined fairly and independently.</w:t>
      </w:r>
    </w:p>
    <w:p w:rsidR="006B00C2" w:rsidRPr="008B51C0" w:rsidRDefault="006B00C2" w:rsidP="006B00C2">
      <w:pPr>
        <w:pStyle w:val="ListParagraph"/>
        <w:numPr>
          <w:ilvl w:val="0"/>
          <w:numId w:val="29"/>
        </w:numPr>
        <w:spacing w:before="0" w:after="240"/>
        <w:ind w:left="0" w:firstLine="0"/>
        <w:contextualSpacing w:val="0"/>
        <w:rPr>
          <w:szCs w:val="24"/>
        </w:rPr>
      </w:pPr>
      <w:r w:rsidRPr="008B51C0">
        <w:rPr>
          <w:szCs w:val="24"/>
        </w:rPr>
        <w:t xml:space="preserve">The amendment to make proceedings confidential unless parties opt out (as opposed to the current regime in which parties must agree that proceedings will be confidential) may limit the public nature of a hearing. However, the purpose of the amendment is to ensure that, in line with community expectations and international best practice, arbitral proceedings are confidential unless the parties agree to conduct their arbitration in another manner. The amendment is </w:t>
      </w:r>
      <w:r w:rsidR="00717EEE" w:rsidRPr="008B51C0">
        <w:rPr>
          <w:szCs w:val="24"/>
        </w:rPr>
        <w:t>reasonable and proportionate as</w:t>
      </w:r>
      <w:r w:rsidRPr="008B51C0">
        <w:rPr>
          <w:szCs w:val="24"/>
        </w:rPr>
        <w:t xml:space="preserve"> parties are able to opt-out of confidentiality requirements if they wish for their proceedings to be public.</w:t>
      </w:r>
    </w:p>
    <w:p w:rsidR="0097248B" w:rsidRPr="008B51C0" w:rsidRDefault="0097248B" w:rsidP="0097248B">
      <w:pPr>
        <w:pStyle w:val="Heading6"/>
        <w:spacing w:before="0" w:after="240"/>
        <w:rPr>
          <w:szCs w:val="24"/>
          <w:u w:val="single"/>
        </w:rPr>
      </w:pPr>
      <w:r w:rsidRPr="008B51C0">
        <w:rPr>
          <w:szCs w:val="24"/>
          <w:u w:val="single"/>
        </w:rPr>
        <w:t>The right to privacy</w:t>
      </w:r>
    </w:p>
    <w:p w:rsidR="0097248B" w:rsidRPr="008B51C0" w:rsidRDefault="0097248B" w:rsidP="00DA7D9C">
      <w:pPr>
        <w:pStyle w:val="ListParagraph"/>
        <w:numPr>
          <w:ilvl w:val="0"/>
          <w:numId w:val="29"/>
        </w:numPr>
        <w:spacing w:before="0" w:after="240"/>
        <w:ind w:left="0" w:firstLine="0"/>
        <w:contextualSpacing w:val="0"/>
        <w:rPr>
          <w:szCs w:val="24"/>
        </w:rPr>
      </w:pPr>
      <w:r w:rsidRPr="008B51C0">
        <w:rPr>
          <w:szCs w:val="24"/>
        </w:rPr>
        <w:t>Article 17 of the ICCPR provides for the right not to be subjected to arbitrary or unlawful interference with privacy. In order for the interference with privacy not to be ‘arbitrary’, any interference must be reasonable in the particular circumstances. Reasonableness, in this context, incorporates notions of proportionality to the end sought and necessity in the circumstances.</w:t>
      </w:r>
    </w:p>
    <w:p w:rsidR="0097248B" w:rsidRPr="008B51C0" w:rsidRDefault="0097248B" w:rsidP="0097248B">
      <w:pPr>
        <w:pStyle w:val="ListParagraph"/>
        <w:spacing w:before="0" w:after="240"/>
        <w:ind w:left="0"/>
        <w:rPr>
          <w:i/>
          <w:szCs w:val="24"/>
        </w:rPr>
      </w:pPr>
      <w:r w:rsidRPr="008B51C0">
        <w:rPr>
          <w:i/>
          <w:szCs w:val="24"/>
        </w:rPr>
        <w:t>Bankruptcy Act 1966</w:t>
      </w:r>
    </w:p>
    <w:p w:rsidR="0097248B" w:rsidRPr="008B51C0" w:rsidRDefault="0097248B" w:rsidP="0097248B">
      <w:pPr>
        <w:pStyle w:val="ListParagraph"/>
        <w:spacing w:before="0" w:after="240"/>
        <w:ind w:left="0"/>
        <w:rPr>
          <w:i/>
          <w:szCs w:val="24"/>
        </w:rPr>
      </w:pPr>
    </w:p>
    <w:p w:rsidR="00EF7053" w:rsidRPr="008B51C0" w:rsidRDefault="00EF7053" w:rsidP="00EF7053">
      <w:pPr>
        <w:pStyle w:val="ListParagraph"/>
        <w:numPr>
          <w:ilvl w:val="0"/>
          <w:numId w:val="29"/>
        </w:numPr>
        <w:spacing w:before="0" w:after="240"/>
        <w:ind w:left="0" w:firstLine="0"/>
        <w:contextualSpacing w:val="0"/>
        <w:rPr>
          <w:szCs w:val="24"/>
        </w:rPr>
      </w:pPr>
      <w:r w:rsidRPr="008B51C0">
        <w:rPr>
          <w:szCs w:val="24"/>
        </w:rPr>
        <w:t xml:space="preserve">Under the Bankruptcy Act, a bankrupt is required to provide a statement of affairs to the Official Receiver and to the trustee. This statement outlines personal and financial information to allow the trustee to administer a bankruptcy. Parts of this statement are considered confidential and will not be made available to the public. </w:t>
      </w:r>
    </w:p>
    <w:p w:rsidR="00EF7053" w:rsidRPr="008B51C0" w:rsidRDefault="00EF7053" w:rsidP="00EF7053">
      <w:pPr>
        <w:pStyle w:val="ListParagraph"/>
        <w:numPr>
          <w:ilvl w:val="0"/>
          <w:numId w:val="29"/>
        </w:numPr>
        <w:spacing w:before="0" w:after="240"/>
        <w:ind w:left="0" w:firstLine="0"/>
        <w:contextualSpacing w:val="0"/>
        <w:rPr>
          <w:szCs w:val="24"/>
        </w:rPr>
      </w:pPr>
      <w:r w:rsidRPr="008B51C0">
        <w:rPr>
          <w:szCs w:val="24"/>
        </w:rPr>
        <w:t>The Bill will include amendments to the Bankruptcy Act to clarify that sections 54 and 55 of the Act do not prevent disclosure of the confidential parts of a statement of affairs where disclosure is required by law. Such disclosure will include: disclosure to a government agency where required under a statutory information-gathering power, and tabling the statement at a creditor’s meeting in accordance with section 64R of the Act.</w:t>
      </w:r>
    </w:p>
    <w:p w:rsidR="00916696" w:rsidRPr="008B51C0" w:rsidRDefault="00916696" w:rsidP="00916696">
      <w:pPr>
        <w:pStyle w:val="ListParagraph"/>
        <w:numPr>
          <w:ilvl w:val="0"/>
          <w:numId w:val="29"/>
        </w:numPr>
        <w:spacing w:before="0" w:after="240"/>
        <w:ind w:left="0" w:firstLine="0"/>
        <w:contextualSpacing w:val="0"/>
        <w:rPr>
          <w:szCs w:val="24"/>
        </w:rPr>
      </w:pPr>
      <w:r w:rsidRPr="008B51C0">
        <w:rPr>
          <w:szCs w:val="24"/>
        </w:rPr>
        <w:t xml:space="preserve">The interference with privacy in these circumstances is not arbitrary. It is in pursuit of a legitimate objective, namely for the Official Receiver to comply with legal requirements during a bankruptcy administration. The interference is reasonable to achieving this objective as it appropriately balances the need for a bankrupt person’s privacy with the requirements of disclosure by law. Further, by limiting disclosure to circumstances where such disclosure is required by law, rather than allowing for public disclosure, the interference with privacy interests of a bankrupt person is reasonable and proportionate.   </w:t>
      </w:r>
    </w:p>
    <w:p w:rsidR="0097248B" w:rsidRPr="008B51C0" w:rsidRDefault="0097248B" w:rsidP="0097248B">
      <w:pPr>
        <w:pStyle w:val="Heading6"/>
        <w:keepNext w:val="0"/>
        <w:spacing w:before="0" w:after="240"/>
        <w:rPr>
          <w:szCs w:val="24"/>
        </w:rPr>
      </w:pPr>
      <w:r w:rsidRPr="008B51C0">
        <w:rPr>
          <w:szCs w:val="24"/>
        </w:rPr>
        <w:t>Federal Circuit Court of Australia Act 1999</w:t>
      </w:r>
    </w:p>
    <w:p w:rsidR="00DA7D9C" w:rsidRPr="008B51C0" w:rsidRDefault="0078337E" w:rsidP="0097248B">
      <w:pPr>
        <w:pStyle w:val="ListParagraph"/>
        <w:numPr>
          <w:ilvl w:val="0"/>
          <w:numId w:val="29"/>
        </w:numPr>
        <w:spacing w:before="0" w:after="240"/>
        <w:ind w:left="0" w:firstLine="0"/>
        <w:contextualSpacing w:val="0"/>
        <w:rPr>
          <w:szCs w:val="24"/>
        </w:rPr>
      </w:pPr>
      <w:r w:rsidRPr="008B51C0">
        <w:rPr>
          <w:szCs w:val="24"/>
        </w:rPr>
        <w:t>I</w:t>
      </w:r>
      <w:r w:rsidR="0097248B" w:rsidRPr="008B51C0">
        <w:rPr>
          <w:szCs w:val="24"/>
        </w:rPr>
        <w:t xml:space="preserve">tem </w:t>
      </w:r>
      <w:r w:rsidR="007374BB">
        <w:rPr>
          <w:szCs w:val="24"/>
        </w:rPr>
        <w:t>3</w:t>
      </w:r>
      <w:r w:rsidR="0097248B" w:rsidRPr="008B51C0">
        <w:rPr>
          <w:szCs w:val="24"/>
        </w:rPr>
        <w:t>7 of Schedule 1 of the Bill will amend the Federal Circuit Court of Australia Act to provide an arrester, who is authorised by the Act, or a warrant issued under the Act or the Rules of Court, with the power to</w:t>
      </w:r>
      <w:r w:rsidR="00E83BD9" w:rsidRPr="008B51C0">
        <w:rPr>
          <w:szCs w:val="24"/>
        </w:rPr>
        <w:t xml:space="preserve"> use such force as is necessary and reasonable in the circumstances</w:t>
      </w:r>
      <w:r w:rsidR="0097248B" w:rsidRPr="008B51C0">
        <w:rPr>
          <w:szCs w:val="24"/>
        </w:rPr>
        <w:t xml:space="preserve"> to enter premises to execute an arrest warrant. </w:t>
      </w:r>
    </w:p>
    <w:p w:rsidR="00B47061" w:rsidRPr="008B51C0" w:rsidRDefault="0097248B" w:rsidP="00DA7D9C">
      <w:pPr>
        <w:pStyle w:val="ListParagraph"/>
        <w:numPr>
          <w:ilvl w:val="0"/>
          <w:numId w:val="29"/>
        </w:numPr>
        <w:spacing w:before="0" w:after="240"/>
        <w:ind w:left="0" w:firstLine="0"/>
        <w:contextualSpacing w:val="0"/>
        <w:rPr>
          <w:szCs w:val="24"/>
        </w:rPr>
      </w:pPr>
      <w:r w:rsidRPr="008B51C0">
        <w:rPr>
          <w:szCs w:val="24"/>
        </w:rPr>
        <w:t xml:space="preserve">Currently, the </w:t>
      </w:r>
      <w:r w:rsidRPr="008B51C0">
        <w:rPr>
          <w:i/>
          <w:szCs w:val="24"/>
        </w:rPr>
        <w:t>Federal Circuit Court Rules 2001</w:t>
      </w:r>
      <w:r w:rsidRPr="008B51C0">
        <w:rPr>
          <w:szCs w:val="24"/>
        </w:rPr>
        <w:t xml:space="preserve"> provides that the Federal Circuit Court may issue a warrant where a respondent who is required to attend court, fails to attend court on the date fixed for attendance. However, there is uncertainty about whether reasonable force can be used to enter premises to execute an arrest warrant. This means that circumstances can arise where an arrest warrant is unable to be executed because an arrestee is inside premises. This can delay the Court process and burden the justice system. </w:t>
      </w:r>
    </w:p>
    <w:p w:rsidR="00DA7D9C" w:rsidRPr="008B51C0" w:rsidRDefault="0097248B" w:rsidP="00DA7D9C">
      <w:pPr>
        <w:pStyle w:val="ListParagraph"/>
        <w:numPr>
          <w:ilvl w:val="0"/>
          <w:numId w:val="29"/>
        </w:numPr>
        <w:spacing w:before="0" w:after="240"/>
        <w:ind w:left="0" w:firstLine="0"/>
        <w:contextualSpacing w:val="0"/>
        <w:rPr>
          <w:szCs w:val="24"/>
        </w:rPr>
      </w:pPr>
      <w:r w:rsidRPr="008B51C0">
        <w:rPr>
          <w:szCs w:val="24"/>
        </w:rPr>
        <w:t xml:space="preserve">While the proposed amendments do limit the right to privacy, the amendments are aimed at the legitimate objective of ensuring an arrestee is able to be arrested and brought promptly before the Court in circumstances where they may otherwise attempt to evade arrest by staying inside premises. </w:t>
      </w:r>
    </w:p>
    <w:p w:rsidR="00DA7D9C" w:rsidRPr="008B51C0" w:rsidRDefault="0097248B" w:rsidP="0097248B">
      <w:pPr>
        <w:pStyle w:val="ListParagraph"/>
        <w:numPr>
          <w:ilvl w:val="0"/>
          <w:numId w:val="29"/>
        </w:numPr>
        <w:spacing w:before="0" w:after="240"/>
        <w:ind w:left="0" w:firstLine="0"/>
        <w:contextualSpacing w:val="0"/>
        <w:rPr>
          <w:szCs w:val="24"/>
        </w:rPr>
      </w:pPr>
      <w:r w:rsidRPr="008B51C0">
        <w:rPr>
          <w:szCs w:val="24"/>
        </w:rPr>
        <w:t>The amendments are also reasonable and proportionate to this objective. The arresters will not be able to enter a dwelling house between 9 pm one day and 6 am the next day unless they reasonably believe that it would not be practicable to arrest the arrestee there or elsewhere at another time, for example where an arrestee is actively seeking to evade arrest (proposed subsection 113A(3)). This limitation prevents</w:t>
      </w:r>
      <w:r w:rsidR="00404E4D">
        <w:rPr>
          <w:szCs w:val="24"/>
        </w:rPr>
        <w:t xml:space="preserve"> unnecessary </w:t>
      </w:r>
      <w:r w:rsidRPr="008B51C0">
        <w:rPr>
          <w:szCs w:val="24"/>
        </w:rPr>
        <w:t>interference with an arrestee’s place of residence or dwelling</w:t>
      </w:r>
      <w:r w:rsidR="00404E4D">
        <w:rPr>
          <w:szCs w:val="24"/>
        </w:rPr>
        <w:t xml:space="preserve">, and </w:t>
      </w:r>
      <w:r w:rsidRPr="008B51C0">
        <w:rPr>
          <w:szCs w:val="24"/>
        </w:rPr>
        <w:t xml:space="preserve">recognises that the purpose of arresting an arrestee is to bring them before the Court, which is unlikely to be sitting between the hours of 9 pm and 6 am. </w:t>
      </w:r>
    </w:p>
    <w:p w:rsidR="0097248B" w:rsidRPr="008B51C0" w:rsidRDefault="0097248B" w:rsidP="0097248B">
      <w:pPr>
        <w:pStyle w:val="ListParagraph"/>
        <w:numPr>
          <w:ilvl w:val="0"/>
          <w:numId w:val="29"/>
        </w:numPr>
        <w:spacing w:before="0" w:after="240"/>
        <w:ind w:left="0" w:firstLine="0"/>
        <w:contextualSpacing w:val="0"/>
        <w:rPr>
          <w:szCs w:val="24"/>
        </w:rPr>
      </w:pPr>
      <w:r w:rsidRPr="008B51C0">
        <w:rPr>
          <w:szCs w:val="24"/>
        </w:rPr>
        <w:t>These amendments do not amount to an arbitrary interference with privacy because they are aimed at the legitimate and lawful objective of bringing a person who is the subject of an arrest warrant before the Court</w:t>
      </w:r>
      <w:r w:rsidR="0001497D" w:rsidRPr="008B51C0">
        <w:rPr>
          <w:szCs w:val="24"/>
        </w:rPr>
        <w:t>. Moreover, they are</w:t>
      </w:r>
      <w:r w:rsidRPr="008B51C0">
        <w:rPr>
          <w:szCs w:val="24"/>
        </w:rPr>
        <w:t xml:space="preserve"> reasonable, nec</w:t>
      </w:r>
      <w:r w:rsidR="00E10780" w:rsidRPr="008B51C0">
        <w:rPr>
          <w:szCs w:val="24"/>
        </w:rPr>
        <w:t>essary and proportionate to the</w:t>
      </w:r>
      <w:r w:rsidRPr="008B51C0">
        <w:rPr>
          <w:szCs w:val="24"/>
        </w:rPr>
        <w:t xml:space="preserve"> objective of achieving the efficient administration of justice. </w:t>
      </w:r>
    </w:p>
    <w:p w:rsidR="0097248B" w:rsidRPr="008B51C0" w:rsidRDefault="0097248B" w:rsidP="0097248B">
      <w:pPr>
        <w:spacing w:before="0" w:after="240"/>
        <w:rPr>
          <w:i/>
          <w:szCs w:val="24"/>
          <w:u w:val="single"/>
        </w:rPr>
      </w:pPr>
      <w:r w:rsidRPr="008B51C0">
        <w:rPr>
          <w:i/>
          <w:szCs w:val="24"/>
          <w:u w:val="single"/>
        </w:rPr>
        <w:t>The right to freedom of opinion and expression</w:t>
      </w:r>
    </w:p>
    <w:p w:rsidR="0097248B" w:rsidRPr="008B51C0" w:rsidRDefault="0097248B" w:rsidP="0097248B">
      <w:pPr>
        <w:pStyle w:val="ListParagraph"/>
        <w:keepNext/>
        <w:spacing w:before="0" w:after="240"/>
        <w:ind w:left="0"/>
        <w:rPr>
          <w:i/>
          <w:szCs w:val="24"/>
        </w:rPr>
      </w:pPr>
      <w:r w:rsidRPr="008B51C0">
        <w:rPr>
          <w:i/>
          <w:szCs w:val="24"/>
        </w:rPr>
        <w:t>Administrative Appeals Tribunal Act 1975</w:t>
      </w:r>
    </w:p>
    <w:p w:rsidR="0097248B" w:rsidRPr="008B51C0" w:rsidRDefault="0097248B" w:rsidP="0097248B">
      <w:pPr>
        <w:pStyle w:val="ListParagraph"/>
        <w:keepNext/>
        <w:spacing w:before="0" w:after="240"/>
        <w:ind w:left="0"/>
        <w:rPr>
          <w:i/>
          <w:szCs w:val="24"/>
        </w:rPr>
      </w:pPr>
    </w:p>
    <w:p w:rsidR="00244415" w:rsidRPr="008B51C0" w:rsidRDefault="002C3164" w:rsidP="00244415">
      <w:pPr>
        <w:pStyle w:val="ListParagraph"/>
        <w:numPr>
          <w:ilvl w:val="0"/>
          <w:numId w:val="29"/>
        </w:numPr>
        <w:spacing w:before="0" w:after="240"/>
        <w:ind w:left="0" w:firstLine="0"/>
        <w:contextualSpacing w:val="0"/>
        <w:rPr>
          <w:szCs w:val="24"/>
        </w:rPr>
      </w:pPr>
      <w:r w:rsidRPr="008B51C0">
        <w:rPr>
          <w:szCs w:val="24"/>
        </w:rPr>
        <w:t>Item 2 will</w:t>
      </w:r>
      <w:r w:rsidR="00244415" w:rsidRPr="008B51C0">
        <w:rPr>
          <w:szCs w:val="24"/>
        </w:rPr>
        <w:t xml:space="preserve"> engage the right to freedom of opinion and expression in </w:t>
      </w:r>
      <w:r w:rsidR="001449AF" w:rsidRPr="008B51C0">
        <w:rPr>
          <w:szCs w:val="24"/>
        </w:rPr>
        <w:t>a</w:t>
      </w:r>
      <w:r w:rsidR="00244415" w:rsidRPr="008B51C0">
        <w:rPr>
          <w:szCs w:val="24"/>
        </w:rPr>
        <w:t xml:space="preserve">rticle 19 of the ICCPR by clarifying the existing power for the </w:t>
      </w:r>
      <w:r w:rsidR="001449AF" w:rsidRPr="008B51C0">
        <w:rPr>
          <w:szCs w:val="24"/>
        </w:rPr>
        <w:t xml:space="preserve">Administrative Appeals </w:t>
      </w:r>
      <w:r w:rsidR="00244415" w:rsidRPr="008B51C0">
        <w:rPr>
          <w:szCs w:val="24"/>
        </w:rPr>
        <w:t>Tribunal</w:t>
      </w:r>
      <w:r w:rsidR="001449AF" w:rsidRPr="008B51C0">
        <w:rPr>
          <w:szCs w:val="24"/>
        </w:rPr>
        <w:t xml:space="preserve"> (the AAT)</w:t>
      </w:r>
      <w:r w:rsidR="00244415" w:rsidRPr="008B51C0">
        <w:rPr>
          <w:szCs w:val="24"/>
        </w:rPr>
        <w:t xml:space="preserve"> to make orders preventing the publication or disclosure of information relating to a proceeding, to make it clear that such orders may apply to all parties to an AAT review.</w:t>
      </w:r>
    </w:p>
    <w:p w:rsidR="000B6AD4" w:rsidRPr="008B51C0" w:rsidRDefault="00244415" w:rsidP="00244415">
      <w:pPr>
        <w:pStyle w:val="ListParagraph"/>
        <w:numPr>
          <w:ilvl w:val="0"/>
          <w:numId w:val="29"/>
        </w:numPr>
        <w:spacing w:before="0" w:after="240"/>
        <w:ind w:left="0" w:firstLine="0"/>
        <w:contextualSpacing w:val="0"/>
        <w:rPr>
          <w:szCs w:val="24"/>
        </w:rPr>
      </w:pPr>
      <w:r w:rsidRPr="008B51C0">
        <w:rPr>
          <w:szCs w:val="24"/>
        </w:rPr>
        <w:t xml:space="preserve">The amendment is reasonable, necessary and proportionate. There will be strong reasons for confidentiality in respect of certain information before the Tribunal. For example, in child support reviews, there may be safety reasons why information relating to the address of one or both parties should be suppressed. Similarly, there may be national security reasons why certain information should not be disclosed to either party.  </w:t>
      </w:r>
    </w:p>
    <w:p w:rsidR="00244415" w:rsidRPr="008B51C0" w:rsidRDefault="00244415" w:rsidP="00244415">
      <w:pPr>
        <w:pStyle w:val="ListParagraph"/>
        <w:numPr>
          <w:ilvl w:val="0"/>
          <w:numId w:val="29"/>
        </w:numPr>
        <w:spacing w:before="0" w:after="240"/>
        <w:ind w:left="0" w:firstLine="0"/>
        <w:contextualSpacing w:val="0"/>
        <w:rPr>
          <w:szCs w:val="24"/>
        </w:rPr>
      </w:pPr>
      <w:r w:rsidRPr="008B51C0">
        <w:rPr>
          <w:szCs w:val="24"/>
        </w:rPr>
        <w:t>The Tribunal’s discretion to make non-disclosure orders is governed by subsection 35(5) of the AAT Act, which requires the Tribunal to balance the importance of hearings being conducted in public and that evidence or documents should be made available to the public or to all the parties, with any reasons</w:t>
      </w:r>
      <w:r w:rsidR="000B6AD4" w:rsidRPr="008B51C0">
        <w:rPr>
          <w:szCs w:val="24"/>
        </w:rPr>
        <w:t xml:space="preserve"> in favour of confidentiality. </w:t>
      </w:r>
      <w:r w:rsidRPr="008B51C0">
        <w:rPr>
          <w:szCs w:val="24"/>
        </w:rPr>
        <w:t>This limitation ensures that the Tribunal’s exercise of its non-disclosure powers is proportionate, and only exercised where necessary.</w:t>
      </w:r>
    </w:p>
    <w:p w:rsidR="0097248B" w:rsidRPr="008B51C0" w:rsidRDefault="0097248B" w:rsidP="0097248B">
      <w:pPr>
        <w:pStyle w:val="Heading3"/>
        <w:spacing w:before="0" w:after="240"/>
        <w:rPr>
          <w:szCs w:val="24"/>
        </w:rPr>
      </w:pPr>
      <w:r w:rsidRPr="008B51C0">
        <w:rPr>
          <w:szCs w:val="24"/>
        </w:rPr>
        <w:t>Conclusion</w:t>
      </w:r>
    </w:p>
    <w:p w:rsidR="0097248B" w:rsidRPr="008B51C0" w:rsidRDefault="0097248B" w:rsidP="00DA7D9C">
      <w:pPr>
        <w:pStyle w:val="ListParagraph"/>
        <w:numPr>
          <w:ilvl w:val="0"/>
          <w:numId w:val="29"/>
        </w:numPr>
        <w:spacing w:before="0" w:after="240"/>
        <w:ind w:left="0" w:firstLine="0"/>
        <w:contextualSpacing w:val="0"/>
        <w:rPr>
          <w:szCs w:val="24"/>
        </w:rPr>
      </w:pPr>
      <w:r w:rsidRPr="008B51C0">
        <w:rPr>
          <w:szCs w:val="24"/>
        </w:rPr>
        <w:t>The Bill is compatible with human rights because it promotes rights, and to the extent that it may limit human rights, those limitations are reasonable, necessary and proportionate.</w:t>
      </w:r>
    </w:p>
    <w:p w:rsidR="0097248B" w:rsidRDefault="0097248B">
      <w:pPr>
        <w:spacing w:before="0" w:after="200" w:line="276" w:lineRule="auto"/>
        <w:rPr>
          <w:rFonts w:eastAsia="Times New Roman"/>
          <w:b/>
          <w:bCs/>
          <w:iCs/>
          <w:caps/>
          <w:sz w:val="28"/>
          <w:szCs w:val="28"/>
        </w:rPr>
      </w:pPr>
      <w:r>
        <w:br w:type="page"/>
      </w:r>
    </w:p>
    <w:p w:rsidR="009504D9" w:rsidRPr="00774011" w:rsidRDefault="009504D9" w:rsidP="009504D9">
      <w:pPr>
        <w:pStyle w:val="Heading2"/>
      </w:pPr>
      <w:r w:rsidRPr="00774011">
        <w:t>NOTES ON CLAUSES</w:t>
      </w:r>
    </w:p>
    <w:p w:rsidR="009504D9" w:rsidRPr="00774011" w:rsidRDefault="009504D9" w:rsidP="009504D9">
      <w:pPr>
        <w:pStyle w:val="Heading3"/>
      </w:pPr>
      <w:r w:rsidRPr="00774011">
        <w:t xml:space="preserve">PRELIMINARY </w:t>
      </w:r>
    </w:p>
    <w:p w:rsidR="009504D9" w:rsidRPr="00774011" w:rsidRDefault="009504D9" w:rsidP="009504D9">
      <w:pPr>
        <w:keepNext/>
        <w:rPr>
          <w:b/>
          <w:szCs w:val="24"/>
        </w:rPr>
      </w:pPr>
      <w:r w:rsidRPr="00774011">
        <w:rPr>
          <w:b/>
          <w:szCs w:val="24"/>
        </w:rPr>
        <w:t xml:space="preserve">Clause 1—Short title </w:t>
      </w:r>
    </w:p>
    <w:p w:rsidR="009504D9" w:rsidRPr="006137C6" w:rsidRDefault="009504D9" w:rsidP="001F18C7">
      <w:pPr>
        <w:pStyle w:val="ListParagraph"/>
        <w:numPr>
          <w:ilvl w:val="0"/>
          <w:numId w:val="29"/>
        </w:numPr>
        <w:spacing w:after="240"/>
        <w:ind w:left="0" w:firstLine="0"/>
        <w:contextualSpacing w:val="0"/>
        <w:rPr>
          <w:szCs w:val="24"/>
        </w:rPr>
      </w:pPr>
      <w:r w:rsidRPr="006137C6">
        <w:rPr>
          <w:szCs w:val="24"/>
        </w:rPr>
        <w:t xml:space="preserve">This clause provides that when the </w:t>
      </w:r>
      <w:r w:rsidR="001C0BAA" w:rsidRPr="006137C6">
        <w:rPr>
          <w:szCs w:val="24"/>
        </w:rPr>
        <w:t>Bill</w:t>
      </w:r>
      <w:r w:rsidR="0008183D" w:rsidRPr="006137C6">
        <w:rPr>
          <w:szCs w:val="24"/>
        </w:rPr>
        <w:t xml:space="preserve"> is enacted, it may</w:t>
      </w:r>
      <w:r w:rsidRPr="006137C6">
        <w:rPr>
          <w:szCs w:val="24"/>
        </w:rPr>
        <w:t xml:space="preserve"> be cited as the </w:t>
      </w:r>
      <w:r w:rsidRPr="006137C6">
        <w:rPr>
          <w:i/>
          <w:szCs w:val="24"/>
        </w:rPr>
        <w:t>Civil</w:t>
      </w:r>
      <w:r w:rsidR="001C0BAA" w:rsidRPr="006137C6">
        <w:rPr>
          <w:i/>
          <w:szCs w:val="24"/>
        </w:rPr>
        <w:t> </w:t>
      </w:r>
      <w:r w:rsidRPr="006137C6">
        <w:rPr>
          <w:i/>
          <w:szCs w:val="24"/>
        </w:rPr>
        <w:t>Law</w:t>
      </w:r>
      <w:r w:rsidR="001C0BAA" w:rsidRPr="006137C6">
        <w:rPr>
          <w:i/>
          <w:szCs w:val="24"/>
        </w:rPr>
        <w:t> </w:t>
      </w:r>
      <w:r w:rsidRPr="006137C6">
        <w:rPr>
          <w:i/>
          <w:szCs w:val="24"/>
        </w:rPr>
        <w:t xml:space="preserve">and Justice </w:t>
      </w:r>
      <w:r w:rsidR="00A0573D" w:rsidRPr="006137C6">
        <w:rPr>
          <w:i/>
          <w:szCs w:val="24"/>
        </w:rPr>
        <w:t xml:space="preserve">(Omnibus Amendments) </w:t>
      </w:r>
      <w:r w:rsidRPr="006137C6">
        <w:rPr>
          <w:i/>
          <w:szCs w:val="24"/>
        </w:rPr>
        <w:t>Act 201</w:t>
      </w:r>
      <w:r w:rsidR="001C0BAA" w:rsidRPr="006137C6">
        <w:rPr>
          <w:i/>
          <w:szCs w:val="24"/>
        </w:rPr>
        <w:t>5</w:t>
      </w:r>
      <w:r w:rsidRPr="006137C6">
        <w:rPr>
          <w:szCs w:val="24"/>
        </w:rPr>
        <w:t>.</w:t>
      </w:r>
    </w:p>
    <w:p w:rsidR="009504D9" w:rsidRPr="00774011" w:rsidRDefault="009504D9" w:rsidP="009504D9">
      <w:pPr>
        <w:keepNext/>
        <w:rPr>
          <w:b/>
          <w:szCs w:val="24"/>
        </w:rPr>
      </w:pPr>
      <w:r w:rsidRPr="00774011">
        <w:rPr>
          <w:b/>
          <w:szCs w:val="24"/>
        </w:rPr>
        <w:t>Clause 2—Commencement</w:t>
      </w:r>
    </w:p>
    <w:p w:rsidR="006137C6" w:rsidRDefault="009504D9" w:rsidP="001F18C7">
      <w:pPr>
        <w:pStyle w:val="ListParagraph"/>
        <w:numPr>
          <w:ilvl w:val="0"/>
          <w:numId w:val="29"/>
        </w:numPr>
        <w:spacing w:after="240"/>
        <w:ind w:left="0" w:firstLine="0"/>
        <w:contextualSpacing w:val="0"/>
        <w:rPr>
          <w:szCs w:val="24"/>
        </w:rPr>
      </w:pPr>
      <w:r w:rsidRPr="006137C6">
        <w:rPr>
          <w:szCs w:val="24"/>
        </w:rPr>
        <w:t xml:space="preserve">This clause sets out when various provisions of the </w:t>
      </w:r>
      <w:r w:rsidRPr="006137C6">
        <w:rPr>
          <w:i/>
          <w:szCs w:val="24"/>
        </w:rPr>
        <w:t xml:space="preserve">Civil Law and Justice </w:t>
      </w:r>
      <w:r w:rsidR="00632B20" w:rsidRPr="006137C6">
        <w:rPr>
          <w:i/>
          <w:szCs w:val="24"/>
        </w:rPr>
        <w:t>(Omnibus Am</w:t>
      </w:r>
      <w:r w:rsidRPr="006137C6">
        <w:rPr>
          <w:i/>
          <w:szCs w:val="24"/>
        </w:rPr>
        <w:t>endment</w:t>
      </w:r>
      <w:r w:rsidR="00632B20" w:rsidRPr="006137C6">
        <w:rPr>
          <w:i/>
          <w:szCs w:val="24"/>
        </w:rPr>
        <w:t>s)</w:t>
      </w:r>
      <w:r w:rsidRPr="006137C6">
        <w:rPr>
          <w:i/>
          <w:szCs w:val="24"/>
        </w:rPr>
        <w:t xml:space="preserve"> Act 201</w:t>
      </w:r>
      <w:r w:rsidR="00B4347E" w:rsidRPr="006137C6">
        <w:rPr>
          <w:i/>
          <w:szCs w:val="24"/>
        </w:rPr>
        <w:t>5</w:t>
      </w:r>
      <w:r w:rsidRPr="006137C6">
        <w:rPr>
          <w:szCs w:val="24"/>
        </w:rPr>
        <w:t xml:space="preserve"> are to commence, as set out in the table.</w:t>
      </w:r>
    </w:p>
    <w:p w:rsidR="006137C6" w:rsidRDefault="009504D9" w:rsidP="001F18C7">
      <w:pPr>
        <w:pStyle w:val="ListParagraph"/>
        <w:numPr>
          <w:ilvl w:val="0"/>
          <w:numId w:val="29"/>
        </w:numPr>
        <w:spacing w:after="240"/>
        <w:ind w:left="0" w:firstLine="0"/>
        <w:contextualSpacing w:val="0"/>
        <w:rPr>
          <w:szCs w:val="24"/>
        </w:rPr>
      </w:pPr>
      <w:r w:rsidRPr="006137C6">
        <w:rPr>
          <w:szCs w:val="24"/>
        </w:rPr>
        <w:t>Subclause 2(1) provides that each provision of the Act specified in column 1 of the table in subclause 2(1) commences, or is taken to have commenced, in accordance with column 2 of the table. Any other statement in column 2 has effect according to its terms.</w:t>
      </w:r>
    </w:p>
    <w:p w:rsidR="006137C6" w:rsidRDefault="009504D9" w:rsidP="001F18C7">
      <w:pPr>
        <w:pStyle w:val="ListParagraph"/>
        <w:numPr>
          <w:ilvl w:val="0"/>
          <w:numId w:val="29"/>
        </w:numPr>
        <w:spacing w:after="240"/>
        <w:ind w:left="0" w:firstLine="0"/>
        <w:contextualSpacing w:val="0"/>
        <w:rPr>
          <w:szCs w:val="24"/>
        </w:rPr>
      </w:pPr>
      <w:r w:rsidRPr="006137C6">
        <w:rPr>
          <w:szCs w:val="24"/>
        </w:rPr>
        <w:t>Item 1 in the table provides that sections 1 to 3, which concern the formal aspects of the Act, as well as anything in the Act not elsewhere covered by the table, will comme</w:t>
      </w:r>
      <w:r w:rsidR="00F01832" w:rsidRPr="006137C6">
        <w:rPr>
          <w:szCs w:val="24"/>
        </w:rPr>
        <w:t>nce on the day</w:t>
      </w:r>
      <w:r w:rsidRPr="006137C6">
        <w:rPr>
          <w:szCs w:val="24"/>
        </w:rPr>
        <w:t xml:space="preserve"> the Act receives</w:t>
      </w:r>
      <w:r w:rsidR="006407E0" w:rsidRPr="006137C6">
        <w:rPr>
          <w:szCs w:val="24"/>
        </w:rPr>
        <w:t xml:space="preserve"> the</w:t>
      </w:r>
      <w:r w:rsidRPr="006137C6">
        <w:rPr>
          <w:szCs w:val="24"/>
        </w:rPr>
        <w:t xml:space="preserve"> Royal Assent. </w:t>
      </w:r>
    </w:p>
    <w:p w:rsidR="006137C6" w:rsidRDefault="009504D9" w:rsidP="001F18C7">
      <w:pPr>
        <w:pStyle w:val="ListParagraph"/>
        <w:numPr>
          <w:ilvl w:val="0"/>
          <w:numId w:val="29"/>
        </w:numPr>
        <w:spacing w:after="240"/>
        <w:ind w:left="0" w:firstLine="0"/>
        <w:contextualSpacing w:val="0"/>
        <w:rPr>
          <w:szCs w:val="24"/>
        </w:rPr>
      </w:pPr>
      <w:r w:rsidRPr="006137C6">
        <w:rPr>
          <w:szCs w:val="24"/>
        </w:rPr>
        <w:t>Item 2 in the tabl</w:t>
      </w:r>
      <w:r w:rsidR="00532D30" w:rsidRPr="006137C6">
        <w:rPr>
          <w:szCs w:val="24"/>
        </w:rPr>
        <w:t>e provides that s</w:t>
      </w:r>
      <w:r w:rsidRPr="006137C6">
        <w:rPr>
          <w:szCs w:val="24"/>
        </w:rPr>
        <w:t>c</w:t>
      </w:r>
      <w:r w:rsidR="00532D30" w:rsidRPr="006137C6">
        <w:rPr>
          <w:szCs w:val="24"/>
        </w:rPr>
        <w:t>hedule 1 of the Act will</w:t>
      </w:r>
      <w:r w:rsidRPr="006137C6">
        <w:rPr>
          <w:szCs w:val="24"/>
        </w:rPr>
        <w:t xml:space="preserve"> commence the day after the Act receives </w:t>
      </w:r>
      <w:r w:rsidR="00532D30" w:rsidRPr="006137C6">
        <w:rPr>
          <w:szCs w:val="24"/>
        </w:rPr>
        <w:t xml:space="preserve">the </w:t>
      </w:r>
      <w:r w:rsidRPr="006137C6">
        <w:rPr>
          <w:szCs w:val="24"/>
        </w:rPr>
        <w:t xml:space="preserve">Royal Assent. </w:t>
      </w:r>
    </w:p>
    <w:p w:rsidR="006137C6" w:rsidRDefault="009504D9" w:rsidP="001F18C7">
      <w:pPr>
        <w:pStyle w:val="ListParagraph"/>
        <w:numPr>
          <w:ilvl w:val="0"/>
          <w:numId w:val="29"/>
        </w:numPr>
        <w:spacing w:after="240"/>
        <w:ind w:left="0" w:firstLine="0"/>
        <w:contextualSpacing w:val="0"/>
        <w:rPr>
          <w:szCs w:val="24"/>
        </w:rPr>
      </w:pPr>
      <w:r w:rsidRPr="006137C6">
        <w:rPr>
          <w:szCs w:val="24"/>
        </w:rPr>
        <w:t>The note at the end of the table explains that the table relates only to the provisions of the Act as originally enacted. The table will not be amended to deal with any later amendments of the Act.</w:t>
      </w:r>
    </w:p>
    <w:p w:rsidR="009504D9" w:rsidRPr="006137C6" w:rsidRDefault="009504D9" w:rsidP="001F18C7">
      <w:pPr>
        <w:pStyle w:val="ListParagraph"/>
        <w:numPr>
          <w:ilvl w:val="0"/>
          <w:numId w:val="29"/>
        </w:numPr>
        <w:spacing w:after="240"/>
        <w:ind w:left="0" w:firstLine="0"/>
        <w:contextualSpacing w:val="0"/>
        <w:rPr>
          <w:szCs w:val="24"/>
        </w:rPr>
      </w:pPr>
      <w:r w:rsidRPr="006137C6">
        <w:rPr>
          <w:szCs w:val="24"/>
        </w:rPr>
        <w:t>Subclause 2(2) provides that any information in column 3 of the table in subclause 2(1) is not part of the Act. It also clarifies that information may be inserted in column 3, or information in it may be edited, in any published version of the Act.</w:t>
      </w:r>
    </w:p>
    <w:p w:rsidR="009504D9" w:rsidRPr="00774011" w:rsidRDefault="009504D9" w:rsidP="009504D9">
      <w:pPr>
        <w:keepNext/>
        <w:rPr>
          <w:b/>
          <w:szCs w:val="24"/>
        </w:rPr>
      </w:pPr>
      <w:r w:rsidRPr="00774011">
        <w:rPr>
          <w:b/>
          <w:szCs w:val="24"/>
        </w:rPr>
        <w:t>Clause 3—Schedules</w:t>
      </w:r>
    </w:p>
    <w:p w:rsidR="009504D9" w:rsidRPr="0047048F" w:rsidRDefault="009504D9" w:rsidP="0047048F">
      <w:pPr>
        <w:pStyle w:val="ListParagraph"/>
        <w:numPr>
          <w:ilvl w:val="0"/>
          <w:numId w:val="29"/>
        </w:numPr>
        <w:spacing w:after="240"/>
        <w:ind w:left="0" w:firstLine="0"/>
        <w:contextualSpacing w:val="0"/>
        <w:rPr>
          <w:szCs w:val="24"/>
        </w:rPr>
      </w:pPr>
      <w:r w:rsidRPr="00774011">
        <w:rPr>
          <w:szCs w:val="24"/>
        </w:rPr>
        <w:t>Clause 3 provide</w:t>
      </w:r>
      <w:r w:rsidR="00E02640" w:rsidRPr="00774011">
        <w:rPr>
          <w:szCs w:val="24"/>
        </w:rPr>
        <w:t>s that each Act specified in a s</w:t>
      </w:r>
      <w:r w:rsidRPr="00774011">
        <w:rPr>
          <w:szCs w:val="24"/>
        </w:rPr>
        <w:t>chedule to the</w:t>
      </w:r>
      <w:r w:rsidR="00E02640" w:rsidRPr="00774011">
        <w:rPr>
          <w:szCs w:val="24"/>
        </w:rPr>
        <w:t xml:space="preserve"> Act</w:t>
      </w:r>
      <w:r w:rsidRPr="00774011">
        <w:rPr>
          <w:szCs w:val="24"/>
        </w:rPr>
        <w:t xml:space="preserve"> is amended as set out </w:t>
      </w:r>
      <w:r w:rsidR="00E02640" w:rsidRPr="00774011">
        <w:rPr>
          <w:szCs w:val="24"/>
        </w:rPr>
        <w:t>in the applicable items in the s</w:t>
      </w:r>
      <w:r w:rsidRPr="00774011">
        <w:rPr>
          <w:szCs w:val="24"/>
        </w:rPr>
        <w:t>c</w:t>
      </w:r>
      <w:r w:rsidR="00E02640" w:rsidRPr="00774011">
        <w:rPr>
          <w:szCs w:val="24"/>
        </w:rPr>
        <w:t>hedule and any other item in a s</w:t>
      </w:r>
      <w:r w:rsidRPr="00774011">
        <w:rPr>
          <w:szCs w:val="24"/>
        </w:rPr>
        <w:t>chedule has effect according to its terms. This is a technical provision to give operational effect to t</w:t>
      </w:r>
      <w:r w:rsidR="00E02640" w:rsidRPr="00774011">
        <w:rPr>
          <w:szCs w:val="24"/>
        </w:rPr>
        <w:t>he amendments contained in the s</w:t>
      </w:r>
      <w:r w:rsidRPr="00774011">
        <w:rPr>
          <w:szCs w:val="24"/>
        </w:rPr>
        <w:t>chedules.</w:t>
      </w:r>
    </w:p>
    <w:p w:rsidR="00BB1826" w:rsidRDefault="00BB1826">
      <w:pPr>
        <w:spacing w:before="0" w:after="200" w:line="276" w:lineRule="auto"/>
        <w:rPr>
          <w:rFonts w:eastAsia="Times New Roman"/>
          <w:b/>
          <w:bCs/>
          <w:iCs/>
          <w:caps/>
          <w:sz w:val="28"/>
          <w:szCs w:val="28"/>
        </w:rPr>
      </w:pPr>
      <w:r>
        <w:br w:type="page"/>
      </w:r>
    </w:p>
    <w:p w:rsidR="009504D9" w:rsidRPr="00774011" w:rsidRDefault="009504D9" w:rsidP="009504D9">
      <w:pPr>
        <w:pStyle w:val="Heading2"/>
      </w:pPr>
      <w:r w:rsidRPr="00774011">
        <w:t>SCHEDULE 1—</w:t>
      </w:r>
      <w:r w:rsidR="007D1E86" w:rsidRPr="00774011">
        <w:t>amendments</w:t>
      </w:r>
    </w:p>
    <w:p w:rsidR="009504D9" w:rsidRPr="00774011" w:rsidRDefault="009504D9" w:rsidP="009504D9">
      <w:pPr>
        <w:pStyle w:val="Heading3"/>
      </w:pPr>
      <w:r w:rsidRPr="00774011">
        <w:t>GENERAL OUTLINE</w:t>
      </w:r>
    </w:p>
    <w:p w:rsidR="00D02CCD" w:rsidRPr="00775591" w:rsidRDefault="00DC266A" w:rsidP="007F2878">
      <w:pPr>
        <w:pStyle w:val="ListParagraph"/>
        <w:numPr>
          <w:ilvl w:val="0"/>
          <w:numId w:val="29"/>
        </w:numPr>
        <w:spacing w:after="240"/>
        <w:ind w:left="0" w:firstLine="0"/>
        <w:contextualSpacing w:val="0"/>
        <w:rPr>
          <w:szCs w:val="24"/>
        </w:rPr>
      </w:pPr>
      <w:r w:rsidRPr="00775591">
        <w:rPr>
          <w:szCs w:val="24"/>
        </w:rPr>
        <w:t>Schedule 1</w:t>
      </w:r>
      <w:r w:rsidR="007F2878" w:rsidRPr="00775591">
        <w:rPr>
          <w:szCs w:val="24"/>
        </w:rPr>
        <w:t xml:space="preserve"> will primarily amend the </w:t>
      </w:r>
      <w:r w:rsidR="007F2878" w:rsidRPr="00775591">
        <w:rPr>
          <w:i/>
          <w:szCs w:val="24"/>
        </w:rPr>
        <w:t>Administrative Appeals Tribunal Act 1975,</w:t>
      </w:r>
      <w:r w:rsidR="007F2878" w:rsidRPr="00775591">
        <w:rPr>
          <w:szCs w:val="24"/>
        </w:rPr>
        <w:t xml:space="preserve"> the </w:t>
      </w:r>
      <w:r w:rsidR="007F2878" w:rsidRPr="00775591">
        <w:rPr>
          <w:i/>
          <w:szCs w:val="24"/>
        </w:rPr>
        <w:t>Bankruptcy Act 1966,</w:t>
      </w:r>
      <w:r w:rsidR="007F2878" w:rsidRPr="00775591">
        <w:rPr>
          <w:szCs w:val="24"/>
        </w:rPr>
        <w:t xml:space="preserve"> the </w:t>
      </w:r>
      <w:r w:rsidR="007F2878" w:rsidRPr="00775591">
        <w:rPr>
          <w:i/>
          <w:szCs w:val="24"/>
        </w:rPr>
        <w:t>Evidence Act 1995,</w:t>
      </w:r>
      <w:r w:rsidR="007F2878" w:rsidRPr="00775591">
        <w:rPr>
          <w:szCs w:val="24"/>
        </w:rPr>
        <w:t xml:space="preserve"> the </w:t>
      </w:r>
      <w:r w:rsidR="007F2878" w:rsidRPr="00775591">
        <w:rPr>
          <w:i/>
          <w:szCs w:val="24"/>
        </w:rPr>
        <w:t xml:space="preserve">Federal Circuit Court of Australia Act 1999, </w:t>
      </w:r>
      <w:r w:rsidR="007F2878" w:rsidRPr="00775591">
        <w:rPr>
          <w:szCs w:val="24"/>
        </w:rPr>
        <w:t xml:space="preserve">the </w:t>
      </w:r>
      <w:r w:rsidR="007F2878" w:rsidRPr="00775591">
        <w:rPr>
          <w:i/>
          <w:szCs w:val="24"/>
        </w:rPr>
        <w:t xml:space="preserve">Federal Court of Australia Act 1976 </w:t>
      </w:r>
      <w:r w:rsidR="007F2878" w:rsidRPr="00775591">
        <w:rPr>
          <w:szCs w:val="24"/>
        </w:rPr>
        <w:t xml:space="preserve">and the </w:t>
      </w:r>
      <w:r w:rsidR="007F2878" w:rsidRPr="00775591">
        <w:rPr>
          <w:i/>
          <w:szCs w:val="24"/>
        </w:rPr>
        <w:t xml:space="preserve">International Arbitration Act 1974. </w:t>
      </w:r>
    </w:p>
    <w:p w:rsidR="0097351F" w:rsidRPr="00775591" w:rsidRDefault="00C20FC0" w:rsidP="0097351F">
      <w:pPr>
        <w:pStyle w:val="ListParagraph"/>
        <w:numPr>
          <w:ilvl w:val="0"/>
          <w:numId w:val="29"/>
        </w:numPr>
        <w:spacing w:after="240"/>
        <w:ind w:left="0" w:firstLine="0"/>
        <w:contextualSpacing w:val="0"/>
        <w:rPr>
          <w:szCs w:val="24"/>
        </w:rPr>
      </w:pPr>
      <w:r w:rsidRPr="00775591">
        <w:rPr>
          <w:szCs w:val="24"/>
        </w:rPr>
        <w:t>Schedule 1</w:t>
      </w:r>
      <w:r w:rsidR="0097351F" w:rsidRPr="00775591">
        <w:rPr>
          <w:szCs w:val="24"/>
        </w:rPr>
        <w:t xml:space="preserve"> will also make consequential amendments to the </w:t>
      </w:r>
      <w:r w:rsidR="0097351F" w:rsidRPr="00775591">
        <w:rPr>
          <w:i/>
          <w:szCs w:val="24"/>
        </w:rPr>
        <w:t>A New Tax System (Family Assistance) Act 1999</w:t>
      </w:r>
      <w:r w:rsidR="0097351F" w:rsidRPr="00775591">
        <w:rPr>
          <w:szCs w:val="24"/>
        </w:rPr>
        <w:t xml:space="preserve">, the </w:t>
      </w:r>
      <w:r w:rsidR="0097351F" w:rsidRPr="00775591">
        <w:rPr>
          <w:i/>
          <w:szCs w:val="24"/>
        </w:rPr>
        <w:t>Child Support (Registration and Collection) Act 1988</w:t>
      </w:r>
      <w:r w:rsidR="0097351F" w:rsidRPr="00775591">
        <w:rPr>
          <w:szCs w:val="24"/>
        </w:rPr>
        <w:t xml:space="preserve">, the </w:t>
      </w:r>
      <w:r w:rsidR="0097351F" w:rsidRPr="00775591">
        <w:rPr>
          <w:i/>
          <w:szCs w:val="24"/>
        </w:rPr>
        <w:t>Family Law Act 1975</w:t>
      </w:r>
      <w:r w:rsidR="0097351F" w:rsidRPr="00775591">
        <w:rPr>
          <w:szCs w:val="24"/>
        </w:rPr>
        <w:t xml:space="preserve">, the </w:t>
      </w:r>
      <w:r w:rsidR="0097351F" w:rsidRPr="00775591">
        <w:rPr>
          <w:i/>
          <w:szCs w:val="24"/>
        </w:rPr>
        <w:t>Freedom of Information Act 1982</w:t>
      </w:r>
      <w:r w:rsidR="0097351F" w:rsidRPr="00775591">
        <w:rPr>
          <w:szCs w:val="24"/>
        </w:rPr>
        <w:t xml:space="preserve">, the </w:t>
      </w:r>
      <w:r w:rsidR="0097351F" w:rsidRPr="00775591">
        <w:rPr>
          <w:i/>
          <w:szCs w:val="24"/>
        </w:rPr>
        <w:t>James Hardie (Investigations and Proceedings) Act 2004</w:t>
      </w:r>
      <w:r w:rsidR="0097351F" w:rsidRPr="00775591">
        <w:rPr>
          <w:szCs w:val="24"/>
        </w:rPr>
        <w:t xml:space="preserve">, the </w:t>
      </w:r>
      <w:r w:rsidR="0097351F" w:rsidRPr="00775591">
        <w:rPr>
          <w:i/>
          <w:szCs w:val="24"/>
        </w:rPr>
        <w:t>Paid Parental Leave Act 2010</w:t>
      </w:r>
      <w:r w:rsidR="0097351F" w:rsidRPr="00775591">
        <w:rPr>
          <w:szCs w:val="24"/>
        </w:rPr>
        <w:t xml:space="preserve">, the </w:t>
      </w:r>
      <w:r w:rsidR="0097351F" w:rsidRPr="00775591">
        <w:rPr>
          <w:i/>
          <w:szCs w:val="24"/>
        </w:rPr>
        <w:t>Proceeds</w:t>
      </w:r>
      <w:r w:rsidR="0025143D" w:rsidRPr="00775591">
        <w:rPr>
          <w:i/>
          <w:szCs w:val="24"/>
        </w:rPr>
        <w:t> </w:t>
      </w:r>
      <w:r w:rsidR="0097351F" w:rsidRPr="00775591">
        <w:rPr>
          <w:i/>
          <w:szCs w:val="24"/>
        </w:rPr>
        <w:t>of Crime Act 2002</w:t>
      </w:r>
      <w:r w:rsidR="0097351F" w:rsidRPr="00775591">
        <w:rPr>
          <w:szCs w:val="24"/>
        </w:rPr>
        <w:t xml:space="preserve">, the </w:t>
      </w:r>
      <w:r w:rsidR="0097351F" w:rsidRPr="00775591">
        <w:rPr>
          <w:i/>
          <w:szCs w:val="24"/>
        </w:rPr>
        <w:t>Public Interest Disclosure Act 2013</w:t>
      </w:r>
      <w:r w:rsidR="0097351F" w:rsidRPr="00775591">
        <w:rPr>
          <w:szCs w:val="24"/>
        </w:rPr>
        <w:t xml:space="preserve">, the </w:t>
      </w:r>
      <w:r w:rsidR="0097351F" w:rsidRPr="00775591">
        <w:rPr>
          <w:i/>
          <w:szCs w:val="24"/>
        </w:rPr>
        <w:t>Social Security (Administration) Act 1999</w:t>
      </w:r>
      <w:r w:rsidR="0097351F" w:rsidRPr="00775591">
        <w:rPr>
          <w:szCs w:val="24"/>
        </w:rPr>
        <w:t xml:space="preserve"> and the </w:t>
      </w:r>
      <w:r w:rsidR="0097351F" w:rsidRPr="00775591">
        <w:rPr>
          <w:i/>
          <w:szCs w:val="24"/>
        </w:rPr>
        <w:t>Student Assistance Act 1973</w:t>
      </w:r>
      <w:r w:rsidR="0097351F" w:rsidRPr="00775591">
        <w:rPr>
          <w:szCs w:val="24"/>
        </w:rPr>
        <w:t>.</w:t>
      </w:r>
      <w:r w:rsidR="005075BD" w:rsidRPr="00775591">
        <w:rPr>
          <w:szCs w:val="24"/>
        </w:rPr>
        <w:t xml:space="preserve"> </w:t>
      </w:r>
    </w:p>
    <w:p w:rsidR="00E00F1A" w:rsidRPr="00775591" w:rsidRDefault="00E00F1A" w:rsidP="00016F34">
      <w:pPr>
        <w:rPr>
          <w:b/>
          <w:i/>
          <w:szCs w:val="24"/>
        </w:rPr>
      </w:pPr>
      <w:r w:rsidRPr="00775591">
        <w:rPr>
          <w:b/>
          <w:i/>
          <w:szCs w:val="24"/>
        </w:rPr>
        <w:t>Administrative Appeals Tribunal Act 1975</w:t>
      </w:r>
    </w:p>
    <w:p w:rsidR="00DC2100" w:rsidRPr="00775591" w:rsidRDefault="00DC2100" w:rsidP="00DC2100">
      <w:pPr>
        <w:pStyle w:val="ListParagraph"/>
        <w:numPr>
          <w:ilvl w:val="0"/>
          <w:numId w:val="29"/>
        </w:numPr>
        <w:spacing w:after="240"/>
        <w:ind w:left="0" w:firstLine="0"/>
        <w:contextualSpacing w:val="0"/>
        <w:rPr>
          <w:szCs w:val="24"/>
        </w:rPr>
      </w:pPr>
      <w:r w:rsidRPr="00775591">
        <w:rPr>
          <w:szCs w:val="24"/>
        </w:rPr>
        <w:t xml:space="preserve">Amendments to the </w:t>
      </w:r>
      <w:r w:rsidRPr="00775591">
        <w:rPr>
          <w:i/>
          <w:szCs w:val="24"/>
        </w:rPr>
        <w:t xml:space="preserve">Administrative Appeals Tribunal Act 1975 </w:t>
      </w:r>
      <w:r w:rsidRPr="00775591">
        <w:rPr>
          <w:szCs w:val="24"/>
        </w:rPr>
        <w:t>will:</w:t>
      </w:r>
    </w:p>
    <w:p w:rsidR="00DC2100" w:rsidRPr="00775591" w:rsidRDefault="00FB4453" w:rsidP="00DC2100">
      <w:pPr>
        <w:pStyle w:val="Summary"/>
        <w:numPr>
          <w:ilvl w:val="0"/>
          <w:numId w:val="16"/>
        </w:numPr>
        <w:tabs>
          <w:tab w:val="clear" w:pos="390"/>
        </w:tabs>
        <w:ind w:left="1080"/>
        <w:rPr>
          <w:sz w:val="24"/>
          <w:szCs w:val="24"/>
        </w:rPr>
      </w:pPr>
      <w:r w:rsidRPr="00775591">
        <w:rPr>
          <w:sz w:val="24"/>
          <w:szCs w:val="24"/>
        </w:rPr>
        <w:t>e</w:t>
      </w:r>
      <w:r w:rsidR="00DC2100" w:rsidRPr="00775591">
        <w:rPr>
          <w:sz w:val="24"/>
          <w:szCs w:val="24"/>
        </w:rPr>
        <w:t>nsure all persons who are parties to a review receive notice that an appli</w:t>
      </w:r>
      <w:r w:rsidRPr="00775591">
        <w:rPr>
          <w:sz w:val="24"/>
          <w:szCs w:val="24"/>
        </w:rPr>
        <w:t>cation for review has been made</w:t>
      </w:r>
    </w:p>
    <w:p w:rsidR="0025125C" w:rsidRPr="00775591" w:rsidRDefault="00FB4453" w:rsidP="0025125C">
      <w:pPr>
        <w:pStyle w:val="Summary"/>
        <w:numPr>
          <w:ilvl w:val="0"/>
          <w:numId w:val="16"/>
        </w:numPr>
        <w:tabs>
          <w:tab w:val="clear" w:pos="390"/>
        </w:tabs>
        <w:ind w:left="1080"/>
        <w:rPr>
          <w:sz w:val="24"/>
          <w:szCs w:val="24"/>
        </w:rPr>
      </w:pPr>
      <w:r w:rsidRPr="00775591">
        <w:rPr>
          <w:sz w:val="24"/>
          <w:szCs w:val="24"/>
        </w:rPr>
        <w:t>c</w:t>
      </w:r>
      <w:r w:rsidR="00DC2100" w:rsidRPr="00775591">
        <w:rPr>
          <w:sz w:val="24"/>
          <w:szCs w:val="24"/>
        </w:rPr>
        <w:t>larify that the Tribunal may make orders that certain information is not</w:t>
      </w:r>
      <w:r w:rsidRPr="00775591">
        <w:rPr>
          <w:sz w:val="24"/>
          <w:szCs w:val="24"/>
        </w:rPr>
        <w:t xml:space="preserve"> to be disclosed to the parties</w:t>
      </w:r>
    </w:p>
    <w:p w:rsidR="0025125C" w:rsidRPr="00775591" w:rsidRDefault="0025125C" w:rsidP="0025125C">
      <w:pPr>
        <w:pStyle w:val="Summary"/>
        <w:numPr>
          <w:ilvl w:val="0"/>
          <w:numId w:val="16"/>
        </w:numPr>
        <w:tabs>
          <w:tab w:val="clear" w:pos="390"/>
        </w:tabs>
        <w:ind w:left="1080"/>
        <w:rPr>
          <w:sz w:val="24"/>
          <w:szCs w:val="24"/>
        </w:rPr>
      </w:pPr>
      <w:r w:rsidRPr="00775591">
        <w:rPr>
          <w:sz w:val="24"/>
          <w:szCs w:val="24"/>
        </w:rPr>
        <w:t>provide flexibility in prescribing the method of giving documents or things for the purposes of proceedings</w:t>
      </w:r>
    </w:p>
    <w:p w:rsidR="00DC2100" w:rsidRPr="00775591" w:rsidRDefault="00FB4453" w:rsidP="00DC2100">
      <w:pPr>
        <w:pStyle w:val="Summary"/>
        <w:numPr>
          <w:ilvl w:val="0"/>
          <w:numId w:val="16"/>
        </w:numPr>
        <w:tabs>
          <w:tab w:val="clear" w:pos="390"/>
        </w:tabs>
        <w:ind w:left="1080"/>
        <w:rPr>
          <w:sz w:val="24"/>
          <w:szCs w:val="24"/>
        </w:rPr>
      </w:pPr>
      <w:r w:rsidRPr="00775591">
        <w:rPr>
          <w:sz w:val="24"/>
          <w:szCs w:val="24"/>
        </w:rPr>
        <w:t>e</w:t>
      </w:r>
      <w:r w:rsidR="00DC2100" w:rsidRPr="00775591">
        <w:rPr>
          <w:sz w:val="24"/>
          <w:szCs w:val="24"/>
        </w:rPr>
        <w:t>nable the President to authorise any member of the Tribunal to exercise power to dismiss applications unde</w:t>
      </w:r>
      <w:r w:rsidRPr="00775591">
        <w:rPr>
          <w:sz w:val="24"/>
          <w:szCs w:val="24"/>
        </w:rPr>
        <w:t>r subsection 39A(18) of the Act, and</w:t>
      </w:r>
    </w:p>
    <w:p w:rsidR="00DC2100" w:rsidRPr="00775591" w:rsidRDefault="00FB4453" w:rsidP="00DC2100">
      <w:pPr>
        <w:pStyle w:val="Summary"/>
        <w:numPr>
          <w:ilvl w:val="0"/>
          <w:numId w:val="16"/>
        </w:numPr>
        <w:tabs>
          <w:tab w:val="clear" w:pos="390"/>
        </w:tabs>
        <w:ind w:left="1080"/>
        <w:rPr>
          <w:sz w:val="24"/>
          <w:szCs w:val="24"/>
        </w:rPr>
      </w:pPr>
      <w:r w:rsidRPr="00775591">
        <w:rPr>
          <w:sz w:val="24"/>
          <w:szCs w:val="24"/>
        </w:rPr>
        <w:t>e</w:t>
      </w:r>
      <w:r w:rsidR="00DC2100" w:rsidRPr="00775591">
        <w:rPr>
          <w:sz w:val="24"/>
          <w:szCs w:val="24"/>
        </w:rPr>
        <w:t xml:space="preserve">nsure that in matters with more than one </w:t>
      </w:r>
      <w:r w:rsidRPr="00775591">
        <w:rPr>
          <w:sz w:val="24"/>
          <w:szCs w:val="24"/>
        </w:rPr>
        <w:t>non</w:t>
      </w:r>
      <w:r w:rsidRPr="00775591">
        <w:rPr>
          <w:sz w:val="24"/>
          <w:szCs w:val="24"/>
        </w:rPr>
        <w:noBreakHyphen/>
        <w:t xml:space="preserve">governmental </w:t>
      </w:r>
      <w:r w:rsidR="00DC2100" w:rsidRPr="00775591">
        <w:rPr>
          <w:sz w:val="24"/>
          <w:szCs w:val="24"/>
        </w:rPr>
        <w:t>party</w:t>
      </w:r>
      <w:r w:rsidRPr="00775591">
        <w:rPr>
          <w:sz w:val="24"/>
          <w:szCs w:val="24"/>
        </w:rPr>
        <w:t xml:space="preserve"> (such as child support reviews)</w:t>
      </w:r>
      <w:r w:rsidR="00DC2100" w:rsidRPr="00775591">
        <w:rPr>
          <w:sz w:val="24"/>
          <w:szCs w:val="24"/>
        </w:rPr>
        <w:t xml:space="preserve">, if the applicant withdraws the application, another party may seek to have it reinstated. </w:t>
      </w:r>
    </w:p>
    <w:p w:rsidR="00DF4269" w:rsidRPr="00775591" w:rsidRDefault="00DF4269" w:rsidP="00DF4269">
      <w:pPr>
        <w:rPr>
          <w:b/>
          <w:szCs w:val="24"/>
        </w:rPr>
      </w:pPr>
      <w:r w:rsidRPr="00775591">
        <w:rPr>
          <w:b/>
          <w:szCs w:val="24"/>
        </w:rPr>
        <w:t>Item 1</w:t>
      </w:r>
      <w:r w:rsidR="00DC2100" w:rsidRPr="00775591">
        <w:rPr>
          <w:b/>
          <w:szCs w:val="24"/>
        </w:rPr>
        <w:t xml:space="preserve">: At the end of subsection 29AC(1) </w:t>
      </w:r>
    </w:p>
    <w:p w:rsidR="00032E60" w:rsidRPr="00775591" w:rsidRDefault="00DC2100" w:rsidP="00DF4269">
      <w:pPr>
        <w:pStyle w:val="ListParagraph"/>
        <w:numPr>
          <w:ilvl w:val="0"/>
          <w:numId w:val="29"/>
        </w:numPr>
        <w:spacing w:after="240"/>
        <w:ind w:left="0" w:firstLine="0"/>
        <w:contextualSpacing w:val="0"/>
        <w:rPr>
          <w:szCs w:val="24"/>
        </w:rPr>
      </w:pPr>
      <w:r w:rsidRPr="00775591">
        <w:rPr>
          <w:szCs w:val="24"/>
        </w:rPr>
        <w:t xml:space="preserve">This </w:t>
      </w:r>
      <w:r w:rsidR="00A172FC" w:rsidRPr="00775591">
        <w:rPr>
          <w:szCs w:val="24"/>
        </w:rPr>
        <w:t>item</w:t>
      </w:r>
      <w:r w:rsidRPr="00775591">
        <w:rPr>
          <w:szCs w:val="24"/>
        </w:rPr>
        <w:t xml:space="preserve"> will</w:t>
      </w:r>
      <w:r w:rsidR="00DF4269" w:rsidRPr="00775591">
        <w:rPr>
          <w:szCs w:val="24"/>
        </w:rPr>
        <w:t xml:space="preserve"> insert new paragraph </w:t>
      </w:r>
      <w:r w:rsidRPr="00775591">
        <w:rPr>
          <w:szCs w:val="24"/>
        </w:rPr>
        <w:t>29AC(1)</w:t>
      </w:r>
      <w:r w:rsidR="00DF4269" w:rsidRPr="00775591">
        <w:rPr>
          <w:szCs w:val="24"/>
        </w:rPr>
        <w:t>(c)</w:t>
      </w:r>
      <w:r w:rsidRPr="00775591">
        <w:rPr>
          <w:szCs w:val="24"/>
        </w:rPr>
        <w:t xml:space="preserve"> into the</w:t>
      </w:r>
      <w:r w:rsidR="007209C5" w:rsidRPr="00775591">
        <w:rPr>
          <w:szCs w:val="24"/>
        </w:rPr>
        <w:t xml:space="preserve"> Administrative Appeals Tribunal</w:t>
      </w:r>
      <w:r w:rsidRPr="00775591">
        <w:rPr>
          <w:szCs w:val="24"/>
        </w:rPr>
        <w:t xml:space="preserve"> Act. </w:t>
      </w:r>
    </w:p>
    <w:p w:rsidR="00032E60" w:rsidRPr="00775591" w:rsidRDefault="00DC2100" w:rsidP="00DF4269">
      <w:pPr>
        <w:pStyle w:val="ListParagraph"/>
        <w:numPr>
          <w:ilvl w:val="0"/>
          <w:numId w:val="29"/>
        </w:numPr>
        <w:spacing w:after="240"/>
        <w:ind w:left="0" w:firstLine="0"/>
        <w:contextualSpacing w:val="0"/>
        <w:rPr>
          <w:szCs w:val="24"/>
        </w:rPr>
      </w:pPr>
      <w:r w:rsidRPr="00775591">
        <w:rPr>
          <w:szCs w:val="24"/>
        </w:rPr>
        <w:t xml:space="preserve">New </w:t>
      </w:r>
      <w:r w:rsidR="00DF4269" w:rsidRPr="00775591">
        <w:rPr>
          <w:szCs w:val="24"/>
        </w:rPr>
        <w:t xml:space="preserve">paragraph </w:t>
      </w:r>
      <w:r w:rsidRPr="00775591">
        <w:rPr>
          <w:szCs w:val="24"/>
        </w:rPr>
        <w:t xml:space="preserve">29AC(1)(c) </w:t>
      </w:r>
      <w:r w:rsidR="00DF4269" w:rsidRPr="00775591">
        <w:rPr>
          <w:szCs w:val="24"/>
        </w:rPr>
        <w:t>will provide that, in addition to the applicant and the person who made the decision, the Registrar must notify any other person who is made a party to the proceeding by virtue of another Act that authorises the making of an application for review to the Tribunal.</w:t>
      </w:r>
    </w:p>
    <w:p w:rsidR="00DF4269" w:rsidRPr="00775591" w:rsidRDefault="00DF4269" w:rsidP="00DF4269">
      <w:pPr>
        <w:pStyle w:val="ListParagraph"/>
        <w:numPr>
          <w:ilvl w:val="0"/>
          <w:numId w:val="29"/>
        </w:numPr>
        <w:spacing w:after="240"/>
        <w:ind w:left="0" w:firstLine="0"/>
        <w:contextualSpacing w:val="0"/>
        <w:rPr>
          <w:szCs w:val="24"/>
        </w:rPr>
      </w:pPr>
      <w:r w:rsidRPr="00775591">
        <w:rPr>
          <w:szCs w:val="24"/>
        </w:rPr>
        <w:t xml:space="preserve">This </w:t>
      </w:r>
      <w:r w:rsidR="00A172FC" w:rsidRPr="00775591">
        <w:rPr>
          <w:szCs w:val="24"/>
        </w:rPr>
        <w:t>item</w:t>
      </w:r>
      <w:r w:rsidRPr="00775591">
        <w:rPr>
          <w:szCs w:val="24"/>
        </w:rPr>
        <w:t xml:space="preserve"> is intended to ensure that all persons who are parties to a review receive notice of an application being made.</w:t>
      </w:r>
    </w:p>
    <w:p w:rsidR="003F5C09" w:rsidRPr="00775591" w:rsidRDefault="00DF4269" w:rsidP="005C3C0B">
      <w:pPr>
        <w:keepNext/>
        <w:rPr>
          <w:b/>
          <w:szCs w:val="24"/>
        </w:rPr>
      </w:pPr>
      <w:r w:rsidRPr="00775591">
        <w:rPr>
          <w:b/>
          <w:szCs w:val="24"/>
        </w:rPr>
        <w:t>Item 2</w:t>
      </w:r>
      <w:r w:rsidR="003F5C09" w:rsidRPr="00775591">
        <w:rPr>
          <w:b/>
          <w:szCs w:val="24"/>
        </w:rPr>
        <w:t xml:space="preserve">: Subsection 35(4) </w:t>
      </w:r>
    </w:p>
    <w:p w:rsidR="003405F1" w:rsidRPr="00775591" w:rsidRDefault="00DF4269" w:rsidP="005C3C0B">
      <w:pPr>
        <w:pStyle w:val="ListParagraph"/>
        <w:keepNext/>
        <w:numPr>
          <w:ilvl w:val="0"/>
          <w:numId w:val="29"/>
        </w:numPr>
        <w:spacing w:after="240"/>
        <w:ind w:left="0" w:firstLine="0"/>
        <w:contextualSpacing w:val="0"/>
        <w:rPr>
          <w:szCs w:val="24"/>
        </w:rPr>
      </w:pPr>
      <w:r w:rsidRPr="00775591">
        <w:rPr>
          <w:szCs w:val="24"/>
        </w:rPr>
        <w:t>Subsection 35(4) of the</w:t>
      </w:r>
      <w:r w:rsidR="006A7669" w:rsidRPr="00775591">
        <w:rPr>
          <w:szCs w:val="24"/>
        </w:rPr>
        <w:t xml:space="preserve"> Administrative Appeals Tribunal</w:t>
      </w:r>
      <w:r w:rsidRPr="00775591">
        <w:rPr>
          <w:szCs w:val="24"/>
        </w:rPr>
        <w:t xml:space="preserve"> Act allows the Tribunal to make non-publication and non-disclosure orders. Existing subsection 35(4) could be interpreted to mean the Tribunal cannot make such an order applying to both parties. There may be situations where this order would be necessary, for instance where a third party provides material which contains information that the Tribunal believes should not be distributed to either party.  </w:t>
      </w:r>
    </w:p>
    <w:p w:rsidR="00DF4269" w:rsidRPr="00775591" w:rsidRDefault="00C652DD" w:rsidP="005C3C0B">
      <w:pPr>
        <w:pStyle w:val="ListParagraph"/>
        <w:keepNext/>
        <w:numPr>
          <w:ilvl w:val="0"/>
          <w:numId w:val="29"/>
        </w:numPr>
        <w:spacing w:after="240"/>
        <w:ind w:left="0" w:firstLine="0"/>
        <w:contextualSpacing w:val="0"/>
        <w:rPr>
          <w:szCs w:val="24"/>
        </w:rPr>
      </w:pPr>
      <w:r w:rsidRPr="00775591">
        <w:rPr>
          <w:szCs w:val="24"/>
        </w:rPr>
        <w:t xml:space="preserve">This </w:t>
      </w:r>
      <w:r w:rsidR="00A172FC" w:rsidRPr="00775591">
        <w:rPr>
          <w:szCs w:val="24"/>
        </w:rPr>
        <w:t>item</w:t>
      </w:r>
      <w:r w:rsidRPr="00775591">
        <w:rPr>
          <w:szCs w:val="24"/>
        </w:rPr>
        <w:t xml:space="preserve"> will</w:t>
      </w:r>
      <w:r w:rsidR="00DF4269" w:rsidRPr="00775591">
        <w:rPr>
          <w:szCs w:val="24"/>
        </w:rPr>
        <w:t xml:space="preserve"> clarify that the Tribunal ma</w:t>
      </w:r>
      <w:r w:rsidR="00D17D33" w:rsidRPr="00775591">
        <w:rPr>
          <w:szCs w:val="24"/>
        </w:rPr>
        <w:t>y make a non-publication or non-</w:t>
      </w:r>
      <w:r w:rsidR="00DF4269" w:rsidRPr="00775591">
        <w:rPr>
          <w:szCs w:val="24"/>
        </w:rPr>
        <w:t>disclosure order to a person, including some or all of the parties to a proceeding.</w:t>
      </w:r>
    </w:p>
    <w:p w:rsidR="00DF4269" w:rsidRPr="00775591" w:rsidRDefault="00DF4269" w:rsidP="00DF4269">
      <w:pPr>
        <w:rPr>
          <w:szCs w:val="24"/>
        </w:rPr>
      </w:pPr>
      <w:r w:rsidRPr="00775591">
        <w:rPr>
          <w:b/>
          <w:szCs w:val="24"/>
        </w:rPr>
        <w:t>Item 3</w:t>
      </w:r>
      <w:r w:rsidR="006276BE" w:rsidRPr="00775591">
        <w:rPr>
          <w:b/>
          <w:szCs w:val="24"/>
        </w:rPr>
        <w:t>: Subsection 39A(18)</w:t>
      </w:r>
    </w:p>
    <w:p w:rsidR="00DF4269" w:rsidRPr="00775591" w:rsidRDefault="00DF4269" w:rsidP="003405F1">
      <w:pPr>
        <w:pStyle w:val="ListParagraph"/>
        <w:keepNext/>
        <w:numPr>
          <w:ilvl w:val="0"/>
          <w:numId w:val="29"/>
        </w:numPr>
        <w:spacing w:after="240"/>
        <w:ind w:left="0" w:firstLine="0"/>
        <w:contextualSpacing w:val="0"/>
        <w:rPr>
          <w:szCs w:val="24"/>
        </w:rPr>
      </w:pPr>
      <w:r w:rsidRPr="00775591">
        <w:rPr>
          <w:szCs w:val="24"/>
        </w:rPr>
        <w:t>Subsection 39A(18) of the</w:t>
      </w:r>
      <w:r w:rsidR="006A7669" w:rsidRPr="00775591">
        <w:rPr>
          <w:szCs w:val="24"/>
        </w:rPr>
        <w:t xml:space="preserve"> Administrative Appeals Tribunal</w:t>
      </w:r>
      <w:r w:rsidRPr="00775591">
        <w:rPr>
          <w:szCs w:val="24"/>
        </w:rPr>
        <w:t xml:space="preserve"> Act allows a presidential member or senior member to dismiss an application for review of a security assessment if the applicant fails to proceed with the application or comply with a direction of the Tribunal within a reasonable time. </w:t>
      </w:r>
    </w:p>
    <w:p w:rsidR="00DF4269" w:rsidRPr="00775591" w:rsidRDefault="00525999" w:rsidP="003405F1">
      <w:pPr>
        <w:pStyle w:val="ListParagraph"/>
        <w:keepNext/>
        <w:numPr>
          <w:ilvl w:val="0"/>
          <w:numId w:val="29"/>
        </w:numPr>
        <w:spacing w:after="240"/>
        <w:ind w:left="0" w:firstLine="0"/>
        <w:contextualSpacing w:val="0"/>
        <w:rPr>
          <w:szCs w:val="24"/>
        </w:rPr>
      </w:pPr>
      <w:r w:rsidRPr="00775591">
        <w:rPr>
          <w:szCs w:val="24"/>
        </w:rPr>
        <w:t>Item 3 will</w:t>
      </w:r>
      <w:r w:rsidR="00DF4269" w:rsidRPr="00775591">
        <w:rPr>
          <w:szCs w:val="24"/>
        </w:rPr>
        <w:t xml:space="preserve"> amend subsection 39A(18) to replace the reference to ‘presidential member or senior member’ with ‘the President or authorised member’.  This is consistent with the approach in similar provisions throughout the Act as amended by the </w:t>
      </w:r>
      <w:r w:rsidR="00DF4269" w:rsidRPr="00775591">
        <w:rPr>
          <w:i/>
          <w:szCs w:val="24"/>
        </w:rPr>
        <w:t>Tribunals Amalgamation Act</w:t>
      </w:r>
      <w:r w:rsidR="00000685" w:rsidRPr="00775591">
        <w:rPr>
          <w:i/>
          <w:szCs w:val="24"/>
        </w:rPr>
        <w:t xml:space="preserve"> 2015</w:t>
      </w:r>
      <w:r w:rsidR="00DF4269" w:rsidRPr="00775591">
        <w:rPr>
          <w:szCs w:val="24"/>
        </w:rPr>
        <w:t>.</w:t>
      </w:r>
    </w:p>
    <w:p w:rsidR="00DF4269" w:rsidRPr="00775591" w:rsidRDefault="00DF4269" w:rsidP="00DF4269">
      <w:pPr>
        <w:rPr>
          <w:b/>
          <w:szCs w:val="24"/>
        </w:rPr>
      </w:pPr>
      <w:r w:rsidRPr="00775591">
        <w:rPr>
          <w:b/>
          <w:szCs w:val="24"/>
        </w:rPr>
        <w:t>Item 4</w:t>
      </w:r>
      <w:r w:rsidR="006276BE" w:rsidRPr="00775591">
        <w:rPr>
          <w:b/>
          <w:szCs w:val="24"/>
        </w:rPr>
        <w:t>: Subsections 42A(8) and (8A)</w:t>
      </w:r>
    </w:p>
    <w:p w:rsidR="00DF4269" w:rsidRPr="00775591" w:rsidRDefault="00DF4269" w:rsidP="00A6170F">
      <w:pPr>
        <w:pStyle w:val="ListParagraph"/>
        <w:numPr>
          <w:ilvl w:val="0"/>
          <w:numId w:val="29"/>
        </w:numPr>
        <w:spacing w:after="240"/>
        <w:ind w:left="0" w:firstLine="0"/>
        <w:contextualSpacing w:val="0"/>
        <w:rPr>
          <w:szCs w:val="24"/>
        </w:rPr>
      </w:pPr>
      <w:r w:rsidRPr="00775591">
        <w:rPr>
          <w:szCs w:val="24"/>
        </w:rPr>
        <w:t xml:space="preserve">The dismissal powers in subsection 42A(1A) of the </w:t>
      </w:r>
      <w:r w:rsidR="00B31A04" w:rsidRPr="00775591">
        <w:rPr>
          <w:szCs w:val="24"/>
        </w:rPr>
        <w:t xml:space="preserve">Administrative Appeals Tribunal </w:t>
      </w:r>
      <w:r w:rsidRPr="00775591">
        <w:rPr>
          <w:szCs w:val="24"/>
        </w:rPr>
        <w:t xml:space="preserve">Act </w:t>
      </w:r>
      <w:r w:rsidR="00625164" w:rsidRPr="00775591">
        <w:rPr>
          <w:szCs w:val="24"/>
        </w:rPr>
        <w:t>assume</w:t>
      </w:r>
      <w:r w:rsidRPr="00775591">
        <w:rPr>
          <w:szCs w:val="24"/>
        </w:rPr>
        <w:t xml:space="preserve"> that it is typically the applicant who will withdraw from proceedings. </w:t>
      </w:r>
      <w:r w:rsidR="00DA57E8" w:rsidRPr="00775591">
        <w:rPr>
          <w:szCs w:val="24"/>
        </w:rPr>
        <w:t xml:space="preserve">However, because of the passage of the </w:t>
      </w:r>
      <w:r w:rsidR="00DA0FC8" w:rsidRPr="00775591">
        <w:rPr>
          <w:szCs w:val="24"/>
        </w:rPr>
        <w:t xml:space="preserve">Tribunals </w:t>
      </w:r>
      <w:r w:rsidR="00000685" w:rsidRPr="00775591">
        <w:rPr>
          <w:szCs w:val="24"/>
        </w:rPr>
        <w:t>Amalgamation Act</w:t>
      </w:r>
      <w:r w:rsidR="00DA57E8" w:rsidRPr="00775591">
        <w:rPr>
          <w:szCs w:val="24"/>
        </w:rPr>
        <w:t xml:space="preserve">, </w:t>
      </w:r>
      <w:r w:rsidRPr="00775591">
        <w:rPr>
          <w:szCs w:val="24"/>
        </w:rPr>
        <w:t xml:space="preserve">the Tribunal will deal with more applications involving two or more </w:t>
      </w:r>
      <w:r w:rsidR="006B0527" w:rsidRPr="00775591">
        <w:rPr>
          <w:szCs w:val="24"/>
        </w:rPr>
        <w:t>non</w:t>
      </w:r>
      <w:r w:rsidR="006B0527" w:rsidRPr="00775591">
        <w:rPr>
          <w:szCs w:val="24"/>
        </w:rPr>
        <w:noBreakHyphen/>
        <w:t>governmental parties</w:t>
      </w:r>
      <w:r w:rsidRPr="00775591">
        <w:rPr>
          <w:szCs w:val="24"/>
        </w:rPr>
        <w:t xml:space="preserve">, especially in child support. It may be the case that while the applicant decides to withdraw the proceeding, another party wishes to continue it and should be entitled to do so. </w:t>
      </w:r>
    </w:p>
    <w:p w:rsidR="00DF4269" w:rsidRPr="00775591" w:rsidRDefault="00547834" w:rsidP="00A6170F">
      <w:pPr>
        <w:pStyle w:val="ListParagraph"/>
        <w:numPr>
          <w:ilvl w:val="0"/>
          <w:numId w:val="29"/>
        </w:numPr>
        <w:spacing w:after="240"/>
        <w:ind w:left="0" w:firstLine="0"/>
        <w:contextualSpacing w:val="0"/>
        <w:rPr>
          <w:szCs w:val="24"/>
        </w:rPr>
      </w:pPr>
      <w:r w:rsidRPr="00775591">
        <w:rPr>
          <w:szCs w:val="24"/>
        </w:rPr>
        <w:t xml:space="preserve">This </w:t>
      </w:r>
      <w:r w:rsidR="0020517B" w:rsidRPr="00775591">
        <w:rPr>
          <w:szCs w:val="24"/>
        </w:rPr>
        <w:t>item</w:t>
      </w:r>
      <w:r w:rsidRPr="00775591">
        <w:rPr>
          <w:szCs w:val="24"/>
        </w:rPr>
        <w:t xml:space="preserve"> will</w:t>
      </w:r>
      <w:r w:rsidR="00DF4269" w:rsidRPr="00775591">
        <w:rPr>
          <w:szCs w:val="24"/>
        </w:rPr>
        <w:t xml:space="preserve"> provide that where the Tribunal has dismissed an application under subsection 42A(1B), a party to the proceeding (other than the applicant or the decision maker) may request the Tribunal to reinstate the application. The amendment</w:t>
      </w:r>
      <w:r w:rsidR="00F460E6" w:rsidRPr="00775591">
        <w:rPr>
          <w:szCs w:val="24"/>
        </w:rPr>
        <w:t xml:space="preserve"> will</w:t>
      </w:r>
      <w:r w:rsidR="00DF4269" w:rsidRPr="00775591">
        <w:rPr>
          <w:szCs w:val="24"/>
        </w:rPr>
        <w:t xml:space="preserve"> provide for this request to be made within 28 days after notification of the dismissal is received. It</w:t>
      </w:r>
      <w:r w:rsidR="00F460E6" w:rsidRPr="00775591">
        <w:rPr>
          <w:szCs w:val="24"/>
        </w:rPr>
        <w:t xml:space="preserve"> will also provide that</w:t>
      </w:r>
      <w:r w:rsidR="00DF4269" w:rsidRPr="00775591">
        <w:rPr>
          <w:szCs w:val="24"/>
        </w:rPr>
        <w:t xml:space="preserve"> a party can request there be an extension of time within which to make a request for reinstatement.</w:t>
      </w:r>
    </w:p>
    <w:p w:rsidR="008411B2" w:rsidRPr="00775591" w:rsidRDefault="008411B2" w:rsidP="008411B2">
      <w:pPr>
        <w:rPr>
          <w:b/>
          <w:szCs w:val="24"/>
        </w:rPr>
      </w:pPr>
      <w:r w:rsidRPr="00775591">
        <w:rPr>
          <w:b/>
          <w:szCs w:val="24"/>
        </w:rPr>
        <w:t xml:space="preserve">Item </w:t>
      </w:r>
      <w:r w:rsidR="008D376D" w:rsidRPr="00775591">
        <w:rPr>
          <w:b/>
          <w:szCs w:val="24"/>
        </w:rPr>
        <w:t>5</w:t>
      </w:r>
      <w:r w:rsidRPr="00775591">
        <w:rPr>
          <w:b/>
          <w:szCs w:val="24"/>
        </w:rPr>
        <w:t>: Section 68</w:t>
      </w:r>
    </w:p>
    <w:p w:rsidR="008F2B30" w:rsidRPr="00775591" w:rsidRDefault="008F2B30" w:rsidP="008F2B30">
      <w:pPr>
        <w:pStyle w:val="ListParagraph"/>
        <w:numPr>
          <w:ilvl w:val="0"/>
          <w:numId w:val="29"/>
        </w:numPr>
        <w:spacing w:after="240"/>
        <w:ind w:left="0" w:firstLine="0"/>
        <w:contextualSpacing w:val="0"/>
        <w:rPr>
          <w:szCs w:val="24"/>
        </w:rPr>
      </w:pPr>
      <w:r w:rsidRPr="00775591">
        <w:rPr>
          <w:szCs w:val="24"/>
        </w:rPr>
        <w:t xml:space="preserve">Section 68 of the AAT Act provides that a document or thing required by the AAT Act or another enactment to be lodged with or given to the AAT, or to a person, must be lodged or given in a manner prescribed by regulation or, if the regulation does not prescribe a manner, in accordance with a practice direction issued by the President of the AAT. The drafting of section 68 could be interpreted as meaning that the manner can only be prescribed in practice directions where the Regulation is silent on the issue. </w:t>
      </w:r>
    </w:p>
    <w:p w:rsidR="008F2B30" w:rsidRPr="00775591" w:rsidRDefault="008D376D" w:rsidP="008F2B30">
      <w:pPr>
        <w:pStyle w:val="ListParagraph"/>
        <w:numPr>
          <w:ilvl w:val="0"/>
          <w:numId w:val="29"/>
        </w:numPr>
        <w:spacing w:after="240"/>
        <w:ind w:left="0" w:firstLine="0"/>
        <w:contextualSpacing w:val="0"/>
        <w:rPr>
          <w:szCs w:val="24"/>
        </w:rPr>
      </w:pPr>
      <w:r w:rsidRPr="00775591">
        <w:rPr>
          <w:szCs w:val="24"/>
        </w:rPr>
        <w:t>Item 5</w:t>
      </w:r>
      <w:r w:rsidR="008F2B30" w:rsidRPr="00775591">
        <w:rPr>
          <w:szCs w:val="24"/>
        </w:rPr>
        <w:t xml:space="preserve"> w</w:t>
      </w:r>
      <w:r w:rsidR="00EA2704" w:rsidRPr="00775591">
        <w:rPr>
          <w:szCs w:val="24"/>
        </w:rPr>
        <w:t>ill</w:t>
      </w:r>
      <w:r w:rsidR="008F2B30" w:rsidRPr="00775591">
        <w:rPr>
          <w:szCs w:val="24"/>
        </w:rPr>
        <w:t xml:space="preserve"> repeal section 68 and substitute a new provision which would ensure the manner for lodging or giving documents or things to the Tribunal, or to a person, may be prescribed by regulation, in a practice direction, or a combination of both. This provides flexibility to set out these procedures in the most effective way. </w:t>
      </w:r>
    </w:p>
    <w:p w:rsidR="006E3162" w:rsidRPr="00775591" w:rsidRDefault="00727896" w:rsidP="007375C5">
      <w:pPr>
        <w:pStyle w:val="ListParagraph"/>
        <w:keepNext/>
        <w:spacing w:after="240"/>
        <w:ind w:left="0"/>
        <w:contextualSpacing w:val="0"/>
        <w:rPr>
          <w:b/>
          <w:szCs w:val="24"/>
        </w:rPr>
      </w:pPr>
      <w:r w:rsidRPr="00775591">
        <w:rPr>
          <w:b/>
          <w:szCs w:val="24"/>
        </w:rPr>
        <w:t>Item 6</w:t>
      </w:r>
      <w:r w:rsidR="006E3162" w:rsidRPr="00775591">
        <w:rPr>
          <w:b/>
          <w:szCs w:val="24"/>
        </w:rPr>
        <w:t>: Savings provision</w:t>
      </w:r>
    </w:p>
    <w:p w:rsidR="006E3162" w:rsidRPr="00775591" w:rsidRDefault="00727896" w:rsidP="007375C5">
      <w:pPr>
        <w:pStyle w:val="ListParagraph"/>
        <w:keepNext/>
        <w:numPr>
          <w:ilvl w:val="0"/>
          <w:numId w:val="29"/>
        </w:numPr>
        <w:spacing w:after="240"/>
        <w:ind w:left="0" w:firstLine="0"/>
        <w:contextualSpacing w:val="0"/>
        <w:rPr>
          <w:szCs w:val="24"/>
        </w:rPr>
      </w:pPr>
      <w:r w:rsidRPr="00775591">
        <w:rPr>
          <w:szCs w:val="24"/>
        </w:rPr>
        <w:t>Item 6</w:t>
      </w:r>
      <w:r w:rsidR="006E3162" w:rsidRPr="00775591">
        <w:rPr>
          <w:szCs w:val="24"/>
        </w:rPr>
        <w:t xml:space="preserve"> is a savings provision which ensures that the amendment to section 68, inserted by</w:t>
      </w:r>
      <w:r w:rsidRPr="00775591">
        <w:rPr>
          <w:szCs w:val="24"/>
        </w:rPr>
        <w:t xml:space="preserve"> item 5</w:t>
      </w:r>
      <w:r w:rsidR="006E3162" w:rsidRPr="00775591">
        <w:rPr>
          <w:szCs w:val="24"/>
        </w:rPr>
        <w:t xml:space="preserve"> above, does not affect a direction or regulation in force immediately before the amendment commences. </w:t>
      </w:r>
    </w:p>
    <w:p w:rsidR="00A6170F" w:rsidRPr="00775591" w:rsidRDefault="00A6170F" w:rsidP="00A6170F">
      <w:pPr>
        <w:rPr>
          <w:b/>
          <w:i/>
          <w:szCs w:val="24"/>
        </w:rPr>
      </w:pPr>
      <w:r w:rsidRPr="00775591">
        <w:rPr>
          <w:b/>
          <w:i/>
          <w:szCs w:val="24"/>
        </w:rPr>
        <w:t>A New Tax System (Family Assistance) (Administration) Act 1999</w:t>
      </w:r>
    </w:p>
    <w:p w:rsidR="0020517B" w:rsidRPr="00775591" w:rsidRDefault="00727896" w:rsidP="00A6170F">
      <w:pPr>
        <w:rPr>
          <w:b/>
          <w:szCs w:val="24"/>
        </w:rPr>
      </w:pPr>
      <w:r w:rsidRPr="00775591">
        <w:rPr>
          <w:b/>
          <w:szCs w:val="24"/>
        </w:rPr>
        <w:t>Item 7</w:t>
      </w:r>
      <w:r w:rsidR="0020517B" w:rsidRPr="00775591">
        <w:rPr>
          <w:b/>
          <w:szCs w:val="24"/>
        </w:rPr>
        <w:t>: Section 129</w:t>
      </w:r>
    </w:p>
    <w:p w:rsidR="00941808" w:rsidRPr="00775591" w:rsidRDefault="00941808" w:rsidP="00941808">
      <w:pPr>
        <w:pStyle w:val="ListParagraph"/>
        <w:numPr>
          <w:ilvl w:val="0"/>
          <w:numId w:val="29"/>
        </w:numPr>
        <w:spacing w:after="240"/>
        <w:ind w:left="0" w:firstLine="0"/>
        <w:contextualSpacing w:val="0"/>
        <w:rPr>
          <w:szCs w:val="24"/>
        </w:rPr>
      </w:pPr>
      <w:r w:rsidRPr="00775591">
        <w:rPr>
          <w:szCs w:val="24"/>
        </w:rPr>
        <w:t>This item will repeal section 129 of the A New Tax System (Family A</w:t>
      </w:r>
      <w:r w:rsidR="00F50A4E" w:rsidRPr="00775591">
        <w:rPr>
          <w:szCs w:val="24"/>
        </w:rPr>
        <w:t xml:space="preserve">ssistance) (Administration) Act </w:t>
      </w:r>
      <w:r w:rsidR="00F50A4E" w:rsidRPr="00775591">
        <w:rPr>
          <w:szCs w:val="24"/>
          <w:lang w:eastAsia="en-AU"/>
        </w:rPr>
        <w:t xml:space="preserve">which will be inserted by the </w:t>
      </w:r>
      <w:r w:rsidR="00F50A4E" w:rsidRPr="00775591">
        <w:rPr>
          <w:i/>
          <w:szCs w:val="24"/>
          <w:lang w:eastAsia="en-AU"/>
        </w:rPr>
        <w:t>Tribunal</w:t>
      </w:r>
      <w:r w:rsidR="00000685" w:rsidRPr="00775591">
        <w:rPr>
          <w:i/>
          <w:szCs w:val="24"/>
          <w:lang w:eastAsia="en-AU"/>
        </w:rPr>
        <w:t>s</w:t>
      </w:r>
      <w:r w:rsidR="00F50A4E" w:rsidRPr="00775591">
        <w:rPr>
          <w:i/>
          <w:szCs w:val="24"/>
          <w:lang w:eastAsia="en-AU"/>
        </w:rPr>
        <w:t xml:space="preserve"> Amalgamation Act 2015</w:t>
      </w:r>
      <w:r w:rsidR="00F50A4E" w:rsidRPr="00775591">
        <w:rPr>
          <w:szCs w:val="24"/>
          <w:lang w:eastAsia="en-AU"/>
        </w:rPr>
        <w:t xml:space="preserve"> on 1 July 2015.</w:t>
      </w:r>
    </w:p>
    <w:p w:rsidR="00941808" w:rsidRPr="00775591" w:rsidRDefault="00941808" w:rsidP="00941808">
      <w:pPr>
        <w:pStyle w:val="ListParagraph"/>
        <w:numPr>
          <w:ilvl w:val="0"/>
          <w:numId w:val="29"/>
        </w:numPr>
        <w:spacing w:after="240"/>
        <w:ind w:left="0" w:firstLine="0"/>
        <w:contextualSpacing w:val="0"/>
        <w:rPr>
          <w:szCs w:val="24"/>
        </w:rPr>
      </w:pPr>
      <w:r w:rsidRPr="00775591">
        <w:rPr>
          <w:szCs w:val="24"/>
        </w:rPr>
        <w:t xml:space="preserve">Section 129 modifies the application of the </w:t>
      </w:r>
      <w:r w:rsidRPr="00775591">
        <w:rPr>
          <w:i/>
          <w:iCs/>
          <w:szCs w:val="24"/>
        </w:rPr>
        <w:t>Administrative Appeals Tribunal Act 1975</w:t>
      </w:r>
      <w:r w:rsidRPr="00775591">
        <w:rPr>
          <w:szCs w:val="24"/>
        </w:rPr>
        <w:t xml:space="preserve"> by providing that when an applicant applies for AAT second review, the reference to the person who made the decision, is a reference to each person who was a party to the first review (other than the applicant who has applied for AAT second review).</w:t>
      </w:r>
    </w:p>
    <w:p w:rsidR="00941808" w:rsidRPr="00775591" w:rsidRDefault="00941808" w:rsidP="00941808">
      <w:pPr>
        <w:pStyle w:val="ListParagraph"/>
        <w:numPr>
          <w:ilvl w:val="0"/>
          <w:numId w:val="29"/>
        </w:numPr>
        <w:spacing w:after="240"/>
        <w:ind w:left="0" w:firstLine="0"/>
        <w:contextualSpacing w:val="0"/>
        <w:rPr>
          <w:szCs w:val="24"/>
        </w:rPr>
      </w:pPr>
      <w:r w:rsidRPr="00775591">
        <w:rPr>
          <w:szCs w:val="24"/>
        </w:rPr>
        <w:t xml:space="preserve">The repeal of section 129 is necessary because this Bill will introduce paragraph 29AC(1)(c) which will provide that the Tribunal must give notice of receiving an application, to any person who is made a party to the review by another enactment that authorised the application. </w:t>
      </w:r>
    </w:p>
    <w:p w:rsidR="00941808" w:rsidRPr="00775591" w:rsidRDefault="00941808" w:rsidP="00941808">
      <w:pPr>
        <w:pStyle w:val="ListParagraph"/>
        <w:numPr>
          <w:ilvl w:val="0"/>
          <w:numId w:val="29"/>
        </w:numPr>
        <w:spacing w:after="240"/>
        <w:ind w:left="0" w:firstLine="0"/>
        <w:contextualSpacing w:val="0"/>
        <w:rPr>
          <w:szCs w:val="24"/>
        </w:rPr>
      </w:pPr>
      <w:r w:rsidRPr="00775591">
        <w:rPr>
          <w:szCs w:val="24"/>
        </w:rPr>
        <w:t>As both provisions will achieve the same outcome, section 129 will become redundant.</w:t>
      </w:r>
    </w:p>
    <w:p w:rsidR="00E00F1A" w:rsidRPr="00775591" w:rsidRDefault="00E00F1A" w:rsidP="00A6170F">
      <w:pPr>
        <w:rPr>
          <w:b/>
          <w:i/>
          <w:szCs w:val="24"/>
        </w:rPr>
      </w:pPr>
      <w:r w:rsidRPr="00775591">
        <w:rPr>
          <w:b/>
          <w:i/>
          <w:szCs w:val="24"/>
        </w:rPr>
        <w:t>Bankruptcy Act 1966</w:t>
      </w:r>
    </w:p>
    <w:p w:rsidR="00F34B78" w:rsidRPr="00775591" w:rsidRDefault="00F76A66" w:rsidP="00A6170F">
      <w:pPr>
        <w:pStyle w:val="Heading4"/>
      </w:pPr>
      <w:r w:rsidRPr="00775591">
        <w:t>Items 8 and 9</w:t>
      </w:r>
      <w:r w:rsidR="00F34B78" w:rsidRPr="00775591">
        <w:t xml:space="preserve">: </w:t>
      </w:r>
      <w:r w:rsidR="002E2A16" w:rsidRPr="00775591">
        <w:t>sub</w:t>
      </w:r>
      <w:r w:rsidR="00F34B78" w:rsidRPr="00775591">
        <w:t>sections 54</w:t>
      </w:r>
      <w:r w:rsidR="002E2A16" w:rsidRPr="00775591">
        <w:t>(6)</w:t>
      </w:r>
      <w:r w:rsidR="00F34B78" w:rsidRPr="00775591">
        <w:t xml:space="preserve"> and 55</w:t>
      </w:r>
      <w:r w:rsidR="002E2A16" w:rsidRPr="00775591">
        <w:t>(11)</w:t>
      </w:r>
    </w:p>
    <w:p w:rsidR="00F34B78" w:rsidRPr="00775591" w:rsidRDefault="00F34B78" w:rsidP="00A6170F">
      <w:pPr>
        <w:pStyle w:val="ListParagraph"/>
        <w:numPr>
          <w:ilvl w:val="0"/>
          <w:numId w:val="29"/>
        </w:numPr>
        <w:spacing w:after="240"/>
        <w:ind w:left="0" w:firstLine="0"/>
        <w:contextualSpacing w:val="0"/>
        <w:rPr>
          <w:szCs w:val="24"/>
        </w:rPr>
      </w:pPr>
      <w:r w:rsidRPr="00775591">
        <w:rPr>
          <w:szCs w:val="24"/>
        </w:rPr>
        <w:t>Subs</w:t>
      </w:r>
      <w:r w:rsidR="00F4645F" w:rsidRPr="00775591">
        <w:rPr>
          <w:szCs w:val="24"/>
        </w:rPr>
        <w:t xml:space="preserve">ections 54(6) and 55(11) of the </w:t>
      </w:r>
      <w:r w:rsidR="00363A48" w:rsidRPr="00775591">
        <w:rPr>
          <w:szCs w:val="24"/>
        </w:rPr>
        <w:t xml:space="preserve">Bankruptcy </w:t>
      </w:r>
      <w:r w:rsidR="00F4645F" w:rsidRPr="00775591">
        <w:rPr>
          <w:szCs w:val="24"/>
        </w:rPr>
        <w:t>Act</w:t>
      </w:r>
      <w:r w:rsidRPr="00775591">
        <w:rPr>
          <w:szCs w:val="24"/>
        </w:rPr>
        <w:t xml:space="preserve"> provide</w:t>
      </w:r>
      <w:r w:rsidR="00F4645F" w:rsidRPr="00775591">
        <w:rPr>
          <w:szCs w:val="24"/>
        </w:rPr>
        <w:t>s</w:t>
      </w:r>
      <w:r w:rsidRPr="00775591">
        <w:rPr>
          <w:szCs w:val="24"/>
        </w:rPr>
        <w:t xml:space="preserve"> that the Official Receiver must ensure confidential information in a bankrupt’s statement of affairs is not made available to ‘any person other than the bankrupt (or an agent of the bankrupt)’.</w:t>
      </w:r>
    </w:p>
    <w:p w:rsidR="00F34B78" w:rsidRPr="00775591" w:rsidRDefault="00F76A66" w:rsidP="00A6170F">
      <w:pPr>
        <w:pStyle w:val="ListParagraph"/>
        <w:numPr>
          <w:ilvl w:val="0"/>
          <w:numId w:val="29"/>
        </w:numPr>
        <w:spacing w:after="240"/>
        <w:ind w:left="0" w:firstLine="0"/>
        <w:contextualSpacing w:val="0"/>
        <w:rPr>
          <w:szCs w:val="24"/>
        </w:rPr>
      </w:pPr>
      <w:r w:rsidRPr="00775591">
        <w:rPr>
          <w:szCs w:val="24"/>
        </w:rPr>
        <w:t>Items 8 and 9</w:t>
      </w:r>
      <w:r w:rsidR="00F34B78" w:rsidRPr="00775591">
        <w:rPr>
          <w:szCs w:val="24"/>
        </w:rPr>
        <w:t xml:space="preserve"> will insert subsections to clarify that the provisions do not prevent disclosure of the confidential parts of a statement of affairs where disclosure is required by law. For example, where a government agency uses statutory information-gathering powers to seek the information. </w:t>
      </w:r>
    </w:p>
    <w:p w:rsidR="00F34B78" w:rsidRPr="00775591" w:rsidRDefault="00F76A66" w:rsidP="00CA14E1">
      <w:pPr>
        <w:pStyle w:val="Heading4"/>
        <w:keepNext/>
      </w:pPr>
      <w:r w:rsidRPr="00775591">
        <w:t>Items 10</w:t>
      </w:r>
      <w:r w:rsidR="00DE3B96" w:rsidRPr="00775591">
        <w:t xml:space="preserve">, </w:t>
      </w:r>
      <w:r w:rsidRPr="00775591">
        <w:t>11</w:t>
      </w:r>
      <w:r w:rsidR="00DE3B96" w:rsidRPr="00775591">
        <w:t xml:space="preserve">, </w:t>
      </w:r>
      <w:r w:rsidRPr="00775591">
        <w:t>12</w:t>
      </w:r>
      <w:r w:rsidR="00F34B78" w:rsidRPr="00775591">
        <w:t xml:space="preserve">, </w:t>
      </w:r>
      <w:r w:rsidRPr="00775591">
        <w:t>14</w:t>
      </w:r>
      <w:r w:rsidR="00F34B78" w:rsidRPr="00775591">
        <w:t xml:space="preserve">, </w:t>
      </w:r>
      <w:r w:rsidRPr="00775591">
        <w:t>15</w:t>
      </w:r>
      <w:r w:rsidR="00DE3B96" w:rsidRPr="00775591">
        <w:t>,</w:t>
      </w:r>
      <w:r w:rsidR="00F34B78" w:rsidRPr="00775591">
        <w:t xml:space="preserve"> </w:t>
      </w:r>
      <w:r w:rsidRPr="00775591">
        <w:t>16</w:t>
      </w:r>
      <w:r w:rsidR="00F34B78" w:rsidRPr="00775591">
        <w:t xml:space="preserve">, </w:t>
      </w:r>
      <w:r w:rsidRPr="00775591">
        <w:t>21</w:t>
      </w:r>
      <w:r w:rsidR="00F34B78" w:rsidRPr="00775591">
        <w:t xml:space="preserve">, </w:t>
      </w:r>
      <w:r w:rsidRPr="00775591">
        <w:t>22</w:t>
      </w:r>
      <w:r w:rsidR="00F34B78" w:rsidRPr="00775591">
        <w:t xml:space="preserve"> and </w:t>
      </w:r>
      <w:r w:rsidRPr="00775591">
        <w:t>23</w:t>
      </w:r>
      <w:r w:rsidR="00F34B78" w:rsidRPr="00775591">
        <w:t xml:space="preserve">: </w:t>
      </w:r>
      <w:r w:rsidR="00DE3B96" w:rsidRPr="00775591">
        <w:t>Paragraph 139ZA(3)(a), Subsection 139ZA(4),</w:t>
      </w:r>
      <w:r w:rsidR="001307C9" w:rsidRPr="00775591">
        <w:t xml:space="preserve"> Subsection 139ZA(5), Paragraph 139ZIO</w:t>
      </w:r>
      <w:r w:rsidR="00DE3B96" w:rsidRPr="00775591">
        <w:t>(3)(a), Subsection 139ZIO(4), Subsection 139ZIO(5),</w:t>
      </w:r>
      <w:r w:rsidR="001307C9" w:rsidRPr="00775591">
        <w:t xml:space="preserve"> Paragraph 149K(3)(a), Subsection 149K(4) and Subsection 149K(5). </w:t>
      </w:r>
    </w:p>
    <w:p w:rsidR="00F34B78" w:rsidRPr="00775591" w:rsidRDefault="00F34B78" w:rsidP="00CA14E1">
      <w:pPr>
        <w:pStyle w:val="ListParagraph"/>
        <w:keepNext/>
        <w:numPr>
          <w:ilvl w:val="0"/>
          <w:numId w:val="29"/>
        </w:numPr>
        <w:spacing w:after="240"/>
        <w:ind w:left="0" w:firstLine="0"/>
        <w:contextualSpacing w:val="0"/>
        <w:rPr>
          <w:szCs w:val="24"/>
        </w:rPr>
      </w:pPr>
      <w:r w:rsidRPr="00775591">
        <w:rPr>
          <w:szCs w:val="24"/>
        </w:rPr>
        <w:t>Section 139ZA of the</w:t>
      </w:r>
      <w:r w:rsidR="00363A48" w:rsidRPr="00775591">
        <w:rPr>
          <w:szCs w:val="24"/>
        </w:rPr>
        <w:t xml:space="preserve"> Bankruptcy</w:t>
      </w:r>
      <w:r w:rsidRPr="00775591">
        <w:rPr>
          <w:szCs w:val="24"/>
        </w:rPr>
        <w:t xml:space="preserve"> </w:t>
      </w:r>
      <w:r w:rsidR="00F4645F" w:rsidRPr="00775591">
        <w:rPr>
          <w:szCs w:val="24"/>
        </w:rPr>
        <w:t>Act</w:t>
      </w:r>
      <w:r w:rsidRPr="00775591">
        <w:rPr>
          <w:szCs w:val="24"/>
        </w:rPr>
        <w:t xml:space="preserve"> requires a bankrupt to lodge a request for review with the Official Receiver’s office if they are seeking a review of their income contribution assessment. Similarly, sections 139ZIO and 149K relate to lodging a request for review with the Official Receiver’s office for: </w:t>
      </w:r>
    </w:p>
    <w:p w:rsidR="00F34B78" w:rsidRPr="00775591" w:rsidRDefault="00F34B78" w:rsidP="00D54AA8">
      <w:pPr>
        <w:pStyle w:val="ListParagraph"/>
        <w:numPr>
          <w:ilvl w:val="0"/>
          <w:numId w:val="35"/>
        </w:numPr>
        <w:rPr>
          <w:szCs w:val="24"/>
        </w:rPr>
      </w:pPr>
      <w:r w:rsidRPr="00775591">
        <w:rPr>
          <w:szCs w:val="24"/>
        </w:rPr>
        <w:t xml:space="preserve">a determination under the supervised account regime, and </w:t>
      </w:r>
    </w:p>
    <w:p w:rsidR="00F34B78" w:rsidRPr="00775591" w:rsidRDefault="00F34B78" w:rsidP="00D54AA8">
      <w:pPr>
        <w:pStyle w:val="ListParagraph"/>
        <w:numPr>
          <w:ilvl w:val="0"/>
          <w:numId w:val="35"/>
        </w:numPr>
        <w:rPr>
          <w:szCs w:val="24"/>
        </w:rPr>
      </w:pPr>
      <w:r w:rsidRPr="00775591">
        <w:rPr>
          <w:szCs w:val="24"/>
        </w:rPr>
        <w:t xml:space="preserve">an objection to discharge from bankruptcy. </w:t>
      </w:r>
    </w:p>
    <w:p w:rsidR="00EF6A60" w:rsidRPr="00775591" w:rsidRDefault="00F34B78" w:rsidP="00F4645F">
      <w:pPr>
        <w:pStyle w:val="ListParagraph"/>
        <w:keepNext/>
        <w:numPr>
          <w:ilvl w:val="0"/>
          <w:numId w:val="29"/>
        </w:numPr>
        <w:spacing w:after="240"/>
        <w:ind w:left="0" w:firstLine="0"/>
        <w:contextualSpacing w:val="0"/>
        <w:rPr>
          <w:szCs w:val="24"/>
        </w:rPr>
      </w:pPr>
      <w:r w:rsidRPr="00775591">
        <w:rPr>
          <w:szCs w:val="24"/>
        </w:rPr>
        <w:t xml:space="preserve">The relevant provisions require the Official Receiver to endorse and then send </w:t>
      </w:r>
      <w:r w:rsidR="00BB6B87" w:rsidRPr="00775591">
        <w:rPr>
          <w:szCs w:val="24"/>
        </w:rPr>
        <w:t>the request on to the Inspector-</w:t>
      </w:r>
      <w:r w:rsidRPr="00775591">
        <w:rPr>
          <w:szCs w:val="24"/>
        </w:rPr>
        <w:t xml:space="preserve">General, who will conduct the review. </w:t>
      </w:r>
    </w:p>
    <w:p w:rsidR="00F34B78" w:rsidRPr="00775591" w:rsidRDefault="00F34B78" w:rsidP="00F4645F">
      <w:pPr>
        <w:pStyle w:val="ListParagraph"/>
        <w:keepNext/>
        <w:numPr>
          <w:ilvl w:val="0"/>
          <w:numId w:val="29"/>
        </w:numPr>
        <w:spacing w:after="240"/>
        <w:ind w:left="0" w:firstLine="0"/>
        <w:contextualSpacing w:val="0"/>
        <w:rPr>
          <w:szCs w:val="24"/>
        </w:rPr>
      </w:pPr>
      <w:r w:rsidRPr="00775591">
        <w:rPr>
          <w:szCs w:val="24"/>
        </w:rPr>
        <w:t xml:space="preserve">It is unnecessary for such review requests to come through the Official Receiver because they do not require any action by the Official Receiver. Items </w:t>
      </w:r>
      <w:r w:rsidR="00DA443A" w:rsidRPr="00775591">
        <w:rPr>
          <w:szCs w:val="24"/>
        </w:rPr>
        <w:t>10</w:t>
      </w:r>
      <w:r w:rsidRPr="00775591">
        <w:rPr>
          <w:szCs w:val="24"/>
        </w:rPr>
        <w:t xml:space="preserve">, </w:t>
      </w:r>
      <w:r w:rsidR="00DA443A" w:rsidRPr="00775591">
        <w:rPr>
          <w:szCs w:val="24"/>
        </w:rPr>
        <w:t>11</w:t>
      </w:r>
      <w:r w:rsidRPr="00775591">
        <w:rPr>
          <w:szCs w:val="24"/>
        </w:rPr>
        <w:t xml:space="preserve"> and </w:t>
      </w:r>
      <w:r w:rsidR="00DA443A" w:rsidRPr="00775591">
        <w:rPr>
          <w:szCs w:val="24"/>
        </w:rPr>
        <w:t>12</w:t>
      </w:r>
      <w:r w:rsidRPr="00775591">
        <w:rPr>
          <w:szCs w:val="24"/>
        </w:rPr>
        <w:t xml:space="preserve"> will remove this process from section 139ZA. Items </w:t>
      </w:r>
      <w:r w:rsidR="00463758" w:rsidRPr="00775591">
        <w:rPr>
          <w:szCs w:val="24"/>
        </w:rPr>
        <w:t>14</w:t>
      </w:r>
      <w:r w:rsidRPr="00775591">
        <w:rPr>
          <w:szCs w:val="24"/>
        </w:rPr>
        <w:t xml:space="preserve">, </w:t>
      </w:r>
      <w:r w:rsidR="00463758" w:rsidRPr="00775591">
        <w:rPr>
          <w:szCs w:val="24"/>
        </w:rPr>
        <w:t>15</w:t>
      </w:r>
      <w:r w:rsidRPr="00775591">
        <w:rPr>
          <w:szCs w:val="24"/>
        </w:rPr>
        <w:t xml:space="preserve"> and </w:t>
      </w:r>
      <w:r w:rsidR="00463758" w:rsidRPr="00775591">
        <w:rPr>
          <w:szCs w:val="24"/>
        </w:rPr>
        <w:t>16</w:t>
      </w:r>
      <w:r w:rsidRPr="00775591">
        <w:rPr>
          <w:szCs w:val="24"/>
        </w:rPr>
        <w:t xml:space="preserve"> will remove this process from section 139ZIO. Items </w:t>
      </w:r>
      <w:r w:rsidR="00AB0918" w:rsidRPr="00775591">
        <w:rPr>
          <w:szCs w:val="24"/>
        </w:rPr>
        <w:t>21</w:t>
      </w:r>
      <w:r w:rsidRPr="00775591">
        <w:rPr>
          <w:szCs w:val="24"/>
        </w:rPr>
        <w:t xml:space="preserve">, </w:t>
      </w:r>
      <w:r w:rsidR="00AB0918" w:rsidRPr="00775591">
        <w:rPr>
          <w:szCs w:val="24"/>
        </w:rPr>
        <w:t>22</w:t>
      </w:r>
      <w:r w:rsidRPr="00775591">
        <w:rPr>
          <w:szCs w:val="24"/>
        </w:rPr>
        <w:t xml:space="preserve"> and </w:t>
      </w:r>
      <w:r w:rsidR="00AB0918" w:rsidRPr="00775591">
        <w:rPr>
          <w:szCs w:val="24"/>
        </w:rPr>
        <w:t>23</w:t>
      </w:r>
      <w:r w:rsidRPr="00775591">
        <w:rPr>
          <w:szCs w:val="24"/>
        </w:rPr>
        <w:t xml:space="preserve"> will remove this process from section 149K. </w:t>
      </w:r>
    </w:p>
    <w:p w:rsidR="005D7D7C" w:rsidRPr="00775591" w:rsidRDefault="00111AB8" w:rsidP="005D7D7C">
      <w:pPr>
        <w:rPr>
          <w:b/>
          <w:szCs w:val="24"/>
        </w:rPr>
      </w:pPr>
      <w:r w:rsidRPr="00775591">
        <w:rPr>
          <w:b/>
          <w:szCs w:val="24"/>
        </w:rPr>
        <w:t>Items 13</w:t>
      </w:r>
      <w:r w:rsidR="005D7D7C" w:rsidRPr="00775591">
        <w:rPr>
          <w:b/>
          <w:szCs w:val="24"/>
        </w:rPr>
        <w:t>, 1</w:t>
      </w:r>
      <w:r w:rsidRPr="00775591">
        <w:rPr>
          <w:b/>
          <w:szCs w:val="24"/>
        </w:rPr>
        <w:t>7</w:t>
      </w:r>
      <w:r w:rsidR="005D7D7C" w:rsidRPr="00775591">
        <w:rPr>
          <w:b/>
          <w:szCs w:val="24"/>
        </w:rPr>
        <w:t xml:space="preserve"> and 1</w:t>
      </w:r>
      <w:r w:rsidRPr="00775591">
        <w:rPr>
          <w:b/>
          <w:szCs w:val="24"/>
        </w:rPr>
        <w:t>8</w:t>
      </w:r>
      <w:r w:rsidR="005D7D7C" w:rsidRPr="00775591">
        <w:rPr>
          <w:b/>
          <w:szCs w:val="24"/>
        </w:rPr>
        <w:t>: Subsection 139ZE(1), Paragraph 139ZIS(1)(d) and Paragraph 139ZIS(1)(e)</w:t>
      </w:r>
    </w:p>
    <w:p w:rsidR="00F34B78" w:rsidRPr="00775591" w:rsidRDefault="00F34B78" w:rsidP="00E84C43">
      <w:pPr>
        <w:pStyle w:val="ListParagraph"/>
        <w:numPr>
          <w:ilvl w:val="0"/>
          <w:numId w:val="29"/>
        </w:numPr>
        <w:spacing w:after="240"/>
        <w:ind w:left="0" w:firstLine="0"/>
        <w:contextualSpacing w:val="0"/>
        <w:rPr>
          <w:szCs w:val="24"/>
        </w:rPr>
      </w:pPr>
      <w:r w:rsidRPr="00775591">
        <w:rPr>
          <w:szCs w:val="24"/>
        </w:rPr>
        <w:t xml:space="preserve">Section 139ZE of the </w:t>
      </w:r>
      <w:r w:rsidR="00363A48" w:rsidRPr="00775591">
        <w:rPr>
          <w:szCs w:val="24"/>
        </w:rPr>
        <w:t xml:space="preserve">Bankruptcy </w:t>
      </w:r>
      <w:r w:rsidR="00F04BF0" w:rsidRPr="00775591">
        <w:rPr>
          <w:szCs w:val="24"/>
        </w:rPr>
        <w:t>Act</w:t>
      </w:r>
      <w:r w:rsidRPr="00775591">
        <w:rPr>
          <w:szCs w:val="24"/>
        </w:rPr>
        <w:t xml:space="preserve"> requires the Inspector-General to notify a bankrupt, trustee and the Official Receiver of review decisions (including decisions refusing to review) relating to income contribution assessment. Similarly, section 139ZIS relates to notification for review decisions relating to the supervised account regime. </w:t>
      </w:r>
    </w:p>
    <w:p w:rsidR="00F34B78" w:rsidRPr="00775591" w:rsidRDefault="007665C5" w:rsidP="00E84C43">
      <w:pPr>
        <w:pStyle w:val="ListParagraph"/>
        <w:numPr>
          <w:ilvl w:val="0"/>
          <w:numId w:val="29"/>
        </w:numPr>
        <w:spacing w:after="240"/>
        <w:ind w:left="0" w:firstLine="0"/>
        <w:contextualSpacing w:val="0"/>
        <w:rPr>
          <w:szCs w:val="24"/>
        </w:rPr>
      </w:pPr>
      <w:r w:rsidRPr="00775591">
        <w:rPr>
          <w:szCs w:val="24"/>
        </w:rPr>
        <w:t>Item 13</w:t>
      </w:r>
      <w:r w:rsidR="00F34B78" w:rsidRPr="00775591">
        <w:rPr>
          <w:szCs w:val="24"/>
        </w:rPr>
        <w:t xml:space="preserve"> will remove the requirement from section 139ZE for the Inspector-General to notify the Official Receiver of review decisions relating to income contribution assessment as notification is </w:t>
      </w:r>
      <w:r w:rsidRPr="00775591">
        <w:rPr>
          <w:szCs w:val="24"/>
        </w:rPr>
        <w:t>unnecessary. Item 18</w:t>
      </w:r>
      <w:r w:rsidR="00F34B78" w:rsidRPr="00775591">
        <w:rPr>
          <w:szCs w:val="24"/>
        </w:rPr>
        <w:t xml:space="preserve"> will remove the similar requirement from the supervised account regime in section 139Z</w:t>
      </w:r>
      <w:r w:rsidR="00A95579" w:rsidRPr="00775591">
        <w:rPr>
          <w:szCs w:val="24"/>
        </w:rPr>
        <w:t xml:space="preserve">IS, </w:t>
      </w:r>
      <w:r w:rsidR="00AA3BE0" w:rsidRPr="00775591">
        <w:rPr>
          <w:szCs w:val="24"/>
        </w:rPr>
        <w:t>and item 17</w:t>
      </w:r>
      <w:r w:rsidR="00A95579" w:rsidRPr="00775591">
        <w:rPr>
          <w:szCs w:val="24"/>
        </w:rPr>
        <w:t xml:space="preserve"> will make a minor consequential amendment to remove the word ‘and’.</w:t>
      </w:r>
    </w:p>
    <w:p w:rsidR="00F34B78" w:rsidRPr="00775591" w:rsidRDefault="00F34B78" w:rsidP="00E84C43">
      <w:pPr>
        <w:pStyle w:val="Heading4"/>
        <w:keepNext/>
      </w:pPr>
      <w:r w:rsidRPr="00775591">
        <w:t>Items 1</w:t>
      </w:r>
      <w:r w:rsidR="00395798" w:rsidRPr="00775591">
        <w:t>9</w:t>
      </w:r>
      <w:r w:rsidRPr="00775591">
        <w:t xml:space="preserve"> and 2</w:t>
      </w:r>
      <w:r w:rsidR="00395798" w:rsidRPr="00775591">
        <w:t>0</w:t>
      </w:r>
      <w:r w:rsidRPr="00775591">
        <w:t>: A</w:t>
      </w:r>
      <w:r w:rsidR="004B4125" w:rsidRPr="00775591">
        <w:t>fter subsection 139ZM(1) and After subsection 139ZS(1)</w:t>
      </w:r>
    </w:p>
    <w:p w:rsidR="00F34B78" w:rsidRPr="00775591" w:rsidRDefault="00F34B78" w:rsidP="00E84C43">
      <w:pPr>
        <w:pStyle w:val="ListParagraph"/>
        <w:keepNext/>
        <w:numPr>
          <w:ilvl w:val="0"/>
          <w:numId w:val="29"/>
        </w:numPr>
        <w:spacing w:after="240"/>
        <w:ind w:left="0" w:firstLine="0"/>
        <w:contextualSpacing w:val="0"/>
        <w:rPr>
          <w:szCs w:val="24"/>
        </w:rPr>
      </w:pPr>
      <w:r w:rsidRPr="00775591">
        <w:rPr>
          <w:szCs w:val="24"/>
        </w:rPr>
        <w:t>Section 139ZL of the</w:t>
      </w:r>
      <w:r w:rsidR="00656C13" w:rsidRPr="00775591">
        <w:rPr>
          <w:szCs w:val="24"/>
        </w:rPr>
        <w:t xml:space="preserve"> Bankruptcy</w:t>
      </w:r>
      <w:r w:rsidRPr="00775591">
        <w:rPr>
          <w:szCs w:val="24"/>
        </w:rPr>
        <w:t xml:space="preserve"> </w:t>
      </w:r>
      <w:r w:rsidR="00CB04E1" w:rsidRPr="00775591">
        <w:rPr>
          <w:szCs w:val="24"/>
        </w:rPr>
        <w:t>Act</w:t>
      </w:r>
      <w:r w:rsidRPr="00775591">
        <w:rPr>
          <w:szCs w:val="24"/>
        </w:rPr>
        <w:t xml:space="preserve"> allows the Official Receiver to require certain persons other than the bankrupt, by notice, to make a payment or payments towards the discharge of the liability of a bankrupt. Section 139ZM allows the third party to apply to the Federal Court to set aside such a notice.</w:t>
      </w:r>
    </w:p>
    <w:p w:rsidR="00F34B78" w:rsidRPr="00775591" w:rsidRDefault="00F34B78" w:rsidP="00EF6A60">
      <w:pPr>
        <w:pStyle w:val="ListParagraph"/>
        <w:numPr>
          <w:ilvl w:val="0"/>
          <w:numId w:val="29"/>
        </w:numPr>
        <w:spacing w:after="240"/>
        <w:ind w:left="0" w:firstLine="0"/>
        <w:contextualSpacing w:val="0"/>
        <w:rPr>
          <w:szCs w:val="24"/>
        </w:rPr>
      </w:pPr>
      <w:r w:rsidRPr="00775591">
        <w:rPr>
          <w:szCs w:val="24"/>
        </w:rPr>
        <w:t xml:space="preserve">Similarly, sections 139ZQ and 139ZS provide for a requirement for third party payments in relation to voidable transactions, by notice, and for applications to the Federal Court to set aside such a notice. </w:t>
      </w:r>
    </w:p>
    <w:p w:rsidR="00F34B78" w:rsidRPr="00775591" w:rsidRDefault="00F34B78" w:rsidP="00EF6A60">
      <w:pPr>
        <w:pStyle w:val="ListParagraph"/>
        <w:numPr>
          <w:ilvl w:val="0"/>
          <w:numId w:val="29"/>
        </w:numPr>
        <w:spacing w:after="240"/>
        <w:ind w:left="0" w:firstLine="0"/>
        <w:contextualSpacing w:val="0"/>
        <w:rPr>
          <w:szCs w:val="24"/>
        </w:rPr>
      </w:pPr>
      <w:r w:rsidRPr="00775591">
        <w:rPr>
          <w:szCs w:val="24"/>
        </w:rPr>
        <w:t xml:space="preserve">There is currently no time limit for making applications of this kind to the Federal Court. This is inconsistent with other provisions in the Act and can cause undue delays for the Official Receiver and for the administration of a bankruptcy. </w:t>
      </w:r>
    </w:p>
    <w:p w:rsidR="00F34B78" w:rsidRPr="00775591" w:rsidRDefault="00904EE1" w:rsidP="00EF6A60">
      <w:pPr>
        <w:pStyle w:val="ListParagraph"/>
        <w:numPr>
          <w:ilvl w:val="0"/>
          <w:numId w:val="29"/>
        </w:numPr>
        <w:spacing w:after="240"/>
        <w:ind w:left="0" w:firstLine="0"/>
        <w:contextualSpacing w:val="0"/>
        <w:rPr>
          <w:szCs w:val="24"/>
        </w:rPr>
      </w:pPr>
      <w:r w:rsidRPr="00775591">
        <w:rPr>
          <w:szCs w:val="24"/>
        </w:rPr>
        <w:t>Items 19</w:t>
      </w:r>
      <w:r w:rsidR="00F34B78" w:rsidRPr="00775591">
        <w:rPr>
          <w:szCs w:val="24"/>
        </w:rPr>
        <w:t xml:space="preserve"> and 2</w:t>
      </w:r>
      <w:r w:rsidRPr="00775591">
        <w:rPr>
          <w:szCs w:val="24"/>
        </w:rPr>
        <w:t>0</w:t>
      </w:r>
      <w:r w:rsidR="00F34B78" w:rsidRPr="00775591">
        <w:rPr>
          <w:szCs w:val="24"/>
        </w:rPr>
        <w:t xml:space="preserve"> will impose a 60-day time limit for applications of this kind to the Federal Court. This time limit is consistent with other provisions in the Act.</w:t>
      </w:r>
    </w:p>
    <w:p w:rsidR="00F34B78" w:rsidRPr="00775591" w:rsidRDefault="00934E7B" w:rsidP="00F34B78">
      <w:pPr>
        <w:pStyle w:val="Heading4"/>
      </w:pPr>
      <w:r w:rsidRPr="00775591">
        <w:t>Item 24</w:t>
      </w:r>
      <w:r w:rsidR="00F34B78" w:rsidRPr="00775591">
        <w:t>: Subsection 225(4)</w:t>
      </w:r>
    </w:p>
    <w:p w:rsidR="0077375F" w:rsidRPr="00775591" w:rsidRDefault="00F34B78" w:rsidP="00E00A79">
      <w:pPr>
        <w:pStyle w:val="ListParagraph"/>
        <w:numPr>
          <w:ilvl w:val="0"/>
          <w:numId w:val="29"/>
        </w:numPr>
        <w:spacing w:after="240"/>
        <w:ind w:left="0" w:firstLine="0"/>
        <w:contextualSpacing w:val="0"/>
        <w:rPr>
          <w:szCs w:val="24"/>
        </w:rPr>
      </w:pPr>
      <w:r w:rsidRPr="00775591">
        <w:rPr>
          <w:szCs w:val="24"/>
        </w:rPr>
        <w:t>Currently, subsection 225(4) of the</w:t>
      </w:r>
      <w:r w:rsidR="00656C13" w:rsidRPr="00775591">
        <w:rPr>
          <w:szCs w:val="24"/>
        </w:rPr>
        <w:t xml:space="preserve"> Bankruptcy</w:t>
      </w:r>
      <w:r w:rsidR="00BB14C7" w:rsidRPr="00775591">
        <w:rPr>
          <w:szCs w:val="24"/>
        </w:rPr>
        <w:t xml:space="preserve"> Act </w:t>
      </w:r>
      <w:r w:rsidRPr="00775591">
        <w:rPr>
          <w:szCs w:val="24"/>
        </w:rPr>
        <w:t xml:space="preserve">states that ‘The minutes of a meeting held under this Part </w:t>
      </w:r>
      <w:r w:rsidRPr="00775591">
        <w:rPr>
          <w:szCs w:val="24"/>
          <w:u w:val="single"/>
        </w:rPr>
        <w:t>signed in accordance with section 203</w:t>
      </w:r>
      <w:r w:rsidRPr="00775591">
        <w:rPr>
          <w:szCs w:val="24"/>
        </w:rPr>
        <w:t xml:space="preserve"> are </w:t>
      </w:r>
      <w:r w:rsidRPr="00775591">
        <w:rPr>
          <w:i/>
          <w:szCs w:val="24"/>
        </w:rPr>
        <w:t>prima facie</w:t>
      </w:r>
      <w:r w:rsidRPr="00775591">
        <w:rPr>
          <w:szCs w:val="24"/>
        </w:rPr>
        <w:t xml:space="preserve"> evidence of the proceedings at the meeting’ (emphasis added).</w:t>
      </w:r>
    </w:p>
    <w:p w:rsidR="00F34B78" w:rsidRPr="00775591" w:rsidRDefault="00F34B78" w:rsidP="00E00A79">
      <w:pPr>
        <w:pStyle w:val="ListParagraph"/>
        <w:numPr>
          <w:ilvl w:val="0"/>
          <w:numId w:val="29"/>
        </w:numPr>
        <w:spacing w:after="240"/>
        <w:ind w:left="0" w:firstLine="0"/>
        <w:contextualSpacing w:val="0"/>
        <w:rPr>
          <w:szCs w:val="24"/>
        </w:rPr>
      </w:pPr>
      <w:r w:rsidRPr="00775591">
        <w:rPr>
          <w:szCs w:val="24"/>
        </w:rPr>
        <w:t>Section 2</w:t>
      </w:r>
      <w:r w:rsidR="0038207F" w:rsidRPr="00775591">
        <w:rPr>
          <w:szCs w:val="24"/>
        </w:rPr>
        <w:t>03 was repealed in 1996. Item 24</w:t>
      </w:r>
      <w:r w:rsidRPr="00775591">
        <w:rPr>
          <w:szCs w:val="24"/>
        </w:rPr>
        <w:t xml:space="preserve"> will remove this outdated reference from section 225. </w:t>
      </w:r>
    </w:p>
    <w:p w:rsidR="002A19D8" w:rsidRPr="00775591" w:rsidRDefault="002A19D8" w:rsidP="00EE289C">
      <w:pPr>
        <w:keepNext/>
        <w:rPr>
          <w:b/>
          <w:bCs/>
          <w:i/>
          <w:iCs/>
          <w:szCs w:val="24"/>
        </w:rPr>
      </w:pPr>
      <w:r w:rsidRPr="00775591">
        <w:rPr>
          <w:b/>
          <w:bCs/>
          <w:i/>
          <w:iCs/>
          <w:szCs w:val="24"/>
        </w:rPr>
        <w:t>Child Support (Registration and Collection) Act 1988</w:t>
      </w:r>
    </w:p>
    <w:p w:rsidR="002A19D8" w:rsidRPr="00775591" w:rsidRDefault="00796EB2" w:rsidP="00EE289C">
      <w:pPr>
        <w:keepNext/>
        <w:spacing w:after="240"/>
        <w:rPr>
          <w:b/>
          <w:szCs w:val="24"/>
        </w:rPr>
      </w:pPr>
      <w:r w:rsidRPr="00775591">
        <w:rPr>
          <w:b/>
          <w:szCs w:val="24"/>
        </w:rPr>
        <w:t>Item 25</w:t>
      </w:r>
      <w:r w:rsidR="002A19D8" w:rsidRPr="00775591">
        <w:rPr>
          <w:b/>
          <w:szCs w:val="24"/>
        </w:rPr>
        <w:t>: Section 96B</w:t>
      </w:r>
    </w:p>
    <w:p w:rsidR="003E6934" w:rsidRPr="003E6934" w:rsidRDefault="002A19D8" w:rsidP="00736A5E">
      <w:pPr>
        <w:pStyle w:val="ListParagraph"/>
        <w:keepNext/>
        <w:numPr>
          <w:ilvl w:val="0"/>
          <w:numId w:val="29"/>
        </w:numPr>
        <w:tabs>
          <w:tab w:val="left" w:pos="448"/>
        </w:tabs>
        <w:spacing w:after="240"/>
        <w:ind w:left="0" w:firstLine="0"/>
        <w:contextualSpacing w:val="0"/>
        <w:rPr>
          <w:szCs w:val="24"/>
        </w:rPr>
      </w:pPr>
      <w:r w:rsidRPr="00775591">
        <w:rPr>
          <w:szCs w:val="24"/>
        </w:rPr>
        <w:t>This item will repeal section 96B of the Child Support (Regis</w:t>
      </w:r>
      <w:r w:rsidR="00BC607F" w:rsidRPr="00775591">
        <w:rPr>
          <w:szCs w:val="24"/>
        </w:rPr>
        <w:t>tration and Collection) Act</w:t>
      </w:r>
      <w:r w:rsidR="00736A5E">
        <w:rPr>
          <w:szCs w:val="24"/>
        </w:rPr>
        <w:t>,</w:t>
      </w:r>
      <w:r w:rsidRPr="00775591">
        <w:rPr>
          <w:i/>
          <w:szCs w:val="24"/>
        </w:rPr>
        <w:t xml:space="preserve"> </w:t>
      </w:r>
      <w:r w:rsidRPr="00775591">
        <w:rPr>
          <w:szCs w:val="24"/>
          <w:lang w:eastAsia="en-AU"/>
        </w:rPr>
        <w:t xml:space="preserve">which will be inserted by the </w:t>
      </w:r>
      <w:r w:rsidRPr="00775591">
        <w:rPr>
          <w:i/>
          <w:szCs w:val="24"/>
          <w:lang w:eastAsia="en-AU"/>
        </w:rPr>
        <w:t>Tribunal</w:t>
      </w:r>
      <w:r w:rsidR="00000685" w:rsidRPr="00775591">
        <w:rPr>
          <w:i/>
          <w:szCs w:val="24"/>
          <w:lang w:eastAsia="en-AU"/>
        </w:rPr>
        <w:t>s</w:t>
      </w:r>
      <w:r w:rsidRPr="00775591">
        <w:rPr>
          <w:i/>
          <w:szCs w:val="24"/>
          <w:lang w:eastAsia="en-AU"/>
        </w:rPr>
        <w:t> Amalgamation Act 2015</w:t>
      </w:r>
      <w:r w:rsidRPr="00775591">
        <w:rPr>
          <w:szCs w:val="24"/>
          <w:lang w:eastAsia="en-AU"/>
        </w:rPr>
        <w:t xml:space="preserve"> on 1 July 2015</w:t>
      </w:r>
      <w:r w:rsidR="00736A5E">
        <w:rPr>
          <w:szCs w:val="24"/>
          <w:lang w:eastAsia="en-AU"/>
        </w:rPr>
        <w:t>,</w:t>
      </w:r>
      <w:r w:rsidR="003E6934">
        <w:rPr>
          <w:szCs w:val="24"/>
          <w:lang w:eastAsia="en-AU"/>
        </w:rPr>
        <w:t xml:space="preserve"> and will substitute current subsection 96B(1) as a new section 96B.  </w:t>
      </w:r>
    </w:p>
    <w:p w:rsidR="002A19D8" w:rsidRPr="00775591" w:rsidRDefault="00736A5E" w:rsidP="002A19D8">
      <w:pPr>
        <w:pStyle w:val="ListParagraph"/>
        <w:keepNext/>
        <w:numPr>
          <w:ilvl w:val="0"/>
          <w:numId w:val="29"/>
        </w:numPr>
        <w:spacing w:after="240"/>
        <w:ind w:left="0" w:firstLine="0"/>
        <w:contextualSpacing w:val="0"/>
        <w:rPr>
          <w:szCs w:val="24"/>
        </w:rPr>
      </w:pPr>
      <w:r>
        <w:rPr>
          <w:szCs w:val="24"/>
        </w:rPr>
        <w:t>Current s</w:t>
      </w:r>
      <w:r w:rsidR="002A19D8" w:rsidRPr="00775591">
        <w:rPr>
          <w:szCs w:val="24"/>
        </w:rPr>
        <w:t xml:space="preserve">ubsection 96B(2) modifies the application of the </w:t>
      </w:r>
      <w:r w:rsidR="002A19D8" w:rsidRPr="00775591">
        <w:rPr>
          <w:i/>
          <w:iCs/>
          <w:szCs w:val="24"/>
        </w:rPr>
        <w:t>Administrative Appeals Tribunal Act 1975</w:t>
      </w:r>
      <w:r w:rsidR="002A19D8" w:rsidRPr="00775591">
        <w:rPr>
          <w:szCs w:val="24"/>
        </w:rPr>
        <w:t xml:space="preserve"> by providing that when an applicant applies for AAT second review, the reference to the person who made the decision, is a reference to each person who was a </w:t>
      </w:r>
      <w:r w:rsidR="00D362CE">
        <w:rPr>
          <w:szCs w:val="24"/>
        </w:rPr>
        <w:t>party</w:t>
      </w:r>
      <w:r w:rsidR="002A19D8" w:rsidRPr="00775591">
        <w:rPr>
          <w:szCs w:val="24"/>
        </w:rPr>
        <w:t xml:space="preserve"> to the first review (other than the applicant who has applied for AAT second review).</w:t>
      </w:r>
    </w:p>
    <w:p w:rsidR="002A19D8" w:rsidRPr="00775591" w:rsidRDefault="002A19D8" w:rsidP="002A19D8">
      <w:pPr>
        <w:pStyle w:val="ListParagraph"/>
        <w:keepNext/>
        <w:numPr>
          <w:ilvl w:val="0"/>
          <w:numId w:val="29"/>
        </w:numPr>
        <w:spacing w:after="240"/>
        <w:ind w:left="0" w:firstLine="0"/>
        <w:contextualSpacing w:val="0"/>
        <w:rPr>
          <w:szCs w:val="24"/>
        </w:rPr>
      </w:pPr>
      <w:r w:rsidRPr="00775591">
        <w:rPr>
          <w:szCs w:val="24"/>
        </w:rPr>
        <w:t>The repeal of subsection 96B(2) is necessary because this Bill will introduce paragraph 29AC(1)(c) which will provide that the Tribunal must give notice of receiving an application, to any person who is made a party to the review by another enactment that authorised the application.</w:t>
      </w:r>
    </w:p>
    <w:p w:rsidR="002A19D8" w:rsidRPr="00775591" w:rsidRDefault="002A19D8" w:rsidP="002A19D8">
      <w:pPr>
        <w:pStyle w:val="ListParagraph"/>
        <w:keepNext/>
        <w:numPr>
          <w:ilvl w:val="0"/>
          <w:numId w:val="29"/>
        </w:numPr>
        <w:spacing w:after="240"/>
        <w:ind w:left="0" w:firstLine="0"/>
        <w:contextualSpacing w:val="0"/>
        <w:rPr>
          <w:szCs w:val="24"/>
        </w:rPr>
      </w:pPr>
      <w:r w:rsidRPr="00775591">
        <w:rPr>
          <w:szCs w:val="24"/>
        </w:rPr>
        <w:t>As both provisions will achieve the same outcome, subsection 96B(2) will be redundant.</w:t>
      </w:r>
    </w:p>
    <w:p w:rsidR="00B83385" w:rsidRPr="00775591" w:rsidRDefault="009C38C9" w:rsidP="001B4C1B">
      <w:pPr>
        <w:rPr>
          <w:b/>
          <w:i/>
          <w:szCs w:val="24"/>
        </w:rPr>
      </w:pPr>
      <w:r w:rsidRPr="00775591">
        <w:rPr>
          <w:b/>
          <w:i/>
          <w:szCs w:val="24"/>
        </w:rPr>
        <w:t>Evidence Act 1995</w:t>
      </w:r>
    </w:p>
    <w:p w:rsidR="00B83385" w:rsidRPr="00775591" w:rsidRDefault="001B4C1B" w:rsidP="001B4C1B">
      <w:pPr>
        <w:rPr>
          <w:b/>
          <w:szCs w:val="24"/>
        </w:rPr>
      </w:pPr>
      <w:r w:rsidRPr="00775591">
        <w:rPr>
          <w:b/>
          <w:szCs w:val="24"/>
        </w:rPr>
        <w:t xml:space="preserve">Item </w:t>
      </w:r>
      <w:r w:rsidR="00AA462F" w:rsidRPr="00775591">
        <w:rPr>
          <w:b/>
          <w:szCs w:val="24"/>
        </w:rPr>
        <w:t>26</w:t>
      </w:r>
      <w:r w:rsidR="00B83385" w:rsidRPr="00775591">
        <w:rPr>
          <w:b/>
          <w:szCs w:val="24"/>
        </w:rPr>
        <w:t>: Division 1A of Part 3.10 (heading)</w:t>
      </w:r>
    </w:p>
    <w:p w:rsidR="001B4C1B" w:rsidRPr="00775591" w:rsidRDefault="008F0950" w:rsidP="00A669AA">
      <w:pPr>
        <w:pStyle w:val="ListParagraph"/>
        <w:numPr>
          <w:ilvl w:val="0"/>
          <w:numId w:val="29"/>
        </w:numPr>
        <w:spacing w:after="240"/>
        <w:ind w:left="0" w:firstLine="0"/>
        <w:contextualSpacing w:val="0"/>
        <w:rPr>
          <w:szCs w:val="24"/>
        </w:rPr>
      </w:pPr>
      <w:r w:rsidRPr="00775591">
        <w:rPr>
          <w:szCs w:val="24"/>
        </w:rPr>
        <w:t>This item</w:t>
      </w:r>
      <w:r w:rsidR="00B83385" w:rsidRPr="00775591">
        <w:rPr>
          <w:szCs w:val="24"/>
        </w:rPr>
        <w:t xml:space="preserve"> will move the jo</w:t>
      </w:r>
      <w:r w:rsidR="00B552BC">
        <w:rPr>
          <w:szCs w:val="24"/>
        </w:rPr>
        <w:t>urnalist</w:t>
      </w:r>
      <w:r w:rsidR="00953963" w:rsidRPr="00775591">
        <w:rPr>
          <w:szCs w:val="24"/>
        </w:rPr>
        <w:t xml:space="preserve"> privilege from D</w:t>
      </w:r>
      <w:r w:rsidR="00B83385" w:rsidRPr="00775591">
        <w:rPr>
          <w:szCs w:val="24"/>
        </w:rPr>
        <w:t xml:space="preserve">ivision 1A of </w:t>
      </w:r>
      <w:r w:rsidR="00953963" w:rsidRPr="00775591">
        <w:rPr>
          <w:szCs w:val="24"/>
        </w:rPr>
        <w:t>P</w:t>
      </w:r>
      <w:r w:rsidR="00B83385" w:rsidRPr="00775591">
        <w:rPr>
          <w:szCs w:val="24"/>
        </w:rPr>
        <w:t xml:space="preserve">art 3.10 to new </w:t>
      </w:r>
      <w:r w:rsidR="00953963" w:rsidRPr="00775591">
        <w:rPr>
          <w:szCs w:val="24"/>
        </w:rPr>
        <w:t>D</w:t>
      </w:r>
      <w:r w:rsidR="00B83385" w:rsidRPr="00775591">
        <w:rPr>
          <w:szCs w:val="24"/>
        </w:rPr>
        <w:t xml:space="preserve">ivision 1C of </w:t>
      </w:r>
      <w:r w:rsidR="00953963" w:rsidRPr="00775591">
        <w:rPr>
          <w:szCs w:val="24"/>
        </w:rPr>
        <w:t>P</w:t>
      </w:r>
      <w:r w:rsidR="00B83385" w:rsidRPr="00775591">
        <w:rPr>
          <w:szCs w:val="24"/>
        </w:rPr>
        <w:t>art 3.10</w:t>
      </w:r>
      <w:r w:rsidR="00656C13" w:rsidRPr="00775591">
        <w:rPr>
          <w:szCs w:val="24"/>
        </w:rPr>
        <w:t xml:space="preserve"> of the Evidence Act</w:t>
      </w:r>
      <w:r w:rsidR="00BD71F2" w:rsidRPr="00775591">
        <w:rPr>
          <w:szCs w:val="24"/>
        </w:rPr>
        <w:t>.</w:t>
      </w:r>
    </w:p>
    <w:p w:rsidR="00A669AA" w:rsidRPr="00775591" w:rsidRDefault="00BD71F2" w:rsidP="001C12D1">
      <w:pPr>
        <w:pStyle w:val="ListParagraph"/>
        <w:numPr>
          <w:ilvl w:val="0"/>
          <w:numId w:val="29"/>
        </w:numPr>
        <w:spacing w:after="240"/>
        <w:ind w:left="0" w:firstLine="0"/>
        <w:contextualSpacing w:val="0"/>
        <w:rPr>
          <w:szCs w:val="24"/>
        </w:rPr>
      </w:pPr>
      <w:r w:rsidRPr="00775591">
        <w:rPr>
          <w:szCs w:val="24"/>
        </w:rPr>
        <w:t>This will provide consistency with the n</w:t>
      </w:r>
      <w:r w:rsidR="00315F3C" w:rsidRPr="00775591">
        <w:rPr>
          <w:szCs w:val="24"/>
        </w:rPr>
        <w:t xml:space="preserve">umbering of the </w:t>
      </w:r>
      <w:r w:rsidR="00587693" w:rsidRPr="00775591">
        <w:rPr>
          <w:i/>
          <w:szCs w:val="24"/>
        </w:rPr>
        <w:t>Evidence Act</w:t>
      </w:r>
      <w:r w:rsidR="00D67BE3" w:rsidRPr="00775591">
        <w:rPr>
          <w:i/>
          <w:szCs w:val="24"/>
        </w:rPr>
        <w:t xml:space="preserve"> 1995</w:t>
      </w:r>
      <w:r w:rsidR="00D67BE3" w:rsidRPr="00775591">
        <w:rPr>
          <w:szCs w:val="24"/>
        </w:rPr>
        <w:t xml:space="preserve"> (NSW)</w:t>
      </w:r>
      <w:r w:rsidRPr="00775591">
        <w:rPr>
          <w:szCs w:val="24"/>
        </w:rPr>
        <w:t>.</w:t>
      </w:r>
    </w:p>
    <w:p w:rsidR="001C12D1" w:rsidRPr="00775591" w:rsidRDefault="004168CD" w:rsidP="001C12D1">
      <w:pPr>
        <w:pStyle w:val="ListParagraph"/>
        <w:numPr>
          <w:ilvl w:val="0"/>
          <w:numId w:val="29"/>
        </w:numPr>
        <w:spacing w:after="240"/>
        <w:ind w:left="0" w:firstLine="0"/>
        <w:contextualSpacing w:val="0"/>
        <w:rPr>
          <w:szCs w:val="24"/>
        </w:rPr>
      </w:pPr>
      <w:r w:rsidRPr="00775591">
        <w:rPr>
          <w:color w:val="000000"/>
          <w:szCs w:val="24"/>
        </w:rPr>
        <w:t>It is appropriate to leave gaps in the numbering of the divisions and sections be</w:t>
      </w:r>
      <w:r w:rsidR="001C12D1" w:rsidRPr="00775591">
        <w:rPr>
          <w:szCs w:val="24"/>
        </w:rPr>
        <w:t>cause t</w:t>
      </w:r>
      <w:r w:rsidR="00B552BC">
        <w:rPr>
          <w:color w:val="000000"/>
          <w:szCs w:val="24"/>
        </w:rPr>
        <w:t>he journalist</w:t>
      </w:r>
      <w:r w:rsidR="001C12D1" w:rsidRPr="00775591">
        <w:rPr>
          <w:color w:val="000000"/>
          <w:szCs w:val="24"/>
        </w:rPr>
        <w:t xml:space="preserve"> privilege is a departure from the Model Uniform Evidence Bill, and the Commonwealth</w:t>
      </w:r>
      <w:r w:rsidR="00953963" w:rsidRPr="00775591">
        <w:rPr>
          <w:color w:val="000000"/>
          <w:szCs w:val="24"/>
        </w:rPr>
        <w:t xml:space="preserve"> Evidence Act does not include Division 1A or D</w:t>
      </w:r>
      <w:r w:rsidR="001C12D1" w:rsidRPr="00775591">
        <w:rPr>
          <w:color w:val="000000"/>
          <w:szCs w:val="24"/>
        </w:rPr>
        <w:t>ivision 1B of the Model</w:t>
      </w:r>
      <w:r w:rsidR="008B6C7C" w:rsidRPr="00775591">
        <w:rPr>
          <w:color w:val="000000"/>
          <w:szCs w:val="24"/>
        </w:rPr>
        <w:t> </w:t>
      </w:r>
      <w:r w:rsidR="0033190E" w:rsidRPr="00775591">
        <w:rPr>
          <w:color w:val="000000"/>
          <w:szCs w:val="24"/>
        </w:rPr>
        <w:t>Uniform Evidence Bill.</w:t>
      </w:r>
      <w:r w:rsidR="001C12D1" w:rsidRPr="00775591">
        <w:rPr>
          <w:color w:val="000000"/>
          <w:szCs w:val="24"/>
        </w:rPr>
        <w:t xml:space="preserve"> </w:t>
      </w:r>
      <w:r w:rsidR="00953963" w:rsidRPr="00775591">
        <w:rPr>
          <w:color w:val="000000"/>
          <w:szCs w:val="24"/>
        </w:rPr>
        <w:t>This is consistent with P</w:t>
      </w:r>
      <w:r w:rsidR="001C12D1" w:rsidRPr="00775591">
        <w:rPr>
          <w:color w:val="000000"/>
          <w:szCs w:val="24"/>
        </w:rPr>
        <w:t xml:space="preserve">aragraph 6.1.2 of the </w:t>
      </w:r>
      <w:r w:rsidR="001C12D1" w:rsidRPr="00775591">
        <w:rPr>
          <w:szCs w:val="24"/>
        </w:rPr>
        <w:t xml:space="preserve">Parliamentary Counsel’s Committee Protocol on Drafting National Uniform Legislation, which provides that the numbering of uniform legislation should be consistent.  </w:t>
      </w:r>
    </w:p>
    <w:p w:rsidR="001C12D1" w:rsidRPr="00775591" w:rsidRDefault="008F0950" w:rsidP="002D3775">
      <w:pPr>
        <w:pStyle w:val="Paragraphnumbered"/>
        <w:keepNext/>
        <w:rPr>
          <w:b/>
          <w:szCs w:val="24"/>
        </w:rPr>
      </w:pPr>
      <w:r w:rsidRPr="00775591">
        <w:rPr>
          <w:b/>
          <w:szCs w:val="24"/>
        </w:rPr>
        <w:t xml:space="preserve">Item </w:t>
      </w:r>
      <w:r w:rsidR="003B243B" w:rsidRPr="00775591">
        <w:rPr>
          <w:b/>
          <w:szCs w:val="24"/>
        </w:rPr>
        <w:t>27</w:t>
      </w:r>
      <w:r w:rsidRPr="00775591">
        <w:rPr>
          <w:b/>
          <w:szCs w:val="24"/>
        </w:rPr>
        <w:t>: Section 126G (heading)</w:t>
      </w:r>
    </w:p>
    <w:p w:rsidR="001123E8" w:rsidRPr="00775591" w:rsidRDefault="008F0950" w:rsidP="002D3775">
      <w:pPr>
        <w:pStyle w:val="ListParagraph"/>
        <w:keepNext/>
        <w:numPr>
          <w:ilvl w:val="0"/>
          <w:numId w:val="29"/>
        </w:numPr>
        <w:spacing w:after="240"/>
        <w:ind w:left="0" w:firstLine="0"/>
        <w:contextualSpacing w:val="0"/>
        <w:rPr>
          <w:szCs w:val="24"/>
        </w:rPr>
      </w:pPr>
      <w:r w:rsidRPr="00775591">
        <w:rPr>
          <w:szCs w:val="24"/>
        </w:rPr>
        <w:t>This item will</w:t>
      </w:r>
      <w:r w:rsidR="00E2381F" w:rsidRPr="00775591">
        <w:rPr>
          <w:szCs w:val="24"/>
        </w:rPr>
        <w:t xml:space="preserve"> renumber the d</w:t>
      </w:r>
      <w:r w:rsidR="00284FB1" w:rsidRPr="00775591">
        <w:rPr>
          <w:szCs w:val="24"/>
        </w:rPr>
        <w:t xml:space="preserve">efinitions </w:t>
      </w:r>
      <w:r w:rsidR="00DA122D" w:rsidRPr="00775591">
        <w:rPr>
          <w:szCs w:val="24"/>
        </w:rPr>
        <w:t>section</w:t>
      </w:r>
      <w:r w:rsidR="000C1040" w:rsidRPr="00775591">
        <w:rPr>
          <w:szCs w:val="24"/>
        </w:rPr>
        <w:t xml:space="preserve"> of Division 1C of Part 3.10 of the Evidence Act</w:t>
      </w:r>
      <w:r w:rsidR="00DA122D" w:rsidRPr="00775591">
        <w:rPr>
          <w:szCs w:val="24"/>
        </w:rPr>
        <w:t xml:space="preserve"> to new section 126J. </w:t>
      </w:r>
    </w:p>
    <w:p w:rsidR="001123E8" w:rsidRPr="00775591" w:rsidRDefault="00E2381F" w:rsidP="00A669AA">
      <w:pPr>
        <w:pStyle w:val="ListParagraph"/>
        <w:numPr>
          <w:ilvl w:val="0"/>
          <w:numId w:val="29"/>
        </w:numPr>
        <w:spacing w:after="240"/>
        <w:ind w:left="0" w:firstLine="0"/>
        <w:contextualSpacing w:val="0"/>
        <w:rPr>
          <w:szCs w:val="24"/>
        </w:rPr>
      </w:pPr>
      <w:r w:rsidRPr="00775591">
        <w:rPr>
          <w:szCs w:val="24"/>
        </w:rPr>
        <w:t>This will provide consistency with the number</w:t>
      </w:r>
      <w:r w:rsidR="00DA122D" w:rsidRPr="00775591">
        <w:rPr>
          <w:szCs w:val="24"/>
        </w:rPr>
        <w:t>ing</w:t>
      </w:r>
      <w:r w:rsidR="009B6849" w:rsidRPr="00775591">
        <w:rPr>
          <w:szCs w:val="24"/>
        </w:rPr>
        <w:t xml:space="preserve"> of the</w:t>
      </w:r>
      <w:r w:rsidR="00FB432A" w:rsidRPr="00775591">
        <w:rPr>
          <w:szCs w:val="24"/>
        </w:rPr>
        <w:t xml:space="preserve"> NSW </w:t>
      </w:r>
      <w:r w:rsidRPr="00775591">
        <w:rPr>
          <w:szCs w:val="24"/>
        </w:rPr>
        <w:t>Evidence Act</w:t>
      </w:r>
      <w:r w:rsidR="001123E8" w:rsidRPr="00775591">
        <w:rPr>
          <w:szCs w:val="24"/>
        </w:rPr>
        <w:t>.</w:t>
      </w:r>
    </w:p>
    <w:p w:rsidR="00E2381F" w:rsidRPr="00775591" w:rsidRDefault="001123E8" w:rsidP="00A669AA">
      <w:pPr>
        <w:pStyle w:val="ListParagraph"/>
        <w:numPr>
          <w:ilvl w:val="0"/>
          <w:numId w:val="29"/>
        </w:numPr>
        <w:spacing w:after="240"/>
        <w:ind w:left="0" w:firstLine="0"/>
        <w:contextualSpacing w:val="0"/>
        <w:rPr>
          <w:szCs w:val="24"/>
        </w:rPr>
      </w:pPr>
      <w:r w:rsidRPr="00775591">
        <w:rPr>
          <w:szCs w:val="24"/>
        </w:rPr>
        <w:t>This form of drafting is consistent with paragraph 6.1.2 of the Parliamentary Counsel’s Committee Protocol on Drafting National Uniform Legislation, which provides that the numbering of uniform legislation should be consistent. </w:t>
      </w:r>
    </w:p>
    <w:p w:rsidR="00E2381F" w:rsidRPr="00775591" w:rsidRDefault="00300A50" w:rsidP="00A94A55">
      <w:pPr>
        <w:pStyle w:val="Paragraphnumbered"/>
        <w:keepNext/>
        <w:rPr>
          <w:b/>
          <w:szCs w:val="24"/>
        </w:rPr>
      </w:pPr>
      <w:r w:rsidRPr="00775591">
        <w:rPr>
          <w:b/>
          <w:szCs w:val="24"/>
        </w:rPr>
        <w:t xml:space="preserve">Item </w:t>
      </w:r>
      <w:r w:rsidR="00203D52" w:rsidRPr="00775591">
        <w:rPr>
          <w:b/>
          <w:szCs w:val="24"/>
        </w:rPr>
        <w:t>28</w:t>
      </w:r>
      <w:r w:rsidRPr="00775591">
        <w:rPr>
          <w:b/>
          <w:szCs w:val="24"/>
        </w:rPr>
        <w:t xml:space="preserve">: </w:t>
      </w:r>
      <w:r w:rsidR="00D33ECD" w:rsidRPr="00775591">
        <w:rPr>
          <w:b/>
          <w:szCs w:val="24"/>
        </w:rPr>
        <w:t>Section 126H (heading)</w:t>
      </w:r>
    </w:p>
    <w:p w:rsidR="006956D9" w:rsidRPr="00775591" w:rsidRDefault="00D33ECD" w:rsidP="00A94A55">
      <w:pPr>
        <w:pStyle w:val="ListParagraph"/>
        <w:keepNext/>
        <w:numPr>
          <w:ilvl w:val="0"/>
          <w:numId w:val="29"/>
        </w:numPr>
        <w:spacing w:after="240"/>
        <w:ind w:left="0" w:firstLine="0"/>
        <w:contextualSpacing w:val="0"/>
        <w:rPr>
          <w:szCs w:val="24"/>
        </w:rPr>
      </w:pPr>
      <w:r w:rsidRPr="00775591">
        <w:rPr>
          <w:szCs w:val="24"/>
        </w:rPr>
        <w:t>This item will renumber section 126H</w:t>
      </w:r>
      <w:r w:rsidR="00AF2063" w:rsidRPr="00775591">
        <w:rPr>
          <w:szCs w:val="24"/>
        </w:rPr>
        <w:t xml:space="preserve"> of the Evidence Act</w:t>
      </w:r>
      <w:r w:rsidRPr="00775591">
        <w:rPr>
          <w:szCs w:val="24"/>
        </w:rPr>
        <w:t xml:space="preserve"> to new section 126K and also update its title to</w:t>
      </w:r>
      <w:r w:rsidR="007A663B" w:rsidRPr="00775591">
        <w:rPr>
          <w:szCs w:val="24"/>
        </w:rPr>
        <w:t xml:space="preserve">: </w:t>
      </w:r>
      <w:r w:rsidRPr="00775591">
        <w:rPr>
          <w:szCs w:val="24"/>
        </w:rPr>
        <w:t xml:space="preserve"> </w:t>
      </w:r>
      <w:r w:rsidR="007A663B" w:rsidRPr="00775591">
        <w:rPr>
          <w:szCs w:val="24"/>
        </w:rPr>
        <w:t>‘</w:t>
      </w:r>
      <w:r w:rsidRPr="00775591">
        <w:rPr>
          <w:szCs w:val="24"/>
        </w:rPr>
        <w:t>Journalist privilege relating to identity of informant</w:t>
      </w:r>
      <w:r w:rsidR="007A663B" w:rsidRPr="00775591">
        <w:rPr>
          <w:szCs w:val="24"/>
        </w:rPr>
        <w:t>’</w:t>
      </w:r>
      <w:r w:rsidRPr="00775591">
        <w:rPr>
          <w:szCs w:val="24"/>
        </w:rPr>
        <w:t xml:space="preserve"> </w:t>
      </w:r>
    </w:p>
    <w:p w:rsidR="006956D9" w:rsidRPr="00775591" w:rsidRDefault="00D33ECD" w:rsidP="00357F1A">
      <w:pPr>
        <w:pStyle w:val="ListParagraph"/>
        <w:numPr>
          <w:ilvl w:val="0"/>
          <w:numId w:val="29"/>
        </w:numPr>
        <w:spacing w:after="240"/>
        <w:ind w:left="0" w:firstLine="0"/>
        <w:contextualSpacing w:val="0"/>
        <w:rPr>
          <w:szCs w:val="24"/>
        </w:rPr>
      </w:pPr>
      <w:r w:rsidRPr="00775591">
        <w:rPr>
          <w:szCs w:val="24"/>
        </w:rPr>
        <w:t>This numbering</w:t>
      </w:r>
      <w:r w:rsidR="00357F1A" w:rsidRPr="00775591">
        <w:rPr>
          <w:szCs w:val="24"/>
        </w:rPr>
        <w:t xml:space="preserve"> and updated title</w:t>
      </w:r>
      <w:r w:rsidRPr="00775591">
        <w:rPr>
          <w:szCs w:val="24"/>
        </w:rPr>
        <w:t xml:space="preserve"> will provide consistency with the n</w:t>
      </w:r>
      <w:r w:rsidR="00BC26A2" w:rsidRPr="00775591">
        <w:rPr>
          <w:szCs w:val="24"/>
        </w:rPr>
        <w:t xml:space="preserve">umbering of the NSW </w:t>
      </w:r>
      <w:r w:rsidRPr="00775591">
        <w:rPr>
          <w:szCs w:val="24"/>
        </w:rPr>
        <w:t>Evidence Act.</w:t>
      </w:r>
      <w:r w:rsidR="00BC26A2" w:rsidRPr="00775591">
        <w:rPr>
          <w:szCs w:val="24"/>
        </w:rPr>
        <w:t xml:space="preserve"> </w:t>
      </w:r>
      <w:r w:rsidR="00357F1A" w:rsidRPr="00775591">
        <w:rPr>
          <w:szCs w:val="24"/>
        </w:rPr>
        <w:t xml:space="preserve"> </w:t>
      </w:r>
    </w:p>
    <w:p w:rsidR="00D33ECD" w:rsidRPr="00775591" w:rsidRDefault="00D33ECD" w:rsidP="00D33ECD">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006956D9" w:rsidRPr="00775591">
        <w:rPr>
          <w:szCs w:val="24"/>
        </w:rPr>
        <w:t xml:space="preserve">Parliamentary Counsel’s </w:t>
      </w:r>
      <w:r w:rsidRPr="00775591">
        <w:rPr>
          <w:szCs w:val="24"/>
        </w:rPr>
        <w:t>Committee Protocol on Drafting National Uniform Legislation, which provides that the numbering of uniform legislation should be consistent. </w:t>
      </w:r>
    </w:p>
    <w:p w:rsidR="0095538C" w:rsidRPr="00775591" w:rsidRDefault="00C77545" w:rsidP="00D33ECD">
      <w:pPr>
        <w:pStyle w:val="Paragraphnumbered"/>
        <w:rPr>
          <w:b/>
          <w:szCs w:val="24"/>
        </w:rPr>
      </w:pPr>
      <w:r w:rsidRPr="00775591">
        <w:rPr>
          <w:b/>
          <w:szCs w:val="24"/>
        </w:rPr>
        <w:t>Item 2</w:t>
      </w:r>
      <w:r w:rsidR="00FD52A7" w:rsidRPr="00775591">
        <w:rPr>
          <w:b/>
          <w:szCs w:val="24"/>
        </w:rPr>
        <w:t>9</w:t>
      </w:r>
      <w:r w:rsidRPr="00775591">
        <w:rPr>
          <w:b/>
          <w:szCs w:val="24"/>
        </w:rPr>
        <w:t xml:space="preserve">: </w:t>
      </w:r>
      <w:r w:rsidR="0095538C" w:rsidRPr="00775591">
        <w:rPr>
          <w:b/>
          <w:szCs w:val="24"/>
        </w:rPr>
        <w:t>Section 131A (heading)</w:t>
      </w:r>
    </w:p>
    <w:p w:rsidR="003F1515" w:rsidRPr="00775591" w:rsidRDefault="0095538C" w:rsidP="00D63C14">
      <w:pPr>
        <w:pStyle w:val="ListParagraph"/>
        <w:numPr>
          <w:ilvl w:val="0"/>
          <w:numId w:val="29"/>
        </w:numPr>
        <w:spacing w:after="240"/>
        <w:ind w:left="0" w:firstLine="0"/>
        <w:contextualSpacing w:val="0"/>
        <w:rPr>
          <w:szCs w:val="24"/>
        </w:rPr>
      </w:pPr>
      <w:r w:rsidRPr="00775591">
        <w:rPr>
          <w:szCs w:val="24"/>
        </w:rPr>
        <w:t>This item will amend the heading</w:t>
      </w:r>
      <w:r w:rsidR="00C63D2A" w:rsidRPr="00775591">
        <w:rPr>
          <w:szCs w:val="24"/>
        </w:rPr>
        <w:t xml:space="preserve"> of section 131A of the Evidence Act</w:t>
      </w:r>
      <w:r w:rsidRPr="00775591">
        <w:rPr>
          <w:szCs w:val="24"/>
        </w:rPr>
        <w:t xml:space="preserve"> to </w:t>
      </w:r>
      <w:r w:rsidR="007C7384" w:rsidRPr="00775591">
        <w:rPr>
          <w:szCs w:val="24"/>
        </w:rPr>
        <w:t xml:space="preserve">refer to </w:t>
      </w:r>
      <w:r w:rsidR="007C6A2E" w:rsidRPr="00775591">
        <w:rPr>
          <w:szCs w:val="24"/>
        </w:rPr>
        <w:t>Division 1C instead of D</w:t>
      </w:r>
      <w:r w:rsidR="007C7384" w:rsidRPr="00775591">
        <w:rPr>
          <w:szCs w:val="24"/>
        </w:rPr>
        <w:t xml:space="preserve">ivision </w:t>
      </w:r>
      <w:r w:rsidR="003E7B82" w:rsidRPr="00775591">
        <w:rPr>
          <w:szCs w:val="24"/>
        </w:rPr>
        <w:t xml:space="preserve">1A. </w:t>
      </w:r>
    </w:p>
    <w:p w:rsidR="008A34FB" w:rsidRPr="00775591" w:rsidRDefault="003A2D2E" w:rsidP="00D63C14">
      <w:pPr>
        <w:pStyle w:val="ListParagraph"/>
        <w:numPr>
          <w:ilvl w:val="0"/>
          <w:numId w:val="29"/>
        </w:numPr>
        <w:spacing w:after="240"/>
        <w:ind w:left="0" w:firstLine="0"/>
        <w:contextualSpacing w:val="0"/>
        <w:rPr>
          <w:szCs w:val="24"/>
        </w:rPr>
      </w:pPr>
      <w:r w:rsidRPr="00775591">
        <w:rPr>
          <w:szCs w:val="24"/>
        </w:rPr>
        <w:t>This is required because of the insertion of</w:t>
      </w:r>
      <w:r w:rsidR="003E7B82" w:rsidRPr="00775591">
        <w:rPr>
          <w:szCs w:val="24"/>
        </w:rPr>
        <w:t xml:space="preserve"> item </w:t>
      </w:r>
      <w:r w:rsidR="00C32A53" w:rsidRPr="00775591">
        <w:rPr>
          <w:szCs w:val="24"/>
        </w:rPr>
        <w:t>26</w:t>
      </w:r>
      <w:r w:rsidR="008B6C7C" w:rsidRPr="00775591">
        <w:rPr>
          <w:szCs w:val="24"/>
        </w:rPr>
        <w:t xml:space="preserve"> </w:t>
      </w:r>
      <w:r w:rsidR="00AD1C15" w:rsidRPr="00775591">
        <w:rPr>
          <w:szCs w:val="24"/>
        </w:rPr>
        <w:t xml:space="preserve">above, </w:t>
      </w:r>
      <w:r w:rsidRPr="00775591">
        <w:rPr>
          <w:szCs w:val="24"/>
        </w:rPr>
        <w:t xml:space="preserve">which will move the </w:t>
      </w:r>
      <w:r w:rsidR="00B552BC">
        <w:rPr>
          <w:szCs w:val="24"/>
        </w:rPr>
        <w:t>journalist</w:t>
      </w:r>
      <w:r w:rsidR="006E0959" w:rsidRPr="00775591">
        <w:rPr>
          <w:szCs w:val="24"/>
        </w:rPr>
        <w:t xml:space="preserve"> privilege</w:t>
      </w:r>
      <w:r w:rsidRPr="00775591">
        <w:rPr>
          <w:szCs w:val="24"/>
        </w:rPr>
        <w:t xml:space="preserve"> </w:t>
      </w:r>
      <w:r w:rsidR="00D22F50" w:rsidRPr="00775591">
        <w:rPr>
          <w:szCs w:val="24"/>
        </w:rPr>
        <w:t>from Division 1A of P</w:t>
      </w:r>
      <w:r w:rsidR="006E0959" w:rsidRPr="00775591">
        <w:rPr>
          <w:szCs w:val="24"/>
        </w:rPr>
        <w:t>art 3.10 to new D</w:t>
      </w:r>
      <w:r w:rsidR="008A34FB" w:rsidRPr="00775591">
        <w:rPr>
          <w:szCs w:val="24"/>
        </w:rPr>
        <w:t xml:space="preserve">ivision 1C of </w:t>
      </w:r>
      <w:r w:rsidR="00D22F50" w:rsidRPr="00775591">
        <w:rPr>
          <w:szCs w:val="24"/>
        </w:rPr>
        <w:t>P</w:t>
      </w:r>
      <w:r w:rsidR="008A34FB" w:rsidRPr="00775591">
        <w:rPr>
          <w:szCs w:val="24"/>
        </w:rPr>
        <w:t xml:space="preserve">art 3.10. </w:t>
      </w:r>
      <w:r w:rsidRPr="00775591">
        <w:rPr>
          <w:szCs w:val="24"/>
        </w:rPr>
        <w:t xml:space="preserve">This will provide consistency with the numbering of the NSW </w:t>
      </w:r>
      <w:r w:rsidR="00F62335" w:rsidRPr="00775591">
        <w:rPr>
          <w:szCs w:val="24"/>
        </w:rPr>
        <w:t>Evidence Act</w:t>
      </w:r>
      <w:r w:rsidRPr="00775591">
        <w:rPr>
          <w:szCs w:val="24"/>
        </w:rPr>
        <w:t>.</w:t>
      </w:r>
    </w:p>
    <w:p w:rsidR="00E6002E" w:rsidRPr="00775591" w:rsidRDefault="00E6002E" w:rsidP="00E6002E">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E048DA" w:rsidRPr="00775591" w:rsidRDefault="00E048DA" w:rsidP="00C421B1">
      <w:pPr>
        <w:keepNext/>
        <w:rPr>
          <w:b/>
          <w:szCs w:val="24"/>
        </w:rPr>
      </w:pPr>
      <w:r w:rsidRPr="00775591">
        <w:rPr>
          <w:b/>
          <w:szCs w:val="24"/>
        </w:rPr>
        <w:t xml:space="preserve">Item </w:t>
      </w:r>
      <w:r w:rsidR="0014293F" w:rsidRPr="00775591">
        <w:rPr>
          <w:b/>
          <w:szCs w:val="24"/>
        </w:rPr>
        <w:t>30</w:t>
      </w:r>
      <w:r w:rsidR="00BD5E38" w:rsidRPr="00775591">
        <w:rPr>
          <w:b/>
          <w:szCs w:val="24"/>
        </w:rPr>
        <w:t>: Subsections 131A(1) and (1A)</w:t>
      </w:r>
    </w:p>
    <w:p w:rsidR="00E048DA" w:rsidRPr="00775591" w:rsidRDefault="00E048DA" w:rsidP="00D63C14">
      <w:pPr>
        <w:pStyle w:val="ListParagraph"/>
        <w:numPr>
          <w:ilvl w:val="0"/>
          <w:numId w:val="29"/>
        </w:numPr>
        <w:spacing w:after="240"/>
        <w:ind w:left="0" w:firstLine="0"/>
        <w:contextualSpacing w:val="0"/>
        <w:rPr>
          <w:szCs w:val="24"/>
        </w:rPr>
      </w:pPr>
      <w:r w:rsidRPr="00775591">
        <w:rPr>
          <w:szCs w:val="24"/>
        </w:rPr>
        <w:t xml:space="preserve">This item will </w:t>
      </w:r>
      <w:r w:rsidR="008A0AF2" w:rsidRPr="00775591">
        <w:rPr>
          <w:szCs w:val="24"/>
        </w:rPr>
        <w:t>remove</w:t>
      </w:r>
      <w:r w:rsidR="006D6EB0" w:rsidRPr="00775591">
        <w:rPr>
          <w:szCs w:val="24"/>
        </w:rPr>
        <w:t xml:space="preserve"> the reference to section 126H</w:t>
      </w:r>
      <w:r w:rsidR="00C63D2A" w:rsidRPr="00775591">
        <w:rPr>
          <w:szCs w:val="24"/>
        </w:rPr>
        <w:t xml:space="preserve"> in subsections 131A(1) and (1A) of the Evidence Act</w:t>
      </w:r>
      <w:r w:rsidR="00032BE3" w:rsidRPr="00775591">
        <w:rPr>
          <w:szCs w:val="24"/>
        </w:rPr>
        <w:t xml:space="preserve"> and replace them</w:t>
      </w:r>
      <w:r w:rsidR="006D6EB0" w:rsidRPr="00775591">
        <w:rPr>
          <w:szCs w:val="24"/>
        </w:rPr>
        <w:t xml:space="preserve"> </w:t>
      </w:r>
      <w:r w:rsidR="00C51262" w:rsidRPr="00775591">
        <w:rPr>
          <w:szCs w:val="24"/>
        </w:rPr>
        <w:t>with a reference to section 126K</w:t>
      </w:r>
      <w:r w:rsidR="006D6EB0" w:rsidRPr="00775591">
        <w:rPr>
          <w:szCs w:val="24"/>
        </w:rPr>
        <w:t>.</w:t>
      </w:r>
    </w:p>
    <w:p w:rsidR="00A35F97" w:rsidRPr="00775591" w:rsidRDefault="006D6EB0" w:rsidP="00D63C14">
      <w:pPr>
        <w:pStyle w:val="ListParagraph"/>
        <w:numPr>
          <w:ilvl w:val="0"/>
          <w:numId w:val="29"/>
        </w:numPr>
        <w:spacing w:after="240"/>
        <w:ind w:left="0" w:firstLine="0"/>
        <w:contextualSpacing w:val="0"/>
        <w:rPr>
          <w:szCs w:val="24"/>
        </w:rPr>
      </w:pPr>
      <w:r w:rsidRPr="00775591">
        <w:rPr>
          <w:szCs w:val="24"/>
        </w:rPr>
        <w:t xml:space="preserve">This is required because of the insertion of item </w:t>
      </w:r>
      <w:r w:rsidR="00B6706D" w:rsidRPr="00775591">
        <w:rPr>
          <w:szCs w:val="24"/>
        </w:rPr>
        <w:t>28</w:t>
      </w:r>
      <w:r w:rsidR="00A35F97" w:rsidRPr="00775591">
        <w:rPr>
          <w:szCs w:val="24"/>
        </w:rPr>
        <w:t xml:space="preserve"> </w:t>
      </w:r>
      <w:r w:rsidR="00AD1C15" w:rsidRPr="00775591">
        <w:rPr>
          <w:szCs w:val="24"/>
        </w:rPr>
        <w:t>above</w:t>
      </w:r>
      <w:r w:rsidR="00CC685E" w:rsidRPr="00775591">
        <w:rPr>
          <w:szCs w:val="24"/>
        </w:rPr>
        <w:t xml:space="preserve"> which will renumber section 126H to new section 126K. This</w:t>
      </w:r>
      <w:r w:rsidR="00A35F97" w:rsidRPr="00775591">
        <w:rPr>
          <w:szCs w:val="24"/>
        </w:rPr>
        <w:t xml:space="preserve"> will provide consistency with the numbering of the </w:t>
      </w:r>
      <w:r w:rsidR="007745B9" w:rsidRPr="00775591">
        <w:rPr>
          <w:szCs w:val="24"/>
        </w:rPr>
        <w:t xml:space="preserve">NSW </w:t>
      </w:r>
      <w:r w:rsidR="00AE62D0" w:rsidRPr="00775591">
        <w:rPr>
          <w:szCs w:val="24"/>
        </w:rPr>
        <w:t>Evidence Act</w:t>
      </w:r>
      <w:r w:rsidR="00A35F97" w:rsidRPr="00775591">
        <w:rPr>
          <w:szCs w:val="24"/>
        </w:rPr>
        <w:t>.</w:t>
      </w:r>
    </w:p>
    <w:p w:rsidR="00E6002E" w:rsidRPr="00775591" w:rsidRDefault="00E6002E" w:rsidP="00E6002E">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B52E13" w:rsidRPr="00775591" w:rsidRDefault="00B52E13" w:rsidP="00E6002E">
      <w:pPr>
        <w:pStyle w:val="Paragraphnumbered"/>
        <w:keepNext/>
        <w:rPr>
          <w:b/>
          <w:szCs w:val="24"/>
        </w:rPr>
      </w:pPr>
      <w:r w:rsidRPr="00775591">
        <w:rPr>
          <w:b/>
          <w:szCs w:val="24"/>
        </w:rPr>
        <w:t xml:space="preserve">Item </w:t>
      </w:r>
      <w:r w:rsidR="005F5749" w:rsidRPr="00775591">
        <w:rPr>
          <w:b/>
          <w:szCs w:val="24"/>
        </w:rPr>
        <w:t>31</w:t>
      </w:r>
      <w:r w:rsidRPr="00775591">
        <w:rPr>
          <w:b/>
          <w:szCs w:val="24"/>
        </w:rPr>
        <w:t>:</w:t>
      </w:r>
      <w:r w:rsidRPr="00775591">
        <w:rPr>
          <w:szCs w:val="24"/>
        </w:rPr>
        <w:t xml:space="preserve"> </w:t>
      </w:r>
      <w:r w:rsidRPr="00775591">
        <w:rPr>
          <w:b/>
          <w:szCs w:val="24"/>
        </w:rPr>
        <w:t>Subsection 131A(1A)</w:t>
      </w:r>
    </w:p>
    <w:p w:rsidR="00B52E13" w:rsidRPr="00775591" w:rsidRDefault="00B52E13" w:rsidP="00E6002E">
      <w:pPr>
        <w:pStyle w:val="ListParagraph"/>
        <w:keepNext/>
        <w:numPr>
          <w:ilvl w:val="0"/>
          <w:numId w:val="29"/>
        </w:numPr>
        <w:spacing w:after="240"/>
        <w:ind w:left="0" w:firstLine="0"/>
        <w:contextualSpacing w:val="0"/>
        <w:rPr>
          <w:szCs w:val="24"/>
        </w:rPr>
      </w:pPr>
      <w:r w:rsidRPr="00775591">
        <w:rPr>
          <w:szCs w:val="24"/>
        </w:rPr>
        <w:t xml:space="preserve">This </w:t>
      </w:r>
      <w:r w:rsidR="008A0AF2" w:rsidRPr="00775591">
        <w:rPr>
          <w:szCs w:val="24"/>
        </w:rPr>
        <w:t>item will remove</w:t>
      </w:r>
      <w:r w:rsidRPr="00775591">
        <w:rPr>
          <w:szCs w:val="24"/>
        </w:rPr>
        <w:t xml:space="preserve"> the reference to subsection 126H(1)</w:t>
      </w:r>
      <w:r w:rsidR="00116926" w:rsidRPr="00775591">
        <w:rPr>
          <w:szCs w:val="24"/>
        </w:rPr>
        <w:t xml:space="preserve"> in subsection 131A(1A) of the Evidence Act</w:t>
      </w:r>
      <w:r w:rsidRPr="00775591">
        <w:rPr>
          <w:szCs w:val="24"/>
        </w:rPr>
        <w:t xml:space="preserve"> and replace it with</w:t>
      </w:r>
      <w:r w:rsidR="00116926" w:rsidRPr="00775591">
        <w:rPr>
          <w:szCs w:val="24"/>
        </w:rPr>
        <w:t xml:space="preserve"> a reference to</w:t>
      </w:r>
      <w:r w:rsidRPr="00775591">
        <w:rPr>
          <w:szCs w:val="24"/>
        </w:rPr>
        <w:t xml:space="preserve"> subsection 126K(1). </w:t>
      </w:r>
    </w:p>
    <w:p w:rsidR="00B52E13" w:rsidRPr="00775591" w:rsidRDefault="00B52E13" w:rsidP="00CB3689">
      <w:pPr>
        <w:pStyle w:val="ListParagraph"/>
        <w:numPr>
          <w:ilvl w:val="0"/>
          <w:numId w:val="29"/>
        </w:numPr>
        <w:spacing w:after="240"/>
        <w:ind w:left="0" w:firstLine="0"/>
        <w:contextualSpacing w:val="0"/>
        <w:rPr>
          <w:szCs w:val="24"/>
        </w:rPr>
      </w:pPr>
      <w:r w:rsidRPr="00775591">
        <w:rPr>
          <w:szCs w:val="24"/>
        </w:rPr>
        <w:t xml:space="preserve">This is required because of the insertion of item </w:t>
      </w:r>
      <w:r w:rsidR="00EC6968" w:rsidRPr="00775591">
        <w:rPr>
          <w:szCs w:val="24"/>
        </w:rPr>
        <w:t>28</w:t>
      </w:r>
      <w:r w:rsidRPr="00775591">
        <w:rPr>
          <w:szCs w:val="24"/>
        </w:rPr>
        <w:t xml:space="preserve"> above</w:t>
      </w:r>
      <w:r w:rsidR="004E1C19" w:rsidRPr="00775591">
        <w:rPr>
          <w:szCs w:val="24"/>
        </w:rPr>
        <w:t xml:space="preserve"> which will renumber section 126H to new section 126K. This</w:t>
      </w:r>
      <w:r w:rsidRPr="00775591">
        <w:rPr>
          <w:szCs w:val="24"/>
        </w:rPr>
        <w:t xml:space="preserve"> will provide consistency with the n</w:t>
      </w:r>
      <w:r w:rsidR="00CB70C1" w:rsidRPr="00775591">
        <w:rPr>
          <w:szCs w:val="24"/>
        </w:rPr>
        <w:t xml:space="preserve">umbering of the NSW </w:t>
      </w:r>
      <w:r w:rsidR="00846CE7" w:rsidRPr="00775591">
        <w:rPr>
          <w:szCs w:val="24"/>
        </w:rPr>
        <w:t>Evidence Act</w:t>
      </w:r>
      <w:r w:rsidRPr="00775591">
        <w:rPr>
          <w:szCs w:val="24"/>
        </w:rPr>
        <w:t>.</w:t>
      </w:r>
    </w:p>
    <w:p w:rsidR="00E42D63" w:rsidRPr="00775591" w:rsidRDefault="00E42D63" w:rsidP="00E42D63">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B52E13" w:rsidRPr="00775591" w:rsidRDefault="00050A61" w:rsidP="00F32DBE">
      <w:pPr>
        <w:pStyle w:val="Paragraphnumbered"/>
        <w:keepNext/>
        <w:rPr>
          <w:b/>
          <w:szCs w:val="24"/>
        </w:rPr>
      </w:pPr>
      <w:r w:rsidRPr="00775591">
        <w:rPr>
          <w:b/>
          <w:szCs w:val="24"/>
        </w:rPr>
        <w:t xml:space="preserve">Item </w:t>
      </w:r>
      <w:r w:rsidR="005D3491" w:rsidRPr="00775591">
        <w:rPr>
          <w:b/>
          <w:szCs w:val="24"/>
        </w:rPr>
        <w:t>32</w:t>
      </w:r>
      <w:r w:rsidRPr="00775591">
        <w:rPr>
          <w:b/>
          <w:szCs w:val="24"/>
        </w:rPr>
        <w:t>: Section 131B (heading)</w:t>
      </w:r>
    </w:p>
    <w:p w:rsidR="003F1515" w:rsidRPr="00775591" w:rsidRDefault="008A0AF2" w:rsidP="00F32DBE">
      <w:pPr>
        <w:pStyle w:val="ListParagraph"/>
        <w:keepNext/>
        <w:numPr>
          <w:ilvl w:val="0"/>
          <w:numId w:val="29"/>
        </w:numPr>
        <w:spacing w:after="240"/>
        <w:ind w:left="0" w:firstLine="0"/>
        <w:contextualSpacing w:val="0"/>
        <w:rPr>
          <w:szCs w:val="24"/>
        </w:rPr>
      </w:pPr>
      <w:r w:rsidRPr="00775591">
        <w:rPr>
          <w:szCs w:val="24"/>
        </w:rPr>
        <w:t>This item will remov</w:t>
      </w:r>
      <w:r w:rsidR="001A2E18" w:rsidRPr="00775591">
        <w:rPr>
          <w:szCs w:val="24"/>
        </w:rPr>
        <w:t xml:space="preserve">e the reference to </w:t>
      </w:r>
      <w:r w:rsidR="00AF2063" w:rsidRPr="00775591">
        <w:rPr>
          <w:szCs w:val="24"/>
        </w:rPr>
        <w:t>D</w:t>
      </w:r>
      <w:r w:rsidR="001A2E18" w:rsidRPr="00775591">
        <w:rPr>
          <w:szCs w:val="24"/>
        </w:rPr>
        <w:t>ivision 1A</w:t>
      </w:r>
      <w:r w:rsidR="00DF5B52" w:rsidRPr="00775591">
        <w:rPr>
          <w:szCs w:val="24"/>
        </w:rPr>
        <w:t xml:space="preserve"> in the heading of section 131B of the Evidence Act</w:t>
      </w:r>
      <w:r w:rsidR="001A2E18" w:rsidRPr="00775591">
        <w:rPr>
          <w:szCs w:val="24"/>
        </w:rPr>
        <w:t xml:space="preserve"> and </w:t>
      </w:r>
      <w:r w:rsidR="00DF5B52" w:rsidRPr="00775591">
        <w:rPr>
          <w:szCs w:val="24"/>
        </w:rPr>
        <w:t>replace it with a reference to D</w:t>
      </w:r>
      <w:r w:rsidR="001A2E18" w:rsidRPr="00775591">
        <w:rPr>
          <w:szCs w:val="24"/>
        </w:rPr>
        <w:t xml:space="preserve">ivision 1C. </w:t>
      </w:r>
    </w:p>
    <w:p w:rsidR="001A2E18" w:rsidRPr="00775591" w:rsidRDefault="00CA0CC2" w:rsidP="00CB3689">
      <w:pPr>
        <w:pStyle w:val="ListParagraph"/>
        <w:numPr>
          <w:ilvl w:val="0"/>
          <w:numId w:val="29"/>
        </w:numPr>
        <w:spacing w:after="240"/>
        <w:ind w:left="0" w:firstLine="0"/>
        <w:contextualSpacing w:val="0"/>
        <w:rPr>
          <w:szCs w:val="24"/>
        </w:rPr>
      </w:pPr>
      <w:r w:rsidRPr="00775591">
        <w:rPr>
          <w:szCs w:val="24"/>
        </w:rPr>
        <w:t>This is required bec</w:t>
      </w:r>
      <w:r w:rsidR="00FA0180" w:rsidRPr="00775591">
        <w:rPr>
          <w:szCs w:val="24"/>
        </w:rPr>
        <w:t>ause of the insertion of item 26</w:t>
      </w:r>
      <w:r w:rsidRPr="00775591">
        <w:rPr>
          <w:szCs w:val="24"/>
        </w:rPr>
        <w:t xml:space="preserve"> above, </w:t>
      </w:r>
      <w:r w:rsidR="00B552BC">
        <w:rPr>
          <w:szCs w:val="24"/>
        </w:rPr>
        <w:t>which will move the journalist</w:t>
      </w:r>
      <w:r w:rsidRPr="00775591">
        <w:rPr>
          <w:szCs w:val="24"/>
        </w:rPr>
        <w:t xml:space="preserve"> privilege provisions </w:t>
      </w:r>
      <w:r w:rsidR="00D22F50" w:rsidRPr="00775591">
        <w:rPr>
          <w:szCs w:val="24"/>
        </w:rPr>
        <w:t>from Division 1A of P</w:t>
      </w:r>
      <w:r w:rsidRPr="00775591">
        <w:rPr>
          <w:szCs w:val="24"/>
        </w:rPr>
        <w:t>art 3.10 to new D</w:t>
      </w:r>
      <w:r w:rsidR="00D22F50" w:rsidRPr="00775591">
        <w:rPr>
          <w:szCs w:val="24"/>
        </w:rPr>
        <w:t>ivision 1C of P</w:t>
      </w:r>
      <w:r w:rsidRPr="00775591">
        <w:rPr>
          <w:szCs w:val="24"/>
        </w:rPr>
        <w:t>art 3.10. This will provide consistency with the numbering of the NSW Eviden</w:t>
      </w:r>
      <w:r w:rsidR="00762EA0" w:rsidRPr="00775591">
        <w:rPr>
          <w:szCs w:val="24"/>
        </w:rPr>
        <w:t>ce Act</w:t>
      </w:r>
      <w:r w:rsidRPr="00775591">
        <w:rPr>
          <w:szCs w:val="24"/>
        </w:rPr>
        <w:t>.</w:t>
      </w:r>
    </w:p>
    <w:p w:rsidR="00762EA0" w:rsidRPr="00775591" w:rsidRDefault="00762EA0" w:rsidP="00762EA0">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673289" w:rsidRPr="00775591" w:rsidRDefault="00673289" w:rsidP="001A2E18">
      <w:pPr>
        <w:rPr>
          <w:b/>
          <w:szCs w:val="24"/>
        </w:rPr>
      </w:pPr>
      <w:r w:rsidRPr="00775591">
        <w:rPr>
          <w:b/>
          <w:szCs w:val="24"/>
        </w:rPr>
        <w:t xml:space="preserve">Item </w:t>
      </w:r>
      <w:r w:rsidR="000723EB" w:rsidRPr="00775591">
        <w:rPr>
          <w:b/>
          <w:szCs w:val="24"/>
        </w:rPr>
        <w:t>33</w:t>
      </w:r>
      <w:r w:rsidRPr="00775591">
        <w:rPr>
          <w:b/>
          <w:szCs w:val="24"/>
        </w:rPr>
        <w:t>: Section 131B</w:t>
      </w:r>
    </w:p>
    <w:p w:rsidR="00673289" w:rsidRPr="00775591" w:rsidRDefault="008A0AF2" w:rsidP="00CB3689">
      <w:pPr>
        <w:pStyle w:val="ListParagraph"/>
        <w:numPr>
          <w:ilvl w:val="0"/>
          <w:numId w:val="29"/>
        </w:numPr>
        <w:spacing w:after="240"/>
        <w:ind w:left="0" w:firstLine="0"/>
        <w:contextualSpacing w:val="0"/>
        <w:rPr>
          <w:szCs w:val="24"/>
        </w:rPr>
      </w:pPr>
      <w:r w:rsidRPr="00775591">
        <w:rPr>
          <w:szCs w:val="24"/>
        </w:rPr>
        <w:t>This item will remov</w:t>
      </w:r>
      <w:r w:rsidR="00D22F50" w:rsidRPr="00775591">
        <w:rPr>
          <w:szCs w:val="24"/>
        </w:rPr>
        <w:t>e the reference to D</w:t>
      </w:r>
      <w:r w:rsidR="00673289" w:rsidRPr="00775591">
        <w:rPr>
          <w:szCs w:val="24"/>
        </w:rPr>
        <w:t>ivision 1A</w:t>
      </w:r>
      <w:r w:rsidR="00D22F50" w:rsidRPr="00775591">
        <w:rPr>
          <w:szCs w:val="24"/>
        </w:rPr>
        <w:t xml:space="preserve"> in section 131B of the Evidence Act</w:t>
      </w:r>
      <w:r w:rsidR="00673289" w:rsidRPr="00775591">
        <w:rPr>
          <w:szCs w:val="24"/>
        </w:rPr>
        <w:t xml:space="preserve"> and replace it with a reference to </w:t>
      </w:r>
      <w:r w:rsidR="00D22F50" w:rsidRPr="00775591">
        <w:rPr>
          <w:szCs w:val="24"/>
        </w:rPr>
        <w:t>D</w:t>
      </w:r>
      <w:r w:rsidR="00673289" w:rsidRPr="00775591">
        <w:rPr>
          <w:szCs w:val="24"/>
        </w:rPr>
        <w:t xml:space="preserve">ivision 1C. </w:t>
      </w:r>
    </w:p>
    <w:p w:rsidR="00D22F50" w:rsidRPr="00775591" w:rsidRDefault="00D22F50" w:rsidP="00CB3689">
      <w:pPr>
        <w:pStyle w:val="ListParagraph"/>
        <w:numPr>
          <w:ilvl w:val="0"/>
          <w:numId w:val="29"/>
        </w:numPr>
        <w:spacing w:after="240"/>
        <w:ind w:left="0" w:firstLine="0"/>
        <w:contextualSpacing w:val="0"/>
        <w:rPr>
          <w:szCs w:val="24"/>
        </w:rPr>
      </w:pPr>
      <w:r w:rsidRPr="00775591">
        <w:rPr>
          <w:szCs w:val="24"/>
        </w:rPr>
        <w:t xml:space="preserve">This is required because of the insertion of item </w:t>
      </w:r>
      <w:r w:rsidR="008F4EB0" w:rsidRPr="00775591">
        <w:rPr>
          <w:szCs w:val="24"/>
        </w:rPr>
        <w:t>26</w:t>
      </w:r>
      <w:r w:rsidRPr="00775591">
        <w:rPr>
          <w:szCs w:val="24"/>
        </w:rPr>
        <w:t xml:space="preserve"> above, </w:t>
      </w:r>
      <w:r w:rsidR="00B552BC">
        <w:rPr>
          <w:szCs w:val="24"/>
        </w:rPr>
        <w:t>which will move the journalist</w:t>
      </w:r>
      <w:r w:rsidRPr="00775591">
        <w:rPr>
          <w:szCs w:val="24"/>
        </w:rPr>
        <w:t xml:space="preserve"> privilege provisions from Division 1A of Part 3.10 to new Division 1C of Part 3.10. This will provide consistency with the numbering of the </w:t>
      </w:r>
      <w:r w:rsidR="00B149E5" w:rsidRPr="00775591">
        <w:rPr>
          <w:szCs w:val="24"/>
        </w:rPr>
        <w:t>NSW Evidence Act</w:t>
      </w:r>
      <w:r w:rsidRPr="00775591">
        <w:rPr>
          <w:szCs w:val="24"/>
        </w:rPr>
        <w:t>.</w:t>
      </w:r>
    </w:p>
    <w:p w:rsidR="00B149E5" w:rsidRPr="00775591" w:rsidRDefault="00B149E5" w:rsidP="00B149E5">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FF1C8A" w:rsidRPr="00775591" w:rsidRDefault="00FF1C8A" w:rsidP="00E00F1A">
      <w:pPr>
        <w:rPr>
          <w:b/>
          <w:i/>
          <w:szCs w:val="24"/>
        </w:rPr>
      </w:pPr>
      <w:r w:rsidRPr="00775591">
        <w:rPr>
          <w:b/>
          <w:i/>
          <w:szCs w:val="24"/>
        </w:rPr>
        <w:t>Family Law Act 1975</w:t>
      </w:r>
    </w:p>
    <w:p w:rsidR="00FF1C8A" w:rsidRPr="00775591" w:rsidRDefault="00FF1C8A" w:rsidP="00E00F1A">
      <w:pPr>
        <w:rPr>
          <w:b/>
          <w:szCs w:val="24"/>
        </w:rPr>
      </w:pPr>
      <w:r w:rsidRPr="00775591">
        <w:rPr>
          <w:b/>
          <w:szCs w:val="24"/>
        </w:rPr>
        <w:t xml:space="preserve">Item </w:t>
      </w:r>
      <w:r w:rsidR="00D20B4B" w:rsidRPr="00775591">
        <w:rPr>
          <w:b/>
          <w:szCs w:val="24"/>
        </w:rPr>
        <w:t>34</w:t>
      </w:r>
      <w:r w:rsidRPr="00775591">
        <w:rPr>
          <w:b/>
          <w:szCs w:val="24"/>
        </w:rPr>
        <w:t>: Paragraph 69ZX(4)(a)</w:t>
      </w:r>
    </w:p>
    <w:p w:rsidR="001867C5" w:rsidRPr="00775591" w:rsidRDefault="001867C5" w:rsidP="001867C5">
      <w:pPr>
        <w:pStyle w:val="ListParagraph"/>
        <w:keepNext/>
        <w:numPr>
          <w:ilvl w:val="0"/>
          <w:numId w:val="29"/>
        </w:numPr>
        <w:spacing w:after="240"/>
        <w:ind w:left="0" w:firstLine="0"/>
        <w:contextualSpacing w:val="0"/>
        <w:rPr>
          <w:szCs w:val="24"/>
        </w:rPr>
      </w:pPr>
      <w:r w:rsidRPr="00775591">
        <w:rPr>
          <w:szCs w:val="24"/>
        </w:rPr>
        <w:t xml:space="preserve">This item will remove the reference to subsection 126H(1) of the </w:t>
      </w:r>
      <w:r w:rsidRPr="00775591">
        <w:rPr>
          <w:i/>
          <w:szCs w:val="24"/>
        </w:rPr>
        <w:t>Evidence Act 1995</w:t>
      </w:r>
      <w:r w:rsidRPr="00775591">
        <w:rPr>
          <w:szCs w:val="24"/>
        </w:rPr>
        <w:t xml:space="preserve"> in paragraph 69ZX(4)(a) of the Family Law Act and replace it with a reference to subsection 126K(1) of the Evidence Act. </w:t>
      </w:r>
    </w:p>
    <w:p w:rsidR="001867C5" w:rsidRPr="00775591" w:rsidRDefault="001867C5" w:rsidP="001867C5">
      <w:pPr>
        <w:pStyle w:val="ListParagraph"/>
        <w:numPr>
          <w:ilvl w:val="0"/>
          <w:numId w:val="29"/>
        </w:numPr>
        <w:spacing w:after="240"/>
        <w:ind w:left="0" w:firstLine="0"/>
        <w:contextualSpacing w:val="0"/>
        <w:rPr>
          <w:szCs w:val="24"/>
        </w:rPr>
      </w:pPr>
      <w:r w:rsidRPr="00775591">
        <w:rPr>
          <w:szCs w:val="24"/>
        </w:rPr>
        <w:t xml:space="preserve">This is required because of the insertion of item </w:t>
      </w:r>
      <w:r w:rsidR="000E4403" w:rsidRPr="00775591">
        <w:rPr>
          <w:szCs w:val="24"/>
        </w:rPr>
        <w:t>28</w:t>
      </w:r>
      <w:r w:rsidRPr="00775591">
        <w:rPr>
          <w:szCs w:val="24"/>
        </w:rPr>
        <w:t xml:space="preserve"> above which will renumber section 126H to new section 126K. This will provide consistency with the numbering of the NSW Evidence Act.</w:t>
      </w:r>
    </w:p>
    <w:p w:rsidR="001867C5" w:rsidRPr="00775591" w:rsidRDefault="001867C5" w:rsidP="001867C5">
      <w:pPr>
        <w:pStyle w:val="ListParagraph"/>
        <w:numPr>
          <w:ilvl w:val="0"/>
          <w:numId w:val="29"/>
        </w:numPr>
        <w:spacing w:after="240"/>
        <w:ind w:left="0" w:firstLine="0"/>
        <w:contextualSpacing w:val="0"/>
        <w:rPr>
          <w:szCs w:val="24"/>
        </w:rPr>
      </w:pPr>
      <w:r w:rsidRPr="00775591">
        <w:rPr>
          <w:szCs w:val="24"/>
        </w:rPr>
        <w:t xml:space="preserve">This form of drafting is consistent with </w:t>
      </w:r>
      <w:r w:rsidRPr="00775591">
        <w:rPr>
          <w:color w:val="000000"/>
          <w:szCs w:val="24"/>
        </w:rPr>
        <w:t xml:space="preserve">paragraph 6.1.2 of the </w:t>
      </w:r>
      <w:r w:rsidRPr="00775591">
        <w:rPr>
          <w:szCs w:val="24"/>
        </w:rPr>
        <w:t>Parliamentary Counsel’s Committee Protocol on Drafting National Uniform Legislation, which provides that the numbering of uniform legislation should be consistent. </w:t>
      </w:r>
    </w:p>
    <w:p w:rsidR="003F3B2F" w:rsidRPr="00775591" w:rsidRDefault="003F3B2F" w:rsidP="00E00F1A">
      <w:pPr>
        <w:rPr>
          <w:b/>
          <w:i/>
          <w:szCs w:val="24"/>
        </w:rPr>
      </w:pPr>
      <w:r w:rsidRPr="00775591">
        <w:rPr>
          <w:b/>
          <w:i/>
          <w:szCs w:val="24"/>
        </w:rPr>
        <w:t>Federal Circuit Court of Australia Act 1999</w:t>
      </w:r>
    </w:p>
    <w:p w:rsidR="00BD1823" w:rsidRPr="00775591" w:rsidRDefault="00BD1823" w:rsidP="008A0AF2">
      <w:pPr>
        <w:rPr>
          <w:b/>
          <w:szCs w:val="24"/>
        </w:rPr>
      </w:pPr>
      <w:r w:rsidRPr="00775591">
        <w:rPr>
          <w:b/>
          <w:szCs w:val="24"/>
        </w:rPr>
        <w:t xml:space="preserve">Item </w:t>
      </w:r>
      <w:r w:rsidR="00302925" w:rsidRPr="00775591">
        <w:rPr>
          <w:b/>
          <w:szCs w:val="24"/>
        </w:rPr>
        <w:t>35</w:t>
      </w:r>
      <w:r w:rsidRPr="00775591">
        <w:rPr>
          <w:b/>
          <w:szCs w:val="24"/>
        </w:rPr>
        <w:t>: Section 5</w:t>
      </w:r>
    </w:p>
    <w:p w:rsidR="00227691" w:rsidRPr="00775591" w:rsidRDefault="00227691" w:rsidP="00BD1823">
      <w:pPr>
        <w:pStyle w:val="ListParagraph"/>
        <w:numPr>
          <w:ilvl w:val="0"/>
          <w:numId w:val="29"/>
        </w:numPr>
        <w:spacing w:after="240"/>
        <w:ind w:left="0" w:firstLine="0"/>
        <w:contextualSpacing w:val="0"/>
        <w:rPr>
          <w:szCs w:val="24"/>
        </w:rPr>
      </w:pPr>
      <w:r w:rsidRPr="00775591">
        <w:rPr>
          <w:szCs w:val="24"/>
        </w:rPr>
        <w:t xml:space="preserve">This item will insert the definitions of </w:t>
      </w:r>
      <w:r w:rsidRPr="00775591">
        <w:rPr>
          <w:i/>
          <w:szCs w:val="24"/>
        </w:rPr>
        <w:t>conveyance</w:t>
      </w:r>
      <w:r w:rsidRPr="00775591">
        <w:rPr>
          <w:szCs w:val="24"/>
        </w:rPr>
        <w:t xml:space="preserve">, </w:t>
      </w:r>
      <w:r w:rsidRPr="00775591">
        <w:rPr>
          <w:i/>
          <w:szCs w:val="24"/>
        </w:rPr>
        <w:t>dwelling house</w:t>
      </w:r>
      <w:r w:rsidRPr="00775591">
        <w:rPr>
          <w:szCs w:val="24"/>
        </w:rPr>
        <w:t xml:space="preserve">, </w:t>
      </w:r>
      <w:r w:rsidRPr="00775591">
        <w:rPr>
          <w:i/>
          <w:szCs w:val="24"/>
        </w:rPr>
        <w:t xml:space="preserve">police officer </w:t>
      </w:r>
      <w:r w:rsidRPr="00775591">
        <w:rPr>
          <w:szCs w:val="24"/>
        </w:rPr>
        <w:t>as follows:</w:t>
      </w:r>
    </w:p>
    <w:p w:rsidR="00227691" w:rsidRPr="00775591" w:rsidRDefault="00227691" w:rsidP="00227691">
      <w:pPr>
        <w:pStyle w:val="ListParagraph"/>
        <w:numPr>
          <w:ilvl w:val="0"/>
          <w:numId w:val="29"/>
        </w:numPr>
        <w:spacing w:after="240"/>
        <w:ind w:left="0" w:firstLine="0"/>
        <w:contextualSpacing w:val="0"/>
        <w:rPr>
          <w:szCs w:val="24"/>
        </w:rPr>
      </w:pPr>
      <w:r w:rsidRPr="00775591">
        <w:rPr>
          <w:i/>
          <w:szCs w:val="24"/>
        </w:rPr>
        <w:t>Conveyance</w:t>
      </w:r>
      <w:r w:rsidRPr="00775591">
        <w:rPr>
          <w:szCs w:val="24"/>
        </w:rPr>
        <w:t xml:space="preserve"> includes a vehicle, vessel and an aircraft.</w:t>
      </w:r>
    </w:p>
    <w:p w:rsidR="00227691" w:rsidRPr="00775591" w:rsidRDefault="00227691" w:rsidP="00227691">
      <w:pPr>
        <w:pStyle w:val="ListParagraph"/>
        <w:numPr>
          <w:ilvl w:val="0"/>
          <w:numId w:val="29"/>
        </w:numPr>
        <w:spacing w:after="240"/>
        <w:ind w:left="0" w:firstLine="0"/>
        <w:contextualSpacing w:val="0"/>
        <w:rPr>
          <w:szCs w:val="24"/>
        </w:rPr>
      </w:pPr>
      <w:r w:rsidRPr="00775591">
        <w:rPr>
          <w:i/>
          <w:szCs w:val="24"/>
        </w:rPr>
        <w:t xml:space="preserve">Dwelling house </w:t>
      </w:r>
      <w:r w:rsidRPr="00775591">
        <w:rPr>
          <w:szCs w:val="24"/>
        </w:rPr>
        <w:t>includes a conveyance, or a room in accommodation, in which people ordinarily retire for the night.</w:t>
      </w:r>
    </w:p>
    <w:p w:rsidR="00227691" w:rsidRPr="00775591" w:rsidRDefault="00227691" w:rsidP="00227691">
      <w:pPr>
        <w:pStyle w:val="ListParagraph"/>
        <w:numPr>
          <w:ilvl w:val="0"/>
          <w:numId w:val="29"/>
        </w:numPr>
        <w:spacing w:after="240"/>
        <w:ind w:left="0" w:firstLine="0"/>
        <w:contextualSpacing w:val="0"/>
        <w:rPr>
          <w:szCs w:val="24"/>
        </w:rPr>
      </w:pPr>
      <w:r w:rsidRPr="00775591">
        <w:rPr>
          <w:i/>
          <w:szCs w:val="24"/>
        </w:rPr>
        <w:t xml:space="preserve">Police officer </w:t>
      </w:r>
      <w:r w:rsidRPr="00775591">
        <w:rPr>
          <w:szCs w:val="24"/>
        </w:rPr>
        <w:t>means a member or special member of the Australian Federal Police or a member of the police force or police service of a State or Territory.</w:t>
      </w:r>
    </w:p>
    <w:p w:rsidR="00227691" w:rsidRPr="00775591" w:rsidRDefault="00227691" w:rsidP="00BD1823">
      <w:pPr>
        <w:pStyle w:val="ListParagraph"/>
        <w:numPr>
          <w:ilvl w:val="0"/>
          <w:numId w:val="29"/>
        </w:numPr>
        <w:spacing w:after="240"/>
        <w:ind w:left="0" w:firstLine="0"/>
        <w:contextualSpacing w:val="0"/>
        <w:rPr>
          <w:szCs w:val="24"/>
        </w:rPr>
      </w:pPr>
      <w:r w:rsidRPr="00775591">
        <w:rPr>
          <w:i/>
          <w:szCs w:val="24"/>
        </w:rPr>
        <w:t xml:space="preserve">Premises </w:t>
      </w:r>
      <w:r w:rsidRPr="00775591">
        <w:rPr>
          <w:szCs w:val="24"/>
        </w:rPr>
        <w:t xml:space="preserve">includes a place and a conveyance. </w:t>
      </w:r>
    </w:p>
    <w:p w:rsidR="00BD1823" w:rsidRPr="00775591" w:rsidRDefault="00227691" w:rsidP="00BD1823">
      <w:pPr>
        <w:pStyle w:val="ListParagraph"/>
        <w:numPr>
          <w:ilvl w:val="0"/>
          <w:numId w:val="29"/>
        </w:numPr>
        <w:spacing w:after="240"/>
        <w:ind w:left="0" w:firstLine="0"/>
        <w:contextualSpacing w:val="0"/>
        <w:rPr>
          <w:szCs w:val="24"/>
        </w:rPr>
      </w:pPr>
      <w:r w:rsidRPr="00775591">
        <w:rPr>
          <w:szCs w:val="24"/>
        </w:rPr>
        <w:t xml:space="preserve">These definitions will assist with the correct interpretation of new section 113A inserted by item </w:t>
      </w:r>
      <w:r w:rsidR="00413B8A" w:rsidRPr="00775591">
        <w:rPr>
          <w:szCs w:val="24"/>
        </w:rPr>
        <w:t>3</w:t>
      </w:r>
      <w:r w:rsidRPr="00775591">
        <w:rPr>
          <w:szCs w:val="24"/>
        </w:rPr>
        <w:t>7 below.</w:t>
      </w:r>
    </w:p>
    <w:p w:rsidR="008A0AF2" w:rsidRPr="00775591" w:rsidRDefault="00413B8A" w:rsidP="008A0AF2">
      <w:pPr>
        <w:rPr>
          <w:b/>
          <w:szCs w:val="24"/>
        </w:rPr>
      </w:pPr>
      <w:r w:rsidRPr="00775591">
        <w:rPr>
          <w:b/>
          <w:szCs w:val="24"/>
        </w:rPr>
        <w:t>Item 3</w:t>
      </w:r>
      <w:r w:rsidR="008A0AF2" w:rsidRPr="00775591">
        <w:rPr>
          <w:b/>
          <w:szCs w:val="24"/>
        </w:rPr>
        <w:t>6: Section 31</w:t>
      </w:r>
    </w:p>
    <w:p w:rsidR="006646D4" w:rsidRPr="00775591" w:rsidRDefault="008A0AF2" w:rsidP="00A601DD">
      <w:pPr>
        <w:pStyle w:val="ListParagraph"/>
        <w:numPr>
          <w:ilvl w:val="0"/>
          <w:numId w:val="29"/>
        </w:numPr>
        <w:spacing w:after="240"/>
        <w:ind w:left="0" w:firstLine="0"/>
        <w:contextualSpacing w:val="0"/>
        <w:rPr>
          <w:szCs w:val="24"/>
        </w:rPr>
      </w:pPr>
      <w:r w:rsidRPr="00775591">
        <w:rPr>
          <w:szCs w:val="24"/>
        </w:rPr>
        <w:t>This item will remove the</w:t>
      </w:r>
      <w:r w:rsidR="00650BC9" w:rsidRPr="00775591">
        <w:rPr>
          <w:szCs w:val="24"/>
        </w:rPr>
        <w:t xml:space="preserve"> redundant</w:t>
      </w:r>
      <w:r w:rsidRPr="00775591">
        <w:rPr>
          <w:szCs w:val="24"/>
        </w:rPr>
        <w:t xml:space="preserve"> reference to section 19E</w:t>
      </w:r>
      <w:r w:rsidR="00A601DD" w:rsidRPr="00775591">
        <w:rPr>
          <w:szCs w:val="24"/>
        </w:rPr>
        <w:t xml:space="preserve"> of the </w:t>
      </w:r>
      <w:r w:rsidR="00A601DD" w:rsidRPr="00775591">
        <w:rPr>
          <w:i/>
          <w:szCs w:val="24"/>
        </w:rPr>
        <w:t>Family</w:t>
      </w:r>
      <w:r w:rsidR="00694BCD" w:rsidRPr="00775591">
        <w:rPr>
          <w:i/>
          <w:szCs w:val="24"/>
        </w:rPr>
        <w:t> </w:t>
      </w:r>
      <w:r w:rsidR="00A601DD" w:rsidRPr="00775591">
        <w:rPr>
          <w:i/>
          <w:szCs w:val="24"/>
        </w:rPr>
        <w:t>Law</w:t>
      </w:r>
      <w:r w:rsidR="00694BCD" w:rsidRPr="00775591">
        <w:rPr>
          <w:i/>
          <w:szCs w:val="24"/>
        </w:rPr>
        <w:t> </w:t>
      </w:r>
      <w:r w:rsidR="00A601DD" w:rsidRPr="00775591">
        <w:rPr>
          <w:i/>
          <w:szCs w:val="24"/>
        </w:rPr>
        <w:t>Act</w:t>
      </w:r>
      <w:r w:rsidR="00694BCD" w:rsidRPr="00775591">
        <w:rPr>
          <w:i/>
          <w:szCs w:val="24"/>
        </w:rPr>
        <w:t> </w:t>
      </w:r>
      <w:r w:rsidR="00A601DD" w:rsidRPr="00775591">
        <w:rPr>
          <w:i/>
          <w:szCs w:val="24"/>
        </w:rPr>
        <w:t>1975</w:t>
      </w:r>
      <w:r w:rsidR="006A4CF7" w:rsidRPr="00775591">
        <w:rPr>
          <w:szCs w:val="24"/>
        </w:rPr>
        <w:t xml:space="preserve"> in section 31 of the Federal Circuit Court of Australia Act</w:t>
      </w:r>
      <w:r w:rsidRPr="00775591">
        <w:rPr>
          <w:szCs w:val="24"/>
        </w:rPr>
        <w:t xml:space="preserve"> and replace it with a reference to section 13F</w:t>
      </w:r>
      <w:r w:rsidR="00A601DD" w:rsidRPr="00775591">
        <w:rPr>
          <w:szCs w:val="24"/>
        </w:rPr>
        <w:t xml:space="preserve"> of the Family Law Act</w:t>
      </w:r>
      <w:r w:rsidRPr="00775591">
        <w:rPr>
          <w:szCs w:val="24"/>
        </w:rPr>
        <w:t>.</w:t>
      </w:r>
    </w:p>
    <w:p w:rsidR="006646D4" w:rsidRPr="00775591" w:rsidRDefault="00A601DD" w:rsidP="008744CB">
      <w:pPr>
        <w:pStyle w:val="ListParagraph"/>
        <w:numPr>
          <w:ilvl w:val="0"/>
          <w:numId w:val="29"/>
        </w:numPr>
        <w:spacing w:after="240"/>
        <w:ind w:left="0" w:firstLine="0"/>
        <w:contextualSpacing w:val="0"/>
        <w:rPr>
          <w:szCs w:val="24"/>
        </w:rPr>
      </w:pPr>
      <w:r w:rsidRPr="00775591">
        <w:rPr>
          <w:szCs w:val="24"/>
        </w:rPr>
        <w:t xml:space="preserve">Section 19E of the Family Law Act was repealed by the </w:t>
      </w:r>
      <w:r w:rsidRPr="00775591">
        <w:rPr>
          <w:i/>
          <w:szCs w:val="24"/>
        </w:rPr>
        <w:t>Family Law Amendment (Shared Parental Responsibility) Act 2006</w:t>
      </w:r>
      <w:r w:rsidRPr="00775591">
        <w:rPr>
          <w:szCs w:val="24"/>
        </w:rPr>
        <w:t xml:space="preserve">. Section 13F of the Family Law Act is equivalent </w:t>
      </w:r>
      <w:r w:rsidR="00DD1200" w:rsidRPr="00775591">
        <w:rPr>
          <w:szCs w:val="24"/>
        </w:rPr>
        <w:t>to previous</w:t>
      </w:r>
      <w:r w:rsidRPr="00775591">
        <w:rPr>
          <w:szCs w:val="24"/>
        </w:rPr>
        <w:t xml:space="preserve"> subsection 19E(1). </w:t>
      </w:r>
    </w:p>
    <w:p w:rsidR="008744CB" w:rsidRPr="00775591" w:rsidRDefault="008A0AF2" w:rsidP="008744CB">
      <w:pPr>
        <w:pStyle w:val="ListParagraph"/>
        <w:numPr>
          <w:ilvl w:val="0"/>
          <w:numId w:val="29"/>
        </w:numPr>
        <w:spacing w:after="240"/>
        <w:ind w:left="0" w:firstLine="0"/>
        <w:contextualSpacing w:val="0"/>
        <w:rPr>
          <w:szCs w:val="24"/>
        </w:rPr>
      </w:pPr>
      <w:r w:rsidRPr="00775591">
        <w:rPr>
          <w:szCs w:val="24"/>
        </w:rPr>
        <w:t>The item will also inc</w:t>
      </w:r>
      <w:r w:rsidR="008744CB" w:rsidRPr="00775591">
        <w:rPr>
          <w:szCs w:val="24"/>
        </w:rPr>
        <w:t>lude a statement</w:t>
      </w:r>
      <w:r w:rsidR="0012220A" w:rsidRPr="00775591">
        <w:rPr>
          <w:szCs w:val="24"/>
        </w:rPr>
        <w:t xml:space="preserve"> explaining</w:t>
      </w:r>
      <w:r w:rsidR="008744CB" w:rsidRPr="00775591">
        <w:rPr>
          <w:szCs w:val="24"/>
        </w:rPr>
        <w:t xml:space="preserve"> that section 20</w:t>
      </w:r>
      <w:r w:rsidRPr="00775591">
        <w:rPr>
          <w:szCs w:val="24"/>
        </w:rPr>
        <w:t>A of the</w:t>
      </w:r>
      <w:r w:rsidR="008744CB" w:rsidRPr="00775591">
        <w:rPr>
          <w:szCs w:val="24"/>
        </w:rPr>
        <w:t xml:space="preserve"> Federal Circuit Court of Australia</w:t>
      </w:r>
      <w:r w:rsidRPr="00775591">
        <w:rPr>
          <w:szCs w:val="24"/>
        </w:rPr>
        <w:t xml:space="preserve"> Act does not affect</w:t>
      </w:r>
      <w:r w:rsidR="0012220A" w:rsidRPr="00775591">
        <w:rPr>
          <w:szCs w:val="24"/>
        </w:rPr>
        <w:t xml:space="preserve"> se</w:t>
      </w:r>
      <w:r w:rsidRPr="00775591">
        <w:rPr>
          <w:szCs w:val="24"/>
        </w:rPr>
        <w:t>ction</w:t>
      </w:r>
      <w:r w:rsidR="0012220A" w:rsidRPr="00775591">
        <w:rPr>
          <w:szCs w:val="24"/>
        </w:rPr>
        <w:t xml:space="preserve"> 31</w:t>
      </w:r>
      <w:r w:rsidRPr="00775591">
        <w:rPr>
          <w:szCs w:val="24"/>
        </w:rPr>
        <w:t xml:space="preserve">. </w:t>
      </w:r>
      <w:r w:rsidR="008744CB" w:rsidRPr="00775591">
        <w:rPr>
          <w:szCs w:val="24"/>
        </w:rPr>
        <w:t xml:space="preserve">Section 20A </w:t>
      </w:r>
      <w:r w:rsidR="00FE2791" w:rsidRPr="00775591">
        <w:rPr>
          <w:szCs w:val="24"/>
        </w:rPr>
        <w:t>currently says that P</w:t>
      </w:r>
      <w:r w:rsidR="008744CB" w:rsidRPr="00775591">
        <w:rPr>
          <w:szCs w:val="24"/>
        </w:rPr>
        <w:t>art</w:t>
      </w:r>
      <w:r w:rsidR="00967CCE" w:rsidRPr="00775591">
        <w:rPr>
          <w:szCs w:val="24"/>
        </w:rPr>
        <w:t> </w:t>
      </w:r>
      <w:r w:rsidR="008744CB" w:rsidRPr="00775591">
        <w:rPr>
          <w:szCs w:val="24"/>
        </w:rPr>
        <w:t>4, which section 31 is within, does not apply to proceedings under the Family Law Act. However, section 31 says that the Rules of the Court may make provision for</w:t>
      </w:r>
      <w:r w:rsidR="00A9260A" w:rsidRPr="00775591">
        <w:rPr>
          <w:szCs w:val="24"/>
        </w:rPr>
        <w:t>,</w:t>
      </w:r>
      <w:r w:rsidR="008744CB" w:rsidRPr="00775591">
        <w:rPr>
          <w:szCs w:val="24"/>
        </w:rPr>
        <w:t xml:space="preserve"> or in relation to</w:t>
      </w:r>
      <w:r w:rsidR="00A9260A" w:rsidRPr="00775591">
        <w:rPr>
          <w:szCs w:val="24"/>
        </w:rPr>
        <w:t>,</w:t>
      </w:r>
      <w:r w:rsidR="008744CB" w:rsidRPr="00775591">
        <w:rPr>
          <w:szCs w:val="24"/>
        </w:rPr>
        <w:t xml:space="preserve"> the making of certain applications under the Family Law Act. Therefore, current section 31 </w:t>
      </w:r>
      <w:r w:rsidR="00504740" w:rsidRPr="00775591">
        <w:rPr>
          <w:szCs w:val="24"/>
        </w:rPr>
        <w:t>is</w:t>
      </w:r>
      <w:r w:rsidR="008744CB" w:rsidRPr="00775591">
        <w:rPr>
          <w:szCs w:val="24"/>
        </w:rPr>
        <w:t xml:space="preserve"> incompat</w:t>
      </w:r>
      <w:r w:rsidR="00A9260A" w:rsidRPr="00775591">
        <w:rPr>
          <w:szCs w:val="24"/>
        </w:rPr>
        <w:t>ible with section 20A</w:t>
      </w:r>
      <w:r w:rsidR="008744CB" w:rsidRPr="00775591">
        <w:rPr>
          <w:szCs w:val="24"/>
        </w:rPr>
        <w:t xml:space="preserve">. </w:t>
      </w:r>
    </w:p>
    <w:p w:rsidR="008A0AF2" w:rsidRPr="00775591" w:rsidRDefault="00413B8A" w:rsidP="008964D9">
      <w:pPr>
        <w:rPr>
          <w:b/>
          <w:szCs w:val="24"/>
        </w:rPr>
      </w:pPr>
      <w:r w:rsidRPr="00775591">
        <w:rPr>
          <w:b/>
          <w:szCs w:val="24"/>
        </w:rPr>
        <w:t>Item 3</w:t>
      </w:r>
      <w:r w:rsidR="007849F5" w:rsidRPr="00775591">
        <w:rPr>
          <w:b/>
          <w:szCs w:val="24"/>
        </w:rPr>
        <w:t>7: After section 113</w:t>
      </w:r>
    </w:p>
    <w:p w:rsidR="006646D4" w:rsidRPr="00775591" w:rsidRDefault="008A0AF2" w:rsidP="008964D9">
      <w:pPr>
        <w:pStyle w:val="ListParagraph"/>
        <w:numPr>
          <w:ilvl w:val="0"/>
          <w:numId w:val="29"/>
        </w:numPr>
        <w:spacing w:after="240"/>
        <w:ind w:left="0" w:firstLine="0"/>
        <w:contextualSpacing w:val="0"/>
        <w:rPr>
          <w:szCs w:val="24"/>
        </w:rPr>
      </w:pPr>
      <w:r w:rsidRPr="00775591">
        <w:rPr>
          <w:szCs w:val="24"/>
        </w:rPr>
        <w:t>This it</w:t>
      </w:r>
      <w:r w:rsidR="004522D9" w:rsidRPr="00775591">
        <w:rPr>
          <w:szCs w:val="24"/>
        </w:rPr>
        <w:t>em will insert a new section 113A</w:t>
      </w:r>
      <w:r w:rsidR="006A4CF7" w:rsidRPr="00775591">
        <w:rPr>
          <w:szCs w:val="24"/>
        </w:rPr>
        <w:t xml:space="preserve"> into the Federal Circuit Court of Australia Act</w:t>
      </w:r>
      <w:r w:rsidRPr="00775591">
        <w:rPr>
          <w:szCs w:val="24"/>
        </w:rPr>
        <w:t xml:space="preserve"> titled</w:t>
      </w:r>
      <w:r w:rsidR="00AF17D2" w:rsidRPr="00775591">
        <w:rPr>
          <w:szCs w:val="24"/>
        </w:rPr>
        <w:t>:</w:t>
      </w:r>
      <w:r w:rsidRPr="00775591">
        <w:rPr>
          <w:szCs w:val="24"/>
        </w:rPr>
        <w:t xml:space="preserve"> </w:t>
      </w:r>
      <w:r w:rsidR="00AF17D2" w:rsidRPr="00775591">
        <w:rPr>
          <w:szCs w:val="24"/>
        </w:rPr>
        <w:t>‘</w:t>
      </w:r>
      <w:r w:rsidRPr="00775591">
        <w:rPr>
          <w:szCs w:val="24"/>
        </w:rPr>
        <w:t>Making arrests under this Act or warrants</w:t>
      </w:r>
      <w:r w:rsidR="00AF17D2" w:rsidRPr="00775591">
        <w:rPr>
          <w:szCs w:val="24"/>
        </w:rPr>
        <w:t>’</w:t>
      </w:r>
      <w:r w:rsidR="00891950" w:rsidRPr="00775591">
        <w:rPr>
          <w:szCs w:val="24"/>
        </w:rPr>
        <w:t>.</w:t>
      </w:r>
    </w:p>
    <w:p w:rsidR="006646D4" w:rsidRPr="00775591" w:rsidRDefault="00F31363" w:rsidP="008964D9">
      <w:pPr>
        <w:pStyle w:val="ListParagraph"/>
        <w:numPr>
          <w:ilvl w:val="0"/>
          <w:numId w:val="29"/>
        </w:numPr>
        <w:spacing w:after="240"/>
        <w:ind w:left="0" w:firstLine="0"/>
        <w:contextualSpacing w:val="0"/>
        <w:rPr>
          <w:szCs w:val="24"/>
        </w:rPr>
      </w:pPr>
      <w:r w:rsidRPr="00775591">
        <w:rPr>
          <w:szCs w:val="24"/>
        </w:rPr>
        <w:t>New section 113A will provide an arrester, who is authorised by the Act, or a warrant issued under the Act or the Rules of Court, with the power to use</w:t>
      </w:r>
      <w:r w:rsidR="00A94B82" w:rsidRPr="00775591">
        <w:rPr>
          <w:szCs w:val="24"/>
        </w:rPr>
        <w:t xml:space="preserve"> such force as is </w:t>
      </w:r>
      <w:r w:rsidRPr="00775591">
        <w:rPr>
          <w:szCs w:val="24"/>
        </w:rPr>
        <w:t>reasonable</w:t>
      </w:r>
      <w:r w:rsidR="00A94B82" w:rsidRPr="00775591">
        <w:rPr>
          <w:szCs w:val="24"/>
        </w:rPr>
        <w:t xml:space="preserve"> and necessary in the circumstances </w:t>
      </w:r>
      <w:r w:rsidRPr="00775591">
        <w:rPr>
          <w:szCs w:val="24"/>
        </w:rPr>
        <w:t xml:space="preserve">to enter premises to execute an arrest warrant. </w:t>
      </w:r>
    </w:p>
    <w:p w:rsidR="006646D4" w:rsidRPr="00775591" w:rsidRDefault="00F31363" w:rsidP="000B3783">
      <w:pPr>
        <w:pStyle w:val="ListParagraph"/>
        <w:keepNext/>
        <w:numPr>
          <w:ilvl w:val="0"/>
          <w:numId w:val="29"/>
        </w:numPr>
        <w:spacing w:after="240"/>
        <w:ind w:left="0" w:firstLine="0"/>
        <w:contextualSpacing w:val="0"/>
        <w:rPr>
          <w:szCs w:val="24"/>
        </w:rPr>
      </w:pPr>
      <w:r w:rsidRPr="00775591">
        <w:rPr>
          <w:szCs w:val="24"/>
        </w:rPr>
        <w:t xml:space="preserve">Currently, the </w:t>
      </w:r>
      <w:r w:rsidRPr="00775591">
        <w:rPr>
          <w:i/>
          <w:szCs w:val="24"/>
        </w:rPr>
        <w:t>Federal Circuit Court Rules 2001</w:t>
      </w:r>
      <w:r w:rsidRPr="00775591">
        <w:rPr>
          <w:szCs w:val="24"/>
        </w:rPr>
        <w:t xml:space="preserve"> provides that the Federal Circuit Court may issue a</w:t>
      </w:r>
      <w:r w:rsidR="000E1C7E" w:rsidRPr="00775591">
        <w:rPr>
          <w:szCs w:val="24"/>
        </w:rPr>
        <w:t>n arrest</w:t>
      </w:r>
      <w:r w:rsidRPr="00775591">
        <w:rPr>
          <w:szCs w:val="24"/>
        </w:rPr>
        <w:t xml:space="preserve"> warrant where a respondent who is required to attend court, fails to attend court on the date fixed for attendance. However, there is uncertainty about whether reasonable force can be used to ent</w:t>
      </w:r>
      <w:r w:rsidR="004A0BED" w:rsidRPr="00775591">
        <w:rPr>
          <w:szCs w:val="24"/>
        </w:rPr>
        <w:t xml:space="preserve">er premises to execute such a </w:t>
      </w:r>
      <w:r w:rsidRPr="00775591">
        <w:rPr>
          <w:szCs w:val="24"/>
        </w:rPr>
        <w:t xml:space="preserve">warrant. This means that circumstances can arise where </w:t>
      </w:r>
      <w:r w:rsidR="004A0BED" w:rsidRPr="00775591">
        <w:rPr>
          <w:szCs w:val="24"/>
        </w:rPr>
        <w:t>a</w:t>
      </w:r>
      <w:r w:rsidRPr="00775591">
        <w:rPr>
          <w:szCs w:val="24"/>
        </w:rPr>
        <w:t xml:space="preserve"> warrant is unable to be executed because an arrestee is inside premises. This can delay the Court process</w:t>
      </w:r>
      <w:r w:rsidR="000B3783" w:rsidRPr="00775591">
        <w:rPr>
          <w:szCs w:val="24"/>
        </w:rPr>
        <w:t xml:space="preserve"> and burden the justice system. </w:t>
      </w:r>
      <w:r w:rsidR="00C52151" w:rsidRPr="00775591">
        <w:rPr>
          <w:rFonts w:eastAsia="Times New Roman"/>
          <w:szCs w:val="24"/>
          <w:lang w:eastAsia="en-AU"/>
        </w:rPr>
        <w:t>New section 113A will provide cer</w:t>
      </w:r>
      <w:r w:rsidR="008A0AF2" w:rsidRPr="00775591">
        <w:rPr>
          <w:rFonts w:eastAsia="Times New Roman"/>
          <w:szCs w:val="24"/>
          <w:lang w:eastAsia="en-AU"/>
        </w:rPr>
        <w:t>tainty about whether a power</w:t>
      </w:r>
      <w:r w:rsidR="00191633" w:rsidRPr="00775591">
        <w:rPr>
          <w:rFonts w:eastAsia="Times New Roman"/>
          <w:szCs w:val="24"/>
          <w:lang w:eastAsia="en-AU"/>
        </w:rPr>
        <w:t xml:space="preserve"> of entry into premises exists, </w:t>
      </w:r>
      <w:r w:rsidR="008A0AF2" w:rsidRPr="00775591">
        <w:rPr>
          <w:rFonts w:eastAsia="Times New Roman"/>
          <w:szCs w:val="24"/>
          <w:lang w:eastAsia="en-AU"/>
        </w:rPr>
        <w:t xml:space="preserve">for the purposes </w:t>
      </w:r>
      <w:r w:rsidR="00191633" w:rsidRPr="00775591">
        <w:rPr>
          <w:rFonts w:eastAsia="Times New Roman"/>
          <w:szCs w:val="24"/>
          <w:lang w:eastAsia="en-AU"/>
        </w:rPr>
        <w:t>of executing a warrant.</w:t>
      </w:r>
    </w:p>
    <w:p w:rsidR="006646D4" w:rsidRPr="00775591" w:rsidRDefault="00415C06" w:rsidP="007A6B2A">
      <w:pPr>
        <w:pStyle w:val="ListParagraph"/>
        <w:keepNext/>
        <w:numPr>
          <w:ilvl w:val="0"/>
          <w:numId w:val="29"/>
        </w:numPr>
        <w:spacing w:after="240"/>
        <w:ind w:left="0" w:firstLine="0"/>
        <w:contextualSpacing w:val="0"/>
        <w:rPr>
          <w:szCs w:val="24"/>
        </w:rPr>
      </w:pPr>
      <w:r w:rsidRPr="00775591">
        <w:rPr>
          <w:rFonts w:eastAsia="Times New Roman"/>
          <w:szCs w:val="24"/>
          <w:lang w:eastAsia="en-AU"/>
        </w:rPr>
        <w:t xml:space="preserve">New subsection 113A(1) makes clear that new section 113A applies to a limited class of persons, known as the arresters, who are </w:t>
      </w:r>
      <w:r w:rsidRPr="00775591">
        <w:rPr>
          <w:szCs w:val="24"/>
        </w:rPr>
        <w:t xml:space="preserve">authorised by the Act, or a warrant issued under the Act or the Rules of Court, to arrest another person, known as the arrestee. The class of persons is restricted to the Sheriff and a Deputy Sheriff of the Federal Circuit Court, the Sheriff and a Deputy Sheriff of a court of a State or Territory, and a police </w:t>
      </w:r>
      <w:r w:rsidR="00016A2C" w:rsidRPr="00775591">
        <w:rPr>
          <w:szCs w:val="24"/>
        </w:rPr>
        <w:t xml:space="preserve">officer as defined </w:t>
      </w:r>
      <w:r w:rsidR="00AB08BB" w:rsidRPr="00775591">
        <w:rPr>
          <w:szCs w:val="24"/>
        </w:rPr>
        <w:t>in item</w:t>
      </w:r>
      <w:r w:rsidR="00523E07" w:rsidRPr="00775591">
        <w:rPr>
          <w:szCs w:val="24"/>
        </w:rPr>
        <w:t xml:space="preserve"> </w:t>
      </w:r>
      <w:r w:rsidR="00413B8A" w:rsidRPr="00775591">
        <w:rPr>
          <w:szCs w:val="24"/>
        </w:rPr>
        <w:t>35</w:t>
      </w:r>
      <w:r w:rsidR="00F85A1A" w:rsidRPr="00775591">
        <w:rPr>
          <w:szCs w:val="24"/>
        </w:rPr>
        <w:t xml:space="preserve"> </w:t>
      </w:r>
      <w:r w:rsidR="00AB08BB" w:rsidRPr="00775591">
        <w:rPr>
          <w:szCs w:val="24"/>
        </w:rPr>
        <w:t>above</w:t>
      </w:r>
      <w:r w:rsidR="00BB4FFF" w:rsidRPr="00775591">
        <w:rPr>
          <w:szCs w:val="24"/>
        </w:rPr>
        <w:t xml:space="preserve">. </w:t>
      </w:r>
    </w:p>
    <w:p w:rsidR="006646D4" w:rsidRPr="00775591" w:rsidRDefault="008A0AF2" w:rsidP="007A6B2A">
      <w:pPr>
        <w:pStyle w:val="ListParagraph"/>
        <w:keepNext/>
        <w:numPr>
          <w:ilvl w:val="0"/>
          <w:numId w:val="29"/>
        </w:numPr>
        <w:spacing w:after="240"/>
        <w:ind w:left="0" w:firstLine="0"/>
        <w:contextualSpacing w:val="0"/>
        <w:rPr>
          <w:szCs w:val="24"/>
        </w:rPr>
      </w:pPr>
      <w:r w:rsidRPr="00775591">
        <w:rPr>
          <w:rFonts w:eastAsia="Times New Roman"/>
          <w:szCs w:val="24"/>
          <w:lang w:eastAsia="en-AU"/>
        </w:rPr>
        <w:t>New</w:t>
      </w:r>
      <w:r w:rsidR="007A6B2A" w:rsidRPr="00775591">
        <w:rPr>
          <w:szCs w:val="24"/>
        </w:rPr>
        <w:t xml:space="preserve"> s</w:t>
      </w:r>
      <w:r w:rsidR="0058244C" w:rsidRPr="00775591">
        <w:rPr>
          <w:szCs w:val="24"/>
        </w:rPr>
        <w:t>ubs</w:t>
      </w:r>
      <w:r w:rsidR="007A6B2A" w:rsidRPr="00775591">
        <w:rPr>
          <w:szCs w:val="24"/>
        </w:rPr>
        <w:t>ection 113A</w:t>
      </w:r>
      <w:r w:rsidR="0058244C" w:rsidRPr="00775591">
        <w:rPr>
          <w:szCs w:val="24"/>
        </w:rPr>
        <w:t>(2)</w:t>
      </w:r>
      <w:r w:rsidR="007A6B2A" w:rsidRPr="00775591">
        <w:rPr>
          <w:szCs w:val="24"/>
        </w:rPr>
        <w:t xml:space="preserve"> </w:t>
      </w:r>
      <w:r w:rsidRPr="00775591">
        <w:rPr>
          <w:rFonts w:eastAsia="Times New Roman"/>
          <w:szCs w:val="24"/>
          <w:lang w:eastAsia="en-AU"/>
        </w:rPr>
        <w:t xml:space="preserve">will provide that 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 For example, </w:t>
      </w:r>
      <w:r w:rsidR="007A6B2A" w:rsidRPr="00775591">
        <w:rPr>
          <w:rFonts w:eastAsia="Times New Roman"/>
          <w:szCs w:val="24"/>
          <w:lang w:eastAsia="en-AU"/>
        </w:rPr>
        <w:t>this</w:t>
      </w:r>
      <w:r w:rsidRPr="00775591">
        <w:rPr>
          <w:rFonts w:eastAsia="Times New Roman"/>
          <w:szCs w:val="24"/>
          <w:lang w:eastAsia="en-AU"/>
        </w:rPr>
        <w:t xml:space="preserve"> would allow an arrester to force open a door in order to enter premises </w:t>
      </w:r>
      <w:r w:rsidR="00CC6B94" w:rsidRPr="00775591">
        <w:rPr>
          <w:rFonts w:eastAsia="Times New Roman"/>
          <w:szCs w:val="24"/>
          <w:lang w:eastAsia="en-AU"/>
        </w:rPr>
        <w:t xml:space="preserve">to execute a properly issued arrest warrant under the Federal Circuit Court of Australia Act or the </w:t>
      </w:r>
      <w:r w:rsidR="00542252" w:rsidRPr="00775591">
        <w:rPr>
          <w:rFonts w:eastAsia="Times New Roman"/>
          <w:szCs w:val="24"/>
          <w:lang w:eastAsia="en-AU"/>
        </w:rPr>
        <w:t>Rules of Court</w:t>
      </w:r>
      <w:r w:rsidR="00CC6B94" w:rsidRPr="00775591">
        <w:rPr>
          <w:rFonts w:eastAsia="Times New Roman"/>
          <w:szCs w:val="24"/>
          <w:lang w:eastAsia="en-AU"/>
        </w:rPr>
        <w:t xml:space="preserve">. </w:t>
      </w:r>
    </w:p>
    <w:p w:rsidR="008C09C9" w:rsidRPr="00775591" w:rsidRDefault="008A0AF2" w:rsidP="00B21CA9">
      <w:pPr>
        <w:pStyle w:val="ListParagraph"/>
        <w:keepNext/>
        <w:numPr>
          <w:ilvl w:val="0"/>
          <w:numId w:val="29"/>
        </w:numPr>
        <w:spacing w:after="240"/>
        <w:ind w:left="0" w:firstLine="0"/>
        <w:contextualSpacing w:val="0"/>
        <w:rPr>
          <w:szCs w:val="24"/>
        </w:rPr>
      </w:pPr>
      <w:r w:rsidRPr="00775591">
        <w:rPr>
          <w:rFonts w:eastAsia="Times New Roman"/>
          <w:szCs w:val="24"/>
          <w:lang w:eastAsia="en-AU"/>
        </w:rPr>
        <w:t xml:space="preserve">New </w:t>
      </w:r>
      <w:r w:rsidR="007A6B2A" w:rsidRPr="00775591">
        <w:rPr>
          <w:szCs w:val="24"/>
        </w:rPr>
        <w:t>s</w:t>
      </w:r>
      <w:r w:rsidR="003316D9" w:rsidRPr="00775591">
        <w:rPr>
          <w:szCs w:val="24"/>
        </w:rPr>
        <w:t>ubs</w:t>
      </w:r>
      <w:r w:rsidR="007A6B2A" w:rsidRPr="00775591">
        <w:rPr>
          <w:szCs w:val="24"/>
        </w:rPr>
        <w:t>ection 113A</w:t>
      </w:r>
      <w:r w:rsidR="003316D9" w:rsidRPr="00775591">
        <w:rPr>
          <w:szCs w:val="24"/>
        </w:rPr>
        <w:t>(3)</w:t>
      </w:r>
      <w:r w:rsidR="007A6B2A" w:rsidRPr="00775591">
        <w:rPr>
          <w:szCs w:val="24"/>
        </w:rPr>
        <w:t xml:space="preserve"> </w:t>
      </w:r>
      <w:r w:rsidRPr="00775591">
        <w:rPr>
          <w:rFonts w:eastAsia="Times New Roman"/>
          <w:szCs w:val="24"/>
          <w:lang w:eastAsia="en-AU"/>
        </w:rPr>
        <w:t xml:space="preserve">will provide that the arrester must not enter a dwelling house between 9 pm one day and 6 am the next day unless the arrester reasonable believes that it would not be practicable to arrest the arrestee there or elsewhere at another time. </w:t>
      </w:r>
      <w:r w:rsidR="008C09C9" w:rsidRPr="00775591">
        <w:rPr>
          <w:rFonts w:eastAsia="Times New Roman"/>
          <w:szCs w:val="24"/>
          <w:lang w:eastAsia="en-AU"/>
        </w:rPr>
        <w:t xml:space="preserve">This </w:t>
      </w:r>
      <w:r w:rsidR="00B21CA9" w:rsidRPr="00775591">
        <w:rPr>
          <w:rFonts w:eastAsia="Times New Roman"/>
          <w:szCs w:val="24"/>
          <w:lang w:eastAsia="en-AU"/>
        </w:rPr>
        <w:t xml:space="preserve">provision </w:t>
      </w:r>
      <w:r w:rsidR="008C09C9" w:rsidRPr="00775591">
        <w:rPr>
          <w:rFonts w:eastAsia="Times New Roman"/>
          <w:szCs w:val="24"/>
          <w:lang w:eastAsia="en-AU"/>
        </w:rPr>
        <w:t xml:space="preserve">prevents </w:t>
      </w:r>
      <w:r w:rsidR="00B21CA9" w:rsidRPr="00775591">
        <w:rPr>
          <w:rFonts w:eastAsia="Times New Roman"/>
          <w:szCs w:val="24"/>
          <w:lang w:eastAsia="en-AU"/>
        </w:rPr>
        <w:t xml:space="preserve">the </w:t>
      </w:r>
      <w:r w:rsidR="008C09C9" w:rsidRPr="00775591">
        <w:rPr>
          <w:rFonts w:eastAsia="Times New Roman"/>
          <w:szCs w:val="24"/>
          <w:lang w:eastAsia="en-AU"/>
        </w:rPr>
        <w:t>unnecessary or unreasonable interfere</w:t>
      </w:r>
      <w:r w:rsidR="00523C50" w:rsidRPr="00775591">
        <w:rPr>
          <w:rFonts w:eastAsia="Times New Roman"/>
          <w:szCs w:val="24"/>
          <w:lang w:eastAsia="en-AU"/>
        </w:rPr>
        <w:t>nce with privacy, noting that the purpose of the provision is to bring persons before court</w:t>
      </w:r>
      <w:r w:rsidR="00B21CA9" w:rsidRPr="00775591">
        <w:rPr>
          <w:rFonts w:eastAsia="Times New Roman"/>
          <w:szCs w:val="24"/>
          <w:lang w:eastAsia="en-AU"/>
        </w:rPr>
        <w:t>, while balancing</w:t>
      </w:r>
      <w:r w:rsidR="00BF791C" w:rsidRPr="00775591">
        <w:rPr>
          <w:rFonts w:eastAsia="Times New Roman"/>
          <w:szCs w:val="24"/>
          <w:lang w:eastAsia="en-AU"/>
        </w:rPr>
        <w:t xml:space="preserve"> the</w:t>
      </w:r>
      <w:r w:rsidR="00B21CA9" w:rsidRPr="00775591">
        <w:rPr>
          <w:rFonts w:eastAsia="Times New Roman"/>
          <w:szCs w:val="24"/>
          <w:lang w:eastAsia="en-AU"/>
        </w:rPr>
        <w:t xml:space="preserve"> need for arresters to be able to take </w:t>
      </w:r>
      <w:r w:rsidR="00FE0C20" w:rsidRPr="00775591">
        <w:rPr>
          <w:rFonts w:eastAsia="Times New Roman"/>
          <w:szCs w:val="24"/>
          <w:lang w:eastAsia="en-AU"/>
        </w:rPr>
        <w:t xml:space="preserve">reasonable </w:t>
      </w:r>
      <w:r w:rsidR="00B21CA9" w:rsidRPr="00775591">
        <w:rPr>
          <w:rFonts w:eastAsia="Times New Roman"/>
          <w:szCs w:val="24"/>
          <w:lang w:eastAsia="en-AU"/>
        </w:rPr>
        <w:t xml:space="preserve">steps to arrest a person who </w:t>
      </w:r>
      <w:r w:rsidR="00BF791C" w:rsidRPr="00775591">
        <w:rPr>
          <w:rFonts w:eastAsia="Times New Roman"/>
          <w:szCs w:val="24"/>
          <w:lang w:eastAsia="en-AU"/>
        </w:rPr>
        <w:t>they</w:t>
      </w:r>
      <w:r w:rsidR="00431E8C" w:rsidRPr="00775591">
        <w:rPr>
          <w:rFonts w:eastAsia="Times New Roman"/>
          <w:szCs w:val="24"/>
          <w:lang w:eastAsia="en-AU"/>
        </w:rPr>
        <w:t xml:space="preserve"> are authorised to arrest. </w:t>
      </w:r>
    </w:p>
    <w:p w:rsidR="006646D4" w:rsidRPr="00775591" w:rsidRDefault="008A0AF2" w:rsidP="00177E31">
      <w:pPr>
        <w:pStyle w:val="ListParagraph"/>
        <w:keepNext/>
        <w:numPr>
          <w:ilvl w:val="0"/>
          <w:numId w:val="29"/>
        </w:numPr>
        <w:spacing w:after="240"/>
        <w:ind w:left="0" w:firstLine="0"/>
        <w:contextualSpacing w:val="0"/>
        <w:rPr>
          <w:szCs w:val="24"/>
        </w:rPr>
      </w:pPr>
      <w:r w:rsidRPr="00775591">
        <w:rPr>
          <w:rFonts w:eastAsia="Times New Roman"/>
          <w:szCs w:val="24"/>
          <w:lang w:eastAsia="en-AU"/>
        </w:rPr>
        <w:t xml:space="preserve">Consistent </w:t>
      </w:r>
      <w:r w:rsidR="008137B8" w:rsidRPr="00775591">
        <w:rPr>
          <w:rFonts w:eastAsia="Times New Roman"/>
          <w:szCs w:val="24"/>
          <w:lang w:eastAsia="en-AU"/>
        </w:rPr>
        <w:t>with the amendments to section 5</w:t>
      </w:r>
      <w:r w:rsidRPr="00775591">
        <w:rPr>
          <w:rFonts w:eastAsia="Times New Roman"/>
          <w:szCs w:val="24"/>
          <w:lang w:eastAsia="en-AU"/>
        </w:rPr>
        <w:t xml:space="preserve"> of the Federal</w:t>
      </w:r>
      <w:r w:rsidR="008137B8" w:rsidRPr="00775591">
        <w:rPr>
          <w:rFonts w:eastAsia="Times New Roman"/>
          <w:szCs w:val="24"/>
          <w:lang w:eastAsia="en-AU"/>
        </w:rPr>
        <w:t xml:space="preserve"> Circuit</w:t>
      </w:r>
      <w:r w:rsidRPr="00775591">
        <w:rPr>
          <w:rFonts w:eastAsia="Times New Roman"/>
          <w:szCs w:val="24"/>
          <w:lang w:eastAsia="en-AU"/>
        </w:rPr>
        <w:t xml:space="preserve"> Court</w:t>
      </w:r>
      <w:r w:rsidR="008137B8" w:rsidRPr="00775591">
        <w:rPr>
          <w:rFonts w:eastAsia="Times New Roman"/>
          <w:szCs w:val="24"/>
          <w:lang w:eastAsia="en-AU"/>
        </w:rPr>
        <w:t xml:space="preserve"> of Australia</w:t>
      </w:r>
      <w:r w:rsidRPr="00775591">
        <w:rPr>
          <w:rFonts w:eastAsia="Times New Roman"/>
          <w:szCs w:val="24"/>
          <w:lang w:eastAsia="en-AU"/>
        </w:rPr>
        <w:t xml:space="preserve"> Act in</w:t>
      </w:r>
      <w:r w:rsidR="008137B8" w:rsidRPr="00775591">
        <w:rPr>
          <w:rFonts w:eastAsia="Times New Roman"/>
          <w:szCs w:val="24"/>
          <w:lang w:eastAsia="en-AU"/>
        </w:rPr>
        <w:t>serted by</w:t>
      </w:r>
      <w:r w:rsidRPr="00775591">
        <w:rPr>
          <w:rFonts w:eastAsia="Times New Roman"/>
          <w:szCs w:val="24"/>
          <w:lang w:eastAsia="en-AU"/>
        </w:rPr>
        <w:t xml:space="preserve"> </w:t>
      </w:r>
      <w:r w:rsidR="004402B8" w:rsidRPr="00775591">
        <w:rPr>
          <w:rFonts w:eastAsia="Times New Roman"/>
          <w:szCs w:val="24"/>
          <w:lang w:eastAsia="en-AU"/>
        </w:rPr>
        <w:t xml:space="preserve">item </w:t>
      </w:r>
      <w:r w:rsidR="003C3D69" w:rsidRPr="00775591">
        <w:rPr>
          <w:rFonts w:eastAsia="Times New Roman"/>
          <w:szCs w:val="24"/>
          <w:lang w:eastAsia="en-AU"/>
        </w:rPr>
        <w:t>35</w:t>
      </w:r>
      <w:r w:rsidR="004402B8" w:rsidRPr="00775591">
        <w:rPr>
          <w:rFonts w:eastAsia="Times New Roman"/>
          <w:szCs w:val="24"/>
          <w:lang w:eastAsia="en-AU"/>
        </w:rPr>
        <w:t xml:space="preserve"> </w:t>
      </w:r>
      <w:r w:rsidRPr="00775591">
        <w:rPr>
          <w:rFonts w:eastAsia="Times New Roman"/>
          <w:szCs w:val="24"/>
          <w:lang w:eastAsia="en-AU"/>
        </w:rPr>
        <w:t xml:space="preserve">of this Schedule, </w:t>
      </w:r>
      <w:r w:rsidRPr="00775591">
        <w:rPr>
          <w:rFonts w:eastAsia="Times New Roman"/>
          <w:i/>
          <w:iCs/>
          <w:szCs w:val="24"/>
          <w:lang w:eastAsia="en-AU"/>
        </w:rPr>
        <w:t>dwelling house</w:t>
      </w:r>
      <w:r w:rsidRPr="00775591">
        <w:rPr>
          <w:rFonts w:eastAsia="Times New Roman"/>
          <w:szCs w:val="24"/>
          <w:lang w:eastAsia="en-AU"/>
        </w:rPr>
        <w:t xml:space="preserve"> will be defined to include a conveyance or a room in accommodation in which people ordinarily retire for the night. </w:t>
      </w:r>
      <w:r w:rsidRPr="00775591">
        <w:rPr>
          <w:rFonts w:eastAsia="Times New Roman"/>
          <w:i/>
          <w:iCs/>
          <w:szCs w:val="24"/>
          <w:lang w:eastAsia="en-AU"/>
        </w:rPr>
        <w:t>Conveyance</w:t>
      </w:r>
      <w:r w:rsidRPr="00775591">
        <w:rPr>
          <w:rFonts w:eastAsia="Times New Roman"/>
          <w:szCs w:val="24"/>
          <w:lang w:eastAsia="en-AU"/>
        </w:rPr>
        <w:t xml:space="preserve"> will</w:t>
      </w:r>
      <w:r w:rsidR="00C82DBA" w:rsidRPr="00775591">
        <w:rPr>
          <w:rFonts w:eastAsia="Times New Roman"/>
          <w:szCs w:val="24"/>
          <w:lang w:eastAsia="en-AU"/>
        </w:rPr>
        <w:t xml:space="preserve"> be defined in section 5</w:t>
      </w:r>
      <w:r w:rsidRPr="00775591">
        <w:rPr>
          <w:rFonts w:eastAsia="Times New Roman"/>
          <w:szCs w:val="24"/>
          <w:lang w:eastAsia="en-AU"/>
        </w:rPr>
        <w:t xml:space="preserve"> of the Act, as amended by item </w:t>
      </w:r>
      <w:r w:rsidR="003C3D69" w:rsidRPr="00775591">
        <w:rPr>
          <w:rFonts w:eastAsia="Times New Roman"/>
          <w:szCs w:val="24"/>
          <w:lang w:eastAsia="en-AU"/>
        </w:rPr>
        <w:t>35</w:t>
      </w:r>
      <w:r w:rsidRPr="00775591">
        <w:rPr>
          <w:rFonts w:eastAsia="Times New Roman"/>
          <w:szCs w:val="24"/>
          <w:lang w:eastAsia="en-AU"/>
        </w:rPr>
        <w:t xml:space="preserve"> of this Schedule, to include a vehicle, vessel and aircraft. </w:t>
      </w:r>
    </w:p>
    <w:p w:rsidR="006646D4" w:rsidRPr="00775591" w:rsidRDefault="008A0AF2" w:rsidP="00177E31">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subse</w:t>
      </w:r>
      <w:r w:rsidR="00D16127" w:rsidRPr="00775591">
        <w:rPr>
          <w:szCs w:val="24"/>
        </w:rPr>
        <w:t xml:space="preserve">ction 113A(4) </w:t>
      </w:r>
      <w:r w:rsidRPr="00775591">
        <w:rPr>
          <w:rFonts w:eastAsia="Times New Roman"/>
          <w:szCs w:val="24"/>
          <w:lang w:eastAsia="en-AU"/>
        </w:rPr>
        <w:t xml:space="preserve">will provide that in the course of arresting the arrestee, the arrester must not use more force, or subject the arrestee to greater indignity, than is necessary and reasonable to make the arrest or to prevent the arrestee’s escape after the arrest. It will also provide that the arrester must not do anything that is likely to cause the death of, or grievous bodily harm to, the arrestee unless the arrester reasonably believes that doing that thing is necessary to protect the life or prevent serious injury to another person (including the arrester). </w:t>
      </w:r>
    </w:p>
    <w:p w:rsidR="006646D4" w:rsidRPr="00775591" w:rsidRDefault="000B3783" w:rsidP="00177E31">
      <w:pPr>
        <w:pStyle w:val="ListParagraph"/>
        <w:keepNext/>
        <w:numPr>
          <w:ilvl w:val="0"/>
          <w:numId w:val="29"/>
        </w:numPr>
        <w:spacing w:after="240"/>
        <w:ind w:left="0" w:firstLine="0"/>
        <w:contextualSpacing w:val="0"/>
        <w:rPr>
          <w:szCs w:val="24"/>
        </w:rPr>
      </w:pPr>
      <w:r w:rsidRPr="00775591">
        <w:rPr>
          <w:rFonts w:eastAsia="Times New Roman"/>
          <w:szCs w:val="24"/>
          <w:lang w:eastAsia="en-AU"/>
        </w:rPr>
        <w:t xml:space="preserve">New subsection 113A(4) </w:t>
      </w:r>
      <w:r w:rsidR="008A0AF2" w:rsidRPr="00775591">
        <w:rPr>
          <w:rFonts w:eastAsia="Times New Roman"/>
          <w:szCs w:val="24"/>
          <w:lang w:eastAsia="en-AU"/>
        </w:rPr>
        <w:t xml:space="preserve">will also provide that if the arrestee is attempting to escape arrest by fleeing, the arrester must not do anything that is likely to cause the death of, or grievous bodily harm to, the arrestee unless the arrester reasonably believes that doing that thing is necessary to protect life or prevent serious injury to another person (including the arrester), and the arrestee has, if practicable, been called on to surrender and the arrester reasonably believes that the arrestee cannot be arrested in any other way. </w:t>
      </w:r>
    </w:p>
    <w:p w:rsidR="006646D4" w:rsidRPr="00775591" w:rsidRDefault="00E00518" w:rsidP="0080757F">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w:t>
      </w:r>
      <w:r w:rsidR="008A0AF2" w:rsidRPr="00775591">
        <w:rPr>
          <w:rFonts w:eastAsia="Times New Roman"/>
          <w:szCs w:val="24"/>
          <w:lang w:eastAsia="en-AU"/>
        </w:rPr>
        <w:t>ubsection</w:t>
      </w:r>
      <w:r w:rsidR="00726E60" w:rsidRPr="00775591">
        <w:rPr>
          <w:rFonts w:eastAsia="Times New Roman"/>
          <w:szCs w:val="24"/>
          <w:lang w:eastAsia="en-AU"/>
        </w:rPr>
        <w:t xml:space="preserve"> 113A(4) </w:t>
      </w:r>
      <w:r w:rsidR="008A0AF2" w:rsidRPr="00775591">
        <w:rPr>
          <w:rFonts w:eastAsia="Times New Roman"/>
          <w:szCs w:val="24"/>
          <w:lang w:eastAsia="en-AU"/>
        </w:rPr>
        <w:t xml:space="preserve"> recognises Commonwealth criminal law policy, as set out in ‘</w:t>
      </w:r>
      <w:r w:rsidR="008A0AF2" w:rsidRPr="00775591">
        <w:rPr>
          <w:rFonts w:eastAsia="Times New Roman"/>
          <w:color w:val="000000"/>
          <w:szCs w:val="24"/>
          <w:lang w:eastAsia="en-AU"/>
        </w:rPr>
        <w:t>A</w:t>
      </w:r>
      <w:r w:rsidR="008A0AF2" w:rsidRPr="00775591">
        <w:rPr>
          <w:rFonts w:eastAsia="Times New Roman"/>
          <w:szCs w:val="24"/>
          <w:lang w:eastAsia="en-AU"/>
        </w:rPr>
        <w:t xml:space="preserve"> Guide to Framing Commonwealth Offences, Infringement Notices and Enforcement Powers’ (the Guide), that legislation should only allow an authorised officer to use such force against persons as is necessary and reasonable to execute a warrant. The limitations imposed on the u</w:t>
      </w:r>
      <w:r w:rsidR="00726E60" w:rsidRPr="00775591">
        <w:rPr>
          <w:rFonts w:eastAsia="Times New Roman"/>
          <w:szCs w:val="24"/>
          <w:lang w:eastAsia="en-AU"/>
        </w:rPr>
        <w:t>se of force by this subsection</w:t>
      </w:r>
      <w:r w:rsidR="008A0AF2" w:rsidRPr="00775591">
        <w:rPr>
          <w:rFonts w:eastAsia="Times New Roman"/>
          <w:szCs w:val="24"/>
          <w:lang w:eastAsia="en-AU"/>
        </w:rPr>
        <w:t xml:space="preserve"> represent situations of unreasonable force, or force that is disproportionate and could result in death or grievous bodily harm. </w:t>
      </w:r>
    </w:p>
    <w:p w:rsidR="006646D4" w:rsidRPr="00775591" w:rsidRDefault="00E00518" w:rsidP="006646D4">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w:t>
      </w:r>
      <w:r w:rsidR="007A4263" w:rsidRPr="00775591">
        <w:rPr>
          <w:rFonts w:eastAsia="Times New Roman"/>
          <w:szCs w:val="24"/>
          <w:lang w:eastAsia="en-AU"/>
        </w:rPr>
        <w:t xml:space="preserve">ubsection 113A(4) </w:t>
      </w:r>
      <w:r w:rsidR="00101BD5">
        <w:rPr>
          <w:rFonts w:eastAsia="Times New Roman"/>
          <w:szCs w:val="24"/>
          <w:lang w:eastAsia="en-AU"/>
        </w:rPr>
        <w:t>ensures</w:t>
      </w:r>
      <w:r w:rsidR="007A4263" w:rsidRPr="00775591">
        <w:rPr>
          <w:rFonts w:eastAsia="Times New Roman"/>
          <w:szCs w:val="24"/>
          <w:lang w:eastAsia="en-AU"/>
        </w:rPr>
        <w:t xml:space="preserve"> that the use of force should only be used by an arrester when arresting </w:t>
      </w:r>
      <w:r w:rsidR="0080757F" w:rsidRPr="00775591">
        <w:rPr>
          <w:rFonts w:eastAsia="Times New Roman"/>
          <w:szCs w:val="24"/>
          <w:lang w:eastAsia="en-AU"/>
        </w:rPr>
        <w:t xml:space="preserve">an arrestee who does not wish to voluntarily accompany the arrester to the Court, in compliance with a properly issued arrest warrant under the Federal Circuit Court of Australia Act or the </w:t>
      </w:r>
      <w:r w:rsidR="00A37CA4" w:rsidRPr="00775591">
        <w:rPr>
          <w:rFonts w:eastAsia="Times New Roman"/>
          <w:szCs w:val="24"/>
          <w:lang w:eastAsia="en-AU"/>
        </w:rPr>
        <w:t>Rules of Court</w:t>
      </w:r>
      <w:r w:rsidR="0080757F" w:rsidRPr="00775591">
        <w:rPr>
          <w:rFonts w:eastAsia="Times New Roman"/>
          <w:szCs w:val="24"/>
          <w:lang w:eastAsia="en-AU"/>
        </w:rPr>
        <w:t xml:space="preserve">. </w:t>
      </w:r>
      <w:r w:rsidR="0080757F" w:rsidRPr="00775591">
        <w:rPr>
          <w:szCs w:val="24"/>
        </w:rPr>
        <w:t xml:space="preserve">New </w:t>
      </w:r>
      <w:r w:rsidRPr="00775591">
        <w:rPr>
          <w:szCs w:val="24"/>
        </w:rPr>
        <w:t>sub</w:t>
      </w:r>
      <w:r w:rsidR="0080757F" w:rsidRPr="00775591">
        <w:rPr>
          <w:szCs w:val="24"/>
        </w:rPr>
        <w:t>section 113A</w:t>
      </w:r>
      <w:r w:rsidRPr="00775591">
        <w:rPr>
          <w:szCs w:val="24"/>
        </w:rPr>
        <w:t>(4</w:t>
      </w:r>
      <w:r w:rsidR="0080757F" w:rsidRPr="00775591">
        <w:rPr>
          <w:szCs w:val="24"/>
        </w:rPr>
        <w:t xml:space="preserve">) </w:t>
      </w:r>
      <w:r w:rsidR="0080757F" w:rsidRPr="00775591">
        <w:rPr>
          <w:rFonts w:eastAsia="Times New Roman"/>
          <w:szCs w:val="24"/>
          <w:lang w:eastAsia="en-AU"/>
        </w:rPr>
        <w:t>will not authorise the use of force that was unreasonable or excessive in the circumstances, such as force which results in serious physical injury in circumstances where the arrestee was complying with instructions from the arrester and voluntarily accompanying the arrester.</w:t>
      </w:r>
    </w:p>
    <w:p w:rsidR="006646D4" w:rsidRPr="00775591" w:rsidRDefault="00D16127" w:rsidP="006646D4">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subsection 113A</w:t>
      </w:r>
      <w:r w:rsidR="008A0AF2" w:rsidRPr="00775591">
        <w:rPr>
          <w:rFonts w:eastAsia="Times New Roman"/>
          <w:szCs w:val="24"/>
          <w:lang w:eastAsia="en-AU"/>
        </w:rPr>
        <w:t>(5) will provide that when arresting the arrestee, the a</w:t>
      </w:r>
      <w:r w:rsidR="006646D4" w:rsidRPr="00775591">
        <w:rPr>
          <w:rFonts w:eastAsia="Times New Roman"/>
          <w:szCs w:val="24"/>
          <w:lang w:eastAsia="en-AU"/>
        </w:rPr>
        <w:t xml:space="preserve">rrester must </w:t>
      </w:r>
      <w:r w:rsidR="008A0AF2" w:rsidRPr="00775591">
        <w:rPr>
          <w:rFonts w:eastAsia="Times New Roman"/>
          <w:szCs w:val="24"/>
          <w:lang w:eastAsia="en-AU"/>
        </w:rPr>
        <w:t xml:space="preserve">inform the arrestee of the grounds for the arrest. This ensures that the arrestee is made aware of the existence of a properly executed warrant and is informed of the grounds on which he or she is being arrested. </w:t>
      </w:r>
    </w:p>
    <w:p w:rsidR="006646D4" w:rsidRPr="00775591" w:rsidRDefault="00D16127" w:rsidP="006646D4">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subsection 113</w:t>
      </w:r>
      <w:r w:rsidR="006611DB" w:rsidRPr="00775591">
        <w:rPr>
          <w:rFonts w:eastAsia="Times New Roman"/>
          <w:szCs w:val="24"/>
          <w:lang w:eastAsia="en-AU"/>
        </w:rPr>
        <w:t>A</w:t>
      </w:r>
      <w:r w:rsidR="008A0AF2" w:rsidRPr="00775591">
        <w:rPr>
          <w:rFonts w:eastAsia="Times New Roman"/>
          <w:szCs w:val="24"/>
          <w:lang w:eastAsia="en-AU"/>
        </w:rPr>
        <w:t xml:space="preserve">(6) will provide that it is sufficient if the arrestee is informed of the substance of the grounds for the arrest, not necessarily in precise or technical language. This reflects that it is the substance of the grounds of the arrest that are important, rather than the precise words that are used to describe the grounds. This ensures that arresters have flexibility in how they describe the </w:t>
      </w:r>
      <w:r w:rsidR="005C419E" w:rsidRPr="00775591">
        <w:rPr>
          <w:rFonts w:eastAsia="Times New Roman"/>
          <w:szCs w:val="24"/>
          <w:lang w:eastAsia="en-AU"/>
        </w:rPr>
        <w:t xml:space="preserve">grounds of arrest and are not required to </w:t>
      </w:r>
      <w:r w:rsidR="008A0AF2" w:rsidRPr="00775591">
        <w:rPr>
          <w:rFonts w:eastAsia="Times New Roman"/>
          <w:szCs w:val="24"/>
          <w:lang w:eastAsia="en-AU"/>
        </w:rPr>
        <w:t>us</w:t>
      </w:r>
      <w:r w:rsidR="005C419E" w:rsidRPr="00775591">
        <w:rPr>
          <w:rFonts w:eastAsia="Times New Roman"/>
          <w:szCs w:val="24"/>
          <w:lang w:eastAsia="en-AU"/>
        </w:rPr>
        <w:t xml:space="preserve">e </w:t>
      </w:r>
      <w:r w:rsidR="008A0AF2" w:rsidRPr="00775591">
        <w:rPr>
          <w:rFonts w:eastAsia="Times New Roman"/>
          <w:szCs w:val="24"/>
          <w:lang w:eastAsia="en-AU"/>
        </w:rPr>
        <w:t xml:space="preserve">particular formulations of words. </w:t>
      </w:r>
    </w:p>
    <w:p w:rsidR="006646D4" w:rsidRPr="00775591" w:rsidRDefault="006611DB" w:rsidP="006646D4">
      <w:pPr>
        <w:pStyle w:val="ListParagraph"/>
        <w:keepNext/>
        <w:numPr>
          <w:ilvl w:val="0"/>
          <w:numId w:val="29"/>
        </w:numPr>
        <w:spacing w:after="240"/>
        <w:ind w:left="0" w:firstLine="0"/>
        <w:contextualSpacing w:val="0"/>
        <w:rPr>
          <w:szCs w:val="24"/>
        </w:rPr>
      </w:pPr>
      <w:r w:rsidRPr="00775591">
        <w:rPr>
          <w:rFonts w:eastAsia="Times New Roman"/>
          <w:szCs w:val="24"/>
          <w:lang w:eastAsia="en-AU"/>
        </w:rPr>
        <w:t>New subsection 113A</w:t>
      </w:r>
      <w:r w:rsidR="008A0AF2" w:rsidRPr="00775591">
        <w:rPr>
          <w:rFonts w:eastAsia="Times New Roman"/>
          <w:szCs w:val="24"/>
          <w:lang w:eastAsia="en-AU"/>
        </w:rPr>
        <w:t xml:space="preserve">(7) will provide that new subsection </w:t>
      </w:r>
      <w:r w:rsidRPr="00775591">
        <w:rPr>
          <w:rFonts w:eastAsia="Times New Roman"/>
          <w:szCs w:val="24"/>
          <w:lang w:eastAsia="en-AU"/>
        </w:rPr>
        <w:t>113A</w:t>
      </w:r>
      <w:r w:rsidR="008A0AF2" w:rsidRPr="00775591">
        <w:rPr>
          <w:rFonts w:eastAsia="Times New Roman"/>
          <w:szCs w:val="24"/>
          <w:lang w:eastAsia="en-AU"/>
        </w:rPr>
        <w:t>(5) does not apply if the arrestee should, in the circumstances, know the substance of the grounds for the arrest, or the arrestee’s actions make it impracticable for the arrester to inform the arrestee of the grounds for the arrest. The</w:t>
      </w:r>
      <w:r w:rsidR="00112585" w:rsidRPr="00775591">
        <w:rPr>
          <w:rFonts w:eastAsia="Times New Roman"/>
          <w:szCs w:val="24"/>
          <w:lang w:eastAsia="en-AU"/>
        </w:rPr>
        <w:t xml:space="preserve"> combination of </w:t>
      </w:r>
      <w:r w:rsidR="008A0AF2" w:rsidRPr="00775591">
        <w:rPr>
          <w:rFonts w:eastAsia="Times New Roman"/>
          <w:szCs w:val="24"/>
          <w:lang w:eastAsia="en-AU"/>
        </w:rPr>
        <w:t>subsections</w:t>
      </w:r>
      <w:r w:rsidR="00112585" w:rsidRPr="00775591">
        <w:rPr>
          <w:rFonts w:eastAsia="Times New Roman"/>
          <w:szCs w:val="24"/>
          <w:lang w:eastAsia="en-AU"/>
        </w:rPr>
        <w:t xml:space="preserve"> 113A(5) and 113A(7)</w:t>
      </w:r>
      <w:r w:rsidR="008A0AF2" w:rsidRPr="00775591">
        <w:rPr>
          <w:rFonts w:eastAsia="Times New Roman"/>
          <w:szCs w:val="24"/>
          <w:lang w:eastAsia="en-AU"/>
        </w:rPr>
        <w:t xml:space="preserve"> will ensure that as far as is practicable, the arrestee will be kept fully informed about the reasons for their arrest bearing in mind that some arrests involving the use of force may be incompatible with a clear description of the grounds for arrest, such as where the arrestee is trying to evade arrest or is verbally abusive and aggressive. </w:t>
      </w:r>
    </w:p>
    <w:p w:rsidR="008A0AF2" w:rsidRPr="00775591" w:rsidRDefault="008A0AF2" w:rsidP="006646D4">
      <w:pPr>
        <w:pStyle w:val="ListParagraph"/>
        <w:keepNext/>
        <w:numPr>
          <w:ilvl w:val="0"/>
          <w:numId w:val="29"/>
        </w:numPr>
        <w:spacing w:after="240"/>
        <w:ind w:left="0" w:firstLine="0"/>
        <w:contextualSpacing w:val="0"/>
        <w:rPr>
          <w:szCs w:val="24"/>
        </w:rPr>
      </w:pPr>
      <w:r w:rsidRPr="00775591">
        <w:rPr>
          <w:rFonts w:eastAsia="Times New Roman"/>
          <w:szCs w:val="24"/>
          <w:lang w:eastAsia="en-AU"/>
        </w:rPr>
        <w:t xml:space="preserve">The above powers are modelled on section </w:t>
      </w:r>
      <w:r w:rsidR="00B741F0" w:rsidRPr="00775591">
        <w:rPr>
          <w:rFonts w:eastAsia="Times New Roman"/>
          <w:iCs/>
          <w:szCs w:val="24"/>
          <w:lang w:eastAsia="en-AU"/>
        </w:rPr>
        <w:t xml:space="preserve">55A of the </w:t>
      </w:r>
      <w:r w:rsidR="00B741F0" w:rsidRPr="00775591">
        <w:rPr>
          <w:rFonts w:eastAsia="Times New Roman"/>
          <w:i/>
          <w:iCs/>
          <w:szCs w:val="24"/>
          <w:lang w:eastAsia="en-AU"/>
        </w:rPr>
        <w:t>Federal Court of Australia Act 1976</w:t>
      </w:r>
      <w:r w:rsidR="00E816B7" w:rsidRPr="00775591">
        <w:rPr>
          <w:rFonts w:eastAsia="Times New Roman"/>
          <w:i/>
          <w:iCs/>
          <w:szCs w:val="24"/>
          <w:lang w:eastAsia="en-AU"/>
        </w:rPr>
        <w:t>,</w:t>
      </w:r>
      <w:r w:rsidR="00E816B7" w:rsidRPr="00775591">
        <w:rPr>
          <w:rFonts w:eastAsia="Times New Roman"/>
          <w:iCs/>
          <w:szCs w:val="24"/>
          <w:lang w:eastAsia="en-AU"/>
        </w:rPr>
        <w:t xml:space="preserve"> which itself is modelled on sections </w:t>
      </w:r>
      <w:r w:rsidR="00E816B7" w:rsidRPr="00775591">
        <w:rPr>
          <w:rFonts w:eastAsia="Times New Roman"/>
          <w:szCs w:val="24"/>
          <w:lang w:eastAsia="en-AU"/>
        </w:rPr>
        <w:t xml:space="preserve">3ZB, 3ZC and 3ZD of the </w:t>
      </w:r>
      <w:r w:rsidR="00E816B7" w:rsidRPr="00775591">
        <w:rPr>
          <w:rFonts w:eastAsia="Times New Roman"/>
          <w:i/>
          <w:iCs/>
          <w:szCs w:val="24"/>
          <w:lang w:eastAsia="en-AU"/>
        </w:rPr>
        <w:t xml:space="preserve">Crimes Act 1914, </w:t>
      </w:r>
      <w:r w:rsidRPr="00775591">
        <w:rPr>
          <w:rFonts w:eastAsia="Times New Roman"/>
          <w:szCs w:val="24"/>
          <w:lang w:eastAsia="en-AU"/>
        </w:rPr>
        <w:t>to ensure that they include appropriate limits and safeguards for arresters in conducting arrests under the Federal</w:t>
      </w:r>
      <w:r w:rsidR="00B741F0" w:rsidRPr="00775591">
        <w:rPr>
          <w:rFonts w:eastAsia="Times New Roman"/>
          <w:szCs w:val="24"/>
          <w:lang w:eastAsia="en-AU"/>
        </w:rPr>
        <w:t xml:space="preserve"> Circuit</w:t>
      </w:r>
      <w:r w:rsidRPr="00775591">
        <w:rPr>
          <w:rFonts w:eastAsia="Times New Roman"/>
          <w:szCs w:val="24"/>
          <w:lang w:eastAsia="en-AU"/>
        </w:rPr>
        <w:t xml:space="preserve"> Court of Australia Act or the Rules of Court. </w:t>
      </w:r>
    </w:p>
    <w:p w:rsidR="00EC678F" w:rsidRPr="00775591" w:rsidRDefault="004045E7" w:rsidP="0085177A">
      <w:pPr>
        <w:spacing w:before="100" w:beforeAutospacing="1" w:after="240"/>
        <w:rPr>
          <w:rFonts w:eastAsia="Times New Roman"/>
          <w:b/>
          <w:szCs w:val="24"/>
          <w:lang w:eastAsia="en-AU"/>
        </w:rPr>
      </w:pPr>
      <w:r w:rsidRPr="00775591">
        <w:rPr>
          <w:rFonts w:eastAsia="Times New Roman"/>
          <w:b/>
          <w:szCs w:val="24"/>
          <w:lang w:eastAsia="en-AU"/>
        </w:rPr>
        <w:t>Item 3</w:t>
      </w:r>
      <w:r w:rsidR="00EC678F" w:rsidRPr="00775591">
        <w:rPr>
          <w:rFonts w:eastAsia="Times New Roman"/>
          <w:b/>
          <w:szCs w:val="24"/>
          <w:lang w:eastAsia="en-AU"/>
        </w:rPr>
        <w:t xml:space="preserve">8: Application </w:t>
      </w:r>
      <w:r w:rsidR="00215CD5" w:rsidRPr="00775591">
        <w:rPr>
          <w:rFonts w:eastAsia="Times New Roman"/>
          <w:b/>
          <w:szCs w:val="24"/>
          <w:lang w:eastAsia="en-AU"/>
        </w:rPr>
        <w:t>provision</w:t>
      </w:r>
    </w:p>
    <w:p w:rsidR="00EC678F" w:rsidRPr="00775591" w:rsidRDefault="00EC678F" w:rsidP="0085177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provide that</w:t>
      </w:r>
      <w:r w:rsidR="002528CC" w:rsidRPr="00775591">
        <w:rPr>
          <w:rFonts w:eastAsia="Times New Roman"/>
          <w:szCs w:val="24"/>
          <w:lang w:eastAsia="en-AU"/>
        </w:rPr>
        <w:t xml:space="preserve"> new</w:t>
      </w:r>
      <w:r w:rsidRPr="00775591">
        <w:rPr>
          <w:rFonts w:eastAsia="Times New Roman"/>
          <w:szCs w:val="24"/>
          <w:lang w:eastAsia="en-AU"/>
        </w:rPr>
        <w:t xml:space="preserve"> </w:t>
      </w:r>
      <w:r w:rsidR="002528CC" w:rsidRPr="00775591">
        <w:rPr>
          <w:rFonts w:eastAsia="Times New Roman"/>
          <w:szCs w:val="24"/>
          <w:lang w:eastAsia="en-AU"/>
        </w:rPr>
        <w:t xml:space="preserve">section 113A, inserted by item </w:t>
      </w:r>
      <w:r w:rsidR="004045E7" w:rsidRPr="00775591">
        <w:rPr>
          <w:rFonts w:eastAsia="Times New Roman"/>
          <w:szCs w:val="24"/>
          <w:lang w:eastAsia="en-AU"/>
        </w:rPr>
        <w:t>3</w:t>
      </w:r>
      <w:r w:rsidR="002528CC" w:rsidRPr="00775591">
        <w:rPr>
          <w:rFonts w:eastAsia="Times New Roman"/>
          <w:szCs w:val="24"/>
          <w:lang w:eastAsia="en-AU"/>
        </w:rPr>
        <w:t>7</w:t>
      </w:r>
      <w:r w:rsidR="009E4937" w:rsidRPr="00775591">
        <w:rPr>
          <w:rFonts w:eastAsia="Times New Roman"/>
          <w:szCs w:val="24"/>
          <w:lang w:eastAsia="en-AU"/>
        </w:rPr>
        <w:t>, applies in relation to arrests authorised by the Federal Cir</w:t>
      </w:r>
      <w:r w:rsidR="0024636A" w:rsidRPr="00775591">
        <w:rPr>
          <w:rFonts w:eastAsia="Times New Roman"/>
          <w:szCs w:val="24"/>
          <w:lang w:eastAsia="en-AU"/>
        </w:rPr>
        <w:t>cuit Court of Australia Act</w:t>
      </w:r>
      <w:r w:rsidR="009E4937" w:rsidRPr="00775591">
        <w:rPr>
          <w:rFonts w:eastAsia="Times New Roman"/>
          <w:szCs w:val="24"/>
          <w:lang w:eastAsia="en-AU"/>
        </w:rPr>
        <w:t>, after the commencement of that section, or authorised by warrants issued under the Federal Circuit Court of Australia Act after commencement of that section.</w:t>
      </w:r>
    </w:p>
    <w:p w:rsidR="009E4937" w:rsidRPr="00775591" w:rsidRDefault="009E4937" w:rsidP="0085177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will ensure that new section 113A does not have retrospective application. </w:t>
      </w:r>
    </w:p>
    <w:p w:rsidR="003F3B2F" w:rsidRPr="00775591" w:rsidRDefault="003F3B2F" w:rsidP="0085177A">
      <w:pPr>
        <w:keepNext/>
        <w:rPr>
          <w:b/>
          <w:i/>
          <w:szCs w:val="24"/>
        </w:rPr>
      </w:pPr>
      <w:r w:rsidRPr="00775591">
        <w:rPr>
          <w:b/>
          <w:i/>
          <w:szCs w:val="24"/>
        </w:rPr>
        <w:t>Federal Court of Australia Act 1976</w:t>
      </w:r>
    </w:p>
    <w:p w:rsidR="00624827" w:rsidRPr="00775591" w:rsidRDefault="001C12D2" w:rsidP="0085177A">
      <w:pPr>
        <w:keepNext/>
        <w:rPr>
          <w:b/>
          <w:szCs w:val="24"/>
        </w:rPr>
      </w:pPr>
      <w:r w:rsidRPr="00775591">
        <w:rPr>
          <w:b/>
          <w:szCs w:val="24"/>
        </w:rPr>
        <w:t xml:space="preserve">Item </w:t>
      </w:r>
      <w:r w:rsidR="004045E7" w:rsidRPr="00775591">
        <w:rPr>
          <w:b/>
          <w:szCs w:val="24"/>
        </w:rPr>
        <w:t>3</w:t>
      </w:r>
      <w:r w:rsidRPr="00775591">
        <w:rPr>
          <w:b/>
          <w:szCs w:val="24"/>
        </w:rPr>
        <w:t>9</w:t>
      </w:r>
      <w:r w:rsidR="00624827" w:rsidRPr="00775591">
        <w:rPr>
          <w:b/>
          <w:szCs w:val="24"/>
        </w:rPr>
        <w:t xml:space="preserve">: </w:t>
      </w:r>
      <w:r w:rsidRPr="00775591">
        <w:rPr>
          <w:b/>
          <w:szCs w:val="24"/>
        </w:rPr>
        <w:t>Section 4</w:t>
      </w:r>
    </w:p>
    <w:p w:rsidR="001C12D2" w:rsidRPr="00775591" w:rsidRDefault="001C12D2" w:rsidP="0085177A">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item will insert a definition of </w:t>
      </w:r>
      <w:r w:rsidR="004D4893" w:rsidRPr="00775591">
        <w:rPr>
          <w:rFonts w:eastAsia="Times New Roman"/>
          <w:szCs w:val="24"/>
          <w:lang w:eastAsia="en-AU"/>
        </w:rPr>
        <w:t>‘R</w:t>
      </w:r>
      <w:r w:rsidRPr="00775591">
        <w:rPr>
          <w:rFonts w:eastAsia="Times New Roman"/>
          <w:szCs w:val="24"/>
          <w:lang w:eastAsia="en-AU"/>
        </w:rPr>
        <w:t>oll</w:t>
      </w:r>
      <w:r w:rsidR="004D4893" w:rsidRPr="00775591">
        <w:rPr>
          <w:rFonts w:eastAsia="Times New Roman"/>
          <w:szCs w:val="24"/>
          <w:lang w:eastAsia="en-AU"/>
        </w:rPr>
        <w:t>’</w:t>
      </w:r>
      <w:r w:rsidRPr="00775591">
        <w:rPr>
          <w:rFonts w:eastAsia="Times New Roman"/>
          <w:szCs w:val="24"/>
          <w:lang w:eastAsia="en-AU"/>
        </w:rPr>
        <w:t xml:space="preserve"> into the interpretation section of the Federal Court of </w:t>
      </w:r>
      <w:r w:rsidR="00961B18" w:rsidRPr="00775591">
        <w:rPr>
          <w:rFonts w:eastAsia="Times New Roman"/>
          <w:szCs w:val="24"/>
          <w:lang w:eastAsia="en-AU"/>
        </w:rPr>
        <w:t>Australia Act.</w:t>
      </w:r>
    </w:p>
    <w:p w:rsidR="001C12D2" w:rsidRPr="00775591" w:rsidRDefault="004D4893" w:rsidP="00335741">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w:t>
      </w:r>
      <w:r w:rsidR="001C12D2" w:rsidRPr="00775591">
        <w:rPr>
          <w:rFonts w:eastAsia="Times New Roman"/>
          <w:szCs w:val="24"/>
          <w:lang w:eastAsia="en-AU"/>
        </w:rPr>
        <w:t>Roll</w:t>
      </w:r>
      <w:r w:rsidRPr="00775591">
        <w:rPr>
          <w:rFonts w:eastAsia="Times New Roman"/>
          <w:szCs w:val="24"/>
          <w:lang w:eastAsia="en-AU"/>
        </w:rPr>
        <w:t>’</w:t>
      </w:r>
      <w:r w:rsidR="001C12D2" w:rsidRPr="00775591">
        <w:rPr>
          <w:rFonts w:eastAsia="Times New Roman"/>
          <w:szCs w:val="24"/>
          <w:lang w:eastAsia="en-AU"/>
        </w:rPr>
        <w:t xml:space="preserve"> will have the same meaning as in the </w:t>
      </w:r>
      <w:r w:rsidR="00125CB7" w:rsidRPr="00775591">
        <w:rPr>
          <w:rFonts w:eastAsia="Times New Roman"/>
          <w:i/>
          <w:szCs w:val="24"/>
          <w:lang w:eastAsia="en-AU"/>
        </w:rPr>
        <w:t>Commonwealth Electoral Act 1918</w:t>
      </w:r>
      <w:r w:rsidR="00125CB7" w:rsidRPr="00775591">
        <w:rPr>
          <w:rFonts w:eastAsia="Times New Roman"/>
          <w:szCs w:val="24"/>
          <w:lang w:eastAsia="en-AU"/>
        </w:rPr>
        <w:t xml:space="preserve"> which provides that </w:t>
      </w:r>
      <w:r w:rsidRPr="00775591">
        <w:rPr>
          <w:rFonts w:eastAsia="Times New Roman"/>
          <w:szCs w:val="24"/>
          <w:lang w:eastAsia="en-AU"/>
        </w:rPr>
        <w:t>‘</w:t>
      </w:r>
      <w:r w:rsidR="00125CB7" w:rsidRPr="00775591">
        <w:rPr>
          <w:rFonts w:eastAsia="Times New Roman"/>
          <w:szCs w:val="24"/>
          <w:lang w:eastAsia="en-AU"/>
        </w:rPr>
        <w:t>Roll</w:t>
      </w:r>
      <w:r w:rsidRPr="00775591">
        <w:rPr>
          <w:rFonts w:eastAsia="Times New Roman"/>
          <w:szCs w:val="24"/>
          <w:lang w:eastAsia="en-AU"/>
        </w:rPr>
        <w:t>’</w:t>
      </w:r>
      <w:r w:rsidR="00125CB7" w:rsidRPr="00775591">
        <w:rPr>
          <w:rFonts w:eastAsia="Times New Roman"/>
          <w:szCs w:val="24"/>
          <w:lang w:eastAsia="en-AU"/>
        </w:rPr>
        <w:t xml:space="preserve"> means an Electoral Roll under the Commonwealth Electoral Act. </w:t>
      </w:r>
    </w:p>
    <w:p w:rsidR="001C12D2" w:rsidRPr="00775591" w:rsidRDefault="001C12D2" w:rsidP="00335741">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definition is necessary for the amendment of subsection 23DG(1) of</w:t>
      </w:r>
      <w:r w:rsidR="00961B18" w:rsidRPr="00775591">
        <w:rPr>
          <w:rFonts w:eastAsia="Times New Roman"/>
          <w:szCs w:val="24"/>
          <w:lang w:eastAsia="en-AU"/>
        </w:rPr>
        <w:t xml:space="preserve"> the </w:t>
      </w:r>
      <w:r w:rsidR="00126575">
        <w:rPr>
          <w:rFonts w:eastAsia="Times New Roman"/>
          <w:szCs w:val="24"/>
          <w:lang w:eastAsia="en-AU"/>
        </w:rPr>
        <w:t>Act, inserted by item 44</w:t>
      </w:r>
      <w:r w:rsidR="00AA4169" w:rsidRPr="00775591">
        <w:rPr>
          <w:rFonts w:eastAsia="Times New Roman"/>
          <w:szCs w:val="24"/>
          <w:lang w:eastAsia="en-AU"/>
        </w:rPr>
        <w:t xml:space="preserve"> below</w:t>
      </w:r>
      <w:r w:rsidRPr="00775591">
        <w:rPr>
          <w:rFonts w:eastAsia="Times New Roman"/>
          <w:szCs w:val="24"/>
          <w:lang w:eastAsia="en-AU"/>
        </w:rPr>
        <w:t xml:space="preserve">. </w:t>
      </w:r>
    </w:p>
    <w:p w:rsidR="00C3638C" w:rsidRPr="00775591" w:rsidRDefault="0059288C" w:rsidP="00E00F1A">
      <w:pPr>
        <w:rPr>
          <w:b/>
          <w:szCs w:val="24"/>
        </w:rPr>
      </w:pPr>
      <w:r w:rsidRPr="00775591">
        <w:rPr>
          <w:b/>
          <w:szCs w:val="24"/>
        </w:rPr>
        <w:t>Item 4</w:t>
      </w:r>
      <w:r w:rsidR="00C3638C" w:rsidRPr="00775591">
        <w:rPr>
          <w:b/>
          <w:szCs w:val="24"/>
        </w:rPr>
        <w:t>0: Subsections 23BH(1) and (2)</w:t>
      </w:r>
    </w:p>
    <w:p w:rsidR="0012379B" w:rsidRPr="00775591" w:rsidRDefault="00C3638C" w:rsidP="00D56268">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w:t>
      </w:r>
      <w:r w:rsidR="0012379B" w:rsidRPr="00775591">
        <w:rPr>
          <w:rFonts w:eastAsia="Times New Roman"/>
          <w:szCs w:val="24"/>
          <w:lang w:eastAsia="en-AU"/>
        </w:rPr>
        <w:t>eal subsections 23BH(1) and (2)</w:t>
      </w:r>
      <w:r w:rsidR="000451E6" w:rsidRPr="00775591">
        <w:rPr>
          <w:rFonts w:eastAsia="Times New Roman"/>
          <w:szCs w:val="24"/>
          <w:lang w:eastAsia="en-AU"/>
        </w:rPr>
        <w:t xml:space="preserve"> of the Federal Court of Australia Act</w:t>
      </w:r>
      <w:r w:rsidR="0012379B" w:rsidRPr="00775591">
        <w:rPr>
          <w:rFonts w:eastAsia="Times New Roman"/>
          <w:szCs w:val="24"/>
          <w:lang w:eastAsia="en-AU"/>
        </w:rPr>
        <w:t xml:space="preserve"> and replace them with new subsections.</w:t>
      </w:r>
    </w:p>
    <w:p w:rsidR="00CE5032" w:rsidRPr="00775591" w:rsidRDefault="0012379B" w:rsidP="00D56268">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New subsection 23BH(1) will provide that the prosecutor may, in accordance with the Rules of Court, amend or replace an </w:t>
      </w:r>
      <w:r w:rsidR="00CE5032" w:rsidRPr="00775591">
        <w:rPr>
          <w:rFonts w:eastAsia="Times New Roman"/>
          <w:szCs w:val="24"/>
          <w:lang w:eastAsia="en-AU"/>
        </w:rPr>
        <w:t>indictment in relation to an accused at any time when no date has been set for the start of the trial of the accused, or the</w:t>
      </w:r>
      <w:r w:rsidR="00B250BD" w:rsidRPr="00775591">
        <w:rPr>
          <w:rFonts w:eastAsia="Times New Roman"/>
          <w:szCs w:val="24"/>
          <w:lang w:eastAsia="en-AU"/>
        </w:rPr>
        <w:t xml:space="preserve"> 90 day period ending on the d</w:t>
      </w:r>
      <w:r w:rsidR="00CE5032" w:rsidRPr="00775591">
        <w:rPr>
          <w:rFonts w:eastAsia="Times New Roman"/>
          <w:szCs w:val="24"/>
          <w:lang w:eastAsia="en-AU"/>
        </w:rPr>
        <w:t>ate set for t</w:t>
      </w:r>
      <w:r w:rsidR="00B250BD" w:rsidRPr="00775591">
        <w:rPr>
          <w:rFonts w:eastAsia="Times New Roman"/>
          <w:szCs w:val="24"/>
          <w:lang w:eastAsia="en-AU"/>
        </w:rPr>
        <w:t>he start of the trial</w:t>
      </w:r>
      <w:r w:rsidR="00AD3A7B" w:rsidRPr="00775591">
        <w:rPr>
          <w:rFonts w:eastAsia="Times New Roman"/>
          <w:szCs w:val="24"/>
          <w:lang w:eastAsia="en-AU"/>
        </w:rPr>
        <w:t xml:space="preserve"> has not started</w:t>
      </w:r>
      <w:r w:rsidR="00CE5032" w:rsidRPr="00775591">
        <w:rPr>
          <w:rFonts w:eastAsia="Times New Roman"/>
          <w:szCs w:val="24"/>
          <w:lang w:eastAsia="en-AU"/>
        </w:rPr>
        <w:t xml:space="preserve">. </w:t>
      </w:r>
    </w:p>
    <w:p w:rsidR="00C3638C" w:rsidRPr="00775591" w:rsidRDefault="00CE5032" w:rsidP="00D56268">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 note below new subsection 23BH(1) </w:t>
      </w:r>
      <w:r w:rsidR="00E26E36" w:rsidRPr="00775591">
        <w:rPr>
          <w:rFonts w:eastAsia="Times New Roman"/>
          <w:szCs w:val="24"/>
          <w:lang w:eastAsia="en-AU"/>
        </w:rPr>
        <w:t xml:space="preserve">will </w:t>
      </w:r>
      <w:r w:rsidR="004D4893" w:rsidRPr="00775591">
        <w:rPr>
          <w:rFonts w:eastAsia="Times New Roman"/>
          <w:szCs w:val="24"/>
          <w:lang w:eastAsia="en-AU"/>
        </w:rPr>
        <w:t>state</w:t>
      </w:r>
      <w:r w:rsidRPr="00775591">
        <w:rPr>
          <w:rFonts w:eastAsia="Times New Roman"/>
          <w:szCs w:val="24"/>
          <w:lang w:eastAsia="en-AU"/>
        </w:rPr>
        <w:t xml:space="preserve"> that a trial starts when the accused is arraigned before a jury, as</w:t>
      </w:r>
      <w:r w:rsidR="00132DED" w:rsidRPr="00775591">
        <w:rPr>
          <w:rFonts w:eastAsia="Times New Roman"/>
          <w:szCs w:val="24"/>
          <w:lang w:eastAsia="en-AU"/>
        </w:rPr>
        <w:t xml:space="preserve"> is</w:t>
      </w:r>
      <w:r w:rsidRPr="00775591">
        <w:rPr>
          <w:rFonts w:eastAsia="Times New Roman"/>
          <w:szCs w:val="24"/>
          <w:lang w:eastAsia="en-AU"/>
        </w:rPr>
        <w:t xml:space="preserve"> set out in subsection 23FA(2) of the</w:t>
      </w:r>
      <w:r w:rsidR="001618A5" w:rsidRPr="00775591">
        <w:rPr>
          <w:rFonts w:eastAsia="Times New Roman"/>
          <w:szCs w:val="24"/>
          <w:lang w:eastAsia="en-AU"/>
        </w:rPr>
        <w:t xml:space="preserve"> Federal Court of Australia</w:t>
      </w:r>
      <w:r w:rsidRPr="00775591">
        <w:rPr>
          <w:rFonts w:eastAsia="Times New Roman"/>
          <w:szCs w:val="24"/>
          <w:lang w:eastAsia="en-AU"/>
        </w:rPr>
        <w:t xml:space="preserve"> Act</w:t>
      </w:r>
      <w:r w:rsidR="00456590" w:rsidRPr="00775591">
        <w:rPr>
          <w:rFonts w:eastAsia="Times New Roman"/>
          <w:szCs w:val="24"/>
          <w:lang w:eastAsia="en-AU"/>
        </w:rPr>
        <w:t xml:space="preserve">. </w:t>
      </w:r>
    </w:p>
    <w:p w:rsidR="00E26E36" w:rsidRPr="00775591" w:rsidRDefault="00E26E36" w:rsidP="00D56268">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New subsection 23BH(2) will state that</w:t>
      </w:r>
      <w:r w:rsidR="00FA43C6" w:rsidRPr="00775591">
        <w:rPr>
          <w:rFonts w:eastAsia="Times New Roman"/>
          <w:szCs w:val="24"/>
          <w:lang w:eastAsia="en-AU"/>
        </w:rPr>
        <w:t xml:space="preserve"> if the 90 day period ending on the date set for the start of the trial has started, or the trial has started, </w:t>
      </w:r>
      <w:r w:rsidRPr="00775591">
        <w:rPr>
          <w:rFonts w:eastAsia="Times New Roman"/>
          <w:szCs w:val="24"/>
          <w:lang w:eastAsia="en-AU"/>
        </w:rPr>
        <w:t>the prosecutor may only amend or replace the indictment with the leave of the Court.</w:t>
      </w:r>
    </w:p>
    <w:p w:rsidR="00E26E36" w:rsidRPr="00775591" w:rsidRDefault="00E26E36" w:rsidP="00D56268">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The need for these amendments ref</w:t>
      </w:r>
      <w:r w:rsidR="00B9025E" w:rsidRPr="00775591">
        <w:rPr>
          <w:rFonts w:eastAsia="Times New Roman"/>
          <w:szCs w:val="24"/>
          <w:lang w:eastAsia="en-AU"/>
        </w:rPr>
        <w:t>lects the fact that there is a three</w:t>
      </w:r>
      <w:r w:rsidRPr="00775591">
        <w:rPr>
          <w:rFonts w:eastAsia="Times New Roman"/>
          <w:szCs w:val="24"/>
          <w:lang w:eastAsia="en-AU"/>
        </w:rPr>
        <w:t xml:space="preserve"> month time </w:t>
      </w:r>
      <w:r w:rsidR="00891583" w:rsidRPr="00775591">
        <w:rPr>
          <w:rFonts w:eastAsia="Times New Roman"/>
          <w:szCs w:val="24"/>
          <w:lang w:eastAsia="en-AU"/>
        </w:rPr>
        <w:t xml:space="preserve">limit for filing an indictment (see </w:t>
      </w:r>
      <w:r w:rsidRPr="00775591">
        <w:rPr>
          <w:rFonts w:eastAsia="Times New Roman"/>
          <w:szCs w:val="24"/>
          <w:lang w:eastAsia="en-AU"/>
        </w:rPr>
        <w:t xml:space="preserve">section 23BF of the </w:t>
      </w:r>
      <w:r w:rsidR="00281676" w:rsidRPr="00775591">
        <w:rPr>
          <w:rFonts w:eastAsia="Times New Roman"/>
          <w:szCs w:val="24"/>
          <w:lang w:eastAsia="en-AU"/>
        </w:rPr>
        <w:t xml:space="preserve">Federal Court of Australia </w:t>
      </w:r>
      <w:r w:rsidRPr="00775591">
        <w:rPr>
          <w:rFonts w:eastAsia="Times New Roman"/>
          <w:szCs w:val="24"/>
          <w:lang w:eastAsia="en-AU"/>
        </w:rPr>
        <w:t>Act) and that the prosecution may nee</w:t>
      </w:r>
      <w:r w:rsidR="00891583" w:rsidRPr="00775591">
        <w:rPr>
          <w:rFonts w:eastAsia="Times New Roman"/>
          <w:szCs w:val="24"/>
          <w:lang w:eastAsia="en-AU"/>
        </w:rPr>
        <w:t>d to refine its case as the pre-</w:t>
      </w:r>
      <w:r w:rsidRPr="00775591">
        <w:rPr>
          <w:rFonts w:eastAsia="Times New Roman"/>
          <w:szCs w:val="24"/>
          <w:lang w:eastAsia="en-AU"/>
        </w:rPr>
        <w:t>trial process proceeds. However</w:t>
      </w:r>
      <w:r w:rsidR="00132DED" w:rsidRPr="00775591">
        <w:rPr>
          <w:rFonts w:eastAsia="Times New Roman"/>
          <w:szCs w:val="24"/>
          <w:lang w:eastAsia="en-AU"/>
        </w:rPr>
        <w:t>,</w:t>
      </w:r>
      <w:r w:rsidRPr="00775591">
        <w:rPr>
          <w:rFonts w:eastAsia="Times New Roman"/>
          <w:szCs w:val="24"/>
          <w:lang w:eastAsia="en-AU"/>
        </w:rPr>
        <w:t xml:space="preserve"> there is a risk that the prosecutor may make a substantial change to the indictment shortly before a trial is due to commence. There may be nothing the Court can do to prevent unfairness o</w:t>
      </w:r>
      <w:r w:rsidR="00891583" w:rsidRPr="00775591">
        <w:rPr>
          <w:rFonts w:eastAsia="Times New Roman"/>
          <w:szCs w:val="24"/>
          <w:lang w:eastAsia="en-AU"/>
        </w:rPr>
        <w:t xml:space="preserve">ther than to adjourn the trial, </w:t>
      </w:r>
      <w:r w:rsidRPr="00775591">
        <w:rPr>
          <w:rFonts w:eastAsia="Times New Roman"/>
          <w:szCs w:val="24"/>
          <w:lang w:eastAsia="en-AU"/>
        </w:rPr>
        <w:t xml:space="preserve">or stay the proceedings </w:t>
      </w:r>
      <w:r w:rsidR="00891583" w:rsidRPr="00775591">
        <w:rPr>
          <w:rFonts w:eastAsia="Times New Roman"/>
          <w:szCs w:val="24"/>
          <w:lang w:eastAsia="en-AU"/>
        </w:rPr>
        <w:t>if there is an abuse of process</w:t>
      </w:r>
      <w:r w:rsidR="004D4893" w:rsidRPr="00775591">
        <w:rPr>
          <w:rFonts w:eastAsia="Times New Roman"/>
          <w:szCs w:val="24"/>
          <w:lang w:eastAsia="en-AU"/>
        </w:rPr>
        <w:t xml:space="preserve">. This amendment </w:t>
      </w:r>
      <w:r w:rsidR="00421A44" w:rsidRPr="00775591">
        <w:rPr>
          <w:rFonts w:eastAsia="Times New Roman"/>
          <w:szCs w:val="24"/>
          <w:lang w:eastAsia="en-AU"/>
        </w:rPr>
        <w:t>will</w:t>
      </w:r>
      <w:r w:rsidRPr="00775591">
        <w:rPr>
          <w:rFonts w:eastAsia="Times New Roman"/>
          <w:szCs w:val="24"/>
          <w:lang w:eastAsia="en-AU"/>
        </w:rPr>
        <w:t xml:space="preserve"> ensure the Court has proper powers to control the pre-trial process.</w:t>
      </w:r>
    </w:p>
    <w:p w:rsidR="00132DED" w:rsidRPr="00775591" w:rsidRDefault="0059288C" w:rsidP="00455A64">
      <w:pPr>
        <w:pStyle w:val="Paragraphnumbered"/>
        <w:keepNext/>
        <w:rPr>
          <w:b/>
          <w:szCs w:val="24"/>
        </w:rPr>
      </w:pPr>
      <w:r w:rsidRPr="00775591">
        <w:rPr>
          <w:b/>
          <w:szCs w:val="24"/>
        </w:rPr>
        <w:t>Item 4</w:t>
      </w:r>
      <w:r w:rsidR="00132DED" w:rsidRPr="00775591">
        <w:rPr>
          <w:b/>
          <w:szCs w:val="24"/>
        </w:rPr>
        <w:t>1: Subsection 23BH(3) (heading)</w:t>
      </w:r>
    </w:p>
    <w:p w:rsidR="00B068F0" w:rsidRPr="00775591" w:rsidRDefault="00B068F0" w:rsidP="00455A64">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remove the heading of subsection 23BH(3)</w:t>
      </w:r>
      <w:r w:rsidR="00ED3DEE" w:rsidRPr="00775591">
        <w:rPr>
          <w:rFonts w:eastAsia="Times New Roman"/>
          <w:szCs w:val="24"/>
          <w:lang w:eastAsia="en-AU"/>
        </w:rPr>
        <w:t xml:space="preserve"> of the Federal Court of Australia Act</w:t>
      </w:r>
      <w:r w:rsidRPr="00775591">
        <w:rPr>
          <w:rFonts w:eastAsia="Times New Roman"/>
          <w:szCs w:val="24"/>
          <w:lang w:eastAsia="en-AU"/>
        </w:rPr>
        <w:t xml:space="preserve">. Because of the amendments to subsections 23BH(1) and (2), the subsection headings in section 23BH are no longer required as the provisions follow a logical order. </w:t>
      </w:r>
    </w:p>
    <w:p w:rsidR="00803CFB" w:rsidRPr="00775591" w:rsidRDefault="0059288C" w:rsidP="00AC0308">
      <w:pPr>
        <w:pStyle w:val="Paragraphnumbered"/>
        <w:keepNext/>
        <w:rPr>
          <w:b/>
          <w:szCs w:val="24"/>
        </w:rPr>
      </w:pPr>
      <w:r w:rsidRPr="00775591">
        <w:rPr>
          <w:b/>
          <w:szCs w:val="24"/>
        </w:rPr>
        <w:t>Item 4</w:t>
      </w:r>
      <w:r w:rsidR="00803CFB" w:rsidRPr="00775591">
        <w:rPr>
          <w:b/>
          <w:szCs w:val="24"/>
        </w:rPr>
        <w:t>2: Section 23CA</w:t>
      </w:r>
    </w:p>
    <w:p w:rsidR="00803CFB" w:rsidRPr="00775591" w:rsidRDefault="00803CFB" w:rsidP="00AC0308">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repeal section 23CA</w:t>
      </w:r>
      <w:r w:rsidR="00663696" w:rsidRPr="00775591">
        <w:rPr>
          <w:rFonts w:eastAsia="Times New Roman"/>
          <w:szCs w:val="24"/>
          <w:lang w:eastAsia="en-AU"/>
        </w:rPr>
        <w:t xml:space="preserve"> of the Federal Court of Australia Act</w:t>
      </w:r>
      <w:r w:rsidRPr="00775591">
        <w:rPr>
          <w:rFonts w:eastAsia="Times New Roman"/>
          <w:szCs w:val="24"/>
          <w:lang w:eastAsia="en-AU"/>
        </w:rPr>
        <w:t xml:space="preserve"> and substitute it with a new section 23CA. </w:t>
      </w:r>
    </w:p>
    <w:p w:rsidR="002F235F" w:rsidRPr="00775591" w:rsidRDefault="000B08A5" w:rsidP="000601E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New section 23CA will provide that if the Court notifies the prosecutor and the accused in writing of a pre-trial hearing in relation to an indictment filed in the Court, the prosecutor and the accused must attend a pre-trial hearing, and the accused must enter a plea to each count on the indictment that relates to the accused, unless the accused has already done so in a previous</w:t>
      </w:r>
      <w:r w:rsidR="002F235F" w:rsidRPr="00775591">
        <w:rPr>
          <w:rFonts w:eastAsia="Times New Roman"/>
          <w:szCs w:val="24"/>
          <w:lang w:eastAsia="en-AU"/>
        </w:rPr>
        <w:t xml:space="preserve"> pre-trial hearing. The note at the end of section 23CA will remain the same. </w:t>
      </w:r>
    </w:p>
    <w:p w:rsidR="002F235F" w:rsidRPr="00775591" w:rsidRDefault="002F235F" w:rsidP="000601E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Subsection 23CA(1) currently requires the Court to make an order directing the prosecutor and the accused to attend a pre-trial hearing as soon as practicable after an indictment has been filed.</w:t>
      </w:r>
    </w:p>
    <w:p w:rsidR="002F235F" w:rsidRPr="00775591" w:rsidRDefault="0097036C" w:rsidP="000601E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 current </w:t>
      </w:r>
      <w:r w:rsidR="002F235F" w:rsidRPr="00775591">
        <w:rPr>
          <w:rFonts w:eastAsia="Times New Roman"/>
          <w:szCs w:val="24"/>
          <w:lang w:eastAsia="en-AU"/>
        </w:rPr>
        <w:t xml:space="preserve">requirement for a court order at this stage is a formality which serves no purpose and could cause delay in arranging a pre-trial hearing. The delay could cause unfairness, especially if an accused is in custody. </w:t>
      </w:r>
    </w:p>
    <w:p w:rsidR="00BA21A7" w:rsidRPr="00775591" w:rsidRDefault="0059288C" w:rsidP="002F235F">
      <w:pPr>
        <w:pStyle w:val="Paragraphnumbered"/>
        <w:rPr>
          <w:b/>
          <w:szCs w:val="24"/>
        </w:rPr>
      </w:pPr>
      <w:r w:rsidRPr="00775591">
        <w:rPr>
          <w:b/>
          <w:szCs w:val="24"/>
        </w:rPr>
        <w:t>Item 4</w:t>
      </w:r>
      <w:r w:rsidR="00BA21A7" w:rsidRPr="00775591">
        <w:rPr>
          <w:b/>
          <w:szCs w:val="24"/>
        </w:rPr>
        <w:t>3: Subparagraph 23CE(b)(ii)</w:t>
      </w:r>
    </w:p>
    <w:p w:rsidR="00BA21A7" w:rsidRPr="00775591" w:rsidRDefault="00FA3C49" w:rsidP="006F0D0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amend subparagraph 23CE(b)(ii)</w:t>
      </w:r>
      <w:r w:rsidR="00E37ED9" w:rsidRPr="00775591">
        <w:rPr>
          <w:rFonts w:eastAsia="Times New Roman"/>
          <w:szCs w:val="24"/>
          <w:lang w:eastAsia="en-AU"/>
        </w:rPr>
        <w:t xml:space="preserve"> of the Federal Court of Australia Act</w:t>
      </w:r>
      <w:r w:rsidR="00EA431C" w:rsidRPr="00775591">
        <w:rPr>
          <w:rFonts w:eastAsia="Times New Roman"/>
          <w:szCs w:val="24"/>
          <w:lang w:eastAsia="en-AU"/>
        </w:rPr>
        <w:t xml:space="preserve"> so that before the words ‘</w:t>
      </w:r>
      <w:r w:rsidRPr="00775591">
        <w:rPr>
          <w:rFonts w:eastAsia="Times New Roman"/>
          <w:szCs w:val="24"/>
          <w:lang w:eastAsia="en-AU"/>
        </w:rPr>
        <w:t>a written summary</w:t>
      </w:r>
      <w:r w:rsidR="00EA431C" w:rsidRPr="00775591">
        <w:rPr>
          <w:rFonts w:eastAsia="Times New Roman"/>
          <w:szCs w:val="24"/>
          <w:lang w:eastAsia="en-AU"/>
        </w:rPr>
        <w:t>’, the words ‘</w:t>
      </w:r>
      <w:r w:rsidRPr="00775591">
        <w:rPr>
          <w:rFonts w:eastAsia="Times New Roman"/>
          <w:szCs w:val="24"/>
          <w:lang w:eastAsia="en-AU"/>
        </w:rPr>
        <w:t>if the prosecutor cannot obtain such a signed statement</w:t>
      </w:r>
      <w:r w:rsidR="00EA431C" w:rsidRPr="00775591">
        <w:rPr>
          <w:rFonts w:eastAsia="Times New Roman"/>
          <w:szCs w:val="24"/>
          <w:lang w:eastAsia="en-AU"/>
        </w:rPr>
        <w:t>’</w:t>
      </w:r>
      <w:r w:rsidRPr="00775591">
        <w:rPr>
          <w:rFonts w:eastAsia="Times New Roman"/>
          <w:szCs w:val="24"/>
          <w:lang w:eastAsia="en-AU"/>
        </w:rPr>
        <w:t xml:space="preserve"> will be inserted. </w:t>
      </w:r>
    </w:p>
    <w:p w:rsidR="008F2A49" w:rsidRPr="00775591" w:rsidRDefault="008F2A49" w:rsidP="006F0D0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Paragraph 23CE(b) forms part of the disclosure regime and currently requires the prosecution to give the defence, for each witness the prosecution calls, either a signed statement by the witness that sets out the evidence the witness is to give at trial, or a written summary of the evidence the witness is to give at trial.</w:t>
      </w:r>
    </w:p>
    <w:p w:rsidR="0033212A" w:rsidRPr="00775591" w:rsidRDefault="0033212A" w:rsidP="006F0D0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amendment will make it clear that that the prosecutor can only provide a written summary of the evidence the witness is to give at the trial if the prosecutor does not hold a signed statement by the witness, and cannot obtain such a signed statement, that sets out the evidence the witness is to give at the trial. This will ensure that whenever possible, the defence will be provided with </w:t>
      </w:r>
      <w:r w:rsidR="00A064F9" w:rsidRPr="00775591">
        <w:rPr>
          <w:rFonts w:eastAsia="Times New Roman"/>
          <w:szCs w:val="24"/>
          <w:lang w:eastAsia="en-AU"/>
        </w:rPr>
        <w:t>the most</w:t>
      </w:r>
      <w:r w:rsidR="00F85AF0" w:rsidRPr="00775591">
        <w:rPr>
          <w:rFonts w:eastAsia="Times New Roman"/>
          <w:szCs w:val="24"/>
          <w:lang w:eastAsia="en-AU"/>
        </w:rPr>
        <w:t xml:space="preserve"> accurate</w:t>
      </w:r>
      <w:r w:rsidR="00D71F61" w:rsidRPr="00775591">
        <w:rPr>
          <w:rFonts w:eastAsia="Times New Roman"/>
          <w:szCs w:val="24"/>
          <w:lang w:eastAsia="en-AU"/>
        </w:rPr>
        <w:t xml:space="preserve"> account of the witness statements for witnesses the pro</w:t>
      </w:r>
      <w:r w:rsidR="00E37ED9" w:rsidRPr="00775591">
        <w:rPr>
          <w:rFonts w:eastAsia="Times New Roman"/>
          <w:szCs w:val="24"/>
          <w:lang w:eastAsia="en-AU"/>
        </w:rPr>
        <w:t>secution proposes to call at</w:t>
      </w:r>
      <w:r w:rsidR="00D71F61" w:rsidRPr="00775591">
        <w:rPr>
          <w:rFonts w:eastAsia="Times New Roman"/>
          <w:szCs w:val="24"/>
          <w:lang w:eastAsia="en-AU"/>
        </w:rPr>
        <w:t xml:space="preserve"> trial. </w:t>
      </w:r>
      <w:r w:rsidR="00AF1428" w:rsidRPr="00775591">
        <w:rPr>
          <w:rFonts w:eastAsia="Times New Roman"/>
          <w:szCs w:val="24"/>
          <w:lang w:eastAsia="en-AU"/>
        </w:rPr>
        <w:t xml:space="preserve"> </w:t>
      </w:r>
    </w:p>
    <w:p w:rsidR="000C5AE1" w:rsidRPr="00775591" w:rsidRDefault="0059288C" w:rsidP="00C6467E">
      <w:pPr>
        <w:pStyle w:val="Paragraphnumbered"/>
        <w:rPr>
          <w:b/>
          <w:szCs w:val="24"/>
        </w:rPr>
      </w:pPr>
      <w:r w:rsidRPr="00775591">
        <w:rPr>
          <w:b/>
          <w:szCs w:val="24"/>
        </w:rPr>
        <w:t>Item 44</w:t>
      </w:r>
      <w:r w:rsidR="000C5AE1" w:rsidRPr="00775591">
        <w:rPr>
          <w:b/>
          <w:szCs w:val="24"/>
        </w:rPr>
        <w:t>: Subsection 23DG(1)</w:t>
      </w:r>
    </w:p>
    <w:p w:rsidR="000C5AE1" w:rsidRPr="00775591" w:rsidRDefault="00FB30D4" w:rsidP="00C6467E">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repeal subsection 23DG(1)</w:t>
      </w:r>
      <w:r w:rsidR="00077AF4" w:rsidRPr="00775591">
        <w:rPr>
          <w:rFonts w:eastAsia="Times New Roman"/>
          <w:szCs w:val="24"/>
          <w:lang w:eastAsia="en-AU"/>
        </w:rPr>
        <w:t xml:space="preserve"> of the Federal Court of Australia Act</w:t>
      </w:r>
      <w:r w:rsidR="00D37DFA" w:rsidRPr="00775591">
        <w:rPr>
          <w:rFonts w:eastAsia="Times New Roman"/>
          <w:szCs w:val="24"/>
          <w:lang w:eastAsia="en-AU"/>
        </w:rPr>
        <w:t xml:space="preserve"> and replace it with a new subsection 23DG(1).</w:t>
      </w:r>
    </w:p>
    <w:p w:rsidR="00D37DFA" w:rsidRPr="00775591" w:rsidRDefault="00D37DFA" w:rsidP="00C6467E">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New subsection 23DG(1) will provide that the Sheriff may prepare a written jury roll for a jury district by combining the Rolls, as on the day the Sheriff begins the preparation, for each ele</w:t>
      </w:r>
      <w:r w:rsidR="001F539B" w:rsidRPr="00775591">
        <w:rPr>
          <w:rFonts w:eastAsia="Times New Roman"/>
          <w:szCs w:val="24"/>
          <w:lang w:eastAsia="en-AU"/>
        </w:rPr>
        <w:t>ctoral division that forms part</w:t>
      </w:r>
      <w:r w:rsidRPr="00775591">
        <w:rPr>
          <w:rFonts w:eastAsia="Times New Roman"/>
          <w:szCs w:val="24"/>
          <w:lang w:eastAsia="en-AU"/>
        </w:rPr>
        <w:t xml:space="preserve"> of the jury district. </w:t>
      </w:r>
    </w:p>
    <w:p w:rsidR="006351CF" w:rsidRPr="00775591" w:rsidRDefault="00621E81" w:rsidP="00C6467E">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Subsection 23DG(1) currently states that the Sheriff may prepare a written jury roll for a jury district. </w:t>
      </w:r>
      <w:r w:rsidR="00125CB7" w:rsidRPr="00775591">
        <w:rPr>
          <w:rFonts w:eastAsia="Times New Roman"/>
          <w:szCs w:val="24"/>
          <w:lang w:eastAsia="en-AU"/>
        </w:rPr>
        <w:t>However, it does not prescribe</w:t>
      </w:r>
      <w:r w:rsidR="000A235F" w:rsidRPr="00775591">
        <w:rPr>
          <w:rFonts w:eastAsia="Times New Roman"/>
          <w:szCs w:val="24"/>
          <w:lang w:eastAsia="en-AU"/>
        </w:rPr>
        <w:t xml:space="preserve"> who is to form part of a jury roll for a jury district.</w:t>
      </w:r>
      <w:r w:rsidR="00125CB7" w:rsidRPr="00775591">
        <w:rPr>
          <w:rFonts w:eastAsia="Times New Roman"/>
          <w:szCs w:val="24"/>
          <w:lang w:eastAsia="en-AU"/>
        </w:rPr>
        <w:t xml:space="preserve"> New subsection 23DG(1) will </w:t>
      </w:r>
      <w:r w:rsidR="00D13957" w:rsidRPr="00775591">
        <w:rPr>
          <w:rFonts w:eastAsia="Times New Roman"/>
          <w:szCs w:val="24"/>
          <w:lang w:eastAsia="en-AU"/>
        </w:rPr>
        <w:t>clarify exactly who is to form part of a jury roll for a jury district.</w:t>
      </w:r>
    </w:p>
    <w:p w:rsidR="00125CB7" w:rsidRPr="00775591" w:rsidRDefault="00C24D2E" w:rsidP="009C0B1D">
      <w:pPr>
        <w:pStyle w:val="ListParagraph"/>
        <w:numPr>
          <w:ilvl w:val="0"/>
          <w:numId w:val="29"/>
        </w:numPr>
        <w:spacing w:after="240"/>
        <w:ind w:left="0" w:firstLine="0"/>
        <w:contextualSpacing w:val="0"/>
        <w:rPr>
          <w:szCs w:val="24"/>
        </w:rPr>
      </w:pPr>
      <w:r w:rsidRPr="00775591">
        <w:rPr>
          <w:rFonts w:eastAsia="Times New Roman"/>
          <w:szCs w:val="24"/>
          <w:lang w:eastAsia="en-AU"/>
        </w:rPr>
        <w:t>As inserted by item 3</w:t>
      </w:r>
      <w:r w:rsidR="006351CF" w:rsidRPr="00775591">
        <w:rPr>
          <w:rFonts w:eastAsia="Times New Roman"/>
          <w:szCs w:val="24"/>
          <w:lang w:eastAsia="en-AU"/>
        </w:rPr>
        <w:t xml:space="preserve">9 above, </w:t>
      </w:r>
      <w:r w:rsidR="002D03C0" w:rsidRPr="00775591">
        <w:rPr>
          <w:rFonts w:eastAsia="Times New Roman"/>
          <w:szCs w:val="24"/>
          <w:lang w:eastAsia="en-AU"/>
        </w:rPr>
        <w:t>‘</w:t>
      </w:r>
      <w:r w:rsidR="00125CB7" w:rsidRPr="00775591">
        <w:rPr>
          <w:rFonts w:eastAsia="Times New Roman"/>
          <w:szCs w:val="24"/>
          <w:lang w:eastAsia="en-AU"/>
        </w:rPr>
        <w:t>Roll</w:t>
      </w:r>
      <w:r w:rsidR="002D03C0" w:rsidRPr="00775591">
        <w:rPr>
          <w:rFonts w:eastAsia="Times New Roman"/>
          <w:szCs w:val="24"/>
          <w:lang w:eastAsia="en-AU"/>
        </w:rPr>
        <w:t>’</w:t>
      </w:r>
      <w:r w:rsidR="00125CB7" w:rsidRPr="00775591">
        <w:rPr>
          <w:rFonts w:eastAsia="Times New Roman"/>
          <w:szCs w:val="24"/>
          <w:lang w:eastAsia="en-AU"/>
        </w:rPr>
        <w:t xml:space="preserve"> will have the same meaning as in the </w:t>
      </w:r>
      <w:r w:rsidR="006351CF" w:rsidRPr="00775591">
        <w:rPr>
          <w:rFonts w:eastAsia="Times New Roman"/>
          <w:i/>
          <w:szCs w:val="24"/>
          <w:lang w:eastAsia="en-AU"/>
        </w:rPr>
        <w:t>Commonwealth Electoral Act 1918</w:t>
      </w:r>
      <w:r w:rsidR="006351CF" w:rsidRPr="00775591">
        <w:rPr>
          <w:rFonts w:eastAsia="Times New Roman"/>
          <w:szCs w:val="24"/>
          <w:lang w:eastAsia="en-AU"/>
        </w:rPr>
        <w:t xml:space="preserve"> which provides that </w:t>
      </w:r>
      <w:r w:rsidR="001F6749" w:rsidRPr="00775591">
        <w:rPr>
          <w:rFonts w:eastAsia="Times New Roman"/>
          <w:szCs w:val="24"/>
          <w:lang w:eastAsia="en-AU"/>
        </w:rPr>
        <w:t>‘</w:t>
      </w:r>
      <w:r w:rsidR="006351CF" w:rsidRPr="00775591">
        <w:rPr>
          <w:rFonts w:eastAsia="Times New Roman"/>
          <w:szCs w:val="24"/>
          <w:lang w:eastAsia="en-AU"/>
        </w:rPr>
        <w:t>Roll</w:t>
      </w:r>
      <w:r w:rsidR="001F6749" w:rsidRPr="00775591">
        <w:rPr>
          <w:rFonts w:eastAsia="Times New Roman"/>
          <w:szCs w:val="24"/>
          <w:lang w:eastAsia="en-AU"/>
        </w:rPr>
        <w:t>’</w:t>
      </w:r>
      <w:r w:rsidR="006351CF" w:rsidRPr="00775591">
        <w:rPr>
          <w:rFonts w:eastAsia="Times New Roman"/>
          <w:szCs w:val="24"/>
          <w:lang w:eastAsia="en-AU"/>
        </w:rPr>
        <w:t xml:space="preserve"> means an Electoral Roll under the</w:t>
      </w:r>
      <w:r w:rsidR="006351CF" w:rsidRPr="00775591">
        <w:rPr>
          <w:szCs w:val="24"/>
        </w:rPr>
        <w:t xml:space="preserve"> Commonwealth Electoral Act.</w:t>
      </w:r>
    </w:p>
    <w:p w:rsidR="00843FA0" w:rsidRPr="00775591" w:rsidRDefault="00A553CA" w:rsidP="00843FA0">
      <w:pPr>
        <w:pStyle w:val="ListParagraph"/>
        <w:spacing w:after="240"/>
        <w:ind w:left="0"/>
        <w:contextualSpacing w:val="0"/>
        <w:rPr>
          <w:b/>
          <w:szCs w:val="24"/>
        </w:rPr>
      </w:pPr>
      <w:r w:rsidRPr="00775591">
        <w:rPr>
          <w:b/>
          <w:szCs w:val="24"/>
        </w:rPr>
        <w:t xml:space="preserve">Item </w:t>
      </w:r>
      <w:r w:rsidR="00A169FC" w:rsidRPr="00775591">
        <w:rPr>
          <w:b/>
          <w:szCs w:val="24"/>
        </w:rPr>
        <w:t>45</w:t>
      </w:r>
      <w:r w:rsidRPr="00775591">
        <w:rPr>
          <w:b/>
          <w:szCs w:val="24"/>
        </w:rPr>
        <w:t>: Subsection 23DV(2)</w:t>
      </w:r>
    </w:p>
    <w:p w:rsidR="00A553CA" w:rsidRPr="00775591" w:rsidRDefault="00916696" w:rsidP="00A553CA">
      <w:pPr>
        <w:pStyle w:val="ListParagraph"/>
        <w:numPr>
          <w:ilvl w:val="0"/>
          <w:numId w:val="29"/>
        </w:numPr>
        <w:spacing w:after="240"/>
        <w:ind w:left="0" w:firstLine="0"/>
        <w:contextualSpacing w:val="0"/>
        <w:rPr>
          <w:szCs w:val="24"/>
        </w:rPr>
      </w:pPr>
      <w:r w:rsidRPr="00775591">
        <w:rPr>
          <w:szCs w:val="24"/>
        </w:rPr>
        <w:t xml:space="preserve">This item will repeal subsection 23DV(2) of the </w:t>
      </w:r>
      <w:r w:rsidR="001D53D7" w:rsidRPr="00775591">
        <w:rPr>
          <w:szCs w:val="24"/>
        </w:rPr>
        <w:t xml:space="preserve">Federal Court of Australia </w:t>
      </w:r>
      <w:r w:rsidR="00D15758" w:rsidRPr="00775591">
        <w:rPr>
          <w:szCs w:val="24"/>
        </w:rPr>
        <w:t xml:space="preserve">Act and replace it with a new subsection. </w:t>
      </w:r>
    </w:p>
    <w:p w:rsidR="00D15758" w:rsidRPr="00775591" w:rsidRDefault="00D15758" w:rsidP="00A553CA">
      <w:pPr>
        <w:pStyle w:val="ListParagraph"/>
        <w:numPr>
          <w:ilvl w:val="0"/>
          <w:numId w:val="29"/>
        </w:numPr>
        <w:spacing w:after="240"/>
        <w:ind w:left="0" w:firstLine="0"/>
        <w:contextualSpacing w:val="0"/>
        <w:rPr>
          <w:szCs w:val="24"/>
        </w:rPr>
      </w:pPr>
      <w:r w:rsidRPr="00775591">
        <w:rPr>
          <w:szCs w:val="24"/>
        </w:rPr>
        <w:t>New subsect</w:t>
      </w:r>
      <w:r w:rsidR="00B37EC3" w:rsidRPr="00775591">
        <w:rPr>
          <w:szCs w:val="24"/>
        </w:rPr>
        <w:t xml:space="preserve">ion 23DV(2) will </w:t>
      </w:r>
      <w:r w:rsidR="00F21A89" w:rsidRPr="00775591">
        <w:rPr>
          <w:szCs w:val="24"/>
        </w:rPr>
        <w:t xml:space="preserve">provide </w:t>
      </w:r>
      <w:r w:rsidR="00B37EC3" w:rsidRPr="00775591">
        <w:rPr>
          <w:szCs w:val="24"/>
        </w:rPr>
        <w:t>that potential jurors</w:t>
      </w:r>
      <w:r w:rsidR="00F21A89" w:rsidRPr="00775591">
        <w:rPr>
          <w:szCs w:val="24"/>
        </w:rPr>
        <w:t xml:space="preserve"> from the jury panel</w:t>
      </w:r>
      <w:r w:rsidR="00B37EC3" w:rsidRPr="00775591">
        <w:rPr>
          <w:szCs w:val="24"/>
        </w:rPr>
        <w:t xml:space="preserve"> who are</w:t>
      </w:r>
      <w:r w:rsidRPr="00775591">
        <w:rPr>
          <w:szCs w:val="24"/>
        </w:rPr>
        <w:t xml:space="preserve"> not empanelled under section 23DU are taken to be excused by the Court from serving on the jury</w:t>
      </w:r>
      <w:r w:rsidR="00B37EC3" w:rsidRPr="00775591">
        <w:rPr>
          <w:szCs w:val="24"/>
        </w:rPr>
        <w:t xml:space="preserve"> at the earlier of t</w:t>
      </w:r>
      <w:r w:rsidRPr="00775591">
        <w:rPr>
          <w:szCs w:val="24"/>
        </w:rPr>
        <w:t>he c</w:t>
      </w:r>
      <w:r w:rsidR="00B37EC3" w:rsidRPr="00775591">
        <w:rPr>
          <w:szCs w:val="24"/>
        </w:rPr>
        <w:t xml:space="preserve">losing of the session of court at which the jury delivers its verdict on all counts or a judgement of acquittal under subsection 23FH(2) is delivered, or the day after the end of the </w:t>
      </w:r>
      <w:r w:rsidR="00593AB2" w:rsidRPr="00775591">
        <w:rPr>
          <w:szCs w:val="24"/>
        </w:rPr>
        <w:t>three</w:t>
      </w:r>
      <w:r w:rsidR="00B37EC3" w:rsidRPr="00775591">
        <w:rPr>
          <w:szCs w:val="24"/>
        </w:rPr>
        <w:t xml:space="preserve"> month period starting on the day on which a jury is first empanelled as the jury for the trial. </w:t>
      </w:r>
    </w:p>
    <w:p w:rsidR="00895BF6" w:rsidRPr="00775591" w:rsidRDefault="00F21A89" w:rsidP="00A553CA">
      <w:pPr>
        <w:pStyle w:val="ListParagraph"/>
        <w:numPr>
          <w:ilvl w:val="0"/>
          <w:numId w:val="29"/>
        </w:numPr>
        <w:spacing w:after="240"/>
        <w:ind w:left="0" w:firstLine="0"/>
        <w:contextualSpacing w:val="0"/>
        <w:rPr>
          <w:szCs w:val="24"/>
        </w:rPr>
      </w:pPr>
      <w:r w:rsidRPr="00775591">
        <w:rPr>
          <w:szCs w:val="24"/>
        </w:rPr>
        <w:t>The purpose of n</w:t>
      </w:r>
      <w:r w:rsidR="00BC0EAD" w:rsidRPr="00775591">
        <w:rPr>
          <w:szCs w:val="24"/>
        </w:rPr>
        <w:t xml:space="preserve">ew subsection 23DV(2) </w:t>
      </w:r>
      <w:r w:rsidRPr="00775591">
        <w:rPr>
          <w:szCs w:val="24"/>
        </w:rPr>
        <w:t xml:space="preserve">is to ensure that, where a jury is dismissed </w:t>
      </w:r>
      <w:r w:rsidR="00B9025E" w:rsidRPr="00775591">
        <w:rPr>
          <w:szCs w:val="24"/>
        </w:rPr>
        <w:t>by the Court within three</w:t>
      </w:r>
      <w:r w:rsidRPr="00775591">
        <w:rPr>
          <w:szCs w:val="24"/>
        </w:rPr>
        <w:t xml:space="preserve"> months of </w:t>
      </w:r>
      <w:r w:rsidR="00F768A8" w:rsidRPr="00775591">
        <w:rPr>
          <w:szCs w:val="24"/>
        </w:rPr>
        <w:t>its</w:t>
      </w:r>
      <w:r w:rsidRPr="00775591">
        <w:rPr>
          <w:szCs w:val="24"/>
        </w:rPr>
        <w:t xml:space="preserve"> </w:t>
      </w:r>
      <w:r w:rsidR="00F768A8" w:rsidRPr="00775591">
        <w:rPr>
          <w:szCs w:val="24"/>
        </w:rPr>
        <w:t>empanelment</w:t>
      </w:r>
      <w:r w:rsidRPr="00775591">
        <w:rPr>
          <w:szCs w:val="24"/>
        </w:rPr>
        <w:t xml:space="preserve">, the Sheriff may </w:t>
      </w:r>
      <w:r w:rsidR="00F768A8" w:rsidRPr="00775591">
        <w:rPr>
          <w:szCs w:val="24"/>
        </w:rPr>
        <w:t xml:space="preserve">draw a new jury from the list of potential jurors that was developed for the purposes of the trial. </w:t>
      </w:r>
      <w:r w:rsidR="00895BF6" w:rsidRPr="00775591">
        <w:rPr>
          <w:szCs w:val="24"/>
        </w:rPr>
        <w:t xml:space="preserve">This will save the Court </w:t>
      </w:r>
      <w:r w:rsidR="00386488" w:rsidRPr="00775591">
        <w:rPr>
          <w:szCs w:val="24"/>
        </w:rPr>
        <w:t>significant time and resources and ultimately lead to a more eff</w:t>
      </w:r>
      <w:r w:rsidR="00100DDB" w:rsidRPr="00775591">
        <w:rPr>
          <w:szCs w:val="24"/>
        </w:rPr>
        <w:t xml:space="preserve">icient resolution of </w:t>
      </w:r>
      <w:r w:rsidR="00F768A8" w:rsidRPr="00775591">
        <w:rPr>
          <w:szCs w:val="24"/>
        </w:rPr>
        <w:t>the proceedings</w:t>
      </w:r>
      <w:r w:rsidR="00100DDB" w:rsidRPr="00775591">
        <w:rPr>
          <w:szCs w:val="24"/>
        </w:rPr>
        <w:t xml:space="preserve">. </w:t>
      </w:r>
    </w:p>
    <w:p w:rsidR="00EF22E8" w:rsidRPr="00775591" w:rsidRDefault="00EF22E8" w:rsidP="00A74D65">
      <w:pPr>
        <w:pStyle w:val="Paragraphnumbered"/>
        <w:rPr>
          <w:b/>
          <w:szCs w:val="24"/>
        </w:rPr>
      </w:pPr>
      <w:r w:rsidRPr="00775591">
        <w:rPr>
          <w:b/>
          <w:szCs w:val="24"/>
        </w:rPr>
        <w:t xml:space="preserve">Item </w:t>
      </w:r>
      <w:r w:rsidR="00962AD7" w:rsidRPr="00775591">
        <w:rPr>
          <w:b/>
          <w:szCs w:val="24"/>
        </w:rPr>
        <w:t>46</w:t>
      </w:r>
      <w:r w:rsidRPr="00775591">
        <w:rPr>
          <w:b/>
          <w:szCs w:val="24"/>
        </w:rPr>
        <w:t>: Subsection 23EL(1)</w:t>
      </w:r>
    </w:p>
    <w:p w:rsidR="005201E5" w:rsidRPr="00775591" w:rsidRDefault="00A427C9" w:rsidP="00A427C9">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item will repeal subsection 23EL(1) of the Federal Court of Australia Act. </w:t>
      </w:r>
    </w:p>
    <w:p w:rsidR="00A427C9" w:rsidRPr="00775591" w:rsidRDefault="005201E5" w:rsidP="00A427C9">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Subsection 23EL(1) is unnecessary because subsection 23EL(3) provides the Court</w:t>
      </w:r>
      <w:r w:rsidR="00215B34" w:rsidRPr="00775591">
        <w:rPr>
          <w:rFonts w:eastAsia="Times New Roman"/>
          <w:szCs w:val="24"/>
          <w:lang w:eastAsia="en-AU"/>
        </w:rPr>
        <w:t xml:space="preserve"> with</w:t>
      </w:r>
      <w:r w:rsidRPr="00775591">
        <w:rPr>
          <w:rFonts w:eastAsia="Times New Roman"/>
          <w:szCs w:val="24"/>
          <w:lang w:eastAsia="en-AU"/>
        </w:rPr>
        <w:t xml:space="preserve"> a broad discretion to discharge a jury in the interests of justice</w:t>
      </w:r>
      <w:r w:rsidR="00215B34" w:rsidRPr="00775591">
        <w:rPr>
          <w:rFonts w:eastAsia="Times New Roman"/>
          <w:szCs w:val="24"/>
          <w:lang w:eastAsia="en-AU"/>
        </w:rPr>
        <w:t>. The discretion provided</w:t>
      </w:r>
      <w:r w:rsidR="00EE00E3" w:rsidRPr="00775591">
        <w:rPr>
          <w:rFonts w:eastAsia="Times New Roman"/>
          <w:szCs w:val="24"/>
          <w:lang w:eastAsia="en-AU"/>
        </w:rPr>
        <w:t xml:space="preserve"> to the Court</w:t>
      </w:r>
      <w:r w:rsidR="00215B34" w:rsidRPr="00775591">
        <w:rPr>
          <w:rFonts w:eastAsia="Times New Roman"/>
          <w:szCs w:val="24"/>
          <w:lang w:eastAsia="en-AU"/>
        </w:rPr>
        <w:t xml:space="preserve"> in subsection 23EL(3) </w:t>
      </w:r>
      <w:r w:rsidRPr="00775591">
        <w:rPr>
          <w:rFonts w:eastAsia="Times New Roman"/>
          <w:szCs w:val="24"/>
          <w:lang w:eastAsia="en-AU"/>
        </w:rPr>
        <w:t>covers situations</w:t>
      </w:r>
      <w:r w:rsidR="00EE00E3" w:rsidRPr="00775591">
        <w:rPr>
          <w:rFonts w:eastAsia="Times New Roman"/>
          <w:szCs w:val="24"/>
          <w:lang w:eastAsia="en-AU"/>
        </w:rPr>
        <w:t xml:space="preserve"> that may be</w:t>
      </w:r>
      <w:r w:rsidR="00215B34" w:rsidRPr="00775591">
        <w:rPr>
          <w:rFonts w:eastAsia="Times New Roman"/>
          <w:szCs w:val="24"/>
          <w:lang w:eastAsia="en-AU"/>
        </w:rPr>
        <w:t xml:space="preserve"> enlivened by </w:t>
      </w:r>
      <w:r w:rsidR="00F7317F" w:rsidRPr="00775591">
        <w:rPr>
          <w:rFonts w:eastAsia="Times New Roman"/>
          <w:szCs w:val="24"/>
          <w:lang w:eastAsia="en-AU"/>
        </w:rPr>
        <w:t>subsection</w:t>
      </w:r>
      <w:r w:rsidR="00215B34" w:rsidRPr="00775591">
        <w:rPr>
          <w:rFonts w:eastAsia="Times New Roman"/>
          <w:szCs w:val="24"/>
          <w:lang w:eastAsia="en-AU"/>
        </w:rPr>
        <w:t xml:space="preserve"> 23EL(1)</w:t>
      </w:r>
      <w:r w:rsidRPr="00775591">
        <w:rPr>
          <w:rFonts w:eastAsia="Times New Roman"/>
          <w:szCs w:val="24"/>
          <w:lang w:eastAsia="en-AU"/>
        </w:rPr>
        <w:t xml:space="preserve"> </w:t>
      </w:r>
      <w:r w:rsidR="00215B34" w:rsidRPr="00775591">
        <w:rPr>
          <w:rFonts w:eastAsia="Times New Roman"/>
          <w:szCs w:val="24"/>
          <w:lang w:eastAsia="en-AU"/>
        </w:rPr>
        <w:t>in which the Court may determine the composition of the jury to be unsatisfactory</w:t>
      </w:r>
      <w:r w:rsidR="00F7317F" w:rsidRPr="00775591">
        <w:rPr>
          <w:rFonts w:eastAsia="Times New Roman"/>
          <w:szCs w:val="24"/>
          <w:lang w:eastAsia="en-AU"/>
        </w:rPr>
        <w:t xml:space="preserve">. </w:t>
      </w:r>
    </w:p>
    <w:p w:rsidR="00F7317F" w:rsidRPr="00775591" w:rsidRDefault="00F7317F" w:rsidP="00A427C9">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 removal of subsection 23EL(1) aligns with the government’s clearer laws initiative. </w:t>
      </w:r>
    </w:p>
    <w:p w:rsidR="0084172C" w:rsidRPr="00775591" w:rsidRDefault="00B324B8" w:rsidP="00A74D65">
      <w:pPr>
        <w:pStyle w:val="Paragraphnumbered"/>
        <w:rPr>
          <w:b/>
          <w:szCs w:val="24"/>
        </w:rPr>
      </w:pPr>
      <w:r w:rsidRPr="00775591">
        <w:rPr>
          <w:b/>
          <w:szCs w:val="24"/>
        </w:rPr>
        <w:t>Item 47</w:t>
      </w:r>
      <w:r w:rsidR="0084172C" w:rsidRPr="00775591">
        <w:rPr>
          <w:b/>
          <w:szCs w:val="24"/>
        </w:rPr>
        <w:t>: Paragraph 23EM(2)(a)</w:t>
      </w:r>
    </w:p>
    <w:p w:rsidR="0084172C" w:rsidRPr="00775591" w:rsidRDefault="0084172C" w:rsidP="006B24B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item will </w:t>
      </w:r>
      <w:r w:rsidR="00277EA3" w:rsidRPr="00775591">
        <w:rPr>
          <w:rFonts w:eastAsia="Times New Roman"/>
          <w:szCs w:val="24"/>
          <w:lang w:eastAsia="en-AU"/>
        </w:rPr>
        <w:t xml:space="preserve">repeal paragraph 23EM(2)(a) of the Federal Court of Australia Act and replace it with a new paragraph. </w:t>
      </w:r>
    </w:p>
    <w:p w:rsidR="00614F13" w:rsidRPr="00775591" w:rsidRDefault="00614F13" w:rsidP="006B24B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New paragraph 23EM(2)(a) will provide that</w:t>
      </w:r>
      <w:r w:rsidR="00932933" w:rsidRPr="00775591">
        <w:rPr>
          <w:rFonts w:eastAsia="Times New Roman"/>
          <w:szCs w:val="24"/>
          <w:lang w:eastAsia="en-AU"/>
        </w:rPr>
        <w:t xml:space="preserve"> subsection 23EM(1) will not apply if</w:t>
      </w:r>
      <w:r w:rsidRPr="00775591">
        <w:rPr>
          <w:rFonts w:eastAsia="Times New Roman"/>
          <w:szCs w:val="24"/>
          <w:lang w:eastAsia="en-AU"/>
        </w:rPr>
        <w:t xml:space="preserve"> the jury is discharged under subsection 23EL</w:t>
      </w:r>
      <w:r w:rsidR="00041F37" w:rsidRPr="00775591">
        <w:rPr>
          <w:rFonts w:eastAsia="Times New Roman"/>
          <w:szCs w:val="24"/>
          <w:lang w:eastAsia="en-AU"/>
        </w:rPr>
        <w:t xml:space="preserve">(3) or (5) </w:t>
      </w:r>
      <w:r w:rsidR="00593AB2" w:rsidRPr="00775591">
        <w:rPr>
          <w:rFonts w:eastAsia="Times New Roman"/>
          <w:szCs w:val="24"/>
          <w:lang w:eastAsia="en-AU"/>
        </w:rPr>
        <w:t>during the three month period starting on the day on which a jury is first empanelled for the trial under section 23DU</w:t>
      </w:r>
      <w:r w:rsidR="00E171FF" w:rsidRPr="00775591">
        <w:rPr>
          <w:rFonts w:eastAsia="Times New Roman"/>
          <w:szCs w:val="24"/>
          <w:lang w:eastAsia="en-AU"/>
        </w:rPr>
        <w:t xml:space="preserve">. </w:t>
      </w:r>
    </w:p>
    <w:p w:rsidR="002D5FF1" w:rsidRPr="00775591" w:rsidRDefault="002D5FF1" w:rsidP="006B24BA">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 three month time frame reflects the time in which </w:t>
      </w:r>
      <w:r w:rsidR="008C5A6F" w:rsidRPr="00775591">
        <w:rPr>
          <w:rFonts w:eastAsia="Times New Roman"/>
          <w:szCs w:val="24"/>
          <w:lang w:eastAsia="en-AU"/>
        </w:rPr>
        <w:t xml:space="preserve">a new jury may be formed from an existing jury panel, as inserted by item </w:t>
      </w:r>
      <w:r w:rsidR="009B1095" w:rsidRPr="00775591">
        <w:rPr>
          <w:rFonts w:eastAsia="Times New Roman"/>
          <w:szCs w:val="24"/>
          <w:lang w:eastAsia="en-AU"/>
        </w:rPr>
        <w:t>45</w:t>
      </w:r>
      <w:r w:rsidR="001B22DE" w:rsidRPr="00775591">
        <w:rPr>
          <w:rFonts w:eastAsia="Times New Roman"/>
          <w:szCs w:val="24"/>
          <w:lang w:eastAsia="en-AU"/>
        </w:rPr>
        <w:t xml:space="preserve"> above. </w:t>
      </w:r>
    </w:p>
    <w:p w:rsidR="00FE4D55" w:rsidRPr="00775591" w:rsidRDefault="00932933" w:rsidP="00FE4D55">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 inclusion of references to subsection 23EL(3) or (5) reflects </w:t>
      </w:r>
      <w:r w:rsidR="00621C04" w:rsidRPr="00775591">
        <w:rPr>
          <w:rFonts w:eastAsia="Times New Roman"/>
          <w:szCs w:val="24"/>
          <w:lang w:eastAsia="en-AU"/>
        </w:rPr>
        <w:t>the fact that it is not appro</w:t>
      </w:r>
      <w:r w:rsidRPr="00775591">
        <w:rPr>
          <w:rFonts w:eastAsia="Times New Roman"/>
          <w:szCs w:val="24"/>
          <w:lang w:eastAsia="en-AU"/>
        </w:rPr>
        <w:t>priate for the Court to order a new trial</w:t>
      </w:r>
      <w:r w:rsidR="00C80249" w:rsidRPr="00775591">
        <w:rPr>
          <w:rFonts w:eastAsia="Times New Roman"/>
          <w:szCs w:val="24"/>
          <w:lang w:eastAsia="en-AU"/>
        </w:rPr>
        <w:t xml:space="preserve"> of an accused in relation to </w:t>
      </w:r>
      <w:r w:rsidR="00F44F93" w:rsidRPr="00775591">
        <w:rPr>
          <w:rFonts w:eastAsia="Times New Roman"/>
          <w:szCs w:val="24"/>
          <w:lang w:eastAsia="en-AU"/>
        </w:rPr>
        <w:t xml:space="preserve">a </w:t>
      </w:r>
      <w:r w:rsidR="00C80249" w:rsidRPr="00775591">
        <w:rPr>
          <w:rFonts w:eastAsia="Times New Roman"/>
          <w:szCs w:val="24"/>
          <w:lang w:eastAsia="en-AU"/>
        </w:rPr>
        <w:t xml:space="preserve">count in the indictment </w:t>
      </w:r>
      <w:r w:rsidRPr="00775591">
        <w:rPr>
          <w:rFonts w:eastAsia="Times New Roman"/>
          <w:szCs w:val="24"/>
          <w:lang w:eastAsia="en-AU"/>
        </w:rPr>
        <w:t xml:space="preserve"> if the jury is discharged for the reasons provided by these subsections</w:t>
      </w:r>
      <w:r w:rsidR="00FE4D55" w:rsidRPr="00775591">
        <w:rPr>
          <w:rFonts w:eastAsia="Times New Roman"/>
          <w:szCs w:val="24"/>
          <w:lang w:eastAsia="en-AU"/>
        </w:rPr>
        <w:t xml:space="preserve"> within three months of the jury’s empanelment</w:t>
      </w:r>
      <w:r w:rsidRPr="00775591">
        <w:rPr>
          <w:rFonts w:eastAsia="Times New Roman"/>
          <w:szCs w:val="24"/>
          <w:lang w:eastAsia="en-AU"/>
        </w:rPr>
        <w:t xml:space="preserve">. </w:t>
      </w:r>
      <w:r w:rsidR="00FE4D55" w:rsidRPr="00775591">
        <w:rPr>
          <w:rFonts w:eastAsia="Times New Roman"/>
          <w:szCs w:val="24"/>
          <w:lang w:eastAsia="en-AU"/>
        </w:rPr>
        <w:t>This is to allow the Court to form a new jury from an existing jury panel within three months of the jury’s empan</w:t>
      </w:r>
      <w:r w:rsidR="00141F80">
        <w:rPr>
          <w:rFonts w:eastAsia="Times New Roman"/>
          <w:szCs w:val="24"/>
          <w:lang w:eastAsia="en-AU"/>
        </w:rPr>
        <w:t>elment, as inserted by item 45</w:t>
      </w:r>
      <w:r w:rsidR="00FE4D55" w:rsidRPr="00775591">
        <w:rPr>
          <w:rFonts w:eastAsia="Times New Roman"/>
          <w:szCs w:val="24"/>
          <w:lang w:eastAsia="en-AU"/>
        </w:rPr>
        <w:t xml:space="preserve"> above. </w:t>
      </w:r>
    </w:p>
    <w:p w:rsidR="000C485B" w:rsidRPr="00775591" w:rsidRDefault="000C485B" w:rsidP="000C485B">
      <w:pPr>
        <w:pStyle w:val="ListParagraph"/>
        <w:spacing w:after="240"/>
        <w:ind w:left="0"/>
        <w:contextualSpacing w:val="0"/>
        <w:rPr>
          <w:rFonts w:eastAsia="Times New Roman"/>
          <w:b/>
          <w:szCs w:val="24"/>
          <w:lang w:eastAsia="en-AU"/>
        </w:rPr>
      </w:pPr>
      <w:r w:rsidRPr="00775591">
        <w:rPr>
          <w:rFonts w:eastAsia="Times New Roman"/>
          <w:b/>
          <w:szCs w:val="24"/>
          <w:lang w:eastAsia="en-AU"/>
        </w:rPr>
        <w:t xml:space="preserve">Item </w:t>
      </w:r>
      <w:r w:rsidR="00D910B5" w:rsidRPr="00775591">
        <w:rPr>
          <w:rFonts w:eastAsia="Times New Roman"/>
          <w:b/>
          <w:szCs w:val="24"/>
          <w:lang w:eastAsia="en-AU"/>
        </w:rPr>
        <w:t>48</w:t>
      </w:r>
      <w:r w:rsidRPr="00775591">
        <w:rPr>
          <w:rFonts w:eastAsia="Times New Roman"/>
          <w:b/>
          <w:szCs w:val="24"/>
          <w:lang w:eastAsia="en-AU"/>
        </w:rPr>
        <w:t xml:space="preserve">: </w:t>
      </w:r>
      <w:r w:rsidR="007668DF" w:rsidRPr="00775591">
        <w:rPr>
          <w:rFonts w:eastAsia="Times New Roman"/>
          <w:b/>
          <w:szCs w:val="24"/>
          <w:lang w:eastAsia="en-AU"/>
        </w:rPr>
        <w:t>Subsection 23EM(3)</w:t>
      </w:r>
    </w:p>
    <w:p w:rsidR="007668DF" w:rsidRPr="00775591" w:rsidRDefault="00820037" w:rsidP="00A74D65">
      <w:pPr>
        <w:pStyle w:val="ListParagraph"/>
        <w:numPr>
          <w:ilvl w:val="0"/>
          <w:numId w:val="29"/>
        </w:numPr>
        <w:spacing w:after="240"/>
        <w:ind w:left="0" w:firstLine="0"/>
        <w:contextualSpacing w:val="0"/>
        <w:rPr>
          <w:szCs w:val="24"/>
        </w:rPr>
      </w:pPr>
      <w:r w:rsidRPr="00775591">
        <w:rPr>
          <w:rFonts w:eastAsia="Times New Roman"/>
          <w:szCs w:val="24"/>
          <w:lang w:eastAsia="en-AU"/>
        </w:rPr>
        <w:t xml:space="preserve">This item will repeal subsection 23EM(3) of the Federal Court of Australia Act and replace it with a new subsection. </w:t>
      </w:r>
    </w:p>
    <w:p w:rsidR="00477C64" w:rsidRPr="00775591" w:rsidRDefault="00820037" w:rsidP="00A74D65">
      <w:pPr>
        <w:pStyle w:val="ListParagraph"/>
        <w:numPr>
          <w:ilvl w:val="0"/>
          <w:numId w:val="29"/>
        </w:numPr>
        <w:spacing w:after="240"/>
        <w:ind w:left="0" w:firstLine="0"/>
        <w:contextualSpacing w:val="0"/>
        <w:rPr>
          <w:szCs w:val="24"/>
        </w:rPr>
      </w:pPr>
      <w:r w:rsidRPr="00775591">
        <w:rPr>
          <w:rFonts w:eastAsia="Times New Roman"/>
          <w:szCs w:val="24"/>
          <w:lang w:eastAsia="en-AU"/>
        </w:rPr>
        <w:t>New subsection 23EM(3) will provide that</w:t>
      </w:r>
      <w:r w:rsidR="00063EB9" w:rsidRPr="00775591">
        <w:rPr>
          <w:rFonts w:eastAsia="Times New Roman"/>
          <w:szCs w:val="24"/>
          <w:lang w:eastAsia="en-AU"/>
        </w:rPr>
        <w:t xml:space="preserve"> </w:t>
      </w:r>
      <w:r w:rsidR="0007428D" w:rsidRPr="00775591">
        <w:rPr>
          <w:rFonts w:eastAsia="Times New Roman"/>
          <w:szCs w:val="24"/>
          <w:lang w:eastAsia="en-AU"/>
        </w:rPr>
        <w:t>if the jury is discharged under subsection 23EL(3) or (5)</w:t>
      </w:r>
      <w:r w:rsidR="00453A41" w:rsidRPr="00775591">
        <w:rPr>
          <w:rFonts w:eastAsia="Times New Roman"/>
          <w:szCs w:val="24"/>
          <w:lang w:eastAsia="en-AU"/>
        </w:rPr>
        <w:t xml:space="preserve"> during the three month period starting on the day on which a jury is first empanelled for the trial under section 23DU, </w:t>
      </w:r>
      <w:r w:rsidR="0007428D" w:rsidRPr="00775591">
        <w:rPr>
          <w:rFonts w:eastAsia="Times New Roman"/>
          <w:szCs w:val="24"/>
          <w:lang w:eastAsia="en-AU"/>
        </w:rPr>
        <w:t>the Court may direct an officer of the Court to start the process for empanelling a new jury under sectio</w:t>
      </w:r>
      <w:r w:rsidR="00453A41" w:rsidRPr="00775591">
        <w:rPr>
          <w:rFonts w:eastAsia="Times New Roman"/>
          <w:szCs w:val="24"/>
          <w:lang w:eastAsia="en-AU"/>
        </w:rPr>
        <w:t>n 23DU from the same jury panel and give any other direction the Court thinks it convenient to give in relation to that process.</w:t>
      </w:r>
    </w:p>
    <w:p w:rsidR="00820037" w:rsidRPr="00775591" w:rsidRDefault="00477C64" w:rsidP="00A74D65">
      <w:pPr>
        <w:pStyle w:val="ListParagraph"/>
        <w:numPr>
          <w:ilvl w:val="0"/>
          <w:numId w:val="29"/>
        </w:numPr>
        <w:spacing w:after="240"/>
        <w:ind w:left="0" w:firstLine="0"/>
        <w:contextualSpacing w:val="0"/>
        <w:rPr>
          <w:szCs w:val="24"/>
        </w:rPr>
      </w:pPr>
      <w:r w:rsidRPr="00775591">
        <w:rPr>
          <w:rFonts w:eastAsia="Times New Roman"/>
          <w:szCs w:val="24"/>
          <w:lang w:eastAsia="en-AU"/>
        </w:rPr>
        <w:t xml:space="preserve">Providing the Court with the ability to give a direction reflects the fact that potential jurors who were </w:t>
      </w:r>
      <w:r w:rsidR="00193F13" w:rsidRPr="00775591">
        <w:rPr>
          <w:rFonts w:eastAsia="Times New Roman"/>
          <w:szCs w:val="24"/>
          <w:lang w:eastAsia="en-AU"/>
        </w:rPr>
        <w:t xml:space="preserve">suitable for an original trial, may become unsuitable for a subsequent trial. For example, they may be convicted of a crime. </w:t>
      </w:r>
      <w:r w:rsidR="00453A41" w:rsidRPr="00775591">
        <w:rPr>
          <w:rFonts w:eastAsia="Times New Roman"/>
          <w:szCs w:val="24"/>
          <w:lang w:eastAsia="en-AU"/>
        </w:rPr>
        <w:t xml:space="preserve"> </w:t>
      </w:r>
      <w:r w:rsidR="0007428D" w:rsidRPr="00775591">
        <w:rPr>
          <w:rFonts w:eastAsia="Times New Roman"/>
          <w:szCs w:val="24"/>
          <w:lang w:eastAsia="en-AU"/>
        </w:rPr>
        <w:t xml:space="preserve"> </w:t>
      </w:r>
    </w:p>
    <w:p w:rsidR="00C30D47" w:rsidRPr="00775591" w:rsidRDefault="00C30D47" w:rsidP="00A74D65">
      <w:pPr>
        <w:pStyle w:val="ListParagraph"/>
        <w:numPr>
          <w:ilvl w:val="0"/>
          <w:numId w:val="29"/>
        </w:numPr>
        <w:spacing w:after="240"/>
        <w:ind w:left="0" w:firstLine="0"/>
        <w:contextualSpacing w:val="0"/>
        <w:rPr>
          <w:szCs w:val="24"/>
        </w:rPr>
      </w:pPr>
      <w:r w:rsidRPr="00775591">
        <w:rPr>
          <w:rFonts w:eastAsia="Times New Roman"/>
          <w:szCs w:val="24"/>
          <w:lang w:eastAsia="en-AU"/>
        </w:rPr>
        <w:t>The note at the end of the subsection wi</w:t>
      </w:r>
      <w:r w:rsidR="00873D67" w:rsidRPr="00775591">
        <w:rPr>
          <w:rFonts w:eastAsia="Times New Roman"/>
          <w:szCs w:val="24"/>
          <w:lang w:eastAsia="en-AU"/>
        </w:rPr>
        <w:t xml:space="preserve">ll provide </w:t>
      </w:r>
      <w:r w:rsidRPr="00775591">
        <w:rPr>
          <w:rFonts w:eastAsia="Times New Roman"/>
          <w:szCs w:val="24"/>
          <w:lang w:eastAsia="en-AU"/>
        </w:rPr>
        <w:t>example</w:t>
      </w:r>
      <w:r w:rsidR="00873D67" w:rsidRPr="00775591">
        <w:rPr>
          <w:rFonts w:eastAsia="Times New Roman"/>
          <w:szCs w:val="24"/>
          <w:lang w:eastAsia="en-AU"/>
        </w:rPr>
        <w:t>s</w:t>
      </w:r>
      <w:r w:rsidRPr="00775591">
        <w:rPr>
          <w:rFonts w:eastAsia="Times New Roman"/>
          <w:szCs w:val="24"/>
          <w:lang w:eastAsia="en-AU"/>
        </w:rPr>
        <w:t xml:space="preserve"> </w:t>
      </w:r>
      <w:r w:rsidR="00873D67" w:rsidRPr="00775591">
        <w:rPr>
          <w:rFonts w:eastAsia="Times New Roman"/>
          <w:szCs w:val="24"/>
          <w:lang w:eastAsia="en-AU"/>
        </w:rPr>
        <w:t>o</w:t>
      </w:r>
      <w:r w:rsidR="00477C64" w:rsidRPr="00775591">
        <w:rPr>
          <w:rFonts w:eastAsia="Times New Roman"/>
          <w:szCs w:val="24"/>
          <w:lang w:eastAsia="en-AU"/>
        </w:rPr>
        <w:t>f</w:t>
      </w:r>
      <w:r w:rsidRPr="00775591">
        <w:rPr>
          <w:rFonts w:eastAsia="Times New Roman"/>
          <w:szCs w:val="24"/>
          <w:lang w:eastAsia="en-AU"/>
        </w:rPr>
        <w:t xml:space="preserve"> </w:t>
      </w:r>
      <w:r w:rsidR="0039195F" w:rsidRPr="00775591">
        <w:rPr>
          <w:rFonts w:eastAsia="Times New Roman"/>
          <w:szCs w:val="24"/>
          <w:lang w:eastAsia="en-AU"/>
        </w:rPr>
        <w:t xml:space="preserve">the types of directions the </w:t>
      </w:r>
      <w:r w:rsidRPr="00775591">
        <w:rPr>
          <w:rFonts w:eastAsia="Times New Roman"/>
          <w:szCs w:val="24"/>
          <w:lang w:eastAsia="en-AU"/>
        </w:rPr>
        <w:t>Court</w:t>
      </w:r>
      <w:r w:rsidR="0039195F" w:rsidRPr="00775591">
        <w:rPr>
          <w:rFonts w:eastAsia="Times New Roman"/>
          <w:szCs w:val="24"/>
          <w:lang w:eastAsia="en-AU"/>
        </w:rPr>
        <w:t xml:space="preserve"> may give</w:t>
      </w:r>
      <w:r w:rsidRPr="00775591">
        <w:rPr>
          <w:rFonts w:eastAsia="Times New Roman"/>
          <w:szCs w:val="24"/>
          <w:lang w:eastAsia="en-AU"/>
        </w:rPr>
        <w:t>.</w:t>
      </w:r>
      <w:r w:rsidR="00873D67" w:rsidRPr="00775591">
        <w:rPr>
          <w:rFonts w:eastAsia="Times New Roman"/>
          <w:szCs w:val="24"/>
          <w:lang w:eastAsia="en-AU"/>
        </w:rPr>
        <w:t xml:space="preserve"> </w:t>
      </w:r>
      <w:r w:rsidRPr="00775591">
        <w:rPr>
          <w:rFonts w:eastAsia="Times New Roman"/>
          <w:szCs w:val="24"/>
          <w:lang w:eastAsia="en-AU"/>
        </w:rPr>
        <w:t xml:space="preserve"> </w:t>
      </w:r>
    </w:p>
    <w:p w:rsidR="00477C64" w:rsidRPr="00775591" w:rsidRDefault="000E3677" w:rsidP="00477C64">
      <w:pPr>
        <w:pStyle w:val="ListParagraph"/>
        <w:numPr>
          <w:ilvl w:val="0"/>
          <w:numId w:val="29"/>
        </w:numPr>
        <w:spacing w:after="240"/>
        <w:ind w:left="0" w:firstLine="0"/>
        <w:contextualSpacing w:val="0"/>
        <w:rPr>
          <w:szCs w:val="24"/>
        </w:rPr>
      </w:pPr>
      <w:r w:rsidRPr="00775591">
        <w:rPr>
          <w:rFonts w:eastAsia="Times New Roman"/>
          <w:szCs w:val="24"/>
          <w:lang w:eastAsia="en-AU"/>
        </w:rPr>
        <w:t>This item compliments item 45</w:t>
      </w:r>
      <w:r w:rsidR="00477C64" w:rsidRPr="00775591">
        <w:rPr>
          <w:rFonts w:eastAsia="Times New Roman"/>
          <w:szCs w:val="24"/>
          <w:lang w:eastAsia="en-AU"/>
        </w:rPr>
        <w:t xml:space="preserve"> above to allow the Court to draw potential jurors from an existing jury panel within three months of the empanelment of an original jury, so that the Court does not need to go through the entire process of forming a jury from the beginning if a jury must be dismissed under subsection 23EL(3) or (5).   </w:t>
      </w:r>
    </w:p>
    <w:p w:rsidR="003728CA" w:rsidRPr="00775591" w:rsidRDefault="003A701E" w:rsidP="007668DF">
      <w:pPr>
        <w:pStyle w:val="ListParagraph"/>
        <w:spacing w:after="240"/>
        <w:ind w:left="0"/>
        <w:contextualSpacing w:val="0"/>
        <w:rPr>
          <w:b/>
          <w:szCs w:val="24"/>
        </w:rPr>
      </w:pPr>
      <w:r w:rsidRPr="00775591">
        <w:rPr>
          <w:b/>
          <w:szCs w:val="24"/>
        </w:rPr>
        <w:t>Item 49</w:t>
      </w:r>
      <w:r w:rsidR="003728CA" w:rsidRPr="00775591">
        <w:rPr>
          <w:b/>
          <w:szCs w:val="24"/>
        </w:rPr>
        <w:t>: Paragraph 23EM(5)(a)</w:t>
      </w:r>
    </w:p>
    <w:p w:rsidR="00B72F97" w:rsidRPr="00775591" w:rsidRDefault="00B72F97" w:rsidP="00B72F97">
      <w:pPr>
        <w:pStyle w:val="ListParagraph"/>
        <w:numPr>
          <w:ilvl w:val="0"/>
          <w:numId w:val="29"/>
        </w:numPr>
        <w:spacing w:after="240"/>
        <w:ind w:left="0" w:firstLine="0"/>
        <w:contextualSpacing w:val="0"/>
        <w:rPr>
          <w:szCs w:val="24"/>
        </w:rPr>
      </w:pPr>
      <w:r w:rsidRPr="00775591">
        <w:rPr>
          <w:rFonts w:eastAsia="Times New Roman"/>
          <w:szCs w:val="24"/>
          <w:lang w:eastAsia="en-AU"/>
        </w:rPr>
        <w:t xml:space="preserve">This </w:t>
      </w:r>
      <w:r w:rsidR="00A91CA9" w:rsidRPr="00775591">
        <w:rPr>
          <w:rFonts w:eastAsia="Times New Roman"/>
          <w:szCs w:val="24"/>
          <w:lang w:eastAsia="en-AU"/>
        </w:rPr>
        <w:t>item will repeal paragraph 23EM(5)(a) of the Federal Court of Australia Act and replace it with a new paragraph.</w:t>
      </w:r>
    </w:p>
    <w:p w:rsidR="00A91CA9" w:rsidRPr="00775591" w:rsidRDefault="00A91CA9" w:rsidP="00B72F97">
      <w:pPr>
        <w:pStyle w:val="ListParagraph"/>
        <w:numPr>
          <w:ilvl w:val="0"/>
          <w:numId w:val="29"/>
        </w:numPr>
        <w:spacing w:after="240"/>
        <w:ind w:left="0" w:firstLine="0"/>
        <w:contextualSpacing w:val="0"/>
        <w:rPr>
          <w:szCs w:val="24"/>
        </w:rPr>
      </w:pPr>
      <w:r w:rsidRPr="00775591">
        <w:rPr>
          <w:rFonts w:eastAsia="Times New Roman"/>
          <w:szCs w:val="24"/>
          <w:lang w:eastAsia="en-AU"/>
        </w:rPr>
        <w:t xml:space="preserve">New paragraph 23EM(5)(a) </w:t>
      </w:r>
      <w:r w:rsidR="001218F5" w:rsidRPr="00775591">
        <w:rPr>
          <w:rFonts w:eastAsia="Times New Roman"/>
          <w:szCs w:val="24"/>
          <w:lang w:eastAsia="en-AU"/>
        </w:rPr>
        <w:t>will provide that</w:t>
      </w:r>
      <w:r w:rsidR="003436AA" w:rsidRPr="00775591">
        <w:rPr>
          <w:rFonts w:eastAsia="Times New Roman"/>
          <w:szCs w:val="24"/>
          <w:lang w:eastAsia="en-AU"/>
        </w:rPr>
        <w:t xml:space="preserve"> any person previously empanelled as a juror in the trial</w:t>
      </w:r>
      <w:r w:rsidR="00377C1D" w:rsidRPr="00775591">
        <w:rPr>
          <w:rFonts w:eastAsia="Times New Roman"/>
          <w:szCs w:val="24"/>
          <w:lang w:eastAsia="en-AU"/>
        </w:rPr>
        <w:t>, including any</w:t>
      </w:r>
      <w:r w:rsidR="003436AA" w:rsidRPr="00775591">
        <w:rPr>
          <w:rFonts w:eastAsia="Times New Roman"/>
          <w:szCs w:val="24"/>
          <w:lang w:eastAsia="en-AU"/>
        </w:rPr>
        <w:t xml:space="preserve"> person</w:t>
      </w:r>
      <w:r w:rsidR="00377C1D" w:rsidRPr="00775591">
        <w:rPr>
          <w:rFonts w:eastAsia="Times New Roman"/>
          <w:szCs w:val="24"/>
          <w:lang w:eastAsia="en-AU"/>
        </w:rPr>
        <w:t xml:space="preserve"> discharged</w:t>
      </w:r>
      <w:r w:rsidR="003436AA" w:rsidRPr="00775591">
        <w:rPr>
          <w:rFonts w:eastAsia="Times New Roman"/>
          <w:szCs w:val="24"/>
          <w:lang w:eastAsia="en-AU"/>
        </w:rPr>
        <w:t xml:space="preserve"> otherwise than under subsection 23EJ(1)</w:t>
      </w:r>
      <w:r w:rsidR="00377C1D" w:rsidRPr="00775591">
        <w:rPr>
          <w:rFonts w:eastAsia="Times New Roman"/>
          <w:szCs w:val="24"/>
          <w:lang w:eastAsia="en-AU"/>
        </w:rPr>
        <w:t xml:space="preserve"> before the direction under</w:t>
      </w:r>
      <w:r w:rsidR="003436AA" w:rsidRPr="00775591">
        <w:rPr>
          <w:rFonts w:eastAsia="Times New Roman"/>
          <w:szCs w:val="24"/>
          <w:lang w:eastAsia="en-AU"/>
        </w:rPr>
        <w:t xml:space="preserve"> paragraph (3)(a) </w:t>
      </w:r>
      <w:r w:rsidR="00377C1D" w:rsidRPr="00775591">
        <w:rPr>
          <w:rFonts w:eastAsia="Times New Roman"/>
          <w:szCs w:val="24"/>
          <w:lang w:eastAsia="en-AU"/>
        </w:rPr>
        <w:t>was given, and any potential juror</w:t>
      </w:r>
      <w:r w:rsidR="003436AA" w:rsidRPr="00775591">
        <w:rPr>
          <w:rFonts w:eastAsia="Times New Roman"/>
          <w:szCs w:val="24"/>
          <w:lang w:eastAsia="en-AU"/>
        </w:rPr>
        <w:t xml:space="preserve"> in the trial </w:t>
      </w:r>
      <w:r w:rsidR="00377C1D" w:rsidRPr="00775591">
        <w:rPr>
          <w:rFonts w:eastAsia="Times New Roman"/>
          <w:szCs w:val="24"/>
          <w:lang w:eastAsia="en-AU"/>
        </w:rPr>
        <w:t>discharged before the</w:t>
      </w:r>
      <w:r w:rsidR="003436AA" w:rsidRPr="00775591">
        <w:rPr>
          <w:rFonts w:eastAsia="Times New Roman"/>
          <w:szCs w:val="24"/>
          <w:lang w:eastAsia="en-AU"/>
        </w:rPr>
        <w:t xml:space="preserve"> direction under paragraph (3)(a) was given</w:t>
      </w:r>
      <w:r w:rsidR="00377C1D" w:rsidRPr="00775591">
        <w:rPr>
          <w:rFonts w:eastAsia="Times New Roman"/>
          <w:szCs w:val="24"/>
          <w:lang w:eastAsia="en-AU"/>
        </w:rPr>
        <w:t xml:space="preserve">, cannot be empanelled on the new jury and remain discharged. </w:t>
      </w:r>
    </w:p>
    <w:p w:rsidR="00E47D14" w:rsidRPr="00775591" w:rsidRDefault="00E47D14" w:rsidP="00B72F97">
      <w:pPr>
        <w:pStyle w:val="ListParagraph"/>
        <w:numPr>
          <w:ilvl w:val="0"/>
          <w:numId w:val="29"/>
        </w:numPr>
        <w:spacing w:after="240"/>
        <w:ind w:left="0" w:firstLine="0"/>
        <w:contextualSpacing w:val="0"/>
        <w:rPr>
          <w:szCs w:val="24"/>
        </w:rPr>
      </w:pPr>
      <w:r w:rsidRPr="00775591">
        <w:rPr>
          <w:rFonts w:eastAsia="Times New Roman"/>
          <w:szCs w:val="24"/>
          <w:lang w:eastAsia="en-AU"/>
        </w:rPr>
        <w:t xml:space="preserve">This will </w:t>
      </w:r>
      <w:r w:rsidR="008A1065" w:rsidRPr="00775591">
        <w:rPr>
          <w:rFonts w:eastAsia="Times New Roman"/>
          <w:szCs w:val="24"/>
          <w:lang w:eastAsia="en-AU"/>
        </w:rPr>
        <w:t xml:space="preserve">ensure that jurors deemed ineligible to serve on the first jury, cannot be empaneled </w:t>
      </w:r>
      <w:r w:rsidR="002E1B4F" w:rsidRPr="00775591">
        <w:rPr>
          <w:rFonts w:eastAsia="Times New Roman"/>
          <w:szCs w:val="24"/>
          <w:lang w:eastAsia="en-AU"/>
        </w:rPr>
        <w:t>for a new jury</w:t>
      </w:r>
      <w:r w:rsidR="00572D91" w:rsidRPr="00775591">
        <w:rPr>
          <w:rFonts w:eastAsia="Times New Roman"/>
          <w:szCs w:val="24"/>
          <w:lang w:eastAsia="en-AU"/>
        </w:rPr>
        <w:t>. This is because the circumstances deeming the potential jurors</w:t>
      </w:r>
      <w:r w:rsidR="00A77738" w:rsidRPr="00775591">
        <w:rPr>
          <w:rFonts w:eastAsia="Times New Roman"/>
          <w:szCs w:val="24"/>
          <w:lang w:eastAsia="en-AU"/>
        </w:rPr>
        <w:t xml:space="preserve"> ineligible for the first jury will also apply to a new jury. </w:t>
      </w:r>
    </w:p>
    <w:p w:rsidR="000765E7" w:rsidRPr="00775591" w:rsidRDefault="004C5BCF" w:rsidP="007668DF">
      <w:pPr>
        <w:pStyle w:val="ListParagraph"/>
        <w:spacing w:after="240"/>
        <w:ind w:left="0"/>
        <w:contextualSpacing w:val="0"/>
        <w:rPr>
          <w:b/>
          <w:szCs w:val="24"/>
        </w:rPr>
      </w:pPr>
      <w:r w:rsidRPr="00775591">
        <w:rPr>
          <w:b/>
          <w:szCs w:val="24"/>
        </w:rPr>
        <w:t>Item 50</w:t>
      </w:r>
      <w:r w:rsidR="000765E7" w:rsidRPr="00775591">
        <w:rPr>
          <w:b/>
          <w:szCs w:val="24"/>
        </w:rPr>
        <w:t>: Paragraph 23GB(2)(b)</w:t>
      </w:r>
    </w:p>
    <w:p w:rsidR="000765E7" w:rsidRPr="00775591" w:rsidRDefault="006E6980" w:rsidP="00B702A2">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replace the reference to “paragraph 23CA(1)(b)”</w:t>
      </w:r>
      <w:r w:rsidR="00263501" w:rsidRPr="00775591">
        <w:rPr>
          <w:rFonts w:eastAsia="Times New Roman"/>
          <w:szCs w:val="24"/>
          <w:lang w:eastAsia="en-AU"/>
        </w:rPr>
        <w:t xml:space="preserve"> in paragraph 23GB(2)(b) of the Federal Court of Australia Act</w:t>
      </w:r>
      <w:r w:rsidRPr="00775591">
        <w:rPr>
          <w:rFonts w:eastAsia="Times New Roman"/>
          <w:szCs w:val="24"/>
          <w:lang w:eastAsia="en-AU"/>
        </w:rPr>
        <w:t xml:space="preserve"> and substitute it with a reference to “paragraph 23CA(b)”</w:t>
      </w:r>
      <w:r w:rsidR="00A81F2A" w:rsidRPr="00775591">
        <w:rPr>
          <w:rFonts w:eastAsia="Times New Roman"/>
          <w:szCs w:val="24"/>
          <w:lang w:eastAsia="en-AU"/>
        </w:rPr>
        <w:t>. This is required because of the amendment to sectio</w:t>
      </w:r>
      <w:r w:rsidR="00CF075F" w:rsidRPr="00775591">
        <w:rPr>
          <w:rFonts w:eastAsia="Times New Roman"/>
          <w:szCs w:val="24"/>
          <w:lang w:eastAsia="en-AU"/>
        </w:rPr>
        <w:t>n 23CA inserted by item 4</w:t>
      </w:r>
      <w:r w:rsidR="00A81F2A" w:rsidRPr="00775591">
        <w:rPr>
          <w:rFonts w:eastAsia="Times New Roman"/>
          <w:szCs w:val="24"/>
          <w:lang w:eastAsia="en-AU"/>
        </w:rPr>
        <w:t xml:space="preserve">2 above. </w:t>
      </w:r>
    </w:p>
    <w:p w:rsidR="00E81C03" w:rsidRPr="00775591" w:rsidRDefault="00E81C03" w:rsidP="006462BC">
      <w:pPr>
        <w:pStyle w:val="Paragraphnumbered"/>
        <w:keepNext/>
        <w:rPr>
          <w:b/>
          <w:szCs w:val="24"/>
        </w:rPr>
      </w:pPr>
      <w:r w:rsidRPr="00775591">
        <w:rPr>
          <w:b/>
          <w:szCs w:val="24"/>
        </w:rPr>
        <w:t xml:space="preserve">Item </w:t>
      </w:r>
      <w:r w:rsidR="00B56E30" w:rsidRPr="00775591">
        <w:rPr>
          <w:b/>
          <w:szCs w:val="24"/>
        </w:rPr>
        <w:t>51</w:t>
      </w:r>
      <w:r w:rsidR="00022323" w:rsidRPr="00775591">
        <w:rPr>
          <w:b/>
          <w:szCs w:val="24"/>
        </w:rPr>
        <w:t>: Paragraph 30AE(4)(a)</w:t>
      </w:r>
    </w:p>
    <w:p w:rsidR="00022323" w:rsidRPr="00775591" w:rsidRDefault="00022323" w:rsidP="006462BC">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repeal paragraph 30AE(4)(a)</w:t>
      </w:r>
      <w:r w:rsidR="009668EA" w:rsidRPr="00775591">
        <w:rPr>
          <w:rFonts w:eastAsia="Times New Roman"/>
          <w:szCs w:val="24"/>
          <w:lang w:eastAsia="en-AU"/>
        </w:rPr>
        <w:t xml:space="preserve"> of the Federal Court of Australia Act</w:t>
      </w:r>
      <w:r w:rsidRPr="00775591">
        <w:rPr>
          <w:rFonts w:eastAsia="Times New Roman"/>
          <w:szCs w:val="24"/>
          <w:lang w:eastAsia="en-AU"/>
        </w:rPr>
        <w:t xml:space="preserve">. </w:t>
      </w:r>
    </w:p>
    <w:p w:rsidR="00022323" w:rsidRPr="00775591" w:rsidRDefault="00022323" w:rsidP="00B702A2">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Paragraph 30AE(4)(a) relates to orders of a kind which are not appropriate in criminal appeal proceedings because</w:t>
      </w:r>
      <w:r w:rsidR="00EA1181" w:rsidRPr="00775591">
        <w:rPr>
          <w:rFonts w:eastAsia="Times New Roman"/>
          <w:szCs w:val="24"/>
          <w:lang w:eastAsia="en-AU"/>
        </w:rPr>
        <w:t xml:space="preserve"> </w:t>
      </w:r>
      <w:r w:rsidRPr="00775591">
        <w:rPr>
          <w:rFonts w:eastAsia="Times New Roman"/>
          <w:szCs w:val="24"/>
          <w:lang w:eastAsia="en-AU"/>
        </w:rPr>
        <w:t>in a criminal appeal there is no basis for a court to join additional parties.</w:t>
      </w:r>
    </w:p>
    <w:p w:rsidR="003173E0" w:rsidRPr="00775591" w:rsidRDefault="003173E0" w:rsidP="00022323">
      <w:pPr>
        <w:pStyle w:val="Paragraphnumbered"/>
        <w:keepNext/>
        <w:rPr>
          <w:b/>
          <w:szCs w:val="24"/>
        </w:rPr>
      </w:pPr>
      <w:r w:rsidRPr="00775591">
        <w:rPr>
          <w:b/>
          <w:szCs w:val="24"/>
        </w:rPr>
        <w:t xml:space="preserve">Item </w:t>
      </w:r>
      <w:r w:rsidR="00BF6124" w:rsidRPr="00775591">
        <w:rPr>
          <w:b/>
          <w:szCs w:val="24"/>
        </w:rPr>
        <w:t>52</w:t>
      </w:r>
      <w:r w:rsidRPr="00775591">
        <w:rPr>
          <w:b/>
          <w:szCs w:val="24"/>
        </w:rPr>
        <w:t>: Paragraph 30AL(a)</w:t>
      </w:r>
    </w:p>
    <w:p w:rsidR="003173E0" w:rsidRPr="00775591" w:rsidRDefault="003173E0" w:rsidP="002A6781">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remove the word “ind</w:t>
      </w:r>
      <w:r w:rsidR="0081173C" w:rsidRPr="00775591">
        <w:rPr>
          <w:rFonts w:eastAsia="Times New Roman"/>
          <w:szCs w:val="24"/>
          <w:lang w:eastAsia="en-AU"/>
        </w:rPr>
        <w:t xml:space="preserve">ictable” from paragraph 30AL(a) </w:t>
      </w:r>
      <w:r w:rsidR="009A5962" w:rsidRPr="00775591">
        <w:rPr>
          <w:rFonts w:eastAsia="Times New Roman"/>
          <w:szCs w:val="24"/>
          <w:lang w:eastAsia="en-AU"/>
        </w:rPr>
        <w:t>of the Federal</w:t>
      </w:r>
      <w:r w:rsidR="0081173C" w:rsidRPr="00775591">
        <w:rPr>
          <w:rFonts w:eastAsia="Times New Roman"/>
          <w:szCs w:val="24"/>
          <w:lang w:eastAsia="en-AU"/>
        </w:rPr>
        <w:t> </w:t>
      </w:r>
      <w:r w:rsidR="009A5962" w:rsidRPr="00775591">
        <w:rPr>
          <w:rFonts w:eastAsia="Times New Roman"/>
          <w:szCs w:val="24"/>
          <w:lang w:eastAsia="en-AU"/>
        </w:rPr>
        <w:t>Court of Australia Act</w:t>
      </w:r>
      <w:r w:rsidR="00EA1181" w:rsidRPr="00775591">
        <w:rPr>
          <w:rFonts w:eastAsia="Times New Roman"/>
          <w:szCs w:val="24"/>
          <w:lang w:eastAsia="en-AU"/>
        </w:rPr>
        <w:t>, to ensure that any time spent on bail does not count toward the service of a sentence in any circumstances</w:t>
      </w:r>
      <w:r w:rsidR="009A5962" w:rsidRPr="00775591">
        <w:rPr>
          <w:rFonts w:eastAsia="Times New Roman"/>
          <w:szCs w:val="24"/>
          <w:lang w:eastAsia="en-AU"/>
        </w:rPr>
        <w:t>.</w:t>
      </w:r>
      <w:r w:rsidRPr="00775591">
        <w:rPr>
          <w:rFonts w:eastAsia="Times New Roman"/>
          <w:szCs w:val="24"/>
          <w:lang w:eastAsia="en-AU"/>
        </w:rPr>
        <w:t xml:space="preserve"> </w:t>
      </w:r>
    </w:p>
    <w:p w:rsidR="006F59E2" w:rsidRPr="00775591" w:rsidRDefault="006F59E2" w:rsidP="002A6781">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amendment is necessary because the Court could potentially </w:t>
      </w:r>
      <w:r w:rsidR="00EA1181" w:rsidRPr="00775591">
        <w:rPr>
          <w:rFonts w:eastAsia="Times New Roman"/>
          <w:szCs w:val="24"/>
          <w:lang w:eastAsia="en-AU"/>
        </w:rPr>
        <w:t xml:space="preserve">grant bail pending the </w:t>
      </w:r>
      <w:r w:rsidRPr="00775591">
        <w:rPr>
          <w:rFonts w:eastAsia="Times New Roman"/>
          <w:szCs w:val="24"/>
          <w:lang w:eastAsia="en-AU"/>
        </w:rPr>
        <w:t>hearing</w:t>
      </w:r>
      <w:r w:rsidR="00EA1181" w:rsidRPr="00775591">
        <w:rPr>
          <w:rFonts w:eastAsia="Times New Roman"/>
          <w:szCs w:val="24"/>
          <w:lang w:eastAsia="en-AU"/>
        </w:rPr>
        <w:t xml:space="preserve"> of</w:t>
      </w:r>
      <w:r w:rsidRPr="00775591">
        <w:rPr>
          <w:rFonts w:eastAsia="Times New Roman"/>
          <w:szCs w:val="24"/>
          <w:lang w:eastAsia="en-AU"/>
        </w:rPr>
        <w:t xml:space="preserve"> an appeal in a summary matter where the defendant has been sentenced to a term of imprisonment. Time spent on bail should not count towards the service of the sentence in any circumstances, and not just where the appellant was convicted of an indictable offence.</w:t>
      </w:r>
    </w:p>
    <w:p w:rsidR="001116BA" w:rsidRPr="00775591" w:rsidRDefault="001116BA" w:rsidP="00BE38D3">
      <w:pPr>
        <w:pStyle w:val="Paragraphnumbered"/>
        <w:keepNext/>
        <w:rPr>
          <w:b/>
          <w:szCs w:val="24"/>
        </w:rPr>
      </w:pPr>
      <w:r w:rsidRPr="00775591">
        <w:rPr>
          <w:b/>
          <w:szCs w:val="24"/>
        </w:rPr>
        <w:t xml:space="preserve">Item </w:t>
      </w:r>
      <w:r w:rsidR="00BF6124" w:rsidRPr="00775591">
        <w:rPr>
          <w:b/>
          <w:szCs w:val="24"/>
        </w:rPr>
        <w:t>53</w:t>
      </w:r>
      <w:r w:rsidRPr="00775591">
        <w:rPr>
          <w:b/>
          <w:szCs w:val="24"/>
        </w:rPr>
        <w:t>: Paragraphs 30BF(2)(b) and (5)(b)</w:t>
      </w:r>
    </w:p>
    <w:p w:rsidR="001116BA" w:rsidRPr="00775591" w:rsidRDefault="001116BA" w:rsidP="00BE38D3">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item will remove the word “Judge”, wherever it occurs, from paragraphs 30BF(2)(b) and (5)(b) </w:t>
      </w:r>
      <w:r w:rsidR="003A4A32" w:rsidRPr="00775591">
        <w:rPr>
          <w:rFonts w:eastAsia="Times New Roman"/>
          <w:szCs w:val="24"/>
          <w:lang w:eastAsia="en-AU"/>
        </w:rPr>
        <w:t xml:space="preserve">of the Federal Court of Australia Act </w:t>
      </w:r>
      <w:r w:rsidRPr="00775591">
        <w:rPr>
          <w:rFonts w:eastAsia="Times New Roman"/>
          <w:szCs w:val="24"/>
          <w:lang w:eastAsia="en-AU"/>
        </w:rPr>
        <w:t xml:space="preserve">and replace it with the words “Judge or magistrate”. </w:t>
      </w:r>
    </w:p>
    <w:p w:rsidR="00B24999" w:rsidRPr="00775591" w:rsidRDefault="006D5445" w:rsidP="005E315B">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These provisions give the Court power to remit a matter for further hearing if it upholds an appeal from a summary prosecution. The current provisions are phrased in terms of the matter being </w:t>
      </w:r>
      <w:r w:rsidR="00DA1593" w:rsidRPr="00775591">
        <w:rPr>
          <w:rFonts w:eastAsia="Times New Roman"/>
          <w:szCs w:val="24"/>
          <w:lang w:eastAsia="en-AU"/>
        </w:rPr>
        <w:t>remitted to “</w:t>
      </w:r>
      <w:r w:rsidRPr="00775591">
        <w:rPr>
          <w:rFonts w:eastAsia="Times New Roman"/>
          <w:szCs w:val="24"/>
          <w:lang w:eastAsia="en-AU"/>
        </w:rPr>
        <w:t>the Judge</w:t>
      </w:r>
      <w:r w:rsidR="00DA1593" w:rsidRPr="00775591">
        <w:rPr>
          <w:rFonts w:eastAsia="Times New Roman"/>
          <w:szCs w:val="24"/>
          <w:lang w:eastAsia="en-AU"/>
        </w:rPr>
        <w:t>”</w:t>
      </w:r>
      <w:r w:rsidRPr="00775591">
        <w:rPr>
          <w:rFonts w:eastAsia="Times New Roman"/>
          <w:szCs w:val="24"/>
          <w:lang w:eastAsia="en-AU"/>
        </w:rPr>
        <w:t xml:space="preserve"> who handled the prosecution. </w:t>
      </w:r>
      <w:r w:rsidR="00425ED0" w:rsidRPr="00775591">
        <w:rPr>
          <w:rFonts w:eastAsia="Times New Roman"/>
          <w:szCs w:val="24"/>
          <w:lang w:eastAsia="en-AU"/>
        </w:rPr>
        <w:t xml:space="preserve">However, </w:t>
      </w:r>
      <w:r w:rsidRPr="00775591">
        <w:rPr>
          <w:rFonts w:eastAsia="Times New Roman"/>
          <w:szCs w:val="24"/>
          <w:lang w:eastAsia="en-AU"/>
        </w:rPr>
        <w:t xml:space="preserve">the Federal Court could be hearing an appeal from a judgment by a </w:t>
      </w:r>
      <w:r w:rsidR="00DA1593" w:rsidRPr="00775591">
        <w:rPr>
          <w:rFonts w:eastAsia="Times New Roman"/>
          <w:szCs w:val="24"/>
          <w:lang w:eastAsia="en-AU"/>
        </w:rPr>
        <w:t>s</w:t>
      </w:r>
      <w:r w:rsidRPr="00775591">
        <w:rPr>
          <w:rFonts w:eastAsia="Times New Roman"/>
          <w:szCs w:val="24"/>
          <w:lang w:eastAsia="en-AU"/>
        </w:rPr>
        <w:t>tate</w:t>
      </w:r>
      <w:r w:rsidR="00DA1593" w:rsidRPr="00775591">
        <w:rPr>
          <w:rFonts w:eastAsia="Times New Roman"/>
          <w:szCs w:val="24"/>
          <w:lang w:eastAsia="en-AU"/>
        </w:rPr>
        <w:t xml:space="preserve"> or t</w:t>
      </w:r>
      <w:r w:rsidRPr="00775591">
        <w:rPr>
          <w:rFonts w:eastAsia="Times New Roman"/>
          <w:szCs w:val="24"/>
          <w:lang w:eastAsia="en-AU"/>
        </w:rPr>
        <w:t>erritory</w:t>
      </w:r>
      <w:r w:rsidR="00310236" w:rsidRPr="00775591">
        <w:rPr>
          <w:rFonts w:eastAsia="Times New Roman"/>
          <w:szCs w:val="24"/>
          <w:lang w:eastAsia="en-AU"/>
        </w:rPr>
        <w:t xml:space="preserve"> magistrate who is not a Judge</w:t>
      </w:r>
      <w:r w:rsidRPr="00775591">
        <w:rPr>
          <w:rFonts w:eastAsia="Times New Roman"/>
          <w:szCs w:val="24"/>
          <w:lang w:eastAsia="en-AU"/>
        </w:rPr>
        <w:t xml:space="preserve">. </w:t>
      </w:r>
    </w:p>
    <w:p w:rsidR="006D5445" w:rsidRPr="00775591" w:rsidRDefault="003C4AC4" w:rsidP="005E315B">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amendment will</w:t>
      </w:r>
      <w:r w:rsidR="006D5445" w:rsidRPr="00775591">
        <w:rPr>
          <w:rFonts w:eastAsia="Times New Roman"/>
          <w:szCs w:val="24"/>
          <w:lang w:eastAsia="en-AU"/>
        </w:rPr>
        <w:t xml:space="preserve"> </w:t>
      </w:r>
      <w:r w:rsidR="00425ED0" w:rsidRPr="00775591">
        <w:rPr>
          <w:rFonts w:eastAsia="Times New Roman"/>
          <w:szCs w:val="24"/>
          <w:lang w:eastAsia="en-AU"/>
        </w:rPr>
        <w:t xml:space="preserve">clarify that the Court does have power to remit a matter to a magistrate if it upholds an appeal in a summary prosecution. </w:t>
      </w:r>
    </w:p>
    <w:p w:rsidR="006D5445" w:rsidRPr="00775591" w:rsidRDefault="00645F3F" w:rsidP="006F59E2">
      <w:pPr>
        <w:pStyle w:val="Paragraphnumbered"/>
        <w:rPr>
          <w:b/>
          <w:szCs w:val="24"/>
        </w:rPr>
      </w:pPr>
      <w:r w:rsidRPr="00775591">
        <w:rPr>
          <w:b/>
          <w:szCs w:val="24"/>
        </w:rPr>
        <w:t xml:space="preserve">Item </w:t>
      </w:r>
      <w:r w:rsidR="00BF6124" w:rsidRPr="00775591">
        <w:rPr>
          <w:b/>
          <w:szCs w:val="24"/>
        </w:rPr>
        <w:t>54</w:t>
      </w:r>
      <w:r w:rsidR="00151C90" w:rsidRPr="00775591">
        <w:rPr>
          <w:b/>
          <w:szCs w:val="24"/>
        </w:rPr>
        <w:t xml:space="preserve">: Application </w:t>
      </w:r>
      <w:r w:rsidRPr="00775591">
        <w:rPr>
          <w:b/>
          <w:szCs w:val="24"/>
        </w:rPr>
        <w:t>provision</w:t>
      </w:r>
    </w:p>
    <w:p w:rsidR="00151C90" w:rsidRPr="00775591" w:rsidRDefault="00151C90" w:rsidP="00F66A1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insert an application provision that wil</w:t>
      </w:r>
      <w:r w:rsidR="00F72E4E" w:rsidRPr="00775591">
        <w:rPr>
          <w:rFonts w:eastAsia="Times New Roman"/>
          <w:szCs w:val="24"/>
          <w:lang w:eastAsia="en-AU"/>
        </w:rPr>
        <w:t>l provide that the amendments to</w:t>
      </w:r>
      <w:r w:rsidRPr="00775591">
        <w:rPr>
          <w:rFonts w:eastAsia="Times New Roman"/>
          <w:szCs w:val="24"/>
          <w:lang w:eastAsia="en-AU"/>
        </w:rPr>
        <w:t xml:space="preserve"> section 30BF of the Fed</w:t>
      </w:r>
      <w:r w:rsidR="00C05ADB" w:rsidRPr="00775591">
        <w:rPr>
          <w:rFonts w:eastAsia="Times New Roman"/>
          <w:szCs w:val="24"/>
          <w:lang w:eastAsia="en-AU"/>
        </w:rPr>
        <w:t>eral Court of Australia Act</w:t>
      </w:r>
      <w:r w:rsidRPr="00775591">
        <w:rPr>
          <w:rFonts w:eastAsia="Times New Roman"/>
          <w:szCs w:val="24"/>
          <w:lang w:eastAsia="en-AU"/>
        </w:rPr>
        <w:t xml:space="preserve">, as inserted by item </w:t>
      </w:r>
      <w:r w:rsidR="00BF6124" w:rsidRPr="00775591">
        <w:rPr>
          <w:rFonts w:eastAsia="Times New Roman"/>
          <w:szCs w:val="24"/>
          <w:lang w:eastAsia="en-AU"/>
        </w:rPr>
        <w:t>53</w:t>
      </w:r>
      <w:r w:rsidR="00CA5FC7" w:rsidRPr="00775591">
        <w:rPr>
          <w:rFonts w:eastAsia="Times New Roman"/>
          <w:szCs w:val="24"/>
          <w:lang w:eastAsia="en-AU"/>
        </w:rPr>
        <w:t xml:space="preserve"> </w:t>
      </w:r>
      <w:r w:rsidR="00AD6EFD" w:rsidRPr="00775591">
        <w:rPr>
          <w:rFonts w:eastAsia="Times New Roman"/>
          <w:szCs w:val="24"/>
          <w:lang w:eastAsia="en-AU"/>
        </w:rPr>
        <w:t>above, apply in relation to an appeal allowed</w:t>
      </w:r>
      <w:r w:rsidR="0069767B" w:rsidRPr="00775591">
        <w:rPr>
          <w:rFonts w:eastAsia="Times New Roman"/>
          <w:szCs w:val="24"/>
          <w:lang w:eastAsia="en-AU"/>
        </w:rPr>
        <w:t xml:space="preserve"> by the Court</w:t>
      </w:r>
      <w:r w:rsidR="00AD6EFD" w:rsidRPr="00775591">
        <w:rPr>
          <w:rFonts w:eastAsia="Times New Roman"/>
          <w:szCs w:val="24"/>
          <w:lang w:eastAsia="en-AU"/>
        </w:rPr>
        <w:t xml:space="preserve"> on, or after</w:t>
      </w:r>
      <w:r w:rsidR="00D50720" w:rsidRPr="00775591">
        <w:rPr>
          <w:rFonts w:eastAsia="Times New Roman"/>
          <w:szCs w:val="24"/>
          <w:lang w:eastAsia="en-AU"/>
        </w:rPr>
        <w:t>,</w:t>
      </w:r>
      <w:r w:rsidR="00AD6EFD" w:rsidRPr="00775591">
        <w:rPr>
          <w:rFonts w:eastAsia="Times New Roman"/>
          <w:szCs w:val="24"/>
          <w:lang w:eastAsia="en-AU"/>
        </w:rPr>
        <w:t xml:space="preserve"> the day the amendments commence, regardless of when the appeal was brought</w:t>
      </w:r>
      <w:r w:rsidR="0069767B" w:rsidRPr="00775591">
        <w:rPr>
          <w:rFonts w:eastAsia="Times New Roman"/>
          <w:szCs w:val="24"/>
          <w:lang w:eastAsia="en-AU"/>
        </w:rPr>
        <w:t xml:space="preserve"> by a party</w:t>
      </w:r>
      <w:r w:rsidR="00AD6EFD" w:rsidRPr="00775591">
        <w:rPr>
          <w:rFonts w:eastAsia="Times New Roman"/>
          <w:szCs w:val="24"/>
          <w:lang w:eastAsia="en-AU"/>
        </w:rPr>
        <w:t xml:space="preserve">. </w:t>
      </w:r>
    </w:p>
    <w:p w:rsidR="00D50720" w:rsidRPr="00775591" w:rsidRDefault="00D50720" w:rsidP="00F66A1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will make it clear that </w:t>
      </w:r>
      <w:r w:rsidR="00BA5787" w:rsidRPr="00775591">
        <w:rPr>
          <w:rFonts w:eastAsia="Times New Roman"/>
          <w:szCs w:val="24"/>
          <w:lang w:eastAsia="en-AU"/>
        </w:rPr>
        <w:t>the amendments to section 30BF will no</w:t>
      </w:r>
      <w:r w:rsidR="00C850BE" w:rsidRPr="00775591">
        <w:rPr>
          <w:rFonts w:eastAsia="Times New Roman"/>
          <w:szCs w:val="24"/>
          <w:lang w:eastAsia="en-AU"/>
        </w:rPr>
        <w:t>t apply to appeals</w:t>
      </w:r>
      <w:r w:rsidR="00861EC7" w:rsidRPr="00775591">
        <w:rPr>
          <w:rFonts w:eastAsia="Times New Roman"/>
          <w:szCs w:val="24"/>
          <w:lang w:eastAsia="en-AU"/>
        </w:rPr>
        <w:t xml:space="preserve"> under paragraphs 30BF(2)(b) and (5)(b) which were </w:t>
      </w:r>
      <w:r w:rsidR="00C850BE" w:rsidRPr="00775591">
        <w:rPr>
          <w:rFonts w:eastAsia="Times New Roman"/>
          <w:szCs w:val="24"/>
          <w:lang w:eastAsia="en-AU"/>
        </w:rPr>
        <w:t>allowed by the Court before the commencement of</w:t>
      </w:r>
      <w:r w:rsidR="00861EC7" w:rsidRPr="00775591">
        <w:rPr>
          <w:rFonts w:eastAsia="Times New Roman"/>
          <w:szCs w:val="24"/>
          <w:lang w:eastAsia="en-AU"/>
        </w:rPr>
        <w:t xml:space="preserve"> the amendments.</w:t>
      </w:r>
      <w:r w:rsidR="00BA5787" w:rsidRPr="00775591">
        <w:rPr>
          <w:rFonts w:eastAsia="Times New Roman"/>
          <w:szCs w:val="24"/>
          <w:lang w:eastAsia="en-AU"/>
        </w:rPr>
        <w:t xml:space="preserve"> </w:t>
      </w:r>
    </w:p>
    <w:p w:rsidR="00D97803" w:rsidRPr="00775591" w:rsidRDefault="00D97803" w:rsidP="004E2A95">
      <w:pPr>
        <w:keepNext/>
        <w:rPr>
          <w:b/>
          <w:i/>
          <w:szCs w:val="24"/>
        </w:rPr>
      </w:pPr>
      <w:r w:rsidRPr="00775591">
        <w:rPr>
          <w:b/>
          <w:i/>
          <w:szCs w:val="24"/>
        </w:rPr>
        <w:t>Freedom of Information Act 1982</w:t>
      </w:r>
    </w:p>
    <w:p w:rsidR="00D97803" w:rsidRPr="00775591" w:rsidRDefault="00D97803" w:rsidP="004E2A95">
      <w:pPr>
        <w:keepNext/>
        <w:rPr>
          <w:b/>
          <w:szCs w:val="24"/>
        </w:rPr>
      </w:pPr>
      <w:r w:rsidRPr="00775591">
        <w:rPr>
          <w:b/>
          <w:szCs w:val="24"/>
        </w:rPr>
        <w:t xml:space="preserve">Item </w:t>
      </w:r>
      <w:r w:rsidR="008C228E" w:rsidRPr="00775591">
        <w:rPr>
          <w:b/>
          <w:szCs w:val="24"/>
        </w:rPr>
        <w:t>55</w:t>
      </w:r>
      <w:r w:rsidRPr="00775591">
        <w:rPr>
          <w:b/>
          <w:szCs w:val="24"/>
        </w:rPr>
        <w:t>: Subsection 61A(1)(table item 1)</w:t>
      </w:r>
    </w:p>
    <w:p w:rsidR="00966156" w:rsidRPr="00775591" w:rsidRDefault="00966156" w:rsidP="004E2A95">
      <w:pPr>
        <w:pStyle w:val="ListParagraph"/>
        <w:keepNext/>
        <w:numPr>
          <w:ilvl w:val="0"/>
          <w:numId w:val="29"/>
        </w:numPr>
        <w:spacing w:after="240"/>
        <w:ind w:left="0" w:firstLine="0"/>
        <w:contextualSpacing w:val="0"/>
        <w:rPr>
          <w:rFonts w:eastAsia="Times New Roman"/>
          <w:szCs w:val="24"/>
          <w:lang w:eastAsia="en-AU"/>
        </w:rPr>
      </w:pPr>
      <w:r w:rsidRPr="00775591">
        <w:rPr>
          <w:szCs w:val="24"/>
        </w:rPr>
        <w:t>This item will repeal table item 1 of subsection 61A(1) of the F</w:t>
      </w:r>
      <w:r w:rsidR="000F56EA" w:rsidRPr="00775591">
        <w:rPr>
          <w:szCs w:val="24"/>
        </w:rPr>
        <w:t xml:space="preserve">reedom of Information Act 1982 </w:t>
      </w:r>
      <w:r w:rsidR="000F56EA" w:rsidRPr="00775591">
        <w:rPr>
          <w:szCs w:val="24"/>
          <w:lang w:eastAsia="en-AU"/>
        </w:rPr>
        <w:t xml:space="preserve">which will be inserted by the </w:t>
      </w:r>
      <w:r w:rsidR="000F56EA" w:rsidRPr="00775591">
        <w:rPr>
          <w:i/>
          <w:szCs w:val="24"/>
          <w:lang w:eastAsia="en-AU"/>
        </w:rPr>
        <w:t>Tribunal</w:t>
      </w:r>
      <w:r w:rsidR="00000685" w:rsidRPr="00775591">
        <w:rPr>
          <w:i/>
          <w:szCs w:val="24"/>
          <w:lang w:eastAsia="en-AU"/>
        </w:rPr>
        <w:t>s</w:t>
      </w:r>
      <w:r w:rsidR="000F56EA" w:rsidRPr="00775591">
        <w:rPr>
          <w:i/>
          <w:szCs w:val="24"/>
          <w:lang w:eastAsia="en-AU"/>
        </w:rPr>
        <w:t xml:space="preserve"> Amalgamation Act 2015</w:t>
      </w:r>
      <w:r w:rsidR="000F56EA" w:rsidRPr="00775591">
        <w:rPr>
          <w:szCs w:val="24"/>
          <w:lang w:eastAsia="en-AU"/>
        </w:rPr>
        <w:t xml:space="preserve"> on 1 July 2015.</w:t>
      </w:r>
    </w:p>
    <w:p w:rsidR="00966156" w:rsidRPr="00775591" w:rsidRDefault="00966156" w:rsidP="00966156">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Subsection 61A(1) modifies the application of the </w:t>
      </w:r>
      <w:r w:rsidRPr="00775591">
        <w:rPr>
          <w:i/>
          <w:iCs/>
          <w:szCs w:val="24"/>
        </w:rPr>
        <w:t>Administrative Appeals Tribunal Act 1975</w:t>
      </w:r>
      <w:r w:rsidRPr="00775591">
        <w:rPr>
          <w:szCs w:val="24"/>
        </w:rPr>
        <w:t xml:space="preserve"> by providing that when an applicant applies for AAT second review, the reference to the person who made the decision, is a reference to each person who was a party to the first review (other than the applicant who has applied for AAT second review).</w:t>
      </w:r>
    </w:p>
    <w:p w:rsidR="00966156" w:rsidRPr="00775591" w:rsidRDefault="00966156" w:rsidP="00966156">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The repeal of subsection 61A(1)(table item 1) is necessary because this Bill will introduce paragraph 29AC(1)(c) which will provide that the Tribunal must give notice of receiving an application, to any person who is made a party to the review by another enactment that authorised the application. </w:t>
      </w:r>
    </w:p>
    <w:p w:rsidR="00966156" w:rsidRPr="00775591" w:rsidRDefault="00966156" w:rsidP="00966156">
      <w:pPr>
        <w:pStyle w:val="ListParagraph"/>
        <w:numPr>
          <w:ilvl w:val="0"/>
          <w:numId w:val="29"/>
        </w:numPr>
        <w:spacing w:after="240"/>
        <w:ind w:left="0" w:firstLine="0"/>
        <w:contextualSpacing w:val="0"/>
        <w:rPr>
          <w:rFonts w:eastAsia="Times New Roman"/>
          <w:szCs w:val="24"/>
          <w:lang w:eastAsia="en-AU"/>
        </w:rPr>
      </w:pPr>
      <w:r w:rsidRPr="00775591">
        <w:rPr>
          <w:szCs w:val="24"/>
        </w:rPr>
        <w:t>As both provisions will achieve the same outcome, subsection 61A(1)(table item 1) will become redundant.</w:t>
      </w:r>
    </w:p>
    <w:p w:rsidR="003F3B2F" w:rsidRPr="00775591" w:rsidRDefault="003F3B2F" w:rsidP="00F85F04">
      <w:pPr>
        <w:keepNext/>
        <w:rPr>
          <w:b/>
          <w:i/>
          <w:szCs w:val="24"/>
        </w:rPr>
      </w:pPr>
      <w:r w:rsidRPr="00775591">
        <w:rPr>
          <w:b/>
          <w:i/>
          <w:szCs w:val="24"/>
        </w:rPr>
        <w:t>International Arbitration Act 1974</w:t>
      </w:r>
    </w:p>
    <w:p w:rsidR="008A35F7" w:rsidRPr="00775591" w:rsidRDefault="005020EC" w:rsidP="00F85F04">
      <w:pPr>
        <w:pStyle w:val="Heading4"/>
        <w:keepNext/>
      </w:pPr>
      <w:r w:rsidRPr="00775591">
        <w:t xml:space="preserve">Item </w:t>
      </w:r>
      <w:r w:rsidR="0019493E" w:rsidRPr="00775591">
        <w:t>56</w:t>
      </w:r>
      <w:r w:rsidR="008A35F7" w:rsidRPr="00775591">
        <w:t>: Part II (heading)</w:t>
      </w:r>
    </w:p>
    <w:p w:rsidR="00E84B19" w:rsidRPr="00775591" w:rsidRDefault="00E84B19" w:rsidP="00E84B19">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This item will amend the heading of Part II of the International Arbitration Act to better reflect its content. The new heading will read: </w:t>
      </w:r>
      <w:r w:rsidRPr="00775591">
        <w:rPr>
          <w:i/>
          <w:szCs w:val="24"/>
        </w:rPr>
        <w:t>Part II—Enforcement of foreign a</w:t>
      </w:r>
      <w:r w:rsidR="002733DC" w:rsidRPr="00775591">
        <w:rPr>
          <w:i/>
          <w:szCs w:val="24"/>
        </w:rPr>
        <w:t>rbitration agreements and awards</w:t>
      </w:r>
    </w:p>
    <w:p w:rsidR="00DC36E9" w:rsidRPr="00775591" w:rsidRDefault="00DC36E9" w:rsidP="00DC36E9">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Part II of the Act implements the </w:t>
      </w:r>
      <w:r w:rsidRPr="00775591">
        <w:rPr>
          <w:i/>
          <w:iCs/>
          <w:szCs w:val="24"/>
        </w:rPr>
        <w:t>1958 New York Convention on the Recognition and Enforcement of Foreign Arbitral Awards</w:t>
      </w:r>
      <w:r w:rsidRPr="00775591">
        <w:rPr>
          <w:szCs w:val="24"/>
        </w:rPr>
        <w:t xml:space="preserve"> (the ‘Convention’). </w:t>
      </w:r>
    </w:p>
    <w:p w:rsidR="000912B2" w:rsidRPr="00775591" w:rsidRDefault="00DC36E9" w:rsidP="00DC36E9">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Section 7 of Part II regulates the enforcement of foreign arbitration agreements and section 8 of Part II regulates the enforcement of arbitral awards. Currently, the heading of Part II refers to ‘foreign awards’ but does not refer to the enforcement of international arbitration agreements. </w:t>
      </w:r>
    </w:p>
    <w:p w:rsidR="00DC36E9" w:rsidRPr="00775591" w:rsidRDefault="00DC36E9" w:rsidP="00DC36E9">
      <w:pPr>
        <w:pStyle w:val="ListParagraph"/>
        <w:numPr>
          <w:ilvl w:val="0"/>
          <w:numId w:val="29"/>
        </w:numPr>
        <w:spacing w:after="240"/>
        <w:ind w:left="0" w:firstLine="0"/>
        <w:contextualSpacing w:val="0"/>
        <w:rPr>
          <w:rFonts w:eastAsia="Times New Roman"/>
          <w:szCs w:val="24"/>
          <w:lang w:eastAsia="en-AU"/>
        </w:rPr>
      </w:pPr>
      <w:r w:rsidRPr="00775591">
        <w:rPr>
          <w:szCs w:val="24"/>
        </w:rPr>
        <w:t>The amended heading will assist users of the Act to more easily navigate its provisions.</w:t>
      </w:r>
    </w:p>
    <w:p w:rsidR="00F34B78" w:rsidRPr="00775591" w:rsidRDefault="005020EC" w:rsidP="00363A3F">
      <w:pPr>
        <w:pStyle w:val="Heading4"/>
        <w:keepNext/>
      </w:pPr>
      <w:r w:rsidRPr="00775591">
        <w:t xml:space="preserve">Items </w:t>
      </w:r>
      <w:r w:rsidR="002C00E0" w:rsidRPr="00775591">
        <w:t>57</w:t>
      </w:r>
      <w:r w:rsidR="00F34B78" w:rsidRPr="00775591">
        <w:t xml:space="preserve"> and </w:t>
      </w:r>
      <w:r w:rsidR="002C00E0" w:rsidRPr="00775591">
        <w:t>58</w:t>
      </w:r>
      <w:r w:rsidR="00F34B78" w:rsidRPr="00775591">
        <w:t>: Subsection 8(4)</w:t>
      </w:r>
      <w:r w:rsidR="00900ECD" w:rsidRPr="00775591">
        <w:t xml:space="preserve"> and Application </w:t>
      </w:r>
      <w:r w:rsidR="003550A3" w:rsidRPr="00775591">
        <w:t>provision</w:t>
      </w:r>
    </w:p>
    <w:p w:rsidR="00F34B78" w:rsidRPr="00775591" w:rsidRDefault="00F34B78" w:rsidP="00363A3F">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Subsection 8(4) of the In</w:t>
      </w:r>
      <w:r w:rsidR="00B63AC4" w:rsidRPr="00775591">
        <w:rPr>
          <w:rFonts w:eastAsia="Times New Roman"/>
          <w:szCs w:val="24"/>
          <w:lang w:eastAsia="en-AU"/>
        </w:rPr>
        <w:t>ternational Arbitration Act</w:t>
      </w:r>
      <w:r w:rsidRPr="00775591">
        <w:rPr>
          <w:rFonts w:eastAsia="Times New Roman"/>
          <w:szCs w:val="24"/>
          <w:lang w:eastAsia="en-AU"/>
        </w:rPr>
        <w:t xml:space="preserve"> provides that foreign arbitral awards may not be enforced where the award was made in a country which is not a party to the </w:t>
      </w:r>
      <w:r w:rsidRPr="00775591">
        <w:rPr>
          <w:rFonts w:eastAsia="Times New Roman"/>
          <w:i/>
          <w:szCs w:val="24"/>
          <w:lang w:eastAsia="en-AU"/>
        </w:rPr>
        <w:t>1958 New York Convention on the Recognition and Enforcement of Foreign Arbitral Awards</w:t>
      </w:r>
      <w:r w:rsidRPr="00775591">
        <w:rPr>
          <w:rFonts w:eastAsia="Times New Roman"/>
          <w:szCs w:val="24"/>
          <w:lang w:eastAsia="en-AU"/>
        </w:rPr>
        <w:t xml:space="preserve"> (the ‘Convention’) at the time enforcement is sought. This is the case unless the party seeking enforcement is at that time domiciled or ordinarily</w:t>
      </w:r>
      <w:r w:rsidR="000154D5" w:rsidRPr="00775591">
        <w:rPr>
          <w:rFonts w:eastAsia="Times New Roman"/>
          <w:szCs w:val="24"/>
          <w:lang w:eastAsia="en-AU"/>
        </w:rPr>
        <w:t xml:space="preserve"> resides</w:t>
      </w:r>
      <w:r w:rsidRPr="00775591">
        <w:rPr>
          <w:rFonts w:eastAsia="Times New Roman"/>
          <w:szCs w:val="24"/>
          <w:lang w:eastAsia="en-AU"/>
        </w:rPr>
        <w:t xml:space="preserve"> in Australia or another country which is a party to the Convention.</w:t>
      </w:r>
    </w:p>
    <w:p w:rsidR="00F34B78" w:rsidRPr="00775591" w:rsidRDefault="00F34B78" w:rsidP="00F73E4C">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These items will remove this restriction and allow enforcement of foreign awards </w:t>
      </w:r>
      <w:r w:rsidR="00875804" w:rsidRPr="00775591">
        <w:rPr>
          <w:rFonts w:eastAsia="Times New Roman"/>
          <w:szCs w:val="24"/>
          <w:lang w:eastAsia="en-AU"/>
        </w:rPr>
        <w:t>in Australia regardless of the country</w:t>
      </w:r>
      <w:r w:rsidRPr="00775591">
        <w:rPr>
          <w:rFonts w:eastAsia="Times New Roman"/>
          <w:szCs w:val="24"/>
          <w:lang w:eastAsia="en-AU"/>
        </w:rPr>
        <w:t xml:space="preserve"> in which they are made. As such, they will improve compliance with the Convention by broadening the scope of application of the enforcement provisions under the Act.</w:t>
      </w:r>
    </w:p>
    <w:p w:rsidR="00F34B78" w:rsidRPr="00775591" w:rsidRDefault="00900ECD" w:rsidP="00F34B78">
      <w:pPr>
        <w:pStyle w:val="Heading4"/>
      </w:pPr>
      <w:r w:rsidRPr="00775591">
        <w:t xml:space="preserve">Item </w:t>
      </w:r>
      <w:r w:rsidR="00723488" w:rsidRPr="00775591">
        <w:t>59</w:t>
      </w:r>
      <w:r w:rsidR="00F34B78" w:rsidRPr="00775591">
        <w:t>: Paragraph 8(5)(a)</w:t>
      </w:r>
    </w:p>
    <w:p w:rsidR="00F34B78" w:rsidRPr="00775591" w:rsidRDefault="00F34B78" w:rsidP="00F73E4C">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Paragraph 8(5)(a) of the</w:t>
      </w:r>
      <w:r w:rsidR="001045C1" w:rsidRPr="00775591">
        <w:rPr>
          <w:rFonts w:eastAsia="Times New Roman"/>
          <w:szCs w:val="24"/>
          <w:lang w:eastAsia="en-AU"/>
        </w:rPr>
        <w:t xml:space="preserve"> International Arbitration</w:t>
      </w:r>
      <w:r w:rsidRPr="00775591">
        <w:rPr>
          <w:rFonts w:eastAsia="Times New Roman"/>
          <w:szCs w:val="24"/>
          <w:lang w:eastAsia="en-AU"/>
        </w:rPr>
        <w:t xml:space="preserve"> Act allows a party to an arbitration agreement to apply to a court to resist enforcement of an award only on the basis of the incapacity of the award debtor. An award debtor cannot apply to resist enforcement on the basis of the incapacity of another party to the arbitration agreement.</w:t>
      </w:r>
    </w:p>
    <w:p w:rsidR="00F34B78" w:rsidRPr="00775591" w:rsidRDefault="00F34B78" w:rsidP="00F73E4C">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allow a party to rely on the incapacity of any party to the arbitration agreement in a plea for refusal of enforcement, rather than the legal incapacity of the award debtor only. This item will make enforcement proceedings fairer for all parties and improve the Act’s consistency with the Convention.</w:t>
      </w:r>
    </w:p>
    <w:p w:rsidR="00F34B78" w:rsidRPr="00775591" w:rsidRDefault="00900ECD" w:rsidP="00875804">
      <w:pPr>
        <w:pStyle w:val="Heading4"/>
        <w:keepNext/>
      </w:pPr>
      <w:r w:rsidRPr="00775591">
        <w:t xml:space="preserve">Items </w:t>
      </w:r>
      <w:r w:rsidR="00480478" w:rsidRPr="00775591">
        <w:t>60</w:t>
      </w:r>
      <w:r w:rsidR="00F34B78" w:rsidRPr="00775591">
        <w:t xml:space="preserve"> to </w:t>
      </w:r>
      <w:r w:rsidR="00480478" w:rsidRPr="00775591">
        <w:t>63</w:t>
      </w:r>
      <w:r w:rsidR="00F34B78" w:rsidRPr="00775591">
        <w:t xml:space="preserve">: </w:t>
      </w:r>
      <w:r w:rsidRPr="00775591">
        <w:t>Subsection 22(2) (heading), After paragraph 22(2)(c), Subsection 22(3)</w:t>
      </w:r>
      <w:r w:rsidR="0079113C" w:rsidRPr="00775591">
        <w:t>,</w:t>
      </w:r>
      <w:r w:rsidRPr="00775591">
        <w:t xml:space="preserve"> </w:t>
      </w:r>
      <w:r w:rsidR="0079113C" w:rsidRPr="00775591">
        <w:t>and Application provision</w:t>
      </w:r>
    </w:p>
    <w:p w:rsidR="00F34B78" w:rsidRPr="00775591" w:rsidRDefault="00F34B78" w:rsidP="00011A02">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These items will make international arbitration proceedings conducted in Australia confidential by default rather than requiring parties to specify that proceedings are to be confidential, subject to certain public interest exceptions. </w:t>
      </w:r>
    </w:p>
    <w:p w:rsidR="00F34B78" w:rsidRPr="00775591" w:rsidRDefault="00F34B78" w:rsidP="00011A02">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Privacy and confidentiality are considered to be amongst the most attractive features of arbitral proceedings when compared to litigation. Confidentiality provisions in sections 23C to 23G of the</w:t>
      </w:r>
      <w:r w:rsidR="001045C1" w:rsidRPr="00775591">
        <w:rPr>
          <w:rFonts w:eastAsia="Times New Roman"/>
          <w:szCs w:val="24"/>
          <w:lang w:eastAsia="en-AU"/>
        </w:rPr>
        <w:t xml:space="preserve"> International Arbitration</w:t>
      </w:r>
      <w:r w:rsidRPr="00775591">
        <w:rPr>
          <w:rFonts w:eastAsia="Times New Roman"/>
          <w:szCs w:val="24"/>
          <w:lang w:eastAsia="en-AU"/>
        </w:rPr>
        <w:t xml:space="preserve"> Act operate on an opt-in basis as set out in subsection 22(3) of the Act. These items will make the confidentiality provisions operate on an opt</w:t>
      </w:r>
      <w:r w:rsidRPr="00775591">
        <w:rPr>
          <w:rFonts w:eastAsia="Times New Roman"/>
          <w:szCs w:val="24"/>
          <w:lang w:eastAsia="en-AU"/>
        </w:rPr>
        <w:noBreakHyphen/>
        <w:t>out basis. They will also align international commercial arbitral proceedings seated in Australia with domestic proceedings conducted under the State and Territory Commercial Arbitration Acts.</w:t>
      </w:r>
    </w:p>
    <w:p w:rsidR="00F34B78" w:rsidRPr="00775591" w:rsidRDefault="000341B8" w:rsidP="00F34B78">
      <w:pPr>
        <w:pStyle w:val="Heading4"/>
      </w:pPr>
      <w:r w:rsidRPr="00775591">
        <w:t xml:space="preserve">Item </w:t>
      </w:r>
      <w:r w:rsidR="00AF2F12" w:rsidRPr="00775591">
        <w:t>64</w:t>
      </w:r>
      <w:r w:rsidR="00F34B78" w:rsidRPr="00775591">
        <w:t>: Section 30</w:t>
      </w:r>
    </w:p>
    <w:p w:rsidR="00F34B78" w:rsidRPr="00775591" w:rsidRDefault="00F34B78" w:rsidP="002113D4">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w:t>
      </w:r>
      <w:r w:rsidR="00992C75" w:rsidRPr="00775591">
        <w:rPr>
          <w:rFonts w:eastAsia="Times New Roman"/>
          <w:szCs w:val="24"/>
          <w:lang w:eastAsia="en-AU"/>
        </w:rPr>
        <w:t xml:space="preserve"> will remove</w:t>
      </w:r>
      <w:r w:rsidRPr="00775591">
        <w:rPr>
          <w:rFonts w:eastAsia="Times New Roman"/>
          <w:szCs w:val="24"/>
          <w:lang w:eastAsia="en-AU"/>
        </w:rPr>
        <w:t xml:space="preserve"> a section from the</w:t>
      </w:r>
      <w:r w:rsidR="005B0299" w:rsidRPr="00775591">
        <w:rPr>
          <w:rFonts w:eastAsia="Times New Roman"/>
          <w:szCs w:val="24"/>
          <w:lang w:eastAsia="en-AU"/>
        </w:rPr>
        <w:t xml:space="preserve"> International Arbitration</w:t>
      </w:r>
      <w:r w:rsidRPr="00775591">
        <w:rPr>
          <w:rFonts w:eastAsia="Times New Roman"/>
          <w:szCs w:val="24"/>
          <w:lang w:eastAsia="en-AU"/>
        </w:rPr>
        <w:t xml:space="preserve"> Act which the Federal Court found to be redundant and a source of confusion. </w:t>
      </w:r>
    </w:p>
    <w:p w:rsidR="00360720" w:rsidRPr="00775591" w:rsidRDefault="00360720" w:rsidP="00373447">
      <w:pPr>
        <w:keepNext/>
        <w:rPr>
          <w:b/>
          <w:i/>
          <w:szCs w:val="24"/>
        </w:rPr>
      </w:pPr>
      <w:r w:rsidRPr="00775591">
        <w:rPr>
          <w:b/>
          <w:i/>
          <w:szCs w:val="24"/>
        </w:rPr>
        <w:t>James Hardie (Investigations and Proceedings) Act 2004</w:t>
      </w:r>
    </w:p>
    <w:p w:rsidR="00F34B78" w:rsidRPr="00775591" w:rsidRDefault="00BC6096" w:rsidP="00167E46">
      <w:pPr>
        <w:rPr>
          <w:b/>
          <w:szCs w:val="24"/>
        </w:rPr>
      </w:pPr>
      <w:r w:rsidRPr="00775591">
        <w:rPr>
          <w:b/>
          <w:szCs w:val="24"/>
        </w:rPr>
        <w:t xml:space="preserve">Item </w:t>
      </w:r>
      <w:r w:rsidR="0022712A" w:rsidRPr="00775591">
        <w:rPr>
          <w:b/>
          <w:szCs w:val="24"/>
        </w:rPr>
        <w:t>65</w:t>
      </w:r>
      <w:r w:rsidR="00104280" w:rsidRPr="00775591">
        <w:rPr>
          <w:b/>
          <w:szCs w:val="24"/>
        </w:rPr>
        <w:t xml:space="preserve">: Subsection 3(1) (paragraph (a) of the definition of </w:t>
      </w:r>
      <w:r w:rsidR="00104280" w:rsidRPr="00775591">
        <w:rPr>
          <w:b/>
          <w:i/>
          <w:szCs w:val="24"/>
        </w:rPr>
        <w:t>professional confidential relationship privilege</w:t>
      </w:r>
      <w:r w:rsidR="00104280" w:rsidRPr="00775591">
        <w:rPr>
          <w:b/>
          <w:szCs w:val="24"/>
        </w:rPr>
        <w:t>)</w:t>
      </w:r>
    </w:p>
    <w:p w:rsidR="00104280" w:rsidRPr="00775591" w:rsidRDefault="00104280" w:rsidP="00167E46">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remove the reference to Division 1A of</w:t>
      </w:r>
      <w:r w:rsidR="00A35908" w:rsidRPr="00775591">
        <w:rPr>
          <w:rFonts w:eastAsia="Times New Roman"/>
          <w:szCs w:val="24"/>
          <w:lang w:eastAsia="en-AU"/>
        </w:rPr>
        <w:t xml:space="preserve"> the Evidence Act 1995 in the definition of professional confidential relationship privilege in</w:t>
      </w:r>
      <w:r w:rsidRPr="00775591">
        <w:rPr>
          <w:rFonts w:eastAsia="Times New Roman"/>
          <w:szCs w:val="24"/>
          <w:lang w:eastAsia="en-AU"/>
        </w:rPr>
        <w:t xml:space="preserve"> </w:t>
      </w:r>
      <w:r w:rsidR="001F5ACE" w:rsidRPr="00775591">
        <w:rPr>
          <w:rFonts w:eastAsia="Times New Roman"/>
          <w:szCs w:val="24"/>
          <w:lang w:eastAsia="en-AU"/>
        </w:rPr>
        <w:t>subsection</w:t>
      </w:r>
      <w:r w:rsidR="00A35908" w:rsidRPr="00775591">
        <w:rPr>
          <w:rFonts w:eastAsia="Times New Roman"/>
          <w:szCs w:val="24"/>
          <w:lang w:eastAsia="en-AU"/>
        </w:rPr>
        <w:t xml:space="preserve"> 3(1)</w:t>
      </w:r>
      <w:r w:rsidR="001F5ACE" w:rsidRPr="00775591">
        <w:rPr>
          <w:rFonts w:eastAsia="Times New Roman"/>
          <w:szCs w:val="24"/>
          <w:lang w:eastAsia="en-AU"/>
        </w:rPr>
        <w:t xml:space="preserve"> </w:t>
      </w:r>
      <w:r w:rsidR="00A35908" w:rsidRPr="00775591">
        <w:rPr>
          <w:rFonts w:eastAsia="Times New Roman"/>
          <w:szCs w:val="24"/>
          <w:lang w:eastAsia="en-AU"/>
        </w:rPr>
        <w:t>of the James Hardie (Investigations and Proceedings) Act and replace it with a reference to Division 1C</w:t>
      </w:r>
      <w:r w:rsidR="00B86531" w:rsidRPr="00775591">
        <w:rPr>
          <w:rFonts w:eastAsia="Times New Roman"/>
          <w:szCs w:val="24"/>
          <w:lang w:eastAsia="en-AU"/>
        </w:rPr>
        <w:t xml:space="preserve"> of the Evidence Act</w:t>
      </w:r>
      <w:r w:rsidR="00A35908" w:rsidRPr="00775591">
        <w:rPr>
          <w:rFonts w:eastAsia="Times New Roman"/>
          <w:szCs w:val="24"/>
          <w:lang w:eastAsia="en-AU"/>
        </w:rPr>
        <w:t>.</w:t>
      </w:r>
    </w:p>
    <w:p w:rsidR="00A35908" w:rsidRPr="00775591" w:rsidRDefault="00A35908" w:rsidP="00167E46">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is required because of the insertion of item </w:t>
      </w:r>
      <w:r w:rsidR="005426F0" w:rsidRPr="00775591">
        <w:rPr>
          <w:rFonts w:eastAsia="Times New Roman"/>
          <w:szCs w:val="24"/>
          <w:lang w:eastAsia="en-AU"/>
        </w:rPr>
        <w:t>26</w:t>
      </w:r>
      <w:r w:rsidRPr="00775591">
        <w:rPr>
          <w:rFonts w:eastAsia="Times New Roman"/>
          <w:szCs w:val="24"/>
          <w:lang w:eastAsia="en-AU"/>
        </w:rPr>
        <w:t xml:space="preserve"> above, </w:t>
      </w:r>
      <w:r w:rsidR="00B552BC">
        <w:rPr>
          <w:rFonts w:eastAsia="Times New Roman"/>
          <w:szCs w:val="24"/>
          <w:lang w:eastAsia="en-AU"/>
        </w:rPr>
        <w:t>which will move the journalist</w:t>
      </w:r>
      <w:r w:rsidRPr="00775591">
        <w:rPr>
          <w:rFonts w:eastAsia="Times New Roman"/>
          <w:szCs w:val="24"/>
          <w:lang w:eastAsia="en-AU"/>
        </w:rPr>
        <w:t xml:space="preserve"> privilege provisions from Division 1A of Part 3.10</w:t>
      </w:r>
      <w:r w:rsidR="007C115D" w:rsidRPr="00775591">
        <w:rPr>
          <w:rFonts w:eastAsia="Times New Roman"/>
          <w:szCs w:val="24"/>
          <w:lang w:eastAsia="en-AU"/>
        </w:rPr>
        <w:t xml:space="preserve"> of the Evidence Act 1995</w:t>
      </w:r>
      <w:r w:rsidRPr="00775591">
        <w:rPr>
          <w:rFonts w:eastAsia="Times New Roman"/>
          <w:szCs w:val="24"/>
          <w:lang w:eastAsia="en-AU"/>
        </w:rPr>
        <w:t xml:space="preserve"> to new Division 1C of Part 3.10</w:t>
      </w:r>
      <w:r w:rsidR="00B86531" w:rsidRPr="00775591">
        <w:rPr>
          <w:rFonts w:eastAsia="Times New Roman"/>
          <w:szCs w:val="24"/>
          <w:lang w:eastAsia="en-AU"/>
        </w:rPr>
        <w:t xml:space="preserve"> of the Evidence Act</w:t>
      </w:r>
      <w:r w:rsidRPr="00775591">
        <w:rPr>
          <w:rFonts w:eastAsia="Times New Roman"/>
          <w:szCs w:val="24"/>
          <w:lang w:eastAsia="en-AU"/>
        </w:rPr>
        <w:t>. This will provide consistency with the numbering of the ACT, NSW and Vic Evidence Acts.</w:t>
      </w:r>
    </w:p>
    <w:p w:rsidR="00BC6096" w:rsidRPr="00775591" w:rsidRDefault="00BC6096" w:rsidP="00167E46">
      <w:pPr>
        <w:keepNext/>
        <w:rPr>
          <w:b/>
          <w:i/>
          <w:szCs w:val="24"/>
        </w:rPr>
      </w:pPr>
      <w:r w:rsidRPr="00775591">
        <w:rPr>
          <w:b/>
          <w:i/>
          <w:szCs w:val="24"/>
        </w:rPr>
        <w:t>Paid Parental Leave Act 2010</w:t>
      </w:r>
    </w:p>
    <w:p w:rsidR="00BC6096" w:rsidRPr="00775591" w:rsidRDefault="00BC6096" w:rsidP="00167E46">
      <w:pPr>
        <w:keepNext/>
        <w:rPr>
          <w:b/>
          <w:szCs w:val="24"/>
        </w:rPr>
      </w:pPr>
      <w:r w:rsidRPr="00775591">
        <w:rPr>
          <w:b/>
          <w:szCs w:val="24"/>
        </w:rPr>
        <w:t xml:space="preserve">Item </w:t>
      </w:r>
      <w:r w:rsidR="00B01EDB" w:rsidRPr="00775591">
        <w:rPr>
          <w:b/>
          <w:szCs w:val="24"/>
        </w:rPr>
        <w:t>66</w:t>
      </w:r>
      <w:r w:rsidRPr="00775591">
        <w:rPr>
          <w:b/>
          <w:szCs w:val="24"/>
        </w:rPr>
        <w:t>: Section 239</w:t>
      </w:r>
    </w:p>
    <w:p w:rsidR="009C0A47" w:rsidRPr="00775591" w:rsidRDefault="009C0A47" w:rsidP="00242C11">
      <w:pPr>
        <w:pStyle w:val="ListParagraph"/>
        <w:numPr>
          <w:ilvl w:val="0"/>
          <w:numId w:val="29"/>
        </w:numPr>
        <w:spacing w:after="240"/>
        <w:ind w:left="0" w:firstLine="0"/>
        <w:contextualSpacing w:val="0"/>
        <w:rPr>
          <w:rFonts w:eastAsia="Times New Roman"/>
          <w:szCs w:val="24"/>
          <w:lang w:eastAsia="en-AU"/>
        </w:rPr>
      </w:pPr>
      <w:r w:rsidRPr="00775591">
        <w:rPr>
          <w:szCs w:val="24"/>
          <w:lang w:eastAsia="en-AU"/>
        </w:rPr>
        <w:t xml:space="preserve">This item will repeal section 239 of the Paid Parental Leave Act which will be inserted by the </w:t>
      </w:r>
      <w:r w:rsidRPr="00775591">
        <w:rPr>
          <w:i/>
          <w:szCs w:val="24"/>
          <w:lang w:eastAsia="en-AU"/>
        </w:rPr>
        <w:t>Tribunal</w:t>
      </w:r>
      <w:r w:rsidR="00000685" w:rsidRPr="00775591">
        <w:rPr>
          <w:i/>
          <w:szCs w:val="24"/>
          <w:lang w:eastAsia="en-AU"/>
        </w:rPr>
        <w:t>s</w:t>
      </w:r>
      <w:r w:rsidRPr="00775591">
        <w:rPr>
          <w:i/>
          <w:szCs w:val="24"/>
          <w:lang w:eastAsia="en-AU"/>
        </w:rPr>
        <w:t xml:space="preserve"> Amalgamation Act 2015</w:t>
      </w:r>
      <w:r w:rsidRPr="00775591">
        <w:rPr>
          <w:szCs w:val="24"/>
          <w:lang w:eastAsia="en-AU"/>
        </w:rPr>
        <w:t xml:space="preserve"> on 1 July 2015.</w:t>
      </w:r>
    </w:p>
    <w:p w:rsidR="00242C11" w:rsidRPr="00775591" w:rsidRDefault="00242C11" w:rsidP="00242C11">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The repeal of section 239 is necessary because this Bill will introduce paragraph 29AC(1)(c) of the </w:t>
      </w:r>
      <w:r w:rsidRPr="00775591">
        <w:rPr>
          <w:i/>
          <w:szCs w:val="24"/>
        </w:rPr>
        <w:t>Administrative Appeals Tribunal Act 1975</w:t>
      </w:r>
      <w:r w:rsidRPr="00775591">
        <w:rPr>
          <w:szCs w:val="24"/>
        </w:rPr>
        <w:t xml:space="preserve"> which will provide that the Tribunal must give notice of receiving an application, to any person who is made a party to the review by another enactment that authorised the application. </w:t>
      </w:r>
    </w:p>
    <w:p w:rsidR="00242C11" w:rsidRPr="00775591" w:rsidRDefault="00242C11" w:rsidP="00242C11">
      <w:pPr>
        <w:pStyle w:val="ListParagraph"/>
        <w:numPr>
          <w:ilvl w:val="0"/>
          <w:numId w:val="29"/>
        </w:numPr>
        <w:spacing w:after="240"/>
        <w:ind w:left="0" w:firstLine="0"/>
        <w:contextualSpacing w:val="0"/>
        <w:rPr>
          <w:rFonts w:eastAsia="Times New Roman"/>
          <w:szCs w:val="24"/>
          <w:lang w:eastAsia="en-AU"/>
        </w:rPr>
      </w:pPr>
      <w:r w:rsidRPr="00775591">
        <w:rPr>
          <w:szCs w:val="24"/>
        </w:rPr>
        <w:t>As both provisions will achieve the same outcome, section</w:t>
      </w:r>
      <w:r w:rsidR="00E27B38" w:rsidRPr="00775591">
        <w:rPr>
          <w:szCs w:val="24"/>
        </w:rPr>
        <w:t xml:space="preserve"> 239 w</w:t>
      </w:r>
      <w:r w:rsidRPr="00775591">
        <w:rPr>
          <w:szCs w:val="24"/>
        </w:rPr>
        <w:t>ill be redundant.</w:t>
      </w:r>
    </w:p>
    <w:p w:rsidR="008568CF" w:rsidRPr="00775591" w:rsidRDefault="008568CF" w:rsidP="005657B1">
      <w:pPr>
        <w:keepNext/>
        <w:rPr>
          <w:b/>
          <w:i/>
          <w:szCs w:val="24"/>
        </w:rPr>
      </w:pPr>
      <w:r w:rsidRPr="00775591">
        <w:rPr>
          <w:b/>
          <w:i/>
          <w:szCs w:val="24"/>
        </w:rPr>
        <w:t>Proceeds of Crime Act 2002</w:t>
      </w:r>
    </w:p>
    <w:p w:rsidR="001035F6" w:rsidRPr="00775591" w:rsidRDefault="00820173" w:rsidP="005657B1">
      <w:pPr>
        <w:keepNext/>
        <w:rPr>
          <w:b/>
          <w:szCs w:val="24"/>
        </w:rPr>
      </w:pPr>
      <w:r w:rsidRPr="00775591">
        <w:rPr>
          <w:b/>
          <w:szCs w:val="24"/>
        </w:rPr>
        <w:t xml:space="preserve">Item </w:t>
      </w:r>
      <w:r w:rsidR="0074654F" w:rsidRPr="00775591">
        <w:rPr>
          <w:b/>
          <w:szCs w:val="24"/>
        </w:rPr>
        <w:t>67</w:t>
      </w:r>
      <w:r w:rsidR="00DF6E0C" w:rsidRPr="00775591">
        <w:rPr>
          <w:b/>
          <w:szCs w:val="24"/>
        </w:rPr>
        <w:t xml:space="preserve">: Section 388 (paragraph (a) of the definition of </w:t>
      </w:r>
      <w:r w:rsidR="00DF6E0C" w:rsidRPr="00775591">
        <w:rPr>
          <w:b/>
          <w:i/>
          <w:szCs w:val="24"/>
        </w:rPr>
        <w:t>professional confidential relationship privilege</w:t>
      </w:r>
      <w:r w:rsidR="00DF6E0C" w:rsidRPr="00775591">
        <w:rPr>
          <w:b/>
          <w:szCs w:val="24"/>
        </w:rPr>
        <w:t>)</w:t>
      </w:r>
    </w:p>
    <w:p w:rsidR="00DF6E0C" w:rsidRPr="00775591" w:rsidRDefault="00DF6E0C" w:rsidP="005657B1">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item will remove the reference to Division 1A of the Evidence Act 1995 in the definition of professional confidential relationship privilege in </w:t>
      </w:r>
      <w:r w:rsidR="00937DEC" w:rsidRPr="00775591">
        <w:rPr>
          <w:rFonts w:eastAsia="Times New Roman"/>
          <w:szCs w:val="24"/>
          <w:lang w:eastAsia="en-AU"/>
        </w:rPr>
        <w:t xml:space="preserve">section </w:t>
      </w:r>
      <w:r w:rsidRPr="00775591">
        <w:rPr>
          <w:rFonts w:eastAsia="Times New Roman"/>
          <w:szCs w:val="24"/>
          <w:lang w:eastAsia="en-AU"/>
        </w:rPr>
        <w:t>388 of the James Hardie (Investigations and Proceedings) Act and replace it with a reference to Division 1C</w:t>
      </w:r>
      <w:r w:rsidR="00B86531" w:rsidRPr="00775591">
        <w:rPr>
          <w:rFonts w:eastAsia="Times New Roman"/>
          <w:szCs w:val="24"/>
          <w:lang w:eastAsia="en-AU"/>
        </w:rPr>
        <w:t xml:space="preserve"> of the Evidence Act</w:t>
      </w:r>
      <w:r w:rsidRPr="00775591">
        <w:rPr>
          <w:rFonts w:eastAsia="Times New Roman"/>
          <w:szCs w:val="24"/>
          <w:lang w:eastAsia="en-AU"/>
        </w:rPr>
        <w:t>.</w:t>
      </w:r>
    </w:p>
    <w:p w:rsidR="00DF6E0C" w:rsidRPr="00775591" w:rsidRDefault="00DF6E0C" w:rsidP="00373447">
      <w:pPr>
        <w:pStyle w:val="ListParagraph"/>
        <w:keepNext/>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is required because of the insertion of item </w:t>
      </w:r>
      <w:r w:rsidR="00556899" w:rsidRPr="00775591">
        <w:rPr>
          <w:rFonts w:eastAsia="Times New Roman"/>
          <w:szCs w:val="24"/>
          <w:lang w:eastAsia="en-AU"/>
        </w:rPr>
        <w:t>26</w:t>
      </w:r>
      <w:r w:rsidRPr="00775591">
        <w:rPr>
          <w:rFonts w:eastAsia="Times New Roman"/>
          <w:szCs w:val="24"/>
          <w:lang w:eastAsia="en-AU"/>
        </w:rPr>
        <w:t xml:space="preserve"> above, </w:t>
      </w:r>
      <w:r w:rsidR="00B552BC">
        <w:rPr>
          <w:rFonts w:eastAsia="Times New Roman"/>
          <w:szCs w:val="24"/>
          <w:lang w:eastAsia="en-AU"/>
        </w:rPr>
        <w:t>which will move the journalist</w:t>
      </w:r>
      <w:r w:rsidRPr="00775591">
        <w:rPr>
          <w:rFonts w:eastAsia="Times New Roman"/>
          <w:szCs w:val="24"/>
          <w:lang w:eastAsia="en-AU"/>
        </w:rPr>
        <w:t xml:space="preserve"> privilege provisions from Division 1A of Pa</w:t>
      </w:r>
      <w:r w:rsidR="00B86531" w:rsidRPr="00775591">
        <w:rPr>
          <w:rFonts w:eastAsia="Times New Roman"/>
          <w:szCs w:val="24"/>
          <w:lang w:eastAsia="en-AU"/>
        </w:rPr>
        <w:t>rt 3.10 of the Evidence Act</w:t>
      </w:r>
      <w:r w:rsidRPr="00775591">
        <w:rPr>
          <w:rFonts w:eastAsia="Times New Roman"/>
          <w:szCs w:val="24"/>
          <w:lang w:eastAsia="en-AU"/>
        </w:rPr>
        <w:t xml:space="preserve"> to new Division 1C of Part 3.10</w:t>
      </w:r>
      <w:r w:rsidR="00293A8B" w:rsidRPr="00775591">
        <w:rPr>
          <w:rFonts w:eastAsia="Times New Roman"/>
          <w:szCs w:val="24"/>
          <w:lang w:eastAsia="en-AU"/>
        </w:rPr>
        <w:t xml:space="preserve"> of the Evidence Act</w:t>
      </w:r>
      <w:r w:rsidRPr="00775591">
        <w:rPr>
          <w:rFonts w:eastAsia="Times New Roman"/>
          <w:szCs w:val="24"/>
          <w:lang w:eastAsia="en-AU"/>
        </w:rPr>
        <w:t>. This will provide consistency with the numbering of the ACT, NSW and Vic Evidence Acts.</w:t>
      </w:r>
    </w:p>
    <w:p w:rsidR="008568CF" w:rsidRPr="00775591" w:rsidRDefault="008568CF" w:rsidP="00AD0E4E">
      <w:pPr>
        <w:rPr>
          <w:b/>
          <w:i/>
          <w:szCs w:val="24"/>
        </w:rPr>
      </w:pPr>
      <w:r w:rsidRPr="00775591">
        <w:rPr>
          <w:b/>
          <w:i/>
          <w:szCs w:val="24"/>
        </w:rPr>
        <w:t>Public Interest Disclosure Act 2013</w:t>
      </w:r>
    </w:p>
    <w:p w:rsidR="001035F6" w:rsidRPr="00775591" w:rsidRDefault="00F36AEC" w:rsidP="00AD0E4E">
      <w:pPr>
        <w:rPr>
          <w:b/>
          <w:szCs w:val="24"/>
        </w:rPr>
      </w:pPr>
      <w:r w:rsidRPr="00775591">
        <w:rPr>
          <w:b/>
          <w:szCs w:val="24"/>
        </w:rPr>
        <w:t xml:space="preserve">Item </w:t>
      </w:r>
      <w:r w:rsidR="009E7B4A">
        <w:rPr>
          <w:b/>
          <w:szCs w:val="24"/>
        </w:rPr>
        <w:t>68</w:t>
      </w:r>
      <w:r w:rsidR="0028202D" w:rsidRPr="00775591">
        <w:rPr>
          <w:b/>
          <w:szCs w:val="24"/>
        </w:rPr>
        <w:t>: Subsection 23(2)</w:t>
      </w:r>
    </w:p>
    <w:p w:rsidR="0028202D" w:rsidRPr="00775591" w:rsidRDefault="0028202D" w:rsidP="00AD0E4E">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remove the reference to subsection 126H</w:t>
      </w:r>
      <w:r w:rsidR="00B86531" w:rsidRPr="00775591">
        <w:rPr>
          <w:rFonts w:eastAsia="Times New Roman"/>
          <w:szCs w:val="24"/>
          <w:lang w:eastAsia="en-AU"/>
        </w:rPr>
        <w:t xml:space="preserve"> of the Evidence Act 1995</w:t>
      </w:r>
      <w:r w:rsidRPr="00775591">
        <w:rPr>
          <w:rFonts w:eastAsia="Times New Roman"/>
          <w:szCs w:val="24"/>
          <w:lang w:eastAsia="en-AU"/>
        </w:rPr>
        <w:t xml:space="preserve"> in subsection </w:t>
      </w:r>
      <w:r w:rsidR="00B86531" w:rsidRPr="00775591">
        <w:rPr>
          <w:rFonts w:eastAsia="Times New Roman"/>
          <w:szCs w:val="24"/>
          <w:lang w:eastAsia="en-AU"/>
        </w:rPr>
        <w:t xml:space="preserve">23(2) </w:t>
      </w:r>
      <w:r w:rsidRPr="00775591">
        <w:rPr>
          <w:rFonts w:eastAsia="Times New Roman"/>
          <w:szCs w:val="24"/>
          <w:lang w:eastAsia="en-AU"/>
        </w:rPr>
        <w:t>of the</w:t>
      </w:r>
      <w:r w:rsidR="00B86531" w:rsidRPr="00775591">
        <w:rPr>
          <w:rFonts w:eastAsia="Times New Roman"/>
          <w:szCs w:val="24"/>
          <w:lang w:eastAsia="en-AU"/>
        </w:rPr>
        <w:t xml:space="preserve"> Public Interest Disclosure Act </w:t>
      </w:r>
      <w:r w:rsidRPr="00775591">
        <w:rPr>
          <w:rFonts w:eastAsia="Times New Roman"/>
          <w:szCs w:val="24"/>
          <w:lang w:eastAsia="en-AU"/>
        </w:rPr>
        <w:t>and replace it with a reference to</w:t>
      </w:r>
      <w:r w:rsidR="00B86531" w:rsidRPr="00775591">
        <w:rPr>
          <w:rFonts w:eastAsia="Times New Roman"/>
          <w:szCs w:val="24"/>
          <w:lang w:eastAsia="en-AU"/>
        </w:rPr>
        <w:t xml:space="preserve"> subsection 126K of the Evidence Act</w:t>
      </w:r>
      <w:r w:rsidRPr="00775591">
        <w:rPr>
          <w:rFonts w:eastAsia="Times New Roman"/>
          <w:szCs w:val="24"/>
          <w:lang w:eastAsia="en-AU"/>
        </w:rPr>
        <w:t xml:space="preserve">. </w:t>
      </w:r>
    </w:p>
    <w:p w:rsidR="0028202D" w:rsidRPr="00775591" w:rsidRDefault="0028202D" w:rsidP="00AD0E4E">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 xml:space="preserve">This is required because of the insertion of item </w:t>
      </w:r>
      <w:r w:rsidR="009E7B4A">
        <w:rPr>
          <w:rFonts w:eastAsia="Times New Roman"/>
          <w:szCs w:val="24"/>
          <w:lang w:eastAsia="en-AU"/>
        </w:rPr>
        <w:t>28</w:t>
      </w:r>
      <w:r w:rsidRPr="00775591">
        <w:rPr>
          <w:rFonts w:eastAsia="Times New Roman"/>
          <w:szCs w:val="24"/>
          <w:lang w:eastAsia="en-AU"/>
        </w:rPr>
        <w:t xml:space="preserve"> above which will renumber section 126H</w:t>
      </w:r>
      <w:r w:rsidR="000E2BF4" w:rsidRPr="00775591">
        <w:rPr>
          <w:rFonts w:eastAsia="Times New Roman"/>
          <w:szCs w:val="24"/>
          <w:lang w:eastAsia="en-AU"/>
        </w:rPr>
        <w:t xml:space="preserve"> of the Evidence Act</w:t>
      </w:r>
      <w:r w:rsidRPr="00775591">
        <w:rPr>
          <w:rFonts w:eastAsia="Times New Roman"/>
          <w:szCs w:val="24"/>
          <w:lang w:eastAsia="en-AU"/>
        </w:rPr>
        <w:t xml:space="preserve"> to new section 126K</w:t>
      </w:r>
      <w:r w:rsidR="000E2BF4" w:rsidRPr="00775591">
        <w:rPr>
          <w:rFonts w:eastAsia="Times New Roman"/>
          <w:szCs w:val="24"/>
          <w:lang w:eastAsia="en-AU"/>
        </w:rPr>
        <w:t xml:space="preserve"> of the Evidence Act</w:t>
      </w:r>
      <w:r w:rsidRPr="00775591">
        <w:rPr>
          <w:rFonts w:eastAsia="Times New Roman"/>
          <w:szCs w:val="24"/>
          <w:lang w:eastAsia="en-AU"/>
        </w:rPr>
        <w:t>. This will provide consistency with the numbering of the ACT, NSW and Vic Evidence Acts.</w:t>
      </w:r>
    </w:p>
    <w:p w:rsidR="00542DBF" w:rsidRPr="00775591" w:rsidRDefault="00542DBF" w:rsidP="00542DBF">
      <w:pPr>
        <w:keepNext/>
        <w:rPr>
          <w:b/>
          <w:i/>
          <w:szCs w:val="24"/>
        </w:rPr>
      </w:pPr>
      <w:r w:rsidRPr="00775591">
        <w:rPr>
          <w:b/>
          <w:i/>
          <w:szCs w:val="24"/>
        </w:rPr>
        <w:t>Social Security (Administration) Act 1999</w:t>
      </w:r>
    </w:p>
    <w:p w:rsidR="00473A63" w:rsidRPr="00775591" w:rsidRDefault="006D04F5" w:rsidP="00473A63">
      <w:pPr>
        <w:pStyle w:val="ListParagraph"/>
        <w:keepNext/>
        <w:spacing w:after="240"/>
        <w:ind w:left="0"/>
        <w:contextualSpacing w:val="0"/>
        <w:rPr>
          <w:rFonts w:eastAsia="Times New Roman"/>
          <w:szCs w:val="24"/>
          <w:lang w:eastAsia="en-AU"/>
        </w:rPr>
      </w:pPr>
      <w:r>
        <w:rPr>
          <w:b/>
          <w:szCs w:val="24"/>
        </w:rPr>
        <w:t>Item 69</w:t>
      </w:r>
      <w:r w:rsidR="00473A63" w:rsidRPr="00775591">
        <w:rPr>
          <w:b/>
          <w:szCs w:val="24"/>
        </w:rPr>
        <w:t>: Section 180 (table item 1)</w:t>
      </w:r>
    </w:p>
    <w:p w:rsidR="00147993" w:rsidRPr="00775591" w:rsidRDefault="008B7CAF" w:rsidP="00147993">
      <w:pPr>
        <w:pStyle w:val="ListParagraph"/>
        <w:numPr>
          <w:ilvl w:val="0"/>
          <w:numId w:val="29"/>
        </w:numPr>
        <w:spacing w:after="240"/>
        <w:ind w:left="0" w:firstLine="0"/>
        <w:contextualSpacing w:val="0"/>
        <w:rPr>
          <w:rFonts w:eastAsia="Times New Roman"/>
          <w:szCs w:val="24"/>
          <w:lang w:eastAsia="en-AU"/>
        </w:rPr>
      </w:pPr>
      <w:r w:rsidRPr="00775591">
        <w:rPr>
          <w:szCs w:val="24"/>
        </w:rPr>
        <w:t>This item will repeal table item 1 of section 180 of the Social</w:t>
      </w:r>
      <w:r w:rsidR="007A35B2" w:rsidRPr="00775591">
        <w:rPr>
          <w:szCs w:val="24"/>
        </w:rPr>
        <w:t xml:space="preserve"> Security (Administration) Act </w:t>
      </w:r>
      <w:r w:rsidR="007A35B2" w:rsidRPr="00775591">
        <w:rPr>
          <w:szCs w:val="24"/>
          <w:lang w:eastAsia="en-AU"/>
        </w:rPr>
        <w:t xml:space="preserve">which will be inserted by the </w:t>
      </w:r>
      <w:r w:rsidR="007A35B2" w:rsidRPr="00775591">
        <w:rPr>
          <w:i/>
          <w:szCs w:val="24"/>
          <w:lang w:eastAsia="en-AU"/>
        </w:rPr>
        <w:t>Tribunal</w:t>
      </w:r>
      <w:r w:rsidR="00000685" w:rsidRPr="00775591">
        <w:rPr>
          <w:i/>
          <w:szCs w:val="24"/>
          <w:lang w:eastAsia="en-AU"/>
        </w:rPr>
        <w:t>s</w:t>
      </w:r>
      <w:r w:rsidR="007A35B2" w:rsidRPr="00775591">
        <w:rPr>
          <w:i/>
          <w:szCs w:val="24"/>
          <w:lang w:eastAsia="en-AU"/>
        </w:rPr>
        <w:t xml:space="preserve"> Amalgamation Act 2015</w:t>
      </w:r>
      <w:r w:rsidR="007A35B2" w:rsidRPr="00775591">
        <w:rPr>
          <w:szCs w:val="24"/>
          <w:lang w:eastAsia="en-AU"/>
        </w:rPr>
        <w:t xml:space="preserve"> on 1 July 2015.</w:t>
      </w:r>
    </w:p>
    <w:p w:rsidR="00147993" w:rsidRPr="00775591" w:rsidRDefault="008B7CAF" w:rsidP="00147993">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Section 180 (table item 1) modifies the application of the </w:t>
      </w:r>
      <w:r w:rsidRPr="00775591">
        <w:rPr>
          <w:i/>
          <w:iCs/>
          <w:szCs w:val="24"/>
        </w:rPr>
        <w:t>Administrative Appeals Tribunal Act 1975</w:t>
      </w:r>
      <w:r w:rsidRPr="00775591">
        <w:rPr>
          <w:szCs w:val="24"/>
        </w:rPr>
        <w:t xml:space="preserve"> by providing that when an applicant applies for AAT second review, the reference to the person who made the decision, is a reference to each person who was a party to the first review (other than the applicant who has applied for AAT second review).</w:t>
      </w:r>
    </w:p>
    <w:p w:rsidR="00147993" w:rsidRPr="00775591" w:rsidRDefault="008B7CAF" w:rsidP="00147993">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The repeal of section 180 (table item 1) is necessary because this Bill will introduce paragraph 29AC(1)(c) which will provide that the Tribunal must give notice of receiving an application, to any person who is made a party to the review by another enactment that authorised the application. </w:t>
      </w:r>
    </w:p>
    <w:p w:rsidR="008B7CAF" w:rsidRPr="00775591" w:rsidRDefault="008B7CAF" w:rsidP="00147993">
      <w:pPr>
        <w:pStyle w:val="ListParagraph"/>
        <w:numPr>
          <w:ilvl w:val="0"/>
          <w:numId w:val="29"/>
        </w:numPr>
        <w:spacing w:after="240"/>
        <w:ind w:left="0" w:firstLine="0"/>
        <w:contextualSpacing w:val="0"/>
        <w:rPr>
          <w:rFonts w:eastAsia="Times New Roman"/>
          <w:szCs w:val="24"/>
          <w:lang w:eastAsia="en-AU"/>
        </w:rPr>
      </w:pPr>
      <w:r w:rsidRPr="00775591">
        <w:rPr>
          <w:szCs w:val="24"/>
        </w:rPr>
        <w:t>As both provisions will achieve the same outcome, section 180 (table item 1) will be redundant.</w:t>
      </w:r>
    </w:p>
    <w:p w:rsidR="00FD1504" w:rsidRPr="00775591" w:rsidRDefault="00FD1504" w:rsidP="00FD1504">
      <w:pPr>
        <w:keepNext/>
        <w:rPr>
          <w:b/>
          <w:i/>
          <w:szCs w:val="24"/>
        </w:rPr>
      </w:pPr>
      <w:r w:rsidRPr="00775591">
        <w:rPr>
          <w:b/>
          <w:i/>
          <w:szCs w:val="24"/>
        </w:rPr>
        <w:t>Student Assistance Act 1973</w:t>
      </w:r>
    </w:p>
    <w:p w:rsidR="00FD1504" w:rsidRPr="00775591" w:rsidRDefault="00FD1504" w:rsidP="00FD1504">
      <w:pPr>
        <w:keepNext/>
        <w:spacing w:after="240"/>
        <w:rPr>
          <w:b/>
          <w:szCs w:val="24"/>
        </w:rPr>
      </w:pPr>
      <w:r w:rsidRPr="00775591">
        <w:rPr>
          <w:b/>
          <w:szCs w:val="24"/>
        </w:rPr>
        <w:t xml:space="preserve">Item </w:t>
      </w:r>
      <w:r w:rsidR="00E435A3">
        <w:rPr>
          <w:b/>
          <w:szCs w:val="24"/>
        </w:rPr>
        <w:t>70</w:t>
      </w:r>
      <w:r w:rsidRPr="00775591">
        <w:rPr>
          <w:b/>
          <w:szCs w:val="24"/>
        </w:rPr>
        <w:t xml:space="preserve">: Section 321 </w:t>
      </w:r>
    </w:p>
    <w:p w:rsidR="00F3145D" w:rsidRPr="00775591" w:rsidRDefault="00FD1504" w:rsidP="00F3145D">
      <w:pPr>
        <w:pStyle w:val="ListParagraph"/>
        <w:numPr>
          <w:ilvl w:val="0"/>
          <w:numId w:val="29"/>
        </w:numPr>
        <w:spacing w:after="240"/>
        <w:ind w:left="0" w:firstLine="0"/>
        <w:contextualSpacing w:val="0"/>
        <w:rPr>
          <w:rFonts w:eastAsia="Times New Roman"/>
          <w:szCs w:val="24"/>
          <w:lang w:eastAsia="en-AU"/>
        </w:rPr>
      </w:pPr>
      <w:r w:rsidRPr="00775591">
        <w:rPr>
          <w:rFonts w:eastAsia="Times New Roman"/>
          <w:szCs w:val="24"/>
          <w:lang w:eastAsia="en-AU"/>
        </w:rPr>
        <w:t>This item will repeal section 321 of the Student Assistance Act</w:t>
      </w:r>
      <w:r w:rsidR="00210E74" w:rsidRPr="00775591">
        <w:rPr>
          <w:rFonts w:eastAsia="Times New Roman"/>
          <w:szCs w:val="24"/>
          <w:lang w:eastAsia="en-AU"/>
        </w:rPr>
        <w:t xml:space="preserve"> </w:t>
      </w:r>
      <w:r w:rsidR="00210E74" w:rsidRPr="00775591">
        <w:rPr>
          <w:szCs w:val="24"/>
          <w:lang w:eastAsia="en-AU"/>
        </w:rPr>
        <w:t xml:space="preserve">which will be inserted by the </w:t>
      </w:r>
      <w:r w:rsidR="00210E74" w:rsidRPr="00775591">
        <w:rPr>
          <w:i/>
          <w:szCs w:val="24"/>
          <w:lang w:eastAsia="en-AU"/>
        </w:rPr>
        <w:t>Tribunal</w:t>
      </w:r>
      <w:r w:rsidR="00000685" w:rsidRPr="00775591">
        <w:rPr>
          <w:i/>
          <w:szCs w:val="24"/>
          <w:lang w:eastAsia="en-AU"/>
        </w:rPr>
        <w:t>s</w:t>
      </w:r>
      <w:r w:rsidR="00210E74" w:rsidRPr="00775591">
        <w:rPr>
          <w:i/>
          <w:szCs w:val="24"/>
          <w:lang w:eastAsia="en-AU"/>
        </w:rPr>
        <w:t xml:space="preserve"> Amalgamation Act 2015</w:t>
      </w:r>
      <w:r w:rsidR="00210E74" w:rsidRPr="00775591">
        <w:rPr>
          <w:szCs w:val="24"/>
          <w:lang w:eastAsia="en-AU"/>
        </w:rPr>
        <w:t xml:space="preserve"> on 1 July 2015.</w:t>
      </w:r>
      <w:r w:rsidRPr="00775591">
        <w:rPr>
          <w:rFonts w:eastAsia="Times New Roman"/>
          <w:szCs w:val="24"/>
          <w:lang w:eastAsia="en-AU"/>
        </w:rPr>
        <w:t xml:space="preserve">  </w:t>
      </w:r>
    </w:p>
    <w:p w:rsidR="00F3145D" w:rsidRPr="00775591" w:rsidRDefault="00F3145D" w:rsidP="00F3145D">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Section 321 modifies the application of the </w:t>
      </w:r>
      <w:r w:rsidRPr="00775591">
        <w:rPr>
          <w:i/>
          <w:iCs/>
          <w:szCs w:val="24"/>
        </w:rPr>
        <w:t>Administrative Appeals Tribunal Act 1975</w:t>
      </w:r>
      <w:r w:rsidRPr="00775591">
        <w:rPr>
          <w:szCs w:val="24"/>
        </w:rPr>
        <w:t xml:space="preserve"> by providing that when an applicant applies for AAT second review, the reference to the person who made the decision, is a reference to each person who was a party to the first review (other than the applicant who has applied for AAT second review).</w:t>
      </w:r>
    </w:p>
    <w:p w:rsidR="00F3145D" w:rsidRPr="00775591" w:rsidRDefault="00F3145D" w:rsidP="00F3145D">
      <w:pPr>
        <w:pStyle w:val="ListParagraph"/>
        <w:numPr>
          <w:ilvl w:val="0"/>
          <w:numId w:val="29"/>
        </w:numPr>
        <w:spacing w:after="240"/>
        <w:ind w:left="0" w:firstLine="0"/>
        <w:contextualSpacing w:val="0"/>
        <w:rPr>
          <w:rFonts w:eastAsia="Times New Roman"/>
          <w:szCs w:val="24"/>
          <w:lang w:eastAsia="en-AU"/>
        </w:rPr>
      </w:pPr>
      <w:r w:rsidRPr="00775591">
        <w:rPr>
          <w:szCs w:val="24"/>
        </w:rPr>
        <w:t xml:space="preserve">The repeal of section 321 is necessary because this Bill will introduce paragraph 29AC(1)(c) which will provide that the Tribunal must give notice of receiving an application, to any person who is made a party to the review by another enactment that authorised the application. </w:t>
      </w:r>
    </w:p>
    <w:p w:rsidR="0028202D" w:rsidRPr="00775591" w:rsidRDefault="00F3145D" w:rsidP="00E00F1A">
      <w:pPr>
        <w:pStyle w:val="ListParagraph"/>
        <w:keepNext/>
        <w:numPr>
          <w:ilvl w:val="0"/>
          <w:numId w:val="29"/>
        </w:numPr>
        <w:spacing w:after="240"/>
        <w:ind w:left="0" w:firstLine="0"/>
        <w:contextualSpacing w:val="0"/>
        <w:rPr>
          <w:szCs w:val="24"/>
        </w:rPr>
      </w:pPr>
      <w:r w:rsidRPr="00775591">
        <w:rPr>
          <w:szCs w:val="24"/>
        </w:rPr>
        <w:t>As both provisions will achieve the same outcome, section 321 will be redundant.</w:t>
      </w:r>
    </w:p>
    <w:p w:rsidR="00AD51C3" w:rsidRPr="00AD51C3" w:rsidRDefault="00AD51C3" w:rsidP="00AD51C3">
      <w:pPr>
        <w:keepNext/>
        <w:spacing w:after="240"/>
        <w:rPr>
          <w:b/>
        </w:rPr>
      </w:pPr>
    </w:p>
    <w:p w:rsidR="00AD51C3" w:rsidRPr="0028202D" w:rsidRDefault="00AD51C3" w:rsidP="00AD51C3">
      <w:pPr>
        <w:keepNext/>
        <w:spacing w:after="240"/>
      </w:pPr>
    </w:p>
    <w:sectPr w:rsidR="00AD51C3" w:rsidRPr="0028202D" w:rsidSect="0020755C">
      <w:footerReference w:type="default" r:id="rId9"/>
      <w:pgSz w:w="11906" w:h="16838" w:code="9"/>
      <w:pgMar w:top="1440" w:right="1440" w:bottom="1440" w:left="1440" w:header="14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89" w:rsidRDefault="00F21A89" w:rsidP="009504D9">
      <w:pPr>
        <w:spacing w:before="0"/>
      </w:pPr>
      <w:r>
        <w:separator/>
      </w:r>
    </w:p>
  </w:endnote>
  <w:endnote w:type="continuationSeparator" w:id="0">
    <w:p w:rsidR="00F21A89" w:rsidRDefault="00F21A89" w:rsidP="009504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91573"/>
      <w:docPartObj>
        <w:docPartGallery w:val="Page Numbers (Bottom of Page)"/>
        <w:docPartUnique/>
      </w:docPartObj>
    </w:sdtPr>
    <w:sdtEndPr>
      <w:rPr>
        <w:noProof/>
      </w:rPr>
    </w:sdtEndPr>
    <w:sdtContent>
      <w:p w:rsidR="00F21A89" w:rsidRDefault="00F21A89">
        <w:pPr>
          <w:pStyle w:val="Footer"/>
          <w:jc w:val="right"/>
        </w:pPr>
        <w:r>
          <w:fldChar w:fldCharType="begin"/>
        </w:r>
        <w:r>
          <w:instrText xml:space="preserve"> PAGE   \* MERGEFORMAT </w:instrText>
        </w:r>
        <w:r>
          <w:fldChar w:fldCharType="separate"/>
        </w:r>
        <w:r w:rsidR="00C759D7">
          <w:rPr>
            <w:noProof/>
          </w:rPr>
          <w:t>30</w:t>
        </w:r>
        <w:r>
          <w:rPr>
            <w:noProof/>
          </w:rPr>
          <w:fldChar w:fldCharType="end"/>
        </w:r>
      </w:p>
    </w:sdtContent>
  </w:sdt>
  <w:p w:rsidR="00F21A89" w:rsidRDefault="00F2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89" w:rsidRDefault="00F21A89" w:rsidP="009504D9">
      <w:pPr>
        <w:spacing w:before="0"/>
      </w:pPr>
      <w:r>
        <w:separator/>
      </w:r>
    </w:p>
  </w:footnote>
  <w:footnote w:type="continuationSeparator" w:id="0">
    <w:p w:rsidR="00F21A89" w:rsidRDefault="00F21A89" w:rsidP="009504D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E8AFBC"/>
    <w:lvl w:ilvl="0">
      <w:numFmt w:val="decimal"/>
      <w:pStyle w:val="Summary"/>
      <w:lvlText w:val="*"/>
      <w:lvlJc w:val="left"/>
    </w:lvl>
  </w:abstractNum>
  <w:abstractNum w:abstractNumId="1">
    <w:nsid w:val="040D217F"/>
    <w:multiLevelType w:val="hybridMultilevel"/>
    <w:tmpl w:val="7EDEA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E02B7"/>
    <w:multiLevelType w:val="hybridMultilevel"/>
    <w:tmpl w:val="6D12BD68"/>
    <w:lvl w:ilvl="0" w:tplc="E52A28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867B0B"/>
    <w:multiLevelType w:val="hybridMultilevel"/>
    <w:tmpl w:val="2A9CF4EA"/>
    <w:lvl w:ilvl="0" w:tplc="FFFFFFFF">
      <w:numFmt w:val="bullet"/>
      <w:lvlText w:val="-"/>
      <w:lvlJc w:val="left"/>
      <w:pPr>
        <w:ind w:left="360" w:hanging="360"/>
      </w:pPr>
    </w:lvl>
    <w:lvl w:ilvl="1" w:tplc="5C106AA0">
      <w:start w:val="1"/>
      <w:numFmt w:val="bullet"/>
      <w:lvlText w:val=""/>
      <w:lvlJc w:val="left"/>
      <w:pPr>
        <w:ind w:left="1080" w:hanging="360"/>
      </w:pPr>
      <w:rPr>
        <w:rFonts w:ascii="Symbol" w:hAnsi="Symbol" w:hint="default"/>
        <w:sz w:val="16"/>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5625C5"/>
    <w:multiLevelType w:val="hybridMultilevel"/>
    <w:tmpl w:val="6282925C"/>
    <w:lvl w:ilvl="0" w:tplc="0C090017">
      <w:start w:val="1"/>
      <w:numFmt w:val="lowerLetter"/>
      <w:lvlText w:val="%1)"/>
      <w:lvlJc w:val="left"/>
      <w:pPr>
        <w:ind w:left="720" w:hanging="360"/>
      </w:pPr>
    </w:lvl>
    <w:lvl w:ilvl="1" w:tplc="DEF26CF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FE7F9F"/>
    <w:multiLevelType w:val="singleLevel"/>
    <w:tmpl w:val="EB66551E"/>
    <w:lvl w:ilvl="0">
      <w:start w:val="1"/>
      <w:numFmt w:val="bullet"/>
      <w:pStyle w:val="Bullet2"/>
      <w:lvlText w:val="-"/>
      <w:lvlJc w:val="left"/>
      <w:pPr>
        <w:tabs>
          <w:tab w:val="num" w:pos="0"/>
        </w:tabs>
        <w:ind w:left="1134" w:hanging="284"/>
      </w:pPr>
      <w:rPr>
        <w:rFonts w:ascii="Times New Roman" w:hAnsi="Times New Roman" w:hint="default"/>
      </w:rPr>
    </w:lvl>
  </w:abstractNum>
  <w:abstractNum w:abstractNumId="6">
    <w:nsid w:val="194240A2"/>
    <w:multiLevelType w:val="hybridMultilevel"/>
    <w:tmpl w:val="B42EBD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C5EEB"/>
    <w:multiLevelType w:val="singleLevel"/>
    <w:tmpl w:val="54C0E0CC"/>
    <w:lvl w:ilvl="0">
      <w:start w:val="1"/>
      <w:numFmt w:val="bullet"/>
      <w:pStyle w:val="Bullet3"/>
      <w:lvlText w:val="*"/>
      <w:lvlJc w:val="left"/>
      <w:pPr>
        <w:tabs>
          <w:tab w:val="num" w:pos="425"/>
        </w:tabs>
        <w:ind w:left="425" w:hanging="425"/>
      </w:pPr>
      <w:rPr>
        <w:rFonts w:ascii="Times New Roman" w:hAnsi="Times New Roman" w:hint="default"/>
      </w:rPr>
    </w:lvl>
  </w:abstractNum>
  <w:abstractNum w:abstractNumId="8">
    <w:nsid w:val="1E427CA0"/>
    <w:multiLevelType w:val="hybridMultilevel"/>
    <w:tmpl w:val="A5BCBD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AB64E41"/>
    <w:multiLevelType w:val="hybridMultilevel"/>
    <w:tmpl w:val="3768DA54"/>
    <w:lvl w:ilvl="0" w:tplc="7FAC8E52">
      <w:start w:val="8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C94990"/>
    <w:multiLevelType w:val="hybridMultilevel"/>
    <w:tmpl w:val="BF50D554"/>
    <w:lvl w:ilvl="0" w:tplc="27762A7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B0658"/>
    <w:multiLevelType w:val="multilevel"/>
    <w:tmpl w:val="99E43D82"/>
    <w:lvl w:ilvl="0">
      <w:start w:val="1"/>
      <w:numFmt w:val="decimal"/>
      <w:pStyle w:val="Heading1numbered"/>
      <w:lvlText w:val="%1"/>
      <w:lvlJc w:val="left"/>
      <w:pPr>
        <w:tabs>
          <w:tab w:val="num" w:pos="360"/>
        </w:tabs>
        <w:ind w:left="0" w:firstLine="0"/>
      </w:pPr>
    </w:lvl>
    <w:lvl w:ilvl="1">
      <w:start w:val="1"/>
      <w:numFmt w:val="decimal"/>
      <w:pStyle w:val="Heading2numbered"/>
      <w:lvlText w:val="%1.%2"/>
      <w:lvlJc w:val="left"/>
      <w:pPr>
        <w:tabs>
          <w:tab w:val="num" w:pos="720"/>
        </w:tabs>
        <w:ind w:left="0" w:firstLine="0"/>
      </w:pPr>
    </w:lvl>
    <w:lvl w:ilvl="2">
      <w:start w:val="1"/>
      <w:numFmt w:val="decimal"/>
      <w:pStyle w:val="Heading3numbered"/>
      <w:lvlText w:val="%1.%2.%3"/>
      <w:lvlJc w:val="left"/>
      <w:pPr>
        <w:tabs>
          <w:tab w:val="num" w:pos="720"/>
        </w:tabs>
        <w:ind w:left="0" w:firstLine="0"/>
      </w:pPr>
    </w:lvl>
    <w:lvl w:ilvl="3">
      <w:start w:val="1"/>
      <w:numFmt w:val="decimal"/>
      <w:pStyle w:val="Heading4numbered"/>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307503F"/>
    <w:multiLevelType w:val="hybridMultilevel"/>
    <w:tmpl w:val="7EF031C8"/>
    <w:lvl w:ilvl="0" w:tplc="E188D77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822FCD"/>
    <w:multiLevelType w:val="hybridMultilevel"/>
    <w:tmpl w:val="EC68DD3A"/>
    <w:lvl w:ilvl="0" w:tplc="E52A288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F210BC"/>
    <w:multiLevelType w:val="hybridMultilevel"/>
    <w:tmpl w:val="C7F6DECC"/>
    <w:lvl w:ilvl="0" w:tplc="0C090017">
      <w:start w:val="1"/>
      <w:numFmt w:val="lowerLetter"/>
      <w:lvlText w:val="%1)"/>
      <w:lvlJc w:val="left"/>
      <w:pPr>
        <w:ind w:left="1080" w:hanging="360"/>
      </w:pPr>
    </w:lvl>
    <w:lvl w:ilvl="1" w:tplc="DEF26CF0">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C774F16"/>
    <w:multiLevelType w:val="hybridMultilevel"/>
    <w:tmpl w:val="9E90625E"/>
    <w:lvl w:ilvl="0" w:tplc="4490D272">
      <w:start w:val="71"/>
      <w:numFmt w:val="decimal"/>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D03C89"/>
    <w:multiLevelType w:val="singleLevel"/>
    <w:tmpl w:val="53A6622A"/>
    <w:lvl w:ilvl="0">
      <w:start w:val="1"/>
      <w:numFmt w:val="bullet"/>
      <w:pStyle w:val="Bullet1"/>
      <w:lvlText w:val=""/>
      <w:lvlJc w:val="left"/>
      <w:pPr>
        <w:tabs>
          <w:tab w:val="num" w:pos="425"/>
        </w:tabs>
        <w:ind w:left="425" w:hanging="425"/>
      </w:pPr>
      <w:rPr>
        <w:rFonts w:ascii="Symbol" w:hAnsi="Symbol" w:hint="default"/>
      </w:rPr>
    </w:lvl>
  </w:abstractNum>
  <w:abstractNum w:abstractNumId="17">
    <w:nsid w:val="494B00E4"/>
    <w:multiLevelType w:val="hybridMultilevel"/>
    <w:tmpl w:val="ABF675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A08692D"/>
    <w:multiLevelType w:val="hybridMultilevel"/>
    <w:tmpl w:val="404AE0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2E0478"/>
    <w:multiLevelType w:val="singleLevel"/>
    <w:tmpl w:val="49F847E8"/>
    <w:lvl w:ilvl="0">
      <w:start w:val="1"/>
      <w:numFmt w:val="decimal"/>
      <w:lvlText w:val="%1."/>
      <w:lvlJc w:val="left"/>
      <w:pPr>
        <w:ind w:left="567" w:hanging="567"/>
      </w:pPr>
      <w:rPr>
        <w:rFonts w:hint="default"/>
      </w:rPr>
    </w:lvl>
  </w:abstractNum>
  <w:abstractNum w:abstractNumId="20">
    <w:nsid w:val="4F773CDE"/>
    <w:multiLevelType w:val="hybridMultilevel"/>
    <w:tmpl w:val="8E443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F92CD1"/>
    <w:multiLevelType w:val="hybridMultilevel"/>
    <w:tmpl w:val="F8FC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156764"/>
    <w:multiLevelType w:val="hybridMultilevel"/>
    <w:tmpl w:val="455E749E"/>
    <w:lvl w:ilvl="0" w:tplc="0C090017">
      <w:start w:val="1"/>
      <w:numFmt w:val="lowerLetter"/>
      <w:lvlText w:val="%1)"/>
      <w:lvlJc w:val="left"/>
      <w:pPr>
        <w:ind w:left="72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33C7769"/>
    <w:multiLevelType w:val="hybridMultilevel"/>
    <w:tmpl w:val="ACB400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3A5A86"/>
    <w:multiLevelType w:val="singleLevel"/>
    <w:tmpl w:val="AE42ACD4"/>
    <w:lvl w:ilvl="0">
      <w:start w:val="1"/>
      <w:numFmt w:val="bullet"/>
      <w:pStyle w:val="Checklist"/>
      <w:lvlText w:val=""/>
      <w:lvlJc w:val="left"/>
      <w:pPr>
        <w:tabs>
          <w:tab w:val="num" w:pos="425"/>
        </w:tabs>
        <w:ind w:left="425" w:hanging="425"/>
      </w:pPr>
      <w:rPr>
        <w:rFonts w:ascii="Wingdings" w:hAnsi="Wingdings" w:hint="default"/>
      </w:rPr>
    </w:lvl>
  </w:abstractNum>
  <w:abstractNum w:abstractNumId="25">
    <w:nsid w:val="559D2DDD"/>
    <w:multiLevelType w:val="hybridMultilevel"/>
    <w:tmpl w:val="577472A0"/>
    <w:lvl w:ilvl="0" w:tplc="3594C45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59A8419A"/>
    <w:multiLevelType w:val="hybridMultilevel"/>
    <w:tmpl w:val="E7FAE35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620178"/>
    <w:multiLevelType w:val="hybridMultilevel"/>
    <w:tmpl w:val="18BE91B4"/>
    <w:lvl w:ilvl="0" w:tplc="0C090001">
      <w:start w:val="1"/>
      <w:numFmt w:val="bullet"/>
      <w:lvlText w:val=""/>
      <w:lvlJc w:val="left"/>
      <w:pPr>
        <w:ind w:left="720" w:hanging="360"/>
      </w:pPr>
      <w:rPr>
        <w:rFonts w:ascii="Symbol" w:hAnsi="Symbol" w:hint="default"/>
      </w:rPr>
    </w:lvl>
    <w:lvl w:ilvl="1" w:tplc="C05E825C">
      <w:numFmt w:val="bullet"/>
      <w:lvlText w:val="·"/>
      <w:lvlJc w:val="left"/>
      <w:pPr>
        <w:ind w:left="1440" w:hanging="360"/>
      </w:pPr>
      <w:rPr>
        <w:rFonts w:ascii="Times New Roman" w:eastAsia="Calibri" w:hAnsi="Times New Roman" w:cs="Times New Roman"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5F2DB2"/>
    <w:multiLevelType w:val="hybridMultilevel"/>
    <w:tmpl w:val="A9209DD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nsid w:val="658207DD"/>
    <w:multiLevelType w:val="hybridMultilevel"/>
    <w:tmpl w:val="1ECA9CAA"/>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83C06F4"/>
    <w:multiLevelType w:val="hybridMultilevel"/>
    <w:tmpl w:val="F9D4C690"/>
    <w:lvl w:ilvl="0" w:tplc="0C09000F">
      <w:start w:val="1"/>
      <w:numFmt w:val="decimal"/>
      <w:lvlText w:val="%1."/>
      <w:lvlJc w:val="left"/>
      <w:pPr>
        <w:ind w:left="720" w:hanging="360"/>
      </w:pPr>
      <w:rPr>
        <w:rFonts w:hint="default"/>
      </w:rPr>
    </w:lvl>
    <w:lvl w:ilvl="1" w:tplc="C05E825C">
      <w:numFmt w:val="bullet"/>
      <w:lvlText w:val="·"/>
      <w:lvlJc w:val="left"/>
      <w:pPr>
        <w:ind w:left="1440" w:hanging="360"/>
      </w:pPr>
      <w:rPr>
        <w:rFonts w:ascii="Times New Roman" w:eastAsia="Calibri" w:hAnsi="Times New Roman" w:cs="Times New Roman"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8D027A"/>
    <w:multiLevelType w:val="hybridMultilevel"/>
    <w:tmpl w:val="987088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C874FA5"/>
    <w:multiLevelType w:val="hybridMultilevel"/>
    <w:tmpl w:val="48DC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E62C99"/>
    <w:multiLevelType w:val="hybridMultilevel"/>
    <w:tmpl w:val="56080B56"/>
    <w:lvl w:ilvl="0" w:tplc="4490D272">
      <w:start w:val="7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2E4F2F"/>
    <w:multiLevelType w:val="hybridMultilevel"/>
    <w:tmpl w:val="E45061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E637AA1"/>
    <w:multiLevelType w:val="hybridMultilevel"/>
    <w:tmpl w:val="3462DB98"/>
    <w:lvl w:ilvl="0" w:tplc="097AE5BE">
      <w:start w:val="1"/>
      <w:numFmt w:val="decimal"/>
      <w:lvlText w:val="%1."/>
      <w:lvlJc w:val="left"/>
      <w:pPr>
        <w:ind w:left="720" w:hanging="360"/>
      </w:pPr>
      <w:rPr>
        <w:rFonts w:hint="default"/>
        <w:sz w:val="20"/>
      </w:rPr>
    </w:lvl>
    <w:lvl w:ilvl="1" w:tplc="97CE27FE">
      <w:start w:val="1"/>
      <w:numFmt w:val="lowerLetter"/>
      <w:lvlText w:val="(%2)"/>
      <w:lvlJc w:val="left"/>
      <w:pPr>
        <w:ind w:left="1440" w:hanging="360"/>
      </w:pPr>
      <w:rPr>
        <w:rFonts w:hint="default"/>
      </w:rPr>
    </w:lvl>
    <w:lvl w:ilvl="2" w:tplc="CDA0F1A6">
      <w:start w:val="1"/>
      <w:numFmt w:val="lowerLetter"/>
      <w:pStyle w:val="letteredparagraph"/>
      <w:lvlText w:val="(%3)"/>
      <w:lvlJc w:val="left"/>
      <w:pPr>
        <w:ind w:left="2160" w:hanging="180"/>
      </w:pPr>
      <w:rPr>
        <w:rFonts w:ascii="Malgun Gothic" w:eastAsia="Malgun Gothic" w:hAnsi="Malgun Gothic"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6"/>
  </w:num>
  <w:num w:numId="3">
    <w:abstractNumId w:val="5"/>
  </w:num>
  <w:num w:numId="4">
    <w:abstractNumId w:val="11"/>
  </w:num>
  <w:num w:numId="5">
    <w:abstractNumId w:val="7"/>
  </w:num>
  <w:num w:numId="6">
    <w:abstractNumId w:val="24"/>
  </w:num>
  <w:num w:numId="7">
    <w:abstractNumId w:val="35"/>
  </w:num>
  <w:num w:numId="8">
    <w:abstractNumId w:val="32"/>
  </w:num>
  <w:num w:numId="9">
    <w:abstractNumId w:val="21"/>
  </w:num>
  <w:num w:numId="10">
    <w:abstractNumId w:val="0"/>
    <w:lvlOverride w:ilvl="0">
      <w:lvl w:ilvl="0">
        <w:numFmt w:val="bullet"/>
        <w:pStyle w:val="Summary"/>
        <w:lvlText w:val="-"/>
        <w:legacy w:legacy="1" w:legacySpace="0" w:legacyIndent="390"/>
        <w:lvlJc w:val="left"/>
        <w:pPr>
          <w:ind w:left="390" w:hanging="390"/>
        </w:pPr>
      </w:lvl>
    </w:lvlOverride>
  </w:num>
  <w:num w:numId="11">
    <w:abstractNumId w:val="29"/>
  </w:num>
  <w:num w:numId="12">
    <w:abstractNumId w:val="20"/>
  </w:num>
  <w:num w:numId="13">
    <w:abstractNumId w:val="10"/>
  </w:num>
  <w:num w:numId="14">
    <w:abstractNumId w:val="28"/>
  </w:num>
  <w:num w:numId="15">
    <w:abstractNumId w:val="33"/>
  </w:num>
  <w:num w:numId="16">
    <w:abstractNumId w:val="1"/>
  </w:num>
  <w:num w:numId="17">
    <w:abstractNumId w:val="0"/>
    <w:lvlOverride w:ilvl="0">
      <w:lvl w:ilvl="0">
        <w:numFmt w:val="bullet"/>
        <w:pStyle w:val="Summary"/>
        <w:lvlText w:val="-"/>
        <w:legacy w:legacy="1" w:legacySpace="0" w:legacyIndent="390"/>
        <w:lvlJc w:val="left"/>
        <w:pPr>
          <w:ind w:left="390" w:hanging="390"/>
        </w:pPr>
      </w:lvl>
    </w:lvlOverride>
  </w:num>
  <w:num w:numId="18">
    <w:abstractNumId w:val="0"/>
    <w:lvlOverride w:ilvl="0">
      <w:lvl w:ilvl="0">
        <w:numFmt w:val="bullet"/>
        <w:pStyle w:val="Summary"/>
        <w:lvlText w:val="-"/>
        <w:legacy w:legacy="1" w:legacySpace="0" w:legacyIndent="390"/>
        <w:lvlJc w:val="left"/>
        <w:pPr>
          <w:ind w:left="390" w:hanging="390"/>
        </w:pPr>
      </w:lvl>
    </w:lvlOverride>
  </w:num>
  <w:num w:numId="19">
    <w:abstractNumId w:val="0"/>
    <w:lvlOverride w:ilvl="0">
      <w:lvl w:ilvl="0">
        <w:numFmt w:val="bullet"/>
        <w:pStyle w:val="Summary"/>
        <w:lvlText w:val="-"/>
        <w:legacy w:legacy="1" w:legacySpace="0" w:legacyIndent="390"/>
        <w:lvlJc w:val="left"/>
        <w:pPr>
          <w:ind w:left="390" w:hanging="390"/>
        </w:pPr>
      </w:lvl>
    </w:lvlOverride>
  </w:num>
  <w:num w:numId="20">
    <w:abstractNumId w:val="9"/>
  </w:num>
  <w:num w:numId="21">
    <w:abstractNumId w:val="13"/>
  </w:num>
  <w:num w:numId="22">
    <w:abstractNumId w:val="2"/>
  </w:num>
  <w:num w:numId="23">
    <w:abstractNumId w:val="19"/>
  </w:num>
  <w:num w:numId="24">
    <w:abstractNumId w:val="12"/>
  </w:num>
  <w:num w:numId="25">
    <w:abstractNumId w:val="3"/>
  </w:num>
  <w:num w:numId="26">
    <w:abstractNumId w:val="0"/>
    <w:lvlOverride w:ilvl="0">
      <w:lvl w:ilvl="0">
        <w:numFmt w:val="bullet"/>
        <w:pStyle w:val="Summary"/>
        <w:lvlText w:val="-"/>
        <w:legacy w:legacy="1" w:legacySpace="0" w:legacyIndent="390"/>
        <w:lvlJc w:val="left"/>
        <w:pPr>
          <w:ind w:left="390" w:hanging="390"/>
        </w:pPr>
      </w:lvl>
    </w:lvlOverride>
  </w:num>
  <w:num w:numId="27">
    <w:abstractNumId w:val="0"/>
    <w:lvlOverride w:ilvl="0">
      <w:lvl w:ilvl="0">
        <w:numFmt w:val="bullet"/>
        <w:pStyle w:val="Summary"/>
        <w:lvlText w:val="-"/>
        <w:legacy w:legacy="1" w:legacySpace="0" w:legacyIndent="390"/>
        <w:lvlJc w:val="left"/>
        <w:pPr>
          <w:ind w:left="390" w:hanging="390"/>
        </w:pPr>
      </w:lvl>
    </w:lvlOverride>
  </w:num>
  <w:num w:numId="28">
    <w:abstractNumId w:val="0"/>
    <w:lvlOverride w:ilvl="0">
      <w:lvl w:ilvl="0">
        <w:numFmt w:val="bullet"/>
        <w:pStyle w:val="Summary"/>
        <w:lvlText w:val="-"/>
        <w:legacy w:legacy="1" w:legacySpace="0" w:legacyIndent="390"/>
        <w:lvlJc w:val="left"/>
        <w:pPr>
          <w:ind w:left="390" w:hanging="390"/>
        </w:pPr>
      </w:lvl>
    </w:lvlOverride>
  </w:num>
  <w:num w:numId="29">
    <w:abstractNumId w:val="30"/>
  </w:num>
  <w:num w:numId="30">
    <w:abstractNumId w:val="23"/>
  </w:num>
  <w:num w:numId="31">
    <w:abstractNumId w:val="26"/>
  </w:num>
  <w:num w:numId="32">
    <w:abstractNumId w:val="18"/>
  </w:num>
  <w:num w:numId="33">
    <w:abstractNumId w:val="15"/>
  </w:num>
  <w:num w:numId="34">
    <w:abstractNumId w:val="8"/>
  </w:num>
  <w:num w:numId="35">
    <w:abstractNumId w:val="22"/>
  </w:num>
  <w:num w:numId="36">
    <w:abstractNumId w:val="19"/>
    <w:lvlOverride w:ilvl="0">
      <w:startOverride w:val="1"/>
    </w:lvlOverride>
  </w:num>
  <w:num w:numId="37">
    <w:abstractNumId w:val="17"/>
  </w:num>
  <w:num w:numId="38">
    <w:abstractNumId w:val="14"/>
  </w:num>
  <w:num w:numId="39">
    <w:abstractNumId w:val="34"/>
  </w:num>
  <w:num w:numId="40">
    <w:abstractNumId w:val="6"/>
  </w:num>
  <w:num w:numId="41">
    <w:abstractNumId w:val="4"/>
  </w:num>
  <w:num w:numId="42">
    <w:abstractNumId w:val="27"/>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D9"/>
    <w:rsid w:val="00000685"/>
    <w:rsid w:val="0000141B"/>
    <w:rsid w:val="00010760"/>
    <w:rsid w:val="00011A02"/>
    <w:rsid w:val="0001497D"/>
    <w:rsid w:val="000154D5"/>
    <w:rsid w:val="00016A2C"/>
    <w:rsid w:val="00016F34"/>
    <w:rsid w:val="00021445"/>
    <w:rsid w:val="00022323"/>
    <w:rsid w:val="00026117"/>
    <w:rsid w:val="0002687A"/>
    <w:rsid w:val="00032BE3"/>
    <w:rsid w:val="00032E60"/>
    <w:rsid w:val="000332EE"/>
    <w:rsid w:val="000341B8"/>
    <w:rsid w:val="000363C4"/>
    <w:rsid w:val="0004018C"/>
    <w:rsid w:val="00041F37"/>
    <w:rsid w:val="000445E2"/>
    <w:rsid w:val="000451E6"/>
    <w:rsid w:val="00050A61"/>
    <w:rsid w:val="00052D76"/>
    <w:rsid w:val="000543FF"/>
    <w:rsid w:val="000601ED"/>
    <w:rsid w:val="00061E39"/>
    <w:rsid w:val="000637C2"/>
    <w:rsid w:val="00063EB9"/>
    <w:rsid w:val="000660C3"/>
    <w:rsid w:val="00070EFA"/>
    <w:rsid w:val="000723EB"/>
    <w:rsid w:val="0007428D"/>
    <w:rsid w:val="000765E7"/>
    <w:rsid w:val="00077AF4"/>
    <w:rsid w:val="0008183D"/>
    <w:rsid w:val="0008692F"/>
    <w:rsid w:val="000912B2"/>
    <w:rsid w:val="000A235F"/>
    <w:rsid w:val="000B08A5"/>
    <w:rsid w:val="000B2A67"/>
    <w:rsid w:val="000B3783"/>
    <w:rsid w:val="000B53C0"/>
    <w:rsid w:val="000B6AD4"/>
    <w:rsid w:val="000B7F4D"/>
    <w:rsid w:val="000C1040"/>
    <w:rsid w:val="000C2DBF"/>
    <w:rsid w:val="000C35CB"/>
    <w:rsid w:val="000C485B"/>
    <w:rsid w:val="000C5AE1"/>
    <w:rsid w:val="000E192F"/>
    <w:rsid w:val="000E1C7E"/>
    <w:rsid w:val="000E2BF4"/>
    <w:rsid w:val="000E3677"/>
    <w:rsid w:val="000E39A1"/>
    <w:rsid w:val="000E4403"/>
    <w:rsid w:val="000F56EA"/>
    <w:rsid w:val="00100DDB"/>
    <w:rsid w:val="00101BD5"/>
    <w:rsid w:val="00102697"/>
    <w:rsid w:val="00102741"/>
    <w:rsid w:val="001035F6"/>
    <w:rsid w:val="00104280"/>
    <w:rsid w:val="001045C1"/>
    <w:rsid w:val="001116BA"/>
    <w:rsid w:val="00111AB8"/>
    <w:rsid w:val="00111C6C"/>
    <w:rsid w:val="001123E8"/>
    <w:rsid w:val="00112585"/>
    <w:rsid w:val="00116926"/>
    <w:rsid w:val="001218F5"/>
    <w:rsid w:val="0012220A"/>
    <w:rsid w:val="0012379B"/>
    <w:rsid w:val="00125CB7"/>
    <w:rsid w:val="00126575"/>
    <w:rsid w:val="001307C9"/>
    <w:rsid w:val="00132DED"/>
    <w:rsid w:val="00137E3B"/>
    <w:rsid w:val="00141F80"/>
    <w:rsid w:val="0014293F"/>
    <w:rsid w:val="001449AF"/>
    <w:rsid w:val="00147993"/>
    <w:rsid w:val="00147C3D"/>
    <w:rsid w:val="001509D1"/>
    <w:rsid w:val="00151C90"/>
    <w:rsid w:val="00152182"/>
    <w:rsid w:val="00160B75"/>
    <w:rsid w:val="001618A5"/>
    <w:rsid w:val="00167E46"/>
    <w:rsid w:val="00177E31"/>
    <w:rsid w:val="001852F7"/>
    <w:rsid w:val="00185326"/>
    <w:rsid w:val="001867C5"/>
    <w:rsid w:val="00191633"/>
    <w:rsid w:val="00192F7E"/>
    <w:rsid w:val="00193584"/>
    <w:rsid w:val="00193F13"/>
    <w:rsid w:val="00194841"/>
    <w:rsid w:val="0019493E"/>
    <w:rsid w:val="001A2E18"/>
    <w:rsid w:val="001A3D90"/>
    <w:rsid w:val="001B22DE"/>
    <w:rsid w:val="001B3A5D"/>
    <w:rsid w:val="001B4C1B"/>
    <w:rsid w:val="001B794A"/>
    <w:rsid w:val="001C0BAA"/>
    <w:rsid w:val="001C12D1"/>
    <w:rsid w:val="001C12D2"/>
    <w:rsid w:val="001C583D"/>
    <w:rsid w:val="001D2775"/>
    <w:rsid w:val="001D4913"/>
    <w:rsid w:val="001D53D7"/>
    <w:rsid w:val="001F18C7"/>
    <w:rsid w:val="001F2091"/>
    <w:rsid w:val="001F539B"/>
    <w:rsid w:val="001F5609"/>
    <w:rsid w:val="001F5ACE"/>
    <w:rsid w:val="001F6749"/>
    <w:rsid w:val="001F773E"/>
    <w:rsid w:val="00203D52"/>
    <w:rsid w:val="0020517B"/>
    <w:rsid w:val="0020755C"/>
    <w:rsid w:val="00210E74"/>
    <w:rsid w:val="002113D4"/>
    <w:rsid w:val="00212658"/>
    <w:rsid w:val="00212E26"/>
    <w:rsid w:val="00215B34"/>
    <w:rsid w:val="00215CD5"/>
    <w:rsid w:val="00221B10"/>
    <w:rsid w:val="00222ED6"/>
    <w:rsid w:val="00224E37"/>
    <w:rsid w:val="00226CD6"/>
    <w:rsid w:val="00226CF7"/>
    <w:rsid w:val="0022712A"/>
    <w:rsid w:val="00227691"/>
    <w:rsid w:val="002276F4"/>
    <w:rsid w:val="0024223F"/>
    <w:rsid w:val="00242C11"/>
    <w:rsid w:val="00244415"/>
    <w:rsid w:val="0024636A"/>
    <w:rsid w:val="0025125C"/>
    <w:rsid w:val="0025143D"/>
    <w:rsid w:val="0025274F"/>
    <w:rsid w:val="002528CC"/>
    <w:rsid w:val="002549B4"/>
    <w:rsid w:val="00255BD7"/>
    <w:rsid w:val="00255E87"/>
    <w:rsid w:val="00263501"/>
    <w:rsid w:val="00266422"/>
    <w:rsid w:val="0026670B"/>
    <w:rsid w:val="00272126"/>
    <w:rsid w:val="002733DC"/>
    <w:rsid w:val="0027492B"/>
    <w:rsid w:val="00277EA3"/>
    <w:rsid w:val="00281676"/>
    <w:rsid w:val="0028202D"/>
    <w:rsid w:val="00284FB1"/>
    <w:rsid w:val="00285AFB"/>
    <w:rsid w:val="0029233F"/>
    <w:rsid w:val="00293A8B"/>
    <w:rsid w:val="002A0729"/>
    <w:rsid w:val="002A0FE5"/>
    <w:rsid w:val="002A19D8"/>
    <w:rsid w:val="002A28D2"/>
    <w:rsid w:val="002A3053"/>
    <w:rsid w:val="002A6781"/>
    <w:rsid w:val="002A75C3"/>
    <w:rsid w:val="002B2C92"/>
    <w:rsid w:val="002B2DF9"/>
    <w:rsid w:val="002B60EA"/>
    <w:rsid w:val="002C00E0"/>
    <w:rsid w:val="002C0417"/>
    <w:rsid w:val="002C19B1"/>
    <w:rsid w:val="002C3164"/>
    <w:rsid w:val="002C39A3"/>
    <w:rsid w:val="002C553C"/>
    <w:rsid w:val="002C7BE0"/>
    <w:rsid w:val="002D03C0"/>
    <w:rsid w:val="002D3775"/>
    <w:rsid w:val="002D5FF1"/>
    <w:rsid w:val="002E0C98"/>
    <w:rsid w:val="002E1B4F"/>
    <w:rsid w:val="002E2A16"/>
    <w:rsid w:val="002E2F82"/>
    <w:rsid w:val="002E641A"/>
    <w:rsid w:val="002F235F"/>
    <w:rsid w:val="00300A50"/>
    <w:rsid w:val="00302925"/>
    <w:rsid w:val="0030414A"/>
    <w:rsid w:val="00305E88"/>
    <w:rsid w:val="00305F47"/>
    <w:rsid w:val="00310236"/>
    <w:rsid w:val="0031324F"/>
    <w:rsid w:val="00313459"/>
    <w:rsid w:val="00313981"/>
    <w:rsid w:val="00315779"/>
    <w:rsid w:val="00315F3C"/>
    <w:rsid w:val="003173E0"/>
    <w:rsid w:val="003233F7"/>
    <w:rsid w:val="00326630"/>
    <w:rsid w:val="003316D9"/>
    <w:rsid w:val="0033190E"/>
    <w:rsid w:val="00331B4F"/>
    <w:rsid w:val="0033212A"/>
    <w:rsid w:val="00335741"/>
    <w:rsid w:val="003405F1"/>
    <w:rsid w:val="00341E03"/>
    <w:rsid w:val="003436AA"/>
    <w:rsid w:val="00343F16"/>
    <w:rsid w:val="003454FD"/>
    <w:rsid w:val="0035052D"/>
    <w:rsid w:val="003550A3"/>
    <w:rsid w:val="0035567B"/>
    <w:rsid w:val="003560AC"/>
    <w:rsid w:val="00356278"/>
    <w:rsid w:val="00357F1A"/>
    <w:rsid w:val="00360720"/>
    <w:rsid w:val="00363A3F"/>
    <w:rsid w:val="00363A48"/>
    <w:rsid w:val="00364BA9"/>
    <w:rsid w:val="0036773B"/>
    <w:rsid w:val="003728CA"/>
    <w:rsid w:val="00373447"/>
    <w:rsid w:val="003760EC"/>
    <w:rsid w:val="00377C1D"/>
    <w:rsid w:val="0038207F"/>
    <w:rsid w:val="00382FD3"/>
    <w:rsid w:val="00386488"/>
    <w:rsid w:val="00387756"/>
    <w:rsid w:val="0039195F"/>
    <w:rsid w:val="00395798"/>
    <w:rsid w:val="003970D8"/>
    <w:rsid w:val="003A17CF"/>
    <w:rsid w:val="003A2D2E"/>
    <w:rsid w:val="003A4A32"/>
    <w:rsid w:val="003A6DC9"/>
    <w:rsid w:val="003A701E"/>
    <w:rsid w:val="003B243B"/>
    <w:rsid w:val="003B6387"/>
    <w:rsid w:val="003C0D23"/>
    <w:rsid w:val="003C3D69"/>
    <w:rsid w:val="003C4AC4"/>
    <w:rsid w:val="003C5FCA"/>
    <w:rsid w:val="003C6889"/>
    <w:rsid w:val="003D0C0F"/>
    <w:rsid w:val="003D55D8"/>
    <w:rsid w:val="003E14FD"/>
    <w:rsid w:val="003E4ED8"/>
    <w:rsid w:val="003E65B9"/>
    <w:rsid w:val="003E6934"/>
    <w:rsid w:val="003E6DA7"/>
    <w:rsid w:val="003E7B82"/>
    <w:rsid w:val="003F1515"/>
    <w:rsid w:val="003F216B"/>
    <w:rsid w:val="003F27DB"/>
    <w:rsid w:val="003F3B2F"/>
    <w:rsid w:val="003F5C09"/>
    <w:rsid w:val="00400A7C"/>
    <w:rsid w:val="00400DD7"/>
    <w:rsid w:val="00400E93"/>
    <w:rsid w:val="004045E7"/>
    <w:rsid w:val="00404E4D"/>
    <w:rsid w:val="00407AAA"/>
    <w:rsid w:val="00413B8A"/>
    <w:rsid w:val="004155AE"/>
    <w:rsid w:val="00415C06"/>
    <w:rsid w:val="004168CD"/>
    <w:rsid w:val="00421A44"/>
    <w:rsid w:val="00422CE5"/>
    <w:rsid w:val="00425ED0"/>
    <w:rsid w:val="004301D8"/>
    <w:rsid w:val="00431064"/>
    <w:rsid w:val="00431E8C"/>
    <w:rsid w:val="00431EB7"/>
    <w:rsid w:val="004402B8"/>
    <w:rsid w:val="00451108"/>
    <w:rsid w:val="004516B2"/>
    <w:rsid w:val="004518F0"/>
    <w:rsid w:val="00451C58"/>
    <w:rsid w:val="004522D9"/>
    <w:rsid w:val="00453A41"/>
    <w:rsid w:val="00455A64"/>
    <w:rsid w:val="00456590"/>
    <w:rsid w:val="00463758"/>
    <w:rsid w:val="004655CE"/>
    <w:rsid w:val="0047048F"/>
    <w:rsid w:val="00470F70"/>
    <w:rsid w:val="00473A63"/>
    <w:rsid w:val="004754B1"/>
    <w:rsid w:val="00477C64"/>
    <w:rsid w:val="00480478"/>
    <w:rsid w:val="00482E10"/>
    <w:rsid w:val="00497872"/>
    <w:rsid w:val="004A0BED"/>
    <w:rsid w:val="004A0D27"/>
    <w:rsid w:val="004A1E3B"/>
    <w:rsid w:val="004A699C"/>
    <w:rsid w:val="004A7F74"/>
    <w:rsid w:val="004B3AE9"/>
    <w:rsid w:val="004B4125"/>
    <w:rsid w:val="004C0F22"/>
    <w:rsid w:val="004C2EEA"/>
    <w:rsid w:val="004C5BCF"/>
    <w:rsid w:val="004C702D"/>
    <w:rsid w:val="004C7109"/>
    <w:rsid w:val="004D0C8B"/>
    <w:rsid w:val="004D222F"/>
    <w:rsid w:val="004D4893"/>
    <w:rsid w:val="004D4E67"/>
    <w:rsid w:val="004D65C1"/>
    <w:rsid w:val="004D727E"/>
    <w:rsid w:val="004E0A46"/>
    <w:rsid w:val="004E1C19"/>
    <w:rsid w:val="004E2A95"/>
    <w:rsid w:val="004E30A2"/>
    <w:rsid w:val="004E4F3E"/>
    <w:rsid w:val="004E5240"/>
    <w:rsid w:val="004F1E21"/>
    <w:rsid w:val="004F39F7"/>
    <w:rsid w:val="005004D6"/>
    <w:rsid w:val="005020EC"/>
    <w:rsid w:val="00504740"/>
    <w:rsid w:val="005075BD"/>
    <w:rsid w:val="00512300"/>
    <w:rsid w:val="005201E5"/>
    <w:rsid w:val="005228BB"/>
    <w:rsid w:val="00523C50"/>
    <w:rsid w:val="00523E07"/>
    <w:rsid w:val="00525999"/>
    <w:rsid w:val="00526F43"/>
    <w:rsid w:val="00527E43"/>
    <w:rsid w:val="00532D30"/>
    <w:rsid w:val="00535601"/>
    <w:rsid w:val="00535829"/>
    <w:rsid w:val="00542252"/>
    <w:rsid w:val="005426F0"/>
    <w:rsid w:val="00542DBF"/>
    <w:rsid w:val="00547834"/>
    <w:rsid w:val="005536D4"/>
    <w:rsid w:val="00556899"/>
    <w:rsid w:val="005616F1"/>
    <w:rsid w:val="00564A43"/>
    <w:rsid w:val="005657B1"/>
    <w:rsid w:val="00572D91"/>
    <w:rsid w:val="0058244C"/>
    <w:rsid w:val="00587693"/>
    <w:rsid w:val="0059288C"/>
    <w:rsid w:val="00593AB2"/>
    <w:rsid w:val="005A0A80"/>
    <w:rsid w:val="005B0299"/>
    <w:rsid w:val="005B3C42"/>
    <w:rsid w:val="005B4B1D"/>
    <w:rsid w:val="005C3C0B"/>
    <w:rsid w:val="005C419E"/>
    <w:rsid w:val="005D3340"/>
    <w:rsid w:val="005D3491"/>
    <w:rsid w:val="005D4190"/>
    <w:rsid w:val="005D593B"/>
    <w:rsid w:val="005D7D7C"/>
    <w:rsid w:val="005E1521"/>
    <w:rsid w:val="005E315B"/>
    <w:rsid w:val="005E6898"/>
    <w:rsid w:val="005F01CC"/>
    <w:rsid w:val="005F0582"/>
    <w:rsid w:val="005F070C"/>
    <w:rsid w:val="005F3328"/>
    <w:rsid w:val="005F5749"/>
    <w:rsid w:val="005F7216"/>
    <w:rsid w:val="00603B1A"/>
    <w:rsid w:val="006107BD"/>
    <w:rsid w:val="00611303"/>
    <w:rsid w:val="006137C6"/>
    <w:rsid w:val="0061419D"/>
    <w:rsid w:val="00614F13"/>
    <w:rsid w:val="00621A43"/>
    <w:rsid w:val="00621C04"/>
    <w:rsid w:val="00621E81"/>
    <w:rsid w:val="00624827"/>
    <w:rsid w:val="00625164"/>
    <w:rsid w:val="006276BE"/>
    <w:rsid w:val="0063277E"/>
    <w:rsid w:val="00632B20"/>
    <w:rsid w:val="00632F50"/>
    <w:rsid w:val="006351CF"/>
    <w:rsid w:val="00635D3C"/>
    <w:rsid w:val="00635D45"/>
    <w:rsid w:val="00637A78"/>
    <w:rsid w:val="006407E0"/>
    <w:rsid w:val="006419CC"/>
    <w:rsid w:val="00643B62"/>
    <w:rsid w:val="00645F3F"/>
    <w:rsid w:val="006462BC"/>
    <w:rsid w:val="00650BC9"/>
    <w:rsid w:val="00651DAD"/>
    <w:rsid w:val="006541B8"/>
    <w:rsid w:val="006542E4"/>
    <w:rsid w:val="0065512A"/>
    <w:rsid w:val="00656C13"/>
    <w:rsid w:val="006579B2"/>
    <w:rsid w:val="006611DB"/>
    <w:rsid w:val="00663696"/>
    <w:rsid w:val="006646D4"/>
    <w:rsid w:val="00672149"/>
    <w:rsid w:val="00673289"/>
    <w:rsid w:val="00674757"/>
    <w:rsid w:val="006803A3"/>
    <w:rsid w:val="006833B8"/>
    <w:rsid w:val="00684F54"/>
    <w:rsid w:val="00692E44"/>
    <w:rsid w:val="006942A6"/>
    <w:rsid w:val="00694BCD"/>
    <w:rsid w:val="006956D9"/>
    <w:rsid w:val="0069702D"/>
    <w:rsid w:val="0069767B"/>
    <w:rsid w:val="006A480A"/>
    <w:rsid w:val="006A4A7A"/>
    <w:rsid w:val="006A4CF7"/>
    <w:rsid w:val="006A7669"/>
    <w:rsid w:val="006B00C2"/>
    <w:rsid w:val="006B0527"/>
    <w:rsid w:val="006B0FC3"/>
    <w:rsid w:val="006B24BA"/>
    <w:rsid w:val="006B2790"/>
    <w:rsid w:val="006B3537"/>
    <w:rsid w:val="006B6C6B"/>
    <w:rsid w:val="006C09B7"/>
    <w:rsid w:val="006C2166"/>
    <w:rsid w:val="006D04F5"/>
    <w:rsid w:val="006D1480"/>
    <w:rsid w:val="006D1CB7"/>
    <w:rsid w:val="006D5445"/>
    <w:rsid w:val="006D6EB0"/>
    <w:rsid w:val="006E0959"/>
    <w:rsid w:val="006E3162"/>
    <w:rsid w:val="006E498D"/>
    <w:rsid w:val="006E6980"/>
    <w:rsid w:val="006F0D0A"/>
    <w:rsid w:val="006F59E2"/>
    <w:rsid w:val="007070BB"/>
    <w:rsid w:val="00717EEE"/>
    <w:rsid w:val="007209C5"/>
    <w:rsid w:val="00723488"/>
    <w:rsid w:val="0072379C"/>
    <w:rsid w:val="00725656"/>
    <w:rsid w:val="00726E60"/>
    <w:rsid w:val="00727896"/>
    <w:rsid w:val="00733A5B"/>
    <w:rsid w:val="0073554A"/>
    <w:rsid w:val="00735CA9"/>
    <w:rsid w:val="00736A5E"/>
    <w:rsid w:val="007374BB"/>
    <w:rsid w:val="007375C5"/>
    <w:rsid w:val="00742CE7"/>
    <w:rsid w:val="0074654F"/>
    <w:rsid w:val="00747541"/>
    <w:rsid w:val="007600F2"/>
    <w:rsid w:val="00762EA0"/>
    <w:rsid w:val="00765759"/>
    <w:rsid w:val="007665C5"/>
    <w:rsid w:val="007668DF"/>
    <w:rsid w:val="0077375F"/>
    <w:rsid w:val="00774011"/>
    <w:rsid w:val="007745B9"/>
    <w:rsid w:val="00775591"/>
    <w:rsid w:val="007803D1"/>
    <w:rsid w:val="0078337E"/>
    <w:rsid w:val="007849F5"/>
    <w:rsid w:val="0078572A"/>
    <w:rsid w:val="0079113C"/>
    <w:rsid w:val="007930F1"/>
    <w:rsid w:val="007952D0"/>
    <w:rsid w:val="00796EB2"/>
    <w:rsid w:val="007A35B2"/>
    <w:rsid w:val="007A4263"/>
    <w:rsid w:val="007A663B"/>
    <w:rsid w:val="007A6B2A"/>
    <w:rsid w:val="007A7087"/>
    <w:rsid w:val="007B0FC4"/>
    <w:rsid w:val="007B284F"/>
    <w:rsid w:val="007B2B3A"/>
    <w:rsid w:val="007B5138"/>
    <w:rsid w:val="007B5143"/>
    <w:rsid w:val="007C0AE0"/>
    <w:rsid w:val="007C115D"/>
    <w:rsid w:val="007C37FE"/>
    <w:rsid w:val="007C6A2E"/>
    <w:rsid w:val="007C7384"/>
    <w:rsid w:val="007C7FD7"/>
    <w:rsid w:val="007D1D5E"/>
    <w:rsid w:val="007D1E86"/>
    <w:rsid w:val="007D2AFF"/>
    <w:rsid w:val="007D37D8"/>
    <w:rsid w:val="007D76E3"/>
    <w:rsid w:val="007D783D"/>
    <w:rsid w:val="007E3567"/>
    <w:rsid w:val="007E4059"/>
    <w:rsid w:val="007E4923"/>
    <w:rsid w:val="007E64F7"/>
    <w:rsid w:val="007F2878"/>
    <w:rsid w:val="007F6527"/>
    <w:rsid w:val="007F7F0C"/>
    <w:rsid w:val="00801A63"/>
    <w:rsid w:val="00803CFB"/>
    <w:rsid w:val="0080757F"/>
    <w:rsid w:val="0081139F"/>
    <w:rsid w:val="0081173C"/>
    <w:rsid w:val="008137B8"/>
    <w:rsid w:val="008175F1"/>
    <w:rsid w:val="0081775B"/>
    <w:rsid w:val="00820037"/>
    <w:rsid w:val="00820173"/>
    <w:rsid w:val="0083737D"/>
    <w:rsid w:val="008411B2"/>
    <w:rsid w:val="0084172C"/>
    <w:rsid w:val="00843FA0"/>
    <w:rsid w:val="00844EB0"/>
    <w:rsid w:val="00846CE7"/>
    <w:rsid w:val="00850D70"/>
    <w:rsid w:val="0085177A"/>
    <w:rsid w:val="0085527A"/>
    <w:rsid w:val="008553AF"/>
    <w:rsid w:val="00855546"/>
    <w:rsid w:val="008568CF"/>
    <w:rsid w:val="00856F70"/>
    <w:rsid w:val="00860028"/>
    <w:rsid w:val="00861A76"/>
    <w:rsid w:val="00861C5C"/>
    <w:rsid w:val="00861EC7"/>
    <w:rsid w:val="00870FDA"/>
    <w:rsid w:val="008736A3"/>
    <w:rsid w:val="00873D67"/>
    <w:rsid w:val="008744CB"/>
    <w:rsid w:val="00875804"/>
    <w:rsid w:val="008801BE"/>
    <w:rsid w:val="008902B9"/>
    <w:rsid w:val="00891149"/>
    <w:rsid w:val="00891583"/>
    <w:rsid w:val="00891950"/>
    <w:rsid w:val="00895BF6"/>
    <w:rsid w:val="008964D9"/>
    <w:rsid w:val="008A0AF2"/>
    <w:rsid w:val="008A1065"/>
    <w:rsid w:val="008A34FB"/>
    <w:rsid w:val="008A35F7"/>
    <w:rsid w:val="008A6AC3"/>
    <w:rsid w:val="008A75D1"/>
    <w:rsid w:val="008B04E1"/>
    <w:rsid w:val="008B176A"/>
    <w:rsid w:val="008B3B93"/>
    <w:rsid w:val="008B4333"/>
    <w:rsid w:val="008B51C0"/>
    <w:rsid w:val="008B54FD"/>
    <w:rsid w:val="008B5568"/>
    <w:rsid w:val="008B6B0B"/>
    <w:rsid w:val="008B6C7C"/>
    <w:rsid w:val="008B7312"/>
    <w:rsid w:val="008B7CAF"/>
    <w:rsid w:val="008C09C9"/>
    <w:rsid w:val="008C13E8"/>
    <w:rsid w:val="008C228E"/>
    <w:rsid w:val="008C2DBB"/>
    <w:rsid w:val="008C2EBF"/>
    <w:rsid w:val="008C5A6F"/>
    <w:rsid w:val="008D24B2"/>
    <w:rsid w:val="008D376D"/>
    <w:rsid w:val="008D55D8"/>
    <w:rsid w:val="008E0B40"/>
    <w:rsid w:val="008E3D54"/>
    <w:rsid w:val="008E46AD"/>
    <w:rsid w:val="008F03E2"/>
    <w:rsid w:val="008F0950"/>
    <w:rsid w:val="008F2A49"/>
    <w:rsid w:val="008F2B30"/>
    <w:rsid w:val="008F4EB0"/>
    <w:rsid w:val="008F7905"/>
    <w:rsid w:val="0090040B"/>
    <w:rsid w:val="00900ECD"/>
    <w:rsid w:val="009029B1"/>
    <w:rsid w:val="00904710"/>
    <w:rsid w:val="00904EE1"/>
    <w:rsid w:val="00905F45"/>
    <w:rsid w:val="0091154E"/>
    <w:rsid w:val="009125BF"/>
    <w:rsid w:val="00916696"/>
    <w:rsid w:val="0091795F"/>
    <w:rsid w:val="009249E6"/>
    <w:rsid w:val="009275F4"/>
    <w:rsid w:val="00927797"/>
    <w:rsid w:val="00932933"/>
    <w:rsid w:val="00934E7B"/>
    <w:rsid w:val="00935E22"/>
    <w:rsid w:val="00935E84"/>
    <w:rsid w:val="00937DEC"/>
    <w:rsid w:val="00941808"/>
    <w:rsid w:val="00942B81"/>
    <w:rsid w:val="009476E7"/>
    <w:rsid w:val="009504D9"/>
    <w:rsid w:val="0095355C"/>
    <w:rsid w:val="00953963"/>
    <w:rsid w:val="00954362"/>
    <w:rsid w:val="0095538C"/>
    <w:rsid w:val="00961ABF"/>
    <w:rsid w:val="00961B18"/>
    <w:rsid w:val="00962AD7"/>
    <w:rsid w:val="0096470D"/>
    <w:rsid w:val="00966156"/>
    <w:rsid w:val="00966390"/>
    <w:rsid w:val="009668EA"/>
    <w:rsid w:val="00967CCE"/>
    <w:rsid w:val="0097036C"/>
    <w:rsid w:val="0097146F"/>
    <w:rsid w:val="00971477"/>
    <w:rsid w:val="009721AB"/>
    <w:rsid w:val="0097248B"/>
    <w:rsid w:val="00972500"/>
    <w:rsid w:val="0097351F"/>
    <w:rsid w:val="009770AB"/>
    <w:rsid w:val="0098179F"/>
    <w:rsid w:val="00987F6A"/>
    <w:rsid w:val="00992C75"/>
    <w:rsid w:val="00994C4A"/>
    <w:rsid w:val="009950FF"/>
    <w:rsid w:val="00996567"/>
    <w:rsid w:val="00997348"/>
    <w:rsid w:val="009A1D9F"/>
    <w:rsid w:val="009A2EBB"/>
    <w:rsid w:val="009A5962"/>
    <w:rsid w:val="009A77C2"/>
    <w:rsid w:val="009B1095"/>
    <w:rsid w:val="009B3CAE"/>
    <w:rsid w:val="009B3E2C"/>
    <w:rsid w:val="009B67EC"/>
    <w:rsid w:val="009B6849"/>
    <w:rsid w:val="009C0366"/>
    <w:rsid w:val="009C0A47"/>
    <w:rsid w:val="009C0B1D"/>
    <w:rsid w:val="009C38C9"/>
    <w:rsid w:val="009C38D5"/>
    <w:rsid w:val="009C70A6"/>
    <w:rsid w:val="009C7F0E"/>
    <w:rsid w:val="009E329C"/>
    <w:rsid w:val="009E4937"/>
    <w:rsid w:val="009E646D"/>
    <w:rsid w:val="009E7B4A"/>
    <w:rsid w:val="009F2722"/>
    <w:rsid w:val="009F672C"/>
    <w:rsid w:val="00A056B2"/>
    <w:rsid w:val="00A0573D"/>
    <w:rsid w:val="00A064F9"/>
    <w:rsid w:val="00A13FFA"/>
    <w:rsid w:val="00A169FC"/>
    <w:rsid w:val="00A172FC"/>
    <w:rsid w:val="00A17F8F"/>
    <w:rsid w:val="00A21ED1"/>
    <w:rsid w:val="00A274B1"/>
    <w:rsid w:val="00A27A33"/>
    <w:rsid w:val="00A35908"/>
    <w:rsid w:val="00A35F97"/>
    <w:rsid w:val="00A37CA4"/>
    <w:rsid w:val="00A427C9"/>
    <w:rsid w:val="00A50C51"/>
    <w:rsid w:val="00A5206A"/>
    <w:rsid w:val="00A553CA"/>
    <w:rsid w:val="00A601DD"/>
    <w:rsid w:val="00A6170F"/>
    <w:rsid w:val="00A669AA"/>
    <w:rsid w:val="00A6713C"/>
    <w:rsid w:val="00A74D65"/>
    <w:rsid w:val="00A756F7"/>
    <w:rsid w:val="00A77738"/>
    <w:rsid w:val="00A808DC"/>
    <w:rsid w:val="00A81F2A"/>
    <w:rsid w:val="00A85A16"/>
    <w:rsid w:val="00A86B10"/>
    <w:rsid w:val="00A9047F"/>
    <w:rsid w:val="00A91CA9"/>
    <w:rsid w:val="00A9260A"/>
    <w:rsid w:val="00A93F88"/>
    <w:rsid w:val="00A94A55"/>
    <w:rsid w:val="00A94B82"/>
    <w:rsid w:val="00A94EA0"/>
    <w:rsid w:val="00A95579"/>
    <w:rsid w:val="00A97262"/>
    <w:rsid w:val="00A97926"/>
    <w:rsid w:val="00AA0017"/>
    <w:rsid w:val="00AA316B"/>
    <w:rsid w:val="00AA3BE0"/>
    <w:rsid w:val="00AA4169"/>
    <w:rsid w:val="00AA462F"/>
    <w:rsid w:val="00AA4AE7"/>
    <w:rsid w:val="00AA5A76"/>
    <w:rsid w:val="00AA7ACB"/>
    <w:rsid w:val="00AB08BB"/>
    <w:rsid w:val="00AB0918"/>
    <w:rsid w:val="00AB0ECC"/>
    <w:rsid w:val="00AC0308"/>
    <w:rsid w:val="00AD00A8"/>
    <w:rsid w:val="00AD0E4E"/>
    <w:rsid w:val="00AD1C15"/>
    <w:rsid w:val="00AD2BC7"/>
    <w:rsid w:val="00AD3A7B"/>
    <w:rsid w:val="00AD51C3"/>
    <w:rsid w:val="00AD5444"/>
    <w:rsid w:val="00AD6EFD"/>
    <w:rsid w:val="00AD6F6D"/>
    <w:rsid w:val="00AE0536"/>
    <w:rsid w:val="00AE3822"/>
    <w:rsid w:val="00AE62D0"/>
    <w:rsid w:val="00AF1428"/>
    <w:rsid w:val="00AF17D2"/>
    <w:rsid w:val="00AF2063"/>
    <w:rsid w:val="00AF2F12"/>
    <w:rsid w:val="00AF402B"/>
    <w:rsid w:val="00AF6B99"/>
    <w:rsid w:val="00B010E5"/>
    <w:rsid w:val="00B01EDB"/>
    <w:rsid w:val="00B03747"/>
    <w:rsid w:val="00B038A1"/>
    <w:rsid w:val="00B068F0"/>
    <w:rsid w:val="00B102C1"/>
    <w:rsid w:val="00B149E5"/>
    <w:rsid w:val="00B201ED"/>
    <w:rsid w:val="00B21CA9"/>
    <w:rsid w:val="00B24999"/>
    <w:rsid w:val="00B250BD"/>
    <w:rsid w:val="00B26EF4"/>
    <w:rsid w:val="00B31A04"/>
    <w:rsid w:val="00B324B8"/>
    <w:rsid w:val="00B324F9"/>
    <w:rsid w:val="00B34196"/>
    <w:rsid w:val="00B369A7"/>
    <w:rsid w:val="00B37CA5"/>
    <w:rsid w:val="00B37EC3"/>
    <w:rsid w:val="00B4347E"/>
    <w:rsid w:val="00B47061"/>
    <w:rsid w:val="00B52E13"/>
    <w:rsid w:val="00B53485"/>
    <w:rsid w:val="00B539E0"/>
    <w:rsid w:val="00B552BC"/>
    <w:rsid w:val="00B568B6"/>
    <w:rsid w:val="00B56E30"/>
    <w:rsid w:val="00B63AC4"/>
    <w:rsid w:val="00B6706D"/>
    <w:rsid w:val="00B702A2"/>
    <w:rsid w:val="00B70E4D"/>
    <w:rsid w:val="00B7212A"/>
    <w:rsid w:val="00B72F97"/>
    <w:rsid w:val="00B741F0"/>
    <w:rsid w:val="00B80A93"/>
    <w:rsid w:val="00B82A7E"/>
    <w:rsid w:val="00B83385"/>
    <w:rsid w:val="00B84F7E"/>
    <w:rsid w:val="00B861ED"/>
    <w:rsid w:val="00B86531"/>
    <w:rsid w:val="00B87C16"/>
    <w:rsid w:val="00B9025E"/>
    <w:rsid w:val="00B92064"/>
    <w:rsid w:val="00BA21A7"/>
    <w:rsid w:val="00BA322C"/>
    <w:rsid w:val="00BA3D78"/>
    <w:rsid w:val="00BA451A"/>
    <w:rsid w:val="00BA5787"/>
    <w:rsid w:val="00BA616B"/>
    <w:rsid w:val="00BA70B7"/>
    <w:rsid w:val="00BA755A"/>
    <w:rsid w:val="00BB14C7"/>
    <w:rsid w:val="00BB1826"/>
    <w:rsid w:val="00BB4FFF"/>
    <w:rsid w:val="00BB6B87"/>
    <w:rsid w:val="00BB7BA2"/>
    <w:rsid w:val="00BC0EAD"/>
    <w:rsid w:val="00BC17C9"/>
    <w:rsid w:val="00BC22F7"/>
    <w:rsid w:val="00BC26A2"/>
    <w:rsid w:val="00BC51C9"/>
    <w:rsid w:val="00BC607F"/>
    <w:rsid w:val="00BC6096"/>
    <w:rsid w:val="00BC7132"/>
    <w:rsid w:val="00BD1823"/>
    <w:rsid w:val="00BD3097"/>
    <w:rsid w:val="00BD5E38"/>
    <w:rsid w:val="00BD6097"/>
    <w:rsid w:val="00BD71F2"/>
    <w:rsid w:val="00BE0BCE"/>
    <w:rsid w:val="00BE38D3"/>
    <w:rsid w:val="00BF6124"/>
    <w:rsid w:val="00BF791C"/>
    <w:rsid w:val="00C02F09"/>
    <w:rsid w:val="00C05201"/>
    <w:rsid w:val="00C05ADB"/>
    <w:rsid w:val="00C12781"/>
    <w:rsid w:val="00C12A6F"/>
    <w:rsid w:val="00C175D5"/>
    <w:rsid w:val="00C207D5"/>
    <w:rsid w:val="00C20FC0"/>
    <w:rsid w:val="00C24D2E"/>
    <w:rsid w:val="00C30406"/>
    <w:rsid w:val="00C30D47"/>
    <w:rsid w:val="00C32470"/>
    <w:rsid w:val="00C32A53"/>
    <w:rsid w:val="00C32B1B"/>
    <w:rsid w:val="00C331BA"/>
    <w:rsid w:val="00C35525"/>
    <w:rsid w:val="00C3638C"/>
    <w:rsid w:val="00C3638F"/>
    <w:rsid w:val="00C421B1"/>
    <w:rsid w:val="00C426F5"/>
    <w:rsid w:val="00C51262"/>
    <w:rsid w:val="00C517B1"/>
    <w:rsid w:val="00C52151"/>
    <w:rsid w:val="00C549A0"/>
    <w:rsid w:val="00C63D2A"/>
    <w:rsid w:val="00C6467E"/>
    <w:rsid w:val="00C652DD"/>
    <w:rsid w:val="00C6583E"/>
    <w:rsid w:val="00C70D16"/>
    <w:rsid w:val="00C72BF4"/>
    <w:rsid w:val="00C759D7"/>
    <w:rsid w:val="00C77545"/>
    <w:rsid w:val="00C80249"/>
    <w:rsid w:val="00C82DBA"/>
    <w:rsid w:val="00C83785"/>
    <w:rsid w:val="00C850BE"/>
    <w:rsid w:val="00C856A0"/>
    <w:rsid w:val="00C96184"/>
    <w:rsid w:val="00C97DC0"/>
    <w:rsid w:val="00CA0CC2"/>
    <w:rsid w:val="00CA14E1"/>
    <w:rsid w:val="00CA220F"/>
    <w:rsid w:val="00CA5FC7"/>
    <w:rsid w:val="00CB03F3"/>
    <w:rsid w:val="00CB04E1"/>
    <w:rsid w:val="00CB3689"/>
    <w:rsid w:val="00CB6FEC"/>
    <w:rsid w:val="00CB70C1"/>
    <w:rsid w:val="00CC0D75"/>
    <w:rsid w:val="00CC253F"/>
    <w:rsid w:val="00CC3FD6"/>
    <w:rsid w:val="00CC685E"/>
    <w:rsid w:val="00CC6B94"/>
    <w:rsid w:val="00CE029F"/>
    <w:rsid w:val="00CE36BA"/>
    <w:rsid w:val="00CE5032"/>
    <w:rsid w:val="00CE6534"/>
    <w:rsid w:val="00CF075F"/>
    <w:rsid w:val="00CF28F4"/>
    <w:rsid w:val="00CF55FA"/>
    <w:rsid w:val="00CF6D53"/>
    <w:rsid w:val="00CF7642"/>
    <w:rsid w:val="00D02CCD"/>
    <w:rsid w:val="00D13908"/>
    <w:rsid w:val="00D13957"/>
    <w:rsid w:val="00D15758"/>
    <w:rsid w:val="00D16127"/>
    <w:rsid w:val="00D17D33"/>
    <w:rsid w:val="00D17FA0"/>
    <w:rsid w:val="00D20B4B"/>
    <w:rsid w:val="00D22494"/>
    <w:rsid w:val="00D22D8E"/>
    <w:rsid w:val="00D22F50"/>
    <w:rsid w:val="00D33ECD"/>
    <w:rsid w:val="00D35485"/>
    <w:rsid w:val="00D362CE"/>
    <w:rsid w:val="00D37DFA"/>
    <w:rsid w:val="00D50720"/>
    <w:rsid w:val="00D54AA8"/>
    <w:rsid w:val="00D56268"/>
    <w:rsid w:val="00D56EA2"/>
    <w:rsid w:val="00D63C14"/>
    <w:rsid w:val="00D67BE3"/>
    <w:rsid w:val="00D702A9"/>
    <w:rsid w:val="00D7046F"/>
    <w:rsid w:val="00D71F61"/>
    <w:rsid w:val="00D72C34"/>
    <w:rsid w:val="00D7385A"/>
    <w:rsid w:val="00D77F6D"/>
    <w:rsid w:val="00D87789"/>
    <w:rsid w:val="00D910B5"/>
    <w:rsid w:val="00D93F4D"/>
    <w:rsid w:val="00D9730D"/>
    <w:rsid w:val="00D97803"/>
    <w:rsid w:val="00DA0FC8"/>
    <w:rsid w:val="00DA122D"/>
    <w:rsid w:val="00DA1593"/>
    <w:rsid w:val="00DA37D4"/>
    <w:rsid w:val="00DA443A"/>
    <w:rsid w:val="00DA5490"/>
    <w:rsid w:val="00DA57E8"/>
    <w:rsid w:val="00DA7D9C"/>
    <w:rsid w:val="00DA7DDA"/>
    <w:rsid w:val="00DB0EC4"/>
    <w:rsid w:val="00DB434E"/>
    <w:rsid w:val="00DC2100"/>
    <w:rsid w:val="00DC266A"/>
    <w:rsid w:val="00DC2C2C"/>
    <w:rsid w:val="00DC36E9"/>
    <w:rsid w:val="00DC5110"/>
    <w:rsid w:val="00DC5CAD"/>
    <w:rsid w:val="00DC5CF8"/>
    <w:rsid w:val="00DC7B58"/>
    <w:rsid w:val="00DD1200"/>
    <w:rsid w:val="00DD28F2"/>
    <w:rsid w:val="00DD553D"/>
    <w:rsid w:val="00DD5F0C"/>
    <w:rsid w:val="00DD608D"/>
    <w:rsid w:val="00DD6F3E"/>
    <w:rsid w:val="00DE245A"/>
    <w:rsid w:val="00DE3B96"/>
    <w:rsid w:val="00DE4975"/>
    <w:rsid w:val="00DF4269"/>
    <w:rsid w:val="00DF5B52"/>
    <w:rsid w:val="00DF6E0C"/>
    <w:rsid w:val="00DF7925"/>
    <w:rsid w:val="00E00518"/>
    <w:rsid w:val="00E00A79"/>
    <w:rsid w:val="00E00F1A"/>
    <w:rsid w:val="00E02640"/>
    <w:rsid w:val="00E048DA"/>
    <w:rsid w:val="00E06A88"/>
    <w:rsid w:val="00E07237"/>
    <w:rsid w:val="00E07368"/>
    <w:rsid w:val="00E10780"/>
    <w:rsid w:val="00E10A8F"/>
    <w:rsid w:val="00E171FF"/>
    <w:rsid w:val="00E2381F"/>
    <w:rsid w:val="00E26E36"/>
    <w:rsid w:val="00E26EC6"/>
    <w:rsid w:val="00E27B38"/>
    <w:rsid w:val="00E33E6B"/>
    <w:rsid w:val="00E34841"/>
    <w:rsid w:val="00E359C8"/>
    <w:rsid w:val="00E37340"/>
    <w:rsid w:val="00E37ED9"/>
    <w:rsid w:val="00E426DC"/>
    <w:rsid w:val="00E42D63"/>
    <w:rsid w:val="00E435A3"/>
    <w:rsid w:val="00E44FD5"/>
    <w:rsid w:val="00E47D14"/>
    <w:rsid w:val="00E511CF"/>
    <w:rsid w:val="00E54BDE"/>
    <w:rsid w:val="00E55157"/>
    <w:rsid w:val="00E57D74"/>
    <w:rsid w:val="00E6002E"/>
    <w:rsid w:val="00E631E4"/>
    <w:rsid w:val="00E6545C"/>
    <w:rsid w:val="00E70D72"/>
    <w:rsid w:val="00E816B7"/>
    <w:rsid w:val="00E81C03"/>
    <w:rsid w:val="00E83BD9"/>
    <w:rsid w:val="00E84B19"/>
    <w:rsid w:val="00E84C43"/>
    <w:rsid w:val="00E900B8"/>
    <w:rsid w:val="00E929CB"/>
    <w:rsid w:val="00E92FEA"/>
    <w:rsid w:val="00EA0CD8"/>
    <w:rsid w:val="00EA1181"/>
    <w:rsid w:val="00EA2704"/>
    <w:rsid w:val="00EA2892"/>
    <w:rsid w:val="00EA431C"/>
    <w:rsid w:val="00EB2AF5"/>
    <w:rsid w:val="00EB4AFF"/>
    <w:rsid w:val="00EB7906"/>
    <w:rsid w:val="00EC3D7D"/>
    <w:rsid w:val="00EC678F"/>
    <w:rsid w:val="00EC6968"/>
    <w:rsid w:val="00EC74AC"/>
    <w:rsid w:val="00ED3DEE"/>
    <w:rsid w:val="00EE00E3"/>
    <w:rsid w:val="00EE0384"/>
    <w:rsid w:val="00EE080B"/>
    <w:rsid w:val="00EE0866"/>
    <w:rsid w:val="00EE289C"/>
    <w:rsid w:val="00EF22E8"/>
    <w:rsid w:val="00EF3A61"/>
    <w:rsid w:val="00EF5FC9"/>
    <w:rsid w:val="00EF607B"/>
    <w:rsid w:val="00EF6A60"/>
    <w:rsid w:val="00EF7053"/>
    <w:rsid w:val="00EF74E1"/>
    <w:rsid w:val="00F00ED9"/>
    <w:rsid w:val="00F01832"/>
    <w:rsid w:val="00F0385D"/>
    <w:rsid w:val="00F04BF0"/>
    <w:rsid w:val="00F05D41"/>
    <w:rsid w:val="00F07D39"/>
    <w:rsid w:val="00F103F9"/>
    <w:rsid w:val="00F13CF0"/>
    <w:rsid w:val="00F210BC"/>
    <w:rsid w:val="00F21A89"/>
    <w:rsid w:val="00F30D15"/>
    <w:rsid w:val="00F31363"/>
    <w:rsid w:val="00F3145D"/>
    <w:rsid w:val="00F32DBE"/>
    <w:rsid w:val="00F34B78"/>
    <w:rsid w:val="00F36AEC"/>
    <w:rsid w:val="00F437AF"/>
    <w:rsid w:val="00F44F93"/>
    <w:rsid w:val="00F460E6"/>
    <w:rsid w:val="00F4645F"/>
    <w:rsid w:val="00F509AE"/>
    <w:rsid w:val="00F50A4E"/>
    <w:rsid w:val="00F529F7"/>
    <w:rsid w:val="00F62335"/>
    <w:rsid w:val="00F66A1D"/>
    <w:rsid w:val="00F676EF"/>
    <w:rsid w:val="00F72E4E"/>
    <w:rsid w:val="00F7317F"/>
    <w:rsid w:val="00F73E4C"/>
    <w:rsid w:val="00F76804"/>
    <w:rsid w:val="00F768A8"/>
    <w:rsid w:val="00F76A66"/>
    <w:rsid w:val="00F80EC1"/>
    <w:rsid w:val="00F82EAB"/>
    <w:rsid w:val="00F85A1A"/>
    <w:rsid w:val="00F85AF0"/>
    <w:rsid w:val="00F85C39"/>
    <w:rsid w:val="00F85F04"/>
    <w:rsid w:val="00F90BE6"/>
    <w:rsid w:val="00F96499"/>
    <w:rsid w:val="00F96BE7"/>
    <w:rsid w:val="00FA0180"/>
    <w:rsid w:val="00FA053C"/>
    <w:rsid w:val="00FA1806"/>
    <w:rsid w:val="00FA1CDD"/>
    <w:rsid w:val="00FA2BC9"/>
    <w:rsid w:val="00FA3846"/>
    <w:rsid w:val="00FA3C49"/>
    <w:rsid w:val="00FA43C6"/>
    <w:rsid w:val="00FA6456"/>
    <w:rsid w:val="00FB30D4"/>
    <w:rsid w:val="00FB432A"/>
    <w:rsid w:val="00FB4453"/>
    <w:rsid w:val="00FC0624"/>
    <w:rsid w:val="00FC6519"/>
    <w:rsid w:val="00FC6C82"/>
    <w:rsid w:val="00FD1504"/>
    <w:rsid w:val="00FD52A7"/>
    <w:rsid w:val="00FE0C20"/>
    <w:rsid w:val="00FE2791"/>
    <w:rsid w:val="00FE3151"/>
    <w:rsid w:val="00FE4D55"/>
    <w:rsid w:val="00FE602A"/>
    <w:rsid w:val="00FE7A88"/>
    <w:rsid w:val="00FF0DC5"/>
    <w:rsid w:val="00FF1C8A"/>
    <w:rsid w:val="00FF6C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D9"/>
    <w:pPr>
      <w:spacing w:before="240" w:after="0" w:line="240" w:lineRule="auto"/>
    </w:pPr>
    <w:rPr>
      <w:rFonts w:ascii="Times New Roman" w:eastAsia="Calibri" w:hAnsi="Times New Roman" w:cs="Times New Roman"/>
      <w:sz w:val="24"/>
    </w:rPr>
  </w:style>
  <w:style w:type="paragraph" w:styleId="Heading1">
    <w:name w:val="heading 1"/>
    <w:aliases w:val="h1"/>
    <w:basedOn w:val="Normal"/>
    <w:next w:val="Normal"/>
    <w:link w:val="Heading1Char"/>
    <w:qFormat/>
    <w:rsid w:val="009504D9"/>
    <w:pPr>
      <w:keepNext/>
      <w:spacing w:after="60"/>
      <w:outlineLvl w:val="0"/>
    </w:pPr>
    <w:rPr>
      <w:rFonts w:eastAsia="Times New Roman"/>
      <w:b/>
      <w:bCs/>
      <w:caps/>
      <w:kern w:val="32"/>
      <w:sz w:val="32"/>
      <w:szCs w:val="32"/>
    </w:rPr>
  </w:style>
  <w:style w:type="paragraph" w:styleId="Heading2">
    <w:name w:val="heading 2"/>
    <w:aliases w:val="h2"/>
    <w:basedOn w:val="Normal"/>
    <w:next w:val="Normal"/>
    <w:link w:val="Heading2Char"/>
    <w:unhideWhenUsed/>
    <w:qFormat/>
    <w:rsid w:val="009504D9"/>
    <w:pPr>
      <w:keepNext/>
      <w:spacing w:after="200"/>
      <w:outlineLvl w:val="1"/>
    </w:pPr>
    <w:rPr>
      <w:rFonts w:eastAsia="Times New Roman"/>
      <w:b/>
      <w:bCs/>
      <w:iCs/>
      <w:caps/>
      <w:sz w:val="28"/>
      <w:szCs w:val="28"/>
    </w:rPr>
  </w:style>
  <w:style w:type="paragraph" w:styleId="Heading3">
    <w:name w:val="heading 3"/>
    <w:aliases w:val="h3"/>
    <w:basedOn w:val="Normal"/>
    <w:next w:val="Normal"/>
    <w:link w:val="Heading3Char"/>
    <w:unhideWhenUsed/>
    <w:qFormat/>
    <w:rsid w:val="009504D9"/>
    <w:pPr>
      <w:keepNext/>
      <w:spacing w:after="60"/>
      <w:outlineLvl w:val="2"/>
    </w:pPr>
    <w:rPr>
      <w:rFonts w:eastAsia="Times New Roman"/>
      <w:b/>
      <w:bCs/>
      <w:szCs w:val="26"/>
    </w:rPr>
  </w:style>
  <w:style w:type="paragraph" w:styleId="Heading4">
    <w:name w:val="heading 4"/>
    <w:aliases w:val="h4"/>
    <w:basedOn w:val="Normal"/>
    <w:next w:val="Normal"/>
    <w:link w:val="Heading4Char"/>
    <w:unhideWhenUsed/>
    <w:qFormat/>
    <w:rsid w:val="009504D9"/>
    <w:pPr>
      <w:outlineLvl w:val="3"/>
    </w:pPr>
    <w:rPr>
      <w:b/>
      <w:szCs w:val="24"/>
    </w:rPr>
  </w:style>
  <w:style w:type="paragraph" w:styleId="Heading5">
    <w:name w:val="heading 5"/>
    <w:basedOn w:val="Normal"/>
    <w:next w:val="Normal"/>
    <w:link w:val="Heading5Char"/>
    <w:unhideWhenUsed/>
    <w:qFormat/>
    <w:rsid w:val="009504D9"/>
    <w:pPr>
      <w:keepNext/>
      <w:outlineLvl w:val="4"/>
    </w:pPr>
    <w:rPr>
      <w:i/>
      <w:szCs w:val="24"/>
    </w:rPr>
  </w:style>
  <w:style w:type="paragraph" w:styleId="Heading6">
    <w:name w:val="heading 6"/>
    <w:basedOn w:val="Heading2"/>
    <w:next w:val="Paragraph"/>
    <w:link w:val="Heading6Char"/>
    <w:qFormat/>
    <w:rsid w:val="009504D9"/>
    <w:pPr>
      <w:keepLines/>
      <w:numPr>
        <w:ilvl w:val="12"/>
      </w:numPr>
      <w:spacing w:after="0"/>
      <w:outlineLvl w:val="5"/>
    </w:pPr>
    <w:rPr>
      <w:b w:val="0"/>
      <w:bCs w:val="0"/>
      <w:i/>
      <w:iCs w:val="0"/>
      <w:caps w:val="0"/>
      <w:sz w:val="24"/>
      <w:szCs w:val="20"/>
      <w:lang w:eastAsia="en-AU"/>
    </w:rPr>
  </w:style>
  <w:style w:type="paragraph" w:styleId="Heading7">
    <w:name w:val="heading 7"/>
    <w:basedOn w:val="Heading2"/>
    <w:next w:val="Paragraph"/>
    <w:link w:val="Heading7Char"/>
    <w:qFormat/>
    <w:rsid w:val="009504D9"/>
    <w:pPr>
      <w:keepLines/>
      <w:numPr>
        <w:ilvl w:val="12"/>
      </w:numPr>
      <w:spacing w:after="0"/>
      <w:outlineLvl w:val="6"/>
    </w:pPr>
    <w:rPr>
      <w:b w:val="0"/>
      <w:bCs w:val="0"/>
      <w:iCs w:val="0"/>
      <w:caps w:val="0"/>
      <w:sz w:val="24"/>
      <w:szCs w:val="20"/>
      <w:lang w:eastAsia="en-AU"/>
    </w:rPr>
  </w:style>
  <w:style w:type="paragraph" w:styleId="Heading8">
    <w:name w:val="heading 8"/>
    <w:basedOn w:val="Heading2"/>
    <w:next w:val="Paragraph"/>
    <w:link w:val="Heading8Char"/>
    <w:qFormat/>
    <w:rsid w:val="009504D9"/>
    <w:pPr>
      <w:keepLines/>
      <w:numPr>
        <w:ilvl w:val="12"/>
      </w:numPr>
      <w:spacing w:after="0"/>
      <w:outlineLvl w:val="7"/>
    </w:pPr>
    <w:rPr>
      <w:b w:val="0"/>
      <w:bCs w:val="0"/>
      <w:iCs w:val="0"/>
      <w:caps w:val="0"/>
      <w:sz w:val="24"/>
      <w:szCs w:val="20"/>
      <w:lang w:eastAsia="en-AU"/>
    </w:rPr>
  </w:style>
  <w:style w:type="paragraph" w:styleId="Heading9">
    <w:name w:val="heading 9"/>
    <w:basedOn w:val="Heading2"/>
    <w:next w:val="Paragraph"/>
    <w:link w:val="Heading9Char"/>
    <w:qFormat/>
    <w:rsid w:val="009504D9"/>
    <w:pPr>
      <w:keepLines/>
      <w:numPr>
        <w:ilvl w:val="12"/>
      </w:numPr>
      <w:spacing w:after="0"/>
      <w:outlineLvl w:val="8"/>
    </w:pPr>
    <w:rPr>
      <w:b w:val="0"/>
      <w:bCs w:val="0"/>
      <w:iCs w:val="0"/>
      <w:caps w:val="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504D9"/>
    <w:rPr>
      <w:rFonts w:ascii="Times New Roman" w:eastAsia="Times New Roman" w:hAnsi="Times New Roman" w:cs="Times New Roman"/>
      <w:b/>
      <w:bCs/>
      <w:caps/>
      <w:kern w:val="32"/>
      <w:sz w:val="32"/>
      <w:szCs w:val="32"/>
    </w:rPr>
  </w:style>
  <w:style w:type="character" w:customStyle="1" w:styleId="Heading2Char">
    <w:name w:val="Heading 2 Char"/>
    <w:aliases w:val="h2 Char"/>
    <w:basedOn w:val="DefaultParagraphFont"/>
    <w:link w:val="Heading2"/>
    <w:rsid w:val="009504D9"/>
    <w:rPr>
      <w:rFonts w:ascii="Times New Roman" w:eastAsia="Times New Roman" w:hAnsi="Times New Roman" w:cs="Times New Roman"/>
      <w:b/>
      <w:bCs/>
      <w:iCs/>
      <w:caps/>
      <w:sz w:val="28"/>
      <w:szCs w:val="28"/>
    </w:rPr>
  </w:style>
  <w:style w:type="character" w:customStyle="1" w:styleId="Heading3Char">
    <w:name w:val="Heading 3 Char"/>
    <w:aliases w:val="h3 Char"/>
    <w:basedOn w:val="DefaultParagraphFont"/>
    <w:link w:val="Heading3"/>
    <w:rsid w:val="009504D9"/>
    <w:rPr>
      <w:rFonts w:ascii="Times New Roman" w:eastAsia="Times New Roman" w:hAnsi="Times New Roman" w:cs="Times New Roman"/>
      <w:b/>
      <w:bCs/>
      <w:sz w:val="24"/>
      <w:szCs w:val="26"/>
    </w:rPr>
  </w:style>
  <w:style w:type="character" w:customStyle="1" w:styleId="Heading4Char">
    <w:name w:val="Heading 4 Char"/>
    <w:aliases w:val="h4 Char"/>
    <w:basedOn w:val="DefaultParagraphFont"/>
    <w:link w:val="Heading4"/>
    <w:rsid w:val="009504D9"/>
    <w:rPr>
      <w:rFonts w:ascii="Times New Roman" w:eastAsia="Calibri" w:hAnsi="Times New Roman" w:cs="Times New Roman"/>
      <w:b/>
      <w:sz w:val="24"/>
      <w:szCs w:val="24"/>
    </w:rPr>
  </w:style>
  <w:style w:type="character" w:customStyle="1" w:styleId="Heading5Char">
    <w:name w:val="Heading 5 Char"/>
    <w:basedOn w:val="DefaultParagraphFont"/>
    <w:link w:val="Heading5"/>
    <w:rsid w:val="009504D9"/>
    <w:rPr>
      <w:rFonts w:ascii="Times New Roman" w:eastAsia="Calibri" w:hAnsi="Times New Roman" w:cs="Times New Roman"/>
      <w:i/>
      <w:sz w:val="24"/>
      <w:szCs w:val="24"/>
    </w:rPr>
  </w:style>
  <w:style w:type="character" w:customStyle="1" w:styleId="Heading6Char">
    <w:name w:val="Heading 6 Char"/>
    <w:basedOn w:val="DefaultParagraphFont"/>
    <w:link w:val="Heading6"/>
    <w:rsid w:val="009504D9"/>
    <w:rPr>
      <w:rFonts w:ascii="Times New Roman" w:eastAsia="Times New Roman" w:hAnsi="Times New Roman" w:cs="Times New Roman"/>
      <w:i/>
      <w:sz w:val="24"/>
      <w:szCs w:val="20"/>
      <w:lang w:eastAsia="en-AU"/>
    </w:rPr>
  </w:style>
  <w:style w:type="character" w:customStyle="1" w:styleId="Heading7Char">
    <w:name w:val="Heading 7 Char"/>
    <w:basedOn w:val="DefaultParagraphFont"/>
    <w:link w:val="Heading7"/>
    <w:rsid w:val="009504D9"/>
    <w:rPr>
      <w:rFonts w:ascii="Times New Roman" w:eastAsia="Times New Roman" w:hAnsi="Times New Roman" w:cs="Times New Roman"/>
      <w:sz w:val="24"/>
      <w:szCs w:val="20"/>
      <w:lang w:eastAsia="en-AU"/>
    </w:rPr>
  </w:style>
  <w:style w:type="character" w:customStyle="1" w:styleId="Heading8Char">
    <w:name w:val="Heading 8 Char"/>
    <w:basedOn w:val="DefaultParagraphFont"/>
    <w:link w:val="Heading8"/>
    <w:rsid w:val="009504D9"/>
    <w:rPr>
      <w:rFonts w:ascii="Times New Roman" w:eastAsia="Times New Roman" w:hAnsi="Times New Roman" w:cs="Times New Roman"/>
      <w:sz w:val="24"/>
      <w:szCs w:val="20"/>
      <w:lang w:eastAsia="en-AU"/>
    </w:rPr>
  </w:style>
  <w:style w:type="character" w:customStyle="1" w:styleId="Heading9Char">
    <w:name w:val="Heading 9 Char"/>
    <w:basedOn w:val="DefaultParagraphFont"/>
    <w:link w:val="Heading9"/>
    <w:rsid w:val="009504D9"/>
    <w:rPr>
      <w:rFonts w:ascii="Times New Roman" w:eastAsia="Times New Roman" w:hAnsi="Times New Roman" w:cs="Times New Roman"/>
      <w:sz w:val="24"/>
      <w:szCs w:val="20"/>
      <w:lang w:eastAsia="en-AU"/>
    </w:rPr>
  </w:style>
  <w:style w:type="paragraph" w:styleId="Header">
    <w:name w:val="header"/>
    <w:basedOn w:val="Normal"/>
    <w:link w:val="HeaderChar"/>
    <w:unhideWhenUsed/>
    <w:rsid w:val="009504D9"/>
    <w:pPr>
      <w:tabs>
        <w:tab w:val="center" w:pos="4513"/>
        <w:tab w:val="right" w:pos="9026"/>
      </w:tabs>
    </w:pPr>
  </w:style>
  <w:style w:type="character" w:customStyle="1" w:styleId="HeaderChar">
    <w:name w:val="Header Char"/>
    <w:basedOn w:val="DefaultParagraphFont"/>
    <w:link w:val="Header"/>
    <w:rsid w:val="009504D9"/>
    <w:rPr>
      <w:rFonts w:ascii="Times New Roman" w:eastAsia="Calibri" w:hAnsi="Times New Roman" w:cs="Times New Roman"/>
      <w:sz w:val="24"/>
    </w:rPr>
  </w:style>
  <w:style w:type="paragraph" w:styleId="Footer">
    <w:name w:val="footer"/>
    <w:basedOn w:val="Normal"/>
    <w:link w:val="FooterChar"/>
    <w:uiPriority w:val="99"/>
    <w:unhideWhenUsed/>
    <w:rsid w:val="009504D9"/>
    <w:pPr>
      <w:tabs>
        <w:tab w:val="center" w:pos="4513"/>
        <w:tab w:val="right" w:pos="9026"/>
      </w:tabs>
    </w:pPr>
  </w:style>
  <w:style w:type="character" w:customStyle="1" w:styleId="FooterChar">
    <w:name w:val="Footer Char"/>
    <w:basedOn w:val="DefaultParagraphFont"/>
    <w:link w:val="Footer"/>
    <w:uiPriority w:val="99"/>
    <w:rsid w:val="009504D9"/>
    <w:rPr>
      <w:rFonts w:ascii="Times New Roman" w:eastAsia="Calibri" w:hAnsi="Times New Roman" w:cs="Times New Roman"/>
      <w:sz w:val="24"/>
    </w:rPr>
  </w:style>
  <w:style w:type="paragraph" w:styleId="ListParagraph">
    <w:name w:val="List Paragraph"/>
    <w:aliases w:val="NFP GP Bulleted List,List Paragraph1,Recommendation,Numbered paragraph"/>
    <w:basedOn w:val="Normal"/>
    <w:link w:val="ListParagraphChar"/>
    <w:uiPriority w:val="34"/>
    <w:qFormat/>
    <w:rsid w:val="009504D9"/>
    <w:pPr>
      <w:ind w:left="720"/>
      <w:contextualSpacing/>
    </w:pPr>
  </w:style>
  <w:style w:type="paragraph" w:customStyle="1" w:styleId="Paragraph">
    <w:name w:val="Paragraph"/>
    <w:basedOn w:val="Normal"/>
    <w:link w:val="ParagraphChar"/>
    <w:rsid w:val="009504D9"/>
    <w:pPr>
      <w:numPr>
        <w:ilvl w:val="12"/>
      </w:numPr>
    </w:pPr>
    <w:rPr>
      <w:rFonts w:eastAsia="Times New Roman"/>
      <w:szCs w:val="24"/>
      <w:lang w:eastAsia="en-AU"/>
    </w:rPr>
  </w:style>
  <w:style w:type="character" w:customStyle="1" w:styleId="ParagraphChar">
    <w:name w:val="Paragraph Char"/>
    <w:link w:val="Paragraph"/>
    <w:rsid w:val="009504D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504D9"/>
    <w:rPr>
      <w:rFonts w:ascii="Arial" w:hAnsi="Arial" w:cs="Arial"/>
      <w:sz w:val="16"/>
      <w:szCs w:val="16"/>
    </w:rPr>
  </w:style>
  <w:style w:type="character" w:customStyle="1" w:styleId="BalloonTextChar">
    <w:name w:val="Balloon Text Char"/>
    <w:basedOn w:val="DefaultParagraphFont"/>
    <w:link w:val="BalloonText"/>
    <w:uiPriority w:val="99"/>
    <w:semiHidden/>
    <w:rsid w:val="009504D9"/>
    <w:rPr>
      <w:rFonts w:ascii="Arial" w:eastAsia="Calibri" w:hAnsi="Arial" w:cs="Arial"/>
      <w:sz w:val="16"/>
      <w:szCs w:val="16"/>
    </w:rPr>
  </w:style>
  <w:style w:type="character" w:styleId="CommentReference">
    <w:name w:val="annotation reference"/>
    <w:basedOn w:val="DefaultParagraphFont"/>
    <w:uiPriority w:val="99"/>
    <w:semiHidden/>
    <w:unhideWhenUsed/>
    <w:rsid w:val="009504D9"/>
    <w:rPr>
      <w:sz w:val="16"/>
      <w:szCs w:val="16"/>
    </w:rPr>
  </w:style>
  <w:style w:type="paragraph" w:styleId="CommentText">
    <w:name w:val="annotation text"/>
    <w:basedOn w:val="Normal"/>
    <w:link w:val="CommentTextChar"/>
    <w:uiPriority w:val="99"/>
    <w:semiHidden/>
    <w:unhideWhenUsed/>
    <w:rsid w:val="009504D9"/>
    <w:rPr>
      <w:sz w:val="20"/>
      <w:szCs w:val="20"/>
    </w:rPr>
  </w:style>
  <w:style w:type="character" w:customStyle="1" w:styleId="CommentTextChar">
    <w:name w:val="Comment Text Char"/>
    <w:basedOn w:val="DefaultParagraphFont"/>
    <w:link w:val="CommentText"/>
    <w:uiPriority w:val="99"/>
    <w:semiHidden/>
    <w:rsid w:val="009504D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4D9"/>
    <w:rPr>
      <w:b/>
      <w:bCs/>
    </w:rPr>
  </w:style>
  <w:style w:type="character" w:customStyle="1" w:styleId="CommentSubjectChar">
    <w:name w:val="Comment Subject Char"/>
    <w:basedOn w:val="CommentTextChar"/>
    <w:link w:val="CommentSubject"/>
    <w:uiPriority w:val="99"/>
    <w:semiHidden/>
    <w:rsid w:val="009504D9"/>
    <w:rPr>
      <w:rFonts w:ascii="Times New Roman" w:eastAsia="Calibri" w:hAnsi="Times New Roman" w:cs="Times New Roman"/>
      <w:b/>
      <w:bCs/>
      <w:sz w:val="20"/>
      <w:szCs w:val="20"/>
    </w:rPr>
  </w:style>
  <w:style w:type="table" w:styleId="TableGrid">
    <w:name w:val="Table Grid"/>
    <w:basedOn w:val="TableNormal"/>
    <w:uiPriority w:val="59"/>
    <w:rsid w:val="00950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504D9"/>
    <w:pPr>
      <w:spacing w:after="400"/>
    </w:pPr>
    <w:rPr>
      <w:rFonts w:eastAsia="Times New Roman"/>
      <w:i/>
      <w:iCs/>
      <w:spacing w:val="13"/>
      <w:szCs w:val="24"/>
      <w:lang w:eastAsia="en-AU"/>
    </w:rPr>
  </w:style>
  <w:style w:type="character" w:customStyle="1" w:styleId="SubtitleChar">
    <w:name w:val="Subtitle Char"/>
    <w:basedOn w:val="DefaultParagraphFont"/>
    <w:link w:val="Subtitle"/>
    <w:uiPriority w:val="11"/>
    <w:rsid w:val="009504D9"/>
    <w:rPr>
      <w:rFonts w:ascii="Times New Roman" w:eastAsia="Times New Roman" w:hAnsi="Times New Roman" w:cs="Times New Roman"/>
      <w:i/>
      <w:iCs/>
      <w:spacing w:val="13"/>
      <w:sz w:val="24"/>
      <w:szCs w:val="24"/>
      <w:lang w:eastAsia="en-AU"/>
    </w:rPr>
  </w:style>
  <w:style w:type="paragraph" w:styleId="FootnoteText">
    <w:name w:val="footnote text"/>
    <w:basedOn w:val="Normal"/>
    <w:link w:val="FootnoteTextChar"/>
    <w:unhideWhenUsed/>
    <w:rsid w:val="009504D9"/>
    <w:pPr>
      <w:spacing w:before="0"/>
    </w:pPr>
    <w:rPr>
      <w:rFonts w:eastAsia="Times New Roman"/>
      <w:sz w:val="20"/>
      <w:szCs w:val="20"/>
      <w:lang w:eastAsia="en-AU"/>
    </w:rPr>
  </w:style>
  <w:style w:type="character" w:customStyle="1" w:styleId="FootnoteTextChar">
    <w:name w:val="Footnote Text Char"/>
    <w:basedOn w:val="DefaultParagraphFont"/>
    <w:link w:val="FootnoteText"/>
    <w:rsid w:val="009504D9"/>
    <w:rPr>
      <w:rFonts w:ascii="Times New Roman" w:eastAsia="Times New Roman" w:hAnsi="Times New Roman" w:cs="Times New Roman"/>
      <w:sz w:val="20"/>
      <w:szCs w:val="20"/>
      <w:lang w:eastAsia="en-AU"/>
    </w:rPr>
  </w:style>
  <w:style w:type="character" w:styleId="FootnoteReference">
    <w:name w:val="footnote reference"/>
    <w:unhideWhenUsed/>
    <w:rsid w:val="009504D9"/>
    <w:rPr>
      <w:vertAlign w:val="superscript"/>
    </w:rPr>
  </w:style>
  <w:style w:type="paragraph" w:styleId="Revision">
    <w:name w:val="Revision"/>
    <w:hidden/>
    <w:uiPriority w:val="99"/>
    <w:semiHidden/>
    <w:rsid w:val="009504D9"/>
    <w:pPr>
      <w:spacing w:after="0" w:line="240" w:lineRule="auto"/>
    </w:pPr>
    <w:rPr>
      <w:rFonts w:ascii="Cambria" w:eastAsia="Calibri" w:hAnsi="Cambria" w:cs="Times New Roman"/>
    </w:rPr>
  </w:style>
  <w:style w:type="paragraph" w:styleId="Title">
    <w:name w:val="Title"/>
    <w:basedOn w:val="Heading1"/>
    <w:next w:val="Normal"/>
    <w:link w:val="TitleChar"/>
    <w:uiPriority w:val="10"/>
    <w:qFormat/>
    <w:rsid w:val="009504D9"/>
    <w:pPr>
      <w:spacing w:after="0"/>
      <w:jc w:val="center"/>
    </w:pPr>
    <w:rPr>
      <w:b w:val="0"/>
      <w:sz w:val="24"/>
      <w:szCs w:val="24"/>
    </w:rPr>
  </w:style>
  <w:style w:type="character" w:customStyle="1" w:styleId="TitleChar">
    <w:name w:val="Title Char"/>
    <w:basedOn w:val="DefaultParagraphFont"/>
    <w:link w:val="Title"/>
    <w:uiPriority w:val="10"/>
    <w:rsid w:val="009504D9"/>
    <w:rPr>
      <w:rFonts w:ascii="Times New Roman" w:eastAsia="Times New Roman" w:hAnsi="Times New Roman" w:cs="Times New Roman"/>
      <w:bCs/>
      <w:caps/>
      <w:kern w:val="32"/>
      <w:sz w:val="24"/>
      <w:szCs w:val="24"/>
    </w:rPr>
  </w:style>
  <w:style w:type="paragraph" w:customStyle="1" w:styleId="Default">
    <w:name w:val="Default"/>
    <w:rsid w:val="009504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504D9"/>
    <w:rPr>
      <w:rFonts w:ascii="Times New Roman" w:eastAsia="Calibri" w:hAnsi="Times New Roman" w:cs="Times New Roman"/>
      <w:sz w:val="24"/>
    </w:rPr>
  </w:style>
  <w:style w:type="paragraph" w:customStyle="1" w:styleId="Bullet1">
    <w:name w:val="Bullet 1"/>
    <w:basedOn w:val="Normal"/>
    <w:rsid w:val="009504D9"/>
    <w:pPr>
      <w:numPr>
        <w:numId w:val="2"/>
      </w:numPr>
      <w:tabs>
        <w:tab w:val="clear" w:pos="425"/>
        <w:tab w:val="num" w:pos="567"/>
      </w:tabs>
      <w:spacing w:before="120"/>
      <w:ind w:left="567" w:hanging="283"/>
    </w:pPr>
    <w:rPr>
      <w:rFonts w:eastAsia="Times New Roman"/>
      <w:szCs w:val="20"/>
      <w:lang w:eastAsia="en-AU"/>
    </w:rPr>
  </w:style>
  <w:style w:type="paragraph" w:customStyle="1" w:styleId="Bullet2">
    <w:name w:val="Bullet 2"/>
    <w:basedOn w:val="Bullet1"/>
    <w:rsid w:val="009504D9"/>
    <w:pPr>
      <w:numPr>
        <w:numId w:val="3"/>
      </w:numPr>
      <w:tabs>
        <w:tab w:val="clear" w:pos="0"/>
        <w:tab w:val="left" w:pos="851"/>
      </w:tabs>
      <w:ind w:left="851"/>
    </w:pPr>
  </w:style>
  <w:style w:type="paragraph" w:customStyle="1" w:styleId="Classification">
    <w:name w:val="Classification"/>
    <w:basedOn w:val="Normal"/>
    <w:rsid w:val="009504D9"/>
    <w:pPr>
      <w:spacing w:before="60" w:after="60"/>
      <w:jc w:val="center"/>
    </w:pPr>
    <w:rPr>
      <w:rFonts w:ascii="Arial" w:eastAsia="Times New Roman" w:hAnsi="Arial"/>
      <w:b/>
      <w:caps/>
      <w:color w:val="FF0000"/>
      <w:sz w:val="28"/>
      <w:szCs w:val="20"/>
      <w:lang w:eastAsia="en-AU"/>
    </w:rPr>
  </w:style>
  <w:style w:type="character" w:styleId="PageNumber">
    <w:name w:val="page number"/>
    <w:basedOn w:val="DefaultParagraphFont"/>
    <w:rsid w:val="009504D9"/>
  </w:style>
  <w:style w:type="paragraph" w:customStyle="1" w:styleId="Quotation">
    <w:name w:val="Quotation"/>
    <w:basedOn w:val="Paragraph"/>
    <w:next w:val="Paragraph"/>
    <w:rsid w:val="009504D9"/>
    <w:pPr>
      <w:ind w:left="567" w:right="567"/>
    </w:pPr>
    <w:rPr>
      <w:rFonts w:cs="Angsana New"/>
      <w:sz w:val="22"/>
      <w:szCs w:val="20"/>
      <w:lang w:bidi="th-TH"/>
    </w:rPr>
  </w:style>
  <w:style w:type="paragraph" w:customStyle="1" w:styleId="Paragraphnumbered">
    <w:name w:val="Paragraph (numbered)"/>
    <w:basedOn w:val="Normal"/>
    <w:rsid w:val="009504D9"/>
    <w:rPr>
      <w:rFonts w:eastAsia="Times New Roman"/>
      <w:szCs w:val="20"/>
      <w:lang w:eastAsia="en-AU"/>
    </w:rPr>
  </w:style>
  <w:style w:type="paragraph" w:styleId="TOC1">
    <w:name w:val="toc 1"/>
    <w:basedOn w:val="Normal"/>
    <w:uiPriority w:val="39"/>
    <w:qFormat/>
    <w:rsid w:val="009504D9"/>
    <w:pPr>
      <w:tabs>
        <w:tab w:val="right" w:leader="dot" w:pos="9639"/>
      </w:tabs>
      <w:spacing w:before="120"/>
      <w:ind w:left="567" w:right="566" w:hanging="567"/>
    </w:pPr>
    <w:rPr>
      <w:rFonts w:eastAsia="Times New Roman"/>
      <w:b/>
      <w:szCs w:val="20"/>
      <w:lang w:eastAsia="en-AU"/>
    </w:rPr>
  </w:style>
  <w:style w:type="paragraph" w:styleId="TOC2">
    <w:name w:val="toc 2"/>
    <w:basedOn w:val="TOC1"/>
    <w:uiPriority w:val="39"/>
    <w:qFormat/>
    <w:rsid w:val="009504D9"/>
    <w:pPr>
      <w:spacing w:before="0"/>
    </w:pPr>
    <w:rPr>
      <w:b w:val="0"/>
    </w:rPr>
  </w:style>
  <w:style w:type="paragraph" w:styleId="TOC3">
    <w:name w:val="toc 3"/>
    <w:basedOn w:val="TOC2"/>
    <w:uiPriority w:val="39"/>
    <w:qFormat/>
    <w:rsid w:val="009504D9"/>
    <w:pPr>
      <w:ind w:left="1418" w:hanging="850"/>
    </w:pPr>
  </w:style>
  <w:style w:type="paragraph" w:styleId="TOC4">
    <w:name w:val="toc 4"/>
    <w:basedOn w:val="TOC2"/>
    <w:semiHidden/>
    <w:rsid w:val="009504D9"/>
    <w:pPr>
      <w:ind w:left="1985" w:hanging="1134"/>
    </w:pPr>
  </w:style>
  <w:style w:type="paragraph" w:customStyle="1" w:styleId="Bullet1continued">
    <w:name w:val="Bullet 1 (continued)"/>
    <w:basedOn w:val="Bullet1"/>
    <w:next w:val="Bullet1"/>
    <w:rsid w:val="009504D9"/>
    <w:pPr>
      <w:numPr>
        <w:numId w:val="0"/>
      </w:numPr>
      <w:ind w:left="567"/>
    </w:pPr>
  </w:style>
  <w:style w:type="paragraph" w:customStyle="1" w:styleId="Bullet2continued">
    <w:name w:val="Bullet 2 (continued)"/>
    <w:basedOn w:val="Bullet2"/>
    <w:next w:val="Bullet2"/>
    <w:rsid w:val="009504D9"/>
    <w:pPr>
      <w:numPr>
        <w:numId w:val="0"/>
      </w:numPr>
      <w:tabs>
        <w:tab w:val="clear" w:pos="851"/>
      </w:tabs>
      <w:ind w:left="851"/>
    </w:pPr>
  </w:style>
  <w:style w:type="paragraph" w:styleId="Signature">
    <w:name w:val="Signature"/>
    <w:basedOn w:val="Normal"/>
    <w:next w:val="Normal"/>
    <w:link w:val="SignatureChar"/>
    <w:rsid w:val="009504D9"/>
    <w:pPr>
      <w:keepLines/>
      <w:spacing w:before="1080"/>
    </w:pPr>
    <w:rPr>
      <w:rFonts w:eastAsia="Times New Roman"/>
      <w:szCs w:val="20"/>
      <w:lang w:eastAsia="en-AU"/>
    </w:rPr>
  </w:style>
  <w:style w:type="character" w:customStyle="1" w:styleId="SignatureChar">
    <w:name w:val="Signature Char"/>
    <w:basedOn w:val="DefaultParagraphFont"/>
    <w:link w:val="Signature"/>
    <w:rsid w:val="009504D9"/>
    <w:rPr>
      <w:rFonts w:ascii="Times New Roman" w:eastAsia="Times New Roman" w:hAnsi="Times New Roman" w:cs="Times New Roman"/>
      <w:sz w:val="24"/>
      <w:szCs w:val="20"/>
      <w:lang w:eastAsia="en-AU"/>
    </w:rPr>
  </w:style>
  <w:style w:type="paragraph" w:customStyle="1" w:styleId="Enumerate">
    <w:name w:val="Enumerate"/>
    <w:basedOn w:val="Normal"/>
    <w:rsid w:val="009504D9"/>
    <w:pPr>
      <w:spacing w:before="120"/>
      <w:ind w:left="709" w:hanging="425"/>
    </w:pPr>
    <w:rPr>
      <w:rFonts w:eastAsia="Times New Roman"/>
      <w:szCs w:val="20"/>
      <w:lang w:eastAsia="en-AU"/>
    </w:rPr>
  </w:style>
  <w:style w:type="paragraph" w:customStyle="1" w:styleId="Contactdetails">
    <w:name w:val="Contact details"/>
    <w:basedOn w:val="Normal"/>
    <w:rsid w:val="009504D9"/>
    <w:pPr>
      <w:tabs>
        <w:tab w:val="left" w:pos="1134"/>
        <w:tab w:val="left" w:pos="4536"/>
        <w:tab w:val="left" w:pos="6237"/>
      </w:tabs>
    </w:pPr>
    <w:rPr>
      <w:rFonts w:eastAsia="Times New Roman"/>
      <w:szCs w:val="20"/>
      <w:lang w:eastAsia="en-AU"/>
    </w:rPr>
  </w:style>
  <w:style w:type="paragraph" w:customStyle="1" w:styleId="Description">
    <w:name w:val="Description"/>
    <w:basedOn w:val="Normal"/>
    <w:rsid w:val="009504D9"/>
    <w:pPr>
      <w:spacing w:before="120"/>
      <w:ind w:left="2269" w:hanging="2269"/>
    </w:pPr>
    <w:rPr>
      <w:rFonts w:eastAsia="Times New Roman"/>
      <w:szCs w:val="20"/>
      <w:lang w:eastAsia="en-AU"/>
    </w:rPr>
  </w:style>
  <w:style w:type="paragraph" w:customStyle="1" w:styleId="Subject">
    <w:name w:val="Subject"/>
    <w:basedOn w:val="Normal"/>
    <w:next w:val="Paragraph"/>
    <w:rsid w:val="009504D9"/>
    <w:pPr>
      <w:keepNext/>
    </w:pPr>
    <w:rPr>
      <w:rFonts w:eastAsia="Times New Roman"/>
      <w:b/>
      <w:szCs w:val="20"/>
      <w:lang w:eastAsia="en-AU"/>
    </w:rPr>
  </w:style>
  <w:style w:type="character" w:styleId="EndnoteReference">
    <w:name w:val="endnote reference"/>
    <w:semiHidden/>
    <w:rsid w:val="009504D9"/>
    <w:rPr>
      <w:vertAlign w:val="superscript"/>
    </w:rPr>
  </w:style>
  <w:style w:type="paragraph" w:styleId="EndnoteText">
    <w:name w:val="endnote text"/>
    <w:basedOn w:val="FootnoteText"/>
    <w:link w:val="EndnoteTextChar"/>
    <w:semiHidden/>
    <w:rsid w:val="009504D9"/>
    <w:pPr>
      <w:spacing w:line="240" w:lineRule="atLeast"/>
      <w:ind w:left="284" w:hanging="284"/>
    </w:pPr>
  </w:style>
  <w:style w:type="character" w:customStyle="1" w:styleId="EndnoteTextChar">
    <w:name w:val="Endnote Text Char"/>
    <w:basedOn w:val="DefaultParagraphFont"/>
    <w:link w:val="EndnoteText"/>
    <w:semiHidden/>
    <w:rsid w:val="009504D9"/>
    <w:rPr>
      <w:rFonts w:ascii="Times New Roman" w:eastAsia="Times New Roman" w:hAnsi="Times New Roman" w:cs="Times New Roman"/>
      <w:sz w:val="20"/>
      <w:szCs w:val="20"/>
      <w:lang w:eastAsia="en-AU"/>
    </w:rPr>
  </w:style>
  <w:style w:type="character" w:styleId="Hyperlink">
    <w:name w:val="Hyperlink"/>
    <w:uiPriority w:val="99"/>
    <w:rsid w:val="009504D9"/>
    <w:rPr>
      <w:color w:val="0000FF"/>
      <w:u w:val="none"/>
    </w:rPr>
  </w:style>
  <w:style w:type="character" w:styleId="FollowedHyperlink">
    <w:name w:val="FollowedHyperlink"/>
    <w:rsid w:val="009504D9"/>
    <w:rPr>
      <w:color w:val="800080"/>
      <w:u w:val="none"/>
    </w:rPr>
  </w:style>
  <w:style w:type="paragraph" w:customStyle="1" w:styleId="Heading1nooutline">
    <w:name w:val="Heading 1 (no outline)"/>
    <w:basedOn w:val="Normal"/>
    <w:next w:val="Paragraph"/>
    <w:rsid w:val="009504D9"/>
    <w:pPr>
      <w:keepNext/>
      <w:keepLines/>
      <w:pageBreakBefore/>
      <w:spacing w:after="360"/>
      <w:jc w:val="center"/>
    </w:pPr>
    <w:rPr>
      <w:rFonts w:eastAsia="Times New Roman"/>
      <w:b/>
      <w:smallCaps/>
      <w:sz w:val="32"/>
      <w:szCs w:val="20"/>
      <w:lang w:eastAsia="en-AU"/>
    </w:rPr>
  </w:style>
  <w:style w:type="character" w:customStyle="1" w:styleId="URI">
    <w:name w:val="URI"/>
    <w:basedOn w:val="DefaultParagraphFont"/>
    <w:rsid w:val="009504D9"/>
  </w:style>
  <w:style w:type="paragraph" w:styleId="Salutation">
    <w:name w:val="Salutation"/>
    <w:basedOn w:val="Normal"/>
    <w:next w:val="Subject"/>
    <w:link w:val="SalutationChar"/>
    <w:rsid w:val="009504D9"/>
    <w:pPr>
      <w:keepNext/>
    </w:pPr>
    <w:rPr>
      <w:rFonts w:eastAsia="Times New Roman"/>
      <w:szCs w:val="20"/>
      <w:lang w:eastAsia="en-AU"/>
    </w:rPr>
  </w:style>
  <w:style w:type="character" w:customStyle="1" w:styleId="SalutationChar">
    <w:name w:val="Salutation Char"/>
    <w:basedOn w:val="DefaultParagraphFont"/>
    <w:link w:val="Salutation"/>
    <w:rsid w:val="009504D9"/>
    <w:rPr>
      <w:rFonts w:ascii="Times New Roman" w:eastAsia="Times New Roman" w:hAnsi="Times New Roman" w:cs="Times New Roman"/>
      <w:sz w:val="24"/>
      <w:szCs w:val="20"/>
      <w:lang w:eastAsia="en-AU"/>
    </w:rPr>
  </w:style>
  <w:style w:type="paragraph" w:customStyle="1" w:styleId="Heading1numbered">
    <w:name w:val="Heading 1 (numbered)"/>
    <w:basedOn w:val="Heading1"/>
    <w:next w:val="Paragraph"/>
    <w:rsid w:val="009504D9"/>
    <w:pPr>
      <w:keepLines/>
      <w:pageBreakBefore/>
      <w:numPr>
        <w:numId w:val="4"/>
      </w:numPr>
      <w:tabs>
        <w:tab w:val="clear" w:pos="360"/>
      </w:tabs>
      <w:spacing w:before="0" w:after="360"/>
      <w:jc w:val="center"/>
    </w:pPr>
    <w:rPr>
      <w:bCs w:val="0"/>
      <w:caps w:val="0"/>
      <w:smallCaps/>
      <w:kern w:val="0"/>
      <w:szCs w:val="20"/>
      <w:lang w:eastAsia="en-AU"/>
    </w:rPr>
  </w:style>
  <w:style w:type="paragraph" w:styleId="Closing">
    <w:name w:val="Closing"/>
    <w:basedOn w:val="Normal"/>
    <w:next w:val="Signature"/>
    <w:link w:val="ClosingChar"/>
    <w:rsid w:val="009504D9"/>
    <w:pPr>
      <w:keepNext/>
      <w:keepLines/>
    </w:pPr>
    <w:rPr>
      <w:rFonts w:eastAsia="Times New Roman"/>
      <w:szCs w:val="20"/>
      <w:lang w:eastAsia="en-AU"/>
    </w:rPr>
  </w:style>
  <w:style w:type="character" w:customStyle="1" w:styleId="ClosingChar">
    <w:name w:val="Closing Char"/>
    <w:basedOn w:val="DefaultParagraphFont"/>
    <w:link w:val="Closing"/>
    <w:rsid w:val="009504D9"/>
    <w:rPr>
      <w:rFonts w:ascii="Times New Roman" w:eastAsia="Times New Roman" w:hAnsi="Times New Roman" w:cs="Times New Roman"/>
      <w:sz w:val="24"/>
      <w:szCs w:val="20"/>
      <w:lang w:eastAsia="en-AU"/>
    </w:rPr>
  </w:style>
  <w:style w:type="paragraph" w:customStyle="1" w:styleId="Heading2numbered">
    <w:name w:val="Heading 2 (numbered)"/>
    <w:basedOn w:val="Heading2"/>
    <w:next w:val="Paragraph"/>
    <w:rsid w:val="009504D9"/>
    <w:pPr>
      <w:keepLines/>
      <w:numPr>
        <w:ilvl w:val="1"/>
        <w:numId w:val="4"/>
      </w:numPr>
      <w:tabs>
        <w:tab w:val="clear" w:pos="720"/>
        <w:tab w:val="left" w:pos="851"/>
      </w:tabs>
      <w:spacing w:before="480" w:after="0"/>
      <w:ind w:left="851" w:hanging="851"/>
    </w:pPr>
    <w:rPr>
      <w:bCs w:val="0"/>
      <w:i/>
      <w:iCs w:val="0"/>
      <w:caps w:val="0"/>
      <w:sz w:val="24"/>
      <w:szCs w:val="20"/>
      <w:lang w:eastAsia="en-AU"/>
    </w:rPr>
  </w:style>
  <w:style w:type="paragraph" w:customStyle="1" w:styleId="Heading3numbered">
    <w:name w:val="Heading 3 (numbered)"/>
    <w:basedOn w:val="Heading3"/>
    <w:next w:val="Paragraph"/>
    <w:rsid w:val="009504D9"/>
    <w:pPr>
      <w:keepLines/>
      <w:numPr>
        <w:ilvl w:val="2"/>
        <w:numId w:val="4"/>
      </w:numPr>
      <w:tabs>
        <w:tab w:val="clear" w:pos="720"/>
        <w:tab w:val="left" w:pos="1134"/>
      </w:tabs>
      <w:spacing w:before="360" w:after="0"/>
      <w:ind w:left="1134" w:hanging="1134"/>
    </w:pPr>
    <w:rPr>
      <w:b w:val="0"/>
      <w:bCs w:val="0"/>
      <w:i/>
      <w:szCs w:val="20"/>
      <w:lang w:eastAsia="en-AU"/>
    </w:rPr>
  </w:style>
  <w:style w:type="paragraph" w:customStyle="1" w:styleId="Heading4numbered">
    <w:name w:val="Heading 4 (numbered)"/>
    <w:basedOn w:val="Heading4"/>
    <w:next w:val="Paragraph"/>
    <w:rsid w:val="009504D9"/>
    <w:pPr>
      <w:keepNext/>
      <w:keepLines/>
      <w:numPr>
        <w:ilvl w:val="3"/>
        <w:numId w:val="4"/>
      </w:numPr>
      <w:tabs>
        <w:tab w:val="clear" w:pos="1080"/>
        <w:tab w:val="left" w:pos="1134"/>
      </w:tabs>
      <w:ind w:left="1134" w:hanging="1134"/>
    </w:pPr>
    <w:rPr>
      <w:rFonts w:eastAsia="Times New Roman"/>
      <w:b w:val="0"/>
      <w:szCs w:val="20"/>
      <w:lang w:eastAsia="en-AU"/>
    </w:rPr>
  </w:style>
  <w:style w:type="character" w:styleId="LineNumber">
    <w:name w:val="line number"/>
    <w:rsid w:val="009504D9"/>
    <w:rPr>
      <w:rFonts w:ascii="Arial" w:hAnsi="Arial"/>
      <w:sz w:val="16"/>
    </w:rPr>
  </w:style>
  <w:style w:type="paragraph" w:customStyle="1" w:styleId="Bullet3">
    <w:name w:val="Bullet 3"/>
    <w:basedOn w:val="Bullet1"/>
    <w:rsid w:val="009504D9"/>
    <w:pPr>
      <w:numPr>
        <w:numId w:val="5"/>
      </w:numPr>
      <w:tabs>
        <w:tab w:val="clear" w:pos="425"/>
        <w:tab w:val="num" w:pos="1134"/>
      </w:tabs>
      <w:ind w:left="1134" w:hanging="283"/>
    </w:pPr>
  </w:style>
  <w:style w:type="paragraph" w:customStyle="1" w:styleId="Bullet3continued">
    <w:name w:val="Bullet 3 (continued)"/>
    <w:basedOn w:val="Bullet3"/>
    <w:next w:val="Bullet3"/>
    <w:rsid w:val="009504D9"/>
    <w:pPr>
      <w:numPr>
        <w:numId w:val="0"/>
      </w:numPr>
      <w:ind w:left="1134"/>
    </w:pPr>
  </w:style>
  <w:style w:type="paragraph" w:customStyle="1" w:styleId="Checklist">
    <w:name w:val="Checklist"/>
    <w:basedOn w:val="Normal"/>
    <w:rsid w:val="009504D9"/>
    <w:pPr>
      <w:numPr>
        <w:numId w:val="6"/>
      </w:numPr>
      <w:tabs>
        <w:tab w:val="clear" w:pos="425"/>
        <w:tab w:val="num" w:pos="567"/>
      </w:tabs>
      <w:spacing w:before="120"/>
      <w:ind w:left="567" w:hanging="329"/>
    </w:pPr>
    <w:rPr>
      <w:rFonts w:eastAsia="Times New Roman"/>
      <w:szCs w:val="20"/>
      <w:lang w:eastAsia="en-AU"/>
    </w:rPr>
  </w:style>
  <w:style w:type="paragraph" w:customStyle="1" w:styleId="subsection">
    <w:name w:val="subsection"/>
    <w:basedOn w:val="Normal"/>
    <w:rsid w:val="009504D9"/>
    <w:pPr>
      <w:spacing w:before="100" w:beforeAutospacing="1" w:after="100" w:afterAutospacing="1"/>
    </w:pPr>
    <w:rPr>
      <w:rFonts w:eastAsia="Times New Roman"/>
      <w:szCs w:val="24"/>
      <w:lang w:eastAsia="en-AU"/>
    </w:rPr>
  </w:style>
  <w:style w:type="paragraph" w:customStyle="1" w:styleId="paragraph0">
    <w:name w:val="paragraph"/>
    <w:aliases w:val="a"/>
    <w:basedOn w:val="Normal"/>
    <w:link w:val="paragraphChar0"/>
    <w:rsid w:val="009504D9"/>
    <w:pPr>
      <w:spacing w:before="100" w:beforeAutospacing="1" w:after="100" w:afterAutospacing="1"/>
    </w:pPr>
    <w:rPr>
      <w:rFonts w:eastAsia="Times New Roman"/>
      <w:szCs w:val="24"/>
      <w:lang w:eastAsia="en-AU"/>
    </w:rPr>
  </w:style>
  <w:style w:type="paragraph" w:customStyle="1" w:styleId="paragraphsub">
    <w:name w:val="paragraphsub"/>
    <w:basedOn w:val="Normal"/>
    <w:rsid w:val="009504D9"/>
    <w:pPr>
      <w:spacing w:before="100" w:beforeAutospacing="1" w:after="100" w:afterAutospacing="1"/>
    </w:pPr>
    <w:rPr>
      <w:rFonts w:eastAsia="Times New Roman"/>
      <w:szCs w:val="24"/>
      <w:lang w:eastAsia="en-AU"/>
    </w:rPr>
  </w:style>
  <w:style w:type="paragraph" w:styleId="TOCHeading">
    <w:name w:val="TOC Heading"/>
    <w:basedOn w:val="Heading1"/>
    <w:next w:val="Normal"/>
    <w:uiPriority w:val="39"/>
    <w:semiHidden/>
    <w:unhideWhenUsed/>
    <w:qFormat/>
    <w:rsid w:val="009504D9"/>
    <w:pPr>
      <w:keepLines/>
      <w:spacing w:before="480" w:after="0"/>
      <w:outlineLvl w:val="9"/>
    </w:pPr>
    <w:rPr>
      <w:rFonts w:ascii="Cambria" w:eastAsia="MS Gothic" w:hAnsi="Cambria"/>
      <w:caps w:val="0"/>
      <w:color w:val="365F91"/>
      <w:kern w:val="0"/>
      <w:sz w:val="28"/>
      <w:szCs w:val="28"/>
      <w:lang w:val="en-US" w:eastAsia="ja-JP"/>
    </w:rPr>
  </w:style>
  <w:style w:type="paragraph" w:styleId="PlainText">
    <w:name w:val="Plain Text"/>
    <w:basedOn w:val="Normal"/>
    <w:link w:val="PlainTextChar"/>
    <w:uiPriority w:val="99"/>
    <w:unhideWhenUsed/>
    <w:rsid w:val="009504D9"/>
    <w:rPr>
      <w:rFonts w:ascii="Consolas" w:eastAsia="SimSun" w:hAnsi="Consolas" w:cs="Angsana New"/>
      <w:sz w:val="21"/>
      <w:szCs w:val="26"/>
      <w:lang w:eastAsia="zh-CN" w:bidi="th-TH"/>
    </w:rPr>
  </w:style>
  <w:style w:type="character" w:customStyle="1" w:styleId="PlainTextChar">
    <w:name w:val="Plain Text Char"/>
    <w:basedOn w:val="DefaultParagraphFont"/>
    <w:link w:val="PlainText"/>
    <w:uiPriority w:val="99"/>
    <w:rsid w:val="009504D9"/>
    <w:rPr>
      <w:rFonts w:ascii="Consolas" w:eastAsia="SimSun" w:hAnsi="Consolas" w:cs="Angsana New"/>
      <w:sz w:val="21"/>
      <w:szCs w:val="26"/>
      <w:lang w:eastAsia="zh-CN" w:bidi="th-TH"/>
    </w:rPr>
  </w:style>
  <w:style w:type="paragraph" w:customStyle="1" w:styleId="letteredparagraph">
    <w:name w:val="lettered paragraph"/>
    <w:basedOn w:val="Normal"/>
    <w:rsid w:val="009504D9"/>
    <w:pPr>
      <w:numPr>
        <w:ilvl w:val="2"/>
        <w:numId w:val="7"/>
      </w:numPr>
    </w:pPr>
    <w:rPr>
      <w:rFonts w:eastAsia="Times New Roman"/>
      <w:szCs w:val="20"/>
      <w:lang w:eastAsia="en-AU"/>
    </w:rPr>
  </w:style>
  <w:style w:type="table" w:customStyle="1" w:styleId="MediumShading1-Accent11">
    <w:name w:val="Medium Shading 1 - Accent 11"/>
    <w:basedOn w:val="TableNormal"/>
    <w:uiPriority w:val="63"/>
    <w:rsid w:val="009504D9"/>
    <w:pPr>
      <w:spacing w:after="0" w:line="240" w:lineRule="auto"/>
    </w:pPr>
    <w:rPr>
      <w:rFonts w:eastAsiaTheme="minorEastAsia" w:cs="Times New Roman"/>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customStyle="1" w:styleId="Heading10">
    <w:name w:val="Heading_1"/>
    <w:basedOn w:val="Normal"/>
    <w:uiPriority w:val="99"/>
    <w:rsid w:val="009504D9"/>
    <w:pPr>
      <w:overflowPunct w:val="0"/>
      <w:autoSpaceDE w:val="0"/>
      <w:autoSpaceDN w:val="0"/>
      <w:adjustRightInd w:val="0"/>
      <w:textAlignment w:val="baseline"/>
    </w:pPr>
    <w:rPr>
      <w:rFonts w:eastAsia="Times New Roman"/>
      <w:b/>
      <w:bCs/>
      <w:szCs w:val="24"/>
      <w:lang w:eastAsia="en-AU"/>
    </w:rPr>
  </w:style>
  <w:style w:type="paragraph" w:customStyle="1" w:styleId="Summary">
    <w:name w:val="Summary"/>
    <w:basedOn w:val="Normal"/>
    <w:link w:val="SummaryChar"/>
    <w:qFormat/>
    <w:rsid w:val="009504D9"/>
    <w:pPr>
      <w:numPr>
        <w:numId w:val="10"/>
      </w:numPr>
      <w:tabs>
        <w:tab w:val="left" w:pos="390"/>
      </w:tabs>
      <w:spacing w:before="0"/>
    </w:pPr>
    <w:rPr>
      <w:rFonts w:eastAsia="Times New Roman"/>
      <w:sz w:val="22"/>
      <w:lang w:val="en-US" w:eastAsia="en-AU"/>
    </w:rPr>
  </w:style>
  <w:style w:type="character" w:customStyle="1" w:styleId="SummaryChar">
    <w:name w:val="Summary Char"/>
    <w:basedOn w:val="DefaultParagraphFont"/>
    <w:link w:val="Summary"/>
    <w:rsid w:val="009504D9"/>
    <w:rPr>
      <w:rFonts w:ascii="Times New Roman" w:eastAsia="Times New Roman" w:hAnsi="Times New Roman" w:cs="Times New Roman"/>
      <w:lang w:val="en-US" w:eastAsia="en-AU"/>
    </w:rPr>
  </w:style>
  <w:style w:type="paragraph" w:customStyle="1" w:styleId="ParlAmend">
    <w:name w:val="ParlAmend"/>
    <w:aliases w:val="pp"/>
    <w:basedOn w:val="Normal"/>
    <w:rsid w:val="00DF4269"/>
    <w:pPr>
      <w:spacing w:line="240" w:lineRule="atLeast"/>
      <w:ind w:hanging="567"/>
    </w:pPr>
    <w:rPr>
      <w:rFonts w:eastAsia="Times New Roman"/>
      <w:szCs w:val="20"/>
      <w:lang w:eastAsia="en-AU"/>
    </w:rPr>
  </w:style>
  <w:style w:type="paragraph" w:customStyle="1" w:styleId="paragraphsub0">
    <w:name w:val="paragraph(sub)"/>
    <w:aliases w:val="aa"/>
    <w:basedOn w:val="Normal"/>
    <w:rsid w:val="00C3638F"/>
    <w:pPr>
      <w:tabs>
        <w:tab w:val="right" w:pos="1985"/>
      </w:tabs>
      <w:spacing w:before="40"/>
      <w:ind w:left="2098" w:hanging="2098"/>
    </w:pPr>
    <w:rPr>
      <w:rFonts w:eastAsia="Times New Roman"/>
      <w:sz w:val="22"/>
      <w:szCs w:val="20"/>
      <w:lang w:eastAsia="en-AU"/>
    </w:rPr>
  </w:style>
  <w:style w:type="character" w:customStyle="1" w:styleId="paragraphChar0">
    <w:name w:val="paragraph Char"/>
    <w:aliases w:val="a Char"/>
    <w:link w:val="paragraph0"/>
    <w:rsid w:val="00C3638F"/>
    <w:rPr>
      <w:rFonts w:ascii="Times New Roman" w:eastAsia="Times New Roman" w:hAnsi="Times New Roman" w:cs="Times New Roman"/>
      <w:sz w:val="24"/>
      <w:szCs w:val="24"/>
      <w:lang w:eastAsia="en-AU"/>
    </w:rPr>
  </w:style>
  <w:style w:type="paragraph" w:customStyle="1" w:styleId="Celltext">
    <w:name w:val="Cell text"/>
    <w:basedOn w:val="Normal"/>
    <w:rsid w:val="00F82EAB"/>
    <w:pPr>
      <w:spacing w:before="120"/>
    </w:pPr>
    <w:rPr>
      <w:rFonts w:eastAsia="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D9"/>
    <w:pPr>
      <w:spacing w:before="240" w:after="0" w:line="240" w:lineRule="auto"/>
    </w:pPr>
    <w:rPr>
      <w:rFonts w:ascii="Times New Roman" w:eastAsia="Calibri" w:hAnsi="Times New Roman" w:cs="Times New Roman"/>
      <w:sz w:val="24"/>
    </w:rPr>
  </w:style>
  <w:style w:type="paragraph" w:styleId="Heading1">
    <w:name w:val="heading 1"/>
    <w:aliases w:val="h1"/>
    <w:basedOn w:val="Normal"/>
    <w:next w:val="Normal"/>
    <w:link w:val="Heading1Char"/>
    <w:qFormat/>
    <w:rsid w:val="009504D9"/>
    <w:pPr>
      <w:keepNext/>
      <w:spacing w:after="60"/>
      <w:outlineLvl w:val="0"/>
    </w:pPr>
    <w:rPr>
      <w:rFonts w:eastAsia="Times New Roman"/>
      <w:b/>
      <w:bCs/>
      <w:caps/>
      <w:kern w:val="32"/>
      <w:sz w:val="32"/>
      <w:szCs w:val="32"/>
    </w:rPr>
  </w:style>
  <w:style w:type="paragraph" w:styleId="Heading2">
    <w:name w:val="heading 2"/>
    <w:aliases w:val="h2"/>
    <w:basedOn w:val="Normal"/>
    <w:next w:val="Normal"/>
    <w:link w:val="Heading2Char"/>
    <w:unhideWhenUsed/>
    <w:qFormat/>
    <w:rsid w:val="009504D9"/>
    <w:pPr>
      <w:keepNext/>
      <w:spacing w:after="200"/>
      <w:outlineLvl w:val="1"/>
    </w:pPr>
    <w:rPr>
      <w:rFonts w:eastAsia="Times New Roman"/>
      <w:b/>
      <w:bCs/>
      <w:iCs/>
      <w:caps/>
      <w:sz w:val="28"/>
      <w:szCs w:val="28"/>
    </w:rPr>
  </w:style>
  <w:style w:type="paragraph" w:styleId="Heading3">
    <w:name w:val="heading 3"/>
    <w:aliases w:val="h3"/>
    <w:basedOn w:val="Normal"/>
    <w:next w:val="Normal"/>
    <w:link w:val="Heading3Char"/>
    <w:unhideWhenUsed/>
    <w:qFormat/>
    <w:rsid w:val="009504D9"/>
    <w:pPr>
      <w:keepNext/>
      <w:spacing w:after="60"/>
      <w:outlineLvl w:val="2"/>
    </w:pPr>
    <w:rPr>
      <w:rFonts w:eastAsia="Times New Roman"/>
      <w:b/>
      <w:bCs/>
      <w:szCs w:val="26"/>
    </w:rPr>
  </w:style>
  <w:style w:type="paragraph" w:styleId="Heading4">
    <w:name w:val="heading 4"/>
    <w:aliases w:val="h4"/>
    <w:basedOn w:val="Normal"/>
    <w:next w:val="Normal"/>
    <w:link w:val="Heading4Char"/>
    <w:unhideWhenUsed/>
    <w:qFormat/>
    <w:rsid w:val="009504D9"/>
    <w:pPr>
      <w:outlineLvl w:val="3"/>
    </w:pPr>
    <w:rPr>
      <w:b/>
      <w:szCs w:val="24"/>
    </w:rPr>
  </w:style>
  <w:style w:type="paragraph" w:styleId="Heading5">
    <w:name w:val="heading 5"/>
    <w:basedOn w:val="Normal"/>
    <w:next w:val="Normal"/>
    <w:link w:val="Heading5Char"/>
    <w:unhideWhenUsed/>
    <w:qFormat/>
    <w:rsid w:val="009504D9"/>
    <w:pPr>
      <w:keepNext/>
      <w:outlineLvl w:val="4"/>
    </w:pPr>
    <w:rPr>
      <w:i/>
      <w:szCs w:val="24"/>
    </w:rPr>
  </w:style>
  <w:style w:type="paragraph" w:styleId="Heading6">
    <w:name w:val="heading 6"/>
    <w:basedOn w:val="Heading2"/>
    <w:next w:val="Paragraph"/>
    <w:link w:val="Heading6Char"/>
    <w:qFormat/>
    <w:rsid w:val="009504D9"/>
    <w:pPr>
      <w:keepLines/>
      <w:numPr>
        <w:ilvl w:val="12"/>
      </w:numPr>
      <w:spacing w:after="0"/>
      <w:outlineLvl w:val="5"/>
    </w:pPr>
    <w:rPr>
      <w:b w:val="0"/>
      <w:bCs w:val="0"/>
      <w:i/>
      <w:iCs w:val="0"/>
      <w:caps w:val="0"/>
      <w:sz w:val="24"/>
      <w:szCs w:val="20"/>
      <w:lang w:eastAsia="en-AU"/>
    </w:rPr>
  </w:style>
  <w:style w:type="paragraph" w:styleId="Heading7">
    <w:name w:val="heading 7"/>
    <w:basedOn w:val="Heading2"/>
    <w:next w:val="Paragraph"/>
    <w:link w:val="Heading7Char"/>
    <w:qFormat/>
    <w:rsid w:val="009504D9"/>
    <w:pPr>
      <w:keepLines/>
      <w:numPr>
        <w:ilvl w:val="12"/>
      </w:numPr>
      <w:spacing w:after="0"/>
      <w:outlineLvl w:val="6"/>
    </w:pPr>
    <w:rPr>
      <w:b w:val="0"/>
      <w:bCs w:val="0"/>
      <w:iCs w:val="0"/>
      <w:caps w:val="0"/>
      <w:sz w:val="24"/>
      <w:szCs w:val="20"/>
      <w:lang w:eastAsia="en-AU"/>
    </w:rPr>
  </w:style>
  <w:style w:type="paragraph" w:styleId="Heading8">
    <w:name w:val="heading 8"/>
    <w:basedOn w:val="Heading2"/>
    <w:next w:val="Paragraph"/>
    <w:link w:val="Heading8Char"/>
    <w:qFormat/>
    <w:rsid w:val="009504D9"/>
    <w:pPr>
      <w:keepLines/>
      <w:numPr>
        <w:ilvl w:val="12"/>
      </w:numPr>
      <w:spacing w:after="0"/>
      <w:outlineLvl w:val="7"/>
    </w:pPr>
    <w:rPr>
      <w:b w:val="0"/>
      <w:bCs w:val="0"/>
      <w:iCs w:val="0"/>
      <w:caps w:val="0"/>
      <w:sz w:val="24"/>
      <w:szCs w:val="20"/>
      <w:lang w:eastAsia="en-AU"/>
    </w:rPr>
  </w:style>
  <w:style w:type="paragraph" w:styleId="Heading9">
    <w:name w:val="heading 9"/>
    <w:basedOn w:val="Heading2"/>
    <w:next w:val="Paragraph"/>
    <w:link w:val="Heading9Char"/>
    <w:qFormat/>
    <w:rsid w:val="009504D9"/>
    <w:pPr>
      <w:keepLines/>
      <w:numPr>
        <w:ilvl w:val="12"/>
      </w:numPr>
      <w:spacing w:after="0"/>
      <w:outlineLvl w:val="8"/>
    </w:pPr>
    <w:rPr>
      <w:b w:val="0"/>
      <w:bCs w:val="0"/>
      <w:iCs w:val="0"/>
      <w:caps w:val="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504D9"/>
    <w:rPr>
      <w:rFonts w:ascii="Times New Roman" w:eastAsia="Times New Roman" w:hAnsi="Times New Roman" w:cs="Times New Roman"/>
      <w:b/>
      <w:bCs/>
      <w:caps/>
      <w:kern w:val="32"/>
      <w:sz w:val="32"/>
      <w:szCs w:val="32"/>
    </w:rPr>
  </w:style>
  <w:style w:type="character" w:customStyle="1" w:styleId="Heading2Char">
    <w:name w:val="Heading 2 Char"/>
    <w:aliases w:val="h2 Char"/>
    <w:basedOn w:val="DefaultParagraphFont"/>
    <w:link w:val="Heading2"/>
    <w:rsid w:val="009504D9"/>
    <w:rPr>
      <w:rFonts w:ascii="Times New Roman" w:eastAsia="Times New Roman" w:hAnsi="Times New Roman" w:cs="Times New Roman"/>
      <w:b/>
      <w:bCs/>
      <w:iCs/>
      <w:caps/>
      <w:sz w:val="28"/>
      <w:szCs w:val="28"/>
    </w:rPr>
  </w:style>
  <w:style w:type="character" w:customStyle="1" w:styleId="Heading3Char">
    <w:name w:val="Heading 3 Char"/>
    <w:aliases w:val="h3 Char"/>
    <w:basedOn w:val="DefaultParagraphFont"/>
    <w:link w:val="Heading3"/>
    <w:rsid w:val="009504D9"/>
    <w:rPr>
      <w:rFonts w:ascii="Times New Roman" w:eastAsia="Times New Roman" w:hAnsi="Times New Roman" w:cs="Times New Roman"/>
      <w:b/>
      <w:bCs/>
      <w:sz w:val="24"/>
      <w:szCs w:val="26"/>
    </w:rPr>
  </w:style>
  <w:style w:type="character" w:customStyle="1" w:styleId="Heading4Char">
    <w:name w:val="Heading 4 Char"/>
    <w:aliases w:val="h4 Char"/>
    <w:basedOn w:val="DefaultParagraphFont"/>
    <w:link w:val="Heading4"/>
    <w:rsid w:val="009504D9"/>
    <w:rPr>
      <w:rFonts w:ascii="Times New Roman" w:eastAsia="Calibri" w:hAnsi="Times New Roman" w:cs="Times New Roman"/>
      <w:b/>
      <w:sz w:val="24"/>
      <w:szCs w:val="24"/>
    </w:rPr>
  </w:style>
  <w:style w:type="character" w:customStyle="1" w:styleId="Heading5Char">
    <w:name w:val="Heading 5 Char"/>
    <w:basedOn w:val="DefaultParagraphFont"/>
    <w:link w:val="Heading5"/>
    <w:rsid w:val="009504D9"/>
    <w:rPr>
      <w:rFonts w:ascii="Times New Roman" w:eastAsia="Calibri" w:hAnsi="Times New Roman" w:cs="Times New Roman"/>
      <w:i/>
      <w:sz w:val="24"/>
      <w:szCs w:val="24"/>
    </w:rPr>
  </w:style>
  <w:style w:type="character" w:customStyle="1" w:styleId="Heading6Char">
    <w:name w:val="Heading 6 Char"/>
    <w:basedOn w:val="DefaultParagraphFont"/>
    <w:link w:val="Heading6"/>
    <w:rsid w:val="009504D9"/>
    <w:rPr>
      <w:rFonts w:ascii="Times New Roman" w:eastAsia="Times New Roman" w:hAnsi="Times New Roman" w:cs="Times New Roman"/>
      <w:i/>
      <w:sz w:val="24"/>
      <w:szCs w:val="20"/>
      <w:lang w:eastAsia="en-AU"/>
    </w:rPr>
  </w:style>
  <w:style w:type="character" w:customStyle="1" w:styleId="Heading7Char">
    <w:name w:val="Heading 7 Char"/>
    <w:basedOn w:val="DefaultParagraphFont"/>
    <w:link w:val="Heading7"/>
    <w:rsid w:val="009504D9"/>
    <w:rPr>
      <w:rFonts w:ascii="Times New Roman" w:eastAsia="Times New Roman" w:hAnsi="Times New Roman" w:cs="Times New Roman"/>
      <w:sz w:val="24"/>
      <w:szCs w:val="20"/>
      <w:lang w:eastAsia="en-AU"/>
    </w:rPr>
  </w:style>
  <w:style w:type="character" w:customStyle="1" w:styleId="Heading8Char">
    <w:name w:val="Heading 8 Char"/>
    <w:basedOn w:val="DefaultParagraphFont"/>
    <w:link w:val="Heading8"/>
    <w:rsid w:val="009504D9"/>
    <w:rPr>
      <w:rFonts w:ascii="Times New Roman" w:eastAsia="Times New Roman" w:hAnsi="Times New Roman" w:cs="Times New Roman"/>
      <w:sz w:val="24"/>
      <w:szCs w:val="20"/>
      <w:lang w:eastAsia="en-AU"/>
    </w:rPr>
  </w:style>
  <w:style w:type="character" w:customStyle="1" w:styleId="Heading9Char">
    <w:name w:val="Heading 9 Char"/>
    <w:basedOn w:val="DefaultParagraphFont"/>
    <w:link w:val="Heading9"/>
    <w:rsid w:val="009504D9"/>
    <w:rPr>
      <w:rFonts w:ascii="Times New Roman" w:eastAsia="Times New Roman" w:hAnsi="Times New Roman" w:cs="Times New Roman"/>
      <w:sz w:val="24"/>
      <w:szCs w:val="20"/>
      <w:lang w:eastAsia="en-AU"/>
    </w:rPr>
  </w:style>
  <w:style w:type="paragraph" w:styleId="Header">
    <w:name w:val="header"/>
    <w:basedOn w:val="Normal"/>
    <w:link w:val="HeaderChar"/>
    <w:unhideWhenUsed/>
    <w:rsid w:val="009504D9"/>
    <w:pPr>
      <w:tabs>
        <w:tab w:val="center" w:pos="4513"/>
        <w:tab w:val="right" w:pos="9026"/>
      </w:tabs>
    </w:pPr>
  </w:style>
  <w:style w:type="character" w:customStyle="1" w:styleId="HeaderChar">
    <w:name w:val="Header Char"/>
    <w:basedOn w:val="DefaultParagraphFont"/>
    <w:link w:val="Header"/>
    <w:rsid w:val="009504D9"/>
    <w:rPr>
      <w:rFonts w:ascii="Times New Roman" w:eastAsia="Calibri" w:hAnsi="Times New Roman" w:cs="Times New Roman"/>
      <w:sz w:val="24"/>
    </w:rPr>
  </w:style>
  <w:style w:type="paragraph" w:styleId="Footer">
    <w:name w:val="footer"/>
    <w:basedOn w:val="Normal"/>
    <w:link w:val="FooterChar"/>
    <w:uiPriority w:val="99"/>
    <w:unhideWhenUsed/>
    <w:rsid w:val="009504D9"/>
    <w:pPr>
      <w:tabs>
        <w:tab w:val="center" w:pos="4513"/>
        <w:tab w:val="right" w:pos="9026"/>
      </w:tabs>
    </w:pPr>
  </w:style>
  <w:style w:type="character" w:customStyle="1" w:styleId="FooterChar">
    <w:name w:val="Footer Char"/>
    <w:basedOn w:val="DefaultParagraphFont"/>
    <w:link w:val="Footer"/>
    <w:uiPriority w:val="99"/>
    <w:rsid w:val="009504D9"/>
    <w:rPr>
      <w:rFonts w:ascii="Times New Roman" w:eastAsia="Calibri" w:hAnsi="Times New Roman" w:cs="Times New Roman"/>
      <w:sz w:val="24"/>
    </w:rPr>
  </w:style>
  <w:style w:type="paragraph" w:styleId="ListParagraph">
    <w:name w:val="List Paragraph"/>
    <w:aliases w:val="NFP GP Bulleted List,List Paragraph1,Recommendation,Numbered paragraph"/>
    <w:basedOn w:val="Normal"/>
    <w:link w:val="ListParagraphChar"/>
    <w:uiPriority w:val="34"/>
    <w:qFormat/>
    <w:rsid w:val="009504D9"/>
    <w:pPr>
      <w:ind w:left="720"/>
      <w:contextualSpacing/>
    </w:pPr>
  </w:style>
  <w:style w:type="paragraph" w:customStyle="1" w:styleId="Paragraph">
    <w:name w:val="Paragraph"/>
    <w:basedOn w:val="Normal"/>
    <w:link w:val="ParagraphChar"/>
    <w:rsid w:val="009504D9"/>
    <w:pPr>
      <w:numPr>
        <w:ilvl w:val="12"/>
      </w:numPr>
    </w:pPr>
    <w:rPr>
      <w:rFonts w:eastAsia="Times New Roman"/>
      <w:szCs w:val="24"/>
      <w:lang w:eastAsia="en-AU"/>
    </w:rPr>
  </w:style>
  <w:style w:type="character" w:customStyle="1" w:styleId="ParagraphChar">
    <w:name w:val="Paragraph Char"/>
    <w:link w:val="Paragraph"/>
    <w:rsid w:val="009504D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504D9"/>
    <w:rPr>
      <w:rFonts w:ascii="Arial" w:hAnsi="Arial" w:cs="Arial"/>
      <w:sz w:val="16"/>
      <w:szCs w:val="16"/>
    </w:rPr>
  </w:style>
  <w:style w:type="character" w:customStyle="1" w:styleId="BalloonTextChar">
    <w:name w:val="Balloon Text Char"/>
    <w:basedOn w:val="DefaultParagraphFont"/>
    <w:link w:val="BalloonText"/>
    <w:uiPriority w:val="99"/>
    <w:semiHidden/>
    <w:rsid w:val="009504D9"/>
    <w:rPr>
      <w:rFonts w:ascii="Arial" w:eastAsia="Calibri" w:hAnsi="Arial" w:cs="Arial"/>
      <w:sz w:val="16"/>
      <w:szCs w:val="16"/>
    </w:rPr>
  </w:style>
  <w:style w:type="character" w:styleId="CommentReference">
    <w:name w:val="annotation reference"/>
    <w:basedOn w:val="DefaultParagraphFont"/>
    <w:uiPriority w:val="99"/>
    <w:semiHidden/>
    <w:unhideWhenUsed/>
    <w:rsid w:val="009504D9"/>
    <w:rPr>
      <w:sz w:val="16"/>
      <w:szCs w:val="16"/>
    </w:rPr>
  </w:style>
  <w:style w:type="paragraph" w:styleId="CommentText">
    <w:name w:val="annotation text"/>
    <w:basedOn w:val="Normal"/>
    <w:link w:val="CommentTextChar"/>
    <w:uiPriority w:val="99"/>
    <w:semiHidden/>
    <w:unhideWhenUsed/>
    <w:rsid w:val="009504D9"/>
    <w:rPr>
      <w:sz w:val="20"/>
      <w:szCs w:val="20"/>
    </w:rPr>
  </w:style>
  <w:style w:type="character" w:customStyle="1" w:styleId="CommentTextChar">
    <w:name w:val="Comment Text Char"/>
    <w:basedOn w:val="DefaultParagraphFont"/>
    <w:link w:val="CommentText"/>
    <w:uiPriority w:val="99"/>
    <w:semiHidden/>
    <w:rsid w:val="009504D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4D9"/>
    <w:rPr>
      <w:b/>
      <w:bCs/>
    </w:rPr>
  </w:style>
  <w:style w:type="character" w:customStyle="1" w:styleId="CommentSubjectChar">
    <w:name w:val="Comment Subject Char"/>
    <w:basedOn w:val="CommentTextChar"/>
    <w:link w:val="CommentSubject"/>
    <w:uiPriority w:val="99"/>
    <w:semiHidden/>
    <w:rsid w:val="009504D9"/>
    <w:rPr>
      <w:rFonts w:ascii="Times New Roman" w:eastAsia="Calibri" w:hAnsi="Times New Roman" w:cs="Times New Roman"/>
      <w:b/>
      <w:bCs/>
      <w:sz w:val="20"/>
      <w:szCs w:val="20"/>
    </w:rPr>
  </w:style>
  <w:style w:type="table" w:styleId="TableGrid">
    <w:name w:val="Table Grid"/>
    <w:basedOn w:val="TableNormal"/>
    <w:uiPriority w:val="59"/>
    <w:rsid w:val="00950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504D9"/>
    <w:pPr>
      <w:spacing w:after="400"/>
    </w:pPr>
    <w:rPr>
      <w:rFonts w:eastAsia="Times New Roman"/>
      <w:i/>
      <w:iCs/>
      <w:spacing w:val="13"/>
      <w:szCs w:val="24"/>
      <w:lang w:eastAsia="en-AU"/>
    </w:rPr>
  </w:style>
  <w:style w:type="character" w:customStyle="1" w:styleId="SubtitleChar">
    <w:name w:val="Subtitle Char"/>
    <w:basedOn w:val="DefaultParagraphFont"/>
    <w:link w:val="Subtitle"/>
    <w:uiPriority w:val="11"/>
    <w:rsid w:val="009504D9"/>
    <w:rPr>
      <w:rFonts w:ascii="Times New Roman" w:eastAsia="Times New Roman" w:hAnsi="Times New Roman" w:cs="Times New Roman"/>
      <w:i/>
      <w:iCs/>
      <w:spacing w:val="13"/>
      <w:sz w:val="24"/>
      <w:szCs w:val="24"/>
      <w:lang w:eastAsia="en-AU"/>
    </w:rPr>
  </w:style>
  <w:style w:type="paragraph" w:styleId="FootnoteText">
    <w:name w:val="footnote text"/>
    <w:basedOn w:val="Normal"/>
    <w:link w:val="FootnoteTextChar"/>
    <w:unhideWhenUsed/>
    <w:rsid w:val="009504D9"/>
    <w:pPr>
      <w:spacing w:before="0"/>
    </w:pPr>
    <w:rPr>
      <w:rFonts w:eastAsia="Times New Roman"/>
      <w:sz w:val="20"/>
      <w:szCs w:val="20"/>
      <w:lang w:eastAsia="en-AU"/>
    </w:rPr>
  </w:style>
  <w:style w:type="character" w:customStyle="1" w:styleId="FootnoteTextChar">
    <w:name w:val="Footnote Text Char"/>
    <w:basedOn w:val="DefaultParagraphFont"/>
    <w:link w:val="FootnoteText"/>
    <w:rsid w:val="009504D9"/>
    <w:rPr>
      <w:rFonts w:ascii="Times New Roman" w:eastAsia="Times New Roman" w:hAnsi="Times New Roman" w:cs="Times New Roman"/>
      <w:sz w:val="20"/>
      <w:szCs w:val="20"/>
      <w:lang w:eastAsia="en-AU"/>
    </w:rPr>
  </w:style>
  <w:style w:type="character" w:styleId="FootnoteReference">
    <w:name w:val="footnote reference"/>
    <w:unhideWhenUsed/>
    <w:rsid w:val="009504D9"/>
    <w:rPr>
      <w:vertAlign w:val="superscript"/>
    </w:rPr>
  </w:style>
  <w:style w:type="paragraph" w:styleId="Revision">
    <w:name w:val="Revision"/>
    <w:hidden/>
    <w:uiPriority w:val="99"/>
    <w:semiHidden/>
    <w:rsid w:val="009504D9"/>
    <w:pPr>
      <w:spacing w:after="0" w:line="240" w:lineRule="auto"/>
    </w:pPr>
    <w:rPr>
      <w:rFonts w:ascii="Cambria" w:eastAsia="Calibri" w:hAnsi="Cambria" w:cs="Times New Roman"/>
    </w:rPr>
  </w:style>
  <w:style w:type="paragraph" w:styleId="Title">
    <w:name w:val="Title"/>
    <w:basedOn w:val="Heading1"/>
    <w:next w:val="Normal"/>
    <w:link w:val="TitleChar"/>
    <w:uiPriority w:val="10"/>
    <w:qFormat/>
    <w:rsid w:val="009504D9"/>
    <w:pPr>
      <w:spacing w:after="0"/>
      <w:jc w:val="center"/>
    </w:pPr>
    <w:rPr>
      <w:b w:val="0"/>
      <w:sz w:val="24"/>
      <w:szCs w:val="24"/>
    </w:rPr>
  </w:style>
  <w:style w:type="character" w:customStyle="1" w:styleId="TitleChar">
    <w:name w:val="Title Char"/>
    <w:basedOn w:val="DefaultParagraphFont"/>
    <w:link w:val="Title"/>
    <w:uiPriority w:val="10"/>
    <w:rsid w:val="009504D9"/>
    <w:rPr>
      <w:rFonts w:ascii="Times New Roman" w:eastAsia="Times New Roman" w:hAnsi="Times New Roman" w:cs="Times New Roman"/>
      <w:bCs/>
      <w:caps/>
      <w:kern w:val="32"/>
      <w:sz w:val="24"/>
      <w:szCs w:val="24"/>
    </w:rPr>
  </w:style>
  <w:style w:type="paragraph" w:customStyle="1" w:styleId="Default">
    <w:name w:val="Default"/>
    <w:rsid w:val="009504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504D9"/>
    <w:rPr>
      <w:rFonts w:ascii="Times New Roman" w:eastAsia="Calibri" w:hAnsi="Times New Roman" w:cs="Times New Roman"/>
      <w:sz w:val="24"/>
    </w:rPr>
  </w:style>
  <w:style w:type="paragraph" w:customStyle="1" w:styleId="Bullet1">
    <w:name w:val="Bullet 1"/>
    <w:basedOn w:val="Normal"/>
    <w:rsid w:val="009504D9"/>
    <w:pPr>
      <w:numPr>
        <w:numId w:val="2"/>
      </w:numPr>
      <w:tabs>
        <w:tab w:val="clear" w:pos="425"/>
        <w:tab w:val="num" w:pos="567"/>
      </w:tabs>
      <w:spacing w:before="120"/>
      <w:ind w:left="567" w:hanging="283"/>
    </w:pPr>
    <w:rPr>
      <w:rFonts w:eastAsia="Times New Roman"/>
      <w:szCs w:val="20"/>
      <w:lang w:eastAsia="en-AU"/>
    </w:rPr>
  </w:style>
  <w:style w:type="paragraph" w:customStyle="1" w:styleId="Bullet2">
    <w:name w:val="Bullet 2"/>
    <w:basedOn w:val="Bullet1"/>
    <w:rsid w:val="009504D9"/>
    <w:pPr>
      <w:numPr>
        <w:numId w:val="3"/>
      </w:numPr>
      <w:tabs>
        <w:tab w:val="clear" w:pos="0"/>
        <w:tab w:val="left" w:pos="851"/>
      </w:tabs>
      <w:ind w:left="851"/>
    </w:pPr>
  </w:style>
  <w:style w:type="paragraph" w:customStyle="1" w:styleId="Classification">
    <w:name w:val="Classification"/>
    <w:basedOn w:val="Normal"/>
    <w:rsid w:val="009504D9"/>
    <w:pPr>
      <w:spacing w:before="60" w:after="60"/>
      <w:jc w:val="center"/>
    </w:pPr>
    <w:rPr>
      <w:rFonts w:ascii="Arial" w:eastAsia="Times New Roman" w:hAnsi="Arial"/>
      <w:b/>
      <w:caps/>
      <w:color w:val="FF0000"/>
      <w:sz w:val="28"/>
      <w:szCs w:val="20"/>
      <w:lang w:eastAsia="en-AU"/>
    </w:rPr>
  </w:style>
  <w:style w:type="character" w:styleId="PageNumber">
    <w:name w:val="page number"/>
    <w:basedOn w:val="DefaultParagraphFont"/>
    <w:rsid w:val="009504D9"/>
  </w:style>
  <w:style w:type="paragraph" w:customStyle="1" w:styleId="Quotation">
    <w:name w:val="Quotation"/>
    <w:basedOn w:val="Paragraph"/>
    <w:next w:val="Paragraph"/>
    <w:rsid w:val="009504D9"/>
    <w:pPr>
      <w:ind w:left="567" w:right="567"/>
    </w:pPr>
    <w:rPr>
      <w:rFonts w:cs="Angsana New"/>
      <w:sz w:val="22"/>
      <w:szCs w:val="20"/>
      <w:lang w:bidi="th-TH"/>
    </w:rPr>
  </w:style>
  <w:style w:type="paragraph" w:customStyle="1" w:styleId="Paragraphnumbered">
    <w:name w:val="Paragraph (numbered)"/>
    <w:basedOn w:val="Normal"/>
    <w:rsid w:val="009504D9"/>
    <w:rPr>
      <w:rFonts w:eastAsia="Times New Roman"/>
      <w:szCs w:val="20"/>
      <w:lang w:eastAsia="en-AU"/>
    </w:rPr>
  </w:style>
  <w:style w:type="paragraph" w:styleId="TOC1">
    <w:name w:val="toc 1"/>
    <w:basedOn w:val="Normal"/>
    <w:uiPriority w:val="39"/>
    <w:qFormat/>
    <w:rsid w:val="009504D9"/>
    <w:pPr>
      <w:tabs>
        <w:tab w:val="right" w:leader="dot" w:pos="9639"/>
      </w:tabs>
      <w:spacing w:before="120"/>
      <w:ind w:left="567" w:right="566" w:hanging="567"/>
    </w:pPr>
    <w:rPr>
      <w:rFonts w:eastAsia="Times New Roman"/>
      <w:b/>
      <w:szCs w:val="20"/>
      <w:lang w:eastAsia="en-AU"/>
    </w:rPr>
  </w:style>
  <w:style w:type="paragraph" w:styleId="TOC2">
    <w:name w:val="toc 2"/>
    <w:basedOn w:val="TOC1"/>
    <w:uiPriority w:val="39"/>
    <w:qFormat/>
    <w:rsid w:val="009504D9"/>
    <w:pPr>
      <w:spacing w:before="0"/>
    </w:pPr>
    <w:rPr>
      <w:b w:val="0"/>
    </w:rPr>
  </w:style>
  <w:style w:type="paragraph" w:styleId="TOC3">
    <w:name w:val="toc 3"/>
    <w:basedOn w:val="TOC2"/>
    <w:uiPriority w:val="39"/>
    <w:qFormat/>
    <w:rsid w:val="009504D9"/>
    <w:pPr>
      <w:ind w:left="1418" w:hanging="850"/>
    </w:pPr>
  </w:style>
  <w:style w:type="paragraph" w:styleId="TOC4">
    <w:name w:val="toc 4"/>
    <w:basedOn w:val="TOC2"/>
    <w:semiHidden/>
    <w:rsid w:val="009504D9"/>
    <w:pPr>
      <w:ind w:left="1985" w:hanging="1134"/>
    </w:pPr>
  </w:style>
  <w:style w:type="paragraph" w:customStyle="1" w:styleId="Bullet1continued">
    <w:name w:val="Bullet 1 (continued)"/>
    <w:basedOn w:val="Bullet1"/>
    <w:next w:val="Bullet1"/>
    <w:rsid w:val="009504D9"/>
    <w:pPr>
      <w:numPr>
        <w:numId w:val="0"/>
      </w:numPr>
      <w:ind w:left="567"/>
    </w:pPr>
  </w:style>
  <w:style w:type="paragraph" w:customStyle="1" w:styleId="Bullet2continued">
    <w:name w:val="Bullet 2 (continued)"/>
    <w:basedOn w:val="Bullet2"/>
    <w:next w:val="Bullet2"/>
    <w:rsid w:val="009504D9"/>
    <w:pPr>
      <w:numPr>
        <w:numId w:val="0"/>
      </w:numPr>
      <w:tabs>
        <w:tab w:val="clear" w:pos="851"/>
      </w:tabs>
      <w:ind w:left="851"/>
    </w:pPr>
  </w:style>
  <w:style w:type="paragraph" w:styleId="Signature">
    <w:name w:val="Signature"/>
    <w:basedOn w:val="Normal"/>
    <w:next w:val="Normal"/>
    <w:link w:val="SignatureChar"/>
    <w:rsid w:val="009504D9"/>
    <w:pPr>
      <w:keepLines/>
      <w:spacing w:before="1080"/>
    </w:pPr>
    <w:rPr>
      <w:rFonts w:eastAsia="Times New Roman"/>
      <w:szCs w:val="20"/>
      <w:lang w:eastAsia="en-AU"/>
    </w:rPr>
  </w:style>
  <w:style w:type="character" w:customStyle="1" w:styleId="SignatureChar">
    <w:name w:val="Signature Char"/>
    <w:basedOn w:val="DefaultParagraphFont"/>
    <w:link w:val="Signature"/>
    <w:rsid w:val="009504D9"/>
    <w:rPr>
      <w:rFonts w:ascii="Times New Roman" w:eastAsia="Times New Roman" w:hAnsi="Times New Roman" w:cs="Times New Roman"/>
      <w:sz w:val="24"/>
      <w:szCs w:val="20"/>
      <w:lang w:eastAsia="en-AU"/>
    </w:rPr>
  </w:style>
  <w:style w:type="paragraph" w:customStyle="1" w:styleId="Enumerate">
    <w:name w:val="Enumerate"/>
    <w:basedOn w:val="Normal"/>
    <w:rsid w:val="009504D9"/>
    <w:pPr>
      <w:spacing w:before="120"/>
      <w:ind w:left="709" w:hanging="425"/>
    </w:pPr>
    <w:rPr>
      <w:rFonts w:eastAsia="Times New Roman"/>
      <w:szCs w:val="20"/>
      <w:lang w:eastAsia="en-AU"/>
    </w:rPr>
  </w:style>
  <w:style w:type="paragraph" w:customStyle="1" w:styleId="Contactdetails">
    <w:name w:val="Contact details"/>
    <w:basedOn w:val="Normal"/>
    <w:rsid w:val="009504D9"/>
    <w:pPr>
      <w:tabs>
        <w:tab w:val="left" w:pos="1134"/>
        <w:tab w:val="left" w:pos="4536"/>
        <w:tab w:val="left" w:pos="6237"/>
      </w:tabs>
    </w:pPr>
    <w:rPr>
      <w:rFonts w:eastAsia="Times New Roman"/>
      <w:szCs w:val="20"/>
      <w:lang w:eastAsia="en-AU"/>
    </w:rPr>
  </w:style>
  <w:style w:type="paragraph" w:customStyle="1" w:styleId="Description">
    <w:name w:val="Description"/>
    <w:basedOn w:val="Normal"/>
    <w:rsid w:val="009504D9"/>
    <w:pPr>
      <w:spacing w:before="120"/>
      <w:ind w:left="2269" w:hanging="2269"/>
    </w:pPr>
    <w:rPr>
      <w:rFonts w:eastAsia="Times New Roman"/>
      <w:szCs w:val="20"/>
      <w:lang w:eastAsia="en-AU"/>
    </w:rPr>
  </w:style>
  <w:style w:type="paragraph" w:customStyle="1" w:styleId="Subject">
    <w:name w:val="Subject"/>
    <w:basedOn w:val="Normal"/>
    <w:next w:val="Paragraph"/>
    <w:rsid w:val="009504D9"/>
    <w:pPr>
      <w:keepNext/>
    </w:pPr>
    <w:rPr>
      <w:rFonts w:eastAsia="Times New Roman"/>
      <w:b/>
      <w:szCs w:val="20"/>
      <w:lang w:eastAsia="en-AU"/>
    </w:rPr>
  </w:style>
  <w:style w:type="character" w:styleId="EndnoteReference">
    <w:name w:val="endnote reference"/>
    <w:semiHidden/>
    <w:rsid w:val="009504D9"/>
    <w:rPr>
      <w:vertAlign w:val="superscript"/>
    </w:rPr>
  </w:style>
  <w:style w:type="paragraph" w:styleId="EndnoteText">
    <w:name w:val="endnote text"/>
    <w:basedOn w:val="FootnoteText"/>
    <w:link w:val="EndnoteTextChar"/>
    <w:semiHidden/>
    <w:rsid w:val="009504D9"/>
    <w:pPr>
      <w:spacing w:line="240" w:lineRule="atLeast"/>
      <w:ind w:left="284" w:hanging="284"/>
    </w:pPr>
  </w:style>
  <w:style w:type="character" w:customStyle="1" w:styleId="EndnoteTextChar">
    <w:name w:val="Endnote Text Char"/>
    <w:basedOn w:val="DefaultParagraphFont"/>
    <w:link w:val="EndnoteText"/>
    <w:semiHidden/>
    <w:rsid w:val="009504D9"/>
    <w:rPr>
      <w:rFonts w:ascii="Times New Roman" w:eastAsia="Times New Roman" w:hAnsi="Times New Roman" w:cs="Times New Roman"/>
      <w:sz w:val="20"/>
      <w:szCs w:val="20"/>
      <w:lang w:eastAsia="en-AU"/>
    </w:rPr>
  </w:style>
  <w:style w:type="character" w:styleId="Hyperlink">
    <w:name w:val="Hyperlink"/>
    <w:uiPriority w:val="99"/>
    <w:rsid w:val="009504D9"/>
    <w:rPr>
      <w:color w:val="0000FF"/>
      <w:u w:val="none"/>
    </w:rPr>
  </w:style>
  <w:style w:type="character" w:styleId="FollowedHyperlink">
    <w:name w:val="FollowedHyperlink"/>
    <w:rsid w:val="009504D9"/>
    <w:rPr>
      <w:color w:val="800080"/>
      <w:u w:val="none"/>
    </w:rPr>
  </w:style>
  <w:style w:type="paragraph" w:customStyle="1" w:styleId="Heading1nooutline">
    <w:name w:val="Heading 1 (no outline)"/>
    <w:basedOn w:val="Normal"/>
    <w:next w:val="Paragraph"/>
    <w:rsid w:val="009504D9"/>
    <w:pPr>
      <w:keepNext/>
      <w:keepLines/>
      <w:pageBreakBefore/>
      <w:spacing w:after="360"/>
      <w:jc w:val="center"/>
    </w:pPr>
    <w:rPr>
      <w:rFonts w:eastAsia="Times New Roman"/>
      <w:b/>
      <w:smallCaps/>
      <w:sz w:val="32"/>
      <w:szCs w:val="20"/>
      <w:lang w:eastAsia="en-AU"/>
    </w:rPr>
  </w:style>
  <w:style w:type="character" w:customStyle="1" w:styleId="URI">
    <w:name w:val="URI"/>
    <w:basedOn w:val="DefaultParagraphFont"/>
    <w:rsid w:val="009504D9"/>
  </w:style>
  <w:style w:type="paragraph" w:styleId="Salutation">
    <w:name w:val="Salutation"/>
    <w:basedOn w:val="Normal"/>
    <w:next w:val="Subject"/>
    <w:link w:val="SalutationChar"/>
    <w:rsid w:val="009504D9"/>
    <w:pPr>
      <w:keepNext/>
    </w:pPr>
    <w:rPr>
      <w:rFonts w:eastAsia="Times New Roman"/>
      <w:szCs w:val="20"/>
      <w:lang w:eastAsia="en-AU"/>
    </w:rPr>
  </w:style>
  <w:style w:type="character" w:customStyle="1" w:styleId="SalutationChar">
    <w:name w:val="Salutation Char"/>
    <w:basedOn w:val="DefaultParagraphFont"/>
    <w:link w:val="Salutation"/>
    <w:rsid w:val="009504D9"/>
    <w:rPr>
      <w:rFonts w:ascii="Times New Roman" w:eastAsia="Times New Roman" w:hAnsi="Times New Roman" w:cs="Times New Roman"/>
      <w:sz w:val="24"/>
      <w:szCs w:val="20"/>
      <w:lang w:eastAsia="en-AU"/>
    </w:rPr>
  </w:style>
  <w:style w:type="paragraph" w:customStyle="1" w:styleId="Heading1numbered">
    <w:name w:val="Heading 1 (numbered)"/>
    <w:basedOn w:val="Heading1"/>
    <w:next w:val="Paragraph"/>
    <w:rsid w:val="009504D9"/>
    <w:pPr>
      <w:keepLines/>
      <w:pageBreakBefore/>
      <w:numPr>
        <w:numId w:val="4"/>
      </w:numPr>
      <w:tabs>
        <w:tab w:val="clear" w:pos="360"/>
      </w:tabs>
      <w:spacing w:before="0" w:after="360"/>
      <w:jc w:val="center"/>
    </w:pPr>
    <w:rPr>
      <w:bCs w:val="0"/>
      <w:caps w:val="0"/>
      <w:smallCaps/>
      <w:kern w:val="0"/>
      <w:szCs w:val="20"/>
      <w:lang w:eastAsia="en-AU"/>
    </w:rPr>
  </w:style>
  <w:style w:type="paragraph" w:styleId="Closing">
    <w:name w:val="Closing"/>
    <w:basedOn w:val="Normal"/>
    <w:next w:val="Signature"/>
    <w:link w:val="ClosingChar"/>
    <w:rsid w:val="009504D9"/>
    <w:pPr>
      <w:keepNext/>
      <w:keepLines/>
    </w:pPr>
    <w:rPr>
      <w:rFonts w:eastAsia="Times New Roman"/>
      <w:szCs w:val="20"/>
      <w:lang w:eastAsia="en-AU"/>
    </w:rPr>
  </w:style>
  <w:style w:type="character" w:customStyle="1" w:styleId="ClosingChar">
    <w:name w:val="Closing Char"/>
    <w:basedOn w:val="DefaultParagraphFont"/>
    <w:link w:val="Closing"/>
    <w:rsid w:val="009504D9"/>
    <w:rPr>
      <w:rFonts w:ascii="Times New Roman" w:eastAsia="Times New Roman" w:hAnsi="Times New Roman" w:cs="Times New Roman"/>
      <w:sz w:val="24"/>
      <w:szCs w:val="20"/>
      <w:lang w:eastAsia="en-AU"/>
    </w:rPr>
  </w:style>
  <w:style w:type="paragraph" w:customStyle="1" w:styleId="Heading2numbered">
    <w:name w:val="Heading 2 (numbered)"/>
    <w:basedOn w:val="Heading2"/>
    <w:next w:val="Paragraph"/>
    <w:rsid w:val="009504D9"/>
    <w:pPr>
      <w:keepLines/>
      <w:numPr>
        <w:ilvl w:val="1"/>
        <w:numId w:val="4"/>
      </w:numPr>
      <w:tabs>
        <w:tab w:val="clear" w:pos="720"/>
        <w:tab w:val="left" w:pos="851"/>
      </w:tabs>
      <w:spacing w:before="480" w:after="0"/>
      <w:ind w:left="851" w:hanging="851"/>
    </w:pPr>
    <w:rPr>
      <w:bCs w:val="0"/>
      <w:i/>
      <w:iCs w:val="0"/>
      <w:caps w:val="0"/>
      <w:sz w:val="24"/>
      <w:szCs w:val="20"/>
      <w:lang w:eastAsia="en-AU"/>
    </w:rPr>
  </w:style>
  <w:style w:type="paragraph" w:customStyle="1" w:styleId="Heading3numbered">
    <w:name w:val="Heading 3 (numbered)"/>
    <w:basedOn w:val="Heading3"/>
    <w:next w:val="Paragraph"/>
    <w:rsid w:val="009504D9"/>
    <w:pPr>
      <w:keepLines/>
      <w:numPr>
        <w:ilvl w:val="2"/>
        <w:numId w:val="4"/>
      </w:numPr>
      <w:tabs>
        <w:tab w:val="clear" w:pos="720"/>
        <w:tab w:val="left" w:pos="1134"/>
      </w:tabs>
      <w:spacing w:before="360" w:after="0"/>
      <w:ind w:left="1134" w:hanging="1134"/>
    </w:pPr>
    <w:rPr>
      <w:b w:val="0"/>
      <w:bCs w:val="0"/>
      <w:i/>
      <w:szCs w:val="20"/>
      <w:lang w:eastAsia="en-AU"/>
    </w:rPr>
  </w:style>
  <w:style w:type="paragraph" w:customStyle="1" w:styleId="Heading4numbered">
    <w:name w:val="Heading 4 (numbered)"/>
    <w:basedOn w:val="Heading4"/>
    <w:next w:val="Paragraph"/>
    <w:rsid w:val="009504D9"/>
    <w:pPr>
      <w:keepNext/>
      <w:keepLines/>
      <w:numPr>
        <w:ilvl w:val="3"/>
        <w:numId w:val="4"/>
      </w:numPr>
      <w:tabs>
        <w:tab w:val="clear" w:pos="1080"/>
        <w:tab w:val="left" w:pos="1134"/>
      </w:tabs>
      <w:ind w:left="1134" w:hanging="1134"/>
    </w:pPr>
    <w:rPr>
      <w:rFonts w:eastAsia="Times New Roman"/>
      <w:b w:val="0"/>
      <w:szCs w:val="20"/>
      <w:lang w:eastAsia="en-AU"/>
    </w:rPr>
  </w:style>
  <w:style w:type="character" w:styleId="LineNumber">
    <w:name w:val="line number"/>
    <w:rsid w:val="009504D9"/>
    <w:rPr>
      <w:rFonts w:ascii="Arial" w:hAnsi="Arial"/>
      <w:sz w:val="16"/>
    </w:rPr>
  </w:style>
  <w:style w:type="paragraph" w:customStyle="1" w:styleId="Bullet3">
    <w:name w:val="Bullet 3"/>
    <w:basedOn w:val="Bullet1"/>
    <w:rsid w:val="009504D9"/>
    <w:pPr>
      <w:numPr>
        <w:numId w:val="5"/>
      </w:numPr>
      <w:tabs>
        <w:tab w:val="clear" w:pos="425"/>
        <w:tab w:val="num" w:pos="1134"/>
      </w:tabs>
      <w:ind w:left="1134" w:hanging="283"/>
    </w:pPr>
  </w:style>
  <w:style w:type="paragraph" w:customStyle="1" w:styleId="Bullet3continued">
    <w:name w:val="Bullet 3 (continued)"/>
    <w:basedOn w:val="Bullet3"/>
    <w:next w:val="Bullet3"/>
    <w:rsid w:val="009504D9"/>
    <w:pPr>
      <w:numPr>
        <w:numId w:val="0"/>
      </w:numPr>
      <w:ind w:left="1134"/>
    </w:pPr>
  </w:style>
  <w:style w:type="paragraph" w:customStyle="1" w:styleId="Checklist">
    <w:name w:val="Checklist"/>
    <w:basedOn w:val="Normal"/>
    <w:rsid w:val="009504D9"/>
    <w:pPr>
      <w:numPr>
        <w:numId w:val="6"/>
      </w:numPr>
      <w:tabs>
        <w:tab w:val="clear" w:pos="425"/>
        <w:tab w:val="num" w:pos="567"/>
      </w:tabs>
      <w:spacing w:before="120"/>
      <w:ind w:left="567" w:hanging="329"/>
    </w:pPr>
    <w:rPr>
      <w:rFonts w:eastAsia="Times New Roman"/>
      <w:szCs w:val="20"/>
      <w:lang w:eastAsia="en-AU"/>
    </w:rPr>
  </w:style>
  <w:style w:type="paragraph" w:customStyle="1" w:styleId="subsection">
    <w:name w:val="subsection"/>
    <w:basedOn w:val="Normal"/>
    <w:rsid w:val="009504D9"/>
    <w:pPr>
      <w:spacing w:before="100" w:beforeAutospacing="1" w:after="100" w:afterAutospacing="1"/>
    </w:pPr>
    <w:rPr>
      <w:rFonts w:eastAsia="Times New Roman"/>
      <w:szCs w:val="24"/>
      <w:lang w:eastAsia="en-AU"/>
    </w:rPr>
  </w:style>
  <w:style w:type="paragraph" w:customStyle="1" w:styleId="paragraph0">
    <w:name w:val="paragraph"/>
    <w:aliases w:val="a"/>
    <w:basedOn w:val="Normal"/>
    <w:link w:val="paragraphChar0"/>
    <w:rsid w:val="009504D9"/>
    <w:pPr>
      <w:spacing w:before="100" w:beforeAutospacing="1" w:after="100" w:afterAutospacing="1"/>
    </w:pPr>
    <w:rPr>
      <w:rFonts w:eastAsia="Times New Roman"/>
      <w:szCs w:val="24"/>
      <w:lang w:eastAsia="en-AU"/>
    </w:rPr>
  </w:style>
  <w:style w:type="paragraph" w:customStyle="1" w:styleId="paragraphsub">
    <w:name w:val="paragraphsub"/>
    <w:basedOn w:val="Normal"/>
    <w:rsid w:val="009504D9"/>
    <w:pPr>
      <w:spacing w:before="100" w:beforeAutospacing="1" w:after="100" w:afterAutospacing="1"/>
    </w:pPr>
    <w:rPr>
      <w:rFonts w:eastAsia="Times New Roman"/>
      <w:szCs w:val="24"/>
      <w:lang w:eastAsia="en-AU"/>
    </w:rPr>
  </w:style>
  <w:style w:type="paragraph" w:styleId="TOCHeading">
    <w:name w:val="TOC Heading"/>
    <w:basedOn w:val="Heading1"/>
    <w:next w:val="Normal"/>
    <w:uiPriority w:val="39"/>
    <w:semiHidden/>
    <w:unhideWhenUsed/>
    <w:qFormat/>
    <w:rsid w:val="009504D9"/>
    <w:pPr>
      <w:keepLines/>
      <w:spacing w:before="480" w:after="0"/>
      <w:outlineLvl w:val="9"/>
    </w:pPr>
    <w:rPr>
      <w:rFonts w:ascii="Cambria" w:eastAsia="MS Gothic" w:hAnsi="Cambria"/>
      <w:caps w:val="0"/>
      <w:color w:val="365F91"/>
      <w:kern w:val="0"/>
      <w:sz w:val="28"/>
      <w:szCs w:val="28"/>
      <w:lang w:val="en-US" w:eastAsia="ja-JP"/>
    </w:rPr>
  </w:style>
  <w:style w:type="paragraph" w:styleId="PlainText">
    <w:name w:val="Plain Text"/>
    <w:basedOn w:val="Normal"/>
    <w:link w:val="PlainTextChar"/>
    <w:uiPriority w:val="99"/>
    <w:unhideWhenUsed/>
    <w:rsid w:val="009504D9"/>
    <w:rPr>
      <w:rFonts w:ascii="Consolas" w:eastAsia="SimSun" w:hAnsi="Consolas" w:cs="Angsana New"/>
      <w:sz w:val="21"/>
      <w:szCs w:val="26"/>
      <w:lang w:eastAsia="zh-CN" w:bidi="th-TH"/>
    </w:rPr>
  </w:style>
  <w:style w:type="character" w:customStyle="1" w:styleId="PlainTextChar">
    <w:name w:val="Plain Text Char"/>
    <w:basedOn w:val="DefaultParagraphFont"/>
    <w:link w:val="PlainText"/>
    <w:uiPriority w:val="99"/>
    <w:rsid w:val="009504D9"/>
    <w:rPr>
      <w:rFonts w:ascii="Consolas" w:eastAsia="SimSun" w:hAnsi="Consolas" w:cs="Angsana New"/>
      <w:sz w:val="21"/>
      <w:szCs w:val="26"/>
      <w:lang w:eastAsia="zh-CN" w:bidi="th-TH"/>
    </w:rPr>
  </w:style>
  <w:style w:type="paragraph" w:customStyle="1" w:styleId="letteredparagraph">
    <w:name w:val="lettered paragraph"/>
    <w:basedOn w:val="Normal"/>
    <w:rsid w:val="009504D9"/>
    <w:pPr>
      <w:numPr>
        <w:ilvl w:val="2"/>
        <w:numId w:val="7"/>
      </w:numPr>
    </w:pPr>
    <w:rPr>
      <w:rFonts w:eastAsia="Times New Roman"/>
      <w:szCs w:val="20"/>
      <w:lang w:eastAsia="en-AU"/>
    </w:rPr>
  </w:style>
  <w:style w:type="table" w:customStyle="1" w:styleId="MediumShading1-Accent11">
    <w:name w:val="Medium Shading 1 - Accent 11"/>
    <w:basedOn w:val="TableNormal"/>
    <w:uiPriority w:val="63"/>
    <w:rsid w:val="009504D9"/>
    <w:pPr>
      <w:spacing w:after="0" w:line="240" w:lineRule="auto"/>
    </w:pPr>
    <w:rPr>
      <w:rFonts w:eastAsiaTheme="minorEastAsia" w:cs="Times New Roman"/>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customStyle="1" w:styleId="Heading10">
    <w:name w:val="Heading_1"/>
    <w:basedOn w:val="Normal"/>
    <w:uiPriority w:val="99"/>
    <w:rsid w:val="009504D9"/>
    <w:pPr>
      <w:overflowPunct w:val="0"/>
      <w:autoSpaceDE w:val="0"/>
      <w:autoSpaceDN w:val="0"/>
      <w:adjustRightInd w:val="0"/>
      <w:textAlignment w:val="baseline"/>
    </w:pPr>
    <w:rPr>
      <w:rFonts w:eastAsia="Times New Roman"/>
      <w:b/>
      <w:bCs/>
      <w:szCs w:val="24"/>
      <w:lang w:eastAsia="en-AU"/>
    </w:rPr>
  </w:style>
  <w:style w:type="paragraph" w:customStyle="1" w:styleId="Summary">
    <w:name w:val="Summary"/>
    <w:basedOn w:val="Normal"/>
    <w:link w:val="SummaryChar"/>
    <w:qFormat/>
    <w:rsid w:val="009504D9"/>
    <w:pPr>
      <w:numPr>
        <w:numId w:val="10"/>
      </w:numPr>
      <w:tabs>
        <w:tab w:val="left" w:pos="390"/>
      </w:tabs>
      <w:spacing w:before="0"/>
    </w:pPr>
    <w:rPr>
      <w:rFonts w:eastAsia="Times New Roman"/>
      <w:sz w:val="22"/>
      <w:lang w:val="en-US" w:eastAsia="en-AU"/>
    </w:rPr>
  </w:style>
  <w:style w:type="character" w:customStyle="1" w:styleId="SummaryChar">
    <w:name w:val="Summary Char"/>
    <w:basedOn w:val="DefaultParagraphFont"/>
    <w:link w:val="Summary"/>
    <w:rsid w:val="009504D9"/>
    <w:rPr>
      <w:rFonts w:ascii="Times New Roman" w:eastAsia="Times New Roman" w:hAnsi="Times New Roman" w:cs="Times New Roman"/>
      <w:lang w:val="en-US" w:eastAsia="en-AU"/>
    </w:rPr>
  </w:style>
  <w:style w:type="paragraph" w:customStyle="1" w:styleId="ParlAmend">
    <w:name w:val="ParlAmend"/>
    <w:aliases w:val="pp"/>
    <w:basedOn w:val="Normal"/>
    <w:rsid w:val="00DF4269"/>
    <w:pPr>
      <w:spacing w:line="240" w:lineRule="atLeast"/>
      <w:ind w:hanging="567"/>
    </w:pPr>
    <w:rPr>
      <w:rFonts w:eastAsia="Times New Roman"/>
      <w:szCs w:val="20"/>
      <w:lang w:eastAsia="en-AU"/>
    </w:rPr>
  </w:style>
  <w:style w:type="paragraph" w:customStyle="1" w:styleId="paragraphsub0">
    <w:name w:val="paragraph(sub)"/>
    <w:aliases w:val="aa"/>
    <w:basedOn w:val="Normal"/>
    <w:rsid w:val="00C3638F"/>
    <w:pPr>
      <w:tabs>
        <w:tab w:val="right" w:pos="1985"/>
      </w:tabs>
      <w:spacing w:before="40"/>
      <w:ind w:left="2098" w:hanging="2098"/>
    </w:pPr>
    <w:rPr>
      <w:rFonts w:eastAsia="Times New Roman"/>
      <w:sz w:val="22"/>
      <w:szCs w:val="20"/>
      <w:lang w:eastAsia="en-AU"/>
    </w:rPr>
  </w:style>
  <w:style w:type="character" w:customStyle="1" w:styleId="paragraphChar0">
    <w:name w:val="paragraph Char"/>
    <w:aliases w:val="a Char"/>
    <w:link w:val="paragraph0"/>
    <w:rsid w:val="00C3638F"/>
    <w:rPr>
      <w:rFonts w:ascii="Times New Roman" w:eastAsia="Times New Roman" w:hAnsi="Times New Roman" w:cs="Times New Roman"/>
      <w:sz w:val="24"/>
      <w:szCs w:val="24"/>
      <w:lang w:eastAsia="en-AU"/>
    </w:rPr>
  </w:style>
  <w:style w:type="paragraph" w:customStyle="1" w:styleId="Celltext">
    <w:name w:val="Cell text"/>
    <w:basedOn w:val="Normal"/>
    <w:rsid w:val="00F82EAB"/>
    <w:pPr>
      <w:spacing w:before="120"/>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575">
      <w:bodyDiv w:val="1"/>
      <w:marLeft w:val="0"/>
      <w:marRight w:val="0"/>
      <w:marTop w:val="0"/>
      <w:marBottom w:val="0"/>
      <w:divBdr>
        <w:top w:val="none" w:sz="0" w:space="0" w:color="auto"/>
        <w:left w:val="none" w:sz="0" w:space="0" w:color="auto"/>
        <w:bottom w:val="none" w:sz="0" w:space="0" w:color="auto"/>
        <w:right w:val="none" w:sz="0" w:space="0" w:color="auto"/>
      </w:divBdr>
      <w:divsChild>
        <w:div w:id="1026446799">
          <w:marLeft w:val="0"/>
          <w:marRight w:val="0"/>
          <w:marTop w:val="0"/>
          <w:marBottom w:val="0"/>
          <w:divBdr>
            <w:top w:val="none" w:sz="0" w:space="0" w:color="auto"/>
            <w:left w:val="none" w:sz="0" w:space="0" w:color="auto"/>
            <w:bottom w:val="none" w:sz="0" w:space="0" w:color="auto"/>
            <w:right w:val="none" w:sz="0" w:space="0" w:color="auto"/>
          </w:divBdr>
          <w:divsChild>
            <w:div w:id="182016788">
              <w:marLeft w:val="0"/>
              <w:marRight w:val="0"/>
              <w:marTop w:val="0"/>
              <w:marBottom w:val="0"/>
              <w:divBdr>
                <w:top w:val="none" w:sz="0" w:space="0" w:color="auto"/>
                <w:left w:val="none" w:sz="0" w:space="0" w:color="auto"/>
                <w:bottom w:val="none" w:sz="0" w:space="0" w:color="auto"/>
                <w:right w:val="none" w:sz="0" w:space="0" w:color="auto"/>
              </w:divBdr>
              <w:divsChild>
                <w:div w:id="1855724152">
                  <w:marLeft w:val="0"/>
                  <w:marRight w:val="0"/>
                  <w:marTop w:val="0"/>
                  <w:marBottom w:val="0"/>
                  <w:divBdr>
                    <w:top w:val="none" w:sz="0" w:space="0" w:color="auto"/>
                    <w:left w:val="none" w:sz="0" w:space="0" w:color="auto"/>
                    <w:bottom w:val="none" w:sz="0" w:space="0" w:color="auto"/>
                    <w:right w:val="none" w:sz="0" w:space="0" w:color="auto"/>
                  </w:divBdr>
                  <w:divsChild>
                    <w:div w:id="902983701">
                      <w:marLeft w:val="0"/>
                      <w:marRight w:val="0"/>
                      <w:marTop w:val="0"/>
                      <w:marBottom w:val="0"/>
                      <w:divBdr>
                        <w:top w:val="none" w:sz="0" w:space="0" w:color="auto"/>
                        <w:left w:val="none" w:sz="0" w:space="0" w:color="auto"/>
                        <w:bottom w:val="none" w:sz="0" w:space="0" w:color="auto"/>
                        <w:right w:val="none" w:sz="0" w:space="0" w:color="auto"/>
                      </w:divBdr>
                      <w:divsChild>
                        <w:div w:id="1710841620">
                          <w:marLeft w:val="0"/>
                          <w:marRight w:val="0"/>
                          <w:marTop w:val="0"/>
                          <w:marBottom w:val="0"/>
                          <w:divBdr>
                            <w:top w:val="single" w:sz="6" w:space="0" w:color="828282"/>
                            <w:left w:val="single" w:sz="6" w:space="0" w:color="828282"/>
                            <w:bottom w:val="single" w:sz="6" w:space="0" w:color="828282"/>
                            <w:right w:val="single" w:sz="6" w:space="0" w:color="828282"/>
                          </w:divBdr>
                          <w:divsChild>
                            <w:div w:id="220478821">
                              <w:marLeft w:val="0"/>
                              <w:marRight w:val="0"/>
                              <w:marTop w:val="0"/>
                              <w:marBottom w:val="0"/>
                              <w:divBdr>
                                <w:top w:val="none" w:sz="0" w:space="0" w:color="auto"/>
                                <w:left w:val="none" w:sz="0" w:space="0" w:color="auto"/>
                                <w:bottom w:val="none" w:sz="0" w:space="0" w:color="auto"/>
                                <w:right w:val="none" w:sz="0" w:space="0" w:color="auto"/>
                              </w:divBdr>
                              <w:divsChild>
                                <w:div w:id="886836452">
                                  <w:marLeft w:val="0"/>
                                  <w:marRight w:val="0"/>
                                  <w:marTop w:val="0"/>
                                  <w:marBottom w:val="0"/>
                                  <w:divBdr>
                                    <w:top w:val="none" w:sz="0" w:space="0" w:color="auto"/>
                                    <w:left w:val="none" w:sz="0" w:space="0" w:color="auto"/>
                                    <w:bottom w:val="none" w:sz="0" w:space="0" w:color="auto"/>
                                    <w:right w:val="none" w:sz="0" w:space="0" w:color="auto"/>
                                  </w:divBdr>
                                  <w:divsChild>
                                    <w:div w:id="3435501">
                                      <w:marLeft w:val="0"/>
                                      <w:marRight w:val="0"/>
                                      <w:marTop w:val="0"/>
                                      <w:marBottom w:val="0"/>
                                      <w:divBdr>
                                        <w:top w:val="none" w:sz="0" w:space="0" w:color="auto"/>
                                        <w:left w:val="none" w:sz="0" w:space="0" w:color="auto"/>
                                        <w:bottom w:val="none" w:sz="0" w:space="0" w:color="auto"/>
                                        <w:right w:val="none" w:sz="0" w:space="0" w:color="auto"/>
                                      </w:divBdr>
                                      <w:divsChild>
                                        <w:div w:id="91515067">
                                          <w:marLeft w:val="0"/>
                                          <w:marRight w:val="0"/>
                                          <w:marTop w:val="0"/>
                                          <w:marBottom w:val="0"/>
                                          <w:divBdr>
                                            <w:top w:val="none" w:sz="0" w:space="0" w:color="auto"/>
                                            <w:left w:val="none" w:sz="0" w:space="0" w:color="auto"/>
                                            <w:bottom w:val="none" w:sz="0" w:space="0" w:color="auto"/>
                                            <w:right w:val="none" w:sz="0" w:space="0" w:color="auto"/>
                                          </w:divBdr>
                                          <w:divsChild>
                                            <w:div w:id="279799268">
                                              <w:marLeft w:val="0"/>
                                              <w:marRight w:val="0"/>
                                              <w:marTop w:val="0"/>
                                              <w:marBottom w:val="0"/>
                                              <w:divBdr>
                                                <w:top w:val="none" w:sz="0" w:space="0" w:color="auto"/>
                                                <w:left w:val="none" w:sz="0" w:space="0" w:color="auto"/>
                                                <w:bottom w:val="none" w:sz="0" w:space="0" w:color="auto"/>
                                                <w:right w:val="none" w:sz="0" w:space="0" w:color="auto"/>
                                              </w:divBdr>
                                              <w:divsChild>
                                                <w:div w:id="221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60461">
      <w:bodyDiv w:val="1"/>
      <w:marLeft w:val="0"/>
      <w:marRight w:val="0"/>
      <w:marTop w:val="0"/>
      <w:marBottom w:val="0"/>
      <w:divBdr>
        <w:top w:val="none" w:sz="0" w:space="0" w:color="auto"/>
        <w:left w:val="none" w:sz="0" w:space="0" w:color="auto"/>
        <w:bottom w:val="none" w:sz="0" w:space="0" w:color="auto"/>
        <w:right w:val="none" w:sz="0" w:space="0" w:color="auto"/>
      </w:divBdr>
    </w:div>
    <w:div w:id="319650526">
      <w:bodyDiv w:val="1"/>
      <w:marLeft w:val="0"/>
      <w:marRight w:val="0"/>
      <w:marTop w:val="0"/>
      <w:marBottom w:val="0"/>
      <w:divBdr>
        <w:top w:val="none" w:sz="0" w:space="0" w:color="auto"/>
        <w:left w:val="none" w:sz="0" w:space="0" w:color="auto"/>
        <w:bottom w:val="none" w:sz="0" w:space="0" w:color="auto"/>
        <w:right w:val="none" w:sz="0" w:space="0" w:color="auto"/>
      </w:divBdr>
    </w:div>
    <w:div w:id="349569637">
      <w:bodyDiv w:val="1"/>
      <w:marLeft w:val="0"/>
      <w:marRight w:val="0"/>
      <w:marTop w:val="0"/>
      <w:marBottom w:val="0"/>
      <w:divBdr>
        <w:top w:val="none" w:sz="0" w:space="0" w:color="auto"/>
        <w:left w:val="none" w:sz="0" w:space="0" w:color="auto"/>
        <w:bottom w:val="none" w:sz="0" w:space="0" w:color="auto"/>
        <w:right w:val="none" w:sz="0" w:space="0" w:color="auto"/>
      </w:divBdr>
    </w:div>
    <w:div w:id="580793505">
      <w:bodyDiv w:val="1"/>
      <w:marLeft w:val="0"/>
      <w:marRight w:val="0"/>
      <w:marTop w:val="0"/>
      <w:marBottom w:val="0"/>
      <w:divBdr>
        <w:top w:val="none" w:sz="0" w:space="0" w:color="auto"/>
        <w:left w:val="none" w:sz="0" w:space="0" w:color="auto"/>
        <w:bottom w:val="none" w:sz="0" w:space="0" w:color="auto"/>
        <w:right w:val="none" w:sz="0" w:space="0" w:color="auto"/>
      </w:divBdr>
    </w:div>
    <w:div w:id="704402103">
      <w:bodyDiv w:val="1"/>
      <w:marLeft w:val="0"/>
      <w:marRight w:val="0"/>
      <w:marTop w:val="0"/>
      <w:marBottom w:val="0"/>
      <w:divBdr>
        <w:top w:val="none" w:sz="0" w:space="0" w:color="auto"/>
        <w:left w:val="none" w:sz="0" w:space="0" w:color="auto"/>
        <w:bottom w:val="none" w:sz="0" w:space="0" w:color="auto"/>
        <w:right w:val="none" w:sz="0" w:space="0" w:color="auto"/>
      </w:divBdr>
    </w:div>
    <w:div w:id="737173404">
      <w:bodyDiv w:val="1"/>
      <w:marLeft w:val="0"/>
      <w:marRight w:val="0"/>
      <w:marTop w:val="0"/>
      <w:marBottom w:val="0"/>
      <w:divBdr>
        <w:top w:val="none" w:sz="0" w:space="0" w:color="auto"/>
        <w:left w:val="none" w:sz="0" w:space="0" w:color="auto"/>
        <w:bottom w:val="none" w:sz="0" w:space="0" w:color="auto"/>
        <w:right w:val="none" w:sz="0" w:space="0" w:color="auto"/>
      </w:divBdr>
    </w:div>
    <w:div w:id="853032214">
      <w:bodyDiv w:val="1"/>
      <w:marLeft w:val="0"/>
      <w:marRight w:val="0"/>
      <w:marTop w:val="0"/>
      <w:marBottom w:val="0"/>
      <w:divBdr>
        <w:top w:val="none" w:sz="0" w:space="0" w:color="auto"/>
        <w:left w:val="none" w:sz="0" w:space="0" w:color="auto"/>
        <w:bottom w:val="none" w:sz="0" w:space="0" w:color="auto"/>
        <w:right w:val="none" w:sz="0" w:space="0" w:color="auto"/>
      </w:divBdr>
    </w:div>
    <w:div w:id="1008218957">
      <w:bodyDiv w:val="1"/>
      <w:marLeft w:val="0"/>
      <w:marRight w:val="0"/>
      <w:marTop w:val="0"/>
      <w:marBottom w:val="0"/>
      <w:divBdr>
        <w:top w:val="none" w:sz="0" w:space="0" w:color="auto"/>
        <w:left w:val="none" w:sz="0" w:space="0" w:color="auto"/>
        <w:bottom w:val="none" w:sz="0" w:space="0" w:color="auto"/>
        <w:right w:val="none" w:sz="0" w:space="0" w:color="auto"/>
      </w:divBdr>
    </w:div>
    <w:div w:id="1016423491">
      <w:bodyDiv w:val="1"/>
      <w:marLeft w:val="0"/>
      <w:marRight w:val="0"/>
      <w:marTop w:val="0"/>
      <w:marBottom w:val="0"/>
      <w:divBdr>
        <w:top w:val="none" w:sz="0" w:space="0" w:color="auto"/>
        <w:left w:val="none" w:sz="0" w:space="0" w:color="auto"/>
        <w:bottom w:val="none" w:sz="0" w:space="0" w:color="auto"/>
        <w:right w:val="none" w:sz="0" w:space="0" w:color="auto"/>
      </w:divBdr>
      <w:divsChild>
        <w:div w:id="832914992">
          <w:marLeft w:val="0"/>
          <w:marRight w:val="0"/>
          <w:marTop w:val="0"/>
          <w:marBottom w:val="0"/>
          <w:divBdr>
            <w:top w:val="none" w:sz="0" w:space="0" w:color="auto"/>
            <w:left w:val="none" w:sz="0" w:space="0" w:color="auto"/>
            <w:bottom w:val="none" w:sz="0" w:space="0" w:color="auto"/>
            <w:right w:val="none" w:sz="0" w:space="0" w:color="auto"/>
          </w:divBdr>
          <w:divsChild>
            <w:div w:id="908417515">
              <w:marLeft w:val="0"/>
              <w:marRight w:val="0"/>
              <w:marTop w:val="0"/>
              <w:marBottom w:val="0"/>
              <w:divBdr>
                <w:top w:val="none" w:sz="0" w:space="0" w:color="auto"/>
                <w:left w:val="none" w:sz="0" w:space="0" w:color="auto"/>
                <w:bottom w:val="none" w:sz="0" w:space="0" w:color="auto"/>
                <w:right w:val="none" w:sz="0" w:space="0" w:color="auto"/>
              </w:divBdr>
              <w:divsChild>
                <w:div w:id="1658411075">
                  <w:marLeft w:val="0"/>
                  <w:marRight w:val="0"/>
                  <w:marTop w:val="0"/>
                  <w:marBottom w:val="0"/>
                  <w:divBdr>
                    <w:top w:val="none" w:sz="0" w:space="0" w:color="auto"/>
                    <w:left w:val="none" w:sz="0" w:space="0" w:color="auto"/>
                    <w:bottom w:val="none" w:sz="0" w:space="0" w:color="auto"/>
                    <w:right w:val="none" w:sz="0" w:space="0" w:color="auto"/>
                  </w:divBdr>
                  <w:divsChild>
                    <w:div w:id="839780031">
                      <w:marLeft w:val="0"/>
                      <w:marRight w:val="0"/>
                      <w:marTop w:val="0"/>
                      <w:marBottom w:val="0"/>
                      <w:divBdr>
                        <w:top w:val="none" w:sz="0" w:space="0" w:color="auto"/>
                        <w:left w:val="none" w:sz="0" w:space="0" w:color="auto"/>
                        <w:bottom w:val="none" w:sz="0" w:space="0" w:color="auto"/>
                        <w:right w:val="none" w:sz="0" w:space="0" w:color="auto"/>
                      </w:divBdr>
                      <w:divsChild>
                        <w:div w:id="3561453">
                          <w:marLeft w:val="0"/>
                          <w:marRight w:val="0"/>
                          <w:marTop w:val="0"/>
                          <w:marBottom w:val="0"/>
                          <w:divBdr>
                            <w:top w:val="single" w:sz="6" w:space="0" w:color="828282"/>
                            <w:left w:val="single" w:sz="6" w:space="0" w:color="828282"/>
                            <w:bottom w:val="single" w:sz="6" w:space="0" w:color="828282"/>
                            <w:right w:val="single" w:sz="6" w:space="0" w:color="828282"/>
                          </w:divBdr>
                          <w:divsChild>
                            <w:div w:id="1850484528">
                              <w:marLeft w:val="0"/>
                              <w:marRight w:val="0"/>
                              <w:marTop w:val="0"/>
                              <w:marBottom w:val="0"/>
                              <w:divBdr>
                                <w:top w:val="none" w:sz="0" w:space="0" w:color="auto"/>
                                <w:left w:val="none" w:sz="0" w:space="0" w:color="auto"/>
                                <w:bottom w:val="none" w:sz="0" w:space="0" w:color="auto"/>
                                <w:right w:val="none" w:sz="0" w:space="0" w:color="auto"/>
                              </w:divBdr>
                              <w:divsChild>
                                <w:div w:id="1752584487">
                                  <w:marLeft w:val="0"/>
                                  <w:marRight w:val="0"/>
                                  <w:marTop w:val="0"/>
                                  <w:marBottom w:val="0"/>
                                  <w:divBdr>
                                    <w:top w:val="none" w:sz="0" w:space="0" w:color="auto"/>
                                    <w:left w:val="none" w:sz="0" w:space="0" w:color="auto"/>
                                    <w:bottom w:val="none" w:sz="0" w:space="0" w:color="auto"/>
                                    <w:right w:val="none" w:sz="0" w:space="0" w:color="auto"/>
                                  </w:divBdr>
                                  <w:divsChild>
                                    <w:div w:id="233124900">
                                      <w:marLeft w:val="0"/>
                                      <w:marRight w:val="0"/>
                                      <w:marTop w:val="0"/>
                                      <w:marBottom w:val="0"/>
                                      <w:divBdr>
                                        <w:top w:val="none" w:sz="0" w:space="0" w:color="auto"/>
                                        <w:left w:val="none" w:sz="0" w:space="0" w:color="auto"/>
                                        <w:bottom w:val="none" w:sz="0" w:space="0" w:color="auto"/>
                                        <w:right w:val="none" w:sz="0" w:space="0" w:color="auto"/>
                                      </w:divBdr>
                                      <w:divsChild>
                                        <w:div w:id="327636798">
                                          <w:marLeft w:val="0"/>
                                          <w:marRight w:val="0"/>
                                          <w:marTop w:val="0"/>
                                          <w:marBottom w:val="0"/>
                                          <w:divBdr>
                                            <w:top w:val="none" w:sz="0" w:space="0" w:color="auto"/>
                                            <w:left w:val="none" w:sz="0" w:space="0" w:color="auto"/>
                                            <w:bottom w:val="none" w:sz="0" w:space="0" w:color="auto"/>
                                            <w:right w:val="none" w:sz="0" w:space="0" w:color="auto"/>
                                          </w:divBdr>
                                          <w:divsChild>
                                            <w:div w:id="22749046">
                                              <w:marLeft w:val="0"/>
                                              <w:marRight w:val="0"/>
                                              <w:marTop w:val="0"/>
                                              <w:marBottom w:val="0"/>
                                              <w:divBdr>
                                                <w:top w:val="none" w:sz="0" w:space="0" w:color="auto"/>
                                                <w:left w:val="none" w:sz="0" w:space="0" w:color="auto"/>
                                                <w:bottom w:val="none" w:sz="0" w:space="0" w:color="auto"/>
                                                <w:right w:val="none" w:sz="0" w:space="0" w:color="auto"/>
                                              </w:divBdr>
                                              <w:divsChild>
                                                <w:div w:id="14144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396511">
      <w:bodyDiv w:val="1"/>
      <w:marLeft w:val="0"/>
      <w:marRight w:val="0"/>
      <w:marTop w:val="0"/>
      <w:marBottom w:val="0"/>
      <w:divBdr>
        <w:top w:val="none" w:sz="0" w:space="0" w:color="auto"/>
        <w:left w:val="none" w:sz="0" w:space="0" w:color="auto"/>
        <w:bottom w:val="none" w:sz="0" w:space="0" w:color="auto"/>
        <w:right w:val="none" w:sz="0" w:space="0" w:color="auto"/>
      </w:divBdr>
    </w:div>
    <w:div w:id="1068266961">
      <w:bodyDiv w:val="1"/>
      <w:marLeft w:val="0"/>
      <w:marRight w:val="0"/>
      <w:marTop w:val="0"/>
      <w:marBottom w:val="0"/>
      <w:divBdr>
        <w:top w:val="none" w:sz="0" w:space="0" w:color="auto"/>
        <w:left w:val="none" w:sz="0" w:space="0" w:color="auto"/>
        <w:bottom w:val="none" w:sz="0" w:space="0" w:color="auto"/>
        <w:right w:val="none" w:sz="0" w:space="0" w:color="auto"/>
      </w:divBdr>
    </w:div>
    <w:div w:id="1276017627">
      <w:bodyDiv w:val="1"/>
      <w:marLeft w:val="0"/>
      <w:marRight w:val="0"/>
      <w:marTop w:val="0"/>
      <w:marBottom w:val="0"/>
      <w:divBdr>
        <w:top w:val="none" w:sz="0" w:space="0" w:color="auto"/>
        <w:left w:val="none" w:sz="0" w:space="0" w:color="auto"/>
        <w:bottom w:val="none" w:sz="0" w:space="0" w:color="auto"/>
        <w:right w:val="none" w:sz="0" w:space="0" w:color="auto"/>
      </w:divBdr>
    </w:div>
    <w:div w:id="1577058811">
      <w:bodyDiv w:val="1"/>
      <w:marLeft w:val="0"/>
      <w:marRight w:val="0"/>
      <w:marTop w:val="0"/>
      <w:marBottom w:val="0"/>
      <w:divBdr>
        <w:top w:val="none" w:sz="0" w:space="0" w:color="auto"/>
        <w:left w:val="none" w:sz="0" w:space="0" w:color="auto"/>
        <w:bottom w:val="none" w:sz="0" w:space="0" w:color="auto"/>
        <w:right w:val="none" w:sz="0" w:space="0" w:color="auto"/>
      </w:divBdr>
    </w:div>
    <w:div w:id="1746100952">
      <w:bodyDiv w:val="1"/>
      <w:marLeft w:val="0"/>
      <w:marRight w:val="0"/>
      <w:marTop w:val="0"/>
      <w:marBottom w:val="0"/>
      <w:divBdr>
        <w:top w:val="none" w:sz="0" w:space="0" w:color="auto"/>
        <w:left w:val="none" w:sz="0" w:space="0" w:color="auto"/>
        <w:bottom w:val="none" w:sz="0" w:space="0" w:color="auto"/>
        <w:right w:val="none" w:sz="0" w:space="0" w:color="auto"/>
      </w:divBdr>
    </w:div>
    <w:div w:id="18206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D8A5-35E2-4B22-AC0A-521E5053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12076</Words>
  <Characters>60262</Characters>
  <Application>Microsoft Office Word</Application>
  <DocSecurity>4</DocSecurity>
  <Lines>1628</Lines>
  <Paragraphs>927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rosalm</dc:creator>
  <cp:lastModifiedBy>Luke Robert</cp:lastModifiedBy>
  <cp:revision>2</cp:revision>
  <cp:lastPrinted>2015-06-15T07:13:00Z</cp:lastPrinted>
  <dcterms:created xsi:type="dcterms:W3CDTF">2015-06-25T04:15:00Z</dcterms:created>
  <dcterms:modified xsi:type="dcterms:W3CDTF">2015-06-25T04:15:00Z</dcterms:modified>
</cp:coreProperties>
</file>