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B6" w:rsidRDefault="00116DB6">
      <w:pPr>
        <w:pStyle w:val="numberpara"/>
        <w:tabs>
          <w:tab w:val="clear" w:pos="567"/>
        </w:tabs>
        <w:spacing w:before="0" w:line="240" w:lineRule="auto"/>
      </w:pPr>
      <w:bookmarkStart w:id="0" w:name="_GoBack"/>
      <w:bookmarkEnd w:id="0"/>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pPr>
    </w:p>
    <w:p w:rsidR="00241214" w:rsidRDefault="00241214">
      <w:pPr>
        <w:pStyle w:val="numberpara"/>
        <w:tabs>
          <w:tab w:val="clear" w:pos="567"/>
        </w:tabs>
        <w:spacing w:before="0" w:line="240" w:lineRule="auto"/>
        <w:jc w:val="center"/>
      </w:pPr>
    </w:p>
    <w:p w:rsidR="00241214" w:rsidRDefault="00241214">
      <w:pPr>
        <w:pStyle w:val="numberpara"/>
        <w:tabs>
          <w:tab w:val="clear" w:pos="567"/>
        </w:tabs>
        <w:spacing w:before="0" w:line="240" w:lineRule="auto"/>
        <w:jc w:val="center"/>
      </w:pPr>
    </w:p>
    <w:p w:rsidR="00116DB6" w:rsidRDefault="00C231D3">
      <w:pPr>
        <w:pStyle w:val="numberpara"/>
        <w:tabs>
          <w:tab w:val="clear" w:pos="567"/>
        </w:tabs>
        <w:spacing w:before="0" w:line="240" w:lineRule="auto"/>
        <w:jc w:val="center"/>
      </w:pPr>
      <w:r>
        <w:t xml:space="preserve">2013 - 2014 - </w:t>
      </w:r>
      <w:r w:rsidR="00A03480">
        <w:t>2</w:t>
      </w:r>
      <w:r w:rsidR="00590BD8">
        <w:t>015</w:t>
      </w: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jc w:val="center"/>
      </w:pPr>
      <w:r>
        <w:t>THE PARLIAMENT OF THE COMMONWEALTH OF AUSTRALIA</w:t>
      </w:r>
    </w:p>
    <w:p w:rsidR="00116DB6" w:rsidRDefault="00116DB6">
      <w:pPr>
        <w:pStyle w:val="numberpara"/>
        <w:tabs>
          <w:tab w:val="clear" w:pos="567"/>
        </w:tabs>
        <w:spacing w:before="0" w:line="240" w:lineRule="auto"/>
        <w:jc w:val="center"/>
      </w:pPr>
    </w:p>
    <w:p w:rsidR="00116DB6" w:rsidRDefault="00116DB6">
      <w:pPr>
        <w:pStyle w:val="numberpara"/>
        <w:tabs>
          <w:tab w:val="clear" w:pos="567"/>
        </w:tabs>
        <w:spacing w:before="0" w:line="240" w:lineRule="auto"/>
        <w:jc w:val="center"/>
      </w:pPr>
    </w:p>
    <w:p w:rsidR="00116DB6" w:rsidRDefault="00116DB6">
      <w:pPr>
        <w:pStyle w:val="numberpara"/>
        <w:tabs>
          <w:tab w:val="clear" w:pos="567"/>
        </w:tabs>
        <w:spacing w:before="0" w:line="240" w:lineRule="auto"/>
        <w:jc w:val="center"/>
      </w:pPr>
    </w:p>
    <w:p w:rsidR="00116DB6" w:rsidRDefault="00116DB6">
      <w:pPr>
        <w:pStyle w:val="numberpara"/>
        <w:tabs>
          <w:tab w:val="clear" w:pos="567"/>
        </w:tabs>
        <w:spacing w:before="0" w:line="240" w:lineRule="auto"/>
        <w:jc w:val="center"/>
      </w:pPr>
    </w:p>
    <w:p w:rsidR="007F36AA" w:rsidRDefault="007F36AA" w:rsidP="007F36AA">
      <w:pPr>
        <w:pStyle w:val="numberpara"/>
        <w:spacing w:before="0" w:line="240" w:lineRule="auto"/>
        <w:jc w:val="center"/>
        <w:rPr>
          <w:b/>
          <w:shd w:val="clear" w:color="auto" w:fill="FFFFFF"/>
        </w:rPr>
      </w:pPr>
      <w:r>
        <w:rPr>
          <w:b/>
          <w:shd w:val="clear" w:color="auto" w:fill="FFFFFF"/>
        </w:rPr>
        <w:t>HOUSE OF REPRESENTATIVES</w:t>
      </w:r>
    </w:p>
    <w:p w:rsidR="00116DB6" w:rsidRDefault="00116DB6">
      <w:pPr>
        <w:pStyle w:val="numberpara"/>
        <w:tabs>
          <w:tab w:val="clear" w:pos="567"/>
        </w:tabs>
        <w:spacing w:before="0" w:line="240" w:lineRule="auto"/>
        <w:rPr>
          <w:b/>
          <w:shd w:val="clear" w:color="000000" w:fill="FFFFFF"/>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Pr>
        <w:pStyle w:val="numberpara"/>
        <w:tabs>
          <w:tab w:val="clear" w:pos="567"/>
        </w:tabs>
        <w:spacing w:before="0" w:line="240" w:lineRule="auto"/>
        <w:rPr>
          <w:b/>
        </w:rPr>
      </w:pPr>
    </w:p>
    <w:p w:rsidR="00116DB6" w:rsidRDefault="00116DB6"/>
    <w:p w:rsidR="00116DB6" w:rsidRDefault="00C7648B">
      <w:pPr>
        <w:pStyle w:val="legcohead3"/>
        <w:jc w:val="center"/>
        <w:rPr>
          <w:shd w:val="clear" w:color="000000" w:fill="FFFFFF"/>
        </w:rPr>
      </w:pPr>
      <w:r>
        <w:rPr>
          <w:shd w:val="clear" w:color="000000" w:fill="FFFFFF"/>
        </w:rPr>
        <w:fldChar w:fldCharType="begin">
          <w:ffData>
            <w:name w:val="Text2"/>
            <w:enabled/>
            <w:calcOnExit/>
            <w:textInput>
              <w:default w:val="AUSTRALIAN IMMUNISATION REGISTER BILL 2015"/>
            </w:textInput>
          </w:ffData>
        </w:fldChar>
      </w:r>
      <w:r>
        <w:rPr>
          <w:shd w:val="clear" w:color="000000" w:fill="FFFFFF"/>
        </w:rPr>
        <w:instrText xml:space="preserve"> </w:instrText>
      </w:r>
      <w:bookmarkStart w:id="1" w:name="Text2"/>
      <w:r>
        <w:rPr>
          <w:shd w:val="clear" w:color="000000" w:fill="FFFFFF"/>
        </w:rPr>
        <w:instrText xml:space="preserve">FORMTEXT </w:instrText>
      </w:r>
      <w:r>
        <w:rPr>
          <w:shd w:val="clear" w:color="000000" w:fill="FFFFFF"/>
        </w:rPr>
      </w:r>
      <w:r>
        <w:rPr>
          <w:shd w:val="clear" w:color="000000" w:fill="FFFFFF"/>
        </w:rPr>
        <w:fldChar w:fldCharType="separate"/>
      </w:r>
      <w:r>
        <w:rPr>
          <w:noProof/>
          <w:shd w:val="clear" w:color="000000" w:fill="FFFFFF"/>
        </w:rPr>
        <w:t>AUSTRALIAN IMMUNISATION REGISTER BILL 2015</w:t>
      </w:r>
      <w:r>
        <w:rPr>
          <w:shd w:val="clear" w:color="000000" w:fill="FFFFFF"/>
        </w:rPr>
        <w:fldChar w:fldCharType="end"/>
      </w:r>
      <w:bookmarkEnd w:id="1"/>
    </w:p>
    <w:p w:rsidR="008D04B7" w:rsidRDefault="008D04B7">
      <w:pPr>
        <w:pStyle w:val="legcohead3"/>
        <w:jc w:val="center"/>
        <w:rPr>
          <w:shd w:val="clear" w:color="000000" w:fill="FFFFFF"/>
        </w:rPr>
      </w:pPr>
    </w:p>
    <w:p w:rsidR="00116DB6" w:rsidRDefault="00116DB6">
      <w:pPr>
        <w:pStyle w:val="numberpara"/>
        <w:tabs>
          <w:tab w:val="clear" w:pos="567"/>
        </w:tabs>
        <w:spacing w:before="0" w:line="240" w:lineRule="auto"/>
      </w:pPr>
    </w:p>
    <w:p w:rsidR="008E33E4" w:rsidRDefault="008E33E4">
      <w:pPr>
        <w:pStyle w:val="numberpara"/>
        <w:tabs>
          <w:tab w:val="clear" w:pos="567"/>
        </w:tabs>
        <w:spacing w:before="0" w:line="240" w:lineRule="auto"/>
      </w:pP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pPr>
    </w:p>
    <w:p w:rsidR="00116DB6" w:rsidRDefault="00116DB6">
      <w:pPr>
        <w:pStyle w:val="numberpara"/>
        <w:tabs>
          <w:tab w:val="clear" w:pos="567"/>
        </w:tabs>
        <w:spacing w:before="0" w:line="240" w:lineRule="auto"/>
        <w:jc w:val="center"/>
      </w:pPr>
      <w:r>
        <w:t>EXPLANATORY MEMORANDUM</w:t>
      </w:r>
    </w:p>
    <w:p w:rsidR="00116DB6" w:rsidRDefault="00116DB6">
      <w:pPr>
        <w:pStyle w:val="numberpara"/>
        <w:tabs>
          <w:tab w:val="clear" w:pos="567"/>
        </w:tabs>
        <w:spacing w:before="0" w:line="240" w:lineRule="auto"/>
      </w:pPr>
    </w:p>
    <w:p w:rsidR="00116DB6" w:rsidRDefault="00116DB6"/>
    <w:p w:rsidR="00116DB6" w:rsidRDefault="00116DB6"/>
    <w:p w:rsidR="00116DB6" w:rsidRDefault="00116DB6"/>
    <w:p w:rsidR="00116DB6" w:rsidRDefault="00116DB6"/>
    <w:p w:rsidR="00116DB6" w:rsidRDefault="00116DB6"/>
    <w:p w:rsidR="00116DB6" w:rsidRDefault="00116DB6"/>
    <w:p w:rsidR="00116DB6" w:rsidRDefault="00116DB6"/>
    <w:p w:rsidR="00116DB6" w:rsidRDefault="00116DB6"/>
    <w:p w:rsidR="00116DB6" w:rsidRDefault="00116DB6"/>
    <w:p w:rsidR="00116DB6" w:rsidRDefault="00116DB6"/>
    <w:p w:rsidR="00116DB6" w:rsidRDefault="00116DB6"/>
    <w:p w:rsidR="000E1F3D" w:rsidRDefault="00116DB6">
      <w:pPr>
        <w:jc w:val="center"/>
        <w:sectPr w:rsidR="000E1F3D" w:rsidSect="00457E4A">
          <w:footerReference w:type="first" r:id="rId9"/>
          <w:pgSz w:w="11907" w:h="16840" w:code="9"/>
          <w:pgMar w:top="1440" w:right="1797" w:bottom="1440" w:left="1797" w:header="720" w:footer="720" w:gutter="0"/>
          <w:pgNumType w:start="1"/>
          <w:cols w:space="720"/>
        </w:sectPr>
      </w:pPr>
      <w:r>
        <w:t>(Circulated by authority of the</w:t>
      </w:r>
      <w:r w:rsidR="00604FA2">
        <w:t xml:space="preserve"> Minister for Health</w:t>
      </w:r>
      <w:r w:rsidR="00590BD8">
        <w:t>,</w:t>
      </w:r>
      <w:r w:rsidR="00604FA2">
        <w:t xml:space="preserve"> The Hon </w:t>
      </w:r>
      <w:proofErr w:type="spellStart"/>
      <w:r w:rsidR="00590BD8">
        <w:t>Sussan</w:t>
      </w:r>
      <w:proofErr w:type="spellEnd"/>
      <w:r w:rsidR="00590BD8">
        <w:t xml:space="preserve"> Ley</w:t>
      </w:r>
      <w:r w:rsidR="00604FA2">
        <w:t xml:space="preserve"> MP</w:t>
      </w:r>
      <w:r>
        <w:t>)</w:t>
      </w:r>
    </w:p>
    <w:p w:rsidR="007E7BE4" w:rsidRDefault="007E7BE4" w:rsidP="00457E4A">
      <w:pPr>
        <w:pStyle w:val="legcohead3"/>
        <w:jc w:val="center"/>
        <w:sectPr w:rsidR="007E7BE4" w:rsidSect="00457E4A">
          <w:footerReference w:type="default" r:id="rId10"/>
          <w:pgSz w:w="11907" w:h="16840" w:code="9"/>
          <w:pgMar w:top="1440" w:right="1797" w:bottom="1440" w:left="1797" w:header="720" w:footer="720" w:gutter="0"/>
          <w:pgNumType w:start="1"/>
          <w:cols w:space="720"/>
        </w:sectPr>
      </w:pPr>
    </w:p>
    <w:p w:rsidR="00457E4A" w:rsidRDefault="00C7648B" w:rsidP="00457E4A">
      <w:pPr>
        <w:pStyle w:val="legcohead3"/>
        <w:jc w:val="center"/>
      </w:pPr>
      <w:r>
        <w:rPr>
          <w:shd w:val="clear" w:color="000000" w:fill="FFFFFF"/>
        </w:rPr>
        <w:lastRenderedPageBreak/>
        <w:fldChar w:fldCharType="begin">
          <w:ffData>
            <w:name w:val=""/>
            <w:enabled/>
            <w:calcOnExit w:val="0"/>
            <w:textInput>
              <w:default w:val="AUSTRALIAN IMMUNISATION REGISTER BILL 2015"/>
            </w:textInput>
          </w:ffData>
        </w:fldChar>
      </w:r>
      <w:r>
        <w:rPr>
          <w:shd w:val="clear" w:color="000000" w:fill="FFFFFF"/>
        </w:rPr>
        <w:instrText xml:space="preserve"> FORMTEXT </w:instrText>
      </w:r>
      <w:r>
        <w:rPr>
          <w:shd w:val="clear" w:color="000000" w:fill="FFFFFF"/>
        </w:rPr>
      </w:r>
      <w:r>
        <w:rPr>
          <w:shd w:val="clear" w:color="000000" w:fill="FFFFFF"/>
        </w:rPr>
        <w:fldChar w:fldCharType="separate"/>
      </w:r>
      <w:r>
        <w:rPr>
          <w:noProof/>
          <w:shd w:val="clear" w:color="000000" w:fill="FFFFFF"/>
        </w:rPr>
        <w:t>AUSTRALIAN IMMUNISATION REGISTER BILL 2015</w:t>
      </w:r>
      <w:r>
        <w:rPr>
          <w:shd w:val="clear" w:color="000000" w:fill="FFFFFF"/>
        </w:rPr>
        <w:fldChar w:fldCharType="end"/>
      </w:r>
    </w:p>
    <w:p w:rsidR="00116DB6" w:rsidRDefault="00116DB6">
      <w:pPr>
        <w:jc w:val="center"/>
      </w:pPr>
    </w:p>
    <w:p w:rsidR="00457E4A" w:rsidRDefault="00457E4A" w:rsidP="00457E4A">
      <w:pPr>
        <w:rPr>
          <w:b/>
        </w:rPr>
      </w:pPr>
      <w:r>
        <w:rPr>
          <w:b/>
        </w:rPr>
        <w:t>OUTLINE</w:t>
      </w:r>
    </w:p>
    <w:p w:rsidR="00457E4A" w:rsidRDefault="00457E4A" w:rsidP="00457E4A">
      <w:pPr>
        <w:rPr>
          <w:b/>
        </w:rPr>
      </w:pPr>
    </w:p>
    <w:p w:rsidR="007B5794" w:rsidRPr="003C2028" w:rsidRDefault="007B5794" w:rsidP="007B5794">
      <w:pPr>
        <w:jc w:val="both"/>
        <w:rPr>
          <w:rFonts w:ascii="Times New Roman" w:hAnsi="Times New Roman"/>
        </w:rPr>
      </w:pPr>
      <w:r w:rsidRPr="003C2028">
        <w:rPr>
          <w:rFonts w:ascii="Times New Roman" w:hAnsi="Times New Roman"/>
          <w:szCs w:val="24"/>
        </w:rPr>
        <w:t>Th</w:t>
      </w:r>
      <w:r w:rsidR="000B0955" w:rsidRPr="003C2028">
        <w:rPr>
          <w:rFonts w:ascii="Times New Roman" w:hAnsi="Times New Roman"/>
          <w:szCs w:val="24"/>
        </w:rPr>
        <w:t xml:space="preserve">e </w:t>
      </w:r>
      <w:r w:rsidR="000B0955" w:rsidRPr="009A6298">
        <w:rPr>
          <w:rFonts w:ascii="Times New Roman" w:hAnsi="Times New Roman"/>
        </w:rPr>
        <w:t xml:space="preserve">Australian Immunisation </w:t>
      </w:r>
      <w:r w:rsidR="00C7648B" w:rsidRPr="009A6298">
        <w:rPr>
          <w:rFonts w:ascii="Times New Roman" w:hAnsi="Times New Roman"/>
        </w:rPr>
        <w:t>Register</w:t>
      </w:r>
      <w:r w:rsidR="000B0955" w:rsidRPr="009A6298">
        <w:rPr>
          <w:rFonts w:ascii="Times New Roman" w:hAnsi="Times New Roman"/>
        </w:rPr>
        <w:t xml:space="preserve"> Bill</w:t>
      </w:r>
      <w:r w:rsidR="0049135D" w:rsidRPr="009A6298">
        <w:rPr>
          <w:rFonts w:ascii="Times New Roman" w:hAnsi="Times New Roman"/>
        </w:rPr>
        <w:t xml:space="preserve"> </w:t>
      </w:r>
      <w:r w:rsidR="000B0955" w:rsidRPr="009A6298">
        <w:rPr>
          <w:rFonts w:ascii="Times New Roman" w:hAnsi="Times New Roman"/>
        </w:rPr>
        <w:t>2015</w:t>
      </w:r>
      <w:r w:rsidR="000B0955" w:rsidRPr="003C2028">
        <w:rPr>
          <w:rFonts w:ascii="Times New Roman" w:hAnsi="Times New Roman"/>
          <w:i/>
        </w:rPr>
        <w:t xml:space="preserve"> </w:t>
      </w:r>
      <w:r w:rsidR="00150288">
        <w:rPr>
          <w:rFonts w:ascii="Times New Roman" w:hAnsi="Times New Roman"/>
          <w:szCs w:val="24"/>
        </w:rPr>
        <w:t>creates</w:t>
      </w:r>
      <w:r w:rsidR="000B0955" w:rsidRPr="003C2028">
        <w:rPr>
          <w:rFonts w:ascii="Times New Roman" w:hAnsi="Times New Roman"/>
          <w:szCs w:val="24"/>
        </w:rPr>
        <w:t xml:space="preserve"> a new consolidated legislative framework </w:t>
      </w:r>
      <w:r w:rsidR="00150288">
        <w:rPr>
          <w:rFonts w:ascii="Times New Roman" w:hAnsi="Times New Roman"/>
          <w:szCs w:val="24"/>
        </w:rPr>
        <w:t xml:space="preserve">for the operation of </w:t>
      </w:r>
      <w:r w:rsidR="000B0955" w:rsidRPr="003C2028">
        <w:rPr>
          <w:rFonts w:ascii="Times New Roman" w:hAnsi="Times New Roman"/>
          <w:szCs w:val="24"/>
        </w:rPr>
        <w:t>Australian immun</w:t>
      </w:r>
      <w:r w:rsidR="00BC7035">
        <w:rPr>
          <w:rFonts w:ascii="Times New Roman" w:hAnsi="Times New Roman"/>
          <w:szCs w:val="24"/>
        </w:rPr>
        <w:t xml:space="preserve">isation registers. </w:t>
      </w:r>
      <w:r w:rsidR="000B0955" w:rsidRPr="003C2028">
        <w:rPr>
          <w:rFonts w:ascii="Times New Roman" w:hAnsi="Times New Roman"/>
          <w:szCs w:val="24"/>
        </w:rPr>
        <w:t xml:space="preserve">Consequential to the establishment of the new legislation, </w:t>
      </w:r>
      <w:r w:rsidRPr="003C2028">
        <w:rPr>
          <w:rFonts w:ascii="Times New Roman" w:hAnsi="Times New Roman"/>
        </w:rPr>
        <w:t xml:space="preserve">Part IVA of the </w:t>
      </w:r>
      <w:r w:rsidRPr="003C2028">
        <w:rPr>
          <w:rFonts w:ascii="Times New Roman" w:hAnsi="Times New Roman"/>
          <w:bCs/>
          <w:i/>
        </w:rPr>
        <w:t>Health Insurance Act 1973</w:t>
      </w:r>
      <w:r w:rsidRPr="003C2028">
        <w:rPr>
          <w:rFonts w:ascii="Times New Roman" w:hAnsi="Times New Roman"/>
          <w:bCs/>
        </w:rPr>
        <w:t xml:space="preserve"> (HIA)</w:t>
      </w:r>
      <w:r w:rsidR="000B0955" w:rsidRPr="003C2028">
        <w:rPr>
          <w:rFonts w:ascii="Times New Roman" w:hAnsi="Times New Roman"/>
          <w:bCs/>
        </w:rPr>
        <w:t xml:space="preserve"> </w:t>
      </w:r>
      <w:r w:rsidRPr="003C2028">
        <w:rPr>
          <w:rFonts w:ascii="Times New Roman" w:hAnsi="Times New Roman"/>
        </w:rPr>
        <w:t>– Australian Childhood Immunisation</w:t>
      </w:r>
      <w:r w:rsidR="00100027">
        <w:rPr>
          <w:rFonts w:ascii="Times New Roman" w:hAnsi="Times New Roman"/>
        </w:rPr>
        <w:t xml:space="preserve"> Register</w:t>
      </w:r>
      <w:r w:rsidR="002A45B1">
        <w:rPr>
          <w:rFonts w:ascii="Times New Roman" w:hAnsi="Times New Roman"/>
        </w:rPr>
        <w:t xml:space="preserve"> (ACIR)</w:t>
      </w:r>
      <w:r w:rsidR="00BC7035">
        <w:rPr>
          <w:rFonts w:ascii="Times New Roman" w:hAnsi="Times New Roman"/>
        </w:rPr>
        <w:t xml:space="preserve"> and Part </w:t>
      </w:r>
      <w:r w:rsidRPr="003C2028">
        <w:rPr>
          <w:rFonts w:ascii="Times New Roman" w:hAnsi="Times New Roman"/>
        </w:rPr>
        <w:t xml:space="preserve">9BA of the </w:t>
      </w:r>
      <w:r w:rsidRPr="003C2028">
        <w:rPr>
          <w:rFonts w:ascii="Times New Roman" w:hAnsi="Times New Roman"/>
          <w:bCs/>
          <w:i/>
        </w:rPr>
        <w:t>National Health Act 1953</w:t>
      </w:r>
      <w:r w:rsidRPr="003C2028">
        <w:rPr>
          <w:rFonts w:ascii="Times New Roman" w:hAnsi="Times New Roman"/>
          <w:bCs/>
        </w:rPr>
        <w:t xml:space="preserve"> (NHA)</w:t>
      </w:r>
      <w:r w:rsidRPr="003C2028">
        <w:rPr>
          <w:rFonts w:ascii="Times New Roman" w:hAnsi="Times New Roman"/>
        </w:rPr>
        <w:t xml:space="preserve"> – The National HPV Vaccination Program Register</w:t>
      </w:r>
      <w:r w:rsidR="002A45B1">
        <w:rPr>
          <w:rFonts w:ascii="Times New Roman" w:hAnsi="Times New Roman"/>
        </w:rPr>
        <w:t xml:space="preserve"> (HPV Register)</w:t>
      </w:r>
      <w:r w:rsidR="000B0955" w:rsidRPr="003C2028">
        <w:rPr>
          <w:rFonts w:ascii="Times New Roman" w:hAnsi="Times New Roman"/>
        </w:rPr>
        <w:t xml:space="preserve"> </w:t>
      </w:r>
      <w:r w:rsidR="000B0955" w:rsidRPr="003C2028">
        <w:rPr>
          <w:rFonts w:ascii="Times New Roman" w:hAnsi="Times New Roman"/>
          <w:bCs/>
        </w:rPr>
        <w:t>is to be repealed</w:t>
      </w:r>
      <w:r w:rsidR="002A45B1">
        <w:rPr>
          <w:rFonts w:ascii="Times New Roman" w:hAnsi="Times New Roman"/>
        </w:rPr>
        <w:t xml:space="preserve">. </w:t>
      </w:r>
    </w:p>
    <w:p w:rsidR="007B5794" w:rsidRPr="003C2028" w:rsidRDefault="007B5794" w:rsidP="007B5794">
      <w:pPr>
        <w:jc w:val="both"/>
        <w:rPr>
          <w:rFonts w:ascii="Times New Roman" w:hAnsi="Times New Roman"/>
          <w:bCs/>
        </w:rPr>
      </w:pPr>
    </w:p>
    <w:p w:rsidR="008B1283" w:rsidRDefault="007B5794" w:rsidP="007B5794">
      <w:pPr>
        <w:jc w:val="both"/>
        <w:rPr>
          <w:rFonts w:ascii="Times New Roman" w:hAnsi="Times New Roman"/>
          <w:bCs/>
        </w:rPr>
      </w:pPr>
      <w:r w:rsidRPr="003C2028">
        <w:rPr>
          <w:rFonts w:ascii="Times New Roman" w:hAnsi="Times New Roman"/>
          <w:bCs/>
        </w:rPr>
        <w:t xml:space="preserve">The need for this Bill arose from </w:t>
      </w:r>
      <w:r w:rsidR="001A1241">
        <w:rPr>
          <w:rFonts w:ascii="Times New Roman" w:hAnsi="Times New Roman"/>
          <w:bCs/>
        </w:rPr>
        <w:t>a</w:t>
      </w:r>
      <w:r w:rsidR="008B1283">
        <w:rPr>
          <w:rFonts w:ascii="Times New Roman" w:hAnsi="Times New Roman"/>
          <w:bCs/>
        </w:rPr>
        <w:t xml:space="preserve"> number of </w:t>
      </w:r>
      <w:r w:rsidR="001A1241">
        <w:rPr>
          <w:rFonts w:ascii="Times New Roman" w:hAnsi="Times New Roman"/>
          <w:bCs/>
        </w:rPr>
        <w:t>announcement</w:t>
      </w:r>
      <w:r w:rsidR="008B1283">
        <w:rPr>
          <w:rFonts w:ascii="Times New Roman" w:hAnsi="Times New Roman"/>
          <w:bCs/>
        </w:rPr>
        <w:t>s</w:t>
      </w:r>
      <w:r w:rsidR="001A1241">
        <w:rPr>
          <w:rFonts w:ascii="Times New Roman" w:hAnsi="Times New Roman"/>
          <w:bCs/>
        </w:rPr>
        <w:t xml:space="preserve"> </w:t>
      </w:r>
      <w:r w:rsidR="008B1283">
        <w:rPr>
          <w:rFonts w:ascii="Times New Roman" w:hAnsi="Times New Roman"/>
          <w:bCs/>
        </w:rPr>
        <w:t xml:space="preserve">made </w:t>
      </w:r>
      <w:r w:rsidR="001A1241">
        <w:rPr>
          <w:rFonts w:ascii="Times New Roman" w:hAnsi="Times New Roman"/>
          <w:bCs/>
        </w:rPr>
        <w:t>by</w:t>
      </w:r>
      <w:r w:rsidR="008B1283">
        <w:rPr>
          <w:rFonts w:ascii="Times New Roman" w:hAnsi="Times New Roman"/>
          <w:bCs/>
        </w:rPr>
        <w:t xml:space="preserve"> the Australian</w:t>
      </w:r>
      <w:r w:rsidR="001A1241">
        <w:rPr>
          <w:rFonts w:ascii="Times New Roman" w:hAnsi="Times New Roman"/>
          <w:bCs/>
        </w:rPr>
        <w:t xml:space="preserve"> Government a</w:t>
      </w:r>
      <w:r w:rsidR="008B1283">
        <w:rPr>
          <w:rFonts w:ascii="Times New Roman" w:hAnsi="Times New Roman"/>
          <w:bCs/>
        </w:rPr>
        <w:t>s</w:t>
      </w:r>
      <w:r w:rsidR="001A1241">
        <w:rPr>
          <w:rFonts w:ascii="Times New Roman" w:hAnsi="Times New Roman"/>
          <w:bCs/>
        </w:rPr>
        <w:t xml:space="preserve"> part of </w:t>
      </w:r>
      <w:r w:rsidRPr="003C2028">
        <w:rPr>
          <w:rFonts w:ascii="Times New Roman" w:hAnsi="Times New Roman"/>
          <w:bCs/>
        </w:rPr>
        <w:t xml:space="preserve">the Federal Budget 2015-2016. </w:t>
      </w:r>
      <w:r w:rsidR="0049135D">
        <w:rPr>
          <w:rFonts w:ascii="Times New Roman" w:hAnsi="Times New Roman"/>
          <w:bCs/>
        </w:rPr>
        <w:t xml:space="preserve">Prior to 1 January 2016, the ACIR recorded vaccines given only to children aged less than seven years. </w:t>
      </w:r>
      <w:r w:rsidR="008B1283">
        <w:rPr>
          <w:rFonts w:ascii="Times New Roman" w:hAnsi="Times New Roman"/>
          <w:bCs/>
        </w:rPr>
        <w:t>Approval has been given for</w:t>
      </w:r>
      <w:r w:rsidRPr="003C2028">
        <w:rPr>
          <w:rFonts w:ascii="Times New Roman" w:hAnsi="Times New Roman"/>
          <w:bCs/>
        </w:rPr>
        <w:t xml:space="preserve"> the expansion of </w:t>
      </w:r>
      <w:r w:rsidR="00150288">
        <w:rPr>
          <w:rFonts w:ascii="Times New Roman" w:hAnsi="Times New Roman"/>
          <w:bCs/>
        </w:rPr>
        <w:t xml:space="preserve">the </w:t>
      </w:r>
      <w:r w:rsidRPr="003C2028">
        <w:rPr>
          <w:rFonts w:ascii="Times New Roman" w:hAnsi="Times New Roman"/>
          <w:bCs/>
        </w:rPr>
        <w:t xml:space="preserve">ACIR to become the </w:t>
      </w:r>
      <w:r w:rsidRPr="003C2028">
        <w:rPr>
          <w:rFonts w:ascii="Times New Roman" w:hAnsi="Times New Roman"/>
          <w:b/>
          <w:bCs/>
        </w:rPr>
        <w:t>Australian Immunisation Register (AIR)</w:t>
      </w:r>
      <w:r w:rsidRPr="003C2028">
        <w:rPr>
          <w:rFonts w:ascii="Times New Roman" w:hAnsi="Times New Roman"/>
          <w:bCs/>
        </w:rPr>
        <w:t>, which will capture all vaccines given</w:t>
      </w:r>
      <w:r w:rsidR="008B1283">
        <w:rPr>
          <w:rFonts w:ascii="Times New Roman" w:hAnsi="Times New Roman"/>
          <w:bCs/>
        </w:rPr>
        <w:t xml:space="preserve">, </w:t>
      </w:r>
      <w:r w:rsidR="008B1283" w:rsidRPr="003C2028">
        <w:rPr>
          <w:rFonts w:ascii="Times New Roman" w:hAnsi="Times New Roman"/>
          <w:bCs/>
        </w:rPr>
        <w:t>from birth to death</w:t>
      </w:r>
      <w:r w:rsidR="008B1283">
        <w:rPr>
          <w:rFonts w:ascii="Times New Roman" w:hAnsi="Times New Roman"/>
          <w:bCs/>
        </w:rPr>
        <w:t>, through</w:t>
      </w:r>
      <w:r w:rsidR="00150288">
        <w:rPr>
          <w:rFonts w:ascii="Times New Roman" w:hAnsi="Times New Roman"/>
          <w:bCs/>
        </w:rPr>
        <w:t xml:space="preserve"> General Practice and community clinics</w:t>
      </w:r>
      <w:r w:rsidRPr="003C2028">
        <w:rPr>
          <w:rFonts w:ascii="Times New Roman" w:hAnsi="Times New Roman"/>
          <w:bCs/>
        </w:rPr>
        <w:t xml:space="preserve">. </w:t>
      </w:r>
    </w:p>
    <w:p w:rsidR="008B1283" w:rsidRDefault="008B1283" w:rsidP="007B5794">
      <w:pPr>
        <w:jc w:val="both"/>
        <w:rPr>
          <w:rFonts w:ascii="Times New Roman" w:hAnsi="Times New Roman"/>
          <w:bCs/>
        </w:rPr>
      </w:pPr>
    </w:p>
    <w:p w:rsidR="008B1283" w:rsidRDefault="008B1283" w:rsidP="007B5794">
      <w:pPr>
        <w:jc w:val="both"/>
        <w:rPr>
          <w:rFonts w:ascii="Times New Roman" w:hAnsi="Times New Roman"/>
          <w:bCs/>
        </w:rPr>
      </w:pPr>
      <w:r>
        <w:rPr>
          <w:rFonts w:ascii="Times New Roman" w:hAnsi="Times New Roman"/>
          <w:bCs/>
        </w:rPr>
        <w:t xml:space="preserve">The ACIR will be expanded in two stages. From 1 January 2016, it will </w:t>
      </w:r>
      <w:r w:rsidR="002A45B1">
        <w:rPr>
          <w:rFonts w:ascii="Times New Roman" w:hAnsi="Times New Roman"/>
          <w:bCs/>
        </w:rPr>
        <w:t xml:space="preserve">be </w:t>
      </w:r>
      <w:r>
        <w:rPr>
          <w:rFonts w:ascii="Times New Roman" w:hAnsi="Times New Roman"/>
          <w:bCs/>
        </w:rPr>
        <w:t>expanded to collect and record vaccinations given to young individ</w:t>
      </w:r>
      <w:r w:rsidR="004677E5">
        <w:rPr>
          <w:rFonts w:ascii="Times New Roman" w:hAnsi="Times New Roman"/>
          <w:bCs/>
        </w:rPr>
        <w:t xml:space="preserve">uals under the age of 20 years. This is required to implement the Government’s </w:t>
      </w:r>
      <w:r w:rsidR="004677E5" w:rsidRPr="00C7648B">
        <w:rPr>
          <w:rFonts w:ascii="Times New Roman" w:hAnsi="Times New Roman"/>
          <w:bCs/>
          <w:i/>
        </w:rPr>
        <w:t>No Jab No</w:t>
      </w:r>
      <w:r w:rsidR="004677E5">
        <w:rPr>
          <w:rFonts w:ascii="Times New Roman" w:hAnsi="Times New Roman"/>
          <w:bCs/>
        </w:rPr>
        <w:t xml:space="preserve"> </w:t>
      </w:r>
      <w:r w:rsidR="004677E5" w:rsidRPr="00BD1032">
        <w:rPr>
          <w:rFonts w:ascii="Times New Roman" w:hAnsi="Times New Roman"/>
          <w:bCs/>
          <w:i/>
        </w:rPr>
        <w:t>Pay</w:t>
      </w:r>
      <w:r w:rsidR="004677E5">
        <w:rPr>
          <w:rFonts w:ascii="Times New Roman" w:hAnsi="Times New Roman"/>
          <w:bCs/>
        </w:rPr>
        <w:t xml:space="preserve"> Budget measure. From late 2016, it will be expanded further to cover all vaccinations given from birth to death. This is to accommodate the addition of zoster virus </w:t>
      </w:r>
      <w:r w:rsidR="00BD1032">
        <w:rPr>
          <w:rFonts w:ascii="Times New Roman" w:hAnsi="Times New Roman"/>
          <w:bCs/>
        </w:rPr>
        <w:t xml:space="preserve">(shingles) </w:t>
      </w:r>
      <w:r w:rsidR="004677E5">
        <w:rPr>
          <w:rFonts w:ascii="Times New Roman" w:hAnsi="Times New Roman"/>
          <w:bCs/>
        </w:rPr>
        <w:t xml:space="preserve">vaccine </w:t>
      </w:r>
      <w:r w:rsidR="00BD1032">
        <w:rPr>
          <w:rFonts w:ascii="Times New Roman" w:hAnsi="Times New Roman"/>
          <w:bCs/>
        </w:rPr>
        <w:t xml:space="preserve">(Zostavax) </w:t>
      </w:r>
      <w:r w:rsidR="004677E5">
        <w:rPr>
          <w:rFonts w:ascii="Times New Roman" w:hAnsi="Times New Roman"/>
          <w:bCs/>
        </w:rPr>
        <w:t xml:space="preserve">to the National Immunisation Program for persons aged 70 years. </w:t>
      </w:r>
      <w:r w:rsidR="001A1241">
        <w:rPr>
          <w:rFonts w:ascii="Times New Roman" w:hAnsi="Times New Roman"/>
          <w:bCs/>
        </w:rPr>
        <w:t xml:space="preserve"> </w:t>
      </w:r>
    </w:p>
    <w:p w:rsidR="008B1283" w:rsidRDefault="008B1283" w:rsidP="007B5794">
      <w:pPr>
        <w:jc w:val="both"/>
        <w:rPr>
          <w:rFonts w:ascii="Times New Roman" w:hAnsi="Times New Roman"/>
          <w:bCs/>
        </w:rPr>
      </w:pPr>
    </w:p>
    <w:p w:rsidR="007B5794" w:rsidRPr="003C2028" w:rsidRDefault="004677E5" w:rsidP="007B5794">
      <w:pPr>
        <w:jc w:val="both"/>
        <w:rPr>
          <w:rFonts w:ascii="Times New Roman" w:hAnsi="Times New Roman"/>
        </w:rPr>
      </w:pPr>
      <w:r>
        <w:rPr>
          <w:rFonts w:ascii="Times New Roman" w:hAnsi="Times New Roman"/>
          <w:bCs/>
        </w:rPr>
        <w:t xml:space="preserve">Approval was also given </w:t>
      </w:r>
      <w:r w:rsidR="00BD1032">
        <w:rPr>
          <w:rFonts w:ascii="Times New Roman" w:hAnsi="Times New Roman"/>
          <w:bCs/>
        </w:rPr>
        <w:t>through</w:t>
      </w:r>
      <w:r>
        <w:rPr>
          <w:rFonts w:ascii="Times New Roman" w:hAnsi="Times New Roman"/>
          <w:bCs/>
        </w:rPr>
        <w:t xml:space="preserve"> the </w:t>
      </w:r>
      <w:r>
        <w:rPr>
          <w:rFonts w:ascii="Times New Roman" w:hAnsi="Times New Roman"/>
          <w:bCs/>
          <w:i/>
        </w:rPr>
        <w:t xml:space="preserve">Improving Immunisation Coverage Rates </w:t>
      </w:r>
      <w:r>
        <w:rPr>
          <w:rFonts w:ascii="Times New Roman" w:hAnsi="Times New Roman"/>
          <w:bCs/>
        </w:rPr>
        <w:t xml:space="preserve">Budget measure to broaden and improve immunisation data capture to assist </w:t>
      </w:r>
      <w:r w:rsidR="00C54AFA">
        <w:rPr>
          <w:rFonts w:ascii="Times New Roman" w:hAnsi="Times New Roman"/>
          <w:bCs/>
        </w:rPr>
        <w:t>vaccination provider</w:t>
      </w:r>
      <w:r>
        <w:rPr>
          <w:rFonts w:ascii="Times New Roman" w:hAnsi="Times New Roman"/>
          <w:bCs/>
        </w:rPr>
        <w:t>s to boost coverage rates. This includes</w:t>
      </w:r>
      <w:r w:rsidR="001A1241">
        <w:rPr>
          <w:rFonts w:ascii="Times New Roman" w:hAnsi="Times New Roman"/>
          <w:bCs/>
        </w:rPr>
        <w:t xml:space="preserve"> e</w:t>
      </w:r>
      <w:r w:rsidR="007B5794" w:rsidRPr="003C2028">
        <w:rPr>
          <w:rFonts w:ascii="Times New Roman" w:hAnsi="Times New Roman"/>
          <w:bCs/>
        </w:rPr>
        <w:t>xpan</w:t>
      </w:r>
      <w:r>
        <w:rPr>
          <w:rFonts w:ascii="Times New Roman" w:hAnsi="Times New Roman"/>
          <w:bCs/>
        </w:rPr>
        <w:t>ding</w:t>
      </w:r>
      <w:r w:rsidR="007B5794" w:rsidRPr="003C2028">
        <w:rPr>
          <w:rFonts w:ascii="Times New Roman" w:hAnsi="Times New Roman"/>
          <w:bCs/>
        </w:rPr>
        <w:t xml:space="preserve"> the HPV</w:t>
      </w:r>
      <w:r w:rsidR="006A288C">
        <w:rPr>
          <w:rFonts w:ascii="Times New Roman" w:hAnsi="Times New Roman"/>
          <w:bCs/>
        </w:rPr>
        <w:t> </w:t>
      </w:r>
      <w:r w:rsidR="007B5794" w:rsidRPr="003C2028">
        <w:rPr>
          <w:rFonts w:ascii="Times New Roman" w:hAnsi="Times New Roman"/>
          <w:bCs/>
        </w:rPr>
        <w:t xml:space="preserve">Register to become the </w:t>
      </w:r>
      <w:r w:rsidR="007B5794" w:rsidRPr="003C2028">
        <w:rPr>
          <w:rFonts w:ascii="Times New Roman" w:hAnsi="Times New Roman"/>
          <w:b/>
          <w:bCs/>
        </w:rPr>
        <w:t>Australian School Vaccination Register</w:t>
      </w:r>
      <w:r w:rsidR="009A6298">
        <w:rPr>
          <w:rFonts w:ascii="Times New Roman" w:hAnsi="Times New Roman"/>
          <w:b/>
          <w:bCs/>
        </w:rPr>
        <w:t xml:space="preserve"> (ASVR)</w:t>
      </w:r>
      <w:r w:rsidR="007B5794" w:rsidRPr="003C2028">
        <w:rPr>
          <w:rFonts w:ascii="Times New Roman" w:hAnsi="Times New Roman"/>
          <w:bCs/>
        </w:rPr>
        <w:t>,</w:t>
      </w:r>
      <w:r w:rsidR="007B5794" w:rsidRPr="003C2028">
        <w:rPr>
          <w:rFonts w:ascii="Times New Roman" w:hAnsi="Times New Roman"/>
        </w:rPr>
        <w:t xml:space="preserve"> which will capture all adolescent vaccinations given through school programs</w:t>
      </w:r>
      <w:r w:rsidR="00933A78">
        <w:rPr>
          <w:rFonts w:ascii="Times New Roman" w:hAnsi="Times New Roman"/>
        </w:rPr>
        <w:t xml:space="preserve"> from</w:t>
      </w:r>
      <w:r>
        <w:rPr>
          <w:rFonts w:ascii="Times New Roman" w:hAnsi="Times New Roman"/>
        </w:rPr>
        <w:t xml:space="preserve"> </w:t>
      </w:r>
      <w:r w:rsidR="00BD1032">
        <w:rPr>
          <w:rFonts w:ascii="Times New Roman" w:hAnsi="Times New Roman"/>
        </w:rPr>
        <w:t>the start of the 2017 school year</w:t>
      </w:r>
      <w:r w:rsidR="00933A78">
        <w:rPr>
          <w:rFonts w:ascii="Times New Roman" w:hAnsi="Times New Roman"/>
        </w:rPr>
        <w:t>.</w:t>
      </w:r>
      <w:r>
        <w:rPr>
          <w:rFonts w:ascii="Times New Roman" w:hAnsi="Times New Roman"/>
        </w:rPr>
        <w:t xml:space="preserve"> The HPV Register currently only captures administration of the HPV vaccine. Other adolescent vaccinations administered through the school programs that would be captured in the ASVR include Varicella</w:t>
      </w:r>
      <w:r w:rsidR="009A6298">
        <w:rPr>
          <w:rFonts w:ascii="Times New Roman" w:hAnsi="Times New Roman"/>
        </w:rPr>
        <w:t xml:space="preserve"> (chickenp</w:t>
      </w:r>
      <w:r w:rsidR="00BD1032">
        <w:rPr>
          <w:rFonts w:ascii="Times New Roman" w:hAnsi="Times New Roman"/>
        </w:rPr>
        <w:t>ox)</w:t>
      </w:r>
      <w:r>
        <w:rPr>
          <w:rFonts w:ascii="Times New Roman" w:hAnsi="Times New Roman"/>
        </w:rPr>
        <w:t xml:space="preserve"> and the Diphtheria, Tetanus and Pertussis</w:t>
      </w:r>
      <w:r w:rsidR="009A6298">
        <w:rPr>
          <w:rFonts w:ascii="Times New Roman" w:hAnsi="Times New Roman"/>
        </w:rPr>
        <w:t xml:space="preserve"> (whooping c</w:t>
      </w:r>
      <w:r w:rsidR="00BD1032">
        <w:rPr>
          <w:rFonts w:ascii="Times New Roman" w:hAnsi="Times New Roman"/>
        </w:rPr>
        <w:t>ough)</w:t>
      </w:r>
      <w:r>
        <w:rPr>
          <w:rFonts w:ascii="Times New Roman" w:hAnsi="Times New Roman"/>
        </w:rPr>
        <w:t xml:space="preserve"> booster. </w:t>
      </w:r>
    </w:p>
    <w:p w:rsidR="007B5794" w:rsidRDefault="007B5794" w:rsidP="007B5794">
      <w:pPr>
        <w:jc w:val="both"/>
        <w:rPr>
          <w:rFonts w:ascii="Times New Roman" w:hAnsi="Times New Roman"/>
        </w:rPr>
      </w:pPr>
    </w:p>
    <w:p w:rsidR="003B3E67" w:rsidRDefault="003B3E67" w:rsidP="007B5794">
      <w:pPr>
        <w:jc w:val="both"/>
        <w:rPr>
          <w:rFonts w:ascii="Times New Roman" w:hAnsi="Times New Roman"/>
        </w:rPr>
      </w:pPr>
      <w:r>
        <w:rPr>
          <w:rFonts w:ascii="Times New Roman" w:hAnsi="Times New Roman"/>
        </w:rPr>
        <w:t>The Bill will have amendments that commence in three stages:</w:t>
      </w:r>
    </w:p>
    <w:p w:rsidR="00B34BAA" w:rsidRDefault="00B34BAA" w:rsidP="004F214B">
      <w:pPr>
        <w:rPr>
          <w:szCs w:val="24"/>
        </w:rPr>
      </w:pPr>
    </w:p>
    <w:p w:rsidR="004F214B" w:rsidRPr="00EC6585" w:rsidRDefault="004F214B" w:rsidP="004F214B">
      <w:pPr>
        <w:rPr>
          <w:szCs w:val="24"/>
        </w:rPr>
      </w:pPr>
      <w:r w:rsidRPr="004F214B">
        <w:rPr>
          <w:szCs w:val="24"/>
        </w:rPr>
        <w:t xml:space="preserve">Amendments commencing </w:t>
      </w:r>
      <w:r w:rsidR="00BC07C9">
        <w:rPr>
          <w:szCs w:val="24"/>
        </w:rPr>
        <w:t xml:space="preserve">on </w:t>
      </w:r>
      <w:r w:rsidRPr="004F214B">
        <w:rPr>
          <w:szCs w:val="24"/>
        </w:rPr>
        <w:t>1 January 2016</w:t>
      </w:r>
      <w:r w:rsidR="00BC07C9">
        <w:rPr>
          <w:szCs w:val="24"/>
        </w:rPr>
        <w:t xml:space="preserve"> include repealing Part IVA</w:t>
      </w:r>
      <w:r w:rsidR="003246D9">
        <w:rPr>
          <w:szCs w:val="24"/>
        </w:rPr>
        <w:t xml:space="preserve"> </w:t>
      </w:r>
      <w:r w:rsidR="003246D9" w:rsidRPr="00B9555D">
        <w:rPr>
          <w:rFonts w:ascii="Times New Roman" w:hAnsi="Times New Roman"/>
          <w:szCs w:val="24"/>
        </w:rPr>
        <w:t>(relatin</w:t>
      </w:r>
      <w:r w:rsidR="003246D9">
        <w:rPr>
          <w:rFonts w:ascii="Times New Roman" w:hAnsi="Times New Roman"/>
          <w:szCs w:val="24"/>
        </w:rPr>
        <w:t xml:space="preserve">g to the ACIR) and associated offence provisions </w:t>
      </w:r>
      <w:r w:rsidR="00BC07C9">
        <w:rPr>
          <w:szCs w:val="24"/>
        </w:rPr>
        <w:t xml:space="preserve">of the </w:t>
      </w:r>
      <w:r w:rsidR="00BC07C9" w:rsidRPr="008A4C16">
        <w:rPr>
          <w:rFonts w:ascii="Times New Roman" w:hAnsi="Times New Roman"/>
          <w:i/>
          <w:szCs w:val="24"/>
        </w:rPr>
        <w:t>Health Insurance Act 1973</w:t>
      </w:r>
      <w:r w:rsidR="00B34BAA">
        <w:rPr>
          <w:rFonts w:ascii="Times New Roman" w:hAnsi="Times New Roman"/>
          <w:szCs w:val="24"/>
        </w:rPr>
        <w:t>, minor amendments to the</w:t>
      </w:r>
      <w:r w:rsidR="00B34BAA" w:rsidRPr="00B34BAA">
        <w:rPr>
          <w:rFonts w:ascii="Times New Roman" w:hAnsi="Times New Roman"/>
          <w:i/>
          <w:szCs w:val="24"/>
        </w:rPr>
        <w:t xml:space="preserve"> </w:t>
      </w:r>
      <w:r w:rsidR="00B34BAA" w:rsidRPr="008A4C16">
        <w:rPr>
          <w:rFonts w:ascii="Times New Roman" w:hAnsi="Times New Roman"/>
          <w:i/>
          <w:szCs w:val="24"/>
        </w:rPr>
        <w:t>National Health Act 1953</w:t>
      </w:r>
      <w:r w:rsidR="00B34BAA">
        <w:rPr>
          <w:rFonts w:ascii="Times New Roman" w:hAnsi="Times New Roman"/>
          <w:i/>
          <w:szCs w:val="24"/>
        </w:rPr>
        <w:t xml:space="preserve"> </w:t>
      </w:r>
      <w:r w:rsidR="00B34BAA">
        <w:rPr>
          <w:rFonts w:ascii="Times New Roman" w:hAnsi="Times New Roman"/>
          <w:szCs w:val="24"/>
        </w:rPr>
        <w:t>and consequential amendment</w:t>
      </w:r>
      <w:r w:rsidR="003246D9">
        <w:rPr>
          <w:rFonts w:ascii="Times New Roman" w:hAnsi="Times New Roman"/>
          <w:szCs w:val="24"/>
        </w:rPr>
        <w:t>s</w:t>
      </w:r>
      <w:r w:rsidR="00B34BAA">
        <w:rPr>
          <w:rFonts w:ascii="Times New Roman" w:hAnsi="Times New Roman"/>
          <w:szCs w:val="24"/>
        </w:rPr>
        <w:t xml:space="preserve"> to other legislation including </w:t>
      </w:r>
      <w:r w:rsidR="00466DC6">
        <w:rPr>
          <w:rFonts w:ascii="Times New Roman" w:hAnsi="Times New Roman"/>
          <w:szCs w:val="24"/>
        </w:rPr>
        <w:t xml:space="preserve">the </w:t>
      </w:r>
      <w:r w:rsidR="00A212F6">
        <w:rPr>
          <w:i/>
        </w:rPr>
        <w:t xml:space="preserve">A New Tax System (Family Assistance) Act 1999, </w:t>
      </w:r>
      <w:r w:rsidR="00A212F6">
        <w:t>the</w:t>
      </w:r>
      <w:r w:rsidR="00A212F6">
        <w:rPr>
          <w:i/>
        </w:rPr>
        <w:t xml:space="preserve"> </w:t>
      </w:r>
      <w:r w:rsidR="00B34BAA" w:rsidRPr="000148B6">
        <w:rPr>
          <w:rFonts w:ascii="Times New Roman" w:hAnsi="Times New Roman"/>
          <w:i/>
          <w:szCs w:val="24"/>
        </w:rPr>
        <w:t>Freedom of Information Act</w:t>
      </w:r>
      <w:r w:rsidR="00B34BAA">
        <w:rPr>
          <w:rFonts w:ascii="Times New Roman" w:hAnsi="Times New Roman"/>
          <w:i/>
          <w:szCs w:val="24"/>
        </w:rPr>
        <w:t xml:space="preserve"> 1983, </w:t>
      </w:r>
      <w:r w:rsidR="00466DC6">
        <w:rPr>
          <w:rFonts w:ascii="Times New Roman" w:hAnsi="Times New Roman"/>
          <w:szCs w:val="24"/>
        </w:rPr>
        <w:t xml:space="preserve">the </w:t>
      </w:r>
      <w:r w:rsidR="00B34BAA">
        <w:rPr>
          <w:rFonts w:ascii="Times New Roman" w:hAnsi="Times New Roman"/>
          <w:i/>
          <w:szCs w:val="24"/>
        </w:rPr>
        <w:t>Healthcare Identifiers Act 2010,</w:t>
      </w:r>
      <w:r w:rsidR="00B34BAA">
        <w:rPr>
          <w:rFonts w:ascii="Times New Roman" w:hAnsi="Times New Roman"/>
          <w:szCs w:val="24"/>
        </w:rPr>
        <w:t xml:space="preserve"> </w:t>
      </w:r>
      <w:r w:rsidR="00466DC6">
        <w:rPr>
          <w:rFonts w:ascii="Times New Roman" w:hAnsi="Times New Roman"/>
          <w:szCs w:val="24"/>
        </w:rPr>
        <w:t xml:space="preserve">the </w:t>
      </w:r>
      <w:r w:rsidR="00B34BAA" w:rsidRPr="005445D0">
        <w:rPr>
          <w:rFonts w:ascii="Times New Roman" w:hAnsi="Times New Roman"/>
          <w:i/>
          <w:iCs/>
          <w:szCs w:val="24"/>
        </w:rPr>
        <w:t>Child Support (Registrat</w:t>
      </w:r>
      <w:r w:rsidR="00B34BAA">
        <w:rPr>
          <w:rFonts w:ascii="Times New Roman" w:hAnsi="Times New Roman"/>
          <w:i/>
          <w:iCs/>
          <w:szCs w:val="24"/>
        </w:rPr>
        <w:t xml:space="preserve">ion and Collection) Act 1988, </w:t>
      </w:r>
      <w:r w:rsidR="00466DC6">
        <w:rPr>
          <w:rFonts w:ascii="Times New Roman" w:hAnsi="Times New Roman"/>
          <w:iCs/>
          <w:szCs w:val="24"/>
        </w:rPr>
        <w:t xml:space="preserve">the </w:t>
      </w:r>
      <w:r w:rsidR="00BC7035">
        <w:rPr>
          <w:rFonts w:ascii="Times New Roman" w:hAnsi="Times New Roman"/>
          <w:i/>
          <w:iCs/>
          <w:szCs w:val="24"/>
        </w:rPr>
        <w:t>Human Services (Medicare) Act </w:t>
      </w:r>
      <w:r w:rsidR="00B34BAA" w:rsidRPr="005445D0">
        <w:rPr>
          <w:rFonts w:ascii="Times New Roman" w:hAnsi="Times New Roman"/>
          <w:i/>
          <w:iCs/>
          <w:szCs w:val="24"/>
        </w:rPr>
        <w:t xml:space="preserve">1973 </w:t>
      </w:r>
      <w:r w:rsidR="00B34BAA" w:rsidRPr="00466DC6">
        <w:rPr>
          <w:rFonts w:ascii="Times New Roman" w:hAnsi="Times New Roman"/>
          <w:iCs/>
          <w:szCs w:val="24"/>
        </w:rPr>
        <w:t>and</w:t>
      </w:r>
      <w:r w:rsidR="00466DC6">
        <w:rPr>
          <w:rFonts w:ascii="Times New Roman" w:hAnsi="Times New Roman"/>
          <w:iCs/>
          <w:szCs w:val="24"/>
        </w:rPr>
        <w:t xml:space="preserve"> the</w:t>
      </w:r>
      <w:r w:rsidR="00B34BAA" w:rsidRPr="00466DC6">
        <w:rPr>
          <w:rFonts w:ascii="Times New Roman" w:hAnsi="Times New Roman"/>
          <w:iCs/>
          <w:szCs w:val="24"/>
        </w:rPr>
        <w:t xml:space="preserve"> </w:t>
      </w:r>
      <w:r w:rsidR="00B34BAA" w:rsidRPr="005445D0">
        <w:rPr>
          <w:rFonts w:ascii="Times New Roman" w:hAnsi="Times New Roman"/>
          <w:i/>
          <w:iCs/>
          <w:szCs w:val="24"/>
        </w:rPr>
        <w:t>Human Services (Centrelink) Act 1997</w:t>
      </w:r>
      <w:r w:rsidR="00B34BAA">
        <w:rPr>
          <w:rFonts w:ascii="Times New Roman" w:hAnsi="Times New Roman"/>
          <w:i/>
          <w:szCs w:val="24"/>
        </w:rPr>
        <w:t>.</w:t>
      </w:r>
      <w:r w:rsidR="00220918">
        <w:rPr>
          <w:rFonts w:ascii="Times New Roman" w:hAnsi="Times New Roman"/>
          <w:i/>
          <w:szCs w:val="24"/>
        </w:rPr>
        <w:t xml:space="preserve"> </w:t>
      </w:r>
      <w:r w:rsidR="00EC6585">
        <w:rPr>
          <w:rFonts w:ascii="Times New Roman" w:hAnsi="Times New Roman"/>
          <w:szCs w:val="24"/>
        </w:rPr>
        <w:t xml:space="preserve">In addition, the </w:t>
      </w:r>
      <w:r w:rsidR="00781256">
        <w:rPr>
          <w:rFonts w:ascii="Times New Roman" w:hAnsi="Times New Roman"/>
          <w:szCs w:val="24"/>
        </w:rPr>
        <w:t xml:space="preserve">Rule made under this Bill, which defines the bodies </w:t>
      </w:r>
      <w:r w:rsidR="00EC6585">
        <w:rPr>
          <w:rFonts w:ascii="Times New Roman" w:hAnsi="Times New Roman"/>
          <w:szCs w:val="24"/>
        </w:rPr>
        <w:t>to wh</w:t>
      </w:r>
      <w:r w:rsidR="00781256">
        <w:rPr>
          <w:rFonts w:ascii="Times New Roman" w:hAnsi="Times New Roman"/>
          <w:szCs w:val="24"/>
        </w:rPr>
        <w:t xml:space="preserve">ich register information may be provided, will commence. </w:t>
      </w:r>
    </w:p>
    <w:p w:rsidR="004F214B" w:rsidRDefault="004F214B" w:rsidP="004F214B">
      <w:pPr>
        <w:rPr>
          <w:i/>
          <w:szCs w:val="24"/>
        </w:rPr>
      </w:pPr>
    </w:p>
    <w:p w:rsidR="004F214B" w:rsidRPr="00B34BAA" w:rsidRDefault="004F214B" w:rsidP="00B34BAA">
      <w:pPr>
        <w:rPr>
          <w:szCs w:val="24"/>
        </w:rPr>
      </w:pPr>
      <w:r w:rsidRPr="004F214B">
        <w:rPr>
          <w:szCs w:val="24"/>
        </w:rPr>
        <w:t xml:space="preserve">Amendments commencing </w:t>
      </w:r>
      <w:r w:rsidR="00A212F6">
        <w:rPr>
          <w:szCs w:val="24"/>
        </w:rPr>
        <w:t>in September</w:t>
      </w:r>
      <w:r w:rsidRPr="004F214B">
        <w:rPr>
          <w:szCs w:val="24"/>
        </w:rPr>
        <w:t xml:space="preserve"> 2016</w:t>
      </w:r>
      <w:r w:rsidR="003246D9">
        <w:rPr>
          <w:szCs w:val="24"/>
        </w:rPr>
        <w:t xml:space="preserve"> </w:t>
      </w:r>
      <w:r w:rsidR="006A288C">
        <w:rPr>
          <w:szCs w:val="24"/>
        </w:rPr>
        <w:t xml:space="preserve">will </w:t>
      </w:r>
      <w:r w:rsidR="00B34BAA">
        <w:rPr>
          <w:szCs w:val="24"/>
        </w:rPr>
        <w:t xml:space="preserve">reflect the expansion of the </w:t>
      </w:r>
      <w:r w:rsidR="003246D9">
        <w:rPr>
          <w:szCs w:val="24"/>
        </w:rPr>
        <w:t>ACIR</w:t>
      </w:r>
      <w:r w:rsidR="00B34BAA">
        <w:rPr>
          <w:szCs w:val="24"/>
        </w:rPr>
        <w:t xml:space="preserve"> to collect </w:t>
      </w:r>
      <w:r w:rsidR="003246D9">
        <w:rPr>
          <w:szCs w:val="24"/>
        </w:rPr>
        <w:t xml:space="preserve">vaccination </w:t>
      </w:r>
      <w:r w:rsidR="00B34BAA">
        <w:rPr>
          <w:szCs w:val="24"/>
        </w:rPr>
        <w:t xml:space="preserve">information </w:t>
      </w:r>
      <w:r w:rsidR="003246D9">
        <w:rPr>
          <w:szCs w:val="24"/>
        </w:rPr>
        <w:t xml:space="preserve">for </w:t>
      </w:r>
      <w:r w:rsidR="00B34BAA">
        <w:rPr>
          <w:szCs w:val="24"/>
        </w:rPr>
        <w:t xml:space="preserve">all </w:t>
      </w:r>
      <w:r w:rsidR="004E2ADE">
        <w:rPr>
          <w:szCs w:val="24"/>
        </w:rPr>
        <w:t>individuals</w:t>
      </w:r>
      <w:r w:rsidR="003246D9">
        <w:rPr>
          <w:szCs w:val="24"/>
        </w:rPr>
        <w:t xml:space="preserve"> from birth to death, </w:t>
      </w:r>
      <w:r w:rsidR="00B34BAA">
        <w:rPr>
          <w:szCs w:val="24"/>
        </w:rPr>
        <w:t xml:space="preserve">not just </w:t>
      </w:r>
      <w:r w:rsidR="00B34BAA">
        <w:rPr>
          <w:szCs w:val="24"/>
        </w:rPr>
        <w:lastRenderedPageBreak/>
        <w:t>individuals under 20 years of age. The</w:t>
      </w:r>
      <w:r>
        <w:rPr>
          <w:rFonts w:ascii="Times New Roman" w:hAnsi="Times New Roman"/>
          <w:szCs w:val="24"/>
        </w:rPr>
        <w:t xml:space="preserve"> </w:t>
      </w:r>
      <w:r>
        <w:rPr>
          <w:rFonts w:ascii="Times New Roman" w:hAnsi="Times New Roman"/>
          <w:i/>
          <w:szCs w:val="24"/>
        </w:rPr>
        <w:t>Healthcare Identifiers Act 2010</w:t>
      </w:r>
      <w:r>
        <w:rPr>
          <w:rFonts w:ascii="Times New Roman" w:hAnsi="Times New Roman"/>
          <w:szCs w:val="24"/>
        </w:rPr>
        <w:t xml:space="preserve"> </w:t>
      </w:r>
      <w:r w:rsidR="00B34BAA">
        <w:rPr>
          <w:rFonts w:ascii="Times New Roman" w:hAnsi="Times New Roman"/>
          <w:szCs w:val="24"/>
        </w:rPr>
        <w:t xml:space="preserve">is to be amended </w:t>
      </w:r>
      <w:r>
        <w:rPr>
          <w:rFonts w:ascii="Times New Roman" w:hAnsi="Times New Roman"/>
          <w:szCs w:val="24"/>
        </w:rPr>
        <w:t>to re</w:t>
      </w:r>
      <w:r w:rsidR="00B34BAA">
        <w:rPr>
          <w:rFonts w:ascii="Times New Roman" w:hAnsi="Times New Roman"/>
          <w:szCs w:val="24"/>
        </w:rPr>
        <w:t xml:space="preserve">fer to the new </w:t>
      </w:r>
      <w:r w:rsidR="003246D9" w:rsidRPr="003C2028">
        <w:rPr>
          <w:rFonts w:ascii="Times New Roman" w:hAnsi="Times New Roman"/>
          <w:i/>
        </w:rPr>
        <w:t xml:space="preserve">Australian Immunisation </w:t>
      </w:r>
      <w:r w:rsidR="003246D9">
        <w:rPr>
          <w:rFonts w:ascii="Times New Roman" w:hAnsi="Times New Roman"/>
          <w:i/>
        </w:rPr>
        <w:t>Register</w:t>
      </w:r>
      <w:r w:rsidR="003246D9" w:rsidRPr="003C2028">
        <w:rPr>
          <w:rFonts w:ascii="Times New Roman" w:hAnsi="Times New Roman"/>
          <w:i/>
        </w:rPr>
        <w:t xml:space="preserve"> </w:t>
      </w:r>
      <w:r w:rsidR="003246D9">
        <w:rPr>
          <w:rFonts w:ascii="Times New Roman" w:hAnsi="Times New Roman"/>
          <w:i/>
        </w:rPr>
        <w:t xml:space="preserve">Act </w:t>
      </w:r>
      <w:r w:rsidR="003246D9" w:rsidRPr="003C2028">
        <w:rPr>
          <w:rFonts w:ascii="Times New Roman" w:hAnsi="Times New Roman"/>
          <w:i/>
        </w:rPr>
        <w:t>2015</w:t>
      </w:r>
      <w:r w:rsidR="003246D9">
        <w:rPr>
          <w:rFonts w:ascii="Times New Roman" w:hAnsi="Times New Roman"/>
        </w:rPr>
        <w:t xml:space="preserve"> (AIR</w:t>
      </w:r>
      <w:r w:rsidR="00B34BAA">
        <w:rPr>
          <w:rFonts w:ascii="Times New Roman" w:hAnsi="Times New Roman"/>
          <w:szCs w:val="24"/>
        </w:rPr>
        <w:t xml:space="preserve"> Act</w:t>
      </w:r>
      <w:r w:rsidR="003246D9">
        <w:rPr>
          <w:rFonts w:ascii="Times New Roman" w:hAnsi="Times New Roman"/>
          <w:szCs w:val="24"/>
        </w:rPr>
        <w:t>)</w:t>
      </w:r>
      <w:r w:rsidR="00B34BAA">
        <w:rPr>
          <w:rFonts w:ascii="Times New Roman" w:hAnsi="Times New Roman"/>
          <w:szCs w:val="24"/>
        </w:rPr>
        <w:t xml:space="preserve">. </w:t>
      </w:r>
    </w:p>
    <w:p w:rsidR="00A212F6" w:rsidRDefault="00A212F6" w:rsidP="00B34BAA">
      <w:pPr>
        <w:rPr>
          <w:szCs w:val="24"/>
        </w:rPr>
      </w:pPr>
    </w:p>
    <w:p w:rsidR="004F214B" w:rsidRPr="00B9555D" w:rsidRDefault="00B34BAA" w:rsidP="00B34BAA">
      <w:pPr>
        <w:rPr>
          <w:rFonts w:ascii="Times New Roman" w:hAnsi="Times New Roman"/>
          <w:szCs w:val="24"/>
        </w:rPr>
      </w:pPr>
      <w:r>
        <w:rPr>
          <w:szCs w:val="24"/>
        </w:rPr>
        <w:t>Finally</w:t>
      </w:r>
      <w:r w:rsidR="00A212F6">
        <w:rPr>
          <w:szCs w:val="24"/>
        </w:rPr>
        <w:t>,</w:t>
      </w:r>
      <w:r>
        <w:rPr>
          <w:szCs w:val="24"/>
        </w:rPr>
        <w:t xml:space="preserve"> from 1 </w:t>
      </w:r>
      <w:r w:rsidR="004F214B" w:rsidRPr="004F214B">
        <w:rPr>
          <w:szCs w:val="24"/>
        </w:rPr>
        <w:t>January 2017</w:t>
      </w:r>
      <w:r w:rsidR="003246D9">
        <w:rPr>
          <w:szCs w:val="24"/>
        </w:rPr>
        <w:t>,</w:t>
      </w:r>
      <w:r>
        <w:rPr>
          <w:szCs w:val="24"/>
        </w:rPr>
        <w:t xml:space="preserve"> t</w:t>
      </w:r>
      <w:r w:rsidR="004F214B" w:rsidRPr="00B9555D">
        <w:rPr>
          <w:rFonts w:ascii="Times New Roman" w:hAnsi="Times New Roman"/>
          <w:szCs w:val="24"/>
        </w:rPr>
        <w:t xml:space="preserve">he provisions of the </w:t>
      </w:r>
      <w:r w:rsidR="003246D9">
        <w:rPr>
          <w:rFonts w:ascii="Times New Roman" w:hAnsi="Times New Roman"/>
          <w:szCs w:val="24"/>
        </w:rPr>
        <w:t>AIR Act</w:t>
      </w:r>
      <w:r w:rsidR="004F214B" w:rsidRPr="005445D0">
        <w:rPr>
          <w:rFonts w:ascii="Times New Roman" w:hAnsi="Times New Roman"/>
          <w:i/>
          <w:szCs w:val="24"/>
        </w:rPr>
        <w:t xml:space="preserve"> </w:t>
      </w:r>
      <w:r w:rsidR="004F214B" w:rsidRPr="00B9555D">
        <w:rPr>
          <w:rFonts w:ascii="Times New Roman" w:hAnsi="Times New Roman"/>
          <w:szCs w:val="24"/>
        </w:rPr>
        <w:t>will apply equally to the AIR and the ASVR</w:t>
      </w:r>
      <w:r>
        <w:rPr>
          <w:rFonts w:ascii="Times New Roman" w:hAnsi="Times New Roman"/>
          <w:szCs w:val="24"/>
        </w:rPr>
        <w:t xml:space="preserve"> and </w:t>
      </w:r>
      <w:r w:rsidR="004F214B" w:rsidRPr="00B9555D">
        <w:rPr>
          <w:rFonts w:ascii="Times New Roman" w:hAnsi="Times New Roman"/>
          <w:szCs w:val="24"/>
        </w:rPr>
        <w:t xml:space="preserve">Part 9BA of the </w:t>
      </w:r>
      <w:r w:rsidR="004F214B" w:rsidRPr="008A4C16">
        <w:rPr>
          <w:rFonts w:ascii="Times New Roman" w:hAnsi="Times New Roman"/>
          <w:i/>
          <w:szCs w:val="24"/>
        </w:rPr>
        <w:t>National Health Act 1953</w:t>
      </w:r>
      <w:r w:rsidR="004F214B" w:rsidRPr="00B9555D">
        <w:rPr>
          <w:rFonts w:ascii="Times New Roman" w:hAnsi="Times New Roman"/>
          <w:szCs w:val="24"/>
        </w:rPr>
        <w:t xml:space="preserve"> (relating to the HPV Register) will be repealed.</w:t>
      </w:r>
    </w:p>
    <w:p w:rsidR="004F214B" w:rsidRPr="00B9555D" w:rsidRDefault="004F214B" w:rsidP="004F214B">
      <w:pPr>
        <w:rPr>
          <w:szCs w:val="24"/>
        </w:rPr>
      </w:pPr>
    </w:p>
    <w:p w:rsidR="004F214B" w:rsidRPr="00F66B1D" w:rsidRDefault="004F214B" w:rsidP="004F214B">
      <w:pPr>
        <w:rPr>
          <w:i/>
          <w:szCs w:val="24"/>
        </w:rPr>
      </w:pPr>
      <w:r w:rsidRPr="00F66B1D">
        <w:rPr>
          <w:i/>
          <w:szCs w:val="24"/>
        </w:rPr>
        <w:t>Other amendments</w:t>
      </w:r>
    </w:p>
    <w:p w:rsidR="004F214B" w:rsidRPr="005445D0" w:rsidRDefault="003246D9" w:rsidP="004F214B">
      <w:pPr>
        <w:pStyle w:val="ListParagraph"/>
        <w:numPr>
          <w:ilvl w:val="0"/>
          <w:numId w:val="18"/>
        </w:numPr>
        <w:contextualSpacing/>
        <w:rPr>
          <w:rFonts w:ascii="Times New Roman" w:hAnsi="Times New Roman"/>
          <w:b/>
          <w:szCs w:val="24"/>
        </w:rPr>
      </w:pPr>
      <w:r>
        <w:rPr>
          <w:rFonts w:ascii="Times New Roman" w:hAnsi="Times New Roman"/>
          <w:szCs w:val="24"/>
        </w:rPr>
        <w:t xml:space="preserve">Repeal </w:t>
      </w:r>
      <w:r w:rsidR="004F214B" w:rsidRPr="005445D0">
        <w:rPr>
          <w:rFonts w:ascii="Times New Roman" w:hAnsi="Times New Roman"/>
          <w:szCs w:val="24"/>
        </w:rPr>
        <w:t xml:space="preserve">Regulation 22A and Schedule 1A of the </w:t>
      </w:r>
      <w:r w:rsidR="004F214B" w:rsidRPr="005445D0">
        <w:rPr>
          <w:rFonts w:ascii="Times New Roman" w:hAnsi="Times New Roman"/>
          <w:i/>
          <w:szCs w:val="24"/>
        </w:rPr>
        <w:t>Health Insurance Regulations 1975</w:t>
      </w:r>
      <w:r w:rsidR="004F214B" w:rsidRPr="005445D0">
        <w:rPr>
          <w:rFonts w:ascii="Times New Roman" w:hAnsi="Times New Roman"/>
          <w:szCs w:val="24"/>
        </w:rPr>
        <w:t xml:space="preserve"> which currently lists prescribed bodies to whom ACIR data can be provided (to be replaced by the new Rule)</w:t>
      </w:r>
      <w:r w:rsidR="001B15E1">
        <w:rPr>
          <w:rFonts w:ascii="Times New Roman" w:hAnsi="Times New Roman"/>
          <w:szCs w:val="24"/>
        </w:rPr>
        <w:t>.</w:t>
      </w:r>
    </w:p>
    <w:p w:rsidR="003B3E67" w:rsidRPr="003C2028" w:rsidRDefault="003B3E67" w:rsidP="007B5794">
      <w:pPr>
        <w:jc w:val="both"/>
        <w:rPr>
          <w:rFonts w:ascii="Times New Roman" w:hAnsi="Times New Roman"/>
        </w:rPr>
      </w:pPr>
    </w:p>
    <w:p w:rsidR="007B5794" w:rsidRPr="003C2028" w:rsidRDefault="007B5794" w:rsidP="007B5794">
      <w:pPr>
        <w:jc w:val="both"/>
        <w:rPr>
          <w:rFonts w:ascii="Times New Roman" w:hAnsi="Times New Roman"/>
          <w:color w:val="4F81BD"/>
        </w:rPr>
      </w:pPr>
      <w:r w:rsidRPr="003C2028">
        <w:rPr>
          <w:rFonts w:ascii="Times New Roman" w:hAnsi="Times New Roman"/>
        </w:rPr>
        <w:t xml:space="preserve">The Bill: </w:t>
      </w:r>
    </w:p>
    <w:p w:rsidR="000B0955" w:rsidRPr="003C2028" w:rsidRDefault="009F6944" w:rsidP="007B5794">
      <w:pPr>
        <w:numPr>
          <w:ilvl w:val="0"/>
          <w:numId w:val="7"/>
        </w:numPr>
        <w:jc w:val="both"/>
        <w:rPr>
          <w:rFonts w:ascii="Times New Roman" w:hAnsi="Times New Roman"/>
        </w:rPr>
      </w:pPr>
      <w:r w:rsidRPr="003C2028">
        <w:rPr>
          <w:rFonts w:ascii="Times New Roman" w:hAnsi="Times New Roman"/>
        </w:rPr>
        <w:t xml:space="preserve">describes the provisions </w:t>
      </w:r>
      <w:r w:rsidR="002A62C2">
        <w:rPr>
          <w:rFonts w:ascii="Times New Roman" w:hAnsi="Times New Roman"/>
        </w:rPr>
        <w:t xml:space="preserve">under </w:t>
      </w:r>
      <w:r w:rsidRPr="003C2028">
        <w:rPr>
          <w:rFonts w:ascii="Times New Roman" w:hAnsi="Times New Roman"/>
        </w:rPr>
        <w:t xml:space="preserve">which </w:t>
      </w:r>
      <w:r w:rsidR="002A62C2">
        <w:rPr>
          <w:rFonts w:ascii="Times New Roman" w:hAnsi="Times New Roman"/>
        </w:rPr>
        <w:t xml:space="preserve">the </w:t>
      </w:r>
      <w:r w:rsidRPr="003C2028">
        <w:rPr>
          <w:rFonts w:ascii="Times New Roman" w:hAnsi="Times New Roman"/>
        </w:rPr>
        <w:t>A</w:t>
      </w:r>
      <w:r w:rsidR="00AB0B97">
        <w:rPr>
          <w:rFonts w:ascii="Times New Roman" w:hAnsi="Times New Roman"/>
        </w:rPr>
        <w:t>CIR</w:t>
      </w:r>
      <w:r w:rsidRPr="003C2028">
        <w:rPr>
          <w:rFonts w:ascii="Times New Roman" w:hAnsi="Times New Roman"/>
        </w:rPr>
        <w:t xml:space="preserve"> </w:t>
      </w:r>
      <w:r w:rsidR="002A62C2">
        <w:rPr>
          <w:rFonts w:ascii="Times New Roman" w:hAnsi="Times New Roman"/>
        </w:rPr>
        <w:t xml:space="preserve">will be </w:t>
      </w:r>
      <w:r w:rsidRPr="003C2028">
        <w:rPr>
          <w:rFonts w:ascii="Times New Roman" w:hAnsi="Times New Roman"/>
        </w:rPr>
        <w:t>operated</w:t>
      </w:r>
      <w:r w:rsidR="005445D0">
        <w:rPr>
          <w:rFonts w:ascii="Times New Roman" w:hAnsi="Times New Roman"/>
        </w:rPr>
        <w:t>;</w:t>
      </w:r>
      <w:r w:rsidRPr="003C2028">
        <w:rPr>
          <w:rFonts w:ascii="Times New Roman" w:hAnsi="Times New Roman"/>
        </w:rPr>
        <w:t xml:space="preserve"> </w:t>
      </w:r>
    </w:p>
    <w:p w:rsidR="007B5794" w:rsidRPr="003C2028" w:rsidRDefault="00BE2D6A" w:rsidP="007B5794">
      <w:pPr>
        <w:numPr>
          <w:ilvl w:val="0"/>
          <w:numId w:val="7"/>
        </w:numPr>
        <w:jc w:val="both"/>
        <w:rPr>
          <w:rFonts w:ascii="Times New Roman" w:hAnsi="Times New Roman"/>
        </w:rPr>
      </w:pPr>
      <w:r>
        <w:rPr>
          <w:rFonts w:ascii="Times New Roman" w:hAnsi="Times New Roman"/>
        </w:rPr>
        <w:t xml:space="preserve">authorises </w:t>
      </w:r>
      <w:r w:rsidR="005445D0">
        <w:rPr>
          <w:rFonts w:ascii="Times New Roman" w:hAnsi="Times New Roman"/>
          <w:szCs w:val="24"/>
        </w:rPr>
        <w:t xml:space="preserve">the collection and use of </w:t>
      </w:r>
      <w:r w:rsidR="007B5794" w:rsidRPr="003C2028">
        <w:rPr>
          <w:rFonts w:ascii="Times New Roman" w:hAnsi="Times New Roman"/>
          <w:szCs w:val="24"/>
        </w:rPr>
        <w:t xml:space="preserve">Commonwealth assigned identifiers, such as the </w:t>
      </w:r>
      <w:r w:rsidR="00906055">
        <w:rPr>
          <w:rFonts w:ascii="Times New Roman" w:hAnsi="Times New Roman"/>
          <w:szCs w:val="24"/>
        </w:rPr>
        <w:t>M</w:t>
      </w:r>
      <w:r w:rsidR="007B5794" w:rsidRPr="003C2028">
        <w:rPr>
          <w:rFonts w:ascii="Times New Roman" w:hAnsi="Times New Roman"/>
          <w:szCs w:val="24"/>
        </w:rPr>
        <w:t>edicare number;</w:t>
      </w:r>
    </w:p>
    <w:p w:rsidR="007B5794" w:rsidRPr="003C2028" w:rsidRDefault="009F6944" w:rsidP="007B5794">
      <w:pPr>
        <w:numPr>
          <w:ilvl w:val="0"/>
          <w:numId w:val="7"/>
        </w:numPr>
        <w:jc w:val="both"/>
        <w:rPr>
          <w:rFonts w:ascii="Times New Roman" w:hAnsi="Times New Roman"/>
        </w:rPr>
      </w:pPr>
      <w:r w:rsidRPr="003C2028">
        <w:rPr>
          <w:rFonts w:ascii="Times New Roman" w:hAnsi="Times New Roman"/>
          <w:szCs w:val="24"/>
        </w:rPr>
        <w:t>establish</w:t>
      </w:r>
      <w:r w:rsidR="00FF4678">
        <w:rPr>
          <w:rFonts w:ascii="Times New Roman" w:hAnsi="Times New Roman"/>
          <w:szCs w:val="24"/>
        </w:rPr>
        <w:t>es</w:t>
      </w:r>
      <w:r w:rsidR="007B5794" w:rsidRPr="003C2028">
        <w:rPr>
          <w:rFonts w:ascii="Times New Roman" w:hAnsi="Times New Roman"/>
          <w:szCs w:val="24"/>
        </w:rPr>
        <w:t xml:space="preserve"> the </w:t>
      </w:r>
      <w:r w:rsidR="007E733E">
        <w:rPr>
          <w:rFonts w:ascii="Times New Roman" w:hAnsi="Times New Roman"/>
          <w:szCs w:val="24"/>
        </w:rPr>
        <w:t>ACIR</w:t>
      </w:r>
      <w:r w:rsidR="007B5794" w:rsidRPr="003C2028">
        <w:rPr>
          <w:rFonts w:ascii="Times New Roman" w:hAnsi="Times New Roman"/>
          <w:szCs w:val="24"/>
        </w:rPr>
        <w:t xml:space="preserve"> and details the</w:t>
      </w:r>
      <w:r w:rsidR="00FF4678">
        <w:rPr>
          <w:rFonts w:ascii="Times New Roman" w:hAnsi="Times New Roman"/>
          <w:szCs w:val="24"/>
        </w:rPr>
        <w:t xml:space="preserve"> </w:t>
      </w:r>
      <w:r w:rsidR="00F11597">
        <w:rPr>
          <w:rFonts w:ascii="Times New Roman" w:hAnsi="Times New Roman"/>
          <w:szCs w:val="24"/>
        </w:rPr>
        <w:t xml:space="preserve">types of information that may be recorded in </w:t>
      </w:r>
      <w:r w:rsidR="00FF4678">
        <w:rPr>
          <w:rFonts w:ascii="Times New Roman" w:hAnsi="Times New Roman"/>
          <w:szCs w:val="24"/>
        </w:rPr>
        <w:t xml:space="preserve">the Register, </w:t>
      </w:r>
      <w:r w:rsidR="00F11597">
        <w:rPr>
          <w:rFonts w:ascii="Times New Roman" w:hAnsi="Times New Roman"/>
          <w:szCs w:val="24"/>
        </w:rPr>
        <w:t>including</w:t>
      </w:r>
      <w:r w:rsidR="00FF4678">
        <w:rPr>
          <w:rFonts w:ascii="Times New Roman" w:hAnsi="Times New Roman"/>
          <w:szCs w:val="24"/>
        </w:rPr>
        <w:t xml:space="preserve"> </w:t>
      </w:r>
      <w:r w:rsidR="00F11597">
        <w:rPr>
          <w:rFonts w:ascii="Times New Roman" w:hAnsi="Times New Roman"/>
          <w:szCs w:val="24"/>
        </w:rPr>
        <w:t>relevant identifying information</w:t>
      </w:r>
      <w:r w:rsidR="00933A78">
        <w:rPr>
          <w:rFonts w:ascii="Times New Roman" w:hAnsi="Times New Roman"/>
          <w:szCs w:val="24"/>
        </w:rPr>
        <w:t xml:space="preserve"> about an individual; </w:t>
      </w:r>
      <w:r w:rsidR="00F11597">
        <w:rPr>
          <w:rFonts w:ascii="Times New Roman" w:hAnsi="Times New Roman"/>
          <w:szCs w:val="24"/>
        </w:rPr>
        <w:t xml:space="preserve">information about </w:t>
      </w:r>
      <w:r w:rsidR="004841DE">
        <w:rPr>
          <w:rFonts w:ascii="Times New Roman" w:hAnsi="Times New Roman"/>
          <w:szCs w:val="24"/>
        </w:rPr>
        <w:t xml:space="preserve">the </w:t>
      </w:r>
      <w:r w:rsidR="00F11597">
        <w:rPr>
          <w:rFonts w:ascii="Times New Roman" w:hAnsi="Times New Roman"/>
          <w:szCs w:val="24"/>
        </w:rPr>
        <w:t>vaccinations</w:t>
      </w:r>
      <w:r w:rsidR="004841DE">
        <w:rPr>
          <w:rFonts w:ascii="Times New Roman" w:hAnsi="Times New Roman"/>
          <w:szCs w:val="24"/>
        </w:rPr>
        <w:t xml:space="preserve"> they have received or </w:t>
      </w:r>
      <w:r w:rsidR="005445D0">
        <w:rPr>
          <w:rFonts w:ascii="Times New Roman" w:hAnsi="Times New Roman"/>
          <w:szCs w:val="24"/>
        </w:rPr>
        <w:t>information about</w:t>
      </w:r>
      <w:r w:rsidR="004841DE">
        <w:rPr>
          <w:rFonts w:ascii="Times New Roman" w:hAnsi="Times New Roman"/>
          <w:szCs w:val="24"/>
        </w:rPr>
        <w:t xml:space="preserve"> a</w:t>
      </w:r>
      <w:r w:rsidR="00F11597">
        <w:rPr>
          <w:rFonts w:ascii="Times New Roman" w:hAnsi="Times New Roman"/>
          <w:szCs w:val="24"/>
        </w:rPr>
        <w:t xml:space="preserve"> natural immunity</w:t>
      </w:r>
      <w:r w:rsidR="004841DE">
        <w:rPr>
          <w:rFonts w:ascii="Times New Roman" w:hAnsi="Times New Roman"/>
          <w:szCs w:val="24"/>
        </w:rPr>
        <w:t xml:space="preserve"> to a disease or a </w:t>
      </w:r>
      <w:r w:rsidR="00F11597">
        <w:rPr>
          <w:rFonts w:ascii="Times New Roman" w:hAnsi="Times New Roman"/>
          <w:szCs w:val="24"/>
        </w:rPr>
        <w:t>medical contraindication</w:t>
      </w:r>
      <w:r w:rsidR="004841DE">
        <w:rPr>
          <w:rFonts w:ascii="Times New Roman" w:hAnsi="Times New Roman"/>
          <w:szCs w:val="24"/>
        </w:rPr>
        <w:t xml:space="preserve"> to a vaccine</w:t>
      </w:r>
      <w:r w:rsidR="00906055">
        <w:rPr>
          <w:rFonts w:ascii="Times New Roman" w:hAnsi="Times New Roman"/>
          <w:szCs w:val="24"/>
        </w:rPr>
        <w:t>;</w:t>
      </w:r>
    </w:p>
    <w:p w:rsidR="00AC24F8" w:rsidRPr="00AC24F8" w:rsidRDefault="00B95379" w:rsidP="007B5794">
      <w:pPr>
        <w:numPr>
          <w:ilvl w:val="0"/>
          <w:numId w:val="7"/>
        </w:numPr>
        <w:jc w:val="both"/>
        <w:rPr>
          <w:rFonts w:ascii="Times New Roman" w:hAnsi="Times New Roman"/>
        </w:rPr>
      </w:pPr>
      <w:r>
        <w:rPr>
          <w:rFonts w:ascii="Times New Roman" w:hAnsi="Times New Roman"/>
        </w:rPr>
        <w:t xml:space="preserve">allows </w:t>
      </w:r>
      <w:r w:rsidR="00933A78">
        <w:rPr>
          <w:rFonts w:ascii="Times New Roman" w:hAnsi="Times New Roman"/>
        </w:rPr>
        <w:t xml:space="preserve">for </w:t>
      </w:r>
      <w:r w:rsidR="002A62C2">
        <w:rPr>
          <w:rFonts w:ascii="Times New Roman" w:hAnsi="Times New Roman"/>
        </w:rPr>
        <w:t>authorise</w:t>
      </w:r>
      <w:r w:rsidR="005445D0">
        <w:rPr>
          <w:rFonts w:ascii="Times New Roman" w:hAnsi="Times New Roman"/>
        </w:rPr>
        <w:t>d</w:t>
      </w:r>
      <w:r w:rsidR="00933A78">
        <w:rPr>
          <w:rFonts w:ascii="Times New Roman" w:hAnsi="Times New Roman"/>
        </w:rPr>
        <w:t xml:space="preserve"> persons to make a record of, use</w:t>
      </w:r>
      <w:r w:rsidR="00D25048">
        <w:rPr>
          <w:rFonts w:ascii="Times New Roman" w:hAnsi="Times New Roman"/>
        </w:rPr>
        <w:t xml:space="preserve"> or disclose</w:t>
      </w:r>
      <w:r w:rsidR="00933A78">
        <w:rPr>
          <w:rFonts w:ascii="Times New Roman" w:hAnsi="Times New Roman"/>
        </w:rPr>
        <w:t xml:space="preserve"> </w:t>
      </w:r>
      <w:r w:rsidR="00AC231C">
        <w:rPr>
          <w:rFonts w:ascii="Times New Roman" w:hAnsi="Times New Roman"/>
        </w:rPr>
        <w:t xml:space="preserve">protected </w:t>
      </w:r>
      <w:r>
        <w:rPr>
          <w:rFonts w:ascii="Times New Roman" w:hAnsi="Times New Roman"/>
        </w:rPr>
        <w:t xml:space="preserve">information </w:t>
      </w:r>
      <w:r w:rsidR="00AC231C">
        <w:rPr>
          <w:rFonts w:ascii="Times New Roman" w:hAnsi="Times New Roman"/>
        </w:rPr>
        <w:t xml:space="preserve">recorded in </w:t>
      </w:r>
      <w:r>
        <w:rPr>
          <w:rFonts w:ascii="Times New Roman" w:hAnsi="Times New Roman"/>
        </w:rPr>
        <w:t>the ACIR</w:t>
      </w:r>
      <w:r w:rsidR="00D25048">
        <w:rPr>
          <w:rFonts w:ascii="Times New Roman" w:hAnsi="Times New Roman"/>
        </w:rPr>
        <w:t xml:space="preserve"> if the person does so for one of the purposes </w:t>
      </w:r>
      <w:r w:rsidR="00782089">
        <w:rPr>
          <w:rFonts w:ascii="Times New Roman" w:hAnsi="Times New Roman"/>
        </w:rPr>
        <w:t xml:space="preserve">of the Register </w:t>
      </w:r>
      <w:r w:rsidR="00D25048">
        <w:rPr>
          <w:rFonts w:ascii="Times New Roman" w:hAnsi="Times New Roman"/>
        </w:rPr>
        <w:t>listed in the B</w:t>
      </w:r>
      <w:r w:rsidR="00906055">
        <w:rPr>
          <w:rFonts w:ascii="Times New Roman" w:hAnsi="Times New Roman"/>
        </w:rPr>
        <w:t>ill;</w:t>
      </w:r>
      <w:r w:rsidR="00D25048">
        <w:rPr>
          <w:rFonts w:ascii="Times New Roman" w:hAnsi="Times New Roman"/>
        </w:rPr>
        <w:t xml:space="preserve"> </w:t>
      </w:r>
    </w:p>
    <w:p w:rsidR="005445D0" w:rsidRPr="003C2028" w:rsidRDefault="005445D0" w:rsidP="00AB0B97">
      <w:pPr>
        <w:numPr>
          <w:ilvl w:val="0"/>
          <w:numId w:val="7"/>
        </w:numPr>
        <w:jc w:val="both"/>
        <w:rPr>
          <w:rFonts w:ascii="Times New Roman" w:hAnsi="Times New Roman"/>
        </w:rPr>
      </w:pPr>
      <w:r w:rsidRPr="005445D0">
        <w:rPr>
          <w:rFonts w:ascii="Times New Roman" w:hAnsi="Times New Roman"/>
          <w:szCs w:val="24"/>
        </w:rPr>
        <w:t xml:space="preserve">authorises the disclosure of personal information for the purpose of other laws, including </w:t>
      </w:r>
      <w:r w:rsidR="00137968">
        <w:rPr>
          <w:rFonts w:ascii="Times New Roman" w:hAnsi="Times New Roman"/>
          <w:szCs w:val="24"/>
        </w:rPr>
        <w:t>the</w:t>
      </w:r>
      <w:r w:rsidRPr="005445D0">
        <w:rPr>
          <w:rFonts w:ascii="Times New Roman" w:hAnsi="Times New Roman"/>
          <w:szCs w:val="24"/>
        </w:rPr>
        <w:t xml:space="preserve"> Australian Privacy Principle</w:t>
      </w:r>
      <w:r w:rsidR="00137968">
        <w:rPr>
          <w:rFonts w:ascii="Times New Roman" w:hAnsi="Times New Roman"/>
          <w:szCs w:val="24"/>
        </w:rPr>
        <w:t>s</w:t>
      </w:r>
      <w:r w:rsidR="00906055">
        <w:rPr>
          <w:rFonts w:ascii="Times New Roman" w:hAnsi="Times New Roman"/>
          <w:szCs w:val="24"/>
        </w:rPr>
        <w:t>;</w:t>
      </w:r>
      <w:r w:rsidRPr="003C2028">
        <w:rPr>
          <w:rFonts w:ascii="Times New Roman" w:hAnsi="Times New Roman"/>
          <w:szCs w:val="24"/>
        </w:rPr>
        <w:t xml:space="preserve"> </w:t>
      </w:r>
    </w:p>
    <w:p w:rsidR="007B5794" w:rsidRPr="00906055" w:rsidRDefault="007B5794" w:rsidP="007B5794">
      <w:pPr>
        <w:numPr>
          <w:ilvl w:val="0"/>
          <w:numId w:val="7"/>
        </w:numPr>
        <w:jc w:val="both"/>
        <w:rPr>
          <w:rFonts w:ascii="Times New Roman" w:hAnsi="Times New Roman"/>
        </w:rPr>
      </w:pPr>
      <w:r w:rsidRPr="003C2028">
        <w:rPr>
          <w:rFonts w:ascii="Times New Roman" w:hAnsi="Times New Roman"/>
          <w:szCs w:val="24"/>
        </w:rPr>
        <w:t xml:space="preserve">provides for individuals whose details are </w:t>
      </w:r>
      <w:r w:rsidR="00AC24F8">
        <w:rPr>
          <w:rFonts w:ascii="Times New Roman" w:hAnsi="Times New Roman"/>
          <w:szCs w:val="24"/>
        </w:rPr>
        <w:t>recorded</w:t>
      </w:r>
      <w:r w:rsidR="00AC24F8" w:rsidRPr="003C2028">
        <w:rPr>
          <w:rFonts w:ascii="Times New Roman" w:hAnsi="Times New Roman"/>
          <w:szCs w:val="24"/>
        </w:rPr>
        <w:t xml:space="preserve"> </w:t>
      </w:r>
      <w:r w:rsidR="00AC231C">
        <w:rPr>
          <w:rFonts w:ascii="Times New Roman" w:hAnsi="Times New Roman"/>
          <w:szCs w:val="24"/>
        </w:rPr>
        <w:t>i</w:t>
      </w:r>
      <w:r w:rsidRPr="003C2028">
        <w:rPr>
          <w:rFonts w:ascii="Times New Roman" w:hAnsi="Times New Roman"/>
          <w:szCs w:val="24"/>
        </w:rPr>
        <w:t xml:space="preserve">n the Register to </w:t>
      </w:r>
      <w:r w:rsidR="00AC231C">
        <w:rPr>
          <w:rFonts w:ascii="Times New Roman" w:hAnsi="Times New Roman"/>
          <w:szCs w:val="24"/>
        </w:rPr>
        <w:t>request</w:t>
      </w:r>
      <w:r w:rsidR="00C10ABB">
        <w:rPr>
          <w:rFonts w:ascii="Times New Roman" w:hAnsi="Times New Roman"/>
          <w:szCs w:val="24"/>
        </w:rPr>
        <w:t xml:space="preserve"> </w:t>
      </w:r>
      <w:r w:rsidR="00AC231C">
        <w:rPr>
          <w:rFonts w:ascii="Times New Roman" w:hAnsi="Times New Roman"/>
          <w:szCs w:val="24"/>
        </w:rPr>
        <w:t xml:space="preserve">that </w:t>
      </w:r>
      <w:r w:rsidR="00D25048">
        <w:rPr>
          <w:rFonts w:ascii="Times New Roman" w:hAnsi="Times New Roman"/>
          <w:szCs w:val="24"/>
        </w:rPr>
        <w:t>they not receive correspondence from the A</w:t>
      </w:r>
      <w:r w:rsidR="005445D0">
        <w:rPr>
          <w:rFonts w:ascii="Times New Roman" w:hAnsi="Times New Roman"/>
          <w:szCs w:val="24"/>
        </w:rPr>
        <w:t>CI</w:t>
      </w:r>
      <w:r w:rsidR="00D25048">
        <w:rPr>
          <w:rFonts w:ascii="Times New Roman" w:hAnsi="Times New Roman"/>
          <w:szCs w:val="24"/>
        </w:rPr>
        <w:t xml:space="preserve">R or that </w:t>
      </w:r>
      <w:r w:rsidR="00AC231C">
        <w:rPr>
          <w:rFonts w:ascii="Times New Roman" w:hAnsi="Times New Roman"/>
          <w:szCs w:val="24"/>
        </w:rPr>
        <w:t xml:space="preserve">their </w:t>
      </w:r>
      <w:r w:rsidR="00E85BF9">
        <w:rPr>
          <w:rFonts w:ascii="Times New Roman" w:hAnsi="Times New Roman"/>
          <w:szCs w:val="24"/>
        </w:rPr>
        <w:t xml:space="preserve">personal information </w:t>
      </w:r>
      <w:r w:rsidR="00AC231C">
        <w:rPr>
          <w:rFonts w:ascii="Times New Roman" w:hAnsi="Times New Roman"/>
          <w:szCs w:val="24"/>
        </w:rPr>
        <w:t>not be disclosed from the ACI</w:t>
      </w:r>
      <w:r w:rsidR="00906055">
        <w:rPr>
          <w:rFonts w:ascii="Times New Roman" w:hAnsi="Times New Roman"/>
          <w:szCs w:val="24"/>
        </w:rPr>
        <w:t>R;</w:t>
      </w:r>
    </w:p>
    <w:p w:rsidR="00906055" w:rsidRPr="003C2028" w:rsidRDefault="00906055" w:rsidP="00906055">
      <w:pPr>
        <w:numPr>
          <w:ilvl w:val="0"/>
          <w:numId w:val="7"/>
        </w:numPr>
        <w:jc w:val="both"/>
        <w:rPr>
          <w:rFonts w:ascii="Times New Roman" w:hAnsi="Times New Roman"/>
        </w:rPr>
      </w:pPr>
      <w:r w:rsidRPr="003C2028">
        <w:rPr>
          <w:rFonts w:ascii="Times New Roman" w:hAnsi="Times New Roman"/>
          <w:szCs w:val="24"/>
        </w:rPr>
        <w:t xml:space="preserve">describes the sanctions that protect the unauthorised disclosure of </w:t>
      </w:r>
      <w:r w:rsidRPr="005445D0">
        <w:rPr>
          <w:rFonts w:ascii="Times New Roman" w:hAnsi="Times New Roman"/>
          <w:szCs w:val="24"/>
        </w:rPr>
        <w:t>personal</w:t>
      </w:r>
      <w:r w:rsidRPr="003C2028">
        <w:rPr>
          <w:rFonts w:ascii="Times New Roman" w:hAnsi="Times New Roman"/>
          <w:szCs w:val="24"/>
        </w:rPr>
        <w:t xml:space="preserve"> information  containe</w:t>
      </w:r>
      <w:r>
        <w:rPr>
          <w:rFonts w:ascii="Times New Roman" w:hAnsi="Times New Roman"/>
          <w:szCs w:val="24"/>
        </w:rPr>
        <w:t>d within the ACIR; and</w:t>
      </w:r>
    </w:p>
    <w:p w:rsidR="00247F00" w:rsidRPr="00247F00" w:rsidRDefault="00906055" w:rsidP="00247F00">
      <w:pPr>
        <w:numPr>
          <w:ilvl w:val="0"/>
          <w:numId w:val="7"/>
        </w:numPr>
        <w:jc w:val="both"/>
        <w:rPr>
          <w:rFonts w:ascii="Times New Roman" w:hAnsi="Times New Roman"/>
          <w:szCs w:val="24"/>
        </w:rPr>
      </w:pPr>
      <w:r>
        <w:rPr>
          <w:rFonts w:ascii="Times New Roman" w:hAnsi="Times New Roman"/>
          <w:szCs w:val="24"/>
        </w:rPr>
        <w:t>a</w:t>
      </w:r>
      <w:r w:rsidR="00247F00">
        <w:rPr>
          <w:rFonts w:ascii="Times New Roman" w:hAnsi="Times New Roman"/>
          <w:szCs w:val="24"/>
        </w:rPr>
        <w:t xml:space="preserve">uthorises </w:t>
      </w:r>
      <w:r w:rsidR="00247F00" w:rsidRPr="00247F00">
        <w:rPr>
          <w:rFonts w:ascii="Times New Roman" w:hAnsi="Times New Roman"/>
          <w:szCs w:val="24"/>
        </w:rPr>
        <w:t>the transfer</w:t>
      </w:r>
      <w:r w:rsidR="00247F00">
        <w:rPr>
          <w:rFonts w:ascii="Times New Roman" w:hAnsi="Times New Roman"/>
          <w:szCs w:val="24"/>
        </w:rPr>
        <w:t xml:space="preserve"> of</w:t>
      </w:r>
      <w:r w:rsidR="00247F00" w:rsidRPr="00247F00">
        <w:rPr>
          <w:rFonts w:ascii="Times New Roman" w:hAnsi="Times New Roman"/>
          <w:szCs w:val="24"/>
        </w:rPr>
        <w:t xml:space="preserve"> immunisation s</w:t>
      </w:r>
      <w:r w:rsidR="00247F00">
        <w:rPr>
          <w:rFonts w:ascii="Times New Roman" w:hAnsi="Times New Roman"/>
          <w:szCs w:val="24"/>
        </w:rPr>
        <w:t xml:space="preserve">tatus information from the </w:t>
      </w:r>
      <w:r w:rsidR="00247F00" w:rsidRPr="00247F00">
        <w:rPr>
          <w:rFonts w:ascii="Times New Roman" w:hAnsi="Times New Roman"/>
          <w:szCs w:val="24"/>
        </w:rPr>
        <w:t>A</w:t>
      </w:r>
      <w:r w:rsidR="005445D0">
        <w:rPr>
          <w:rFonts w:ascii="Times New Roman" w:hAnsi="Times New Roman"/>
          <w:szCs w:val="24"/>
        </w:rPr>
        <w:t xml:space="preserve">ustralian </w:t>
      </w:r>
      <w:r w:rsidR="00247F00" w:rsidRPr="00247F00">
        <w:rPr>
          <w:rFonts w:ascii="Times New Roman" w:hAnsi="Times New Roman"/>
          <w:szCs w:val="24"/>
        </w:rPr>
        <w:t>I</w:t>
      </w:r>
      <w:r w:rsidR="005445D0">
        <w:rPr>
          <w:rFonts w:ascii="Times New Roman" w:hAnsi="Times New Roman"/>
          <w:szCs w:val="24"/>
        </w:rPr>
        <w:t xml:space="preserve">mmunisation </w:t>
      </w:r>
      <w:r w:rsidR="00247F00" w:rsidRPr="00247F00">
        <w:rPr>
          <w:rFonts w:ascii="Times New Roman" w:hAnsi="Times New Roman"/>
          <w:szCs w:val="24"/>
        </w:rPr>
        <w:t>R</w:t>
      </w:r>
      <w:r w:rsidR="005445D0">
        <w:rPr>
          <w:rFonts w:ascii="Times New Roman" w:hAnsi="Times New Roman"/>
          <w:szCs w:val="24"/>
        </w:rPr>
        <w:t>egister</w:t>
      </w:r>
      <w:r w:rsidR="00247F00" w:rsidRPr="00247F00">
        <w:rPr>
          <w:rFonts w:ascii="Times New Roman" w:hAnsi="Times New Roman"/>
          <w:szCs w:val="24"/>
        </w:rPr>
        <w:t xml:space="preserve"> to the Centrelink payment system for the purposes of determining eligibility for family assistance and child care payments which are linked to immunisation.</w:t>
      </w:r>
      <w:r w:rsidR="00247F00">
        <w:rPr>
          <w:rFonts w:ascii="Times New Roman" w:hAnsi="Times New Roman"/>
          <w:szCs w:val="24"/>
        </w:rPr>
        <w:t xml:space="preserve"> </w:t>
      </w:r>
      <w:r w:rsidR="00247F00" w:rsidRPr="00247F00">
        <w:rPr>
          <w:rFonts w:ascii="Times New Roman" w:hAnsi="Times New Roman"/>
          <w:szCs w:val="24"/>
        </w:rPr>
        <w:t xml:space="preserve">The information to be shared includes: </w:t>
      </w:r>
    </w:p>
    <w:p w:rsidR="00247F00" w:rsidRPr="00E42AC3" w:rsidRDefault="00247F00" w:rsidP="00247F00">
      <w:pPr>
        <w:numPr>
          <w:ilvl w:val="1"/>
          <w:numId w:val="7"/>
        </w:numPr>
        <w:jc w:val="both"/>
        <w:rPr>
          <w:rFonts w:ascii="Times New Roman" w:hAnsi="Times New Roman"/>
          <w:szCs w:val="24"/>
        </w:rPr>
      </w:pPr>
      <w:r w:rsidRPr="00E42AC3">
        <w:rPr>
          <w:rFonts w:ascii="Times New Roman" w:hAnsi="Times New Roman"/>
          <w:szCs w:val="24"/>
        </w:rPr>
        <w:t>those who meet the requirements due to being fully immunised</w:t>
      </w:r>
      <w:r w:rsidR="00E42AC3" w:rsidRPr="00E42AC3">
        <w:rPr>
          <w:rFonts w:ascii="Times New Roman" w:hAnsi="Times New Roman"/>
          <w:szCs w:val="24"/>
        </w:rPr>
        <w:t>, including</w:t>
      </w:r>
      <w:r w:rsidR="00E42AC3">
        <w:rPr>
          <w:rFonts w:ascii="Times New Roman" w:hAnsi="Times New Roman"/>
          <w:szCs w:val="24"/>
        </w:rPr>
        <w:t xml:space="preserve"> </w:t>
      </w:r>
      <w:r w:rsidRPr="00E42AC3">
        <w:rPr>
          <w:rFonts w:ascii="Times New Roman" w:hAnsi="Times New Roman"/>
          <w:szCs w:val="24"/>
        </w:rPr>
        <w:t>those who meet the requirements through a valid exemption (natural immunity; medical contraindication; or being an active participant in a vaccine trial); and</w:t>
      </w:r>
    </w:p>
    <w:p w:rsidR="00247F00" w:rsidRPr="00247F00" w:rsidRDefault="00247F00" w:rsidP="00247F00">
      <w:pPr>
        <w:numPr>
          <w:ilvl w:val="1"/>
          <w:numId w:val="7"/>
        </w:numPr>
        <w:jc w:val="both"/>
        <w:rPr>
          <w:rFonts w:ascii="Times New Roman" w:hAnsi="Times New Roman"/>
          <w:szCs w:val="24"/>
        </w:rPr>
      </w:pPr>
      <w:r w:rsidRPr="00247F00">
        <w:rPr>
          <w:rFonts w:ascii="Times New Roman" w:hAnsi="Times New Roman"/>
          <w:szCs w:val="24"/>
        </w:rPr>
        <w:t>those who do not meet the requirements due to being not fully immunised.</w:t>
      </w:r>
    </w:p>
    <w:p w:rsidR="008D04B7" w:rsidRDefault="008D04B7" w:rsidP="008D04B7">
      <w:pPr>
        <w:ind w:left="720"/>
      </w:pPr>
    </w:p>
    <w:p w:rsidR="00457E4A" w:rsidRDefault="00DE5DA5" w:rsidP="00457E4A">
      <w:r w:rsidRPr="00DE5DA5">
        <w:t>This Bill will lay the foundations for future work to move towards one integrated system that captures and reports on all vaccines given in Australia from birth to death, providing one ‘front door’ for consumers and immunisation providers.</w:t>
      </w:r>
    </w:p>
    <w:p w:rsidR="008D04B7" w:rsidRDefault="008D04B7" w:rsidP="00457E4A"/>
    <w:p w:rsidR="00457E4A" w:rsidRPr="00457E4A" w:rsidRDefault="00172426" w:rsidP="00457E4A">
      <w:pPr>
        <w:rPr>
          <w:b/>
        </w:rPr>
      </w:pPr>
      <w:r>
        <w:br w:type="page"/>
      </w:r>
      <w:r w:rsidR="00457E4A" w:rsidRPr="00457E4A">
        <w:rPr>
          <w:b/>
        </w:rPr>
        <w:lastRenderedPageBreak/>
        <w:t>Financial Impact Statement</w:t>
      </w:r>
    </w:p>
    <w:p w:rsidR="00457E4A" w:rsidRDefault="00457E4A" w:rsidP="00457E4A"/>
    <w:p w:rsidR="002F47C3" w:rsidRPr="00AC41A3" w:rsidRDefault="002F47C3" w:rsidP="002F47C3">
      <w:pPr>
        <w:spacing w:after="150"/>
        <w:jc w:val="both"/>
        <w:rPr>
          <w:rFonts w:ascii="Times New Roman" w:hAnsi="Times New Roman"/>
          <w:lang w:val="en"/>
        </w:rPr>
      </w:pPr>
      <w:r w:rsidRPr="00AC41A3">
        <w:rPr>
          <w:rFonts w:ascii="Times New Roman" w:hAnsi="Times New Roman"/>
          <w:lang w:val="en"/>
        </w:rPr>
        <w:t xml:space="preserve">Funding to expand the Australian Childhood Immunisation Register (ACIR) and the National HPV Vaccination Program Register (HPV Register) was approved by Government as part of the 2015-16 Federal </w:t>
      </w:r>
      <w:r w:rsidR="00BC7035">
        <w:rPr>
          <w:rFonts w:ascii="Times New Roman" w:hAnsi="Times New Roman"/>
          <w:lang w:val="en"/>
        </w:rPr>
        <w:t>B</w:t>
      </w:r>
      <w:r w:rsidRPr="00AC41A3">
        <w:rPr>
          <w:rFonts w:ascii="Times New Roman" w:hAnsi="Times New Roman"/>
          <w:lang w:val="en"/>
        </w:rPr>
        <w:t>udget</w:t>
      </w:r>
      <w:r w:rsidR="001A354B" w:rsidRPr="00AC41A3">
        <w:rPr>
          <w:rFonts w:ascii="Times New Roman" w:hAnsi="Times New Roman"/>
          <w:lang w:val="en"/>
        </w:rPr>
        <w:t>,</w:t>
      </w:r>
      <w:r w:rsidRPr="00AC41A3">
        <w:rPr>
          <w:rFonts w:ascii="Times New Roman" w:hAnsi="Times New Roman"/>
          <w:lang w:val="en"/>
        </w:rPr>
        <w:t xml:space="preserve"> as follows:</w:t>
      </w:r>
    </w:p>
    <w:p w:rsidR="002F47C3" w:rsidRPr="00AC41A3" w:rsidRDefault="002F47C3" w:rsidP="002F47C3">
      <w:pPr>
        <w:pStyle w:val="ListParagraph"/>
        <w:numPr>
          <w:ilvl w:val="0"/>
          <w:numId w:val="26"/>
        </w:numPr>
        <w:spacing w:after="240"/>
        <w:ind w:left="714" w:hanging="357"/>
        <w:rPr>
          <w:rFonts w:ascii="Times New Roman" w:hAnsi="Times New Roman"/>
          <w:szCs w:val="24"/>
          <w:lang w:val="en"/>
        </w:rPr>
      </w:pPr>
      <w:r w:rsidRPr="00891A44">
        <w:rPr>
          <w:rFonts w:ascii="Times New Roman" w:hAnsi="Times New Roman"/>
          <w:szCs w:val="24"/>
          <w:lang w:val="en"/>
        </w:rPr>
        <w:t xml:space="preserve">As part of the </w:t>
      </w:r>
      <w:r w:rsidRPr="00AC41A3">
        <w:rPr>
          <w:rFonts w:ascii="Times New Roman" w:hAnsi="Times New Roman"/>
          <w:i/>
          <w:szCs w:val="24"/>
          <w:lang w:val="en"/>
        </w:rPr>
        <w:t>Improving Immunisation Coverage Rates</w:t>
      </w:r>
      <w:r w:rsidRPr="00AC41A3">
        <w:rPr>
          <w:rFonts w:ascii="Times New Roman" w:hAnsi="Times New Roman"/>
          <w:szCs w:val="24"/>
          <w:lang w:val="en"/>
        </w:rPr>
        <w:t xml:space="preserve"> Budget measure, $9.2 million over four years for broader and better immunisation data capture by expanding the HPV Register to become an Australian School Vaccination Register (ASVR). The ASVR will collect data from all adolescent vaccinations delivered nationally in schools as part of the National Immunisation Program (NIP), including the Diphtheria, tetanus and acellular pertussis (dTpa) booster, Human Papillomavirus (HPV)</w:t>
      </w:r>
      <w:r w:rsidR="00906055">
        <w:rPr>
          <w:rFonts w:ascii="Times New Roman" w:hAnsi="Times New Roman"/>
          <w:szCs w:val="24"/>
          <w:lang w:val="en"/>
        </w:rPr>
        <w:t xml:space="preserve"> vaccine and Varicella (chicken</w:t>
      </w:r>
      <w:r w:rsidRPr="00AC41A3">
        <w:rPr>
          <w:rFonts w:ascii="Times New Roman" w:hAnsi="Times New Roman"/>
          <w:szCs w:val="24"/>
          <w:lang w:val="en"/>
        </w:rPr>
        <w:t xml:space="preserve">pox). </w:t>
      </w:r>
    </w:p>
    <w:p w:rsidR="002F47C3" w:rsidRPr="00A212F6" w:rsidRDefault="002F47C3" w:rsidP="00A212F6">
      <w:pPr>
        <w:pStyle w:val="ListParagraph"/>
        <w:numPr>
          <w:ilvl w:val="0"/>
          <w:numId w:val="26"/>
        </w:numPr>
        <w:spacing w:after="240"/>
        <w:ind w:left="714" w:hanging="357"/>
        <w:rPr>
          <w:rFonts w:ascii="Times New Roman" w:hAnsi="Times New Roman"/>
          <w:color w:val="000000"/>
        </w:rPr>
      </w:pPr>
      <w:r w:rsidRPr="00AC41A3">
        <w:rPr>
          <w:rFonts w:ascii="Times New Roman" w:hAnsi="Times New Roman"/>
          <w:szCs w:val="24"/>
          <w:lang w:val="en"/>
        </w:rPr>
        <w:t xml:space="preserve">The </w:t>
      </w:r>
      <w:r w:rsidRPr="00AC41A3">
        <w:rPr>
          <w:rFonts w:ascii="Times New Roman" w:hAnsi="Times New Roman"/>
          <w:i/>
          <w:szCs w:val="24"/>
          <w:lang w:val="en"/>
        </w:rPr>
        <w:t>Shingles Vaccination Programme</w:t>
      </w:r>
      <w:r w:rsidRPr="00AC41A3">
        <w:rPr>
          <w:rFonts w:ascii="Times New Roman" w:hAnsi="Times New Roman"/>
          <w:szCs w:val="24"/>
          <w:lang w:val="en"/>
        </w:rPr>
        <w:t xml:space="preserve"> will provide shingles vaccination to 70 year olds, with a five-year catch-up program for 71-79 year olds. This measure includes funding of $27.2</w:t>
      </w:r>
      <w:r w:rsidR="00BD1032" w:rsidRPr="00AC41A3">
        <w:rPr>
          <w:rFonts w:ascii="Times New Roman" w:hAnsi="Times New Roman"/>
          <w:szCs w:val="24"/>
          <w:lang w:val="en"/>
        </w:rPr>
        <w:t xml:space="preserve"> </w:t>
      </w:r>
      <w:r w:rsidRPr="00AC41A3">
        <w:rPr>
          <w:rFonts w:ascii="Times New Roman" w:hAnsi="Times New Roman"/>
          <w:szCs w:val="24"/>
          <w:lang w:val="en"/>
        </w:rPr>
        <w:t xml:space="preserve">million over four years to expand the ACIR to capture adult immunisation data for those vaccines delivered under the NIP, thus becoming a birth to death vaccination register. </w:t>
      </w:r>
      <w:r w:rsidRPr="00A212F6">
        <w:rPr>
          <w:rFonts w:ascii="Times New Roman" w:hAnsi="Times New Roman"/>
          <w:szCs w:val="24"/>
          <w:lang w:val="en"/>
        </w:rPr>
        <w:t xml:space="preserve">This expansion will commence on 1 January 2016, with an initial stage to collect immunisation details for persons </w:t>
      </w:r>
      <w:r w:rsidR="00A212F6">
        <w:rPr>
          <w:rFonts w:ascii="Times New Roman" w:hAnsi="Times New Roman"/>
          <w:szCs w:val="24"/>
          <w:lang w:val="en"/>
        </w:rPr>
        <w:t>under 20</w:t>
      </w:r>
      <w:r w:rsidRPr="00A212F6">
        <w:rPr>
          <w:rFonts w:ascii="Times New Roman" w:hAnsi="Times New Roman"/>
          <w:szCs w:val="24"/>
          <w:lang w:val="en"/>
        </w:rPr>
        <w:t xml:space="preserve"> years of age (currently seven years of age) to support the </w:t>
      </w:r>
      <w:r w:rsidRPr="00A212F6">
        <w:rPr>
          <w:rFonts w:ascii="Times New Roman" w:hAnsi="Times New Roman"/>
          <w:i/>
          <w:szCs w:val="24"/>
          <w:lang w:val="en"/>
        </w:rPr>
        <w:t>No Jab, No Pay</w:t>
      </w:r>
      <w:r w:rsidRPr="00A212F6">
        <w:rPr>
          <w:rFonts w:ascii="Times New Roman" w:hAnsi="Times New Roman"/>
          <w:szCs w:val="24"/>
          <w:lang w:val="en"/>
        </w:rPr>
        <w:t xml:space="preserve"> Budget measure.</w:t>
      </w:r>
    </w:p>
    <w:p w:rsidR="00457E4A" w:rsidRDefault="00457E4A" w:rsidP="00457E4A"/>
    <w:p w:rsidR="00457E4A" w:rsidRDefault="00457E4A" w:rsidP="00457E4A"/>
    <w:p w:rsidR="008B0385" w:rsidRPr="005024B3" w:rsidRDefault="008B0385" w:rsidP="008B0385">
      <w:pPr>
        <w:jc w:val="center"/>
        <w:rPr>
          <w:rFonts w:ascii="Times New Roman" w:hAnsi="Times New Roman"/>
          <w:b/>
          <w:sz w:val="28"/>
          <w:szCs w:val="28"/>
        </w:rPr>
      </w:pPr>
      <w:r>
        <w:br w:type="page"/>
      </w:r>
      <w:r w:rsidRPr="005024B3">
        <w:rPr>
          <w:rFonts w:ascii="Times New Roman" w:hAnsi="Times New Roman"/>
          <w:b/>
        </w:rPr>
        <w:lastRenderedPageBreak/>
        <w:t>Statement of Compatibility with Human Rights</w:t>
      </w:r>
    </w:p>
    <w:p w:rsidR="008B0385" w:rsidRDefault="008B0385" w:rsidP="008B0385">
      <w:pPr>
        <w:spacing w:before="120" w:after="120"/>
        <w:jc w:val="center"/>
        <w:rPr>
          <w:rFonts w:ascii="Times New Roman" w:hAnsi="Times New Roman"/>
          <w:i/>
          <w:szCs w:val="24"/>
        </w:rPr>
      </w:pPr>
      <w:r w:rsidRPr="005024B3">
        <w:rPr>
          <w:rFonts w:ascii="Times New Roman" w:hAnsi="Times New Roman"/>
          <w:i/>
          <w:szCs w:val="24"/>
        </w:rPr>
        <w:t>Prepared in accordance with Part 3 of the Human Rights (Parliamentary Scrutiny) Act 2011</w:t>
      </w:r>
    </w:p>
    <w:p w:rsidR="00906055" w:rsidRPr="005024B3" w:rsidRDefault="00906055" w:rsidP="008B0385">
      <w:pPr>
        <w:spacing w:before="120" w:after="120"/>
        <w:jc w:val="center"/>
        <w:rPr>
          <w:rFonts w:ascii="Times New Roman" w:hAnsi="Times New Roman"/>
          <w:szCs w:val="24"/>
        </w:rPr>
      </w:pPr>
    </w:p>
    <w:p w:rsidR="008B0385" w:rsidRPr="005024B3" w:rsidRDefault="00CA38B0" w:rsidP="008B0385">
      <w:pPr>
        <w:spacing w:before="120" w:after="120"/>
        <w:jc w:val="center"/>
        <w:rPr>
          <w:rFonts w:ascii="Times New Roman" w:hAnsi="Times New Roman"/>
          <w:b/>
          <w:szCs w:val="24"/>
        </w:rPr>
      </w:pPr>
      <w:r>
        <w:rPr>
          <w:b/>
        </w:rPr>
        <w:t>AUST</w:t>
      </w:r>
      <w:r w:rsidR="00D866BF">
        <w:rPr>
          <w:b/>
        </w:rPr>
        <w:t>R</w:t>
      </w:r>
      <w:r>
        <w:rPr>
          <w:b/>
        </w:rPr>
        <w:t xml:space="preserve">ALIAN IMMUNISATION </w:t>
      </w:r>
      <w:r w:rsidR="00C7648B">
        <w:rPr>
          <w:b/>
        </w:rPr>
        <w:t>REGISTER</w:t>
      </w:r>
      <w:r>
        <w:rPr>
          <w:b/>
        </w:rPr>
        <w:t xml:space="preserve"> BILL 2015</w:t>
      </w:r>
    </w:p>
    <w:p w:rsidR="008B0385" w:rsidRPr="005024B3" w:rsidRDefault="008B0385" w:rsidP="008B0385">
      <w:pPr>
        <w:spacing w:before="120" w:after="120"/>
        <w:jc w:val="center"/>
        <w:rPr>
          <w:rFonts w:ascii="Times New Roman" w:hAnsi="Times New Roman"/>
          <w:szCs w:val="24"/>
        </w:rPr>
      </w:pPr>
      <w:r w:rsidRPr="005024B3">
        <w:rPr>
          <w:rFonts w:ascii="Times New Roman" w:hAnsi="Times New Roman"/>
          <w:szCs w:val="24"/>
        </w:rPr>
        <w:t xml:space="preserve">This Bill is compatible with the human rights and freedoms recognised or declared in the international instruments listed in section 3 of the </w:t>
      </w:r>
      <w:r w:rsidRPr="005024B3">
        <w:rPr>
          <w:rFonts w:ascii="Times New Roman" w:hAnsi="Times New Roman"/>
          <w:i/>
          <w:szCs w:val="24"/>
        </w:rPr>
        <w:t>Human Rights (Parliamentary Scrutiny) Act 2011</w:t>
      </w:r>
      <w:r w:rsidRPr="005024B3">
        <w:rPr>
          <w:rFonts w:ascii="Times New Roman" w:hAnsi="Times New Roman"/>
          <w:szCs w:val="24"/>
        </w:rPr>
        <w:t>.</w:t>
      </w:r>
    </w:p>
    <w:p w:rsidR="008B0385" w:rsidRPr="005024B3" w:rsidRDefault="008B0385" w:rsidP="008B0385">
      <w:pPr>
        <w:spacing w:before="120" w:after="120"/>
        <w:jc w:val="both"/>
        <w:rPr>
          <w:rFonts w:ascii="Times New Roman" w:hAnsi="Times New Roman"/>
          <w:b/>
          <w:szCs w:val="24"/>
        </w:rPr>
      </w:pPr>
      <w:r w:rsidRPr="005024B3">
        <w:rPr>
          <w:rFonts w:ascii="Times New Roman" w:hAnsi="Times New Roman"/>
          <w:b/>
          <w:szCs w:val="24"/>
        </w:rPr>
        <w:t>Overview of the Bill</w:t>
      </w:r>
    </w:p>
    <w:p w:rsidR="0049135D" w:rsidRPr="003C2028" w:rsidRDefault="0049135D" w:rsidP="0049135D">
      <w:pPr>
        <w:jc w:val="both"/>
        <w:rPr>
          <w:rFonts w:ascii="Times New Roman" w:hAnsi="Times New Roman"/>
        </w:rPr>
      </w:pPr>
      <w:r w:rsidRPr="003C2028">
        <w:rPr>
          <w:rFonts w:ascii="Times New Roman" w:hAnsi="Times New Roman"/>
          <w:szCs w:val="24"/>
        </w:rPr>
        <w:t xml:space="preserve">This Bill, the </w:t>
      </w:r>
      <w:r w:rsidRPr="009A6298">
        <w:rPr>
          <w:rFonts w:ascii="Times New Roman" w:hAnsi="Times New Roman"/>
        </w:rPr>
        <w:t>Australian Immunisation Register Bill 2015</w:t>
      </w:r>
      <w:r w:rsidR="00A212F6" w:rsidRPr="009A6298">
        <w:rPr>
          <w:rFonts w:ascii="Times New Roman" w:hAnsi="Times New Roman"/>
        </w:rPr>
        <w:t>,</w:t>
      </w:r>
      <w:r w:rsidRPr="003C2028">
        <w:rPr>
          <w:rFonts w:ascii="Times New Roman" w:hAnsi="Times New Roman"/>
          <w:i/>
        </w:rPr>
        <w:t xml:space="preserve"> </w:t>
      </w:r>
      <w:r>
        <w:rPr>
          <w:rFonts w:ascii="Times New Roman" w:hAnsi="Times New Roman"/>
          <w:szCs w:val="24"/>
        </w:rPr>
        <w:t>creates</w:t>
      </w:r>
      <w:r w:rsidRPr="003C2028">
        <w:rPr>
          <w:rFonts w:ascii="Times New Roman" w:hAnsi="Times New Roman"/>
          <w:szCs w:val="24"/>
        </w:rPr>
        <w:t xml:space="preserve"> a new consolidated legislative framework </w:t>
      </w:r>
      <w:r>
        <w:rPr>
          <w:rFonts w:ascii="Times New Roman" w:hAnsi="Times New Roman"/>
          <w:szCs w:val="24"/>
        </w:rPr>
        <w:t xml:space="preserve">for the operation of </w:t>
      </w:r>
      <w:r w:rsidRPr="003C2028">
        <w:rPr>
          <w:rFonts w:ascii="Times New Roman" w:hAnsi="Times New Roman"/>
          <w:szCs w:val="24"/>
        </w:rPr>
        <w:t xml:space="preserve">Australian immunisation registers.  Consequential to the establishment of the new legislation, </w:t>
      </w:r>
      <w:r w:rsidRPr="003C2028">
        <w:rPr>
          <w:rFonts w:ascii="Times New Roman" w:hAnsi="Times New Roman"/>
        </w:rPr>
        <w:t xml:space="preserve">Part IVA of the </w:t>
      </w:r>
      <w:r w:rsidRPr="003C2028">
        <w:rPr>
          <w:rFonts w:ascii="Times New Roman" w:hAnsi="Times New Roman"/>
          <w:bCs/>
          <w:i/>
        </w:rPr>
        <w:t>Health Insurance Act 1973</w:t>
      </w:r>
      <w:r w:rsidRPr="003C2028">
        <w:rPr>
          <w:rFonts w:ascii="Times New Roman" w:hAnsi="Times New Roman"/>
          <w:bCs/>
        </w:rPr>
        <w:t xml:space="preserve"> (HIA) </w:t>
      </w:r>
      <w:r w:rsidRPr="003C2028">
        <w:rPr>
          <w:rFonts w:ascii="Times New Roman" w:hAnsi="Times New Roman"/>
        </w:rPr>
        <w:t xml:space="preserve">– Australian Childhood Immunisation and Part 9BA of the </w:t>
      </w:r>
      <w:r w:rsidRPr="003C2028">
        <w:rPr>
          <w:rFonts w:ascii="Times New Roman" w:hAnsi="Times New Roman"/>
          <w:bCs/>
          <w:i/>
        </w:rPr>
        <w:t>National Health Act 1953</w:t>
      </w:r>
      <w:r w:rsidRPr="003C2028">
        <w:rPr>
          <w:rFonts w:ascii="Times New Roman" w:hAnsi="Times New Roman"/>
          <w:bCs/>
        </w:rPr>
        <w:t xml:space="preserve"> (NHA)</w:t>
      </w:r>
      <w:r w:rsidRPr="003C2028">
        <w:rPr>
          <w:rFonts w:ascii="Times New Roman" w:hAnsi="Times New Roman"/>
        </w:rPr>
        <w:t xml:space="preserve"> – The National HPV Vaccination Program Register </w:t>
      </w:r>
      <w:r w:rsidRPr="003C2028">
        <w:rPr>
          <w:rFonts w:ascii="Times New Roman" w:hAnsi="Times New Roman"/>
          <w:bCs/>
        </w:rPr>
        <w:t>is to be repealed</w:t>
      </w:r>
      <w:r w:rsidRPr="003C2028">
        <w:rPr>
          <w:rFonts w:ascii="Times New Roman" w:hAnsi="Times New Roman"/>
        </w:rPr>
        <w:t xml:space="preserve">.  </w:t>
      </w:r>
    </w:p>
    <w:p w:rsidR="0049135D" w:rsidRPr="003C2028" w:rsidRDefault="0049135D" w:rsidP="0049135D">
      <w:pPr>
        <w:jc w:val="both"/>
        <w:rPr>
          <w:rFonts w:ascii="Times New Roman" w:hAnsi="Times New Roman"/>
          <w:bCs/>
        </w:rPr>
      </w:pPr>
    </w:p>
    <w:p w:rsidR="0049135D" w:rsidRDefault="0049135D" w:rsidP="0049135D">
      <w:pPr>
        <w:jc w:val="both"/>
        <w:rPr>
          <w:rFonts w:ascii="Times New Roman" w:hAnsi="Times New Roman"/>
          <w:bCs/>
        </w:rPr>
      </w:pPr>
      <w:r w:rsidRPr="003C2028">
        <w:rPr>
          <w:rFonts w:ascii="Times New Roman" w:hAnsi="Times New Roman"/>
          <w:bCs/>
        </w:rPr>
        <w:t xml:space="preserve">The need for this Bill arose from </w:t>
      </w:r>
      <w:r>
        <w:rPr>
          <w:rFonts w:ascii="Times New Roman" w:hAnsi="Times New Roman"/>
          <w:bCs/>
        </w:rPr>
        <w:t xml:space="preserve">a number of announcements made by the Australian Government as part of </w:t>
      </w:r>
      <w:r w:rsidRPr="003C2028">
        <w:rPr>
          <w:rFonts w:ascii="Times New Roman" w:hAnsi="Times New Roman"/>
          <w:bCs/>
        </w:rPr>
        <w:t xml:space="preserve">the Federal Budget 2015-2016. </w:t>
      </w:r>
      <w:r>
        <w:rPr>
          <w:rFonts w:ascii="Times New Roman" w:hAnsi="Times New Roman"/>
          <w:bCs/>
        </w:rPr>
        <w:t>Prior to 1 January 2016, the ACIR recorded vaccines given only to children aged less than seven years. Approval has been given for</w:t>
      </w:r>
      <w:r w:rsidRPr="003C2028">
        <w:rPr>
          <w:rFonts w:ascii="Times New Roman" w:hAnsi="Times New Roman"/>
          <w:bCs/>
        </w:rPr>
        <w:t xml:space="preserve"> the expansion of </w:t>
      </w:r>
      <w:r>
        <w:rPr>
          <w:rFonts w:ascii="Times New Roman" w:hAnsi="Times New Roman"/>
          <w:bCs/>
        </w:rPr>
        <w:t xml:space="preserve">the </w:t>
      </w:r>
      <w:r w:rsidRPr="003C2028">
        <w:rPr>
          <w:rFonts w:ascii="Times New Roman" w:hAnsi="Times New Roman"/>
          <w:bCs/>
        </w:rPr>
        <w:t xml:space="preserve">Australian Childhood Immunisation Register (ACIR) to become the </w:t>
      </w:r>
      <w:r w:rsidRPr="003C2028">
        <w:rPr>
          <w:rFonts w:ascii="Times New Roman" w:hAnsi="Times New Roman"/>
          <w:b/>
          <w:bCs/>
        </w:rPr>
        <w:t>Australian Immunisation Register (AIR)</w:t>
      </w:r>
      <w:r w:rsidRPr="003C2028">
        <w:rPr>
          <w:rFonts w:ascii="Times New Roman" w:hAnsi="Times New Roman"/>
          <w:bCs/>
        </w:rPr>
        <w:t>, which will capture all vaccines given</w:t>
      </w:r>
      <w:r>
        <w:rPr>
          <w:rFonts w:ascii="Times New Roman" w:hAnsi="Times New Roman"/>
          <w:bCs/>
        </w:rPr>
        <w:t xml:space="preserve">, </w:t>
      </w:r>
      <w:r w:rsidRPr="003C2028">
        <w:rPr>
          <w:rFonts w:ascii="Times New Roman" w:hAnsi="Times New Roman"/>
          <w:bCs/>
        </w:rPr>
        <w:t>from birth to death</w:t>
      </w:r>
      <w:r>
        <w:rPr>
          <w:rFonts w:ascii="Times New Roman" w:hAnsi="Times New Roman"/>
          <w:bCs/>
        </w:rPr>
        <w:t>, through General Practice and community clinics</w:t>
      </w:r>
      <w:r w:rsidRPr="003C2028">
        <w:rPr>
          <w:rFonts w:ascii="Times New Roman" w:hAnsi="Times New Roman"/>
          <w:bCs/>
        </w:rPr>
        <w:t xml:space="preserve">. </w:t>
      </w:r>
    </w:p>
    <w:p w:rsidR="0049135D" w:rsidRDefault="0049135D" w:rsidP="0049135D">
      <w:pPr>
        <w:jc w:val="both"/>
        <w:rPr>
          <w:rFonts w:ascii="Times New Roman" w:hAnsi="Times New Roman"/>
          <w:bCs/>
        </w:rPr>
      </w:pPr>
    </w:p>
    <w:p w:rsidR="00BD1032" w:rsidRDefault="00BD1032" w:rsidP="00BD1032">
      <w:pPr>
        <w:jc w:val="both"/>
        <w:rPr>
          <w:rFonts w:ascii="Times New Roman" w:hAnsi="Times New Roman"/>
          <w:bCs/>
        </w:rPr>
      </w:pPr>
      <w:r>
        <w:rPr>
          <w:rFonts w:ascii="Times New Roman" w:hAnsi="Times New Roman"/>
          <w:bCs/>
        </w:rPr>
        <w:t>The ACIR will be expanded in two stages. From 1 January 2016, it will be expanded to collect and record vaccinations given to young individuals under the age of 20 years. This is required to implement the Government’s ‘</w:t>
      </w:r>
      <w:r w:rsidRPr="00C7648B">
        <w:rPr>
          <w:rFonts w:ascii="Times New Roman" w:hAnsi="Times New Roman"/>
          <w:bCs/>
          <w:i/>
        </w:rPr>
        <w:t>No Jab No</w:t>
      </w:r>
      <w:r>
        <w:rPr>
          <w:rFonts w:ascii="Times New Roman" w:hAnsi="Times New Roman"/>
          <w:bCs/>
        </w:rPr>
        <w:t xml:space="preserve"> </w:t>
      </w:r>
      <w:r w:rsidRPr="00BD1032">
        <w:rPr>
          <w:rFonts w:ascii="Times New Roman" w:hAnsi="Times New Roman"/>
          <w:bCs/>
          <w:i/>
        </w:rPr>
        <w:t>Pay</w:t>
      </w:r>
      <w:r>
        <w:rPr>
          <w:rFonts w:ascii="Times New Roman" w:hAnsi="Times New Roman"/>
          <w:bCs/>
          <w:i/>
        </w:rPr>
        <w:t>’</w:t>
      </w:r>
      <w:r>
        <w:rPr>
          <w:rFonts w:ascii="Times New Roman" w:hAnsi="Times New Roman"/>
          <w:bCs/>
        </w:rPr>
        <w:t xml:space="preserve"> Budget measure. From late 2016, it will be expanded further to cover all vaccinations given from birth to death. This is to accommodate the addition of zoster virus (shingles) vaccine (</w:t>
      </w:r>
      <w:proofErr w:type="spellStart"/>
      <w:r>
        <w:rPr>
          <w:rFonts w:ascii="Times New Roman" w:hAnsi="Times New Roman"/>
          <w:bCs/>
        </w:rPr>
        <w:t>Zostavax</w:t>
      </w:r>
      <w:proofErr w:type="spellEnd"/>
      <w:r>
        <w:rPr>
          <w:rFonts w:ascii="Times New Roman" w:hAnsi="Times New Roman"/>
          <w:bCs/>
        </w:rPr>
        <w:t xml:space="preserve">) to the National Immunisation Program for persons aged 70 years.  </w:t>
      </w:r>
    </w:p>
    <w:p w:rsidR="00BD1032" w:rsidRDefault="00BD1032" w:rsidP="00BD1032">
      <w:pPr>
        <w:jc w:val="both"/>
        <w:rPr>
          <w:rFonts w:ascii="Times New Roman" w:hAnsi="Times New Roman"/>
          <w:bCs/>
        </w:rPr>
      </w:pPr>
    </w:p>
    <w:p w:rsidR="0049135D" w:rsidRPr="00AC41A3" w:rsidRDefault="00BD1032" w:rsidP="00BD1032">
      <w:pPr>
        <w:pStyle w:val="ColorfulList-Accent11"/>
        <w:tabs>
          <w:tab w:val="num" w:pos="792"/>
        </w:tabs>
        <w:ind w:left="0"/>
        <w:jc w:val="both"/>
        <w:rPr>
          <w:rFonts w:ascii="Times New Roman" w:hAnsi="Times New Roman"/>
          <w:sz w:val="24"/>
          <w:szCs w:val="24"/>
        </w:rPr>
      </w:pPr>
      <w:r w:rsidRPr="00AC41A3">
        <w:rPr>
          <w:rFonts w:ascii="Times New Roman" w:hAnsi="Times New Roman"/>
          <w:bCs/>
          <w:sz w:val="24"/>
          <w:szCs w:val="24"/>
        </w:rPr>
        <w:t xml:space="preserve">Approval was also given through the </w:t>
      </w:r>
      <w:r w:rsidRPr="00AC41A3">
        <w:rPr>
          <w:rFonts w:ascii="Times New Roman" w:hAnsi="Times New Roman"/>
          <w:bCs/>
          <w:i/>
          <w:sz w:val="24"/>
          <w:szCs w:val="24"/>
        </w:rPr>
        <w:t xml:space="preserve">Improving Immunisation Coverage Rates </w:t>
      </w:r>
      <w:r w:rsidRPr="00AC41A3">
        <w:rPr>
          <w:rFonts w:ascii="Times New Roman" w:hAnsi="Times New Roman"/>
          <w:bCs/>
          <w:sz w:val="24"/>
          <w:szCs w:val="24"/>
        </w:rPr>
        <w:t xml:space="preserve">Budget measure to broaden and improve immunisation data capture to assist vaccination providers to boost coverage rates. This includes expanding the HPV Register to become the </w:t>
      </w:r>
      <w:r w:rsidRPr="00AC41A3">
        <w:rPr>
          <w:rFonts w:ascii="Times New Roman" w:hAnsi="Times New Roman"/>
          <w:b/>
          <w:bCs/>
          <w:sz w:val="24"/>
          <w:szCs w:val="24"/>
        </w:rPr>
        <w:t>Australian School Vaccination Register</w:t>
      </w:r>
      <w:r w:rsidR="009A6298">
        <w:rPr>
          <w:rFonts w:ascii="Times New Roman" w:hAnsi="Times New Roman"/>
          <w:b/>
          <w:bCs/>
          <w:sz w:val="24"/>
          <w:szCs w:val="24"/>
        </w:rPr>
        <w:t xml:space="preserve"> (ASVR)</w:t>
      </w:r>
      <w:r w:rsidRPr="00AC41A3">
        <w:rPr>
          <w:rFonts w:ascii="Times New Roman" w:hAnsi="Times New Roman"/>
          <w:bCs/>
          <w:sz w:val="24"/>
          <w:szCs w:val="24"/>
        </w:rPr>
        <w:t>,</w:t>
      </w:r>
      <w:r w:rsidRPr="00AC41A3">
        <w:rPr>
          <w:rFonts w:ascii="Times New Roman" w:hAnsi="Times New Roman"/>
          <w:sz w:val="24"/>
          <w:szCs w:val="24"/>
        </w:rPr>
        <w:t xml:space="preserve"> which will capture all adolescent vaccinations given through school programs from the start of the 2017 school year. The HPV Register currently only captures administration of the HPV vaccine. Other adolescent vaccinations administered through the school programs that would be captured </w:t>
      </w:r>
      <w:r w:rsidR="009A6298">
        <w:rPr>
          <w:rFonts w:ascii="Times New Roman" w:hAnsi="Times New Roman"/>
          <w:sz w:val="24"/>
          <w:szCs w:val="24"/>
        </w:rPr>
        <w:t>in the ASVR include Varicella (c</w:t>
      </w:r>
      <w:r w:rsidRPr="00AC41A3">
        <w:rPr>
          <w:rFonts w:ascii="Times New Roman" w:hAnsi="Times New Roman"/>
          <w:sz w:val="24"/>
          <w:szCs w:val="24"/>
        </w:rPr>
        <w:t>hicken</w:t>
      </w:r>
      <w:r w:rsidR="009A6298">
        <w:rPr>
          <w:rFonts w:ascii="Times New Roman" w:hAnsi="Times New Roman"/>
          <w:sz w:val="24"/>
          <w:szCs w:val="24"/>
        </w:rPr>
        <w:t>p</w:t>
      </w:r>
      <w:r w:rsidRPr="00AC41A3">
        <w:rPr>
          <w:rFonts w:ascii="Times New Roman" w:hAnsi="Times New Roman"/>
          <w:sz w:val="24"/>
          <w:szCs w:val="24"/>
        </w:rPr>
        <w:t>ox) and the Diphtheria, Tetan</w:t>
      </w:r>
      <w:r w:rsidR="009A6298">
        <w:rPr>
          <w:rFonts w:ascii="Times New Roman" w:hAnsi="Times New Roman"/>
          <w:sz w:val="24"/>
          <w:szCs w:val="24"/>
        </w:rPr>
        <w:t>us and Pertussis (w</w:t>
      </w:r>
      <w:r w:rsidRPr="00AC41A3">
        <w:rPr>
          <w:rFonts w:ascii="Times New Roman" w:hAnsi="Times New Roman"/>
          <w:sz w:val="24"/>
          <w:szCs w:val="24"/>
        </w:rPr>
        <w:t xml:space="preserve">hooping </w:t>
      </w:r>
      <w:r w:rsidR="009A6298">
        <w:rPr>
          <w:rFonts w:ascii="Times New Roman" w:hAnsi="Times New Roman"/>
          <w:sz w:val="24"/>
          <w:szCs w:val="24"/>
        </w:rPr>
        <w:t>c</w:t>
      </w:r>
      <w:r w:rsidRPr="00AC41A3">
        <w:rPr>
          <w:rFonts w:ascii="Times New Roman" w:hAnsi="Times New Roman"/>
          <w:sz w:val="24"/>
          <w:szCs w:val="24"/>
        </w:rPr>
        <w:t>ough) booster.</w:t>
      </w:r>
    </w:p>
    <w:p w:rsidR="00BD1032" w:rsidRPr="00891A44" w:rsidRDefault="00BD1032" w:rsidP="00BD1032">
      <w:pPr>
        <w:pStyle w:val="ColorfulList-Accent11"/>
        <w:tabs>
          <w:tab w:val="num" w:pos="792"/>
        </w:tabs>
        <w:ind w:left="0"/>
        <w:jc w:val="both"/>
        <w:rPr>
          <w:rFonts w:ascii="Times New Roman" w:hAnsi="Times New Roman"/>
          <w:sz w:val="24"/>
          <w:szCs w:val="24"/>
        </w:rPr>
      </w:pPr>
    </w:p>
    <w:p w:rsidR="0016521B" w:rsidRPr="00AC41A3" w:rsidRDefault="0016521B" w:rsidP="0016521B">
      <w:pPr>
        <w:pStyle w:val="ColorfulList-Accent11"/>
        <w:tabs>
          <w:tab w:val="num" w:pos="792"/>
        </w:tabs>
        <w:ind w:left="0"/>
        <w:jc w:val="both"/>
        <w:rPr>
          <w:rFonts w:ascii="Times New Roman" w:hAnsi="Times New Roman"/>
          <w:sz w:val="24"/>
          <w:szCs w:val="24"/>
        </w:rPr>
      </w:pPr>
      <w:r w:rsidRPr="00AC41A3">
        <w:rPr>
          <w:rFonts w:ascii="Times New Roman" w:hAnsi="Times New Roman"/>
          <w:sz w:val="24"/>
          <w:szCs w:val="24"/>
        </w:rPr>
        <w:t>The National Immunisation Committee includes immunisation coordinators from all jurisdictions who have indicated their support for the proposed amendments.</w:t>
      </w:r>
    </w:p>
    <w:p w:rsidR="0016521B" w:rsidRPr="00AC41A3" w:rsidRDefault="0016521B" w:rsidP="0016521B">
      <w:pPr>
        <w:pStyle w:val="ColorfulList-Accent11"/>
        <w:tabs>
          <w:tab w:val="num" w:pos="792"/>
        </w:tabs>
        <w:ind w:left="0"/>
        <w:jc w:val="both"/>
        <w:rPr>
          <w:rFonts w:ascii="Times New Roman" w:hAnsi="Times New Roman"/>
          <w:sz w:val="24"/>
          <w:szCs w:val="24"/>
        </w:rPr>
      </w:pPr>
    </w:p>
    <w:p w:rsidR="008B0385" w:rsidRPr="005024B3" w:rsidRDefault="008B0385" w:rsidP="008B0385">
      <w:pPr>
        <w:pStyle w:val="legcohead3"/>
        <w:rPr>
          <w:b w:val="0"/>
          <w:szCs w:val="24"/>
        </w:rPr>
      </w:pPr>
      <w:r w:rsidRPr="005024B3">
        <w:rPr>
          <w:szCs w:val="24"/>
        </w:rPr>
        <w:lastRenderedPageBreak/>
        <w:t>Human rights implications</w:t>
      </w:r>
    </w:p>
    <w:p w:rsidR="00D42059" w:rsidRDefault="00D42059" w:rsidP="008B0385">
      <w:pPr>
        <w:pStyle w:val="legcohead3"/>
        <w:rPr>
          <w:b w:val="0"/>
          <w:szCs w:val="24"/>
        </w:rPr>
      </w:pPr>
    </w:p>
    <w:p w:rsidR="00402195" w:rsidRPr="00E85BF9" w:rsidRDefault="00402195" w:rsidP="000D1AAA">
      <w:pPr>
        <w:spacing w:before="100" w:beforeAutospacing="1" w:after="100" w:afterAutospacing="1"/>
        <w:ind w:right="-136"/>
        <w:jc w:val="both"/>
        <w:rPr>
          <w:rFonts w:ascii="Times New Roman" w:hAnsi="Times New Roman"/>
          <w:szCs w:val="24"/>
          <w:lang w:val="en-US"/>
        </w:rPr>
      </w:pPr>
      <w:r w:rsidRPr="00E85BF9">
        <w:rPr>
          <w:rFonts w:ascii="Times New Roman" w:hAnsi="Times New Roman"/>
          <w:szCs w:val="24"/>
        </w:rPr>
        <w:t>The Bill engages Articles 2</w:t>
      </w:r>
      <w:r w:rsidR="00B41163" w:rsidRPr="00E85BF9">
        <w:rPr>
          <w:rFonts w:ascii="Times New Roman" w:hAnsi="Times New Roman"/>
          <w:szCs w:val="24"/>
        </w:rPr>
        <w:t xml:space="preserve"> and 12</w:t>
      </w:r>
      <w:r w:rsidRPr="00E85BF9">
        <w:rPr>
          <w:rFonts w:ascii="Times New Roman" w:hAnsi="Times New Roman"/>
          <w:szCs w:val="24"/>
        </w:rPr>
        <w:t xml:space="preserve"> of the </w:t>
      </w:r>
      <w:r w:rsidRPr="00E85BF9">
        <w:rPr>
          <w:rFonts w:ascii="Times New Roman" w:hAnsi="Times New Roman"/>
          <w:i/>
          <w:szCs w:val="24"/>
        </w:rPr>
        <w:t>International Covenant on Economic, Social and Cultural Rights (ICESCR)</w:t>
      </w:r>
      <w:r w:rsidRPr="00E85BF9">
        <w:rPr>
          <w:rFonts w:ascii="Times New Roman" w:hAnsi="Times New Roman"/>
          <w:szCs w:val="24"/>
        </w:rPr>
        <w:t xml:space="preserve"> by assisting with the progressive realisation by all appropriate means of the right of everyone to the enjoyment of the highest attainable standard of physical and mental health.  </w:t>
      </w:r>
    </w:p>
    <w:p w:rsidR="00402195" w:rsidRDefault="00402195" w:rsidP="000D1AAA">
      <w:pPr>
        <w:spacing w:before="100" w:beforeAutospacing="1" w:after="100" w:afterAutospacing="1"/>
        <w:ind w:right="-136"/>
        <w:jc w:val="both"/>
        <w:rPr>
          <w:rFonts w:ascii="Times New Roman" w:hAnsi="Times New Roman"/>
          <w:color w:val="4F81BD"/>
          <w:szCs w:val="24"/>
        </w:rPr>
      </w:pPr>
      <w:r w:rsidRPr="00E85BF9">
        <w:rPr>
          <w:rFonts w:ascii="Times New Roman" w:hAnsi="Times New Roman"/>
          <w:szCs w:val="24"/>
        </w:rPr>
        <w:t>The Bill assists the advancement of</w:t>
      </w:r>
      <w:r w:rsidR="00632C93">
        <w:rPr>
          <w:rFonts w:ascii="Times New Roman" w:hAnsi="Times New Roman"/>
          <w:szCs w:val="24"/>
        </w:rPr>
        <w:t xml:space="preserve"> this human right by providing</w:t>
      </w:r>
      <w:r w:rsidRPr="00E85BF9">
        <w:rPr>
          <w:rFonts w:ascii="Times New Roman" w:hAnsi="Times New Roman"/>
          <w:szCs w:val="24"/>
        </w:rPr>
        <w:t xml:space="preserve"> access for eligible people to </w:t>
      </w:r>
      <w:r w:rsidR="00632C93">
        <w:rPr>
          <w:rFonts w:ascii="Times New Roman" w:hAnsi="Times New Roman"/>
          <w:szCs w:val="24"/>
        </w:rPr>
        <w:t>the Australian registry that records vaccine administered.</w:t>
      </w:r>
      <w:r w:rsidR="00E85BF9">
        <w:rPr>
          <w:rFonts w:ascii="Times New Roman" w:hAnsi="Times New Roman"/>
          <w:color w:val="4F81BD"/>
          <w:szCs w:val="24"/>
        </w:rPr>
        <w:t xml:space="preserve"> </w:t>
      </w:r>
      <w:r w:rsidR="003C7B0F" w:rsidRPr="003C7B0F">
        <w:rPr>
          <w:rFonts w:ascii="Times New Roman" w:hAnsi="Times New Roman"/>
          <w:szCs w:val="24"/>
        </w:rPr>
        <w:t>Enhancing t</w:t>
      </w:r>
      <w:r w:rsidR="00E85BF9" w:rsidRPr="003C7B0F">
        <w:rPr>
          <w:rFonts w:ascii="Times New Roman" w:hAnsi="Times New Roman"/>
          <w:szCs w:val="24"/>
        </w:rPr>
        <w:t xml:space="preserve">he mechanism </w:t>
      </w:r>
      <w:r w:rsidR="003C7B0F" w:rsidRPr="003C7B0F">
        <w:rPr>
          <w:rFonts w:ascii="Times New Roman" w:hAnsi="Times New Roman"/>
          <w:szCs w:val="24"/>
        </w:rPr>
        <w:t xml:space="preserve">in which </w:t>
      </w:r>
      <w:r w:rsidR="00A212F6">
        <w:rPr>
          <w:rFonts w:ascii="Times New Roman" w:hAnsi="Times New Roman"/>
          <w:szCs w:val="24"/>
        </w:rPr>
        <w:t>vaccinations</w:t>
      </w:r>
      <w:r w:rsidR="003C7B0F" w:rsidRPr="003C7B0F">
        <w:rPr>
          <w:rFonts w:ascii="Times New Roman" w:hAnsi="Times New Roman"/>
          <w:szCs w:val="24"/>
        </w:rPr>
        <w:t xml:space="preserve"> are </w:t>
      </w:r>
      <w:r w:rsidR="00E85BF9" w:rsidRPr="003C7B0F">
        <w:rPr>
          <w:rFonts w:ascii="Times New Roman" w:hAnsi="Times New Roman"/>
          <w:szCs w:val="24"/>
        </w:rPr>
        <w:t>record</w:t>
      </w:r>
      <w:r w:rsidR="003C7B0F" w:rsidRPr="003C7B0F">
        <w:rPr>
          <w:rFonts w:ascii="Times New Roman" w:hAnsi="Times New Roman"/>
          <w:szCs w:val="24"/>
        </w:rPr>
        <w:t>ed</w:t>
      </w:r>
      <w:r w:rsidR="00E85BF9" w:rsidRPr="003C7B0F">
        <w:rPr>
          <w:rFonts w:ascii="Times New Roman" w:hAnsi="Times New Roman"/>
          <w:szCs w:val="24"/>
        </w:rPr>
        <w:t xml:space="preserve"> </w:t>
      </w:r>
      <w:r w:rsidR="003C7B0F" w:rsidRPr="003C7B0F">
        <w:rPr>
          <w:rFonts w:ascii="Times New Roman" w:hAnsi="Times New Roman"/>
          <w:szCs w:val="24"/>
        </w:rPr>
        <w:t>will contribute to an enriched monitoring and provide</w:t>
      </w:r>
      <w:r w:rsidR="0049135D">
        <w:rPr>
          <w:rFonts w:ascii="Times New Roman" w:hAnsi="Times New Roman"/>
          <w:szCs w:val="24"/>
        </w:rPr>
        <w:t>s</w:t>
      </w:r>
      <w:r w:rsidR="003C7B0F" w:rsidRPr="003C7B0F">
        <w:rPr>
          <w:rFonts w:ascii="Times New Roman" w:hAnsi="Times New Roman"/>
          <w:szCs w:val="24"/>
        </w:rPr>
        <w:t xml:space="preserve"> invaluable </w:t>
      </w:r>
      <w:r w:rsidR="00E85BF9" w:rsidRPr="003C7B0F">
        <w:rPr>
          <w:rFonts w:ascii="Times New Roman" w:hAnsi="Times New Roman"/>
          <w:szCs w:val="24"/>
        </w:rPr>
        <w:t>statistics on health-related issues.</w:t>
      </w:r>
      <w:r w:rsidR="003C7B0F" w:rsidRPr="003C7B0F">
        <w:rPr>
          <w:rFonts w:ascii="Times New Roman" w:hAnsi="Times New Roman"/>
          <w:szCs w:val="24"/>
        </w:rPr>
        <w:t xml:space="preserve"> </w:t>
      </w:r>
      <w:r w:rsidRPr="003C7B0F">
        <w:rPr>
          <w:rFonts w:ascii="Times New Roman" w:hAnsi="Times New Roman"/>
          <w:szCs w:val="24"/>
        </w:rPr>
        <w:t xml:space="preserve">This is a positive step towards attaining the highest standard of health for all Australians, by protecting individuals and the community </w:t>
      </w:r>
      <w:r w:rsidR="00632C93">
        <w:rPr>
          <w:rFonts w:ascii="Times New Roman" w:hAnsi="Times New Roman"/>
          <w:szCs w:val="24"/>
        </w:rPr>
        <w:t xml:space="preserve">through enhanced monitoring of </w:t>
      </w:r>
      <w:r w:rsidRPr="003C7B0F">
        <w:rPr>
          <w:rFonts w:ascii="Times New Roman" w:hAnsi="Times New Roman"/>
          <w:szCs w:val="24"/>
        </w:rPr>
        <w:t>vaccine preventable disease.</w:t>
      </w:r>
      <w:r w:rsidRPr="006F0B6D">
        <w:rPr>
          <w:rFonts w:ascii="Times New Roman" w:hAnsi="Times New Roman"/>
          <w:color w:val="4F81BD"/>
          <w:szCs w:val="24"/>
        </w:rPr>
        <w:t xml:space="preserve">  </w:t>
      </w:r>
    </w:p>
    <w:p w:rsidR="003C7B0F" w:rsidRDefault="003C7B0F" w:rsidP="000D1AAA">
      <w:pPr>
        <w:spacing w:before="100" w:beforeAutospacing="1" w:after="100" w:afterAutospacing="1"/>
        <w:ind w:right="-136"/>
        <w:jc w:val="both"/>
        <w:rPr>
          <w:rFonts w:ascii="Times New Roman" w:hAnsi="Times New Roman"/>
          <w:color w:val="4F81BD"/>
          <w:szCs w:val="24"/>
        </w:rPr>
      </w:pPr>
      <w:r w:rsidRPr="003C7B0F">
        <w:rPr>
          <w:rFonts w:ascii="Times New Roman" w:hAnsi="Times New Roman"/>
          <w:szCs w:val="24"/>
        </w:rPr>
        <w:t>Current legislation describing i</w:t>
      </w:r>
      <w:r w:rsidR="00B41163" w:rsidRPr="003C7B0F">
        <w:rPr>
          <w:rFonts w:ascii="Times New Roman" w:hAnsi="Times New Roman"/>
          <w:szCs w:val="24"/>
        </w:rPr>
        <w:t xml:space="preserve">mmunisation registers </w:t>
      </w:r>
      <w:r w:rsidR="00A212F6">
        <w:rPr>
          <w:rFonts w:ascii="Times New Roman" w:hAnsi="Times New Roman"/>
          <w:szCs w:val="24"/>
        </w:rPr>
        <w:t>is described</w:t>
      </w:r>
      <w:r w:rsidR="00B41163" w:rsidRPr="003C7B0F">
        <w:rPr>
          <w:rFonts w:ascii="Times New Roman" w:hAnsi="Times New Roman"/>
          <w:szCs w:val="24"/>
        </w:rPr>
        <w:t xml:space="preserve"> within the</w:t>
      </w:r>
      <w:r w:rsidR="00B41163">
        <w:rPr>
          <w:rFonts w:ascii="Times New Roman" w:hAnsi="Times New Roman"/>
          <w:color w:val="4F81BD"/>
          <w:szCs w:val="24"/>
        </w:rPr>
        <w:t xml:space="preserve"> </w:t>
      </w:r>
      <w:r w:rsidRPr="003C2028">
        <w:rPr>
          <w:rFonts w:ascii="Times New Roman" w:hAnsi="Times New Roman"/>
          <w:bCs/>
          <w:i/>
        </w:rPr>
        <w:t>Health Insurance Act 1973</w:t>
      </w:r>
      <w:r>
        <w:rPr>
          <w:rFonts w:ascii="Times New Roman" w:hAnsi="Times New Roman"/>
          <w:bCs/>
        </w:rPr>
        <w:t xml:space="preserve"> and </w:t>
      </w:r>
      <w:r w:rsidRPr="003C2028">
        <w:rPr>
          <w:rFonts w:ascii="Times New Roman" w:hAnsi="Times New Roman"/>
        </w:rPr>
        <w:t xml:space="preserve">the </w:t>
      </w:r>
      <w:r w:rsidRPr="003C2028">
        <w:rPr>
          <w:rFonts w:ascii="Times New Roman" w:hAnsi="Times New Roman"/>
          <w:bCs/>
          <w:i/>
        </w:rPr>
        <w:t>National Health Act 1953</w:t>
      </w:r>
      <w:r w:rsidRPr="003C2028">
        <w:rPr>
          <w:rFonts w:ascii="Times New Roman" w:hAnsi="Times New Roman"/>
          <w:bCs/>
        </w:rPr>
        <w:t xml:space="preserve"> (NHA)</w:t>
      </w:r>
      <w:r w:rsidR="00A81360">
        <w:rPr>
          <w:rFonts w:ascii="Times New Roman" w:hAnsi="Times New Roman"/>
          <w:bCs/>
        </w:rPr>
        <w:t xml:space="preserve"> </w:t>
      </w:r>
      <w:r w:rsidR="00A81360">
        <w:rPr>
          <w:rFonts w:ascii="Times New Roman" w:hAnsi="Times New Roman"/>
        </w:rPr>
        <w:t xml:space="preserve">and </w:t>
      </w:r>
      <w:r>
        <w:rPr>
          <w:rFonts w:ascii="Times New Roman" w:hAnsi="Times New Roman"/>
        </w:rPr>
        <w:t xml:space="preserve">provides for </w:t>
      </w:r>
      <w:r w:rsidR="00E5044C">
        <w:rPr>
          <w:rFonts w:ascii="Times New Roman" w:hAnsi="Times New Roman"/>
        </w:rPr>
        <w:t xml:space="preserve">immunisation records </w:t>
      </w:r>
      <w:r w:rsidR="00272ABF">
        <w:rPr>
          <w:rFonts w:ascii="Times New Roman" w:hAnsi="Times New Roman"/>
        </w:rPr>
        <w:t>for</w:t>
      </w:r>
      <w:r w:rsidR="00E5044C">
        <w:rPr>
          <w:rFonts w:ascii="Times New Roman" w:hAnsi="Times New Roman"/>
        </w:rPr>
        <w:t xml:space="preserve"> </w:t>
      </w:r>
      <w:r>
        <w:rPr>
          <w:rFonts w:ascii="Times New Roman" w:hAnsi="Times New Roman"/>
        </w:rPr>
        <w:t>children up</w:t>
      </w:r>
      <w:r w:rsidR="00632C93">
        <w:rPr>
          <w:rFonts w:ascii="Times New Roman" w:hAnsi="Times New Roman"/>
        </w:rPr>
        <w:t xml:space="preserve"> to the age of seven</w:t>
      </w:r>
      <w:r w:rsidR="00863B38">
        <w:rPr>
          <w:rFonts w:ascii="Times New Roman" w:hAnsi="Times New Roman"/>
        </w:rPr>
        <w:t xml:space="preserve"> (Australian Childhood Immunisation Register)</w:t>
      </w:r>
      <w:r w:rsidR="00632C93">
        <w:rPr>
          <w:rFonts w:ascii="Times New Roman" w:hAnsi="Times New Roman"/>
        </w:rPr>
        <w:t xml:space="preserve"> and </w:t>
      </w:r>
      <w:r w:rsidR="00863B38">
        <w:rPr>
          <w:rFonts w:ascii="Times New Roman" w:hAnsi="Times New Roman"/>
        </w:rPr>
        <w:t>HPV vaccine given in schools (HPV Vaccine Register)</w:t>
      </w:r>
      <w:r w:rsidR="00632C93">
        <w:rPr>
          <w:rFonts w:ascii="Times New Roman" w:hAnsi="Times New Roman"/>
        </w:rPr>
        <w:t>.</w:t>
      </w:r>
      <w:r>
        <w:rPr>
          <w:rFonts w:ascii="Times New Roman" w:hAnsi="Times New Roman"/>
        </w:rPr>
        <w:t xml:space="preserve"> </w:t>
      </w:r>
      <w:r w:rsidRPr="003C7B0F">
        <w:rPr>
          <w:rFonts w:ascii="Times New Roman" w:hAnsi="Times New Roman"/>
        </w:rPr>
        <w:t>T</w:t>
      </w:r>
      <w:r w:rsidR="00B41163" w:rsidRPr="003C7B0F">
        <w:rPr>
          <w:rFonts w:ascii="Times New Roman" w:hAnsi="Times New Roman"/>
          <w:szCs w:val="24"/>
        </w:rPr>
        <w:t>he new legislation</w:t>
      </w:r>
      <w:r w:rsidRPr="003C7B0F">
        <w:rPr>
          <w:rFonts w:ascii="Times New Roman" w:hAnsi="Times New Roman"/>
          <w:szCs w:val="24"/>
        </w:rPr>
        <w:t xml:space="preserve"> and the expansion of the </w:t>
      </w:r>
      <w:r w:rsidR="0007441C">
        <w:rPr>
          <w:rFonts w:ascii="Times New Roman" w:hAnsi="Times New Roman"/>
          <w:szCs w:val="24"/>
        </w:rPr>
        <w:t>R</w:t>
      </w:r>
      <w:r w:rsidRPr="003C7B0F">
        <w:rPr>
          <w:rFonts w:ascii="Times New Roman" w:hAnsi="Times New Roman"/>
          <w:szCs w:val="24"/>
        </w:rPr>
        <w:t>egister</w:t>
      </w:r>
      <w:r w:rsidR="00B41163" w:rsidRPr="003C7B0F">
        <w:rPr>
          <w:rFonts w:ascii="Times New Roman" w:hAnsi="Times New Roman"/>
          <w:szCs w:val="24"/>
        </w:rPr>
        <w:t xml:space="preserve"> </w:t>
      </w:r>
      <w:r w:rsidRPr="003C7B0F">
        <w:rPr>
          <w:rFonts w:ascii="Times New Roman" w:hAnsi="Times New Roman"/>
          <w:szCs w:val="24"/>
        </w:rPr>
        <w:t>promote</w:t>
      </w:r>
      <w:r w:rsidR="00272ABF">
        <w:rPr>
          <w:rFonts w:ascii="Times New Roman" w:hAnsi="Times New Roman"/>
          <w:szCs w:val="24"/>
        </w:rPr>
        <w:t xml:space="preserve"> the</w:t>
      </w:r>
      <w:r w:rsidR="00B41163" w:rsidRPr="003C7B0F">
        <w:rPr>
          <w:rFonts w:ascii="Times New Roman" w:hAnsi="Times New Roman"/>
          <w:szCs w:val="24"/>
        </w:rPr>
        <w:t xml:space="preserve"> right to health and the accessibility of individual records for whole of life</w:t>
      </w:r>
      <w:r w:rsidRPr="003C7B0F">
        <w:rPr>
          <w:rFonts w:ascii="Times New Roman" w:hAnsi="Times New Roman"/>
          <w:szCs w:val="24"/>
        </w:rPr>
        <w:t>, not just the young</w:t>
      </w:r>
      <w:r w:rsidR="00B41163" w:rsidRPr="003C7B0F">
        <w:rPr>
          <w:rFonts w:ascii="Times New Roman" w:hAnsi="Times New Roman"/>
          <w:szCs w:val="24"/>
        </w:rPr>
        <w:t>.</w:t>
      </w:r>
      <w:r>
        <w:rPr>
          <w:rFonts w:ascii="Times New Roman" w:hAnsi="Times New Roman"/>
          <w:szCs w:val="24"/>
        </w:rPr>
        <w:t xml:space="preserve"> </w:t>
      </w:r>
      <w:r w:rsidRPr="003C7B0F">
        <w:rPr>
          <w:rFonts w:ascii="Times New Roman" w:hAnsi="Times New Roman"/>
          <w:szCs w:val="24"/>
        </w:rPr>
        <w:t xml:space="preserve">The Bill describes individual access to information </w:t>
      </w:r>
      <w:r w:rsidR="0049135D">
        <w:rPr>
          <w:rFonts w:ascii="Times New Roman" w:hAnsi="Times New Roman"/>
          <w:szCs w:val="24"/>
        </w:rPr>
        <w:t xml:space="preserve">about them recorded </w:t>
      </w:r>
      <w:r w:rsidRPr="003C7B0F">
        <w:rPr>
          <w:rFonts w:ascii="Times New Roman" w:hAnsi="Times New Roman"/>
          <w:szCs w:val="24"/>
        </w:rPr>
        <w:t xml:space="preserve">on the </w:t>
      </w:r>
      <w:r w:rsidR="00391544">
        <w:rPr>
          <w:rFonts w:ascii="Times New Roman" w:hAnsi="Times New Roman"/>
          <w:szCs w:val="24"/>
        </w:rPr>
        <w:t>R</w:t>
      </w:r>
      <w:r w:rsidR="00037AE7">
        <w:rPr>
          <w:rFonts w:ascii="Times New Roman" w:hAnsi="Times New Roman"/>
          <w:szCs w:val="24"/>
        </w:rPr>
        <w:t>egister. The process for accessing immunisation information will be the same throughout life providing a consistent</w:t>
      </w:r>
      <w:r>
        <w:rPr>
          <w:rFonts w:ascii="Times New Roman" w:hAnsi="Times New Roman"/>
          <w:szCs w:val="24"/>
        </w:rPr>
        <w:t xml:space="preserve"> </w:t>
      </w:r>
      <w:r w:rsidR="00037AE7">
        <w:rPr>
          <w:rFonts w:ascii="Times New Roman" w:hAnsi="Times New Roman"/>
          <w:szCs w:val="24"/>
        </w:rPr>
        <w:t>approach for individuals and healthcare providers.</w:t>
      </w:r>
      <w:r>
        <w:rPr>
          <w:rFonts w:ascii="Times New Roman" w:hAnsi="Times New Roman"/>
          <w:szCs w:val="24"/>
        </w:rPr>
        <w:t xml:space="preserve"> </w:t>
      </w:r>
    </w:p>
    <w:p w:rsidR="00402195" w:rsidRPr="003C7B0F" w:rsidRDefault="00402195" w:rsidP="000D1AAA">
      <w:pPr>
        <w:spacing w:before="100" w:beforeAutospacing="1" w:after="100" w:afterAutospacing="1"/>
        <w:ind w:right="-136"/>
        <w:jc w:val="both"/>
        <w:rPr>
          <w:rFonts w:ascii="Times New Roman" w:hAnsi="Times New Roman"/>
          <w:szCs w:val="24"/>
          <w:lang w:val="en-US"/>
        </w:rPr>
      </w:pPr>
      <w:r w:rsidRPr="003C7B0F">
        <w:rPr>
          <w:rFonts w:ascii="Times New Roman" w:hAnsi="Times New Roman"/>
          <w:szCs w:val="24"/>
        </w:rPr>
        <w:t>The Bill is also consistent with the advancement of Article 1 of the ICESCR.  Since vaccination is not mandatory in Australia this enables</w:t>
      </w:r>
      <w:r w:rsidR="00AE04D7">
        <w:rPr>
          <w:rFonts w:ascii="Times New Roman" w:hAnsi="Times New Roman"/>
          <w:szCs w:val="24"/>
        </w:rPr>
        <w:t xml:space="preserve"> and promotes</w:t>
      </w:r>
      <w:r w:rsidRPr="003C7B0F">
        <w:rPr>
          <w:rFonts w:ascii="Times New Roman" w:hAnsi="Times New Roman"/>
          <w:szCs w:val="24"/>
        </w:rPr>
        <w:t xml:space="preserve"> the right to self-determination.</w:t>
      </w:r>
    </w:p>
    <w:p w:rsidR="00661B21" w:rsidRDefault="00037AE7" w:rsidP="000D1AAA">
      <w:pPr>
        <w:spacing w:before="100" w:beforeAutospacing="1" w:after="100" w:afterAutospacing="1"/>
        <w:ind w:right="-136"/>
        <w:jc w:val="both"/>
        <w:rPr>
          <w:rFonts w:ascii="Times New Roman" w:hAnsi="Times New Roman"/>
          <w:szCs w:val="24"/>
        </w:rPr>
      </w:pPr>
      <w:r w:rsidRPr="00D90AF6">
        <w:rPr>
          <w:rFonts w:ascii="Times New Roman" w:hAnsi="Times New Roman"/>
          <w:szCs w:val="24"/>
        </w:rPr>
        <w:t xml:space="preserve">This Bill engages </w:t>
      </w:r>
      <w:r w:rsidR="00D90AF6">
        <w:rPr>
          <w:rFonts w:ascii="Times New Roman" w:hAnsi="Times New Roman"/>
          <w:szCs w:val="24"/>
        </w:rPr>
        <w:t xml:space="preserve">Article 17 the </w:t>
      </w:r>
      <w:r w:rsidRPr="00D90AF6">
        <w:rPr>
          <w:i/>
          <w:szCs w:val="24"/>
        </w:rPr>
        <w:t xml:space="preserve">International Covenant on Civil and Political Rights </w:t>
      </w:r>
      <w:r w:rsidRPr="00272ABF">
        <w:rPr>
          <w:szCs w:val="24"/>
        </w:rPr>
        <w:t>(ICCPR)</w:t>
      </w:r>
      <w:r w:rsidR="00D90AF6" w:rsidRPr="00272ABF">
        <w:rPr>
          <w:szCs w:val="24"/>
        </w:rPr>
        <w:t xml:space="preserve"> </w:t>
      </w:r>
      <w:r w:rsidR="00D90AF6">
        <w:rPr>
          <w:szCs w:val="24"/>
        </w:rPr>
        <w:t>by</w:t>
      </w:r>
      <w:r w:rsidR="00327CFB" w:rsidRPr="00D90AF6">
        <w:rPr>
          <w:rFonts w:ascii="Times New Roman" w:hAnsi="Times New Roman"/>
          <w:szCs w:val="24"/>
        </w:rPr>
        <w:t xml:space="preserve"> </w:t>
      </w:r>
      <w:r w:rsidR="00D90AF6">
        <w:rPr>
          <w:rFonts w:ascii="Times New Roman" w:hAnsi="Times New Roman"/>
          <w:szCs w:val="24"/>
        </w:rPr>
        <w:t xml:space="preserve">the provision that the </w:t>
      </w:r>
      <w:r w:rsidR="00C7648B">
        <w:rPr>
          <w:rFonts w:ascii="Times New Roman" w:hAnsi="Times New Roman"/>
          <w:szCs w:val="24"/>
        </w:rPr>
        <w:t>Register</w:t>
      </w:r>
      <w:r w:rsidR="00D90AF6">
        <w:rPr>
          <w:rFonts w:ascii="Times New Roman" w:hAnsi="Times New Roman"/>
          <w:szCs w:val="24"/>
        </w:rPr>
        <w:t xml:space="preserve"> can </w:t>
      </w:r>
      <w:r w:rsidR="00D90AF6" w:rsidRPr="00D90AF6">
        <w:rPr>
          <w:rFonts w:ascii="Times New Roman" w:hAnsi="Times New Roman"/>
          <w:szCs w:val="24"/>
        </w:rPr>
        <w:t>collect</w:t>
      </w:r>
      <w:r w:rsidR="00327CFB" w:rsidRPr="00D90AF6">
        <w:rPr>
          <w:rFonts w:ascii="Times New Roman" w:hAnsi="Times New Roman"/>
          <w:szCs w:val="24"/>
        </w:rPr>
        <w:t>, stor</w:t>
      </w:r>
      <w:r w:rsidR="00D90AF6">
        <w:rPr>
          <w:rFonts w:ascii="Times New Roman" w:hAnsi="Times New Roman"/>
          <w:szCs w:val="24"/>
        </w:rPr>
        <w:t>e</w:t>
      </w:r>
      <w:r w:rsidR="00327CFB" w:rsidRPr="00D90AF6">
        <w:rPr>
          <w:rFonts w:ascii="Times New Roman" w:hAnsi="Times New Roman"/>
          <w:szCs w:val="24"/>
        </w:rPr>
        <w:t>, use</w:t>
      </w:r>
      <w:r w:rsidR="00D90AF6">
        <w:rPr>
          <w:rFonts w:ascii="Times New Roman" w:hAnsi="Times New Roman"/>
          <w:szCs w:val="24"/>
        </w:rPr>
        <w:t xml:space="preserve"> and </w:t>
      </w:r>
      <w:r w:rsidR="00327CFB" w:rsidRPr="00D90AF6">
        <w:rPr>
          <w:rFonts w:ascii="Times New Roman" w:hAnsi="Times New Roman"/>
          <w:szCs w:val="24"/>
        </w:rPr>
        <w:t>disclos</w:t>
      </w:r>
      <w:r w:rsidR="00632C93">
        <w:rPr>
          <w:rFonts w:ascii="Times New Roman" w:hAnsi="Times New Roman"/>
          <w:szCs w:val="24"/>
        </w:rPr>
        <w:t>e</w:t>
      </w:r>
      <w:r w:rsidR="00327CFB" w:rsidRPr="00D90AF6">
        <w:rPr>
          <w:rFonts w:ascii="Times New Roman" w:hAnsi="Times New Roman"/>
          <w:szCs w:val="24"/>
        </w:rPr>
        <w:t xml:space="preserve"> personal information</w:t>
      </w:r>
      <w:r w:rsidRPr="00D90AF6">
        <w:rPr>
          <w:rFonts w:ascii="Times New Roman" w:hAnsi="Times New Roman"/>
          <w:szCs w:val="24"/>
        </w:rPr>
        <w:t>.</w:t>
      </w:r>
      <w:r w:rsidR="00D90AF6">
        <w:rPr>
          <w:rFonts w:ascii="Times New Roman" w:hAnsi="Times New Roman"/>
          <w:szCs w:val="24"/>
        </w:rPr>
        <w:t xml:space="preserve"> Part 2</w:t>
      </w:r>
      <w:r w:rsidR="00661B21">
        <w:rPr>
          <w:rFonts w:ascii="Times New Roman" w:hAnsi="Times New Roman"/>
          <w:szCs w:val="24"/>
        </w:rPr>
        <w:t>,</w:t>
      </w:r>
      <w:r w:rsidR="00D90AF6">
        <w:rPr>
          <w:rFonts w:ascii="Times New Roman" w:hAnsi="Times New Roman"/>
          <w:szCs w:val="24"/>
        </w:rPr>
        <w:t xml:space="preserve"> </w:t>
      </w:r>
      <w:r w:rsidR="009A6298">
        <w:rPr>
          <w:szCs w:val="24"/>
        </w:rPr>
        <w:t>S</w:t>
      </w:r>
      <w:r w:rsidR="00661B21" w:rsidRPr="00327CFB">
        <w:rPr>
          <w:szCs w:val="24"/>
        </w:rPr>
        <w:t>ubsection</w:t>
      </w:r>
      <w:r w:rsidR="00D90AF6">
        <w:rPr>
          <w:rFonts w:ascii="Times New Roman" w:hAnsi="Times New Roman"/>
          <w:szCs w:val="24"/>
        </w:rPr>
        <w:t xml:space="preserve"> 9</w:t>
      </w:r>
      <w:r w:rsidR="00661B21">
        <w:rPr>
          <w:rFonts w:ascii="Times New Roman" w:hAnsi="Times New Roman"/>
          <w:szCs w:val="24"/>
        </w:rPr>
        <w:t>(</w:t>
      </w:r>
      <w:r w:rsidR="00D90AF6">
        <w:rPr>
          <w:rFonts w:ascii="Times New Roman" w:hAnsi="Times New Roman"/>
          <w:szCs w:val="24"/>
        </w:rPr>
        <w:t>a</w:t>
      </w:r>
      <w:r w:rsidR="00661B21">
        <w:rPr>
          <w:rFonts w:ascii="Times New Roman" w:hAnsi="Times New Roman"/>
          <w:szCs w:val="24"/>
        </w:rPr>
        <w:t>)</w:t>
      </w:r>
      <w:r w:rsidR="00D90AF6">
        <w:rPr>
          <w:rFonts w:ascii="Times New Roman" w:hAnsi="Times New Roman"/>
          <w:szCs w:val="24"/>
        </w:rPr>
        <w:t xml:space="preserve"> of the Bill provides for the collection of relevant identifying information for individuals who had or could have, a relevant vaccination. </w:t>
      </w:r>
      <w:r w:rsidR="00661B21">
        <w:rPr>
          <w:rFonts w:ascii="Times New Roman" w:hAnsi="Times New Roman"/>
          <w:szCs w:val="24"/>
        </w:rPr>
        <w:t xml:space="preserve">Personal Information </w:t>
      </w:r>
      <w:r w:rsidR="00632C93">
        <w:rPr>
          <w:rFonts w:ascii="Times New Roman" w:hAnsi="Times New Roman"/>
          <w:szCs w:val="24"/>
        </w:rPr>
        <w:t xml:space="preserve">from the Medicare database </w:t>
      </w:r>
      <w:r w:rsidR="00661B21">
        <w:rPr>
          <w:rFonts w:ascii="Times New Roman" w:hAnsi="Times New Roman"/>
          <w:szCs w:val="24"/>
        </w:rPr>
        <w:t xml:space="preserve">is disclosed </w:t>
      </w:r>
      <w:r w:rsidR="00632C93">
        <w:rPr>
          <w:rFonts w:ascii="Times New Roman" w:hAnsi="Times New Roman"/>
          <w:szCs w:val="24"/>
        </w:rPr>
        <w:t xml:space="preserve">to the register </w:t>
      </w:r>
      <w:r w:rsidR="00661B21">
        <w:rPr>
          <w:rFonts w:ascii="Times New Roman" w:hAnsi="Times New Roman"/>
          <w:szCs w:val="24"/>
        </w:rPr>
        <w:t xml:space="preserve">under the secrecy provisions contained within s130 of the </w:t>
      </w:r>
      <w:r w:rsidR="00661B21" w:rsidRPr="003C2028">
        <w:rPr>
          <w:rFonts w:ascii="Times New Roman" w:hAnsi="Times New Roman"/>
          <w:bCs/>
          <w:i/>
        </w:rPr>
        <w:t>Health Insurance Act 1973</w:t>
      </w:r>
      <w:r w:rsidR="00661B21">
        <w:rPr>
          <w:rFonts w:ascii="Times New Roman" w:hAnsi="Times New Roman"/>
          <w:szCs w:val="24"/>
        </w:rPr>
        <w:t xml:space="preserve"> to</w:t>
      </w:r>
      <w:r w:rsidR="00632C93">
        <w:rPr>
          <w:rFonts w:ascii="Times New Roman" w:hAnsi="Times New Roman"/>
          <w:szCs w:val="24"/>
        </w:rPr>
        <w:t xml:space="preserve"> pre-</w:t>
      </w:r>
      <w:r w:rsidR="00661B21">
        <w:rPr>
          <w:rFonts w:ascii="Times New Roman" w:hAnsi="Times New Roman"/>
          <w:szCs w:val="24"/>
        </w:rPr>
        <w:t xml:space="preserve">populate the </w:t>
      </w:r>
      <w:r w:rsidR="00391544">
        <w:rPr>
          <w:rFonts w:ascii="Times New Roman" w:hAnsi="Times New Roman"/>
          <w:szCs w:val="24"/>
        </w:rPr>
        <w:t>R</w:t>
      </w:r>
      <w:r w:rsidR="00632C93">
        <w:rPr>
          <w:rFonts w:ascii="Times New Roman" w:hAnsi="Times New Roman"/>
          <w:szCs w:val="24"/>
        </w:rPr>
        <w:t xml:space="preserve">egister with </w:t>
      </w:r>
      <w:r w:rsidR="00661B21">
        <w:rPr>
          <w:rFonts w:ascii="Times New Roman" w:hAnsi="Times New Roman"/>
          <w:szCs w:val="24"/>
        </w:rPr>
        <w:t>person</w:t>
      </w:r>
      <w:r w:rsidR="00265E81">
        <w:rPr>
          <w:rFonts w:ascii="Times New Roman" w:hAnsi="Times New Roman"/>
          <w:szCs w:val="24"/>
        </w:rPr>
        <w:t xml:space="preserve">al information of individuals. </w:t>
      </w:r>
      <w:r w:rsidR="00661B21">
        <w:rPr>
          <w:rFonts w:ascii="Times New Roman" w:hAnsi="Times New Roman"/>
          <w:szCs w:val="24"/>
        </w:rPr>
        <w:t xml:space="preserve">This information is then deemed as protected information under this Bill and protected under the secrecy provisions in </w:t>
      </w:r>
      <w:r w:rsidR="00272ABF">
        <w:rPr>
          <w:rFonts w:ascii="Times New Roman" w:hAnsi="Times New Roman"/>
          <w:szCs w:val="24"/>
        </w:rPr>
        <w:t>Part 4</w:t>
      </w:r>
      <w:r w:rsidR="00AE04D7">
        <w:rPr>
          <w:rFonts w:ascii="Times New Roman" w:hAnsi="Times New Roman"/>
          <w:szCs w:val="24"/>
        </w:rPr>
        <w:t xml:space="preserve">, which maintains the protection </w:t>
      </w:r>
      <w:r w:rsidR="007E57D9">
        <w:rPr>
          <w:rFonts w:ascii="Times New Roman" w:hAnsi="Times New Roman"/>
          <w:szCs w:val="24"/>
        </w:rPr>
        <w:t xml:space="preserve">of </w:t>
      </w:r>
      <w:r w:rsidR="00AE04D7">
        <w:rPr>
          <w:rFonts w:ascii="Times New Roman" w:hAnsi="Times New Roman"/>
          <w:szCs w:val="24"/>
        </w:rPr>
        <w:t>personal information.</w:t>
      </w:r>
      <w:r w:rsidR="00632C93">
        <w:rPr>
          <w:rFonts w:ascii="Times New Roman" w:hAnsi="Times New Roman"/>
          <w:szCs w:val="24"/>
        </w:rPr>
        <w:t xml:space="preserve"> Individual privacy is maintained and not diminished within this proposed Bill.</w:t>
      </w:r>
    </w:p>
    <w:p w:rsidR="00327CFB" w:rsidRPr="00033E16" w:rsidRDefault="00AE04D7" w:rsidP="000D1AAA">
      <w:pPr>
        <w:spacing w:before="100" w:beforeAutospacing="1" w:after="100" w:afterAutospacing="1"/>
        <w:ind w:right="-136"/>
        <w:jc w:val="both"/>
        <w:rPr>
          <w:rFonts w:ascii="Times New Roman" w:hAnsi="Times New Roman"/>
          <w:szCs w:val="24"/>
        </w:rPr>
      </w:pPr>
      <w:r>
        <w:rPr>
          <w:szCs w:val="24"/>
        </w:rPr>
        <w:t xml:space="preserve">Individuals may </w:t>
      </w:r>
      <w:r w:rsidRPr="00327CFB">
        <w:rPr>
          <w:szCs w:val="24"/>
        </w:rPr>
        <w:t>request that personal information</w:t>
      </w:r>
      <w:r>
        <w:rPr>
          <w:szCs w:val="24"/>
        </w:rPr>
        <w:t xml:space="preserve"> is</w:t>
      </w:r>
      <w:r w:rsidRPr="00327CFB">
        <w:rPr>
          <w:szCs w:val="24"/>
        </w:rPr>
        <w:t xml:space="preserve"> not disclosed from the</w:t>
      </w:r>
      <w:r>
        <w:rPr>
          <w:szCs w:val="24"/>
        </w:rPr>
        <w:t xml:space="preserve"> </w:t>
      </w:r>
      <w:r w:rsidR="00391544">
        <w:rPr>
          <w:szCs w:val="24"/>
        </w:rPr>
        <w:t>R</w:t>
      </w:r>
      <w:r>
        <w:rPr>
          <w:szCs w:val="24"/>
        </w:rPr>
        <w:t xml:space="preserve">egister as described in </w:t>
      </w:r>
      <w:r w:rsidR="009A6298">
        <w:rPr>
          <w:szCs w:val="24"/>
        </w:rPr>
        <w:t>S</w:t>
      </w:r>
      <w:r w:rsidR="00661B21" w:rsidRPr="00327CFB">
        <w:rPr>
          <w:szCs w:val="24"/>
        </w:rPr>
        <w:t xml:space="preserve">ubsection </w:t>
      </w:r>
      <w:r w:rsidR="00AE15DD" w:rsidRPr="00272ABF">
        <w:rPr>
          <w:szCs w:val="24"/>
        </w:rPr>
        <w:t>11</w:t>
      </w:r>
      <w:r w:rsidR="00661B21" w:rsidRPr="00272ABF">
        <w:rPr>
          <w:szCs w:val="24"/>
        </w:rPr>
        <w:t>(2</w:t>
      </w:r>
      <w:r>
        <w:rPr>
          <w:szCs w:val="24"/>
        </w:rPr>
        <w:t>)</w:t>
      </w:r>
      <w:r w:rsidR="00A81360">
        <w:rPr>
          <w:szCs w:val="24"/>
        </w:rPr>
        <w:t>.</w:t>
      </w:r>
      <w:r w:rsidR="00661B21" w:rsidRPr="00327CFB">
        <w:rPr>
          <w:szCs w:val="24"/>
        </w:rPr>
        <w:t xml:space="preserve"> </w:t>
      </w:r>
      <w:r>
        <w:rPr>
          <w:szCs w:val="24"/>
        </w:rPr>
        <w:t>P</w:t>
      </w:r>
      <w:r w:rsidR="00661B21" w:rsidRPr="00327CFB">
        <w:rPr>
          <w:szCs w:val="24"/>
        </w:rPr>
        <w:t>erson</w:t>
      </w:r>
      <w:r>
        <w:rPr>
          <w:szCs w:val="24"/>
        </w:rPr>
        <w:t>s</w:t>
      </w:r>
      <w:r w:rsidR="00661B21" w:rsidRPr="00327CFB">
        <w:rPr>
          <w:szCs w:val="24"/>
        </w:rPr>
        <w:t xml:space="preserve"> cannot make a record of, disclose or otherwise use this information if this is contrary to such a request.</w:t>
      </w:r>
      <w:r>
        <w:rPr>
          <w:szCs w:val="24"/>
        </w:rPr>
        <w:t xml:space="preserve"> </w:t>
      </w:r>
      <w:r w:rsidR="009C1887">
        <w:rPr>
          <w:rFonts w:ascii="Times New Roman" w:hAnsi="Times New Roman"/>
          <w:szCs w:val="24"/>
        </w:rPr>
        <w:t>Limitation</w:t>
      </w:r>
      <w:r w:rsidR="002456E2">
        <w:rPr>
          <w:rFonts w:ascii="Times New Roman" w:hAnsi="Times New Roman"/>
          <w:szCs w:val="24"/>
        </w:rPr>
        <w:t>s</w:t>
      </w:r>
      <w:r w:rsidR="009C1887">
        <w:rPr>
          <w:rFonts w:ascii="Times New Roman" w:hAnsi="Times New Roman"/>
          <w:szCs w:val="24"/>
        </w:rPr>
        <w:t xml:space="preserve"> </w:t>
      </w:r>
      <w:r w:rsidR="00A81360">
        <w:rPr>
          <w:rFonts w:ascii="Times New Roman" w:hAnsi="Times New Roman"/>
          <w:szCs w:val="24"/>
        </w:rPr>
        <w:t>o</w:t>
      </w:r>
      <w:r w:rsidR="00272ABF">
        <w:rPr>
          <w:rFonts w:ascii="Times New Roman" w:hAnsi="Times New Roman"/>
          <w:szCs w:val="24"/>
        </w:rPr>
        <w:t>n disclosure of</w:t>
      </w:r>
      <w:r w:rsidR="009C1887">
        <w:rPr>
          <w:rFonts w:ascii="Times New Roman" w:hAnsi="Times New Roman"/>
          <w:szCs w:val="24"/>
        </w:rPr>
        <w:t xml:space="preserve"> personal information are expressed within </w:t>
      </w:r>
      <w:r w:rsidR="009A6298">
        <w:rPr>
          <w:rFonts w:ascii="Times New Roman" w:hAnsi="Times New Roman"/>
          <w:szCs w:val="24"/>
        </w:rPr>
        <w:t>S</w:t>
      </w:r>
      <w:r w:rsidR="00661B21" w:rsidRPr="00327CFB">
        <w:rPr>
          <w:szCs w:val="24"/>
        </w:rPr>
        <w:t>ubsection</w:t>
      </w:r>
      <w:r w:rsidR="009C1887">
        <w:rPr>
          <w:rFonts w:ascii="Times New Roman" w:hAnsi="Times New Roman"/>
          <w:szCs w:val="24"/>
        </w:rPr>
        <w:t xml:space="preserve"> </w:t>
      </w:r>
      <w:r w:rsidR="00AE15DD">
        <w:rPr>
          <w:rFonts w:ascii="Times New Roman" w:hAnsi="Times New Roman"/>
          <w:szCs w:val="24"/>
        </w:rPr>
        <w:t>22</w:t>
      </w:r>
      <w:r w:rsidR="009C1887">
        <w:rPr>
          <w:rFonts w:ascii="Times New Roman" w:hAnsi="Times New Roman"/>
          <w:szCs w:val="24"/>
        </w:rPr>
        <w:t>(2) of the Bill.</w:t>
      </w:r>
      <w:r w:rsidR="002456E2">
        <w:rPr>
          <w:rFonts w:ascii="Times New Roman" w:hAnsi="Times New Roman"/>
          <w:szCs w:val="24"/>
        </w:rPr>
        <w:t xml:space="preserve"> A person may only disclose personal information to third parties, if the persons does so for the purposes of the register described in </w:t>
      </w:r>
      <w:r w:rsidR="00817B1F">
        <w:rPr>
          <w:rFonts w:ascii="Times New Roman" w:hAnsi="Times New Roman"/>
          <w:szCs w:val="24"/>
        </w:rPr>
        <w:t>Section</w:t>
      </w:r>
      <w:r w:rsidR="002456E2">
        <w:rPr>
          <w:rFonts w:ascii="Times New Roman" w:hAnsi="Times New Roman"/>
          <w:szCs w:val="24"/>
        </w:rPr>
        <w:t xml:space="preserve"> 10 of the Bill and</w:t>
      </w:r>
      <w:r w:rsidR="00033E16">
        <w:rPr>
          <w:rFonts w:ascii="Times New Roman" w:hAnsi="Times New Roman"/>
          <w:szCs w:val="24"/>
        </w:rPr>
        <w:t xml:space="preserve"> is a listed person described under </w:t>
      </w:r>
      <w:r w:rsidR="009A6298">
        <w:rPr>
          <w:rFonts w:ascii="Times New Roman" w:hAnsi="Times New Roman"/>
          <w:szCs w:val="24"/>
        </w:rPr>
        <w:t>S</w:t>
      </w:r>
      <w:r w:rsidR="00033E16">
        <w:rPr>
          <w:rFonts w:ascii="Times New Roman" w:hAnsi="Times New Roman"/>
          <w:szCs w:val="24"/>
        </w:rPr>
        <w:t xml:space="preserve">ubparagraph </w:t>
      </w:r>
      <w:r w:rsidR="00AE15DD">
        <w:rPr>
          <w:rFonts w:ascii="Times New Roman" w:hAnsi="Times New Roman"/>
          <w:szCs w:val="24"/>
        </w:rPr>
        <w:t>22</w:t>
      </w:r>
      <w:r w:rsidR="00033E16">
        <w:rPr>
          <w:rFonts w:ascii="Times New Roman" w:hAnsi="Times New Roman"/>
          <w:szCs w:val="24"/>
        </w:rPr>
        <w:t>(2).</w:t>
      </w:r>
      <w:r w:rsidR="00033E16" w:rsidRPr="00033E16">
        <w:t xml:space="preserve"> </w:t>
      </w:r>
      <w:r w:rsidR="00033E16">
        <w:rPr>
          <w:rFonts w:ascii="Times New Roman" w:hAnsi="Times New Roman"/>
          <w:szCs w:val="24"/>
        </w:rPr>
        <w:t>The</w:t>
      </w:r>
      <w:r w:rsidR="00033E16" w:rsidRPr="00033E16">
        <w:rPr>
          <w:rFonts w:ascii="Times New Roman" w:hAnsi="Times New Roman"/>
          <w:szCs w:val="24"/>
        </w:rPr>
        <w:t xml:space="preserve"> authori</w:t>
      </w:r>
      <w:r w:rsidR="00A212F6">
        <w:rPr>
          <w:rFonts w:ascii="Times New Roman" w:hAnsi="Times New Roman"/>
          <w:szCs w:val="24"/>
        </w:rPr>
        <w:t>s</w:t>
      </w:r>
      <w:r w:rsidR="00033E16" w:rsidRPr="00033E16">
        <w:rPr>
          <w:rFonts w:ascii="Times New Roman" w:hAnsi="Times New Roman"/>
          <w:szCs w:val="24"/>
        </w:rPr>
        <w:t>ed categories of persons in p</w:t>
      </w:r>
      <w:r w:rsidR="009A6298">
        <w:rPr>
          <w:rFonts w:ascii="Times New Roman" w:hAnsi="Times New Roman"/>
          <w:szCs w:val="24"/>
        </w:rPr>
        <w:t>roposed S</w:t>
      </w:r>
      <w:r w:rsidR="00033E16">
        <w:rPr>
          <w:rFonts w:ascii="Times New Roman" w:hAnsi="Times New Roman"/>
          <w:szCs w:val="24"/>
        </w:rPr>
        <w:t xml:space="preserve">ubsection </w:t>
      </w:r>
      <w:r w:rsidR="00AE15DD">
        <w:rPr>
          <w:rFonts w:ascii="Times New Roman" w:hAnsi="Times New Roman"/>
          <w:szCs w:val="24"/>
        </w:rPr>
        <w:t>22</w:t>
      </w:r>
      <w:r w:rsidR="00033E16">
        <w:rPr>
          <w:rFonts w:ascii="Times New Roman" w:hAnsi="Times New Roman"/>
          <w:szCs w:val="24"/>
        </w:rPr>
        <w:t xml:space="preserve">(2) are </w:t>
      </w:r>
      <w:r w:rsidR="002456E2">
        <w:rPr>
          <w:rFonts w:ascii="Times New Roman" w:hAnsi="Times New Roman"/>
          <w:szCs w:val="24"/>
        </w:rPr>
        <w:t>person</w:t>
      </w:r>
      <w:r w:rsidR="00033E16">
        <w:rPr>
          <w:rFonts w:ascii="Times New Roman" w:hAnsi="Times New Roman"/>
          <w:szCs w:val="24"/>
        </w:rPr>
        <w:t>s</w:t>
      </w:r>
      <w:r w:rsidR="002456E2">
        <w:rPr>
          <w:rFonts w:ascii="Times New Roman" w:hAnsi="Times New Roman"/>
          <w:szCs w:val="24"/>
        </w:rPr>
        <w:t xml:space="preserve"> </w:t>
      </w:r>
      <w:r w:rsidR="00033E16">
        <w:rPr>
          <w:rFonts w:ascii="Times New Roman" w:hAnsi="Times New Roman"/>
          <w:szCs w:val="24"/>
        </w:rPr>
        <w:t xml:space="preserve">who </w:t>
      </w:r>
      <w:r w:rsidR="007E57D9">
        <w:rPr>
          <w:rFonts w:ascii="Times New Roman" w:hAnsi="Times New Roman"/>
          <w:szCs w:val="24"/>
        </w:rPr>
        <w:t xml:space="preserve">are </w:t>
      </w:r>
      <w:r w:rsidR="002456E2">
        <w:rPr>
          <w:rFonts w:ascii="Times New Roman" w:hAnsi="Times New Roman"/>
          <w:szCs w:val="24"/>
        </w:rPr>
        <w:t>an employee of the Commonwealth (or authority of the Comm</w:t>
      </w:r>
      <w:r w:rsidR="00632C93">
        <w:rPr>
          <w:rFonts w:ascii="Times New Roman" w:hAnsi="Times New Roman"/>
          <w:szCs w:val="24"/>
        </w:rPr>
        <w:t>onwealth), a prescribed body, a</w:t>
      </w:r>
      <w:r w:rsidR="002456E2">
        <w:rPr>
          <w:rFonts w:ascii="Times New Roman" w:hAnsi="Times New Roman"/>
          <w:szCs w:val="24"/>
        </w:rPr>
        <w:t xml:space="preserve"> recognised Australian vaccination provide</w:t>
      </w:r>
      <w:r w:rsidR="007E57D9">
        <w:rPr>
          <w:rFonts w:ascii="Times New Roman" w:hAnsi="Times New Roman"/>
          <w:szCs w:val="24"/>
        </w:rPr>
        <w:t>r</w:t>
      </w:r>
      <w:r w:rsidR="002456E2">
        <w:rPr>
          <w:rFonts w:ascii="Times New Roman" w:hAnsi="Times New Roman"/>
          <w:szCs w:val="24"/>
        </w:rPr>
        <w:t>, if the pe</w:t>
      </w:r>
      <w:r w:rsidR="00033E16">
        <w:rPr>
          <w:rFonts w:ascii="Times New Roman" w:hAnsi="Times New Roman"/>
          <w:szCs w:val="24"/>
        </w:rPr>
        <w:t xml:space="preserve">rson </w:t>
      </w:r>
      <w:r w:rsidR="00033E16" w:rsidRPr="00391544">
        <w:rPr>
          <w:rFonts w:ascii="Times New Roman" w:hAnsi="Times New Roman"/>
          <w:szCs w:val="24"/>
        </w:rPr>
        <w:t>is a parent/</w:t>
      </w:r>
      <w:r w:rsidR="002456E2" w:rsidRPr="00391544">
        <w:rPr>
          <w:rFonts w:ascii="Times New Roman" w:hAnsi="Times New Roman"/>
          <w:szCs w:val="24"/>
        </w:rPr>
        <w:t xml:space="preserve">guardian </w:t>
      </w:r>
      <w:r w:rsidR="00391544" w:rsidRPr="00391544">
        <w:t xml:space="preserve">(or legal representative) </w:t>
      </w:r>
      <w:r w:rsidR="002456E2" w:rsidRPr="00391544">
        <w:rPr>
          <w:rFonts w:ascii="Times New Roman" w:hAnsi="Times New Roman"/>
          <w:szCs w:val="24"/>
        </w:rPr>
        <w:t>of a child</w:t>
      </w:r>
      <w:r w:rsidR="002456E2">
        <w:rPr>
          <w:rFonts w:ascii="Times New Roman" w:hAnsi="Times New Roman"/>
          <w:szCs w:val="24"/>
        </w:rPr>
        <w:t xml:space="preserve"> or is an officer or employee engaged by the Commonwealth to perform work relating to the </w:t>
      </w:r>
      <w:r w:rsidR="002456E2">
        <w:rPr>
          <w:rFonts w:ascii="Times New Roman" w:hAnsi="Times New Roman"/>
          <w:szCs w:val="24"/>
        </w:rPr>
        <w:lastRenderedPageBreak/>
        <w:t xml:space="preserve">purposes of the </w:t>
      </w:r>
      <w:r w:rsidR="00391544">
        <w:rPr>
          <w:rFonts w:ascii="Times New Roman" w:hAnsi="Times New Roman"/>
          <w:szCs w:val="24"/>
        </w:rPr>
        <w:t>R</w:t>
      </w:r>
      <w:r w:rsidR="002456E2">
        <w:rPr>
          <w:rFonts w:ascii="Times New Roman" w:hAnsi="Times New Roman"/>
          <w:szCs w:val="24"/>
        </w:rPr>
        <w:t>egister.</w:t>
      </w:r>
      <w:r w:rsidR="00033E16">
        <w:rPr>
          <w:rFonts w:ascii="Times New Roman" w:hAnsi="Times New Roman"/>
          <w:szCs w:val="24"/>
        </w:rPr>
        <w:t xml:space="preserve"> </w:t>
      </w:r>
      <w:r w:rsidR="00A81360">
        <w:rPr>
          <w:rFonts w:ascii="Times New Roman" w:hAnsi="Times New Roman"/>
          <w:szCs w:val="24"/>
        </w:rPr>
        <w:t>Authorised persons may only disclose personal i</w:t>
      </w:r>
      <w:r w:rsidR="00033E16">
        <w:rPr>
          <w:rFonts w:ascii="Times New Roman" w:hAnsi="Times New Roman"/>
          <w:szCs w:val="24"/>
        </w:rPr>
        <w:t>nformation for</w:t>
      </w:r>
      <w:r w:rsidR="00A81360">
        <w:rPr>
          <w:rFonts w:ascii="Times New Roman" w:hAnsi="Times New Roman"/>
          <w:szCs w:val="24"/>
        </w:rPr>
        <w:t xml:space="preserve"> limited</w:t>
      </w:r>
      <w:r w:rsidR="00033E16">
        <w:rPr>
          <w:rFonts w:ascii="Times New Roman" w:hAnsi="Times New Roman"/>
          <w:szCs w:val="24"/>
        </w:rPr>
        <w:t xml:space="preserve"> purpose</w:t>
      </w:r>
      <w:r w:rsidR="00A81360">
        <w:rPr>
          <w:rFonts w:ascii="Times New Roman" w:hAnsi="Times New Roman"/>
          <w:szCs w:val="24"/>
        </w:rPr>
        <w:t>s includ</w:t>
      </w:r>
      <w:r w:rsidR="00272ABF">
        <w:rPr>
          <w:rFonts w:ascii="Times New Roman" w:hAnsi="Times New Roman"/>
          <w:szCs w:val="24"/>
        </w:rPr>
        <w:t>ing if,</w:t>
      </w:r>
      <w:r w:rsidR="00033E16">
        <w:rPr>
          <w:rFonts w:ascii="Times New Roman" w:hAnsi="Times New Roman"/>
          <w:szCs w:val="24"/>
        </w:rPr>
        <w:t xml:space="preserve"> </w:t>
      </w:r>
      <w:r w:rsidR="004E1DCF">
        <w:rPr>
          <w:rFonts w:ascii="Times New Roman" w:hAnsi="Times New Roman"/>
          <w:szCs w:val="24"/>
        </w:rPr>
        <w:t>the person does so in accordance with the purpose</w:t>
      </w:r>
      <w:r w:rsidR="00632C93">
        <w:rPr>
          <w:rFonts w:ascii="Times New Roman" w:hAnsi="Times New Roman"/>
          <w:szCs w:val="24"/>
        </w:rPr>
        <w:t xml:space="preserve"> under the Act, the person is</w:t>
      </w:r>
      <w:r w:rsidR="004E1DCF">
        <w:rPr>
          <w:rFonts w:ascii="Times New Roman" w:hAnsi="Times New Roman"/>
          <w:szCs w:val="24"/>
        </w:rPr>
        <w:t xml:space="preserve"> required to do so by the law, </w:t>
      </w:r>
      <w:r w:rsidR="00033E16">
        <w:rPr>
          <w:rFonts w:ascii="Times New Roman" w:hAnsi="Times New Roman"/>
          <w:szCs w:val="24"/>
        </w:rPr>
        <w:t>the person does so for the purpose of a coronial inquiry</w:t>
      </w:r>
      <w:r w:rsidR="00033E16">
        <w:rPr>
          <w:rFonts w:ascii="Times New Roman" w:hAnsi="Times New Roman"/>
          <w:bCs/>
          <w:i/>
        </w:rPr>
        <w:t>.</w:t>
      </w:r>
      <w:r w:rsidR="00033E16">
        <w:rPr>
          <w:rFonts w:ascii="Times New Roman" w:hAnsi="Times New Roman"/>
          <w:bCs/>
        </w:rPr>
        <w:t xml:space="preserve"> </w:t>
      </w:r>
      <w:r w:rsidR="004E1DCF">
        <w:rPr>
          <w:rFonts w:ascii="Times New Roman" w:hAnsi="Times New Roman"/>
          <w:bCs/>
        </w:rPr>
        <w:t xml:space="preserve">The expressed limitation on who can access and disclose personal information is explicit to the purposes of the </w:t>
      </w:r>
      <w:r w:rsidR="00391544">
        <w:rPr>
          <w:rFonts w:ascii="Times New Roman" w:hAnsi="Times New Roman"/>
          <w:bCs/>
        </w:rPr>
        <w:t>R</w:t>
      </w:r>
      <w:r w:rsidR="004E1DCF">
        <w:rPr>
          <w:rFonts w:ascii="Times New Roman" w:hAnsi="Times New Roman"/>
          <w:bCs/>
        </w:rPr>
        <w:t xml:space="preserve">egister and those authorised dealings </w:t>
      </w:r>
      <w:r w:rsidR="00272ABF">
        <w:rPr>
          <w:rFonts w:ascii="Times New Roman" w:hAnsi="Times New Roman"/>
          <w:bCs/>
        </w:rPr>
        <w:t>with</w:t>
      </w:r>
      <w:r w:rsidR="004E1DCF">
        <w:rPr>
          <w:rFonts w:ascii="Times New Roman" w:hAnsi="Times New Roman"/>
          <w:bCs/>
        </w:rPr>
        <w:t xml:space="preserve"> protect</w:t>
      </w:r>
      <w:r w:rsidR="007E57D9">
        <w:rPr>
          <w:rFonts w:ascii="Times New Roman" w:hAnsi="Times New Roman"/>
          <w:bCs/>
        </w:rPr>
        <w:t>ed</w:t>
      </w:r>
      <w:r w:rsidR="009A6298">
        <w:rPr>
          <w:rFonts w:ascii="Times New Roman" w:hAnsi="Times New Roman"/>
          <w:bCs/>
        </w:rPr>
        <w:t xml:space="preserve"> information under S</w:t>
      </w:r>
      <w:r w:rsidR="004E1DCF">
        <w:rPr>
          <w:rFonts w:ascii="Times New Roman" w:hAnsi="Times New Roman"/>
          <w:bCs/>
        </w:rPr>
        <w:t xml:space="preserve">ubparagraph </w:t>
      </w:r>
      <w:r w:rsidR="00AE15DD">
        <w:rPr>
          <w:rFonts w:ascii="Times New Roman" w:hAnsi="Times New Roman"/>
          <w:bCs/>
        </w:rPr>
        <w:t>22</w:t>
      </w:r>
      <w:r w:rsidR="004E1DCF">
        <w:rPr>
          <w:rFonts w:ascii="Times New Roman" w:hAnsi="Times New Roman"/>
          <w:bCs/>
        </w:rPr>
        <w:t>(2)(b).</w:t>
      </w:r>
    </w:p>
    <w:p w:rsidR="004A4C94" w:rsidRPr="00272ABF" w:rsidRDefault="009311D4" w:rsidP="00272ABF">
      <w:pPr>
        <w:spacing w:before="100" w:beforeAutospacing="1" w:after="100" w:afterAutospacing="1"/>
        <w:ind w:right="-136"/>
        <w:jc w:val="both"/>
        <w:rPr>
          <w:szCs w:val="24"/>
        </w:rPr>
      </w:pPr>
      <w:r>
        <w:rPr>
          <w:szCs w:val="24"/>
        </w:rPr>
        <w:t>The Minister</w:t>
      </w:r>
      <w:r w:rsidR="004A4C94">
        <w:rPr>
          <w:szCs w:val="24"/>
        </w:rPr>
        <w:t xml:space="preserve"> (or his or her delegate)</w:t>
      </w:r>
      <w:r>
        <w:rPr>
          <w:szCs w:val="24"/>
        </w:rPr>
        <w:t xml:space="preserve"> may also disclose personal information</w:t>
      </w:r>
      <w:r w:rsidR="00632C93">
        <w:rPr>
          <w:szCs w:val="24"/>
        </w:rPr>
        <w:t xml:space="preserve"> if the</w:t>
      </w:r>
      <w:r>
        <w:rPr>
          <w:szCs w:val="24"/>
        </w:rPr>
        <w:t>y are</w:t>
      </w:r>
      <w:r w:rsidR="004E1DCF">
        <w:rPr>
          <w:szCs w:val="24"/>
        </w:rPr>
        <w:t xml:space="preserve"> </w:t>
      </w:r>
      <w:r w:rsidR="00632C93">
        <w:rPr>
          <w:szCs w:val="24"/>
        </w:rPr>
        <w:t>satisfied t</w:t>
      </w:r>
      <w:r w:rsidR="004E1DCF">
        <w:rPr>
          <w:szCs w:val="24"/>
        </w:rPr>
        <w:t>hat it is in the public interest</w:t>
      </w:r>
      <w:r w:rsidR="00632C93">
        <w:rPr>
          <w:szCs w:val="24"/>
        </w:rPr>
        <w:t xml:space="preserve"> to do so</w:t>
      </w:r>
      <w:r w:rsidR="00265E81">
        <w:rPr>
          <w:szCs w:val="24"/>
        </w:rPr>
        <w:t>.</w:t>
      </w:r>
      <w:r w:rsidR="004E1DCF">
        <w:rPr>
          <w:szCs w:val="24"/>
        </w:rPr>
        <w:t xml:space="preserve"> </w:t>
      </w:r>
      <w:r w:rsidR="00DB44FF">
        <w:rPr>
          <w:szCs w:val="24"/>
        </w:rPr>
        <w:t>An example is where a child protection agency requests information when investigating the welfare of a child. Section 23 of the Bill creates an offence for making a record, using or disclosing personal information where not authorised.</w:t>
      </w:r>
      <w:r w:rsidR="004A4C94" w:rsidRPr="00272ABF">
        <w:rPr>
          <w:rFonts w:ascii="Arial" w:hAnsi="Arial" w:cs="Arial"/>
          <w:color w:val="000000"/>
        </w:rPr>
        <w:t xml:space="preserve"> </w:t>
      </w:r>
      <w:r w:rsidR="00272ABF" w:rsidRPr="00272ABF">
        <w:rPr>
          <w:rFonts w:ascii="Times New Roman" w:hAnsi="Times New Roman"/>
          <w:color w:val="000000"/>
        </w:rPr>
        <w:t>In the 2014-2015 financial year, more than 18,000 authorisations occurred for this purpose</w:t>
      </w:r>
      <w:r w:rsidR="004A4C94" w:rsidRPr="00272ABF">
        <w:rPr>
          <w:rFonts w:ascii="Times New Roman" w:hAnsi="Times New Roman"/>
          <w:color w:val="000000"/>
        </w:rPr>
        <w:t>.</w:t>
      </w:r>
      <w:r w:rsidR="004A4C94" w:rsidRPr="00272ABF">
        <w:rPr>
          <w:rFonts w:ascii="Arial" w:hAnsi="Arial" w:cs="Arial"/>
          <w:color w:val="000000"/>
        </w:rPr>
        <w:t xml:space="preserve">  </w:t>
      </w:r>
    </w:p>
    <w:p w:rsidR="00327CFB" w:rsidRDefault="00437F57" w:rsidP="00863B38">
      <w:pPr>
        <w:spacing w:before="100" w:beforeAutospacing="1" w:after="100" w:afterAutospacing="1"/>
        <w:ind w:right="-136"/>
        <w:jc w:val="both"/>
        <w:rPr>
          <w:szCs w:val="24"/>
        </w:rPr>
      </w:pPr>
      <w:r>
        <w:rPr>
          <w:szCs w:val="24"/>
        </w:rPr>
        <w:t>Persons who</w:t>
      </w:r>
      <w:r w:rsidR="009311D4">
        <w:rPr>
          <w:szCs w:val="24"/>
        </w:rPr>
        <w:t xml:space="preserve"> obtain information or disclose</w:t>
      </w:r>
      <w:r w:rsidR="00272ABF">
        <w:rPr>
          <w:szCs w:val="24"/>
        </w:rPr>
        <w:t xml:space="preserve"> information and are</w:t>
      </w:r>
      <w:r w:rsidR="009A6298">
        <w:rPr>
          <w:szCs w:val="24"/>
        </w:rPr>
        <w:t xml:space="preserve"> not authorised to do so under S</w:t>
      </w:r>
      <w:r w:rsidR="00ED1B0E">
        <w:rPr>
          <w:szCs w:val="24"/>
        </w:rPr>
        <w:t xml:space="preserve">ubsection </w:t>
      </w:r>
      <w:r w:rsidR="00AE15DD">
        <w:rPr>
          <w:szCs w:val="24"/>
        </w:rPr>
        <w:t>22</w:t>
      </w:r>
      <w:r w:rsidR="00ED1B0E">
        <w:rPr>
          <w:szCs w:val="24"/>
        </w:rPr>
        <w:t xml:space="preserve">(2) of the Bill </w:t>
      </w:r>
      <w:r w:rsidR="007E57D9">
        <w:rPr>
          <w:szCs w:val="24"/>
        </w:rPr>
        <w:t>are</w:t>
      </w:r>
      <w:r w:rsidR="00ED1B0E">
        <w:rPr>
          <w:szCs w:val="24"/>
        </w:rPr>
        <w:t xml:space="preserve"> subject to imprisonment for 2 years</w:t>
      </w:r>
      <w:r w:rsidR="00265E81">
        <w:rPr>
          <w:szCs w:val="24"/>
        </w:rPr>
        <w:t xml:space="preserve"> or 120 penalty units, or both.</w:t>
      </w:r>
      <w:r w:rsidR="00ED1B0E">
        <w:rPr>
          <w:szCs w:val="24"/>
        </w:rPr>
        <w:t xml:space="preserve"> Specific exemptions to this offence relates to the person to whom the protect information relate to is described in </w:t>
      </w:r>
      <w:r w:rsidR="00817B1F">
        <w:rPr>
          <w:szCs w:val="24"/>
        </w:rPr>
        <w:t>Section</w:t>
      </w:r>
      <w:r w:rsidR="00ED1B0E">
        <w:rPr>
          <w:szCs w:val="24"/>
        </w:rPr>
        <w:t xml:space="preserve"> </w:t>
      </w:r>
      <w:r w:rsidR="00AE15DD">
        <w:rPr>
          <w:szCs w:val="24"/>
        </w:rPr>
        <w:t>27</w:t>
      </w:r>
      <w:r w:rsidR="00ED1B0E">
        <w:rPr>
          <w:szCs w:val="24"/>
        </w:rPr>
        <w:t>.</w:t>
      </w:r>
      <w:r w:rsidR="00272ABF">
        <w:rPr>
          <w:szCs w:val="24"/>
        </w:rPr>
        <w:t xml:space="preserve"> T</w:t>
      </w:r>
      <w:r w:rsidR="009311D4">
        <w:rPr>
          <w:szCs w:val="24"/>
        </w:rPr>
        <w:t xml:space="preserve">hese sanctions are </w:t>
      </w:r>
      <w:r w:rsidR="007E57D9">
        <w:rPr>
          <w:szCs w:val="24"/>
        </w:rPr>
        <w:t xml:space="preserve">described and </w:t>
      </w:r>
      <w:r w:rsidR="009311D4">
        <w:rPr>
          <w:szCs w:val="24"/>
        </w:rPr>
        <w:t>designed to encourage adherence to the intent of the Bill whilst</w:t>
      </w:r>
      <w:r w:rsidR="007E57D9">
        <w:rPr>
          <w:szCs w:val="24"/>
        </w:rPr>
        <w:t xml:space="preserve"> maintaining privacy provisions.</w:t>
      </w:r>
    </w:p>
    <w:p w:rsidR="00327CFB" w:rsidRPr="007E0193" w:rsidRDefault="00437F57" w:rsidP="000D1AAA">
      <w:pPr>
        <w:jc w:val="both"/>
        <w:rPr>
          <w:rFonts w:ascii="Times New Roman" w:hAnsi="Times New Roman"/>
          <w:szCs w:val="24"/>
          <w:highlight w:val="yellow"/>
        </w:rPr>
      </w:pPr>
      <w:r w:rsidRPr="00437F57">
        <w:rPr>
          <w:rFonts w:ascii="Times New Roman" w:hAnsi="Times New Roman"/>
          <w:szCs w:val="24"/>
        </w:rPr>
        <w:t xml:space="preserve">The </w:t>
      </w:r>
      <w:r w:rsidR="00DB44FF">
        <w:rPr>
          <w:rFonts w:ascii="Times New Roman" w:hAnsi="Times New Roman"/>
          <w:szCs w:val="24"/>
        </w:rPr>
        <w:t xml:space="preserve">authorisations of used and disclosure of personal information are </w:t>
      </w:r>
      <w:r w:rsidRPr="00437F57">
        <w:rPr>
          <w:rFonts w:ascii="Times New Roman" w:hAnsi="Times New Roman"/>
          <w:szCs w:val="24"/>
        </w:rPr>
        <w:t>reasonable, appropriate and necessary</w:t>
      </w:r>
      <w:r w:rsidR="009311D4">
        <w:rPr>
          <w:rFonts w:ascii="Times New Roman" w:hAnsi="Times New Roman"/>
          <w:szCs w:val="24"/>
        </w:rPr>
        <w:t xml:space="preserve"> for the objectives and purposes of the Bill and adequately describes persons who are requir</w:t>
      </w:r>
      <w:r w:rsidR="00DB44FF">
        <w:rPr>
          <w:rFonts w:ascii="Times New Roman" w:hAnsi="Times New Roman"/>
          <w:szCs w:val="24"/>
        </w:rPr>
        <w:t>ing</w:t>
      </w:r>
      <w:r w:rsidR="009311D4">
        <w:rPr>
          <w:rFonts w:ascii="Times New Roman" w:hAnsi="Times New Roman"/>
          <w:szCs w:val="24"/>
        </w:rPr>
        <w:t xml:space="preserve"> access</w:t>
      </w:r>
      <w:r w:rsidR="00DB44FF">
        <w:rPr>
          <w:rFonts w:ascii="Times New Roman" w:hAnsi="Times New Roman"/>
          <w:szCs w:val="24"/>
        </w:rPr>
        <w:t xml:space="preserve"> to</w:t>
      </w:r>
      <w:r w:rsidR="009311D4">
        <w:rPr>
          <w:rFonts w:ascii="Times New Roman" w:hAnsi="Times New Roman"/>
          <w:szCs w:val="24"/>
        </w:rPr>
        <w:t xml:space="preserve"> the immunisation </w:t>
      </w:r>
      <w:r w:rsidR="00C7648B">
        <w:rPr>
          <w:rFonts w:ascii="Times New Roman" w:hAnsi="Times New Roman"/>
          <w:szCs w:val="24"/>
        </w:rPr>
        <w:t>Register</w:t>
      </w:r>
      <w:r w:rsidR="00DB44FF">
        <w:rPr>
          <w:rFonts w:ascii="Times New Roman" w:hAnsi="Times New Roman"/>
          <w:szCs w:val="24"/>
        </w:rPr>
        <w:t xml:space="preserve"> to achi</w:t>
      </w:r>
      <w:r w:rsidR="00265E81">
        <w:rPr>
          <w:rFonts w:ascii="Times New Roman" w:hAnsi="Times New Roman"/>
          <w:szCs w:val="24"/>
        </w:rPr>
        <w:t xml:space="preserve">eve the objectives of the </w:t>
      </w:r>
      <w:r w:rsidR="00863B38">
        <w:rPr>
          <w:rFonts w:ascii="Times New Roman" w:hAnsi="Times New Roman"/>
          <w:szCs w:val="24"/>
        </w:rPr>
        <w:t>Register</w:t>
      </w:r>
      <w:r w:rsidRPr="00437F57">
        <w:rPr>
          <w:rFonts w:ascii="Times New Roman" w:hAnsi="Times New Roman"/>
          <w:szCs w:val="24"/>
        </w:rPr>
        <w:t>.</w:t>
      </w:r>
      <w:r w:rsidR="009311D4">
        <w:rPr>
          <w:rFonts w:ascii="Times New Roman" w:hAnsi="Times New Roman"/>
          <w:szCs w:val="24"/>
        </w:rPr>
        <w:t xml:space="preserve"> The </w:t>
      </w:r>
      <w:r w:rsidR="005A5C25">
        <w:rPr>
          <w:rFonts w:ascii="Times New Roman" w:hAnsi="Times New Roman"/>
          <w:szCs w:val="24"/>
        </w:rPr>
        <w:t xml:space="preserve">provisions in the Bill also provide individuals with freedom to access their own personal information. The limiting </w:t>
      </w:r>
      <w:r w:rsidR="00DB44FF">
        <w:rPr>
          <w:rFonts w:ascii="Times New Roman" w:hAnsi="Times New Roman"/>
          <w:szCs w:val="24"/>
        </w:rPr>
        <w:t>provisions surrounding the</w:t>
      </w:r>
      <w:r w:rsidR="00DB44FF" w:rsidRPr="00437F57">
        <w:rPr>
          <w:rFonts w:ascii="Times New Roman" w:hAnsi="Times New Roman"/>
          <w:szCs w:val="24"/>
        </w:rPr>
        <w:t xml:space="preserve"> access of personal information are</w:t>
      </w:r>
      <w:r w:rsidRPr="00437F57">
        <w:rPr>
          <w:rFonts w:ascii="Times New Roman" w:hAnsi="Times New Roman"/>
          <w:szCs w:val="24"/>
        </w:rPr>
        <w:t xml:space="preserve"> well described. </w:t>
      </w:r>
      <w:r w:rsidR="007E0193">
        <w:rPr>
          <w:rFonts w:ascii="Times New Roman" w:hAnsi="Times New Roman"/>
          <w:szCs w:val="24"/>
        </w:rPr>
        <w:t>T</w:t>
      </w:r>
      <w:r w:rsidRPr="00437F57">
        <w:rPr>
          <w:rFonts w:ascii="Times New Roman" w:hAnsi="Times New Roman"/>
          <w:szCs w:val="24"/>
        </w:rPr>
        <w:t>he limitation</w:t>
      </w:r>
      <w:r w:rsidR="00132FE7">
        <w:rPr>
          <w:rFonts w:ascii="Times New Roman" w:hAnsi="Times New Roman"/>
          <w:szCs w:val="24"/>
        </w:rPr>
        <w:t>s</w:t>
      </w:r>
      <w:r w:rsidRPr="00437F57">
        <w:rPr>
          <w:rFonts w:ascii="Times New Roman" w:hAnsi="Times New Roman"/>
          <w:szCs w:val="24"/>
        </w:rPr>
        <w:t xml:space="preserve"> </w:t>
      </w:r>
      <w:r w:rsidR="00DB44FF">
        <w:rPr>
          <w:rFonts w:ascii="Times New Roman" w:hAnsi="Times New Roman"/>
          <w:szCs w:val="24"/>
        </w:rPr>
        <w:t>for</w:t>
      </w:r>
      <w:r w:rsidRPr="00437F57">
        <w:rPr>
          <w:rFonts w:ascii="Times New Roman" w:hAnsi="Times New Roman"/>
          <w:szCs w:val="24"/>
        </w:rPr>
        <w:t xml:space="preserve"> purposes </w:t>
      </w:r>
      <w:r w:rsidR="00DB44FF">
        <w:rPr>
          <w:rFonts w:ascii="Times New Roman" w:hAnsi="Times New Roman"/>
          <w:szCs w:val="24"/>
        </w:rPr>
        <w:t xml:space="preserve">for </w:t>
      </w:r>
      <w:r w:rsidRPr="00437F57">
        <w:rPr>
          <w:rFonts w:ascii="Times New Roman" w:hAnsi="Times New Roman"/>
          <w:szCs w:val="24"/>
        </w:rPr>
        <w:t xml:space="preserve">which the information </w:t>
      </w:r>
      <w:r w:rsidR="00DB44FF">
        <w:rPr>
          <w:rFonts w:ascii="Times New Roman" w:hAnsi="Times New Roman"/>
          <w:szCs w:val="24"/>
        </w:rPr>
        <w:t>can be</w:t>
      </w:r>
      <w:r w:rsidRPr="00437F57">
        <w:rPr>
          <w:rFonts w:ascii="Times New Roman" w:hAnsi="Times New Roman"/>
          <w:szCs w:val="24"/>
        </w:rPr>
        <w:t xml:space="preserve"> disclosed </w:t>
      </w:r>
      <w:r w:rsidR="00DB44FF">
        <w:rPr>
          <w:rFonts w:ascii="Times New Roman" w:hAnsi="Times New Roman"/>
          <w:szCs w:val="24"/>
        </w:rPr>
        <w:t>are</w:t>
      </w:r>
      <w:r w:rsidRPr="00437F57">
        <w:rPr>
          <w:rFonts w:ascii="Times New Roman" w:hAnsi="Times New Roman"/>
          <w:szCs w:val="24"/>
        </w:rPr>
        <w:t xml:space="preserve"> </w:t>
      </w:r>
      <w:r w:rsidR="00DB44FF">
        <w:rPr>
          <w:rFonts w:ascii="Times New Roman" w:hAnsi="Times New Roman"/>
          <w:szCs w:val="24"/>
        </w:rPr>
        <w:t xml:space="preserve">a </w:t>
      </w:r>
      <w:r w:rsidRPr="00437F57">
        <w:rPr>
          <w:rFonts w:ascii="Times New Roman" w:hAnsi="Times New Roman"/>
          <w:szCs w:val="24"/>
        </w:rPr>
        <w:t>reasonable and proportionate</w:t>
      </w:r>
      <w:r w:rsidR="005A5C25">
        <w:rPr>
          <w:rFonts w:ascii="Times New Roman" w:hAnsi="Times New Roman"/>
          <w:szCs w:val="24"/>
        </w:rPr>
        <w:t xml:space="preserve"> use of </w:t>
      </w:r>
      <w:r w:rsidR="005A5C25" w:rsidRPr="00437F57">
        <w:rPr>
          <w:rFonts w:ascii="Times New Roman" w:hAnsi="Times New Roman"/>
          <w:szCs w:val="24"/>
        </w:rPr>
        <w:t>individual’s</w:t>
      </w:r>
      <w:r w:rsidR="005A5C25">
        <w:rPr>
          <w:rFonts w:ascii="Times New Roman" w:hAnsi="Times New Roman"/>
          <w:szCs w:val="24"/>
        </w:rPr>
        <w:t xml:space="preserve"> personal information.</w:t>
      </w:r>
    </w:p>
    <w:p w:rsidR="00AE04D7" w:rsidRPr="007E0193" w:rsidRDefault="00AE04D7" w:rsidP="00327CFB">
      <w:pPr>
        <w:jc w:val="both"/>
        <w:rPr>
          <w:rFonts w:ascii="Times New Roman" w:hAnsi="Times New Roman"/>
          <w:szCs w:val="24"/>
        </w:rPr>
      </w:pPr>
    </w:p>
    <w:p w:rsidR="00402195" w:rsidRDefault="008B0385" w:rsidP="00402195">
      <w:pPr>
        <w:spacing w:before="120" w:after="120"/>
        <w:jc w:val="both"/>
        <w:rPr>
          <w:rFonts w:ascii="Times New Roman" w:hAnsi="Times New Roman"/>
          <w:b/>
          <w:szCs w:val="24"/>
        </w:rPr>
      </w:pPr>
      <w:r w:rsidRPr="005024B3">
        <w:rPr>
          <w:rFonts w:ascii="Times New Roman" w:hAnsi="Times New Roman"/>
          <w:b/>
          <w:szCs w:val="24"/>
        </w:rPr>
        <w:t>Conclusion</w:t>
      </w:r>
    </w:p>
    <w:p w:rsidR="00D42059" w:rsidRPr="00402195" w:rsidRDefault="00402195" w:rsidP="00402195">
      <w:pPr>
        <w:spacing w:before="120" w:after="120"/>
        <w:jc w:val="both"/>
        <w:rPr>
          <w:rFonts w:ascii="Times New Roman" w:hAnsi="Times New Roman"/>
          <w:szCs w:val="24"/>
          <w:lang w:val="en-US"/>
        </w:rPr>
      </w:pPr>
      <w:r w:rsidRPr="00402195">
        <w:rPr>
          <w:rFonts w:ascii="Times New Roman" w:hAnsi="Times New Roman"/>
          <w:szCs w:val="24"/>
        </w:rPr>
        <w:t xml:space="preserve">The </w:t>
      </w:r>
      <w:r>
        <w:rPr>
          <w:rFonts w:ascii="Times New Roman" w:hAnsi="Times New Roman"/>
          <w:szCs w:val="24"/>
        </w:rPr>
        <w:t>Bill</w:t>
      </w:r>
      <w:r w:rsidRPr="00402195">
        <w:rPr>
          <w:rFonts w:ascii="Times New Roman" w:hAnsi="Times New Roman"/>
          <w:szCs w:val="24"/>
        </w:rPr>
        <w:t xml:space="preserve"> is compatible with human rights because it advances the protection of</w:t>
      </w:r>
      <w:r>
        <w:rPr>
          <w:rFonts w:ascii="Times New Roman" w:hAnsi="Times New Roman"/>
          <w:szCs w:val="24"/>
        </w:rPr>
        <w:t xml:space="preserve"> human rights as outlined above </w:t>
      </w:r>
      <w:r w:rsidR="00D42059" w:rsidRPr="00402195">
        <w:rPr>
          <w:rFonts w:ascii="Times New Roman" w:hAnsi="Times New Roman"/>
          <w:szCs w:val="24"/>
        </w:rPr>
        <w:t>and t</w:t>
      </w:r>
      <w:r w:rsidR="00D42059" w:rsidRPr="00402195">
        <w:rPr>
          <w:rFonts w:ascii="Times New Roman" w:hAnsi="Times New Roman"/>
          <w:szCs w:val="24"/>
          <w:lang w:val="en-GB"/>
        </w:rPr>
        <w:t xml:space="preserve">o the extent that it may also limit human rights, those limitations are reasonable, necessary and </w:t>
      </w:r>
      <w:r w:rsidR="00D42059" w:rsidRPr="00402195">
        <w:rPr>
          <w:rFonts w:ascii="Times New Roman" w:hAnsi="Times New Roman"/>
          <w:szCs w:val="24"/>
        </w:rPr>
        <w:t>proportionate.</w:t>
      </w:r>
    </w:p>
    <w:p w:rsidR="008B0385" w:rsidRPr="005024B3" w:rsidRDefault="008B0385" w:rsidP="008B0385">
      <w:pPr>
        <w:pStyle w:val="legcohead3"/>
        <w:rPr>
          <w:b w:val="0"/>
          <w:szCs w:val="24"/>
        </w:rPr>
      </w:pPr>
    </w:p>
    <w:p w:rsidR="0016521B" w:rsidRDefault="0016521B" w:rsidP="0030014C">
      <w:pPr>
        <w:jc w:val="center"/>
        <w:rPr>
          <w:b/>
          <w:bCs/>
          <w:szCs w:val="24"/>
        </w:rPr>
      </w:pPr>
    </w:p>
    <w:p w:rsidR="00457E4A" w:rsidRPr="0030014C" w:rsidRDefault="008B0385" w:rsidP="0030014C">
      <w:pPr>
        <w:jc w:val="center"/>
        <w:rPr>
          <w:b/>
        </w:rPr>
      </w:pPr>
      <w:r w:rsidRPr="0030014C">
        <w:rPr>
          <w:b/>
          <w:bCs/>
          <w:szCs w:val="24"/>
        </w:rPr>
        <w:t xml:space="preserve">The Hon </w:t>
      </w:r>
      <w:proofErr w:type="spellStart"/>
      <w:r w:rsidR="0092640D">
        <w:rPr>
          <w:b/>
          <w:bCs/>
          <w:szCs w:val="24"/>
        </w:rPr>
        <w:t>Sussan</w:t>
      </w:r>
      <w:proofErr w:type="spellEnd"/>
      <w:r w:rsidR="0092640D">
        <w:rPr>
          <w:b/>
          <w:bCs/>
          <w:szCs w:val="24"/>
        </w:rPr>
        <w:t xml:space="preserve"> Ley</w:t>
      </w:r>
      <w:r w:rsidRPr="0030014C">
        <w:rPr>
          <w:b/>
          <w:bCs/>
          <w:szCs w:val="24"/>
        </w:rPr>
        <w:t xml:space="preserve"> MP, the Minister for Health</w:t>
      </w:r>
    </w:p>
    <w:p w:rsidR="00457E4A" w:rsidRPr="00457E4A" w:rsidRDefault="00457E4A" w:rsidP="00457E4A">
      <w:pPr>
        <w:jc w:val="center"/>
        <w:rPr>
          <w:b/>
        </w:rPr>
      </w:pPr>
      <w:r>
        <w:br w:type="page"/>
      </w:r>
      <w:r w:rsidR="00D866BF">
        <w:rPr>
          <w:b/>
          <w:shd w:val="clear" w:color="000000" w:fill="FFFFFF"/>
        </w:rPr>
        <w:lastRenderedPageBreak/>
        <w:fldChar w:fldCharType="begin">
          <w:ffData>
            <w:name w:val=""/>
            <w:enabled/>
            <w:calcOnExit w:val="0"/>
            <w:textInput>
              <w:default w:val="AUSTRALIAN IMMUNISATION REGISTERS BILL 2015"/>
            </w:textInput>
          </w:ffData>
        </w:fldChar>
      </w:r>
      <w:r w:rsidR="00D866BF">
        <w:rPr>
          <w:b/>
          <w:shd w:val="clear" w:color="000000" w:fill="FFFFFF"/>
        </w:rPr>
        <w:instrText xml:space="preserve"> FORMTEXT </w:instrText>
      </w:r>
      <w:r w:rsidR="00D866BF">
        <w:rPr>
          <w:b/>
          <w:shd w:val="clear" w:color="000000" w:fill="FFFFFF"/>
        </w:rPr>
      </w:r>
      <w:r w:rsidR="00D866BF">
        <w:rPr>
          <w:b/>
          <w:shd w:val="clear" w:color="000000" w:fill="FFFFFF"/>
        </w:rPr>
        <w:fldChar w:fldCharType="separate"/>
      </w:r>
      <w:r w:rsidR="00D866BF">
        <w:rPr>
          <w:b/>
          <w:noProof/>
          <w:shd w:val="clear" w:color="000000" w:fill="FFFFFF"/>
        </w:rPr>
        <w:t xml:space="preserve">AUSTRALIAN IMMUNISATION </w:t>
      </w:r>
      <w:r w:rsidR="00C7648B">
        <w:rPr>
          <w:b/>
          <w:noProof/>
          <w:shd w:val="clear" w:color="000000" w:fill="FFFFFF"/>
        </w:rPr>
        <w:t>REGISTER</w:t>
      </w:r>
      <w:r w:rsidR="00D866BF">
        <w:rPr>
          <w:b/>
          <w:noProof/>
          <w:shd w:val="clear" w:color="000000" w:fill="FFFFFF"/>
        </w:rPr>
        <w:t xml:space="preserve"> BILL 2015</w:t>
      </w:r>
      <w:r w:rsidR="00D866BF">
        <w:rPr>
          <w:b/>
          <w:shd w:val="clear" w:color="000000" w:fill="FFFFFF"/>
        </w:rPr>
        <w:fldChar w:fldCharType="end"/>
      </w:r>
    </w:p>
    <w:p w:rsidR="00457E4A" w:rsidRDefault="00457E4A" w:rsidP="00457E4A">
      <w:pPr>
        <w:jc w:val="center"/>
      </w:pPr>
    </w:p>
    <w:p w:rsidR="00457E4A" w:rsidRDefault="00457E4A" w:rsidP="00457E4A">
      <w:pPr>
        <w:rPr>
          <w:b/>
        </w:rPr>
      </w:pPr>
      <w:r>
        <w:rPr>
          <w:b/>
        </w:rPr>
        <w:t xml:space="preserve">NOTES ON </w:t>
      </w:r>
      <w:r w:rsidR="00817B1F">
        <w:rPr>
          <w:b/>
        </w:rPr>
        <w:t>SECTION</w:t>
      </w:r>
      <w:r>
        <w:rPr>
          <w:b/>
        </w:rPr>
        <w:t>S</w:t>
      </w:r>
    </w:p>
    <w:p w:rsidR="00457E4A" w:rsidRDefault="00457E4A" w:rsidP="00457E4A">
      <w:pPr>
        <w:rPr>
          <w:b/>
        </w:rPr>
      </w:pPr>
    </w:p>
    <w:p w:rsidR="00D535D5" w:rsidRPr="00D535D5" w:rsidRDefault="00D535D5" w:rsidP="00457E4A">
      <w:pPr>
        <w:rPr>
          <w:b/>
          <w:sz w:val="28"/>
          <w:szCs w:val="28"/>
        </w:rPr>
      </w:pPr>
      <w:r w:rsidRPr="00D535D5">
        <w:rPr>
          <w:b/>
          <w:sz w:val="28"/>
          <w:szCs w:val="28"/>
        </w:rPr>
        <w:t>Part 1:</w:t>
      </w:r>
      <w:r w:rsidR="00AE15DD">
        <w:rPr>
          <w:b/>
          <w:sz w:val="28"/>
          <w:szCs w:val="28"/>
        </w:rPr>
        <w:t xml:space="preserve"> Preliminary</w:t>
      </w:r>
    </w:p>
    <w:p w:rsidR="004B5923" w:rsidRDefault="004B5923" w:rsidP="00983BAE">
      <w:pPr>
        <w:rPr>
          <w:b/>
        </w:rPr>
      </w:pPr>
    </w:p>
    <w:p w:rsidR="00D535D5" w:rsidRDefault="00817B1F" w:rsidP="00983BAE">
      <w:pPr>
        <w:rPr>
          <w:b/>
        </w:rPr>
      </w:pPr>
      <w:r>
        <w:rPr>
          <w:b/>
        </w:rPr>
        <w:t>Section</w:t>
      </w:r>
      <w:r w:rsidR="00457E4A">
        <w:rPr>
          <w:b/>
        </w:rPr>
        <w:t xml:space="preserve"> 1 – Short Title</w:t>
      </w:r>
      <w:r w:rsidR="00D535D5">
        <w:rPr>
          <w:b/>
        </w:rPr>
        <w:t xml:space="preserve">: </w:t>
      </w:r>
    </w:p>
    <w:p w:rsidR="004B5923" w:rsidRDefault="004B5923" w:rsidP="00983BAE">
      <w:pPr>
        <w:rPr>
          <w:b/>
        </w:rPr>
      </w:pPr>
    </w:p>
    <w:p w:rsidR="00457E4A" w:rsidRPr="00D535D5" w:rsidRDefault="00457E4A" w:rsidP="00983BAE">
      <w:pPr>
        <w:rPr>
          <w:b/>
        </w:rPr>
      </w:pPr>
      <w:r w:rsidRPr="00F87841">
        <w:t xml:space="preserve">This </w:t>
      </w:r>
      <w:r w:rsidR="00817B1F">
        <w:t>Section</w:t>
      </w:r>
      <w:r w:rsidRPr="00F87841">
        <w:t xml:space="preserve"> provides that the </w:t>
      </w:r>
      <w:r>
        <w:t>Bill</w:t>
      </w:r>
      <w:r w:rsidR="00E83E49">
        <w:t>, once enacted,</w:t>
      </w:r>
      <w:r>
        <w:t xml:space="preserve"> </w:t>
      </w:r>
      <w:r w:rsidRPr="00F87841">
        <w:t>may be cited as the</w:t>
      </w:r>
      <w:r w:rsidR="00C12F9E">
        <w:t xml:space="preserve"> </w:t>
      </w:r>
      <w:r w:rsidR="00C12F9E" w:rsidRPr="00D535D5">
        <w:rPr>
          <w:i/>
        </w:rPr>
        <w:t>Aus</w:t>
      </w:r>
      <w:r w:rsidR="00D535D5">
        <w:rPr>
          <w:i/>
        </w:rPr>
        <w:t xml:space="preserve">tralian Immunisation </w:t>
      </w:r>
      <w:r w:rsidR="00C7648B">
        <w:rPr>
          <w:i/>
        </w:rPr>
        <w:t>Register</w:t>
      </w:r>
      <w:r w:rsidR="00D535D5">
        <w:rPr>
          <w:i/>
        </w:rPr>
        <w:t xml:space="preserve"> Act</w:t>
      </w:r>
      <w:r w:rsidR="00C12F9E" w:rsidRPr="00D535D5">
        <w:rPr>
          <w:i/>
        </w:rPr>
        <w:t xml:space="preserve"> 2015</w:t>
      </w:r>
      <w:r w:rsidR="00FB0AE4">
        <w:rPr>
          <w:i/>
        </w:rPr>
        <w:t>.</w:t>
      </w:r>
    </w:p>
    <w:p w:rsidR="00457E4A" w:rsidRDefault="00457E4A" w:rsidP="00457E4A"/>
    <w:p w:rsidR="00D535D5" w:rsidRDefault="00817B1F" w:rsidP="00983BAE">
      <w:pPr>
        <w:rPr>
          <w:b/>
        </w:rPr>
      </w:pPr>
      <w:r>
        <w:rPr>
          <w:b/>
        </w:rPr>
        <w:t>Section</w:t>
      </w:r>
      <w:r w:rsidR="00457E4A">
        <w:rPr>
          <w:b/>
        </w:rPr>
        <w:t xml:space="preserve"> 2 – Commencement</w:t>
      </w:r>
      <w:r w:rsidR="00D535D5">
        <w:rPr>
          <w:b/>
        </w:rPr>
        <w:t xml:space="preserve">: </w:t>
      </w:r>
    </w:p>
    <w:p w:rsidR="004B5923" w:rsidRDefault="004B5923" w:rsidP="00983BAE">
      <w:pPr>
        <w:rPr>
          <w:b/>
        </w:rPr>
      </w:pPr>
    </w:p>
    <w:p w:rsidR="00457E4A" w:rsidRDefault="00D2260F" w:rsidP="00983BAE">
      <w:r>
        <w:t xml:space="preserve">The Bill will commence on </w:t>
      </w:r>
      <w:r w:rsidR="00137968">
        <w:t>1 January 2016</w:t>
      </w:r>
      <w:r>
        <w:t>.</w:t>
      </w:r>
    </w:p>
    <w:p w:rsidR="00D2260F" w:rsidRDefault="00D2260F" w:rsidP="00457E4A"/>
    <w:p w:rsidR="00D535D5" w:rsidRDefault="00817B1F" w:rsidP="00D535D5">
      <w:pPr>
        <w:rPr>
          <w:b/>
        </w:rPr>
      </w:pPr>
      <w:r>
        <w:rPr>
          <w:b/>
        </w:rPr>
        <w:t>Section</w:t>
      </w:r>
      <w:r w:rsidR="00457E4A">
        <w:rPr>
          <w:b/>
        </w:rPr>
        <w:t xml:space="preserve"> 3 – </w:t>
      </w:r>
      <w:r w:rsidR="00AE15DD">
        <w:rPr>
          <w:b/>
        </w:rPr>
        <w:t>Simplified outline of this Act</w:t>
      </w:r>
    </w:p>
    <w:p w:rsidR="004B5923" w:rsidRDefault="004B5923" w:rsidP="00D535D5">
      <w:pPr>
        <w:rPr>
          <w:b/>
        </w:rPr>
      </w:pPr>
    </w:p>
    <w:p w:rsidR="00457E4A" w:rsidRPr="00244FEC" w:rsidRDefault="00457E4A" w:rsidP="00D535D5">
      <w:r w:rsidRPr="00244FEC">
        <w:t xml:space="preserve">This </w:t>
      </w:r>
      <w:r w:rsidR="00137968">
        <w:t>s</w:t>
      </w:r>
      <w:r w:rsidR="00817B1F">
        <w:t>ection</w:t>
      </w:r>
      <w:r w:rsidRPr="00244FEC">
        <w:t xml:space="preserve"> provides </w:t>
      </w:r>
      <w:r w:rsidR="00D535D5" w:rsidRPr="00244FEC">
        <w:t xml:space="preserve">a simplified outline of the Act.  It </w:t>
      </w:r>
      <w:r w:rsidR="00137968">
        <w:t>summarises</w:t>
      </w:r>
      <w:r w:rsidR="00D535D5" w:rsidRPr="00244FEC">
        <w:t xml:space="preserve"> </w:t>
      </w:r>
      <w:r w:rsidR="004B20D7" w:rsidRPr="00244FEC">
        <w:t xml:space="preserve">the provisions set out in the Act. </w:t>
      </w:r>
      <w:r w:rsidR="00E83E49" w:rsidRPr="00244FEC">
        <w:t xml:space="preserve">  </w:t>
      </w:r>
    </w:p>
    <w:p w:rsidR="00D535D5" w:rsidRDefault="00D535D5" w:rsidP="00983BAE">
      <w:pPr>
        <w:jc w:val="both"/>
        <w:rPr>
          <w:highlight w:val="yellow"/>
        </w:rPr>
      </w:pPr>
    </w:p>
    <w:p w:rsidR="00D535D5" w:rsidRDefault="00D535D5" w:rsidP="00983BAE">
      <w:pPr>
        <w:jc w:val="both"/>
      </w:pPr>
      <w:r w:rsidRPr="00D535D5">
        <w:t>Whilst a simplified outline is included to assist readers to understand the substantive provision</w:t>
      </w:r>
      <w:r w:rsidR="00137968">
        <w:t>s</w:t>
      </w:r>
      <w:r w:rsidRPr="00D535D5">
        <w:t xml:space="preserve">, the outline </w:t>
      </w:r>
      <w:r w:rsidR="00137968">
        <w:t>is</w:t>
      </w:r>
      <w:r w:rsidRPr="00D535D5">
        <w:t xml:space="preserve"> not intended to be comprehensive.  It is intended that readers should rely on the substantive provisions.</w:t>
      </w:r>
    </w:p>
    <w:p w:rsidR="00D535D5" w:rsidRDefault="00D535D5" w:rsidP="00983BAE">
      <w:pPr>
        <w:jc w:val="both"/>
      </w:pPr>
    </w:p>
    <w:p w:rsidR="00D535D5" w:rsidRDefault="00817B1F" w:rsidP="00983BAE">
      <w:pPr>
        <w:jc w:val="both"/>
        <w:rPr>
          <w:b/>
        </w:rPr>
      </w:pPr>
      <w:r>
        <w:rPr>
          <w:b/>
        </w:rPr>
        <w:t>Section</w:t>
      </w:r>
      <w:r w:rsidR="00D535D5">
        <w:rPr>
          <w:b/>
        </w:rPr>
        <w:t xml:space="preserve"> 4 – Definitions</w:t>
      </w:r>
    </w:p>
    <w:p w:rsidR="004B5923" w:rsidRDefault="004B5923" w:rsidP="00983BAE">
      <w:pPr>
        <w:jc w:val="both"/>
        <w:rPr>
          <w:b/>
        </w:rPr>
      </w:pPr>
    </w:p>
    <w:p w:rsidR="007E57D9" w:rsidRDefault="00D535D5" w:rsidP="00983BAE">
      <w:pPr>
        <w:jc w:val="both"/>
        <w:rPr>
          <w:i/>
        </w:rPr>
      </w:pPr>
      <w:r>
        <w:t xml:space="preserve">This </w:t>
      </w:r>
      <w:r w:rsidR="00817B1F">
        <w:t>Section</w:t>
      </w:r>
      <w:r>
        <w:t xml:space="preserve"> provides definitions of the terms used within the Act.  </w:t>
      </w:r>
    </w:p>
    <w:p w:rsidR="007E57D9" w:rsidRPr="007E57D9" w:rsidRDefault="007E57D9" w:rsidP="00983BAE">
      <w:pPr>
        <w:jc w:val="both"/>
      </w:pPr>
      <w:r>
        <w:t>The definitions include;</w:t>
      </w:r>
    </w:p>
    <w:p w:rsidR="007E57D9" w:rsidRPr="007E57D9" w:rsidRDefault="007E57D9" w:rsidP="007E57D9">
      <w:pPr>
        <w:numPr>
          <w:ilvl w:val="0"/>
          <w:numId w:val="25"/>
        </w:numPr>
        <w:jc w:val="both"/>
      </w:pPr>
      <w:r w:rsidRPr="007E57D9">
        <w:t>ACI Register</w:t>
      </w:r>
      <w:r>
        <w:t xml:space="preserve"> </w:t>
      </w:r>
      <w:r w:rsidR="00F82667">
        <w:t>–</w:t>
      </w:r>
      <w:r w:rsidRPr="007E57D9">
        <w:t xml:space="preserve"> </w:t>
      </w:r>
      <w:r w:rsidR="00F82667">
        <w:t>means the Australian Childhood Immunisation Register.</w:t>
      </w:r>
    </w:p>
    <w:p w:rsidR="00762265" w:rsidRDefault="00762265" w:rsidP="007E57D9">
      <w:pPr>
        <w:numPr>
          <w:ilvl w:val="0"/>
          <w:numId w:val="25"/>
        </w:numPr>
        <w:jc w:val="both"/>
      </w:pPr>
      <w:r>
        <w:t>Approved Form –</w:t>
      </w:r>
      <w:r w:rsidR="00A10F4B">
        <w:t xml:space="preserve"> is a form approved under subsection 29(1). This form will allow individuals to actively manage personal information that is contained on the register.</w:t>
      </w:r>
    </w:p>
    <w:p w:rsidR="00391544" w:rsidRDefault="00391544" w:rsidP="007E57D9">
      <w:pPr>
        <w:numPr>
          <w:ilvl w:val="0"/>
          <w:numId w:val="25"/>
        </w:numPr>
        <w:jc w:val="both"/>
      </w:pPr>
      <w:r>
        <w:t>Arrangement- means and includes a contract or deed</w:t>
      </w:r>
      <w:r w:rsidR="004D1A7D">
        <w:t>.</w:t>
      </w:r>
    </w:p>
    <w:p w:rsidR="00DB44FF" w:rsidRDefault="00DB44FF" w:rsidP="007E57D9">
      <w:pPr>
        <w:numPr>
          <w:ilvl w:val="0"/>
          <w:numId w:val="25"/>
        </w:numPr>
        <w:jc w:val="both"/>
      </w:pPr>
      <w:r>
        <w:t xml:space="preserve">Chief Executive Medicare – has the same meaning as in the </w:t>
      </w:r>
      <w:r w:rsidRPr="005445D0">
        <w:rPr>
          <w:rFonts w:ascii="Times New Roman" w:hAnsi="Times New Roman"/>
          <w:i/>
          <w:iCs/>
          <w:szCs w:val="24"/>
        </w:rPr>
        <w:t>Human Services (Medicare) Act 1973</w:t>
      </w:r>
      <w:r w:rsidR="004D1A7D">
        <w:rPr>
          <w:rFonts w:ascii="Times New Roman" w:hAnsi="Times New Roman"/>
          <w:i/>
          <w:iCs/>
          <w:szCs w:val="24"/>
        </w:rPr>
        <w:t>.</w:t>
      </w:r>
    </w:p>
    <w:p w:rsidR="007E57D9" w:rsidRPr="007E57D9" w:rsidRDefault="007E57D9" w:rsidP="007E57D9">
      <w:pPr>
        <w:numPr>
          <w:ilvl w:val="0"/>
          <w:numId w:val="25"/>
        </w:numPr>
        <w:jc w:val="both"/>
      </w:pPr>
      <w:r w:rsidRPr="007E57D9">
        <w:t>Commercial-in-confidence</w:t>
      </w:r>
      <w:r w:rsidR="00F82667">
        <w:t xml:space="preserve"> – is defined </w:t>
      </w:r>
      <w:r w:rsidR="00DB44FF">
        <w:t>in</w:t>
      </w:r>
      <w:r w:rsidR="00F82667">
        <w:t xml:space="preserve"> </w:t>
      </w:r>
      <w:r w:rsidR="00DB44FF">
        <w:t>s</w:t>
      </w:r>
      <w:r w:rsidR="00817B1F">
        <w:t>ection</w:t>
      </w:r>
      <w:r w:rsidR="00F82667">
        <w:t xml:space="preserve"> 5 of the Act</w:t>
      </w:r>
      <w:r w:rsidR="004D1A7D">
        <w:t>.</w:t>
      </w:r>
    </w:p>
    <w:p w:rsidR="007E57D9" w:rsidRPr="007E57D9" w:rsidRDefault="007E57D9" w:rsidP="007E57D9">
      <w:pPr>
        <w:numPr>
          <w:ilvl w:val="0"/>
          <w:numId w:val="25"/>
        </w:numPr>
        <w:jc w:val="both"/>
      </w:pPr>
      <w:r w:rsidRPr="007E57D9">
        <w:t>Family assistance</w:t>
      </w:r>
      <w:r w:rsidR="00F82667">
        <w:t xml:space="preserve"> - has the same meaning within the </w:t>
      </w:r>
      <w:r w:rsidR="00F82667">
        <w:rPr>
          <w:i/>
        </w:rPr>
        <w:t>A New Tax System (family Assistance) Act 1999</w:t>
      </w:r>
      <w:r w:rsidR="004D1A7D">
        <w:rPr>
          <w:i/>
        </w:rPr>
        <w:t>.</w:t>
      </w:r>
    </w:p>
    <w:p w:rsidR="007E57D9" w:rsidRPr="007E57D9" w:rsidRDefault="00F8147D" w:rsidP="007E57D9">
      <w:pPr>
        <w:numPr>
          <w:ilvl w:val="0"/>
          <w:numId w:val="25"/>
        </w:numPr>
        <w:jc w:val="both"/>
      </w:pPr>
      <w:r>
        <w:t>General</w:t>
      </w:r>
      <w:r w:rsidR="007E57D9" w:rsidRPr="007E57D9">
        <w:t xml:space="preserve"> </w:t>
      </w:r>
      <w:r>
        <w:t>P</w:t>
      </w:r>
      <w:r w:rsidR="007E57D9" w:rsidRPr="007E57D9">
        <w:t>ractitioner</w:t>
      </w:r>
      <w:r w:rsidR="00F82667">
        <w:t xml:space="preserve"> - has the same meaning </w:t>
      </w:r>
      <w:r w:rsidR="00DB44FF">
        <w:t>as in</w:t>
      </w:r>
      <w:r w:rsidR="00F82667">
        <w:t xml:space="preserve"> the </w:t>
      </w:r>
      <w:r w:rsidR="00F82667">
        <w:rPr>
          <w:i/>
        </w:rPr>
        <w:t>Health Insurance Act 1973</w:t>
      </w:r>
      <w:r w:rsidR="004D1A7D">
        <w:rPr>
          <w:i/>
        </w:rPr>
        <w:t>.</w:t>
      </w:r>
    </w:p>
    <w:p w:rsidR="007E57D9" w:rsidRPr="007E57D9" w:rsidRDefault="007E57D9" w:rsidP="007E57D9">
      <w:pPr>
        <w:numPr>
          <w:ilvl w:val="0"/>
          <w:numId w:val="25"/>
        </w:numPr>
        <w:jc w:val="both"/>
      </w:pPr>
      <w:r w:rsidRPr="007E57D9">
        <w:t>Parent</w:t>
      </w:r>
      <w:r w:rsidR="00DB44FF">
        <w:t>- means someone who is a parent based on the definition of child.</w:t>
      </w:r>
    </w:p>
    <w:p w:rsidR="007E57D9" w:rsidRPr="007E57D9" w:rsidRDefault="007E57D9" w:rsidP="007E57D9">
      <w:pPr>
        <w:numPr>
          <w:ilvl w:val="0"/>
          <w:numId w:val="25"/>
        </w:numPr>
        <w:jc w:val="both"/>
      </w:pPr>
      <w:r w:rsidRPr="007E57D9">
        <w:t xml:space="preserve">Personal information </w:t>
      </w:r>
      <w:r w:rsidR="00F82667">
        <w:t xml:space="preserve">- has the same meaning </w:t>
      </w:r>
      <w:r w:rsidR="00DB44FF">
        <w:t>as in</w:t>
      </w:r>
      <w:r w:rsidR="00F82667">
        <w:t xml:space="preserve"> the </w:t>
      </w:r>
      <w:r w:rsidR="00F82667">
        <w:rPr>
          <w:i/>
        </w:rPr>
        <w:t>Privacy Act 1988</w:t>
      </w:r>
      <w:r w:rsidR="004D1A7D">
        <w:rPr>
          <w:i/>
        </w:rPr>
        <w:t>.</w:t>
      </w:r>
    </w:p>
    <w:p w:rsidR="00D535D5" w:rsidRPr="007E57D9" w:rsidRDefault="000927E4" w:rsidP="007E57D9">
      <w:pPr>
        <w:numPr>
          <w:ilvl w:val="0"/>
          <w:numId w:val="25"/>
        </w:numPr>
        <w:jc w:val="both"/>
      </w:pPr>
      <w:r w:rsidRPr="007E57D9">
        <w:t xml:space="preserve">Prescribed bodies </w:t>
      </w:r>
      <w:r w:rsidR="007E57D9" w:rsidRPr="007E57D9">
        <w:t xml:space="preserve">- prescribed bodies refers to the definition set out in the </w:t>
      </w:r>
      <w:r w:rsidR="007E57D9" w:rsidRPr="007E57D9">
        <w:rPr>
          <w:i/>
        </w:rPr>
        <w:t>Australian Immunisation Register Rule 2015</w:t>
      </w:r>
      <w:r w:rsidR="007E57D9" w:rsidRPr="007E57D9">
        <w:t>.</w:t>
      </w:r>
    </w:p>
    <w:p w:rsidR="007E57D9" w:rsidRDefault="007E57D9" w:rsidP="007E57D9">
      <w:pPr>
        <w:numPr>
          <w:ilvl w:val="0"/>
          <w:numId w:val="25"/>
        </w:numPr>
        <w:jc w:val="both"/>
      </w:pPr>
      <w:r w:rsidRPr="007E57D9">
        <w:t>Protected information</w:t>
      </w:r>
      <w:r w:rsidR="00F82667">
        <w:t>- means personal information, relevant identifying information or information t</w:t>
      </w:r>
      <w:r w:rsidR="00DB44FF">
        <w:t>hat is commercial-in-confidence obtained under the Act or derived from information obtained or disclosed under the Act.</w:t>
      </w:r>
    </w:p>
    <w:p w:rsidR="00DB44FF" w:rsidRPr="007E57D9" w:rsidRDefault="00DB44FF" w:rsidP="007E57D9">
      <w:pPr>
        <w:numPr>
          <w:ilvl w:val="0"/>
          <w:numId w:val="25"/>
        </w:numPr>
        <w:jc w:val="both"/>
      </w:pPr>
      <w:r>
        <w:t>Purposes of the ACI register – means the purposes listed in section 10 of the Act.</w:t>
      </w:r>
    </w:p>
    <w:p w:rsidR="007E57D9" w:rsidRPr="007E57D9" w:rsidRDefault="007E57D9" w:rsidP="007E57D9">
      <w:pPr>
        <w:numPr>
          <w:ilvl w:val="0"/>
          <w:numId w:val="25"/>
        </w:numPr>
        <w:jc w:val="both"/>
      </w:pPr>
      <w:r w:rsidRPr="007E57D9">
        <w:lastRenderedPageBreak/>
        <w:t>Recognised vaccination provider</w:t>
      </w:r>
      <w:r w:rsidR="00F82667">
        <w:t xml:space="preserve"> – </w:t>
      </w:r>
      <w:r w:rsidR="009B38BB">
        <w:t xml:space="preserve">Medicare General Practitioners </w:t>
      </w:r>
      <w:r w:rsidR="00DB44FF">
        <w:t xml:space="preserve">which would include general practitioners </w:t>
      </w:r>
      <w:r w:rsidR="009B38BB">
        <w:t xml:space="preserve">(GPs) can access information recorded in the register and </w:t>
      </w:r>
      <w:r w:rsidR="00382711">
        <w:t>notify</w:t>
      </w:r>
      <w:r w:rsidR="009B38BB">
        <w:t xml:space="preserve"> vaccination information to the register. Other individuals or organisations can register as a vaccination provider for the purposes of sending information to</w:t>
      </w:r>
      <w:r w:rsidR="00382711">
        <w:t xml:space="preserve"> the register</w:t>
      </w:r>
      <w:r w:rsidR="009B38BB">
        <w:t xml:space="preserve">, and checking information contained in the register. </w:t>
      </w:r>
      <w:r w:rsidR="007A3C00">
        <w:t xml:space="preserve"> </w:t>
      </w:r>
      <w:r w:rsidR="009B38BB">
        <w:t>This is done by completing a registration form and seeking endorsement from their respective state or territory health department</w:t>
      </w:r>
      <w:r w:rsidR="00382711">
        <w:t>.</w:t>
      </w:r>
    </w:p>
    <w:p w:rsidR="007E57D9" w:rsidRPr="007E57D9" w:rsidRDefault="007E57D9" w:rsidP="007E57D9">
      <w:pPr>
        <w:numPr>
          <w:ilvl w:val="0"/>
          <w:numId w:val="25"/>
        </w:numPr>
        <w:jc w:val="both"/>
      </w:pPr>
      <w:r w:rsidRPr="007E57D9">
        <w:t>Relevant identifying information</w:t>
      </w:r>
      <w:r w:rsidR="00F82667">
        <w:t xml:space="preserve"> – is identifiable in</w:t>
      </w:r>
      <w:r w:rsidR="009A6298">
        <w:t xml:space="preserve">formation about an individual. </w:t>
      </w:r>
      <w:r w:rsidR="007A3C00">
        <w:t xml:space="preserve"> </w:t>
      </w:r>
      <w:r w:rsidR="00F82667">
        <w:t xml:space="preserve">This includes, name, contact details, date of birth, gender, indigenous status, </w:t>
      </w:r>
      <w:r w:rsidR="005D4385">
        <w:t>Medicare</w:t>
      </w:r>
      <w:r w:rsidR="00F82667">
        <w:t xml:space="preserve"> number, individual healthcare identifier and name of parent or guardian. </w:t>
      </w:r>
    </w:p>
    <w:p w:rsidR="007E57D9" w:rsidRPr="007E57D9" w:rsidRDefault="007E57D9" w:rsidP="007E57D9">
      <w:pPr>
        <w:numPr>
          <w:ilvl w:val="0"/>
          <w:numId w:val="25"/>
        </w:numPr>
        <w:jc w:val="both"/>
      </w:pPr>
      <w:r w:rsidRPr="007E57D9">
        <w:t>Relevant vaccination</w:t>
      </w:r>
      <w:r w:rsidR="00F82667">
        <w:t xml:space="preserve">- is any vaccination administered in Australia or outside of Australia if the information is </w:t>
      </w:r>
      <w:r w:rsidR="00F12B98">
        <w:t xml:space="preserve">notified </w:t>
      </w:r>
      <w:r w:rsidR="00F82667">
        <w:t>to a</w:t>
      </w:r>
      <w:r w:rsidR="00DB44FF">
        <w:t xml:space="preserve"> recognised</w:t>
      </w:r>
      <w:r w:rsidR="00F82667">
        <w:t xml:space="preserve"> </w:t>
      </w:r>
      <w:r w:rsidR="009B38BB">
        <w:t>vaccination</w:t>
      </w:r>
      <w:r w:rsidR="00F82667">
        <w:t xml:space="preserve"> provider.</w:t>
      </w:r>
      <w:r w:rsidRPr="007E57D9">
        <w:t xml:space="preserve"> </w:t>
      </w:r>
    </w:p>
    <w:p w:rsidR="007E57D9" w:rsidRPr="007E57D9" w:rsidRDefault="007E57D9" w:rsidP="007E57D9">
      <w:pPr>
        <w:numPr>
          <w:ilvl w:val="0"/>
          <w:numId w:val="25"/>
        </w:numPr>
        <w:jc w:val="both"/>
      </w:pPr>
      <w:r w:rsidRPr="007E57D9">
        <w:t xml:space="preserve">Rules – means the </w:t>
      </w:r>
      <w:r w:rsidR="00DB44FF">
        <w:t>rules under section 31 of the Act.</w:t>
      </w:r>
    </w:p>
    <w:p w:rsidR="007E57D9" w:rsidRPr="007E57D9" w:rsidRDefault="007E57D9" w:rsidP="007E57D9">
      <w:pPr>
        <w:numPr>
          <w:ilvl w:val="0"/>
          <w:numId w:val="25"/>
        </w:numPr>
        <w:jc w:val="both"/>
      </w:pPr>
      <w:r w:rsidRPr="007E57D9">
        <w:t>Vaccine preventable disease</w:t>
      </w:r>
      <w:r w:rsidR="005D4385">
        <w:t xml:space="preserve"> – is any disease listed as a vaccine preventable disease in the latest edition of the Australian Immunisation </w:t>
      </w:r>
      <w:r w:rsidR="00137968">
        <w:t>H</w:t>
      </w:r>
      <w:r w:rsidR="005D4385">
        <w:t>andbook.</w:t>
      </w:r>
    </w:p>
    <w:p w:rsidR="007E57D9" w:rsidRPr="007E57D9" w:rsidRDefault="007E57D9" w:rsidP="007E57D9">
      <w:pPr>
        <w:numPr>
          <w:ilvl w:val="0"/>
          <w:numId w:val="25"/>
        </w:numPr>
        <w:jc w:val="both"/>
      </w:pPr>
      <w:r w:rsidRPr="007E57D9">
        <w:t>Young individual</w:t>
      </w:r>
      <w:r w:rsidR="005D4385">
        <w:t xml:space="preserve"> – defined as a person under the age of 20 years.</w:t>
      </w:r>
    </w:p>
    <w:p w:rsidR="00D535D5" w:rsidRDefault="00D535D5" w:rsidP="00D535D5">
      <w:pPr>
        <w:jc w:val="both"/>
        <w:rPr>
          <w:b/>
        </w:rPr>
      </w:pPr>
    </w:p>
    <w:p w:rsidR="00D535D5" w:rsidRDefault="00817B1F" w:rsidP="00D535D5">
      <w:pPr>
        <w:jc w:val="both"/>
        <w:rPr>
          <w:b/>
          <w:i/>
        </w:rPr>
      </w:pPr>
      <w:r>
        <w:rPr>
          <w:b/>
        </w:rPr>
        <w:t>Section</w:t>
      </w:r>
      <w:r w:rsidR="00D535D5">
        <w:rPr>
          <w:b/>
        </w:rPr>
        <w:t xml:space="preserve"> 5 – Meaning of </w:t>
      </w:r>
      <w:r w:rsidR="00D535D5" w:rsidRPr="00D535D5">
        <w:rPr>
          <w:b/>
          <w:i/>
        </w:rPr>
        <w:t>commercial-in-confidence</w:t>
      </w:r>
    </w:p>
    <w:p w:rsidR="000927E4" w:rsidRDefault="000927E4" w:rsidP="00D535D5">
      <w:pPr>
        <w:jc w:val="both"/>
      </w:pPr>
    </w:p>
    <w:p w:rsidR="007E0193" w:rsidRPr="007E0193" w:rsidRDefault="007E0193" w:rsidP="000A4419">
      <w:pPr>
        <w:jc w:val="both"/>
      </w:pPr>
      <w:r>
        <w:t xml:space="preserve">This </w:t>
      </w:r>
      <w:r w:rsidR="009A6298">
        <w:t>S</w:t>
      </w:r>
      <w:r w:rsidR="00817B1F">
        <w:t>ection</w:t>
      </w:r>
      <w:r>
        <w:t xml:space="preserve"> </w:t>
      </w:r>
      <w:r w:rsidR="000A4419">
        <w:t>sets out factor</w:t>
      </w:r>
      <w:r w:rsidR="00A212F6">
        <w:t>s,</w:t>
      </w:r>
      <w:r w:rsidR="000A4419">
        <w:t xml:space="preserve"> for the Minister to consider when deciding whether informatio</w:t>
      </w:r>
      <w:r w:rsidR="009A6298">
        <w:t xml:space="preserve">n is commercial-in-confidence.  </w:t>
      </w:r>
      <w:r w:rsidR="000A4419">
        <w:t xml:space="preserve">This provision provides similar protections to that currently provided in the ACIR to commercial information in the </w:t>
      </w:r>
      <w:r w:rsidR="000A4419">
        <w:rPr>
          <w:i/>
        </w:rPr>
        <w:t xml:space="preserve">Health Insurance Act 1973. </w:t>
      </w:r>
    </w:p>
    <w:p w:rsidR="007E0193" w:rsidRPr="000927E4" w:rsidRDefault="007E0193" w:rsidP="00D535D5">
      <w:pPr>
        <w:jc w:val="both"/>
      </w:pPr>
    </w:p>
    <w:p w:rsidR="00D535D5" w:rsidRDefault="00817B1F" w:rsidP="00D535D5">
      <w:pPr>
        <w:jc w:val="both"/>
        <w:rPr>
          <w:b/>
        </w:rPr>
      </w:pPr>
      <w:r>
        <w:rPr>
          <w:b/>
        </w:rPr>
        <w:t>Section</w:t>
      </w:r>
      <w:r w:rsidR="00D535D5">
        <w:rPr>
          <w:b/>
        </w:rPr>
        <w:t xml:space="preserve"> 6 – Act binds the Crown</w:t>
      </w:r>
    </w:p>
    <w:p w:rsidR="004B5923" w:rsidRDefault="004B5923" w:rsidP="00D535D5">
      <w:pPr>
        <w:jc w:val="both"/>
      </w:pPr>
    </w:p>
    <w:p w:rsidR="000A4419" w:rsidRDefault="004B20D7" w:rsidP="00D535D5">
      <w:pPr>
        <w:jc w:val="both"/>
      </w:pPr>
      <w:r>
        <w:t xml:space="preserve">This </w:t>
      </w:r>
      <w:r w:rsidR="009A6298">
        <w:t>S</w:t>
      </w:r>
      <w:r w:rsidR="00817B1F">
        <w:t>ection</w:t>
      </w:r>
      <w:r>
        <w:t xml:space="preserve"> </w:t>
      </w:r>
      <w:r w:rsidR="000A4419">
        <w:t>provides that the obligation in the Act apply to the Crown but that the Crown cannot be prosecuted for any offence under the Act.</w:t>
      </w:r>
    </w:p>
    <w:p w:rsidR="000927E4" w:rsidRDefault="000927E4" w:rsidP="00D535D5">
      <w:pPr>
        <w:jc w:val="both"/>
        <w:rPr>
          <w:b/>
        </w:rPr>
      </w:pPr>
    </w:p>
    <w:p w:rsidR="000927E4" w:rsidRDefault="000927E4" w:rsidP="00D535D5">
      <w:pPr>
        <w:jc w:val="both"/>
        <w:rPr>
          <w:b/>
          <w:sz w:val="28"/>
          <w:szCs w:val="28"/>
        </w:rPr>
      </w:pPr>
      <w:r>
        <w:rPr>
          <w:b/>
          <w:sz w:val="28"/>
          <w:szCs w:val="28"/>
        </w:rPr>
        <w:t>Part 2</w:t>
      </w:r>
      <w:r w:rsidR="00AE15DD">
        <w:rPr>
          <w:b/>
          <w:sz w:val="28"/>
          <w:szCs w:val="28"/>
        </w:rPr>
        <w:t>: Australian Childhood Immunisation Register</w:t>
      </w:r>
    </w:p>
    <w:p w:rsidR="000927E4" w:rsidRDefault="000927E4" w:rsidP="00D535D5">
      <w:pPr>
        <w:jc w:val="both"/>
        <w:rPr>
          <w:b/>
          <w:sz w:val="28"/>
          <w:szCs w:val="28"/>
        </w:rPr>
      </w:pPr>
    </w:p>
    <w:p w:rsidR="000927E4" w:rsidRDefault="000927E4" w:rsidP="00D535D5">
      <w:pPr>
        <w:jc w:val="both"/>
        <w:rPr>
          <w:b/>
          <w:sz w:val="28"/>
          <w:szCs w:val="28"/>
        </w:rPr>
      </w:pPr>
      <w:r>
        <w:rPr>
          <w:b/>
          <w:sz w:val="28"/>
          <w:szCs w:val="28"/>
        </w:rPr>
        <w:t>Division 1 – Simplified outline</w:t>
      </w:r>
    </w:p>
    <w:p w:rsidR="000927E4" w:rsidRDefault="000927E4" w:rsidP="00D535D5">
      <w:pPr>
        <w:jc w:val="both"/>
        <w:rPr>
          <w:b/>
          <w:sz w:val="28"/>
          <w:szCs w:val="28"/>
        </w:rPr>
      </w:pPr>
    </w:p>
    <w:p w:rsidR="00D535D5" w:rsidRDefault="00817B1F" w:rsidP="00D535D5">
      <w:pPr>
        <w:jc w:val="both"/>
        <w:rPr>
          <w:b/>
        </w:rPr>
      </w:pPr>
      <w:r>
        <w:rPr>
          <w:b/>
        </w:rPr>
        <w:t>Section</w:t>
      </w:r>
      <w:r w:rsidR="00D535D5">
        <w:rPr>
          <w:b/>
        </w:rPr>
        <w:t xml:space="preserve"> </w:t>
      </w:r>
      <w:r w:rsidR="000927E4">
        <w:rPr>
          <w:b/>
        </w:rPr>
        <w:t>7</w:t>
      </w:r>
      <w:r w:rsidR="00D535D5">
        <w:rPr>
          <w:b/>
        </w:rPr>
        <w:t xml:space="preserve"> – </w:t>
      </w:r>
      <w:r w:rsidR="000927E4">
        <w:rPr>
          <w:b/>
        </w:rPr>
        <w:t>Simplified outline of this Part</w:t>
      </w:r>
    </w:p>
    <w:p w:rsidR="004B5923" w:rsidRDefault="004B5923" w:rsidP="00B545BF">
      <w:pPr>
        <w:jc w:val="both"/>
      </w:pPr>
    </w:p>
    <w:p w:rsidR="00B545BF" w:rsidRDefault="000A4419" w:rsidP="00B545BF">
      <w:pPr>
        <w:jc w:val="both"/>
      </w:pPr>
      <w:r>
        <w:t xml:space="preserve">This provides an outline of Part 2 of the Act. </w:t>
      </w:r>
      <w:r w:rsidR="00B545BF" w:rsidRPr="00D535D5">
        <w:t>Whilst a simplified outline is included to assist readers to understand the substantive provision</w:t>
      </w:r>
      <w:r>
        <w:t>s</w:t>
      </w:r>
      <w:r w:rsidR="00B545BF" w:rsidRPr="00D535D5">
        <w:t xml:space="preserve"> the outline </w:t>
      </w:r>
      <w:r>
        <w:t>is</w:t>
      </w:r>
      <w:r w:rsidR="00B545BF" w:rsidRPr="00D535D5">
        <w:t xml:space="preserve"> not</w:t>
      </w:r>
      <w:r w:rsidR="009A6298">
        <w:t xml:space="preserve"> intended to be comprehensive.  </w:t>
      </w:r>
      <w:r w:rsidR="00B545BF" w:rsidRPr="00D535D5">
        <w:t>It is intended that readers should rely on the substantive provisions.</w:t>
      </w:r>
    </w:p>
    <w:p w:rsidR="000927E4" w:rsidRDefault="000927E4" w:rsidP="00D535D5">
      <w:pPr>
        <w:jc w:val="both"/>
        <w:rPr>
          <w:b/>
        </w:rPr>
      </w:pPr>
    </w:p>
    <w:p w:rsidR="000927E4" w:rsidRPr="000927E4" w:rsidRDefault="000927E4" w:rsidP="00D535D5">
      <w:pPr>
        <w:jc w:val="both"/>
        <w:rPr>
          <w:b/>
          <w:sz w:val="28"/>
          <w:szCs w:val="28"/>
        </w:rPr>
      </w:pPr>
      <w:r>
        <w:rPr>
          <w:b/>
          <w:sz w:val="28"/>
          <w:szCs w:val="28"/>
        </w:rPr>
        <w:t>Division 2 – Establishment, contents and purposes</w:t>
      </w:r>
    </w:p>
    <w:p w:rsidR="00B545BF" w:rsidRDefault="00B545BF" w:rsidP="00D535D5">
      <w:pPr>
        <w:jc w:val="both"/>
        <w:rPr>
          <w:b/>
        </w:rPr>
      </w:pPr>
    </w:p>
    <w:p w:rsidR="00D535D5" w:rsidRDefault="00817B1F" w:rsidP="00D535D5">
      <w:pPr>
        <w:jc w:val="both"/>
        <w:rPr>
          <w:b/>
        </w:rPr>
      </w:pPr>
      <w:r>
        <w:rPr>
          <w:b/>
        </w:rPr>
        <w:t>Section</w:t>
      </w:r>
      <w:r w:rsidR="00D535D5">
        <w:rPr>
          <w:b/>
        </w:rPr>
        <w:t xml:space="preserve"> </w:t>
      </w:r>
      <w:r w:rsidR="000927E4">
        <w:rPr>
          <w:b/>
        </w:rPr>
        <w:t>8</w:t>
      </w:r>
      <w:r w:rsidR="00D535D5">
        <w:rPr>
          <w:b/>
        </w:rPr>
        <w:t xml:space="preserve"> – </w:t>
      </w:r>
      <w:r w:rsidR="000927E4">
        <w:rPr>
          <w:b/>
        </w:rPr>
        <w:t>Establishment of the register</w:t>
      </w:r>
    </w:p>
    <w:p w:rsidR="004B5923" w:rsidRDefault="004B5923" w:rsidP="00D535D5">
      <w:pPr>
        <w:jc w:val="both"/>
      </w:pPr>
    </w:p>
    <w:p w:rsidR="006F264B" w:rsidRDefault="00EF424C" w:rsidP="00D535D5">
      <w:pPr>
        <w:jc w:val="both"/>
      </w:pPr>
      <w:r>
        <w:t xml:space="preserve">This </w:t>
      </w:r>
      <w:r w:rsidR="000A4419">
        <w:t>s</w:t>
      </w:r>
      <w:r w:rsidR="00817B1F">
        <w:t>ection</w:t>
      </w:r>
      <w:r>
        <w:t xml:space="preserve"> states that (1) </w:t>
      </w:r>
      <w:r w:rsidR="0062489F">
        <w:t xml:space="preserve">the </w:t>
      </w:r>
      <w:r>
        <w:t>Commonwealth must establish and keep a register, (2) parts of the register can be kept separate and (3) the register is not a legislative instrument.</w:t>
      </w:r>
      <w:r w:rsidR="00B545BF">
        <w:t xml:space="preserve"> </w:t>
      </w:r>
    </w:p>
    <w:p w:rsidR="006F264B" w:rsidRDefault="006F264B" w:rsidP="00D535D5">
      <w:pPr>
        <w:jc w:val="both"/>
      </w:pPr>
    </w:p>
    <w:p w:rsidR="006F264B" w:rsidRDefault="00817B1F" w:rsidP="00D535D5">
      <w:pPr>
        <w:jc w:val="both"/>
      </w:pPr>
      <w:r>
        <w:lastRenderedPageBreak/>
        <w:t>S</w:t>
      </w:r>
      <w:r w:rsidR="000A4419">
        <w:t>ubs</w:t>
      </w:r>
      <w:r>
        <w:t>ection</w:t>
      </w:r>
      <w:r w:rsidR="00FB0AE4">
        <w:t xml:space="preserve"> 8(2)</w:t>
      </w:r>
      <w:r w:rsidR="0062489F">
        <w:t xml:space="preserve"> allows for the Australian School Vaccination Register</w:t>
      </w:r>
      <w:r w:rsidR="005D4385">
        <w:t xml:space="preserve"> (ASVR)</w:t>
      </w:r>
      <w:r w:rsidR="0062489F">
        <w:t xml:space="preserve"> to be maintained and operated </w:t>
      </w:r>
      <w:r w:rsidR="00EF2DD1">
        <w:t xml:space="preserve">on a </w:t>
      </w:r>
      <w:r w:rsidR="0062489F">
        <w:t>separate</w:t>
      </w:r>
      <w:r w:rsidR="00EF2DD1">
        <w:t xml:space="preserve"> register platform</w:t>
      </w:r>
      <w:r w:rsidR="0062489F">
        <w:t xml:space="preserve">, whilst still being </w:t>
      </w:r>
      <w:r w:rsidR="0028315E">
        <w:t>covered by</w:t>
      </w:r>
      <w:r w:rsidR="0062489F">
        <w:t xml:space="preserve"> </w:t>
      </w:r>
      <w:r w:rsidR="00EF2DD1">
        <w:t xml:space="preserve">the </w:t>
      </w:r>
      <w:r w:rsidR="0062489F">
        <w:t>provisions of this Bill from 1 January 2017 onwards.</w:t>
      </w:r>
      <w:r w:rsidR="00FB0AE4">
        <w:t xml:space="preserve"> </w:t>
      </w:r>
      <w:r w:rsidR="006F264B">
        <w:t xml:space="preserve">The ASVR will record immunisation data for all adolescent vaccines given </w:t>
      </w:r>
      <w:r w:rsidR="00BC07C9">
        <w:t>through</w:t>
      </w:r>
      <w:r w:rsidR="006F264B">
        <w:t xml:space="preserve"> the school based programs.</w:t>
      </w:r>
    </w:p>
    <w:p w:rsidR="00BC07C9" w:rsidRDefault="00BC07C9" w:rsidP="00D535D5">
      <w:pPr>
        <w:jc w:val="both"/>
      </w:pPr>
    </w:p>
    <w:p w:rsidR="006F264B" w:rsidRDefault="006F264B" w:rsidP="00D535D5">
      <w:pPr>
        <w:jc w:val="both"/>
      </w:pPr>
      <w:r>
        <w:t xml:space="preserve">Currently, states and territory health departments are responsible for implementing vaccination </w:t>
      </w:r>
      <w:r w:rsidR="00BC07C9">
        <w:t>programs</w:t>
      </w:r>
      <w:r>
        <w:t xml:space="preserve"> delivered in schools, including the collection and reporting of immunisation status information. The</w:t>
      </w:r>
      <w:r w:rsidR="00BC07C9">
        <w:t xml:space="preserve"> states and territories use a w</w:t>
      </w:r>
      <w:r>
        <w:t>i</w:t>
      </w:r>
      <w:r w:rsidR="00BC07C9">
        <w:t>d</w:t>
      </w:r>
      <w:r>
        <w:t>e variety of systems to collect and transfer data to the HPV Register.</w:t>
      </w:r>
    </w:p>
    <w:p w:rsidR="006F264B" w:rsidRDefault="006F264B" w:rsidP="00D535D5">
      <w:pPr>
        <w:jc w:val="both"/>
      </w:pPr>
    </w:p>
    <w:p w:rsidR="00B545BF" w:rsidRDefault="00817B1F" w:rsidP="00D535D5">
      <w:pPr>
        <w:jc w:val="both"/>
      </w:pPr>
      <w:r>
        <w:t>Section</w:t>
      </w:r>
      <w:r w:rsidR="00EF424C">
        <w:t xml:space="preserve"> 8(3) is</w:t>
      </w:r>
      <w:r w:rsidR="00B545BF">
        <w:t xml:space="preserve"> included to </w:t>
      </w:r>
      <w:r w:rsidR="00EF2DD1">
        <w:t>inform</w:t>
      </w:r>
      <w:r w:rsidR="00B545BF">
        <w:t xml:space="preserve"> readers</w:t>
      </w:r>
      <w:r w:rsidR="00EF2DD1">
        <w:t xml:space="preserve"> that</w:t>
      </w:r>
      <w:r w:rsidR="002F6A16">
        <w:t xml:space="preserve"> the R</w:t>
      </w:r>
      <w:r w:rsidR="00B545BF">
        <w:t>egister is not a legislative in</w:t>
      </w:r>
      <w:r w:rsidR="007A3C00">
        <w:t>strument within the meaning of S</w:t>
      </w:r>
      <w:r w:rsidR="00B545BF">
        <w:t xml:space="preserve">ection 5 of the </w:t>
      </w:r>
      <w:r w:rsidR="005A5C25" w:rsidRPr="005A5C25">
        <w:rPr>
          <w:i/>
        </w:rPr>
        <w:t>L</w:t>
      </w:r>
      <w:r w:rsidR="00B545BF" w:rsidRPr="005A5C25">
        <w:rPr>
          <w:i/>
        </w:rPr>
        <w:t>egislative Instruments Act 2003</w:t>
      </w:r>
      <w:r w:rsidR="00B545BF">
        <w:t>.</w:t>
      </w:r>
    </w:p>
    <w:p w:rsidR="00B545BF" w:rsidRPr="00B545BF" w:rsidRDefault="00B545BF" w:rsidP="00D535D5">
      <w:pPr>
        <w:jc w:val="both"/>
      </w:pPr>
    </w:p>
    <w:p w:rsidR="00D535D5" w:rsidRDefault="00817B1F" w:rsidP="00D535D5">
      <w:pPr>
        <w:jc w:val="both"/>
        <w:rPr>
          <w:b/>
        </w:rPr>
      </w:pPr>
      <w:r>
        <w:rPr>
          <w:b/>
        </w:rPr>
        <w:t>Section</w:t>
      </w:r>
      <w:r w:rsidR="00D535D5">
        <w:rPr>
          <w:b/>
        </w:rPr>
        <w:t xml:space="preserve"> </w:t>
      </w:r>
      <w:r w:rsidR="000927E4">
        <w:rPr>
          <w:b/>
        </w:rPr>
        <w:t>9</w:t>
      </w:r>
      <w:r w:rsidR="00D535D5">
        <w:rPr>
          <w:b/>
        </w:rPr>
        <w:t xml:space="preserve"> – </w:t>
      </w:r>
      <w:r w:rsidR="000927E4">
        <w:rPr>
          <w:b/>
        </w:rPr>
        <w:t>Contents of the register</w:t>
      </w:r>
    </w:p>
    <w:p w:rsidR="004B5923" w:rsidRDefault="004B5923" w:rsidP="00D535D5">
      <w:pPr>
        <w:jc w:val="both"/>
      </w:pPr>
    </w:p>
    <w:p w:rsidR="00EF424C" w:rsidRDefault="0028315E" w:rsidP="00D535D5">
      <w:pPr>
        <w:jc w:val="both"/>
      </w:pPr>
      <w:r>
        <w:t>This section d</w:t>
      </w:r>
      <w:r w:rsidR="00EF424C" w:rsidRPr="00EF424C">
        <w:t xml:space="preserve">escribes the type of information that </w:t>
      </w:r>
      <w:r w:rsidR="00F026A9">
        <w:t>may</w:t>
      </w:r>
      <w:r w:rsidR="00EF424C" w:rsidRPr="00EF424C">
        <w:t xml:space="preserve"> be collected for the purposes of the Register.</w:t>
      </w:r>
    </w:p>
    <w:p w:rsidR="00EF424C" w:rsidRDefault="00EF424C" w:rsidP="00D535D5">
      <w:pPr>
        <w:jc w:val="both"/>
      </w:pPr>
    </w:p>
    <w:p w:rsidR="00EF2DD1" w:rsidRDefault="000A4419" w:rsidP="00F026A9">
      <w:pPr>
        <w:jc w:val="both"/>
      </w:pPr>
      <w:r>
        <w:t>Paragraph</w:t>
      </w:r>
      <w:r w:rsidR="00F026A9">
        <w:t xml:space="preserve"> 9(a) </w:t>
      </w:r>
      <w:r w:rsidR="001A7DC3">
        <w:t xml:space="preserve">provides for relevant </w:t>
      </w:r>
      <w:r w:rsidR="001A7DC3" w:rsidRPr="00F026A9">
        <w:t>identifying information</w:t>
      </w:r>
      <w:r w:rsidR="001A7DC3">
        <w:t xml:space="preserve"> for each individual to </w:t>
      </w:r>
      <w:r w:rsidR="00E06093">
        <w:t xml:space="preserve">be recorded in the Register. </w:t>
      </w:r>
      <w:r w:rsidR="001A7DC3">
        <w:t>This includes</w:t>
      </w:r>
      <w:r w:rsidR="00E06093">
        <w:t xml:space="preserve"> </w:t>
      </w:r>
      <w:r w:rsidR="00EF424C" w:rsidRPr="00F026A9">
        <w:t>the</w:t>
      </w:r>
      <w:r w:rsidR="00E06093">
        <w:t xml:space="preserve"> individual’s </w:t>
      </w:r>
      <w:r w:rsidR="00EF424C" w:rsidRPr="00F026A9">
        <w:t xml:space="preserve">name, </w:t>
      </w:r>
      <w:r w:rsidR="0028315E">
        <w:t>contact details</w:t>
      </w:r>
      <w:r w:rsidR="00EF424C" w:rsidRPr="00F026A9">
        <w:t xml:space="preserve">, </w:t>
      </w:r>
      <w:r w:rsidR="005A5C25">
        <w:t>gender,</w:t>
      </w:r>
      <w:r w:rsidR="00EF424C" w:rsidRPr="00F026A9">
        <w:t xml:space="preserve"> date of birth</w:t>
      </w:r>
      <w:r w:rsidR="00F026A9">
        <w:t>,</w:t>
      </w:r>
      <w:r w:rsidR="00E06093">
        <w:t xml:space="preserve"> </w:t>
      </w:r>
      <w:r w:rsidR="00A212F6">
        <w:t>i</w:t>
      </w:r>
      <w:r w:rsidR="00E06093">
        <w:t>ndigenous status, h</w:t>
      </w:r>
      <w:r w:rsidR="00F026A9">
        <w:t>ealth</w:t>
      </w:r>
      <w:r w:rsidR="00E06093">
        <w:t>care</w:t>
      </w:r>
      <w:r w:rsidR="00F026A9">
        <w:t xml:space="preserve"> </w:t>
      </w:r>
      <w:r w:rsidR="00E06093">
        <w:t>i</w:t>
      </w:r>
      <w:r w:rsidR="00F026A9">
        <w:t>dentifier</w:t>
      </w:r>
      <w:r w:rsidR="00E06093">
        <w:t xml:space="preserve"> </w:t>
      </w:r>
      <w:r w:rsidR="00EF424C" w:rsidRPr="00F026A9">
        <w:t xml:space="preserve">and </w:t>
      </w:r>
      <w:r w:rsidR="00E06093">
        <w:t>m</w:t>
      </w:r>
      <w:r w:rsidR="00EF424C" w:rsidRPr="00F026A9">
        <w:t>edicare number.</w:t>
      </w:r>
      <w:r w:rsidR="00F026A9" w:rsidRPr="00F026A9">
        <w:t xml:space="preserve"> </w:t>
      </w:r>
    </w:p>
    <w:p w:rsidR="00EF2DD1" w:rsidRDefault="00EF2DD1" w:rsidP="00F026A9">
      <w:pPr>
        <w:jc w:val="both"/>
      </w:pPr>
    </w:p>
    <w:p w:rsidR="00E06093" w:rsidRDefault="00387AE8" w:rsidP="0028315E">
      <w:r>
        <w:rPr>
          <w:rFonts w:ascii="Times New Roman" w:hAnsi="Times New Roman"/>
          <w:szCs w:val="24"/>
          <w:lang w:val="en-US"/>
        </w:rPr>
        <w:t xml:space="preserve">Individuals will be </w:t>
      </w:r>
      <w:r w:rsidR="00F12B98">
        <w:rPr>
          <w:rFonts w:ascii="Times New Roman" w:hAnsi="Times New Roman"/>
          <w:szCs w:val="24"/>
          <w:lang w:val="en-US"/>
        </w:rPr>
        <w:t xml:space="preserve">automatically </w:t>
      </w:r>
      <w:r w:rsidRPr="00387AE8">
        <w:rPr>
          <w:rFonts w:ascii="Times New Roman" w:hAnsi="Times New Roman"/>
          <w:szCs w:val="24"/>
          <w:lang w:val="en-US"/>
        </w:rPr>
        <w:t xml:space="preserve">registered on </w:t>
      </w:r>
      <w:r>
        <w:rPr>
          <w:rFonts w:ascii="Times New Roman" w:hAnsi="Times New Roman"/>
          <w:szCs w:val="24"/>
          <w:lang w:val="en-US"/>
        </w:rPr>
        <w:t>the Register</w:t>
      </w:r>
      <w:r w:rsidRPr="00387AE8">
        <w:rPr>
          <w:rFonts w:ascii="Times New Roman" w:hAnsi="Times New Roman"/>
          <w:szCs w:val="24"/>
          <w:lang w:val="en-US"/>
        </w:rPr>
        <w:t xml:space="preserve"> once they are enrolled in Medicare. Relevant personal information </w:t>
      </w:r>
      <w:r w:rsidR="00E34BF3">
        <w:rPr>
          <w:rFonts w:ascii="Times New Roman" w:hAnsi="Times New Roman"/>
          <w:szCs w:val="24"/>
          <w:lang w:val="en-US"/>
        </w:rPr>
        <w:t xml:space="preserve">recorded </w:t>
      </w:r>
      <w:r w:rsidRPr="00387AE8">
        <w:rPr>
          <w:rFonts w:ascii="Times New Roman" w:hAnsi="Times New Roman"/>
          <w:szCs w:val="24"/>
          <w:lang w:val="en-US"/>
        </w:rPr>
        <w:t xml:space="preserve">in Medicare </w:t>
      </w:r>
      <w:r w:rsidR="00F74B75">
        <w:rPr>
          <w:rFonts w:ascii="Times New Roman" w:hAnsi="Times New Roman"/>
          <w:szCs w:val="24"/>
          <w:lang w:val="en-US"/>
        </w:rPr>
        <w:t>will be</w:t>
      </w:r>
      <w:r w:rsidRPr="00387AE8">
        <w:rPr>
          <w:rFonts w:ascii="Times New Roman" w:hAnsi="Times New Roman"/>
          <w:szCs w:val="24"/>
          <w:lang w:val="en-US"/>
        </w:rPr>
        <w:t xml:space="preserve"> synchronized daily with information kept on the </w:t>
      </w:r>
      <w:r w:rsidR="00F12B98">
        <w:rPr>
          <w:rFonts w:ascii="Times New Roman" w:hAnsi="Times New Roman"/>
          <w:szCs w:val="24"/>
          <w:lang w:val="en-US"/>
        </w:rPr>
        <w:t>Register</w:t>
      </w:r>
      <w:r w:rsidR="0028315E">
        <w:rPr>
          <w:rFonts w:ascii="Times New Roman" w:hAnsi="Times New Roman"/>
          <w:szCs w:val="24"/>
          <w:lang w:val="en-US"/>
        </w:rPr>
        <w:t xml:space="preserve"> to ensure that the record is kept up to date</w:t>
      </w:r>
      <w:r w:rsidRPr="00387AE8">
        <w:rPr>
          <w:rFonts w:ascii="Times New Roman" w:hAnsi="Times New Roman"/>
          <w:szCs w:val="24"/>
          <w:lang w:val="en-US"/>
        </w:rPr>
        <w:t xml:space="preserve">. </w:t>
      </w:r>
      <w:r w:rsidR="00E06093">
        <w:t xml:space="preserve">When a </w:t>
      </w:r>
      <w:r w:rsidR="00C54AFA">
        <w:t>recognised vaccination provider</w:t>
      </w:r>
      <w:r w:rsidR="00E06093">
        <w:t xml:space="preserve"> notifies the </w:t>
      </w:r>
      <w:r w:rsidR="00F12B98">
        <w:t>R</w:t>
      </w:r>
      <w:r w:rsidR="00E06093">
        <w:t xml:space="preserve">egister </w:t>
      </w:r>
      <w:r w:rsidR="00B66314">
        <w:t>about a</w:t>
      </w:r>
      <w:r w:rsidR="00E06093">
        <w:t xml:space="preserve"> vaccination that has been administered, that information </w:t>
      </w:r>
      <w:r w:rsidR="0028315E">
        <w:t xml:space="preserve">will be </w:t>
      </w:r>
      <w:r w:rsidR="00E06093">
        <w:t>matched to the individual’s record stored in the</w:t>
      </w:r>
      <w:r w:rsidR="00E06093" w:rsidRPr="00F026A9">
        <w:t xml:space="preserve"> Register. </w:t>
      </w:r>
      <w:r w:rsidR="00E06093">
        <w:t xml:space="preserve">Where </w:t>
      </w:r>
      <w:r w:rsidR="001A7DC3">
        <w:t xml:space="preserve">an individual </w:t>
      </w:r>
      <w:r w:rsidR="00E06093">
        <w:t xml:space="preserve">is not enrolled (or not eligible) for Medicare, their details </w:t>
      </w:r>
      <w:r w:rsidR="0028315E">
        <w:t>will be</w:t>
      </w:r>
      <w:r w:rsidR="00E06093">
        <w:t xml:space="preserve"> included on the </w:t>
      </w:r>
      <w:r w:rsidR="00F12B98">
        <w:t>R</w:t>
      </w:r>
      <w:r w:rsidR="00E06093">
        <w:t xml:space="preserve">egister once the Register receives notification of their first vaccination from a provider. </w:t>
      </w:r>
    </w:p>
    <w:p w:rsidR="00EC6AF0" w:rsidRDefault="00EC6AF0" w:rsidP="00E06093">
      <w:pPr>
        <w:pStyle w:val="description"/>
        <w:tabs>
          <w:tab w:val="num" w:pos="851"/>
        </w:tabs>
        <w:spacing w:before="20"/>
        <w:ind w:left="0" w:firstLine="0"/>
      </w:pPr>
    </w:p>
    <w:p w:rsidR="0028315E" w:rsidRDefault="00EC6AF0" w:rsidP="0028315E">
      <w:pPr>
        <w:jc w:val="both"/>
      </w:pPr>
      <w:r>
        <w:t xml:space="preserve">Once Medicare information is </w:t>
      </w:r>
      <w:r w:rsidR="00A557D9">
        <w:t xml:space="preserve">recorded in the Register, it will become protected information as defined in </w:t>
      </w:r>
      <w:r w:rsidR="00817B1F">
        <w:t>Section</w:t>
      </w:r>
      <w:r w:rsidR="00A557D9">
        <w:t xml:space="preserve"> 4 of this Bill, and will be subject to the </w:t>
      </w:r>
      <w:r w:rsidR="000A4419">
        <w:t>offence provision</w:t>
      </w:r>
      <w:r w:rsidR="00A557D9">
        <w:t xml:space="preserve"> under Part </w:t>
      </w:r>
      <w:r w:rsidR="00AE15DD">
        <w:t>4</w:t>
      </w:r>
      <w:r w:rsidR="00A557D9">
        <w:t xml:space="preserve"> of this Bill. </w:t>
      </w:r>
      <w:r w:rsidR="0028315E">
        <w:t xml:space="preserve">Medicare enrolment information will also be used by the Register as the population denominator to calculate vaccination coverage rates. </w:t>
      </w:r>
    </w:p>
    <w:p w:rsidR="00EC6AF0" w:rsidRDefault="00EC6AF0" w:rsidP="00E06093">
      <w:pPr>
        <w:pStyle w:val="description"/>
        <w:tabs>
          <w:tab w:val="num" w:pos="851"/>
        </w:tabs>
        <w:spacing w:before="20"/>
        <w:ind w:left="0" w:firstLine="0"/>
      </w:pPr>
    </w:p>
    <w:p w:rsidR="003E73BE" w:rsidRDefault="00F026A9" w:rsidP="00F026A9">
      <w:pPr>
        <w:jc w:val="both"/>
      </w:pPr>
      <w:r w:rsidRPr="003E73BE">
        <w:t xml:space="preserve">Collection of </w:t>
      </w:r>
      <w:r w:rsidR="007A3C00">
        <w:t>an individual’s M</w:t>
      </w:r>
      <w:r w:rsidR="00E06093" w:rsidRPr="003E73BE">
        <w:t xml:space="preserve">edicare </w:t>
      </w:r>
      <w:r w:rsidRPr="003E73BE">
        <w:t>number</w:t>
      </w:r>
      <w:r w:rsidR="00F42E68">
        <w:t xml:space="preserve"> and </w:t>
      </w:r>
      <w:r w:rsidR="00E06093">
        <w:t>healthcare identifier</w:t>
      </w:r>
      <w:r w:rsidRPr="003E73BE">
        <w:t xml:space="preserve"> is necessary to facilitate updating of personal information on the </w:t>
      </w:r>
      <w:r w:rsidR="000A4419">
        <w:t>R</w:t>
      </w:r>
      <w:r w:rsidRPr="003E73BE">
        <w:t>egister which has t</w:t>
      </w:r>
      <w:r w:rsidR="002F6A16">
        <w:t>he capacity to become outdated over</w:t>
      </w:r>
      <w:r w:rsidRPr="003E73BE">
        <w:t xml:space="preserve"> the course of time. In an individual's lifetime a number of elements of the data collected at the time of vaccination will change. These can include their name, the </w:t>
      </w:r>
      <w:r w:rsidR="007A3C00">
        <w:t>M</w:t>
      </w:r>
      <w:r w:rsidR="00B66314" w:rsidRPr="003E73BE">
        <w:t xml:space="preserve">edicare </w:t>
      </w:r>
      <w:r w:rsidRPr="003E73BE">
        <w:t xml:space="preserve">number for example when they become independent of their parents or in the event of marriage. The address will certainly change several times. This means that the only element of information that will not change on the </w:t>
      </w:r>
      <w:r w:rsidR="006D4EA2">
        <w:t>r</w:t>
      </w:r>
      <w:r w:rsidRPr="003E73BE">
        <w:t>egister is the date of birth</w:t>
      </w:r>
      <w:r w:rsidR="003E73BE">
        <w:t xml:space="preserve"> and the </w:t>
      </w:r>
      <w:r w:rsidR="00B66314">
        <w:t>healthcare identifier</w:t>
      </w:r>
      <w:r w:rsidR="003E73BE">
        <w:t>.</w:t>
      </w:r>
      <w:r w:rsidR="00FD39D9">
        <w:t xml:space="preserve"> The use of these unique identifiers will also enable future linkage</w:t>
      </w:r>
      <w:r w:rsidR="00B66314">
        <w:t xml:space="preserve"> of data</w:t>
      </w:r>
      <w:r w:rsidR="00FD39D9">
        <w:t xml:space="preserve"> between the AIR and ASVR. </w:t>
      </w:r>
    </w:p>
    <w:p w:rsidR="00A10F4B" w:rsidRDefault="00A10F4B" w:rsidP="00F026A9">
      <w:pPr>
        <w:jc w:val="both"/>
      </w:pPr>
    </w:p>
    <w:p w:rsidR="003E73BE" w:rsidRDefault="000A4419" w:rsidP="003E73BE">
      <w:pPr>
        <w:jc w:val="both"/>
      </w:pPr>
      <w:r>
        <w:t>Paragraph</w:t>
      </w:r>
      <w:r w:rsidR="00F026A9" w:rsidRPr="00F026A9">
        <w:t xml:space="preserve"> 9(b) describes the</w:t>
      </w:r>
      <w:r w:rsidR="00DC6AFB">
        <w:t xml:space="preserve"> type of</w:t>
      </w:r>
      <w:r w:rsidR="00F026A9" w:rsidRPr="00F026A9">
        <w:t xml:space="preserve"> information</w:t>
      </w:r>
      <w:r w:rsidR="00DC6AFB">
        <w:t xml:space="preserve"> that is </w:t>
      </w:r>
      <w:r w:rsidR="000B3E8A">
        <w:t xml:space="preserve">collected and </w:t>
      </w:r>
      <w:r w:rsidR="00DC6AFB">
        <w:t>recorded in the Register</w:t>
      </w:r>
      <w:r w:rsidR="00F026A9" w:rsidRPr="00F026A9">
        <w:t xml:space="preserve"> about </w:t>
      </w:r>
      <w:r w:rsidR="00DC6AFB">
        <w:t>vaccinations</w:t>
      </w:r>
      <w:r w:rsidR="003E73BE">
        <w:t>.</w:t>
      </w:r>
      <w:r w:rsidR="00F026A9" w:rsidRPr="00F026A9">
        <w:t xml:space="preserve"> </w:t>
      </w:r>
      <w:r w:rsidR="000B3E8A">
        <w:t>This</w:t>
      </w:r>
      <w:r w:rsidR="003E73BE">
        <w:t xml:space="preserve"> includes t</w:t>
      </w:r>
      <w:r w:rsidR="00F026A9" w:rsidRPr="00F026A9">
        <w:t xml:space="preserve">he day of </w:t>
      </w:r>
      <w:r w:rsidR="00DD74BA">
        <w:t xml:space="preserve">the </w:t>
      </w:r>
      <w:r w:rsidR="00F026A9" w:rsidRPr="00F026A9">
        <w:t>vaccination</w:t>
      </w:r>
      <w:r w:rsidR="003E73BE">
        <w:t>;</w:t>
      </w:r>
      <w:r w:rsidR="005A5C25">
        <w:t xml:space="preserve"> </w:t>
      </w:r>
      <w:r w:rsidR="00DD74BA">
        <w:t xml:space="preserve">information about </w:t>
      </w:r>
      <w:r w:rsidR="003E73BE">
        <w:t xml:space="preserve">the </w:t>
      </w:r>
      <w:r w:rsidR="00F026A9" w:rsidRPr="00F026A9">
        <w:t>vaccine administered</w:t>
      </w:r>
      <w:r w:rsidR="003E73BE">
        <w:t xml:space="preserve"> </w:t>
      </w:r>
      <w:r w:rsidR="00DD74BA">
        <w:t>such as</w:t>
      </w:r>
      <w:r w:rsidR="00DD74BA" w:rsidRPr="003E73BE">
        <w:t xml:space="preserve"> </w:t>
      </w:r>
      <w:r w:rsidR="003E73BE" w:rsidRPr="003E73BE">
        <w:t>the brand name</w:t>
      </w:r>
      <w:r w:rsidR="00DD74BA">
        <w:t xml:space="preserve"> and </w:t>
      </w:r>
      <w:r w:rsidR="003E73BE" w:rsidRPr="003E73BE">
        <w:t>dose</w:t>
      </w:r>
      <w:r w:rsidR="00DD74BA">
        <w:t xml:space="preserve"> number</w:t>
      </w:r>
      <w:r w:rsidR="003E73BE">
        <w:t>;</w:t>
      </w:r>
      <w:r w:rsidR="00F026A9" w:rsidRPr="00F026A9">
        <w:t xml:space="preserve"> </w:t>
      </w:r>
      <w:r w:rsidR="001651DE">
        <w:t xml:space="preserve">and </w:t>
      </w:r>
      <w:r w:rsidR="00DD74BA">
        <w:t xml:space="preserve">the </w:t>
      </w:r>
      <w:r w:rsidR="00DD74BA">
        <w:lastRenderedPageBreak/>
        <w:t xml:space="preserve">name and contact </w:t>
      </w:r>
      <w:r w:rsidR="003E73BE">
        <w:t>d</w:t>
      </w:r>
      <w:r w:rsidR="003E73BE" w:rsidRPr="00F026A9">
        <w:t>etails</w:t>
      </w:r>
      <w:r w:rsidR="00F026A9" w:rsidRPr="00F026A9">
        <w:t xml:space="preserve"> of the</w:t>
      </w:r>
      <w:r w:rsidR="00F026A9">
        <w:t xml:space="preserve"> </w:t>
      </w:r>
      <w:r w:rsidR="00DD74BA">
        <w:t xml:space="preserve">Australian </w:t>
      </w:r>
      <w:r w:rsidR="00C54AFA">
        <w:t>recognised vaccination provider</w:t>
      </w:r>
      <w:r w:rsidR="00F026A9">
        <w:t xml:space="preserve"> </w:t>
      </w:r>
      <w:r w:rsidR="00DD74BA">
        <w:t xml:space="preserve">who </w:t>
      </w:r>
      <w:r w:rsidR="003E73BE">
        <w:t>administer</w:t>
      </w:r>
      <w:r w:rsidR="00DD74BA">
        <w:t>ed</w:t>
      </w:r>
      <w:r w:rsidR="003E73BE">
        <w:t xml:space="preserve"> the vaccine</w:t>
      </w:r>
      <w:r w:rsidR="00DD74BA">
        <w:t xml:space="preserve">. If a vaccine was administered outside Australia, the </w:t>
      </w:r>
      <w:r w:rsidR="001651DE">
        <w:t xml:space="preserve">individual must discuss the </w:t>
      </w:r>
      <w:r w:rsidR="00DD74BA">
        <w:t>details of the</w:t>
      </w:r>
      <w:r>
        <w:t xml:space="preserve"> vaccination with an Australian</w:t>
      </w:r>
      <w:r w:rsidR="00C54AFA">
        <w:t xml:space="preserve"> </w:t>
      </w:r>
      <w:r w:rsidR="007A3C00">
        <w:t xml:space="preserve">recognised </w:t>
      </w:r>
      <w:r w:rsidR="00C54AFA">
        <w:t>vaccination provider</w:t>
      </w:r>
      <w:r w:rsidR="00DD74BA">
        <w:t xml:space="preserve"> who</w:t>
      </w:r>
      <w:r w:rsidR="001651DE">
        <w:t xml:space="preserve"> will</w:t>
      </w:r>
      <w:r w:rsidR="00F12B98">
        <w:t xml:space="preserve"> need to</w:t>
      </w:r>
      <w:r w:rsidR="001651DE">
        <w:t xml:space="preserve"> notify the Register that this vaccination has taken place. </w:t>
      </w:r>
      <w:r w:rsidR="003E73BE" w:rsidRPr="003E73BE">
        <w:t xml:space="preserve">This information will be used </w:t>
      </w:r>
      <w:r w:rsidR="005A5C25">
        <w:t xml:space="preserve">to </w:t>
      </w:r>
      <w:r w:rsidR="003E73BE" w:rsidRPr="003E73BE">
        <w:t>compil</w:t>
      </w:r>
      <w:r w:rsidR="005A5C25">
        <w:t>e</w:t>
      </w:r>
      <w:r w:rsidR="003E73BE" w:rsidRPr="003E73BE">
        <w:t xml:space="preserve"> statistics on immunisation rates by geographical area</w:t>
      </w:r>
      <w:r w:rsidR="0055033E">
        <w:t xml:space="preserve"> and </w:t>
      </w:r>
      <w:r w:rsidR="005A5C25">
        <w:t xml:space="preserve">assist in the </w:t>
      </w:r>
      <w:r w:rsidR="0055033E">
        <w:t xml:space="preserve">identification of persons who </w:t>
      </w:r>
      <w:r w:rsidR="00DD74BA">
        <w:t xml:space="preserve">are </w:t>
      </w:r>
      <w:r w:rsidR="0055033E">
        <w:t>due</w:t>
      </w:r>
      <w:r w:rsidR="005D4385">
        <w:t xml:space="preserve"> or overdue</w:t>
      </w:r>
      <w:r w:rsidR="0055033E">
        <w:t xml:space="preserve"> for vaccinations</w:t>
      </w:r>
      <w:r w:rsidR="005A5C25">
        <w:t xml:space="preserve">, directly contributing to the purposes of the </w:t>
      </w:r>
      <w:r w:rsidR="00F12B98">
        <w:t>R</w:t>
      </w:r>
      <w:r w:rsidR="005A5C25">
        <w:t>egister.</w:t>
      </w:r>
    </w:p>
    <w:p w:rsidR="00DC6AFB" w:rsidRPr="003E73BE" w:rsidRDefault="00DC6AFB" w:rsidP="003E73BE">
      <w:pPr>
        <w:jc w:val="both"/>
        <w:rPr>
          <w:color w:val="4F81BD"/>
        </w:rPr>
      </w:pPr>
    </w:p>
    <w:p w:rsidR="00F12B98" w:rsidRDefault="00F12B98" w:rsidP="00DC6AFB">
      <w:pPr>
        <w:jc w:val="both"/>
      </w:pPr>
      <w:r>
        <w:t>Recognised vaccination providers can send vaccination i</w:t>
      </w:r>
      <w:r w:rsidR="00DC6AFB">
        <w:t xml:space="preserve">nformation to the Register using </w:t>
      </w:r>
      <w:r w:rsidR="00667731">
        <w:t>the</w:t>
      </w:r>
      <w:r w:rsidR="00DC6AFB">
        <w:t xml:space="preserve"> </w:t>
      </w:r>
      <w:r w:rsidR="000A4419">
        <w:t>following mechanisms</w:t>
      </w:r>
      <w:r w:rsidR="00667731">
        <w:t>:</w:t>
      </w:r>
    </w:p>
    <w:p w:rsidR="00667731" w:rsidRDefault="007A3C00" w:rsidP="0083440A">
      <w:pPr>
        <w:numPr>
          <w:ilvl w:val="0"/>
          <w:numId w:val="28"/>
        </w:numPr>
        <w:jc w:val="both"/>
      </w:pPr>
      <w:r>
        <w:t>d</w:t>
      </w:r>
      <w:r w:rsidR="00667731">
        <w:t xml:space="preserve">irectly </w:t>
      </w:r>
      <w:r w:rsidR="00BA188C">
        <w:t xml:space="preserve">via state and territory based vaccination </w:t>
      </w:r>
      <w:r w:rsidR="00F12B98">
        <w:t>r</w:t>
      </w:r>
      <w:r w:rsidR="00C7648B">
        <w:t>egister</w:t>
      </w:r>
      <w:r w:rsidR="00F12B98">
        <w:t>s</w:t>
      </w:r>
      <w:r w:rsidR="00BA188C">
        <w:t xml:space="preserve"> and databases;</w:t>
      </w:r>
    </w:p>
    <w:p w:rsidR="00667731" w:rsidRDefault="00667731" w:rsidP="002F6A16">
      <w:pPr>
        <w:numPr>
          <w:ilvl w:val="0"/>
          <w:numId w:val="28"/>
        </w:numPr>
        <w:jc w:val="both"/>
      </w:pPr>
      <w:r>
        <w:t xml:space="preserve">online claiming via a software application known as </w:t>
      </w:r>
      <w:r w:rsidR="00DC6AFB">
        <w:t>Practice Management Software</w:t>
      </w:r>
      <w:r>
        <w:t xml:space="preserve"> that allows data to be sent from the vaccination provider’s desktop</w:t>
      </w:r>
      <w:r w:rsidR="00BA188C">
        <w:t>;</w:t>
      </w:r>
    </w:p>
    <w:p w:rsidR="00667731" w:rsidRDefault="007A3C00" w:rsidP="0083440A">
      <w:pPr>
        <w:numPr>
          <w:ilvl w:val="0"/>
          <w:numId w:val="28"/>
        </w:numPr>
        <w:jc w:val="both"/>
      </w:pPr>
      <w:r>
        <w:t>v</w:t>
      </w:r>
      <w:r w:rsidR="00667731">
        <w:t>ia a</w:t>
      </w:r>
      <w:r w:rsidR="00DC6AFB">
        <w:t xml:space="preserve"> secure website</w:t>
      </w:r>
      <w:r w:rsidR="00BA188C">
        <w:t>;</w:t>
      </w:r>
      <w:r w:rsidR="00667731">
        <w:t xml:space="preserve"> or</w:t>
      </w:r>
    </w:p>
    <w:p w:rsidR="00DC6AFB" w:rsidRDefault="007A3C00" w:rsidP="0083440A">
      <w:pPr>
        <w:numPr>
          <w:ilvl w:val="0"/>
          <w:numId w:val="28"/>
        </w:numPr>
        <w:jc w:val="both"/>
      </w:pPr>
      <w:r>
        <w:t>m</w:t>
      </w:r>
      <w:r w:rsidR="00667731">
        <w:t xml:space="preserve">anually using a </w:t>
      </w:r>
      <w:r w:rsidR="00DC6AFB">
        <w:t>hard copy notification form</w:t>
      </w:r>
      <w:r w:rsidR="00DC6AFB" w:rsidRPr="0083440A">
        <w:t>.</w:t>
      </w:r>
      <w:r w:rsidR="00DC6AFB">
        <w:t xml:space="preserve"> </w:t>
      </w:r>
    </w:p>
    <w:p w:rsidR="00F026A9" w:rsidRPr="006F0B6D" w:rsidRDefault="00F026A9" w:rsidP="003E73BE">
      <w:pPr>
        <w:jc w:val="both"/>
        <w:rPr>
          <w:color w:val="4F81BD"/>
        </w:rPr>
      </w:pPr>
    </w:p>
    <w:p w:rsidR="00B455AA" w:rsidRPr="00C81EC3" w:rsidRDefault="000A4419" w:rsidP="00EF424C">
      <w:pPr>
        <w:jc w:val="both"/>
      </w:pPr>
      <w:r>
        <w:t>Subparagraph</w:t>
      </w:r>
      <w:r w:rsidR="003E73BE" w:rsidRPr="003E73BE">
        <w:t xml:space="preserve"> 9(c)</w:t>
      </w:r>
      <w:r w:rsidR="00B455AA">
        <w:t>(</w:t>
      </w:r>
      <w:proofErr w:type="spellStart"/>
      <w:r w:rsidR="00B455AA">
        <w:t>i</w:t>
      </w:r>
      <w:proofErr w:type="spellEnd"/>
      <w:r w:rsidR="00B455AA">
        <w:t>)</w:t>
      </w:r>
      <w:r w:rsidR="0055033E">
        <w:t xml:space="preserve"> provides that </w:t>
      </w:r>
      <w:r w:rsidR="00B455AA">
        <w:t xml:space="preserve">the </w:t>
      </w:r>
      <w:r w:rsidR="00BA188C">
        <w:t>R</w:t>
      </w:r>
      <w:r w:rsidR="00B455AA">
        <w:t>egister ma</w:t>
      </w:r>
      <w:r w:rsidR="005738D4">
        <w:t xml:space="preserve">y </w:t>
      </w:r>
      <w:r w:rsidR="00B455AA">
        <w:t xml:space="preserve">collect and record </w:t>
      </w:r>
      <w:r w:rsidR="0055033E">
        <w:t xml:space="preserve">information </w:t>
      </w:r>
      <w:r w:rsidR="00B455AA">
        <w:t xml:space="preserve">for </w:t>
      </w:r>
      <w:r w:rsidR="0055033E">
        <w:t>an individual if a</w:t>
      </w:r>
      <w:r w:rsidR="00F42E68">
        <w:t xml:space="preserve"> </w:t>
      </w:r>
      <w:r w:rsidR="00EA5047">
        <w:t>General</w:t>
      </w:r>
      <w:r w:rsidR="0083440A">
        <w:t xml:space="preserve"> </w:t>
      </w:r>
      <w:r w:rsidR="00EA5047">
        <w:t>P</w:t>
      </w:r>
      <w:r w:rsidR="00B455AA">
        <w:t>ractitioner</w:t>
      </w:r>
      <w:r w:rsidR="0055033E">
        <w:t xml:space="preserve"> assesses </w:t>
      </w:r>
      <w:r w:rsidR="00B455AA">
        <w:t xml:space="preserve">that </w:t>
      </w:r>
      <w:r w:rsidR="00F631EA">
        <w:t xml:space="preserve">the </w:t>
      </w:r>
      <w:r w:rsidR="0055033E">
        <w:t xml:space="preserve">individual </w:t>
      </w:r>
      <w:r w:rsidR="00B455AA">
        <w:t>does</w:t>
      </w:r>
      <w:r w:rsidR="0055033E">
        <w:t xml:space="preserve"> not requir</w:t>
      </w:r>
      <w:r w:rsidR="00B455AA">
        <w:t>e</w:t>
      </w:r>
      <w:r w:rsidR="0055033E">
        <w:t xml:space="preserve"> a vaccination because the individual has contracted </w:t>
      </w:r>
      <w:r w:rsidR="005D4385">
        <w:t>a</w:t>
      </w:r>
      <w:r w:rsidR="0055033E">
        <w:t xml:space="preserve"> disease, and as a result has developed a natural immunity, or </w:t>
      </w:r>
      <w:r w:rsidR="00C54AFA">
        <w:t xml:space="preserve">that the individual </w:t>
      </w:r>
      <w:r w:rsidR="0055033E">
        <w:t xml:space="preserve">has a medical contraindication to </w:t>
      </w:r>
      <w:r w:rsidR="005A5C25">
        <w:t>a vaccine</w:t>
      </w:r>
      <w:r w:rsidR="0055033E">
        <w:t xml:space="preserve">, and has </w:t>
      </w:r>
      <w:r w:rsidR="005A5C25">
        <w:t xml:space="preserve">been </w:t>
      </w:r>
      <w:r w:rsidR="0055033E">
        <w:t xml:space="preserve">clinically advised not to </w:t>
      </w:r>
      <w:r w:rsidR="00B455AA">
        <w:t>receive a</w:t>
      </w:r>
      <w:r w:rsidR="005A5C25">
        <w:t xml:space="preserve"> </w:t>
      </w:r>
      <w:r w:rsidR="0055033E">
        <w:t xml:space="preserve">vaccination. </w:t>
      </w:r>
      <w:r w:rsidR="00B455AA">
        <w:t xml:space="preserve">Information about a natural immunity or medical contraindication can only be notified to the Register by a </w:t>
      </w:r>
      <w:r w:rsidR="007A3C00">
        <w:t>General</w:t>
      </w:r>
      <w:r w:rsidR="00B455AA">
        <w:t xml:space="preserve"> </w:t>
      </w:r>
      <w:r w:rsidR="007A3C00">
        <w:t>P</w:t>
      </w:r>
      <w:r w:rsidR="00B455AA">
        <w:t>ractitioner.</w:t>
      </w:r>
      <w:r w:rsidR="00F631EA">
        <w:t xml:space="preserve"> </w:t>
      </w:r>
      <w:r w:rsidR="0083440A">
        <w:t>N</w:t>
      </w:r>
      <w:r w:rsidR="00F631EA">
        <w:t xml:space="preserve">atural immunity </w:t>
      </w:r>
      <w:r w:rsidR="0083440A">
        <w:t xml:space="preserve">can </w:t>
      </w:r>
      <w:r w:rsidR="00F631EA">
        <w:t xml:space="preserve">only be notified for a </w:t>
      </w:r>
      <w:r w:rsidR="00F631EA" w:rsidRPr="00C54AFA">
        <w:t xml:space="preserve">limited </w:t>
      </w:r>
      <w:r w:rsidR="00EB6167" w:rsidRPr="00C54AFA">
        <w:t>type</w:t>
      </w:r>
      <w:r w:rsidR="00F631EA" w:rsidRPr="00C54AFA">
        <w:t xml:space="preserve"> of diseases</w:t>
      </w:r>
      <w:r w:rsidR="0083440A">
        <w:t>, which includes measles, mumps, rubella, varicella and Hepatitis B</w:t>
      </w:r>
      <w:r w:rsidR="00F631EA" w:rsidRPr="00C54AFA">
        <w:t>.</w:t>
      </w:r>
      <w:r w:rsidR="00F631EA">
        <w:t xml:space="preserve"> </w:t>
      </w:r>
    </w:p>
    <w:p w:rsidR="00C54AFA" w:rsidRDefault="00C54AFA" w:rsidP="00EF424C">
      <w:pPr>
        <w:jc w:val="both"/>
      </w:pPr>
    </w:p>
    <w:p w:rsidR="0055033E" w:rsidRDefault="000A4419" w:rsidP="00EF424C">
      <w:pPr>
        <w:jc w:val="both"/>
      </w:pPr>
      <w:r>
        <w:t>Paragraph</w:t>
      </w:r>
      <w:r w:rsidR="0055033E">
        <w:t xml:space="preserve"> 9(d) details the type of information</w:t>
      </w:r>
      <w:r w:rsidR="005D4385">
        <w:t xml:space="preserve"> that may be included </w:t>
      </w:r>
      <w:r w:rsidR="004A4C94">
        <w:t xml:space="preserve">in </w:t>
      </w:r>
      <w:r w:rsidR="005D4385">
        <w:t>the Register</w:t>
      </w:r>
      <w:r w:rsidR="0055033E">
        <w:t xml:space="preserve"> about the assessment</w:t>
      </w:r>
      <w:r w:rsidR="00F631EA">
        <w:t xml:space="preserve"> relating to a natural immunity or medical contraindication,</w:t>
      </w:r>
      <w:r w:rsidR="0055033E">
        <w:t xml:space="preserve"> including details of the </w:t>
      </w:r>
      <w:r w:rsidR="00EA5047">
        <w:t>General</w:t>
      </w:r>
      <w:r>
        <w:t xml:space="preserve"> </w:t>
      </w:r>
      <w:r w:rsidR="00EA5047">
        <w:t>P</w:t>
      </w:r>
      <w:r>
        <w:t>ractitioner</w:t>
      </w:r>
      <w:r w:rsidR="0055033E">
        <w:t xml:space="preserve"> who made the </w:t>
      </w:r>
      <w:r w:rsidR="00A568F8">
        <w:t>assessment</w:t>
      </w:r>
      <w:r w:rsidR="0055033E">
        <w:t>, the vaccine relevant to the assessment and date that the assessment was made.</w:t>
      </w:r>
      <w:r w:rsidR="00B455AA">
        <w:t xml:space="preserve"> </w:t>
      </w:r>
    </w:p>
    <w:p w:rsidR="00425629" w:rsidRDefault="00425629" w:rsidP="00EF424C">
      <w:pPr>
        <w:jc w:val="both"/>
      </w:pPr>
    </w:p>
    <w:p w:rsidR="00EB6167" w:rsidRDefault="00425629" w:rsidP="00EF424C">
      <w:pPr>
        <w:jc w:val="both"/>
      </w:pPr>
      <w:r>
        <w:t xml:space="preserve">Provision has also been allowed in </w:t>
      </w:r>
      <w:r w:rsidR="007A3C00">
        <w:t>P</w:t>
      </w:r>
      <w:r w:rsidR="000A4419">
        <w:t>aragraph</w:t>
      </w:r>
      <w:r>
        <w:t xml:space="preserve"> 9(e) to collect other information relating to vaccinations of individuals.</w:t>
      </w:r>
      <w:r w:rsidR="00F42E68">
        <w:t xml:space="preserve"> </w:t>
      </w:r>
    </w:p>
    <w:p w:rsidR="00EB6167" w:rsidRDefault="00EB6167" w:rsidP="00EF424C">
      <w:pPr>
        <w:jc w:val="both"/>
      </w:pPr>
    </w:p>
    <w:p w:rsidR="00D535D5" w:rsidRDefault="00817B1F" w:rsidP="00D535D5">
      <w:pPr>
        <w:jc w:val="both"/>
        <w:rPr>
          <w:b/>
        </w:rPr>
      </w:pPr>
      <w:r>
        <w:rPr>
          <w:b/>
        </w:rPr>
        <w:t>Section</w:t>
      </w:r>
      <w:r w:rsidR="00D535D5">
        <w:rPr>
          <w:b/>
        </w:rPr>
        <w:t xml:space="preserve"> </w:t>
      </w:r>
      <w:r w:rsidR="000927E4">
        <w:rPr>
          <w:b/>
        </w:rPr>
        <w:t>10</w:t>
      </w:r>
      <w:r w:rsidR="00D535D5">
        <w:rPr>
          <w:b/>
        </w:rPr>
        <w:t xml:space="preserve"> – </w:t>
      </w:r>
      <w:r w:rsidR="000927E4">
        <w:rPr>
          <w:b/>
        </w:rPr>
        <w:t xml:space="preserve">Purposes of the </w:t>
      </w:r>
      <w:r w:rsidR="006D4EA2">
        <w:rPr>
          <w:b/>
        </w:rPr>
        <w:t>r</w:t>
      </w:r>
      <w:r w:rsidR="000927E4">
        <w:rPr>
          <w:b/>
        </w:rPr>
        <w:t>egister</w:t>
      </w:r>
    </w:p>
    <w:p w:rsidR="004B5923" w:rsidRDefault="004B5923" w:rsidP="000927E4">
      <w:pPr>
        <w:jc w:val="both"/>
      </w:pPr>
    </w:p>
    <w:p w:rsidR="000A4419" w:rsidRDefault="007A3C00" w:rsidP="000927E4">
      <w:pPr>
        <w:jc w:val="both"/>
      </w:pPr>
      <w:r>
        <w:t>This S</w:t>
      </w:r>
      <w:r w:rsidR="000A4419">
        <w:t xml:space="preserve">ection sets out the purposes of the Register. </w:t>
      </w:r>
    </w:p>
    <w:p w:rsidR="000A4419" w:rsidRDefault="000A4419" w:rsidP="000927E4">
      <w:pPr>
        <w:jc w:val="both"/>
      </w:pPr>
    </w:p>
    <w:p w:rsidR="00F737BD" w:rsidRDefault="000A4419" w:rsidP="000927E4">
      <w:pPr>
        <w:jc w:val="both"/>
      </w:pPr>
      <w:r>
        <w:t>Paragraph</w:t>
      </w:r>
      <w:r w:rsidR="006D4EA2">
        <w:t xml:space="preserve"> 10(1)(a) </w:t>
      </w:r>
      <w:r>
        <w:t xml:space="preserve">provides that a purpose of the Register is for </w:t>
      </w:r>
      <w:r w:rsidR="006D4EA2" w:rsidRPr="006D4EA2">
        <w:t>the</w:t>
      </w:r>
      <w:r w:rsidR="00F737BD">
        <w:t xml:space="preserve"> establishment and keeping</w:t>
      </w:r>
      <w:r w:rsidR="006D4EA2" w:rsidRPr="006D4EA2">
        <w:t xml:space="preserve"> of an electronic database</w:t>
      </w:r>
      <w:r w:rsidR="00F737BD">
        <w:t xml:space="preserve"> of records</w:t>
      </w:r>
      <w:r w:rsidR="006D4EA2">
        <w:t xml:space="preserve"> </w:t>
      </w:r>
      <w:r w:rsidR="00F737BD">
        <w:t>relating to the vaccination status of individuals</w:t>
      </w:r>
      <w:r w:rsidR="006D4EA2" w:rsidRPr="00D17615">
        <w:t>.</w:t>
      </w:r>
      <w:r w:rsidR="00D17615">
        <w:t xml:space="preserve"> </w:t>
      </w:r>
    </w:p>
    <w:p w:rsidR="00A568F8" w:rsidRDefault="00A568F8" w:rsidP="000927E4">
      <w:pPr>
        <w:jc w:val="both"/>
      </w:pPr>
    </w:p>
    <w:p w:rsidR="00EB5641" w:rsidRDefault="000A4419" w:rsidP="000927E4">
      <w:pPr>
        <w:jc w:val="both"/>
      </w:pPr>
      <w:r>
        <w:t>Paragraph</w:t>
      </w:r>
      <w:r w:rsidR="00A568F8">
        <w:t xml:space="preserve"> 10(1)(b) </w:t>
      </w:r>
      <w:r>
        <w:t xml:space="preserve">provides that a purpose of the Register </w:t>
      </w:r>
      <w:r w:rsidR="00A568F8">
        <w:t>allows for the collecting, analysing and publishing of statistics, and other information, in relation to vaccination coverage. The Commonwealth, via the Immunise Australia website, publishes data which shows the proportion of children and adolescents who are fully immunised at key age milestones, according to the National Immunisation Program schedule. Only de-identified aggregated data is published on this website, which maintains personal privacy and prevents the identification of individuals. A range of statistical coverage reports</w:t>
      </w:r>
      <w:r w:rsidR="00E612EB">
        <w:t xml:space="preserve"> across various population cohorts and geographical areas of Australia are also </w:t>
      </w:r>
      <w:r w:rsidR="00E612EB">
        <w:lastRenderedPageBreak/>
        <w:t>produced and made available to state and territory health departments who are responsible for implementing immunisation programs in their respective jurisdictions. R</w:t>
      </w:r>
      <w:r w:rsidR="00F737BD">
        <w:t>esearch bodies, such as the National Centre for Immunisation Research</w:t>
      </w:r>
      <w:r w:rsidR="00863B38">
        <w:t xml:space="preserve"> </w:t>
      </w:r>
      <w:r w:rsidR="00F737BD">
        <w:t>and Surveillance</w:t>
      </w:r>
      <w:r w:rsidR="00863B38">
        <w:t xml:space="preserve">, </w:t>
      </w:r>
      <w:r w:rsidR="002F6A16">
        <w:t xml:space="preserve">the </w:t>
      </w:r>
      <w:r w:rsidR="00863B38">
        <w:t>National Health P</w:t>
      </w:r>
      <w:r w:rsidR="00665465">
        <w:t>erformance</w:t>
      </w:r>
      <w:r w:rsidR="00863B38">
        <w:t xml:space="preserve"> Authority</w:t>
      </w:r>
      <w:r w:rsidR="005D4385">
        <w:t xml:space="preserve"> and the Australia Institute of Health and Welfare</w:t>
      </w:r>
      <w:r w:rsidR="00F737BD">
        <w:t xml:space="preserve">, also have an interest in </w:t>
      </w:r>
      <w:r w:rsidR="00445289">
        <w:t>the surveillance of vaccine preventable diseases and vaccination</w:t>
      </w:r>
      <w:r w:rsidR="00E612EB">
        <w:t xml:space="preserve"> uptake across Australia</w:t>
      </w:r>
      <w:r w:rsidR="00445289">
        <w:t xml:space="preserve">. This involves the compilation </w:t>
      </w:r>
      <w:r w:rsidR="005D4385">
        <w:t xml:space="preserve">and </w:t>
      </w:r>
      <w:r w:rsidR="00F737BD">
        <w:t>publishing</w:t>
      </w:r>
      <w:r w:rsidR="00445289">
        <w:t xml:space="preserve"> of</w:t>
      </w:r>
      <w:r w:rsidR="00F737BD">
        <w:t xml:space="preserve"> </w:t>
      </w:r>
      <w:r w:rsidR="00445289">
        <w:t xml:space="preserve">information </w:t>
      </w:r>
      <w:r w:rsidR="005D4385">
        <w:t>and statistics</w:t>
      </w:r>
      <w:r w:rsidR="00445289">
        <w:t xml:space="preserve"> </w:t>
      </w:r>
      <w:r w:rsidR="00F737BD">
        <w:t xml:space="preserve">about </w:t>
      </w:r>
      <w:r w:rsidR="00445289">
        <w:t>vaccination</w:t>
      </w:r>
      <w:r w:rsidR="005D4385">
        <w:t>s</w:t>
      </w:r>
      <w:r w:rsidR="00445289">
        <w:t xml:space="preserve"> in Australia, including maps showing levels of coverage in different areas of Australia. </w:t>
      </w:r>
    </w:p>
    <w:p w:rsidR="00EB5641" w:rsidRDefault="00EB5641" w:rsidP="000927E4">
      <w:pPr>
        <w:jc w:val="both"/>
      </w:pPr>
    </w:p>
    <w:p w:rsidR="0073611C" w:rsidRDefault="00B93093" w:rsidP="000927E4">
      <w:pPr>
        <w:jc w:val="both"/>
      </w:pPr>
      <w:r>
        <w:t xml:space="preserve">An important </w:t>
      </w:r>
      <w:r w:rsidR="00EB5641">
        <w:t xml:space="preserve">purpose of the </w:t>
      </w:r>
      <w:r w:rsidR="0073611C">
        <w:t>Register</w:t>
      </w:r>
      <w:r w:rsidR="00EB5641">
        <w:t xml:space="preserve">, </w:t>
      </w:r>
      <w:r w:rsidR="000A4419">
        <w:t>a</w:t>
      </w:r>
      <w:r>
        <w:t xml:space="preserve">s </w:t>
      </w:r>
      <w:r w:rsidR="00137BDC">
        <w:t>provided for</w:t>
      </w:r>
      <w:r w:rsidR="00EB5641">
        <w:t xml:space="preserve"> in </w:t>
      </w:r>
      <w:r w:rsidR="00137BDC">
        <w:t>Paragraph</w:t>
      </w:r>
      <w:r w:rsidR="00EB5641">
        <w:t xml:space="preserve"> 10(1)(c)</w:t>
      </w:r>
      <w:r>
        <w:t>,</w:t>
      </w:r>
      <w:r w:rsidR="00EB5641">
        <w:t xml:space="preserve"> </w:t>
      </w:r>
      <w:r>
        <w:t xml:space="preserve">is to </w:t>
      </w:r>
      <w:r w:rsidR="00EB5641">
        <w:t xml:space="preserve">monitor vaccination coverage across Australia and </w:t>
      </w:r>
      <w:r w:rsidR="005A5C25">
        <w:t>geographical areas within</w:t>
      </w:r>
      <w:r w:rsidR="00EB5641">
        <w:t xml:space="preserve"> Australia. Part of implementing a successful </w:t>
      </w:r>
      <w:r>
        <w:t xml:space="preserve">vaccination </w:t>
      </w:r>
      <w:r w:rsidR="00EB5641">
        <w:t>program</w:t>
      </w:r>
      <w:r w:rsidR="005A5C25">
        <w:t xml:space="preserve"> requires continual monitoring of </w:t>
      </w:r>
      <w:r w:rsidR="00EB5641">
        <w:t>vaccination coverage</w:t>
      </w:r>
      <w:r w:rsidR="0073611C">
        <w:t xml:space="preserve"> across different age cohorts</w:t>
      </w:r>
      <w:r w:rsidR="00F970AC">
        <w:t xml:space="preserve">. </w:t>
      </w:r>
      <w:r w:rsidR="00EB5641">
        <w:t xml:space="preserve"> </w:t>
      </w:r>
      <w:r w:rsidR="00F970AC">
        <w:t>In areas where vaccination coverage is low</w:t>
      </w:r>
      <w:r>
        <w:t>,</w:t>
      </w:r>
      <w:r w:rsidR="00F970AC">
        <w:t xml:space="preserve"> targeted vaccine delivery and promotion can be directed in that region </w:t>
      </w:r>
      <w:r w:rsidR="008C658D">
        <w:t>to</w:t>
      </w:r>
      <w:r w:rsidR="00EB5641">
        <w:t xml:space="preserve"> increase vaccination rates.  </w:t>
      </w:r>
    </w:p>
    <w:p w:rsidR="0073611C" w:rsidRDefault="0073611C" w:rsidP="000927E4">
      <w:pPr>
        <w:jc w:val="both"/>
      </w:pPr>
    </w:p>
    <w:p w:rsidR="00B93093" w:rsidRDefault="00137BDC" w:rsidP="000927E4">
      <w:pPr>
        <w:jc w:val="both"/>
      </w:pPr>
      <w:r>
        <w:t>Paragraph</w:t>
      </w:r>
      <w:r w:rsidR="0073611C">
        <w:t xml:space="preserve"> 10(1)(d) provides for information contained in the Register to be used to monitor</w:t>
      </w:r>
      <w:r w:rsidR="00EB5641">
        <w:t xml:space="preserve"> </w:t>
      </w:r>
      <w:r w:rsidR="0073611C">
        <w:t xml:space="preserve">the </w:t>
      </w:r>
      <w:r w:rsidR="008C658D">
        <w:t>effectiveness</w:t>
      </w:r>
      <w:r w:rsidR="0073611C">
        <w:t xml:space="preserve"> of vaccines</w:t>
      </w:r>
      <w:r w:rsidR="008C658D">
        <w:t xml:space="preserve"> and </w:t>
      </w:r>
      <w:r w:rsidR="00F970AC">
        <w:t>the success</w:t>
      </w:r>
      <w:r w:rsidR="001E1FAE">
        <w:t xml:space="preserve"> of C</w:t>
      </w:r>
      <w:r w:rsidR="00EB5641">
        <w:t>ommonwealth</w:t>
      </w:r>
      <w:r w:rsidR="00BF2ED6">
        <w:t xml:space="preserve"> and state and territory</w:t>
      </w:r>
      <w:r w:rsidR="00EB5641">
        <w:t xml:space="preserve"> </w:t>
      </w:r>
      <w:r w:rsidR="008C658D">
        <w:t>i</w:t>
      </w:r>
      <w:r w:rsidR="00EB5641">
        <w:t>mmunisation programs</w:t>
      </w:r>
      <w:r w:rsidR="008C658D">
        <w:t xml:space="preserve"> </w:t>
      </w:r>
      <w:r w:rsidR="005D4385">
        <w:t>in reducing the incidence of</w:t>
      </w:r>
      <w:r w:rsidR="008C658D">
        <w:t xml:space="preserve"> vaccine preventable diseases</w:t>
      </w:r>
      <w:r w:rsidR="001E1FAE">
        <w:t>.</w:t>
      </w:r>
      <w:r w:rsidR="008C658D">
        <w:t xml:space="preserve"> </w:t>
      </w:r>
    </w:p>
    <w:p w:rsidR="00B93093" w:rsidRDefault="00B93093" w:rsidP="000927E4">
      <w:pPr>
        <w:jc w:val="both"/>
      </w:pPr>
    </w:p>
    <w:p w:rsidR="00E845BA" w:rsidRDefault="007A3C00" w:rsidP="000927E4">
      <w:pPr>
        <w:jc w:val="both"/>
      </w:pPr>
      <w:r>
        <w:t>The R</w:t>
      </w:r>
      <w:r w:rsidR="008C658D">
        <w:t>egister</w:t>
      </w:r>
      <w:r w:rsidR="002F6A16">
        <w:t>,</w:t>
      </w:r>
      <w:r w:rsidR="008C658D">
        <w:t xml:space="preserve"> as stated in </w:t>
      </w:r>
      <w:r w:rsidR="00137BDC">
        <w:t>Paragraph</w:t>
      </w:r>
      <w:r w:rsidR="008C658D">
        <w:t xml:space="preserve"> 10(1)(e) through analysis </w:t>
      </w:r>
      <w:r w:rsidR="00F970AC">
        <w:t xml:space="preserve">of </w:t>
      </w:r>
      <w:r w:rsidR="008C658D">
        <w:t>v</w:t>
      </w:r>
      <w:r w:rsidR="00EB5641">
        <w:t>accine preventable disease burden and data contained with</w:t>
      </w:r>
      <w:r w:rsidR="00AC460F">
        <w:t>in</w:t>
      </w:r>
      <w:r w:rsidR="00EB5641">
        <w:t xml:space="preserve"> the ACI Register</w:t>
      </w:r>
      <w:r w:rsidR="00C64ACE">
        <w:t>,</w:t>
      </w:r>
      <w:r w:rsidR="008C658D">
        <w:t xml:space="preserve"> </w:t>
      </w:r>
      <w:r w:rsidR="00137BDC">
        <w:t>will be used</w:t>
      </w:r>
      <w:r w:rsidR="008C658D">
        <w:t xml:space="preserve"> in the identification of Australians at risk</w:t>
      </w:r>
      <w:r w:rsidR="001E1FAE">
        <w:t xml:space="preserve"> of contracting vaccine preventable disease</w:t>
      </w:r>
      <w:r w:rsidR="008C658D">
        <w:t>.</w:t>
      </w:r>
      <w:r w:rsidR="00E845BA">
        <w:t xml:space="preserve">  </w:t>
      </w:r>
      <w:r w:rsidR="002F6A16">
        <w:t xml:space="preserve">In </w:t>
      </w:r>
      <w:r w:rsidR="00AC460F">
        <w:t>instances</w:t>
      </w:r>
      <w:r w:rsidR="002F6A16">
        <w:t xml:space="preserve"> </w:t>
      </w:r>
      <w:r w:rsidR="00E845BA">
        <w:t>whe</w:t>
      </w:r>
      <w:r w:rsidR="002F6A16">
        <w:t>re</w:t>
      </w:r>
      <w:r w:rsidR="00E845BA">
        <w:t xml:space="preserve"> a vaccine preventable disease </w:t>
      </w:r>
      <w:r w:rsidR="005D4385">
        <w:t xml:space="preserve">outbreak </w:t>
      </w:r>
      <w:r w:rsidR="00E845BA">
        <w:t xml:space="preserve">has been detected, </w:t>
      </w:r>
      <w:r w:rsidR="0073611C">
        <w:t xml:space="preserve">vaccination </w:t>
      </w:r>
      <w:r w:rsidR="00E845BA">
        <w:t>providers</w:t>
      </w:r>
      <w:r w:rsidR="0073611C">
        <w:t xml:space="preserve"> and prescribed bodies</w:t>
      </w:r>
      <w:r w:rsidR="00E845BA">
        <w:t xml:space="preserve"> can </w:t>
      </w:r>
      <w:r w:rsidR="005D4385">
        <w:t>actively</w:t>
      </w:r>
      <w:r w:rsidR="00E845BA">
        <w:t xml:space="preserve"> target individu</w:t>
      </w:r>
      <w:r w:rsidR="00F970AC">
        <w:t xml:space="preserve">als recorded on the </w:t>
      </w:r>
      <w:r w:rsidR="00C7648B">
        <w:t>Register</w:t>
      </w:r>
      <w:r w:rsidR="00B93093">
        <w:t xml:space="preserve"> as </w:t>
      </w:r>
      <w:r w:rsidR="0073611C">
        <w:t xml:space="preserve">being </w:t>
      </w:r>
      <w:r w:rsidR="00E845BA">
        <w:t>not</w:t>
      </w:r>
      <w:r w:rsidR="0073611C">
        <w:t xml:space="preserve"> fully</w:t>
      </w:r>
      <w:r w:rsidR="00E845BA">
        <w:t xml:space="preserve"> immunised and at risk, to encourage vaccination of those individuals </w:t>
      </w:r>
      <w:r w:rsidR="00C64ACE">
        <w:t>to protect the</w:t>
      </w:r>
      <w:r w:rsidR="00E845BA">
        <w:t xml:space="preserve"> community more broadly.</w:t>
      </w:r>
    </w:p>
    <w:p w:rsidR="00E845BA" w:rsidRDefault="00E845BA" w:rsidP="000927E4">
      <w:pPr>
        <w:jc w:val="both"/>
      </w:pPr>
    </w:p>
    <w:p w:rsidR="00B17442" w:rsidRDefault="00C45EAD" w:rsidP="00122211">
      <w:r>
        <w:t>Paragraph</w:t>
      </w:r>
      <w:r w:rsidR="00C31504">
        <w:t xml:space="preserve"> 10(1)(f) </w:t>
      </w:r>
      <w:r w:rsidR="00137BDC">
        <w:t>provides that a purpose of the Register is for</w:t>
      </w:r>
      <w:r w:rsidR="002F6A16">
        <w:t xml:space="preserve"> an</w:t>
      </w:r>
      <w:r w:rsidR="00137BDC">
        <w:t xml:space="preserve"> </w:t>
      </w:r>
      <w:r w:rsidR="0010664F">
        <w:t xml:space="preserve">individual or a </w:t>
      </w:r>
      <w:r w:rsidR="00C54AFA">
        <w:t>recognised vaccination provider</w:t>
      </w:r>
      <w:r w:rsidR="00C60998">
        <w:t xml:space="preserve"> </w:t>
      </w:r>
      <w:r w:rsidR="00C31504">
        <w:t xml:space="preserve">to </w:t>
      </w:r>
      <w:r w:rsidR="0010664F">
        <w:t xml:space="preserve">check the vaccination status of an </w:t>
      </w:r>
      <w:r w:rsidR="00C60998">
        <w:t>individual</w:t>
      </w:r>
      <w:r w:rsidR="0010664F">
        <w:t xml:space="preserve"> recorded on</w:t>
      </w:r>
      <w:r w:rsidR="00C31504">
        <w:t xml:space="preserve"> the Register</w:t>
      </w:r>
      <w:r w:rsidR="005A212B">
        <w:t>.</w:t>
      </w:r>
      <w:r w:rsidR="002E1479">
        <w:t xml:space="preserve"> </w:t>
      </w:r>
      <w:r w:rsidR="00C915F9">
        <w:t>A p</w:t>
      </w:r>
      <w:r w:rsidR="002E1479" w:rsidRPr="00C915F9">
        <w:t xml:space="preserve">arent or guardian </w:t>
      </w:r>
      <w:r w:rsidR="00C915F9">
        <w:t>is</w:t>
      </w:r>
      <w:r w:rsidR="00F970AC" w:rsidRPr="00C915F9">
        <w:t xml:space="preserve"> also</w:t>
      </w:r>
      <w:r w:rsidR="00D72B2D" w:rsidRPr="00C915F9">
        <w:t xml:space="preserve"> able to check the immunisation status </w:t>
      </w:r>
      <w:r w:rsidR="002E1479" w:rsidRPr="00C915F9">
        <w:t>of the individual if the</w:t>
      </w:r>
      <w:r w:rsidR="00C915F9">
        <w:t xml:space="preserve">y are </w:t>
      </w:r>
      <w:r w:rsidR="00BC0B8C" w:rsidRPr="00C915F9">
        <w:t xml:space="preserve">incapable </w:t>
      </w:r>
      <w:r w:rsidR="002E1479" w:rsidRPr="00C915F9">
        <w:t xml:space="preserve">of </w:t>
      </w:r>
      <w:r w:rsidR="00D72B2D" w:rsidRPr="00C915F9">
        <w:t>managing</w:t>
      </w:r>
      <w:r w:rsidR="002E1479" w:rsidRPr="00C915F9">
        <w:t xml:space="preserve"> </w:t>
      </w:r>
      <w:r w:rsidR="00C915F9">
        <w:t xml:space="preserve">their own health </w:t>
      </w:r>
      <w:r w:rsidR="002E1479" w:rsidRPr="00C915F9">
        <w:t>affairs</w:t>
      </w:r>
      <w:r w:rsidR="00C64ACE">
        <w:t>, such as young children</w:t>
      </w:r>
      <w:r w:rsidR="002E1479" w:rsidRPr="00C915F9">
        <w:t xml:space="preserve"> (</w:t>
      </w:r>
      <w:r w:rsidR="00137BDC">
        <w:t>Paragraph</w:t>
      </w:r>
      <w:r w:rsidR="002E1479" w:rsidRPr="00C915F9">
        <w:t xml:space="preserve"> 10(2)(a)).</w:t>
      </w:r>
    </w:p>
    <w:p w:rsidR="00B17442" w:rsidRDefault="00B17442" w:rsidP="00122211"/>
    <w:p w:rsidR="00B601F1" w:rsidRDefault="00C54AFA" w:rsidP="007A3C00">
      <w:r>
        <w:t>Recognised vaccination provider</w:t>
      </w:r>
      <w:r w:rsidR="005A212B">
        <w:t>s</w:t>
      </w:r>
      <w:r w:rsidR="005D4385">
        <w:t>, prescribed bodies and authorised persons</w:t>
      </w:r>
      <w:r w:rsidR="00976901">
        <w:t xml:space="preserve"> </w:t>
      </w:r>
      <w:r w:rsidR="0010664F">
        <w:t xml:space="preserve">will be </w:t>
      </w:r>
      <w:r w:rsidR="00976901">
        <w:t xml:space="preserve">granted access to personal information </w:t>
      </w:r>
      <w:r w:rsidR="008A362F">
        <w:t>record</w:t>
      </w:r>
      <w:r w:rsidR="00927BFF">
        <w:t>ed</w:t>
      </w:r>
      <w:r w:rsidR="008A362F">
        <w:t xml:space="preserve"> in</w:t>
      </w:r>
      <w:r w:rsidR="00B601F1">
        <w:t xml:space="preserve"> the Register about the </w:t>
      </w:r>
      <w:r w:rsidR="00122211">
        <w:t xml:space="preserve">vaccination status </w:t>
      </w:r>
      <w:r w:rsidR="00B601F1">
        <w:t>of an individual via:</w:t>
      </w:r>
    </w:p>
    <w:p w:rsidR="00B601F1" w:rsidRPr="00015A5B" w:rsidRDefault="00B601F1" w:rsidP="00015A5B">
      <w:pPr>
        <w:numPr>
          <w:ilvl w:val="0"/>
          <w:numId w:val="24"/>
        </w:numPr>
        <w:jc w:val="both"/>
        <w:rPr>
          <w:rFonts w:ascii="Times New Roman" w:hAnsi="Times New Roman"/>
          <w:szCs w:val="24"/>
        </w:rPr>
      </w:pPr>
      <w:r w:rsidRPr="00015A5B">
        <w:rPr>
          <w:rFonts w:ascii="Times New Roman" w:hAnsi="Times New Roman"/>
          <w:szCs w:val="24"/>
        </w:rPr>
        <w:t>an individual search facility</w:t>
      </w:r>
      <w:r w:rsidR="00387AE8" w:rsidRPr="00015A5B">
        <w:rPr>
          <w:rFonts w:ascii="Times New Roman" w:hAnsi="Times New Roman"/>
          <w:szCs w:val="24"/>
        </w:rPr>
        <w:t xml:space="preserve"> </w:t>
      </w:r>
      <w:r w:rsidR="00927BFF">
        <w:rPr>
          <w:rFonts w:ascii="Times New Roman" w:hAnsi="Times New Roman"/>
          <w:szCs w:val="24"/>
        </w:rPr>
        <w:t>on the</w:t>
      </w:r>
      <w:r w:rsidR="00387AE8" w:rsidRPr="00015A5B">
        <w:rPr>
          <w:rFonts w:ascii="Times New Roman" w:hAnsi="Times New Roman"/>
          <w:szCs w:val="24"/>
        </w:rPr>
        <w:t xml:space="preserve"> secure website</w:t>
      </w:r>
      <w:r w:rsidRPr="00015A5B">
        <w:rPr>
          <w:rFonts w:ascii="Times New Roman" w:hAnsi="Times New Roman"/>
          <w:szCs w:val="24"/>
        </w:rPr>
        <w:t xml:space="preserve"> (exact match search); </w:t>
      </w:r>
    </w:p>
    <w:p w:rsidR="00B601F1" w:rsidRPr="00015A5B" w:rsidRDefault="00B601F1" w:rsidP="00015A5B">
      <w:pPr>
        <w:numPr>
          <w:ilvl w:val="0"/>
          <w:numId w:val="24"/>
        </w:numPr>
        <w:jc w:val="both"/>
        <w:rPr>
          <w:rFonts w:ascii="Times New Roman" w:hAnsi="Times New Roman"/>
          <w:szCs w:val="24"/>
        </w:rPr>
      </w:pPr>
      <w:r w:rsidRPr="00015A5B">
        <w:rPr>
          <w:rFonts w:ascii="Times New Roman" w:hAnsi="Times New Roman"/>
          <w:szCs w:val="24"/>
        </w:rPr>
        <w:t xml:space="preserve">a number of identified reports which are accessible via </w:t>
      </w:r>
      <w:r w:rsidR="00927BFF">
        <w:rPr>
          <w:rFonts w:ascii="Times New Roman" w:hAnsi="Times New Roman"/>
          <w:szCs w:val="24"/>
        </w:rPr>
        <w:t>the</w:t>
      </w:r>
      <w:r w:rsidRPr="00015A5B">
        <w:rPr>
          <w:rFonts w:ascii="Times New Roman" w:hAnsi="Times New Roman"/>
          <w:szCs w:val="24"/>
        </w:rPr>
        <w:t xml:space="preserve"> secure website (allows providers to identify children</w:t>
      </w:r>
      <w:r w:rsidR="00927BFF">
        <w:rPr>
          <w:rFonts w:ascii="Times New Roman" w:hAnsi="Times New Roman"/>
          <w:szCs w:val="24"/>
        </w:rPr>
        <w:t xml:space="preserve"> who are</w:t>
      </w:r>
      <w:r w:rsidRPr="00015A5B">
        <w:rPr>
          <w:rFonts w:ascii="Times New Roman" w:hAnsi="Times New Roman"/>
          <w:szCs w:val="24"/>
        </w:rPr>
        <w:t xml:space="preserve"> due</w:t>
      </w:r>
      <w:r w:rsidR="00927BFF">
        <w:rPr>
          <w:rFonts w:ascii="Times New Roman" w:hAnsi="Times New Roman"/>
          <w:szCs w:val="24"/>
        </w:rPr>
        <w:t>, coming due or</w:t>
      </w:r>
      <w:r w:rsidRPr="00015A5B">
        <w:rPr>
          <w:rFonts w:ascii="Times New Roman" w:hAnsi="Times New Roman"/>
          <w:szCs w:val="24"/>
        </w:rPr>
        <w:t xml:space="preserve"> overdue for their </w:t>
      </w:r>
      <w:r w:rsidR="00927BFF">
        <w:rPr>
          <w:rFonts w:ascii="Times New Roman" w:hAnsi="Times New Roman"/>
          <w:szCs w:val="24"/>
        </w:rPr>
        <w:t>vaccinations</w:t>
      </w:r>
      <w:r w:rsidRPr="00015A5B">
        <w:rPr>
          <w:rFonts w:ascii="Times New Roman" w:hAnsi="Times New Roman"/>
          <w:szCs w:val="24"/>
        </w:rPr>
        <w:t>); and</w:t>
      </w:r>
    </w:p>
    <w:p w:rsidR="00B601F1" w:rsidRPr="00015A5B" w:rsidRDefault="00B601F1" w:rsidP="00015A5B">
      <w:pPr>
        <w:numPr>
          <w:ilvl w:val="0"/>
          <w:numId w:val="24"/>
        </w:numPr>
        <w:jc w:val="both"/>
        <w:rPr>
          <w:rFonts w:ascii="Times New Roman" w:hAnsi="Times New Roman"/>
          <w:szCs w:val="24"/>
        </w:rPr>
      </w:pPr>
      <w:r w:rsidRPr="00015A5B">
        <w:rPr>
          <w:rFonts w:ascii="Times New Roman" w:hAnsi="Times New Roman"/>
          <w:szCs w:val="24"/>
        </w:rPr>
        <w:t xml:space="preserve">the Register information phone line. </w:t>
      </w:r>
    </w:p>
    <w:p w:rsidR="00B601F1" w:rsidRDefault="00B601F1" w:rsidP="00C7648B"/>
    <w:p w:rsidR="00247F00" w:rsidRPr="00247F00" w:rsidRDefault="00C45EAD" w:rsidP="00247F00">
      <w:pPr>
        <w:jc w:val="both"/>
        <w:rPr>
          <w:rFonts w:ascii="Times New Roman" w:hAnsi="Times New Roman"/>
          <w:szCs w:val="24"/>
        </w:rPr>
      </w:pPr>
      <w:r>
        <w:t>Paragraph</w:t>
      </w:r>
      <w:r w:rsidR="00706D85">
        <w:t xml:space="preserve"> 10(1)(g)</w:t>
      </w:r>
      <w:r w:rsidR="00B601F1">
        <w:t xml:space="preserve"> </w:t>
      </w:r>
      <w:r w:rsidR="00C64ACE">
        <w:t>allows</w:t>
      </w:r>
      <w:r>
        <w:t xml:space="preserve"> </w:t>
      </w:r>
      <w:r w:rsidR="00247F00" w:rsidRPr="00247F00">
        <w:rPr>
          <w:rFonts w:ascii="Times New Roman" w:hAnsi="Times New Roman"/>
          <w:szCs w:val="24"/>
        </w:rPr>
        <w:t xml:space="preserve">the </w:t>
      </w:r>
      <w:r w:rsidR="00D17615">
        <w:rPr>
          <w:rFonts w:ascii="Times New Roman" w:hAnsi="Times New Roman"/>
          <w:szCs w:val="24"/>
        </w:rPr>
        <w:t xml:space="preserve">Commonwealth to perform a check of an individual’s vaccination status recorded in the </w:t>
      </w:r>
      <w:r w:rsidR="00927BFF">
        <w:rPr>
          <w:rFonts w:ascii="Times New Roman" w:hAnsi="Times New Roman"/>
          <w:szCs w:val="24"/>
        </w:rPr>
        <w:t xml:space="preserve">Register </w:t>
      </w:r>
      <w:r w:rsidR="00D17615">
        <w:rPr>
          <w:rFonts w:ascii="Times New Roman" w:hAnsi="Times New Roman"/>
          <w:szCs w:val="24"/>
        </w:rPr>
        <w:t xml:space="preserve">and share this </w:t>
      </w:r>
      <w:r w:rsidR="00247F00">
        <w:rPr>
          <w:rFonts w:ascii="Times New Roman" w:hAnsi="Times New Roman"/>
          <w:szCs w:val="24"/>
        </w:rPr>
        <w:t xml:space="preserve">information </w:t>
      </w:r>
      <w:r w:rsidR="00D17615">
        <w:rPr>
          <w:rFonts w:ascii="Times New Roman" w:hAnsi="Times New Roman"/>
          <w:szCs w:val="24"/>
        </w:rPr>
        <w:t>with the</w:t>
      </w:r>
      <w:r w:rsidR="00247F00" w:rsidRPr="00247F00">
        <w:rPr>
          <w:rFonts w:ascii="Times New Roman" w:hAnsi="Times New Roman"/>
          <w:szCs w:val="24"/>
        </w:rPr>
        <w:t xml:space="preserve"> Centrelink </w:t>
      </w:r>
      <w:r w:rsidR="007122A4">
        <w:rPr>
          <w:rFonts w:ascii="Times New Roman" w:hAnsi="Times New Roman"/>
          <w:szCs w:val="24"/>
        </w:rPr>
        <w:t>payment system for the purpose</w:t>
      </w:r>
      <w:r w:rsidR="00247F00" w:rsidRPr="00247F00">
        <w:rPr>
          <w:rFonts w:ascii="Times New Roman" w:hAnsi="Times New Roman"/>
          <w:szCs w:val="24"/>
        </w:rPr>
        <w:t xml:space="preserve"> of determining eligibility for family assistance and child care payments which a</w:t>
      </w:r>
      <w:r w:rsidR="005D4385">
        <w:rPr>
          <w:rFonts w:ascii="Times New Roman" w:hAnsi="Times New Roman"/>
          <w:szCs w:val="24"/>
        </w:rPr>
        <w:t>re linked to immunisation</w:t>
      </w:r>
      <w:r w:rsidR="00247F00" w:rsidRPr="00247F00">
        <w:rPr>
          <w:rFonts w:ascii="Times New Roman" w:hAnsi="Times New Roman"/>
          <w:szCs w:val="24"/>
        </w:rPr>
        <w:t>.</w:t>
      </w:r>
      <w:r w:rsidR="00247F00">
        <w:rPr>
          <w:rFonts w:ascii="Times New Roman" w:hAnsi="Times New Roman"/>
          <w:szCs w:val="24"/>
        </w:rPr>
        <w:t xml:space="preserve"> </w:t>
      </w:r>
      <w:r w:rsidR="00247F00" w:rsidRPr="00247F00">
        <w:rPr>
          <w:rFonts w:ascii="Times New Roman" w:hAnsi="Times New Roman"/>
          <w:szCs w:val="24"/>
        </w:rPr>
        <w:t xml:space="preserve">The information to be shared includes: </w:t>
      </w:r>
    </w:p>
    <w:p w:rsidR="00247F00" w:rsidRPr="00AC460F" w:rsidRDefault="00247F00" w:rsidP="00015A5B">
      <w:pPr>
        <w:numPr>
          <w:ilvl w:val="0"/>
          <w:numId w:val="24"/>
        </w:numPr>
        <w:jc w:val="both"/>
        <w:rPr>
          <w:rFonts w:ascii="Times New Roman" w:hAnsi="Times New Roman"/>
          <w:szCs w:val="24"/>
        </w:rPr>
      </w:pPr>
      <w:r w:rsidRPr="00AC460F">
        <w:rPr>
          <w:rFonts w:ascii="Times New Roman" w:hAnsi="Times New Roman"/>
          <w:szCs w:val="24"/>
        </w:rPr>
        <w:lastRenderedPageBreak/>
        <w:t>those who meet the requirements due to being fully immunised</w:t>
      </w:r>
      <w:r w:rsidR="00AC460F" w:rsidRPr="00AC460F">
        <w:rPr>
          <w:rFonts w:ascii="Times New Roman" w:hAnsi="Times New Roman"/>
          <w:szCs w:val="24"/>
        </w:rPr>
        <w:t>, including</w:t>
      </w:r>
      <w:r w:rsidR="00AC460F">
        <w:rPr>
          <w:rFonts w:ascii="Times New Roman" w:hAnsi="Times New Roman"/>
          <w:szCs w:val="24"/>
        </w:rPr>
        <w:t xml:space="preserve"> </w:t>
      </w:r>
      <w:r w:rsidRPr="00AC460F">
        <w:rPr>
          <w:rFonts w:ascii="Times New Roman" w:hAnsi="Times New Roman"/>
          <w:szCs w:val="24"/>
        </w:rPr>
        <w:t>those who meet the requirements through a valid exemption (natural immunity; medical contraindication; or being a participant in a</w:t>
      </w:r>
      <w:r w:rsidR="00C64ACE" w:rsidRPr="00AC460F">
        <w:rPr>
          <w:rFonts w:ascii="Times New Roman" w:hAnsi="Times New Roman"/>
          <w:szCs w:val="24"/>
        </w:rPr>
        <w:t>n approved</w:t>
      </w:r>
      <w:r w:rsidRPr="00AC460F">
        <w:rPr>
          <w:rFonts w:ascii="Times New Roman" w:hAnsi="Times New Roman"/>
          <w:szCs w:val="24"/>
        </w:rPr>
        <w:t xml:space="preserve"> vaccine trial); and</w:t>
      </w:r>
    </w:p>
    <w:p w:rsidR="00247F00" w:rsidRPr="00247F00" w:rsidRDefault="00247F00" w:rsidP="00015A5B">
      <w:pPr>
        <w:numPr>
          <w:ilvl w:val="0"/>
          <w:numId w:val="24"/>
        </w:numPr>
        <w:jc w:val="both"/>
        <w:rPr>
          <w:rFonts w:ascii="Times New Roman" w:hAnsi="Times New Roman"/>
          <w:szCs w:val="24"/>
        </w:rPr>
      </w:pPr>
      <w:r w:rsidRPr="00247F00">
        <w:rPr>
          <w:rFonts w:ascii="Times New Roman" w:hAnsi="Times New Roman"/>
          <w:szCs w:val="24"/>
        </w:rPr>
        <w:t>those who do not meet the requirements due to being not fully immunised.</w:t>
      </w:r>
    </w:p>
    <w:p w:rsidR="00247F00" w:rsidRDefault="00247F00" w:rsidP="00A612B7">
      <w:pPr>
        <w:jc w:val="both"/>
      </w:pPr>
    </w:p>
    <w:p w:rsidR="00A612B7" w:rsidRDefault="00C45EAD" w:rsidP="00A612B7">
      <w:pPr>
        <w:jc w:val="both"/>
      </w:pPr>
      <w:r>
        <w:t>Paragraph</w:t>
      </w:r>
      <w:r w:rsidR="00A612B7">
        <w:t xml:space="preserve"> 10(1)(</w:t>
      </w:r>
      <w:r w:rsidR="00706D85">
        <w:t>h</w:t>
      </w:r>
      <w:r w:rsidR="00A612B7">
        <w:t>)</w:t>
      </w:r>
      <w:r w:rsidR="005A212B">
        <w:t xml:space="preserve"> </w:t>
      </w:r>
      <w:r w:rsidR="00C64ACE">
        <w:t xml:space="preserve">allows </w:t>
      </w:r>
      <w:r>
        <w:t xml:space="preserve">the Register to </w:t>
      </w:r>
      <w:r w:rsidR="00A612B7">
        <w:t xml:space="preserve">establish a mechanism </w:t>
      </w:r>
      <w:r w:rsidR="00D72B2D">
        <w:t>to contact individual</w:t>
      </w:r>
      <w:r w:rsidR="00A612B7">
        <w:t>s</w:t>
      </w:r>
      <w:r w:rsidR="00A212F6">
        <w:t xml:space="preserve"> </w:t>
      </w:r>
      <w:r w:rsidR="00015A5B">
        <w:t>(</w:t>
      </w:r>
      <w:r w:rsidR="00D72B2D">
        <w:t xml:space="preserve">or </w:t>
      </w:r>
      <w:r w:rsidR="00BF2ED6">
        <w:t xml:space="preserve">the </w:t>
      </w:r>
      <w:r w:rsidR="00C81EC3">
        <w:t>parent/</w:t>
      </w:r>
      <w:r w:rsidR="00D72B2D">
        <w:t>guardian</w:t>
      </w:r>
      <w:r w:rsidR="00C81EC3">
        <w:t xml:space="preserve"> or legal representative</w:t>
      </w:r>
      <w:r w:rsidR="00015A5B">
        <w:t>)</w:t>
      </w:r>
      <w:r w:rsidR="00D72B2D">
        <w:t>(</w:t>
      </w:r>
      <w:r w:rsidR="00817B1F">
        <w:t>Section</w:t>
      </w:r>
      <w:r w:rsidR="00D72B2D">
        <w:t xml:space="preserve"> 10(2)(b))</w:t>
      </w:r>
      <w:r w:rsidR="00A612B7">
        <w:t xml:space="preserve"> </w:t>
      </w:r>
      <w:r>
        <w:t xml:space="preserve">when </w:t>
      </w:r>
      <w:r w:rsidR="00A212F6">
        <w:t>they</w:t>
      </w:r>
      <w:r>
        <w:t xml:space="preserve"> are due for a</w:t>
      </w:r>
      <w:r w:rsidR="00A612B7">
        <w:t xml:space="preserve"> vaccination</w:t>
      </w:r>
      <w:r w:rsidR="00C452DA">
        <w:t>. At</w:t>
      </w:r>
      <w:r w:rsidR="00015A5B">
        <w:t> </w:t>
      </w:r>
      <w:r w:rsidR="00C452DA">
        <w:t xml:space="preserve">specified </w:t>
      </w:r>
      <w:r w:rsidR="000D203E">
        <w:t>milestones</w:t>
      </w:r>
      <w:r w:rsidR="00C452DA">
        <w:t xml:space="preserve"> the Register will generate notices to individuals who are recorded in the Register advising them when a dose of vaccine is due to be administered or reminding them if a dose of vaccine is overdue</w:t>
      </w:r>
      <w:r w:rsidR="00DF6505">
        <w:t xml:space="preserve"> to be administered</w:t>
      </w:r>
      <w:r w:rsidR="00A612B7">
        <w:t xml:space="preserve">. </w:t>
      </w:r>
      <w:r w:rsidR="001E1FAE">
        <w:t>The</w:t>
      </w:r>
      <w:r w:rsidR="00C452DA">
        <w:t>se notices may be</w:t>
      </w:r>
      <w:r w:rsidR="0062768C">
        <w:t xml:space="preserve"> </w:t>
      </w:r>
      <w:r w:rsidR="00015A5B">
        <w:t>made in writing</w:t>
      </w:r>
      <w:r w:rsidR="00DF6505">
        <w:t xml:space="preserve"> </w:t>
      </w:r>
      <w:r w:rsidR="00C452DA">
        <w:t xml:space="preserve">or </w:t>
      </w:r>
      <w:r w:rsidR="0062768C">
        <w:t xml:space="preserve">via </w:t>
      </w:r>
      <w:r w:rsidR="00C452DA">
        <w:t xml:space="preserve">electronic messaging, including email and SMS. </w:t>
      </w:r>
    </w:p>
    <w:p w:rsidR="005A212B" w:rsidRPr="006F0B6D" w:rsidRDefault="005A212B" w:rsidP="000927E4">
      <w:pPr>
        <w:jc w:val="both"/>
        <w:rPr>
          <w:color w:val="4F81BD"/>
        </w:rPr>
      </w:pPr>
    </w:p>
    <w:p w:rsidR="001E1FAE" w:rsidRDefault="00C45EAD" w:rsidP="001E1FAE">
      <w:pPr>
        <w:jc w:val="both"/>
      </w:pPr>
      <w:r>
        <w:t>Paragraph</w:t>
      </w:r>
      <w:r w:rsidR="00CC54F2">
        <w:t xml:space="preserve"> 10(1)(</w:t>
      </w:r>
      <w:proofErr w:type="spellStart"/>
      <w:r w:rsidR="008A362F">
        <w:t>i</w:t>
      </w:r>
      <w:proofErr w:type="spellEnd"/>
      <w:r w:rsidR="00CC54F2">
        <w:t xml:space="preserve">) </w:t>
      </w:r>
      <w:r w:rsidR="007A2D2F">
        <w:t>allows</w:t>
      </w:r>
      <w:r>
        <w:t xml:space="preserve"> </w:t>
      </w:r>
      <w:r w:rsidR="007A2D2F">
        <w:t>a</w:t>
      </w:r>
      <w:r>
        <w:t xml:space="preserve"> purpose of</w:t>
      </w:r>
      <w:r w:rsidR="00CC54F2">
        <w:t xml:space="preserve"> the R</w:t>
      </w:r>
      <w:r w:rsidR="005A212B">
        <w:t xml:space="preserve">egister </w:t>
      </w:r>
      <w:r w:rsidR="00CC54F2">
        <w:t>to</w:t>
      </w:r>
      <w:r w:rsidR="00BF2ED6">
        <w:t xml:space="preserve"> </w:t>
      </w:r>
      <w:r w:rsidR="005A212B">
        <w:t>provide individuals with a</w:t>
      </w:r>
      <w:r w:rsidR="00CC54F2">
        <w:t xml:space="preserve"> record of vaccinations </w:t>
      </w:r>
      <w:r w:rsidR="005C1C63">
        <w:t xml:space="preserve">that </w:t>
      </w:r>
      <w:r w:rsidR="00CC54F2">
        <w:t>they have received</w:t>
      </w:r>
      <w:r w:rsidR="005C1C63">
        <w:t>. A vaccination</w:t>
      </w:r>
      <w:r w:rsidR="00BF2ED6">
        <w:t xml:space="preserve"> </w:t>
      </w:r>
      <w:r w:rsidR="00CC54F2">
        <w:t>h</w:t>
      </w:r>
      <w:r w:rsidR="00BF2ED6">
        <w:t>istory</w:t>
      </w:r>
      <w:r w:rsidR="005C1C63">
        <w:t>/completion</w:t>
      </w:r>
      <w:r w:rsidR="00BF2ED6">
        <w:t xml:space="preserve"> </w:t>
      </w:r>
      <w:r w:rsidR="00CC54F2">
        <w:t>s</w:t>
      </w:r>
      <w:r w:rsidR="00BF2ED6">
        <w:t xml:space="preserve">tatement </w:t>
      </w:r>
      <w:r w:rsidR="005C1C63">
        <w:t>will be</w:t>
      </w:r>
      <w:r w:rsidR="00BF2ED6">
        <w:t xml:space="preserve"> generated at </w:t>
      </w:r>
      <w:r w:rsidR="00CC54F2">
        <w:t>key milestones</w:t>
      </w:r>
      <w:r w:rsidR="00B7742C">
        <w:t xml:space="preserve"> and be </w:t>
      </w:r>
      <w:r w:rsidR="00C452DA">
        <w:t>available</w:t>
      </w:r>
      <w:r w:rsidR="00B7742C">
        <w:t xml:space="preserve"> electronically</w:t>
      </w:r>
      <w:r w:rsidR="00C452DA">
        <w:t xml:space="preserve"> </w:t>
      </w:r>
      <w:r w:rsidR="00741649">
        <w:t xml:space="preserve">from </w:t>
      </w:r>
      <w:r w:rsidR="00C452DA">
        <w:t>a secure website</w:t>
      </w:r>
      <w:r w:rsidR="00B7742C">
        <w:t xml:space="preserve">. </w:t>
      </w:r>
      <w:r w:rsidR="00741649">
        <w:t>The history statement can also be r</w:t>
      </w:r>
      <w:r w:rsidR="00CC54F2">
        <w:t xml:space="preserve">equested </w:t>
      </w:r>
      <w:r w:rsidR="0062768C">
        <w:t>over the phone.</w:t>
      </w:r>
      <w:r w:rsidR="00BF2ED6">
        <w:t xml:space="preserve"> </w:t>
      </w:r>
      <w:r w:rsidR="001E1FAE">
        <w:t>At the completion of a course of vaccination, or at any time at the request of an individual</w:t>
      </w:r>
      <w:r w:rsidR="007A2D2F">
        <w:t xml:space="preserve"> </w:t>
      </w:r>
      <w:r w:rsidR="00AC460F">
        <w:t>(</w:t>
      </w:r>
      <w:r w:rsidR="007A2D2F">
        <w:t xml:space="preserve">or parent/guardian for those not capable of managing their own </w:t>
      </w:r>
      <w:r w:rsidR="00AC460F">
        <w:t xml:space="preserve">health </w:t>
      </w:r>
      <w:r w:rsidR="007A2D2F">
        <w:t>affairs</w:t>
      </w:r>
      <w:r w:rsidR="00891A44" w:rsidRPr="00891A44">
        <w:t xml:space="preserve"> </w:t>
      </w:r>
      <w:r w:rsidR="00AC460F">
        <w:t>such as young individuals or</w:t>
      </w:r>
      <w:r w:rsidR="00891A44">
        <w:t xml:space="preserve"> individuals suffering mental limitations rendering them incapable of handling their affairs</w:t>
      </w:r>
      <w:r w:rsidR="00AC460F">
        <w:t>)</w:t>
      </w:r>
      <w:r w:rsidR="001E1FAE">
        <w:t xml:space="preserve">, the register will have the capacity to generate a letter of certification that </w:t>
      </w:r>
      <w:r w:rsidR="001F4B11">
        <w:t>a</w:t>
      </w:r>
      <w:r w:rsidR="001E1FAE">
        <w:t xml:space="preserve"> course of vaccination has been completed, and will contain the de</w:t>
      </w:r>
      <w:r w:rsidR="00741649">
        <w:t xml:space="preserve">tails of the brand of vaccine </w:t>
      </w:r>
      <w:r w:rsidR="001E1FAE">
        <w:t>and the dates on which each dose was administered. This will provide a record of vaccination for the individual concerned.</w:t>
      </w:r>
      <w:r w:rsidR="00CC54F2">
        <w:t xml:space="preserve"> The history statement can be used as proof of vaccination for entry to child care, school and for family assistance payment purposes. </w:t>
      </w:r>
    </w:p>
    <w:p w:rsidR="00F42E68" w:rsidRPr="00C45EAD" w:rsidRDefault="00F42E68" w:rsidP="001E1FAE">
      <w:pPr>
        <w:jc w:val="both"/>
      </w:pPr>
    </w:p>
    <w:p w:rsidR="00FC5D21" w:rsidRDefault="00C45EAD" w:rsidP="001E1FAE">
      <w:pPr>
        <w:jc w:val="both"/>
      </w:pPr>
      <w:r w:rsidRPr="00C45EAD">
        <w:t>Paragraph</w:t>
      </w:r>
      <w:r w:rsidR="001E1FAE" w:rsidRPr="00C45EAD">
        <w:t xml:space="preserve"> 10(1)(j)</w:t>
      </w:r>
      <w:r w:rsidR="00244FEC" w:rsidRPr="00C45EAD">
        <w:t xml:space="preserve"> </w:t>
      </w:r>
      <w:r w:rsidRPr="00C45EAD">
        <w:t xml:space="preserve">provides that it is a purpose of the Register to </w:t>
      </w:r>
      <w:r w:rsidR="007A2D2F">
        <w:t>support</w:t>
      </w:r>
      <w:r w:rsidR="001E1FAE">
        <w:t xml:space="preserve"> notification mechanism</w:t>
      </w:r>
      <w:r w:rsidR="007A2D2F">
        <w:t>s</w:t>
      </w:r>
      <w:r w:rsidR="001E1FAE">
        <w:t xml:space="preserve"> about new developments associated with </w:t>
      </w:r>
      <w:r w:rsidR="00244FEC">
        <w:t>vaccine</w:t>
      </w:r>
      <w:r w:rsidR="00294134">
        <w:t>s</w:t>
      </w:r>
      <w:r w:rsidR="00387AE8">
        <w:t xml:space="preserve"> and </w:t>
      </w:r>
      <w:r w:rsidR="00FC5D21">
        <w:t xml:space="preserve">the National Immunisation Program to </w:t>
      </w:r>
      <w:r w:rsidR="001E1FAE">
        <w:t>individuals</w:t>
      </w:r>
      <w:r w:rsidR="00294134">
        <w:t xml:space="preserve"> (or a </w:t>
      </w:r>
      <w:r w:rsidR="001E1FAE">
        <w:t>parent</w:t>
      </w:r>
      <w:r w:rsidR="00294134">
        <w:t>/</w:t>
      </w:r>
      <w:r w:rsidR="001E1FAE">
        <w:t>guardian</w:t>
      </w:r>
      <w:r w:rsidR="00294134">
        <w:t>)</w:t>
      </w:r>
      <w:r w:rsidR="001E1FAE">
        <w:t xml:space="preserve"> and </w:t>
      </w:r>
      <w:r w:rsidR="00C54AFA">
        <w:t>recognised vaccination provider</w:t>
      </w:r>
      <w:r w:rsidR="001E1FAE">
        <w:t xml:space="preserve">s. This </w:t>
      </w:r>
      <w:r w:rsidR="00995637">
        <w:t>could</w:t>
      </w:r>
      <w:r w:rsidR="001E1FAE">
        <w:t xml:space="preserve"> include any material of a</w:t>
      </w:r>
      <w:r w:rsidR="007F23FA">
        <w:t>n informative,</w:t>
      </w:r>
      <w:r w:rsidR="001E1FAE">
        <w:t xml:space="preserve"> technical or statistical nature relating to </w:t>
      </w:r>
      <w:r w:rsidR="00244FEC">
        <w:t xml:space="preserve">vaccine preventable diseases, </w:t>
      </w:r>
      <w:r w:rsidR="001E1FAE">
        <w:t xml:space="preserve">new and emerging vaccines </w:t>
      </w:r>
      <w:r w:rsidR="007F23FA">
        <w:t>or</w:t>
      </w:r>
      <w:r w:rsidR="005C1C63">
        <w:t xml:space="preserve"> </w:t>
      </w:r>
      <w:r w:rsidR="001E1FAE">
        <w:t>matters</w:t>
      </w:r>
      <w:r w:rsidR="007F23FA">
        <w:t xml:space="preserve"> relating to the </w:t>
      </w:r>
      <w:r w:rsidR="007A2D2F">
        <w:t>immunisation programs</w:t>
      </w:r>
      <w:r w:rsidR="001E1FAE">
        <w:t xml:space="preserve">. De-identified statistical information may also be published to raise awareness in </w:t>
      </w:r>
      <w:r w:rsidR="00244FEC">
        <w:t>the general population about vaccine preventable diseases</w:t>
      </w:r>
      <w:r w:rsidR="001E1FAE">
        <w:t xml:space="preserve"> and to </w:t>
      </w:r>
      <w:r w:rsidR="00244FEC">
        <w:t>promote immunisation p</w:t>
      </w:r>
      <w:r w:rsidR="001E1FAE">
        <w:t>rogram</w:t>
      </w:r>
      <w:r w:rsidR="007A2D2F">
        <w:t>s</w:t>
      </w:r>
      <w:r w:rsidR="001E1FAE">
        <w:t>.</w:t>
      </w:r>
    </w:p>
    <w:p w:rsidR="00FC5D21" w:rsidRDefault="00FC5D21" w:rsidP="001E1FAE">
      <w:pPr>
        <w:jc w:val="both"/>
      </w:pPr>
    </w:p>
    <w:p w:rsidR="001E1FAE" w:rsidRDefault="00244FEC" w:rsidP="001E1FAE">
      <w:pPr>
        <w:jc w:val="both"/>
      </w:pPr>
      <w:r>
        <w:t>Similarly,</w:t>
      </w:r>
      <w:r w:rsidR="00FC5D21">
        <w:t xml:space="preserve"> the advancement of the scientific knowledge base and potential technological advancements globally may aid research into vaccine preventable diseases and vaccinations in Australia. </w:t>
      </w:r>
      <w:r w:rsidR="00C45EAD">
        <w:t>This</w:t>
      </w:r>
      <w:r w:rsidR="00FC5D21">
        <w:t xml:space="preserve"> purpose is detailed in </w:t>
      </w:r>
      <w:r w:rsidR="007A3C00">
        <w:t>P</w:t>
      </w:r>
      <w:r w:rsidR="00C45EAD">
        <w:t>aragraph</w:t>
      </w:r>
      <w:r w:rsidR="00FC5D21">
        <w:t xml:space="preserve"> 10(1)(l).</w:t>
      </w:r>
      <w:r w:rsidR="00EE424F">
        <w:t xml:space="preserve"> </w:t>
      </w:r>
    </w:p>
    <w:p w:rsidR="00244FEC" w:rsidRDefault="00244FEC" w:rsidP="001E1FAE">
      <w:pPr>
        <w:jc w:val="both"/>
      </w:pPr>
    </w:p>
    <w:p w:rsidR="002D0E92" w:rsidRDefault="00C45EAD" w:rsidP="00244FEC">
      <w:pPr>
        <w:jc w:val="both"/>
      </w:pPr>
      <w:r>
        <w:t>Paragraph</w:t>
      </w:r>
      <w:r w:rsidR="00244FEC">
        <w:t xml:space="preserve"> 10(1)(k) allows</w:t>
      </w:r>
      <w:r w:rsidR="006F64FA">
        <w:t xml:space="preserve"> the Commonwealth to make</w:t>
      </w:r>
      <w:r w:rsidR="000D740A">
        <w:t xml:space="preserve"> </w:t>
      </w:r>
      <w:r w:rsidR="00244FEC">
        <w:t>payment</w:t>
      </w:r>
      <w:r w:rsidR="00EF25B8">
        <w:t>s</w:t>
      </w:r>
      <w:r w:rsidR="00244FEC">
        <w:t xml:space="preserve"> to </w:t>
      </w:r>
      <w:r w:rsidR="00C54AFA">
        <w:t>recognised vaccination provider</w:t>
      </w:r>
      <w:r w:rsidR="00FB0AE4">
        <w:t>s</w:t>
      </w:r>
      <w:r w:rsidR="006F64FA">
        <w:t xml:space="preserve"> when they</w:t>
      </w:r>
      <w:r w:rsidR="00244FEC">
        <w:t xml:space="preserve"> </w:t>
      </w:r>
      <w:r w:rsidR="00FC5D21">
        <w:t>notify</w:t>
      </w:r>
      <w:r w:rsidR="00244FEC">
        <w:t xml:space="preserve"> </w:t>
      </w:r>
      <w:r w:rsidR="006F64FA">
        <w:t xml:space="preserve">the Register of a </w:t>
      </w:r>
      <w:r w:rsidR="00FC5D21">
        <w:t>vaccination</w:t>
      </w:r>
      <w:r w:rsidR="006F64FA">
        <w:t>.</w:t>
      </w:r>
      <w:r w:rsidR="00244FEC">
        <w:t xml:space="preserve"> This will </w:t>
      </w:r>
      <w:r w:rsidR="00D11C25">
        <w:t>ensure</w:t>
      </w:r>
      <w:r w:rsidR="00244FEC">
        <w:t xml:space="preserve"> the vaccination information relating to </w:t>
      </w:r>
      <w:r w:rsidR="007F23FA">
        <w:t>individuals</w:t>
      </w:r>
      <w:r w:rsidR="00244FEC">
        <w:t xml:space="preserve"> is as current and as comp</w:t>
      </w:r>
      <w:r w:rsidR="00EE424F">
        <w:t>rehensive</w:t>
      </w:r>
      <w:r w:rsidR="00244FEC">
        <w:t xml:space="preserve"> as possible.</w:t>
      </w:r>
      <w:r w:rsidR="00B66E3D">
        <w:t xml:space="preserve"> </w:t>
      </w:r>
    </w:p>
    <w:p w:rsidR="002D0E92" w:rsidRDefault="002D0E92" w:rsidP="00244FEC">
      <w:pPr>
        <w:jc w:val="both"/>
      </w:pPr>
    </w:p>
    <w:p w:rsidR="00B66E3D" w:rsidRDefault="00817B1F" w:rsidP="00244FEC">
      <w:pPr>
        <w:jc w:val="both"/>
      </w:pPr>
      <w:r>
        <w:t>Section</w:t>
      </w:r>
      <w:r w:rsidR="00B66E3D">
        <w:t xml:space="preserve"> 10(1) </w:t>
      </w:r>
      <w:r w:rsidR="00C45EAD">
        <w:t>allows for information to be used and disclosed for relevant purposes related to vaccination</w:t>
      </w:r>
      <w:r w:rsidR="007A2D2F">
        <w:t xml:space="preserve"> including individuals who are conducting research in relation to immunisation or vaccine preventable disease within Australia.</w:t>
      </w:r>
    </w:p>
    <w:p w:rsidR="00B66E3D" w:rsidRDefault="00B66E3D" w:rsidP="00244FEC">
      <w:pPr>
        <w:jc w:val="both"/>
      </w:pPr>
    </w:p>
    <w:p w:rsidR="00EE424F" w:rsidRDefault="00824520" w:rsidP="00244FEC">
      <w:pPr>
        <w:jc w:val="both"/>
      </w:pPr>
      <w:r>
        <w:lastRenderedPageBreak/>
        <w:t>Paragraph</w:t>
      </w:r>
      <w:r w:rsidR="00EE424F">
        <w:t xml:space="preserve"> 10(1)(m) </w:t>
      </w:r>
      <w:r w:rsidR="00EE424F" w:rsidRPr="00A612B7">
        <w:t xml:space="preserve">sets out that </w:t>
      </w:r>
      <w:r w:rsidR="00EE424F">
        <w:t xml:space="preserve">anything incidental to </w:t>
      </w:r>
      <w:r w:rsidR="00EE424F" w:rsidRPr="00A612B7">
        <w:t xml:space="preserve">the </w:t>
      </w:r>
      <w:r w:rsidR="00EE424F">
        <w:t xml:space="preserve">above </w:t>
      </w:r>
      <w:r w:rsidR="00EE424F" w:rsidRPr="00A612B7">
        <w:t>purpose</w:t>
      </w:r>
      <w:r w:rsidR="00FC5D21">
        <w:t>s</w:t>
      </w:r>
      <w:r w:rsidR="00EE424F" w:rsidRPr="00A612B7">
        <w:t xml:space="preserve"> of the </w:t>
      </w:r>
      <w:r>
        <w:t>R</w:t>
      </w:r>
      <w:r w:rsidR="00EE424F" w:rsidRPr="00A612B7">
        <w:t xml:space="preserve">egister </w:t>
      </w:r>
      <w:r w:rsidR="00EE424F">
        <w:t xml:space="preserve">can also be </w:t>
      </w:r>
      <w:r w:rsidR="00FC5D21">
        <w:t xml:space="preserve">included as a </w:t>
      </w:r>
      <w:r w:rsidR="00EE424F">
        <w:t xml:space="preserve">permissible </w:t>
      </w:r>
      <w:r w:rsidR="00FC5D21">
        <w:t>function under the Act.</w:t>
      </w:r>
      <w:r w:rsidR="00F42E68">
        <w:t xml:space="preserve">  Thi</w:t>
      </w:r>
      <w:r w:rsidR="007A3C00">
        <w:t>s provision is included in the B</w:t>
      </w:r>
      <w:r w:rsidR="00F42E68">
        <w:t xml:space="preserve">ill to </w:t>
      </w:r>
      <w:r w:rsidR="000D1AAA">
        <w:t xml:space="preserve">facilitate any associative purposes that relate to the provisions described within 10(1)(a-l). </w:t>
      </w:r>
    </w:p>
    <w:p w:rsidR="00DC114F" w:rsidRDefault="00DC114F" w:rsidP="00244FEC">
      <w:pPr>
        <w:jc w:val="both"/>
      </w:pPr>
    </w:p>
    <w:p w:rsidR="001F4B11" w:rsidRDefault="00824520" w:rsidP="000927E4">
      <w:pPr>
        <w:jc w:val="both"/>
      </w:pPr>
      <w:r>
        <w:t>Subs</w:t>
      </w:r>
      <w:r w:rsidR="00817B1F">
        <w:t>ection</w:t>
      </w:r>
      <w:r w:rsidR="00DC114F">
        <w:t xml:space="preserve"> 10(2) outlines that if an individual is incapable of managing his or her health affairs, the parent or guardian of the individual (or legal representative</w:t>
      </w:r>
      <w:r w:rsidR="006F64FA">
        <w:t>)</w:t>
      </w:r>
      <w:r w:rsidR="00DC114F">
        <w:t xml:space="preserve"> may check the vaccination status of the individual.</w:t>
      </w:r>
      <w:r w:rsidR="007A2D2F">
        <w:t xml:space="preserve"> An example of someone who cannot manage their own </w:t>
      </w:r>
      <w:r w:rsidR="00891A44">
        <w:t>affairs includes young children and</w:t>
      </w:r>
      <w:r w:rsidR="007A2D2F">
        <w:t xml:space="preserve"> </w:t>
      </w:r>
      <w:r w:rsidR="00891A44">
        <w:t>individuals suffering mental</w:t>
      </w:r>
      <w:r w:rsidR="007A2D2F">
        <w:t xml:space="preserve"> </w:t>
      </w:r>
      <w:r w:rsidR="00891A44">
        <w:t>limitations rendering them incapable of handling their affairs.</w:t>
      </w:r>
      <w:r w:rsidR="00DC114F">
        <w:t xml:space="preserve"> </w:t>
      </w:r>
      <w:r w:rsidR="006F64FA" w:rsidRPr="00824520">
        <w:t>I</w:t>
      </w:r>
      <w:r w:rsidR="00BF10BC" w:rsidRPr="00824520">
        <w:t>ndividuals who are capable of managing their own health affairs</w:t>
      </w:r>
      <w:r w:rsidR="006F64FA" w:rsidRPr="00824520">
        <w:t xml:space="preserve"> can access their own immunisation information from the Register directly. </w:t>
      </w:r>
    </w:p>
    <w:p w:rsidR="00824520" w:rsidRDefault="00824520" w:rsidP="000927E4">
      <w:pPr>
        <w:jc w:val="both"/>
        <w:rPr>
          <w:b/>
          <w:sz w:val="28"/>
          <w:szCs w:val="28"/>
        </w:rPr>
      </w:pPr>
    </w:p>
    <w:p w:rsidR="001F4B11" w:rsidRDefault="00FC5D21" w:rsidP="000927E4">
      <w:pPr>
        <w:jc w:val="both"/>
        <w:rPr>
          <w:b/>
          <w:sz w:val="28"/>
          <w:szCs w:val="28"/>
        </w:rPr>
      </w:pPr>
      <w:r>
        <w:rPr>
          <w:b/>
          <w:sz w:val="28"/>
          <w:szCs w:val="28"/>
        </w:rPr>
        <w:t xml:space="preserve">Division 3 – </w:t>
      </w:r>
      <w:r w:rsidR="00AE15DD">
        <w:rPr>
          <w:b/>
          <w:sz w:val="28"/>
          <w:szCs w:val="28"/>
        </w:rPr>
        <w:t>Requests about personal information in the register</w:t>
      </w:r>
    </w:p>
    <w:p w:rsidR="00AE15DD" w:rsidRDefault="00AE15DD" w:rsidP="000927E4">
      <w:pPr>
        <w:jc w:val="both"/>
        <w:rPr>
          <w:szCs w:val="24"/>
        </w:rPr>
      </w:pPr>
    </w:p>
    <w:p w:rsidR="00AE15DD" w:rsidRDefault="00817B1F" w:rsidP="00AE15DD">
      <w:pPr>
        <w:jc w:val="both"/>
        <w:rPr>
          <w:b/>
        </w:rPr>
      </w:pPr>
      <w:r>
        <w:rPr>
          <w:b/>
          <w:szCs w:val="24"/>
        </w:rPr>
        <w:t>Section</w:t>
      </w:r>
      <w:r w:rsidR="00AE15DD" w:rsidRPr="00817B1F">
        <w:rPr>
          <w:b/>
          <w:szCs w:val="24"/>
        </w:rPr>
        <w:t xml:space="preserve"> 11</w:t>
      </w:r>
      <w:r w:rsidR="00AE15DD">
        <w:rPr>
          <w:b/>
          <w:szCs w:val="24"/>
        </w:rPr>
        <w:t xml:space="preserve"> - </w:t>
      </w:r>
      <w:r w:rsidR="00AE15DD">
        <w:rPr>
          <w:b/>
        </w:rPr>
        <w:t>Requests about personal information in the register</w:t>
      </w:r>
    </w:p>
    <w:p w:rsidR="004B5923" w:rsidRDefault="004B5923" w:rsidP="00AE15DD">
      <w:pPr>
        <w:jc w:val="both"/>
        <w:rPr>
          <w:szCs w:val="24"/>
        </w:rPr>
      </w:pPr>
    </w:p>
    <w:p w:rsidR="00AE15DD" w:rsidRDefault="00AE15DD" w:rsidP="00AE15DD">
      <w:pPr>
        <w:jc w:val="both"/>
        <w:rPr>
          <w:szCs w:val="24"/>
        </w:rPr>
      </w:pPr>
      <w:r w:rsidRPr="00B73C30">
        <w:rPr>
          <w:szCs w:val="24"/>
        </w:rPr>
        <w:t xml:space="preserve">Individuals (or a parent or guardian of an individual) can request that they not be provided with information from the </w:t>
      </w:r>
      <w:r w:rsidR="00824520">
        <w:rPr>
          <w:szCs w:val="24"/>
        </w:rPr>
        <w:t>R</w:t>
      </w:r>
      <w:r w:rsidRPr="00B73C30">
        <w:rPr>
          <w:szCs w:val="24"/>
        </w:rPr>
        <w:t xml:space="preserve">egister (for example, a reminder that the person is due for a vaccination) and that the Register no longer disclose </w:t>
      </w:r>
      <w:r w:rsidR="00824520">
        <w:rPr>
          <w:szCs w:val="24"/>
        </w:rPr>
        <w:t>personal</w:t>
      </w:r>
      <w:r w:rsidRPr="00B73C30">
        <w:rPr>
          <w:szCs w:val="24"/>
        </w:rPr>
        <w:t xml:space="preserve"> information about them (for example, to a recognised vaccination provider). There will be no capability for an individual to request complete destruction of records about them that are held by the Register. </w:t>
      </w:r>
    </w:p>
    <w:p w:rsidR="00AE15DD" w:rsidRDefault="00AE15DD" w:rsidP="00AE15DD">
      <w:pPr>
        <w:jc w:val="both"/>
        <w:rPr>
          <w:szCs w:val="24"/>
        </w:rPr>
      </w:pPr>
    </w:p>
    <w:p w:rsidR="00AE15DD" w:rsidRPr="00B73C30" w:rsidRDefault="00AE15DD" w:rsidP="00AE15DD">
      <w:pPr>
        <w:jc w:val="both"/>
        <w:rPr>
          <w:szCs w:val="24"/>
        </w:rPr>
      </w:pPr>
      <w:r w:rsidRPr="00B73C30">
        <w:rPr>
          <w:szCs w:val="24"/>
        </w:rPr>
        <w:t xml:space="preserve">The request will be required to be made using an approved form and the Commonwealth </w:t>
      </w:r>
      <w:r>
        <w:rPr>
          <w:szCs w:val="24"/>
        </w:rPr>
        <w:t>will be</w:t>
      </w:r>
      <w:r w:rsidRPr="00B73C30">
        <w:rPr>
          <w:szCs w:val="24"/>
        </w:rPr>
        <w:t xml:space="preserve"> required to comply with the written request as soon as practicable. The form will articulate that a request </w:t>
      </w:r>
      <w:r>
        <w:rPr>
          <w:szCs w:val="24"/>
        </w:rPr>
        <w:t>for the</w:t>
      </w:r>
      <w:r w:rsidRPr="00B73C30">
        <w:rPr>
          <w:szCs w:val="24"/>
        </w:rPr>
        <w:t xml:space="preserve"> Register</w:t>
      </w:r>
      <w:r>
        <w:rPr>
          <w:szCs w:val="24"/>
        </w:rPr>
        <w:t xml:space="preserve"> to</w:t>
      </w:r>
      <w:r w:rsidRPr="00B73C30">
        <w:rPr>
          <w:szCs w:val="24"/>
        </w:rPr>
        <w:t xml:space="preserve"> no longer disclose information about </w:t>
      </w:r>
      <w:r>
        <w:rPr>
          <w:szCs w:val="24"/>
        </w:rPr>
        <w:t>an individual</w:t>
      </w:r>
      <w:r w:rsidRPr="00B73C30">
        <w:rPr>
          <w:szCs w:val="24"/>
        </w:rPr>
        <w:t xml:space="preserve"> will not </w:t>
      </w:r>
      <w:r>
        <w:rPr>
          <w:szCs w:val="24"/>
        </w:rPr>
        <w:t xml:space="preserve">prevent </w:t>
      </w:r>
      <w:r w:rsidRPr="00B73C30">
        <w:rPr>
          <w:szCs w:val="24"/>
        </w:rPr>
        <w:t xml:space="preserve">information being shared with Centrelink for the purpose of assessing eligibility for family </w:t>
      </w:r>
      <w:r>
        <w:rPr>
          <w:szCs w:val="24"/>
        </w:rPr>
        <w:t xml:space="preserve">assistance </w:t>
      </w:r>
      <w:r w:rsidRPr="00B73C30">
        <w:rPr>
          <w:szCs w:val="24"/>
        </w:rPr>
        <w:t>payments</w:t>
      </w:r>
      <w:r>
        <w:rPr>
          <w:szCs w:val="24"/>
        </w:rPr>
        <w:t xml:space="preserve"> which are linked to vaccination</w:t>
      </w:r>
      <w:r w:rsidRPr="00B73C30">
        <w:rPr>
          <w:szCs w:val="24"/>
        </w:rPr>
        <w:t xml:space="preserve">. </w:t>
      </w:r>
    </w:p>
    <w:p w:rsidR="00AE15DD" w:rsidRDefault="00AE15DD" w:rsidP="00AE15DD">
      <w:pPr>
        <w:jc w:val="both"/>
      </w:pPr>
    </w:p>
    <w:p w:rsidR="00A212F6" w:rsidRPr="00A212F6" w:rsidRDefault="00A212F6" w:rsidP="00A212F6">
      <w:pPr>
        <w:pStyle w:val="TOC3"/>
        <w:ind w:left="0" w:firstLine="0"/>
        <w:rPr>
          <w:b w:val="0"/>
          <w:noProof/>
          <w:kern w:val="0"/>
          <w:sz w:val="28"/>
          <w:szCs w:val="28"/>
        </w:rPr>
      </w:pPr>
      <w:r w:rsidRPr="00EF25B8">
        <w:rPr>
          <w:noProof/>
          <w:sz w:val="28"/>
          <w:szCs w:val="28"/>
        </w:rPr>
        <w:t>Division 4—Payments</w:t>
      </w:r>
      <w:r w:rsidRPr="00A212F6">
        <w:rPr>
          <w:noProof/>
          <w:sz w:val="28"/>
          <w:szCs w:val="28"/>
        </w:rPr>
        <w:t xml:space="preserve"> relating to the register</w:t>
      </w:r>
    </w:p>
    <w:p w:rsidR="00A212F6" w:rsidRPr="00A212F6" w:rsidRDefault="00A212F6" w:rsidP="00A212F6">
      <w:pPr>
        <w:jc w:val="both"/>
        <w:rPr>
          <w:rFonts w:ascii="Times New Roman" w:hAnsi="Times New Roman"/>
          <w:noProof/>
          <w:sz w:val="28"/>
          <w:szCs w:val="28"/>
        </w:rPr>
      </w:pPr>
    </w:p>
    <w:p w:rsidR="00FC5D21" w:rsidRDefault="00A212F6" w:rsidP="00A212F6">
      <w:pPr>
        <w:jc w:val="both"/>
        <w:rPr>
          <w:rFonts w:ascii="Times New Roman" w:hAnsi="Times New Roman"/>
          <w:b/>
          <w:noProof/>
          <w:szCs w:val="24"/>
        </w:rPr>
      </w:pPr>
      <w:r w:rsidRPr="00A212F6">
        <w:rPr>
          <w:rFonts w:ascii="Times New Roman" w:hAnsi="Times New Roman"/>
          <w:b/>
          <w:noProof/>
          <w:szCs w:val="24"/>
        </w:rPr>
        <w:t>Section 12- Payments relating to vaccinations</w:t>
      </w:r>
    </w:p>
    <w:p w:rsidR="00A212F6" w:rsidRDefault="00A212F6" w:rsidP="00A212F6">
      <w:pPr>
        <w:jc w:val="both"/>
        <w:rPr>
          <w:rFonts w:ascii="Times New Roman" w:hAnsi="Times New Roman"/>
          <w:noProof/>
          <w:szCs w:val="24"/>
        </w:rPr>
      </w:pPr>
    </w:p>
    <w:p w:rsidR="002D0E92" w:rsidRDefault="002D0E92" w:rsidP="002D0E92">
      <w:pPr>
        <w:jc w:val="both"/>
      </w:pPr>
      <w:r>
        <w:t>One of the purposes of the Register is to allow the Commonwealth to make administrative payment</w:t>
      </w:r>
      <w:r w:rsidR="00EF25B8">
        <w:t>s</w:t>
      </w:r>
      <w:r>
        <w:t xml:space="preserve"> to recognised vaccination providers when they notify the Register of a vaccination (Paragraph 10(1)(k)). Section 12 gives the Commonwealth authority to </w:t>
      </w:r>
      <w:r w:rsidR="00EF25B8">
        <w:t>make</w:t>
      </w:r>
      <w:r>
        <w:t xml:space="preserve"> payment</w:t>
      </w:r>
      <w:r w:rsidR="00EF25B8">
        <w:t>s</w:t>
      </w:r>
      <w:r>
        <w:t xml:space="preserve"> for the purposes </w:t>
      </w:r>
      <w:r w:rsidR="00EF25B8">
        <w:t>described</w:t>
      </w:r>
      <w:r>
        <w:t xml:space="preserve"> </w:t>
      </w:r>
      <w:r w:rsidR="00BE2703">
        <w:t xml:space="preserve">in </w:t>
      </w:r>
      <w:r>
        <w:t>the Bill.</w:t>
      </w:r>
    </w:p>
    <w:p w:rsidR="002D0E92" w:rsidRDefault="002D0E92" w:rsidP="002D0E92">
      <w:pPr>
        <w:jc w:val="both"/>
      </w:pPr>
    </w:p>
    <w:p w:rsidR="002D0E92" w:rsidRDefault="002D0E92" w:rsidP="002D0E92">
      <w:pPr>
        <w:jc w:val="both"/>
      </w:pPr>
      <w:r>
        <w:t>To be eligible for a payment</w:t>
      </w:r>
      <w:r w:rsidR="00BE2703">
        <w:t xml:space="preserve"> described in 12(1)(a)</w:t>
      </w:r>
      <w:r>
        <w:t xml:space="preserve"> the notification must be</w:t>
      </w:r>
      <w:r w:rsidR="00BE2703">
        <w:t xml:space="preserve"> in relation to</w:t>
      </w:r>
      <w:r>
        <w:t xml:space="preserve"> a vaccination that completes one of </w:t>
      </w:r>
      <w:r w:rsidR="00BE2703">
        <w:t xml:space="preserve">the six </w:t>
      </w:r>
      <w:r>
        <w:t xml:space="preserve">childhood immunisation schedule points (e.g. 2, 4, 6, 12, 18 and 48 months of age). This will ensure the vaccination information relating to these individuals is as current and as comprehensive as possible. </w:t>
      </w:r>
    </w:p>
    <w:p w:rsidR="002D0E92" w:rsidRDefault="002D0E92" w:rsidP="002D0E92">
      <w:pPr>
        <w:jc w:val="both"/>
      </w:pPr>
    </w:p>
    <w:p w:rsidR="002D0E92" w:rsidRDefault="002D0E92" w:rsidP="002D0E92">
      <w:pPr>
        <w:jc w:val="both"/>
      </w:pPr>
      <w:r>
        <w:t>From March 2016, an additional incentive payment</w:t>
      </w:r>
      <w:r w:rsidR="003967FB">
        <w:t xml:space="preserve"> (described in paragraph 12 (1)(b))</w:t>
      </w:r>
      <w:r>
        <w:t xml:space="preserve"> will be made to recognised vaccination providers who proactively follow up children who are more than two months overdue for their vaccinations and call them in to </w:t>
      </w:r>
      <w:r>
        <w:lastRenderedPageBreak/>
        <w:t>receive the required catch up vaccinations. The incentive payment is payable in relation to vaccinations that are administered to children under seven years of age. Payments are made monthly via Electronic Funds Transfer into the provider</w:t>
      </w:r>
      <w:r w:rsidR="00BE2703">
        <w:t>’</w:t>
      </w:r>
      <w:r>
        <w:t xml:space="preserve">s nominated bank account. A statement of payment is sent each month to </w:t>
      </w:r>
      <w:r w:rsidR="00BE2703">
        <w:t xml:space="preserve">vaccination </w:t>
      </w:r>
      <w:r>
        <w:t xml:space="preserve">providers. </w:t>
      </w:r>
    </w:p>
    <w:p w:rsidR="00A212F6" w:rsidRDefault="00A212F6" w:rsidP="00A212F6">
      <w:pPr>
        <w:jc w:val="both"/>
        <w:rPr>
          <w:rFonts w:ascii="Times New Roman" w:hAnsi="Times New Roman"/>
          <w:noProof/>
          <w:szCs w:val="24"/>
        </w:rPr>
      </w:pPr>
    </w:p>
    <w:p w:rsidR="005A71C7" w:rsidRPr="00A212F6" w:rsidRDefault="005A71C7" w:rsidP="005A71C7">
      <w:pPr>
        <w:pStyle w:val="TOC3"/>
        <w:ind w:left="0" w:firstLine="0"/>
        <w:rPr>
          <w:b w:val="0"/>
          <w:noProof/>
          <w:kern w:val="0"/>
          <w:sz w:val="28"/>
          <w:szCs w:val="28"/>
        </w:rPr>
      </w:pPr>
      <w:r w:rsidRPr="00EF25B8">
        <w:rPr>
          <w:noProof/>
          <w:sz w:val="28"/>
          <w:szCs w:val="28"/>
        </w:rPr>
        <w:t>Division </w:t>
      </w:r>
      <w:r>
        <w:rPr>
          <w:noProof/>
          <w:sz w:val="28"/>
          <w:szCs w:val="28"/>
        </w:rPr>
        <w:t>5</w:t>
      </w:r>
      <w:r w:rsidRPr="00EF25B8">
        <w:rPr>
          <w:noProof/>
          <w:sz w:val="28"/>
          <w:szCs w:val="28"/>
        </w:rPr>
        <w:t>—</w:t>
      </w:r>
      <w:r w:rsidR="000B76BA">
        <w:rPr>
          <w:noProof/>
          <w:sz w:val="28"/>
          <w:szCs w:val="28"/>
        </w:rPr>
        <w:t>Alternat</w:t>
      </w:r>
      <w:r w:rsidR="00F95FEE">
        <w:rPr>
          <w:noProof/>
          <w:sz w:val="28"/>
          <w:szCs w:val="28"/>
        </w:rPr>
        <w:t>ive</w:t>
      </w:r>
      <w:r w:rsidR="000B76BA">
        <w:rPr>
          <w:noProof/>
          <w:sz w:val="28"/>
          <w:szCs w:val="28"/>
        </w:rPr>
        <w:t xml:space="preserve"> constitutional bases</w:t>
      </w:r>
    </w:p>
    <w:p w:rsidR="005A71C7" w:rsidRPr="00A212F6" w:rsidRDefault="005A71C7" w:rsidP="005A71C7">
      <w:pPr>
        <w:jc w:val="both"/>
        <w:rPr>
          <w:rFonts w:ascii="Times New Roman" w:hAnsi="Times New Roman"/>
          <w:noProof/>
          <w:sz w:val="28"/>
          <w:szCs w:val="28"/>
        </w:rPr>
      </w:pPr>
    </w:p>
    <w:p w:rsidR="005A71C7" w:rsidRDefault="005A71C7" w:rsidP="005A71C7">
      <w:pPr>
        <w:jc w:val="both"/>
        <w:rPr>
          <w:rFonts w:ascii="Times New Roman" w:hAnsi="Times New Roman"/>
          <w:b/>
          <w:noProof/>
          <w:szCs w:val="24"/>
        </w:rPr>
      </w:pPr>
      <w:r w:rsidRPr="00F95FEE">
        <w:rPr>
          <w:rFonts w:ascii="Times New Roman" w:hAnsi="Times New Roman"/>
          <w:b/>
          <w:noProof/>
          <w:szCs w:val="24"/>
        </w:rPr>
        <w:t xml:space="preserve">Section 13- </w:t>
      </w:r>
      <w:r w:rsidR="000B76BA">
        <w:rPr>
          <w:rFonts w:ascii="Times New Roman" w:hAnsi="Times New Roman"/>
          <w:b/>
          <w:noProof/>
          <w:szCs w:val="24"/>
        </w:rPr>
        <w:t>Alternative constitutional bases</w:t>
      </w:r>
    </w:p>
    <w:p w:rsidR="005A71C7" w:rsidRDefault="005A71C7" w:rsidP="00A212F6">
      <w:pPr>
        <w:jc w:val="both"/>
        <w:rPr>
          <w:rFonts w:ascii="Times New Roman" w:hAnsi="Times New Roman"/>
          <w:noProof/>
          <w:szCs w:val="24"/>
        </w:rPr>
      </w:pPr>
    </w:p>
    <w:p w:rsidR="005A71C7" w:rsidRDefault="00E21720" w:rsidP="005A71C7">
      <w:pPr>
        <w:jc w:val="both"/>
      </w:pPr>
      <w:r w:rsidRPr="00E21720">
        <w:t>This section</w:t>
      </w:r>
      <w:r w:rsidR="005A71C7" w:rsidRPr="00E21720">
        <w:t xml:space="preserve"> </w:t>
      </w:r>
      <w:r w:rsidR="000B76BA">
        <w:t xml:space="preserve">sets out the different </w:t>
      </w:r>
      <w:r w:rsidR="00D6466F">
        <w:t>heads of power in the constitution that provide constitutional support for the operation of the Register</w:t>
      </w:r>
      <w:r w:rsidR="005A71C7" w:rsidRPr="00E21720">
        <w:t xml:space="preserve">. These constitutional powers </w:t>
      </w:r>
      <w:r w:rsidR="00F95FEE">
        <w:t>are</w:t>
      </w:r>
      <w:r w:rsidR="005A71C7" w:rsidRPr="00E21720">
        <w:t xml:space="preserve"> the pharmaceutical benefits power, the medical services power</w:t>
      </w:r>
      <w:r w:rsidRPr="00E21720">
        <w:t>, census or statistics,</w:t>
      </w:r>
      <w:r w:rsidR="005A71C7" w:rsidRPr="00E21720">
        <w:t xml:space="preserve"> external affairs power</w:t>
      </w:r>
      <w:r w:rsidRPr="00E21720">
        <w:t xml:space="preserve">, executive power of the Commonwealth, implied </w:t>
      </w:r>
      <w:r w:rsidR="00F95FEE">
        <w:t>nationhood power</w:t>
      </w:r>
      <w:r w:rsidRPr="00E21720">
        <w:t xml:space="preserve">, </w:t>
      </w:r>
      <w:r w:rsidR="00F95FEE">
        <w:t xml:space="preserve">powers in relation to </w:t>
      </w:r>
      <w:r w:rsidRPr="00E21720">
        <w:t>a Territory or a Commonwealth place</w:t>
      </w:r>
      <w:r w:rsidR="00F95FEE">
        <w:t xml:space="preserve"> and</w:t>
      </w:r>
      <w:r w:rsidRPr="00E21720">
        <w:t xml:space="preserve"> matters incidental to the execution of any of the legislative</w:t>
      </w:r>
      <w:r w:rsidR="00F95FEE">
        <w:t xml:space="preserve"> or executive</w:t>
      </w:r>
      <w:r w:rsidRPr="00E21720">
        <w:t xml:space="preserve"> powers of the Parliament.</w:t>
      </w:r>
      <w:r w:rsidR="005A71C7">
        <w:t xml:space="preserve"> </w:t>
      </w:r>
    </w:p>
    <w:p w:rsidR="000B76BA" w:rsidRDefault="000B76BA" w:rsidP="005A71C7">
      <w:pPr>
        <w:jc w:val="both"/>
      </w:pPr>
    </w:p>
    <w:p w:rsidR="00FF6C10" w:rsidRDefault="00FF6C10" w:rsidP="00FF6C10">
      <w:pPr>
        <w:jc w:val="both"/>
        <w:rPr>
          <w:szCs w:val="24"/>
        </w:rPr>
      </w:pPr>
      <w:r>
        <w:rPr>
          <w:szCs w:val="24"/>
        </w:rPr>
        <w:t>There is a deliberate interruption to numbering which will allow for future insertion of provisions relating to the proposed National Australian Cancer Screening Register.</w:t>
      </w:r>
    </w:p>
    <w:p w:rsidR="00FF6C10" w:rsidRPr="00A212F6" w:rsidRDefault="00FF6C10" w:rsidP="00A212F6">
      <w:pPr>
        <w:jc w:val="both"/>
        <w:rPr>
          <w:rFonts w:ascii="Times New Roman" w:hAnsi="Times New Roman"/>
          <w:noProof/>
          <w:szCs w:val="24"/>
        </w:rPr>
      </w:pPr>
    </w:p>
    <w:p w:rsidR="000927E4" w:rsidRPr="000927E4" w:rsidRDefault="00AE15DD" w:rsidP="000927E4">
      <w:pPr>
        <w:jc w:val="both"/>
        <w:rPr>
          <w:b/>
          <w:sz w:val="28"/>
          <w:szCs w:val="28"/>
        </w:rPr>
      </w:pPr>
      <w:r>
        <w:rPr>
          <w:b/>
          <w:sz w:val="28"/>
          <w:szCs w:val="28"/>
        </w:rPr>
        <w:t>Part</w:t>
      </w:r>
      <w:r w:rsidRPr="000927E4">
        <w:rPr>
          <w:b/>
          <w:sz w:val="28"/>
          <w:szCs w:val="28"/>
        </w:rPr>
        <w:t xml:space="preserve"> </w:t>
      </w:r>
      <w:r w:rsidR="00FC5D21">
        <w:rPr>
          <w:b/>
          <w:sz w:val="28"/>
          <w:szCs w:val="28"/>
        </w:rPr>
        <w:t>4</w:t>
      </w:r>
      <w:r w:rsidR="000927E4" w:rsidRPr="000927E4">
        <w:rPr>
          <w:b/>
          <w:sz w:val="28"/>
          <w:szCs w:val="28"/>
        </w:rPr>
        <w:t xml:space="preserve"> </w:t>
      </w:r>
      <w:r w:rsidR="000927E4">
        <w:rPr>
          <w:b/>
          <w:sz w:val="28"/>
          <w:szCs w:val="28"/>
        </w:rPr>
        <w:t>– Dealing with protected information in the register</w:t>
      </w:r>
    </w:p>
    <w:p w:rsidR="0080389F" w:rsidRDefault="0080389F" w:rsidP="000927E4">
      <w:pPr>
        <w:jc w:val="both"/>
        <w:rPr>
          <w:b/>
        </w:rPr>
      </w:pPr>
    </w:p>
    <w:p w:rsidR="000927E4" w:rsidRDefault="00817B1F" w:rsidP="000927E4">
      <w:pPr>
        <w:jc w:val="both"/>
        <w:rPr>
          <w:b/>
        </w:rPr>
      </w:pPr>
      <w:r>
        <w:rPr>
          <w:b/>
        </w:rPr>
        <w:t>Section</w:t>
      </w:r>
      <w:r w:rsidR="000927E4">
        <w:rPr>
          <w:b/>
        </w:rPr>
        <w:t xml:space="preserve"> </w:t>
      </w:r>
      <w:r w:rsidR="00AE15DD">
        <w:rPr>
          <w:b/>
        </w:rPr>
        <w:t xml:space="preserve">21 </w:t>
      </w:r>
      <w:r w:rsidR="000927E4">
        <w:rPr>
          <w:b/>
        </w:rPr>
        <w:t>– Simplified outline of this Part</w:t>
      </w:r>
    </w:p>
    <w:p w:rsidR="00B545BF" w:rsidRDefault="00B545BF" w:rsidP="00B545BF">
      <w:pPr>
        <w:jc w:val="both"/>
      </w:pPr>
    </w:p>
    <w:p w:rsidR="00B545BF" w:rsidRDefault="007A3C00" w:rsidP="00B545BF">
      <w:pPr>
        <w:jc w:val="both"/>
      </w:pPr>
      <w:r>
        <w:t xml:space="preserve">This </w:t>
      </w:r>
      <w:r w:rsidR="00F608F5">
        <w:t>s</w:t>
      </w:r>
      <w:r w:rsidR="00824520">
        <w:t xml:space="preserve">ection provides an outline of Part 4 of the Bill. </w:t>
      </w:r>
      <w:r w:rsidR="00B545BF" w:rsidRPr="00D535D5">
        <w:t>Whilst a simplified outline is included to assist readers to understand the substantive provision</w:t>
      </w:r>
      <w:r w:rsidR="00824520">
        <w:t>s</w:t>
      </w:r>
      <w:r w:rsidR="00B545BF" w:rsidRPr="00D535D5">
        <w:t xml:space="preserve">, the outline </w:t>
      </w:r>
      <w:r w:rsidR="00824520">
        <w:t>is</w:t>
      </w:r>
      <w:r w:rsidR="00B545BF" w:rsidRPr="00D535D5">
        <w:t xml:space="preserve"> not intended to be comprehensive.  It is intended that readers should rely on the substantive provisions.</w:t>
      </w:r>
    </w:p>
    <w:p w:rsidR="00B545BF" w:rsidRDefault="00B545BF" w:rsidP="000927E4">
      <w:pPr>
        <w:jc w:val="both"/>
        <w:rPr>
          <w:b/>
        </w:rPr>
      </w:pPr>
    </w:p>
    <w:p w:rsidR="001F4B11" w:rsidRDefault="0039411A" w:rsidP="001F4B11">
      <w:pPr>
        <w:jc w:val="both"/>
      </w:pPr>
      <w:r>
        <w:t>T</w:t>
      </w:r>
      <w:r w:rsidR="00B545BF">
        <w:t xml:space="preserve">he definition of protected information means that the offence in </w:t>
      </w:r>
      <w:r w:rsidR="00F608F5">
        <w:t>s</w:t>
      </w:r>
      <w:r w:rsidR="00817B1F">
        <w:t>ection</w:t>
      </w:r>
      <w:r w:rsidR="00B545BF">
        <w:t xml:space="preserve"> </w:t>
      </w:r>
      <w:r w:rsidR="004B5923">
        <w:t xml:space="preserve">23 </w:t>
      </w:r>
      <w:r w:rsidR="00B545BF">
        <w:t xml:space="preserve">can apply to on-disclosure/use by persons who have </w:t>
      </w:r>
      <w:r w:rsidR="00F608F5">
        <w:t xml:space="preserve">received register information. </w:t>
      </w:r>
      <w:r>
        <w:t>T</w:t>
      </w:r>
      <w:r w:rsidR="00B545BF">
        <w:t>o avoid committing an offence, such persons can only on-disclose/use the information if they</w:t>
      </w:r>
      <w:r w:rsidR="00FC5D21">
        <w:t xml:space="preserve"> are</w:t>
      </w:r>
      <w:r w:rsidR="00B545BF">
        <w:t xml:space="preserve"> authorised under </w:t>
      </w:r>
      <w:r w:rsidR="00F608F5">
        <w:t>s</w:t>
      </w:r>
      <w:r w:rsidR="00817B1F">
        <w:t>ection</w:t>
      </w:r>
      <w:r w:rsidR="00B545BF">
        <w:t xml:space="preserve"> </w:t>
      </w:r>
      <w:r w:rsidR="00AE15DD">
        <w:t>2</w:t>
      </w:r>
      <w:r w:rsidR="004B5923">
        <w:t>2</w:t>
      </w:r>
      <w:r w:rsidR="00B545BF">
        <w:t xml:space="preserve">(2) to do so, or if they come within an exception in </w:t>
      </w:r>
      <w:r w:rsidR="00F608F5">
        <w:t>s</w:t>
      </w:r>
      <w:r w:rsidR="00817B1F">
        <w:t>ection</w:t>
      </w:r>
      <w:r w:rsidR="00B545BF">
        <w:t xml:space="preserve"> </w:t>
      </w:r>
      <w:r w:rsidR="004B5923">
        <w:t xml:space="preserve">24 </w:t>
      </w:r>
      <w:r w:rsidR="00B545BF">
        <w:t xml:space="preserve">to </w:t>
      </w:r>
      <w:r w:rsidR="004B5923">
        <w:t>27</w:t>
      </w:r>
      <w:r w:rsidR="00B545BF">
        <w:t xml:space="preserve">. </w:t>
      </w:r>
    </w:p>
    <w:p w:rsidR="001F4B11" w:rsidRDefault="001F4B11" w:rsidP="001F4B11">
      <w:pPr>
        <w:jc w:val="both"/>
      </w:pPr>
    </w:p>
    <w:p w:rsidR="001F4B11" w:rsidRPr="001F4B11" w:rsidRDefault="001F4B11" w:rsidP="001F4B11">
      <w:pPr>
        <w:jc w:val="both"/>
        <w:rPr>
          <w:szCs w:val="24"/>
        </w:rPr>
      </w:pPr>
      <w:r w:rsidRPr="001F4B11">
        <w:rPr>
          <w:szCs w:val="24"/>
        </w:rPr>
        <w:t xml:space="preserve">This </w:t>
      </w:r>
      <w:r w:rsidR="00F608F5">
        <w:rPr>
          <w:szCs w:val="24"/>
        </w:rPr>
        <w:t>d</w:t>
      </w:r>
      <w:r w:rsidRPr="001F4B11">
        <w:rPr>
          <w:szCs w:val="24"/>
        </w:rPr>
        <w:t xml:space="preserve">ivision provides the confidentiality of information </w:t>
      </w:r>
      <w:r w:rsidR="00824520">
        <w:rPr>
          <w:szCs w:val="24"/>
        </w:rPr>
        <w:t>contained in the Register</w:t>
      </w:r>
      <w:r w:rsidRPr="001F4B11">
        <w:rPr>
          <w:szCs w:val="24"/>
        </w:rPr>
        <w:t>. It sets out the circumstances in which personal and commercial-in-confidence information may be collected, recorded, used or disclosed. It will be an offence to disclose personal or commercial-in-confidence information other than in certain circumstances.</w:t>
      </w:r>
    </w:p>
    <w:p w:rsidR="00B545BF" w:rsidRPr="001F4B11" w:rsidRDefault="00B545BF" w:rsidP="000927E4">
      <w:pPr>
        <w:jc w:val="both"/>
        <w:rPr>
          <w:szCs w:val="24"/>
        </w:rPr>
      </w:pPr>
    </w:p>
    <w:p w:rsidR="000927E4" w:rsidRDefault="00817B1F" w:rsidP="000D1AAA">
      <w:pPr>
        <w:jc w:val="both"/>
        <w:rPr>
          <w:b/>
        </w:rPr>
      </w:pPr>
      <w:r>
        <w:rPr>
          <w:b/>
        </w:rPr>
        <w:t>Section</w:t>
      </w:r>
      <w:r w:rsidR="000927E4">
        <w:rPr>
          <w:b/>
        </w:rPr>
        <w:t xml:space="preserve"> </w:t>
      </w:r>
      <w:r w:rsidR="004B5923">
        <w:rPr>
          <w:b/>
        </w:rPr>
        <w:t>22</w:t>
      </w:r>
      <w:r w:rsidR="000927E4">
        <w:rPr>
          <w:b/>
        </w:rPr>
        <w:t xml:space="preserve"> – Authorised dealings with protected information</w:t>
      </w:r>
    </w:p>
    <w:p w:rsidR="00037978" w:rsidRDefault="00037978" w:rsidP="000D1AAA">
      <w:pPr>
        <w:jc w:val="both"/>
        <w:rPr>
          <w:color w:val="4F81BD"/>
        </w:rPr>
      </w:pPr>
    </w:p>
    <w:p w:rsidR="00244249" w:rsidRPr="005E7D00" w:rsidRDefault="00244249" w:rsidP="000D1AAA">
      <w:pPr>
        <w:jc w:val="both"/>
      </w:pPr>
      <w:r w:rsidRPr="005E7D00">
        <w:t xml:space="preserve">This </w:t>
      </w:r>
      <w:r w:rsidR="00F608F5">
        <w:t>s</w:t>
      </w:r>
      <w:r w:rsidR="00817B1F">
        <w:t>ection</w:t>
      </w:r>
      <w:r w:rsidRPr="005E7D00">
        <w:t xml:space="preserve"> provides that protected information may be </w:t>
      </w:r>
      <w:r w:rsidR="00824520">
        <w:t>collected for inclusion in the Register</w:t>
      </w:r>
      <w:r w:rsidRPr="005E7D00">
        <w:t xml:space="preserve"> and sets out the circumstances in which the protected information may be recorded, disclosed</w:t>
      </w:r>
      <w:r w:rsidR="005E7D00" w:rsidRPr="005E7D00">
        <w:t xml:space="preserve"> or used. It allows the Minister</w:t>
      </w:r>
      <w:r w:rsidRPr="005E7D00">
        <w:t xml:space="preserve"> </w:t>
      </w:r>
      <w:r w:rsidR="00B17442">
        <w:t>for</w:t>
      </w:r>
      <w:r w:rsidR="00B17442" w:rsidRPr="005E7D00">
        <w:t xml:space="preserve"> </w:t>
      </w:r>
      <w:r w:rsidR="005E7D00" w:rsidRPr="005E7D00">
        <w:t>Health</w:t>
      </w:r>
      <w:r w:rsidRPr="005E7D00">
        <w:t xml:space="preserve"> </w:t>
      </w:r>
      <w:r w:rsidR="005E7D00" w:rsidRPr="005E7D00">
        <w:t xml:space="preserve">or delegate </w:t>
      </w:r>
      <w:r w:rsidRPr="005E7D00">
        <w:t>to authorise persons to make records of, use or disclose protected information for a permissible purpose (a p</w:t>
      </w:r>
      <w:r w:rsidR="00B62A97">
        <w:t>urpose that promotes the objectives</w:t>
      </w:r>
      <w:r w:rsidRPr="005E7D00">
        <w:t xml:space="preserve"> of the Act) in specific circumstances.</w:t>
      </w:r>
    </w:p>
    <w:p w:rsidR="00244249" w:rsidRPr="005E7D00" w:rsidRDefault="00244249" w:rsidP="000D1AAA">
      <w:pPr>
        <w:jc w:val="both"/>
      </w:pPr>
      <w:r w:rsidRPr="005E7D00">
        <w:lastRenderedPageBreak/>
        <w:t>A person</w:t>
      </w:r>
      <w:r w:rsidR="007A3C00">
        <w:t>, as defined in P</w:t>
      </w:r>
      <w:r w:rsidR="00CA1293">
        <w:t>aragraph 22(2)(a),</w:t>
      </w:r>
      <w:r w:rsidRPr="005E7D00">
        <w:t xml:space="preserve"> may make a record of, disclose or use protected information for a permissible purpose, in performing functions or duties and exercising powers under the Act.</w:t>
      </w:r>
    </w:p>
    <w:p w:rsidR="000D1AAA" w:rsidRDefault="000D1AAA" w:rsidP="000D1AAA">
      <w:pPr>
        <w:jc w:val="both"/>
      </w:pPr>
    </w:p>
    <w:p w:rsidR="00CA1293" w:rsidRDefault="00CA1293" w:rsidP="00CA1293">
      <w:pPr>
        <w:pStyle w:val="description"/>
        <w:tabs>
          <w:tab w:val="left" w:pos="851"/>
        </w:tabs>
        <w:spacing w:before="20"/>
        <w:ind w:left="0" w:firstLine="0"/>
      </w:pPr>
      <w:r>
        <w:t>Recognised vaccination provider</w:t>
      </w:r>
      <w:r w:rsidRPr="007F135F">
        <w:t>s and prescribed bodies</w:t>
      </w:r>
      <w:r>
        <w:t xml:space="preserve"> (including state and territory health departments) will be able to</w:t>
      </w:r>
      <w:r w:rsidRPr="007F135F">
        <w:t xml:space="preserve"> access </w:t>
      </w:r>
      <w:r>
        <w:t xml:space="preserve">protected information </w:t>
      </w:r>
      <w:r w:rsidRPr="007F135F">
        <w:t xml:space="preserve">from the </w:t>
      </w:r>
      <w:r>
        <w:t>Register, including the vaccination</w:t>
      </w:r>
      <w:r w:rsidRPr="007F135F">
        <w:t xml:space="preserve"> status of </w:t>
      </w:r>
      <w:r>
        <w:t xml:space="preserve">an individual, via an individual </w:t>
      </w:r>
      <w:r w:rsidRPr="007F135F">
        <w:t>search facility (exact match search)</w:t>
      </w:r>
      <w:r>
        <w:t xml:space="preserve">; by phoning the Register information line or by accessing a number of identified </w:t>
      </w:r>
      <w:r w:rsidRPr="007F135F">
        <w:t xml:space="preserve">reports </w:t>
      </w:r>
      <w:r>
        <w:t>available</w:t>
      </w:r>
      <w:r w:rsidRPr="007F135F">
        <w:t xml:space="preserve"> via a secure website</w:t>
      </w:r>
      <w:r>
        <w:t>. This enables recognised vaccination providers and prescribed bodies</w:t>
      </w:r>
      <w:r w:rsidRPr="007F135F">
        <w:t xml:space="preserve"> to iden</w:t>
      </w:r>
      <w:r>
        <w:t>tify individuals who are due, coming due, or overdue for</w:t>
      </w:r>
      <w:r w:rsidRPr="007F135F">
        <w:t xml:space="preserve"> their </w:t>
      </w:r>
      <w:r w:rsidR="007A3C00">
        <w:t>vaccinations (P</w:t>
      </w:r>
      <w:r>
        <w:t>aragraph</w:t>
      </w:r>
      <w:r w:rsidR="00043A9C">
        <w:t xml:space="preserve"> </w:t>
      </w:r>
      <w:r>
        <w:t>10(1)(g))</w:t>
      </w:r>
      <w:r w:rsidRPr="007F135F">
        <w:t xml:space="preserve">. </w:t>
      </w:r>
    </w:p>
    <w:p w:rsidR="00CA1293" w:rsidRDefault="00CA1293" w:rsidP="00CA1293">
      <w:pPr>
        <w:pStyle w:val="description"/>
        <w:tabs>
          <w:tab w:val="left" w:pos="851"/>
        </w:tabs>
        <w:spacing w:before="20"/>
        <w:ind w:left="0" w:firstLine="0"/>
      </w:pPr>
    </w:p>
    <w:p w:rsidR="00244249" w:rsidRDefault="00597BBB" w:rsidP="000D1AAA">
      <w:pPr>
        <w:jc w:val="both"/>
      </w:pPr>
      <w:r>
        <w:t>Subsection 22(3)</w:t>
      </w:r>
      <w:r w:rsidR="005E7D00" w:rsidRPr="005E7D00">
        <w:t xml:space="preserve"> also allows the Minister </w:t>
      </w:r>
      <w:r w:rsidR="00B17442">
        <w:t>for</w:t>
      </w:r>
      <w:r w:rsidR="00B17442" w:rsidRPr="005E7D00">
        <w:t xml:space="preserve"> </w:t>
      </w:r>
      <w:r w:rsidR="005E7D00" w:rsidRPr="005E7D00">
        <w:t xml:space="preserve">Health </w:t>
      </w:r>
      <w:r w:rsidR="005E7D00">
        <w:t>(</w:t>
      </w:r>
      <w:r w:rsidR="005E7D00" w:rsidRPr="005E7D00">
        <w:t>or delegate</w:t>
      </w:r>
      <w:r w:rsidR="005E7D00">
        <w:t>)</w:t>
      </w:r>
      <w:r w:rsidR="005E7D00" w:rsidRPr="005E7D00">
        <w:t xml:space="preserve"> </w:t>
      </w:r>
      <w:r w:rsidR="00244249" w:rsidRPr="005E7D00">
        <w:t xml:space="preserve">to authorise a person to make a record of or use protected information, or to disclose protected information to a specified person or </w:t>
      </w:r>
      <w:r w:rsidR="00824520">
        <w:t>to a specified class of persons</w:t>
      </w:r>
      <w:r w:rsidR="00244249" w:rsidRPr="005E7D00">
        <w:t xml:space="preserve">. This authorisation must be in writing. This will enable information to be disclosed to persons who </w:t>
      </w:r>
      <w:r w:rsidR="00DC469A">
        <w:t>may</w:t>
      </w:r>
      <w:r w:rsidR="00244249" w:rsidRPr="005E7D00">
        <w:t xml:space="preserve"> not </w:t>
      </w:r>
      <w:r w:rsidR="00DC469A">
        <w:t xml:space="preserve">be </w:t>
      </w:r>
      <w:r w:rsidR="00244249" w:rsidRPr="005E7D00">
        <w:t xml:space="preserve">listed </w:t>
      </w:r>
      <w:r w:rsidR="00DC469A">
        <w:t xml:space="preserve">in </w:t>
      </w:r>
      <w:r w:rsidR="00824520">
        <w:t>section</w:t>
      </w:r>
      <w:r w:rsidR="00DC469A">
        <w:t xml:space="preserve"> 22 or relating to a purpose not specified in section 10</w:t>
      </w:r>
      <w:r w:rsidR="00244249" w:rsidRPr="005E7D00">
        <w:t xml:space="preserve">, in cases where it is </w:t>
      </w:r>
      <w:r w:rsidR="00B62A97">
        <w:t xml:space="preserve">deemed </w:t>
      </w:r>
      <w:r w:rsidR="00DC469A">
        <w:t xml:space="preserve">to be </w:t>
      </w:r>
      <w:r w:rsidR="00B62A97">
        <w:t>in the public interest</w:t>
      </w:r>
      <w:r w:rsidR="00244249" w:rsidRPr="005E7D00">
        <w:t xml:space="preserve">. </w:t>
      </w:r>
      <w:r w:rsidR="00DC469A">
        <w:rPr>
          <w:szCs w:val="24"/>
        </w:rPr>
        <w:t>An example is where a child protection agency requests information when investigating the welfare of a child.</w:t>
      </w:r>
    </w:p>
    <w:p w:rsidR="00926C1C" w:rsidRDefault="00926C1C" w:rsidP="00B17442">
      <w:pPr>
        <w:pStyle w:val="description"/>
        <w:tabs>
          <w:tab w:val="left" w:pos="851"/>
        </w:tabs>
        <w:spacing w:before="20"/>
        <w:ind w:left="0" w:firstLine="0"/>
      </w:pPr>
    </w:p>
    <w:p w:rsidR="00B17442" w:rsidRDefault="00F96F80" w:rsidP="00B17442">
      <w:pPr>
        <w:pStyle w:val="description"/>
        <w:tabs>
          <w:tab w:val="left" w:pos="851"/>
        </w:tabs>
        <w:spacing w:before="20"/>
        <w:ind w:left="0" w:firstLine="0"/>
      </w:pPr>
      <w:r>
        <w:t xml:space="preserve">The Bill does not limit the </w:t>
      </w:r>
      <w:r w:rsidR="004B5923">
        <w:t>disclosure</w:t>
      </w:r>
      <w:r>
        <w:t xml:space="preserve"> of de-identified information from the Register. </w:t>
      </w:r>
      <w:r w:rsidR="00B17442" w:rsidRPr="007F135F">
        <w:t xml:space="preserve"> </w:t>
      </w:r>
    </w:p>
    <w:p w:rsidR="00B17442" w:rsidRPr="005E7D00" w:rsidRDefault="00B17442" w:rsidP="000D1AAA">
      <w:pPr>
        <w:jc w:val="both"/>
      </w:pPr>
    </w:p>
    <w:p w:rsidR="00244249" w:rsidRDefault="00244249" w:rsidP="000D1AAA">
      <w:pPr>
        <w:jc w:val="both"/>
      </w:pPr>
      <w:r w:rsidRPr="005E7D00">
        <w:t xml:space="preserve">Records, disclosures and uses permitted by this </w:t>
      </w:r>
      <w:r w:rsidR="00824520">
        <w:t>s</w:t>
      </w:r>
      <w:r w:rsidR="00817B1F">
        <w:t>ection</w:t>
      </w:r>
      <w:r w:rsidRPr="005E7D00">
        <w:t xml:space="preserve"> constitute an authorisation for the purposes of the </w:t>
      </w:r>
      <w:r w:rsidRPr="00B62A97">
        <w:rPr>
          <w:i/>
        </w:rPr>
        <w:t>Privacy Act 1988</w:t>
      </w:r>
      <w:r w:rsidRPr="005E7D00">
        <w:t xml:space="preserve"> and other laws.</w:t>
      </w:r>
    </w:p>
    <w:p w:rsidR="0012425B" w:rsidRDefault="0012425B" w:rsidP="000D1AAA">
      <w:pPr>
        <w:jc w:val="both"/>
      </w:pPr>
    </w:p>
    <w:p w:rsidR="00824520" w:rsidRDefault="00824520" w:rsidP="000D1AAA">
      <w:pPr>
        <w:jc w:val="both"/>
      </w:pPr>
      <w:r w:rsidRPr="00824520">
        <w:t xml:space="preserve">These uses and disclosures are authorised where it is for one or more of the purposes described in </w:t>
      </w:r>
      <w:r w:rsidR="007A3C00">
        <w:t>S</w:t>
      </w:r>
      <w:r w:rsidRPr="00824520">
        <w:t>ection 10.</w:t>
      </w:r>
    </w:p>
    <w:p w:rsidR="00824520" w:rsidRPr="00824520" w:rsidRDefault="00824520" w:rsidP="000D1AAA">
      <w:pPr>
        <w:jc w:val="both"/>
      </w:pPr>
    </w:p>
    <w:p w:rsidR="000927E4" w:rsidRDefault="00817B1F" w:rsidP="000D1AAA">
      <w:pPr>
        <w:jc w:val="both"/>
        <w:rPr>
          <w:b/>
        </w:rPr>
      </w:pPr>
      <w:r>
        <w:rPr>
          <w:b/>
        </w:rPr>
        <w:t>Section</w:t>
      </w:r>
      <w:r w:rsidR="000927E4">
        <w:rPr>
          <w:b/>
        </w:rPr>
        <w:t xml:space="preserve"> </w:t>
      </w:r>
      <w:r w:rsidR="004B5923">
        <w:rPr>
          <w:b/>
        </w:rPr>
        <w:t xml:space="preserve">23 </w:t>
      </w:r>
      <w:r w:rsidR="000927E4">
        <w:rPr>
          <w:b/>
        </w:rPr>
        <w:t>– Offence relating to protected information</w:t>
      </w:r>
    </w:p>
    <w:p w:rsidR="004B5923" w:rsidRPr="006F0B6D" w:rsidRDefault="004B5923" w:rsidP="000D1AAA">
      <w:pPr>
        <w:jc w:val="both"/>
        <w:rPr>
          <w:color w:val="4F81BD"/>
          <w:sz w:val="23"/>
          <w:szCs w:val="23"/>
        </w:rPr>
      </w:pPr>
    </w:p>
    <w:p w:rsidR="00244249" w:rsidRDefault="000D1AAA" w:rsidP="000D1AAA">
      <w:pPr>
        <w:jc w:val="both"/>
        <w:rPr>
          <w:b/>
        </w:rPr>
      </w:pPr>
      <w:r w:rsidRPr="000D1AAA">
        <w:t xml:space="preserve">This </w:t>
      </w:r>
      <w:r w:rsidR="00F608F5">
        <w:t>s</w:t>
      </w:r>
      <w:r w:rsidR="00817B1F">
        <w:t>ection</w:t>
      </w:r>
      <w:r w:rsidRPr="000D1AAA">
        <w:t xml:space="preserve"> creates an offence where a person obtains protected information, and makes a record of, discloses or uses the information without </w:t>
      </w:r>
      <w:r w:rsidR="00926C1C">
        <w:t xml:space="preserve">authorisation. </w:t>
      </w:r>
      <w:r w:rsidRPr="000D1AAA">
        <w:t>A maximum penalty of two years imprisonment or 120 penalty units, or both, applies for contravention of th</w:t>
      </w:r>
      <w:r w:rsidR="00824520">
        <w:t>is offence</w:t>
      </w:r>
      <w:r w:rsidRPr="000D1AAA">
        <w:t>, which is considered appropriate due to the damage that could be done to a person or company as a result of unauthorised disclosure of protected information. Exceptions to this of</w:t>
      </w:r>
      <w:r w:rsidR="00B62A97">
        <w:t xml:space="preserve">fence are provided in </w:t>
      </w:r>
      <w:r w:rsidR="007A3C00">
        <w:t>S</w:t>
      </w:r>
      <w:r w:rsidR="00817B1F">
        <w:t>ection</w:t>
      </w:r>
      <w:r w:rsidR="00B62A97">
        <w:t xml:space="preserve">s </w:t>
      </w:r>
      <w:r w:rsidR="004B5923">
        <w:t xml:space="preserve">24 </w:t>
      </w:r>
      <w:r w:rsidR="00B62A97">
        <w:t>through to</w:t>
      </w:r>
      <w:r w:rsidRPr="000D1AAA">
        <w:t xml:space="preserve"> </w:t>
      </w:r>
      <w:r w:rsidR="004B5923">
        <w:t>27</w:t>
      </w:r>
      <w:r w:rsidRPr="000D1AAA">
        <w:t xml:space="preserve">. </w:t>
      </w:r>
    </w:p>
    <w:p w:rsidR="00244249" w:rsidRDefault="00244249" w:rsidP="000D1AAA">
      <w:pPr>
        <w:jc w:val="both"/>
        <w:rPr>
          <w:b/>
        </w:rPr>
      </w:pPr>
    </w:p>
    <w:p w:rsidR="000927E4" w:rsidRDefault="00817B1F" w:rsidP="000D1AAA">
      <w:pPr>
        <w:jc w:val="both"/>
        <w:rPr>
          <w:b/>
        </w:rPr>
      </w:pPr>
      <w:r>
        <w:rPr>
          <w:b/>
        </w:rPr>
        <w:t>Section</w:t>
      </w:r>
      <w:r w:rsidR="000927E4">
        <w:rPr>
          <w:b/>
        </w:rPr>
        <w:t xml:space="preserve"> </w:t>
      </w:r>
      <w:r w:rsidR="004B5923">
        <w:rPr>
          <w:b/>
        </w:rPr>
        <w:t xml:space="preserve">24 </w:t>
      </w:r>
      <w:r w:rsidR="000927E4">
        <w:rPr>
          <w:b/>
        </w:rPr>
        <w:t>– Exemption for use in good faith</w:t>
      </w:r>
    </w:p>
    <w:p w:rsidR="00037978" w:rsidRPr="006F0B6D" w:rsidRDefault="00037978" w:rsidP="000D1AAA">
      <w:pPr>
        <w:pStyle w:val="Default"/>
        <w:jc w:val="both"/>
        <w:rPr>
          <w:color w:val="4F81BD"/>
          <w:sz w:val="23"/>
          <w:szCs w:val="23"/>
        </w:rPr>
      </w:pPr>
    </w:p>
    <w:p w:rsidR="000D1AAA" w:rsidRDefault="000D1AAA" w:rsidP="000D1AAA">
      <w:pPr>
        <w:jc w:val="both"/>
      </w:pPr>
      <w:r>
        <w:t xml:space="preserve">This </w:t>
      </w:r>
      <w:r w:rsidR="00F608F5">
        <w:t>s</w:t>
      </w:r>
      <w:r w:rsidR="00817B1F">
        <w:t>ection</w:t>
      </w:r>
      <w:r>
        <w:t xml:space="preserve"> provides an exception to the offence under </w:t>
      </w:r>
      <w:r w:rsidR="007A3C00">
        <w:t>S</w:t>
      </w:r>
      <w:r w:rsidR="00817B1F">
        <w:t>ection</w:t>
      </w:r>
      <w:r>
        <w:t xml:space="preserve"> </w:t>
      </w:r>
      <w:r w:rsidR="004B5923">
        <w:t xml:space="preserve">23 </w:t>
      </w:r>
      <w:r>
        <w:t xml:space="preserve">if the person obtains protected information for a permissible purpose and the person discloses, makes a record of or uses the information in good faith </w:t>
      </w:r>
      <w:r w:rsidR="00824520">
        <w:t>and in purported compliance with</w:t>
      </w:r>
      <w:r>
        <w:t xml:space="preserve"> the Act. </w:t>
      </w:r>
    </w:p>
    <w:p w:rsidR="00926C1C" w:rsidRDefault="00926C1C" w:rsidP="000D1AAA">
      <w:pPr>
        <w:jc w:val="both"/>
      </w:pPr>
    </w:p>
    <w:p w:rsidR="000D1AAA" w:rsidRDefault="00ED72B2" w:rsidP="000D1AAA">
      <w:pPr>
        <w:jc w:val="both"/>
        <w:rPr>
          <w:b/>
        </w:rPr>
      </w:pPr>
      <w:r w:rsidRPr="00ED72B2">
        <w:rPr>
          <w:rFonts w:ascii="Times New Roman" w:hAnsi="Times New Roman"/>
          <w:color w:val="000000"/>
          <w:szCs w:val="24"/>
        </w:rPr>
        <w:t xml:space="preserve">The defendant’s evidential burden of proof is in accordance with </w:t>
      </w:r>
      <w:r w:rsidR="007A3C00">
        <w:rPr>
          <w:rFonts w:ascii="Times New Roman" w:hAnsi="Times New Roman"/>
          <w:color w:val="000000"/>
          <w:szCs w:val="24"/>
        </w:rPr>
        <w:t>S</w:t>
      </w:r>
      <w:r w:rsidRPr="00ED72B2">
        <w:rPr>
          <w:rFonts w:ascii="Times New Roman" w:hAnsi="Times New Roman"/>
          <w:color w:val="000000"/>
          <w:szCs w:val="24"/>
        </w:rPr>
        <w:t xml:space="preserve">ection 13.3 of the </w:t>
      </w:r>
      <w:r w:rsidRPr="00ED72B2">
        <w:rPr>
          <w:rFonts w:ascii="Times New Roman" w:hAnsi="Times New Roman"/>
          <w:i/>
          <w:iCs/>
          <w:color w:val="000000"/>
          <w:szCs w:val="24"/>
        </w:rPr>
        <w:t xml:space="preserve">Criminal Code Act </w:t>
      </w:r>
      <w:r w:rsidRPr="007A3C00">
        <w:rPr>
          <w:rFonts w:ascii="Times New Roman" w:hAnsi="Times New Roman"/>
          <w:i/>
          <w:color w:val="000000"/>
          <w:szCs w:val="24"/>
        </w:rPr>
        <w:t>1995</w:t>
      </w:r>
      <w:r w:rsidR="000D1AAA" w:rsidRPr="00ED72B2">
        <w:rPr>
          <w:rFonts w:ascii="Times New Roman" w:hAnsi="Times New Roman"/>
          <w:szCs w:val="24"/>
        </w:rPr>
        <w:t>, which</w:t>
      </w:r>
      <w:r w:rsidR="000D1AAA" w:rsidRPr="00ED72B2">
        <w:rPr>
          <w:sz w:val="26"/>
        </w:rPr>
        <w:t xml:space="preserve"> </w:t>
      </w:r>
      <w:r w:rsidR="000D1AAA">
        <w:t xml:space="preserve">means that the defendant bears the burden of adducing or pointing to evidence that suggests a reasonable possibility that the exception has been met. </w:t>
      </w:r>
      <w:r w:rsidR="007A3C00">
        <w:t xml:space="preserve"> </w:t>
      </w:r>
      <w:r w:rsidR="000D1AAA">
        <w:t xml:space="preserve">It is then up to the prosecution to establish </w:t>
      </w:r>
      <w:r w:rsidR="00692763">
        <w:t>the offence</w:t>
      </w:r>
      <w:r w:rsidR="000D1AAA">
        <w:t xml:space="preserve">. That </w:t>
      </w:r>
      <w:r w:rsidR="000D1AAA">
        <w:lastRenderedPageBreak/>
        <w:t>is, the defendant must provide evidence that they were acting in good faith to meet the exception.</w:t>
      </w:r>
      <w:r w:rsidR="000D1AAA" w:rsidRPr="000D1AAA">
        <w:t xml:space="preserve"> </w:t>
      </w:r>
    </w:p>
    <w:p w:rsidR="00037978" w:rsidRPr="005E7D00" w:rsidRDefault="00037978" w:rsidP="000D1AAA">
      <w:pPr>
        <w:jc w:val="both"/>
        <w:rPr>
          <w:b/>
        </w:rPr>
      </w:pPr>
    </w:p>
    <w:p w:rsidR="000927E4" w:rsidRDefault="00817B1F" w:rsidP="000D1AAA">
      <w:pPr>
        <w:jc w:val="both"/>
        <w:rPr>
          <w:b/>
        </w:rPr>
      </w:pPr>
      <w:r>
        <w:rPr>
          <w:b/>
        </w:rPr>
        <w:t>Section</w:t>
      </w:r>
      <w:r w:rsidR="000927E4">
        <w:rPr>
          <w:b/>
        </w:rPr>
        <w:t xml:space="preserve"> </w:t>
      </w:r>
      <w:r w:rsidR="004B5923">
        <w:rPr>
          <w:b/>
        </w:rPr>
        <w:t xml:space="preserve">25 </w:t>
      </w:r>
      <w:r w:rsidR="000927E4">
        <w:rPr>
          <w:b/>
        </w:rPr>
        <w:t>– Exception if unaware information is commercial-in-confidence</w:t>
      </w:r>
    </w:p>
    <w:p w:rsidR="000D1AAA" w:rsidRDefault="000D1AAA" w:rsidP="000D1AAA">
      <w:pPr>
        <w:jc w:val="both"/>
      </w:pPr>
    </w:p>
    <w:p w:rsidR="000D1AAA" w:rsidRDefault="000D1AAA" w:rsidP="000D1AAA">
      <w:pPr>
        <w:jc w:val="both"/>
      </w:pPr>
      <w:r>
        <w:t xml:space="preserve">This </w:t>
      </w:r>
      <w:r w:rsidR="00F608F5">
        <w:t>s</w:t>
      </w:r>
      <w:r w:rsidR="00817B1F">
        <w:t>ection</w:t>
      </w:r>
      <w:r>
        <w:t xml:space="preserve"> provides an exception to the offence under </w:t>
      </w:r>
      <w:r w:rsidR="00F608F5">
        <w:t>s</w:t>
      </w:r>
      <w:r w:rsidR="00817B1F">
        <w:t>ection</w:t>
      </w:r>
      <w:r>
        <w:t xml:space="preserve"> </w:t>
      </w:r>
      <w:r w:rsidR="004B5923">
        <w:t xml:space="preserve">23 </w:t>
      </w:r>
      <w:r>
        <w:t xml:space="preserve">if the person makes a record of, discloses, or uses protected information that is commercial-in-confidence and the person does not know that the information is commercial-in-confidence. </w:t>
      </w:r>
    </w:p>
    <w:p w:rsidR="000D1AAA" w:rsidRDefault="000D1AAA" w:rsidP="000D1AAA">
      <w:pPr>
        <w:jc w:val="both"/>
      </w:pPr>
    </w:p>
    <w:p w:rsidR="000D1AAA" w:rsidRDefault="00ED72B2" w:rsidP="000D1AAA">
      <w:pPr>
        <w:jc w:val="both"/>
        <w:rPr>
          <w:b/>
        </w:rPr>
      </w:pPr>
      <w:r w:rsidRPr="00ED72B2">
        <w:rPr>
          <w:rFonts w:ascii="Times New Roman" w:hAnsi="Times New Roman"/>
          <w:color w:val="000000"/>
          <w:szCs w:val="24"/>
        </w:rPr>
        <w:t xml:space="preserve">The defendant’s evidential burden </w:t>
      </w:r>
      <w:r w:rsidR="007A3C00">
        <w:rPr>
          <w:rFonts w:ascii="Times New Roman" w:hAnsi="Times New Roman"/>
          <w:color w:val="000000"/>
          <w:szCs w:val="24"/>
        </w:rPr>
        <w:t xml:space="preserve">of proof is in accordance with </w:t>
      </w:r>
      <w:r w:rsidR="00F608F5">
        <w:rPr>
          <w:rFonts w:ascii="Times New Roman" w:hAnsi="Times New Roman"/>
          <w:color w:val="000000"/>
          <w:szCs w:val="24"/>
        </w:rPr>
        <w:t>s</w:t>
      </w:r>
      <w:r w:rsidRPr="00ED72B2">
        <w:rPr>
          <w:rFonts w:ascii="Times New Roman" w:hAnsi="Times New Roman"/>
          <w:color w:val="000000"/>
          <w:szCs w:val="24"/>
        </w:rPr>
        <w:t xml:space="preserve">ection 13.3 of the </w:t>
      </w:r>
      <w:r w:rsidRPr="00ED72B2">
        <w:rPr>
          <w:rFonts w:ascii="Times New Roman" w:hAnsi="Times New Roman"/>
          <w:i/>
          <w:iCs/>
          <w:color w:val="000000"/>
          <w:szCs w:val="24"/>
        </w:rPr>
        <w:t xml:space="preserve">Criminal Code Act </w:t>
      </w:r>
      <w:r w:rsidRPr="007A3C00">
        <w:rPr>
          <w:rFonts w:ascii="Times New Roman" w:hAnsi="Times New Roman"/>
          <w:i/>
          <w:color w:val="000000"/>
          <w:szCs w:val="24"/>
        </w:rPr>
        <w:t>1995</w:t>
      </w:r>
      <w:r w:rsidRPr="00ED72B2">
        <w:rPr>
          <w:rFonts w:ascii="Times New Roman" w:hAnsi="Times New Roman"/>
          <w:szCs w:val="24"/>
        </w:rPr>
        <w:t>,</w:t>
      </w:r>
      <w:r w:rsidR="000D1AAA">
        <w:t xml:space="preserve"> which means that the defendant bears the burden of adducing or pointing to evidence that suggests a reasonable possibility that the exception has been met. It is then up to the prosecution to establish </w:t>
      </w:r>
      <w:r w:rsidR="00692763">
        <w:t>the offence</w:t>
      </w:r>
      <w:r w:rsidR="000D1AAA">
        <w:t xml:space="preserve">. That is, the defendant must provide evidence that they did not know that the information is commercial-in-confidence to meet the exception. </w:t>
      </w:r>
    </w:p>
    <w:p w:rsidR="00037978" w:rsidRPr="006F0B6D" w:rsidRDefault="00037978" w:rsidP="000D1AAA">
      <w:pPr>
        <w:pStyle w:val="Default"/>
        <w:jc w:val="both"/>
        <w:rPr>
          <w:color w:val="4F81BD"/>
          <w:sz w:val="23"/>
          <w:szCs w:val="23"/>
        </w:rPr>
      </w:pPr>
    </w:p>
    <w:p w:rsidR="000927E4" w:rsidRDefault="00817B1F" w:rsidP="000D1AAA">
      <w:pPr>
        <w:jc w:val="both"/>
        <w:rPr>
          <w:b/>
        </w:rPr>
      </w:pPr>
      <w:r>
        <w:rPr>
          <w:b/>
        </w:rPr>
        <w:t>Section</w:t>
      </w:r>
      <w:r w:rsidR="000927E4">
        <w:rPr>
          <w:b/>
        </w:rPr>
        <w:t xml:space="preserve"> </w:t>
      </w:r>
      <w:r w:rsidR="004B5923">
        <w:rPr>
          <w:b/>
        </w:rPr>
        <w:t>26</w:t>
      </w:r>
      <w:r w:rsidR="000927E4">
        <w:rPr>
          <w:b/>
        </w:rPr>
        <w:t xml:space="preserve"> – Exceptions relating to the person to whom the protected information relates</w:t>
      </w:r>
    </w:p>
    <w:p w:rsidR="00037978" w:rsidRPr="006F0B6D" w:rsidRDefault="00037978" w:rsidP="000D1AAA">
      <w:pPr>
        <w:pStyle w:val="Default"/>
        <w:jc w:val="both"/>
        <w:rPr>
          <w:color w:val="4F81BD"/>
          <w:sz w:val="23"/>
          <w:szCs w:val="23"/>
        </w:rPr>
      </w:pPr>
    </w:p>
    <w:p w:rsidR="000D1AAA" w:rsidRDefault="000D1AAA" w:rsidP="000D1AAA">
      <w:pPr>
        <w:jc w:val="both"/>
      </w:pPr>
      <w:r>
        <w:t xml:space="preserve">This </w:t>
      </w:r>
      <w:r w:rsidR="00F608F5">
        <w:t>s</w:t>
      </w:r>
      <w:r w:rsidR="00817B1F">
        <w:t>ection</w:t>
      </w:r>
      <w:r>
        <w:t xml:space="preserve"> provides an exception to the offence under </w:t>
      </w:r>
      <w:r w:rsidR="00F608F5">
        <w:t>s</w:t>
      </w:r>
      <w:r w:rsidR="00817B1F">
        <w:t>ection</w:t>
      </w:r>
      <w:r>
        <w:t xml:space="preserve"> </w:t>
      </w:r>
      <w:r w:rsidR="004B5923">
        <w:t xml:space="preserve">23 </w:t>
      </w:r>
      <w:r>
        <w:t xml:space="preserve">if the person obtains protected information for a permissible purpose and discloses the information to the person to whom the information relates. This </w:t>
      </w:r>
      <w:r w:rsidR="00F608F5">
        <w:t>s</w:t>
      </w:r>
      <w:r w:rsidR="00817B1F">
        <w:t>ection</w:t>
      </w:r>
      <w:r>
        <w:t xml:space="preserve"> also provides an exception to the offence if a person obtains protected information and makes a record, discloses or uses the information with the consent of the person to whom the information relates. </w:t>
      </w:r>
    </w:p>
    <w:p w:rsidR="000D1AAA" w:rsidRDefault="000D1AAA" w:rsidP="000D1AAA">
      <w:pPr>
        <w:jc w:val="both"/>
      </w:pPr>
    </w:p>
    <w:p w:rsidR="000D1AAA" w:rsidRDefault="00ED72B2" w:rsidP="000D1AAA">
      <w:pPr>
        <w:jc w:val="both"/>
        <w:rPr>
          <w:b/>
        </w:rPr>
      </w:pPr>
      <w:r w:rsidRPr="00ED72B2">
        <w:rPr>
          <w:rFonts w:ascii="Times New Roman" w:hAnsi="Times New Roman"/>
          <w:color w:val="000000"/>
          <w:szCs w:val="24"/>
        </w:rPr>
        <w:t xml:space="preserve">The defendant’s evidential burden </w:t>
      </w:r>
      <w:r w:rsidR="007A3C00">
        <w:rPr>
          <w:rFonts w:ascii="Times New Roman" w:hAnsi="Times New Roman"/>
          <w:color w:val="000000"/>
          <w:szCs w:val="24"/>
        </w:rPr>
        <w:t xml:space="preserve">of proof is in accordance with </w:t>
      </w:r>
      <w:r w:rsidR="00F608F5">
        <w:rPr>
          <w:rFonts w:ascii="Times New Roman" w:hAnsi="Times New Roman"/>
          <w:color w:val="000000"/>
          <w:szCs w:val="24"/>
        </w:rPr>
        <w:t>s</w:t>
      </w:r>
      <w:r w:rsidRPr="00ED72B2">
        <w:rPr>
          <w:rFonts w:ascii="Times New Roman" w:hAnsi="Times New Roman"/>
          <w:color w:val="000000"/>
          <w:szCs w:val="24"/>
        </w:rPr>
        <w:t xml:space="preserve">ection 13.3 of the </w:t>
      </w:r>
      <w:r w:rsidRPr="00ED72B2">
        <w:rPr>
          <w:rFonts w:ascii="Times New Roman" w:hAnsi="Times New Roman"/>
          <w:i/>
          <w:iCs/>
          <w:color w:val="000000"/>
          <w:szCs w:val="24"/>
        </w:rPr>
        <w:t xml:space="preserve">Criminal Code Act </w:t>
      </w:r>
      <w:r w:rsidRPr="007A3C00">
        <w:rPr>
          <w:rFonts w:ascii="Times New Roman" w:hAnsi="Times New Roman"/>
          <w:i/>
          <w:color w:val="000000"/>
          <w:szCs w:val="24"/>
        </w:rPr>
        <w:t>1995</w:t>
      </w:r>
      <w:r w:rsidRPr="00ED72B2">
        <w:rPr>
          <w:rFonts w:ascii="Times New Roman" w:hAnsi="Times New Roman"/>
          <w:szCs w:val="24"/>
        </w:rPr>
        <w:t>,</w:t>
      </w:r>
      <w:r w:rsidR="000D1AAA">
        <w:t xml:space="preserve"> which means that the defendant bears the burden of adducing or pointing to evidence that suggests a reasonable possibility that the exception has been met. </w:t>
      </w:r>
      <w:r w:rsidR="007A3C00">
        <w:t xml:space="preserve"> </w:t>
      </w:r>
      <w:r w:rsidR="000D1AAA">
        <w:t xml:space="preserve">It is then up to the prosecution to establish </w:t>
      </w:r>
      <w:r w:rsidR="00692763">
        <w:t>the offence</w:t>
      </w:r>
      <w:r w:rsidR="000D1AAA">
        <w:t xml:space="preserve">. </w:t>
      </w:r>
      <w:r w:rsidR="007A3C00">
        <w:t xml:space="preserve"> </w:t>
      </w:r>
      <w:r w:rsidR="000D1AAA">
        <w:t xml:space="preserve">That is, the defendant must provide evidence that the information was disclosed to the person to whom information relates, or with their consent, to meet the exception. </w:t>
      </w:r>
    </w:p>
    <w:p w:rsidR="00037978" w:rsidRDefault="00037978" w:rsidP="000D1AAA">
      <w:pPr>
        <w:jc w:val="both"/>
        <w:rPr>
          <w:b/>
        </w:rPr>
      </w:pPr>
    </w:p>
    <w:p w:rsidR="000927E4" w:rsidRDefault="00817B1F" w:rsidP="000D1AAA">
      <w:pPr>
        <w:jc w:val="both"/>
        <w:rPr>
          <w:b/>
        </w:rPr>
      </w:pPr>
      <w:r>
        <w:rPr>
          <w:b/>
        </w:rPr>
        <w:t>Section</w:t>
      </w:r>
      <w:r w:rsidR="000927E4">
        <w:rPr>
          <w:b/>
        </w:rPr>
        <w:t xml:space="preserve"> </w:t>
      </w:r>
      <w:r w:rsidR="004B5923">
        <w:rPr>
          <w:b/>
        </w:rPr>
        <w:t xml:space="preserve">27 </w:t>
      </w:r>
      <w:r w:rsidR="000927E4">
        <w:rPr>
          <w:b/>
        </w:rPr>
        <w:t>– Exception for disclosure to person who provided the information</w:t>
      </w:r>
    </w:p>
    <w:p w:rsidR="00037978" w:rsidRPr="006F0B6D" w:rsidRDefault="00037978" w:rsidP="000D1AAA">
      <w:pPr>
        <w:pStyle w:val="Default"/>
        <w:jc w:val="both"/>
        <w:rPr>
          <w:color w:val="4F81BD"/>
          <w:sz w:val="23"/>
          <w:szCs w:val="23"/>
        </w:rPr>
      </w:pPr>
    </w:p>
    <w:p w:rsidR="000D1AAA" w:rsidRDefault="000D1AAA" w:rsidP="000D1AAA">
      <w:pPr>
        <w:jc w:val="both"/>
      </w:pPr>
      <w:r>
        <w:t xml:space="preserve">This </w:t>
      </w:r>
      <w:r w:rsidR="00F608F5">
        <w:t>s</w:t>
      </w:r>
      <w:r w:rsidR="00817B1F">
        <w:t>ection</w:t>
      </w:r>
      <w:r>
        <w:t xml:space="preserve"> provides an exception to the offence under </w:t>
      </w:r>
      <w:r w:rsidR="00F608F5">
        <w:t>s</w:t>
      </w:r>
      <w:r w:rsidR="00692763">
        <w:t>ection</w:t>
      </w:r>
      <w:r>
        <w:t xml:space="preserve"> </w:t>
      </w:r>
      <w:r w:rsidR="004B5923">
        <w:t xml:space="preserve">23 </w:t>
      </w:r>
      <w:r>
        <w:t xml:space="preserve">if the person obtains protected information for a permissible purpose and discloses the information to the person who provided the information. </w:t>
      </w:r>
    </w:p>
    <w:p w:rsidR="0011464D" w:rsidRDefault="0011464D" w:rsidP="000D1AAA">
      <w:pPr>
        <w:jc w:val="both"/>
      </w:pPr>
    </w:p>
    <w:p w:rsidR="000D1AAA" w:rsidRDefault="00ED72B2" w:rsidP="000D1AAA">
      <w:pPr>
        <w:jc w:val="both"/>
        <w:rPr>
          <w:b/>
        </w:rPr>
      </w:pPr>
      <w:r w:rsidRPr="00ED72B2">
        <w:rPr>
          <w:rFonts w:ascii="Times New Roman" w:hAnsi="Times New Roman"/>
          <w:color w:val="000000"/>
          <w:szCs w:val="24"/>
        </w:rPr>
        <w:t xml:space="preserve">The defendant’s evidential burden </w:t>
      </w:r>
      <w:r w:rsidR="007A3C00">
        <w:rPr>
          <w:rFonts w:ascii="Times New Roman" w:hAnsi="Times New Roman"/>
          <w:color w:val="000000"/>
          <w:szCs w:val="24"/>
        </w:rPr>
        <w:t xml:space="preserve">of proof is in accordance with </w:t>
      </w:r>
      <w:r w:rsidR="00F608F5">
        <w:rPr>
          <w:rFonts w:ascii="Times New Roman" w:hAnsi="Times New Roman"/>
          <w:color w:val="000000"/>
          <w:szCs w:val="24"/>
        </w:rPr>
        <w:t>s</w:t>
      </w:r>
      <w:r w:rsidRPr="00ED72B2">
        <w:rPr>
          <w:rFonts w:ascii="Times New Roman" w:hAnsi="Times New Roman"/>
          <w:color w:val="000000"/>
          <w:szCs w:val="24"/>
        </w:rPr>
        <w:t xml:space="preserve">ection 13.3 of the </w:t>
      </w:r>
      <w:r w:rsidRPr="00ED72B2">
        <w:rPr>
          <w:rFonts w:ascii="Times New Roman" w:hAnsi="Times New Roman"/>
          <w:i/>
          <w:iCs/>
          <w:color w:val="000000"/>
          <w:szCs w:val="24"/>
        </w:rPr>
        <w:t xml:space="preserve">Criminal Code Act </w:t>
      </w:r>
      <w:r w:rsidRPr="007A3C00">
        <w:rPr>
          <w:rFonts w:ascii="Times New Roman" w:hAnsi="Times New Roman"/>
          <w:i/>
          <w:color w:val="000000"/>
          <w:szCs w:val="24"/>
        </w:rPr>
        <w:t>1995</w:t>
      </w:r>
      <w:r w:rsidRPr="00ED72B2">
        <w:rPr>
          <w:rFonts w:ascii="Times New Roman" w:hAnsi="Times New Roman"/>
          <w:szCs w:val="24"/>
        </w:rPr>
        <w:t>,</w:t>
      </w:r>
      <w:r w:rsidR="000D1AAA">
        <w:t xml:space="preserve"> which means that the defendant bears the burden of adducing or pointing to evidence that suggests a reasonable possibility that the exception has been met. It is then up to the prosecution to establish </w:t>
      </w:r>
      <w:r w:rsidR="00692763">
        <w:t>the offence</w:t>
      </w:r>
      <w:r w:rsidR="000D1AAA">
        <w:t>. That is, the defendant must provide evidence that the disclosure was to the person who provided the information to meet the exception.</w:t>
      </w:r>
    </w:p>
    <w:p w:rsidR="00037978" w:rsidRDefault="00037978" w:rsidP="000D1AAA">
      <w:pPr>
        <w:jc w:val="both"/>
        <w:rPr>
          <w:b/>
          <w:sz w:val="28"/>
          <w:szCs w:val="28"/>
        </w:rPr>
      </w:pPr>
    </w:p>
    <w:p w:rsidR="000927E4" w:rsidRDefault="00286002" w:rsidP="000D1AAA">
      <w:pPr>
        <w:jc w:val="both"/>
        <w:rPr>
          <w:b/>
          <w:sz w:val="28"/>
          <w:szCs w:val="28"/>
        </w:rPr>
      </w:pPr>
      <w:r>
        <w:rPr>
          <w:b/>
          <w:sz w:val="28"/>
          <w:szCs w:val="28"/>
        </w:rPr>
        <w:br w:type="page"/>
      </w:r>
      <w:r w:rsidR="000927E4">
        <w:rPr>
          <w:b/>
          <w:sz w:val="28"/>
          <w:szCs w:val="28"/>
        </w:rPr>
        <w:lastRenderedPageBreak/>
        <w:t xml:space="preserve">Part </w:t>
      </w:r>
      <w:r w:rsidR="004B5923">
        <w:rPr>
          <w:b/>
          <w:sz w:val="28"/>
          <w:szCs w:val="28"/>
        </w:rPr>
        <w:t xml:space="preserve">5 </w:t>
      </w:r>
      <w:r w:rsidR="000927E4">
        <w:rPr>
          <w:b/>
          <w:sz w:val="28"/>
          <w:szCs w:val="28"/>
        </w:rPr>
        <w:t>– Other matters</w:t>
      </w:r>
    </w:p>
    <w:p w:rsidR="000927E4" w:rsidRPr="000927E4" w:rsidRDefault="000927E4" w:rsidP="000D1AAA">
      <w:pPr>
        <w:jc w:val="both"/>
        <w:rPr>
          <w:b/>
          <w:sz w:val="28"/>
          <w:szCs w:val="28"/>
        </w:rPr>
      </w:pPr>
    </w:p>
    <w:p w:rsidR="0042174C" w:rsidRDefault="00817B1F" w:rsidP="000D1AAA">
      <w:pPr>
        <w:jc w:val="both"/>
        <w:rPr>
          <w:b/>
        </w:rPr>
      </w:pPr>
      <w:r>
        <w:rPr>
          <w:b/>
        </w:rPr>
        <w:t>Section</w:t>
      </w:r>
      <w:r w:rsidR="000927E4">
        <w:rPr>
          <w:b/>
        </w:rPr>
        <w:t xml:space="preserve"> </w:t>
      </w:r>
      <w:r w:rsidR="004B5923">
        <w:rPr>
          <w:b/>
        </w:rPr>
        <w:t xml:space="preserve">28 </w:t>
      </w:r>
      <w:r w:rsidR="000927E4">
        <w:rPr>
          <w:b/>
        </w:rPr>
        <w:t xml:space="preserve">– </w:t>
      </w:r>
      <w:r w:rsidR="0042174C">
        <w:rPr>
          <w:b/>
        </w:rPr>
        <w:t>Simplified outline of this Part</w:t>
      </w:r>
    </w:p>
    <w:p w:rsidR="0039411A" w:rsidRDefault="0039411A" w:rsidP="000D1AAA">
      <w:pPr>
        <w:jc w:val="both"/>
      </w:pPr>
    </w:p>
    <w:p w:rsidR="0039411A" w:rsidRDefault="007A3C00" w:rsidP="000D1AAA">
      <w:pPr>
        <w:jc w:val="both"/>
      </w:pPr>
      <w:r>
        <w:t xml:space="preserve">This </w:t>
      </w:r>
      <w:r w:rsidR="00F608F5">
        <w:t>s</w:t>
      </w:r>
      <w:r w:rsidR="00692763">
        <w:t xml:space="preserve">ection provides an outline of Part 5 of the Bill.  </w:t>
      </w:r>
      <w:r w:rsidR="0039411A" w:rsidRPr="00D535D5">
        <w:t>Whilst a simplified outline is included to assist readers to understand the substantive provision</w:t>
      </w:r>
      <w:r w:rsidR="00692763">
        <w:t>s</w:t>
      </w:r>
      <w:r w:rsidR="0039411A" w:rsidRPr="00D535D5">
        <w:t>, the outline</w:t>
      </w:r>
      <w:r w:rsidR="00692763">
        <w:t xml:space="preserve"> is</w:t>
      </w:r>
      <w:r w:rsidR="0039411A" w:rsidRPr="00D535D5">
        <w:t xml:space="preserve"> not intended to be comprehensive. It is intended that readers should rely on the substantive provisions.</w:t>
      </w:r>
    </w:p>
    <w:p w:rsidR="0042174C" w:rsidRDefault="0042174C" w:rsidP="000D1AAA">
      <w:pPr>
        <w:jc w:val="both"/>
        <w:rPr>
          <w:b/>
        </w:rPr>
      </w:pPr>
    </w:p>
    <w:p w:rsidR="0042174C" w:rsidRDefault="00817B1F" w:rsidP="000D1AAA">
      <w:pPr>
        <w:jc w:val="both"/>
        <w:rPr>
          <w:b/>
        </w:rPr>
      </w:pPr>
      <w:r>
        <w:rPr>
          <w:b/>
        </w:rPr>
        <w:t>Section</w:t>
      </w:r>
      <w:r w:rsidR="0042174C">
        <w:rPr>
          <w:b/>
        </w:rPr>
        <w:t xml:space="preserve"> </w:t>
      </w:r>
      <w:r w:rsidR="004B5923">
        <w:rPr>
          <w:b/>
        </w:rPr>
        <w:t xml:space="preserve">29 </w:t>
      </w:r>
      <w:r w:rsidR="0042174C">
        <w:rPr>
          <w:b/>
        </w:rPr>
        <w:t xml:space="preserve">– </w:t>
      </w:r>
      <w:r w:rsidR="000927E4">
        <w:rPr>
          <w:b/>
        </w:rPr>
        <w:t>Approved forms</w:t>
      </w:r>
    </w:p>
    <w:p w:rsidR="0042174C" w:rsidRDefault="0042174C" w:rsidP="000D1AAA">
      <w:pPr>
        <w:jc w:val="both"/>
      </w:pPr>
    </w:p>
    <w:p w:rsidR="0042174C" w:rsidRPr="0042174C" w:rsidRDefault="0042174C" w:rsidP="000D1AAA">
      <w:pPr>
        <w:jc w:val="both"/>
      </w:pPr>
      <w:r w:rsidRPr="0042174C">
        <w:t xml:space="preserve">This </w:t>
      </w:r>
      <w:r w:rsidR="00F608F5">
        <w:t>s</w:t>
      </w:r>
      <w:r w:rsidR="00817B1F">
        <w:t>ection</w:t>
      </w:r>
      <w:r w:rsidRPr="0042174C">
        <w:t xml:space="preserve"> provides authority </w:t>
      </w:r>
      <w:r>
        <w:t>f</w:t>
      </w:r>
      <w:r w:rsidRPr="0042174C">
        <w:t>o</w:t>
      </w:r>
      <w:r>
        <w:t>r</w:t>
      </w:r>
      <w:r w:rsidRPr="0042174C">
        <w:t xml:space="preserve"> the Minister</w:t>
      </w:r>
      <w:r>
        <w:t>, by writing,</w:t>
      </w:r>
      <w:r w:rsidRPr="0042174C">
        <w:t xml:space="preserve"> to </w:t>
      </w:r>
      <w:r>
        <w:t>approve a form for the purposes of a provision of this Act.</w:t>
      </w:r>
    </w:p>
    <w:p w:rsidR="007A3C00" w:rsidRDefault="007A3C00" w:rsidP="000D1AAA">
      <w:pPr>
        <w:jc w:val="both"/>
        <w:rPr>
          <w:b/>
        </w:rPr>
      </w:pPr>
    </w:p>
    <w:p w:rsidR="000927E4" w:rsidRDefault="00817B1F" w:rsidP="000D1AAA">
      <w:pPr>
        <w:jc w:val="both"/>
        <w:rPr>
          <w:b/>
        </w:rPr>
      </w:pPr>
      <w:r>
        <w:rPr>
          <w:b/>
        </w:rPr>
        <w:t>Section</w:t>
      </w:r>
      <w:r w:rsidR="000927E4">
        <w:rPr>
          <w:b/>
        </w:rPr>
        <w:t xml:space="preserve"> </w:t>
      </w:r>
      <w:r w:rsidR="004B5923">
        <w:rPr>
          <w:b/>
        </w:rPr>
        <w:t xml:space="preserve">30 </w:t>
      </w:r>
      <w:r w:rsidR="000927E4">
        <w:rPr>
          <w:b/>
        </w:rPr>
        <w:t>– Delegation</w:t>
      </w:r>
    </w:p>
    <w:p w:rsidR="0042174C" w:rsidRDefault="0042174C" w:rsidP="000D1AAA">
      <w:pPr>
        <w:jc w:val="both"/>
      </w:pPr>
    </w:p>
    <w:p w:rsidR="004B5923" w:rsidRDefault="00B62A97" w:rsidP="000D1AAA">
      <w:pPr>
        <w:jc w:val="both"/>
      </w:pPr>
      <w:r>
        <w:t xml:space="preserve">This </w:t>
      </w:r>
      <w:r w:rsidR="00F608F5">
        <w:t>s</w:t>
      </w:r>
      <w:r w:rsidR="00817B1F">
        <w:t>ection</w:t>
      </w:r>
      <w:r>
        <w:t xml:space="preserve"> </w:t>
      </w:r>
      <w:r w:rsidR="00692763">
        <w:t>provides</w:t>
      </w:r>
      <w:r w:rsidR="0042174C">
        <w:t xml:space="preserve"> </w:t>
      </w:r>
      <w:r>
        <w:t xml:space="preserve">that the </w:t>
      </w:r>
      <w:r w:rsidR="0042174C">
        <w:t xml:space="preserve">Minister </w:t>
      </w:r>
      <w:r>
        <w:t>is permitted to delegate</w:t>
      </w:r>
      <w:r w:rsidR="0042174C">
        <w:t>,</w:t>
      </w:r>
      <w:r w:rsidR="00692763">
        <w:t xml:space="preserve"> </w:t>
      </w:r>
      <w:r w:rsidR="0042174C">
        <w:t>in writing, the functions or powers relating to</w:t>
      </w:r>
      <w:r w:rsidR="004B5923">
        <w:t xml:space="preserve"> specific </w:t>
      </w:r>
      <w:r w:rsidR="00692763">
        <w:t>s</w:t>
      </w:r>
      <w:r w:rsidR="00817B1F">
        <w:t>ection</w:t>
      </w:r>
      <w:r w:rsidR="004B5923">
        <w:t xml:space="preserve">s within the </w:t>
      </w:r>
      <w:r w:rsidR="00692763">
        <w:t>Bill</w:t>
      </w:r>
      <w:r w:rsidR="004B5923">
        <w:t>.</w:t>
      </w:r>
      <w:r w:rsidR="00692763">
        <w:t xml:space="preserve"> </w:t>
      </w:r>
    </w:p>
    <w:p w:rsidR="00692763" w:rsidRDefault="00692763" w:rsidP="000D1AAA">
      <w:pPr>
        <w:jc w:val="both"/>
      </w:pPr>
    </w:p>
    <w:p w:rsidR="004B5923" w:rsidRDefault="004B5923" w:rsidP="000D1AAA">
      <w:pPr>
        <w:jc w:val="both"/>
      </w:pPr>
      <w:r>
        <w:t xml:space="preserve">The Minister may delegate the powers or functions conferred under </w:t>
      </w:r>
      <w:r w:rsidR="00F608F5">
        <w:t>s</w:t>
      </w:r>
      <w:r w:rsidR="00692763">
        <w:t xml:space="preserve">ubsection </w:t>
      </w:r>
      <w:r>
        <w:t xml:space="preserve">22(3) to a person holding the SES Band 3 position or higher within the </w:t>
      </w:r>
      <w:r w:rsidR="00692763">
        <w:t>Department</w:t>
      </w:r>
      <w:r>
        <w:t xml:space="preserve"> of Health or the Chief Executive Medicare </w:t>
      </w:r>
      <w:r w:rsidR="00692763">
        <w:t xml:space="preserve">who is an </w:t>
      </w:r>
      <w:r>
        <w:t>officer within th</w:t>
      </w:r>
      <w:r w:rsidR="00692763">
        <w:t>e Department of Human Services.</w:t>
      </w:r>
    </w:p>
    <w:p w:rsidR="0011464D" w:rsidRDefault="0011464D" w:rsidP="000D1AAA">
      <w:pPr>
        <w:jc w:val="both"/>
      </w:pPr>
    </w:p>
    <w:p w:rsidR="0080389F" w:rsidRDefault="0011464D" w:rsidP="000D1AAA">
      <w:pPr>
        <w:jc w:val="both"/>
      </w:pPr>
      <w:r>
        <w:t>Additionally</w:t>
      </w:r>
      <w:r w:rsidR="00520E7E">
        <w:t>,</w:t>
      </w:r>
      <w:r>
        <w:t xml:space="preserve"> the Minister may delegate </w:t>
      </w:r>
      <w:r w:rsidR="00FE0921">
        <w:t xml:space="preserve">the </w:t>
      </w:r>
      <w:r>
        <w:t>function</w:t>
      </w:r>
      <w:r w:rsidR="00692763">
        <w:t>s</w:t>
      </w:r>
      <w:r w:rsidR="007A3C00">
        <w:t xml:space="preserve"> or powers under </w:t>
      </w:r>
      <w:r w:rsidR="00F608F5">
        <w:t>s</w:t>
      </w:r>
      <w:r>
        <w:t>ection 5</w:t>
      </w:r>
      <w:r w:rsidR="00FE0921">
        <w:t xml:space="preserve"> (</w:t>
      </w:r>
      <w:r w:rsidR="00520E7E">
        <w:t>about</w:t>
      </w:r>
      <w:r w:rsidR="00FE0921">
        <w:t xml:space="preserve"> </w:t>
      </w:r>
      <w:r w:rsidR="007A3C00">
        <w:t>commercial-</w:t>
      </w:r>
      <w:r w:rsidR="0042174C">
        <w:t>in-confidence information</w:t>
      </w:r>
      <w:r w:rsidR="00FE0921">
        <w:t>)</w:t>
      </w:r>
      <w:r w:rsidR="007A3C00">
        <w:t xml:space="preserve">, </w:t>
      </w:r>
      <w:r w:rsidR="00F608F5">
        <w:t>s</w:t>
      </w:r>
      <w:r w:rsidR="00ED72B2">
        <w:t xml:space="preserve">ection 12 </w:t>
      </w:r>
      <w:r w:rsidR="00520E7E">
        <w:t>(</w:t>
      </w:r>
      <w:r w:rsidR="00ED72B2">
        <w:t>about payment</w:t>
      </w:r>
      <w:r w:rsidR="00520E7E">
        <w:t>s</w:t>
      </w:r>
      <w:r w:rsidR="00ED72B2">
        <w:t xml:space="preserve"> relating to vaccinations</w:t>
      </w:r>
      <w:r w:rsidR="00520E7E">
        <w:t>)</w:t>
      </w:r>
      <w:r w:rsidR="0042174C">
        <w:t xml:space="preserve"> </w:t>
      </w:r>
      <w:r w:rsidR="00520E7E">
        <w:t xml:space="preserve">and </w:t>
      </w:r>
      <w:r w:rsidR="00F608F5">
        <w:t>s</w:t>
      </w:r>
      <w:r>
        <w:t>ection 29</w:t>
      </w:r>
      <w:r w:rsidR="00520E7E">
        <w:t xml:space="preserve"> (</w:t>
      </w:r>
      <w:r>
        <w:t xml:space="preserve">relating to </w:t>
      </w:r>
      <w:r w:rsidR="0042174C">
        <w:t>approved form</w:t>
      </w:r>
      <w:r w:rsidR="00A557D9">
        <w:t>s</w:t>
      </w:r>
      <w:r w:rsidR="00520E7E">
        <w:t>)</w:t>
      </w:r>
      <w:r w:rsidR="00FE0921">
        <w:t>,</w:t>
      </w:r>
      <w:r w:rsidR="0042174C">
        <w:t xml:space="preserve"> to an SES employee or an acting SES employee in the Department</w:t>
      </w:r>
      <w:r w:rsidR="00946AB9">
        <w:t xml:space="preserve"> of Health and to the Chief Executive Medicare</w:t>
      </w:r>
      <w:r w:rsidR="0042174C">
        <w:t xml:space="preserve">. </w:t>
      </w:r>
    </w:p>
    <w:p w:rsidR="0011464D" w:rsidRDefault="0011464D" w:rsidP="000D1AAA">
      <w:pPr>
        <w:jc w:val="both"/>
      </w:pPr>
    </w:p>
    <w:p w:rsidR="0011464D" w:rsidRPr="0042174C" w:rsidRDefault="0011464D" w:rsidP="000D1AAA">
      <w:pPr>
        <w:jc w:val="both"/>
      </w:pPr>
      <w:r>
        <w:t>Any persons exercising the powers or functions as a delegate for the Minister must als</w:t>
      </w:r>
      <w:r w:rsidR="00FE0921">
        <w:t xml:space="preserve">o comply with any directions of </w:t>
      </w:r>
      <w:r>
        <w:t>the Minister.</w:t>
      </w:r>
    </w:p>
    <w:p w:rsidR="0039411A" w:rsidRDefault="0039411A" w:rsidP="000D1AAA">
      <w:pPr>
        <w:jc w:val="both"/>
        <w:rPr>
          <w:b/>
        </w:rPr>
      </w:pPr>
    </w:p>
    <w:p w:rsidR="000927E4" w:rsidRDefault="00817B1F" w:rsidP="000D1AAA">
      <w:pPr>
        <w:jc w:val="both"/>
        <w:rPr>
          <w:b/>
        </w:rPr>
      </w:pPr>
      <w:r>
        <w:rPr>
          <w:b/>
        </w:rPr>
        <w:t>Section</w:t>
      </w:r>
      <w:r w:rsidR="000927E4">
        <w:rPr>
          <w:b/>
        </w:rPr>
        <w:t xml:space="preserve"> </w:t>
      </w:r>
      <w:r w:rsidR="004B5923">
        <w:rPr>
          <w:b/>
        </w:rPr>
        <w:t xml:space="preserve">31 </w:t>
      </w:r>
      <w:r w:rsidR="000927E4">
        <w:rPr>
          <w:b/>
        </w:rPr>
        <w:t>– Rules</w:t>
      </w:r>
    </w:p>
    <w:p w:rsidR="000927E4" w:rsidRDefault="000927E4" w:rsidP="000D1AAA">
      <w:pPr>
        <w:jc w:val="both"/>
        <w:rPr>
          <w:b/>
        </w:rPr>
      </w:pPr>
    </w:p>
    <w:p w:rsidR="001C167D" w:rsidRDefault="0039411A" w:rsidP="000D1AAA">
      <w:pPr>
        <w:jc w:val="both"/>
        <w:rPr>
          <w:i/>
        </w:rPr>
      </w:pPr>
      <w:r>
        <w:t xml:space="preserve">The </w:t>
      </w:r>
      <w:r w:rsidR="001C167D">
        <w:t>M</w:t>
      </w:r>
      <w:r>
        <w:t xml:space="preserve">inister </w:t>
      </w:r>
      <w:r w:rsidR="001C167D">
        <w:t xml:space="preserve">may through </w:t>
      </w:r>
      <w:r w:rsidR="00FE0921">
        <w:t xml:space="preserve">a </w:t>
      </w:r>
      <w:r w:rsidR="001C167D">
        <w:t xml:space="preserve">legislative instrument make rules to prescribe matters associated with the </w:t>
      </w:r>
      <w:r w:rsidR="00FE0921">
        <w:t>Bill</w:t>
      </w:r>
      <w:r w:rsidR="001C167D">
        <w:t>. Disclosure of protected in</w:t>
      </w:r>
      <w:r w:rsidR="007A3C00">
        <w:t>formation contained within the R</w:t>
      </w:r>
      <w:r w:rsidR="001C167D">
        <w:t xml:space="preserve">egister is permissible as stated in </w:t>
      </w:r>
      <w:r w:rsidR="00F608F5">
        <w:t>s</w:t>
      </w:r>
      <w:r w:rsidR="00FE0921">
        <w:t>ubparagraph</w:t>
      </w:r>
      <w:r w:rsidR="001C167D">
        <w:t xml:space="preserve"> </w:t>
      </w:r>
      <w:r w:rsidR="004B5923">
        <w:t>22</w:t>
      </w:r>
      <w:r w:rsidR="001C167D">
        <w:t>(2)</w:t>
      </w:r>
      <w:r w:rsidR="00FE0921">
        <w:t>(a)</w:t>
      </w:r>
      <w:r w:rsidR="001C167D">
        <w:t xml:space="preserve">(iv) to </w:t>
      </w:r>
      <w:r w:rsidR="00232582">
        <w:t xml:space="preserve">prescribed </w:t>
      </w:r>
      <w:r w:rsidR="001C167D">
        <w:t xml:space="preserve">bodies.  The prescribed bodies are </w:t>
      </w:r>
      <w:r w:rsidR="00FE0921">
        <w:t xml:space="preserve">to be listed in the </w:t>
      </w:r>
      <w:r w:rsidR="007A3C00">
        <w:t>R</w:t>
      </w:r>
      <w:r w:rsidR="00FE0921">
        <w:t>ules.</w:t>
      </w:r>
    </w:p>
    <w:p w:rsidR="001C167D" w:rsidRDefault="001C167D" w:rsidP="000D1AAA">
      <w:pPr>
        <w:jc w:val="both"/>
        <w:rPr>
          <w:i/>
        </w:rPr>
      </w:pPr>
    </w:p>
    <w:p w:rsidR="0039411A" w:rsidRPr="0039411A" w:rsidRDefault="001C167D" w:rsidP="000D1AAA">
      <w:pPr>
        <w:jc w:val="both"/>
      </w:pPr>
      <w:r>
        <w:t xml:space="preserve">However, the </w:t>
      </w:r>
      <w:r w:rsidR="00B62A97">
        <w:t xml:space="preserve">Rules may not </w:t>
      </w:r>
      <w:r>
        <w:t>create an offence or civil penalty</w:t>
      </w:r>
      <w:r w:rsidR="00B62A97">
        <w:t xml:space="preserve"> (</w:t>
      </w:r>
      <w:r w:rsidR="00817B1F">
        <w:t>Section</w:t>
      </w:r>
      <w:r w:rsidR="00B62A97">
        <w:t xml:space="preserve"> </w:t>
      </w:r>
      <w:r w:rsidR="004B5923">
        <w:t>31</w:t>
      </w:r>
      <w:r w:rsidR="00B62A97">
        <w:t>(2))</w:t>
      </w:r>
      <w:r>
        <w:t>, provide powers o</w:t>
      </w:r>
      <w:r w:rsidR="00FE0921">
        <w:t>f</w:t>
      </w:r>
      <w:r>
        <w:t xml:space="preserve"> arrest or entry, search or seizure, impose a tax, set an amount to be appropriated from the Consolidated Revenue Fund or directly amend the text of </w:t>
      </w:r>
      <w:r w:rsidR="00FE0921">
        <w:t>the Bill.</w:t>
      </w:r>
    </w:p>
    <w:p w:rsidR="00D535D5" w:rsidRDefault="00D535D5" w:rsidP="000D1AAA">
      <w:pPr>
        <w:jc w:val="both"/>
      </w:pPr>
    </w:p>
    <w:p w:rsidR="00172426" w:rsidRDefault="00172426" w:rsidP="000D1AAA">
      <w:pPr>
        <w:jc w:val="both"/>
      </w:pPr>
    </w:p>
    <w:p w:rsidR="00172426" w:rsidRDefault="00172426" w:rsidP="000D1AAA">
      <w:pPr>
        <w:jc w:val="both"/>
      </w:pPr>
    </w:p>
    <w:sectPr w:rsidR="00172426" w:rsidSect="00457E4A">
      <w:footerReference w:type="default" r:id="rId11"/>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C6" w:rsidRDefault="008C11C6">
      <w:r>
        <w:separator/>
      </w:r>
    </w:p>
  </w:endnote>
  <w:endnote w:type="continuationSeparator" w:id="0">
    <w:p w:rsidR="008C11C6" w:rsidRDefault="008C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11" w:rsidRDefault="001F4B11" w:rsidP="00457E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E4" w:rsidRPr="007E7BE4" w:rsidRDefault="007E7BE4" w:rsidP="007E7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E4" w:rsidRDefault="007E7BE4">
    <w:pPr>
      <w:pStyle w:val="Footer"/>
      <w:jc w:val="center"/>
    </w:pPr>
    <w:r>
      <w:fldChar w:fldCharType="begin"/>
    </w:r>
    <w:r>
      <w:instrText xml:space="preserve"> PAGE   \* MERGEFORMAT </w:instrText>
    </w:r>
    <w:r>
      <w:fldChar w:fldCharType="separate"/>
    </w:r>
    <w:r w:rsidR="00E60F62">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C6" w:rsidRDefault="008C11C6">
      <w:r>
        <w:separator/>
      </w:r>
    </w:p>
  </w:footnote>
  <w:footnote w:type="continuationSeparator" w:id="0">
    <w:p w:rsidR="008C11C6" w:rsidRDefault="008C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4CBB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F7AC2"/>
    <w:multiLevelType w:val="multilevel"/>
    <w:tmpl w:val="180851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E00890"/>
    <w:multiLevelType w:val="hybridMultilevel"/>
    <w:tmpl w:val="5F6E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EB498F"/>
    <w:multiLevelType w:val="hybridMultilevel"/>
    <w:tmpl w:val="60B2128E"/>
    <w:lvl w:ilvl="0" w:tplc="56288FF8">
      <w:start w:val="1"/>
      <w:numFmt w:val="bullet"/>
      <w:lvlText w:val=""/>
      <w:lvlJc w:val="left"/>
      <w:pPr>
        <w:ind w:left="360" w:hanging="360"/>
      </w:pPr>
      <w:rPr>
        <w:rFonts w:ascii="Symbol" w:hAnsi="Symbol" w:hint="default"/>
        <w:color w:val="A6A6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7B5506D"/>
    <w:multiLevelType w:val="hybridMultilevel"/>
    <w:tmpl w:val="4F168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673D9"/>
    <w:multiLevelType w:val="hybridMultilevel"/>
    <w:tmpl w:val="1652A0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D8650E"/>
    <w:multiLevelType w:val="hybridMultilevel"/>
    <w:tmpl w:val="38687740"/>
    <w:lvl w:ilvl="0" w:tplc="8BE09C66">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BF32DF"/>
    <w:multiLevelType w:val="hybridMultilevel"/>
    <w:tmpl w:val="B540F3DA"/>
    <w:lvl w:ilvl="0" w:tplc="8BE09C66">
      <w:numFmt w:val="bullet"/>
      <w:lvlText w:val="-"/>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9">
    <w:nsid w:val="270D4C88"/>
    <w:multiLevelType w:val="multilevel"/>
    <w:tmpl w:val="87704008"/>
    <w:lvl w:ilvl="0">
      <w:start w:val="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7F97837"/>
    <w:multiLevelType w:val="hybridMultilevel"/>
    <w:tmpl w:val="6E2CFF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86D6702"/>
    <w:multiLevelType w:val="hybridMultilevel"/>
    <w:tmpl w:val="F990CFC2"/>
    <w:lvl w:ilvl="0" w:tplc="8BE09C66">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B76D41"/>
    <w:multiLevelType w:val="multilevel"/>
    <w:tmpl w:val="2E5CEE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37D579E"/>
    <w:multiLevelType w:val="multilevel"/>
    <w:tmpl w:val="4C84D274"/>
    <w:lvl w:ilvl="0">
      <w:start w:val="1"/>
      <w:numFmt w:val="decimal"/>
      <w:lvlText w:val="%1."/>
      <w:lvlJc w:val="left"/>
      <w:pPr>
        <w:tabs>
          <w:tab w:val="num" w:pos="360"/>
        </w:tabs>
        <w:ind w:left="360" w:hanging="360"/>
      </w:pPr>
      <w:rPr>
        <w:rFonts w:hint="default"/>
      </w:rPr>
    </w:lvl>
    <w:lvl w:ilvl="1">
      <w:start w:val="2"/>
      <w:numFmt w:val="decimal"/>
      <w:lvlText w:val="%2.1"/>
      <w:lvlJc w:val="left"/>
      <w:pPr>
        <w:tabs>
          <w:tab w:val="num" w:pos="792"/>
        </w:tabs>
        <w:ind w:left="792" w:hanging="432"/>
      </w:pPr>
      <w:rPr>
        <w:rFonts w:hint="default"/>
      </w:rPr>
    </w:lvl>
    <w:lvl w:ilvl="2">
      <w:start w:val="1"/>
      <w:numFmt w:val="decimal"/>
      <w:lvlText w:val="%1.3.%3."/>
      <w:lvlJc w:val="left"/>
      <w:pPr>
        <w:tabs>
          <w:tab w:val="num" w:pos="1997"/>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4C92885"/>
    <w:multiLevelType w:val="multilevel"/>
    <w:tmpl w:val="8BFA6948"/>
    <w:lvl w:ilvl="0">
      <w:start w:val="1"/>
      <w:numFmt w:val="decimal"/>
      <w:lvlText w:val="%1."/>
      <w:lvlJc w:val="left"/>
      <w:pPr>
        <w:tabs>
          <w:tab w:val="num" w:pos="360"/>
        </w:tabs>
        <w:ind w:left="360" w:hanging="360"/>
      </w:pPr>
      <w:rPr>
        <w:rFonts w:hint="default"/>
      </w:rPr>
    </w:lvl>
    <w:lvl w:ilvl="1">
      <w:start w:val="2"/>
      <w:numFmt w:val="none"/>
      <w:lvlText w:val="2.2"/>
      <w:lvlJc w:val="left"/>
      <w:pPr>
        <w:tabs>
          <w:tab w:val="num" w:pos="792"/>
        </w:tabs>
        <w:ind w:left="792" w:hanging="432"/>
      </w:pPr>
      <w:rPr>
        <w:rFonts w:hint="default"/>
      </w:rPr>
    </w:lvl>
    <w:lvl w:ilvl="2">
      <w:start w:val="1"/>
      <w:numFmt w:val="decimal"/>
      <w:lvlText w:val="%1.3.%3."/>
      <w:lvlJc w:val="left"/>
      <w:pPr>
        <w:tabs>
          <w:tab w:val="num" w:pos="1997"/>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9DE7D68"/>
    <w:multiLevelType w:val="hybridMultilevel"/>
    <w:tmpl w:val="AA0AB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2F12E8"/>
    <w:multiLevelType w:val="hybridMultilevel"/>
    <w:tmpl w:val="0686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A11A7E"/>
    <w:multiLevelType w:val="hybridMultilevel"/>
    <w:tmpl w:val="247E526C"/>
    <w:lvl w:ilvl="0" w:tplc="8BE09C66">
      <w:numFmt w:val="bullet"/>
      <w:lvlText w:val="-"/>
      <w:lvlJc w:val="left"/>
      <w:pPr>
        <w:ind w:left="1276" w:hanging="360"/>
      </w:pPr>
      <w:rPr>
        <w:rFonts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19">
    <w:nsid w:val="55AE3816"/>
    <w:multiLevelType w:val="hybridMultilevel"/>
    <w:tmpl w:val="5F36F76C"/>
    <w:lvl w:ilvl="0" w:tplc="72CEB2DC">
      <w:start w:val="1"/>
      <w:numFmt w:val="bullet"/>
      <w:lvlText w:val=""/>
      <w:lvlJc w:val="left"/>
      <w:pPr>
        <w:ind w:left="720" w:hanging="360"/>
      </w:pPr>
      <w:rPr>
        <w:rFonts w:ascii="Symbol" w:hAnsi="Symbol" w:hint="default"/>
        <w:color w:val="EEECE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063EA5"/>
    <w:multiLevelType w:val="hybridMultilevel"/>
    <w:tmpl w:val="1ACC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573FA4"/>
    <w:multiLevelType w:val="hybridMultilevel"/>
    <w:tmpl w:val="D92873E2"/>
    <w:lvl w:ilvl="0" w:tplc="5A340C58">
      <w:start w:val="1"/>
      <w:numFmt w:val="decimal"/>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28B4004"/>
    <w:multiLevelType w:val="hybridMultilevel"/>
    <w:tmpl w:val="9642FD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78B5053C"/>
    <w:multiLevelType w:val="multilevel"/>
    <w:tmpl w:val="5A6EC366"/>
    <w:lvl w:ilvl="0">
      <w:start w:val="1"/>
      <w:numFmt w:val="bullet"/>
      <w:pStyle w:val="ListBullet"/>
      <w:lvlText w:val=""/>
      <w:lvlJc w:val="left"/>
      <w:pPr>
        <w:tabs>
          <w:tab w:val="num" w:pos="964"/>
        </w:tabs>
        <w:ind w:left="964" w:hanging="964"/>
      </w:pPr>
      <w:rPr>
        <w:rFonts w:ascii="Symbol" w:hAnsi="Symbol" w:hint="default"/>
        <w:color w:val="737164"/>
      </w:rPr>
    </w:lvl>
    <w:lvl w:ilvl="1">
      <w:start w:val="1"/>
      <w:numFmt w:val="bullet"/>
      <w:pStyle w:val="ListBullet2"/>
      <w:lvlText w:val=""/>
      <w:lvlJc w:val="left"/>
      <w:pPr>
        <w:tabs>
          <w:tab w:val="num" w:pos="1928"/>
        </w:tabs>
        <w:ind w:left="1928" w:hanging="964"/>
      </w:pPr>
      <w:rPr>
        <w:rFonts w:ascii="Symbol" w:hAnsi="Symbol" w:hint="default"/>
        <w:color w:val="737164"/>
      </w:rPr>
    </w:lvl>
    <w:lvl w:ilvl="2">
      <w:start w:val="1"/>
      <w:numFmt w:val="bullet"/>
      <w:pStyle w:val="ListBullet3"/>
      <w:lvlText w:val=""/>
      <w:lvlJc w:val="left"/>
      <w:pPr>
        <w:tabs>
          <w:tab w:val="num" w:pos="2892"/>
        </w:tabs>
        <w:ind w:left="2892" w:hanging="964"/>
      </w:pPr>
      <w:rPr>
        <w:rFonts w:ascii="Symbol" w:hAnsi="Symbol" w:hint="default"/>
        <w:color w:val="737164"/>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7BA115C4"/>
    <w:multiLevelType w:val="multilevel"/>
    <w:tmpl w:val="18582A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i w:val="0"/>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6">
    <w:nsid w:val="7BF35D5A"/>
    <w:multiLevelType w:val="hybridMultilevel"/>
    <w:tmpl w:val="00F89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2"/>
  </w:num>
  <w:num w:numId="5">
    <w:abstractNumId w:val="21"/>
  </w:num>
  <w:num w:numId="6">
    <w:abstractNumId w:val="1"/>
  </w:num>
  <w:num w:numId="7">
    <w:abstractNumId w:val="11"/>
  </w:num>
  <w:num w:numId="8">
    <w:abstractNumId w:val="8"/>
  </w:num>
  <w:num w:numId="9">
    <w:abstractNumId w:val="7"/>
  </w:num>
  <w:num w:numId="10">
    <w:abstractNumId w:val="18"/>
  </w:num>
  <w:num w:numId="11">
    <w:abstractNumId w:val="16"/>
  </w:num>
  <w:num w:numId="12">
    <w:abstractNumId w:val="6"/>
  </w:num>
  <w:num w:numId="13">
    <w:abstractNumId w:val="13"/>
  </w:num>
  <w:num w:numId="14">
    <w:abstractNumId w:val="23"/>
  </w:num>
  <w:num w:numId="15">
    <w:abstractNumId w:val="0"/>
  </w:num>
  <w:num w:numId="16">
    <w:abstractNumId w:val="25"/>
  </w:num>
  <w:num w:numId="17">
    <w:abstractNumId w:val="4"/>
  </w:num>
  <w:num w:numId="18">
    <w:abstractNumId w:val="26"/>
  </w:num>
  <w:num w:numId="19">
    <w:abstractNumId w:val="2"/>
  </w:num>
  <w:num w:numId="20">
    <w:abstractNumId w:val="3"/>
  </w:num>
  <w:num w:numId="21">
    <w:abstractNumId w:val="3"/>
  </w:num>
  <w:num w:numId="22">
    <w:abstractNumId w:val="24"/>
  </w:num>
  <w:num w:numId="23">
    <w:abstractNumId w:val="22"/>
  </w:num>
  <w:num w:numId="24">
    <w:abstractNumId w:val="10"/>
  </w:num>
  <w:num w:numId="25">
    <w:abstractNumId w:val="17"/>
  </w:num>
  <w:num w:numId="26">
    <w:abstractNumId w:val="20"/>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E4A"/>
    <w:rsid w:val="00006B65"/>
    <w:rsid w:val="00015A5B"/>
    <w:rsid w:val="000259E6"/>
    <w:rsid w:val="00027FDA"/>
    <w:rsid w:val="00031241"/>
    <w:rsid w:val="0003339B"/>
    <w:rsid w:val="00033E16"/>
    <w:rsid w:val="00037978"/>
    <w:rsid w:val="00037AE7"/>
    <w:rsid w:val="00043A9C"/>
    <w:rsid w:val="00072D71"/>
    <w:rsid w:val="0007441C"/>
    <w:rsid w:val="000927E4"/>
    <w:rsid w:val="000A4419"/>
    <w:rsid w:val="000B047F"/>
    <w:rsid w:val="000B0955"/>
    <w:rsid w:val="000B3E8A"/>
    <w:rsid w:val="000B76BA"/>
    <w:rsid w:val="000D1AAA"/>
    <w:rsid w:val="000D203E"/>
    <w:rsid w:val="000D3FE8"/>
    <w:rsid w:val="000D607A"/>
    <w:rsid w:val="000D740A"/>
    <w:rsid w:val="000E1F3D"/>
    <w:rsid w:val="000E70B2"/>
    <w:rsid w:val="00100027"/>
    <w:rsid w:val="00100058"/>
    <w:rsid w:val="0010664F"/>
    <w:rsid w:val="0011464D"/>
    <w:rsid w:val="00116DB6"/>
    <w:rsid w:val="00122211"/>
    <w:rsid w:val="0012425B"/>
    <w:rsid w:val="00132FE7"/>
    <w:rsid w:val="00137968"/>
    <w:rsid w:val="00137BDC"/>
    <w:rsid w:val="001444A9"/>
    <w:rsid w:val="00150288"/>
    <w:rsid w:val="00150751"/>
    <w:rsid w:val="00152B68"/>
    <w:rsid w:val="00157000"/>
    <w:rsid w:val="00161AFE"/>
    <w:rsid w:val="00162F27"/>
    <w:rsid w:val="001651DE"/>
    <w:rsid w:val="0016521B"/>
    <w:rsid w:val="00172426"/>
    <w:rsid w:val="00180482"/>
    <w:rsid w:val="001873EE"/>
    <w:rsid w:val="00194F0C"/>
    <w:rsid w:val="00197746"/>
    <w:rsid w:val="001A1241"/>
    <w:rsid w:val="001A354B"/>
    <w:rsid w:val="001A7DC3"/>
    <w:rsid w:val="001B15E1"/>
    <w:rsid w:val="001C167D"/>
    <w:rsid w:val="001E1FAE"/>
    <w:rsid w:val="001F4B11"/>
    <w:rsid w:val="00211576"/>
    <w:rsid w:val="00220918"/>
    <w:rsid w:val="00232582"/>
    <w:rsid w:val="0023428B"/>
    <w:rsid w:val="00236576"/>
    <w:rsid w:val="00240EE1"/>
    <w:rsid w:val="00241214"/>
    <w:rsid w:val="00244249"/>
    <w:rsid w:val="00244FEC"/>
    <w:rsid w:val="002456E2"/>
    <w:rsid w:val="00247F00"/>
    <w:rsid w:val="00251E9A"/>
    <w:rsid w:val="00254707"/>
    <w:rsid w:val="0025717C"/>
    <w:rsid w:val="00265E81"/>
    <w:rsid w:val="00272878"/>
    <w:rsid w:val="00272ABF"/>
    <w:rsid w:val="0028315E"/>
    <w:rsid w:val="00286002"/>
    <w:rsid w:val="00291D0B"/>
    <w:rsid w:val="00294134"/>
    <w:rsid w:val="002953FF"/>
    <w:rsid w:val="002A45B1"/>
    <w:rsid w:val="002A62C2"/>
    <w:rsid w:val="002B50A8"/>
    <w:rsid w:val="002D0E92"/>
    <w:rsid w:val="002D2020"/>
    <w:rsid w:val="002D3EBD"/>
    <w:rsid w:val="002E1479"/>
    <w:rsid w:val="002F47C3"/>
    <w:rsid w:val="002F6A16"/>
    <w:rsid w:val="0030014C"/>
    <w:rsid w:val="0030200F"/>
    <w:rsid w:val="003210B1"/>
    <w:rsid w:val="003246D9"/>
    <w:rsid w:val="00327CFB"/>
    <w:rsid w:val="003404D4"/>
    <w:rsid w:val="00360964"/>
    <w:rsid w:val="00382711"/>
    <w:rsid w:val="00387AE8"/>
    <w:rsid w:val="00391544"/>
    <w:rsid w:val="0039411A"/>
    <w:rsid w:val="003967FB"/>
    <w:rsid w:val="003A4E40"/>
    <w:rsid w:val="003A5FF8"/>
    <w:rsid w:val="003B3E67"/>
    <w:rsid w:val="003C2028"/>
    <w:rsid w:val="003C7B0F"/>
    <w:rsid w:val="003D59C4"/>
    <w:rsid w:val="003D71DC"/>
    <w:rsid w:val="003E73BE"/>
    <w:rsid w:val="003F393D"/>
    <w:rsid w:val="00402195"/>
    <w:rsid w:val="00410856"/>
    <w:rsid w:val="004202A4"/>
    <w:rsid w:val="0042174C"/>
    <w:rsid w:val="00421BAC"/>
    <w:rsid w:val="00425629"/>
    <w:rsid w:val="00437F57"/>
    <w:rsid w:val="00445289"/>
    <w:rsid w:val="00457E4A"/>
    <w:rsid w:val="00466DC6"/>
    <w:rsid w:val="004677E5"/>
    <w:rsid w:val="00480DD7"/>
    <w:rsid w:val="004841DE"/>
    <w:rsid w:val="004848B0"/>
    <w:rsid w:val="00485CAB"/>
    <w:rsid w:val="00487DA1"/>
    <w:rsid w:val="0049135D"/>
    <w:rsid w:val="004A1441"/>
    <w:rsid w:val="004A4C94"/>
    <w:rsid w:val="004B20D7"/>
    <w:rsid w:val="004B5923"/>
    <w:rsid w:val="004B5DD4"/>
    <w:rsid w:val="004B5EEC"/>
    <w:rsid w:val="004B6D18"/>
    <w:rsid w:val="004C623A"/>
    <w:rsid w:val="004C7303"/>
    <w:rsid w:val="004D1A7D"/>
    <w:rsid w:val="004E1DCF"/>
    <w:rsid w:val="004E2ADE"/>
    <w:rsid w:val="004F205E"/>
    <w:rsid w:val="004F214B"/>
    <w:rsid w:val="004F5288"/>
    <w:rsid w:val="005125E8"/>
    <w:rsid w:val="00520E7E"/>
    <w:rsid w:val="005355DF"/>
    <w:rsid w:val="00536E14"/>
    <w:rsid w:val="005445D0"/>
    <w:rsid w:val="0055033E"/>
    <w:rsid w:val="00550695"/>
    <w:rsid w:val="005738D4"/>
    <w:rsid w:val="00590BD8"/>
    <w:rsid w:val="005933BA"/>
    <w:rsid w:val="00597BBB"/>
    <w:rsid w:val="005A212B"/>
    <w:rsid w:val="005A26BC"/>
    <w:rsid w:val="005A5C25"/>
    <w:rsid w:val="005A71C7"/>
    <w:rsid w:val="005B2A8A"/>
    <w:rsid w:val="005C1C63"/>
    <w:rsid w:val="005D4385"/>
    <w:rsid w:val="005E7D00"/>
    <w:rsid w:val="00604FA2"/>
    <w:rsid w:val="00606304"/>
    <w:rsid w:val="00615DE6"/>
    <w:rsid w:val="0062489F"/>
    <w:rsid w:val="0062768C"/>
    <w:rsid w:val="00632C93"/>
    <w:rsid w:val="00635055"/>
    <w:rsid w:val="00641050"/>
    <w:rsid w:val="00657777"/>
    <w:rsid w:val="00661B21"/>
    <w:rsid w:val="00665465"/>
    <w:rsid w:val="00667731"/>
    <w:rsid w:val="0067067D"/>
    <w:rsid w:val="006719E8"/>
    <w:rsid w:val="00684D45"/>
    <w:rsid w:val="00692763"/>
    <w:rsid w:val="00697816"/>
    <w:rsid w:val="006A288C"/>
    <w:rsid w:val="006C44E2"/>
    <w:rsid w:val="006D20D6"/>
    <w:rsid w:val="006D3921"/>
    <w:rsid w:val="006D4EA2"/>
    <w:rsid w:val="006F0B6D"/>
    <w:rsid w:val="006F264B"/>
    <w:rsid w:val="006F45F8"/>
    <w:rsid w:val="006F64FA"/>
    <w:rsid w:val="00706D85"/>
    <w:rsid w:val="007122A4"/>
    <w:rsid w:val="007173BE"/>
    <w:rsid w:val="007243B6"/>
    <w:rsid w:val="00725AB7"/>
    <w:rsid w:val="0073611C"/>
    <w:rsid w:val="00741649"/>
    <w:rsid w:val="00756B7F"/>
    <w:rsid w:val="00762265"/>
    <w:rsid w:val="00771863"/>
    <w:rsid w:val="00773E0A"/>
    <w:rsid w:val="00781256"/>
    <w:rsid w:val="00782089"/>
    <w:rsid w:val="00783187"/>
    <w:rsid w:val="00791A1A"/>
    <w:rsid w:val="0079226C"/>
    <w:rsid w:val="00792D8A"/>
    <w:rsid w:val="007A2D2F"/>
    <w:rsid w:val="007A3C00"/>
    <w:rsid w:val="007B5794"/>
    <w:rsid w:val="007C0E1D"/>
    <w:rsid w:val="007E0193"/>
    <w:rsid w:val="007E57D9"/>
    <w:rsid w:val="007E733E"/>
    <w:rsid w:val="007E7BE4"/>
    <w:rsid w:val="007F23FA"/>
    <w:rsid w:val="007F36AA"/>
    <w:rsid w:val="0080389F"/>
    <w:rsid w:val="00811422"/>
    <w:rsid w:val="00815210"/>
    <w:rsid w:val="00817B1F"/>
    <w:rsid w:val="00824520"/>
    <w:rsid w:val="0083440A"/>
    <w:rsid w:val="008416E4"/>
    <w:rsid w:val="00852A1A"/>
    <w:rsid w:val="00863B38"/>
    <w:rsid w:val="0088107C"/>
    <w:rsid w:val="00891A44"/>
    <w:rsid w:val="00896209"/>
    <w:rsid w:val="008A362F"/>
    <w:rsid w:val="008B0385"/>
    <w:rsid w:val="008B1283"/>
    <w:rsid w:val="008B2CD0"/>
    <w:rsid w:val="008C11C6"/>
    <w:rsid w:val="008C2BF9"/>
    <w:rsid w:val="008C450F"/>
    <w:rsid w:val="008C658D"/>
    <w:rsid w:val="008D04B7"/>
    <w:rsid w:val="008E2FD9"/>
    <w:rsid w:val="008E33E4"/>
    <w:rsid w:val="00900510"/>
    <w:rsid w:val="009052D3"/>
    <w:rsid w:val="00906055"/>
    <w:rsid w:val="00906654"/>
    <w:rsid w:val="0092640D"/>
    <w:rsid w:val="00926C1C"/>
    <w:rsid w:val="00927BFF"/>
    <w:rsid w:val="009311D4"/>
    <w:rsid w:val="00933A78"/>
    <w:rsid w:val="009364DF"/>
    <w:rsid w:val="00946AB9"/>
    <w:rsid w:val="00966FB2"/>
    <w:rsid w:val="00975602"/>
    <w:rsid w:val="00976901"/>
    <w:rsid w:val="00981BE2"/>
    <w:rsid w:val="00983BAE"/>
    <w:rsid w:val="00991CBF"/>
    <w:rsid w:val="00995637"/>
    <w:rsid w:val="009A4CB8"/>
    <w:rsid w:val="009A4D1F"/>
    <w:rsid w:val="009A6298"/>
    <w:rsid w:val="009B38BB"/>
    <w:rsid w:val="009C1887"/>
    <w:rsid w:val="009C275E"/>
    <w:rsid w:val="009D3185"/>
    <w:rsid w:val="009E236F"/>
    <w:rsid w:val="009E597E"/>
    <w:rsid w:val="009F6944"/>
    <w:rsid w:val="00A03480"/>
    <w:rsid w:val="00A10F4B"/>
    <w:rsid w:val="00A17E15"/>
    <w:rsid w:val="00A212F6"/>
    <w:rsid w:val="00A557D9"/>
    <w:rsid w:val="00A568F8"/>
    <w:rsid w:val="00A612B7"/>
    <w:rsid w:val="00A7362F"/>
    <w:rsid w:val="00A80667"/>
    <w:rsid w:val="00A81360"/>
    <w:rsid w:val="00AA0508"/>
    <w:rsid w:val="00AB0B97"/>
    <w:rsid w:val="00AB1378"/>
    <w:rsid w:val="00AB38D9"/>
    <w:rsid w:val="00AC231C"/>
    <w:rsid w:val="00AC24F8"/>
    <w:rsid w:val="00AC41A3"/>
    <w:rsid w:val="00AC460F"/>
    <w:rsid w:val="00AE04D7"/>
    <w:rsid w:val="00AE15DD"/>
    <w:rsid w:val="00AF0D40"/>
    <w:rsid w:val="00B01120"/>
    <w:rsid w:val="00B17442"/>
    <w:rsid w:val="00B27DF6"/>
    <w:rsid w:val="00B34157"/>
    <w:rsid w:val="00B34BAA"/>
    <w:rsid w:val="00B41163"/>
    <w:rsid w:val="00B455AA"/>
    <w:rsid w:val="00B545BF"/>
    <w:rsid w:val="00B601F1"/>
    <w:rsid w:val="00B62A97"/>
    <w:rsid w:val="00B66314"/>
    <w:rsid w:val="00B66E3D"/>
    <w:rsid w:val="00B73C30"/>
    <w:rsid w:val="00B7742C"/>
    <w:rsid w:val="00B93093"/>
    <w:rsid w:val="00B95379"/>
    <w:rsid w:val="00BA188C"/>
    <w:rsid w:val="00BC07C9"/>
    <w:rsid w:val="00BC0B8C"/>
    <w:rsid w:val="00BC7035"/>
    <w:rsid w:val="00BD1032"/>
    <w:rsid w:val="00BD7A43"/>
    <w:rsid w:val="00BE2703"/>
    <w:rsid w:val="00BE2D6A"/>
    <w:rsid w:val="00BF10BC"/>
    <w:rsid w:val="00BF2ED6"/>
    <w:rsid w:val="00C027C3"/>
    <w:rsid w:val="00C0635D"/>
    <w:rsid w:val="00C10ABB"/>
    <w:rsid w:val="00C12F9E"/>
    <w:rsid w:val="00C231D3"/>
    <w:rsid w:val="00C31504"/>
    <w:rsid w:val="00C452DA"/>
    <w:rsid w:val="00C45EAD"/>
    <w:rsid w:val="00C54AFA"/>
    <w:rsid w:val="00C60998"/>
    <w:rsid w:val="00C6115D"/>
    <w:rsid w:val="00C64ACE"/>
    <w:rsid w:val="00C7648B"/>
    <w:rsid w:val="00C81EC3"/>
    <w:rsid w:val="00C8602F"/>
    <w:rsid w:val="00C876D8"/>
    <w:rsid w:val="00C915F9"/>
    <w:rsid w:val="00CA1293"/>
    <w:rsid w:val="00CA38B0"/>
    <w:rsid w:val="00CC3523"/>
    <w:rsid w:val="00CC54F2"/>
    <w:rsid w:val="00CE66FC"/>
    <w:rsid w:val="00D022AE"/>
    <w:rsid w:val="00D11C25"/>
    <w:rsid w:val="00D17615"/>
    <w:rsid w:val="00D17F41"/>
    <w:rsid w:val="00D2260F"/>
    <w:rsid w:val="00D25048"/>
    <w:rsid w:val="00D42059"/>
    <w:rsid w:val="00D535D5"/>
    <w:rsid w:val="00D6466F"/>
    <w:rsid w:val="00D72798"/>
    <w:rsid w:val="00D72B2D"/>
    <w:rsid w:val="00D85461"/>
    <w:rsid w:val="00D866BF"/>
    <w:rsid w:val="00D869E3"/>
    <w:rsid w:val="00D90117"/>
    <w:rsid w:val="00D90AF6"/>
    <w:rsid w:val="00DB033D"/>
    <w:rsid w:val="00DB20E7"/>
    <w:rsid w:val="00DB245F"/>
    <w:rsid w:val="00DB44FF"/>
    <w:rsid w:val="00DB4874"/>
    <w:rsid w:val="00DC114F"/>
    <w:rsid w:val="00DC469A"/>
    <w:rsid w:val="00DC6AFB"/>
    <w:rsid w:val="00DD082E"/>
    <w:rsid w:val="00DD74BA"/>
    <w:rsid w:val="00DE5DA5"/>
    <w:rsid w:val="00DE7125"/>
    <w:rsid w:val="00DF2BCB"/>
    <w:rsid w:val="00DF6505"/>
    <w:rsid w:val="00E06093"/>
    <w:rsid w:val="00E126A4"/>
    <w:rsid w:val="00E21720"/>
    <w:rsid w:val="00E31650"/>
    <w:rsid w:val="00E34BF3"/>
    <w:rsid w:val="00E373B2"/>
    <w:rsid w:val="00E42AC3"/>
    <w:rsid w:val="00E5036A"/>
    <w:rsid w:val="00E5044C"/>
    <w:rsid w:val="00E52F7F"/>
    <w:rsid w:val="00E60F62"/>
    <w:rsid w:val="00E612EB"/>
    <w:rsid w:val="00E83E49"/>
    <w:rsid w:val="00E845BA"/>
    <w:rsid w:val="00E85BF9"/>
    <w:rsid w:val="00E87864"/>
    <w:rsid w:val="00E9023C"/>
    <w:rsid w:val="00EA5047"/>
    <w:rsid w:val="00EB5641"/>
    <w:rsid w:val="00EB6167"/>
    <w:rsid w:val="00EC6585"/>
    <w:rsid w:val="00EC6AF0"/>
    <w:rsid w:val="00ED1B0E"/>
    <w:rsid w:val="00ED1EC1"/>
    <w:rsid w:val="00ED72B2"/>
    <w:rsid w:val="00EE1EAC"/>
    <w:rsid w:val="00EE424F"/>
    <w:rsid w:val="00EF25B8"/>
    <w:rsid w:val="00EF2DD1"/>
    <w:rsid w:val="00EF38B8"/>
    <w:rsid w:val="00EF424C"/>
    <w:rsid w:val="00F026A9"/>
    <w:rsid w:val="00F11597"/>
    <w:rsid w:val="00F12B98"/>
    <w:rsid w:val="00F26186"/>
    <w:rsid w:val="00F3599C"/>
    <w:rsid w:val="00F42E68"/>
    <w:rsid w:val="00F46E1C"/>
    <w:rsid w:val="00F608B5"/>
    <w:rsid w:val="00F608F5"/>
    <w:rsid w:val="00F631EA"/>
    <w:rsid w:val="00F67704"/>
    <w:rsid w:val="00F737BD"/>
    <w:rsid w:val="00F74B75"/>
    <w:rsid w:val="00F7786B"/>
    <w:rsid w:val="00F8147D"/>
    <w:rsid w:val="00F82667"/>
    <w:rsid w:val="00F9414E"/>
    <w:rsid w:val="00F95FEE"/>
    <w:rsid w:val="00F96F80"/>
    <w:rsid w:val="00F970AC"/>
    <w:rsid w:val="00FA0864"/>
    <w:rsid w:val="00FB0AE4"/>
    <w:rsid w:val="00FB3A53"/>
    <w:rsid w:val="00FC0EEB"/>
    <w:rsid w:val="00FC5D21"/>
    <w:rsid w:val="00FD0A53"/>
    <w:rsid w:val="00FD39D9"/>
    <w:rsid w:val="00FE0921"/>
    <w:rsid w:val="00FE4987"/>
    <w:rsid w:val="00FF4678"/>
    <w:rsid w:val="00FF6C1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CharCharCharCharCharCharCharCharCharCharCharCharChar">
    <w:name w:val="Char Char Char Char Char Char Char Char Char Char Char Char Char"/>
    <w:basedOn w:val="Normal"/>
    <w:rsid w:val="00457E4A"/>
    <w:pPr>
      <w:spacing w:after="160" w:line="240" w:lineRule="exact"/>
    </w:pPr>
    <w:rPr>
      <w:rFonts w:ascii="Verdana" w:hAnsi="Verdana" w:cs="Verdana"/>
      <w:sz w:val="20"/>
      <w:lang w:val="en-US" w:eastAsia="en-US"/>
    </w:rPr>
  </w:style>
  <w:style w:type="paragraph" w:customStyle="1" w:styleId="ColorfulList-Accent11">
    <w:name w:val="Colorful List - Accent 11"/>
    <w:basedOn w:val="Normal"/>
    <w:uiPriority w:val="34"/>
    <w:qFormat/>
    <w:rsid w:val="00C12F9E"/>
    <w:pPr>
      <w:ind w:left="720"/>
    </w:pPr>
    <w:rPr>
      <w:rFonts w:ascii="Calibri" w:eastAsia="Calibri" w:hAnsi="Calibri"/>
      <w:sz w:val="22"/>
      <w:szCs w:val="22"/>
      <w:lang w:eastAsia="en-US"/>
    </w:rPr>
  </w:style>
  <w:style w:type="paragraph" w:customStyle="1" w:styleId="Paragraph">
    <w:name w:val="Paragraph"/>
    <w:basedOn w:val="Normal"/>
    <w:uiPriority w:val="99"/>
    <w:rsid w:val="00D2260F"/>
    <w:pPr>
      <w:autoSpaceDE w:val="0"/>
      <w:autoSpaceDN w:val="0"/>
      <w:spacing w:before="240"/>
    </w:pPr>
    <w:rPr>
      <w:rFonts w:ascii="Times" w:hAnsi="Times" w:cs="Times"/>
      <w:sz w:val="26"/>
      <w:szCs w:val="26"/>
      <w:lang w:eastAsia="en-US"/>
    </w:rPr>
  </w:style>
  <w:style w:type="paragraph" w:customStyle="1" w:styleId="OmniPage2317">
    <w:name w:val="OmniPage #2317"/>
    <w:uiPriority w:val="99"/>
    <w:rsid w:val="00CA38B0"/>
    <w:pPr>
      <w:tabs>
        <w:tab w:val="left" w:pos="50"/>
        <w:tab w:val="right" w:pos="8324"/>
      </w:tabs>
      <w:autoSpaceDE w:val="0"/>
      <w:autoSpaceDN w:val="0"/>
    </w:pPr>
    <w:rPr>
      <w:sz w:val="23"/>
      <w:szCs w:val="23"/>
      <w:lang w:val="en-US" w:eastAsia="en-US"/>
    </w:rPr>
  </w:style>
  <w:style w:type="paragraph" w:customStyle="1" w:styleId="description">
    <w:name w:val="description"/>
    <w:basedOn w:val="Normal"/>
    <w:rsid w:val="00D866BF"/>
    <w:pPr>
      <w:ind w:left="397" w:hanging="397"/>
    </w:pPr>
    <w:rPr>
      <w:rFonts w:ascii="Times New Roman" w:hAnsi="Times New Roman"/>
      <w:szCs w:val="24"/>
      <w:lang w:val="en-US"/>
    </w:rPr>
  </w:style>
  <w:style w:type="paragraph" w:styleId="NormalWeb">
    <w:name w:val="Normal (Web)"/>
    <w:basedOn w:val="Normal"/>
    <w:uiPriority w:val="99"/>
    <w:unhideWhenUsed/>
    <w:rsid w:val="002D3EBD"/>
    <w:pPr>
      <w:spacing w:before="100" w:beforeAutospacing="1" w:after="100" w:afterAutospacing="1"/>
    </w:pPr>
    <w:rPr>
      <w:rFonts w:ascii="Times New Roman" w:hAnsi="Times New Roman"/>
      <w:szCs w:val="24"/>
    </w:rPr>
  </w:style>
  <w:style w:type="character" w:styleId="Emphasis">
    <w:name w:val="Emphasis"/>
    <w:uiPriority w:val="20"/>
    <w:qFormat/>
    <w:rsid w:val="002953FF"/>
    <w:rPr>
      <w:i/>
      <w:iCs/>
    </w:rPr>
  </w:style>
  <w:style w:type="character" w:styleId="Hyperlink">
    <w:name w:val="Hyperlink"/>
    <w:uiPriority w:val="99"/>
    <w:unhideWhenUsed/>
    <w:rsid w:val="003A5FF8"/>
    <w:rPr>
      <w:color w:val="0000FF"/>
      <w:u w:val="single"/>
    </w:rPr>
  </w:style>
  <w:style w:type="character" w:styleId="CommentReference">
    <w:name w:val="annotation reference"/>
    <w:rsid w:val="0023428B"/>
    <w:rPr>
      <w:sz w:val="16"/>
      <w:szCs w:val="16"/>
    </w:rPr>
  </w:style>
  <w:style w:type="paragraph" w:styleId="CommentText">
    <w:name w:val="annotation text"/>
    <w:basedOn w:val="Normal"/>
    <w:link w:val="CommentTextChar"/>
    <w:rsid w:val="0023428B"/>
    <w:rPr>
      <w:sz w:val="20"/>
      <w:lang w:val="x-none" w:eastAsia="x-none"/>
    </w:rPr>
  </w:style>
  <w:style w:type="character" w:customStyle="1" w:styleId="CommentTextChar">
    <w:name w:val="Comment Text Char"/>
    <w:link w:val="CommentText"/>
    <w:rsid w:val="0023428B"/>
    <w:rPr>
      <w:rFonts w:ascii="Tms Rmn" w:hAnsi="Tms Rmn"/>
    </w:rPr>
  </w:style>
  <w:style w:type="paragraph" w:styleId="CommentSubject">
    <w:name w:val="annotation subject"/>
    <w:basedOn w:val="CommentText"/>
    <w:next w:val="CommentText"/>
    <w:link w:val="CommentSubjectChar"/>
    <w:rsid w:val="0023428B"/>
    <w:rPr>
      <w:b/>
      <w:bCs/>
    </w:rPr>
  </w:style>
  <w:style w:type="character" w:customStyle="1" w:styleId="CommentSubjectChar">
    <w:name w:val="Comment Subject Char"/>
    <w:link w:val="CommentSubject"/>
    <w:rsid w:val="0023428B"/>
    <w:rPr>
      <w:rFonts w:ascii="Tms Rmn" w:hAnsi="Tms Rmn"/>
      <w:b/>
      <w:bCs/>
    </w:rPr>
  </w:style>
  <w:style w:type="paragraph" w:styleId="BalloonText">
    <w:name w:val="Balloon Text"/>
    <w:basedOn w:val="Normal"/>
    <w:link w:val="BalloonTextChar"/>
    <w:rsid w:val="0023428B"/>
    <w:rPr>
      <w:rFonts w:ascii="Tahoma" w:hAnsi="Tahoma"/>
      <w:sz w:val="16"/>
      <w:szCs w:val="16"/>
      <w:lang w:val="x-none" w:eastAsia="x-none"/>
    </w:rPr>
  </w:style>
  <w:style w:type="character" w:customStyle="1" w:styleId="BalloonTextChar">
    <w:name w:val="Balloon Text Char"/>
    <w:link w:val="BalloonText"/>
    <w:rsid w:val="0023428B"/>
    <w:rPr>
      <w:rFonts w:ascii="Tahoma" w:hAnsi="Tahoma" w:cs="Tahoma"/>
      <w:sz w:val="16"/>
      <w:szCs w:val="16"/>
    </w:rPr>
  </w:style>
  <w:style w:type="paragraph" w:styleId="HTMLPreformatted">
    <w:name w:val="HTML Preformatted"/>
    <w:basedOn w:val="Normal"/>
    <w:link w:val="HTMLPreformattedChar"/>
    <w:uiPriority w:val="99"/>
    <w:unhideWhenUsed/>
    <w:rsid w:val="001E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1E1FAE"/>
    <w:rPr>
      <w:rFonts w:ascii="Courier New" w:hAnsi="Courier New" w:cs="Courier New"/>
    </w:rPr>
  </w:style>
  <w:style w:type="paragraph" w:customStyle="1" w:styleId="Default">
    <w:name w:val="Default"/>
    <w:rsid w:val="00244249"/>
    <w:pPr>
      <w:autoSpaceDE w:val="0"/>
      <w:autoSpaceDN w:val="0"/>
      <w:adjustRightInd w:val="0"/>
    </w:pPr>
    <w:rPr>
      <w:color w:val="000000"/>
      <w:sz w:val="24"/>
      <w:szCs w:val="24"/>
    </w:rPr>
  </w:style>
  <w:style w:type="paragraph" w:styleId="ListParagraph">
    <w:name w:val="List Paragraph"/>
    <w:basedOn w:val="Normal"/>
    <w:uiPriority w:val="34"/>
    <w:qFormat/>
    <w:rsid w:val="00AC24F8"/>
    <w:pPr>
      <w:ind w:left="720"/>
    </w:pPr>
  </w:style>
  <w:style w:type="paragraph" w:customStyle="1" w:styleId="IndentParaLevel1">
    <w:name w:val="IndentParaLevel1"/>
    <w:basedOn w:val="Normal"/>
    <w:rsid w:val="00247F00"/>
    <w:pPr>
      <w:spacing w:after="120" w:line="288" w:lineRule="auto"/>
      <w:ind w:left="964"/>
    </w:pPr>
    <w:rPr>
      <w:rFonts w:ascii="Arial" w:hAnsi="Arial" w:cs="Arial"/>
      <w:sz w:val="20"/>
      <w:lang w:eastAsia="en-US"/>
    </w:rPr>
  </w:style>
  <w:style w:type="paragraph" w:customStyle="1" w:styleId="CUNumber3">
    <w:name w:val="CU_Number3"/>
    <w:basedOn w:val="Normal"/>
    <w:rsid w:val="00247F00"/>
    <w:pPr>
      <w:spacing w:after="120" w:line="288" w:lineRule="auto"/>
      <w:outlineLvl w:val="2"/>
    </w:pPr>
    <w:rPr>
      <w:rFonts w:ascii="Arial" w:hAnsi="Arial" w:cs="Arial"/>
      <w:sz w:val="20"/>
      <w:lang w:eastAsia="en-US"/>
    </w:rPr>
  </w:style>
  <w:style w:type="paragraph" w:styleId="ListBullet">
    <w:name w:val="List Bullet"/>
    <w:basedOn w:val="Normal"/>
    <w:rsid w:val="00773E0A"/>
    <w:pPr>
      <w:numPr>
        <w:numId w:val="22"/>
      </w:numPr>
      <w:spacing w:after="120" w:line="288" w:lineRule="auto"/>
    </w:pPr>
    <w:rPr>
      <w:rFonts w:ascii="Arial" w:hAnsi="Arial" w:cs="Arial"/>
      <w:sz w:val="20"/>
      <w:lang w:eastAsia="en-US"/>
    </w:rPr>
  </w:style>
  <w:style w:type="paragraph" w:styleId="ListBullet2">
    <w:name w:val="List Bullet 2"/>
    <w:basedOn w:val="Normal"/>
    <w:rsid w:val="00773E0A"/>
    <w:pPr>
      <w:numPr>
        <w:ilvl w:val="1"/>
        <w:numId w:val="22"/>
      </w:numPr>
      <w:spacing w:after="120" w:line="288" w:lineRule="auto"/>
    </w:pPr>
    <w:rPr>
      <w:rFonts w:ascii="Arial" w:hAnsi="Arial" w:cs="Arial"/>
      <w:sz w:val="20"/>
      <w:lang w:eastAsia="en-US"/>
    </w:rPr>
  </w:style>
  <w:style w:type="paragraph" w:styleId="ListBullet3">
    <w:name w:val="List Bullet 3"/>
    <w:basedOn w:val="Normal"/>
    <w:rsid w:val="00773E0A"/>
    <w:pPr>
      <w:numPr>
        <w:ilvl w:val="2"/>
        <w:numId w:val="22"/>
      </w:numPr>
      <w:spacing w:after="120" w:line="288" w:lineRule="auto"/>
    </w:pPr>
    <w:rPr>
      <w:rFonts w:ascii="Arial" w:hAnsi="Arial" w:cs="Arial"/>
      <w:sz w:val="20"/>
      <w:lang w:eastAsia="en-US"/>
    </w:rPr>
  </w:style>
  <w:style w:type="paragraph" w:styleId="ListBullet4">
    <w:name w:val="List Bullet 4"/>
    <w:basedOn w:val="Normal"/>
    <w:rsid w:val="00773E0A"/>
    <w:pPr>
      <w:numPr>
        <w:ilvl w:val="3"/>
        <w:numId w:val="22"/>
      </w:numPr>
      <w:spacing w:after="120" w:line="288" w:lineRule="auto"/>
    </w:pPr>
    <w:rPr>
      <w:rFonts w:ascii="Arial" w:hAnsi="Arial" w:cs="Arial"/>
      <w:sz w:val="20"/>
      <w:lang w:eastAsia="en-US"/>
    </w:rPr>
  </w:style>
  <w:style w:type="paragraph" w:styleId="ListBullet5">
    <w:name w:val="List Bullet 5"/>
    <w:basedOn w:val="Normal"/>
    <w:rsid w:val="00773E0A"/>
    <w:pPr>
      <w:numPr>
        <w:ilvl w:val="4"/>
        <w:numId w:val="22"/>
      </w:numPr>
      <w:spacing w:after="120" w:line="288" w:lineRule="auto"/>
    </w:pPr>
    <w:rPr>
      <w:rFonts w:ascii="Arial" w:hAnsi="Arial" w:cs="Arial"/>
      <w:sz w:val="20"/>
      <w:lang w:eastAsia="en-US"/>
    </w:rPr>
  </w:style>
  <w:style w:type="paragraph" w:styleId="PlainText">
    <w:name w:val="Plain Text"/>
    <w:basedOn w:val="Normal"/>
    <w:link w:val="PlainTextChar"/>
    <w:uiPriority w:val="99"/>
    <w:unhideWhenUsed/>
    <w:rsid w:val="002F47C3"/>
    <w:rPr>
      <w:rFonts w:ascii="Arial" w:eastAsia="Calibri" w:hAnsi="Arial" w:cs="Consolas"/>
      <w:sz w:val="18"/>
      <w:szCs w:val="21"/>
      <w:lang w:eastAsia="en-US"/>
    </w:rPr>
  </w:style>
  <w:style w:type="character" w:customStyle="1" w:styleId="PlainTextChar">
    <w:name w:val="Plain Text Char"/>
    <w:link w:val="PlainText"/>
    <w:uiPriority w:val="99"/>
    <w:rsid w:val="002F47C3"/>
    <w:rPr>
      <w:rFonts w:ascii="Arial" w:eastAsia="Calibri" w:hAnsi="Arial" w:cs="Consolas"/>
      <w:sz w:val="18"/>
      <w:szCs w:val="21"/>
      <w:lang w:eastAsia="en-US"/>
    </w:rPr>
  </w:style>
  <w:style w:type="paragraph" w:styleId="TOC3">
    <w:name w:val="toc 3"/>
    <w:basedOn w:val="Normal"/>
    <w:next w:val="Normal"/>
    <w:uiPriority w:val="39"/>
    <w:unhideWhenUsed/>
    <w:rsid w:val="00A212F6"/>
    <w:pPr>
      <w:keepNext/>
      <w:keepLines/>
      <w:tabs>
        <w:tab w:val="right" w:pos="7088"/>
      </w:tabs>
      <w:spacing w:before="80"/>
      <w:ind w:left="1604" w:right="567" w:hanging="1179"/>
    </w:pPr>
    <w:rPr>
      <w:rFonts w:ascii="Times New Roman" w:hAnsi="Times New Roman"/>
      <w:b/>
      <w:kern w:val="28"/>
      <w:sz w:val="22"/>
    </w:rPr>
  </w:style>
  <w:style w:type="character" w:customStyle="1" w:styleId="FooterChar">
    <w:name w:val="Footer Char"/>
    <w:link w:val="Footer"/>
    <w:uiPriority w:val="99"/>
    <w:rsid w:val="000E1F3D"/>
    <w:rPr>
      <w:rFonts w:ascii="Tms Rmn" w:hAnsi="Tms Rm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9225">
      <w:bodyDiv w:val="1"/>
      <w:marLeft w:val="0"/>
      <w:marRight w:val="0"/>
      <w:marTop w:val="0"/>
      <w:marBottom w:val="0"/>
      <w:divBdr>
        <w:top w:val="none" w:sz="0" w:space="0" w:color="auto"/>
        <w:left w:val="none" w:sz="0" w:space="0" w:color="auto"/>
        <w:bottom w:val="none" w:sz="0" w:space="0" w:color="auto"/>
        <w:right w:val="none" w:sz="0" w:space="0" w:color="auto"/>
      </w:divBdr>
      <w:divsChild>
        <w:div w:id="355233630">
          <w:marLeft w:val="0"/>
          <w:marRight w:val="0"/>
          <w:marTop w:val="0"/>
          <w:marBottom w:val="0"/>
          <w:divBdr>
            <w:top w:val="none" w:sz="0" w:space="0" w:color="auto"/>
            <w:left w:val="none" w:sz="0" w:space="0" w:color="auto"/>
            <w:bottom w:val="none" w:sz="0" w:space="0" w:color="auto"/>
            <w:right w:val="none" w:sz="0" w:space="0" w:color="auto"/>
          </w:divBdr>
          <w:divsChild>
            <w:div w:id="813906742">
              <w:marLeft w:val="0"/>
              <w:marRight w:val="0"/>
              <w:marTop w:val="0"/>
              <w:marBottom w:val="0"/>
              <w:divBdr>
                <w:top w:val="none" w:sz="0" w:space="0" w:color="auto"/>
                <w:left w:val="none" w:sz="0" w:space="0" w:color="auto"/>
                <w:bottom w:val="none" w:sz="0" w:space="0" w:color="auto"/>
                <w:right w:val="none" w:sz="0" w:space="0" w:color="auto"/>
              </w:divBdr>
              <w:divsChild>
                <w:div w:id="641887628">
                  <w:marLeft w:val="0"/>
                  <w:marRight w:val="0"/>
                  <w:marTop w:val="0"/>
                  <w:marBottom w:val="0"/>
                  <w:divBdr>
                    <w:top w:val="none" w:sz="0" w:space="0" w:color="auto"/>
                    <w:left w:val="none" w:sz="0" w:space="0" w:color="auto"/>
                    <w:bottom w:val="none" w:sz="0" w:space="0" w:color="auto"/>
                    <w:right w:val="none" w:sz="0" w:space="0" w:color="auto"/>
                  </w:divBdr>
                  <w:divsChild>
                    <w:div w:id="1587037620">
                      <w:marLeft w:val="0"/>
                      <w:marRight w:val="0"/>
                      <w:marTop w:val="0"/>
                      <w:marBottom w:val="0"/>
                      <w:divBdr>
                        <w:top w:val="none" w:sz="0" w:space="0" w:color="auto"/>
                        <w:left w:val="none" w:sz="0" w:space="0" w:color="auto"/>
                        <w:bottom w:val="none" w:sz="0" w:space="0" w:color="auto"/>
                        <w:right w:val="none" w:sz="0" w:space="0" w:color="auto"/>
                      </w:divBdr>
                      <w:divsChild>
                        <w:div w:id="278683137">
                          <w:marLeft w:val="0"/>
                          <w:marRight w:val="0"/>
                          <w:marTop w:val="0"/>
                          <w:marBottom w:val="0"/>
                          <w:divBdr>
                            <w:top w:val="single" w:sz="6" w:space="0" w:color="828282"/>
                            <w:left w:val="single" w:sz="6" w:space="0" w:color="828282"/>
                            <w:bottom w:val="single" w:sz="6" w:space="0" w:color="828282"/>
                            <w:right w:val="single" w:sz="6" w:space="0" w:color="828282"/>
                          </w:divBdr>
                          <w:divsChild>
                            <w:div w:id="1272666409">
                              <w:marLeft w:val="0"/>
                              <w:marRight w:val="0"/>
                              <w:marTop w:val="0"/>
                              <w:marBottom w:val="0"/>
                              <w:divBdr>
                                <w:top w:val="none" w:sz="0" w:space="0" w:color="auto"/>
                                <w:left w:val="none" w:sz="0" w:space="0" w:color="auto"/>
                                <w:bottom w:val="none" w:sz="0" w:space="0" w:color="auto"/>
                                <w:right w:val="none" w:sz="0" w:space="0" w:color="auto"/>
                              </w:divBdr>
                              <w:divsChild>
                                <w:div w:id="1670448454">
                                  <w:marLeft w:val="0"/>
                                  <w:marRight w:val="0"/>
                                  <w:marTop w:val="0"/>
                                  <w:marBottom w:val="0"/>
                                  <w:divBdr>
                                    <w:top w:val="none" w:sz="0" w:space="0" w:color="auto"/>
                                    <w:left w:val="none" w:sz="0" w:space="0" w:color="auto"/>
                                    <w:bottom w:val="none" w:sz="0" w:space="0" w:color="auto"/>
                                    <w:right w:val="none" w:sz="0" w:space="0" w:color="auto"/>
                                  </w:divBdr>
                                  <w:divsChild>
                                    <w:div w:id="1653752116">
                                      <w:marLeft w:val="0"/>
                                      <w:marRight w:val="0"/>
                                      <w:marTop w:val="0"/>
                                      <w:marBottom w:val="0"/>
                                      <w:divBdr>
                                        <w:top w:val="none" w:sz="0" w:space="0" w:color="auto"/>
                                        <w:left w:val="none" w:sz="0" w:space="0" w:color="auto"/>
                                        <w:bottom w:val="none" w:sz="0" w:space="0" w:color="auto"/>
                                        <w:right w:val="none" w:sz="0" w:space="0" w:color="auto"/>
                                      </w:divBdr>
                                      <w:divsChild>
                                        <w:div w:id="1497456512">
                                          <w:marLeft w:val="0"/>
                                          <w:marRight w:val="0"/>
                                          <w:marTop w:val="0"/>
                                          <w:marBottom w:val="0"/>
                                          <w:divBdr>
                                            <w:top w:val="none" w:sz="0" w:space="0" w:color="auto"/>
                                            <w:left w:val="none" w:sz="0" w:space="0" w:color="auto"/>
                                            <w:bottom w:val="none" w:sz="0" w:space="0" w:color="auto"/>
                                            <w:right w:val="none" w:sz="0" w:space="0" w:color="auto"/>
                                          </w:divBdr>
                                          <w:divsChild>
                                            <w:div w:id="1305626318">
                                              <w:marLeft w:val="0"/>
                                              <w:marRight w:val="0"/>
                                              <w:marTop w:val="0"/>
                                              <w:marBottom w:val="0"/>
                                              <w:divBdr>
                                                <w:top w:val="none" w:sz="0" w:space="0" w:color="auto"/>
                                                <w:left w:val="none" w:sz="0" w:space="0" w:color="auto"/>
                                                <w:bottom w:val="none" w:sz="0" w:space="0" w:color="auto"/>
                                                <w:right w:val="none" w:sz="0" w:space="0" w:color="auto"/>
                                              </w:divBdr>
                                              <w:divsChild>
                                                <w:div w:id="1592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54294">
      <w:bodyDiv w:val="1"/>
      <w:marLeft w:val="0"/>
      <w:marRight w:val="0"/>
      <w:marTop w:val="0"/>
      <w:marBottom w:val="0"/>
      <w:divBdr>
        <w:top w:val="none" w:sz="0" w:space="0" w:color="auto"/>
        <w:left w:val="none" w:sz="0" w:space="0" w:color="auto"/>
        <w:bottom w:val="none" w:sz="0" w:space="0" w:color="auto"/>
        <w:right w:val="none" w:sz="0" w:space="0" w:color="auto"/>
      </w:divBdr>
    </w:div>
    <w:div w:id="217131100">
      <w:bodyDiv w:val="1"/>
      <w:marLeft w:val="0"/>
      <w:marRight w:val="0"/>
      <w:marTop w:val="0"/>
      <w:marBottom w:val="0"/>
      <w:divBdr>
        <w:top w:val="none" w:sz="0" w:space="0" w:color="auto"/>
        <w:left w:val="none" w:sz="0" w:space="0" w:color="auto"/>
        <w:bottom w:val="none" w:sz="0" w:space="0" w:color="auto"/>
        <w:right w:val="none" w:sz="0" w:space="0" w:color="auto"/>
      </w:divBdr>
      <w:divsChild>
        <w:div w:id="1416321854">
          <w:marLeft w:val="0"/>
          <w:marRight w:val="0"/>
          <w:marTop w:val="0"/>
          <w:marBottom w:val="0"/>
          <w:divBdr>
            <w:top w:val="none" w:sz="0" w:space="0" w:color="auto"/>
            <w:left w:val="none" w:sz="0" w:space="0" w:color="auto"/>
            <w:bottom w:val="none" w:sz="0" w:space="0" w:color="auto"/>
            <w:right w:val="none" w:sz="0" w:space="0" w:color="auto"/>
          </w:divBdr>
          <w:divsChild>
            <w:div w:id="946932332">
              <w:marLeft w:val="0"/>
              <w:marRight w:val="0"/>
              <w:marTop w:val="0"/>
              <w:marBottom w:val="0"/>
              <w:divBdr>
                <w:top w:val="none" w:sz="0" w:space="0" w:color="auto"/>
                <w:left w:val="none" w:sz="0" w:space="0" w:color="auto"/>
                <w:bottom w:val="none" w:sz="0" w:space="0" w:color="auto"/>
                <w:right w:val="none" w:sz="0" w:space="0" w:color="auto"/>
              </w:divBdr>
              <w:divsChild>
                <w:div w:id="1266813681">
                  <w:marLeft w:val="0"/>
                  <w:marRight w:val="0"/>
                  <w:marTop w:val="0"/>
                  <w:marBottom w:val="0"/>
                  <w:divBdr>
                    <w:top w:val="none" w:sz="0" w:space="0" w:color="auto"/>
                    <w:left w:val="none" w:sz="0" w:space="0" w:color="auto"/>
                    <w:bottom w:val="none" w:sz="0" w:space="0" w:color="auto"/>
                    <w:right w:val="none" w:sz="0" w:space="0" w:color="auto"/>
                  </w:divBdr>
                  <w:divsChild>
                    <w:div w:id="1784567506">
                      <w:marLeft w:val="0"/>
                      <w:marRight w:val="0"/>
                      <w:marTop w:val="0"/>
                      <w:marBottom w:val="0"/>
                      <w:divBdr>
                        <w:top w:val="none" w:sz="0" w:space="0" w:color="auto"/>
                        <w:left w:val="none" w:sz="0" w:space="0" w:color="auto"/>
                        <w:bottom w:val="none" w:sz="0" w:space="0" w:color="auto"/>
                        <w:right w:val="none" w:sz="0" w:space="0" w:color="auto"/>
                      </w:divBdr>
                      <w:divsChild>
                        <w:div w:id="1632588548">
                          <w:marLeft w:val="0"/>
                          <w:marRight w:val="0"/>
                          <w:marTop w:val="0"/>
                          <w:marBottom w:val="0"/>
                          <w:divBdr>
                            <w:top w:val="single" w:sz="6" w:space="0" w:color="828282"/>
                            <w:left w:val="single" w:sz="6" w:space="0" w:color="828282"/>
                            <w:bottom w:val="single" w:sz="6" w:space="0" w:color="828282"/>
                            <w:right w:val="single" w:sz="6" w:space="0" w:color="828282"/>
                          </w:divBdr>
                          <w:divsChild>
                            <w:div w:id="993416047">
                              <w:marLeft w:val="0"/>
                              <w:marRight w:val="0"/>
                              <w:marTop w:val="0"/>
                              <w:marBottom w:val="0"/>
                              <w:divBdr>
                                <w:top w:val="none" w:sz="0" w:space="0" w:color="auto"/>
                                <w:left w:val="none" w:sz="0" w:space="0" w:color="auto"/>
                                <w:bottom w:val="none" w:sz="0" w:space="0" w:color="auto"/>
                                <w:right w:val="none" w:sz="0" w:space="0" w:color="auto"/>
                              </w:divBdr>
                              <w:divsChild>
                                <w:div w:id="776945340">
                                  <w:marLeft w:val="0"/>
                                  <w:marRight w:val="0"/>
                                  <w:marTop w:val="0"/>
                                  <w:marBottom w:val="0"/>
                                  <w:divBdr>
                                    <w:top w:val="none" w:sz="0" w:space="0" w:color="auto"/>
                                    <w:left w:val="none" w:sz="0" w:space="0" w:color="auto"/>
                                    <w:bottom w:val="none" w:sz="0" w:space="0" w:color="auto"/>
                                    <w:right w:val="none" w:sz="0" w:space="0" w:color="auto"/>
                                  </w:divBdr>
                                  <w:divsChild>
                                    <w:div w:id="1627344704">
                                      <w:marLeft w:val="0"/>
                                      <w:marRight w:val="0"/>
                                      <w:marTop w:val="0"/>
                                      <w:marBottom w:val="0"/>
                                      <w:divBdr>
                                        <w:top w:val="none" w:sz="0" w:space="0" w:color="auto"/>
                                        <w:left w:val="none" w:sz="0" w:space="0" w:color="auto"/>
                                        <w:bottom w:val="none" w:sz="0" w:space="0" w:color="auto"/>
                                        <w:right w:val="none" w:sz="0" w:space="0" w:color="auto"/>
                                      </w:divBdr>
                                      <w:divsChild>
                                        <w:div w:id="290980263">
                                          <w:marLeft w:val="0"/>
                                          <w:marRight w:val="0"/>
                                          <w:marTop w:val="0"/>
                                          <w:marBottom w:val="0"/>
                                          <w:divBdr>
                                            <w:top w:val="none" w:sz="0" w:space="0" w:color="auto"/>
                                            <w:left w:val="none" w:sz="0" w:space="0" w:color="auto"/>
                                            <w:bottom w:val="none" w:sz="0" w:space="0" w:color="auto"/>
                                            <w:right w:val="none" w:sz="0" w:space="0" w:color="auto"/>
                                          </w:divBdr>
                                          <w:divsChild>
                                            <w:div w:id="1401830241">
                                              <w:marLeft w:val="0"/>
                                              <w:marRight w:val="0"/>
                                              <w:marTop w:val="0"/>
                                              <w:marBottom w:val="0"/>
                                              <w:divBdr>
                                                <w:top w:val="none" w:sz="0" w:space="0" w:color="auto"/>
                                                <w:left w:val="none" w:sz="0" w:space="0" w:color="auto"/>
                                                <w:bottom w:val="none" w:sz="0" w:space="0" w:color="auto"/>
                                                <w:right w:val="none" w:sz="0" w:space="0" w:color="auto"/>
                                              </w:divBdr>
                                              <w:divsChild>
                                                <w:div w:id="13892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89596">
      <w:bodyDiv w:val="1"/>
      <w:marLeft w:val="0"/>
      <w:marRight w:val="0"/>
      <w:marTop w:val="0"/>
      <w:marBottom w:val="0"/>
      <w:divBdr>
        <w:top w:val="none" w:sz="0" w:space="0" w:color="auto"/>
        <w:left w:val="none" w:sz="0" w:space="0" w:color="auto"/>
        <w:bottom w:val="none" w:sz="0" w:space="0" w:color="auto"/>
        <w:right w:val="none" w:sz="0" w:space="0" w:color="auto"/>
      </w:divBdr>
      <w:divsChild>
        <w:div w:id="1736195634">
          <w:marLeft w:val="0"/>
          <w:marRight w:val="0"/>
          <w:marTop w:val="0"/>
          <w:marBottom w:val="0"/>
          <w:divBdr>
            <w:top w:val="none" w:sz="0" w:space="0" w:color="auto"/>
            <w:left w:val="none" w:sz="0" w:space="0" w:color="auto"/>
            <w:bottom w:val="none" w:sz="0" w:space="0" w:color="auto"/>
            <w:right w:val="none" w:sz="0" w:space="0" w:color="auto"/>
          </w:divBdr>
          <w:divsChild>
            <w:div w:id="1713724425">
              <w:marLeft w:val="0"/>
              <w:marRight w:val="0"/>
              <w:marTop w:val="0"/>
              <w:marBottom w:val="0"/>
              <w:divBdr>
                <w:top w:val="none" w:sz="0" w:space="0" w:color="auto"/>
                <w:left w:val="none" w:sz="0" w:space="0" w:color="auto"/>
                <w:bottom w:val="none" w:sz="0" w:space="0" w:color="auto"/>
                <w:right w:val="none" w:sz="0" w:space="0" w:color="auto"/>
              </w:divBdr>
              <w:divsChild>
                <w:div w:id="1496913560">
                  <w:marLeft w:val="0"/>
                  <w:marRight w:val="0"/>
                  <w:marTop w:val="0"/>
                  <w:marBottom w:val="0"/>
                  <w:divBdr>
                    <w:top w:val="none" w:sz="0" w:space="0" w:color="auto"/>
                    <w:left w:val="none" w:sz="0" w:space="0" w:color="auto"/>
                    <w:bottom w:val="none" w:sz="0" w:space="0" w:color="auto"/>
                    <w:right w:val="none" w:sz="0" w:space="0" w:color="auto"/>
                  </w:divBdr>
                  <w:divsChild>
                    <w:div w:id="1747259288">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 w:id="280722974">
      <w:bodyDiv w:val="1"/>
      <w:marLeft w:val="0"/>
      <w:marRight w:val="0"/>
      <w:marTop w:val="0"/>
      <w:marBottom w:val="0"/>
      <w:divBdr>
        <w:top w:val="none" w:sz="0" w:space="0" w:color="auto"/>
        <w:left w:val="none" w:sz="0" w:space="0" w:color="auto"/>
        <w:bottom w:val="none" w:sz="0" w:space="0" w:color="auto"/>
        <w:right w:val="none" w:sz="0" w:space="0" w:color="auto"/>
      </w:divBdr>
    </w:div>
    <w:div w:id="448937734">
      <w:bodyDiv w:val="1"/>
      <w:marLeft w:val="0"/>
      <w:marRight w:val="0"/>
      <w:marTop w:val="0"/>
      <w:marBottom w:val="0"/>
      <w:divBdr>
        <w:top w:val="none" w:sz="0" w:space="0" w:color="auto"/>
        <w:left w:val="none" w:sz="0" w:space="0" w:color="auto"/>
        <w:bottom w:val="none" w:sz="0" w:space="0" w:color="auto"/>
        <w:right w:val="none" w:sz="0" w:space="0" w:color="auto"/>
      </w:divBdr>
    </w:div>
    <w:div w:id="528226072">
      <w:bodyDiv w:val="1"/>
      <w:marLeft w:val="0"/>
      <w:marRight w:val="0"/>
      <w:marTop w:val="0"/>
      <w:marBottom w:val="0"/>
      <w:divBdr>
        <w:top w:val="none" w:sz="0" w:space="0" w:color="auto"/>
        <w:left w:val="none" w:sz="0" w:space="0" w:color="auto"/>
        <w:bottom w:val="none" w:sz="0" w:space="0" w:color="auto"/>
        <w:right w:val="none" w:sz="0" w:space="0" w:color="auto"/>
      </w:divBdr>
    </w:div>
    <w:div w:id="574630213">
      <w:bodyDiv w:val="1"/>
      <w:marLeft w:val="0"/>
      <w:marRight w:val="0"/>
      <w:marTop w:val="0"/>
      <w:marBottom w:val="0"/>
      <w:divBdr>
        <w:top w:val="none" w:sz="0" w:space="0" w:color="auto"/>
        <w:left w:val="none" w:sz="0" w:space="0" w:color="auto"/>
        <w:bottom w:val="none" w:sz="0" w:space="0" w:color="auto"/>
        <w:right w:val="none" w:sz="0" w:space="0" w:color="auto"/>
      </w:divBdr>
    </w:div>
    <w:div w:id="631833514">
      <w:bodyDiv w:val="1"/>
      <w:marLeft w:val="0"/>
      <w:marRight w:val="0"/>
      <w:marTop w:val="0"/>
      <w:marBottom w:val="0"/>
      <w:divBdr>
        <w:top w:val="none" w:sz="0" w:space="0" w:color="auto"/>
        <w:left w:val="none" w:sz="0" w:space="0" w:color="auto"/>
        <w:bottom w:val="none" w:sz="0" w:space="0" w:color="auto"/>
        <w:right w:val="none" w:sz="0" w:space="0" w:color="auto"/>
      </w:divBdr>
    </w:div>
    <w:div w:id="766851816">
      <w:bodyDiv w:val="1"/>
      <w:marLeft w:val="0"/>
      <w:marRight w:val="0"/>
      <w:marTop w:val="0"/>
      <w:marBottom w:val="0"/>
      <w:divBdr>
        <w:top w:val="none" w:sz="0" w:space="0" w:color="auto"/>
        <w:left w:val="none" w:sz="0" w:space="0" w:color="auto"/>
        <w:bottom w:val="none" w:sz="0" w:space="0" w:color="auto"/>
        <w:right w:val="none" w:sz="0" w:space="0" w:color="auto"/>
      </w:divBdr>
      <w:divsChild>
        <w:div w:id="770010584">
          <w:marLeft w:val="0"/>
          <w:marRight w:val="0"/>
          <w:marTop w:val="240"/>
          <w:marBottom w:val="0"/>
          <w:divBdr>
            <w:top w:val="none" w:sz="0" w:space="0" w:color="auto"/>
            <w:left w:val="none" w:sz="0" w:space="0" w:color="auto"/>
            <w:bottom w:val="none" w:sz="0" w:space="0" w:color="auto"/>
            <w:right w:val="none" w:sz="0" w:space="0" w:color="auto"/>
          </w:divBdr>
          <w:divsChild>
            <w:div w:id="627980263">
              <w:marLeft w:val="0"/>
              <w:marRight w:val="0"/>
              <w:marTop w:val="0"/>
              <w:marBottom w:val="0"/>
              <w:divBdr>
                <w:top w:val="none" w:sz="0" w:space="0" w:color="auto"/>
                <w:left w:val="none" w:sz="0" w:space="0" w:color="auto"/>
                <w:bottom w:val="none" w:sz="0" w:space="0" w:color="auto"/>
                <w:right w:val="none" w:sz="0" w:space="0" w:color="auto"/>
              </w:divBdr>
              <w:divsChild>
                <w:div w:id="1212155442">
                  <w:marLeft w:val="0"/>
                  <w:marRight w:val="0"/>
                  <w:marTop w:val="0"/>
                  <w:marBottom w:val="0"/>
                  <w:divBdr>
                    <w:top w:val="none" w:sz="0" w:space="0" w:color="auto"/>
                    <w:left w:val="none" w:sz="0" w:space="0" w:color="auto"/>
                    <w:bottom w:val="none" w:sz="0" w:space="0" w:color="auto"/>
                    <w:right w:val="none" w:sz="0" w:space="0" w:color="auto"/>
                  </w:divBdr>
                  <w:divsChild>
                    <w:div w:id="148793360">
                      <w:marLeft w:val="0"/>
                      <w:marRight w:val="0"/>
                      <w:marTop w:val="0"/>
                      <w:marBottom w:val="0"/>
                      <w:divBdr>
                        <w:top w:val="none" w:sz="0" w:space="0" w:color="auto"/>
                        <w:left w:val="none" w:sz="0" w:space="0" w:color="auto"/>
                        <w:bottom w:val="none" w:sz="0" w:space="0" w:color="auto"/>
                        <w:right w:val="none" w:sz="0" w:space="0" w:color="auto"/>
                      </w:divBdr>
                      <w:divsChild>
                        <w:div w:id="7414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27884">
      <w:bodyDiv w:val="1"/>
      <w:marLeft w:val="0"/>
      <w:marRight w:val="0"/>
      <w:marTop w:val="0"/>
      <w:marBottom w:val="0"/>
      <w:divBdr>
        <w:top w:val="none" w:sz="0" w:space="0" w:color="auto"/>
        <w:left w:val="none" w:sz="0" w:space="0" w:color="auto"/>
        <w:bottom w:val="none" w:sz="0" w:space="0" w:color="auto"/>
        <w:right w:val="none" w:sz="0" w:space="0" w:color="auto"/>
      </w:divBdr>
    </w:div>
    <w:div w:id="864321169">
      <w:bodyDiv w:val="1"/>
      <w:marLeft w:val="0"/>
      <w:marRight w:val="0"/>
      <w:marTop w:val="0"/>
      <w:marBottom w:val="0"/>
      <w:divBdr>
        <w:top w:val="none" w:sz="0" w:space="0" w:color="auto"/>
        <w:left w:val="none" w:sz="0" w:space="0" w:color="auto"/>
        <w:bottom w:val="none" w:sz="0" w:space="0" w:color="auto"/>
        <w:right w:val="none" w:sz="0" w:space="0" w:color="auto"/>
      </w:divBdr>
    </w:div>
    <w:div w:id="1086684201">
      <w:bodyDiv w:val="1"/>
      <w:marLeft w:val="0"/>
      <w:marRight w:val="0"/>
      <w:marTop w:val="0"/>
      <w:marBottom w:val="0"/>
      <w:divBdr>
        <w:top w:val="none" w:sz="0" w:space="0" w:color="auto"/>
        <w:left w:val="none" w:sz="0" w:space="0" w:color="auto"/>
        <w:bottom w:val="none" w:sz="0" w:space="0" w:color="auto"/>
        <w:right w:val="none" w:sz="0" w:space="0" w:color="auto"/>
      </w:divBdr>
    </w:div>
    <w:div w:id="1269583999">
      <w:bodyDiv w:val="1"/>
      <w:marLeft w:val="0"/>
      <w:marRight w:val="0"/>
      <w:marTop w:val="0"/>
      <w:marBottom w:val="0"/>
      <w:divBdr>
        <w:top w:val="none" w:sz="0" w:space="0" w:color="auto"/>
        <w:left w:val="none" w:sz="0" w:space="0" w:color="auto"/>
        <w:bottom w:val="none" w:sz="0" w:space="0" w:color="auto"/>
        <w:right w:val="none" w:sz="0" w:space="0" w:color="auto"/>
      </w:divBdr>
    </w:div>
    <w:div w:id="1491873034">
      <w:bodyDiv w:val="1"/>
      <w:marLeft w:val="0"/>
      <w:marRight w:val="0"/>
      <w:marTop w:val="0"/>
      <w:marBottom w:val="0"/>
      <w:divBdr>
        <w:top w:val="none" w:sz="0" w:space="0" w:color="auto"/>
        <w:left w:val="none" w:sz="0" w:space="0" w:color="auto"/>
        <w:bottom w:val="none" w:sz="0" w:space="0" w:color="auto"/>
        <w:right w:val="none" w:sz="0" w:space="0" w:color="auto"/>
      </w:divBdr>
    </w:div>
    <w:div w:id="1604067227">
      <w:bodyDiv w:val="1"/>
      <w:marLeft w:val="0"/>
      <w:marRight w:val="0"/>
      <w:marTop w:val="0"/>
      <w:marBottom w:val="0"/>
      <w:divBdr>
        <w:top w:val="none" w:sz="0" w:space="0" w:color="auto"/>
        <w:left w:val="none" w:sz="0" w:space="0" w:color="auto"/>
        <w:bottom w:val="none" w:sz="0" w:space="0" w:color="auto"/>
        <w:right w:val="none" w:sz="0" w:space="0" w:color="auto"/>
      </w:divBdr>
    </w:div>
    <w:div w:id="1713311335">
      <w:bodyDiv w:val="1"/>
      <w:marLeft w:val="0"/>
      <w:marRight w:val="0"/>
      <w:marTop w:val="0"/>
      <w:marBottom w:val="0"/>
      <w:divBdr>
        <w:top w:val="none" w:sz="0" w:space="0" w:color="auto"/>
        <w:left w:val="none" w:sz="0" w:space="0" w:color="auto"/>
        <w:bottom w:val="none" w:sz="0" w:space="0" w:color="auto"/>
        <w:right w:val="none" w:sz="0" w:space="0" w:color="auto"/>
      </w:divBdr>
    </w:div>
    <w:div w:id="2029134400">
      <w:bodyDiv w:val="1"/>
      <w:marLeft w:val="0"/>
      <w:marRight w:val="0"/>
      <w:marTop w:val="0"/>
      <w:marBottom w:val="0"/>
      <w:divBdr>
        <w:top w:val="none" w:sz="0" w:space="0" w:color="auto"/>
        <w:left w:val="none" w:sz="0" w:space="0" w:color="auto"/>
        <w:bottom w:val="none" w:sz="0" w:space="0" w:color="auto"/>
        <w:right w:val="none" w:sz="0" w:space="0" w:color="auto"/>
      </w:divBdr>
      <w:divsChild>
        <w:div w:id="1619796764">
          <w:marLeft w:val="0"/>
          <w:marRight w:val="0"/>
          <w:marTop w:val="0"/>
          <w:marBottom w:val="0"/>
          <w:divBdr>
            <w:top w:val="none" w:sz="0" w:space="0" w:color="auto"/>
            <w:left w:val="none" w:sz="0" w:space="0" w:color="auto"/>
            <w:bottom w:val="none" w:sz="0" w:space="0" w:color="auto"/>
            <w:right w:val="none" w:sz="0" w:space="0" w:color="auto"/>
          </w:divBdr>
          <w:divsChild>
            <w:div w:id="481393291">
              <w:marLeft w:val="0"/>
              <w:marRight w:val="0"/>
              <w:marTop w:val="0"/>
              <w:marBottom w:val="0"/>
              <w:divBdr>
                <w:top w:val="none" w:sz="0" w:space="0" w:color="auto"/>
                <w:left w:val="none" w:sz="0" w:space="0" w:color="auto"/>
                <w:bottom w:val="none" w:sz="0" w:space="0" w:color="auto"/>
                <w:right w:val="none" w:sz="0" w:space="0" w:color="auto"/>
              </w:divBdr>
              <w:divsChild>
                <w:div w:id="232937125">
                  <w:marLeft w:val="-225"/>
                  <w:marRight w:val="-225"/>
                  <w:marTop w:val="0"/>
                  <w:marBottom w:val="0"/>
                  <w:divBdr>
                    <w:top w:val="none" w:sz="0" w:space="0" w:color="auto"/>
                    <w:left w:val="none" w:sz="0" w:space="0" w:color="auto"/>
                    <w:bottom w:val="none" w:sz="0" w:space="0" w:color="auto"/>
                    <w:right w:val="none" w:sz="0" w:space="0" w:color="auto"/>
                  </w:divBdr>
                  <w:divsChild>
                    <w:div w:id="847477542">
                      <w:marLeft w:val="0"/>
                      <w:marRight w:val="0"/>
                      <w:marTop w:val="0"/>
                      <w:marBottom w:val="0"/>
                      <w:divBdr>
                        <w:top w:val="none" w:sz="0" w:space="0" w:color="auto"/>
                        <w:left w:val="none" w:sz="0" w:space="0" w:color="auto"/>
                        <w:bottom w:val="none" w:sz="0" w:space="0" w:color="auto"/>
                        <w:right w:val="none" w:sz="0" w:space="0" w:color="auto"/>
                      </w:divBdr>
                      <w:divsChild>
                        <w:div w:id="1736705723">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E1E0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0048-9053-4B0E-ABF6-FB4A9581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6851</Words>
  <Characters>39053</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3</vt:lpstr>
    </vt:vector>
  </TitlesOfParts>
  <Company>DEPT PRIME MINISTER AND CABINET</Company>
  <LinksUpToDate>false</LinksUpToDate>
  <CharactersWithSpaces>45813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GMartin</dc:creator>
  <cp:lastModifiedBy>ghassemi</cp:lastModifiedBy>
  <cp:revision>2</cp:revision>
  <cp:lastPrinted>2015-08-10T03:02:00Z</cp:lastPrinted>
  <dcterms:created xsi:type="dcterms:W3CDTF">2015-09-10T00:20:00Z</dcterms:created>
  <dcterms:modified xsi:type="dcterms:W3CDTF">2015-09-10T00:20:00Z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